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09BBF">
      <w:pPr>
        <w:tabs>
          <w:tab w:val="left" w:pos="4620"/>
          <w:tab w:val="left" w:pos="5145"/>
        </w:tabs>
        <w:spacing w:line="800" w:lineRule="exact"/>
        <w:ind w:firstLine="261" w:firstLineChars="50"/>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39" w:name="_GoBack"/>
      <w:r>
        <w:rPr>
          <w:rFonts w:hint="eastAsia" w:ascii="宋体" w:hAnsi="宋体" w:eastAsia="宋体" w:cs="宋体"/>
          <w:b/>
          <w:kern w:val="2"/>
          <w:sz w:val="52"/>
          <w:szCs w:val="52"/>
          <w:highlight w:val="none"/>
          <w:lang w:val="en-US" w:eastAsia="zh-CN"/>
        </w:rPr>
        <w:drawing>
          <wp:anchor distT="0" distB="0" distL="114300" distR="114300" simplePos="0" relativeHeight="251660288" behindDoc="1" locked="0" layoutInCell="1" allowOverlap="1">
            <wp:simplePos x="0" y="0"/>
            <wp:positionH relativeFrom="column">
              <wp:posOffset>-955040</wp:posOffset>
            </wp:positionH>
            <wp:positionV relativeFrom="paragraph">
              <wp:posOffset>-898525</wp:posOffset>
            </wp:positionV>
            <wp:extent cx="7983855" cy="10826115"/>
            <wp:effectExtent l="0" t="0" r="17145" b="13335"/>
            <wp:wrapNone/>
            <wp:docPr id="2" name="图片 2" descr="f6ef7bc4-2daa-4516-9f5a-4c7e81da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6ef7bc4-2daa-4516-9f5a-4c7e81da9409"/>
                    <pic:cNvPicPr>
                      <a:picLocks noChangeAspect="1"/>
                    </pic:cNvPicPr>
                  </pic:nvPicPr>
                  <pic:blipFill>
                    <a:blip r:embed="rId17"/>
                    <a:stretch>
                      <a:fillRect/>
                    </a:stretch>
                  </pic:blipFill>
                  <pic:spPr>
                    <a:xfrm>
                      <a:off x="0" y="0"/>
                      <a:ext cx="7983855" cy="10826115"/>
                    </a:xfrm>
                    <a:prstGeom prst="rect">
                      <a:avLst/>
                    </a:prstGeom>
                    <a:noFill/>
                    <a:ln>
                      <a:noFill/>
                    </a:ln>
                  </pic:spPr>
                </pic:pic>
              </a:graphicData>
            </a:graphic>
          </wp:anchor>
        </w:drawing>
      </w:r>
      <w:r>
        <w:rPr>
          <w:rFonts w:hint="eastAsia" w:ascii="宋体" w:hAnsi="宋体" w:cs="宋体"/>
          <w:b/>
          <w:color w:val="000000" w:themeColor="text1"/>
          <w:sz w:val="30"/>
          <w:szCs w:val="30"/>
          <w:highlight w:val="none"/>
          <w14:textFill>
            <w14:solidFill>
              <w14:schemeClr w14:val="tx1"/>
            </w14:solidFill>
          </w14:textFill>
        </w:rPr>
        <w:t>项目编号:</w:t>
      </w:r>
      <w:r>
        <w:rPr>
          <w:rFonts w:hint="eastAsia" w:ascii="宋体" w:hAnsi="宋体" w:cs="宋体"/>
          <w:b/>
          <w:color w:val="000000" w:themeColor="text1"/>
          <w:sz w:val="28"/>
          <w:szCs w:val="28"/>
          <w:highlight w:val="none"/>
          <w:lang w:eastAsia="zh-CN"/>
          <w14:textFill>
            <w14:solidFill>
              <w14:schemeClr w14:val="tx1"/>
            </w14:solidFill>
          </w14:textFill>
        </w:rPr>
        <w:t>ZZT2025-ZFCG-0224</w:t>
      </w:r>
    </w:p>
    <w:p w14:paraId="3218EE0D">
      <w:pPr>
        <w:tabs>
          <w:tab w:val="left" w:pos="5145"/>
        </w:tabs>
        <w:spacing w:line="800" w:lineRule="atLeast"/>
        <w:rPr>
          <w:rFonts w:ascii="宋体" w:hAnsi="宋体" w:cs="宋体"/>
          <w:b/>
          <w:bCs/>
          <w:color w:val="000000" w:themeColor="text1"/>
          <w:sz w:val="56"/>
          <w:szCs w:val="48"/>
          <w:highlight w:val="none"/>
          <w14:textFill>
            <w14:solidFill>
              <w14:schemeClr w14:val="tx1"/>
            </w14:solidFill>
          </w14:textFill>
        </w:rPr>
      </w:pPr>
    </w:p>
    <w:p w14:paraId="42046084">
      <w:pPr>
        <w:pStyle w:val="8"/>
        <w:rPr>
          <w:color w:val="000000" w:themeColor="text1"/>
          <w:highlight w:val="none"/>
          <w14:textFill>
            <w14:solidFill>
              <w14:schemeClr w14:val="tx1"/>
            </w14:solidFill>
          </w14:textFill>
        </w:rPr>
      </w:pPr>
    </w:p>
    <w:p w14:paraId="785AA99D">
      <w:pPr>
        <w:tabs>
          <w:tab w:val="left" w:pos="5145"/>
        </w:tabs>
        <w:spacing w:line="800" w:lineRule="atLeast"/>
        <w:jc w:val="center"/>
        <w:rPr>
          <w:rFonts w:hint="eastAsia" w:ascii="宋体" w:hAnsi="宋体" w:cs="宋体"/>
          <w:b/>
          <w:bCs/>
          <w:color w:val="000000"/>
          <w:sz w:val="44"/>
          <w:szCs w:val="44"/>
          <w:highlight w:val="none"/>
          <w:lang w:val="en-US" w:eastAsia="zh-CN"/>
        </w:rPr>
      </w:pPr>
      <w:r>
        <w:rPr>
          <w:rFonts w:hint="eastAsia" w:ascii="宋体" w:hAnsi="宋体" w:cs="宋体"/>
          <w:b/>
          <w:bCs/>
          <w:color w:val="000000"/>
          <w:sz w:val="44"/>
          <w:szCs w:val="44"/>
          <w:highlight w:val="none"/>
          <w:lang w:val="en-US" w:eastAsia="zh-CN"/>
        </w:rPr>
        <w:t>富平县第二人民医院信息化升级改造项目</w:t>
      </w:r>
    </w:p>
    <w:p w14:paraId="77731E95">
      <w:pPr>
        <w:tabs>
          <w:tab w:val="left" w:pos="5145"/>
        </w:tabs>
        <w:spacing w:line="800" w:lineRule="atLeast"/>
        <w:jc w:val="center"/>
        <w:rPr>
          <w:rFonts w:ascii="宋体" w:hAnsi="宋体" w:cs="宋体"/>
          <w:b/>
          <w:bCs/>
          <w:color w:val="000000" w:themeColor="text1"/>
          <w:sz w:val="48"/>
          <w:szCs w:val="40"/>
          <w:highlight w:val="none"/>
          <w14:textFill>
            <w14:solidFill>
              <w14:schemeClr w14:val="tx1"/>
            </w14:solidFill>
          </w14:textFill>
        </w:rPr>
      </w:pPr>
    </w:p>
    <w:p w14:paraId="02F03ECC">
      <w:pPr>
        <w:tabs>
          <w:tab w:val="left" w:pos="5145"/>
        </w:tabs>
        <w:spacing w:line="1400" w:lineRule="atLeast"/>
        <w:jc w:val="center"/>
        <w:rPr>
          <w:rFonts w:ascii="宋体" w:hAnsi="宋体" w:cs="宋体"/>
          <w:b/>
          <w:bCs/>
          <w:color w:val="000000" w:themeColor="text1"/>
          <w:sz w:val="64"/>
          <w:szCs w:val="56"/>
          <w:highlight w:val="none"/>
          <w14:textFill>
            <w14:solidFill>
              <w14:schemeClr w14:val="tx1"/>
            </w14:solidFill>
          </w14:textFill>
        </w:rPr>
      </w:pPr>
    </w:p>
    <w:p w14:paraId="752B99FB">
      <w:pPr>
        <w:pStyle w:val="11"/>
        <w:rPr>
          <w:color w:val="000000" w:themeColor="text1"/>
          <w:highlight w:val="none"/>
          <w14:textFill>
            <w14:solidFill>
              <w14:schemeClr w14:val="tx1"/>
            </w14:solidFill>
          </w14:textFill>
        </w:rPr>
      </w:pPr>
    </w:p>
    <w:p w14:paraId="63D76C5C">
      <w:pPr>
        <w:tabs>
          <w:tab w:val="left" w:pos="5145"/>
        </w:tabs>
        <w:spacing w:line="1400" w:lineRule="atLeast"/>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64"/>
          <w:szCs w:val="56"/>
          <w:highlight w:val="none"/>
          <w14:textFill>
            <w14:solidFill>
              <w14:schemeClr w14:val="tx1"/>
            </w14:solidFill>
          </w14:textFill>
        </w:rPr>
        <w:t>竞争性磋商采购文件</w:t>
      </w:r>
    </w:p>
    <w:p w14:paraId="33C389D9">
      <w:pPr>
        <w:tabs>
          <w:tab w:val="left" w:pos="5145"/>
        </w:tabs>
        <w:jc w:val="center"/>
        <w:rPr>
          <w:rFonts w:ascii="宋体" w:hAnsi="宋体" w:cs="宋体"/>
          <w:color w:val="000000" w:themeColor="text1"/>
          <w:sz w:val="24"/>
          <w:highlight w:val="none"/>
          <w14:textFill>
            <w14:solidFill>
              <w14:schemeClr w14:val="tx1"/>
            </w14:solidFill>
          </w14:textFill>
        </w:rPr>
      </w:pPr>
    </w:p>
    <w:p w14:paraId="2708807A">
      <w:pPr>
        <w:tabs>
          <w:tab w:val="left" w:pos="5145"/>
        </w:tabs>
        <w:jc w:val="center"/>
        <w:rPr>
          <w:rFonts w:ascii="宋体" w:hAnsi="宋体" w:cs="宋体"/>
          <w:b/>
          <w:bCs/>
          <w:color w:val="000000" w:themeColor="text1"/>
          <w:sz w:val="28"/>
          <w:szCs w:val="28"/>
          <w:highlight w:val="none"/>
          <w14:textFill>
            <w14:solidFill>
              <w14:schemeClr w14:val="tx1"/>
            </w14:solidFill>
          </w14:textFill>
        </w:rPr>
      </w:pPr>
    </w:p>
    <w:p w14:paraId="04A73035">
      <w:pPr>
        <w:tabs>
          <w:tab w:val="left" w:pos="5145"/>
        </w:tabs>
        <w:spacing w:line="1400" w:lineRule="atLeast"/>
        <w:jc w:val="center"/>
        <w:rPr>
          <w:rFonts w:ascii="宋体" w:hAnsi="宋体" w:cs="宋体"/>
          <w:color w:val="000000" w:themeColor="text1"/>
          <w:highlight w:val="none"/>
          <w14:textFill>
            <w14:solidFill>
              <w14:schemeClr w14:val="tx1"/>
            </w14:solidFill>
          </w14:textFill>
        </w:rPr>
      </w:pPr>
    </w:p>
    <w:p w14:paraId="77B78C4C">
      <w:pPr>
        <w:snapToGrid w:val="0"/>
        <w:spacing w:line="660" w:lineRule="exact"/>
        <w:rPr>
          <w:rFonts w:ascii="宋体" w:hAnsi="宋体" w:cs="宋体"/>
          <w:b/>
          <w:color w:val="000000" w:themeColor="text1"/>
          <w:sz w:val="32"/>
          <w:highlight w:val="none"/>
          <w14:textFill>
            <w14:solidFill>
              <w14:schemeClr w14:val="tx1"/>
            </w14:solidFill>
          </w14:textFill>
        </w:rPr>
      </w:pPr>
    </w:p>
    <w:p w14:paraId="1BE2B76B">
      <w:pPr>
        <w:pStyle w:val="11"/>
        <w:rPr>
          <w:rFonts w:ascii="宋体" w:hAnsi="宋体" w:cs="宋体"/>
          <w:b/>
          <w:color w:val="000000" w:themeColor="text1"/>
          <w:sz w:val="32"/>
          <w:highlight w:val="none"/>
          <w14:textFill>
            <w14:solidFill>
              <w14:schemeClr w14:val="tx1"/>
            </w14:solidFill>
          </w14:textFill>
        </w:rPr>
      </w:pPr>
    </w:p>
    <w:p w14:paraId="67FB8433">
      <w:pPr>
        <w:snapToGrid w:val="0"/>
        <w:spacing w:line="800" w:lineRule="exact"/>
        <w:ind w:firstLine="1706" w:firstLineChars="531"/>
        <w:rPr>
          <w:rFonts w:ascii="宋体" w:hAnsi="宋体" w:cs="宋体"/>
          <w:b/>
          <w:color w:val="000000" w:themeColor="text1"/>
          <w:sz w:val="32"/>
          <w:highlight w:val="none"/>
          <w14:textFill>
            <w14:solidFill>
              <w14:schemeClr w14:val="tx1"/>
            </w14:solidFill>
          </w14:textFill>
        </w:rPr>
      </w:pPr>
    </w:p>
    <w:p w14:paraId="0FC8189A">
      <w:pPr>
        <w:snapToGrid w:val="0"/>
        <w:spacing w:line="800" w:lineRule="exact"/>
        <w:ind w:firstLine="1706" w:firstLineChars="531"/>
        <w:rPr>
          <w:rFonts w:hint="eastAsia" w:ascii="宋体" w:hAnsi="宋体" w:eastAsia="宋体" w:cs="宋体"/>
          <w:b/>
          <w:color w:val="000000" w:themeColor="text1"/>
          <w:sz w:val="32"/>
          <w:highlight w:val="none"/>
          <w:lang w:eastAsia="zh-CN"/>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采   购   人：</w:t>
      </w:r>
      <w:r>
        <w:rPr>
          <w:rFonts w:hint="eastAsia" w:ascii="宋体" w:hAnsi="宋体" w:cs="宋体"/>
          <w:b/>
          <w:color w:val="000000" w:themeColor="text1"/>
          <w:sz w:val="32"/>
          <w:highlight w:val="none"/>
          <w:lang w:val="en-US" w:eastAsia="zh-CN"/>
          <w14:textFill>
            <w14:solidFill>
              <w14:schemeClr w14:val="tx1"/>
            </w14:solidFill>
          </w14:textFill>
        </w:rPr>
        <w:t>富平县第二人民医院</w:t>
      </w:r>
    </w:p>
    <w:p w14:paraId="2DB877D8">
      <w:pPr>
        <w:snapToGrid w:val="0"/>
        <w:spacing w:line="800" w:lineRule="exact"/>
        <w:ind w:firstLine="1706" w:firstLineChars="531"/>
        <w:rPr>
          <w:rFonts w:hint="eastAsia" w:ascii="宋体" w:hAnsi="宋体" w:eastAsia="宋体" w:cs="宋体"/>
          <w:b/>
          <w:color w:val="000000" w:themeColor="text1"/>
          <w:sz w:val="32"/>
          <w:highlight w:val="none"/>
          <w:lang w:eastAsia="zh-CN"/>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采购代理机构：</w:t>
      </w:r>
      <w:r>
        <w:rPr>
          <w:rFonts w:hint="eastAsia" w:ascii="宋体" w:hAnsi="宋体" w:cs="宋体"/>
          <w:b/>
          <w:color w:val="000000" w:themeColor="text1"/>
          <w:sz w:val="32"/>
          <w:highlight w:val="none"/>
          <w:lang w:eastAsia="zh-CN"/>
          <w14:textFill>
            <w14:solidFill>
              <w14:schemeClr w14:val="tx1"/>
            </w14:solidFill>
          </w14:textFill>
        </w:rPr>
        <w:t>中智投工程管理有限公司</w:t>
      </w:r>
    </w:p>
    <w:p w14:paraId="5A3436CD">
      <w:pPr>
        <w:snapToGrid w:val="0"/>
        <w:spacing w:line="800" w:lineRule="exact"/>
        <w:ind w:firstLine="1706" w:firstLineChars="53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日        期：二〇二</w:t>
      </w:r>
      <w:r>
        <w:rPr>
          <w:rFonts w:hint="eastAsia" w:ascii="宋体" w:hAnsi="宋体" w:cs="宋体"/>
          <w:b/>
          <w:color w:val="000000" w:themeColor="text1"/>
          <w:sz w:val="32"/>
          <w:highlight w:val="none"/>
          <w:lang w:val="en-US" w:eastAsia="zh-CN"/>
          <w14:textFill>
            <w14:solidFill>
              <w14:schemeClr w14:val="tx1"/>
            </w14:solidFill>
          </w14:textFill>
        </w:rPr>
        <w:t>五</w:t>
      </w:r>
      <w:r>
        <w:rPr>
          <w:rFonts w:hint="eastAsia" w:ascii="宋体" w:hAnsi="宋体" w:cs="宋体"/>
          <w:b/>
          <w:color w:val="000000" w:themeColor="text1"/>
          <w:sz w:val="32"/>
          <w:highlight w:val="none"/>
          <w14:textFill>
            <w14:solidFill>
              <w14:schemeClr w14:val="tx1"/>
            </w14:solidFill>
          </w14:textFill>
        </w:rPr>
        <w:t>年</w:t>
      </w:r>
      <w:r>
        <w:rPr>
          <w:rFonts w:hint="eastAsia" w:ascii="宋体" w:hAnsi="宋体" w:cs="宋体"/>
          <w:b/>
          <w:color w:val="000000" w:themeColor="text1"/>
          <w:sz w:val="32"/>
          <w:highlight w:val="none"/>
          <w:lang w:val="en-US" w:eastAsia="zh-CN"/>
          <w14:textFill>
            <w14:solidFill>
              <w14:schemeClr w14:val="tx1"/>
            </w14:solidFill>
          </w14:textFill>
        </w:rPr>
        <w:t>三</w:t>
      </w:r>
      <w:r>
        <w:rPr>
          <w:rFonts w:hint="eastAsia" w:ascii="宋体" w:hAnsi="宋体" w:cs="宋体"/>
          <w:b/>
          <w:color w:val="000000" w:themeColor="text1"/>
          <w:sz w:val="32"/>
          <w:highlight w:val="none"/>
          <w14:textFill>
            <w14:solidFill>
              <w14:schemeClr w14:val="tx1"/>
            </w14:solidFill>
          </w14:textFill>
        </w:rPr>
        <w:t>月</w:t>
      </w:r>
    </w:p>
    <w:p w14:paraId="5CD6D39F">
      <w:pPr>
        <w:jc w:val="center"/>
        <w:rPr>
          <w:rFonts w:ascii="宋体" w:hAnsi="宋体" w:cs="宋体"/>
          <w:b/>
          <w:color w:val="000000" w:themeColor="text1"/>
          <w:sz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63444152">
      <w:pPr>
        <w:jc w:val="center"/>
        <w:rPr>
          <w:rFonts w:ascii="宋体" w:hAnsi="宋体" w:cs="宋体"/>
          <w:b/>
          <w:color w:val="000000" w:themeColor="text1"/>
          <w:sz w:val="36"/>
          <w:szCs w:val="36"/>
          <w:highlight w:val="none"/>
          <w14:textFill>
            <w14:solidFill>
              <w14:schemeClr w14:val="tx1"/>
            </w14:solidFill>
          </w14:textFill>
        </w:rPr>
        <w:sectPr>
          <w:headerReference r:id="rId6" w:type="first"/>
          <w:headerReference r:id="rId5" w:type="default"/>
          <w:footerReference r:id="rId7" w:type="default"/>
          <w:pgSz w:w="11906" w:h="16838"/>
          <w:pgMar w:top="1134" w:right="1417" w:bottom="1134" w:left="1417" w:header="851" w:footer="992" w:gutter="0"/>
          <w:pgBorders>
            <w:top w:val="none" w:sz="0" w:space="0"/>
            <w:left w:val="none" w:sz="0" w:space="0"/>
            <w:bottom w:val="none" w:sz="0" w:space="0"/>
            <w:right w:val="none" w:sz="0" w:space="0"/>
          </w:pgBorders>
          <w:pgNumType w:start="0"/>
          <w:cols w:space="720" w:num="1"/>
          <w:titlePg/>
          <w:docGrid w:linePitch="326" w:charSpace="0"/>
        </w:sectPr>
      </w:pPr>
      <w:bookmarkStart w:id="0" w:name="_Toc328739375"/>
    </w:p>
    <w:p w14:paraId="03BA9065">
      <w:pPr>
        <w:pStyle w:val="8"/>
        <w:jc w:val="right"/>
        <w:rPr>
          <w:highlight w:val="none"/>
        </w:rPr>
      </w:pPr>
      <w:r>
        <w:rPr>
          <w:rFonts w:hint="eastAsia" w:ascii="宋体" w:hAnsi="宋体" w:cs="宋体"/>
          <w:b/>
          <w:color w:val="000000"/>
          <w:sz w:val="36"/>
          <w:szCs w:val="36"/>
          <w:highlight w:val="none"/>
          <w:bdr w:val="single" w:color="auto" w:sz="4" w:space="0"/>
          <w:shd w:val="pct10" w:color="auto" w:fill="FFFFFF"/>
        </w:rPr>
        <w:t>政府采购项目</w:t>
      </w:r>
    </w:p>
    <w:p w14:paraId="6E15F4FF">
      <w:pPr>
        <w:spacing w:line="560" w:lineRule="exact"/>
        <w:jc w:val="left"/>
        <w:rPr>
          <w:rFonts w:ascii="宋体" w:hAnsi="宋体" w:cs="宋体"/>
          <w:b/>
          <w:sz w:val="28"/>
          <w:szCs w:val="28"/>
          <w:highlight w:val="none"/>
        </w:rPr>
      </w:pPr>
    </w:p>
    <w:p w14:paraId="0EDABA00">
      <w:pPr>
        <w:spacing w:line="560" w:lineRule="exact"/>
        <w:jc w:val="left"/>
        <w:rPr>
          <w:rFonts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宋体"/>
          <w:b/>
          <w:sz w:val="28"/>
          <w:szCs w:val="28"/>
          <w:highlight w:val="none"/>
          <w:lang w:eastAsia="zh-CN"/>
        </w:rPr>
        <w:t>ZZT2025-ZFCG-0224</w:t>
      </w:r>
      <w:r>
        <w:rPr>
          <w:rFonts w:hint="eastAsia" w:ascii="宋体" w:hAnsi="宋体" w:cs="宋体"/>
          <w:b/>
          <w:sz w:val="28"/>
          <w:szCs w:val="28"/>
          <w:highlight w:val="none"/>
        </w:rPr>
        <w:t xml:space="preserve">  </w:t>
      </w:r>
      <w:r>
        <w:rPr>
          <w:rFonts w:hint="eastAsia" w:ascii="宋体" w:hAnsi="宋体" w:cs="宋体"/>
          <w:b/>
          <w:sz w:val="28"/>
          <w:szCs w:val="28"/>
          <w:highlight w:val="none"/>
        </w:rPr>
        <w:t xml:space="preserve">                 </w:t>
      </w:r>
    </w:p>
    <w:p w14:paraId="291370A1">
      <w:pPr>
        <w:pStyle w:val="18"/>
        <w:spacing w:before="0" w:beforeAutospacing="0" w:after="0" w:afterAutospacing="0" w:line="480" w:lineRule="auto"/>
        <w:rPr>
          <w:b/>
          <w:kern w:val="2"/>
          <w:sz w:val="44"/>
          <w:szCs w:val="52"/>
          <w:highlight w:val="none"/>
        </w:rPr>
      </w:pPr>
    </w:p>
    <w:p w14:paraId="2DC04D71">
      <w:pPr>
        <w:pStyle w:val="18"/>
        <w:spacing w:before="0" w:beforeAutospacing="0" w:after="0" w:afterAutospacing="0" w:line="480" w:lineRule="auto"/>
        <w:rPr>
          <w:b/>
          <w:kern w:val="2"/>
          <w:sz w:val="44"/>
          <w:szCs w:val="52"/>
          <w:highlight w:val="none"/>
        </w:rPr>
      </w:pPr>
    </w:p>
    <w:p w14:paraId="29C462F5">
      <w:pPr>
        <w:pStyle w:val="18"/>
        <w:spacing w:before="0" w:beforeAutospacing="0" w:after="0" w:afterAutospacing="0" w:line="480" w:lineRule="auto"/>
        <w:jc w:val="both"/>
        <w:rPr>
          <w:b/>
          <w:kern w:val="2"/>
          <w:sz w:val="52"/>
          <w:szCs w:val="52"/>
          <w:highlight w:val="none"/>
        </w:rPr>
      </w:pPr>
      <w:r>
        <w:rPr>
          <w:rFonts w:hint="eastAsia"/>
          <w:b/>
          <w:kern w:val="2"/>
          <w:sz w:val="52"/>
          <w:szCs w:val="52"/>
          <w:highlight w:val="none"/>
        </w:rPr>
        <w:t xml:space="preserve"> </w:t>
      </w:r>
    </w:p>
    <w:p w14:paraId="1E0BB7DE">
      <w:pPr>
        <w:tabs>
          <w:tab w:val="left" w:pos="5145"/>
        </w:tabs>
        <w:spacing w:line="800" w:lineRule="atLeast"/>
        <w:jc w:val="center"/>
        <w:rPr>
          <w:rFonts w:hint="eastAsia" w:ascii="宋体" w:hAnsi="宋体" w:cs="宋体"/>
          <w:b/>
          <w:bCs/>
          <w:color w:val="000000"/>
          <w:sz w:val="44"/>
          <w:szCs w:val="44"/>
          <w:highlight w:val="none"/>
          <w:lang w:val="en-US" w:eastAsia="zh-CN"/>
        </w:rPr>
      </w:pPr>
      <w:r>
        <w:rPr>
          <w:rFonts w:hint="eastAsia" w:ascii="宋体" w:hAnsi="宋体" w:cs="宋体"/>
          <w:b/>
          <w:bCs/>
          <w:color w:val="000000"/>
          <w:sz w:val="44"/>
          <w:szCs w:val="44"/>
          <w:highlight w:val="none"/>
          <w:lang w:val="en-US" w:eastAsia="zh-CN"/>
        </w:rPr>
        <w:t>富平县第二人民医院信息化升级改造项目</w:t>
      </w:r>
    </w:p>
    <w:p w14:paraId="600D84EC">
      <w:pPr>
        <w:spacing w:line="100" w:lineRule="atLeast"/>
        <w:jc w:val="center"/>
        <w:rPr>
          <w:rFonts w:ascii="宋体" w:hAnsi="宋体" w:cs="宋体"/>
          <w:b/>
          <w:sz w:val="72"/>
          <w:szCs w:val="72"/>
          <w:highlight w:val="none"/>
        </w:rPr>
      </w:pPr>
      <w:r>
        <w:rPr>
          <w:rFonts w:hint="eastAsia" w:ascii="宋体" w:hAnsi="宋体" w:cs="宋体"/>
          <w:b/>
          <w:sz w:val="72"/>
          <w:szCs w:val="72"/>
          <w:highlight w:val="none"/>
        </w:rPr>
        <w:t xml:space="preserve">  </w:t>
      </w:r>
    </w:p>
    <w:p w14:paraId="2E907F17">
      <w:pPr>
        <w:spacing w:line="100" w:lineRule="atLeast"/>
        <w:jc w:val="center"/>
        <w:rPr>
          <w:rFonts w:ascii="宋体" w:hAnsi="宋体" w:cs="宋体"/>
          <w:b/>
          <w:bCs/>
          <w:sz w:val="36"/>
          <w:szCs w:val="36"/>
          <w:highlight w:val="none"/>
          <w:lang w:val="zh-CN"/>
        </w:rPr>
      </w:pPr>
    </w:p>
    <w:p w14:paraId="7DC7E962">
      <w:pPr>
        <w:spacing w:line="100" w:lineRule="atLeast"/>
        <w:jc w:val="center"/>
        <w:rPr>
          <w:rFonts w:ascii="宋体" w:hAnsi="宋体" w:cs="宋体"/>
          <w:b/>
          <w:bCs/>
          <w:sz w:val="36"/>
          <w:szCs w:val="36"/>
          <w:highlight w:val="none"/>
          <w:lang w:val="zh-CN"/>
        </w:rPr>
      </w:pPr>
    </w:p>
    <w:p w14:paraId="70281B5C">
      <w:pPr>
        <w:jc w:val="center"/>
        <w:rPr>
          <w:rFonts w:ascii="宋体" w:hAnsi="宋体" w:cs="宋体"/>
          <w:b/>
          <w:bCs/>
          <w:sz w:val="15"/>
          <w:szCs w:val="15"/>
          <w:highlight w:val="none"/>
        </w:rPr>
      </w:pPr>
      <w:r>
        <w:rPr>
          <w:rFonts w:hint="eastAsia" w:ascii="宋体" w:hAnsi="宋体" w:cs="宋体"/>
          <w:b/>
          <w:bCs/>
          <w:sz w:val="56"/>
          <w:szCs w:val="56"/>
          <w:highlight w:val="none"/>
        </w:rPr>
        <w:t>竞争性磋商采购文件</w:t>
      </w:r>
    </w:p>
    <w:p w14:paraId="405059FE">
      <w:pPr>
        <w:rPr>
          <w:rFonts w:ascii="宋体" w:hAnsi="宋体" w:cs="宋体"/>
          <w:b/>
          <w:bCs/>
          <w:sz w:val="15"/>
          <w:szCs w:val="15"/>
          <w:highlight w:val="none"/>
        </w:rPr>
      </w:pPr>
    </w:p>
    <w:p w14:paraId="45E4F3B2">
      <w:pPr>
        <w:rPr>
          <w:rFonts w:ascii="宋体" w:hAnsi="宋体" w:cs="宋体"/>
          <w:b/>
          <w:bCs/>
          <w:sz w:val="15"/>
          <w:szCs w:val="15"/>
          <w:highlight w:val="none"/>
        </w:rPr>
      </w:pPr>
    </w:p>
    <w:p w14:paraId="6F083BDF">
      <w:pPr>
        <w:rPr>
          <w:rFonts w:ascii="宋体" w:hAnsi="宋体" w:cs="宋体"/>
          <w:b/>
          <w:bCs/>
          <w:sz w:val="15"/>
          <w:szCs w:val="15"/>
          <w:highlight w:val="none"/>
        </w:rPr>
      </w:pPr>
    </w:p>
    <w:p w14:paraId="16C0761C">
      <w:pPr>
        <w:rPr>
          <w:rFonts w:ascii="宋体" w:hAnsi="宋体" w:cs="宋体"/>
          <w:b/>
          <w:bCs/>
          <w:sz w:val="15"/>
          <w:szCs w:val="15"/>
          <w:highlight w:val="none"/>
        </w:rPr>
      </w:pPr>
    </w:p>
    <w:p w14:paraId="26052BCD">
      <w:pPr>
        <w:pStyle w:val="8"/>
        <w:rPr>
          <w:highlight w:val="none"/>
        </w:rPr>
      </w:pPr>
    </w:p>
    <w:p w14:paraId="71816C96">
      <w:pPr>
        <w:rPr>
          <w:rFonts w:ascii="宋体" w:hAnsi="宋体" w:cs="宋体"/>
          <w:b/>
          <w:bCs/>
          <w:sz w:val="15"/>
          <w:szCs w:val="15"/>
          <w:highlight w:val="none"/>
        </w:rPr>
      </w:pPr>
    </w:p>
    <w:p w14:paraId="2A9EA95C">
      <w:pPr>
        <w:spacing w:line="800" w:lineRule="exact"/>
        <w:rPr>
          <w:rFonts w:hint="eastAsia" w:ascii="宋体" w:hAnsi="宋体" w:eastAsia="宋体" w:cs="宋体"/>
          <w:b/>
          <w:sz w:val="36"/>
          <w:szCs w:val="32"/>
          <w:highlight w:val="none"/>
          <w:lang w:eastAsia="zh-CN"/>
        </w:rPr>
      </w:pPr>
      <w:r>
        <w:rPr>
          <w:rFonts w:hint="eastAsia" w:ascii="宋体" w:hAnsi="宋体" w:cs="宋体"/>
          <w:b/>
          <w:sz w:val="32"/>
          <w:szCs w:val="32"/>
          <w:highlight w:val="none"/>
        </w:rPr>
        <w:t xml:space="preserve">      采    购  人 ：</w:t>
      </w:r>
      <w:r>
        <w:rPr>
          <w:rFonts w:hint="eastAsia" w:ascii="宋体" w:hAnsi="宋体" w:cs="宋体"/>
          <w:b/>
          <w:sz w:val="32"/>
          <w:szCs w:val="32"/>
          <w:highlight w:val="none"/>
          <w:lang w:val="en-US" w:eastAsia="zh-CN"/>
        </w:rPr>
        <w:t>富平县第二人民医院</w:t>
      </w:r>
    </w:p>
    <w:p w14:paraId="11F927A6">
      <w:pPr>
        <w:spacing w:line="800" w:lineRule="exact"/>
        <w:ind w:firstLine="964" w:firstLineChars="300"/>
        <w:rPr>
          <w:rFonts w:ascii="宋体" w:hAnsi="宋体" w:cs="宋体"/>
          <w:b/>
          <w:sz w:val="32"/>
          <w:szCs w:val="32"/>
          <w:highlight w:val="none"/>
        </w:rPr>
      </w:pPr>
    </w:p>
    <w:p w14:paraId="14DADA15">
      <w:pPr>
        <w:spacing w:line="800" w:lineRule="exact"/>
        <w:ind w:firstLine="964" w:firstLineChars="300"/>
        <w:rPr>
          <w:rFonts w:hint="eastAsia" w:ascii="宋体" w:hAnsi="宋体" w:eastAsia="宋体" w:cs="宋体"/>
          <w:color w:val="000000"/>
          <w:kern w:val="0"/>
          <w:sz w:val="18"/>
          <w:szCs w:val="18"/>
          <w:highlight w:val="none"/>
          <w:lang w:eastAsia="zh-CN"/>
        </w:rPr>
      </w:pPr>
      <w:r>
        <w:rPr>
          <w:rFonts w:hint="eastAsia" w:ascii="宋体" w:hAnsi="宋体" w:cs="宋体"/>
          <w:b/>
          <w:sz w:val="32"/>
          <w:szCs w:val="32"/>
          <w:highlight w:val="none"/>
        </w:rPr>
        <w:t>采购代理机构：</w:t>
      </w:r>
      <w:r>
        <w:rPr>
          <w:rFonts w:hint="eastAsia" w:ascii="宋体" w:hAnsi="宋体" w:cs="宋体"/>
          <w:b/>
          <w:sz w:val="32"/>
          <w:szCs w:val="32"/>
          <w:highlight w:val="none"/>
          <w:lang w:eastAsia="zh-CN"/>
        </w:rPr>
        <w:t>中智投工程管理有限公司</w:t>
      </w:r>
    </w:p>
    <w:p w14:paraId="1C1036EF">
      <w:pPr>
        <w:spacing w:line="800" w:lineRule="exact"/>
        <w:ind w:firstLine="964" w:firstLineChars="300"/>
        <w:rPr>
          <w:rFonts w:ascii="宋体" w:hAnsi="宋体" w:cs="宋体"/>
          <w:b/>
          <w:sz w:val="32"/>
          <w:szCs w:val="32"/>
          <w:highlight w:val="none"/>
        </w:rPr>
      </w:pPr>
    </w:p>
    <w:p w14:paraId="7A31F88B">
      <w:pPr>
        <w:spacing w:line="800" w:lineRule="exact"/>
        <w:ind w:firstLine="964" w:firstLineChars="300"/>
        <w:rPr>
          <w:rFonts w:ascii="宋体" w:hAnsi="宋体" w:cs="宋体"/>
          <w:b/>
          <w:sz w:val="32"/>
          <w:szCs w:val="32"/>
          <w:highlight w:val="none"/>
        </w:rPr>
        <w:sectPr>
          <w:pgSz w:w="11906" w:h="16838"/>
          <w:pgMar w:top="1134" w:right="1701" w:bottom="1134" w:left="1701" w:header="851" w:footer="992" w:gutter="0"/>
          <w:pgBorders>
            <w:top w:val="none" w:sz="0" w:space="0"/>
            <w:left w:val="none" w:sz="0" w:space="0"/>
            <w:bottom w:val="none" w:sz="0" w:space="0"/>
            <w:right w:val="none" w:sz="0" w:space="0"/>
          </w:pgBorders>
          <w:pgNumType w:start="1"/>
          <w:cols w:space="720" w:num="1"/>
          <w:docGrid w:type="lines" w:linePitch="314" w:charSpace="0"/>
        </w:sectPr>
      </w:pPr>
      <w:r>
        <w:rPr>
          <w:rFonts w:hint="eastAsia" w:ascii="宋体" w:hAnsi="宋体" w:cs="宋体"/>
          <w:b/>
          <w:sz w:val="32"/>
          <w:szCs w:val="32"/>
          <w:highlight w:val="none"/>
        </w:rPr>
        <w:t>日        期：二○二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三</w:t>
      </w:r>
      <w:r>
        <w:rPr>
          <w:rFonts w:hint="eastAsia" w:ascii="宋体" w:hAnsi="宋体" w:cs="宋体"/>
          <w:b/>
          <w:sz w:val="32"/>
          <w:szCs w:val="32"/>
          <w:highlight w:val="none"/>
        </w:rPr>
        <w:t>月</w:t>
      </w:r>
    </w:p>
    <w:p w14:paraId="477D3646">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目  录</w:t>
      </w:r>
      <w:bookmarkEnd w:id="0"/>
    </w:p>
    <w:p w14:paraId="7DE45984">
      <w:pPr>
        <w:ind w:firstLine="420"/>
        <w:rPr>
          <w:rFonts w:ascii="宋体" w:hAnsi="宋体" w:cs="宋体"/>
          <w:color w:val="000000" w:themeColor="text1"/>
          <w:sz w:val="32"/>
          <w:szCs w:val="32"/>
          <w:highlight w:val="none"/>
          <w14:textFill>
            <w14:solidFill>
              <w14:schemeClr w14:val="tx1"/>
            </w14:solidFill>
          </w14:textFill>
        </w:rPr>
      </w:pPr>
    </w:p>
    <w:p w14:paraId="72E6F572">
      <w:pPr>
        <w:pStyle w:val="13"/>
        <w:tabs>
          <w:tab w:val="right" w:leader="dot" w:pos="9072"/>
          <w:tab w:val="clear" w:pos="8760"/>
        </w:tabs>
        <w:rPr>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fldChar w:fldCharType="begin"/>
      </w:r>
      <w:r>
        <w:rPr>
          <w:rFonts w:hint="eastAsia" w:ascii="宋体" w:hAnsi="宋体" w:cs="宋体"/>
          <w:b/>
          <w:bCs/>
          <w:color w:val="000000" w:themeColor="text1"/>
          <w:sz w:val="44"/>
          <w:szCs w:val="44"/>
          <w:highlight w:val="none"/>
          <w14:textFill>
            <w14:solidFill>
              <w14:schemeClr w14:val="tx1"/>
            </w14:solidFill>
          </w14:textFill>
        </w:rPr>
        <w:instrText xml:space="preserve"> TOC \o "1-1" \h \z \u </w:instrText>
      </w:r>
      <w:r>
        <w:rPr>
          <w:rFonts w:hint="eastAsia" w:ascii="宋体" w:hAnsi="宋体" w:cs="宋体"/>
          <w:b/>
          <w:bCs/>
          <w:color w:val="000000" w:themeColor="text1"/>
          <w:sz w:val="44"/>
          <w:szCs w:val="44"/>
          <w:highlight w:val="none"/>
          <w14:textFill>
            <w14:solidFill>
              <w14:schemeClr w14:val="tx1"/>
            </w14:solidFill>
          </w14:textFill>
        </w:rPr>
        <w:fldChar w:fldCharType="separate"/>
      </w:r>
      <w:r>
        <w:rPr>
          <w:highlight w:val="none"/>
        </w:rPr>
        <w:fldChar w:fldCharType="begin"/>
      </w:r>
      <w:r>
        <w:rPr>
          <w:highlight w:val="none"/>
        </w:rPr>
        <w:instrText xml:space="preserve"> HYPERLINK \l "_Toc26180" </w:instrText>
      </w:r>
      <w:r>
        <w:rPr>
          <w:highlight w:val="none"/>
        </w:rPr>
        <w:fldChar w:fldCharType="separate"/>
      </w:r>
      <w:r>
        <w:rPr>
          <w:rFonts w:hint="eastAsia"/>
          <w:color w:val="000000" w:themeColor="text1"/>
          <w:sz w:val="30"/>
          <w:szCs w:val="30"/>
          <w:highlight w:val="none"/>
          <w14:textFill>
            <w14:solidFill>
              <w14:schemeClr w14:val="tx1"/>
            </w14:solidFill>
          </w14:textFill>
        </w:rPr>
        <w:t>第一部分  竞争性磋商公告</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_Toc26180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1</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0E117769">
      <w:pPr>
        <w:pStyle w:val="13"/>
        <w:tabs>
          <w:tab w:val="right" w:leader="dot" w:pos="9072"/>
          <w:tab w:val="clear" w:pos="8760"/>
        </w:tabs>
        <w:rPr>
          <w:color w:val="000000" w:themeColor="text1"/>
          <w:sz w:val="30"/>
          <w:szCs w:val="30"/>
          <w:highlight w:val="none"/>
          <w14:textFill>
            <w14:solidFill>
              <w14:schemeClr w14:val="tx1"/>
            </w14:solidFill>
          </w14:textFill>
        </w:rPr>
      </w:pPr>
      <w:r>
        <w:rPr>
          <w:highlight w:val="none"/>
        </w:rPr>
        <w:fldChar w:fldCharType="begin"/>
      </w:r>
      <w:r>
        <w:rPr>
          <w:highlight w:val="none"/>
        </w:rPr>
        <w:instrText xml:space="preserve"> HYPERLINK \l "_Toc23064" </w:instrText>
      </w:r>
      <w:r>
        <w:rPr>
          <w:highlight w:val="none"/>
        </w:rPr>
        <w:fldChar w:fldCharType="separate"/>
      </w:r>
      <w:r>
        <w:rPr>
          <w:rFonts w:hint="eastAsia"/>
          <w:color w:val="000000" w:themeColor="text1"/>
          <w:sz w:val="30"/>
          <w:szCs w:val="30"/>
          <w:highlight w:val="none"/>
          <w14:textFill>
            <w14:solidFill>
              <w14:schemeClr w14:val="tx1"/>
            </w14:solidFill>
          </w14:textFill>
        </w:rPr>
        <w:t>第二部分  磋商供应商须知</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_Toc23064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4</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35775D73">
      <w:pPr>
        <w:pStyle w:val="13"/>
        <w:tabs>
          <w:tab w:val="right" w:leader="dot" w:pos="9072"/>
          <w:tab w:val="clear" w:pos="8760"/>
        </w:tabs>
        <w:rPr>
          <w:color w:val="000000" w:themeColor="text1"/>
          <w:sz w:val="30"/>
          <w:szCs w:val="30"/>
          <w:highlight w:val="none"/>
          <w14:textFill>
            <w14:solidFill>
              <w14:schemeClr w14:val="tx1"/>
            </w14:solidFill>
          </w14:textFill>
        </w:rPr>
      </w:pPr>
      <w:r>
        <w:rPr>
          <w:highlight w:val="none"/>
        </w:rPr>
        <w:fldChar w:fldCharType="begin"/>
      </w:r>
      <w:r>
        <w:rPr>
          <w:highlight w:val="none"/>
        </w:rPr>
        <w:instrText xml:space="preserve"> HYPERLINK \l "_Toc19123" </w:instrText>
      </w:r>
      <w:r>
        <w:rPr>
          <w:highlight w:val="none"/>
        </w:rPr>
        <w:fldChar w:fldCharType="separate"/>
      </w:r>
      <w:r>
        <w:rPr>
          <w:rFonts w:hint="eastAsia"/>
          <w:color w:val="000000" w:themeColor="text1"/>
          <w:sz w:val="30"/>
          <w:szCs w:val="30"/>
          <w:highlight w:val="none"/>
          <w14:textFill>
            <w14:solidFill>
              <w14:schemeClr w14:val="tx1"/>
            </w14:solidFill>
          </w14:textFill>
        </w:rPr>
        <w:t>第三部分  磋商要求及说明</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_Toc19123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31</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09CED421">
      <w:pPr>
        <w:pStyle w:val="13"/>
        <w:tabs>
          <w:tab w:val="right" w:leader="dot" w:pos="9072"/>
          <w:tab w:val="clear" w:pos="8760"/>
        </w:tabs>
        <w:rPr>
          <w:color w:val="000000" w:themeColor="text1"/>
          <w:sz w:val="30"/>
          <w:szCs w:val="30"/>
          <w:highlight w:val="none"/>
          <w14:textFill>
            <w14:solidFill>
              <w14:schemeClr w14:val="tx1"/>
            </w14:solidFill>
          </w14:textFill>
        </w:rPr>
      </w:pPr>
      <w:r>
        <w:rPr>
          <w:highlight w:val="none"/>
        </w:rPr>
        <w:fldChar w:fldCharType="begin"/>
      </w:r>
      <w:r>
        <w:rPr>
          <w:highlight w:val="none"/>
        </w:rPr>
        <w:instrText xml:space="preserve"> HYPERLINK \l "_Toc25418" </w:instrText>
      </w:r>
      <w:r>
        <w:rPr>
          <w:highlight w:val="none"/>
        </w:rPr>
        <w:fldChar w:fldCharType="separate"/>
      </w:r>
      <w:r>
        <w:rPr>
          <w:rFonts w:hint="eastAsia"/>
          <w:color w:val="000000" w:themeColor="text1"/>
          <w:sz w:val="30"/>
          <w:szCs w:val="30"/>
          <w:highlight w:val="none"/>
          <w14:textFill>
            <w14:solidFill>
              <w14:schemeClr w14:val="tx1"/>
            </w14:solidFill>
          </w14:textFill>
        </w:rPr>
        <w:t>第四部分  商务及合同草案条款</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_Toc25418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40</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2CC81C8D">
      <w:pPr>
        <w:pStyle w:val="13"/>
        <w:tabs>
          <w:tab w:val="right" w:leader="dot" w:pos="9072"/>
          <w:tab w:val="clear" w:pos="8760"/>
        </w:tabs>
        <w:rPr>
          <w:color w:val="000000" w:themeColor="text1"/>
          <w:sz w:val="30"/>
          <w:szCs w:val="30"/>
          <w:highlight w:val="none"/>
          <w14:textFill>
            <w14:solidFill>
              <w14:schemeClr w14:val="tx1"/>
            </w14:solidFill>
          </w14:textFill>
        </w:rPr>
      </w:pPr>
      <w:r>
        <w:rPr>
          <w:highlight w:val="none"/>
        </w:rPr>
        <w:fldChar w:fldCharType="begin"/>
      </w:r>
      <w:r>
        <w:rPr>
          <w:highlight w:val="none"/>
        </w:rPr>
        <w:instrText xml:space="preserve"> HYPERLINK \l "_Toc32660" </w:instrText>
      </w:r>
      <w:r>
        <w:rPr>
          <w:highlight w:val="none"/>
        </w:rPr>
        <w:fldChar w:fldCharType="separate"/>
      </w:r>
      <w:r>
        <w:rPr>
          <w:rFonts w:hint="eastAsia"/>
          <w:color w:val="000000" w:themeColor="text1"/>
          <w:sz w:val="30"/>
          <w:szCs w:val="30"/>
          <w:highlight w:val="none"/>
          <w14:textFill>
            <w14:solidFill>
              <w14:schemeClr w14:val="tx1"/>
            </w14:solidFill>
          </w14:textFill>
        </w:rPr>
        <w:t>第五部分  竞争性磋商响应文件格式</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_Toc32660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47</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407C9910">
      <w:pPr>
        <w:pStyle w:val="13"/>
        <w:tabs>
          <w:tab w:val="right" w:leader="dot" w:pos="9072"/>
          <w:tab w:val="clear" w:pos="8760"/>
        </w:tabs>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"_Toc3448" </w:instrText>
      </w:r>
      <w:r>
        <w:rPr>
          <w:highlight w:val="none"/>
        </w:rPr>
        <w:fldChar w:fldCharType="separate"/>
      </w:r>
      <w:r>
        <w:rPr>
          <w:rFonts w:hint="eastAsia" w:ascii="宋体" w:hAnsi="宋体" w:cs="宋体"/>
          <w:color w:val="000000" w:themeColor="text1"/>
          <w:sz w:val="30"/>
          <w:szCs w:val="30"/>
          <w:highlight w:val="none"/>
          <w14:textFill>
            <w14:solidFill>
              <w14:schemeClr w14:val="tx1"/>
            </w14:solidFill>
          </w14:textFill>
        </w:rPr>
        <w:t>第六部分  封袋正面标识式样</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_Toc3448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66</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3D07985C">
      <w:pPr>
        <w:tabs>
          <w:tab w:val="right" w:leader="middleDot" w:pos="9000"/>
        </w:tabs>
        <w:spacing w:line="700" w:lineRule="exact"/>
        <w:ind w:firstLine="420"/>
        <w:rPr>
          <w:rFonts w:ascii="宋体" w:hAnsi="宋体" w:cs="宋体"/>
          <w:color w:val="000000" w:themeColor="text1"/>
          <w:sz w:val="40"/>
          <w:szCs w:val="40"/>
          <w:highlight w:val="none"/>
          <w14:textFill>
            <w14:solidFill>
              <w14:schemeClr w14:val="tx1"/>
            </w14:solidFill>
          </w14:textFill>
        </w:rPr>
      </w:pPr>
      <w:r>
        <w:rPr>
          <w:rFonts w:hint="eastAsia" w:ascii="宋体" w:hAnsi="宋体" w:cs="宋体"/>
          <w:bCs/>
          <w:color w:val="000000" w:themeColor="text1"/>
          <w:szCs w:val="44"/>
          <w:highlight w:val="none"/>
          <w14:textFill>
            <w14:solidFill>
              <w14:schemeClr w14:val="tx1"/>
            </w14:solidFill>
          </w14:textFill>
        </w:rPr>
        <w:fldChar w:fldCharType="end"/>
      </w:r>
    </w:p>
    <w:p w14:paraId="139FD333">
      <w:pPr>
        <w:tabs>
          <w:tab w:val="left" w:pos="8760"/>
          <w:tab w:val="left" w:pos="8880"/>
        </w:tabs>
        <w:ind w:left="359" w:leftChars="171" w:firstLine="60"/>
        <w:rPr>
          <w:rFonts w:ascii="宋体" w:hAnsi="宋体" w:cs="宋体"/>
          <w:color w:val="000000" w:themeColor="text1"/>
          <w:sz w:val="32"/>
          <w:szCs w:val="32"/>
          <w:highlight w:val="none"/>
          <w14:textFill>
            <w14:solidFill>
              <w14:schemeClr w14:val="tx1"/>
            </w14:solidFill>
          </w14:textFill>
        </w:rPr>
      </w:pPr>
    </w:p>
    <w:p w14:paraId="2E9008D1">
      <w:pPr>
        <w:spacing w:line="480" w:lineRule="auto"/>
        <w:rPr>
          <w:rFonts w:ascii="宋体" w:hAnsi="宋体" w:cs="宋体"/>
          <w:b/>
          <w:color w:val="000000" w:themeColor="text1"/>
          <w:sz w:val="32"/>
          <w:szCs w:val="32"/>
          <w:highlight w:val="none"/>
          <w14:textFill>
            <w14:solidFill>
              <w14:schemeClr w14:val="tx1"/>
            </w14:solidFill>
          </w14:textFill>
        </w:rPr>
        <w:sectPr>
          <w:pgSz w:w="11906" w:h="16838"/>
          <w:pgMar w:top="1134" w:right="1417" w:bottom="1134" w:left="1417" w:header="851" w:footer="992" w:gutter="0"/>
          <w:pgBorders>
            <w:top w:val="none" w:sz="0" w:space="0"/>
            <w:left w:val="none" w:sz="0" w:space="0"/>
            <w:bottom w:val="none" w:sz="0" w:space="0"/>
            <w:right w:val="none" w:sz="0" w:space="0"/>
          </w:pgBorders>
          <w:pgNumType w:start="0"/>
          <w:cols w:space="720" w:num="1"/>
          <w:titlePg/>
          <w:docGrid w:linePitch="326" w:charSpace="0"/>
        </w:sectPr>
      </w:pPr>
    </w:p>
    <w:p w14:paraId="19FF2BB2">
      <w:pPr>
        <w:pStyle w:val="2"/>
        <w:rPr>
          <w:color w:val="000000" w:themeColor="text1"/>
          <w:highlight w:val="none"/>
          <w14:textFill>
            <w14:solidFill>
              <w14:schemeClr w14:val="tx1"/>
            </w14:solidFill>
          </w14:textFill>
        </w:rPr>
      </w:pPr>
      <w:bookmarkStart w:id="1" w:name="_Toc26180"/>
      <w:r>
        <w:rPr>
          <w:rFonts w:hint="eastAsia"/>
          <w:color w:val="000000" w:themeColor="text1"/>
          <w:highlight w:val="none"/>
          <w14:textFill>
            <w14:solidFill>
              <w14:schemeClr w14:val="tx1"/>
            </w14:solidFill>
          </w14:textFill>
        </w:rPr>
        <w:t>第一部分  竞争性磋商公告</w:t>
      </w:r>
      <w:bookmarkEnd w:id="1"/>
    </w:p>
    <w:p w14:paraId="3DC13573">
      <w:pPr>
        <w:spacing w:line="480" w:lineRule="auto"/>
        <w:ind w:firstLine="480" w:firstLineChars="200"/>
        <w:rPr>
          <w:rFonts w:ascii="宋体" w:hAnsi="宋体" w:eastAsia="宋体" w:cs="宋体"/>
          <w:b/>
          <w:bCs/>
          <w:color w:val="auto"/>
          <w:sz w:val="24"/>
          <w:highlight w:val="none"/>
        </w:rPr>
      </w:pPr>
      <w:r>
        <w:rPr>
          <w:rFonts w:hint="eastAsia" w:ascii="宋体" w:hAnsi="宋体" w:eastAsia="宋体" w:cs="宋体"/>
          <w:color w:val="000000"/>
          <w:sz w:val="24"/>
          <w:highlight w:val="none"/>
        </w:rPr>
        <w:t>富平县第二人民医院信息化升级改造项目潜在的供应商可在</w:t>
      </w:r>
      <w:r>
        <w:rPr>
          <w:rFonts w:hint="eastAsia" w:ascii="宋体" w:hAnsi="宋体" w:eastAsia="宋体" w:cs="宋体"/>
          <w:bCs/>
          <w:color w:val="333333"/>
          <w:kern w:val="2"/>
          <w:sz w:val="24"/>
          <w:szCs w:val="24"/>
          <w:highlight w:val="none"/>
          <w:shd w:val="clear" w:color="auto" w:fill="FFFFFF"/>
          <w:lang w:val="en-US" w:eastAsia="zh-CN" w:bidi="ar-SA"/>
        </w:rPr>
        <w:t>陕西省渭南市富平县高新区零工市场东办公4楼</w:t>
      </w:r>
      <w:r>
        <w:rPr>
          <w:rFonts w:hint="eastAsia" w:ascii="宋体" w:hAnsi="宋体" w:eastAsia="宋体" w:cs="宋体"/>
          <w:color w:val="000000"/>
          <w:sz w:val="24"/>
          <w:highlight w:val="none"/>
        </w:rPr>
        <w:t>获取采购文件，</w:t>
      </w:r>
      <w:r>
        <w:rPr>
          <w:rFonts w:hint="eastAsia" w:ascii="宋体" w:hAnsi="宋体" w:eastAsia="宋体" w:cs="宋体"/>
          <w:color w:val="auto"/>
          <w:sz w:val="24"/>
          <w:highlight w:val="none"/>
        </w:rPr>
        <w:t>并于202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02</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时30分00秒前递交响应文件。</w:t>
      </w:r>
      <w:r>
        <w:rPr>
          <w:rFonts w:hint="eastAsia" w:ascii="宋体" w:hAnsi="宋体" w:eastAsia="宋体" w:cs="宋体"/>
          <w:b/>
          <w:bCs/>
          <w:color w:val="auto"/>
          <w:sz w:val="24"/>
          <w:highlight w:val="none"/>
        </w:rPr>
        <w:t xml:space="preserve"> </w:t>
      </w:r>
    </w:p>
    <w:p w14:paraId="190B0F83">
      <w:pPr>
        <w:spacing w:line="480" w:lineRule="auto"/>
        <w:rPr>
          <w:b/>
          <w:bCs/>
          <w:color w:val="000000"/>
          <w:sz w:val="24"/>
          <w:highlight w:val="none"/>
        </w:rPr>
      </w:pPr>
      <w:r>
        <w:rPr>
          <w:rFonts w:hint="eastAsia"/>
          <w:b/>
          <w:bCs/>
          <w:color w:val="000000"/>
          <w:sz w:val="24"/>
          <w:highlight w:val="none"/>
        </w:rPr>
        <w:t>一、项目基本情况：</w:t>
      </w:r>
    </w:p>
    <w:p w14:paraId="37F728C8">
      <w:pPr>
        <w:spacing w:line="48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1、项目编号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ZZT2025-ZFCG-0224</w:t>
      </w:r>
    </w:p>
    <w:p w14:paraId="02C5118E">
      <w:pPr>
        <w:pStyle w:val="18"/>
        <w:widowControl/>
        <w:spacing w:before="150" w:beforeAutospacing="0" w:after="0" w:afterAutospacing="0" w:line="480" w:lineRule="auto"/>
        <w:ind w:left="2159" w:leftChars="228" w:hanging="1680" w:hangingChars="700"/>
        <w:textAlignment w:val="baseline"/>
        <w:rPr>
          <w:rFonts w:hint="eastAsia" w:ascii="宋体" w:hAnsi="宋体" w:eastAsia="宋体" w:cs="宋体"/>
          <w:color w:val="333333"/>
          <w:highlight w:val="none"/>
          <w:shd w:val="clear" w:color="auto" w:fill="FFFFFF"/>
          <w:lang w:val="zh-CN"/>
        </w:rPr>
      </w:pPr>
      <w:r>
        <w:rPr>
          <w:rFonts w:hint="eastAsia" w:ascii="宋体" w:hAnsi="宋体" w:eastAsia="宋体" w:cs="宋体"/>
          <w:color w:val="000000"/>
          <w:sz w:val="24"/>
          <w:highlight w:val="none"/>
        </w:rPr>
        <w:t>2、项目名称：富平县第二人民医院信息化升级改造项目</w:t>
      </w:r>
    </w:p>
    <w:p w14:paraId="5FF1B4FC">
      <w:pPr>
        <w:spacing w:line="48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3、预算金额：</w:t>
      </w:r>
      <w:r>
        <w:rPr>
          <w:rFonts w:hint="eastAsia" w:ascii="宋体" w:hAnsi="宋体" w:eastAsia="宋体" w:cs="宋体"/>
          <w:color w:val="000000"/>
          <w:sz w:val="24"/>
          <w:highlight w:val="none"/>
          <w:lang w:val="en-US" w:eastAsia="zh-CN"/>
        </w:rPr>
        <w:t>1800000.00</w:t>
      </w:r>
      <w:r>
        <w:rPr>
          <w:rFonts w:hint="eastAsia" w:ascii="宋体" w:hAnsi="宋体" w:eastAsia="宋体" w:cs="宋体"/>
          <w:color w:val="000000"/>
          <w:sz w:val="24"/>
          <w:highlight w:val="none"/>
          <w:lang w:val="zh-CN"/>
        </w:rPr>
        <w:t>元</w:t>
      </w:r>
    </w:p>
    <w:p w14:paraId="1F484B68">
      <w:pPr>
        <w:spacing w:line="48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4、最高限价：</w:t>
      </w:r>
      <w:r>
        <w:rPr>
          <w:rFonts w:hint="eastAsia" w:ascii="宋体" w:hAnsi="宋体" w:eastAsia="宋体" w:cs="宋体"/>
          <w:color w:val="000000"/>
          <w:sz w:val="24"/>
          <w:highlight w:val="none"/>
          <w:lang w:val="en-US" w:eastAsia="zh-CN"/>
        </w:rPr>
        <w:t>1800000.00</w:t>
      </w:r>
      <w:r>
        <w:rPr>
          <w:rFonts w:hint="eastAsia" w:ascii="宋体" w:hAnsi="宋体" w:eastAsia="宋体" w:cs="宋体"/>
          <w:color w:val="000000"/>
          <w:sz w:val="24"/>
          <w:highlight w:val="none"/>
          <w:lang w:val="zh-CN"/>
        </w:rPr>
        <w:t>元</w:t>
      </w:r>
    </w:p>
    <w:p w14:paraId="4FEAC594">
      <w:pPr>
        <w:spacing w:line="48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5、采购需求：对富平县第二人民医院</w:t>
      </w:r>
      <w:r>
        <w:rPr>
          <w:rFonts w:hint="eastAsia" w:ascii="宋体" w:hAnsi="宋体" w:cs="宋体"/>
          <w:color w:val="000000"/>
          <w:sz w:val="24"/>
          <w:highlight w:val="none"/>
          <w:lang w:val="en-US" w:eastAsia="zh-CN"/>
        </w:rPr>
        <w:t>信息化系统</w:t>
      </w:r>
      <w:r>
        <w:rPr>
          <w:rFonts w:hint="eastAsia" w:ascii="宋体" w:hAnsi="宋体" w:eastAsia="宋体" w:cs="宋体"/>
          <w:color w:val="000000"/>
          <w:sz w:val="24"/>
          <w:highlight w:val="none"/>
          <w:lang w:val="en-US" w:eastAsia="zh-CN"/>
        </w:rPr>
        <w:t>进行升级（信息化系统建设，检查检验系统等进行升级改造等）</w:t>
      </w:r>
      <w:r>
        <w:rPr>
          <w:rFonts w:hint="eastAsia" w:ascii="宋体" w:hAnsi="宋体" w:eastAsia="宋体" w:cs="宋体"/>
          <w:color w:val="000000"/>
          <w:sz w:val="24"/>
          <w:highlight w:val="none"/>
          <w:lang w:val="zh-CN" w:eastAsia="zh-CN"/>
        </w:rPr>
        <w:t xml:space="preserve">，1项， 采购预算： </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800000.00</w:t>
      </w:r>
      <w:r>
        <w:rPr>
          <w:rFonts w:hint="eastAsia" w:ascii="宋体" w:hAnsi="宋体" w:eastAsia="宋体" w:cs="宋体"/>
          <w:color w:val="000000"/>
          <w:sz w:val="24"/>
          <w:highlight w:val="none"/>
          <w:lang w:val="zh-CN" w:eastAsia="zh-CN"/>
        </w:rPr>
        <w:t>元</w:t>
      </w:r>
      <w:r>
        <w:rPr>
          <w:rFonts w:hint="eastAsia" w:ascii="宋体" w:hAnsi="宋体" w:eastAsia="宋体" w:cs="宋体"/>
          <w:color w:val="000000"/>
          <w:sz w:val="24"/>
          <w:highlight w:val="none"/>
          <w:lang w:val="en-US" w:eastAsia="zh-CN"/>
        </w:rPr>
        <w:t>， 项目概况：详见竞争性磋商文件</w:t>
      </w:r>
    </w:p>
    <w:p w14:paraId="1909E816">
      <w:pPr>
        <w:pStyle w:val="18"/>
        <w:widowControl/>
        <w:numPr>
          <w:ilvl w:val="0"/>
          <w:numId w:val="0"/>
        </w:numPr>
        <w:spacing w:before="60" w:beforeAutospacing="0" w:after="60" w:afterAutospacing="0" w:line="480" w:lineRule="auto"/>
        <w:ind w:firstLine="480" w:firstLineChars="200"/>
        <w:textAlignment w:val="baseline"/>
        <w:rPr>
          <w:rFonts w:hint="eastAsia" w:ascii="宋体" w:hAnsi="宋体" w:cs="宋体"/>
          <w:color w:val="333333"/>
          <w:highlight w:val="none"/>
          <w:shd w:val="clear" w:color="auto" w:fill="FFFFFF"/>
          <w:lang w:eastAsia="zh-CN"/>
        </w:rPr>
      </w:pPr>
      <w:r>
        <w:rPr>
          <w:rFonts w:hint="eastAsia" w:ascii="宋体" w:hAnsi="宋体" w:eastAsia="宋体" w:cs="宋体"/>
          <w:color w:val="333333"/>
          <w:kern w:val="0"/>
          <w:sz w:val="24"/>
          <w:szCs w:val="24"/>
          <w:highlight w:val="none"/>
          <w:shd w:val="clear" w:color="auto" w:fill="FFFFFF"/>
          <w:lang w:val="en-US" w:eastAsia="zh-CN" w:bidi="ar-SA"/>
        </w:rPr>
        <w:t>6、</w:t>
      </w:r>
      <w:r>
        <w:rPr>
          <w:rFonts w:hint="eastAsia" w:ascii="宋体" w:hAnsi="宋体" w:cs="宋体"/>
          <w:color w:val="333333"/>
          <w:highlight w:val="none"/>
          <w:shd w:val="clear" w:color="auto" w:fill="FFFFFF"/>
        </w:rPr>
        <w:t>合同履行期限：</w:t>
      </w:r>
      <w:r>
        <w:rPr>
          <w:rFonts w:hint="eastAsia" w:cs="宋体"/>
          <w:color w:val="333333"/>
          <w:highlight w:val="none"/>
          <w:shd w:val="clear" w:color="auto" w:fill="FFFFFF"/>
          <w:lang w:val="en-US" w:eastAsia="zh-CN"/>
        </w:rPr>
        <w:t>1年</w:t>
      </w:r>
      <w:r>
        <w:rPr>
          <w:rFonts w:hint="eastAsia" w:ascii="宋体" w:hAnsi="宋体" w:eastAsia="宋体" w:cs="宋体"/>
          <w:color w:val="333333"/>
          <w:highlight w:val="none"/>
          <w:shd w:val="clear" w:color="auto" w:fill="FFFFFF"/>
          <w:lang w:val="zh-CN"/>
        </w:rPr>
        <w:t>（具体服务起止日期可随合同签订时间相应顺延）</w:t>
      </w:r>
    </w:p>
    <w:p w14:paraId="53C1106A">
      <w:pPr>
        <w:pStyle w:val="18"/>
        <w:widowControl/>
        <w:numPr>
          <w:ilvl w:val="0"/>
          <w:numId w:val="0"/>
        </w:numPr>
        <w:spacing w:before="60" w:beforeAutospacing="0" w:after="60" w:afterAutospacing="0" w:line="480" w:lineRule="auto"/>
        <w:ind w:right="0" w:rightChars="0" w:firstLine="480" w:firstLineChars="200"/>
        <w:textAlignment w:val="baseline"/>
        <w:rPr>
          <w:rFonts w:hint="eastAsia" w:ascii="宋体" w:hAnsi="宋体" w:cs="宋体"/>
          <w:highlight w:val="none"/>
        </w:rPr>
      </w:pPr>
      <w:r>
        <w:rPr>
          <w:rFonts w:hint="eastAsia" w:ascii="宋体" w:hAnsi="宋体" w:cs="宋体"/>
          <w:color w:val="333333"/>
          <w:highlight w:val="none"/>
          <w:shd w:val="clear" w:color="auto" w:fill="FFFFFF"/>
        </w:rPr>
        <w:t>7、本项目是否接受联合体投标：否</w:t>
      </w:r>
    </w:p>
    <w:p w14:paraId="7928BF42">
      <w:pPr>
        <w:spacing w:line="480" w:lineRule="auto"/>
        <w:rPr>
          <w:rFonts w:hint="eastAsia"/>
          <w:b/>
          <w:bCs/>
          <w:color w:val="000000"/>
          <w:sz w:val="24"/>
          <w:highlight w:val="none"/>
        </w:rPr>
      </w:pPr>
      <w:r>
        <w:rPr>
          <w:rFonts w:hint="eastAsia"/>
          <w:b/>
          <w:bCs/>
          <w:color w:val="000000"/>
          <w:sz w:val="24"/>
          <w:highlight w:val="none"/>
        </w:rPr>
        <w:t>二、</w:t>
      </w:r>
      <w:r>
        <w:rPr>
          <w:rFonts w:hint="eastAsia"/>
          <w:b/>
          <w:bCs/>
          <w:color w:val="000000"/>
          <w:sz w:val="24"/>
          <w:highlight w:val="none"/>
          <w:lang w:val="en-US" w:eastAsia="zh-CN"/>
        </w:rPr>
        <w:t>申请人</w:t>
      </w:r>
      <w:r>
        <w:rPr>
          <w:rFonts w:hint="eastAsia"/>
          <w:b/>
          <w:bCs/>
          <w:color w:val="000000"/>
          <w:sz w:val="24"/>
          <w:highlight w:val="none"/>
        </w:rPr>
        <w:t>的资格要求</w:t>
      </w:r>
    </w:p>
    <w:p w14:paraId="60B34062">
      <w:pPr>
        <w:pStyle w:val="18"/>
        <w:widowControl/>
        <w:numPr>
          <w:ilvl w:val="0"/>
          <w:numId w:val="0"/>
        </w:numPr>
        <w:spacing w:before="60" w:beforeAutospacing="0" w:after="60" w:afterAutospacing="0" w:line="480" w:lineRule="auto"/>
        <w:ind w:firstLine="480" w:firstLineChars="200"/>
        <w:textAlignment w:val="baseline"/>
        <w:rPr>
          <w:rFonts w:hint="eastAsia" w:ascii="宋体" w:hAnsi="宋体" w:eastAsia="宋体" w:cs="宋体"/>
          <w:color w:val="333333"/>
          <w:highlight w:val="none"/>
          <w:shd w:val="clear" w:color="auto" w:fill="FFFFFF"/>
          <w:lang w:val="zh-CN" w:eastAsia="zh-CN"/>
        </w:rPr>
      </w:pPr>
      <w:r>
        <w:rPr>
          <w:rFonts w:hint="eastAsia" w:ascii="宋体" w:hAnsi="宋体" w:eastAsia="宋体" w:cs="宋体"/>
          <w:color w:val="333333"/>
          <w:highlight w:val="none"/>
          <w:shd w:val="clear" w:color="auto" w:fill="FFFFFF"/>
          <w:lang w:val="zh-CN"/>
        </w:rPr>
        <w:t>1.满足《中华人民共和国政府采购法》第二十二条规定</w:t>
      </w:r>
    </w:p>
    <w:p w14:paraId="5FFED6AD">
      <w:pPr>
        <w:pStyle w:val="18"/>
        <w:widowControl/>
        <w:numPr>
          <w:ilvl w:val="0"/>
          <w:numId w:val="0"/>
        </w:numPr>
        <w:spacing w:before="60" w:beforeAutospacing="0" w:after="60" w:afterAutospacing="0" w:line="480" w:lineRule="auto"/>
        <w:ind w:firstLine="480" w:firstLineChars="200"/>
        <w:textAlignment w:val="baseline"/>
        <w:rPr>
          <w:rFonts w:hint="eastAsia" w:ascii="宋体" w:hAnsi="宋体" w:eastAsia="宋体" w:cs="宋体"/>
          <w:color w:val="333333"/>
          <w:highlight w:val="none"/>
          <w:shd w:val="clear" w:color="auto" w:fill="FFFFFF"/>
          <w:lang w:val="zh-CN"/>
        </w:rPr>
      </w:pPr>
      <w:r>
        <w:rPr>
          <w:rFonts w:hint="eastAsia" w:ascii="宋体" w:hAnsi="宋体" w:eastAsia="宋体" w:cs="宋体"/>
          <w:color w:val="333333"/>
          <w:highlight w:val="none"/>
          <w:shd w:val="clear" w:color="auto" w:fill="FFFFFF"/>
          <w:lang w:val="zh-CN"/>
        </w:rPr>
        <w:t>2.落实政府采购政策需满足的资格要求：本项目</w:t>
      </w:r>
      <w:r>
        <w:rPr>
          <w:rFonts w:hint="eastAsia" w:ascii="宋体" w:hAnsi="宋体" w:eastAsia="宋体" w:cs="宋体"/>
          <w:color w:val="333333"/>
          <w:highlight w:val="none"/>
          <w:shd w:val="clear" w:color="auto" w:fill="FFFFFF"/>
          <w:lang w:val="zh-CN" w:eastAsia="zh-CN"/>
        </w:rPr>
        <w:t>非</w:t>
      </w:r>
      <w:r>
        <w:rPr>
          <w:rFonts w:hint="eastAsia" w:ascii="宋体" w:hAnsi="宋体" w:eastAsia="宋体" w:cs="宋体"/>
          <w:color w:val="333333"/>
          <w:highlight w:val="none"/>
          <w:shd w:val="clear" w:color="auto" w:fill="FFFFFF"/>
          <w:lang w:val="zh-CN"/>
        </w:rPr>
        <w:t xml:space="preserve">专门面向中小企业。 </w:t>
      </w:r>
    </w:p>
    <w:p w14:paraId="3E291F63">
      <w:pPr>
        <w:pStyle w:val="18"/>
        <w:widowControl/>
        <w:numPr>
          <w:ilvl w:val="0"/>
          <w:numId w:val="0"/>
        </w:numPr>
        <w:spacing w:before="60" w:beforeAutospacing="0" w:after="60" w:afterAutospacing="0" w:line="480" w:lineRule="auto"/>
        <w:ind w:firstLine="480" w:firstLineChars="200"/>
        <w:textAlignment w:val="baseline"/>
        <w:rPr>
          <w:rFonts w:hint="eastAsia" w:ascii="宋体" w:hAnsi="宋体" w:eastAsia="宋体" w:cs="宋体"/>
          <w:color w:val="333333"/>
          <w:highlight w:val="none"/>
          <w:shd w:val="clear" w:color="auto" w:fill="FFFFFF"/>
          <w:lang w:val="zh-CN"/>
        </w:rPr>
      </w:pPr>
      <w:r>
        <w:rPr>
          <w:rFonts w:hint="eastAsia" w:ascii="宋体" w:hAnsi="宋体" w:eastAsia="宋体" w:cs="宋体"/>
          <w:color w:val="333333"/>
          <w:highlight w:val="none"/>
          <w:shd w:val="clear" w:color="auto" w:fill="FFFFFF"/>
          <w:lang w:val="zh-CN"/>
        </w:rPr>
        <w:t>3.本项目的特定资格要求：</w:t>
      </w:r>
    </w:p>
    <w:p w14:paraId="3D67019A">
      <w:pPr>
        <w:spacing w:line="480" w:lineRule="auto"/>
        <w:rPr>
          <w:rFonts w:hint="eastAsia" w:ascii="宋体" w:hAnsi="宋体" w:cs="宋体"/>
          <w:kern w:val="0"/>
          <w:sz w:val="24"/>
          <w:highlight w:val="none"/>
        </w:rPr>
      </w:pPr>
      <w:r>
        <w:rPr>
          <w:rFonts w:hint="eastAsia"/>
          <w:b/>
          <w:bCs/>
          <w:color w:val="000000"/>
          <w:sz w:val="24"/>
          <w:highlight w:val="none"/>
        </w:rPr>
        <w:t xml:space="preserve"> </w:t>
      </w:r>
      <w:r>
        <w:rPr>
          <w:rFonts w:hint="eastAsia"/>
          <w:b/>
          <w:bCs/>
          <w:color w:val="000000"/>
          <w:sz w:val="24"/>
          <w:highlight w:val="none"/>
          <w:lang w:val="en-US" w:eastAsia="zh-CN"/>
        </w:rPr>
        <w:t xml:space="preserve"> </w:t>
      </w:r>
      <w:r>
        <w:rPr>
          <w:rFonts w:hint="eastAsia" w:ascii="宋体" w:hAnsi="宋体" w:cs="宋体"/>
          <w:kern w:val="0"/>
          <w:sz w:val="24"/>
          <w:highlight w:val="none"/>
        </w:rPr>
        <w:t>（1）供应商应提供统一社会信用代码的营业执照；</w:t>
      </w:r>
    </w:p>
    <w:p w14:paraId="3FB6FF39">
      <w:pPr>
        <w:spacing w:line="480" w:lineRule="auto"/>
        <w:ind w:firstLine="240" w:firstLineChars="100"/>
        <w:rPr>
          <w:rFonts w:hint="eastAsia" w:ascii="宋体" w:hAnsi="宋体" w:eastAsia="宋体" w:cs="宋体"/>
          <w:kern w:val="0"/>
          <w:sz w:val="24"/>
          <w:highlight w:val="none"/>
          <w:lang w:val="en-US" w:eastAsia="zh-CN"/>
        </w:rPr>
      </w:pPr>
      <w:r>
        <w:rPr>
          <w:rFonts w:hint="eastAsia" w:ascii="宋体" w:hAnsi="宋体" w:cs="宋体"/>
          <w:kern w:val="0"/>
          <w:sz w:val="24"/>
          <w:highlight w:val="none"/>
        </w:rPr>
        <w:t>（2）法定代表人/负责人授权委托书（附法定代表人/负责人身份证复印件）及被授权委托人身份证（法定代表人/负责人参加磋商只须提供法定代表人/负责人身份证）；</w:t>
      </w:r>
    </w:p>
    <w:p w14:paraId="02F7245B">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（3）提供</w:t>
      </w:r>
      <w:r>
        <w:rPr>
          <w:rFonts w:hint="eastAsia" w:ascii="宋体" w:hAnsi="宋体" w:cs="宋体"/>
          <w:kern w:val="0"/>
          <w:sz w:val="24"/>
          <w:highlight w:val="none"/>
          <w:lang w:val="en-US" w:eastAsia="zh-CN"/>
        </w:rPr>
        <w:t>2023或</w:t>
      </w: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年度经审计的财务报告或开标前六个月内其基本账户银行出具的资信证明或财政部门认可的政府采购专业担保机构出具的担保函；</w:t>
      </w:r>
    </w:p>
    <w:p w14:paraId="5666D50F">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（4）提供202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3</w:t>
      </w:r>
      <w:r>
        <w:rPr>
          <w:rFonts w:hint="eastAsia" w:ascii="宋体" w:hAnsi="宋体" w:cs="宋体"/>
          <w:kern w:val="0"/>
          <w:sz w:val="24"/>
          <w:highlight w:val="none"/>
        </w:rPr>
        <w:t>月以来任意</w:t>
      </w:r>
      <w:r>
        <w:rPr>
          <w:rFonts w:hint="eastAsia" w:ascii="宋体" w:hAnsi="宋体" w:cs="宋体"/>
          <w:kern w:val="0"/>
          <w:sz w:val="24"/>
          <w:highlight w:val="none"/>
          <w:lang w:val="en-US" w:eastAsia="zh-CN"/>
        </w:rPr>
        <w:t>1</w:t>
      </w:r>
      <w:r>
        <w:rPr>
          <w:rFonts w:hint="eastAsia" w:ascii="宋体" w:hAnsi="宋体" w:cs="宋体"/>
          <w:kern w:val="0"/>
          <w:sz w:val="24"/>
          <w:highlight w:val="none"/>
        </w:rPr>
        <w:t>个月依法缴纳税收和社会保险的相关证明材料；注：依法免税或不需要缴纳社会保险的供应商提供相关部门出具的证明文件；</w:t>
      </w:r>
    </w:p>
    <w:p w14:paraId="3B87A51F">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（5）提供具有履行合同所必需的设备和专业技术能力的承诺；</w:t>
      </w:r>
    </w:p>
    <w:p w14:paraId="4DF716F9">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（6）提供参加政府采购活动前3年内在经营活动中没有重大违法记录的书面声明；</w:t>
      </w:r>
    </w:p>
    <w:p w14:paraId="5D79DDA6">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（7）单位负责人为同一人或者存在直接控股、管理关系的不同供应商，不得参加同一合同项下的政府采购活动；</w:t>
      </w:r>
    </w:p>
    <w:p w14:paraId="5DCD913F">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（8）磋商保证金交纳凭证。</w:t>
      </w:r>
    </w:p>
    <w:p w14:paraId="5B81C5E0">
      <w:pPr>
        <w:spacing w:line="480" w:lineRule="auto"/>
        <w:rPr>
          <w:b/>
          <w:bCs/>
          <w:color w:val="000000"/>
          <w:sz w:val="24"/>
          <w:highlight w:val="none"/>
        </w:rPr>
      </w:pPr>
      <w:r>
        <w:rPr>
          <w:rFonts w:hint="eastAsia"/>
          <w:b/>
          <w:bCs/>
          <w:color w:val="000000"/>
          <w:sz w:val="24"/>
          <w:highlight w:val="none"/>
        </w:rPr>
        <w:t>三、 获取</w:t>
      </w:r>
      <w:r>
        <w:rPr>
          <w:rFonts w:hint="eastAsia"/>
          <w:b/>
          <w:bCs/>
          <w:color w:val="000000"/>
          <w:sz w:val="24"/>
          <w:highlight w:val="none"/>
          <w:lang w:val="en-US" w:eastAsia="zh-CN"/>
        </w:rPr>
        <w:t>招标文件</w:t>
      </w:r>
      <w:r>
        <w:rPr>
          <w:rFonts w:hint="eastAsia"/>
          <w:b/>
          <w:bCs/>
          <w:color w:val="000000"/>
          <w:sz w:val="24"/>
          <w:highlight w:val="none"/>
        </w:rPr>
        <w:t xml:space="preserve"> </w:t>
      </w:r>
    </w:p>
    <w:p w14:paraId="25E31A88">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时间：</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日至202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cs="宋体"/>
          <w:color w:val="auto"/>
          <w:kern w:val="0"/>
          <w:sz w:val="24"/>
          <w:highlight w:val="none"/>
        </w:rPr>
        <w:t>日</w:t>
      </w:r>
      <w:r>
        <w:rPr>
          <w:rFonts w:hint="eastAsia" w:ascii="宋体" w:hAnsi="宋体" w:cs="宋体"/>
          <w:color w:val="auto"/>
          <w:kern w:val="0"/>
          <w:sz w:val="24"/>
          <w:highlight w:val="none"/>
          <w:lang w:eastAsia="zh-CN"/>
        </w:rPr>
        <w:t>止</w:t>
      </w:r>
      <w:r>
        <w:rPr>
          <w:rFonts w:hint="eastAsia" w:ascii="宋体" w:hAnsi="宋体" w:cs="宋体"/>
          <w:color w:val="auto"/>
          <w:kern w:val="0"/>
          <w:sz w:val="24"/>
          <w:highlight w:val="none"/>
        </w:rPr>
        <w:t> </w:t>
      </w:r>
    </w:p>
    <w:p w14:paraId="6F808A05">
      <w:pPr>
        <w:widowControl/>
        <w:spacing w:line="480" w:lineRule="auto"/>
        <w:ind w:firstLine="480" w:firstLineChars="200"/>
        <w:contextualSpacing/>
        <w:jc w:val="left"/>
        <w:rPr>
          <w:rFonts w:hint="eastAsia" w:ascii="宋体" w:hAnsi="宋体" w:cs="宋体"/>
          <w:color w:val="FF0000"/>
          <w:kern w:val="0"/>
          <w:sz w:val="24"/>
          <w:highlight w:val="none"/>
        </w:rPr>
      </w:pPr>
      <w:r>
        <w:rPr>
          <w:rFonts w:hint="eastAsia" w:ascii="宋体" w:hAnsi="宋体" w:cs="宋体"/>
          <w:color w:val="auto"/>
          <w:kern w:val="0"/>
          <w:sz w:val="24"/>
          <w:highlight w:val="none"/>
        </w:rPr>
        <w:t>每天上午0</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:00:00至1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 ，下午14:</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0:00至18:00:00</w:t>
      </w:r>
      <w:r>
        <w:rPr>
          <w:rFonts w:hint="eastAsia" w:ascii="宋体" w:hAnsi="宋体" w:cs="宋体"/>
          <w:color w:val="auto"/>
          <w:kern w:val="0"/>
          <w:sz w:val="24"/>
          <w:highlight w:val="none"/>
          <w:lang w:eastAsia="zh-CN"/>
        </w:rPr>
        <w:t>止</w:t>
      </w:r>
      <w:r>
        <w:rPr>
          <w:rFonts w:hint="eastAsia" w:ascii="宋体" w:hAnsi="宋体" w:cs="宋体"/>
          <w:color w:val="auto"/>
          <w:kern w:val="0"/>
          <w:sz w:val="24"/>
          <w:highlight w:val="none"/>
        </w:rPr>
        <w:t xml:space="preserve"> （北京时间）  </w:t>
      </w:r>
      <w:r>
        <w:rPr>
          <w:rFonts w:hint="eastAsia" w:ascii="宋体" w:hAnsi="宋体" w:cs="宋体"/>
          <w:color w:val="FF0000"/>
          <w:kern w:val="0"/>
          <w:sz w:val="24"/>
          <w:highlight w:val="none"/>
        </w:rPr>
        <w:t xml:space="preserve">  </w:t>
      </w:r>
    </w:p>
    <w:p w14:paraId="00B1AADD">
      <w:pPr>
        <w:spacing w:line="480" w:lineRule="auto"/>
        <w:ind w:firstLine="480" w:firstLineChars="200"/>
        <w:rPr>
          <w:rFonts w:hint="eastAsia" w:ascii="宋体" w:hAnsi="宋体" w:eastAsia="宋体" w:cs="宋体"/>
          <w:color w:val="000000"/>
          <w:sz w:val="24"/>
          <w:highlight w:val="none"/>
          <w:lang w:eastAsia="zh-CN"/>
        </w:rPr>
      </w:pPr>
      <w:r>
        <w:rPr>
          <w:rFonts w:hint="eastAsia" w:ascii="宋体" w:hAnsi="宋体" w:cs="宋体"/>
          <w:kern w:val="0"/>
          <w:sz w:val="24"/>
          <w:highlight w:val="none"/>
        </w:rPr>
        <w:t>地点：</w:t>
      </w:r>
      <w:r>
        <w:rPr>
          <w:rFonts w:hint="eastAsia" w:ascii="宋体" w:hAnsi="宋体" w:cs="宋体"/>
          <w:kern w:val="0"/>
          <w:sz w:val="24"/>
          <w:highlight w:val="none"/>
          <w:lang w:val="en-US" w:eastAsia="zh-CN"/>
        </w:rPr>
        <w:t>陕西省渭南市富平县高新区零工市场东办公4楼</w:t>
      </w:r>
    </w:p>
    <w:p w14:paraId="5F865EB7">
      <w:pPr>
        <w:spacing w:line="48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方式：现场</w:t>
      </w:r>
      <w:r>
        <w:rPr>
          <w:rFonts w:hint="eastAsia" w:ascii="宋体" w:hAnsi="宋体" w:eastAsia="宋体" w:cs="宋体"/>
          <w:color w:val="000000"/>
          <w:sz w:val="24"/>
          <w:highlight w:val="none"/>
          <w:lang w:eastAsia="zh-CN"/>
        </w:rPr>
        <w:t>获取</w:t>
      </w:r>
    </w:p>
    <w:p w14:paraId="7063A075">
      <w:pPr>
        <w:spacing w:line="48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售价：</w:t>
      </w:r>
      <w:r>
        <w:rPr>
          <w:rFonts w:hint="eastAsia" w:ascii="宋体" w:hAnsi="宋体" w:cs="宋体"/>
          <w:kern w:val="0"/>
          <w:sz w:val="24"/>
          <w:highlight w:val="none"/>
          <w:lang w:val="en-US" w:eastAsia="zh-CN"/>
        </w:rPr>
        <w:t>0元获取</w:t>
      </w:r>
      <w:r>
        <w:rPr>
          <w:rFonts w:hint="eastAsia" w:ascii="宋体" w:hAnsi="宋体" w:cs="宋体"/>
          <w:kern w:val="0"/>
          <w:sz w:val="24"/>
          <w:szCs w:val="20"/>
          <w:highlight w:val="none"/>
        </w:rPr>
        <w:t>；</w:t>
      </w:r>
    </w:p>
    <w:p w14:paraId="2AF81B12">
      <w:pPr>
        <w:spacing w:line="480" w:lineRule="auto"/>
        <w:rPr>
          <w:b/>
          <w:bCs/>
          <w:color w:val="000000"/>
          <w:sz w:val="24"/>
          <w:highlight w:val="none"/>
        </w:rPr>
      </w:pPr>
      <w:r>
        <w:rPr>
          <w:rFonts w:hint="eastAsia"/>
          <w:b/>
          <w:bCs/>
          <w:color w:val="000000"/>
          <w:sz w:val="24"/>
          <w:highlight w:val="none"/>
        </w:rPr>
        <w:t xml:space="preserve">四、 提交投标文件截止时间、开标时间和地点 </w:t>
      </w:r>
    </w:p>
    <w:p w14:paraId="00D5B43E">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截止时间</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开标时间</w:t>
      </w:r>
      <w:r>
        <w:rPr>
          <w:rFonts w:hint="eastAsia" w:ascii="宋体" w:hAnsi="宋体" w:cs="宋体"/>
          <w:kern w:val="0"/>
          <w:sz w:val="24"/>
          <w:highlight w:val="none"/>
        </w:rPr>
        <w:t>：</w:t>
      </w:r>
      <w:r>
        <w:rPr>
          <w:rFonts w:hint="eastAsia" w:ascii="宋体" w:hAnsi="宋体" w:cs="宋体"/>
          <w:kern w:val="0"/>
          <w:sz w:val="24"/>
          <w:highlight w:val="none"/>
          <w:lang w:eastAsia="zh-CN"/>
        </w:rPr>
        <w:t>202</w:t>
      </w:r>
      <w:r>
        <w:rPr>
          <w:rFonts w:hint="eastAsia" w:ascii="宋体" w:hAnsi="宋体" w:cs="宋体"/>
          <w:kern w:val="0"/>
          <w:sz w:val="24"/>
          <w:highlight w:val="none"/>
          <w:lang w:val="en-US" w:eastAsia="zh-CN"/>
        </w:rPr>
        <w:t>5</w:t>
      </w:r>
      <w:r>
        <w:rPr>
          <w:rFonts w:hint="eastAsia" w:ascii="宋体" w:hAnsi="宋体" w:cs="宋体"/>
          <w:kern w:val="0"/>
          <w:sz w:val="24"/>
          <w:highlight w:val="none"/>
          <w:lang w:eastAsia="zh-CN"/>
        </w:rPr>
        <w:t>年</w:t>
      </w:r>
      <w:r>
        <w:rPr>
          <w:rFonts w:hint="eastAsia" w:ascii="宋体" w:hAnsi="宋体" w:cs="宋体"/>
          <w:kern w:val="0"/>
          <w:sz w:val="24"/>
          <w:highlight w:val="none"/>
          <w:lang w:val="en-US" w:eastAsia="zh-CN"/>
        </w:rPr>
        <w:t>04</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02</w:t>
      </w:r>
      <w:r>
        <w:rPr>
          <w:rFonts w:hint="eastAsia" w:ascii="宋体" w:hAnsi="宋体" w:cs="宋体"/>
          <w:kern w:val="0"/>
          <w:sz w:val="24"/>
          <w:highlight w:val="none"/>
          <w:lang w:eastAsia="zh-CN"/>
        </w:rPr>
        <w:t xml:space="preserve">日 </w:t>
      </w:r>
      <w:r>
        <w:rPr>
          <w:rFonts w:hint="eastAsia" w:ascii="宋体" w:hAnsi="宋体" w:cs="宋体"/>
          <w:kern w:val="0"/>
          <w:sz w:val="24"/>
          <w:highlight w:val="none"/>
          <w:lang w:val="en-US" w:eastAsia="zh-CN"/>
        </w:rPr>
        <w:t>14</w:t>
      </w:r>
      <w:r>
        <w:rPr>
          <w:rFonts w:hint="eastAsia" w:ascii="宋体" w:hAnsi="宋体" w:cs="宋体"/>
          <w:kern w:val="0"/>
          <w:sz w:val="24"/>
          <w:highlight w:val="none"/>
          <w:lang w:eastAsia="zh-CN"/>
        </w:rPr>
        <w:t>时30分00秒</w:t>
      </w:r>
    </w:p>
    <w:p w14:paraId="0AE5C19A">
      <w:pPr>
        <w:spacing w:line="48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地点：</w:t>
      </w:r>
      <w:r>
        <w:rPr>
          <w:rFonts w:hint="eastAsia" w:ascii="宋体" w:hAnsi="宋体" w:cs="宋体"/>
          <w:kern w:val="0"/>
          <w:sz w:val="24"/>
          <w:highlight w:val="none"/>
          <w:lang w:val="zh-CN" w:eastAsia="zh-CN"/>
        </w:rPr>
        <w:t>富平县杜村东街中段（县医院南门对面）浩天商务酒店8楼</w:t>
      </w:r>
      <w:r>
        <w:rPr>
          <w:rFonts w:hint="eastAsia" w:ascii="宋体" w:hAnsi="宋体" w:cs="宋体"/>
          <w:kern w:val="0"/>
          <w:sz w:val="24"/>
          <w:highlight w:val="none"/>
        </w:rPr>
        <w:t>。</w:t>
      </w:r>
    </w:p>
    <w:p w14:paraId="7FDE011B">
      <w:pPr>
        <w:spacing w:line="480" w:lineRule="auto"/>
        <w:rPr>
          <w:b/>
          <w:bCs/>
          <w:color w:val="000000"/>
          <w:sz w:val="24"/>
          <w:highlight w:val="none"/>
        </w:rPr>
      </w:pPr>
      <w:r>
        <w:rPr>
          <w:rFonts w:hint="eastAsia"/>
          <w:b/>
          <w:bCs/>
          <w:color w:val="000000"/>
          <w:sz w:val="24"/>
          <w:highlight w:val="none"/>
        </w:rPr>
        <w:t>五、公告期限</w:t>
      </w:r>
    </w:p>
    <w:p w14:paraId="2071BE70">
      <w:pPr>
        <w:spacing w:line="48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自本公告发布之日起</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个工作日。</w:t>
      </w:r>
    </w:p>
    <w:p w14:paraId="798528FD">
      <w:pPr>
        <w:spacing w:line="480" w:lineRule="auto"/>
        <w:rPr>
          <w:b/>
          <w:bCs/>
          <w:color w:val="000000"/>
          <w:sz w:val="24"/>
          <w:highlight w:val="none"/>
        </w:rPr>
      </w:pPr>
      <w:r>
        <w:rPr>
          <w:rFonts w:hint="eastAsia"/>
          <w:b/>
          <w:bCs/>
          <w:color w:val="000000"/>
          <w:sz w:val="24"/>
          <w:highlight w:val="none"/>
        </w:rPr>
        <w:t>六、其他补充事宜</w:t>
      </w:r>
    </w:p>
    <w:p w14:paraId="7DC0D692">
      <w:pPr>
        <w:widowControl/>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1.需要落实的政府采购政策：</w:t>
      </w:r>
    </w:p>
    <w:p w14:paraId="51562E56">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（1）《节能产品政府采购实施意见》（财库〔2004〕185号）；</w:t>
      </w:r>
    </w:p>
    <w:p w14:paraId="02C870B7">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 《国务院办公厅关于建立政府强制采购节能产品制度的通知》（国办发〔2007〕51号）；</w:t>
      </w:r>
    </w:p>
    <w:p w14:paraId="4305839F">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（3）《财政部司法部关于政府采购支持监狱企业发展有关问题的通知》（财库〔2014〕68号）；</w:t>
      </w:r>
    </w:p>
    <w:p w14:paraId="7032AFC0">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（4）三部门联合发布《关于促进残疾人就业政府采购政策的通知》（财库〔2017〕141号）；</w:t>
      </w:r>
    </w:p>
    <w:p w14:paraId="5A600FFE">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（5）《财政部发展改革委生态环境部市场监管总局关于调整优化节能产品、环境标志产品政府采购执行机制的通知》（财库〔2019〕9号）；</w:t>
      </w:r>
    </w:p>
    <w:p w14:paraId="0BDA072E">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（6）《关于促进政府采购公平竞争优化营商环境的通知》（财库〔2019〕38号）；</w:t>
      </w:r>
    </w:p>
    <w:p w14:paraId="7FEBEA6B">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（7）《财政部农业农村部 国家乡村振兴局关于运用政府采购政策支持乡村产业振兴的通知》（财库〔2021〕19号）；</w:t>
      </w:r>
    </w:p>
    <w:p w14:paraId="14DFE96F">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（8）陕西省财政厅《关于进一步加强政府绿色采购有关问题的通知》（陕财办采〔2021〕29号）；</w:t>
      </w:r>
    </w:p>
    <w:p w14:paraId="44925A14">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（9）陕西省财政厅关于印发《陕西省中小企业政府采购信用融资办法》（陕财办采〔2018〕23号）；</w:t>
      </w:r>
    </w:p>
    <w:p w14:paraId="3889CF7D">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（10）《陕西省财政厅关于加快推进我省中小企业政府采购信用融资工作的通知》（陕财办采〔2020〕15号）；</w:t>
      </w:r>
    </w:p>
    <w:p w14:paraId="46BB2226">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（11）《政府采购促进中小企业发展管理办法》（财库〔2020〕46号）；</w:t>
      </w:r>
    </w:p>
    <w:p w14:paraId="75EE100A">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（12）《关于进一步加大政府采购支持中小企业力度的通知》（财库〔2022〕19号）；</w:t>
      </w:r>
    </w:p>
    <w:p w14:paraId="0459A937">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（13）《陕西省财政厅关于进一步落实政府采购支持中小企业相关政策的通知》（陕财办采〔2023〕3号）；</w:t>
      </w:r>
    </w:p>
    <w:p w14:paraId="444DA606">
      <w:pPr>
        <w:widowControl/>
        <w:spacing w:line="480" w:lineRule="auto"/>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（14）《陕西省财政厅关于进一步优化政府采购营商环境有关事项的通知》（陕财办采（2023）4号）。</w:t>
      </w:r>
    </w:p>
    <w:p w14:paraId="24FB7061">
      <w:pPr>
        <w:widowControl/>
        <w:spacing w:line="480" w:lineRule="auto"/>
        <w:jc w:val="lef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15</w:t>
      </w:r>
      <w:r>
        <w:rPr>
          <w:rFonts w:hint="eastAsia" w:ascii="宋体" w:hAnsi="宋体" w:cs="宋体"/>
          <w:kern w:val="0"/>
          <w:sz w:val="24"/>
          <w:highlight w:val="none"/>
        </w:rPr>
        <w:t>）其他需要落实的政府采购政策，详见招标文件。</w:t>
      </w:r>
    </w:p>
    <w:p w14:paraId="4DFFCEF0">
      <w:pPr>
        <w:widowControl/>
        <w:spacing w:line="48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报名方式：供应商请携带单位介绍信原件,经办人身份证原件及加盖供应商公章的复印件。 </w:t>
      </w:r>
    </w:p>
    <w:p w14:paraId="13EC497E">
      <w:pPr>
        <w:widowControl/>
        <w:spacing w:line="48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注：1</w:t>
      </w:r>
      <w:r>
        <w:rPr>
          <w:rFonts w:hint="eastAsia" w:ascii="宋体" w:hAnsi="宋体" w:cs="宋体"/>
          <w:kern w:val="0"/>
          <w:sz w:val="24"/>
          <w:highlight w:val="none"/>
        </w:rPr>
        <w:t>.供应商介绍信（介绍信务必填写项目名称并加盖公章</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委托期限并提供本单位员工证明</w:t>
      </w:r>
      <w:r>
        <w:rPr>
          <w:rFonts w:hint="eastAsia" w:ascii="宋体" w:hAnsi="宋体" w:cs="宋体"/>
          <w:kern w:val="0"/>
          <w:sz w:val="24"/>
          <w:highlight w:val="none"/>
        </w:rPr>
        <w:t xml:space="preserve">）； </w:t>
      </w:r>
    </w:p>
    <w:p w14:paraId="526F8323">
      <w:pPr>
        <w:widowControl/>
        <w:numPr>
          <w:ilvl w:val="0"/>
          <w:numId w:val="0"/>
        </w:numPr>
        <w:spacing w:line="480" w:lineRule="auto"/>
        <w:ind w:firstLine="480" w:firstLineChars="200"/>
        <w:jc w:val="left"/>
        <w:rPr>
          <w:rFonts w:hint="eastAsia" w:ascii="宋体" w:hAnsi="宋体" w:cs="宋体"/>
          <w:kern w:val="0"/>
          <w:sz w:val="24"/>
          <w:highlight w:val="none"/>
        </w:rPr>
      </w:pPr>
      <w:r>
        <w:rPr>
          <w:rFonts w:hint="eastAsia" w:ascii="宋体" w:hAnsi="宋体" w:eastAsia="宋体" w:cs="宋体"/>
          <w:kern w:val="0"/>
          <w:sz w:val="24"/>
          <w:szCs w:val="24"/>
          <w:highlight w:val="none"/>
          <w:lang w:val="en-US" w:eastAsia="zh-CN" w:bidi="ar-SA"/>
        </w:rPr>
        <w:t>2.</w:t>
      </w:r>
      <w:r>
        <w:rPr>
          <w:rFonts w:hint="eastAsia" w:ascii="宋体" w:hAnsi="宋体" w:cs="宋体"/>
          <w:kern w:val="0"/>
          <w:sz w:val="24"/>
          <w:highlight w:val="none"/>
        </w:rPr>
        <w:t>经办人身份证复印件（正反两面并加盖公章）的扫描件；</w:t>
      </w:r>
    </w:p>
    <w:p w14:paraId="6908CDE9">
      <w:pPr>
        <w:widowControl/>
        <w:numPr>
          <w:ilvl w:val="0"/>
          <w:numId w:val="0"/>
        </w:numPr>
        <w:spacing w:line="480" w:lineRule="auto"/>
        <w:ind w:firstLine="480" w:firstLineChars="200"/>
        <w:jc w:val="left"/>
        <w:rPr>
          <w:rFonts w:hint="eastAsia" w:eastAsia="宋体"/>
          <w:highlight w:val="none"/>
          <w:lang w:eastAsia="zh-CN"/>
        </w:rPr>
      </w:pPr>
      <w:r>
        <w:rPr>
          <w:rFonts w:hint="eastAsia" w:ascii="宋体" w:hAnsi="宋体" w:cs="宋体"/>
          <w:kern w:val="0"/>
          <w:sz w:val="24"/>
          <w:highlight w:val="none"/>
          <w:lang w:val="en-US" w:eastAsia="zh-CN"/>
        </w:rPr>
        <w:t>3</w:t>
      </w:r>
      <w:r>
        <w:rPr>
          <w:rFonts w:hint="eastAsia" w:ascii="宋体" w:hAnsi="宋体" w:cs="宋体"/>
          <w:kern w:val="0"/>
          <w:sz w:val="24"/>
          <w:highlight w:val="none"/>
        </w:rPr>
        <w:t>.报名及文件领取表（供应商请自行下载并填写完整）</w:t>
      </w:r>
      <w:r>
        <w:rPr>
          <w:rFonts w:hint="eastAsia" w:ascii="宋体" w:hAnsi="宋体" w:cs="宋体"/>
          <w:kern w:val="0"/>
          <w:sz w:val="24"/>
          <w:highlight w:val="none"/>
          <w:lang w:eastAsia="zh-CN"/>
        </w:rPr>
        <w:t>。</w:t>
      </w:r>
    </w:p>
    <w:p w14:paraId="6290B620">
      <w:pPr>
        <w:spacing w:line="480" w:lineRule="auto"/>
        <w:rPr>
          <w:b/>
          <w:bCs/>
          <w:color w:val="000000"/>
          <w:sz w:val="24"/>
          <w:highlight w:val="none"/>
        </w:rPr>
      </w:pPr>
      <w:r>
        <w:rPr>
          <w:rFonts w:hint="eastAsia"/>
          <w:b/>
          <w:bCs/>
          <w:color w:val="000000"/>
          <w:sz w:val="24"/>
          <w:highlight w:val="none"/>
        </w:rPr>
        <w:t>七、对本次</w:t>
      </w:r>
      <w:r>
        <w:rPr>
          <w:rFonts w:hint="eastAsia"/>
          <w:b/>
          <w:bCs/>
          <w:color w:val="000000"/>
          <w:sz w:val="24"/>
          <w:highlight w:val="none"/>
          <w:lang w:val="en-US" w:eastAsia="zh-CN"/>
        </w:rPr>
        <w:t>招标</w:t>
      </w:r>
      <w:r>
        <w:rPr>
          <w:rFonts w:hint="eastAsia"/>
          <w:b/>
          <w:bCs/>
          <w:color w:val="000000"/>
          <w:sz w:val="24"/>
          <w:highlight w:val="none"/>
        </w:rPr>
        <w:t xml:space="preserve">提出询问，请按以下方式联系。 </w:t>
      </w:r>
    </w:p>
    <w:p w14:paraId="26BF9D43">
      <w:pPr>
        <w:widowControl/>
        <w:numPr>
          <w:ilvl w:val="0"/>
          <w:numId w:val="3"/>
        </w:numPr>
        <w:spacing w:line="480" w:lineRule="auto"/>
        <w:contextualSpacing/>
        <w:jc w:val="left"/>
        <w:rPr>
          <w:rFonts w:hint="eastAsia" w:ascii="宋体" w:hAnsi="宋体" w:cs="宋体"/>
          <w:kern w:val="0"/>
          <w:sz w:val="24"/>
          <w:highlight w:val="none"/>
        </w:rPr>
      </w:pPr>
      <w:r>
        <w:rPr>
          <w:rFonts w:hint="eastAsia" w:ascii="宋体" w:hAnsi="宋体" w:cs="宋体"/>
          <w:kern w:val="0"/>
          <w:sz w:val="24"/>
          <w:highlight w:val="none"/>
        </w:rPr>
        <w:t>采购人信息：富平县第二人民医院</w:t>
      </w:r>
    </w:p>
    <w:p w14:paraId="1668E844">
      <w:pPr>
        <w:widowControl/>
        <w:spacing w:line="480" w:lineRule="auto"/>
        <w:ind w:firstLine="480" w:firstLineChars="200"/>
        <w:contextualSpacing/>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地址：富平县</w:t>
      </w:r>
      <w:r>
        <w:rPr>
          <w:rFonts w:hint="eastAsia" w:ascii="宋体" w:hAnsi="宋体" w:cs="宋体"/>
          <w:kern w:val="0"/>
          <w:sz w:val="24"/>
          <w:highlight w:val="none"/>
          <w:lang w:val="en-US" w:eastAsia="zh-CN"/>
        </w:rPr>
        <w:t>莲湖大街西段</w:t>
      </w:r>
    </w:p>
    <w:p w14:paraId="1511B312">
      <w:pPr>
        <w:widowControl/>
        <w:spacing w:line="480" w:lineRule="auto"/>
        <w:ind w:firstLine="480" w:firstLineChars="200"/>
        <w:contextualSpacing/>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联系人：</w:t>
      </w:r>
      <w:r>
        <w:rPr>
          <w:rFonts w:hint="eastAsia" w:ascii="宋体" w:hAnsi="宋体" w:cs="宋体"/>
          <w:kern w:val="0"/>
          <w:sz w:val="24"/>
          <w:highlight w:val="none"/>
          <w:lang w:val="en-US" w:eastAsia="zh-CN"/>
        </w:rPr>
        <w:t>刘工</w:t>
      </w:r>
    </w:p>
    <w:p w14:paraId="2404C28A">
      <w:pPr>
        <w:widowControl/>
        <w:spacing w:line="480" w:lineRule="auto"/>
        <w:ind w:firstLine="480" w:firstLineChars="200"/>
        <w:contextualSpacing/>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电话：13772740550</w:t>
      </w:r>
    </w:p>
    <w:p w14:paraId="479F8F44">
      <w:pPr>
        <w:widowControl/>
        <w:numPr>
          <w:ilvl w:val="0"/>
          <w:numId w:val="4"/>
        </w:numPr>
        <w:spacing w:line="480" w:lineRule="auto"/>
        <w:contextualSpacing/>
        <w:jc w:val="left"/>
        <w:rPr>
          <w:rFonts w:hint="eastAsia" w:ascii="宋体" w:hAnsi="宋体" w:cs="宋体"/>
          <w:kern w:val="0"/>
          <w:sz w:val="24"/>
          <w:highlight w:val="none"/>
        </w:rPr>
      </w:pPr>
      <w:r>
        <w:rPr>
          <w:rFonts w:hint="eastAsia" w:ascii="宋体" w:hAnsi="宋体" w:cs="宋体"/>
          <w:kern w:val="0"/>
          <w:sz w:val="24"/>
          <w:highlight w:val="none"/>
        </w:rPr>
        <w:t>项目联系方式</w:t>
      </w:r>
    </w:p>
    <w:p w14:paraId="1478D487">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项目联系人：</w:t>
      </w:r>
      <w:r>
        <w:rPr>
          <w:rFonts w:hint="eastAsia" w:ascii="宋体" w:hAnsi="宋体" w:cs="宋体"/>
          <w:kern w:val="0"/>
          <w:sz w:val="24"/>
          <w:highlight w:val="none"/>
          <w:lang w:val="en-US" w:eastAsia="zh-CN"/>
        </w:rPr>
        <w:t>夏</w:t>
      </w:r>
      <w:r>
        <w:rPr>
          <w:rFonts w:hint="eastAsia" w:ascii="宋体" w:hAnsi="宋体" w:cs="宋体"/>
          <w:kern w:val="0"/>
          <w:sz w:val="24"/>
          <w:highlight w:val="none"/>
        </w:rPr>
        <w:t>工</w:t>
      </w:r>
    </w:p>
    <w:p w14:paraId="2B8B678C">
      <w:pPr>
        <w:widowControl/>
        <w:spacing w:line="480" w:lineRule="auto"/>
        <w:ind w:firstLine="480" w:firstLineChars="200"/>
        <w:contextualSpacing/>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电 话：</w:t>
      </w:r>
      <w:r>
        <w:rPr>
          <w:rFonts w:hint="eastAsia" w:ascii="宋体" w:hAnsi="宋体" w:cs="宋体"/>
          <w:kern w:val="0"/>
          <w:sz w:val="24"/>
          <w:highlight w:val="none"/>
          <w:lang w:val="en-US" w:eastAsia="zh-CN"/>
        </w:rPr>
        <w:t>13259098509</w:t>
      </w:r>
    </w:p>
    <w:p w14:paraId="56D165CB">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传 真：/</w:t>
      </w:r>
    </w:p>
    <w:p w14:paraId="436AB2EE">
      <w:pPr>
        <w:widowControl/>
        <w:numPr>
          <w:ilvl w:val="0"/>
          <w:numId w:val="4"/>
        </w:numPr>
        <w:spacing w:line="480" w:lineRule="auto"/>
        <w:contextualSpacing/>
        <w:jc w:val="left"/>
        <w:rPr>
          <w:rFonts w:hint="eastAsia" w:ascii="宋体" w:hAnsi="宋体" w:cs="宋体"/>
          <w:kern w:val="0"/>
          <w:sz w:val="24"/>
          <w:highlight w:val="none"/>
        </w:rPr>
      </w:pPr>
      <w:r>
        <w:rPr>
          <w:rFonts w:hint="eastAsia" w:ascii="宋体" w:hAnsi="宋体" w:cs="宋体"/>
          <w:kern w:val="0"/>
          <w:sz w:val="24"/>
          <w:highlight w:val="none"/>
        </w:rPr>
        <w:t>采购代理机构信息</w:t>
      </w:r>
    </w:p>
    <w:p w14:paraId="269BAE89">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名称：</w:t>
      </w:r>
      <w:r>
        <w:rPr>
          <w:rFonts w:hint="eastAsia" w:ascii="宋体" w:hAnsi="宋体" w:cs="宋体"/>
          <w:kern w:val="0"/>
          <w:sz w:val="24"/>
          <w:highlight w:val="none"/>
          <w:lang w:eastAsia="zh-CN"/>
        </w:rPr>
        <w:t>中智投工程管理有限公</w:t>
      </w:r>
      <w:r>
        <w:rPr>
          <w:rFonts w:hint="eastAsia" w:ascii="宋体" w:hAnsi="宋体" w:cs="宋体"/>
          <w:kern w:val="0"/>
          <w:sz w:val="24"/>
          <w:highlight w:val="none"/>
        </w:rPr>
        <w:t>司</w:t>
      </w:r>
    </w:p>
    <w:p w14:paraId="430C896D">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联系地址：</w:t>
      </w:r>
      <w:r>
        <w:rPr>
          <w:rFonts w:hint="eastAsia" w:ascii="宋体" w:hAnsi="宋体" w:cs="宋体"/>
          <w:kern w:val="0"/>
          <w:sz w:val="24"/>
          <w:highlight w:val="none"/>
          <w:lang w:eastAsia="zh-CN"/>
        </w:rPr>
        <w:t>陕西省西安市未央区渭滨路70号水晶卡芭拉11号楼1单元1130室</w:t>
      </w:r>
    </w:p>
    <w:p w14:paraId="3EB2A5D1">
      <w:pPr>
        <w:widowControl/>
        <w:spacing w:line="480" w:lineRule="auto"/>
        <w:ind w:firstLine="480" w:firstLineChars="200"/>
        <w:contextualSpacing/>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联系方式：</w:t>
      </w:r>
      <w:r>
        <w:rPr>
          <w:rFonts w:hint="eastAsia" w:ascii="宋体" w:hAnsi="宋体" w:cs="宋体"/>
          <w:kern w:val="0"/>
          <w:sz w:val="24"/>
          <w:highlight w:val="none"/>
          <w:lang w:val="en-US" w:eastAsia="zh-CN"/>
        </w:rPr>
        <w:t>13259098509</w:t>
      </w:r>
    </w:p>
    <w:p w14:paraId="1275E2A6">
      <w:pPr>
        <w:spacing w:line="480" w:lineRule="auto"/>
        <w:rPr>
          <w:rFonts w:ascii="宋体" w:hAnsi="宋体" w:eastAsia="宋体" w:cs="宋体"/>
          <w:color w:val="000000"/>
          <w:sz w:val="24"/>
          <w:highlight w:val="none"/>
        </w:rPr>
      </w:pPr>
      <w:r>
        <w:rPr>
          <w:rFonts w:hint="eastAsia"/>
          <w:b/>
          <w:bCs/>
          <w:color w:val="000000"/>
          <w:sz w:val="24"/>
          <w:highlight w:val="none"/>
        </w:rPr>
        <w:t>八、</w:t>
      </w:r>
      <w:r>
        <w:rPr>
          <w:rFonts w:hint="eastAsia"/>
          <w:b/>
          <w:bCs/>
          <w:color w:val="000000"/>
          <w:sz w:val="24"/>
          <w:highlight w:val="none"/>
          <w:lang w:val="en-US" w:eastAsia="zh-CN"/>
        </w:rPr>
        <w:t>相关</w:t>
      </w:r>
      <w:r>
        <w:rPr>
          <w:rFonts w:hint="eastAsia"/>
          <w:b/>
          <w:bCs/>
          <w:color w:val="000000"/>
          <w:sz w:val="24"/>
          <w:highlight w:val="none"/>
        </w:rPr>
        <w:t>附件：</w:t>
      </w:r>
    </w:p>
    <w:p w14:paraId="652E7136">
      <w:pPr>
        <w:spacing w:line="480" w:lineRule="auto"/>
        <w:jc w:val="right"/>
        <w:rPr>
          <w:rFonts w:ascii="宋体" w:hAnsi="宋体" w:eastAsia="宋体" w:cs="宋体"/>
          <w:color w:val="000000"/>
          <w:sz w:val="24"/>
          <w:highlight w:val="none"/>
        </w:rPr>
      </w:pPr>
      <w:r>
        <w:rPr>
          <w:rFonts w:hint="eastAsia" w:ascii="宋体" w:hAnsi="宋体" w:eastAsia="宋体" w:cs="宋体"/>
          <w:color w:val="000000"/>
          <w:sz w:val="24"/>
          <w:highlight w:val="none"/>
          <w:lang w:eastAsia="zh-CN"/>
        </w:rPr>
        <w:t>中智投工程管理有限公</w:t>
      </w:r>
      <w:r>
        <w:rPr>
          <w:rFonts w:hint="eastAsia" w:ascii="宋体" w:hAnsi="宋体" w:eastAsia="宋体" w:cs="宋体"/>
          <w:color w:val="000000"/>
          <w:sz w:val="24"/>
          <w:highlight w:val="none"/>
        </w:rPr>
        <w:t>司</w:t>
      </w:r>
    </w:p>
    <w:p w14:paraId="1E7872BC">
      <w:pPr>
        <w:spacing w:line="480" w:lineRule="auto"/>
        <w:jc w:val="righ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03</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日</w:t>
      </w:r>
    </w:p>
    <w:p w14:paraId="3A502627">
      <w:pPr>
        <w:pStyle w:val="2"/>
        <w:rPr>
          <w:rFonts w:hint="eastAsia"/>
          <w:color w:val="000000" w:themeColor="text1"/>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bookmarkStart w:id="2" w:name="_Toc23064"/>
    </w:p>
    <w:p w14:paraId="555194CC">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  磋商供应商须知</w:t>
      </w:r>
      <w:bookmarkEnd w:id="2"/>
    </w:p>
    <w:p w14:paraId="66723454">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须知前附表</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837"/>
        <w:gridCol w:w="6735"/>
      </w:tblGrid>
      <w:tr w14:paraId="6701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08" w:type="dxa"/>
            <w:vAlign w:val="center"/>
          </w:tcPr>
          <w:p w14:paraId="54FD8F80">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37" w:type="dxa"/>
            <w:vAlign w:val="center"/>
          </w:tcPr>
          <w:p w14:paraId="7E3F0218">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条款名称</w:t>
            </w:r>
          </w:p>
        </w:tc>
        <w:tc>
          <w:tcPr>
            <w:tcW w:w="6735" w:type="dxa"/>
            <w:vAlign w:val="center"/>
          </w:tcPr>
          <w:p w14:paraId="07D1C1BB">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编列内容</w:t>
            </w:r>
          </w:p>
        </w:tc>
      </w:tr>
      <w:tr w14:paraId="5F2C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608" w:type="dxa"/>
            <w:vAlign w:val="center"/>
          </w:tcPr>
          <w:p w14:paraId="26CF031C">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37" w:type="dxa"/>
            <w:vAlign w:val="center"/>
          </w:tcPr>
          <w:p w14:paraId="6D283430">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735" w:type="dxa"/>
            <w:vAlign w:val="center"/>
          </w:tcPr>
          <w:p w14:paraId="05870E29">
            <w:pPr>
              <w:spacing w:line="42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kern w:val="0"/>
                <w:sz w:val="24"/>
                <w:highlight w:val="none"/>
              </w:rPr>
              <w:t>富平县第二人民医院</w:t>
            </w:r>
          </w:p>
          <w:p w14:paraId="5A8F325D">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kern w:val="0"/>
                <w:sz w:val="24"/>
                <w:highlight w:val="none"/>
              </w:rPr>
              <w:t>富平县</w:t>
            </w:r>
            <w:r>
              <w:rPr>
                <w:rFonts w:hint="eastAsia" w:ascii="宋体" w:hAnsi="宋体" w:cs="宋体"/>
                <w:kern w:val="0"/>
                <w:sz w:val="24"/>
                <w:highlight w:val="none"/>
                <w:lang w:val="en-US" w:eastAsia="zh-CN"/>
              </w:rPr>
              <w:t>莲湖大街西段</w:t>
            </w:r>
          </w:p>
          <w:p w14:paraId="7318FB87">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kern w:val="0"/>
                <w:sz w:val="24"/>
                <w:highlight w:val="none"/>
                <w:lang w:val="en-US" w:eastAsia="zh-CN"/>
              </w:rPr>
              <w:t>刘工</w:t>
            </w:r>
          </w:p>
          <w:p w14:paraId="78F968D3">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r>
              <w:rPr>
                <w:rFonts w:hint="eastAsia" w:ascii="宋体" w:hAnsi="宋体" w:cs="宋体"/>
                <w:kern w:val="0"/>
                <w:sz w:val="24"/>
                <w:highlight w:val="none"/>
              </w:rPr>
              <w:t>13772740550</w:t>
            </w:r>
          </w:p>
        </w:tc>
      </w:tr>
      <w:tr w14:paraId="33BA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08" w:type="dxa"/>
            <w:vAlign w:val="center"/>
          </w:tcPr>
          <w:p w14:paraId="57519D4B">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37" w:type="dxa"/>
            <w:vAlign w:val="center"/>
          </w:tcPr>
          <w:p w14:paraId="6E8D91C5">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w:t>
            </w:r>
          </w:p>
        </w:tc>
        <w:tc>
          <w:tcPr>
            <w:tcW w:w="6735" w:type="dxa"/>
            <w:vAlign w:val="center"/>
          </w:tcPr>
          <w:p w14:paraId="2FD4C99C">
            <w:pPr>
              <w:spacing w:line="42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eastAsia="zh-CN"/>
                <w14:textFill>
                  <w14:solidFill>
                    <w14:schemeClr w14:val="tx1"/>
                  </w14:solidFill>
                </w14:textFill>
              </w:rPr>
              <w:t>中智投工程管理有限公司</w:t>
            </w:r>
          </w:p>
          <w:p w14:paraId="29935C5E">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kern w:val="0"/>
                <w:sz w:val="24"/>
                <w:highlight w:val="none"/>
                <w:lang w:eastAsia="zh-CN"/>
              </w:rPr>
              <w:t>陕西省西安市未央区渭滨路70号水晶卡芭拉11号楼1单元1130室</w:t>
            </w:r>
            <w:r>
              <w:rPr>
                <w:rFonts w:hint="eastAsia" w:ascii="宋体" w:hAnsi="宋体" w:cs="宋体"/>
                <w:color w:val="000000" w:themeColor="text1"/>
                <w:sz w:val="24"/>
                <w:highlight w:val="none"/>
                <w14:textFill>
                  <w14:solidFill>
                    <w14:schemeClr w14:val="tx1"/>
                  </w14:solidFill>
                </w14:textFill>
              </w:rPr>
              <w:t xml:space="preserve">    </w:t>
            </w:r>
          </w:p>
          <w:p w14:paraId="1784B08E">
            <w:pPr>
              <w:spacing w:line="42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夏工</w:t>
            </w:r>
          </w:p>
          <w:p w14:paraId="0744D7A1">
            <w:pPr>
              <w:spacing w:line="420" w:lineRule="exac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话：1</w:t>
            </w:r>
            <w:r>
              <w:rPr>
                <w:rFonts w:hint="eastAsia" w:ascii="宋体" w:hAnsi="宋体" w:cs="宋体"/>
                <w:color w:val="000000" w:themeColor="text1"/>
                <w:sz w:val="24"/>
                <w:highlight w:val="none"/>
                <w:lang w:val="en-US" w:eastAsia="zh-CN"/>
                <w14:textFill>
                  <w14:solidFill>
                    <w14:schemeClr w14:val="tx1"/>
                  </w14:solidFill>
                </w14:textFill>
              </w:rPr>
              <w:t>3259098509</w:t>
            </w:r>
          </w:p>
        </w:tc>
      </w:tr>
      <w:tr w14:paraId="7DC1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08" w:type="dxa"/>
            <w:vAlign w:val="center"/>
          </w:tcPr>
          <w:p w14:paraId="437AF4F2">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37" w:type="dxa"/>
            <w:vAlign w:val="center"/>
          </w:tcPr>
          <w:p w14:paraId="58A8280D">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735" w:type="dxa"/>
            <w:vAlign w:val="center"/>
          </w:tcPr>
          <w:p w14:paraId="68D3DF5E">
            <w:pPr>
              <w:pStyle w:val="18"/>
              <w:widowControl/>
              <w:spacing w:before="150" w:beforeAutospacing="0" w:after="0" w:afterAutospacing="0" w:line="240" w:lineRule="auto"/>
              <w:textAlignment w:val="baseline"/>
              <w:rPr>
                <w:rFonts w:hint="eastAsia" w:ascii="宋体" w:hAnsi="宋体" w:eastAsia="宋体" w:cs="宋体"/>
                <w:color w:val="333333"/>
                <w:highlight w:val="none"/>
                <w:shd w:val="clear" w:color="auto" w:fill="FFFFFF"/>
                <w:lang w:val="zh-CN"/>
              </w:rPr>
            </w:pPr>
            <w:r>
              <w:rPr>
                <w:rFonts w:hint="eastAsia" w:cs="宋体"/>
                <w:color w:val="333333"/>
                <w:highlight w:val="none"/>
                <w:shd w:val="clear" w:color="auto" w:fill="FFFFFF"/>
                <w:lang w:val="en-US" w:eastAsia="zh-CN"/>
              </w:rPr>
              <w:t>富平县第二人民医院信息化升级改造项目</w:t>
            </w:r>
          </w:p>
          <w:p w14:paraId="1B803135">
            <w:pPr>
              <w:spacing w:line="240" w:lineRule="auto"/>
              <w:jc w:val="left"/>
              <w:rPr>
                <w:rFonts w:ascii="宋体" w:hAnsi="宋体" w:cs="宋体"/>
                <w:color w:val="000000" w:themeColor="text1"/>
                <w:sz w:val="24"/>
                <w:highlight w:val="none"/>
                <w14:textFill>
                  <w14:solidFill>
                    <w14:schemeClr w14:val="tx1"/>
                  </w14:solidFill>
                </w14:textFill>
              </w:rPr>
            </w:pPr>
          </w:p>
        </w:tc>
      </w:tr>
      <w:tr w14:paraId="7E57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8" w:type="dxa"/>
            <w:vAlign w:val="center"/>
          </w:tcPr>
          <w:p w14:paraId="49ED9525">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37" w:type="dxa"/>
            <w:vAlign w:val="center"/>
          </w:tcPr>
          <w:p w14:paraId="2CACA29D">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735" w:type="dxa"/>
            <w:vAlign w:val="center"/>
          </w:tcPr>
          <w:p w14:paraId="28491CE2">
            <w:pPr>
              <w:spacing w:line="420" w:lineRule="exact"/>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ZZT2025-ZFCG-0224</w:t>
            </w:r>
          </w:p>
        </w:tc>
      </w:tr>
      <w:tr w14:paraId="35E5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8" w:type="dxa"/>
            <w:vAlign w:val="center"/>
          </w:tcPr>
          <w:p w14:paraId="6526D4FD">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37" w:type="dxa"/>
            <w:vAlign w:val="center"/>
          </w:tcPr>
          <w:p w14:paraId="7876E464">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项目预算</w:t>
            </w:r>
          </w:p>
        </w:tc>
        <w:tc>
          <w:tcPr>
            <w:tcW w:w="6735" w:type="dxa"/>
            <w:vAlign w:val="center"/>
          </w:tcPr>
          <w:p w14:paraId="1219B4EF">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1800000.00</w:t>
            </w:r>
            <w:r>
              <w:rPr>
                <w:rFonts w:hint="eastAsia" w:ascii="宋体" w:hAnsi="宋体" w:eastAsia="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（供应商报价不得超过预算，否则视为无效磋商）</w:t>
            </w:r>
          </w:p>
        </w:tc>
      </w:tr>
      <w:tr w14:paraId="3960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08" w:type="dxa"/>
            <w:vAlign w:val="center"/>
          </w:tcPr>
          <w:p w14:paraId="4A7D5C4F">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37" w:type="dxa"/>
            <w:vAlign w:val="center"/>
          </w:tcPr>
          <w:p w14:paraId="0479FEDE">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资金来源及落实情况</w:t>
            </w:r>
          </w:p>
        </w:tc>
        <w:tc>
          <w:tcPr>
            <w:tcW w:w="6735" w:type="dxa"/>
            <w:vAlign w:val="center"/>
          </w:tcPr>
          <w:p w14:paraId="12D32740">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财政资金、</w:t>
            </w:r>
            <w:r>
              <w:rPr>
                <w:rFonts w:hint="eastAsia" w:ascii="宋体" w:hAnsi="宋体" w:cs="宋体"/>
                <w:color w:val="000000" w:themeColor="text1"/>
                <w:sz w:val="24"/>
                <w:highlight w:val="none"/>
                <w14:textFill>
                  <w14:solidFill>
                    <w14:schemeClr w14:val="tx1"/>
                  </w14:solidFill>
                </w14:textFill>
              </w:rPr>
              <w:t>已落实</w:t>
            </w:r>
          </w:p>
        </w:tc>
      </w:tr>
      <w:tr w14:paraId="5CDF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8" w:type="dxa"/>
            <w:vAlign w:val="center"/>
          </w:tcPr>
          <w:p w14:paraId="7897B357">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37" w:type="dxa"/>
            <w:vAlign w:val="center"/>
          </w:tcPr>
          <w:p w14:paraId="4ACF4710">
            <w:pPr>
              <w:pStyle w:val="42"/>
              <w:widowControl w:val="0"/>
              <w:spacing w:before="0" w:beforeAutospacing="0" w:after="0" w:afterAutospacing="0" w:line="400" w:lineRule="exact"/>
              <w:rPr>
                <w:rFonts w:ascii="宋体" w:hAnsi="宋体" w:cs="宋体"/>
                <w:color w:val="000000" w:themeColor="text1"/>
                <w:sz w:val="24"/>
                <w:highlight w:val="none"/>
                <w14:textFill>
                  <w14:solidFill>
                    <w14:schemeClr w14:val="tx1"/>
                  </w14:solidFill>
                </w14:textFill>
              </w:rPr>
            </w:pPr>
            <w:r>
              <w:rPr>
                <w:rFonts w:hint="eastAsia" w:eastAsia="宋体"/>
                <w:b w:val="0"/>
                <w:sz w:val="24"/>
                <w:szCs w:val="24"/>
                <w:highlight w:val="none"/>
                <w:lang w:val="zh-CN"/>
              </w:rPr>
              <w:t>采购范围</w:t>
            </w:r>
          </w:p>
        </w:tc>
        <w:tc>
          <w:tcPr>
            <w:tcW w:w="6735" w:type="dxa"/>
            <w:vAlign w:val="center"/>
          </w:tcPr>
          <w:p w14:paraId="799807C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spacing w:val="-6"/>
                <w:sz w:val="24"/>
                <w:highlight w:val="none"/>
              </w:rPr>
              <w:t>具体要求详见竞争性磋商文件</w:t>
            </w:r>
          </w:p>
        </w:tc>
      </w:tr>
      <w:tr w14:paraId="0048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08" w:type="dxa"/>
            <w:vAlign w:val="center"/>
          </w:tcPr>
          <w:p w14:paraId="7E2039F2">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37" w:type="dxa"/>
            <w:vAlign w:val="center"/>
          </w:tcPr>
          <w:p w14:paraId="02A68615">
            <w:pPr>
              <w:pStyle w:val="10"/>
              <w:spacing w:line="460" w:lineRule="atLeas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付款方式</w:t>
            </w:r>
          </w:p>
        </w:tc>
        <w:tc>
          <w:tcPr>
            <w:tcW w:w="6735" w:type="dxa"/>
            <w:vAlign w:val="center"/>
          </w:tcPr>
          <w:p w14:paraId="2B796BD7">
            <w:pPr>
              <w:snapToGrid w:val="0"/>
              <w:spacing w:line="360" w:lineRule="auto"/>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auto"/>
                <w:sz w:val="24"/>
                <w:highlight w:val="none"/>
                <w:lang w:eastAsia="zh-CN"/>
              </w:rPr>
              <w:t>合同签订后，首付合同总价款的</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%，验收合格后支付总价款的</w:t>
            </w:r>
            <w:r>
              <w:rPr>
                <w:rFonts w:hint="eastAsia" w:ascii="宋体" w:hAnsi="宋体" w:cs="宋体"/>
                <w:color w:val="auto"/>
                <w:sz w:val="24"/>
                <w:highlight w:val="none"/>
                <w:lang w:val="en-US" w:eastAsia="zh-CN"/>
              </w:rPr>
              <w:t>65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服务期满一年后</w:t>
            </w:r>
            <w:r>
              <w:rPr>
                <w:rFonts w:hint="eastAsia" w:ascii="宋体" w:hAnsi="宋体" w:cs="宋体"/>
                <w:color w:val="auto"/>
                <w:sz w:val="24"/>
                <w:highlight w:val="none"/>
                <w:lang w:eastAsia="zh-CN"/>
              </w:rPr>
              <w:t>支付合同总价款的</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p>
        </w:tc>
      </w:tr>
      <w:tr w14:paraId="3B68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08" w:type="dxa"/>
            <w:vAlign w:val="center"/>
          </w:tcPr>
          <w:p w14:paraId="4268877E">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37" w:type="dxa"/>
            <w:vAlign w:val="center"/>
          </w:tcPr>
          <w:p w14:paraId="06D7773F">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供应商资质条件</w:t>
            </w:r>
          </w:p>
        </w:tc>
        <w:tc>
          <w:tcPr>
            <w:tcW w:w="6735" w:type="dxa"/>
            <w:vAlign w:val="center"/>
          </w:tcPr>
          <w:p w14:paraId="6831221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1.满足《中华人民共和国政府采购法》第二十二条规定</w:t>
            </w:r>
          </w:p>
          <w:p w14:paraId="61C1CC7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2.落实政府采购政策需满足的资格要求：本项目</w:t>
            </w:r>
            <w:r>
              <w:rPr>
                <w:rFonts w:hint="eastAsia" w:ascii="宋体" w:hAnsi="宋体" w:eastAsia="宋体" w:cs="宋体"/>
                <w:color w:val="000000" w:themeColor="text1"/>
                <w:sz w:val="24"/>
                <w:highlight w:val="none"/>
                <w:lang w:val="zh-CN" w:eastAsia="zh-CN"/>
                <w14:textFill>
                  <w14:solidFill>
                    <w14:schemeClr w14:val="tx1"/>
                  </w14:solidFill>
                </w14:textFill>
              </w:rPr>
              <w:t>非</w:t>
            </w:r>
            <w:r>
              <w:rPr>
                <w:rFonts w:hint="eastAsia" w:ascii="宋体" w:hAnsi="宋体" w:eastAsia="宋体" w:cs="宋体"/>
                <w:color w:val="000000" w:themeColor="text1"/>
                <w:sz w:val="24"/>
                <w:highlight w:val="none"/>
                <w:lang w:val="zh-CN"/>
                <w14:textFill>
                  <w14:solidFill>
                    <w14:schemeClr w14:val="tx1"/>
                  </w14:solidFill>
                </w14:textFill>
              </w:rPr>
              <w:t xml:space="preserve">专门面向中小企业。 </w:t>
            </w:r>
          </w:p>
          <w:p w14:paraId="2EB0934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3.本项目的特定资格要求：</w:t>
            </w:r>
          </w:p>
          <w:p w14:paraId="109C1B8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（1）供应商应提供统一社会信用代码的营业执照；</w:t>
            </w:r>
          </w:p>
          <w:p w14:paraId="13209CFF">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（2）法定代表人/负责人授权委托书（附法定代表人/负责人身份证复印件）及被授权委托人身份证（法定代表人/负责人参加磋商只须提供法定代表人/负责人身份证）；</w:t>
            </w:r>
          </w:p>
          <w:p w14:paraId="21698879">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（3）提供</w:t>
            </w:r>
            <w:r>
              <w:rPr>
                <w:rFonts w:hint="eastAsia" w:ascii="宋体" w:hAnsi="宋体" w:eastAsia="宋体" w:cs="宋体"/>
                <w:color w:val="000000" w:themeColor="text1"/>
                <w:sz w:val="24"/>
                <w:highlight w:val="none"/>
                <w:lang w:val="en-US" w:eastAsia="zh-CN"/>
                <w14:textFill>
                  <w14:solidFill>
                    <w14:schemeClr w14:val="tx1"/>
                  </w14:solidFill>
                </w14:textFill>
              </w:rPr>
              <w:t>2023或</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年度经审计的财务报告或开标前六个月内其基本账户银行出具的资信证明或财政部门认可的政府采购专业担保机构出具的担保函；</w:t>
            </w:r>
          </w:p>
          <w:p w14:paraId="06703AD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（4）提供202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月以来任意</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个月依法缴纳税收和社会保险的相关证明材料；注：依法免税或不需要缴纳社会保险的供应商提供相关部门出具的证明文件；</w:t>
            </w:r>
          </w:p>
          <w:p w14:paraId="1B99DC6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（5）提供具有履行合同所必需的设备和专业技术能力的承诺；</w:t>
            </w:r>
          </w:p>
          <w:p w14:paraId="32622B0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（6）提供参加政府采购活动前3年内在经营活动中没有重大违法记录的书面声明；</w:t>
            </w:r>
          </w:p>
          <w:p w14:paraId="1321248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（7）单位负责人为同一人或者存在直接控股、管理关系的不同供应商，不得参加同一合同项下的政府采购活动；</w:t>
            </w:r>
          </w:p>
          <w:p w14:paraId="1DC0207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eastAsia="微软雅黑" w:asciiTheme="minorEastAsia" w:hAnsiTheme="minorEastAsia" w:cs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（8）磋商保证金交纳凭证。</w:t>
            </w:r>
          </w:p>
        </w:tc>
      </w:tr>
      <w:tr w14:paraId="70D8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08" w:type="dxa"/>
            <w:vAlign w:val="center"/>
          </w:tcPr>
          <w:p w14:paraId="3886A54D">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37" w:type="dxa"/>
            <w:vAlign w:val="center"/>
          </w:tcPr>
          <w:p w14:paraId="5FC417FF">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联合体竞争性磋商</w:t>
            </w:r>
          </w:p>
        </w:tc>
        <w:tc>
          <w:tcPr>
            <w:tcW w:w="6735" w:type="dxa"/>
            <w:vAlign w:val="center"/>
          </w:tcPr>
          <w:p w14:paraId="606D1B88">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不接受</w:t>
            </w:r>
          </w:p>
        </w:tc>
      </w:tr>
      <w:tr w14:paraId="3D90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08" w:type="dxa"/>
            <w:vAlign w:val="center"/>
          </w:tcPr>
          <w:p w14:paraId="14477A83">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37" w:type="dxa"/>
            <w:vAlign w:val="center"/>
          </w:tcPr>
          <w:p w14:paraId="12BFE8F3">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供应商提出问题的截止时间</w:t>
            </w:r>
          </w:p>
        </w:tc>
        <w:tc>
          <w:tcPr>
            <w:tcW w:w="6735" w:type="dxa"/>
            <w:vAlign w:val="center"/>
          </w:tcPr>
          <w:p w14:paraId="75D2D927">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磋商文件递交截止时间3日前</w:t>
            </w:r>
          </w:p>
        </w:tc>
      </w:tr>
      <w:tr w14:paraId="2299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08" w:type="dxa"/>
            <w:vAlign w:val="center"/>
          </w:tcPr>
          <w:p w14:paraId="10F048CE">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37" w:type="dxa"/>
            <w:vAlign w:val="center"/>
          </w:tcPr>
          <w:p w14:paraId="01383825">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采购代理机构答疑的时间</w:t>
            </w:r>
          </w:p>
        </w:tc>
        <w:tc>
          <w:tcPr>
            <w:tcW w:w="6735" w:type="dxa"/>
            <w:vAlign w:val="center"/>
          </w:tcPr>
          <w:p w14:paraId="038D8897">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自收到供应商疑问2日内答疑</w:t>
            </w:r>
          </w:p>
        </w:tc>
      </w:tr>
      <w:tr w14:paraId="6E29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08" w:type="dxa"/>
            <w:vAlign w:val="center"/>
          </w:tcPr>
          <w:p w14:paraId="15A84DA5">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37" w:type="dxa"/>
            <w:vAlign w:val="center"/>
          </w:tcPr>
          <w:p w14:paraId="0BA3A1D8">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分包、转包</w:t>
            </w:r>
          </w:p>
        </w:tc>
        <w:tc>
          <w:tcPr>
            <w:tcW w:w="6735" w:type="dxa"/>
            <w:vAlign w:val="center"/>
          </w:tcPr>
          <w:p w14:paraId="41386C11">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不允许</w:t>
            </w:r>
          </w:p>
        </w:tc>
      </w:tr>
      <w:tr w14:paraId="731B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08" w:type="dxa"/>
            <w:vAlign w:val="center"/>
          </w:tcPr>
          <w:p w14:paraId="5E0ACD0F">
            <w:pPr>
              <w:spacing w:line="420" w:lineRule="exact"/>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1837" w:type="dxa"/>
            <w:vAlign w:val="center"/>
          </w:tcPr>
          <w:p w14:paraId="3277A5EF">
            <w:pPr>
              <w:spacing w:line="420" w:lineRule="exact"/>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交付</w:t>
            </w:r>
            <w:r>
              <w:rPr>
                <w:rFonts w:hint="eastAsia" w:ascii="宋体" w:hAnsi="宋体" w:cs="宋体"/>
                <w:color w:val="000000" w:themeColor="text1"/>
                <w:sz w:val="24"/>
                <w:highlight w:val="none"/>
                <w:lang w:eastAsia="zh-CN"/>
                <w14:textFill>
                  <w14:solidFill>
                    <w14:schemeClr w14:val="tx1"/>
                  </w14:solidFill>
                </w14:textFill>
              </w:rPr>
              <w:t>使用</w:t>
            </w:r>
            <w:r>
              <w:rPr>
                <w:rFonts w:hint="eastAsia" w:ascii="宋体" w:hAnsi="宋体" w:cs="宋体"/>
                <w:color w:val="000000" w:themeColor="text1"/>
                <w:sz w:val="24"/>
                <w:highlight w:val="none"/>
                <w14:textFill>
                  <w14:solidFill>
                    <w14:schemeClr w14:val="tx1"/>
                  </w14:solidFill>
                </w14:textFill>
              </w:rPr>
              <w:t>期</w:t>
            </w:r>
          </w:p>
        </w:tc>
        <w:tc>
          <w:tcPr>
            <w:tcW w:w="6735" w:type="dxa"/>
            <w:vAlign w:val="center"/>
          </w:tcPr>
          <w:p w14:paraId="436AF4FA">
            <w:pPr>
              <w:spacing w:line="420" w:lineRule="exact"/>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90日历天</w:t>
            </w:r>
          </w:p>
        </w:tc>
      </w:tr>
      <w:tr w14:paraId="3CCB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08" w:type="dxa"/>
            <w:vAlign w:val="center"/>
          </w:tcPr>
          <w:p w14:paraId="1226D95A">
            <w:pPr>
              <w:spacing w:line="42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1837" w:type="dxa"/>
            <w:vAlign w:val="center"/>
          </w:tcPr>
          <w:p w14:paraId="050C784D">
            <w:pPr>
              <w:spacing w:line="42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服务保证期</w:t>
            </w:r>
          </w:p>
        </w:tc>
        <w:tc>
          <w:tcPr>
            <w:tcW w:w="6735" w:type="dxa"/>
            <w:vAlign w:val="center"/>
          </w:tcPr>
          <w:p w14:paraId="55C73706">
            <w:pPr>
              <w:spacing w:line="420" w:lineRule="exact"/>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1年</w:t>
            </w:r>
          </w:p>
        </w:tc>
      </w:tr>
      <w:tr w14:paraId="6F1E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08" w:type="dxa"/>
            <w:vAlign w:val="center"/>
          </w:tcPr>
          <w:p w14:paraId="7A913465">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1837" w:type="dxa"/>
            <w:vAlign w:val="center"/>
          </w:tcPr>
          <w:p w14:paraId="4A414DD4">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sz w:val="24"/>
                <w:highlight w:val="none"/>
                <w:lang w:val="en-US" w:eastAsia="zh-CN"/>
              </w:rPr>
              <w:t>质量标准</w:t>
            </w:r>
          </w:p>
        </w:tc>
        <w:tc>
          <w:tcPr>
            <w:tcW w:w="6735" w:type="dxa"/>
            <w:vAlign w:val="center"/>
          </w:tcPr>
          <w:p w14:paraId="4210B523">
            <w:pPr>
              <w:spacing w:line="42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合格</w:t>
            </w:r>
          </w:p>
        </w:tc>
      </w:tr>
      <w:tr w14:paraId="198D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08" w:type="dxa"/>
            <w:vAlign w:val="center"/>
          </w:tcPr>
          <w:p w14:paraId="16F58F43">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p>
        </w:tc>
        <w:tc>
          <w:tcPr>
            <w:tcW w:w="1837" w:type="dxa"/>
            <w:vAlign w:val="center"/>
          </w:tcPr>
          <w:p w14:paraId="6EE3EFB6">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磋商有效期</w:t>
            </w:r>
          </w:p>
        </w:tc>
        <w:tc>
          <w:tcPr>
            <w:tcW w:w="6735" w:type="dxa"/>
            <w:vAlign w:val="center"/>
          </w:tcPr>
          <w:p w14:paraId="461848BB">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有效期为从提交磋商响应文件的截止时间起九十（90）个日历日；磋商响应文件中必须载明磋商有效期，磋商响应文件中载明的磋商有效期可以长于磋商文件规定的期限，但不得短于磋商文件规定的期限。在有效期内磋商响应文件对磋商供应商具有法律约束力，成交供应商的磋商响应文件有效期延长至合同执行完毕。</w:t>
            </w:r>
          </w:p>
        </w:tc>
      </w:tr>
      <w:tr w14:paraId="13F3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0F7E05D6">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1837" w:type="dxa"/>
            <w:tcBorders>
              <w:top w:val="single" w:color="auto" w:sz="4" w:space="0"/>
              <w:left w:val="single" w:color="auto" w:sz="4" w:space="0"/>
              <w:bottom w:val="single" w:color="auto" w:sz="4" w:space="0"/>
              <w:right w:val="single" w:color="auto" w:sz="4" w:space="0"/>
            </w:tcBorders>
            <w:vAlign w:val="center"/>
          </w:tcPr>
          <w:p w14:paraId="04F1B610">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磋商保证金</w:t>
            </w:r>
          </w:p>
        </w:tc>
        <w:tc>
          <w:tcPr>
            <w:tcW w:w="6735" w:type="dxa"/>
            <w:tcBorders>
              <w:top w:val="single" w:color="auto" w:sz="4" w:space="0"/>
              <w:left w:val="single" w:color="auto" w:sz="4" w:space="0"/>
              <w:bottom w:val="single" w:color="auto" w:sz="4" w:space="0"/>
              <w:right w:val="single" w:color="auto" w:sz="4" w:space="0"/>
            </w:tcBorders>
            <w:vAlign w:val="center"/>
          </w:tcPr>
          <w:p w14:paraId="4E089EF8">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供应商应在磋商响应文件提交截止前（以招标代理公司到账时间为准）向</w:t>
            </w:r>
            <w:r>
              <w:rPr>
                <w:rFonts w:hint="eastAsia" w:ascii="宋体" w:hAnsi="宋体" w:cs="宋体"/>
                <w:color w:val="000000" w:themeColor="text1"/>
                <w:sz w:val="24"/>
                <w:highlight w:val="none"/>
                <w:lang w:eastAsia="zh-CN"/>
                <w14:textFill>
                  <w14:solidFill>
                    <w14:schemeClr w14:val="tx1"/>
                  </w14:solidFill>
                </w14:textFill>
              </w:rPr>
              <w:t>中智投工程管理有限公司</w:t>
            </w:r>
            <w:r>
              <w:rPr>
                <w:rFonts w:hint="eastAsia" w:ascii="宋体" w:hAnsi="宋体" w:cs="宋体"/>
                <w:color w:val="000000" w:themeColor="text1"/>
                <w:sz w:val="24"/>
                <w:highlight w:val="none"/>
                <w14:textFill>
                  <w14:solidFill>
                    <w14:schemeClr w14:val="tx1"/>
                  </w14:solidFill>
                </w14:textFill>
              </w:rPr>
              <w:t>交纳磋商保证金。保证金应当采用转账、网上银行支付或者保函等非现金形式交纳。保证金以转账、网上银行支付等方式交纳的，应从其基本账户足额交纳，以银行确认的收款账户到账时间为准；保证金以保函方式交纳的，供应商应将保函提交给</w:t>
            </w:r>
            <w:r>
              <w:rPr>
                <w:rFonts w:hint="eastAsia" w:ascii="宋体" w:hAnsi="宋体" w:cs="宋体"/>
                <w:color w:val="000000" w:themeColor="text1"/>
                <w:sz w:val="24"/>
                <w:highlight w:val="none"/>
                <w:lang w:eastAsia="zh-CN"/>
                <w14:textFill>
                  <w14:solidFill>
                    <w14:schemeClr w14:val="tx1"/>
                  </w14:solidFill>
                </w14:textFill>
              </w:rPr>
              <w:t>中智投工程管理有限公司</w:t>
            </w:r>
            <w:r>
              <w:rPr>
                <w:rFonts w:hint="eastAsia" w:ascii="宋体" w:hAnsi="宋体" w:cs="宋体"/>
                <w:color w:val="000000" w:themeColor="text1"/>
                <w:sz w:val="24"/>
                <w:highlight w:val="none"/>
                <w14:textFill>
                  <w14:solidFill>
                    <w14:schemeClr w14:val="tx1"/>
                  </w14:solidFill>
                </w14:textFill>
              </w:rPr>
              <w:t>财务部门，到账时间以财务部门开具收据时间为准。</w:t>
            </w:r>
          </w:p>
          <w:p w14:paraId="7721A469">
            <w:pPr>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保证金的金额：</w:t>
            </w:r>
            <w:r>
              <w:rPr>
                <w:rFonts w:hint="eastAsia" w:ascii="宋体" w:hAnsi="宋体" w:cs="宋体"/>
                <w:color w:val="000000" w:themeColor="text1"/>
                <w:sz w:val="24"/>
                <w:highlight w:val="none"/>
                <w:lang w:eastAsia="zh-CN"/>
                <w14:textFill>
                  <w14:solidFill>
                    <w14:schemeClr w14:val="tx1"/>
                  </w14:solidFill>
                </w14:textFill>
              </w:rPr>
              <w:t>壹万元整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000.00元）</w:t>
            </w:r>
          </w:p>
          <w:p w14:paraId="139EF198">
            <w:pPr>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收款单位：</w:t>
            </w:r>
            <w:r>
              <w:rPr>
                <w:rFonts w:hint="eastAsia" w:ascii="宋体" w:hAnsi="宋体" w:cs="宋体"/>
                <w:color w:val="auto"/>
                <w:sz w:val="24"/>
                <w:szCs w:val="24"/>
                <w:highlight w:val="none"/>
                <w:lang w:eastAsia="zh-CN"/>
              </w:rPr>
              <w:t>中智投工程管理有限公司富平县分公司</w:t>
            </w:r>
          </w:p>
          <w:p w14:paraId="2F77ABB7">
            <w:pPr>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eastAsia="宋体" w:cs="宋体"/>
                <w:color w:val="auto"/>
                <w:kern w:val="0"/>
                <w:sz w:val="24"/>
                <w:szCs w:val="22"/>
                <w:highlight w:val="none"/>
                <w:lang w:val="en-US" w:eastAsia="zh-CN"/>
              </w:rPr>
              <w:t>中国建设银行股份有限公司富平县支行</w:t>
            </w:r>
          </w:p>
          <w:p w14:paraId="5E54766D">
            <w:pPr>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w:t>
            </w:r>
            <w:r>
              <w:rPr>
                <w:rFonts w:hint="eastAsia" w:ascii="宋体" w:hAnsi="宋体" w:cs="宋体"/>
                <w:color w:val="auto"/>
                <w:sz w:val="24"/>
                <w:szCs w:val="24"/>
                <w:highlight w:val="none"/>
                <w:lang w:eastAsia="zh-CN"/>
              </w:rPr>
              <w:t>61050164830800003047</w:t>
            </w:r>
          </w:p>
          <w:p w14:paraId="7F1FB8AF">
            <w:pPr>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转账事由：</w:t>
            </w:r>
            <w:r>
              <w:rPr>
                <w:rFonts w:hint="eastAsia" w:ascii="宋体" w:hAnsi="宋体" w:cs="宋体"/>
                <w:color w:val="000000" w:themeColor="text1"/>
                <w:sz w:val="24"/>
                <w:highlight w:val="none"/>
                <w:lang w:eastAsia="zh-CN"/>
                <w14:textFill>
                  <w14:solidFill>
                    <w14:schemeClr w14:val="tx1"/>
                  </w14:solidFill>
                </w14:textFill>
              </w:rPr>
              <w:t>ZZT2025-ZFCG-0224</w:t>
            </w:r>
            <w:r>
              <w:rPr>
                <w:rFonts w:hint="eastAsia" w:ascii="宋体" w:hAnsi="宋体" w:cs="宋体"/>
                <w:color w:val="000000" w:themeColor="text1"/>
                <w:sz w:val="24"/>
                <w:highlight w:val="none"/>
                <w14:textFill>
                  <w14:solidFill>
                    <w14:schemeClr w14:val="tx1"/>
                  </w14:solidFill>
                </w14:textFill>
              </w:rPr>
              <w:t>磋商保证金</w:t>
            </w:r>
          </w:p>
          <w:p w14:paraId="328550CB">
            <w:pPr>
              <w:spacing w:line="4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磋商保证金有效期：从提交磋商响应文件的截止时间起九十（90）个日历日。</w:t>
            </w:r>
          </w:p>
        </w:tc>
      </w:tr>
      <w:tr w14:paraId="6EC2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72981FFD">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p>
        </w:tc>
        <w:tc>
          <w:tcPr>
            <w:tcW w:w="1837" w:type="dxa"/>
            <w:tcBorders>
              <w:top w:val="single" w:color="auto" w:sz="4" w:space="0"/>
              <w:left w:val="single" w:color="auto" w:sz="4" w:space="0"/>
              <w:bottom w:val="single" w:color="auto" w:sz="4" w:space="0"/>
              <w:right w:val="single" w:color="auto" w:sz="4" w:space="0"/>
            </w:tcBorders>
            <w:vAlign w:val="center"/>
          </w:tcPr>
          <w:p w14:paraId="2D91EE7E">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735" w:type="dxa"/>
            <w:tcBorders>
              <w:top w:val="single" w:color="auto" w:sz="4" w:space="0"/>
              <w:left w:val="single" w:color="auto" w:sz="4" w:space="0"/>
              <w:bottom w:val="single" w:color="auto" w:sz="4" w:space="0"/>
              <w:right w:val="single" w:color="auto" w:sz="4" w:space="0"/>
            </w:tcBorders>
            <w:vAlign w:val="center"/>
          </w:tcPr>
          <w:p w14:paraId="27213CF3">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6F8F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20F2E2F6">
            <w:pPr>
              <w:spacing w:line="42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1837" w:type="dxa"/>
            <w:tcBorders>
              <w:top w:val="single" w:color="auto" w:sz="4" w:space="0"/>
              <w:left w:val="single" w:color="auto" w:sz="4" w:space="0"/>
              <w:bottom w:val="single" w:color="auto" w:sz="4" w:space="0"/>
              <w:right w:val="single" w:color="auto" w:sz="4" w:space="0"/>
            </w:tcBorders>
            <w:vAlign w:val="center"/>
          </w:tcPr>
          <w:p w14:paraId="20DF66CE">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是否允许递交备选磋商文件方案</w:t>
            </w:r>
          </w:p>
        </w:tc>
        <w:tc>
          <w:tcPr>
            <w:tcW w:w="6735" w:type="dxa"/>
            <w:tcBorders>
              <w:top w:val="single" w:color="auto" w:sz="4" w:space="0"/>
              <w:left w:val="single" w:color="auto" w:sz="4" w:space="0"/>
              <w:bottom w:val="single" w:color="auto" w:sz="4" w:space="0"/>
              <w:right w:val="single" w:color="auto" w:sz="4" w:space="0"/>
            </w:tcBorders>
            <w:vAlign w:val="center"/>
          </w:tcPr>
          <w:p w14:paraId="17985DF4">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不允许</w:t>
            </w:r>
          </w:p>
        </w:tc>
      </w:tr>
      <w:tr w14:paraId="4956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7104BA98">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w:t>
            </w:r>
          </w:p>
        </w:tc>
        <w:tc>
          <w:tcPr>
            <w:tcW w:w="1837" w:type="dxa"/>
            <w:tcBorders>
              <w:top w:val="single" w:color="auto" w:sz="4" w:space="0"/>
              <w:left w:val="single" w:color="auto" w:sz="4" w:space="0"/>
              <w:bottom w:val="single" w:color="auto" w:sz="4" w:space="0"/>
              <w:right w:val="single" w:color="auto" w:sz="4" w:space="0"/>
            </w:tcBorders>
            <w:vAlign w:val="center"/>
          </w:tcPr>
          <w:p w14:paraId="323FC4D9">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签字或盖章要求</w:t>
            </w:r>
          </w:p>
        </w:tc>
        <w:tc>
          <w:tcPr>
            <w:tcW w:w="6735" w:type="dxa"/>
            <w:tcBorders>
              <w:top w:val="single" w:color="auto" w:sz="4" w:space="0"/>
              <w:left w:val="single" w:color="auto" w:sz="4" w:space="0"/>
              <w:bottom w:val="single" w:color="auto" w:sz="4" w:space="0"/>
              <w:right w:val="single" w:color="auto" w:sz="4" w:space="0"/>
            </w:tcBorders>
            <w:vAlign w:val="center"/>
          </w:tcPr>
          <w:p w14:paraId="5A82C007">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磋商响应文件封面、磋商函等响应文件中要求盖章签字的地方，均应按要求加盖供应商印章，并经法人或授权委托人签字或盖章。</w:t>
            </w:r>
          </w:p>
        </w:tc>
      </w:tr>
      <w:tr w14:paraId="0844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27495B68">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p>
        </w:tc>
        <w:tc>
          <w:tcPr>
            <w:tcW w:w="1837" w:type="dxa"/>
            <w:tcBorders>
              <w:top w:val="single" w:color="auto" w:sz="4" w:space="0"/>
              <w:left w:val="single" w:color="auto" w:sz="4" w:space="0"/>
              <w:bottom w:val="single" w:color="auto" w:sz="4" w:space="0"/>
              <w:right w:val="single" w:color="auto" w:sz="4" w:space="0"/>
            </w:tcBorders>
            <w:vAlign w:val="center"/>
          </w:tcPr>
          <w:p w14:paraId="67CB4067">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磋商文件份数</w:t>
            </w:r>
          </w:p>
        </w:tc>
        <w:tc>
          <w:tcPr>
            <w:tcW w:w="6735" w:type="dxa"/>
            <w:tcBorders>
              <w:top w:val="single" w:color="auto" w:sz="4" w:space="0"/>
              <w:left w:val="single" w:color="auto" w:sz="4" w:space="0"/>
              <w:bottom w:val="single" w:color="auto" w:sz="4" w:space="0"/>
              <w:right w:val="single" w:color="auto" w:sz="4" w:space="0"/>
            </w:tcBorders>
            <w:vAlign w:val="center"/>
          </w:tcPr>
          <w:p w14:paraId="602D1ECE">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一律采用书籍（胶装）方式装订。磋商响应文件正本壹份、副本贰份、电子版（U盘）贰份（word一份包含磋商响应文件所有内容）。纸质磋商响应文件建议A4纸双面打印，正、副本分别各自装订成册并编制目录和页码，单独密封。电子版放置“正本”密封袋内并加贴不掉标贴，注写磋商供应商名称。</w:t>
            </w:r>
          </w:p>
        </w:tc>
      </w:tr>
      <w:tr w14:paraId="6BA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75186FF6">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3</w:t>
            </w:r>
          </w:p>
        </w:tc>
        <w:tc>
          <w:tcPr>
            <w:tcW w:w="1837" w:type="dxa"/>
            <w:tcBorders>
              <w:top w:val="single" w:color="auto" w:sz="4" w:space="0"/>
              <w:left w:val="single" w:color="auto" w:sz="4" w:space="0"/>
              <w:bottom w:val="single" w:color="auto" w:sz="4" w:space="0"/>
              <w:right w:val="single" w:color="auto" w:sz="4" w:space="0"/>
            </w:tcBorders>
            <w:vAlign w:val="center"/>
          </w:tcPr>
          <w:p w14:paraId="34EA9728">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封套上写明</w:t>
            </w:r>
          </w:p>
        </w:tc>
        <w:tc>
          <w:tcPr>
            <w:tcW w:w="6735" w:type="dxa"/>
            <w:tcBorders>
              <w:top w:val="single" w:color="auto" w:sz="4" w:space="0"/>
              <w:left w:val="single" w:color="auto" w:sz="4" w:space="0"/>
              <w:bottom w:val="single" w:color="auto" w:sz="4" w:space="0"/>
              <w:right w:val="single" w:color="auto" w:sz="4" w:space="0"/>
            </w:tcBorders>
            <w:vAlign w:val="center"/>
          </w:tcPr>
          <w:p w14:paraId="2186DEE6">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详见磋商文件第六部分封袋正面标识式样</w:t>
            </w:r>
          </w:p>
        </w:tc>
      </w:tr>
      <w:tr w14:paraId="7AB2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323BB69D">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w:t>
            </w:r>
          </w:p>
        </w:tc>
        <w:tc>
          <w:tcPr>
            <w:tcW w:w="1837" w:type="dxa"/>
            <w:tcBorders>
              <w:top w:val="single" w:color="auto" w:sz="4" w:space="0"/>
              <w:left w:val="single" w:color="auto" w:sz="4" w:space="0"/>
              <w:bottom w:val="single" w:color="auto" w:sz="4" w:space="0"/>
              <w:right w:val="single" w:color="auto" w:sz="4" w:space="0"/>
            </w:tcBorders>
            <w:vAlign w:val="center"/>
          </w:tcPr>
          <w:p w14:paraId="787E7258">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递交磋商文件地点</w:t>
            </w:r>
          </w:p>
        </w:tc>
        <w:tc>
          <w:tcPr>
            <w:tcW w:w="6735" w:type="dxa"/>
            <w:tcBorders>
              <w:top w:val="single" w:color="auto" w:sz="4" w:space="0"/>
              <w:left w:val="single" w:color="auto" w:sz="4" w:space="0"/>
              <w:bottom w:val="single" w:color="auto" w:sz="4" w:space="0"/>
              <w:right w:val="single" w:color="auto" w:sz="4" w:space="0"/>
            </w:tcBorders>
            <w:vAlign w:val="center"/>
          </w:tcPr>
          <w:p w14:paraId="37D6E155">
            <w:pPr>
              <w:spacing w:line="420" w:lineRule="exact"/>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kern w:val="0"/>
                <w:sz w:val="24"/>
                <w:highlight w:val="none"/>
                <w:lang w:val="zh-CN" w:eastAsia="zh-CN"/>
              </w:rPr>
              <w:t>富平县杜村东街中段（县医院南门对面）浩天商务酒店8楼</w:t>
            </w:r>
          </w:p>
        </w:tc>
      </w:tr>
      <w:tr w14:paraId="7237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32AA5688">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p>
        </w:tc>
        <w:tc>
          <w:tcPr>
            <w:tcW w:w="1837" w:type="dxa"/>
            <w:tcBorders>
              <w:top w:val="single" w:color="auto" w:sz="4" w:space="0"/>
              <w:left w:val="single" w:color="auto" w:sz="4" w:space="0"/>
              <w:bottom w:val="single" w:color="auto" w:sz="4" w:space="0"/>
              <w:right w:val="single" w:color="auto" w:sz="4" w:space="0"/>
            </w:tcBorders>
            <w:vAlign w:val="center"/>
          </w:tcPr>
          <w:p w14:paraId="3597F295">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是否退还磋商文件</w:t>
            </w:r>
          </w:p>
        </w:tc>
        <w:tc>
          <w:tcPr>
            <w:tcW w:w="6735" w:type="dxa"/>
            <w:tcBorders>
              <w:top w:val="single" w:color="auto" w:sz="4" w:space="0"/>
              <w:left w:val="single" w:color="auto" w:sz="4" w:space="0"/>
              <w:bottom w:val="single" w:color="auto" w:sz="4" w:space="0"/>
              <w:right w:val="single" w:color="auto" w:sz="4" w:space="0"/>
            </w:tcBorders>
            <w:vAlign w:val="center"/>
          </w:tcPr>
          <w:p w14:paraId="081F741F">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否</w:t>
            </w:r>
          </w:p>
        </w:tc>
      </w:tr>
      <w:tr w14:paraId="2112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2770257C">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p>
        </w:tc>
        <w:tc>
          <w:tcPr>
            <w:tcW w:w="1837" w:type="dxa"/>
            <w:tcBorders>
              <w:top w:val="single" w:color="auto" w:sz="4" w:space="0"/>
              <w:left w:val="single" w:color="auto" w:sz="4" w:space="0"/>
              <w:bottom w:val="single" w:color="auto" w:sz="4" w:space="0"/>
              <w:right w:val="single" w:color="auto" w:sz="4" w:space="0"/>
            </w:tcBorders>
            <w:vAlign w:val="center"/>
          </w:tcPr>
          <w:p w14:paraId="7E4B8253">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磋商时间和地点</w:t>
            </w:r>
          </w:p>
        </w:tc>
        <w:tc>
          <w:tcPr>
            <w:tcW w:w="6735" w:type="dxa"/>
            <w:tcBorders>
              <w:top w:val="single" w:color="auto" w:sz="4" w:space="0"/>
              <w:left w:val="single" w:color="auto" w:sz="4" w:space="0"/>
              <w:bottom w:val="single" w:color="auto" w:sz="4" w:space="0"/>
              <w:right w:val="single" w:color="auto" w:sz="4" w:space="0"/>
            </w:tcBorders>
            <w:vAlign w:val="center"/>
          </w:tcPr>
          <w:p w14:paraId="0AAE311A">
            <w:pPr>
              <w:spacing w:line="420" w:lineRule="exact"/>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磋商时间：</w:t>
            </w:r>
            <w:r>
              <w:rPr>
                <w:rFonts w:hint="eastAsia" w:ascii="宋体" w:hAnsi="宋体" w:cs="宋体"/>
                <w:kern w:val="0"/>
                <w:sz w:val="24"/>
                <w:highlight w:val="none"/>
                <w:lang w:eastAsia="zh-CN"/>
              </w:rPr>
              <w:t>202</w:t>
            </w:r>
            <w:r>
              <w:rPr>
                <w:rFonts w:hint="eastAsia" w:ascii="宋体" w:hAnsi="宋体" w:cs="宋体"/>
                <w:kern w:val="0"/>
                <w:sz w:val="24"/>
                <w:highlight w:val="none"/>
                <w:lang w:val="en-US" w:eastAsia="zh-CN"/>
              </w:rPr>
              <w:t>5</w:t>
            </w:r>
            <w:r>
              <w:rPr>
                <w:rFonts w:hint="eastAsia" w:ascii="宋体" w:hAnsi="宋体" w:cs="宋体"/>
                <w:kern w:val="0"/>
                <w:sz w:val="24"/>
                <w:highlight w:val="none"/>
                <w:lang w:eastAsia="zh-CN"/>
              </w:rPr>
              <w:t>年</w:t>
            </w:r>
            <w:r>
              <w:rPr>
                <w:rFonts w:hint="eastAsia" w:ascii="宋体" w:hAnsi="宋体" w:cs="宋体"/>
                <w:kern w:val="0"/>
                <w:sz w:val="24"/>
                <w:highlight w:val="none"/>
                <w:lang w:val="en-US" w:eastAsia="zh-CN"/>
              </w:rPr>
              <w:t>04</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02</w:t>
            </w:r>
            <w:r>
              <w:rPr>
                <w:rFonts w:hint="eastAsia" w:ascii="宋体" w:hAnsi="宋体" w:cs="宋体"/>
                <w:kern w:val="0"/>
                <w:sz w:val="24"/>
                <w:highlight w:val="none"/>
                <w:lang w:eastAsia="zh-CN"/>
              </w:rPr>
              <w:t xml:space="preserve">日 </w:t>
            </w:r>
            <w:r>
              <w:rPr>
                <w:rFonts w:hint="eastAsia" w:ascii="宋体" w:hAnsi="宋体" w:cs="宋体"/>
                <w:kern w:val="0"/>
                <w:sz w:val="24"/>
                <w:highlight w:val="none"/>
                <w:lang w:val="en-US" w:eastAsia="zh-CN"/>
              </w:rPr>
              <w:t>14</w:t>
            </w:r>
            <w:r>
              <w:rPr>
                <w:rFonts w:hint="eastAsia" w:ascii="宋体" w:hAnsi="宋体" w:cs="宋体"/>
                <w:kern w:val="0"/>
                <w:sz w:val="24"/>
                <w:highlight w:val="none"/>
                <w:lang w:eastAsia="zh-CN"/>
              </w:rPr>
              <w:t>时30分00秒</w:t>
            </w:r>
          </w:p>
          <w:p w14:paraId="235FBCE5">
            <w:pPr>
              <w:spacing w:line="420" w:lineRule="exact"/>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磋商地点：</w:t>
            </w:r>
            <w:r>
              <w:rPr>
                <w:rFonts w:hint="eastAsia" w:ascii="宋体" w:hAnsi="宋体" w:cs="宋体"/>
                <w:kern w:val="0"/>
                <w:sz w:val="24"/>
                <w:highlight w:val="none"/>
                <w:lang w:val="zh-CN" w:eastAsia="zh-CN"/>
              </w:rPr>
              <w:t>富平县杜村东街中段（县医院南门对面）浩天商务酒店8楼</w:t>
            </w:r>
          </w:p>
        </w:tc>
      </w:tr>
      <w:tr w14:paraId="2498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0DA0A01E">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7</w:t>
            </w:r>
          </w:p>
        </w:tc>
        <w:tc>
          <w:tcPr>
            <w:tcW w:w="1837" w:type="dxa"/>
            <w:tcBorders>
              <w:top w:val="single" w:color="auto" w:sz="4" w:space="0"/>
              <w:left w:val="single" w:color="auto" w:sz="4" w:space="0"/>
              <w:bottom w:val="single" w:color="auto" w:sz="4" w:space="0"/>
              <w:right w:val="single" w:color="auto" w:sz="4" w:space="0"/>
            </w:tcBorders>
            <w:vAlign w:val="center"/>
          </w:tcPr>
          <w:p w14:paraId="709443C8">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磋商小组的组建</w:t>
            </w:r>
          </w:p>
        </w:tc>
        <w:tc>
          <w:tcPr>
            <w:tcW w:w="6735" w:type="dxa"/>
            <w:tcBorders>
              <w:top w:val="single" w:color="auto" w:sz="4" w:space="0"/>
              <w:left w:val="single" w:color="auto" w:sz="4" w:space="0"/>
              <w:bottom w:val="single" w:color="auto" w:sz="4" w:space="0"/>
              <w:right w:val="single" w:color="auto" w:sz="4" w:space="0"/>
            </w:tcBorders>
            <w:vAlign w:val="center"/>
          </w:tcPr>
          <w:p w14:paraId="66D27371">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磋商小组构成：专家3人；</w:t>
            </w:r>
          </w:p>
          <w:p w14:paraId="24B72762">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磋商专家确定方式：陕西省政府采购网专家库随机抽取</w:t>
            </w:r>
          </w:p>
        </w:tc>
      </w:tr>
      <w:tr w14:paraId="5497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1EAB5700">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8</w:t>
            </w:r>
          </w:p>
        </w:tc>
        <w:tc>
          <w:tcPr>
            <w:tcW w:w="1837" w:type="dxa"/>
            <w:tcBorders>
              <w:top w:val="single" w:color="auto" w:sz="4" w:space="0"/>
              <w:left w:val="single" w:color="auto" w:sz="4" w:space="0"/>
              <w:bottom w:val="single" w:color="auto" w:sz="4" w:space="0"/>
              <w:right w:val="single" w:color="auto" w:sz="4" w:space="0"/>
            </w:tcBorders>
            <w:vAlign w:val="center"/>
          </w:tcPr>
          <w:p w14:paraId="3E56252C">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是否授权磋商小组确定供应商</w:t>
            </w:r>
          </w:p>
        </w:tc>
        <w:tc>
          <w:tcPr>
            <w:tcW w:w="6735" w:type="dxa"/>
            <w:tcBorders>
              <w:top w:val="single" w:color="auto" w:sz="4" w:space="0"/>
              <w:left w:val="single" w:color="auto" w:sz="4" w:space="0"/>
              <w:bottom w:val="single" w:color="auto" w:sz="4" w:space="0"/>
              <w:right w:val="single" w:color="auto" w:sz="4" w:space="0"/>
            </w:tcBorders>
            <w:vAlign w:val="center"/>
          </w:tcPr>
          <w:p w14:paraId="1E07A610">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否</w:t>
            </w:r>
          </w:p>
        </w:tc>
      </w:tr>
      <w:tr w14:paraId="6C56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01A32B65">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9</w:t>
            </w:r>
          </w:p>
        </w:tc>
        <w:tc>
          <w:tcPr>
            <w:tcW w:w="1837" w:type="dxa"/>
            <w:tcBorders>
              <w:top w:val="single" w:color="auto" w:sz="4" w:space="0"/>
              <w:left w:val="single" w:color="auto" w:sz="4" w:space="0"/>
              <w:bottom w:val="single" w:color="auto" w:sz="4" w:space="0"/>
              <w:right w:val="single" w:color="auto" w:sz="4" w:space="0"/>
            </w:tcBorders>
            <w:vAlign w:val="center"/>
          </w:tcPr>
          <w:p w14:paraId="6610D5CA">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磋商企业的政府采购政策</w:t>
            </w:r>
          </w:p>
        </w:tc>
        <w:tc>
          <w:tcPr>
            <w:tcW w:w="6735" w:type="dxa"/>
            <w:tcBorders>
              <w:top w:val="single" w:color="auto" w:sz="4" w:space="0"/>
              <w:left w:val="single" w:color="auto" w:sz="4" w:space="0"/>
              <w:bottom w:val="single" w:color="auto" w:sz="4" w:space="0"/>
              <w:right w:val="single" w:color="auto" w:sz="4" w:space="0"/>
            </w:tcBorders>
            <w:vAlign w:val="center"/>
          </w:tcPr>
          <w:p w14:paraId="0F714258">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（1）《节能产品政府采购实施意见》（财库〔2004〕185号）；</w:t>
            </w:r>
          </w:p>
          <w:p w14:paraId="26DDB657">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 《国务院办公厅关于建立政府强制采购节能产品制度的通知》（国办发〔2007〕51号）；</w:t>
            </w:r>
          </w:p>
          <w:p w14:paraId="34E8D009">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（3）《财政部司法部关于政府采购支持监狱企业发展有关问题的通知》（财库〔2014〕68号）；</w:t>
            </w:r>
          </w:p>
          <w:p w14:paraId="7CEBC912">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（4）三部门联合发布《关于促进残疾人就业政府采购政策的通知》（财库〔2017〕141号）；</w:t>
            </w:r>
          </w:p>
          <w:p w14:paraId="02D3C17B">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（5）《财政部发展改革委生态环境部市场监管总局关于调整优化节能产品、环境标志产品政府采购执行机制的通知》（财库〔2019〕9号）；</w:t>
            </w:r>
          </w:p>
          <w:p w14:paraId="797778D1">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（6）《关于促进政府采购公平竞争优化营商环境的通知》（财库〔2019〕38号）；</w:t>
            </w:r>
          </w:p>
          <w:p w14:paraId="5248B336">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（7）《财政部农业农村部 国家乡村振兴局关于运用政府采购政策支持乡村产业振兴的通知》（财库〔2021〕19号）；</w:t>
            </w:r>
          </w:p>
          <w:p w14:paraId="50950F60">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（8）陕西省财政厅《关于进一步加强政府绿色采购有关问题的通知》（陕财办采〔2021〕29号）；</w:t>
            </w:r>
          </w:p>
          <w:p w14:paraId="4F43F9D2">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（9）陕西省财政厅关于印发《陕西省中小企业政府采购信用融资办法》（陕财办采〔2018〕23号）；</w:t>
            </w:r>
          </w:p>
          <w:p w14:paraId="0E51F594">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（10）《陕西省财政厅关于加快推进我省中小企业政府采购信用融资工作的通知》（陕财办采〔2020〕15号）；</w:t>
            </w:r>
          </w:p>
          <w:p w14:paraId="3C6A13D9">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（11）《政府采购促进中小企业发展管理办法》（财库〔2020〕46号）；</w:t>
            </w:r>
          </w:p>
          <w:p w14:paraId="0C72999B">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（12）《关于进一步加大政府采购支持中小企业力度的通知》（财库〔2022〕19号）；</w:t>
            </w:r>
          </w:p>
          <w:p w14:paraId="6D7E46D0">
            <w:pPr>
              <w:spacing w:line="24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（13）《陕西省财政厅关于进一步落实政府采购支持中小企业相关政策的通知》（陕财办采〔2023〕3号）；</w:t>
            </w:r>
          </w:p>
          <w:p w14:paraId="17F7AC67">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（14）《陕西省财政厅关于进一步优化政府采购营商环境有关事项的通知》（陕财办采（2023）4号）。</w:t>
            </w:r>
          </w:p>
        </w:tc>
      </w:tr>
      <w:tr w14:paraId="6704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18CD00D6">
            <w:pPr>
              <w:spacing w:line="42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p>
        </w:tc>
        <w:tc>
          <w:tcPr>
            <w:tcW w:w="1837" w:type="dxa"/>
            <w:tcBorders>
              <w:top w:val="single" w:color="auto" w:sz="4" w:space="0"/>
              <w:left w:val="single" w:color="auto" w:sz="4" w:space="0"/>
              <w:bottom w:val="single" w:color="auto" w:sz="4" w:space="0"/>
              <w:right w:val="single" w:color="auto" w:sz="4" w:space="0"/>
            </w:tcBorders>
            <w:vAlign w:val="center"/>
          </w:tcPr>
          <w:p w14:paraId="24240544">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招标代理费</w:t>
            </w:r>
          </w:p>
        </w:tc>
        <w:tc>
          <w:tcPr>
            <w:tcW w:w="6735" w:type="dxa"/>
            <w:tcBorders>
              <w:top w:val="single" w:color="auto" w:sz="4" w:space="0"/>
              <w:left w:val="single" w:color="auto" w:sz="4" w:space="0"/>
              <w:bottom w:val="single" w:color="auto" w:sz="4" w:space="0"/>
              <w:right w:val="single" w:color="auto" w:sz="4" w:space="0"/>
            </w:tcBorders>
            <w:vAlign w:val="center"/>
          </w:tcPr>
          <w:p w14:paraId="722C5851">
            <w:pPr>
              <w:spacing w:line="4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成交人应依据成交金额向招标代理交纳代理服务费，交费金额按照国家计委颁布的《招标代理服务收费管理暂行办法》（计价格『2002』1980号）及发改办价格『2003』857号文规定按服务类收取招标代理服务费。</w:t>
            </w:r>
          </w:p>
        </w:tc>
      </w:tr>
      <w:tr w14:paraId="440C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4643E9BF">
            <w:pPr>
              <w:spacing w:line="420" w:lineRule="exact"/>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31</w:t>
            </w:r>
          </w:p>
        </w:tc>
        <w:tc>
          <w:tcPr>
            <w:tcW w:w="1837" w:type="dxa"/>
            <w:tcBorders>
              <w:top w:val="single" w:color="auto" w:sz="4" w:space="0"/>
              <w:left w:val="single" w:color="auto" w:sz="4" w:space="0"/>
              <w:bottom w:val="single" w:color="auto" w:sz="4" w:space="0"/>
              <w:right w:val="single" w:color="auto" w:sz="4" w:space="0"/>
            </w:tcBorders>
            <w:vAlign w:val="center"/>
          </w:tcPr>
          <w:p w14:paraId="1765A02A">
            <w:pPr>
              <w:spacing w:line="42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所属行业</w:t>
            </w:r>
          </w:p>
        </w:tc>
        <w:tc>
          <w:tcPr>
            <w:tcW w:w="6735" w:type="dxa"/>
            <w:tcBorders>
              <w:top w:val="single" w:color="auto" w:sz="4" w:space="0"/>
              <w:left w:val="single" w:color="auto" w:sz="4" w:space="0"/>
              <w:bottom w:val="single" w:color="auto" w:sz="4" w:space="0"/>
              <w:right w:val="single" w:color="auto" w:sz="4" w:space="0"/>
            </w:tcBorders>
            <w:vAlign w:val="center"/>
          </w:tcPr>
          <w:p w14:paraId="3C36FB16">
            <w:pPr>
              <w:spacing w:line="420" w:lineRule="exact"/>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val="en-US" w:eastAsia="zh-CN"/>
                <w14:textFill>
                  <w14:solidFill>
                    <w14:schemeClr w14:val="tx1"/>
                  </w14:solidFill>
                </w14:textFill>
              </w:rPr>
              <w:t>软件和信息技术服务业</w:t>
            </w:r>
          </w:p>
        </w:tc>
      </w:tr>
    </w:tbl>
    <w:p w14:paraId="2C953FDD">
      <w:pP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14:paraId="4D51C333">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一、名词解释</w:t>
      </w:r>
    </w:p>
    <w:p w14:paraId="06BCC9F0">
      <w:pPr>
        <w:numPr>
          <w:ilvl w:val="0"/>
          <w:numId w:val="5"/>
        </w:numPr>
        <w:tabs>
          <w:tab w:val="left" w:pos="240"/>
        </w:tabs>
        <w:spacing w:line="460" w:lineRule="exact"/>
        <w:ind w:left="-118" w:leftChars="-56" w:firstLine="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采购人：富平县第二人民医院</w:t>
      </w:r>
    </w:p>
    <w:p w14:paraId="79AA26E7">
      <w:pPr>
        <w:numPr>
          <w:ilvl w:val="0"/>
          <w:numId w:val="5"/>
        </w:numPr>
        <w:tabs>
          <w:tab w:val="left" w:pos="240"/>
        </w:tabs>
        <w:spacing w:line="460" w:lineRule="exact"/>
        <w:ind w:left="-118" w:leftChars="-56" w:firstLine="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监督机构：</w:t>
      </w:r>
      <w:r>
        <w:rPr>
          <w:rFonts w:hint="eastAsia" w:ascii="宋体" w:hAnsi="宋体" w:cs="宋体"/>
          <w:color w:val="000000" w:themeColor="text1"/>
          <w:sz w:val="24"/>
          <w:highlight w:val="none"/>
          <w:lang w:eastAsia="zh-CN"/>
          <w14:textFill>
            <w14:solidFill>
              <w14:schemeClr w14:val="tx1"/>
            </w14:solidFill>
          </w14:textFill>
        </w:rPr>
        <w:t>富平县卫生健康局、</w:t>
      </w:r>
      <w:r>
        <w:rPr>
          <w:rFonts w:hint="eastAsia" w:ascii="宋体" w:hAnsi="宋体" w:cs="宋体"/>
          <w:color w:val="000000" w:themeColor="text1"/>
          <w:sz w:val="24"/>
          <w:highlight w:val="none"/>
          <w14:textFill>
            <w14:solidFill>
              <w14:schemeClr w14:val="tx1"/>
            </w14:solidFill>
          </w14:textFill>
        </w:rPr>
        <w:t>富平县财政局</w:t>
      </w:r>
    </w:p>
    <w:p w14:paraId="246C8A78">
      <w:pPr>
        <w:numPr>
          <w:ilvl w:val="0"/>
          <w:numId w:val="5"/>
        </w:numPr>
        <w:tabs>
          <w:tab w:val="left" w:pos="240"/>
        </w:tabs>
        <w:spacing w:line="460" w:lineRule="exact"/>
        <w:ind w:left="-118" w:leftChars="-56" w:firstLine="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w:t>
      </w:r>
      <w:r>
        <w:rPr>
          <w:rFonts w:hint="eastAsia" w:ascii="宋体" w:hAnsi="宋体" w:cs="宋体"/>
          <w:color w:val="000000" w:themeColor="text1"/>
          <w:sz w:val="24"/>
          <w:highlight w:val="none"/>
          <w:lang w:eastAsia="zh-CN"/>
          <w14:textFill>
            <w14:solidFill>
              <w14:schemeClr w14:val="tx1"/>
            </w14:solidFill>
          </w14:textFill>
        </w:rPr>
        <w:t>中智投工程管理有限公司</w:t>
      </w:r>
    </w:p>
    <w:p w14:paraId="5D06601D">
      <w:pPr>
        <w:numPr>
          <w:ilvl w:val="0"/>
          <w:numId w:val="5"/>
        </w:numPr>
        <w:tabs>
          <w:tab w:val="left" w:pos="240"/>
        </w:tabs>
        <w:spacing w:line="460" w:lineRule="exact"/>
        <w:ind w:left="-118" w:leftChars="-56" w:firstLine="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磋商供应商：满足本次磋商要求具有相应资质和完成项目能力的供应商</w:t>
      </w:r>
    </w:p>
    <w:p w14:paraId="5399B72E">
      <w:pPr>
        <w:numPr>
          <w:ilvl w:val="0"/>
          <w:numId w:val="5"/>
        </w:numPr>
        <w:tabs>
          <w:tab w:val="left" w:pos="240"/>
        </w:tabs>
        <w:spacing w:line="460" w:lineRule="exact"/>
        <w:ind w:left="-118" w:leftChars="-56" w:firstLine="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成交供应商：由磋商小组推荐经采购人确认的磋商供应商</w:t>
      </w:r>
    </w:p>
    <w:p w14:paraId="0ADE621E">
      <w:pPr>
        <w:numPr>
          <w:ilvl w:val="0"/>
          <w:numId w:val="5"/>
        </w:numPr>
        <w:tabs>
          <w:tab w:val="left" w:pos="240"/>
        </w:tabs>
        <w:spacing w:line="460" w:lineRule="exact"/>
        <w:ind w:left="-118" w:leftChars="-56" w:firstLine="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近3年：从202</w:t>
      </w:r>
      <w:r>
        <w:rPr>
          <w:rFonts w:hint="eastAsia" w:ascii="宋体" w:hAnsi="宋体" w:cs="宋体"/>
          <w:color w:val="000000" w:themeColor="text1"/>
          <w:spacing w:val="6"/>
          <w:sz w:val="24"/>
          <w:highlight w:val="none"/>
          <w:lang w:val="en-US" w:eastAsia="zh-CN"/>
          <w14:textFill>
            <w14:solidFill>
              <w14:schemeClr w14:val="tx1"/>
            </w14:solidFill>
          </w14:textFill>
        </w:rPr>
        <w:t>2</w:t>
      </w:r>
      <w:r>
        <w:rPr>
          <w:rFonts w:hint="eastAsia" w:ascii="宋体" w:hAnsi="宋体" w:cs="宋体"/>
          <w:color w:val="000000" w:themeColor="text1"/>
          <w:spacing w:val="6"/>
          <w:sz w:val="24"/>
          <w:highlight w:val="none"/>
          <w14:textFill>
            <w14:solidFill>
              <w14:schemeClr w14:val="tx1"/>
            </w14:solidFill>
          </w14:textFill>
        </w:rPr>
        <w:t>年</w:t>
      </w:r>
      <w:r>
        <w:rPr>
          <w:rFonts w:hint="eastAsia" w:ascii="宋体" w:hAnsi="宋体" w:cs="宋体"/>
          <w:color w:val="000000" w:themeColor="text1"/>
          <w:spacing w:val="6"/>
          <w:sz w:val="24"/>
          <w:highlight w:val="none"/>
          <w:lang w:val="en-US" w:eastAsia="zh-CN"/>
          <w14:textFill>
            <w14:solidFill>
              <w14:schemeClr w14:val="tx1"/>
            </w14:solidFill>
          </w14:textFill>
        </w:rPr>
        <w:t>01</w:t>
      </w:r>
      <w:r>
        <w:rPr>
          <w:rFonts w:hint="eastAsia" w:ascii="宋体" w:hAnsi="宋体" w:cs="宋体"/>
          <w:color w:val="000000" w:themeColor="text1"/>
          <w:spacing w:val="6"/>
          <w:sz w:val="24"/>
          <w:highlight w:val="none"/>
          <w14:textFill>
            <w14:solidFill>
              <w14:schemeClr w14:val="tx1"/>
            </w14:solidFill>
          </w14:textFill>
        </w:rPr>
        <w:t>月至本项目磋商响应文件递交截止</w:t>
      </w:r>
      <w:r>
        <w:rPr>
          <w:rFonts w:hint="eastAsia" w:ascii="宋体" w:hAnsi="宋体" w:cs="宋体"/>
          <w:color w:val="000000" w:themeColor="text1"/>
          <w:sz w:val="24"/>
          <w:highlight w:val="none"/>
          <w14:textFill>
            <w14:solidFill>
              <w14:schemeClr w14:val="tx1"/>
            </w14:solidFill>
          </w14:textFill>
        </w:rPr>
        <w:t>时间止</w:t>
      </w:r>
    </w:p>
    <w:p w14:paraId="563F6D38">
      <w:pPr>
        <w:spacing w:before="120" w:beforeLines="50"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二、磋商供应商</w:t>
      </w:r>
    </w:p>
    <w:p w14:paraId="5E77932A">
      <w:pPr>
        <w:spacing w:before="120" w:beforeLines="50"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1.合格磋商供应商</w:t>
      </w:r>
    </w:p>
    <w:p w14:paraId="65CB1014">
      <w:pPr>
        <w:spacing w:line="460" w:lineRule="exact"/>
        <w:ind w:left="1078" w:leftChars="172" w:hanging="717" w:hangingChars="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1C8A1887">
      <w:pPr>
        <w:spacing w:line="460" w:lineRule="exact"/>
        <w:ind w:left="1078" w:leftChars="172" w:hanging="717" w:hangingChars="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5E9C4F2B">
      <w:pPr>
        <w:spacing w:line="460" w:lineRule="exact"/>
        <w:ind w:left="1078" w:leftChars="172" w:hanging="717" w:hangingChars="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（3）具有履行合同所必需的设计和专业技术能力</w:t>
      </w:r>
    </w:p>
    <w:p w14:paraId="49C9B59D">
      <w:pPr>
        <w:spacing w:line="460" w:lineRule="exact"/>
        <w:ind w:left="1078" w:leftChars="172" w:hanging="717" w:hangingChars="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40E5802C">
      <w:pPr>
        <w:spacing w:line="460" w:lineRule="exact"/>
        <w:ind w:left="1078" w:leftChars="172" w:hanging="717" w:hangingChars="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9BA2727">
      <w:pPr>
        <w:spacing w:line="460" w:lineRule="exact"/>
        <w:ind w:left="1078" w:leftChars="172" w:hanging="717" w:hangingChars="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（6）法律、行政法规规定的其它条件</w:t>
      </w:r>
    </w:p>
    <w:p w14:paraId="671D00BD">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2.磋商委托</w:t>
      </w:r>
    </w:p>
    <w:p w14:paraId="48F1EE99">
      <w:pPr>
        <w:spacing w:line="46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如磋商供应商代表不是法定代表人</w:t>
      </w:r>
      <w:r>
        <w:rPr>
          <w:rFonts w:hint="eastAsia" w:ascii="宋体" w:hAnsi="宋体" w:cs="宋体"/>
          <w:b/>
          <w:bCs/>
          <w:color w:val="000000" w:themeColor="text1"/>
          <w:sz w:val="24"/>
          <w:highlight w:val="none"/>
          <w:lang w:val="en-US" w:eastAsia="zh-CN"/>
          <w14:textFill>
            <w14:solidFill>
              <w14:schemeClr w14:val="tx1"/>
            </w14:solidFill>
          </w14:textFill>
        </w:rPr>
        <w:t>/负责人</w:t>
      </w:r>
      <w:r>
        <w:rPr>
          <w:rFonts w:hint="eastAsia" w:ascii="宋体" w:hAnsi="宋体" w:cs="宋体"/>
          <w:b/>
          <w:bCs/>
          <w:color w:val="000000" w:themeColor="text1"/>
          <w:sz w:val="24"/>
          <w:highlight w:val="none"/>
          <w14:textFill>
            <w14:solidFill>
              <w14:schemeClr w14:val="tx1"/>
            </w14:solidFill>
          </w14:textFill>
        </w:rPr>
        <w:t>，须持有《法定代表人</w:t>
      </w:r>
      <w:r>
        <w:rPr>
          <w:rFonts w:hint="eastAsia" w:ascii="宋体" w:hAnsi="宋体" w:cs="宋体"/>
          <w:b/>
          <w:bCs/>
          <w:color w:val="000000" w:themeColor="text1"/>
          <w:sz w:val="24"/>
          <w:highlight w:val="none"/>
          <w:lang w:val="en-US" w:eastAsia="zh-CN"/>
          <w14:textFill>
            <w14:solidFill>
              <w14:schemeClr w14:val="tx1"/>
            </w14:solidFill>
          </w14:textFill>
        </w:rPr>
        <w:t>/负责人</w:t>
      </w:r>
      <w:r>
        <w:rPr>
          <w:rFonts w:hint="eastAsia" w:ascii="宋体" w:hAnsi="宋体" w:cs="宋体"/>
          <w:b/>
          <w:bCs/>
          <w:color w:val="000000" w:themeColor="text1"/>
          <w:sz w:val="24"/>
          <w:highlight w:val="none"/>
          <w14:textFill>
            <w14:solidFill>
              <w14:schemeClr w14:val="tx1"/>
            </w14:solidFill>
          </w14:textFill>
        </w:rPr>
        <w:t>授权书》。</w:t>
      </w:r>
    </w:p>
    <w:p w14:paraId="7C71DC5A">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3.磋商费用</w:t>
      </w:r>
    </w:p>
    <w:p w14:paraId="3D84C683">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无论磋商结果如何，磋商供应商自行承担参加磋商相关的全部费用。</w:t>
      </w:r>
    </w:p>
    <w:p w14:paraId="7A817843">
      <w:pPr>
        <w:spacing w:before="120" w:beforeLines="5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三、磋商文件</w:t>
      </w:r>
    </w:p>
    <w:p w14:paraId="5C1DC7E5">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1.磋商文件</w:t>
      </w:r>
    </w:p>
    <w:p w14:paraId="2586F59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文件由磋商文件总目录所列内容组成；磋商供应商应详细阅读磋商文件中所有的事项、格式、条款和规范要求,在磋商响应文件中对磋商文件的各方面都应做出实质性的响应，按照磋商文件的要求提交全部资料。</w:t>
      </w:r>
    </w:p>
    <w:p w14:paraId="0711AC9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（2）采购项目需要落实的政府采购政策：依据《中华人民共和国政府采购法》和《中华人民共和国政府采购实施条例》的有关规定，落实政府采购政策：</w:t>
      </w:r>
    </w:p>
    <w:p w14:paraId="40A38637">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1）《节能产品政府采购实施意见》（财库〔2004〕185号）；</w:t>
      </w:r>
    </w:p>
    <w:p w14:paraId="67A31437">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 xml:space="preserve">2）《环境标志产品政府采购实施的意见》（财库〔2006〕90号）； </w:t>
      </w:r>
    </w:p>
    <w:p w14:paraId="0CF8DB7F">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 xml:space="preserve">3）《国务院办公厅关于建立政府强制采购节能产品制度的通知》（国办发〔2007〕51号）； </w:t>
      </w:r>
    </w:p>
    <w:p w14:paraId="2A46F47B">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 xml:space="preserve">4）《财政部司法部关于政府采购支持监狱企业发展有关问题的通知》（财库〔2014〕68号）； </w:t>
      </w:r>
    </w:p>
    <w:p w14:paraId="13122975">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 xml:space="preserve">5）三部门联合发布《关于促进残疾人就业政府采购政策的通知》（财库〔2017〕141号）； </w:t>
      </w:r>
    </w:p>
    <w:p w14:paraId="1CB797B8">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 xml:space="preserve">6）陕西省财政厅关于印发《陕西省中小企业政府采购信用融资办法》（陕财办采〔2018〕23号）； </w:t>
      </w:r>
    </w:p>
    <w:p w14:paraId="57AE3AA3">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 xml:space="preserve">7）《财政部发展改革委生态环境部市场监管总局关于调整优化节能产品、环境标志产品政府采购执行机制的通知》（财库〔2019〕9号）； </w:t>
      </w:r>
    </w:p>
    <w:p w14:paraId="4E721785">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8）《陕西省财政厅关于加快推进我省中小企业政府采购信用融资工作的通知》（陕财办采〔2020〕15号）；</w:t>
      </w:r>
    </w:p>
    <w:p w14:paraId="17967DD6">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9）《政府采购促进中小企业发展管理办法》（财库〔2020〕46号）；</w:t>
      </w:r>
    </w:p>
    <w:p w14:paraId="44DFAF46">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10）《财政部 农业农村部 国家乡村振兴局关于运用政府采购政策支持乡村产业振兴的通知》（财库〔2021〕19号）；</w:t>
      </w:r>
    </w:p>
    <w:p w14:paraId="54EC261D">
      <w:pPr>
        <w:widowControl/>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highlight w:val="none"/>
        </w:rPr>
        <w:t>11）陕西省财政厅《关于进一步加强政府绿色采购有关问题的通知》陕财办采〔2021〕29号。</w:t>
      </w:r>
    </w:p>
    <w:p w14:paraId="56878429">
      <w:pPr>
        <w:spacing w:line="360" w:lineRule="auto"/>
        <w:ind w:firstLine="426"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2．磋商文件的澄清</w:t>
      </w:r>
    </w:p>
    <w:p w14:paraId="4330DCEB">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要求对磋商文件进行澄清的磋商供应商，均应在磋商截止期三日前按磋商文件中的通讯地址以书面形式通知采购代理机构，采购代理机构对收到的书面澄清将以书面形式在磋商截止期前予以答复，并通知其它购买磋商文件的磋商供应商。</w:t>
      </w:r>
      <w:r>
        <w:rPr>
          <w:rFonts w:hint="eastAsia" w:ascii="宋体" w:hAnsi="宋体" w:cs="宋体"/>
          <w:bCs/>
          <w:color w:val="000000" w:themeColor="text1"/>
          <w:sz w:val="24"/>
          <w:highlight w:val="none"/>
          <w14:textFill>
            <w14:solidFill>
              <w14:schemeClr w14:val="tx1"/>
            </w14:solidFill>
          </w14:textFill>
        </w:rPr>
        <w:t>对磋商文件中有难以理解或参数有疑义的内容，须在规定时间内提交书面资料，否则视为对磋商文件再无疑义，因此带来的一切不利后果由磋商供应商自负。</w:t>
      </w:r>
    </w:p>
    <w:p w14:paraId="58A74BA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2.1质疑和投诉（供应商须在法定质疑期内一次性提出针对同一采购程序环节的质疑）。</w:t>
      </w:r>
    </w:p>
    <w:p w14:paraId="10F687DE">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p>
    <w:p w14:paraId="4FB6589A">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质疑函应当包括以下主要内容：供应商的姓名或者名称、地址、邮编、联系人及联系电话；质疑项目的名称、编号；具体、明确的质疑事项和与质疑事项相关的请求；事实依据；必要的法律依据；提出质疑的日期。</w:t>
      </w:r>
    </w:p>
    <w:p w14:paraId="7F760CE7">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18DC1CC8">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2.4有下列情形之一的，属于无效质疑，代理机构和采购人不予受理：</w:t>
      </w:r>
    </w:p>
    <w:p w14:paraId="162B0D24">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（1）质疑人不是参与本次政府采购项目的供应商或潜在供应商；</w:t>
      </w:r>
    </w:p>
    <w:p w14:paraId="15287B06">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（2）质疑人与质疑事项不存在利害关系的；</w:t>
      </w:r>
    </w:p>
    <w:p w14:paraId="43AE0A21">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（3）未在法定期限内提出质疑的；</w:t>
      </w:r>
    </w:p>
    <w:p w14:paraId="402A8824">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（4）质疑未以书面形式提出，或质疑函主要内容构成不完整的，或缺乏必要的证明材料及证明材料不完整的；</w:t>
      </w:r>
    </w:p>
    <w:p w14:paraId="20301128">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（5）质疑函没有合法有效的签字、盖章或授权的；</w:t>
      </w:r>
    </w:p>
    <w:p w14:paraId="11512434">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（6）以非法手段取得证据、材料的；</w:t>
      </w:r>
    </w:p>
    <w:p w14:paraId="280A4452">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（7）质疑答复后，同一质疑人就同一事项再次提出质疑的；</w:t>
      </w:r>
    </w:p>
    <w:p w14:paraId="5755E4AD">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（8）不符合法律、法规、规章和政府采购监管机构规定的其他条件的。</w:t>
      </w:r>
    </w:p>
    <w:p w14:paraId="7D655902">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2.5代理机构或采购人将在收到书面质疑后7个工作日内做出答复，并以书面形式通知质疑人和其他有关供应商。</w:t>
      </w:r>
    </w:p>
    <w:p w14:paraId="62FF7491">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2.6质疑人对代理机构或采购人的答复不满意，以及代理机构或采购人未在规定时间内做出答复的，可以在答复期满后15个工作日内向政府采购监管机构提出投诉。</w:t>
      </w:r>
    </w:p>
    <w:p w14:paraId="1D152306">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2.7供应商投诉的事项不得超出已质疑事项的范围。</w:t>
      </w:r>
    </w:p>
    <w:p w14:paraId="5D31D2DC">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2.8对捏造事实、提供虚假材料进行质疑、投诉的行为予以严肃处理：</w:t>
      </w:r>
    </w:p>
    <w:p w14:paraId="560DA42B">
      <w:pPr>
        <w:pStyle w:val="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3CF675D2">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2.9对捏造事实诬告陷害他人、诽谤他人的法律适用：</w:t>
      </w:r>
    </w:p>
    <w:p w14:paraId="6C04B769">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《中华人民共和国刑法》第243条【诬告陷害罪】捏造事实诬告陷害他人，意图使他人受刑事追究，情节严重的，处三年以下有期徒刑、拘役或者管制；造成严重后果的，处三年以上十年以下有期徒刑。</w:t>
      </w:r>
    </w:p>
    <w:p w14:paraId="4126BEFF">
      <w:pPr>
        <w:pStyle w:val="8"/>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《中华人民共和国刑法》第246条【侮辱罪、诽谤罪】以暴力或者其他方法公然侮辱他人或者捏造事实诽谤他人，情节严重的，处三年以下有期徒刑、拘役、管制或者剥夺政治权利。</w:t>
      </w:r>
    </w:p>
    <w:p w14:paraId="42D32A35">
      <w:pPr>
        <w:jc w:val="center"/>
        <w:rPr>
          <w:rFonts w:ascii="宋体" w:hAnsi="宋体" w:cs="宋体"/>
          <w:b/>
          <w:bCs/>
          <w:color w:val="000000" w:themeColor="text1"/>
          <w:sz w:val="28"/>
          <w:szCs w:val="28"/>
          <w:highlight w:val="none"/>
          <w14:textFill>
            <w14:solidFill>
              <w14:schemeClr w14:val="tx1"/>
            </w14:solidFill>
          </w14:textFill>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p>
    <w:p w14:paraId="549B290F">
      <w:pPr>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附件：质疑函范本</w:t>
      </w:r>
    </w:p>
    <w:tbl>
      <w:tblPr>
        <w:tblStyle w:val="21"/>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6"/>
      </w:tblGrid>
      <w:tr w14:paraId="089B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9" w:hRule="atLeast"/>
        </w:trPr>
        <w:tc>
          <w:tcPr>
            <w:tcW w:w="9456" w:type="dxa"/>
          </w:tcPr>
          <w:p w14:paraId="623F783F">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一、质疑供应商基本信息</w:t>
            </w:r>
          </w:p>
          <w:p w14:paraId="780547E7">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质疑供应商</w:t>
            </w:r>
          </w:p>
          <w:p w14:paraId="0CE8FFCD">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                                       邮编：</w:t>
            </w:r>
          </w:p>
          <w:p w14:paraId="69095F7C">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                                     联系电话</w:t>
            </w:r>
          </w:p>
          <w:p w14:paraId="39D7AC1D">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w:t>
            </w:r>
          </w:p>
          <w:p w14:paraId="4BAB64BC">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w:t>
            </w:r>
          </w:p>
          <w:p w14:paraId="5AD290D2">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                                       邮编：</w:t>
            </w:r>
          </w:p>
          <w:p w14:paraId="3E158C4D">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二、质疑项目基本情况</w:t>
            </w:r>
          </w:p>
          <w:p w14:paraId="272940E7">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质疑项目的名称：</w:t>
            </w:r>
          </w:p>
          <w:p w14:paraId="2410B6B9">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质疑项目的编号：</w:t>
            </w:r>
          </w:p>
          <w:p w14:paraId="1E2517CA">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包号：</w:t>
            </w:r>
          </w:p>
          <w:p w14:paraId="152F68B0">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采购人名称：</w:t>
            </w:r>
          </w:p>
          <w:p w14:paraId="57F502D2">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采购文件获取日期：</w:t>
            </w:r>
          </w:p>
          <w:p w14:paraId="491BE80F">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三、质疑项目具体内容</w:t>
            </w:r>
          </w:p>
          <w:p w14:paraId="0407853F">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质疑事项1：</w:t>
            </w:r>
          </w:p>
          <w:p w14:paraId="55B861DA">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事实依据：</w:t>
            </w:r>
          </w:p>
          <w:p w14:paraId="25959B4A">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法律依据</w:t>
            </w:r>
          </w:p>
          <w:p w14:paraId="3B3F32E8">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质疑事项2：</w:t>
            </w:r>
          </w:p>
          <w:p w14:paraId="388E6909">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四、与质疑事项相关的质疑请求</w:t>
            </w:r>
          </w:p>
          <w:p w14:paraId="4499CC1F">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请求：</w:t>
            </w:r>
          </w:p>
          <w:p w14:paraId="5CCB514D">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签字（签章）：                          公章：</w:t>
            </w:r>
          </w:p>
          <w:p w14:paraId="200F13DC">
            <w:pPr>
              <w:pStyle w:val="8"/>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tc>
      </w:tr>
    </w:tbl>
    <w:p w14:paraId="5C43D053">
      <w:pPr>
        <w:pStyle w:val="27"/>
        <w:rPr>
          <w:color w:val="000000" w:themeColor="text1"/>
          <w:highlight w:val="none"/>
          <w14:textFill>
            <w14:solidFill>
              <w14:schemeClr w14:val="tx1"/>
            </w14:solidFill>
          </w14:textFill>
        </w:rPr>
      </w:pPr>
    </w:p>
    <w:p w14:paraId="4252C2DA">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3．磋商文件的修改</w:t>
      </w:r>
    </w:p>
    <w:p w14:paraId="18D60E9E">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代理机构对已发出的磋商文件进行必要澄清或者修改的，在磋商文件要求提交磋商响应文件截止时间五日前，以书面形式通知所有购买磋商文件的磋商供应商，该澄清或者修改的内容作为磋商文件的组成部分，与其具有同等法律效力；</w:t>
      </w:r>
    </w:p>
    <w:p w14:paraId="2EE9BA00">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方便磋商供应商对磋商文件修改或澄清内容有充分的时间进行补充修改，采购代理机构可延长磋商截止时间和磋商时间，均应在磋商文件要求提交磋商响应文件的截止时间五日前，将变更时间书面通知所有购买磋商文件的磋商供应商。</w:t>
      </w:r>
    </w:p>
    <w:p w14:paraId="7E148D4F">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4.磋商文件的购买</w:t>
      </w:r>
    </w:p>
    <w:p w14:paraId="2A6FA960">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磋商供应商必须从采购代理机构购买磋商文件，磋商供应商自行转让或复制的磋商文件视为无效文件；磋商文件一经售出，一律不退，仅作为本次磋商使用。</w:t>
      </w:r>
    </w:p>
    <w:p w14:paraId="6CD2EC2B">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5.磋商的处理依据</w:t>
      </w:r>
    </w:p>
    <w:p w14:paraId="5D08A0A7">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根据《中华人民共和国政府采购法》和《政府采购竞争性磋商采购方式管理暂行办法》的条款，本着公开、公平、公正的原则进行处理。</w:t>
      </w:r>
    </w:p>
    <w:p w14:paraId="5561A994">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6.解释权归属</w:t>
      </w:r>
    </w:p>
    <w:p w14:paraId="23684EA5">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本次磋商文件的解释权归采购代理机构。</w:t>
      </w:r>
    </w:p>
    <w:p w14:paraId="112411D0">
      <w:pPr>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四、磋商要求</w:t>
      </w:r>
    </w:p>
    <w:p w14:paraId="7187F65B">
      <w:pPr>
        <w:spacing w:line="360" w:lineRule="auto"/>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1.磋商内容</w:t>
      </w:r>
    </w:p>
    <w:p w14:paraId="6AF38BC9">
      <w:pPr>
        <w:kinsoku w:val="0"/>
        <w:spacing w:line="360" w:lineRule="auto"/>
        <w:ind w:firstLine="480"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本次磋商为：</w:t>
      </w:r>
      <w:r>
        <w:rPr>
          <w:rFonts w:hint="eastAsia" w:ascii="宋体" w:hAnsi="宋体" w:cs="宋体"/>
          <w:color w:val="000000" w:themeColor="text1"/>
          <w:sz w:val="24"/>
          <w:highlight w:val="none"/>
          <w:lang w:val="en-US" w:eastAsia="zh-CN"/>
          <w14:textFill>
            <w14:solidFill>
              <w14:schemeClr w14:val="tx1"/>
            </w14:solidFill>
          </w14:textFill>
        </w:rPr>
        <w:t>富平县第二人民医院信息化升级改造项目</w:t>
      </w:r>
      <w:r>
        <w:rPr>
          <w:rFonts w:hint="eastAsia" w:ascii="宋体" w:hAnsi="宋体" w:cs="宋体"/>
          <w:color w:val="000000" w:themeColor="text1"/>
          <w:sz w:val="24"/>
          <w:highlight w:val="none"/>
          <w14:textFill>
            <w14:solidFill>
              <w14:schemeClr w14:val="tx1"/>
            </w14:solidFill>
          </w14:textFill>
        </w:rPr>
        <w:t>。磋商供应商可根据自身的资质情况和经营范围对项目进行磋商，不得将其子目再行分解或只响应其中的一部分内容，否则磋商无效；开标、阅标、磋商、成交、签订合同均以项目为单位进行。</w:t>
      </w:r>
    </w:p>
    <w:p w14:paraId="2D095AB0">
      <w:pPr>
        <w:kinsoku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2.磋商供应商须提交以下资质证明文件：</w:t>
      </w:r>
    </w:p>
    <w:p w14:paraId="3104B50C">
      <w:pPr>
        <w:widowControl/>
        <w:spacing w:line="480" w:lineRule="auto"/>
        <w:ind w:firstLine="480" w:firstLineChars="200"/>
        <w:contextualSpacing/>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 （1）供应商应提供统一社会信用代码的营业执照；</w:t>
      </w:r>
    </w:p>
    <w:p w14:paraId="077B6806">
      <w:pPr>
        <w:widowControl/>
        <w:spacing w:line="480" w:lineRule="auto"/>
        <w:ind w:firstLine="480" w:firstLineChars="200"/>
        <w:contextualSpacing/>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（2）法定代表人/负责人授权委托书（附法定代表人/负责人身份证复印件）及被授权委托人身份证（法定代表人/负责人参加磋商只须提供法定代表人/负责人身份证）；</w:t>
      </w:r>
    </w:p>
    <w:p w14:paraId="07DD37DE">
      <w:pPr>
        <w:widowControl/>
        <w:spacing w:line="480" w:lineRule="auto"/>
        <w:ind w:firstLine="480" w:firstLineChars="200"/>
        <w:contextualSpacing/>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（3）提供2023或2024年度经审计的财务报告或开标前六个月内其基本账户银行出具的资信证明或财政部门认可的政府采购专业担保机构出具的担保函；</w:t>
      </w:r>
    </w:p>
    <w:p w14:paraId="0DAF77C1">
      <w:pPr>
        <w:widowControl/>
        <w:spacing w:line="480" w:lineRule="auto"/>
        <w:ind w:firstLine="480" w:firstLineChars="200"/>
        <w:contextualSpacing/>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（4）提供2024年3月以来任意1个月依法缴纳税收和社会保险的相关证明材料；注：依法免税或不需要缴纳社会保险的供应商提供相关部门出具的证明文件；</w:t>
      </w:r>
    </w:p>
    <w:p w14:paraId="43770A99">
      <w:pPr>
        <w:widowControl/>
        <w:spacing w:line="480" w:lineRule="auto"/>
        <w:ind w:firstLine="480" w:firstLineChars="200"/>
        <w:contextualSpacing/>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（5）提供具有履行合同所必需的设备和专业技术能力的承诺；</w:t>
      </w:r>
    </w:p>
    <w:p w14:paraId="61005275">
      <w:pPr>
        <w:widowControl/>
        <w:spacing w:line="480" w:lineRule="auto"/>
        <w:ind w:firstLine="480" w:firstLineChars="200"/>
        <w:contextualSpacing/>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（6）提供参加政府采购活动前3年内在经营活动中没有重大违法记录的书面声明；</w:t>
      </w:r>
    </w:p>
    <w:p w14:paraId="7D4BE6A9">
      <w:pPr>
        <w:widowControl/>
        <w:spacing w:line="480" w:lineRule="auto"/>
        <w:ind w:firstLine="480" w:firstLineChars="200"/>
        <w:contextualSpacing/>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（7）单位负责人为同一人或者存在直接控股、管理关系的不同供应商，不得参加同一合同项下的政府采购活动；</w:t>
      </w:r>
    </w:p>
    <w:p w14:paraId="5E66EFF6">
      <w:pPr>
        <w:widowControl/>
        <w:spacing w:line="480" w:lineRule="auto"/>
        <w:ind w:firstLine="480" w:firstLineChars="200"/>
        <w:contextualSpacing/>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（8）磋商保证金交纳凭证。</w:t>
      </w:r>
    </w:p>
    <w:p w14:paraId="78ADCF9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注：上述1-</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项资格证明材料为必备材料</w:t>
      </w:r>
      <w:r>
        <w:rPr>
          <w:rFonts w:hint="eastAsia" w:ascii="宋体" w:hAnsi="宋体" w:cs="宋体"/>
          <w:b/>
          <w:color w:val="000000" w:themeColor="text1"/>
          <w:sz w:val="24"/>
          <w:highlight w:val="none"/>
          <w14:textFill>
            <w14:solidFill>
              <w14:schemeClr w14:val="tx1"/>
            </w14:solidFill>
          </w14:textFill>
        </w:rPr>
        <w:t>，缺一项或某项达不到要求的按无效文件处理。</w:t>
      </w:r>
    </w:p>
    <w:p w14:paraId="5A0E657F">
      <w:pPr>
        <w:spacing w:line="360" w:lineRule="auto"/>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3.磋商响应文件的编制</w:t>
      </w:r>
    </w:p>
    <w:p w14:paraId="23DF75D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磋商响应文件须根据磋商文件提供的内容及格式编制，并对磋商文件做出实质性响应；具体内容包括：</w:t>
      </w:r>
    </w:p>
    <w:p w14:paraId="7582479E">
      <w:pPr>
        <w:tabs>
          <w:tab w:val="left" w:pos="1080"/>
        </w:tabs>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（1）按照格式要求填写的磋商函；</w:t>
      </w:r>
    </w:p>
    <w:p w14:paraId="5A790DAD">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（2）报价一览表、商务偏离表、技术偏离表；</w:t>
      </w:r>
    </w:p>
    <w:p w14:paraId="4D165033">
      <w:pPr>
        <w:tabs>
          <w:tab w:val="left" w:pos="1080"/>
        </w:tabs>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（3）按要求出具的资质文件；</w:t>
      </w:r>
    </w:p>
    <w:p w14:paraId="2523EF23">
      <w:pPr>
        <w:tabs>
          <w:tab w:val="left" w:pos="1080"/>
        </w:tabs>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lang w:val="en-US" w:eastAsia="zh-CN"/>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证明书或法定代表人</w:t>
      </w:r>
      <w:r>
        <w:rPr>
          <w:rFonts w:hint="eastAsia" w:ascii="宋体" w:hAnsi="宋体" w:cs="宋体"/>
          <w:color w:val="000000" w:themeColor="text1"/>
          <w:sz w:val="24"/>
          <w:highlight w:val="none"/>
          <w:lang w:val="en-US" w:eastAsia="zh-CN"/>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授权委托书；</w:t>
      </w:r>
    </w:p>
    <w:p w14:paraId="74ABE275">
      <w:pPr>
        <w:tabs>
          <w:tab w:val="left" w:pos="1080"/>
        </w:tabs>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（5）磋商供应商的磋商方案： </w:t>
      </w:r>
    </w:p>
    <w:p w14:paraId="19AAEC46">
      <w:pPr>
        <w:kinsoku w:val="0"/>
        <w:spacing w:line="360" w:lineRule="auto"/>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A.磋商供应商企业简介。</w:t>
      </w:r>
    </w:p>
    <w:p w14:paraId="3E77C2DD">
      <w:pPr>
        <w:kinsoku w:val="0"/>
        <w:spacing w:line="360" w:lineRule="auto"/>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B.商务内容响应说明。</w:t>
      </w:r>
    </w:p>
    <w:p w14:paraId="0049D963">
      <w:pPr>
        <w:kinsoku w:val="0"/>
        <w:spacing w:line="360" w:lineRule="auto"/>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C.磋商供应商完成项目的组织机构、实施计划。</w:t>
      </w:r>
    </w:p>
    <w:p w14:paraId="74145551">
      <w:pPr>
        <w:kinsoku w:val="0"/>
        <w:spacing w:line="360" w:lineRule="auto"/>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D.磋商供应商完成项目保障能力。</w:t>
      </w:r>
    </w:p>
    <w:p w14:paraId="2629FBCB">
      <w:pPr>
        <w:kinsoku w:val="0"/>
        <w:spacing w:line="360" w:lineRule="auto"/>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E.磋商供应商认为有必要说明的问题。</w:t>
      </w:r>
    </w:p>
    <w:p w14:paraId="58D55A64">
      <w:pPr>
        <w:tabs>
          <w:tab w:val="left" w:pos="1080"/>
        </w:tabs>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（6）磋商响应文件按项目必须单独制作。</w:t>
      </w:r>
    </w:p>
    <w:p w14:paraId="0FE89B01">
      <w:pPr>
        <w:spacing w:line="360" w:lineRule="auto"/>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4.磋商报价</w:t>
      </w:r>
    </w:p>
    <w:p w14:paraId="3F68561A">
      <w:pPr>
        <w:kinsoku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（1）磋商报价是指项目完成并经验收合格的所有费用，包括项目费用、国家按现行税收政策征收的一切税费等，以磋商文件的内容和要求作为依据；</w:t>
      </w:r>
    </w:p>
    <w:p w14:paraId="1922BA1C">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（2）磋商供应商应在磋商响应文件中的响应报价表上，标明费用组成；任何有选择的报价不予接受；</w:t>
      </w:r>
    </w:p>
    <w:p w14:paraId="52AE389A">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（3）磋商货币：人民币；单位：元（精确到小数点后两位）；</w:t>
      </w:r>
    </w:p>
    <w:p w14:paraId="52C97A73">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（4）响应报价表应有法定代表人</w:t>
      </w:r>
      <w:r>
        <w:rPr>
          <w:rFonts w:hint="eastAsia" w:ascii="宋体" w:hAnsi="宋体" w:cs="宋体"/>
          <w:color w:val="000000" w:themeColor="text1"/>
          <w:sz w:val="24"/>
          <w:highlight w:val="none"/>
          <w:lang w:val="en-US" w:eastAsia="zh-CN"/>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或被授权人的签字；</w:t>
      </w:r>
    </w:p>
    <w:p w14:paraId="7E7411FB">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（5）合同价格：经磋商小组确认的某一磋商供应</w:t>
      </w:r>
      <w:r>
        <w:rPr>
          <w:rFonts w:hint="eastAsia" w:ascii="宋体" w:hAnsi="宋体" w:cs="宋体"/>
          <w:color w:val="000000" w:themeColor="text1"/>
          <w:sz w:val="24"/>
          <w:highlight w:val="none"/>
          <w14:textFill>
            <w14:solidFill>
              <w14:schemeClr w14:val="tx1"/>
            </w14:solidFill>
          </w14:textFill>
        </w:rPr>
        <w:t>商的最终报价，在合同执行过程中是固定不变的，不受外汇汇率及市场价格变化的影响；</w:t>
      </w:r>
    </w:p>
    <w:p w14:paraId="6BC4DAC0">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（6）凡因磋商供应商对磋商文件阅读不深、理解不透、误解、疏漏、或因市场行情了解不清造成的后果和风险均由磋商供应商自负；</w:t>
      </w:r>
    </w:p>
    <w:p w14:paraId="0473C352">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磋商供应商不得以低于成本的报价参加磋商。当磋商小组认为某个磋商供应商的磋商价或者某些分项报价明显不合理或者低于成本，有可能影响设计质量和不能诚信履约的，可要求该磋商供应商在规定的期限内提供书面文件予以解释说明，并提交相关证明材料；否则，磋商小组可以取消该磋商供应商的成交候选资格。</w:t>
      </w:r>
    </w:p>
    <w:p w14:paraId="3EAAB9C3">
      <w:pPr>
        <w:spacing w:line="460" w:lineRule="atLeas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5.磋商保证金</w:t>
      </w:r>
    </w:p>
    <w:p w14:paraId="06F5DD1B">
      <w:pPr>
        <w:kinsoku w:val="0"/>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（1）本次磋商活动需交纳磋商保证金为：</w:t>
      </w:r>
      <w:r>
        <w:rPr>
          <w:rFonts w:hint="eastAsia" w:ascii="宋体" w:hAnsi="宋体" w:cs="宋体"/>
          <w:color w:val="000000" w:themeColor="text1"/>
          <w:sz w:val="24"/>
          <w:highlight w:val="none"/>
          <w:lang w:val="en-US" w:eastAsia="zh-CN"/>
          <w14:textFill>
            <w14:solidFill>
              <w14:schemeClr w14:val="tx1"/>
            </w14:solidFill>
          </w14:textFill>
        </w:rPr>
        <w:t>壹万元整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000.00元）</w:t>
      </w:r>
    </w:p>
    <w:p w14:paraId="27017065">
      <w:pPr>
        <w:kinsoku w:val="0"/>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（2）磋商保证金应为人民币，可采用下列任何一种形式支付：</w:t>
      </w:r>
    </w:p>
    <w:p w14:paraId="0C0C75F7">
      <w:pPr>
        <w:kinsoku w:val="0"/>
        <w:spacing w:line="460" w:lineRule="atLeast"/>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A、银行转账        B、电汇     C、信用担保或银行担保</w:t>
      </w:r>
    </w:p>
    <w:p w14:paraId="6CB8FBAA">
      <w:pPr>
        <w:kinsoku w:val="0"/>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磋商单位应在响应截止时间前提交磋商保证金，由响应单位通过银行转账、电汇、保函等非现金形式。</w:t>
      </w:r>
    </w:p>
    <w:p w14:paraId="5359C55B">
      <w:pPr>
        <w:spacing w:line="4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r>
        <w:rPr>
          <w:rFonts w:ascii="Calibri" w:hAnsi="Calibri" w:cs="Calibri"/>
          <w:b/>
          <w:color w:val="000000" w:themeColor="text1"/>
          <w:sz w:val="24"/>
          <w:highlight w:val="none"/>
          <w14:textFill>
            <w14:solidFill>
              <w14:schemeClr w14:val="tx1"/>
            </w14:solidFill>
          </w14:textFill>
        </w:rPr>
        <w:t>①</w:t>
      </w:r>
      <w:r>
        <w:rPr>
          <w:rFonts w:hint="eastAsia" w:ascii="宋体" w:hAnsi="宋体" w:cs="宋体"/>
          <w:b/>
          <w:color w:val="000000" w:themeColor="text1"/>
          <w:sz w:val="24"/>
          <w:highlight w:val="none"/>
          <w14:textFill>
            <w14:solidFill>
              <w14:schemeClr w14:val="tx1"/>
            </w14:solidFill>
          </w14:textFill>
        </w:rPr>
        <w:t>磋商保证金以磋商供应商名称汇款,如以个人汇款，视为无效。</w:t>
      </w:r>
    </w:p>
    <w:p w14:paraId="42B0834E">
      <w:pPr>
        <w:spacing w:line="460" w:lineRule="atLeast"/>
        <w:ind w:firstLine="723" w:firstLineChars="300"/>
        <w:rPr>
          <w:rFonts w:ascii="宋体" w:hAnsi="宋体" w:cs="宋体"/>
          <w:b/>
          <w:color w:val="000000" w:themeColor="text1"/>
          <w:sz w:val="24"/>
          <w:highlight w:val="none"/>
          <w14:textFill>
            <w14:solidFill>
              <w14:schemeClr w14:val="tx1"/>
            </w14:solidFill>
          </w14:textFill>
        </w:rPr>
      </w:pPr>
      <w:r>
        <w:rPr>
          <w:rFonts w:ascii="Calibri" w:hAnsi="Calibri" w:cs="Calibri"/>
          <w:b/>
          <w:color w:val="000000" w:themeColor="text1"/>
          <w:sz w:val="24"/>
          <w:highlight w:val="none"/>
          <w14:textFill>
            <w14:solidFill>
              <w14:schemeClr w14:val="tx1"/>
            </w14:solidFill>
          </w14:textFill>
        </w:rPr>
        <w:t>②</w:t>
      </w:r>
      <w:r>
        <w:rPr>
          <w:rFonts w:hint="eastAsia" w:ascii="宋体" w:hAnsi="宋体" w:cs="宋体"/>
          <w:b/>
          <w:color w:val="000000" w:themeColor="text1"/>
          <w:sz w:val="24"/>
          <w:highlight w:val="none"/>
          <w14:textFill>
            <w14:solidFill>
              <w14:schemeClr w14:val="tx1"/>
            </w14:solidFill>
          </w14:textFill>
        </w:rPr>
        <w:t>银行转账或电汇凭证标明项目编号。</w:t>
      </w:r>
    </w:p>
    <w:p w14:paraId="2C040EA4">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（3）磋商供应商未交纳、未足额交纳或未按规定时间交纳保证金的，将被视为自动放弃磋商权利 (缴纳时间与金额以银行到账时间为准)。</w:t>
      </w:r>
    </w:p>
    <w:p w14:paraId="0B6D13D6">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（4）磋商保证金的交付单位和磋商供应商的名称必须一致，否则将视为磋商响应无效；</w:t>
      </w:r>
    </w:p>
    <w:p w14:paraId="7D98DD8A">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（5）成交供应商与采购人签订了合同后，成交服务费不可以从保证金中扣除，需要以现金或银行转账方式缴纳；</w:t>
      </w:r>
    </w:p>
    <w:p w14:paraId="155FF9FD">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（6）发生下列情况之一，磋商保证金将被没收：</w:t>
      </w:r>
    </w:p>
    <w:p w14:paraId="07C89E35">
      <w:pPr>
        <w:spacing w:line="460" w:lineRule="atLeast"/>
        <w:ind w:left="359" w:leftChars="171"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A．磋商后在磋商有效期间，磋商供应商撤回其磋商响应文件；</w:t>
      </w:r>
    </w:p>
    <w:p w14:paraId="71120BFB">
      <w:pPr>
        <w:spacing w:line="460" w:lineRule="atLeast"/>
        <w:ind w:left="359" w:leftChars="171"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B．成交供应商在规定的时间内未能签订合同；</w:t>
      </w:r>
    </w:p>
    <w:p w14:paraId="31B8F795">
      <w:pPr>
        <w:spacing w:line="460" w:lineRule="atLeast"/>
        <w:ind w:left="359" w:leftChars="171"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C．成交供应商未按时缴付成交服务费；</w:t>
      </w:r>
    </w:p>
    <w:p w14:paraId="7E637ECD">
      <w:pPr>
        <w:spacing w:line="460" w:lineRule="atLeast"/>
        <w:ind w:left="359" w:leftChars="171"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D．由于磋商供应商的原因导致成交无效的。</w:t>
      </w:r>
    </w:p>
    <w:p w14:paraId="717D471D">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（7）联合磋商的，可以由联合体中的主体提交磋商保证金，以一方名义提交磋商保证金，对联合体各方均具有约束力；</w:t>
      </w:r>
    </w:p>
    <w:p w14:paraId="2FAC5705">
      <w:pPr>
        <w:spacing w:line="360" w:lineRule="auto"/>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6.信用担保及信用融资</w:t>
      </w:r>
    </w:p>
    <w:p w14:paraId="3FA4E721">
      <w:pPr>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（1）陕西省政府采购信用担保及信用融资政策</w:t>
      </w:r>
    </w:p>
    <w:p w14:paraId="075F6407">
      <w:pPr>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支持和促进中小企业发展，进一步发挥政府采购政策功能作用，有效缓解中小企业融资难等问题，根据财政部财库【2011】124号文件的精神，富平县财政局制订了《陕西省政府采购信用担保试点工作实施方案（试行）》，为参与陕西省政府采购项目的供应商提供政府采购信用担保，并按照程序确定了合作的担保机构。成交供应商缴纳履约保证金时可自愿选择通过担保机构保函的形式缴纳；成交供应商如果需要融资贷款服务的，根据《陕西省中小企业政府采购信用融资办法》（陕财办采〔2018〕23号），可凭成交通知书、政府采购合同等相关资料，按照文件规定的程序申请办理，具体规定可登陆陕西省政府采购网(www.ccgp-shaanxi.gov.cn)重要通知专栏中查询了解。</w:t>
      </w:r>
    </w:p>
    <w:p w14:paraId="3B83379D">
      <w:pPr>
        <w:spacing w:line="460" w:lineRule="atLeas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7.磋商响应文件的有效期</w:t>
      </w:r>
    </w:p>
    <w:p w14:paraId="508D7DCD">
      <w:pPr>
        <w:pStyle w:val="28"/>
        <w:spacing w:line="460" w:lineRule="atLeast"/>
        <w:ind w:firstLine="48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磋商有效期为从提交磋商响应文件的截止时间起九十（90）个日历日</w:t>
      </w:r>
      <w:r>
        <w:rPr>
          <w:rFonts w:hint="eastAsia" w:ascii="宋体" w:hAnsi="宋体" w:cs="宋体"/>
          <w:color w:val="000000" w:themeColor="text1"/>
          <w:kern w:val="2"/>
          <w:sz w:val="24"/>
          <w:szCs w:val="24"/>
          <w:highlight w:val="none"/>
          <w14:textFill>
            <w14:solidFill>
              <w14:schemeClr w14:val="tx1"/>
            </w14:solidFill>
          </w14:textFill>
        </w:rPr>
        <w:t>；有效期短于规定的磋商有效期，视为无效响应文件。成交供应商的磋商响应文件有效期延长至合同执行完毕。</w:t>
      </w:r>
    </w:p>
    <w:p w14:paraId="32C28A8C">
      <w:pPr>
        <w:spacing w:line="460" w:lineRule="atLeas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8.磋商响应文件的签署及规定</w:t>
      </w:r>
    </w:p>
    <w:p w14:paraId="3B75B536">
      <w:pPr>
        <w:spacing w:line="460" w:lineRule="atLeas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（1）磋商供应商须依据磋商文件内容和磋商响应文件格式的要求编制磋商响应文件；</w:t>
      </w:r>
    </w:p>
    <w:p w14:paraId="7BF6E35E">
      <w:pPr>
        <w:spacing w:line="460" w:lineRule="atLeas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（2）磋商响应文件的正本和所有的副本均需打印或用不褪色的蓝（黑）墨水填写，注明“正本”“副本”字样。统一胶装、编码，在每一页的正下方标明页码；</w:t>
      </w:r>
    </w:p>
    <w:p w14:paraId="78FF4B36">
      <w:pPr>
        <w:tabs>
          <w:tab w:val="left" w:pos="7013"/>
        </w:tabs>
        <w:spacing w:line="460" w:lineRule="atLeas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（3）磋商响应文件份数，本次磋商需提交磋商响应文件共</w:t>
      </w:r>
      <w:r>
        <w:rPr>
          <w:rFonts w:hint="eastAsia" w:ascii="宋体" w:hAnsi="宋体" w:cs="宋体"/>
          <w:color w:val="000000" w:themeColor="text1"/>
          <w:sz w:val="24"/>
          <w:highlight w:val="none"/>
          <w:lang w:val="en-US" w:eastAsia="zh-CN"/>
          <w14:textFill>
            <w14:solidFill>
              <w14:schemeClr w14:val="tx1"/>
            </w14:solidFill>
          </w14:textFill>
        </w:rPr>
        <w:t>伍</w:t>
      </w:r>
      <w:r>
        <w:rPr>
          <w:rFonts w:hint="eastAsia" w:ascii="宋体" w:hAnsi="宋体" w:cs="宋体"/>
          <w:color w:val="000000" w:themeColor="text1"/>
          <w:sz w:val="24"/>
          <w:highlight w:val="none"/>
          <w14:textFill>
            <w14:solidFill>
              <w14:schemeClr w14:val="tx1"/>
            </w14:solidFill>
          </w14:textFill>
        </w:rPr>
        <w:t>份，其中正本壹份，副本贰份，电子版（U盘）贰份（word一份包含磋商响应文件所有内容）；在封面标明“正本”、“副本”字样，电子版文件（U盘）放置“正本”密封袋内并加贴不掉标贴，注写磋商供应商名称。</w:t>
      </w:r>
    </w:p>
    <w:p w14:paraId="57C93ADA">
      <w:pPr>
        <w:spacing w:line="460" w:lineRule="atLeas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（4）磋商供应商在磋商响应文件中指定的页面落款处，必须按磋商文件要求加盖印章或签字；</w:t>
      </w:r>
    </w:p>
    <w:p w14:paraId="6B07170A">
      <w:pPr>
        <w:spacing w:line="460" w:lineRule="atLeas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（5）磋商供应商名称应填写全称，同时加盖公章；</w:t>
      </w:r>
    </w:p>
    <w:p w14:paraId="7C5D9792">
      <w:pPr>
        <w:spacing w:line="460" w:lineRule="atLeas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（6）磋商响应文件的任何行间插字、涂改和增删，必须由</w:t>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lang w:val="en-US" w:eastAsia="zh-CN"/>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或被授权人在改动处旁签字方为有效；</w:t>
      </w:r>
    </w:p>
    <w:p w14:paraId="04A02B83">
      <w:pPr>
        <w:spacing w:line="460" w:lineRule="atLeas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（7）磋商响应文件因字迹潦草或表达不清所引起的后果由磋商供应商负责。</w:t>
      </w:r>
    </w:p>
    <w:p w14:paraId="24A194C2">
      <w:pPr>
        <w:spacing w:line="4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9.文字要求</w:t>
      </w:r>
    </w:p>
    <w:p w14:paraId="2DBFDB71">
      <w:pPr>
        <w:spacing w:line="460" w:lineRule="atLeas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本次磋商只接受简体中文文字的磋商响应文件。</w:t>
      </w:r>
    </w:p>
    <w:p w14:paraId="35AAA387">
      <w:pPr>
        <w:spacing w:line="4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10.联合磋商</w:t>
      </w:r>
    </w:p>
    <w:p w14:paraId="1E2145A1">
      <w:pPr>
        <w:spacing w:line="460" w:lineRule="atLeast"/>
        <w:ind w:firstLine="360" w:firstLineChars="15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本项目不接受联合体磋商。</w:t>
      </w:r>
    </w:p>
    <w:p w14:paraId="75671765">
      <w:pPr>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五、磋商响应文件封装、递交</w:t>
      </w:r>
    </w:p>
    <w:p w14:paraId="379BA803">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1.磋商响应文件的封装及标记</w:t>
      </w:r>
    </w:p>
    <w:p w14:paraId="2977903F">
      <w:pPr>
        <w:spacing w:line="46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磋商响应文件</w:t>
      </w:r>
      <w:r>
        <w:rPr>
          <w:rFonts w:hint="eastAsia" w:ascii="宋体" w:hAnsi="宋体" w:cs="宋体"/>
          <w:color w:val="000000" w:themeColor="text1"/>
          <w:sz w:val="24"/>
          <w:highlight w:val="none"/>
          <w14:textFill>
            <w14:solidFill>
              <w14:schemeClr w14:val="tx1"/>
            </w14:solidFill>
          </w14:textFill>
        </w:rPr>
        <w:t>应按以下要求封装：</w:t>
      </w:r>
    </w:p>
    <w:p w14:paraId="29A871CD">
      <w:pPr>
        <w:spacing w:line="460" w:lineRule="exact"/>
        <w:ind w:left="120" w:leftChars="57"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pacing w:val="6"/>
          <w:sz w:val="24"/>
          <w:highlight w:val="none"/>
          <w14:textFill>
            <w14:solidFill>
              <w14:schemeClr w14:val="tx1"/>
            </w14:solidFill>
          </w14:textFill>
        </w:rPr>
        <w:t>磋商供应商</w:t>
      </w:r>
      <w:r>
        <w:rPr>
          <w:rFonts w:hint="eastAsia" w:ascii="宋体" w:hAnsi="宋体" w:cs="宋体"/>
          <w:color w:val="000000" w:themeColor="text1"/>
          <w:sz w:val="24"/>
          <w:highlight w:val="none"/>
          <w14:textFill>
            <w14:solidFill>
              <w14:schemeClr w14:val="tx1"/>
            </w14:solidFill>
          </w14:textFill>
        </w:rPr>
        <w:t>应将</w:t>
      </w:r>
      <w:r>
        <w:rPr>
          <w:rFonts w:hint="eastAsia" w:ascii="宋体" w:hAnsi="宋体" w:cs="宋体"/>
          <w:color w:val="000000" w:themeColor="text1"/>
          <w:spacing w:val="6"/>
          <w:sz w:val="24"/>
          <w:highlight w:val="none"/>
          <w14:textFill>
            <w14:solidFill>
              <w14:schemeClr w14:val="tx1"/>
            </w14:solidFill>
          </w14:textFill>
        </w:rPr>
        <w:t>磋商响应文件</w:t>
      </w:r>
      <w:r>
        <w:rPr>
          <w:rFonts w:hint="eastAsia" w:ascii="宋体" w:hAnsi="宋体" w:cs="宋体"/>
          <w:color w:val="000000" w:themeColor="text1"/>
          <w:sz w:val="24"/>
          <w:highlight w:val="none"/>
          <w14:textFill>
            <w14:solidFill>
              <w14:schemeClr w14:val="tx1"/>
            </w14:solidFill>
          </w14:textFill>
        </w:rPr>
        <w:t>的正本、副本，用单独的封袋分装密封（封袋不得有破损），在封袋上标明“正本”或“副本”字样，封线处加盖</w:t>
      </w:r>
      <w:r>
        <w:rPr>
          <w:rFonts w:hint="eastAsia" w:ascii="宋体" w:hAnsi="宋体" w:cs="宋体"/>
          <w:color w:val="000000" w:themeColor="text1"/>
          <w:spacing w:val="6"/>
          <w:sz w:val="24"/>
          <w:highlight w:val="none"/>
          <w14:textFill>
            <w14:solidFill>
              <w14:schemeClr w14:val="tx1"/>
            </w14:solidFill>
          </w14:textFill>
        </w:rPr>
        <w:t>磋商供应商</w:t>
      </w:r>
      <w:r>
        <w:rPr>
          <w:rFonts w:hint="eastAsia" w:ascii="宋体" w:hAnsi="宋体" w:cs="宋体"/>
          <w:color w:val="000000" w:themeColor="text1"/>
          <w:sz w:val="24"/>
          <w:highlight w:val="none"/>
          <w14:textFill>
            <w14:solidFill>
              <w14:schemeClr w14:val="tx1"/>
            </w14:solidFill>
          </w14:textFill>
        </w:rPr>
        <w:t>公章，封袋正面要粘贴标识。磋商响应文件中资质证明文件为复印件加盖磋商供应商公章；</w:t>
      </w:r>
    </w:p>
    <w:p w14:paraId="655236B3">
      <w:pPr>
        <w:spacing w:line="46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B.封袋正面标识式样（参见格式A）。</w:t>
      </w:r>
    </w:p>
    <w:p w14:paraId="33AE12F7">
      <w:pPr>
        <w:spacing w:line="460" w:lineRule="exact"/>
        <w:ind w:left="120" w:leftChars="57" w:firstLine="360"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磋商供应商未按上述要求封装及加写标记，误投或过早启封的磋商响应文件，出现此类情况的磋商响应文件，采购代理机构将拒绝接收，并退回磋商供应商。采购代理机构对磋商响应文件的误投和提前启封概不负责。</w:t>
      </w:r>
    </w:p>
    <w:p w14:paraId="5F3842B1">
      <w:pPr>
        <w:spacing w:line="460" w:lineRule="exact"/>
        <w:ind w:firstLine="120"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2.磋商响应文件递交</w:t>
      </w:r>
    </w:p>
    <w:p w14:paraId="0C220B9D">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（1）磋商供应商必须在磋商文件规定的时间和地点，将全部磋商响应文件递交至采购代理机构项目承办人；</w:t>
      </w:r>
    </w:p>
    <w:p w14:paraId="2DF961B3">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（2）采购代理机构项目承办人在磋商文件规定的磋商响应文件递交截止时间前，只负责磋商响应文件的接收、清点、造册登记工作，并请法定代表人</w:t>
      </w:r>
      <w:r>
        <w:rPr>
          <w:rFonts w:hint="eastAsia" w:ascii="宋体" w:hAnsi="宋体" w:cs="宋体"/>
          <w:color w:val="000000" w:themeColor="text1"/>
          <w:sz w:val="24"/>
          <w:highlight w:val="none"/>
          <w:lang w:val="en-US" w:eastAsia="zh-CN"/>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被授权人签字确认，对其有效性不负任何责任；</w:t>
      </w:r>
    </w:p>
    <w:p w14:paraId="562826E9">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（3）采购代理机构在宣布递交磋商响应文件时间截止之后，拒绝接收任何人送达、递交的磋商响应文件；</w:t>
      </w:r>
    </w:p>
    <w:p w14:paraId="449A8768">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（4）无论磋商供应商成交与否或者废标，其磋商响应文件恕不退还。</w:t>
      </w:r>
    </w:p>
    <w:p w14:paraId="2522FC70">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3.磋商响应文件递交截止时间</w:t>
      </w:r>
    </w:p>
    <w:p w14:paraId="0F230D69">
      <w:pPr>
        <w:kinsoku w:val="0"/>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（1）磋商供应商</w:t>
      </w:r>
      <w:r>
        <w:rPr>
          <w:rFonts w:hint="eastAsia" w:ascii="宋体" w:hAnsi="宋体" w:cs="宋体"/>
          <w:color w:val="000000" w:themeColor="text1"/>
          <w:spacing w:val="6"/>
          <w:sz w:val="24"/>
          <w:highlight w:val="none"/>
          <w14:textFill>
            <w14:solidFill>
              <w14:schemeClr w14:val="tx1"/>
            </w14:solidFill>
          </w14:textFill>
        </w:rPr>
        <w:t>必须在磋商文件规定的递交截止时间之前递交磋商响应文件，</w:t>
      </w:r>
      <w:r>
        <w:rPr>
          <w:rFonts w:hint="eastAsia" w:ascii="宋体" w:hAnsi="宋体" w:cs="宋体"/>
          <w:color w:val="000000" w:themeColor="text1"/>
          <w:sz w:val="24"/>
          <w:highlight w:val="none"/>
          <w14:textFill>
            <w14:solidFill>
              <w14:schemeClr w14:val="tx1"/>
            </w14:solidFill>
          </w14:textFill>
        </w:rPr>
        <w:t>采购代理机构在截止时间后拒绝接收任何磋商响应文件。</w:t>
      </w:r>
    </w:p>
    <w:p w14:paraId="39AB3FF1">
      <w:pPr>
        <w:kinsoku w:val="0"/>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（2）采购代理机构因采购人推迟磋商截止时间时，应以书面（或传真）的形式，通知所有磋商供应商；在这种情况下，采购代理机构和磋商供应商的权利和义务将受到新的截止期的约束。</w:t>
      </w:r>
    </w:p>
    <w:p w14:paraId="326EF1EE">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4.磋商响应文件的修改和撤回</w:t>
      </w:r>
    </w:p>
    <w:p w14:paraId="7C664B64">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（1）磋商响应文件递交后，如果磋商供应商提出书面修改和撤回磋商响应文件要求，在磋商截止时间前以书面形式送达采购代理机构；</w:t>
      </w:r>
    </w:p>
    <w:p w14:paraId="6C40AA12">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（2）磋商供应商修改磋商响应文件的书面材料，须密封送达采购代理机构，修改或补充的内容应按磋商文件要求签署、盖章、密封、标记，并作为磋商响应文件的组成部分；</w:t>
      </w:r>
    </w:p>
    <w:p w14:paraId="7B416932">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（3）撤回磋商响应文件应以书面（或传真）的形式通知采购代理机构。如采取传真形式撤回磋商响应文件，随后必须补</w:t>
      </w:r>
      <w:r>
        <w:rPr>
          <w:rFonts w:hint="eastAsia" w:ascii="宋体" w:hAnsi="宋体" w:cs="宋体"/>
          <w:color w:val="000000" w:themeColor="text1"/>
          <w:sz w:val="24"/>
          <w:highlight w:val="none"/>
          <w14:textFill>
            <w14:solidFill>
              <w14:schemeClr w14:val="tx1"/>
            </w14:solidFill>
          </w14:textFill>
        </w:rPr>
        <w:t>充有法定代表人</w:t>
      </w:r>
      <w:r>
        <w:rPr>
          <w:rFonts w:hint="eastAsia" w:ascii="宋体" w:hAnsi="宋体" w:cs="宋体"/>
          <w:color w:val="000000" w:themeColor="text1"/>
          <w:sz w:val="24"/>
          <w:highlight w:val="none"/>
          <w:lang w:val="en-US" w:eastAsia="zh-CN"/>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或被授权人签署的要求撤回磋商响应文件的正式文件；撤回磋商响应文件的时间以送达采购代</w:t>
      </w:r>
      <w:r>
        <w:rPr>
          <w:rFonts w:hint="eastAsia" w:ascii="宋体" w:hAnsi="宋体" w:cs="宋体"/>
          <w:color w:val="000000" w:themeColor="text1"/>
          <w:sz w:val="24"/>
          <w:highlight w:val="none"/>
          <w14:textFill>
            <w14:solidFill>
              <w14:schemeClr w14:val="tx1"/>
            </w14:solidFill>
          </w14:textFill>
        </w:rPr>
        <w:t>理机构到达日期为准；</w:t>
      </w:r>
    </w:p>
    <w:p w14:paraId="53E32BAA">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（4）在磋商截止时间后到磋商文件规定的磋商有效期满之间的这段时间内，磋商供应商不得撤回其磋商响应文件；</w:t>
      </w:r>
    </w:p>
    <w:p w14:paraId="79643077">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（5）磋商供应商在磋商响应文件递交截止时间后，不得对其磋商响应文件做任何修改。</w:t>
      </w:r>
    </w:p>
    <w:p w14:paraId="472CB85D">
      <w:pPr>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六、磋商、澄清、成交</w:t>
      </w:r>
    </w:p>
    <w:p w14:paraId="67CB5005">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1.磋商方法</w:t>
      </w:r>
    </w:p>
    <w:p w14:paraId="0DE90ABD">
      <w:pPr>
        <w:spacing w:line="460" w:lineRule="exact"/>
        <w:ind w:left="120" w:leftChars="57" w:firstLine="240" w:firstLineChars="1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（1）磋商方法：采用综合评分法</w:t>
      </w:r>
    </w:p>
    <w:p w14:paraId="40F9D918">
      <w:pPr>
        <w:spacing w:line="460" w:lineRule="exact"/>
        <w:ind w:left="120" w:leftChars="57"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08DFCD0C">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2.磋商</w:t>
      </w:r>
    </w:p>
    <w:p w14:paraId="4F9913ED">
      <w:pPr>
        <w:spacing w:line="460" w:lineRule="exact"/>
        <w:ind w:left="120" w:leftChars="57"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（1）采购代理机构按竞争性磋商文件规定的时间、地点组织磋商；磋商大会由采购人代表、磋商小组成员、监督机构代表、磋商供应商代表及采购代理机构工作人员参加，参会代表应签名报到，以证明其出席；</w:t>
      </w:r>
    </w:p>
    <w:p w14:paraId="2294FDAC">
      <w:pPr>
        <w:spacing w:line="460" w:lineRule="exact"/>
        <w:ind w:left="120" w:leftChars="57"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（2）为确保磋商工作公开、公平、公正，依法成立磋商小组。磋商小组由有关专家组成，其中技术、经济等方面的专家不少于磋商小组成员总数的三分之二，专家名单由有关人员在</w:t>
      </w:r>
      <w:r>
        <w:rPr>
          <w:rFonts w:hint="eastAsia" w:ascii="宋体" w:hAnsi="宋体" w:cs="宋体"/>
          <w:color w:val="000000" w:themeColor="text1"/>
          <w:sz w:val="24"/>
          <w:highlight w:val="none"/>
          <w:lang w:val="en-US" w:eastAsia="zh-CN"/>
          <w14:textFill>
            <w14:solidFill>
              <w14:schemeClr w14:val="tx1"/>
            </w14:solidFill>
          </w14:textFill>
        </w:rPr>
        <w:t>陕西省</w:t>
      </w:r>
      <w:r>
        <w:rPr>
          <w:rFonts w:hint="eastAsia" w:ascii="宋体" w:hAnsi="宋体" w:cs="宋体"/>
          <w:color w:val="000000" w:themeColor="text1"/>
          <w:sz w:val="24"/>
          <w:highlight w:val="none"/>
          <w14:textFill>
            <w14:solidFill>
              <w14:schemeClr w14:val="tx1"/>
            </w14:solidFill>
          </w14:textFill>
        </w:rPr>
        <w:t>政府采购专家库中随机抽取，磋商小组成员应当遵守并履行下列责任和义务：</w:t>
      </w:r>
    </w:p>
    <w:p w14:paraId="1870C38E">
      <w:pPr>
        <w:spacing w:line="460" w:lineRule="exact"/>
        <w:ind w:left="120" w:leftChars="5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A.要严格遵守政府采购相关法律制度，依法履行各自职责，公正、客观、审慎地组织和参与评审工作；</w:t>
      </w:r>
    </w:p>
    <w:p w14:paraId="392602DC">
      <w:pPr>
        <w:spacing w:line="460" w:lineRule="exact"/>
        <w:ind w:left="120" w:leftChars="5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B.对磋商响应文件进行资格性、符合性检查，并做出评价；</w:t>
      </w:r>
    </w:p>
    <w:p w14:paraId="43CBF42F">
      <w:pPr>
        <w:spacing w:line="460" w:lineRule="exact"/>
        <w:ind w:left="120" w:leftChars="5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C.按竞争性磋商采购邀请书规定的评审方法和标准，进行比较和评价； </w:t>
      </w:r>
    </w:p>
    <w:p w14:paraId="06DCF140">
      <w:pPr>
        <w:spacing w:line="460" w:lineRule="exact"/>
        <w:ind w:left="120" w:leftChars="5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D.要求磋商供应商对磋商响应文件有关事项作出解释或澄清；</w:t>
      </w:r>
    </w:p>
    <w:p w14:paraId="64F7265F">
      <w:pPr>
        <w:spacing w:line="460" w:lineRule="exact"/>
        <w:ind w:left="120" w:leftChars="5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E.要依法独立评审，按照竞争性磋商采购邀请书的要求和评标标准进行评标，推荐成交候选供应商名单，对评审意见承担个人责任；</w:t>
      </w:r>
    </w:p>
    <w:p w14:paraId="5718E06B">
      <w:pPr>
        <w:spacing w:line="460" w:lineRule="exact"/>
        <w:ind w:left="120" w:leftChars="5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F.对需要共同认定的事项存在争议的，按照少数服从多数的原则做出结论。持不同意见的磋商小组成员应当在评审报告上签署不同意见并说明理由，否则视为同意； </w:t>
      </w:r>
    </w:p>
    <w:p w14:paraId="5AFF5ADE">
      <w:pPr>
        <w:spacing w:line="460" w:lineRule="exact"/>
        <w:ind w:left="120" w:leftChars="5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G.对评审情况以及在评审过程中获悉的国家秘密、商业秘密负有保密责任；</w:t>
      </w:r>
    </w:p>
    <w:p w14:paraId="46268292">
      <w:pPr>
        <w:spacing w:line="460" w:lineRule="exact"/>
        <w:ind w:left="120" w:leftChars="5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H.配合财政部门的投诉处理工作；</w:t>
      </w:r>
    </w:p>
    <w:p w14:paraId="114C69C7">
      <w:pPr>
        <w:spacing w:line="460" w:lineRule="exact"/>
        <w:ind w:left="120" w:leftChars="5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I.配合采购人、采购代理机构答复磋商供应商提出的质疑。</w:t>
      </w:r>
    </w:p>
    <w:p w14:paraId="4E0043A6">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3.磋商响应文件的初审</w:t>
      </w:r>
    </w:p>
    <w:p w14:paraId="0B69C594">
      <w:pPr>
        <w:spacing w:line="460" w:lineRule="atLeas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（1）响应文件审查(初审)</w:t>
      </w:r>
    </w:p>
    <w:p w14:paraId="1E848CAD">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审查分为资格性检查和符合性检查。分别按照以下内容对响应文件进行检查，一项不合格即按照无效响应处理。</w:t>
      </w:r>
    </w:p>
    <w:p w14:paraId="19E2358A">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响应文件审查合格的为实质性响应磋商文件要求的供应商。</w:t>
      </w:r>
    </w:p>
    <w:p w14:paraId="267EE378">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1）资格性检查</w:t>
      </w:r>
    </w:p>
    <w:p w14:paraId="012072ED">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有下列情形之一的，应在资格审查时按照无效磋商处理：</w:t>
      </w:r>
    </w:p>
    <w:p w14:paraId="1DBE5983">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(1)供应商不具备磋商文件规定的供应商资格条件的；</w:t>
      </w:r>
    </w:p>
    <w:p w14:paraId="737B5D29">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(2)报价超过磋商文件中规定的预算金额的；</w:t>
      </w:r>
    </w:p>
    <w:p w14:paraId="2AF4E20B">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2）符合性检查</w:t>
      </w:r>
    </w:p>
    <w:p w14:paraId="02E4A479">
      <w:pPr>
        <w:spacing w:line="4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磋商供应商及磋商响应文件有效性和符合性审查，出现下列情况之一者（但不限于），按无效标处理。</w:t>
      </w:r>
    </w:p>
    <w:p w14:paraId="3B5D3392">
      <w:pPr>
        <w:spacing w:line="4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 xml:space="preserve">磋商内容出现漏项或数量与要求不符，出现重大负偏差； </w:t>
      </w:r>
    </w:p>
    <w:p w14:paraId="6DC33434">
      <w:pPr>
        <w:spacing w:line="4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 xml:space="preserve">磋商响应文件的签署、加盖印章是否合格、有效； </w:t>
      </w:r>
    </w:p>
    <w:p w14:paraId="76DDD717">
      <w:pPr>
        <w:spacing w:line="4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供应商没有经过正常渠道购买磋商文件或供应商的名称与登记领取磋商文件单位的名称不符；</w:t>
      </w:r>
    </w:p>
    <w:p w14:paraId="3CFE8BFD">
      <w:pPr>
        <w:spacing w:line="4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磋商响应文件中未</w:t>
      </w:r>
      <w:r>
        <w:rPr>
          <w:rFonts w:hint="eastAsia" w:ascii="宋体" w:hAnsi="宋体" w:cs="宋体"/>
          <w:bCs/>
          <w:color w:val="000000" w:themeColor="text1"/>
          <w:sz w:val="24"/>
          <w:highlight w:val="none"/>
          <w14:textFill>
            <w14:solidFill>
              <w14:schemeClr w14:val="tx1"/>
            </w14:solidFill>
          </w14:textFill>
        </w:rPr>
        <w:t>提交法定代表人授权书(法定代表人直接</w:t>
      </w:r>
      <w:r>
        <w:rPr>
          <w:rFonts w:hint="eastAsia" w:ascii="宋体" w:hAnsi="宋体" w:cs="宋体"/>
          <w:bCs/>
          <w:color w:val="000000" w:themeColor="text1"/>
          <w:sz w:val="24"/>
          <w:highlight w:val="none"/>
          <w14:textFill>
            <w14:solidFill>
              <w14:schemeClr w14:val="tx1"/>
            </w14:solidFill>
          </w14:textFill>
        </w:rPr>
        <w:t>参加磋商未按要求提交其有效身份证) 或授权书的合法性或有效性不符合磋商文件规定。</w:t>
      </w:r>
    </w:p>
    <w:p w14:paraId="0FEB3A44">
      <w:pPr>
        <w:spacing w:line="4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磋商单位针对同一项目递交两份或多份内容不同的磋商响应文件，出现选择性报价的；</w:t>
      </w:r>
    </w:p>
    <w:p w14:paraId="37205DCE">
      <w:pPr>
        <w:spacing w:line="4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磋商报价是否低于成本价，涉嫌不正当竞争；（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14:paraId="767458BF">
      <w:pPr>
        <w:spacing w:line="4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bCs/>
          <w:color w:val="000000" w:themeColor="text1"/>
          <w:sz w:val="24"/>
          <w:highlight w:val="none"/>
          <w14:textFill>
            <w14:solidFill>
              <w14:schemeClr w14:val="tx1"/>
            </w14:solidFill>
          </w14:textFill>
        </w:rPr>
        <w:t>不符合法律、法规和磋商文件规定的其他无效情形的。</w:t>
      </w:r>
    </w:p>
    <w:p w14:paraId="6437B248">
      <w:pPr>
        <w:spacing w:line="460" w:lineRule="atLeas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（2）在资格性、符合性检查时，审查未通过的，不得进入后续评审环节。</w:t>
      </w:r>
    </w:p>
    <w:p w14:paraId="5194A5AD">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4.磋商澄清</w:t>
      </w:r>
    </w:p>
    <w:p w14:paraId="03B209B7">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（1）磋商小组有权就磋商响应文件中含混之处向上述步骤初审合格的磋商供应商提出询问或澄清要求；磋商供应商将有关询标澄清、补正、说明的内容应以书面形式提交；</w:t>
      </w:r>
    </w:p>
    <w:p w14:paraId="0E0DF683">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14:paraId="35810A9D">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（3）磋商供应商对磋商响应文件的澄清不得改变磋商报价及实质内容。</w:t>
      </w:r>
    </w:p>
    <w:p w14:paraId="6C9031A2">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磋商时，磋商响应文件中出现下列情况，修正原则为：</w:t>
      </w:r>
    </w:p>
    <w:p w14:paraId="19ECFE78">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A.磋商响应文件中响应报价表内容与磋商响应文件中明细内容不一致的，以响应报价表为准；</w:t>
      </w:r>
    </w:p>
    <w:p w14:paraId="3B3E8C05">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B.磋商报价的大写金额和小写金额不一致的，以大写金额为准；</w:t>
      </w:r>
    </w:p>
    <w:p w14:paraId="2DB3A7FF">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C.总价金额与按单价汇总金额不一致的，以单价金额计算结果为准；</w:t>
      </w:r>
    </w:p>
    <w:p w14:paraId="2153C3D6">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D.单价金额小数点有明显错位的，以总价为准，并修改单价；</w:t>
      </w:r>
    </w:p>
    <w:p w14:paraId="26430B53">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E.磋商响应文件正本与副本不一致的，以正本为准；</w:t>
      </w:r>
    </w:p>
    <w:p w14:paraId="564A425C">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F.多处内容交叉不符时，以磋商小组成员会评审结果为准；</w:t>
      </w:r>
    </w:p>
    <w:p w14:paraId="2490853B">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G.文字与图表不符时以文字为准；</w:t>
      </w:r>
    </w:p>
    <w:p w14:paraId="265EBC6F">
      <w:pPr>
        <w:spacing w:line="4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14:paraId="566A2A45">
      <w:pPr>
        <w:spacing w:line="460" w:lineRule="exact"/>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5.评审方法及内容</w:t>
      </w:r>
    </w:p>
    <w:p w14:paraId="6BFFCBB0">
      <w:pPr>
        <w:spacing w:line="460" w:lineRule="exact"/>
        <w:ind w:left="120" w:leftChars="5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用综合评分法：二次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14:paraId="43E4BF09">
      <w:pPr>
        <w:spacing w:line="460" w:lineRule="exact"/>
        <w:ind w:left="120" w:leftChars="5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成交供应商。</w:t>
      </w:r>
    </w:p>
    <w:p w14:paraId="15FC9756">
      <w:pPr>
        <w:spacing w:line="460" w:lineRule="exact"/>
        <w:ind w:left="120" w:leftChars="5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（3）磋商小组根据以下内容进行综合比较，自主打分，按最后得分由高到低汇总排序，以标段为单位分别推荐成交候选供应商；磋商小组根据磋商结果写出磋商意见。</w:t>
      </w:r>
    </w:p>
    <w:p w14:paraId="70B6091A">
      <w:pPr>
        <w:spacing w:line="460" w:lineRule="exact"/>
        <w:ind w:left="120" w:leftChars="5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（4）评审指标分值构成（总计100分）</w:t>
      </w:r>
    </w:p>
    <w:p w14:paraId="3DF8BA81">
      <w:pPr>
        <w:pStyle w:val="10"/>
        <w:spacing w:line="4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采用综合评分法</w:t>
      </w:r>
    </w:p>
    <w:p w14:paraId="1C5C8F8A">
      <w:pPr>
        <w:pStyle w:val="10"/>
        <w:spacing w:line="460" w:lineRule="exact"/>
        <w:rPr>
          <w:rFonts w:hAnsi="宋体" w:cs="宋体"/>
          <w:color w:val="000000" w:themeColor="text1"/>
          <w:sz w:val="24"/>
          <w:szCs w:val="24"/>
          <w:highlight w:val="none"/>
          <w14:textFill>
            <w14:solidFill>
              <w14:schemeClr w14:val="tx1"/>
            </w14:solidFill>
          </w14:textFill>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p>
    <w:p w14:paraId="50011A3B">
      <w:pPr>
        <w:pStyle w:val="10"/>
        <w:spacing w:line="4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评审因素见下表：</w:t>
      </w:r>
    </w:p>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5"/>
        <w:gridCol w:w="1353"/>
        <w:gridCol w:w="2178"/>
        <w:gridCol w:w="5265"/>
      </w:tblGrid>
      <w:tr w14:paraId="1700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8A958FC">
            <w:pPr>
              <w:spacing w:line="460" w:lineRule="exact"/>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评分因素</w:t>
            </w:r>
          </w:p>
        </w:tc>
        <w:tc>
          <w:tcPr>
            <w:tcW w:w="4009" w:type="pct"/>
            <w:gridSpan w:val="2"/>
            <w:tcBorders>
              <w:top w:val="single" w:color="000000" w:sz="8" w:space="0"/>
              <w:left w:val="nil"/>
              <w:bottom w:val="single" w:color="000000" w:sz="8" w:space="0"/>
              <w:right w:val="single" w:color="000000" w:sz="8" w:space="0"/>
            </w:tcBorders>
            <w:shd w:val="clear" w:color="auto" w:fill="auto"/>
            <w:vAlign w:val="center"/>
          </w:tcPr>
          <w:p w14:paraId="4F05F6BD">
            <w:pPr>
              <w:spacing w:line="460" w:lineRule="exact"/>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评分标准</w:t>
            </w:r>
          </w:p>
        </w:tc>
      </w:tr>
      <w:tr w14:paraId="2839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61" w:type="pct"/>
            <w:vMerge w:val="restart"/>
            <w:tcBorders>
              <w:top w:val="nil"/>
              <w:left w:val="single" w:color="000000" w:sz="8" w:space="0"/>
              <w:bottom w:val="single" w:color="000000" w:sz="8" w:space="0"/>
              <w:right w:val="single" w:color="000000" w:sz="8" w:space="0"/>
            </w:tcBorders>
            <w:shd w:val="clear" w:color="auto" w:fill="auto"/>
            <w:vAlign w:val="center"/>
          </w:tcPr>
          <w:p w14:paraId="4B810B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详细评审</w:t>
            </w:r>
          </w:p>
        </w:tc>
        <w:tc>
          <w:tcPr>
            <w:tcW w:w="728" w:type="pct"/>
            <w:tcBorders>
              <w:top w:val="nil"/>
              <w:left w:val="nil"/>
              <w:bottom w:val="single" w:color="000000" w:sz="8" w:space="0"/>
              <w:right w:val="single" w:color="000000" w:sz="8" w:space="0"/>
            </w:tcBorders>
            <w:shd w:val="clear" w:color="auto" w:fill="auto"/>
            <w:vAlign w:val="center"/>
          </w:tcPr>
          <w:p w14:paraId="6BC28AEF">
            <w:pPr>
              <w:spacing w:line="4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价格评审（10分）</w:t>
            </w:r>
          </w:p>
        </w:tc>
        <w:tc>
          <w:tcPr>
            <w:tcW w:w="1173" w:type="pct"/>
            <w:tcBorders>
              <w:top w:val="single" w:color="000000" w:sz="8" w:space="0"/>
              <w:left w:val="nil"/>
              <w:bottom w:val="single" w:color="000000" w:sz="8" w:space="0"/>
              <w:right w:val="single" w:color="000000" w:sz="8" w:space="0"/>
            </w:tcBorders>
            <w:shd w:val="clear" w:color="auto" w:fill="auto"/>
            <w:vAlign w:val="center"/>
          </w:tcPr>
          <w:p w14:paraId="0B8CB2F3">
            <w:pPr>
              <w:spacing w:line="460" w:lineRule="exact"/>
              <w:ind w:left="120" w:leftChars="57"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价格评审</w:t>
            </w:r>
          </w:p>
        </w:tc>
        <w:tc>
          <w:tcPr>
            <w:tcW w:w="2836" w:type="pct"/>
            <w:tcBorders>
              <w:top w:val="single" w:color="000000" w:sz="8" w:space="0"/>
              <w:left w:val="nil"/>
              <w:bottom w:val="single" w:color="000000" w:sz="8" w:space="0"/>
              <w:right w:val="single" w:color="000000" w:sz="8" w:space="0"/>
            </w:tcBorders>
            <w:shd w:val="clear" w:color="auto" w:fill="auto"/>
            <w:vAlign w:val="center"/>
          </w:tcPr>
          <w:p w14:paraId="0C4CF3F1">
            <w:pPr>
              <w:spacing w:line="46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投标报价评标基准价=有效投标报价的平均值，有效投标报价等于基准值的得满分，报价得分=（投标基准价/最后报价）×10%×100。有效投标报价为通过初步审查的供应商的最后报价。</w:t>
            </w:r>
          </w:p>
        </w:tc>
      </w:tr>
      <w:tr w14:paraId="6C01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261" w:type="pct"/>
            <w:vMerge w:val="continue"/>
            <w:tcBorders>
              <w:top w:val="nil"/>
              <w:left w:val="single" w:color="000000" w:sz="8" w:space="0"/>
              <w:bottom w:val="single" w:color="000000" w:sz="8" w:space="0"/>
              <w:right w:val="single" w:color="000000" w:sz="8" w:space="0"/>
            </w:tcBorders>
            <w:shd w:val="clear" w:color="auto" w:fill="auto"/>
            <w:vAlign w:val="center"/>
          </w:tcPr>
          <w:p w14:paraId="5F8D2C83">
            <w:pPr>
              <w:jc w:val="center"/>
              <w:rPr>
                <w:rFonts w:hint="eastAsia" w:ascii="微软雅黑" w:hAnsi="微软雅黑" w:eastAsia="微软雅黑" w:cs="微软雅黑"/>
                <w:i w:val="0"/>
                <w:iCs w:val="0"/>
                <w:color w:val="000000"/>
                <w:sz w:val="20"/>
                <w:szCs w:val="20"/>
                <w:highlight w:val="none"/>
                <w:u w:val="none"/>
              </w:rPr>
            </w:pPr>
          </w:p>
        </w:tc>
        <w:tc>
          <w:tcPr>
            <w:tcW w:w="728" w:type="pct"/>
            <w:vMerge w:val="restart"/>
            <w:tcBorders>
              <w:top w:val="nil"/>
              <w:left w:val="nil"/>
              <w:bottom w:val="single" w:color="000000" w:sz="8" w:space="0"/>
              <w:right w:val="single" w:color="000000" w:sz="8" w:space="0"/>
            </w:tcBorders>
            <w:shd w:val="clear" w:color="auto" w:fill="auto"/>
            <w:vAlign w:val="center"/>
          </w:tcPr>
          <w:p w14:paraId="28BF21A2">
            <w:pPr>
              <w:spacing w:line="460" w:lineRule="exact"/>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商务部分（20分）</w:t>
            </w:r>
          </w:p>
        </w:tc>
        <w:tc>
          <w:tcPr>
            <w:tcW w:w="1173" w:type="pct"/>
            <w:tcBorders>
              <w:top w:val="nil"/>
              <w:left w:val="nil"/>
              <w:bottom w:val="single" w:color="000000" w:sz="8" w:space="0"/>
              <w:right w:val="single" w:color="000000" w:sz="8" w:space="0"/>
            </w:tcBorders>
            <w:shd w:val="clear" w:color="auto" w:fill="auto"/>
            <w:vAlign w:val="center"/>
          </w:tcPr>
          <w:p w14:paraId="04C24E7C">
            <w:pPr>
              <w:spacing w:line="4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类似项目业绩</w:t>
            </w:r>
          </w:p>
          <w:p w14:paraId="07421B00">
            <w:pPr>
              <w:spacing w:line="4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（0-10分）</w:t>
            </w:r>
          </w:p>
        </w:tc>
        <w:tc>
          <w:tcPr>
            <w:tcW w:w="2836" w:type="pct"/>
            <w:tcBorders>
              <w:top w:val="nil"/>
              <w:left w:val="nil"/>
              <w:bottom w:val="single" w:color="000000" w:sz="8" w:space="0"/>
              <w:right w:val="single" w:color="000000" w:sz="8" w:space="0"/>
            </w:tcBorders>
            <w:shd w:val="clear" w:color="auto" w:fill="auto"/>
            <w:vAlign w:val="center"/>
          </w:tcPr>
          <w:p w14:paraId="45456C21">
            <w:pPr>
              <w:spacing w:line="46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供应商自2022年01月01日至今的类似项目业绩，每提供1项业绩得2分，满分10分。以供应商提供的合同为准，未提供证明资料的，不计分。</w:t>
            </w:r>
          </w:p>
        </w:tc>
      </w:tr>
      <w:tr w14:paraId="4E25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261" w:type="pct"/>
            <w:vMerge w:val="continue"/>
            <w:tcBorders>
              <w:top w:val="nil"/>
              <w:left w:val="single" w:color="000000" w:sz="8" w:space="0"/>
              <w:bottom w:val="single" w:color="000000" w:sz="8" w:space="0"/>
              <w:right w:val="single" w:color="000000" w:sz="8" w:space="0"/>
            </w:tcBorders>
            <w:shd w:val="clear" w:color="auto" w:fill="auto"/>
            <w:vAlign w:val="center"/>
          </w:tcPr>
          <w:p w14:paraId="1B9AE0BA">
            <w:pPr>
              <w:jc w:val="center"/>
              <w:rPr>
                <w:rFonts w:hint="eastAsia" w:ascii="微软雅黑" w:hAnsi="微软雅黑" w:eastAsia="微软雅黑" w:cs="微软雅黑"/>
                <w:i w:val="0"/>
                <w:iCs w:val="0"/>
                <w:color w:val="000000"/>
                <w:sz w:val="20"/>
                <w:szCs w:val="20"/>
                <w:highlight w:val="none"/>
                <w:u w:val="none"/>
              </w:rPr>
            </w:pPr>
          </w:p>
        </w:tc>
        <w:tc>
          <w:tcPr>
            <w:tcW w:w="728" w:type="pct"/>
            <w:vMerge w:val="continue"/>
            <w:tcBorders>
              <w:top w:val="nil"/>
              <w:left w:val="nil"/>
              <w:bottom w:val="single" w:color="000000" w:sz="8" w:space="0"/>
              <w:right w:val="single" w:color="000000" w:sz="8" w:space="0"/>
            </w:tcBorders>
            <w:shd w:val="clear" w:color="auto" w:fill="auto"/>
            <w:vAlign w:val="center"/>
          </w:tcPr>
          <w:p w14:paraId="459C2BD3">
            <w:pPr>
              <w:jc w:val="center"/>
              <w:rPr>
                <w:rFonts w:hint="eastAsia" w:ascii="宋体" w:hAnsi="宋体" w:eastAsia="宋体" w:cs="宋体"/>
                <w:color w:val="auto"/>
                <w:kern w:val="2"/>
                <w:sz w:val="24"/>
                <w:szCs w:val="24"/>
                <w:highlight w:val="none"/>
                <w:lang w:val="en-US" w:eastAsia="zh-CN" w:bidi="ar-SA"/>
              </w:rPr>
            </w:pPr>
          </w:p>
        </w:tc>
        <w:tc>
          <w:tcPr>
            <w:tcW w:w="11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3BEB5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企业实力</w:t>
            </w:r>
          </w:p>
          <w:p w14:paraId="510AAE82">
            <w:pPr>
              <w:pStyle w:val="1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（0-1</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分）</w:t>
            </w:r>
          </w:p>
        </w:tc>
        <w:tc>
          <w:tcPr>
            <w:tcW w:w="28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0FB6DB">
            <w:pPr>
              <w:keepNext w:val="0"/>
              <w:keepLines w:val="0"/>
              <w:widowControl/>
              <w:suppressLineNumbers w:val="0"/>
              <w:jc w:val="left"/>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cs="宋体"/>
                <w:strike w:val="0"/>
                <w:dstrike w:val="0"/>
                <w:color w:val="auto"/>
                <w:kern w:val="2"/>
                <w:sz w:val="24"/>
                <w:szCs w:val="24"/>
                <w:highlight w:val="none"/>
                <w:lang w:val="en-US" w:eastAsia="zh-CN" w:bidi="ar-SA"/>
              </w:rPr>
              <w:t>1.</w:t>
            </w:r>
            <w:r>
              <w:rPr>
                <w:rFonts w:hint="eastAsia" w:ascii="宋体" w:hAnsi="宋体" w:eastAsia="宋体" w:cs="宋体"/>
                <w:strike w:val="0"/>
                <w:dstrike w:val="0"/>
                <w:color w:val="auto"/>
                <w:kern w:val="2"/>
                <w:sz w:val="24"/>
                <w:szCs w:val="24"/>
                <w:highlight w:val="none"/>
                <w:lang w:val="en-US" w:eastAsia="zh-CN" w:bidi="ar-SA"/>
              </w:rPr>
              <w:t>投标人或所投产品厂家，如有类似软件著作权证书，每个证书得1分。</w:t>
            </w:r>
            <w:r>
              <w:rPr>
                <w:rFonts w:hint="eastAsia" w:ascii="宋体" w:hAnsi="宋体" w:eastAsia="宋体" w:cs="宋体"/>
                <w:strike w:val="0"/>
                <w:dstrike w:val="0"/>
                <w:color w:val="auto"/>
                <w:kern w:val="2"/>
                <w:sz w:val="24"/>
                <w:szCs w:val="24"/>
                <w:highlight w:val="none"/>
                <w:lang w:val="en-US" w:eastAsia="zh-CN" w:bidi="ar-SA"/>
              </w:rPr>
              <w:t>本项最高得</w:t>
            </w:r>
            <w:r>
              <w:rPr>
                <w:rFonts w:hint="eastAsia" w:ascii="宋体" w:hAnsi="宋体" w:cs="宋体"/>
                <w:strike w:val="0"/>
                <w:dstrike w:val="0"/>
                <w:color w:val="auto"/>
                <w:kern w:val="2"/>
                <w:sz w:val="24"/>
                <w:szCs w:val="24"/>
                <w:highlight w:val="none"/>
                <w:lang w:val="en-US" w:eastAsia="zh-CN" w:bidi="ar-SA"/>
              </w:rPr>
              <w:t>4</w:t>
            </w:r>
            <w:r>
              <w:rPr>
                <w:rFonts w:hint="eastAsia" w:ascii="宋体" w:hAnsi="宋体" w:eastAsia="宋体" w:cs="宋体"/>
                <w:strike w:val="0"/>
                <w:dstrike w:val="0"/>
                <w:color w:val="auto"/>
                <w:kern w:val="2"/>
                <w:sz w:val="24"/>
                <w:szCs w:val="24"/>
                <w:highlight w:val="none"/>
                <w:lang w:val="en-US" w:eastAsia="zh-CN" w:bidi="ar-SA"/>
              </w:rPr>
              <w:t>分</w:t>
            </w:r>
            <w:r>
              <w:rPr>
                <w:rFonts w:hint="eastAsia" w:ascii="宋体" w:hAnsi="宋体" w:cs="宋体"/>
                <w:strike w:val="0"/>
                <w:dstrike w:val="0"/>
                <w:color w:val="auto"/>
                <w:kern w:val="2"/>
                <w:sz w:val="24"/>
                <w:szCs w:val="24"/>
                <w:highlight w:val="none"/>
                <w:lang w:val="en-US" w:eastAsia="zh-CN" w:bidi="ar-SA"/>
              </w:rPr>
              <w:t>，</w:t>
            </w:r>
            <w:r>
              <w:rPr>
                <w:rFonts w:hint="eastAsia" w:hAnsi="宋体" w:cs="宋体"/>
                <w:strike w:val="0"/>
                <w:dstrike w:val="0"/>
                <w:color w:val="auto"/>
                <w:kern w:val="2"/>
                <w:sz w:val="24"/>
                <w:szCs w:val="24"/>
                <w:highlight w:val="none"/>
                <w:lang w:val="en-US" w:eastAsia="zh-CN" w:bidi="ar-SA"/>
              </w:rPr>
              <w:t>提供</w:t>
            </w:r>
            <w:r>
              <w:rPr>
                <w:rFonts w:hint="eastAsia" w:ascii="宋体" w:hAnsi="宋体" w:eastAsia="宋体" w:cs="宋体"/>
                <w:strike w:val="0"/>
                <w:dstrike w:val="0"/>
                <w:color w:val="auto"/>
                <w:kern w:val="2"/>
                <w:sz w:val="24"/>
                <w:szCs w:val="24"/>
                <w:highlight w:val="none"/>
                <w:lang w:val="en-US" w:eastAsia="zh-CN" w:bidi="ar-SA"/>
              </w:rPr>
              <w:t>复印件并加盖公章。</w:t>
            </w:r>
          </w:p>
          <w:p w14:paraId="1EE36911">
            <w:pPr>
              <w:pStyle w:val="10"/>
              <w:bidi w:val="0"/>
              <w:rPr>
                <w:rFonts w:hint="eastAsia"/>
                <w:color w:val="auto"/>
                <w:highlight w:val="none"/>
                <w:lang w:val="en-US" w:eastAsia="zh-CN"/>
              </w:rPr>
            </w:pPr>
            <w:r>
              <w:rPr>
                <w:rFonts w:hint="eastAsia" w:ascii="宋体" w:hAnsi="宋体" w:eastAsia="宋体" w:cs="宋体"/>
                <w:strike w:val="0"/>
                <w:dstrike w:val="0"/>
                <w:color w:val="auto"/>
                <w:kern w:val="2"/>
                <w:sz w:val="24"/>
                <w:szCs w:val="24"/>
                <w:highlight w:val="none"/>
                <w:lang w:val="en-US" w:eastAsia="zh-CN" w:bidi="ar-SA"/>
              </w:rPr>
              <w:t>2.投标人或所投产品厂家具有信息系统安全集成、软件安全开发、系统安全运维服务能力的(提供国家机构出具的证明材料，每提供一个得</w:t>
            </w:r>
            <w:r>
              <w:rPr>
                <w:rFonts w:hint="eastAsia" w:hAnsi="宋体" w:cs="宋体"/>
                <w:strike w:val="0"/>
                <w:dstrike w:val="0"/>
                <w:color w:val="auto"/>
                <w:kern w:val="2"/>
                <w:sz w:val="24"/>
                <w:szCs w:val="24"/>
                <w:highlight w:val="none"/>
                <w:lang w:val="en-US" w:eastAsia="zh-CN" w:bidi="ar-SA"/>
              </w:rPr>
              <w:t>2</w:t>
            </w:r>
            <w:r>
              <w:rPr>
                <w:rFonts w:hint="eastAsia" w:ascii="宋体" w:hAnsi="宋体" w:eastAsia="宋体" w:cs="宋体"/>
                <w:strike w:val="0"/>
                <w:dstrike w:val="0"/>
                <w:color w:val="auto"/>
                <w:kern w:val="2"/>
                <w:sz w:val="24"/>
                <w:szCs w:val="24"/>
                <w:highlight w:val="none"/>
                <w:lang w:val="en-US" w:eastAsia="zh-CN" w:bidi="ar-SA"/>
              </w:rPr>
              <w:t>分，共计</w:t>
            </w:r>
            <w:r>
              <w:rPr>
                <w:rFonts w:hint="eastAsia" w:hAnsi="宋体" w:cs="宋体"/>
                <w:strike w:val="0"/>
                <w:dstrike w:val="0"/>
                <w:color w:val="auto"/>
                <w:kern w:val="2"/>
                <w:sz w:val="24"/>
                <w:szCs w:val="24"/>
                <w:highlight w:val="none"/>
                <w:lang w:val="en-US" w:eastAsia="zh-CN" w:bidi="ar-SA"/>
              </w:rPr>
              <w:t>6</w:t>
            </w:r>
            <w:r>
              <w:rPr>
                <w:rFonts w:hint="eastAsia" w:ascii="宋体" w:hAnsi="宋体" w:eastAsia="宋体" w:cs="宋体"/>
                <w:strike w:val="0"/>
                <w:dstrike w:val="0"/>
                <w:color w:val="auto"/>
                <w:kern w:val="2"/>
                <w:sz w:val="24"/>
                <w:szCs w:val="24"/>
                <w:highlight w:val="none"/>
                <w:lang w:val="en-US" w:eastAsia="zh-CN" w:bidi="ar-SA"/>
              </w:rPr>
              <w:t>分</w:t>
            </w:r>
            <w:r>
              <w:rPr>
                <w:rFonts w:hint="eastAsia" w:hAnsi="宋体" w:cs="宋体"/>
                <w:strike w:val="0"/>
                <w:dstrike w:val="0"/>
                <w:color w:val="auto"/>
                <w:kern w:val="2"/>
                <w:sz w:val="24"/>
                <w:szCs w:val="24"/>
                <w:highlight w:val="none"/>
                <w:lang w:val="en-US" w:eastAsia="zh-CN" w:bidi="ar-SA"/>
              </w:rPr>
              <w:t>，提供</w:t>
            </w:r>
            <w:r>
              <w:rPr>
                <w:rFonts w:hint="eastAsia" w:ascii="宋体" w:hAnsi="宋体" w:eastAsia="宋体" w:cs="宋体"/>
                <w:strike w:val="0"/>
                <w:dstrike w:val="0"/>
                <w:color w:val="auto"/>
                <w:kern w:val="2"/>
                <w:sz w:val="24"/>
                <w:szCs w:val="24"/>
                <w:highlight w:val="none"/>
                <w:lang w:val="en-US" w:eastAsia="zh-CN" w:bidi="ar-SA"/>
              </w:rPr>
              <w:t>复印件并加盖公章。</w:t>
            </w:r>
          </w:p>
        </w:tc>
      </w:tr>
      <w:tr w14:paraId="35B9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261" w:type="pct"/>
            <w:vMerge w:val="continue"/>
            <w:tcBorders>
              <w:top w:val="nil"/>
              <w:left w:val="single" w:color="000000" w:sz="8" w:space="0"/>
              <w:bottom w:val="single" w:color="000000" w:sz="8" w:space="0"/>
              <w:right w:val="single" w:color="000000" w:sz="8" w:space="0"/>
            </w:tcBorders>
            <w:shd w:val="clear" w:color="auto" w:fill="auto"/>
            <w:vAlign w:val="center"/>
          </w:tcPr>
          <w:p w14:paraId="2F9BB5C7">
            <w:pPr>
              <w:jc w:val="center"/>
              <w:rPr>
                <w:rFonts w:hint="eastAsia" w:ascii="微软雅黑" w:hAnsi="微软雅黑" w:eastAsia="微软雅黑" w:cs="微软雅黑"/>
                <w:i w:val="0"/>
                <w:iCs w:val="0"/>
                <w:color w:val="000000"/>
                <w:sz w:val="20"/>
                <w:szCs w:val="20"/>
                <w:highlight w:val="none"/>
                <w:u w:val="none"/>
              </w:rPr>
            </w:pPr>
          </w:p>
        </w:tc>
        <w:tc>
          <w:tcPr>
            <w:tcW w:w="728" w:type="pct"/>
            <w:vMerge w:val="restart"/>
            <w:tcBorders>
              <w:top w:val="nil"/>
              <w:left w:val="nil"/>
              <w:bottom w:val="single" w:color="000000" w:sz="8" w:space="0"/>
              <w:right w:val="single" w:color="000000" w:sz="8" w:space="0"/>
            </w:tcBorders>
            <w:shd w:val="clear" w:color="auto" w:fill="auto"/>
            <w:vAlign w:val="bottom"/>
          </w:tcPr>
          <w:p w14:paraId="018DC380">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7748ED00">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35BE76C6">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243D182F">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2B2A2453">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1DCE1C68">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375CFB47">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6C24F2F5">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662546B1">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7AC1F41">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技术部分（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11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E29315">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技术指标参数</w:t>
            </w:r>
          </w:p>
          <w:p w14:paraId="0594B4DF">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28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417B7F">
            <w:pPr>
              <w:keepNext w:val="0"/>
              <w:keepLines w:val="0"/>
              <w:widowControl/>
              <w:suppressLineNumbers w:val="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投标人所投产品技术参数完全满足招标文件采购需求得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分。其中重要参数标记“*”的有一项不满足扣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分，其他参数有一项不满足扣1分，扣完为止。</w:t>
            </w:r>
          </w:p>
          <w:p w14:paraId="7EBDDD73">
            <w:pPr>
              <w:keepNext w:val="0"/>
              <w:keepLines w:val="0"/>
              <w:widowControl/>
              <w:suppressLineNumbers w:val="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注：带“*”标记参数必须提供相关产品功能截图、官网或者技术白皮书等佐证材料，未提供视为不满足进行扣分。</w:t>
            </w:r>
          </w:p>
        </w:tc>
      </w:tr>
      <w:tr w14:paraId="0165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1" w:hRule="atLeast"/>
        </w:trPr>
        <w:tc>
          <w:tcPr>
            <w:tcW w:w="261" w:type="pct"/>
            <w:vMerge w:val="continue"/>
            <w:tcBorders>
              <w:top w:val="nil"/>
              <w:left w:val="single" w:color="000000" w:sz="8" w:space="0"/>
              <w:bottom w:val="single" w:color="000000" w:sz="8" w:space="0"/>
              <w:right w:val="single" w:color="000000" w:sz="8" w:space="0"/>
            </w:tcBorders>
            <w:shd w:val="clear" w:color="auto" w:fill="auto"/>
            <w:vAlign w:val="center"/>
          </w:tcPr>
          <w:p w14:paraId="4A7BEDF1">
            <w:pPr>
              <w:jc w:val="center"/>
              <w:rPr>
                <w:rFonts w:hint="eastAsia" w:ascii="微软雅黑" w:hAnsi="微软雅黑" w:eastAsia="微软雅黑" w:cs="微软雅黑"/>
                <w:i w:val="0"/>
                <w:iCs w:val="0"/>
                <w:color w:val="000000"/>
                <w:sz w:val="20"/>
                <w:szCs w:val="20"/>
                <w:highlight w:val="none"/>
                <w:u w:val="none"/>
              </w:rPr>
            </w:pPr>
          </w:p>
        </w:tc>
        <w:tc>
          <w:tcPr>
            <w:tcW w:w="728" w:type="pct"/>
            <w:vMerge w:val="continue"/>
            <w:tcBorders>
              <w:top w:val="nil"/>
              <w:left w:val="nil"/>
              <w:bottom w:val="single" w:color="000000" w:sz="8" w:space="0"/>
              <w:right w:val="single" w:color="000000" w:sz="8" w:space="0"/>
            </w:tcBorders>
            <w:shd w:val="clear" w:color="auto" w:fill="auto"/>
            <w:vAlign w:val="center"/>
          </w:tcPr>
          <w:p w14:paraId="7E895BF7">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5743AC">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技术方案</w:t>
            </w:r>
          </w:p>
          <w:p w14:paraId="18A46A8B">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28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303950">
            <w:pPr>
              <w:keepNext w:val="0"/>
              <w:keepLines w:val="0"/>
              <w:widowControl/>
              <w:suppressLineNumbers w:val="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供应商根据采购需求提供的总体设计方案进行综合评分，应提供系统架构、设计原则、技术路线、性能设计内容且满足本项目需求。根据供应商提供的方案进行综合评分。内容详细、合理、满足采购需求根据响应程度得分，优良:</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分，较好: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分，一般:1分。(未提供不得分）</w:t>
            </w:r>
          </w:p>
        </w:tc>
      </w:tr>
      <w:tr w14:paraId="6D20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1" w:hRule="atLeast"/>
        </w:trPr>
        <w:tc>
          <w:tcPr>
            <w:tcW w:w="261" w:type="pct"/>
            <w:vMerge w:val="continue"/>
            <w:tcBorders>
              <w:top w:val="nil"/>
              <w:left w:val="single" w:color="000000" w:sz="8" w:space="0"/>
              <w:bottom w:val="single" w:color="000000" w:sz="8" w:space="0"/>
              <w:right w:val="single" w:color="000000" w:sz="8" w:space="0"/>
            </w:tcBorders>
            <w:shd w:val="clear" w:color="auto" w:fill="auto"/>
            <w:vAlign w:val="center"/>
          </w:tcPr>
          <w:p w14:paraId="7D000889">
            <w:pPr>
              <w:jc w:val="center"/>
              <w:rPr>
                <w:rFonts w:hint="eastAsia" w:ascii="微软雅黑" w:hAnsi="微软雅黑" w:eastAsia="微软雅黑" w:cs="微软雅黑"/>
                <w:i w:val="0"/>
                <w:iCs w:val="0"/>
                <w:color w:val="000000"/>
                <w:sz w:val="20"/>
                <w:szCs w:val="20"/>
                <w:highlight w:val="none"/>
                <w:u w:val="none"/>
              </w:rPr>
            </w:pPr>
          </w:p>
        </w:tc>
        <w:tc>
          <w:tcPr>
            <w:tcW w:w="728" w:type="pct"/>
            <w:vMerge w:val="continue"/>
            <w:tcBorders>
              <w:top w:val="nil"/>
              <w:left w:val="nil"/>
              <w:bottom w:val="single" w:color="000000" w:sz="8" w:space="0"/>
              <w:right w:val="single" w:color="000000" w:sz="8" w:space="0"/>
            </w:tcBorders>
            <w:shd w:val="clear" w:color="auto" w:fill="auto"/>
            <w:vAlign w:val="center"/>
          </w:tcPr>
          <w:p w14:paraId="1F01A765">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73" w:type="pct"/>
            <w:tcBorders>
              <w:top w:val="nil"/>
              <w:left w:val="nil"/>
              <w:bottom w:val="single" w:color="000000" w:sz="8" w:space="0"/>
              <w:right w:val="single" w:color="000000" w:sz="8" w:space="0"/>
            </w:tcBorders>
            <w:shd w:val="clear" w:color="auto" w:fill="auto"/>
            <w:vAlign w:val="center"/>
          </w:tcPr>
          <w:p w14:paraId="712EC142">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实施方案</w:t>
            </w:r>
          </w:p>
          <w:p w14:paraId="53D44C69">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2836" w:type="pct"/>
            <w:tcBorders>
              <w:top w:val="nil"/>
              <w:left w:val="nil"/>
              <w:bottom w:val="single" w:color="000000" w:sz="8" w:space="0"/>
              <w:right w:val="single" w:color="000000" w:sz="8" w:space="0"/>
            </w:tcBorders>
            <w:shd w:val="clear" w:color="auto" w:fill="auto"/>
            <w:vAlign w:val="center"/>
          </w:tcPr>
          <w:p w14:paraId="323C78F4">
            <w:pPr>
              <w:keepNext w:val="0"/>
              <w:keepLines w:val="0"/>
              <w:widowControl/>
              <w:suppressLineNumbers w:val="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提供建设本系统所需的完整的实施方案，有完善的管理体系针对本项目的工作计划有合理的阶段划分，各阶段有明确的工作目标和可行的时间进度安排，可以确保工作优质、高效、如期完成，根据响应程度得分，优良:</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分，较好: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分，一般:1分。(未提供不得分)</w:t>
            </w:r>
          </w:p>
        </w:tc>
      </w:tr>
      <w:tr w14:paraId="0711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261" w:type="pct"/>
            <w:vMerge w:val="continue"/>
            <w:tcBorders>
              <w:top w:val="nil"/>
              <w:left w:val="single" w:color="000000" w:sz="8" w:space="0"/>
              <w:bottom w:val="single" w:color="000000" w:sz="8" w:space="0"/>
              <w:right w:val="single" w:color="000000" w:sz="8" w:space="0"/>
            </w:tcBorders>
            <w:shd w:val="clear" w:color="auto" w:fill="auto"/>
            <w:vAlign w:val="center"/>
          </w:tcPr>
          <w:p w14:paraId="2FD7B98F">
            <w:pPr>
              <w:jc w:val="center"/>
              <w:rPr>
                <w:rFonts w:hint="eastAsia" w:ascii="微软雅黑" w:hAnsi="微软雅黑" w:eastAsia="微软雅黑" w:cs="微软雅黑"/>
                <w:i w:val="0"/>
                <w:iCs w:val="0"/>
                <w:color w:val="000000"/>
                <w:sz w:val="20"/>
                <w:szCs w:val="20"/>
                <w:highlight w:val="none"/>
                <w:u w:val="none"/>
              </w:rPr>
            </w:pPr>
          </w:p>
        </w:tc>
        <w:tc>
          <w:tcPr>
            <w:tcW w:w="728" w:type="pct"/>
            <w:vMerge w:val="continue"/>
            <w:tcBorders>
              <w:top w:val="nil"/>
              <w:left w:val="nil"/>
              <w:bottom w:val="single" w:color="000000" w:sz="8" w:space="0"/>
              <w:right w:val="single" w:color="000000" w:sz="8" w:space="0"/>
            </w:tcBorders>
            <w:shd w:val="clear" w:color="auto" w:fill="auto"/>
            <w:vAlign w:val="center"/>
          </w:tcPr>
          <w:p w14:paraId="109F4534">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C2B57F">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运行维护方案</w:t>
            </w:r>
          </w:p>
          <w:p w14:paraId="27266DC5">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28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A272D5">
            <w:pPr>
              <w:keepNext w:val="0"/>
              <w:keepLines w:val="0"/>
              <w:widowControl/>
              <w:suppressLineNumbers w:val="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投标人提供项目运行维护方案，对项目运行维护体系、维护响应机制等内容进行阐述：</w:t>
            </w:r>
          </w:p>
          <w:p w14:paraId="22AFDF95">
            <w:pPr>
              <w:keepNext w:val="0"/>
              <w:keepLines w:val="0"/>
              <w:widowControl/>
              <w:suppressLineNumbers w:val="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项目运行维护方案详细、科学、合理，具有较强的可操作性的得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3E3A910C">
            <w:pPr>
              <w:keepNext w:val="0"/>
              <w:keepLines w:val="0"/>
              <w:widowControl/>
              <w:suppressLineNumbers w:val="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项目运行维护方案内容完整，具有一定的可操作性的得3分；</w:t>
            </w:r>
          </w:p>
          <w:p w14:paraId="47682CF4">
            <w:pPr>
              <w:keepNext w:val="0"/>
              <w:keepLines w:val="0"/>
              <w:widowControl/>
              <w:suppressLineNumbers w:val="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项目运行维护方案有待完善的得1分；</w:t>
            </w:r>
          </w:p>
        </w:tc>
      </w:tr>
    </w:tbl>
    <w:p w14:paraId="72DA2832">
      <w:pPr>
        <w:pStyle w:val="10"/>
        <w:spacing w:line="460" w:lineRule="exact"/>
        <w:rPr>
          <w:rFonts w:hAnsi="宋体" w:cs="宋体"/>
          <w:color w:val="000000" w:themeColor="text1"/>
          <w:sz w:val="24"/>
          <w:szCs w:val="24"/>
          <w:highlight w:val="none"/>
          <w14:textFill>
            <w14:solidFill>
              <w14:schemeClr w14:val="tx1"/>
            </w14:solidFill>
          </w14:textFill>
        </w:rPr>
      </w:pPr>
    </w:p>
    <w:p w14:paraId="4313CE3D">
      <w:pPr>
        <w:spacing w:line="46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6.成交</w:t>
      </w:r>
    </w:p>
    <w:p w14:paraId="42F0807D">
      <w:pPr>
        <w:spacing w:line="460" w:lineRule="exact"/>
        <w:ind w:left="120" w:leftChars="57"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14:paraId="2076FD96">
      <w:pPr>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（2）采购代理机构收到采购人“成交复函”后，在财政部门指定的政府采购信息媒体上发布公告，公示期无异议后，向成交供应商发出“成交通知书”。</w:t>
      </w:r>
    </w:p>
    <w:p w14:paraId="5035440B">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七、签订合同</w:t>
      </w:r>
    </w:p>
    <w:p w14:paraId="2CA1AA7A">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成交后，成交供应商（单位）在收到成交通知书后三十个日历天内，应按磋商文件的要求与采购人洽谈合同条款，并签订供货合同，同时送监督机构备案，磋商文件及成交供应商（单位）的磋商响应文件均作为合同的组成部分；</w:t>
      </w:r>
    </w:p>
    <w:p w14:paraId="23A5DC87">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14:paraId="4525D820">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3.根据需要，采购代理机构可会同采购人负责监督、协调和处理履约过程中出现的问题；</w:t>
      </w:r>
    </w:p>
    <w:p w14:paraId="6DF6A7A8">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八、成交服务费</w:t>
      </w:r>
    </w:p>
    <w:p w14:paraId="1A5A455A">
      <w:pPr>
        <w:snapToGrid w:val="0"/>
        <w:spacing w:line="45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1.招标代理服务费由成交供应商缴纳。</w:t>
      </w:r>
    </w:p>
    <w:p w14:paraId="38C98015">
      <w:pPr>
        <w:snapToGrid w:val="0"/>
        <w:spacing w:line="45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人应依据成交金额向代理机构缴纳代理服务费，招标代理服务费收取按照国家计委颁布的《招标代理服务收费管理暂行办法》（计价格[2002]1980号）和（发改办价格[2003]857号）文服务类收费标准计取，此服务费应计入磋商报价中。</w:t>
      </w:r>
    </w:p>
    <w:p w14:paraId="0EA09AD8">
      <w:pPr>
        <w:snapToGrid w:val="0"/>
        <w:spacing w:line="45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3.招标代理服务费交纳信息</w:t>
      </w:r>
    </w:p>
    <w:p w14:paraId="4D74AED8">
      <w:pPr>
        <w:snapToGrid w:val="0"/>
        <w:spacing w:line="450" w:lineRule="exact"/>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银行户名：</w:t>
      </w:r>
      <w:r>
        <w:rPr>
          <w:rFonts w:hint="eastAsia" w:ascii="宋体" w:hAnsi="宋体" w:cs="宋体"/>
          <w:color w:val="auto"/>
          <w:sz w:val="24"/>
          <w:szCs w:val="24"/>
          <w:highlight w:val="none"/>
          <w:lang w:eastAsia="zh-CN"/>
        </w:rPr>
        <w:t>中智投工程管理有限公司富平县分公司</w:t>
      </w:r>
    </w:p>
    <w:p w14:paraId="2D3C5C01">
      <w:pPr>
        <w:snapToGrid w:val="0"/>
        <w:spacing w:line="45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eastAsia="宋体" w:cs="宋体"/>
          <w:color w:val="auto"/>
          <w:kern w:val="0"/>
          <w:sz w:val="24"/>
          <w:szCs w:val="22"/>
          <w:highlight w:val="none"/>
          <w:lang w:val="en-US" w:eastAsia="zh-CN"/>
        </w:rPr>
        <w:t>中国建设银行股份有限公司富平县支行</w:t>
      </w:r>
    </w:p>
    <w:p w14:paraId="3D3140FD">
      <w:pPr>
        <w:snapToGrid w:val="0"/>
        <w:spacing w:line="45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w:t>
      </w:r>
      <w:r>
        <w:rPr>
          <w:rFonts w:hint="eastAsia" w:ascii="宋体" w:hAnsi="宋体" w:cs="宋体"/>
          <w:color w:val="auto"/>
          <w:sz w:val="24"/>
          <w:szCs w:val="24"/>
          <w:highlight w:val="none"/>
          <w:lang w:eastAsia="zh-CN"/>
        </w:rPr>
        <w:t>61050164830800003047</w:t>
      </w:r>
    </w:p>
    <w:p w14:paraId="07B357FD">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九、其它事项</w:t>
      </w:r>
    </w:p>
    <w:p w14:paraId="29FB207C">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1．竞争性磋商项目实行二轮报价，第一次报价后，磋商小组可以变更采购需求中的技术、服务要求以及合同草案条款，二轮报价为最终报价。</w:t>
      </w:r>
    </w:p>
    <w:p w14:paraId="672B9AD9">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还应当对超过部分予以赔偿，并依法承担相应法律责任。</w:t>
      </w:r>
    </w:p>
    <w:p w14:paraId="0B16454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F1163C7">
      <w:pPr>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 w:name="_Toc165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附件1：投标担保函</w:t>
      </w:r>
      <w:bookmarkEnd w:id="3"/>
    </w:p>
    <w:p w14:paraId="7399FCE0">
      <w:pPr>
        <w:pStyle w:val="6"/>
        <w:snapToGrid w:val="0"/>
        <w:spacing w:line="360" w:lineRule="auto"/>
        <w:ind w:firstLine="48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（适用于投标保证金保函）</w:t>
      </w:r>
    </w:p>
    <w:p w14:paraId="12DBDB97">
      <w:pPr>
        <w:snapToGrid w:val="0"/>
        <w:spacing w:line="360" w:lineRule="auto"/>
        <w:ind w:right="48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保函编号:</w:t>
      </w:r>
    </w:p>
    <w:p w14:paraId="7975DF16">
      <w:pPr>
        <w:snapToGrid w:val="0"/>
        <w:spacing w:line="360" w:lineRule="auto"/>
        <w:ind w:right="480"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中智投工程管理有限公司</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(下称受益人):</w:t>
      </w:r>
    </w:p>
    <w:p w14:paraId="3C1F607B">
      <w:pPr>
        <w:snapToGrid w:val="0"/>
        <w:spacing w:line="360" w:lineRule="auto"/>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鉴于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(下称被保证人)将于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年 月 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参加贵方招标编号为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（采购项目编号）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的投标,我方接受被保证人的委托,在此向受益人提供不可撤销的投标保证：</w:t>
      </w:r>
    </w:p>
    <w:p w14:paraId="5D43C0E5">
      <w:pPr>
        <w:numPr>
          <w:ilvl w:val="0"/>
          <w:numId w:val="6"/>
        </w:num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本保证担保的担保金额为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人民币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(币种</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元(小写)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元整</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(大写）。</w:t>
      </w:r>
    </w:p>
    <w:p w14:paraId="30F42E7D">
      <w:pPr>
        <w:numPr>
          <w:ilvl w:val="0"/>
          <w:numId w:val="6"/>
        </w:num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本保证担保的保证期间为该项目的投标有效期(或延长的投标有效期)后28日(含28日),延长投标有效期无须通知我方。</w:t>
      </w:r>
    </w:p>
    <w:p w14:paraId="53C1A88A">
      <w:pPr>
        <w:numPr>
          <w:ilvl w:val="0"/>
          <w:numId w:val="6"/>
        </w:num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在本保证担保的保证期间内,如果被保证人出现下列情形之一,受益人可以向我方提起索赔：</w:t>
      </w:r>
    </w:p>
    <w:p w14:paraId="65EE21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1.被保证人在招标文件规定的投标有效期内撤回其投标；</w:t>
      </w:r>
    </w:p>
    <w:p w14:paraId="6E5D4C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2.被保证人在投标有效期内收到受益人发出的中标通知书后,不能或拒绝按招标文件的要求签署合同；</w:t>
      </w:r>
    </w:p>
    <w:p w14:paraId="39AF906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3.被保证人在投标有效期内收到受益人发出的中标通知书后,不能或拒绝按招标文件的规定提交履约担保；</w:t>
      </w:r>
    </w:p>
    <w:p w14:paraId="3F0A0A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4.被保证人中标后未按照招标文件规定交纳招标代理服务费。</w:t>
      </w:r>
    </w:p>
    <w:p w14:paraId="178C2D34">
      <w:pPr>
        <w:numPr>
          <w:ilvl w:val="0"/>
          <w:numId w:val="6"/>
        </w:num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在本保证担保的保证期间内,我方收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到受益人经法定代表人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或其授权委托代理人签字并加盖公章的书面索赔通知后,将不争辩、不挑剔、不可撤销地立即向受益人支付本保证担保的担保金额。</w:t>
      </w:r>
    </w:p>
    <w:p w14:paraId="6E7FFB08">
      <w:pPr>
        <w:numPr>
          <w:ilvl w:val="0"/>
          <w:numId w:val="6"/>
        </w:num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受益人的索赔通知应当说明索赔理由,并必须在本保证担保的保证期间内送达我方。</w:t>
      </w:r>
    </w:p>
    <w:p w14:paraId="20BE2F96">
      <w:pPr>
        <w:numPr>
          <w:ilvl w:val="0"/>
          <w:numId w:val="6"/>
        </w:num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本保证担保项下的权利不得转让。</w:t>
      </w:r>
    </w:p>
    <w:p w14:paraId="210768F4">
      <w:pPr>
        <w:numPr>
          <w:ilvl w:val="0"/>
          <w:numId w:val="6"/>
        </w:num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本保证担保的保证期间届满,或我方已向受益人支付本保证担保的担保金额,我方的保证责任免除。</w:t>
      </w:r>
    </w:p>
    <w:p w14:paraId="79ACCCEA">
      <w:pPr>
        <w:numPr>
          <w:ilvl w:val="0"/>
          <w:numId w:val="6"/>
        </w:num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本保证担保适用中华人民共和国法律。</w:t>
      </w:r>
    </w:p>
    <w:p w14:paraId="0D7B30B3">
      <w:pPr>
        <w:numPr>
          <w:ilvl w:val="0"/>
          <w:numId w:val="6"/>
        </w:num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本保证担保以中文文本为准,涂改无效。</w:t>
      </w:r>
    </w:p>
    <w:p w14:paraId="01F46650">
      <w:pPr>
        <w:snapToGrid w:val="0"/>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14:paraId="11A62EAE">
      <w:pPr>
        <w:snapToGrid w:val="0"/>
        <w:spacing w:line="360" w:lineRule="auto"/>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保证人(盖章):</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0B7FEF5B">
      <w:pPr>
        <w:snapToGrid w:val="0"/>
        <w:spacing w:line="360" w:lineRule="auto"/>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或其授权委托代理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人(签字或盖章）：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7F922DA4">
      <w:pPr>
        <w:snapToGrid w:val="0"/>
        <w:spacing w:line="360" w:lineRule="auto"/>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单位地址: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72C3F8DE">
      <w:pPr>
        <w:snapToGrid w:val="0"/>
        <w:spacing w:line="360" w:lineRule="auto"/>
        <w:rPr>
          <w:rFonts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1C0F41DC">
      <w:pPr>
        <w:pStyle w:val="18"/>
        <w:snapToGrid w:val="0"/>
        <w:spacing w:before="0" w:beforeAutospacing="0" w:after="0" w:afterAutospacing="0" w:line="360" w:lineRule="auto"/>
        <w:jc w:val="both"/>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年    月    日</w:t>
      </w:r>
      <w:bookmarkStart w:id="4" w:name="_Toc532473491"/>
      <w:bookmarkStart w:id="5" w:name="_Toc21748"/>
      <w:bookmarkStart w:id="6" w:name="_Toc16186"/>
      <w:bookmarkStart w:id="7" w:name="_Toc515647799"/>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End w:id="4"/>
      <w:bookmarkEnd w:id="5"/>
      <w:bookmarkEnd w:id="6"/>
      <w:bookmarkEnd w:id="7"/>
      <w:bookmarkStart w:id="8" w:name="_Toc532473492"/>
      <w:bookmarkStart w:id="9" w:name="_Toc6548"/>
      <w:bookmarkStart w:id="10" w:name="_Toc515647800"/>
      <w:bookmarkStart w:id="11" w:name="_Toc10951"/>
      <w:bookmarkStart w:id="12" w:name="_Toc1916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附件2：履约担保函格式</w:t>
      </w:r>
      <w:bookmarkEnd w:id="8"/>
      <w:bookmarkEnd w:id="9"/>
      <w:bookmarkEnd w:id="10"/>
      <w:bookmarkEnd w:id="11"/>
      <w:bookmarkEnd w:id="12"/>
    </w:p>
    <w:p w14:paraId="29B0279C">
      <w:pPr>
        <w:snapToGrid w:val="0"/>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编号：</w:t>
      </w:r>
    </w:p>
    <w:p w14:paraId="0CD6AB3B">
      <w:pPr>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p w14:paraId="4DDF99C0">
      <w:pPr>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（采购人名称）：</w:t>
      </w:r>
    </w:p>
    <w:p w14:paraId="762604DB">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鉴于你方与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（以下简称供应商）于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日签定编号为   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政府采购合同》（以下简称主合同），且依据该合同的约定，供应商应在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日前向你方交纳履约保证金，且可以履约担保函的形式交纳履约保证金。应供应商的申请，我方以保证的方式向你方提供如下履约保证金担保：</w:t>
      </w:r>
    </w:p>
    <w:p w14:paraId="629A93D7">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一、保证责任的情形及保证金额</w:t>
      </w:r>
    </w:p>
    <w:p w14:paraId="0DAAF10F">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（一）在供应商出现下列情形之一时，我方承担保证责任：</w:t>
      </w:r>
    </w:p>
    <w:p w14:paraId="43DBFAB2">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1．将中标项目转让给他人，或者在投标文件中未说明，且未经采购招标机构人同意，将中标项目分包给他人的；</w:t>
      </w:r>
    </w:p>
    <w:p w14:paraId="4C03CA97">
      <w:pPr>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2．主合同约定的应当缴纳履约保证金的情形: </w:t>
      </w:r>
    </w:p>
    <w:p w14:paraId="599AC513">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（1）未按主合同约定的质量、数量和期限供应货物/提供服务/完成工程的；</w:t>
      </w:r>
    </w:p>
    <w:p w14:paraId="63DCA409">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77C9FA4">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（二）我方的保证范围是主合同约定的合同价款总额的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%数额为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元（大写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），币种为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。（即主合同履约保证金金额）</w:t>
      </w:r>
    </w:p>
    <w:p w14:paraId="3B66F034">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二、保证的方式及保证期间</w:t>
      </w:r>
    </w:p>
    <w:p w14:paraId="0E6E170F">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我方保证的方式为：连带责任保证。</w:t>
      </w:r>
    </w:p>
    <w:p w14:paraId="300D7014">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我方保证的期间为：自本合同生效之日起至供应商按照主合同约定的供货/完工期限届满后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日内。</w:t>
      </w:r>
    </w:p>
    <w:p w14:paraId="19B71A93">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如果供应商未按主合同约定向贵方供应货物/提供服务/完成工程的，由我方在保证金额内向你方支付上述款项。</w:t>
      </w:r>
    </w:p>
    <w:p w14:paraId="14EF9FDC">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三、承担保证责任的程序</w:t>
      </w:r>
    </w:p>
    <w:p w14:paraId="649C8633">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1．你方要求我方承担保证责任的，应在本保函保证期间内向我方发出书面索赔通知。索赔通知应写明要求索赔的金额，支付款项应到达的帐号。并附有证明供应商违约事实的证明材料。</w:t>
      </w:r>
    </w:p>
    <w:p w14:paraId="0C0147F3">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如果你方与供应商因货物质量问题产生争议，你方还需同时提供</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部门出具的质量检测报告，或经诉讼（仲裁）程序裁决后的裁决书、调解书，本保证人即按照检测结果或裁决书、调解书决定是否承担保证责任。</w:t>
      </w:r>
    </w:p>
    <w:p w14:paraId="77FFF799">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 我方收到你方的书面索赔通知及相应证明材料，在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工作日内进行核定后按照本保函的承诺承担保证责任。</w:t>
      </w:r>
    </w:p>
    <w:p w14:paraId="0DF135EF">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四、保证责任的终止</w:t>
      </w:r>
    </w:p>
    <w:p w14:paraId="76560DBB">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932D33B">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2．我方按照本保函向你方履行了保证责任后，自我方向你方支付款项（支付款项从我方账户划出）之日起，保证责任即终止。</w:t>
      </w:r>
    </w:p>
    <w:p w14:paraId="23EF4843">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3．按照法律法规的规定或出现应终止我方保证责任的其它情形的，我方在本保函项下的保证责任亦终止。</w:t>
      </w:r>
    </w:p>
    <w:p w14:paraId="5EFE6691">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06E5C7B">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五、免责条款</w:t>
      </w:r>
    </w:p>
    <w:p w14:paraId="1328A7A2">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1．因你方违反主合同约定致使供应商不能履行义务的，我方不承担保证责任。</w:t>
      </w:r>
    </w:p>
    <w:p w14:paraId="6B08E961">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2．依照法律法规的规定或你方与供应商的另行约定，全部或者部分免除供应商应缴纳的保证金义务的，我方亦免除相应的保证责任。</w:t>
      </w:r>
    </w:p>
    <w:p w14:paraId="6135C324">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3．因不可抗力造成供应商不能履行供货义务的，我方不承担保证责任。</w:t>
      </w:r>
    </w:p>
    <w:p w14:paraId="59388615">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六、争议的解决</w:t>
      </w:r>
    </w:p>
    <w:p w14:paraId="7C6BE66B">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因本保函发生的纠纷，由你我双方协商解决，协商不成的，通过诉讼程序解决，诉讼管辖地法院为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法院。</w:t>
      </w:r>
    </w:p>
    <w:p w14:paraId="169A45DB">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七、保函的生效</w:t>
      </w:r>
    </w:p>
    <w:p w14:paraId="0AC9CD50">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本保函自我方加盖公章之日起生效。                     </w:t>
      </w:r>
    </w:p>
    <w:p w14:paraId="4E7DFC33">
      <w:pPr>
        <w:pStyle w:val="10"/>
        <w:spacing w:line="360" w:lineRule="auto"/>
        <w:ind w:left="1080" w:leftChars="257" w:hanging="54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3340AD02">
      <w:pPr>
        <w:pStyle w:val="10"/>
        <w:spacing w:line="360" w:lineRule="auto"/>
        <w:ind w:left="1080" w:leftChars="257" w:hanging="54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出具保函单位名称（盖公章）：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65D31A35">
      <w:pPr>
        <w:pStyle w:val="10"/>
        <w:spacing w:line="360" w:lineRule="auto"/>
        <w:ind w:left="1080" w:leftChars="257" w:hanging="540"/>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签字人姓名和职务：</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08ED28AF">
      <w:pPr>
        <w:pStyle w:val="10"/>
        <w:spacing w:line="360" w:lineRule="auto"/>
        <w:ind w:left="1080" w:leftChars="257" w:hanging="54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签字人签名：</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28DBC37E">
      <w:pPr>
        <w:pStyle w:val="10"/>
        <w:spacing w:line="360" w:lineRule="auto"/>
        <w:ind w:left="1080" w:leftChars="257" w:hanging="540"/>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年      月      日                    </w:t>
      </w:r>
    </w:p>
    <w:p w14:paraId="44489152">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3D97ABFF">
      <w:pPr>
        <w:pStyle w:val="2"/>
        <w:rPr>
          <w:color w:val="000000" w:themeColor="text1"/>
          <w:highlight w:val="none"/>
          <w14:textFill>
            <w14:solidFill>
              <w14:schemeClr w14:val="tx1"/>
            </w14:solidFill>
          </w14:textFill>
        </w:rPr>
      </w:pPr>
      <w:bookmarkStart w:id="13" w:name="_Toc19123"/>
      <w:r>
        <w:rPr>
          <w:rFonts w:hint="eastAsia"/>
          <w:color w:val="000000" w:themeColor="text1"/>
          <w:highlight w:val="none"/>
          <w14:textFill>
            <w14:solidFill>
              <w14:schemeClr w14:val="tx1"/>
            </w14:solidFill>
          </w14:textFill>
        </w:rPr>
        <w:t>第三部分  磋商要求及说明</w:t>
      </w:r>
      <w:bookmarkEnd w:id="13"/>
      <w:bookmarkStart w:id="14" w:name="_Toc13755620"/>
    </w:p>
    <w:bookmarkEnd w:id="14"/>
    <w:p w14:paraId="0279BBBA">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采购需求：对富平县第二人民医院信息化系统进行升级（信息化系统建设，检查检验系统等进行升级改造等），1项， 采购预算： 1800000.00元。</w:t>
      </w:r>
    </w:p>
    <w:tbl>
      <w:tblPr>
        <w:tblStyle w:val="22"/>
        <w:tblW w:w="10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59"/>
        <w:gridCol w:w="7563"/>
        <w:gridCol w:w="775"/>
        <w:gridCol w:w="736"/>
      </w:tblGrid>
      <w:tr w14:paraId="2914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E0B4A22">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序号</w:t>
            </w:r>
          </w:p>
        </w:tc>
        <w:tc>
          <w:tcPr>
            <w:tcW w:w="759" w:type="dxa"/>
            <w:vAlign w:val="center"/>
          </w:tcPr>
          <w:p w14:paraId="6E9559F7">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名称</w:t>
            </w:r>
          </w:p>
        </w:tc>
        <w:tc>
          <w:tcPr>
            <w:tcW w:w="7563" w:type="dxa"/>
            <w:vAlign w:val="center"/>
          </w:tcPr>
          <w:p w14:paraId="45634A57">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规格参数</w:t>
            </w:r>
          </w:p>
        </w:tc>
        <w:tc>
          <w:tcPr>
            <w:tcW w:w="775" w:type="dxa"/>
            <w:vAlign w:val="center"/>
          </w:tcPr>
          <w:p w14:paraId="3E506FFF">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数量</w:t>
            </w:r>
          </w:p>
        </w:tc>
        <w:tc>
          <w:tcPr>
            <w:tcW w:w="736" w:type="dxa"/>
            <w:vAlign w:val="center"/>
          </w:tcPr>
          <w:p w14:paraId="46A4B7C8">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单位</w:t>
            </w:r>
          </w:p>
        </w:tc>
      </w:tr>
      <w:tr w14:paraId="6566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9" w:type="dxa"/>
            <w:gridSpan w:val="5"/>
            <w:vAlign w:val="center"/>
          </w:tcPr>
          <w:p w14:paraId="0F73F48D">
            <w:pPr>
              <w:spacing w:line="360" w:lineRule="auto"/>
              <w:jc w:val="center"/>
              <w:rPr>
                <w:rFonts w:hint="eastAsia" w:ascii="宋体" w:hAnsi="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HIS系统</w:t>
            </w:r>
          </w:p>
        </w:tc>
      </w:tr>
      <w:tr w14:paraId="255D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7CC3FD0">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1</w:t>
            </w:r>
          </w:p>
        </w:tc>
        <w:tc>
          <w:tcPr>
            <w:tcW w:w="759" w:type="dxa"/>
            <w:vAlign w:val="center"/>
          </w:tcPr>
          <w:p w14:paraId="7FE73606">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HIS基础平台</w:t>
            </w:r>
          </w:p>
        </w:tc>
        <w:tc>
          <w:tcPr>
            <w:tcW w:w="7563" w:type="dxa"/>
            <w:vAlign w:val="center"/>
          </w:tcPr>
          <w:p w14:paraId="641B86E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1．组织管理</w:t>
            </w:r>
          </w:p>
          <w:p w14:paraId="459836C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包括科室员工管理、机构管理；支持机构的新增、编辑、删除，科室的新增、编辑、删除，员工资料的新增、编辑，支持多机构多院区集团化管理，可新增总院、分院等医疗机构名称、医疗机构代码等信息。</w:t>
            </w:r>
          </w:p>
          <w:p w14:paraId="76E5A50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2．模块管理</w:t>
            </w:r>
          </w:p>
          <w:p w14:paraId="3E7DA82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支持对系统之中的所有模块进行安装、卸载、配置等，支持对模块基于角色和具体账号的访问授权。</w:t>
            </w:r>
          </w:p>
          <w:p w14:paraId="2506587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3．统一单点登录</w:t>
            </w:r>
          </w:p>
          <w:p w14:paraId="283A7C0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系统支持在任意办公室的任意一台部署了医院信息系统的电脑上登录到系统；系统根据登录人的权限，动态组织系统的菜单。</w:t>
            </w:r>
          </w:p>
          <w:p w14:paraId="6D8CA5A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4．临床字典</w:t>
            </w:r>
          </w:p>
          <w:p w14:paraId="795BB79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医嘱字典、检验字典、检查字典的新增，编辑、删除等维护；护理计划字典、护理计划模板、护理记录字典、护理记录模板、临床路径字典、临床路劲表单的新增，编辑，删除等维护管理。</w:t>
            </w:r>
          </w:p>
          <w:p w14:paraId="65852E2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5．床位信息</w:t>
            </w:r>
          </w:p>
          <w:p w14:paraId="097EAC6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病区列表、病区床位管理(床号、序号、科室、病室 、床位费、编制、性质、说明等)，新增、编辑、删除床位设置。</w:t>
            </w:r>
          </w:p>
          <w:p w14:paraId="411EF10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6．疾病诊断</w:t>
            </w:r>
          </w:p>
          <w:p w14:paraId="12214E7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中医疾病编码、中医病征编码、ICD-10疾病编码、肿瘤形态学编码、ICD-9-CM3手术编码、损伤中毒的外部原因等。新增、编辑、禁用等。</w:t>
            </w:r>
          </w:p>
          <w:p w14:paraId="40F86EB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7．收费项目分类管理</w:t>
            </w:r>
          </w:p>
          <w:p w14:paraId="56D560A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收费项目分类管理、新增、编辑、删除项目等。</w:t>
            </w:r>
          </w:p>
          <w:p w14:paraId="0D66F27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8．收费项目</w:t>
            </w:r>
          </w:p>
          <w:p w14:paraId="057A3BF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收费项目分类管理、收费项目设置（包括分类、编号、类型、名称、执行科室、发票分类、收费组套设置、价格等），新增、编辑、删除收费项目。</w:t>
            </w:r>
          </w:p>
          <w:p w14:paraId="54D68D0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9．支付方式</w:t>
            </w:r>
          </w:p>
          <w:p w14:paraId="2D0E2D1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支付方式设置（包括编号、支付方式名称、类型、序号等）、新增、编辑支付方式。</w:t>
            </w:r>
          </w:p>
          <w:p w14:paraId="06D4195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10．供应商管理</w:t>
            </w:r>
          </w:p>
          <w:p w14:paraId="7850540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供应商分类、供应商设置（包括编码、类别、名称、类型、详细信息、辅助信息等）、新增、编辑、删除供应商。</w:t>
            </w:r>
          </w:p>
          <w:p w14:paraId="6AACA41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11．药品目录管理</w:t>
            </w:r>
          </w:p>
          <w:p w14:paraId="3EC2A7E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药品分类、药品品种设置（包括分类、编码、名称、药理毒性等）、新增、修改、删除品种，用法用量。药品规格设置（规格信息、价格信息），新增、修改、删除规格。</w:t>
            </w:r>
          </w:p>
          <w:p w14:paraId="7384E32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12．材料物资管理</w:t>
            </w:r>
          </w:p>
          <w:p w14:paraId="08C4888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物资分类、材料品种设置（包括分类、编码、单位、名称、有效期等）、新增、编辑、删除品种，材料规格设置（规格设置、价格信息等）、新增、编辑、删除规格。</w:t>
            </w:r>
          </w:p>
          <w:p w14:paraId="16DA6F7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13．诊疗频次管理</w:t>
            </w:r>
          </w:p>
          <w:p w14:paraId="6B86EAF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西医频次设置（包括编码、名称、频次、间隔周期等）、中医频次设置（包括编码、名称、频次、间隔周期等），新增、编辑频次 设置。</w:t>
            </w:r>
          </w:p>
          <w:p w14:paraId="74E65EC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14．检查部位设置</w:t>
            </w:r>
          </w:p>
          <w:p w14:paraId="4BF243A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检查项目检查部位分类、检查部位设置（包括编码、名称、分类、说明、检查方法、影像类型等），新增、编辑检查部位。</w:t>
            </w:r>
          </w:p>
          <w:p w14:paraId="614F87A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15．诊疗项目管理</w:t>
            </w:r>
          </w:p>
          <w:p w14:paraId="7D8EBBE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诊疗项目分类管理、诊疗项目设置（包括基本信息、诊疗属性）、诊疗项目收费对照等。</w:t>
            </w:r>
          </w:p>
          <w:p w14:paraId="509BAC7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16．国家贯标对码管理</w:t>
            </w:r>
          </w:p>
          <w:p w14:paraId="4F46E98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支持按照对码的数据类型进行选择，然后选择对照情况（已对照、未对照），列出相对应的数据列表；支持选择对应数据列表进行院内编码和国家贯标编码的对码操作。</w:t>
            </w:r>
          </w:p>
          <w:p w14:paraId="7E5599B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17．角色成员管理</w:t>
            </w:r>
          </w:p>
          <w:p w14:paraId="1E50D62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按院区、科室对应人员新增用户、删除用户、密码修改、用户角色应用权限管理等，满足各类医院灵活的管理及流程配置要求。</w:t>
            </w:r>
          </w:p>
          <w:p w14:paraId="2D023CC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18．角色权限管理</w:t>
            </w:r>
          </w:p>
          <w:p w14:paraId="6441EE1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角色授权管理，新增角色、新增角色用户、编辑角色、针对角色进行程序授权管理、报表授权管理等。</w:t>
            </w:r>
          </w:p>
          <w:p w14:paraId="0EACB98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19．系统参数配置</w:t>
            </w:r>
          </w:p>
          <w:p w14:paraId="0BD8547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配置系统用到的参数设置，包括发票打印模式、各系统集成方式调用等方面的个性化运行开关等。</w:t>
            </w:r>
          </w:p>
        </w:tc>
        <w:tc>
          <w:tcPr>
            <w:tcW w:w="775" w:type="dxa"/>
            <w:vAlign w:val="center"/>
          </w:tcPr>
          <w:p w14:paraId="30EFD4BF">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441D34F4">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7544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061D76CA">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2</w:t>
            </w:r>
          </w:p>
        </w:tc>
        <w:tc>
          <w:tcPr>
            <w:tcW w:w="759" w:type="dxa"/>
            <w:vAlign w:val="center"/>
          </w:tcPr>
          <w:p w14:paraId="6787D7F9">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门诊医生工作站</w:t>
            </w:r>
          </w:p>
        </w:tc>
        <w:tc>
          <w:tcPr>
            <w:tcW w:w="7563" w:type="dxa"/>
            <w:vAlign w:val="center"/>
          </w:tcPr>
          <w:p w14:paraId="37F61BB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1．候诊列表</w:t>
            </w:r>
          </w:p>
          <w:p w14:paraId="054CC7E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包含候诊中、已接诊列表。</w:t>
            </w:r>
          </w:p>
          <w:p w14:paraId="13E9452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2．接诊</w:t>
            </w:r>
          </w:p>
          <w:p w14:paraId="28591D9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选择待诊患者，点击“接诊”，跳转到工作站页面，患者状态变为“已接诊”，且不再在待诊列表，在已接诊列表查询。</w:t>
            </w:r>
          </w:p>
          <w:p w14:paraId="1F4CD6D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3．呼叫</w:t>
            </w:r>
          </w:p>
          <w:p w14:paraId="6300B27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通过排队叫号系统呼叫队列顺序中排在首位的患者，并在大屏播报与展示。</w:t>
            </w:r>
          </w:p>
          <w:p w14:paraId="1A9A009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4．简易挂号</w:t>
            </w:r>
          </w:p>
          <w:p w14:paraId="4A2FD66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医生对患者进行诊间加号等挂号操作。</w:t>
            </w:r>
          </w:p>
          <w:p w14:paraId="1F45B1D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5．转诊</w:t>
            </w:r>
          </w:p>
          <w:p w14:paraId="736DCF3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发起转诊（未接诊患者）。</w:t>
            </w:r>
          </w:p>
          <w:p w14:paraId="6BCDB92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6．筛选患者</w:t>
            </w:r>
          </w:p>
          <w:p w14:paraId="1E93951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可根据列表字段，个人、科室、全院等权限筛选患者。</w:t>
            </w:r>
          </w:p>
          <w:p w14:paraId="0B3871D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7．搜索患者</w:t>
            </w:r>
          </w:p>
          <w:p w14:paraId="50F471A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支持患者姓名、就诊号等方式查询检索患者。</w:t>
            </w:r>
          </w:p>
          <w:p w14:paraId="336FA42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8．患者基本信息展示</w:t>
            </w:r>
          </w:p>
          <w:p w14:paraId="4C373F6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患者基本信息展示，姓名/性别/年龄/诊号/身份证号/初复诊/费别等。</w:t>
            </w:r>
          </w:p>
          <w:p w14:paraId="6CC8572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9．患者详情</w:t>
            </w:r>
          </w:p>
          <w:p w14:paraId="2E7CB87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可查看患者全部信息。</w:t>
            </w:r>
          </w:p>
          <w:p w14:paraId="1074443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10．新增诊断</w:t>
            </w:r>
          </w:p>
          <w:p w14:paraId="35F77EA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新增诊断，包含西医、中医、证型及诊断前后缀等，对诊断的编辑和删除操作。</w:t>
            </w:r>
          </w:p>
          <w:p w14:paraId="44F397F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11．诊断引用</w:t>
            </w:r>
          </w:p>
          <w:p w14:paraId="19505E0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与医嘱及病历中的诊断进行引用展示，同时复诊患者可一键引用上次诊断。</w:t>
            </w:r>
          </w:p>
          <w:p w14:paraId="44C720F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12．诊断管理</w:t>
            </w:r>
          </w:p>
          <w:p w14:paraId="2F4A87D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本次诊疗期间/历史所下达的全部已关联医嘱的诊断将归类至诊断管理列表。</w:t>
            </w:r>
          </w:p>
          <w:p w14:paraId="735DB81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13．医嘱诊断</w:t>
            </w:r>
          </w:p>
          <w:p w14:paraId="0BCC5FE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从诊断或病历中同步关联对应医嘱。</w:t>
            </w:r>
          </w:p>
          <w:p w14:paraId="33A5B05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14．医嘱组套</w:t>
            </w:r>
          </w:p>
          <w:p w14:paraId="3A81774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支持自定义维护医嘱组套，并保存为模板，可重复使用并编辑。</w:t>
            </w:r>
          </w:p>
          <w:p w14:paraId="079297D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15．医嘱模板管理</w:t>
            </w:r>
          </w:p>
          <w:p w14:paraId="6F0A80E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医嘱/常用个嘱/检验/检查等维护与筛选引用。</w:t>
            </w:r>
          </w:p>
          <w:p w14:paraId="783C892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16．新开西成药</w:t>
            </w:r>
          </w:p>
          <w:p w14:paraId="1E05218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选择已存在药品进行添加，并配置用法、用量、频次等药品信息，支持药品添加、删除、修改等操作。</w:t>
            </w:r>
          </w:p>
          <w:p w14:paraId="6F0A02E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17．新开中草药</w:t>
            </w:r>
          </w:p>
          <w:p w14:paraId="30DF1DC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选择已存在中草药品进行添加，并配置煎法、剂数、煎次等使用方法，支持对药品添加、修改、删除等操作。</w:t>
            </w:r>
          </w:p>
          <w:p w14:paraId="21B1744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18．新开治疗</w:t>
            </w:r>
          </w:p>
          <w:p w14:paraId="4E00F71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选择已存在治疗项目，并填入总量、频次等检查信息，支持治疗项目添加、修改、删除等操作。</w:t>
            </w:r>
          </w:p>
          <w:p w14:paraId="092A525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19．历史医嘱</w:t>
            </w:r>
          </w:p>
          <w:p w14:paraId="6C7CDF2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患者本次问诊前在院内所开具的医嘱单，支持医嘱单时间筛选、复制操作。</w:t>
            </w:r>
          </w:p>
          <w:p w14:paraId="4197BD3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20．预览单据</w:t>
            </w:r>
          </w:p>
          <w:p w14:paraId="56FE1DE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新增医嘱发送样式预览功能，预览打印。</w:t>
            </w:r>
          </w:p>
          <w:p w14:paraId="0C7A443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21．历史诊断</w:t>
            </w:r>
          </w:p>
          <w:p w14:paraId="6B5C614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可查看对应就诊日期的诊断记录。</w:t>
            </w:r>
          </w:p>
          <w:p w14:paraId="64258FC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22．就诊记录</w:t>
            </w:r>
          </w:p>
          <w:p w14:paraId="610D852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通过就诊时间轴，查询具体就诊日期的全部就诊记录详情包含诊断与医嘱内容。</w:t>
            </w:r>
          </w:p>
          <w:p w14:paraId="69F5F88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23．抗菌药物分级授权</w:t>
            </w:r>
          </w:p>
          <w:p w14:paraId="14042E8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新开和审核权限可以根据角色和用户进行新开等级和审核等级的权限分配，支持满足用户医生职称新开、药物等级新开、药物审核三方面的授权管理，更灵活，能适用不同场景。</w:t>
            </w:r>
          </w:p>
          <w:p w14:paraId="2772A6F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24．自动获取</w:t>
            </w:r>
          </w:p>
          <w:p w14:paraId="5B60EA9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自动获取患者基本信息、诊疗相关信息、医生信息及费用相关信息，方便快捷。</w:t>
            </w:r>
          </w:p>
          <w:p w14:paraId="0D737B6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25．诊疗活动处理</w:t>
            </w:r>
          </w:p>
          <w:p w14:paraId="73B6543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支持医生处理门诊病历记录、检查、检验、诊断、处方、治疗处置、卫生材料等诊疗活动。</w:t>
            </w:r>
          </w:p>
          <w:p w14:paraId="5B1461C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26．不合理用药提示</w:t>
            </w:r>
          </w:p>
          <w:p w14:paraId="04F91CA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支持对接合理用药系统对医生不合理用药的情况进行及时监测，并将监测信息及时提示给医生。</w:t>
            </w:r>
          </w:p>
          <w:p w14:paraId="0D63E7F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27．基本信息查看补充</w:t>
            </w:r>
          </w:p>
          <w:p w14:paraId="47B42F6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支持完善患者基本信息。</w:t>
            </w:r>
          </w:p>
          <w:p w14:paraId="7FD64C2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28．处方开立</w:t>
            </w:r>
          </w:p>
          <w:p w14:paraId="68BBB46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支持用法频率相同的医嘱放在一组,一个处方可以建立多个新组，可以将医嘱另存为模板,后续可以使用，支持查看患者历史就诊信息，默认查看该患者一个月的历史就诊信息,时间可以自行调整。</w:t>
            </w:r>
          </w:p>
          <w:p w14:paraId="7C3D397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29．检验、检查、手术申请</w:t>
            </w:r>
          </w:p>
          <w:p w14:paraId="7FABB77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开立检验、检查申请时选择检验项目后会提示该项目包含的所有子项目，支持查看检验、检查报告，手术申请时可根据手术名称进行检索。</w:t>
            </w:r>
          </w:p>
          <w:p w14:paraId="081FD1E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30．住院证</w:t>
            </w:r>
          </w:p>
          <w:p w14:paraId="38F1A76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可以给患者开具住院证，同时可以查看既往住院证，支持打印。</w:t>
            </w:r>
          </w:p>
          <w:p w14:paraId="4E05475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31．就诊历史</w:t>
            </w:r>
          </w:p>
          <w:p w14:paraId="3844DA7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可根据患者主索引、身份证号查询患者在本院的既往就诊记录，支持查看患者的门诊病历、西药处方、中药处方、检验申请和检查申请。</w:t>
            </w:r>
          </w:p>
          <w:p w14:paraId="00793BA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32．门诊日志</w:t>
            </w:r>
          </w:p>
          <w:p w14:paraId="46D8A1A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可以根据患者基本信息和病历信息自动提取完成门诊日志，支持修改、删除、查看门诊就诊信息和统计信息。</w:t>
            </w:r>
          </w:p>
        </w:tc>
        <w:tc>
          <w:tcPr>
            <w:tcW w:w="775" w:type="dxa"/>
            <w:vAlign w:val="center"/>
          </w:tcPr>
          <w:p w14:paraId="5CB6DCCB">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5C694918">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2C4A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7740B67">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3</w:t>
            </w:r>
          </w:p>
        </w:tc>
        <w:tc>
          <w:tcPr>
            <w:tcW w:w="759" w:type="dxa"/>
            <w:vAlign w:val="center"/>
          </w:tcPr>
          <w:p w14:paraId="62633F72">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住院医生工作站</w:t>
            </w:r>
          </w:p>
        </w:tc>
        <w:tc>
          <w:tcPr>
            <w:tcW w:w="7563" w:type="dxa"/>
            <w:vAlign w:val="center"/>
          </w:tcPr>
          <w:p w14:paraId="2FBC77D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1．医生工作平台</w:t>
            </w:r>
          </w:p>
          <w:p w14:paraId="708D484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患者列表中可查看我的管床患者，也可查询全科患者信息、跨科处置患者、转出患者信息，同时支持按照住院号、姓名、床号进行患者检索。</w:t>
            </w:r>
          </w:p>
          <w:p w14:paraId="1165CCC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2．住院总览</w:t>
            </w:r>
          </w:p>
          <w:p w14:paraId="668427D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病区整体的床位患者总览，用于全局查看，不同患者类型搜索，不同展示形式，包含患者情况，以及对患者右键所有操作。</w:t>
            </w:r>
          </w:p>
          <w:p w14:paraId="5A4C1D6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3．患者中心</w:t>
            </w:r>
          </w:p>
          <w:p w14:paraId="6C781AA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支持以诊疗时间轴的方式展现患者本次体征与对应治疗措施。</w:t>
            </w:r>
          </w:p>
          <w:p w14:paraId="6EAAC43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4．患者基本信息展示</w:t>
            </w:r>
          </w:p>
          <w:p w14:paraId="7A94AC7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患者基本信息展示，姓名/性别/年龄/诊号/身份证号/费别等。</w:t>
            </w:r>
          </w:p>
          <w:p w14:paraId="497BFAB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5．患者详情编辑</w:t>
            </w:r>
          </w:p>
          <w:p w14:paraId="63A9430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根据修改权限可修改部分字段内容。</w:t>
            </w:r>
          </w:p>
          <w:p w14:paraId="1076B66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6．新增诊断</w:t>
            </w:r>
          </w:p>
          <w:p w14:paraId="0EF243B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新增诊断，包含西医、中医、证型等，对诊断的编辑和删除操作。</w:t>
            </w:r>
          </w:p>
          <w:p w14:paraId="22AD6AB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7．诊断引用</w:t>
            </w:r>
          </w:p>
          <w:p w14:paraId="34718D7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与医嘱及病历中的诊断进行引用展示。</w:t>
            </w:r>
          </w:p>
          <w:p w14:paraId="469A9F6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8．临床诊断</w:t>
            </w:r>
          </w:p>
          <w:p w14:paraId="3D53830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本次诊疗期间所下达的全部诊断将归类至诊断管理列表。</w:t>
            </w:r>
          </w:p>
          <w:p w14:paraId="7DF4144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9．全部医嘱</w:t>
            </w:r>
          </w:p>
          <w:p w14:paraId="5CEE1A8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支持快捷通过首字母缩写、关键字模糊查询，检索开具西成药/中草药（方剂）/检验/检查/治疗/手术/护理等不同类型的医嘱。</w:t>
            </w:r>
          </w:p>
          <w:p w14:paraId="36D1C28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10．西成药</w:t>
            </w:r>
          </w:p>
          <w:p w14:paraId="5E5C3F9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支持快捷通过首字母缩写、关键字模糊查询，检索开具西药、中成药类医嘱。</w:t>
            </w:r>
          </w:p>
          <w:p w14:paraId="579CECB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11．中草药</w:t>
            </w:r>
          </w:p>
          <w:p w14:paraId="3CB3D86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支持快捷通过首字母缩写、关键字模糊查询，检索开具中草药类医嘱。</w:t>
            </w:r>
          </w:p>
          <w:p w14:paraId="523B386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12．检验</w:t>
            </w:r>
          </w:p>
          <w:p w14:paraId="000B518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支持快捷通过首字母缩写、关键字模糊查询，检索开具检验类医嘱。</w:t>
            </w:r>
          </w:p>
          <w:p w14:paraId="4F4691A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13．检查</w:t>
            </w:r>
          </w:p>
          <w:p w14:paraId="287E09B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支持快捷通过首字母缩写、关键字模糊查询，检索开具检查类医嘱。</w:t>
            </w:r>
          </w:p>
          <w:p w14:paraId="34FC75E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14．治疗</w:t>
            </w:r>
          </w:p>
          <w:p w14:paraId="2469678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支持快捷通过首字母缩写、关键字模糊查询，检索开具治疗类医嘱。</w:t>
            </w:r>
          </w:p>
          <w:p w14:paraId="63CE6CB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15．手术</w:t>
            </w:r>
          </w:p>
          <w:p w14:paraId="0A37C61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支持快捷通过首字母缩写、关键字模糊查询，检索开具手术类医嘱。</w:t>
            </w:r>
          </w:p>
          <w:p w14:paraId="0A4F66D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16．护理</w:t>
            </w:r>
          </w:p>
          <w:p w14:paraId="0460DAE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支持快捷通过首字母缩写、关键字模糊查询，检索开具护理类医嘱。</w:t>
            </w:r>
          </w:p>
          <w:p w14:paraId="5857E3B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17．材料</w:t>
            </w:r>
          </w:p>
          <w:p w14:paraId="7F69BB0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支持快捷通过首字母缩写、关键字模糊查询，检索开具材料类医嘱。</w:t>
            </w:r>
          </w:p>
          <w:p w14:paraId="5DA9493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18．医嘱操作</w:t>
            </w:r>
          </w:p>
          <w:p w14:paraId="0BD0560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保存、提交 、删除、作废、停止、打印、预览、存为模板。</w:t>
            </w:r>
          </w:p>
          <w:p w14:paraId="4967930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19．单条医嘱操作</w:t>
            </w:r>
          </w:p>
          <w:p w14:paraId="78418B2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根据当前医嘱状态展示对应操作保存/提交/删除/作废/停止/打印/预览。</w:t>
            </w:r>
          </w:p>
          <w:p w14:paraId="32B6AB0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20．医嘱详情</w:t>
            </w:r>
          </w:p>
          <w:p w14:paraId="5C830EE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查看对应医嘱信息、计价内容等详细信息。</w:t>
            </w:r>
          </w:p>
          <w:p w14:paraId="5B717A3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21．医嘱列表筛选</w:t>
            </w:r>
          </w:p>
          <w:p w14:paraId="36F2F2A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医嘱状态筛选。</w:t>
            </w:r>
          </w:p>
          <w:p w14:paraId="2B4AC4C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22．医嘱项报告</w:t>
            </w:r>
          </w:p>
          <w:p w14:paraId="575B65E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医嘱项对应的报告快捷入口。</w:t>
            </w:r>
          </w:p>
          <w:p w14:paraId="771E403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23．合理用药</w:t>
            </w:r>
          </w:p>
          <w:p w14:paraId="3EE77A4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支持医嘱项目触发合理用药知识库。</w:t>
            </w:r>
          </w:p>
          <w:p w14:paraId="5703C76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24．医嘱费用</w:t>
            </w:r>
          </w:p>
          <w:p w14:paraId="35DF5FD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当前医嘱费用合计与费用明细详情。</w:t>
            </w:r>
          </w:p>
          <w:p w14:paraId="110F476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25．医嘱类型选择</w:t>
            </w:r>
          </w:p>
          <w:p w14:paraId="1D52CD6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支持新开西成药、中草药、检验、检查项目；已提交医嘱转抄前支持作废，已保存未发生医嘱可进行编辑并重新提交。</w:t>
            </w:r>
          </w:p>
          <w:p w14:paraId="2305990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26．医嘱组套</w:t>
            </w:r>
          </w:p>
          <w:p w14:paraId="029F2BF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支持自定义维护医嘱组套，并保存为模板，可重复使用并编辑。</w:t>
            </w:r>
          </w:p>
          <w:p w14:paraId="15CDEE8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27．医嘱模板管理</w:t>
            </w:r>
          </w:p>
          <w:p w14:paraId="58D85EB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医嘱/常用个嘱/高频药品/检验/检查等维护与筛选引用。</w:t>
            </w:r>
          </w:p>
          <w:p w14:paraId="5F47CE4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28．新开西成药</w:t>
            </w:r>
          </w:p>
          <w:p w14:paraId="716970A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选择已存在药品进行添加，并配置用法、用量、频次等药品信息，支持药品添加、删除、修改等操作。</w:t>
            </w:r>
          </w:p>
          <w:p w14:paraId="2FA3397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29．新开中草药</w:t>
            </w:r>
          </w:p>
          <w:p w14:paraId="7AF3B49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选择已存在中草药品进行添加，并配置煎法、剂数、煎次等使用方法，支持对药品添加、修改、删除等操作。</w:t>
            </w:r>
          </w:p>
          <w:p w14:paraId="5754CCF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30．新开检验</w:t>
            </w:r>
          </w:p>
          <w:p w14:paraId="6D9E8F6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选择已存在的检验项目，并填入样本类型、总量、单位、频次等检验信息，支持检验项目添加、修改、删除等操作。</w:t>
            </w:r>
          </w:p>
          <w:p w14:paraId="04D2C28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31．新开检查</w:t>
            </w:r>
          </w:p>
          <w:p w14:paraId="4AE1FE3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选择已存在检查项目，并填入检查部位、总量、频次等检查信息，支持检查项目添加、修改、删除等操作。</w:t>
            </w:r>
          </w:p>
          <w:p w14:paraId="506E643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32．新开治疗</w:t>
            </w:r>
          </w:p>
          <w:p w14:paraId="72D4F9E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选择已存在治疗项目，并填入总量、频次等检查信息，支持治疗项目添加、修改、删除等操作。</w:t>
            </w:r>
          </w:p>
          <w:p w14:paraId="77E4386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33．新开手术</w:t>
            </w:r>
          </w:p>
          <w:p w14:paraId="58597B3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选择已存在手术项目，并填入手术等级、麻醉方式、手术人员等手术信息，支持手术项目添加、修改、删除等操作。</w:t>
            </w:r>
          </w:p>
          <w:p w14:paraId="4987DDA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34．新开护理</w:t>
            </w:r>
          </w:p>
          <w:p w14:paraId="4D212C2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选择已存在护理项目，并填入护理信息，支持护理项目添加、修改、删除等操作。</w:t>
            </w:r>
          </w:p>
          <w:p w14:paraId="602419C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35．预览单据</w:t>
            </w:r>
          </w:p>
          <w:p w14:paraId="6EFCA5B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新增医嘱发送样式预览功能，预览打印。</w:t>
            </w:r>
          </w:p>
          <w:p w14:paraId="0F89520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36．就诊记录</w:t>
            </w:r>
          </w:p>
          <w:p w14:paraId="52BD8F7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通过就诊时间轴，查询具体就诊日期的全部就诊记录详情包含诊断与医嘱内容。</w:t>
            </w:r>
          </w:p>
          <w:p w14:paraId="4471FB8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37．住院病案首页</w:t>
            </w:r>
          </w:p>
          <w:p w14:paraId="40231D6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对住院患者的病案进行查看、填写、归档等；</w:t>
            </w:r>
          </w:p>
          <w:p w14:paraId="4ED335D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38．结果与报告调阅</w:t>
            </w:r>
          </w:p>
          <w:p w14:paraId="2A2CB31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可查看诊疗过程完整的历史及本次检验、检查结果与报告，支持报告打印，查看检查胶片。</w:t>
            </w:r>
          </w:p>
          <w:p w14:paraId="2FBA17B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39．智能引用</w:t>
            </w:r>
          </w:p>
          <w:p w14:paraId="482107F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支持电子病历对检验检查结果的智能引用，支持局部结构化或全部引用。</w:t>
            </w:r>
          </w:p>
          <w:p w14:paraId="3846C91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40．分类开立</w:t>
            </w:r>
          </w:p>
          <w:p w14:paraId="6A49A9D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可通过西药、中成药、中草药药品目录查询并引用药品、卫材等医嘱项。</w:t>
            </w:r>
          </w:p>
          <w:p w14:paraId="0356F05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41．医嘱组套</w:t>
            </w:r>
          </w:p>
          <w:p w14:paraId="322B780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可进行组套、中草药方/剂的维护，并支持添加组套过滤条件</w:t>
            </w:r>
          </w:p>
          <w:p w14:paraId="19AEE2A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42．报卡填报</w:t>
            </w:r>
          </w:p>
          <w:p w14:paraId="084D517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传染病报告卡、死亡报告卡等报卡管理。</w:t>
            </w:r>
          </w:p>
          <w:p w14:paraId="1CE27A2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43．抗菌药物分级授权</w:t>
            </w:r>
          </w:p>
          <w:p w14:paraId="045952D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新开和审核权限可以根据角色和用户进行新开等级和审核等级的权限分配，支持满足用户医生职称新开、药物等级新开、药物审核三方面的授权管理，更灵活，能适用不同场景。</w:t>
            </w:r>
          </w:p>
          <w:p w14:paraId="57A05F2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44．自备药开具</w:t>
            </w:r>
          </w:p>
          <w:p w14:paraId="7171643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医师在开医嘱时，选择自备药。</w:t>
            </w:r>
          </w:p>
          <w:p w14:paraId="6317190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45．医嘱打印</w:t>
            </w:r>
          </w:p>
          <w:p w14:paraId="14BA465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长期医嘱单打印支持续打功能，可选择起始页号和起始行号。</w:t>
            </w:r>
          </w:p>
          <w:p w14:paraId="443D478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46．检验、检查、手术申请</w:t>
            </w:r>
          </w:p>
          <w:p w14:paraId="3E5AF8A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开立检验、检查申请时选择检验项目后会提示。</w:t>
            </w:r>
          </w:p>
          <w:p w14:paraId="3DFF38A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47．会诊（院内）</w:t>
            </w:r>
          </w:p>
          <w:p w14:paraId="714258C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会诊申请可发起普通/急诊与单科/多学科会诊的电子会诊申请单。</w:t>
            </w:r>
          </w:p>
        </w:tc>
        <w:tc>
          <w:tcPr>
            <w:tcW w:w="775" w:type="dxa"/>
            <w:vAlign w:val="center"/>
          </w:tcPr>
          <w:p w14:paraId="4B2F63A0">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72A24CD2">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7BB6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DC185B6">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4</w:t>
            </w:r>
          </w:p>
        </w:tc>
        <w:tc>
          <w:tcPr>
            <w:tcW w:w="759" w:type="dxa"/>
            <w:vAlign w:val="center"/>
          </w:tcPr>
          <w:p w14:paraId="338B102A">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住院护士工作站</w:t>
            </w:r>
          </w:p>
        </w:tc>
        <w:tc>
          <w:tcPr>
            <w:tcW w:w="7563" w:type="dxa"/>
            <w:vAlign w:val="center"/>
          </w:tcPr>
          <w:p w14:paraId="75D99F8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1．入科登记</w:t>
            </w:r>
          </w:p>
          <w:p w14:paraId="30B0AB2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可查询到新入院患者信息，办理入科登记、分配床位。</w:t>
            </w:r>
          </w:p>
          <w:p w14:paraId="5ABF514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2．出科登记</w:t>
            </w:r>
          </w:p>
          <w:p w14:paraId="6D4C796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患者结算前完成出科登记操作。</w:t>
            </w:r>
          </w:p>
          <w:p w14:paraId="15321BD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3．病区信息一览表</w:t>
            </w:r>
          </w:p>
          <w:p w14:paraId="5060C91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查看全科患者信息、未入科患者信息、出科患者信息，同时支持按照住院号、姓名、床号进行患者检索，患者信息卡可显示患者姓名、编号、年龄、入院时间、医护人员姓名、诊断名称、已使用费用、余额、费用类别，可按照护理级别进行颜色标注。</w:t>
            </w:r>
          </w:p>
          <w:p w14:paraId="510F25B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4．医嘱查对</w:t>
            </w:r>
          </w:p>
          <w:p w14:paraId="6BEB638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按照病区患者查询患者长期医嘱和临时医嘱，同时可查看新开、已转抄、已发药、已执行、停止的医嘱。转抄通过的医嘱可进行转抄撤销操作，每条医嘱可附带医材录入，附带的医材可由护士录入或维护新附属医嘱来自动录入。</w:t>
            </w:r>
          </w:p>
          <w:p w14:paraId="043B2D0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5．申请摆药</w:t>
            </w:r>
          </w:p>
          <w:p w14:paraId="6BAC337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对于转抄后的药品类医嘱以及未停的长期医嘱，系统支持自动生成申请摆药单信息。根据长期医嘱或临时医嘱产生医嘱汇总和医嘱明细。</w:t>
            </w:r>
          </w:p>
          <w:p w14:paraId="546F3CA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6．医嘱执行</w:t>
            </w:r>
          </w:p>
          <w:p w14:paraId="7F795DE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长期医嘱、临时医嘱可按科室一次全部执行。执行长期医嘱时可弹出该科室所有病人住院号、科床号等信息，由护士进行选择，被选中的病人的医嘱可一次同时执行，通过医嘱执行可以打印输液单、静滴单、口服药单、注射单、治疗单、处置单等临床执行单。</w:t>
            </w:r>
          </w:p>
          <w:p w14:paraId="4DD8C09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7．费用录入</w:t>
            </w:r>
          </w:p>
          <w:p w14:paraId="4B5F4FB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可对医材、临时用药进行录入，支持一天领多日药品，已解决药房集中领药问题。</w:t>
            </w:r>
          </w:p>
          <w:p w14:paraId="4B6A4AF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8．体温单</w:t>
            </w:r>
          </w:p>
          <w:p w14:paraId="2870E1A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支持脉搏、心率、体温、降温、疼痛、干预疼痛、呼吸、血压、大便、尿量、入量、出量、身高、体重、SP02、血压、药物过敏等数据录入，保存后自动生成体温单，支持按不同颜色显示体温计脉搏疼痛曲线。</w:t>
            </w:r>
          </w:p>
          <w:p w14:paraId="4EB0264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9．一日清单</w:t>
            </w:r>
          </w:p>
          <w:p w14:paraId="2E1D285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支持打印患者住院费用一日清单，可按科室、指定住院号进行打印。</w:t>
            </w:r>
          </w:p>
          <w:p w14:paraId="252D001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10．打印催款单</w:t>
            </w:r>
          </w:p>
          <w:p w14:paraId="61C30A6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可根据病人余额情况打印催款单。</w:t>
            </w:r>
          </w:p>
        </w:tc>
        <w:tc>
          <w:tcPr>
            <w:tcW w:w="775" w:type="dxa"/>
            <w:vAlign w:val="center"/>
          </w:tcPr>
          <w:p w14:paraId="1A632142">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0DE10109">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5306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088780FD">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5</w:t>
            </w:r>
          </w:p>
        </w:tc>
        <w:tc>
          <w:tcPr>
            <w:tcW w:w="759" w:type="dxa"/>
            <w:vAlign w:val="center"/>
          </w:tcPr>
          <w:p w14:paraId="68A92523">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手术、治疗工作站</w:t>
            </w:r>
          </w:p>
        </w:tc>
        <w:tc>
          <w:tcPr>
            <w:tcW w:w="7563" w:type="dxa"/>
            <w:vAlign w:val="center"/>
          </w:tcPr>
          <w:p w14:paraId="77FD208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1.手术工作站</w:t>
            </w:r>
          </w:p>
          <w:p w14:paraId="6511514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手术病人查询：</w:t>
            </w:r>
          </w:p>
          <w:p w14:paraId="71D6A53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 xml:space="preserve">1）对手术患者进行查询功能。 </w:t>
            </w:r>
          </w:p>
          <w:p w14:paraId="6E0D7B3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2）集中管理患者的个人信息、入院时间、手术室预约等相关信息。</w:t>
            </w:r>
          </w:p>
          <w:p w14:paraId="577A44D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手术工作站：</w:t>
            </w:r>
          </w:p>
          <w:p w14:paraId="48F1CA0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1）手术安排：系统支持根据手术类型、医生专长、手术室资源等因素进行合理的手术排程。</w:t>
            </w:r>
          </w:p>
          <w:p w14:paraId="1166685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2）执行手术：患者手术执行，自己停止术前医嘱。</w:t>
            </w:r>
          </w:p>
          <w:p w14:paraId="7D76DE3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3）术后登记：完后对患者手术的详细登记。</w:t>
            </w:r>
          </w:p>
          <w:p w14:paraId="086044C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4）手术医嘱：术中医嘱的下达与执行。</w:t>
            </w:r>
          </w:p>
          <w:p w14:paraId="217D5B4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5）病历查看：能查看手术患者的病历详情。</w:t>
            </w:r>
          </w:p>
          <w:p w14:paraId="0E660E9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2.治疗工作站</w:t>
            </w:r>
          </w:p>
          <w:p w14:paraId="708AF8E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针对透析、康复、针灸、推拿、放射治疗等项目，部分临床科室有计划执行的持续或需要多次重复执行的专门治疗项目，但不包括药物治疗(如化疗、输液、注射等)、外科换药、需要进入手术室的手术治疗，实现治疗项目历次治疗时间、治疗情况记录及治疗确认。</w:t>
            </w:r>
          </w:p>
        </w:tc>
        <w:tc>
          <w:tcPr>
            <w:tcW w:w="775" w:type="dxa"/>
            <w:vAlign w:val="center"/>
          </w:tcPr>
          <w:p w14:paraId="5211B86A">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49159FD5">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521E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F7B6E49">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6</w:t>
            </w:r>
          </w:p>
        </w:tc>
        <w:tc>
          <w:tcPr>
            <w:tcW w:w="759" w:type="dxa"/>
            <w:vAlign w:val="center"/>
          </w:tcPr>
          <w:p w14:paraId="179C8F9F">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医技工作站</w:t>
            </w:r>
          </w:p>
        </w:tc>
        <w:tc>
          <w:tcPr>
            <w:tcW w:w="7563" w:type="dxa"/>
            <w:vAlign w:val="center"/>
          </w:tcPr>
          <w:p w14:paraId="04B8A51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技工作站是，涵盖医技申请、申请单查询、执行操作、费用管理、退费处理及工作量统计等核心环节的综合系统。支持门诊住院患者检查检验项目的精准预约与执行，实现申请单的快速查询与条码打印。医技费用补录与退费操作便捷，确保费用准确无误。工作量统计功能全面，为医生及仪器工作量评估提供数据支持。同时，集成影像浏览功能，支持医技报告的填写与查看，提升医技管理专业化水平。</w:t>
            </w:r>
          </w:p>
        </w:tc>
        <w:tc>
          <w:tcPr>
            <w:tcW w:w="775" w:type="dxa"/>
            <w:vAlign w:val="center"/>
          </w:tcPr>
          <w:p w14:paraId="343E76C5">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1659008C">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5B03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0EEA3DB6">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7</w:t>
            </w:r>
          </w:p>
        </w:tc>
        <w:tc>
          <w:tcPr>
            <w:tcW w:w="759" w:type="dxa"/>
            <w:vAlign w:val="center"/>
          </w:tcPr>
          <w:p w14:paraId="0EFE0FDC">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临床路径管理系统</w:t>
            </w:r>
          </w:p>
        </w:tc>
        <w:tc>
          <w:tcPr>
            <w:tcW w:w="7563" w:type="dxa"/>
            <w:vAlign w:val="center"/>
          </w:tcPr>
          <w:p w14:paraId="5E5367D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临床路径管理系统集路径制定、执行监控、效果评估于一体。系统支持定制化临床路径设计，满足不同病种需求；实时监控路径执行情况，确保诊疗规范。同时，系统全面跟踪患者病情变化，及时调整路径方案。还具备效果评估功能，通过数据分析工具，直观展示治疗成效。整体提升了诊疗标准化水平，优化了医疗流程，提高了治疗效率，促进了医疗质量的持续提升。</w:t>
            </w:r>
          </w:p>
        </w:tc>
        <w:tc>
          <w:tcPr>
            <w:tcW w:w="775" w:type="dxa"/>
            <w:vAlign w:val="center"/>
          </w:tcPr>
          <w:p w14:paraId="223E08A3">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00B82B55">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2A72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07122BB0">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8</w:t>
            </w:r>
          </w:p>
        </w:tc>
        <w:tc>
          <w:tcPr>
            <w:tcW w:w="759" w:type="dxa"/>
            <w:vAlign w:val="center"/>
          </w:tcPr>
          <w:p w14:paraId="3EC3C5FC">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入院管理系统</w:t>
            </w:r>
          </w:p>
        </w:tc>
        <w:tc>
          <w:tcPr>
            <w:tcW w:w="7563" w:type="dxa"/>
            <w:vAlign w:val="center"/>
          </w:tcPr>
          <w:p w14:paraId="654F67E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1．待入院患者管理</w:t>
            </w:r>
          </w:p>
          <w:p w14:paraId="64A110F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待入院患者列表，同步住院证信息，查看全院当前待入院患者（需对接门诊医生工作站）。</w:t>
            </w:r>
          </w:p>
          <w:p w14:paraId="6342F5F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2．待入院患者检索</w:t>
            </w:r>
          </w:p>
          <w:p w14:paraId="541A835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多种筛选方式进行检索患者。</w:t>
            </w:r>
          </w:p>
          <w:p w14:paraId="46C972E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3．入院登记</w:t>
            </w:r>
          </w:p>
          <w:p w14:paraId="0B0CB5E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读身份证识别患者，对接硬件读身份证识别患者信息（硬件支持）并将身份信息回填。</w:t>
            </w:r>
          </w:p>
          <w:p w14:paraId="2506474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4．读社保卡识别患者</w:t>
            </w:r>
          </w:p>
          <w:p w14:paraId="1CC1D84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对接硬件读社保卡识别患者信息（硬件支持、医保接口对接）并将身份信息回填。</w:t>
            </w:r>
          </w:p>
          <w:p w14:paraId="2E78A79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5．患者医保信息</w:t>
            </w:r>
          </w:p>
          <w:p w14:paraId="636BCF0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保险机构、医疗类别、医保号、账户余额等。</w:t>
            </w:r>
          </w:p>
          <w:p w14:paraId="6300BFA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6．患者基本信息</w:t>
            </w:r>
          </w:p>
          <w:p w14:paraId="20E4D77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个人信息、家庭信息、联系人信息（患者中心提供能力）。</w:t>
            </w:r>
          </w:p>
          <w:p w14:paraId="153EFA2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7．患者住院信息</w:t>
            </w:r>
          </w:p>
          <w:p w14:paraId="7AA82D9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入院科室、病区、可用床位数量、入院病况、入院目的、门诊诊断、入院诊断等。</w:t>
            </w:r>
          </w:p>
          <w:p w14:paraId="6DF7B74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8．住院患者信息修改</w:t>
            </w:r>
          </w:p>
          <w:p w14:paraId="10FB485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编辑登记，帮患者办理登记信息的变更。</w:t>
            </w:r>
          </w:p>
          <w:p w14:paraId="3D6FC68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9．无费退院</w:t>
            </w:r>
          </w:p>
          <w:p w14:paraId="6FCD9FB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校验是否可以帮患者办理无费入院。</w:t>
            </w:r>
          </w:p>
          <w:p w14:paraId="5025B13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10．读身份证识别患者</w:t>
            </w:r>
          </w:p>
          <w:p w14:paraId="54A8F34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对接硬件读身份证识别患者信息（硬件支持）并将身份信息回填。</w:t>
            </w:r>
          </w:p>
          <w:p w14:paraId="5E7EF16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11．读社保卡识别患者</w:t>
            </w:r>
          </w:p>
          <w:p w14:paraId="36EAC94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对接硬件读社保卡识别患者信息（硬件支持、医保接口对接）并将身份信息回填。</w:t>
            </w:r>
          </w:p>
          <w:p w14:paraId="025454F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12．扫电子健康卡二维码检索患者</w:t>
            </w:r>
          </w:p>
          <w:p w14:paraId="7EECA08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对接硬件扫电子健康卡二维码识别者信息（硬件支持、电子健康卡接口对接）并将身份信息回填。</w:t>
            </w:r>
          </w:p>
          <w:p w14:paraId="603592B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13．患者基本信息</w:t>
            </w:r>
          </w:p>
          <w:p w14:paraId="0197A12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个人信息、家庭信息、联系人信息。</w:t>
            </w:r>
          </w:p>
          <w:p w14:paraId="0DD3BF7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14．入院患者管理</w:t>
            </w:r>
          </w:p>
          <w:p w14:paraId="2DDBE6D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入院患者列表，查看全院的住院患者以及患者实时的在院状态（入院、在院、转科、出院）和实时的费用情况（预交款、当前消费、余额）。</w:t>
            </w:r>
          </w:p>
          <w:p w14:paraId="6C4D7D3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15．入院患者检索</w:t>
            </w:r>
          </w:p>
          <w:p w14:paraId="395ABE5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多种筛选方式进行检索患者，患者姓名、入院时间、患者类别、入院病区。</w:t>
            </w:r>
          </w:p>
          <w:p w14:paraId="1D2ACFB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16．医保信息查询</w:t>
            </w:r>
          </w:p>
          <w:p w14:paraId="2EE2C61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医保查询，对接医保平台，进行患者医保信息的查询。</w:t>
            </w:r>
          </w:p>
          <w:p w14:paraId="7456722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17．医保患者转自费</w:t>
            </w:r>
          </w:p>
          <w:p w14:paraId="322DBC1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医保业务变更，对接医保平台，进行患者医保信息的变更。</w:t>
            </w:r>
          </w:p>
          <w:p w14:paraId="054F6CC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18．预交款查询</w:t>
            </w:r>
          </w:p>
          <w:p w14:paraId="68CD9A2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预交款查询，可查询患者当前的预交款以及预交款变更记录。</w:t>
            </w:r>
          </w:p>
          <w:p w14:paraId="1EA4E29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19．收取预交款收费</w:t>
            </w:r>
          </w:p>
          <w:p w14:paraId="4EE3306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收取预交款收费，复用住院收费能力，患者可在登记处直接缴纳预交款。</w:t>
            </w:r>
          </w:p>
        </w:tc>
        <w:tc>
          <w:tcPr>
            <w:tcW w:w="775" w:type="dxa"/>
            <w:vAlign w:val="center"/>
          </w:tcPr>
          <w:p w14:paraId="1185A42B">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7949BE3B">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53EB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B15E582">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9</w:t>
            </w:r>
          </w:p>
        </w:tc>
        <w:tc>
          <w:tcPr>
            <w:tcW w:w="759" w:type="dxa"/>
            <w:vAlign w:val="center"/>
          </w:tcPr>
          <w:p w14:paraId="178EBAD5">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收费管理系统</w:t>
            </w:r>
          </w:p>
        </w:tc>
        <w:tc>
          <w:tcPr>
            <w:tcW w:w="7563" w:type="dxa"/>
            <w:vAlign w:val="center"/>
          </w:tcPr>
          <w:p w14:paraId="62F52CB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1．发票管理</w:t>
            </w:r>
          </w:p>
          <w:p w14:paraId="04FA3BC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1）票据管理：票据检索，支持领用人、登记人、登记时间检索、展示票据列表、展示票据的使用记录信息、展示票据的作废记录信息。</w:t>
            </w:r>
          </w:p>
          <w:p w14:paraId="7A05B14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2）领用票据（弹窗）：领用票据表单，展示和填写领用票据表单字段。</w:t>
            </w:r>
          </w:p>
          <w:p w14:paraId="49A75D3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2．财务核算管理</w:t>
            </w:r>
          </w:p>
          <w:p w14:paraId="0491551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1）收费员缴款：支持结账时间、结账业务、结算方式检索。</w:t>
            </w:r>
          </w:p>
          <w:p w14:paraId="2DA214F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2）已缴款记录检索，支持缴款时间、状态、业务类型、审核人检索。</w:t>
            </w:r>
          </w:p>
          <w:p w14:paraId="75AF2DB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3）提供医院财物状况查询统计汇总功能：包括门诊、住院收入及支出情况查询统计；药品采购、销售、调价等信息查询统计，所有统计结果支持打印功能，统计报表可按照医院要求定制。</w:t>
            </w:r>
          </w:p>
          <w:p w14:paraId="5ED789D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4）支持全院财务归类统计、全院结算汇总统计、全院费用核算统计、门诊费用核算统计、住院费用核算统计。</w:t>
            </w:r>
          </w:p>
          <w:p w14:paraId="7374FEC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3．门急诊挂号</w:t>
            </w:r>
          </w:p>
          <w:p w14:paraId="673ABDC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1）系统内可配置支持在挂号窗口挂号也支持在医生站挂号。</w:t>
            </w:r>
          </w:p>
          <w:p w14:paraId="69B52B5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2）系统内支持在医生工作站挂号，支持在医生工作站读身份证信息进行快捷挂号。</w:t>
            </w:r>
          </w:p>
          <w:p w14:paraId="5DD0687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3）提供各种身份的患者挂号（自费、医保）。</w:t>
            </w:r>
          </w:p>
          <w:p w14:paraId="08297A4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4）提供多种收费方式（现金、刷卡等）。</w:t>
            </w:r>
          </w:p>
          <w:p w14:paraId="7E7BAAA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5）提供不同类别的挂号包括：急诊、普通、专家挂号等。</w:t>
            </w:r>
          </w:p>
          <w:p w14:paraId="1955466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6）基础号表管理：基础号表管理主要用于制定一个科室、或一个大夫的按周进行的坐诊规则，每一个大夫或者科室可以制定多组规则，制定好的规则用于生成每日号表。</w:t>
            </w:r>
          </w:p>
          <w:p w14:paraId="45C9FEA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7）每日号表管理：对排号的科室和医生进行出诊开始和结束时间的设置,选择开始和结束时间后点击确定,生成时间段选择,然后然后设置起始日和结束日以及规则选择,最后预约成号。</w:t>
            </w:r>
          </w:p>
          <w:p w14:paraId="3A9BF41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8）门诊挂号：该功能主要用于挂号使用,可以使用扫描电子健康码,医保电子凭证,社保卡,身份证以及无卡操作挂号。</w:t>
            </w:r>
          </w:p>
          <w:p w14:paraId="1FDBBEB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9）系统可以重打挂号发票。</w:t>
            </w:r>
          </w:p>
          <w:p w14:paraId="1F713A1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10）系统支持一个病人挂多个号的功能</w:t>
            </w:r>
          </w:p>
          <w:p w14:paraId="39DDF28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11）门诊退号：可以进行未就诊患者的退号操作，输入门诊号查询后填写原因进行退号。</w:t>
            </w:r>
          </w:p>
          <w:p w14:paraId="04AA57C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12）提供挂号量查询、门诊患者就诊信息查询。</w:t>
            </w:r>
          </w:p>
          <w:p w14:paraId="25A2A5D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4．门急诊收费</w:t>
            </w:r>
          </w:p>
          <w:p w14:paraId="7D393BC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1）使用国家统一的编码。遵循票据管理制度。</w:t>
            </w:r>
          </w:p>
          <w:p w14:paraId="5B9C7A5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2）支持挂号、划价、收费一体化。</w:t>
            </w:r>
          </w:p>
          <w:p w14:paraId="1C8E605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3）支持多种支付方式（现金、信用卡、支票等）。</w:t>
            </w:r>
          </w:p>
          <w:p w14:paraId="0B94230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4）提供统计汇总功能：收费科目汇总、科室核算统计汇总报表；报表支持打印。</w:t>
            </w:r>
          </w:p>
          <w:p w14:paraId="3E78132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5）支持让患者出示医保电子凭证进行扫码支付，收费完成后可自动打印发票。</w:t>
            </w:r>
          </w:p>
          <w:p w14:paraId="112E42C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6）支持重打发票</w:t>
            </w:r>
          </w:p>
          <w:p w14:paraId="1B23A0E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7）可以直接从医生站提取收费项目，也可以支持直接由收款员录入收费项目</w:t>
            </w:r>
          </w:p>
          <w:p w14:paraId="2F6E0A1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8）支持当日退费或隔日退费操作。</w:t>
            </w:r>
          </w:p>
          <w:p w14:paraId="165BDFB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9）门诊退费可通过发票号查询病人退费信息，进行门诊退费操作。</w:t>
            </w:r>
          </w:p>
          <w:p w14:paraId="20E917D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10）门诊收费交账：支持个人结算及结算报表的打印。</w:t>
            </w:r>
          </w:p>
        </w:tc>
        <w:tc>
          <w:tcPr>
            <w:tcW w:w="775" w:type="dxa"/>
            <w:vAlign w:val="center"/>
          </w:tcPr>
          <w:p w14:paraId="04F69165">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5A02377B">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5C1C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F10F641">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10</w:t>
            </w:r>
          </w:p>
        </w:tc>
        <w:tc>
          <w:tcPr>
            <w:tcW w:w="759" w:type="dxa"/>
            <w:vAlign w:val="center"/>
          </w:tcPr>
          <w:p w14:paraId="29216369">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药库管理</w:t>
            </w:r>
          </w:p>
        </w:tc>
        <w:tc>
          <w:tcPr>
            <w:tcW w:w="7563" w:type="dxa"/>
            <w:vAlign w:val="center"/>
          </w:tcPr>
          <w:p w14:paraId="1A0C34D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1．药品字典</w:t>
            </w:r>
          </w:p>
          <w:p w14:paraId="5CFC0A9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支持对药品字典进行维护，如新增、修改、停用药品，新增药品分类，设置药品品种、分类、别名、药理毒性等基础信息，设置药品规格、产地、流转单位、价格、执行药房、开单科室等信息维护。药品字典可扩展自定义字段。</w:t>
            </w:r>
          </w:p>
          <w:p w14:paraId="0B6B9BC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2）支持针对药品设置医保的报销标识，如药品甲乙类设置，医保代码对应设置。</w:t>
            </w:r>
          </w:p>
          <w:p w14:paraId="6524631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3）支持新增、修改、停用药品规格、产地、别名等基本信息。</w:t>
            </w:r>
          </w:p>
          <w:p w14:paraId="687C749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4）支持社保目录升级，完成因社保政策引起的诸如编码等变动的调整。</w:t>
            </w:r>
          </w:p>
          <w:p w14:paraId="1AA1C57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5）支持抗生素/毒麻药品分类分级设定及医生级别授权。</w:t>
            </w:r>
          </w:p>
          <w:p w14:paraId="79F60B6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2．药品采购入库</w:t>
            </w:r>
          </w:p>
          <w:p w14:paraId="3C04881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1）通过新增、编辑、查看、审核采购入库单，对采购的药品数据进行管理，增加库存。</w:t>
            </w:r>
          </w:p>
          <w:p w14:paraId="3319DD6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2）可以直接采购入库，也可以配置为采购申请后审核入库的两种模式，根基医院实际情况进行选择。</w:t>
            </w:r>
          </w:p>
          <w:p w14:paraId="20EB623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3）供应商退货：通过新增、编辑、查看、审核退货单，对于需要退回给供应商的药品，进行退货处理，扣除相应库存。</w:t>
            </w:r>
          </w:p>
          <w:p w14:paraId="77B8669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3．药库出库</w:t>
            </w:r>
          </w:p>
          <w:p w14:paraId="0E1E899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1）可根据药房的入库请领单进行药品出库，生成出库单并扣减库存。</w:t>
            </w:r>
          </w:p>
          <w:p w14:paraId="4B7B07B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2）可通过新增、编辑、查看、审核等操作，手动新增出库单并扣减库存。</w:t>
            </w:r>
          </w:p>
          <w:p w14:paraId="59F84BB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3）新增出库单后，可根据院内实际情况选择是否需要药房审核。</w:t>
            </w:r>
          </w:p>
          <w:p w14:paraId="3C59E2E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4）可拒绝药房入库请领单。</w:t>
            </w:r>
          </w:p>
          <w:p w14:paraId="42FD2F4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4．药库退库单</w:t>
            </w:r>
          </w:p>
          <w:p w14:paraId="10DCE6C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1）可根据药房的退库申请单进行药品退库，生成退库单并增加库存。</w:t>
            </w:r>
          </w:p>
          <w:p w14:paraId="0CDC093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2）可以核对退库数量审核通过或拒绝药房退库申请。</w:t>
            </w:r>
          </w:p>
          <w:p w14:paraId="6491CCC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3）审核通过时，增加库存数量。</w:t>
            </w:r>
          </w:p>
          <w:p w14:paraId="6659734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5．药品损益</w:t>
            </w:r>
          </w:p>
          <w:p w14:paraId="42E54BC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1）可由盘点单自动生成库存损益记录。</w:t>
            </w:r>
          </w:p>
          <w:p w14:paraId="1155DFA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2）通过新增、编辑、查看、审核损益单的操作，对实际发生损益的药品进行记录，并增删库存。</w:t>
            </w:r>
          </w:p>
          <w:p w14:paraId="2C2446D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6．药库盘点</w:t>
            </w:r>
          </w:p>
          <w:p w14:paraId="48D4233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1）通过新增、编辑、查看、审核盘点单的操作，对药库现有药品盘点 。</w:t>
            </w:r>
          </w:p>
          <w:p w14:paraId="1AFECB9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2）可以根据药品类型等条件来盘点。</w:t>
            </w:r>
          </w:p>
          <w:p w14:paraId="3B43102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3）盘点审核通过自动生成已审核的损益单。</w:t>
            </w:r>
          </w:p>
          <w:p w14:paraId="3F1FA6D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4）支持按药品规格盘点。</w:t>
            </w:r>
          </w:p>
          <w:p w14:paraId="70D0731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7．药库入库</w:t>
            </w:r>
          </w:p>
          <w:p w14:paraId="7043D48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通过新增、编辑、查看、审核调入申请单，对于需要向其他药库申请的药品，可以填写调入申请。</w:t>
            </w:r>
          </w:p>
          <w:p w14:paraId="5CDA92A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8．药库出库</w:t>
            </w:r>
          </w:p>
          <w:p w14:paraId="2C83DD3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1）可根据入库申请单进行药品调出，生成调出单并扣减库存。</w:t>
            </w:r>
          </w:p>
          <w:p w14:paraId="0404087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2）可通过新增、编辑、查看、审核等操作，手动新增出库单并扣减库存。</w:t>
            </w:r>
          </w:p>
          <w:p w14:paraId="0E57B0D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3）新增出库单后，可根据院内实际情况选择是否需要对方审核。</w:t>
            </w:r>
          </w:p>
          <w:p w14:paraId="4323FF0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4）可拒绝药库出库申请单。</w:t>
            </w:r>
          </w:p>
          <w:p w14:paraId="5790A31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9．药库库存警戒</w:t>
            </w:r>
          </w:p>
          <w:p w14:paraId="329B67A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1）展示药库全部药品的库存情况。</w:t>
            </w:r>
          </w:p>
          <w:p w14:paraId="3E7973F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2）可以设置药品的上限、下限、货位、是否禁购等信息并实时保存。</w:t>
            </w:r>
          </w:p>
          <w:p w14:paraId="37B1382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3）可以查看药品供应商的资质信息。</w:t>
            </w:r>
          </w:p>
          <w:p w14:paraId="33F5026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10．药品调价</w:t>
            </w:r>
          </w:p>
          <w:p w14:paraId="619CE2C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1）通过新增、编辑、查看、审核调价单，对于需要调价的批次进行调价。</w:t>
            </w:r>
          </w:p>
          <w:p w14:paraId="1DDDFEB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2）可以通过调价率、增减金额两种方式调价。</w:t>
            </w:r>
          </w:p>
          <w:p w14:paraId="349ED93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3）支持对药品调价（选择全部批次）。</w:t>
            </w:r>
          </w:p>
          <w:p w14:paraId="2E73D9B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11．报表查询</w:t>
            </w:r>
          </w:p>
          <w:p w14:paraId="6008654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生成药库管理的各种基本报表，并可导出为Excel格式。包括：药库进货汇总、药库进货明细、药库进货单据汇总、药库出库汇总、药库出库明细、药库出库单据汇总、药库损益汇总、药库损益明细、药品调价查询、药库调价明细、全院药品查询、全院药品动态、药品收入与成本、药库月结、药库药品库存余额查询、药库药品有效期查询、药库药品进货收入账等，也可根据用户实际情况定制报表内容</w:t>
            </w:r>
          </w:p>
        </w:tc>
        <w:tc>
          <w:tcPr>
            <w:tcW w:w="775" w:type="dxa"/>
            <w:vAlign w:val="center"/>
          </w:tcPr>
          <w:p w14:paraId="103C5A9A">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4C8E65B2">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3926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FEE4D5B">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11</w:t>
            </w:r>
          </w:p>
        </w:tc>
        <w:tc>
          <w:tcPr>
            <w:tcW w:w="759" w:type="dxa"/>
            <w:vAlign w:val="center"/>
          </w:tcPr>
          <w:p w14:paraId="338FD5AE">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药房管理</w:t>
            </w:r>
          </w:p>
        </w:tc>
        <w:tc>
          <w:tcPr>
            <w:tcW w:w="7563" w:type="dxa"/>
            <w:vAlign w:val="center"/>
          </w:tcPr>
          <w:p w14:paraId="4858DE9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1．药房入库</w:t>
            </w:r>
          </w:p>
          <w:p w14:paraId="496C9D4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1）通过新增、编辑、查看、审核入库请领单向药库申请药品。</w:t>
            </w:r>
          </w:p>
          <w:p w14:paraId="348630D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2）按库存下限/上限差额数生成请领单、按时间段药房发药总数生成请领单、按时间段药房消耗总数生成请领单。</w:t>
            </w:r>
          </w:p>
          <w:p w14:paraId="25E89A9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2．药房退库</w:t>
            </w:r>
          </w:p>
          <w:p w14:paraId="44E15AE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1）通过新增、编辑、查看、审核入库请领单向药库申请药品。</w:t>
            </w:r>
          </w:p>
          <w:p w14:paraId="3787B02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2）可根据自己实际情况手动选择批次进行退库。</w:t>
            </w:r>
          </w:p>
          <w:p w14:paraId="0FADE59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3．药房损益</w:t>
            </w:r>
          </w:p>
          <w:p w14:paraId="398B51D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1）可由盘点单自动生成损益单。</w:t>
            </w:r>
          </w:p>
          <w:p w14:paraId="1199535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2）通过新增、编辑、查看、审核损益单的操作，对实际发生损益的药品进行记录，并增删库存。</w:t>
            </w:r>
          </w:p>
          <w:p w14:paraId="7AF543F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4．药房盘点</w:t>
            </w:r>
          </w:p>
          <w:p w14:paraId="27750BA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1）通过新增、编辑、查看、审核盘点单的操作，对药库现有药品盘点。</w:t>
            </w:r>
          </w:p>
          <w:p w14:paraId="25DE509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2）可以根据药品类型等条件来盘点。</w:t>
            </w:r>
          </w:p>
          <w:p w14:paraId="61EBEA2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3）盘点审核通过自动生成已审核的损益单 。</w:t>
            </w:r>
          </w:p>
          <w:p w14:paraId="1E08AA4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4）支持按药品规格盘点。</w:t>
            </w:r>
          </w:p>
          <w:p w14:paraId="10C03CE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5．药房调入</w:t>
            </w:r>
          </w:p>
          <w:p w14:paraId="76B25E6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通过新增、编辑、查看、审核调入申请单，对于需要向其他药房申请的药品，可以填写调入申请。</w:t>
            </w:r>
          </w:p>
          <w:p w14:paraId="47D2F07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6．药房调出</w:t>
            </w:r>
          </w:p>
          <w:p w14:paraId="5D93CF2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1）可通过新增、编辑、查看、审核等操作，手动新增调出单并扣减库存。</w:t>
            </w:r>
          </w:p>
          <w:p w14:paraId="0A207DF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2）新增调出单后，可根据院内实际情况选择是否需要对方审核。</w:t>
            </w:r>
          </w:p>
          <w:p w14:paraId="53795B0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3）调出时可手动选择批次。</w:t>
            </w:r>
          </w:p>
          <w:p w14:paraId="70BB602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4）可拒绝药房调入申请单。</w:t>
            </w:r>
          </w:p>
          <w:p w14:paraId="3C79EA3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7．药房库存警戒</w:t>
            </w:r>
          </w:p>
          <w:p w14:paraId="5BCB6A3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1）展示药房全部药品的库存情况。</w:t>
            </w:r>
          </w:p>
          <w:p w14:paraId="4CA7BE4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2）可以设置药品的上限、下限、货位、是否禁售等信息并实时保存。</w:t>
            </w:r>
          </w:p>
          <w:p w14:paraId="4F63B5B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3）展示低于下限药品，可向负责人推送待办提醒。</w:t>
            </w:r>
          </w:p>
          <w:p w14:paraId="6928466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4）展示近效期药品，可向负责人推送待办提醒。</w:t>
            </w:r>
          </w:p>
          <w:p w14:paraId="6024650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8．药品消耗</w:t>
            </w:r>
          </w:p>
          <w:p w14:paraId="0365647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支持记录项目绑定消耗药品，每段时间集中管理随项目用掉的药品。</w:t>
            </w:r>
          </w:p>
          <w:p w14:paraId="0EC9342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9．报表查询</w:t>
            </w:r>
          </w:p>
          <w:p w14:paraId="4AEB80C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生成药房管理的各种基本报表，并可导出为Excel格式。包括：药房领入汇总、药房领入明细、药房调拨汇总、药房调拨明细、药房损益汇总、药房损益明细、开单医生药品查询、药房库存余额查询、科室药品库存查询、药房月结、药房药品有效期查询、药房业务进销日汇总，也可根据用户实际情况定制报表内容。</w:t>
            </w:r>
          </w:p>
          <w:p w14:paraId="79BBDA7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10．门诊发药</w:t>
            </w:r>
          </w:p>
          <w:p w14:paraId="185A21B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1）支持通过医保卡、身份证、病历号、姓名、扫描枪（结算收据号）、处方号方式检索患者处方信息并发药；</w:t>
            </w:r>
          </w:p>
          <w:p w14:paraId="11546C2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2）对未收费处方进行警示提醒；</w:t>
            </w:r>
          </w:p>
          <w:p w14:paraId="5EC4B68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3）支持对接处方审核和合理用药系统，校验医嘱合理性。</w:t>
            </w:r>
          </w:p>
          <w:p w14:paraId="6E2EBB9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4）可对接排队叫号系统，呼叫患者（支持通过自助机签到管理）。</w:t>
            </w:r>
          </w:p>
          <w:p w14:paraId="615AE54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5）发药完成后，自动记录发药人员信息，扣减实际库存，更新药房库存。</w:t>
            </w:r>
          </w:p>
          <w:p w14:paraId="2B2C624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6）支持发药清单的查看，可根据不同维度查看发药汇总、明细数据。</w:t>
            </w:r>
          </w:p>
          <w:p w14:paraId="4D01183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7）支持药品溯源，药品的采购节点、入库节点、药师发药节点的时间、执行人信息均有记录，药品按批号追踪到患者。</w:t>
            </w:r>
          </w:p>
          <w:p w14:paraId="051391F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8）支持发药机、智能药柜、静配中心对接。</w:t>
            </w:r>
          </w:p>
          <w:p w14:paraId="6D232D7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9）支持自动和手动两种方式检索患者并打印配药单。</w:t>
            </w:r>
          </w:p>
          <w:p w14:paraId="6ACF1EB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10）支持按患者、开方医生、配药人员、发药人员、时间段进行处方查询。</w:t>
            </w:r>
          </w:p>
          <w:p w14:paraId="46FA2AA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11．住院发药</w:t>
            </w:r>
          </w:p>
          <w:p w14:paraId="152C1FA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1）支持对接处方审核和合理用药系统，校验医嘱合理性。</w:t>
            </w:r>
          </w:p>
          <w:p w14:paraId="24474E4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2）可根据病区/患者进行发药。</w:t>
            </w:r>
          </w:p>
          <w:p w14:paraId="132CC2D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3）可以根据患者紧急情况进行优先排序。</w:t>
            </w:r>
          </w:p>
          <w:p w14:paraId="62EF29F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4）按医嘱发药时扣减实际库存，并在库房管理时更新或每日定时更新。</w:t>
            </w:r>
          </w:p>
          <w:p w14:paraId="08F0DC2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5）支持按照病区请领模式发药。</w:t>
            </w:r>
          </w:p>
        </w:tc>
        <w:tc>
          <w:tcPr>
            <w:tcW w:w="775" w:type="dxa"/>
            <w:vAlign w:val="center"/>
          </w:tcPr>
          <w:p w14:paraId="65DB041D">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6E44B657">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0F47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4EECD02">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12</w:t>
            </w:r>
          </w:p>
        </w:tc>
        <w:tc>
          <w:tcPr>
            <w:tcW w:w="759" w:type="dxa"/>
            <w:vAlign w:val="center"/>
          </w:tcPr>
          <w:p w14:paraId="0C388A70">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统计中心</w:t>
            </w:r>
          </w:p>
        </w:tc>
        <w:tc>
          <w:tcPr>
            <w:tcW w:w="7563" w:type="dxa"/>
            <w:vAlign w:val="center"/>
          </w:tcPr>
          <w:p w14:paraId="14BA81E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1、报表管理：（需提供产品功能截图证明，加盖生产厂商公章）</w:t>
            </w:r>
          </w:p>
          <w:p w14:paraId="026D9E7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1）报表管理功能，提供报表筛选、预览等</w:t>
            </w:r>
          </w:p>
          <w:p w14:paraId="1B8485C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2）报表管理页面：提供刷新、添加、删除、属性管理、设计、类型、检索、风格等功能。</w:t>
            </w:r>
          </w:p>
          <w:p w14:paraId="4AF05E7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3）通用报表管理：可添加新的通用报表，并能设置相关报表信息。</w:t>
            </w:r>
          </w:p>
          <w:p w14:paraId="04F0FD0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*2、动态报表：</w:t>
            </w:r>
          </w:p>
          <w:p w14:paraId="524392C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支持通过编写 SQL 语句或存储过程配合内置的报表工具即能实现对业务系统 报表功能的编写功能，要求能自定义报表的查询界面并能自由调整报表格式。已完成的动态报表可做为系统功能模块挂接在系统菜单之中，报表发布之后，即可在所有终端使用。（需提供产品功能截图证明，加盖生产厂商公章）</w:t>
            </w:r>
          </w:p>
          <w:p w14:paraId="60FD7E7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*3、报表设计</w:t>
            </w:r>
          </w:p>
          <w:p w14:paraId="3C0690B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集成报表设计插件完成报表的设计功能。（需提供产品功能截图证明，加盖生产厂商公章）</w:t>
            </w:r>
          </w:p>
          <w:p w14:paraId="2819E95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4、报表属性设置</w:t>
            </w:r>
          </w:p>
          <w:p w14:paraId="5562FAA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设置报表打印机、打印份数等。（需提供产品功能截图证明，加盖生产厂商公章）</w:t>
            </w:r>
          </w:p>
          <w:p w14:paraId="33288DC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*5、报表脚本（需提供产品功能截图证明，加盖生产厂商公章）</w:t>
            </w:r>
          </w:p>
          <w:p w14:paraId="5A645DE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1）报表执行时脚本，可以是 sql、存储过程、代码脚本等。</w:t>
            </w:r>
          </w:p>
          <w:p w14:paraId="6D80F2C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2）支持脚本绑定管理：</w:t>
            </w:r>
          </w:p>
          <w:p w14:paraId="157918A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6、报表查询界面设计</w:t>
            </w:r>
          </w:p>
          <w:p w14:paraId="1AA24DD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专门的报表查询功能界面设计功能。</w:t>
            </w:r>
          </w:p>
          <w:p w14:paraId="366EA41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7、报表集成</w:t>
            </w:r>
          </w:p>
          <w:p w14:paraId="737AD11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提供报表与 HIS 各业务系统的集成调用、权限控制。</w:t>
            </w:r>
          </w:p>
        </w:tc>
        <w:tc>
          <w:tcPr>
            <w:tcW w:w="775" w:type="dxa"/>
            <w:vAlign w:val="center"/>
          </w:tcPr>
          <w:p w14:paraId="22319AF3">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53EFC043">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68D9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7754C13">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13</w:t>
            </w:r>
          </w:p>
        </w:tc>
        <w:tc>
          <w:tcPr>
            <w:tcW w:w="759" w:type="dxa"/>
            <w:vAlign w:val="center"/>
          </w:tcPr>
          <w:p w14:paraId="3F89D04A">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传染病接口上报管理</w:t>
            </w:r>
          </w:p>
        </w:tc>
        <w:tc>
          <w:tcPr>
            <w:tcW w:w="7563" w:type="dxa"/>
            <w:vAlign w:val="center"/>
          </w:tcPr>
          <w:p w14:paraId="3748CE7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支持多种上报方式和频率设置，可以根据医院的实际需求和当地卫生部门的要求灵活配置。同时，系统还具备上报数据的自动校验和补全功能，确保上报信息的准确性和完整性。此外，该模块还提供了上报日志记录和查询功能，方便医院管理部门对上报过程进行监控和审计，确保传染病防控工作的透明度和可追溯性。</w:t>
            </w:r>
          </w:p>
        </w:tc>
        <w:tc>
          <w:tcPr>
            <w:tcW w:w="775" w:type="dxa"/>
            <w:vAlign w:val="center"/>
          </w:tcPr>
          <w:p w14:paraId="7C9D1011">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62D117F9">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65DB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23F981F">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14</w:t>
            </w:r>
          </w:p>
        </w:tc>
        <w:tc>
          <w:tcPr>
            <w:tcW w:w="759" w:type="dxa"/>
            <w:vAlign w:val="center"/>
          </w:tcPr>
          <w:p w14:paraId="1B09B3A4">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医保报销管理</w:t>
            </w:r>
          </w:p>
        </w:tc>
        <w:tc>
          <w:tcPr>
            <w:tcW w:w="7563" w:type="dxa"/>
            <w:vAlign w:val="center"/>
          </w:tcPr>
          <w:p w14:paraId="7A5F2D4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系统支持多种医保类型的结算，包括城镇职工医保、城乡居民医保等，并可根据不同医保类型的报销规则进行自动处理。同时，系统还提供了丰富的报销管理和查询功能，医院管理部门可以通过系统实时了解医保费用的结算情况，包括报销金额、患者自付金额、医保支付比例等关键指标，为医院的财务管理和决策支持提供了有力保障。</w:t>
            </w:r>
          </w:p>
        </w:tc>
        <w:tc>
          <w:tcPr>
            <w:tcW w:w="775" w:type="dxa"/>
            <w:vAlign w:val="center"/>
          </w:tcPr>
          <w:p w14:paraId="4AD86572">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39E39B96">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4F24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3268B1B">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15</w:t>
            </w:r>
          </w:p>
        </w:tc>
        <w:tc>
          <w:tcPr>
            <w:tcW w:w="759" w:type="dxa"/>
            <w:vAlign w:val="center"/>
          </w:tcPr>
          <w:p w14:paraId="340BA9CF">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报表、接口定制开发</w:t>
            </w:r>
          </w:p>
        </w:tc>
        <w:tc>
          <w:tcPr>
            <w:tcW w:w="7563" w:type="dxa"/>
            <w:vAlign w:val="center"/>
          </w:tcPr>
          <w:p w14:paraId="239042F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系统支持报表定制开发，多种报表格式和展示方式，包括表格、图表、仪表盘等，可根据医院的需求进行个性化定制。提供报表查询和分析功能，方便医院管理部门对医院运营数据进行深入挖掘和分析，为医院的决策提供有力支持。</w:t>
            </w:r>
          </w:p>
        </w:tc>
        <w:tc>
          <w:tcPr>
            <w:tcW w:w="775" w:type="dxa"/>
            <w:vAlign w:val="center"/>
          </w:tcPr>
          <w:p w14:paraId="2BAFFC75">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1ECDB463">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2E8F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9" w:type="dxa"/>
            <w:gridSpan w:val="5"/>
            <w:vAlign w:val="center"/>
          </w:tcPr>
          <w:p w14:paraId="089EEA65">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电子病例系统</w:t>
            </w:r>
          </w:p>
        </w:tc>
      </w:tr>
      <w:tr w14:paraId="29DD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8C60F4F">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1</w:t>
            </w:r>
            <w:r>
              <w:rPr>
                <w:rFonts w:hint="eastAsia" w:ascii="宋体" w:hAnsi="宋体" w:cs="宋体"/>
                <w:b/>
                <w:bCs/>
                <w:color w:val="333333"/>
                <w:kern w:val="0"/>
                <w:sz w:val="20"/>
                <w:szCs w:val="20"/>
                <w:highlight w:val="none"/>
                <w:shd w:val="clear" w:color="auto" w:fill="FFFFFF"/>
                <w:vertAlign w:val="baseline"/>
                <w:lang w:val="en-US" w:eastAsia="zh-CN" w:bidi="ar"/>
              </w:rPr>
              <w:t>6</w:t>
            </w:r>
          </w:p>
        </w:tc>
        <w:tc>
          <w:tcPr>
            <w:tcW w:w="759" w:type="dxa"/>
            <w:vAlign w:val="center"/>
          </w:tcPr>
          <w:p w14:paraId="1343A50E">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病历质控系统</w:t>
            </w:r>
          </w:p>
        </w:tc>
        <w:tc>
          <w:tcPr>
            <w:tcW w:w="7563" w:type="dxa"/>
            <w:vAlign w:val="center"/>
          </w:tcPr>
          <w:p w14:paraId="7C389A7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1．多层全过程质控</w:t>
            </w:r>
          </w:p>
          <w:p w14:paraId="117F2FF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病历质控系统实现了在院病历、出院病历的全方位质量检测和管理，实现了基于规则的病历内容和病历时效的自动核查，以及医生自测，科室审核检测，病案质量部门终末检测的多层全过程质控。</w:t>
            </w:r>
          </w:p>
          <w:p w14:paraId="3FF34C2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2．超时报表监控</w:t>
            </w:r>
          </w:p>
          <w:p w14:paraId="79A7BD4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系统通过自定义时效规则自动分析在院和出院3天内患者病历，提供时效超时报表进行全院监控。</w:t>
            </w:r>
          </w:p>
          <w:p w14:paraId="783D667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3．病历时效检查规则自定义</w:t>
            </w:r>
          </w:p>
          <w:p w14:paraId="5EE9FDB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支持病历时效检查规则自定义。可方便地扩展时效检查规则，除了满足当前文书类型检查要求，也为将来新增文书类型的时效检查提供配置入口。</w:t>
            </w:r>
          </w:p>
          <w:p w14:paraId="4DD7A9F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4．病历内容缺陷自动监测</w:t>
            </w:r>
          </w:p>
          <w:p w14:paraId="6529D8A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系统提供运行病历内容缺陷自动监测功能。可针对以下五类内容缺陷自动检查：文书内容逻辑性错误；文书内关键元素内容为空；元素为重点关注项，用户必须点击确认；数据类型不符，内容必须为数字或时间格式；内容长度或值超出范围。</w:t>
            </w:r>
          </w:p>
          <w:p w14:paraId="1D94F05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5．患者重点筛选</w:t>
            </w:r>
          </w:p>
          <w:p w14:paraId="22C0F3F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提供手术患者、入院后多次手术患者、病情危重的患者、三日内未确诊的疑难病因患者、重复入院患者重点筛选功能。</w:t>
            </w:r>
          </w:p>
          <w:p w14:paraId="76C7DCD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6．闭环式质控流程</w:t>
            </w:r>
          </w:p>
          <w:p w14:paraId="3EC162D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系统与临床科室医生工作站协同工作，建立网上闭环式质控流程。质控医生检查运行病历，在线提交质检问题，同时触发对临床医生的消息提醒。医生收到质检问题，修改后可将处理结果反馈给质控医生，质控医生据此复查整改情况。</w:t>
            </w:r>
          </w:p>
          <w:p w14:paraId="4DE0371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7．闭环式质控过程状态追踪</w:t>
            </w:r>
          </w:p>
          <w:p w14:paraId="6A09F43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支持闭环式质控过程状态追踪。记录提交质检问题处理的状态，根据状态查询得到未接收和待复查的质检问题。</w:t>
            </w:r>
          </w:p>
          <w:p w14:paraId="62DE8A9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8．终末病案抽检</w:t>
            </w:r>
          </w:p>
          <w:p w14:paraId="19CA4D6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提供终末病案抽检功能，按每科室病案份数、患者病情、患者出院方式、出院时间、住院天数等条件筛选和分配病案，提交给病案专家组检查。</w:t>
            </w:r>
          </w:p>
          <w:p w14:paraId="1D8C1BF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9．终末病案质量评级</w:t>
            </w:r>
          </w:p>
          <w:p w14:paraId="7D36DD1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提供自动评分和人工评分两种方式。其中自动评分用于医生自查，人工评分用于终末病案质量评级。</w:t>
            </w:r>
          </w:p>
          <w:p w14:paraId="6494CE3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10．统计报表</w:t>
            </w:r>
          </w:p>
          <w:p w14:paraId="6BC5367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提供病案质量和评分一览表、质控医生工作量、时效超时情况、病历内容缺陷率、延期提交归档病历等统计报表。</w:t>
            </w:r>
          </w:p>
          <w:p w14:paraId="6E16ECA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11．规则扩展</w:t>
            </w:r>
          </w:p>
          <w:p w14:paraId="7F2837F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提供病历问题分类、质检问题模板设置功能，支持时效规则、内容缺陷检查规则扩展。</w:t>
            </w:r>
          </w:p>
          <w:p w14:paraId="1C7E490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12．质控规则</w:t>
            </w:r>
          </w:p>
          <w:p w14:paraId="67393D6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1)支持门诊病历质控规则设置；</w:t>
            </w:r>
          </w:p>
          <w:p w14:paraId="74868A3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2)支持入院记录质控规则设置；</w:t>
            </w:r>
          </w:p>
          <w:p w14:paraId="0B980D7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3)支持病程记录质控规则设置；</w:t>
            </w:r>
          </w:p>
          <w:p w14:paraId="7D058C1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4)支持出院病历质控规则设置；</w:t>
            </w:r>
          </w:p>
          <w:p w14:paraId="2DF012C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5)支持手术病历质控规则设置；</w:t>
            </w:r>
          </w:p>
          <w:p w14:paraId="390897F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6)支持死亡病历质控规则设置；</w:t>
            </w:r>
          </w:p>
          <w:p w14:paraId="2F1F0AB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7)支持首页质控管理；</w:t>
            </w:r>
          </w:p>
          <w:p w14:paraId="6303E2C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8)支持时间类质控管理。</w:t>
            </w:r>
          </w:p>
          <w:p w14:paraId="0D936CD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13．病历缺陷管理</w:t>
            </w:r>
          </w:p>
          <w:p w14:paraId="2F2FAE8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针对门诊、住院病历根据质控规则建立质控评分方案，质控过程中将最后的质控得分，生成质控病历的等级病历等级分为甲乙丙三种等级。</w:t>
            </w:r>
          </w:p>
          <w:p w14:paraId="7936D55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14．质控工作站</w:t>
            </w:r>
          </w:p>
          <w:p w14:paraId="79C969E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1)支持质控评分；</w:t>
            </w:r>
          </w:p>
          <w:p w14:paraId="1ED3581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2)支持工作站主页管理；</w:t>
            </w:r>
          </w:p>
          <w:p w14:paraId="7A6B7F6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3)支持三级质控管理；</w:t>
            </w:r>
          </w:p>
          <w:p w14:paraId="15900CC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4)支持质控记录；</w:t>
            </w:r>
          </w:p>
          <w:p w14:paraId="5645E0B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*5)支持病历质控管理，</w:t>
            </w:r>
            <w:r>
              <w:rPr>
                <w:rFonts w:hint="eastAsia" w:ascii="宋体" w:hAnsi="宋体" w:cs="宋体"/>
                <w:color w:val="333333"/>
                <w:kern w:val="0"/>
                <w:sz w:val="20"/>
                <w:szCs w:val="20"/>
                <w:highlight w:val="none"/>
                <w:shd w:val="clear" w:color="auto" w:fill="FFFFFF"/>
                <w:vertAlign w:val="baseline"/>
                <w:lang w:val="en-US" w:eastAsia="zh-CN" w:bidi="ar"/>
              </w:rPr>
              <w:t>有</w:t>
            </w:r>
            <w:r>
              <w:rPr>
                <w:rFonts w:hint="eastAsia" w:ascii="宋体" w:hAnsi="宋体" w:eastAsia="宋体" w:cs="宋体"/>
                <w:color w:val="333333"/>
                <w:kern w:val="0"/>
                <w:sz w:val="20"/>
                <w:szCs w:val="20"/>
                <w:highlight w:val="none"/>
                <w:shd w:val="clear" w:color="auto" w:fill="FFFFFF"/>
                <w:vertAlign w:val="baseline"/>
                <w:lang w:val="en-US" w:eastAsia="zh-CN" w:bidi="ar"/>
              </w:rPr>
              <w:t>多条质控规则、分病历类型质控、时间类质控、完整性质控、逻辑性质控，质控规则严重程度分级，系统自动质控评分、诊断书写权限分级，循环书写时间判断，标准数据集内置，临床医师质控分数按钮，自动质控得分，出科前自评，三级质控，上级医师审阅、人工质控、评分方案，质控分级退回，患者信息查看；超时病历，全结构化病历质控。（需提供产品功能截图证明，加盖生产厂商公章）</w:t>
            </w:r>
          </w:p>
        </w:tc>
        <w:tc>
          <w:tcPr>
            <w:tcW w:w="775" w:type="dxa"/>
            <w:vAlign w:val="center"/>
          </w:tcPr>
          <w:p w14:paraId="78F24686">
            <w:pPr>
              <w:spacing w:line="360" w:lineRule="auto"/>
              <w:jc w:val="center"/>
              <w:rPr>
                <w:rFonts w:hint="default"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w:t>
            </w:r>
          </w:p>
        </w:tc>
        <w:tc>
          <w:tcPr>
            <w:tcW w:w="736" w:type="dxa"/>
            <w:vAlign w:val="center"/>
          </w:tcPr>
          <w:p w14:paraId="7402AB93">
            <w:pPr>
              <w:spacing w:line="360" w:lineRule="auto"/>
              <w:jc w:val="center"/>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套</w:t>
            </w:r>
          </w:p>
        </w:tc>
      </w:tr>
      <w:tr w14:paraId="3A4B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0FD5375">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17</w:t>
            </w:r>
          </w:p>
        </w:tc>
        <w:tc>
          <w:tcPr>
            <w:tcW w:w="759" w:type="dxa"/>
            <w:vAlign w:val="center"/>
          </w:tcPr>
          <w:p w14:paraId="453012F2">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病案管理系统</w:t>
            </w:r>
          </w:p>
        </w:tc>
        <w:tc>
          <w:tcPr>
            <w:tcW w:w="7563" w:type="dxa"/>
            <w:vAlign w:val="center"/>
          </w:tcPr>
          <w:p w14:paraId="7635D12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1．病案首页管理</w:t>
            </w:r>
          </w:p>
          <w:p w14:paraId="0EFDAD9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查看患者病案首页信息，进行病案首页编辑，病案首页导出，病案首页打印。查看病案归档状态，审核状态。</w:t>
            </w:r>
          </w:p>
          <w:p w14:paraId="58B9C0F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2．病案档案管理</w:t>
            </w:r>
          </w:p>
          <w:p w14:paraId="344C06B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查看患者基本病案信息，按照日期与患者姓名，住院号身份证号等条件检索患者，支持操作病案回收，病案回收编辑。</w:t>
            </w:r>
          </w:p>
          <w:p w14:paraId="748DF4D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3．病案评分管理</w:t>
            </w:r>
          </w:p>
          <w:p w14:paraId="45C060E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病案评分方案：根据标准病案管理评分机制设置病案评分方案，为每一项病案设置评分分值与缺陷内容，包括（病案首页，入院记录，病程记录，手术记录，查房记录，辅助检查，医嘱及病历书写，出院记录等）；</w:t>
            </w:r>
          </w:p>
          <w:p w14:paraId="60D35D6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2）病案评分管理：针对患者病案进行评分管理，病案评分，编辑，保存，审核，退回等操作，可根据评分方案查看当前病案书写的缺陷内容及评分标准。</w:t>
            </w:r>
          </w:p>
          <w:p w14:paraId="3EDDA86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4．病案复印管理</w:t>
            </w:r>
          </w:p>
          <w:p w14:paraId="39561AF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查看患者基本病案信息，按照日期与患者姓名，住院号身份证号等条件检索患者，支持新增复印记录，编辑复印记录，删除复印记录，可管理患者病案复印记录，复印申请，复印用途复印内容及审核经办人。线上病案复印、管理复印申请，进行审核、收费、复印、邮寄等流程操作, 查询过往线上线下的复印记录。</w:t>
            </w:r>
          </w:p>
          <w:p w14:paraId="4E2FEAA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5．病案借阅归还管理</w:t>
            </w:r>
          </w:p>
          <w:p w14:paraId="50CC440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查看患者基本病案信息，按照日期与患者姓名，住院号身份证号等条件检索患者，支持新建借阅记录，编辑借阅记录，删除借阅记录，借阅病案归还，及批量借阅与批量归还等功能。可管理患者病案借阅/归还状态，借阅归还人，借阅截止时间，及借阅说明。</w:t>
            </w:r>
          </w:p>
        </w:tc>
        <w:tc>
          <w:tcPr>
            <w:tcW w:w="775" w:type="dxa"/>
            <w:vAlign w:val="center"/>
          </w:tcPr>
          <w:p w14:paraId="45A25CFC">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37D468BC">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357C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15753F8">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18</w:t>
            </w:r>
          </w:p>
        </w:tc>
        <w:tc>
          <w:tcPr>
            <w:tcW w:w="759" w:type="dxa"/>
            <w:vAlign w:val="center"/>
          </w:tcPr>
          <w:p w14:paraId="2755ED95">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门诊、住院电子病历</w:t>
            </w:r>
          </w:p>
        </w:tc>
        <w:tc>
          <w:tcPr>
            <w:tcW w:w="7563" w:type="dxa"/>
            <w:vAlign w:val="center"/>
          </w:tcPr>
          <w:p w14:paraId="725778D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1．整体要求</w:t>
            </w:r>
          </w:p>
          <w:p w14:paraId="556BD0A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1）必须满足卫生部颁发的《电子病历基本规范》、《电子病历系统功能规范（试行）》、《中医电子病历基本规范（试行）》等相关规范和标准。</w:t>
            </w:r>
          </w:p>
          <w:p w14:paraId="618BABA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2）必须满足卫生部及各级卫生管理机构下发的《病历书写规范》及相关实施细则。</w:t>
            </w:r>
          </w:p>
          <w:p w14:paraId="2556D91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3）必须建立满足卫生部颁发的《电子病历基本架构与数据标准》的完整数据元素库。</w:t>
            </w:r>
          </w:p>
          <w:p w14:paraId="7FA0850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4）电子病历系统建立必须符合业界的统一标准，遵循HL7 RIM CDA, HL7数据交换、ICD-9、ICD-10、SNOMED、IHE等规范和标准，以及与信息相关的国家标准和规范，特别是软件工程方面的标准和规范。</w:t>
            </w:r>
          </w:p>
          <w:p w14:paraId="2648F2F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5）电子病历系统需建有严格的安全保障机制，对电子病历的修改、查阅、输出、交流等权责进行划分，授权用户才能够对病历内容进行操作。系统需提供自动记录完整的操作日志。</w:t>
            </w:r>
          </w:p>
          <w:p w14:paraId="05C47FE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6）能实现住院和门诊病历信息的有机整合和共享，医疗和护理数据的充分共享。</w:t>
            </w:r>
          </w:p>
          <w:p w14:paraId="2763360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7）能够满足各种专科病历的要求（如产科、新生儿病历）。</w:t>
            </w:r>
          </w:p>
          <w:p w14:paraId="0769100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2．住院医生电子病历</w:t>
            </w:r>
          </w:p>
          <w:p w14:paraId="7BC82BD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系统必须按照卫生部医疗文书书写规范的要求，提供完整及规范的电子病历系统，覆盖本院各种医学文档的内容。协助医务人员完成病人住院期间所有的病情变化、诊断信息、检验检查结构、治疗方案等临床信息记录工作，主要病历内容包括：患者首次病程记录（病史概要、诊断依据、治疗计划）；入院记录（主诉、现病史、既往史、个人史、家族史、体格检查、辅助检查）；病程记录（普通病程记录、上级医师查房记录、术后病程记录、诊疗操作记录等）；手术相关记录；会诊记录；转科记录；出院记录；死亡记录；病案首页等。</w:t>
            </w:r>
          </w:p>
          <w:p w14:paraId="1AD472F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2）能根据临床要求，灵活地选择各类病人范围进行病历操作，并提供列表和床头卡的病人选择方式。</w:t>
            </w:r>
          </w:p>
          <w:p w14:paraId="6716CF2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3）提供多种方式的结构化病历书写模式，支持知识库、医学术语等内容自定义动态插入病历文书中，提高医生的编写效率和质量。</w:t>
            </w:r>
          </w:p>
          <w:p w14:paraId="51C5EA8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*4）提供全院各专科病历的支持和识别，可以根据性别、年龄段等要求来规范病历的输入内容，支持对男性和女性病历的自动筛选。（需提供产品功能截图证明，加盖生产厂商公章）</w:t>
            </w:r>
          </w:p>
          <w:p w14:paraId="5982A2A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5）屏蔽不同病人病历复制，但允许同一患者资料的内部复制。</w:t>
            </w:r>
          </w:p>
          <w:p w14:paraId="13DF0C4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6）有严格的病历编辑的权限控制，上级医师能够修改下级医师书写的病历，同级医师不能互相修改，历次修改都需要留痕，并可查看修改痕迹。</w:t>
            </w:r>
          </w:p>
          <w:p w14:paraId="0B0BCAD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7）提供病历模板配置工具，允许医院统一或各科室自己维护各种结构化病历模板；支持将现有病历内容保存为病历模板功能。</w:t>
            </w:r>
          </w:p>
          <w:p w14:paraId="496AF63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8）病案首页：病案首页内容须根据病历内容自动完成，同时提供手工录入模式。</w:t>
            </w:r>
          </w:p>
          <w:p w14:paraId="7FB0E85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9）病历输入时能够任意插入文字、图片、表格等内容，对图片可以进行编辑，提供医疗文书书写过程中常用的特殊符号集如：℃，℉，‰，㎡，mol等（不允许医生自行创建），提供上、下标功能：支持对文字的上下标功能。</w:t>
            </w:r>
          </w:p>
          <w:p w14:paraId="5DE7319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10）结构化书写与自由语言描述在同一界面下完成。</w:t>
            </w:r>
          </w:p>
          <w:p w14:paraId="3943FA2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11）诊断名称支持西医ICD-10标准和中医诊断《中医病症分类与代码》国家标准，同时能够满足临床描述的准确性要求，并支持自定义扩展诊断编码。</w:t>
            </w:r>
          </w:p>
          <w:p w14:paraId="3DF955C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12）实现临床数据的“一处输入，全程共享”，能够采用自动导入和选择导入相结合的方式，实现各病历项间数据的充分衔接。</w:t>
            </w:r>
          </w:p>
          <w:p w14:paraId="41D49D4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13）支持病历的整体打印、选页打印和续打等功能，同时能支持病人转科转床等各种实际情况，实现病历数据的不失真。（需提供产品功能截图证明，加盖生产厂商公章）</w:t>
            </w:r>
          </w:p>
          <w:p w14:paraId="4FCD091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14）能够实现与HIS、LIS、RIS/PACS之间的数据整合，检查完成后可以实时查看检查报告内容（包括图片形式的报告内容）。</w:t>
            </w:r>
          </w:p>
          <w:p w14:paraId="66A3AEB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15）提供完整的会诊申请、提示及会诊记录功能，提供配套的权限授权及收回处理及工作量统计。</w:t>
            </w:r>
          </w:p>
          <w:p w14:paraId="503F274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16）提供病历质量的自动提醒、医生自查功能，便于医生及时发现病历缺陷并予以修改。</w:t>
            </w:r>
          </w:p>
          <w:p w14:paraId="2C0770C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3．门诊电子病历</w:t>
            </w:r>
          </w:p>
          <w:p w14:paraId="70DD470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1）能根据临床要求，灵活地选择各类病人范围进行病历操作，并提供列表的病人选择方式。</w:t>
            </w:r>
          </w:p>
          <w:p w14:paraId="53AEE6D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2）提供多种方式的结构化病历书写模式，支持知识库、医学术语等内容自定义动态插入病历文书中，提高医生的编写效率和质量。</w:t>
            </w:r>
          </w:p>
          <w:p w14:paraId="4CAA58A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3）提供全院各专科病历的支持和识别，可以根据性别、年龄段等要求来规范病历的输入内容，支持对男性和女性病历的自动筛选。</w:t>
            </w:r>
          </w:p>
          <w:p w14:paraId="6573998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4）有严格的病历编辑的权限控制，同级医师不能互相修改，历次修改都需要留痕，并可查看修改痕迹。</w:t>
            </w:r>
          </w:p>
          <w:p w14:paraId="1177A83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5）具有分科室安全控制机制和访问日志查看。</w:t>
            </w:r>
          </w:p>
          <w:p w14:paraId="13F9BD4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6）提供病历模板配置工具，允许医院统一或各科室自己维护各种结构化病历模板；支持将现有病历内容保存为病历模板功能。</w:t>
            </w:r>
          </w:p>
          <w:p w14:paraId="0FAA8DF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7）病历输入时能够任意插入文字、图片、表格等内容，对图片可以进行编辑，提供医疗文书书写过程中常用的特殊符号集如：℃，℉，‰，㎡，mol等（不允许医生自行创建），提供上、下标功能：支持对文字的上下标功能。</w:t>
            </w:r>
          </w:p>
          <w:p w14:paraId="19DDB63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8）结构化书写与自由语言描述在同一界面下完成。</w:t>
            </w:r>
          </w:p>
          <w:p w14:paraId="2A0CE2F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9）支持妇产科以及各种专科疾病的特殊病历输入和输出要求。</w:t>
            </w:r>
          </w:p>
          <w:p w14:paraId="1D72084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10）诊断名称支持西医ICD-10标准和中医诊断《中医病症分类与代码》国家标准，同时能够满足临床描述的准确性要求，并支持自定义扩展诊断编码。</w:t>
            </w:r>
          </w:p>
          <w:p w14:paraId="74ABDCB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11）实现临床数据的“一处输入，全程共享”，能够采用自动导入和选择导入相结合的方式，实现各病历项间数据的充分衔接。</w:t>
            </w:r>
          </w:p>
          <w:p w14:paraId="7DB4CEF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12）门诊电子病历系统必须实现提取病历之中的主诉、现病史、既往史、过敏史、体格检查、辅助检查、诊疗计划等病历段落等信息并进行展示。</w:t>
            </w:r>
          </w:p>
          <w:p w14:paraId="36E1979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13）支持病历的整体打印、选页打印和续打等功能操作。</w:t>
            </w:r>
          </w:p>
          <w:p w14:paraId="13A8AA1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14）能够实现与HIS、LIS、RIS/PACS之间的数据整合，检查完成后可以实时查看检查报告内容，同时支持病历书写时插入检验检查结果功能。</w:t>
            </w:r>
          </w:p>
          <w:p w14:paraId="194C6EA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15）可以实现与院感、传染病等相关信息的提醒功能。</w:t>
            </w:r>
          </w:p>
          <w:p w14:paraId="64D1CB6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16）提供病历质量的自动提醒、医生自查功能，便于医生及时发现病历缺陷并予以修改</w:t>
            </w:r>
          </w:p>
        </w:tc>
        <w:tc>
          <w:tcPr>
            <w:tcW w:w="775" w:type="dxa"/>
            <w:vAlign w:val="center"/>
          </w:tcPr>
          <w:p w14:paraId="5ABE2464">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57B1EC5B">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2DBA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30592EB">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19</w:t>
            </w:r>
          </w:p>
        </w:tc>
        <w:tc>
          <w:tcPr>
            <w:tcW w:w="759" w:type="dxa"/>
            <w:vAlign w:val="center"/>
          </w:tcPr>
          <w:p w14:paraId="218ADC1A">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护士电子病历</w:t>
            </w:r>
          </w:p>
        </w:tc>
        <w:tc>
          <w:tcPr>
            <w:tcW w:w="7563" w:type="dxa"/>
            <w:vAlign w:val="center"/>
          </w:tcPr>
          <w:p w14:paraId="1379854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1．系统必须按照卫生部医疗文书书写规范的要求，提供完整及规范的护理电子病历系统的应用。</w:t>
            </w:r>
          </w:p>
          <w:p w14:paraId="2695814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2．主要护理病历包括入院护理评估单、体温单（三测单．、一般护理记录单、特殊护理记录单、科室专病使用的护理记录单等。</w:t>
            </w:r>
          </w:p>
          <w:p w14:paraId="4E7B384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3．查阅：能够在电子病历护士工作站界面中查阅病人的住院医生书写的病史资料。</w:t>
            </w:r>
          </w:p>
          <w:p w14:paraId="030C2F8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4．护理信息：填写入院护理评估单、护理记录单、护理计划单、重危病人的监护和特护记录单等护理病历内容。提供模板录入的功能。</w:t>
            </w:r>
          </w:p>
          <w:p w14:paraId="09CC05D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5．支持上述医疗文书的打印和连续打印。</w:t>
            </w:r>
          </w:p>
          <w:p w14:paraId="689A1F4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6．提供个性化模板制作、保存、调用功能。</w:t>
            </w:r>
          </w:p>
          <w:p w14:paraId="6A87E54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7．体温单：单人描绘或者批量填写住院病人的体温单，并能够打印存档。</w:t>
            </w:r>
          </w:p>
          <w:p w14:paraId="11CA6C9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8．支持产程图的刻画与录入。</w:t>
            </w:r>
          </w:p>
          <w:p w14:paraId="08B664A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9．提供多种方式的病历书写模式，提高护士的编写效率和质量。</w:t>
            </w:r>
          </w:p>
          <w:p w14:paraId="2F24537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10．提供体温单输入功能，并能够自动将输入的体温数据转换成符合医院要求的曲线输出，支持上下注释、降温后体温、疼痛和干预疼痛等特殊内容的显示输出。</w:t>
            </w:r>
          </w:p>
          <w:p w14:paraId="76F2AE5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11．提供各种入院评估单、一般护理记录单等单据的输入功能。</w:t>
            </w:r>
          </w:p>
          <w:p w14:paraId="0487C4C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12．提供各种动态观察表和量表的功能支持。</w:t>
            </w:r>
          </w:p>
          <w:p w14:paraId="2F5DB2E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13．提供护理病历辅助录入功能，方便护士书写病历。</w:t>
            </w:r>
          </w:p>
          <w:p w14:paraId="6DEF564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14．支持护士站的无线应用，系统预留未来扩展接口。</w:t>
            </w:r>
          </w:p>
          <w:p w14:paraId="7EB335A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15．提供护理工作常规知识库。</w:t>
            </w:r>
          </w:p>
          <w:p w14:paraId="654A353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16．采用医护一体化界面设计，实现病人医疗、护理、检验、检查数据的直观查阅，并可方便地将这些病历内容加入到护理病历编辑页面。</w:t>
            </w:r>
          </w:p>
        </w:tc>
        <w:tc>
          <w:tcPr>
            <w:tcW w:w="775" w:type="dxa"/>
            <w:vAlign w:val="center"/>
          </w:tcPr>
          <w:p w14:paraId="268DD6E3">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1CAAB92E">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6CB2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DADD255">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20</w:t>
            </w:r>
          </w:p>
        </w:tc>
        <w:tc>
          <w:tcPr>
            <w:tcW w:w="759" w:type="dxa"/>
            <w:vAlign w:val="center"/>
          </w:tcPr>
          <w:p w14:paraId="3B80DE5D">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病历</w:t>
            </w:r>
            <w:r>
              <w:rPr>
                <w:rFonts w:hint="eastAsia" w:ascii="宋体" w:hAnsi="宋体" w:cs="宋体"/>
                <w:b/>
                <w:bCs/>
                <w:color w:val="333333"/>
                <w:kern w:val="0"/>
                <w:sz w:val="20"/>
                <w:szCs w:val="20"/>
                <w:highlight w:val="none"/>
                <w:shd w:val="clear" w:color="auto" w:fill="FFFFFF"/>
                <w:vertAlign w:val="baseline"/>
                <w:lang w:val="en-US" w:eastAsia="zh-CN" w:bidi="ar"/>
              </w:rPr>
              <w:t>智能化书写</w:t>
            </w:r>
          </w:p>
        </w:tc>
        <w:tc>
          <w:tcPr>
            <w:tcW w:w="7563" w:type="dxa"/>
            <w:vAlign w:val="center"/>
          </w:tcPr>
          <w:p w14:paraId="430C6FC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r>
              <w:rPr>
                <w:rFonts w:hint="eastAsia" w:ascii="宋体" w:hAnsi="宋体" w:eastAsia="宋体" w:cs="宋体"/>
                <w:color w:val="333333"/>
                <w:kern w:val="0"/>
                <w:sz w:val="20"/>
                <w:szCs w:val="20"/>
                <w:highlight w:val="none"/>
                <w:shd w:val="clear" w:color="auto" w:fill="FFFFFF"/>
                <w:vertAlign w:val="baseline"/>
                <w:lang w:val="en-US" w:eastAsia="zh-CN" w:bidi="ar"/>
              </w:rPr>
              <w:t>．系统</w:t>
            </w:r>
            <w:r>
              <w:rPr>
                <w:rFonts w:hint="eastAsia" w:ascii="宋体" w:hAnsi="宋体" w:cs="宋体"/>
                <w:color w:val="333333"/>
                <w:kern w:val="0"/>
                <w:sz w:val="20"/>
                <w:szCs w:val="20"/>
                <w:highlight w:val="none"/>
                <w:shd w:val="clear" w:color="auto" w:fill="FFFFFF"/>
                <w:vertAlign w:val="baseline"/>
                <w:lang w:val="en-US" w:eastAsia="zh-CN" w:bidi="ar"/>
              </w:rPr>
              <w:t>需能</w:t>
            </w:r>
            <w:r>
              <w:rPr>
                <w:rFonts w:hint="eastAsia" w:ascii="宋体" w:hAnsi="宋体" w:eastAsia="宋体" w:cs="宋体"/>
                <w:color w:val="333333"/>
                <w:kern w:val="0"/>
                <w:sz w:val="20"/>
                <w:szCs w:val="20"/>
                <w:highlight w:val="none"/>
                <w:shd w:val="clear" w:color="auto" w:fill="FFFFFF"/>
                <w:vertAlign w:val="baseline"/>
                <w:lang w:val="en-US" w:eastAsia="zh-CN" w:bidi="ar"/>
              </w:rPr>
              <w:t>提供基于病历内容上下文的联想功能</w:t>
            </w:r>
            <w:r>
              <w:rPr>
                <w:rFonts w:hint="eastAsia" w:ascii="宋体" w:hAnsi="宋体" w:cs="宋体"/>
                <w:color w:val="333333"/>
                <w:kern w:val="0"/>
                <w:sz w:val="20"/>
                <w:szCs w:val="20"/>
                <w:highlight w:val="none"/>
                <w:shd w:val="clear" w:color="auto" w:fill="FFFFFF"/>
                <w:vertAlign w:val="baseline"/>
                <w:lang w:val="en-US" w:eastAsia="zh-CN" w:bidi="ar"/>
              </w:rPr>
              <w:t>，根据当前输入内容推荐医疗相关词汇。</w:t>
            </w:r>
            <w:r>
              <w:rPr>
                <w:rFonts w:hint="eastAsia" w:ascii="宋体" w:hAnsi="宋体" w:eastAsia="宋体" w:cs="宋体"/>
                <w:color w:val="333333"/>
                <w:kern w:val="0"/>
                <w:sz w:val="20"/>
                <w:szCs w:val="20"/>
                <w:highlight w:val="none"/>
                <w:shd w:val="clear" w:color="auto" w:fill="FFFFFF"/>
                <w:vertAlign w:val="baseline"/>
                <w:lang w:val="en-US" w:eastAsia="zh-CN" w:bidi="ar"/>
              </w:rPr>
              <w:t>（需提供产品功能截图证明，加盖生产厂商公章）</w:t>
            </w:r>
          </w:p>
          <w:p w14:paraId="1FFF68E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*2</w:t>
            </w:r>
            <w:r>
              <w:rPr>
                <w:rFonts w:hint="eastAsia" w:ascii="宋体" w:hAnsi="宋体" w:eastAsia="宋体" w:cs="宋体"/>
                <w:color w:val="333333"/>
                <w:kern w:val="0"/>
                <w:sz w:val="20"/>
                <w:szCs w:val="20"/>
                <w:highlight w:val="none"/>
                <w:shd w:val="clear" w:color="auto" w:fill="FFFFFF"/>
                <w:vertAlign w:val="baseline"/>
                <w:lang w:val="en-US" w:eastAsia="zh-CN" w:bidi="ar"/>
              </w:rPr>
              <w:t>．系统需能提供基于病历内容上下文的短句内和短句间的自动输入提示。（需提供产品功能截图证明，加盖生产厂商公章）</w:t>
            </w:r>
          </w:p>
          <w:p w14:paraId="46E838E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w:t>
            </w:r>
            <w:r>
              <w:rPr>
                <w:rFonts w:hint="eastAsia" w:ascii="宋体" w:hAnsi="宋体" w:eastAsia="宋体" w:cs="宋体"/>
                <w:color w:val="333333"/>
                <w:kern w:val="0"/>
                <w:sz w:val="20"/>
                <w:szCs w:val="20"/>
                <w:highlight w:val="none"/>
                <w:shd w:val="clear" w:color="auto" w:fill="FFFFFF"/>
                <w:vertAlign w:val="baseline"/>
                <w:lang w:val="en-US" w:eastAsia="zh-CN" w:bidi="ar"/>
              </w:rPr>
              <w:t>．系统需能针对书写内容</w:t>
            </w:r>
            <w:r>
              <w:rPr>
                <w:rFonts w:hint="eastAsia" w:ascii="宋体" w:hAnsi="宋体" w:cs="宋体"/>
                <w:color w:val="333333"/>
                <w:kern w:val="0"/>
                <w:sz w:val="20"/>
                <w:szCs w:val="20"/>
                <w:highlight w:val="none"/>
                <w:shd w:val="clear" w:color="auto" w:fill="FFFFFF"/>
                <w:vertAlign w:val="baseline"/>
                <w:lang w:val="en-US" w:eastAsia="zh-CN" w:bidi="ar"/>
              </w:rPr>
              <w:t>进行</w:t>
            </w:r>
            <w:r>
              <w:rPr>
                <w:rFonts w:hint="eastAsia" w:ascii="宋体" w:hAnsi="宋体" w:eastAsia="宋体" w:cs="宋体"/>
                <w:color w:val="333333"/>
                <w:kern w:val="0"/>
                <w:sz w:val="20"/>
                <w:szCs w:val="20"/>
                <w:highlight w:val="none"/>
                <w:shd w:val="clear" w:color="auto" w:fill="FFFFFF"/>
                <w:vertAlign w:val="baseline"/>
                <w:lang w:val="en-US" w:eastAsia="zh-CN" w:bidi="ar"/>
              </w:rPr>
              <w:t>结构化</w:t>
            </w:r>
            <w:r>
              <w:rPr>
                <w:rFonts w:hint="eastAsia" w:ascii="宋体" w:hAnsi="宋体" w:cs="宋体"/>
                <w:color w:val="333333"/>
                <w:kern w:val="0"/>
                <w:sz w:val="20"/>
                <w:szCs w:val="20"/>
                <w:highlight w:val="none"/>
                <w:shd w:val="clear" w:color="auto" w:fill="FFFFFF"/>
                <w:vertAlign w:val="baseline"/>
                <w:lang w:val="en-US" w:eastAsia="zh-CN" w:bidi="ar"/>
              </w:rPr>
              <w:t>的</w:t>
            </w:r>
            <w:r>
              <w:rPr>
                <w:rFonts w:hint="eastAsia" w:ascii="宋体" w:hAnsi="宋体" w:eastAsia="宋体" w:cs="宋体"/>
                <w:color w:val="333333"/>
                <w:kern w:val="0"/>
                <w:sz w:val="20"/>
                <w:szCs w:val="20"/>
                <w:highlight w:val="none"/>
                <w:shd w:val="clear" w:color="auto" w:fill="FFFFFF"/>
                <w:vertAlign w:val="baseline"/>
                <w:lang w:val="en-US" w:eastAsia="zh-CN" w:bidi="ar"/>
              </w:rPr>
              <w:t>替换功能。（需提供产品功能截图证明，加盖生产厂商公章）</w:t>
            </w:r>
          </w:p>
        </w:tc>
        <w:tc>
          <w:tcPr>
            <w:tcW w:w="775" w:type="dxa"/>
            <w:vAlign w:val="center"/>
          </w:tcPr>
          <w:p w14:paraId="07329106">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65A6B66D">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6CCC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68C4CA6">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21</w:t>
            </w:r>
          </w:p>
        </w:tc>
        <w:tc>
          <w:tcPr>
            <w:tcW w:w="759" w:type="dxa"/>
            <w:vAlign w:val="center"/>
          </w:tcPr>
          <w:p w14:paraId="4CA64CC9">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临床检验信息管理</w:t>
            </w:r>
          </w:p>
        </w:tc>
        <w:tc>
          <w:tcPr>
            <w:tcW w:w="7563" w:type="dxa"/>
            <w:vAlign w:val="center"/>
          </w:tcPr>
          <w:p w14:paraId="2876091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临床检验信息管理实现从样本采集、检测分析到报告发布的智能化闭环管理，确保检验数据准确性、可追溯性及高效协同。包含检验申请、标本检验、审核发布、报告打印、统计查询、质控管理、权限管理、设备管理、条码管理等功能，实现了从检验申请到报告发布的全程自动化、信息化管理，极大地提高了检验工作的效率和准确性。</w:t>
            </w:r>
          </w:p>
        </w:tc>
        <w:tc>
          <w:tcPr>
            <w:tcW w:w="775" w:type="dxa"/>
            <w:vAlign w:val="center"/>
          </w:tcPr>
          <w:p w14:paraId="783D9181">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23286FCF">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72F2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5CD7B1A">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22</w:t>
            </w:r>
          </w:p>
        </w:tc>
        <w:tc>
          <w:tcPr>
            <w:tcW w:w="759" w:type="dxa"/>
            <w:vAlign w:val="center"/>
          </w:tcPr>
          <w:p w14:paraId="5BACD9B6">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PACS系统</w:t>
            </w:r>
          </w:p>
        </w:tc>
        <w:tc>
          <w:tcPr>
            <w:tcW w:w="7563" w:type="dxa"/>
            <w:vAlign w:val="center"/>
          </w:tcPr>
          <w:p w14:paraId="368C24B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PACS系统是医学影像全生命周期管理的核心平台，实现影像采集、存储、调阅、诊断及共享的数字化流程，支持多模态影像（CT、MRI、超声等）的高效处理与协同应用，助力精准医疗与远程诊疗。提供检查申请、检查结果查询、系统登录模块、基础维护模块、放射、超声登记模块、模版管理、统计模块、图像采集模块、图像调阅模块、胶片打印等功能，提供长期历史影像数据的访问服务。</w:t>
            </w:r>
          </w:p>
        </w:tc>
        <w:tc>
          <w:tcPr>
            <w:tcW w:w="775" w:type="dxa"/>
            <w:vAlign w:val="center"/>
          </w:tcPr>
          <w:p w14:paraId="1F17DF06">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1BB61BCF">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2816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8AAA063">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23</w:t>
            </w:r>
          </w:p>
        </w:tc>
        <w:tc>
          <w:tcPr>
            <w:tcW w:w="759" w:type="dxa"/>
            <w:vAlign w:val="center"/>
          </w:tcPr>
          <w:p w14:paraId="50B68E9A">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掌上智慧医院</w:t>
            </w:r>
          </w:p>
        </w:tc>
        <w:tc>
          <w:tcPr>
            <w:tcW w:w="7563" w:type="dxa"/>
            <w:vAlign w:val="center"/>
          </w:tcPr>
          <w:p w14:paraId="428B0B3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基于微信小程序的掌上医院系统，存在无需下载、安装、注册APP的特点，轻量化的应用终端能增加患者的接受度，一键注册的特点免去填写资料的复杂过程，只需用微信扫一扫即可使用。面向广大患者群体提供的互联网+医疗便民、惠民功能，可供患者在移动互联网（手机）上通过微信小程序(小程序)平台进行预约挂号，诊间缴费，查询等，实现就诊和相关信息查询功能的软件系统。</w:t>
            </w:r>
          </w:p>
        </w:tc>
        <w:tc>
          <w:tcPr>
            <w:tcW w:w="775" w:type="dxa"/>
            <w:vAlign w:val="center"/>
          </w:tcPr>
          <w:p w14:paraId="0F6C0542">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33F66033">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0872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A37AC49">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24</w:t>
            </w:r>
          </w:p>
        </w:tc>
        <w:tc>
          <w:tcPr>
            <w:tcW w:w="759" w:type="dxa"/>
            <w:vAlign w:val="center"/>
          </w:tcPr>
          <w:p w14:paraId="4E1A2C35">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诊间支付管理</w:t>
            </w:r>
          </w:p>
        </w:tc>
        <w:tc>
          <w:tcPr>
            <w:tcW w:w="7563" w:type="dxa"/>
            <w:vAlign w:val="center"/>
          </w:tcPr>
          <w:p w14:paraId="02DBB2D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诊间支付管理系统面向医疗场景的智能化支付管理平台，整合多渠道支付与财务对账功能，优化患者诊间结算流程。该系统集成了支付账号管理、支付设置管理、支付日志和交易记录等多个功能模块，实现了支付流程的全面数字化和自动化。</w:t>
            </w:r>
          </w:p>
        </w:tc>
        <w:tc>
          <w:tcPr>
            <w:tcW w:w="775" w:type="dxa"/>
            <w:vAlign w:val="center"/>
          </w:tcPr>
          <w:p w14:paraId="1C1C83CC">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5F51A270">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75A5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0FCE0B7">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25</w:t>
            </w:r>
          </w:p>
        </w:tc>
        <w:tc>
          <w:tcPr>
            <w:tcW w:w="759" w:type="dxa"/>
            <w:vAlign w:val="center"/>
          </w:tcPr>
          <w:p w14:paraId="239A690D">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统一对账平台</w:t>
            </w:r>
          </w:p>
        </w:tc>
        <w:tc>
          <w:tcPr>
            <w:tcW w:w="7563" w:type="dxa"/>
            <w:vAlign w:val="center"/>
          </w:tcPr>
          <w:p w14:paraId="05ACD93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统一对账平台是医疗机构用于处理与支付机构、银行之间账务核对和结算的核心系统。该系统通过集成对账总览、单边账管理、账单导入管理、账单查询和单边账经办等多个功能模块，实现了账务核对和结算的自动化、高效化。</w:t>
            </w:r>
          </w:p>
        </w:tc>
        <w:tc>
          <w:tcPr>
            <w:tcW w:w="775" w:type="dxa"/>
            <w:vAlign w:val="center"/>
          </w:tcPr>
          <w:p w14:paraId="6BA74839">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2176BC43">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5D47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A468185">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26</w:t>
            </w:r>
          </w:p>
        </w:tc>
        <w:tc>
          <w:tcPr>
            <w:tcW w:w="759" w:type="dxa"/>
            <w:vAlign w:val="center"/>
          </w:tcPr>
          <w:p w14:paraId="431B00C9">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BI领导驾驶舱</w:t>
            </w:r>
          </w:p>
        </w:tc>
        <w:tc>
          <w:tcPr>
            <w:tcW w:w="7563" w:type="dxa"/>
            <w:vAlign w:val="center"/>
          </w:tcPr>
          <w:p w14:paraId="72A3308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主要集成门诊、医务、护理、质控等管理模块，通过自设的指标体系，采用各种常见的图表，实时监测医院的运营情况，并可以对异常关键指标进行统计和挖掘分析。提供决策支持等功能，帮助医院管理者更好地了解医院运营情况、优化资源配置、提升管理效率和决策科学性。</w:t>
            </w:r>
          </w:p>
        </w:tc>
        <w:tc>
          <w:tcPr>
            <w:tcW w:w="775" w:type="dxa"/>
            <w:vAlign w:val="center"/>
          </w:tcPr>
          <w:p w14:paraId="218A9FCB">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3A872F73">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2D24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522D1ED">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27</w:t>
            </w:r>
          </w:p>
        </w:tc>
        <w:tc>
          <w:tcPr>
            <w:tcW w:w="759" w:type="dxa"/>
            <w:vAlign w:val="center"/>
          </w:tcPr>
          <w:p w14:paraId="01326D6B">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数据处理服务</w:t>
            </w:r>
          </w:p>
        </w:tc>
        <w:tc>
          <w:tcPr>
            <w:tcW w:w="7563" w:type="dxa"/>
            <w:vAlign w:val="center"/>
          </w:tcPr>
          <w:p w14:paraId="4E26D6F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国产知名品牌设备</w:t>
            </w:r>
          </w:p>
          <w:p w14:paraId="338262F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1.CPU：</w:t>
            </w:r>
            <w:r>
              <w:rPr>
                <w:rFonts w:hint="eastAsia" w:ascii="宋体" w:hAnsi="宋体" w:cs="宋体"/>
                <w:color w:val="333333"/>
                <w:kern w:val="0"/>
                <w:sz w:val="20"/>
                <w:szCs w:val="20"/>
                <w:highlight w:val="none"/>
                <w:shd w:val="clear" w:color="auto" w:fill="FFFFFF"/>
                <w:vertAlign w:val="baseline"/>
                <w:lang w:val="en-US" w:eastAsia="zh-CN" w:bidi="ar"/>
              </w:rPr>
              <w:t>配置性能不低于</w:t>
            </w:r>
            <w:r>
              <w:rPr>
                <w:rFonts w:hint="eastAsia" w:ascii="宋体" w:hAnsi="宋体" w:eastAsia="宋体" w:cs="宋体"/>
                <w:color w:val="333333"/>
                <w:kern w:val="0"/>
                <w:sz w:val="20"/>
                <w:szCs w:val="20"/>
                <w:highlight w:val="none"/>
                <w:shd w:val="clear" w:color="auto" w:fill="FFFFFF"/>
                <w:vertAlign w:val="baseline"/>
                <w:lang w:val="en-US" w:eastAsia="zh-CN" w:bidi="ar"/>
              </w:rPr>
              <w:t xml:space="preserve">2*C5218R（英特尔至强金牌C5218R(2.1GHz/20-Core处理器）；                                   </w:t>
            </w:r>
          </w:p>
          <w:p w14:paraId="5AD11EB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2.内存：</w:t>
            </w:r>
            <w:r>
              <w:rPr>
                <w:rFonts w:hint="eastAsia" w:ascii="宋体" w:hAnsi="宋体" w:cs="宋体"/>
                <w:color w:val="333333"/>
                <w:kern w:val="0"/>
                <w:sz w:val="20"/>
                <w:szCs w:val="20"/>
                <w:highlight w:val="none"/>
                <w:shd w:val="clear" w:color="auto" w:fill="FFFFFF"/>
                <w:vertAlign w:val="baseline"/>
                <w:lang w:val="en-US" w:eastAsia="zh-CN" w:bidi="ar"/>
              </w:rPr>
              <w:t>≥</w:t>
            </w:r>
            <w:r>
              <w:rPr>
                <w:rFonts w:hint="eastAsia" w:ascii="宋体" w:hAnsi="宋体" w:eastAsia="宋体" w:cs="宋体"/>
                <w:color w:val="333333"/>
                <w:kern w:val="0"/>
                <w:sz w:val="20"/>
                <w:szCs w:val="20"/>
                <w:highlight w:val="none"/>
                <w:shd w:val="clear" w:color="auto" w:fill="FFFFFF"/>
                <w:vertAlign w:val="baseline"/>
                <w:lang w:val="en-US" w:eastAsia="zh-CN" w:bidi="ar"/>
              </w:rPr>
              <w:t>4*32G （DDR4 RDIMM-32GB-288pin-0.625ns-3200000KHz-1.2V-ECC-2Rank(2G*8bit） ；</w:t>
            </w:r>
          </w:p>
          <w:p w14:paraId="2A02208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 xml:space="preserve">3.硬盘 </w:t>
            </w:r>
            <w:r>
              <w:rPr>
                <w:rFonts w:hint="eastAsia" w:ascii="宋体" w:hAnsi="宋体" w:cs="宋体"/>
                <w:color w:val="333333"/>
                <w:kern w:val="0"/>
                <w:sz w:val="20"/>
                <w:szCs w:val="20"/>
                <w:highlight w:val="none"/>
                <w:shd w:val="clear" w:color="auto" w:fill="FFFFFF"/>
                <w:vertAlign w:val="baseline"/>
                <w:lang w:val="en-US" w:eastAsia="zh-CN" w:bidi="ar"/>
              </w:rPr>
              <w:t>≥</w:t>
            </w:r>
            <w:r>
              <w:rPr>
                <w:rFonts w:hint="eastAsia" w:ascii="宋体" w:hAnsi="宋体" w:eastAsia="宋体" w:cs="宋体"/>
                <w:color w:val="333333"/>
                <w:kern w:val="0"/>
                <w:sz w:val="20"/>
                <w:szCs w:val="20"/>
                <w:highlight w:val="none"/>
                <w:shd w:val="clear" w:color="auto" w:fill="FFFFFF"/>
                <w:vertAlign w:val="baseline"/>
                <w:lang w:val="en-US" w:eastAsia="zh-CN" w:bidi="ar"/>
              </w:rPr>
              <w:t>3*960GB-SATA 6Gb/s-读取密集型-(3.5英寸托架)/</w:t>
            </w:r>
            <w:r>
              <w:rPr>
                <w:rFonts w:hint="eastAsia" w:ascii="宋体" w:hAnsi="宋体" w:cs="宋体"/>
                <w:color w:val="333333"/>
                <w:kern w:val="0"/>
                <w:sz w:val="20"/>
                <w:szCs w:val="20"/>
                <w:highlight w:val="none"/>
                <w:shd w:val="clear" w:color="auto" w:fill="FFFFFF"/>
                <w:vertAlign w:val="baseline"/>
                <w:lang w:val="en-US" w:eastAsia="zh-CN" w:bidi="ar"/>
              </w:rPr>
              <w:t>≥</w:t>
            </w:r>
            <w:r>
              <w:rPr>
                <w:rFonts w:hint="eastAsia" w:ascii="宋体" w:hAnsi="宋体" w:eastAsia="宋体" w:cs="宋体"/>
                <w:color w:val="333333"/>
                <w:kern w:val="0"/>
                <w:sz w:val="20"/>
                <w:szCs w:val="20"/>
                <w:highlight w:val="none"/>
                <w:shd w:val="clear" w:color="auto" w:fill="FFFFFF"/>
                <w:vertAlign w:val="baseline"/>
                <w:lang w:val="en-US" w:eastAsia="zh-CN" w:bidi="ar"/>
              </w:rPr>
              <w:t>6*2.4T 通用硬盘-2400GB- SAS -10K-3.5英寸(3.5英寸托架)-;</w:t>
            </w:r>
          </w:p>
          <w:p w14:paraId="4B1E150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4.R</w:t>
            </w:r>
            <w:r>
              <w:rPr>
                <w:rFonts w:hint="eastAsia" w:ascii="宋体" w:hAnsi="宋体" w:cs="宋体"/>
                <w:color w:val="333333"/>
                <w:kern w:val="0"/>
                <w:sz w:val="20"/>
                <w:szCs w:val="20"/>
                <w:highlight w:val="none"/>
                <w:shd w:val="clear" w:color="auto" w:fill="FFFFFF"/>
                <w:vertAlign w:val="baseline"/>
                <w:lang w:val="en-US" w:eastAsia="zh-CN" w:bidi="ar"/>
              </w:rPr>
              <w:t>A</w:t>
            </w:r>
            <w:r>
              <w:rPr>
                <w:rFonts w:hint="eastAsia" w:ascii="宋体" w:hAnsi="宋体" w:eastAsia="宋体" w:cs="宋体"/>
                <w:color w:val="333333"/>
                <w:kern w:val="0"/>
                <w:sz w:val="20"/>
                <w:szCs w:val="20"/>
                <w:highlight w:val="none"/>
                <w:shd w:val="clear" w:color="auto" w:fill="FFFFFF"/>
                <w:vertAlign w:val="baseline"/>
                <w:lang w:val="en-US" w:eastAsia="zh-CN" w:bidi="ar"/>
              </w:rPr>
              <w:t>ID卡 SAS/SATA RAID卡-RAID0,1,5,6,10,50,60-12Gb/s-2GB Cache;</w:t>
            </w:r>
          </w:p>
          <w:p w14:paraId="7F2FA32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5.网卡/双口千兆  双口万兆含模块</w:t>
            </w:r>
            <w:r>
              <w:rPr>
                <w:rFonts w:hint="eastAsia" w:ascii="宋体" w:hAnsi="宋体" w:cs="宋体"/>
                <w:color w:val="333333"/>
                <w:kern w:val="0"/>
                <w:sz w:val="20"/>
                <w:szCs w:val="20"/>
                <w:highlight w:val="none"/>
                <w:shd w:val="clear" w:color="auto" w:fill="FFFFFF"/>
                <w:vertAlign w:val="baseline"/>
                <w:lang w:val="en-US" w:eastAsia="zh-CN" w:bidi="ar"/>
              </w:rPr>
              <w:t>；</w:t>
            </w:r>
          </w:p>
          <w:p w14:paraId="71E091F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6.电源/2*900W</w:t>
            </w:r>
            <w:r>
              <w:rPr>
                <w:rFonts w:hint="eastAsia" w:ascii="宋体" w:hAnsi="宋体" w:cs="宋体"/>
                <w:color w:val="333333"/>
                <w:kern w:val="0"/>
                <w:sz w:val="20"/>
                <w:szCs w:val="20"/>
                <w:highlight w:val="none"/>
                <w:shd w:val="clear" w:color="auto" w:fill="FFFFFF"/>
                <w:vertAlign w:val="baseline"/>
                <w:lang w:val="en-US" w:eastAsia="zh-CN" w:bidi="ar"/>
              </w:rPr>
              <w:t>；</w:t>
            </w:r>
          </w:p>
          <w:p w14:paraId="5FEC1C7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7、售后服务：3年原厂服务，7*24小时电话支持。</w:t>
            </w:r>
          </w:p>
        </w:tc>
        <w:tc>
          <w:tcPr>
            <w:tcW w:w="775" w:type="dxa"/>
            <w:vAlign w:val="center"/>
          </w:tcPr>
          <w:p w14:paraId="42819451">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3</w:t>
            </w:r>
          </w:p>
        </w:tc>
        <w:tc>
          <w:tcPr>
            <w:tcW w:w="736" w:type="dxa"/>
            <w:vAlign w:val="center"/>
          </w:tcPr>
          <w:p w14:paraId="29E317CA">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66E5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536026">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2</w:t>
            </w:r>
            <w:r>
              <w:rPr>
                <w:rFonts w:hint="eastAsia" w:ascii="宋体" w:hAnsi="宋体" w:cs="宋体"/>
                <w:b/>
                <w:bCs/>
                <w:color w:val="333333"/>
                <w:kern w:val="0"/>
                <w:sz w:val="20"/>
                <w:szCs w:val="20"/>
                <w:highlight w:val="none"/>
                <w:shd w:val="clear" w:color="auto" w:fill="FFFFFF"/>
                <w:vertAlign w:val="baseline"/>
                <w:lang w:val="en-US" w:eastAsia="zh-CN" w:bidi="ar"/>
              </w:rPr>
              <w:t>8</w:t>
            </w:r>
          </w:p>
        </w:tc>
        <w:tc>
          <w:tcPr>
            <w:tcW w:w="759" w:type="dxa"/>
            <w:vAlign w:val="center"/>
          </w:tcPr>
          <w:p w14:paraId="077AE5D0">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eastAsia="宋体" w:cs="宋体"/>
                <w:b/>
                <w:bCs/>
                <w:color w:val="333333"/>
                <w:kern w:val="0"/>
                <w:sz w:val="20"/>
                <w:szCs w:val="20"/>
                <w:highlight w:val="none"/>
                <w:shd w:val="clear" w:color="auto" w:fill="FFFFFF"/>
                <w:vertAlign w:val="baseline"/>
                <w:lang w:val="en-US" w:eastAsia="zh-CN" w:bidi="ar"/>
              </w:rPr>
              <w:t>计算虚拟化软件</w:t>
            </w:r>
          </w:p>
        </w:tc>
        <w:tc>
          <w:tcPr>
            <w:tcW w:w="7563" w:type="dxa"/>
            <w:vAlign w:val="center"/>
          </w:tcPr>
          <w:p w14:paraId="16B3EA4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1、支持在同一个管理界面中监控和管理计算、存储、网络等。</w:t>
            </w:r>
          </w:p>
          <w:p w14:paraId="4E2E4CA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2、管理节点采用主备方式或每个节点都自带管理软件，确保平台的可用性，单节点故障不影响业务。</w:t>
            </w:r>
          </w:p>
          <w:p w14:paraId="3921EE9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3、支持管理节点的管理数据定期自动备份到远端FTP服务，以便出现重大事故导致管理数据丢失时，可以利用备份的数据进行恢复。</w:t>
            </w:r>
          </w:p>
          <w:p w14:paraId="401EC1D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4、虚拟交换机级别的用户态交换技术(OVS+DPDK），支持高性能网络转发，提高数据处理性能和吞吐量，提高数据平面应用程序的工作效率。</w:t>
            </w:r>
          </w:p>
          <w:p w14:paraId="586532A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5、支持手工/自动虚拟机HA功能，把虚拟机从故障的服务器上迁移至正常的服务器。</w:t>
            </w:r>
          </w:p>
          <w:p w14:paraId="46B3665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6、支持通过文件夹对虚拟机进行分组，不同类型的虚拟机实现逻辑分组管理，方便运维，文件夹深度最多可以支持5层，并可以对分组虚拟机批量进行关闭、启动、克隆等操作。</w:t>
            </w:r>
          </w:p>
          <w:p w14:paraId="47E09B0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7、支持虚拟机热迁移功能，可以在不停机的状态下，手工或自动地实现VM在集群之内的不同物理机之间迁移，保障业务连续性。</w:t>
            </w:r>
          </w:p>
          <w:p w14:paraId="15AFE31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8、支持虚拟机资源调整，根据实际需要修改虚拟机的属性，包括vCPU个数、内存大小、硬盘数量和网卡个数等。</w:t>
            </w:r>
          </w:p>
        </w:tc>
        <w:tc>
          <w:tcPr>
            <w:tcW w:w="775" w:type="dxa"/>
            <w:vAlign w:val="center"/>
          </w:tcPr>
          <w:p w14:paraId="7D0DE755">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139CF9A8">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5326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2BF47F5">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29</w:t>
            </w:r>
          </w:p>
        </w:tc>
        <w:tc>
          <w:tcPr>
            <w:tcW w:w="759" w:type="dxa"/>
            <w:vAlign w:val="center"/>
          </w:tcPr>
          <w:p w14:paraId="6A786BC2">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网络交换服务</w:t>
            </w:r>
          </w:p>
        </w:tc>
        <w:tc>
          <w:tcPr>
            <w:tcW w:w="7563" w:type="dxa"/>
            <w:vAlign w:val="center"/>
          </w:tcPr>
          <w:p w14:paraId="3290609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1.性能：整机交换容量 ≥672Gbps；转发性能 ≥166Mpps 端口：≥24个千兆SFP口，≥4个万兆SFP+口</w:t>
            </w:r>
          </w:p>
          <w:p w14:paraId="5F267AB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2.实现CPU保护功能，能限制非法报文对CPU的攻击，保护交换机在各种环境下稳定工作；</w:t>
            </w:r>
          </w:p>
          <w:p w14:paraId="0BC4F81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支持横向虚拟化≥9台设备，支持单点管理功能，可以通过任意一台设备的Console口对整个堆叠进行管理；符合IEEE 802.3az（EEE）节能标准、支持端口休眠，关闭没有应用的端口</w:t>
            </w:r>
          </w:p>
          <w:p w14:paraId="467172B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3、提供产品进网检测报告、进网许可证</w:t>
            </w:r>
          </w:p>
        </w:tc>
        <w:tc>
          <w:tcPr>
            <w:tcW w:w="775" w:type="dxa"/>
            <w:vAlign w:val="center"/>
          </w:tcPr>
          <w:p w14:paraId="7EF16E59">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33831F0B">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r w14:paraId="2960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B41DBD7">
            <w:pPr>
              <w:spacing w:line="360" w:lineRule="auto"/>
              <w:jc w:val="center"/>
              <w:rPr>
                <w:rFonts w:hint="default"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30</w:t>
            </w:r>
          </w:p>
        </w:tc>
        <w:tc>
          <w:tcPr>
            <w:tcW w:w="759" w:type="dxa"/>
            <w:vAlign w:val="center"/>
          </w:tcPr>
          <w:p w14:paraId="434D4C75">
            <w:pPr>
              <w:spacing w:line="360" w:lineRule="auto"/>
              <w:jc w:val="center"/>
              <w:rPr>
                <w:rFonts w:hint="eastAsia" w:ascii="宋体" w:hAnsi="宋体" w:eastAsia="宋体" w:cs="宋体"/>
                <w:b/>
                <w:bCs/>
                <w:color w:val="333333"/>
                <w:kern w:val="0"/>
                <w:sz w:val="20"/>
                <w:szCs w:val="20"/>
                <w:highlight w:val="none"/>
                <w:shd w:val="clear" w:color="auto" w:fill="FFFFFF"/>
                <w:vertAlign w:val="baseline"/>
                <w:lang w:val="en-US" w:eastAsia="zh-CN" w:bidi="ar"/>
              </w:rPr>
            </w:pPr>
            <w:r>
              <w:rPr>
                <w:rFonts w:hint="eastAsia" w:ascii="宋体" w:hAnsi="宋体" w:cs="宋体"/>
                <w:b/>
                <w:bCs/>
                <w:color w:val="333333"/>
                <w:kern w:val="0"/>
                <w:sz w:val="20"/>
                <w:szCs w:val="20"/>
                <w:highlight w:val="none"/>
                <w:shd w:val="clear" w:color="auto" w:fill="FFFFFF"/>
                <w:vertAlign w:val="baseline"/>
                <w:lang w:val="en-US" w:eastAsia="zh-CN" w:bidi="ar"/>
              </w:rPr>
              <w:t>配套服务</w:t>
            </w:r>
          </w:p>
        </w:tc>
        <w:tc>
          <w:tcPr>
            <w:tcW w:w="7563" w:type="dxa"/>
            <w:vAlign w:val="center"/>
          </w:tcPr>
          <w:p w14:paraId="60CB8F6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静载800KG，1.2-2.0铝柱，4个风机，三个托板;PDU8位16A</w:t>
            </w:r>
          </w:p>
          <w:p w14:paraId="192A463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333333"/>
                <w:kern w:val="0"/>
                <w:sz w:val="20"/>
                <w:szCs w:val="20"/>
                <w:highlight w:val="none"/>
                <w:shd w:val="clear" w:color="auto" w:fill="FFFFFF"/>
                <w:vertAlign w:val="baseline"/>
                <w:lang w:val="en-US" w:eastAsia="zh-CN" w:bidi="ar"/>
              </w:rPr>
            </w:pPr>
            <w:r>
              <w:rPr>
                <w:rFonts w:hint="eastAsia" w:ascii="宋体" w:hAnsi="宋体" w:eastAsia="宋体" w:cs="宋体"/>
                <w:color w:val="333333"/>
                <w:kern w:val="0"/>
                <w:sz w:val="20"/>
                <w:szCs w:val="20"/>
                <w:highlight w:val="none"/>
                <w:shd w:val="clear" w:color="auto" w:fill="FFFFFF"/>
                <w:vertAlign w:val="baseline"/>
                <w:lang w:val="en-US" w:eastAsia="zh-CN" w:bidi="ar"/>
              </w:rPr>
              <w:t>规格:600*1200*2000</w:t>
            </w:r>
          </w:p>
        </w:tc>
        <w:tc>
          <w:tcPr>
            <w:tcW w:w="775" w:type="dxa"/>
            <w:vAlign w:val="center"/>
          </w:tcPr>
          <w:p w14:paraId="5FB46112">
            <w:pPr>
              <w:spacing w:line="360" w:lineRule="auto"/>
              <w:jc w:val="center"/>
              <w:rPr>
                <w:rFonts w:hint="default"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1</w:t>
            </w:r>
          </w:p>
        </w:tc>
        <w:tc>
          <w:tcPr>
            <w:tcW w:w="736" w:type="dxa"/>
            <w:vAlign w:val="center"/>
          </w:tcPr>
          <w:p w14:paraId="74BD24A7">
            <w:pPr>
              <w:spacing w:line="360" w:lineRule="auto"/>
              <w:jc w:val="center"/>
              <w:rPr>
                <w:rFonts w:hint="eastAsia" w:ascii="宋体" w:hAnsi="宋体" w:cs="宋体"/>
                <w:color w:val="333333"/>
                <w:kern w:val="0"/>
                <w:sz w:val="20"/>
                <w:szCs w:val="20"/>
                <w:highlight w:val="none"/>
                <w:shd w:val="clear" w:color="auto" w:fill="FFFFFF"/>
                <w:vertAlign w:val="baseline"/>
                <w:lang w:val="en-US" w:eastAsia="zh-CN" w:bidi="ar"/>
              </w:rPr>
            </w:pPr>
            <w:r>
              <w:rPr>
                <w:rFonts w:hint="eastAsia" w:ascii="宋体" w:hAnsi="宋体" w:cs="宋体"/>
                <w:color w:val="333333"/>
                <w:kern w:val="0"/>
                <w:sz w:val="20"/>
                <w:szCs w:val="20"/>
                <w:highlight w:val="none"/>
                <w:shd w:val="clear" w:color="auto" w:fill="FFFFFF"/>
                <w:vertAlign w:val="baseline"/>
                <w:lang w:val="en-US" w:eastAsia="zh-CN" w:bidi="ar"/>
              </w:rPr>
              <w:t>套</w:t>
            </w:r>
          </w:p>
        </w:tc>
      </w:tr>
    </w:tbl>
    <w:p w14:paraId="1F1AD274">
      <w:pPr>
        <w:spacing w:line="360" w:lineRule="auto"/>
        <w:ind w:firstLine="480" w:firstLineChars="200"/>
        <w:rPr>
          <w:rFonts w:hint="eastAsia" w:ascii="宋体" w:hAnsi="宋体" w:eastAsia="宋体" w:cs="宋体"/>
          <w:color w:val="333333"/>
          <w:kern w:val="0"/>
          <w:sz w:val="24"/>
          <w:szCs w:val="24"/>
          <w:highlight w:val="none"/>
          <w:shd w:val="clear" w:color="auto" w:fill="FFFFFF"/>
          <w:lang w:val="en-US" w:eastAsia="zh-CN" w:bidi="ar"/>
        </w:rPr>
      </w:pPr>
    </w:p>
    <w:p w14:paraId="3813AA0E">
      <w:pPr>
        <w:pStyle w:val="11"/>
        <w:rPr>
          <w:rFonts w:hint="eastAsia"/>
          <w:highlight w:val="none"/>
          <w:lang w:val="en-US" w:eastAsia="zh-CN"/>
        </w:rPr>
      </w:pPr>
    </w:p>
    <w:p w14:paraId="164FFA74">
      <w:pPr>
        <w:ind w:left="0" w:leftChars="0" w:firstLine="0" w:firstLineChars="0"/>
        <w:rPr>
          <w:rFonts w:hint="eastAsia"/>
          <w:highlight w:val="none"/>
          <w:lang w:val="en-US" w:eastAsia="zh-CN"/>
        </w:rPr>
      </w:pPr>
      <w:r>
        <w:rPr>
          <w:rFonts w:hint="eastAsia"/>
          <w:highlight w:val="none"/>
          <w:lang w:val="en-US" w:eastAsia="zh-CN"/>
        </w:rPr>
        <w:br w:type="page"/>
      </w:r>
    </w:p>
    <w:p w14:paraId="63AABA0D">
      <w:pPr>
        <w:widowControl w:val="0"/>
        <w:numPr>
          <w:ilvl w:val="0"/>
          <w:numId w:val="0"/>
        </w:numPr>
        <w:spacing w:line="324" w:lineRule="auto"/>
        <w:jc w:val="both"/>
        <w:rPr>
          <w:rFonts w:hint="eastAsia"/>
          <w:highlight w:val="none"/>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bookmarkStart w:id="15" w:name="_Toc23916"/>
      <w:bookmarkStart w:id="16" w:name="_Toc25418"/>
      <w:bookmarkStart w:id="17" w:name="_Toc494096888"/>
    </w:p>
    <w:p w14:paraId="7DD5E57D">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第四部分  商务及合同草案条款</w:t>
      </w:r>
      <w:bookmarkEnd w:id="15"/>
      <w:bookmarkEnd w:id="16"/>
    </w:p>
    <w:p w14:paraId="075FA0EE">
      <w:pPr>
        <w:jc w:val="center"/>
        <w:rPr>
          <w:rFonts w:ascii="宋体" w:hAnsi="宋体" w:cs="宋体"/>
          <w:color w:val="000000" w:themeColor="text1"/>
          <w:sz w:val="28"/>
          <w:szCs w:val="28"/>
          <w:highlight w:val="none"/>
          <w14:textFill>
            <w14:solidFill>
              <w14:schemeClr w14:val="tx1"/>
            </w14:solidFill>
          </w14:textFill>
        </w:rPr>
      </w:pPr>
      <w:bookmarkStart w:id="18" w:name="_Toc26719"/>
      <w:bookmarkStart w:id="19" w:name="_Toc1757"/>
      <w:bookmarkStart w:id="20" w:name="_Toc6233"/>
      <w:bookmarkStart w:id="21" w:name="_Toc24939"/>
      <w:bookmarkStart w:id="22" w:name="_Toc8421"/>
      <w:bookmarkStart w:id="23" w:name="_Toc4134"/>
      <w:bookmarkStart w:id="24" w:name="_Toc19835"/>
      <w:r>
        <w:rPr>
          <w:rFonts w:hint="eastAsia" w:ascii="宋体" w:hAnsi="宋体" w:cs="宋体"/>
          <w:b/>
          <w:bCs/>
          <w:color w:val="000000" w:themeColor="text1"/>
          <w:sz w:val="28"/>
          <w:szCs w:val="28"/>
          <w:highlight w:val="none"/>
          <w14:textFill>
            <w14:solidFill>
              <w14:schemeClr w14:val="tx1"/>
            </w14:solidFill>
          </w14:textFill>
        </w:rPr>
        <w:t>商务条款</w:t>
      </w:r>
      <w:bookmarkEnd w:id="18"/>
      <w:bookmarkEnd w:id="19"/>
      <w:bookmarkEnd w:id="20"/>
      <w:bookmarkEnd w:id="21"/>
      <w:bookmarkEnd w:id="22"/>
      <w:bookmarkEnd w:id="23"/>
      <w:bookmarkEnd w:id="24"/>
    </w:p>
    <w:p w14:paraId="2DD79EF8">
      <w:pPr>
        <w:numPr>
          <w:ilvl w:val="0"/>
          <w:numId w:val="7"/>
        </w:num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服务地点：</w:t>
      </w:r>
      <w:r>
        <w:rPr>
          <w:rFonts w:hint="eastAsia" w:ascii="宋体" w:hAnsi="宋体" w:cs="宋体"/>
          <w:color w:val="000000" w:themeColor="text1"/>
          <w:sz w:val="24"/>
          <w:highlight w:val="none"/>
          <w14:textFill>
            <w14:solidFill>
              <w14:schemeClr w14:val="tx1"/>
            </w14:solidFill>
          </w14:textFill>
        </w:rPr>
        <w:t>采购人指定地点。</w:t>
      </w:r>
    </w:p>
    <w:p w14:paraId="3B1FAC53">
      <w:pPr>
        <w:autoSpaceDE w:val="0"/>
        <w:autoSpaceDN w:val="0"/>
        <w:adjustRightInd w:val="0"/>
        <w:snapToGrid w:val="0"/>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二、交付</w:t>
      </w:r>
      <w:r>
        <w:rPr>
          <w:rFonts w:hint="eastAsia" w:ascii="宋体" w:hAnsi="宋体" w:cs="宋体"/>
          <w:b/>
          <w:bCs/>
          <w:color w:val="000000" w:themeColor="text1"/>
          <w:sz w:val="24"/>
          <w:highlight w:val="none"/>
          <w:lang w:val="en-US" w:eastAsia="zh-CN"/>
          <w14:textFill>
            <w14:solidFill>
              <w14:schemeClr w14:val="tx1"/>
            </w14:solidFill>
          </w14:textFill>
        </w:rPr>
        <w:t>使用</w:t>
      </w:r>
      <w:r>
        <w:rPr>
          <w:rFonts w:hint="eastAsia" w:ascii="宋体" w:hAnsi="宋体" w:eastAsia="宋体" w:cs="宋体"/>
          <w:b/>
          <w:bCs/>
          <w:color w:val="000000" w:themeColor="text1"/>
          <w:sz w:val="24"/>
          <w:highlight w:val="none"/>
          <w:lang w:val="en-US" w:eastAsia="zh-CN"/>
          <w14:textFill>
            <w14:solidFill>
              <w14:schemeClr w14:val="tx1"/>
            </w14:solidFill>
          </w14:textFill>
        </w:rPr>
        <w:t>期：90日历天</w:t>
      </w:r>
    </w:p>
    <w:p w14:paraId="0D1C8A8F">
      <w:pPr>
        <w:autoSpaceDE w:val="0"/>
        <w:autoSpaceDN w:val="0"/>
        <w:adjustRightInd w:val="0"/>
        <w:snapToGrid w:val="0"/>
        <w:spacing w:line="360" w:lineRule="auto"/>
        <w:ind w:firstLine="482" w:firstLineChars="200"/>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w:t>
      </w:r>
      <w:r>
        <w:rPr>
          <w:rFonts w:hint="eastAsia" w:ascii="宋体" w:hAnsi="宋体" w:cs="宋体"/>
          <w:b/>
          <w:color w:val="000000" w:themeColor="text1"/>
          <w:sz w:val="24"/>
          <w:highlight w:val="none"/>
          <w:lang w:eastAsia="zh-CN"/>
          <w14:textFill>
            <w14:solidFill>
              <w14:schemeClr w14:val="tx1"/>
            </w14:solidFill>
          </w14:textFill>
        </w:rPr>
        <w:t>保证</w:t>
      </w:r>
      <w:r>
        <w:rPr>
          <w:rFonts w:hint="eastAsia" w:ascii="宋体" w:hAnsi="宋体" w:cs="宋体"/>
          <w:b/>
          <w:color w:val="000000" w:themeColor="text1"/>
          <w:sz w:val="24"/>
          <w:highlight w:val="none"/>
          <w14:textFill>
            <w14:solidFill>
              <w14:schemeClr w14:val="tx1"/>
            </w14:solidFill>
          </w14:textFill>
        </w:rPr>
        <w:t>期</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1年</w:t>
      </w:r>
    </w:p>
    <w:p w14:paraId="4F3AB302">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三、合同价款及付款方式</w:t>
      </w:r>
    </w:p>
    <w:p w14:paraId="6E6C866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1、合同总价为：项目完成过程中的所有费用。包括人员、验收、培训、运行维护、质量保证、税金等。</w:t>
      </w:r>
    </w:p>
    <w:p w14:paraId="348EDB5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2、合同有效期内，合同总价一次包死，不受国家政策性调价或原材料价格变化及外汇汇率变化的影响。</w:t>
      </w:r>
    </w:p>
    <w:p w14:paraId="5B919A2B">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3、付款方式：</w:t>
      </w:r>
      <w:r>
        <w:rPr>
          <w:rFonts w:hint="eastAsia" w:ascii="宋体" w:hAnsi="宋体" w:cs="宋体"/>
          <w:color w:val="auto"/>
          <w:sz w:val="24"/>
          <w:highlight w:val="none"/>
          <w:lang w:eastAsia="zh-CN"/>
        </w:rPr>
        <w:t>合同签订后，首付合同总价款的</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%，验收合格后支付总价款的</w:t>
      </w:r>
      <w:r>
        <w:rPr>
          <w:rFonts w:hint="eastAsia" w:ascii="宋体" w:hAnsi="宋体" w:cs="宋体"/>
          <w:color w:val="auto"/>
          <w:sz w:val="24"/>
          <w:highlight w:val="none"/>
          <w:lang w:val="en-US" w:eastAsia="zh-CN"/>
        </w:rPr>
        <w:t>65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服务期满一年后</w:t>
      </w:r>
      <w:r>
        <w:rPr>
          <w:rFonts w:hint="eastAsia" w:ascii="宋体" w:hAnsi="宋体" w:cs="宋体"/>
          <w:color w:val="auto"/>
          <w:sz w:val="24"/>
          <w:highlight w:val="none"/>
          <w:lang w:eastAsia="zh-CN"/>
        </w:rPr>
        <w:t>支付合同总价款的</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p>
    <w:p w14:paraId="31AC43CB">
      <w:pPr>
        <w:spacing w:line="460" w:lineRule="exact"/>
        <w:ind w:firstLine="480" w:firstLineChars="200"/>
        <w:rPr>
          <w:rFonts w:ascii="宋体" w:hAnsi="宋体" w:cs="宋体"/>
          <w:color w:val="000000" w:themeColor="text1"/>
          <w:sz w:val="24"/>
          <w:highlight w:val="none"/>
          <w14:textFill>
            <w14:solidFill>
              <w14:schemeClr w14:val="tx1"/>
            </w14:solidFill>
          </w14:textFill>
        </w:rPr>
      </w:pPr>
    </w:p>
    <w:p w14:paraId="5D601F53">
      <w:pPr>
        <w:rPr>
          <w:rFonts w:ascii="宋体" w:hAnsi="宋体" w:cs="宋体"/>
          <w:color w:val="000000" w:themeColor="text1"/>
          <w:sz w:val="24"/>
          <w:highlight w:val="none"/>
          <w14:textFill>
            <w14:solidFill>
              <w14:schemeClr w14:val="tx1"/>
            </w14:solidFill>
          </w14:textFill>
        </w:rPr>
      </w:pPr>
    </w:p>
    <w:p w14:paraId="4782EDF8">
      <w:pPr>
        <w:pStyle w:val="8"/>
        <w:rPr>
          <w:rFonts w:ascii="宋体" w:hAnsi="宋体" w:cs="宋体"/>
          <w:color w:val="000000" w:themeColor="text1"/>
          <w:highlight w:val="none"/>
          <w14:textFill>
            <w14:solidFill>
              <w14:schemeClr w14:val="tx1"/>
            </w14:solidFill>
          </w14:textFill>
        </w:rPr>
      </w:pPr>
    </w:p>
    <w:p w14:paraId="4786A7F4">
      <w:pPr>
        <w:pStyle w:val="8"/>
        <w:rPr>
          <w:rFonts w:ascii="宋体" w:hAnsi="宋体" w:cs="宋体"/>
          <w:color w:val="000000" w:themeColor="text1"/>
          <w:highlight w:val="none"/>
          <w14:textFill>
            <w14:solidFill>
              <w14:schemeClr w14:val="tx1"/>
            </w14:solidFill>
          </w14:textFill>
        </w:rPr>
      </w:pPr>
    </w:p>
    <w:p w14:paraId="490567A4">
      <w:pPr>
        <w:rPr>
          <w:rFonts w:ascii="宋体" w:hAnsi="宋体" w:cs="宋体"/>
          <w:color w:val="000000" w:themeColor="text1"/>
          <w:sz w:val="24"/>
          <w:highlight w:val="none"/>
          <w14:textFill>
            <w14:solidFill>
              <w14:schemeClr w14:val="tx1"/>
            </w14:solidFill>
          </w14:textFill>
        </w:rPr>
      </w:pPr>
    </w:p>
    <w:p w14:paraId="21F9967A">
      <w:pPr>
        <w:pStyle w:val="8"/>
        <w:rPr>
          <w:rFonts w:ascii="宋体" w:hAnsi="宋体" w:cs="宋体"/>
          <w:color w:val="000000" w:themeColor="text1"/>
          <w:highlight w:val="none"/>
          <w14:textFill>
            <w14:solidFill>
              <w14:schemeClr w14:val="tx1"/>
            </w14:solidFill>
          </w14:textFill>
        </w:rPr>
      </w:pPr>
    </w:p>
    <w:p w14:paraId="6E504CBF">
      <w:pPr>
        <w:pStyle w:val="17"/>
        <w:rPr>
          <w:color w:val="000000" w:themeColor="text1"/>
          <w:highlight w:val="none"/>
          <w14:textFill>
            <w14:solidFill>
              <w14:schemeClr w14:val="tx1"/>
            </w14:solidFill>
          </w14:textFill>
        </w:rPr>
      </w:pPr>
    </w:p>
    <w:p w14:paraId="21217739">
      <w:pPr>
        <w:rPr>
          <w:rFonts w:ascii="宋体" w:hAnsi="宋体" w:cs="宋体"/>
          <w:color w:val="000000" w:themeColor="text1"/>
          <w:sz w:val="24"/>
          <w:highlight w:val="none"/>
          <w14:textFill>
            <w14:solidFill>
              <w14:schemeClr w14:val="tx1"/>
            </w14:solidFill>
          </w14:textFill>
        </w:rPr>
      </w:pPr>
    </w:p>
    <w:p w14:paraId="6ABA6B79">
      <w:pPr>
        <w:pStyle w:val="8"/>
        <w:rPr>
          <w:rFonts w:ascii="宋体" w:hAnsi="宋体" w:cs="宋体"/>
          <w:color w:val="000000" w:themeColor="text1"/>
          <w:highlight w:val="none"/>
          <w14:textFill>
            <w14:solidFill>
              <w14:schemeClr w14:val="tx1"/>
            </w14:solidFill>
          </w14:textFill>
        </w:rPr>
      </w:pPr>
    </w:p>
    <w:p w14:paraId="2A699963">
      <w:pPr>
        <w:rPr>
          <w:rFonts w:ascii="宋体" w:hAnsi="宋体" w:cs="宋体"/>
          <w:color w:val="000000" w:themeColor="text1"/>
          <w:sz w:val="24"/>
          <w:highlight w:val="none"/>
          <w14:textFill>
            <w14:solidFill>
              <w14:schemeClr w14:val="tx1"/>
            </w14:solidFill>
          </w14:textFill>
        </w:rPr>
      </w:pPr>
    </w:p>
    <w:p w14:paraId="6DB80210">
      <w:pPr>
        <w:pStyle w:val="8"/>
        <w:rPr>
          <w:rFonts w:ascii="宋体" w:hAnsi="宋体" w:cs="宋体"/>
          <w:color w:val="000000" w:themeColor="text1"/>
          <w:highlight w:val="none"/>
          <w14:textFill>
            <w14:solidFill>
              <w14:schemeClr w14:val="tx1"/>
            </w14:solidFill>
          </w14:textFill>
        </w:rPr>
      </w:pPr>
    </w:p>
    <w:p w14:paraId="74C8DC6A">
      <w:pPr>
        <w:pStyle w:val="11"/>
        <w:rPr>
          <w:rFonts w:ascii="宋体" w:hAnsi="宋体" w:cs="宋体"/>
          <w:color w:val="000000" w:themeColor="text1"/>
          <w:sz w:val="24"/>
          <w:szCs w:val="24"/>
          <w:highlight w:val="none"/>
          <w14:textFill>
            <w14:solidFill>
              <w14:schemeClr w14:val="tx1"/>
            </w14:solidFill>
          </w14:textFill>
        </w:rPr>
      </w:pPr>
    </w:p>
    <w:p w14:paraId="7E524BE6">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14:paraId="7915245C">
      <w:pPr>
        <w:tabs>
          <w:tab w:val="left" w:pos="1427"/>
        </w:tabs>
        <w:ind w:firstLine="3640" w:firstLineChars="1300"/>
        <w:jc w:val="lef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w:t>
      </w:r>
      <w:r>
        <w:rPr>
          <w:rFonts w:hint="eastAsia" w:ascii="宋体" w:hAnsi="宋体" w:cs="宋体"/>
          <w:b/>
          <w:bCs/>
          <w:color w:val="000000" w:themeColor="text1"/>
          <w:sz w:val="32"/>
          <w:szCs w:val="32"/>
          <w:highlight w:val="none"/>
          <w14:textFill>
            <w14:solidFill>
              <w14:schemeClr w14:val="tx1"/>
            </w14:solidFill>
          </w14:textFill>
        </w:rPr>
        <w:t>合同草案条款</w:t>
      </w:r>
    </w:p>
    <w:p w14:paraId="47AB1BAC">
      <w:pPr>
        <w:autoSpaceDE w:val="0"/>
        <w:autoSpaceDN w:val="0"/>
        <w:adjustRightInd w:val="0"/>
        <w:spacing w:line="520" w:lineRule="exact"/>
        <w:jc w:val="center"/>
        <w:rPr>
          <w:rFonts w:hint="default" w:ascii="宋体" w:hAnsi="宋体" w:eastAsia="宋体" w:cs="宋体"/>
          <w:kern w:val="0"/>
          <w:sz w:val="32"/>
          <w:szCs w:val="32"/>
          <w:highlight w:val="none"/>
          <w:lang w:val="en-US" w:eastAsia="zh-CN"/>
        </w:rPr>
      </w:pPr>
      <w:bookmarkStart w:id="25" w:name="_Toc32660"/>
      <w:r>
        <w:rPr>
          <w:rFonts w:hint="eastAsia" w:ascii="宋体" w:hAnsi="宋体" w:eastAsia="宋体" w:cs="宋体"/>
          <w:kern w:val="0"/>
          <w:sz w:val="32"/>
          <w:szCs w:val="32"/>
          <w:highlight w:val="none"/>
          <w:lang w:val="en-US" w:eastAsia="zh-CN"/>
        </w:rPr>
        <w:t>合同格式</w:t>
      </w:r>
    </w:p>
    <w:p w14:paraId="497543D3">
      <w:pPr>
        <w:tabs>
          <w:tab w:val="left" w:pos="735"/>
        </w:tabs>
        <w:autoSpaceDE w:val="0"/>
        <w:autoSpaceDN w:val="0"/>
        <w:adjustRightInd w:val="0"/>
        <w:snapToGrid w:val="0"/>
        <w:spacing w:line="440" w:lineRule="exact"/>
        <w:rPr>
          <w:rFonts w:ascii="宋体" w:hAnsi="宋体" w:eastAsiaTheme="minorEastAsia"/>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zh-CN"/>
          <w14:textFill>
            <w14:solidFill>
              <w14:schemeClr w14:val="tx1"/>
            </w14:solidFill>
          </w14:textFill>
        </w:rPr>
        <w:t>采购人（以下简称甲方）：</w:t>
      </w:r>
      <w:r>
        <w:rPr>
          <w:rFonts w:hint="eastAsia" w:ascii="宋体" w:hAnsi="宋体"/>
          <w:b/>
          <w:bCs/>
          <w:color w:val="000000" w:themeColor="text1"/>
          <w:sz w:val="24"/>
          <w:highlight w:val="none"/>
          <w:u w:val="single"/>
          <w14:textFill>
            <w14:solidFill>
              <w14:schemeClr w14:val="tx1"/>
            </w14:solidFill>
          </w14:textFill>
        </w:rPr>
        <w:t xml:space="preserve">                         </w:t>
      </w:r>
    </w:p>
    <w:p w14:paraId="7432E1BE">
      <w:pPr>
        <w:tabs>
          <w:tab w:val="left" w:pos="735"/>
        </w:tabs>
        <w:autoSpaceDE w:val="0"/>
        <w:autoSpaceDN w:val="0"/>
        <w:adjustRightInd w:val="0"/>
        <w:snapToGrid w:val="0"/>
        <w:spacing w:line="440" w:lineRule="exact"/>
        <w:rPr>
          <w:rFonts w:ascii="宋体" w:hAnsi="宋体"/>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highlight w:val="none"/>
          <w:lang w:val="zh-CN"/>
          <w14:textFill>
            <w14:solidFill>
              <w14:schemeClr w14:val="tx1"/>
            </w14:solidFill>
          </w14:textFill>
        </w:rPr>
        <w:t>供应商（以下简称乙方）：</w:t>
      </w:r>
      <w:r>
        <w:rPr>
          <w:rFonts w:hint="eastAsia" w:ascii="宋体" w:hAnsi="宋体"/>
          <w:b/>
          <w:bCs/>
          <w:color w:val="000000" w:themeColor="text1"/>
          <w:sz w:val="24"/>
          <w:highlight w:val="none"/>
          <w:u w:val="single"/>
          <w:lang w:val="zh-CN"/>
          <w14:textFill>
            <w14:solidFill>
              <w14:schemeClr w14:val="tx1"/>
            </w14:solidFill>
          </w14:textFill>
        </w:rPr>
        <w:t xml:space="preserve">                         </w:t>
      </w:r>
    </w:p>
    <w:p w14:paraId="188FD6C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D1BA0BE">
      <w:pPr>
        <w:pStyle w:val="10"/>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根据《中华人民共和国政府采购法》《中华人民共和国民法典》及相关法律法规，甲、乙双方就</w:t>
      </w:r>
      <w:r>
        <w:rPr>
          <w:rFonts w:hint="eastAsia" w:hAnsi="宋体" w:cs="宋体"/>
          <w:color w:val="000000" w:themeColor="text1"/>
          <w:sz w:val="24"/>
          <w:szCs w:val="24"/>
          <w:highlight w:val="none"/>
          <w:lang w:val="en-US" w:eastAsia="zh-CN"/>
          <w14:textFill>
            <w14:solidFill>
              <w14:schemeClr w14:val="tx1"/>
            </w14:solidFill>
          </w14:textFill>
        </w:rPr>
        <w:t>富平县第二人民医院信息化升级改造项目</w:t>
      </w:r>
      <w:r>
        <w:rPr>
          <w:rFonts w:hint="eastAsia" w:ascii="宋体" w:hAnsi="宋体" w:cs="宋体"/>
          <w:color w:val="000000" w:themeColor="text1"/>
          <w:sz w:val="24"/>
          <w:szCs w:val="24"/>
          <w:highlight w:val="none"/>
          <w14:textFill>
            <w14:solidFill>
              <w14:schemeClr w14:val="tx1"/>
            </w14:solidFill>
          </w14:textFill>
        </w:rPr>
        <w:t>事宜，经协商一致，达成如下协议：</w:t>
      </w:r>
    </w:p>
    <w:p w14:paraId="0920A943">
      <w:pPr>
        <w:keepNext w:val="0"/>
        <w:keepLines w:val="0"/>
        <w:pageBreakBefore w:val="0"/>
        <w:kinsoku/>
        <w:wordWrap/>
        <w:overflowPunct/>
        <w:topLinePunct w:val="0"/>
        <w:bidi w:val="0"/>
        <w:spacing w:line="360" w:lineRule="auto"/>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一、合同内容</w:t>
      </w:r>
    </w:p>
    <w:p w14:paraId="3CBEAB0B">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highlight w:val="none"/>
          <w:lang w:val="en-US" w:eastAsia="zh-CN"/>
        </w:rPr>
        <w:t>对富平县第二人民医院</w:t>
      </w:r>
      <w:r>
        <w:rPr>
          <w:rFonts w:hint="eastAsia" w:ascii="宋体" w:hAnsi="宋体" w:cs="宋体"/>
          <w:color w:val="000000"/>
          <w:sz w:val="24"/>
          <w:highlight w:val="none"/>
          <w:lang w:val="en-US" w:eastAsia="zh-CN"/>
        </w:rPr>
        <w:t>信息化系统</w:t>
      </w:r>
      <w:r>
        <w:rPr>
          <w:rFonts w:hint="eastAsia" w:ascii="宋体" w:hAnsi="宋体" w:eastAsia="宋体" w:cs="宋体"/>
          <w:color w:val="000000"/>
          <w:sz w:val="24"/>
          <w:highlight w:val="none"/>
          <w:lang w:val="en-US" w:eastAsia="zh-CN"/>
        </w:rPr>
        <w:t>进行升级（信息化系统建设，检查检验系统等进行升级改造等）</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126C85FF">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二、合同金额</w:t>
      </w:r>
    </w:p>
    <w:p w14:paraId="27BC43D7">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合同总价：本合同总价为：￥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元人民币）</w:t>
      </w:r>
    </w:p>
    <w:p w14:paraId="0269EB1D">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合同总价</w:t>
      </w:r>
      <w:r>
        <w:rPr>
          <w:rFonts w:hint="eastAsia"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投标总报价为综合报价</w:t>
      </w:r>
      <w:r>
        <w:rPr>
          <w:rFonts w:hint="eastAsia"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是指项目完成过程中的所有费用。包括人员、验收、培训、运行维护、质量保证、税金等。</w:t>
      </w:r>
    </w:p>
    <w:p w14:paraId="03F4774E">
      <w:pPr>
        <w:pStyle w:val="10"/>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3</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合同有效期内，合同总价一次包死，不受国家政策性调价或原材料价格变化及外汇汇率变化的影响，并作为最终结算的唯一依据。</w:t>
      </w:r>
    </w:p>
    <w:p w14:paraId="1DD7926F">
      <w:pPr>
        <w:keepNext w:val="0"/>
        <w:keepLines w:val="0"/>
        <w:pageBreakBefore w:val="0"/>
        <w:kinsoku/>
        <w:wordWrap/>
        <w:overflowPunct/>
        <w:topLinePunct w:val="0"/>
        <w:bidi w:val="0"/>
        <w:spacing w:line="360" w:lineRule="auto"/>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三、交付</w:t>
      </w:r>
      <w:r>
        <w:rPr>
          <w:rFonts w:hint="eastAsia" w:ascii="宋体" w:hAnsi="宋体" w:cs="宋体"/>
          <w:b/>
          <w:bCs/>
          <w:kern w:val="2"/>
          <w:sz w:val="24"/>
          <w:szCs w:val="24"/>
          <w:highlight w:val="none"/>
          <w:lang w:val="en-US" w:eastAsia="zh-CN" w:bidi="ar-SA"/>
        </w:rPr>
        <w:t>使用</w:t>
      </w:r>
      <w:r>
        <w:rPr>
          <w:rFonts w:hint="eastAsia" w:ascii="宋体" w:hAnsi="宋体" w:eastAsia="宋体" w:cs="宋体"/>
          <w:b/>
          <w:bCs/>
          <w:kern w:val="2"/>
          <w:sz w:val="24"/>
          <w:szCs w:val="24"/>
          <w:highlight w:val="none"/>
          <w:lang w:val="en-US" w:eastAsia="zh-CN" w:bidi="ar-SA"/>
        </w:rPr>
        <w:t>期、地点、服务期、质保期</w:t>
      </w:r>
    </w:p>
    <w:p w14:paraId="66F43913">
      <w:pPr>
        <w:pStyle w:val="10"/>
        <w:keepNext w:val="0"/>
        <w:keepLines w:val="0"/>
        <w:pageBreakBefore w:val="0"/>
        <w:kinsoku/>
        <w:wordWrap/>
        <w:overflowPunct/>
        <w:topLinePunct w:val="0"/>
        <w:bidi w:val="0"/>
        <w:spacing w:line="360" w:lineRule="auto"/>
        <w:ind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交付</w:t>
      </w:r>
      <w:r>
        <w:rPr>
          <w:rFonts w:hint="eastAsia" w:hAnsi="宋体" w:cs="宋体"/>
          <w:color w:val="000000" w:themeColor="text1"/>
          <w:sz w:val="24"/>
          <w:szCs w:val="24"/>
          <w:highlight w:val="none"/>
          <w:lang w:val="en-US" w:eastAsia="zh-CN"/>
          <w14:textFill>
            <w14:solidFill>
              <w14:schemeClr w14:val="tx1"/>
            </w14:solidFill>
          </w14:textFill>
        </w:rPr>
        <w:t>使用</w:t>
      </w:r>
      <w:r>
        <w:rPr>
          <w:rFonts w:hint="eastAsia" w:ascii="宋体" w:hAnsi="宋体" w:cs="宋体"/>
          <w:color w:val="000000" w:themeColor="text1"/>
          <w:sz w:val="24"/>
          <w:szCs w:val="24"/>
          <w:highlight w:val="none"/>
          <w:lang w:val="en-US" w:eastAsia="zh-CN"/>
          <w14:textFill>
            <w14:solidFill>
              <w14:schemeClr w14:val="tx1"/>
            </w14:solidFill>
          </w14:textFill>
        </w:rPr>
        <w:t>期：自合同签订之日起90个日历天内交付使用</w:t>
      </w:r>
    </w:p>
    <w:p w14:paraId="0764DB37">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地点：甲方指定地点</w:t>
      </w:r>
    </w:p>
    <w:p w14:paraId="3F4C2587">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3.软件</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期：</w:t>
      </w:r>
      <w:r>
        <w:rPr>
          <w:rFonts w:hint="eastAsia" w:ascii="宋体" w:hAnsi="宋体" w:cs="宋体"/>
          <w:color w:val="auto"/>
          <w:kern w:val="2"/>
          <w:sz w:val="24"/>
          <w:szCs w:val="24"/>
          <w:highlight w:val="none"/>
          <w:lang w:val="en-US" w:eastAsia="zh-CN" w:bidi="ar-SA"/>
        </w:rPr>
        <w:t>1年</w:t>
      </w:r>
    </w:p>
    <w:p w14:paraId="2C26AB3D">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4.设备质保期：自设备验收通过之日起12个月，质保期内因人为因素出现的故障不在免费保修范围内。超过质保期的设备，乙方维修时只收成本费。</w:t>
      </w:r>
    </w:p>
    <w:p w14:paraId="040D8012">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四、付款</w:t>
      </w:r>
    </w:p>
    <w:p w14:paraId="7BDCE350">
      <w:pPr>
        <w:pStyle w:val="10"/>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合同签订后，首付合同总价款的</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%，验收合格后支付总价款的</w:t>
      </w:r>
      <w:r>
        <w:rPr>
          <w:rFonts w:hint="eastAsia" w:ascii="宋体" w:hAnsi="宋体" w:cs="宋体"/>
          <w:color w:val="auto"/>
          <w:sz w:val="24"/>
          <w:highlight w:val="none"/>
          <w:lang w:val="en-US" w:eastAsia="zh-CN"/>
        </w:rPr>
        <w:t>65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服务期满一年后</w:t>
      </w:r>
      <w:r>
        <w:rPr>
          <w:rFonts w:hint="eastAsia" w:ascii="宋体" w:hAnsi="宋体" w:cs="宋体"/>
          <w:color w:val="auto"/>
          <w:sz w:val="24"/>
          <w:highlight w:val="none"/>
          <w:lang w:eastAsia="zh-CN"/>
        </w:rPr>
        <w:t>支付合同总价款的</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hAnsi="宋体" w:eastAsia="宋体" w:cs="宋体"/>
          <w:color w:val="auto"/>
          <w:kern w:val="2"/>
          <w:sz w:val="24"/>
          <w:szCs w:val="24"/>
          <w:highlight w:val="none"/>
          <w:lang w:val="en-US" w:eastAsia="zh-CN" w:bidi="ar-SA"/>
        </w:rPr>
        <w:t>。</w:t>
      </w:r>
    </w:p>
    <w:p w14:paraId="1D2D0DF1">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五、验收</w:t>
      </w:r>
    </w:p>
    <w:p w14:paraId="70E5AFA8">
      <w:pPr>
        <w:keepNext w:val="0"/>
        <w:keepLines w:val="0"/>
        <w:pageBreakBefore w:val="0"/>
        <w:widowControl/>
        <w:tabs>
          <w:tab w:val="left" w:pos="426"/>
        </w:tabs>
        <w:kinsoku/>
        <w:wordWrap/>
        <w:overflowPunct/>
        <w:topLinePunct w:val="0"/>
        <w:bidi w:val="0"/>
        <w:adjustRightInd w:val="0"/>
        <w:snapToGrid w:val="0"/>
        <w:spacing w:line="360" w:lineRule="auto"/>
        <w:ind w:firstLine="480" w:firstLineChars="200"/>
        <w:jc w:val="left"/>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1.验收时间：项目完成后，由甲方内部组织验收，乙方进行配合验收。</w:t>
      </w:r>
    </w:p>
    <w:p w14:paraId="3C97CF6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cs="宋体"/>
          <w:color w:val="000000" w:themeColor="text1"/>
          <w:sz w:val="24"/>
          <w:szCs w:val="24"/>
          <w:highlight w:val="none"/>
          <w:lang w:val="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验收依据：本项目合同书、合同附件、招标文件（含澄清或者说明文件）、投标文件（含澄清或者说明文件）、中标通知书，并符合国家及行业有关标准和验收规范</w:t>
      </w:r>
      <w:r>
        <w:rPr>
          <w:rFonts w:hint="eastAsia" w:ascii="宋体" w:hAnsi="宋体" w:eastAsia="宋体" w:cs="宋体"/>
          <w:color w:val="auto"/>
          <w:sz w:val="24"/>
          <w:szCs w:val="24"/>
          <w:highlight w:val="none"/>
        </w:rPr>
        <w:t>。</w:t>
      </w:r>
    </w:p>
    <w:p w14:paraId="3DE99554">
      <w:pPr>
        <w:keepNext w:val="0"/>
        <w:keepLines w:val="0"/>
        <w:pageBreakBefore w:val="0"/>
        <w:kinsoku/>
        <w:wordWrap/>
        <w:overflowPunct/>
        <w:topLinePunct w:val="0"/>
        <w:bidi w:val="0"/>
        <w:spacing w:line="360" w:lineRule="auto"/>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六、违约责任</w:t>
      </w:r>
    </w:p>
    <w:p w14:paraId="63A6ACD4">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甲乙双方应严格遵守本合同条款，如一方违约，以《中华人民共和国民法典》和其他有关法律、法规规定为准，无相关规定的，双方协商解决。</w:t>
      </w:r>
    </w:p>
    <w:p w14:paraId="6231E69A">
      <w:pPr>
        <w:keepNext w:val="0"/>
        <w:keepLines w:val="0"/>
        <w:pageBreakBefore w:val="0"/>
        <w:kinsoku/>
        <w:wordWrap/>
        <w:overflowPunct/>
        <w:topLinePunct w:val="0"/>
        <w:bidi w:val="0"/>
        <w:spacing w:line="360" w:lineRule="auto"/>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七、合同争议解决</w:t>
      </w:r>
    </w:p>
    <w:p w14:paraId="4FF11554">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cs="宋体"/>
          <w:color w:val="000000" w:themeColor="text1"/>
          <w:sz w:val="24"/>
          <w:szCs w:val="24"/>
          <w:highlight w:val="none"/>
          <w:u w:val="single"/>
          <w14:textFill>
            <w14:solidFill>
              <w14:schemeClr w14:val="tx1"/>
            </w14:solidFill>
          </w14:textFill>
        </w:rPr>
        <w:t>2款</w:t>
      </w:r>
      <w:r>
        <w:rPr>
          <w:rFonts w:hint="eastAsia" w:ascii="宋体" w:hAnsi="宋体" w:cs="宋体"/>
          <w:color w:val="000000" w:themeColor="text1"/>
          <w:sz w:val="24"/>
          <w:szCs w:val="24"/>
          <w:highlight w:val="none"/>
          <w14:textFill>
            <w14:solidFill>
              <w14:schemeClr w14:val="tx1"/>
            </w14:solidFill>
          </w14:textFill>
        </w:rPr>
        <w:t>方式解决：</w:t>
      </w:r>
    </w:p>
    <w:p w14:paraId="7C5C6244">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1.将争议提交</w:t>
      </w:r>
      <w:r>
        <w:rPr>
          <w:rFonts w:hint="eastAsia" w:ascii="宋体" w:hAnsi="宋体" w:cs="宋体"/>
          <w:color w:val="000000" w:themeColor="text1"/>
          <w:sz w:val="24"/>
          <w:szCs w:val="24"/>
          <w:highlight w:val="none"/>
          <w:u w:val="single"/>
          <w:lang w:val="en-US" w:eastAsia="zh-CN"/>
          <w14:textFill>
            <w14:solidFill>
              <w14:schemeClr w14:val="tx1"/>
            </w14:solidFill>
          </w14:textFill>
        </w:rPr>
        <w:t>富平县</w:t>
      </w:r>
      <w:r>
        <w:rPr>
          <w:rFonts w:hint="eastAsia" w:ascii="宋体" w:hAnsi="宋体" w:cs="宋体"/>
          <w:color w:val="000000" w:themeColor="text1"/>
          <w:sz w:val="24"/>
          <w:szCs w:val="24"/>
          <w:highlight w:val="none"/>
          <w14:textFill>
            <w14:solidFill>
              <w14:schemeClr w14:val="tx1"/>
            </w14:solidFill>
          </w14:textFill>
        </w:rPr>
        <w:t>仲裁委员会依申请仲裁时其现行有效的仲裁规则裁决；</w:t>
      </w:r>
    </w:p>
    <w:p w14:paraId="2385A22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2.向</w:t>
      </w:r>
      <w:r>
        <w:rPr>
          <w:rFonts w:hint="eastAsia" w:ascii="宋体" w:hAnsi="宋体" w:cs="宋体"/>
          <w:color w:val="000000" w:themeColor="text1"/>
          <w:sz w:val="24"/>
          <w:szCs w:val="24"/>
          <w:highlight w:val="none"/>
          <w:u w:val="single"/>
          <w14:textFill>
            <w14:solidFill>
              <w14:schemeClr w14:val="tx1"/>
            </w14:solidFill>
          </w14:textFill>
        </w:rPr>
        <w:t xml:space="preserve">   甲方所在地   </w:t>
      </w:r>
      <w:r>
        <w:rPr>
          <w:rFonts w:hint="eastAsia" w:ascii="宋体" w:hAnsi="宋体" w:cs="宋体"/>
          <w:color w:val="000000" w:themeColor="text1"/>
          <w:sz w:val="24"/>
          <w:szCs w:val="24"/>
          <w:highlight w:val="none"/>
          <w14:textFill>
            <w14:solidFill>
              <w14:schemeClr w14:val="tx1"/>
            </w14:solidFill>
          </w14:textFill>
        </w:rPr>
        <w:t>人民法院起诉</w:t>
      </w:r>
      <w:r>
        <w:rPr>
          <w:rFonts w:hint="eastAsia" w:ascii="宋体" w:hAnsi="宋体" w:eastAsia="宋体" w:cs="宋体"/>
          <w:sz w:val="24"/>
          <w:szCs w:val="24"/>
          <w:highlight w:val="none"/>
        </w:rPr>
        <w:t xml:space="preserve">。 </w:t>
      </w:r>
    </w:p>
    <w:p w14:paraId="7B795026">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八、不可抗力</w:t>
      </w:r>
    </w:p>
    <w:p w14:paraId="3B0FE8C0">
      <w:pPr>
        <w:pStyle w:val="9"/>
        <w:keepNext w:val="0"/>
        <w:keepLines w:val="0"/>
        <w:pageBreakBefore w:val="0"/>
        <w:kinsoku/>
        <w:wordWrap/>
        <w:overflowPunct/>
        <w:topLinePunct w:val="0"/>
        <w:bidi w:val="0"/>
        <w:spacing w:line="360" w:lineRule="auto"/>
        <w:ind w:firstLine="480" w:firstLineChars="200"/>
        <w:textAlignment w:val="auto"/>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果双方任何一方由于遭受诸如战争、严重火灾、洪水、台风、地震等重大自然灾害、以及双方同意的其他不可抗力的事故，致使影响合同履行，履行合同的期限应予以延长，延长的期限应相当于事故所影响的时间。不可抗力事故系指甲乙双方在缔结合同时所不能预见的，并且它的发生及其后果是无法避免和无法克服的事故。</w:t>
      </w:r>
    </w:p>
    <w:p w14:paraId="2C127AA0">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2.遭受不可抗力一方应在不可抗力事故发生后尽快以书面形式通知另一方;并在事故发生后</w:t>
      </w:r>
      <w:r>
        <w:rPr>
          <w:rFonts w:hint="eastAsia" w:ascii="宋体" w:hAnsi="宋体" w:cs="宋体"/>
          <w:color w:val="000000" w:themeColor="text1"/>
          <w:sz w:val="24"/>
          <w:szCs w:val="24"/>
          <w:highlight w:val="none"/>
          <w:u w:val="single"/>
          <w14:textFill>
            <w14:solidFill>
              <w14:schemeClr w14:val="tx1"/>
            </w14:solidFill>
          </w14:textFill>
        </w:rPr>
        <w:t>十（10）</w:t>
      </w:r>
      <w:r>
        <w:rPr>
          <w:rFonts w:hint="eastAsia" w:ascii="宋体" w:hAnsi="宋体" w:cs="宋体"/>
          <w:color w:val="000000" w:themeColor="text1"/>
          <w:sz w:val="24"/>
          <w:szCs w:val="24"/>
          <w:highlight w:val="none"/>
          <w14:textFill>
            <w14:solidFill>
              <w14:schemeClr w14:val="tx1"/>
            </w14:solidFill>
          </w14:textFill>
        </w:rPr>
        <w:t>个日历日内，将有关部门出具的证明文件、详细情况报告以及不可抗力对合同影响程度的说明用特快专递或挂号信的形式寄给另一方。如果不可抗力影响时间延续</w:t>
      </w:r>
      <w:r>
        <w:rPr>
          <w:rFonts w:hint="eastAsia" w:ascii="宋体" w:hAnsi="宋体" w:cs="宋体"/>
          <w:color w:val="000000" w:themeColor="text1"/>
          <w:sz w:val="24"/>
          <w:szCs w:val="24"/>
          <w:highlight w:val="none"/>
          <w:u w:val="single"/>
          <w14:textFill>
            <w14:solidFill>
              <w14:schemeClr w14:val="tx1"/>
            </w14:solidFill>
          </w14:textFill>
        </w:rPr>
        <w:t>六十（ 60）</w:t>
      </w:r>
      <w:r>
        <w:rPr>
          <w:rFonts w:hint="eastAsia" w:ascii="宋体" w:hAnsi="宋体" w:cs="宋体"/>
          <w:color w:val="000000" w:themeColor="text1"/>
          <w:sz w:val="24"/>
          <w:szCs w:val="24"/>
          <w:highlight w:val="none"/>
          <w14:textFill>
            <w14:solidFill>
              <w14:schemeClr w14:val="tx1"/>
            </w14:solidFill>
          </w14:textFill>
        </w:rPr>
        <w:t>个日历日以上，双方应通过友好协商在合理的时间内达成进一步履行合同或终止合同的协议。</w:t>
      </w:r>
    </w:p>
    <w:p w14:paraId="6413684A">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九、其他事项</w:t>
      </w:r>
    </w:p>
    <w:p w14:paraId="041004A6">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1.本合同一式</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份，甲、乙双方各执</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份。本采购项目的磋商文件、成交供应商的磋商响应文件以及相关的澄清确认函（如果有的话）均为本合同不可分割的组成部分，与合同正文具备同等法律效力。</w:t>
      </w:r>
    </w:p>
    <w:p w14:paraId="3BD12D50">
      <w:pPr>
        <w:pStyle w:val="11"/>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本合同经双方法定代表人/主要负责人或授权代表人签字盖章后生效。合同执行期内，除合同约定的解除情况，甲乙双方均不得随意变更或解除合同。对本合同的任何修改和补充，应以书面形式做出并经法定代表人/主要负责人或双方授权代表人签字盖章后方为有效，并成为本合同不可分割的组成部分。</w:t>
      </w:r>
    </w:p>
    <w:p w14:paraId="2647A26D">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3.本合同未尽事宜，由双方签订书面协议加以补充，与主合同具有同等法律效力。</w:t>
      </w:r>
    </w:p>
    <w:p w14:paraId="75E12183">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十、组成本合同的文件包括</w:t>
      </w:r>
    </w:p>
    <w:p w14:paraId="42743EA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1、合同格式及条款；</w:t>
      </w:r>
    </w:p>
    <w:p w14:paraId="06E6E6C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和乙方的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 xml:space="preserve">； </w:t>
      </w:r>
    </w:p>
    <w:p w14:paraId="3262AB2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 xml:space="preserve">通知书； </w:t>
      </w:r>
    </w:p>
    <w:p w14:paraId="24F5690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4、甲乙双方商定的其他必要文件。 上述合同文件内容互为补充，如有不明确，由甲方负责解释。</w:t>
      </w:r>
    </w:p>
    <w:p w14:paraId="3814CBEC">
      <w:pPr>
        <w:pStyle w:val="11"/>
        <w:rPr>
          <w:rFonts w:hint="eastAsia" w:ascii="宋体" w:hAnsi="宋体" w:eastAsia="宋体" w:cs="宋体"/>
          <w:sz w:val="24"/>
          <w:szCs w:val="24"/>
          <w:highlight w:val="none"/>
        </w:rPr>
      </w:pPr>
    </w:p>
    <w:p w14:paraId="24C4C988">
      <w:pPr>
        <w:pStyle w:val="11"/>
        <w:rPr>
          <w:rFonts w:hint="eastAsia" w:ascii="宋体" w:hAnsi="宋体" w:eastAsia="宋体" w:cs="宋体"/>
          <w:sz w:val="24"/>
          <w:szCs w:val="24"/>
          <w:highlight w:val="none"/>
        </w:rPr>
      </w:pPr>
    </w:p>
    <w:p w14:paraId="6782AA02">
      <w:pPr>
        <w:pStyle w:val="11"/>
        <w:rPr>
          <w:rFonts w:hint="eastAsia" w:ascii="宋体" w:hAnsi="宋体" w:eastAsia="宋体" w:cs="宋体"/>
          <w:sz w:val="24"/>
          <w:szCs w:val="24"/>
          <w:highlight w:val="none"/>
        </w:rPr>
      </w:pPr>
    </w:p>
    <w:tbl>
      <w:tblPr>
        <w:tblStyle w:val="21"/>
        <w:tblW w:w="9286" w:type="dxa"/>
        <w:jc w:val="center"/>
        <w:tblLayout w:type="fixed"/>
        <w:tblCellMar>
          <w:top w:w="0" w:type="dxa"/>
          <w:left w:w="108" w:type="dxa"/>
          <w:bottom w:w="0" w:type="dxa"/>
          <w:right w:w="108" w:type="dxa"/>
        </w:tblCellMar>
      </w:tblPr>
      <w:tblGrid>
        <w:gridCol w:w="4643"/>
        <w:gridCol w:w="4643"/>
      </w:tblGrid>
      <w:tr w14:paraId="3C8F35F4">
        <w:tblPrEx>
          <w:tblCellMar>
            <w:top w:w="0" w:type="dxa"/>
            <w:left w:w="108" w:type="dxa"/>
            <w:bottom w:w="0" w:type="dxa"/>
            <w:right w:w="108" w:type="dxa"/>
          </w:tblCellMar>
        </w:tblPrEx>
        <w:trPr>
          <w:jc w:val="center"/>
        </w:trPr>
        <w:tc>
          <w:tcPr>
            <w:tcW w:w="4643" w:type="dxa"/>
          </w:tcPr>
          <w:p w14:paraId="0C4884A9">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甲方名称</w:t>
            </w:r>
            <w:r>
              <w:rPr>
                <w:rFonts w:hint="eastAsia" w:ascii="宋体" w:hAnsi="宋体"/>
                <w:color w:val="000000" w:themeColor="text1"/>
                <w:spacing w:val="-20"/>
                <w:kern w:val="0"/>
                <w:sz w:val="24"/>
                <w:highlight w:val="none"/>
                <w14:textFill>
                  <w14:solidFill>
                    <w14:schemeClr w14:val="tx1"/>
                  </w14:solidFill>
                </w14:textFill>
              </w:rPr>
              <w:t>（盖章）</w:t>
            </w:r>
            <w:r>
              <w:rPr>
                <w:rFonts w:hint="eastAsia" w:ascii="宋体" w:hAnsi="宋体"/>
                <w:color w:val="000000" w:themeColor="text1"/>
                <w:kern w:val="0"/>
                <w:sz w:val="24"/>
                <w:highlight w:val="none"/>
                <w14:textFill>
                  <w14:solidFill>
                    <w14:schemeClr w14:val="tx1"/>
                  </w14:solidFill>
                </w14:textFill>
              </w:rPr>
              <w:t>:</w:t>
            </w:r>
          </w:p>
          <w:p w14:paraId="7EF36342">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地址：</w:t>
            </w:r>
          </w:p>
          <w:p w14:paraId="40B0EB42">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代表人（签字）：</w:t>
            </w:r>
          </w:p>
          <w:p w14:paraId="732AA911">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电话：</w:t>
            </w:r>
          </w:p>
          <w:p w14:paraId="24C12700">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w:t>
            </w:r>
          </w:p>
          <w:p w14:paraId="3060D369">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帐号：</w:t>
            </w:r>
          </w:p>
        </w:tc>
        <w:tc>
          <w:tcPr>
            <w:tcW w:w="4643" w:type="dxa"/>
          </w:tcPr>
          <w:p w14:paraId="1FEB56B3">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乙方名称</w:t>
            </w:r>
            <w:r>
              <w:rPr>
                <w:rFonts w:hint="eastAsia" w:ascii="宋体" w:hAnsi="宋体"/>
                <w:color w:val="000000" w:themeColor="text1"/>
                <w:spacing w:val="-20"/>
                <w:kern w:val="0"/>
                <w:sz w:val="24"/>
                <w:highlight w:val="none"/>
                <w14:textFill>
                  <w14:solidFill>
                    <w14:schemeClr w14:val="tx1"/>
                  </w14:solidFill>
                </w14:textFill>
              </w:rPr>
              <w:t>（盖章）</w:t>
            </w:r>
            <w:r>
              <w:rPr>
                <w:rFonts w:hint="eastAsia" w:ascii="宋体" w:hAnsi="宋体"/>
                <w:color w:val="000000" w:themeColor="text1"/>
                <w:kern w:val="0"/>
                <w:sz w:val="24"/>
                <w:highlight w:val="none"/>
                <w14:textFill>
                  <w14:solidFill>
                    <w14:schemeClr w14:val="tx1"/>
                  </w14:solidFill>
                </w14:textFill>
              </w:rPr>
              <w:t>:</w:t>
            </w:r>
          </w:p>
          <w:p w14:paraId="768E84F0">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地址：</w:t>
            </w:r>
          </w:p>
          <w:p w14:paraId="1F16EDFF">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代表人（签字）：</w:t>
            </w:r>
          </w:p>
          <w:p w14:paraId="175A8165">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电话：</w:t>
            </w:r>
          </w:p>
          <w:p w14:paraId="468195C3">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w:t>
            </w:r>
          </w:p>
          <w:p w14:paraId="6595B008">
            <w:pPr>
              <w:widowControl/>
              <w:autoSpaceDE w:val="0"/>
              <w:autoSpaceDN w:val="0"/>
              <w:snapToGrid w:val="0"/>
              <w:spacing w:line="440" w:lineRule="exact"/>
              <w:ind w:right="-154"/>
              <w:textAlignment w:val="bottom"/>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帐号：</w:t>
            </w:r>
          </w:p>
        </w:tc>
      </w:tr>
    </w:tbl>
    <w:p w14:paraId="283AF9E9">
      <w:pPr>
        <w:numPr>
          <w:ilvl w:val="0"/>
          <w:numId w:val="0"/>
        </w:numPr>
        <w:rPr>
          <w:highlight w:val="none"/>
        </w:rPr>
      </w:pPr>
    </w:p>
    <w:p w14:paraId="566A45CA">
      <w:pPr>
        <w:numPr>
          <w:ilvl w:val="0"/>
          <w:numId w:val="0"/>
        </w:numPr>
        <w:rPr>
          <w:highlight w:val="none"/>
        </w:rPr>
      </w:pPr>
    </w:p>
    <w:p w14:paraId="3312D972">
      <w:pPr>
        <w:numPr>
          <w:ilvl w:val="0"/>
          <w:numId w:val="0"/>
        </w:numPr>
        <w:rPr>
          <w:rFonts w:hint="default"/>
          <w:highlight w:val="none"/>
          <w:lang w:val="en-US" w:eastAsia="zh-CN"/>
        </w:rPr>
      </w:pPr>
    </w:p>
    <w:p w14:paraId="7F56F945">
      <w:pPr>
        <w:pStyle w:val="2"/>
        <w:rPr>
          <w:rFonts w:hint="eastAsia"/>
          <w:color w:val="000000" w:themeColor="text1"/>
          <w:highlight w:val="none"/>
          <w14:textFill>
            <w14:solidFill>
              <w14:schemeClr w14:val="tx1"/>
            </w14:solidFill>
          </w14:textFill>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p>
    <w:p w14:paraId="59261AB3">
      <w:pPr>
        <w:pStyle w:val="2"/>
        <w:rPr>
          <w:rFonts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  竞争性磋商响应文件格式</w:t>
      </w:r>
      <w:bookmarkEnd w:id="17"/>
      <w:bookmarkEnd w:id="25"/>
    </w:p>
    <w:p w14:paraId="12335740">
      <w:pPr>
        <w:adjustRightInd w:val="0"/>
        <w:snapToGrid w:val="0"/>
        <w:spacing w:line="360" w:lineRule="auto"/>
        <w:ind w:right="600"/>
        <w:jc w:val="righ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（正本或副本）</w:t>
      </w:r>
    </w:p>
    <w:p w14:paraId="3CB92C57">
      <w:pPr>
        <w:wordWrap w:val="0"/>
        <w:spacing w:line="480" w:lineRule="auto"/>
        <w:ind w:right="98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p>
    <w:p w14:paraId="7EE10FE6">
      <w:pPr>
        <w:spacing w:line="360" w:lineRule="auto"/>
        <w:rPr>
          <w:rFonts w:ascii="宋体" w:hAnsi="宋体" w:cs="宋体"/>
          <w:b/>
          <w:color w:val="000000" w:themeColor="text1"/>
          <w:sz w:val="24"/>
          <w:highlight w:val="none"/>
          <w14:textFill>
            <w14:solidFill>
              <w14:schemeClr w14:val="tx1"/>
            </w14:solidFill>
          </w14:textFill>
        </w:rPr>
      </w:pPr>
    </w:p>
    <w:p w14:paraId="72314402">
      <w:pPr>
        <w:adjustRightInd w:val="0"/>
        <w:snapToGrid w:val="0"/>
        <w:spacing w:line="360" w:lineRule="auto"/>
        <w:jc w:val="center"/>
        <w:rPr>
          <w:rFonts w:hint="eastAsia" w:ascii="宋体" w:hAnsi="宋体" w:eastAsia="宋体" w:cs="宋体"/>
          <w:b/>
          <w:color w:val="000000" w:themeColor="text1"/>
          <w:sz w:val="48"/>
          <w:szCs w:val="48"/>
          <w:highlight w:val="none"/>
          <w:lang w:val="en-US" w:eastAsia="zh-CN"/>
          <w14:textFill>
            <w14:solidFill>
              <w14:schemeClr w14:val="tx1"/>
            </w14:solidFill>
          </w14:textFill>
        </w:rPr>
      </w:pPr>
      <w:r>
        <w:rPr>
          <w:rFonts w:hint="eastAsia" w:ascii="宋体" w:hAnsi="宋体" w:cs="宋体"/>
          <w:b/>
          <w:color w:val="000000" w:themeColor="text1"/>
          <w:sz w:val="48"/>
          <w:szCs w:val="48"/>
          <w:highlight w:val="none"/>
          <w:lang w:val="en-US" w:eastAsia="zh-CN"/>
          <w14:textFill>
            <w14:solidFill>
              <w14:schemeClr w14:val="tx1"/>
            </w14:solidFill>
          </w14:textFill>
        </w:rPr>
        <w:t>富平县第二人民医院信息化升级改造项目</w:t>
      </w:r>
    </w:p>
    <w:p w14:paraId="77731254">
      <w:pPr>
        <w:adjustRightInd w:val="0"/>
        <w:snapToGrid w:val="0"/>
        <w:spacing w:line="360" w:lineRule="auto"/>
        <w:jc w:val="center"/>
        <w:rPr>
          <w:rFonts w:hint="eastAsia" w:ascii="宋体" w:hAnsi="宋体" w:cs="宋体"/>
          <w:b/>
          <w:color w:val="000000" w:themeColor="text1"/>
          <w:sz w:val="48"/>
          <w:szCs w:val="48"/>
          <w:highlight w:val="none"/>
          <w14:textFill>
            <w14:solidFill>
              <w14:schemeClr w14:val="tx1"/>
            </w14:solidFill>
          </w14:textFill>
        </w:rPr>
      </w:pPr>
    </w:p>
    <w:p w14:paraId="162538A6">
      <w:pPr>
        <w:adjustRightInd w:val="0"/>
        <w:snapToGrid w:val="0"/>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竞争性磋商响应文件</w:t>
      </w:r>
    </w:p>
    <w:p w14:paraId="39779B6B">
      <w:pPr>
        <w:adjustRightInd w:val="0"/>
        <w:snapToGrid w:val="0"/>
        <w:spacing w:line="360" w:lineRule="auto"/>
        <w:jc w:val="center"/>
        <w:rPr>
          <w:rFonts w:ascii="宋体" w:hAnsi="宋体" w:cs="宋体"/>
          <w:b/>
          <w:color w:val="000000" w:themeColor="text1"/>
          <w:sz w:val="32"/>
          <w:szCs w:val="32"/>
          <w:highlight w:val="none"/>
          <w14:textFill>
            <w14:solidFill>
              <w14:schemeClr w14:val="tx1"/>
            </w14:solidFill>
          </w14:textFill>
        </w:rPr>
      </w:pPr>
    </w:p>
    <w:p w14:paraId="0363AB6E">
      <w:pPr>
        <w:adjustRightInd w:val="0"/>
        <w:snapToGrid w:val="0"/>
        <w:spacing w:line="360" w:lineRule="auto"/>
        <w:jc w:val="center"/>
        <w:rPr>
          <w:rFonts w:ascii="宋体" w:hAnsi="宋体" w:cs="宋体"/>
          <w:b/>
          <w:color w:val="000000" w:themeColor="text1"/>
          <w:sz w:val="4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（格式）</w:t>
      </w:r>
    </w:p>
    <w:p w14:paraId="1ED879A5">
      <w:pPr>
        <w:adjustRightInd w:val="0"/>
        <w:snapToGrid w:val="0"/>
        <w:spacing w:line="360" w:lineRule="auto"/>
        <w:jc w:val="center"/>
        <w:rPr>
          <w:rFonts w:ascii="宋体" w:hAnsi="宋体" w:cs="宋体"/>
          <w:b/>
          <w:color w:val="000000" w:themeColor="text1"/>
          <w:sz w:val="30"/>
          <w:highlight w:val="none"/>
          <w14:textFill>
            <w14:solidFill>
              <w14:schemeClr w14:val="tx1"/>
            </w14:solidFill>
          </w14:textFill>
        </w:rPr>
      </w:pPr>
    </w:p>
    <w:p w14:paraId="65EAE7FC">
      <w:pPr>
        <w:adjustRightInd w:val="0"/>
        <w:snapToGrid w:val="0"/>
        <w:spacing w:line="360" w:lineRule="auto"/>
        <w:jc w:val="center"/>
        <w:rPr>
          <w:rFonts w:ascii="宋体" w:hAnsi="宋体" w:cs="宋体"/>
          <w:b/>
          <w:color w:val="000000" w:themeColor="text1"/>
          <w:sz w:val="30"/>
          <w:highlight w:val="none"/>
          <w14:textFill>
            <w14:solidFill>
              <w14:schemeClr w14:val="tx1"/>
            </w14:solidFill>
          </w14:textFill>
        </w:rPr>
      </w:pPr>
    </w:p>
    <w:p w14:paraId="537A54B6">
      <w:pPr>
        <w:spacing w:line="800" w:lineRule="exact"/>
        <w:ind w:firstLine="482" w:firstLineChars="150"/>
        <w:rPr>
          <w:rFonts w:ascii="宋体" w:hAnsi="宋体"/>
          <w:b/>
          <w:color w:val="FFFFFF"/>
          <w:highlight w:val="none"/>
          <w:u w:val="single"/>
        </w:rPr>
      </w:pPr>
      <w:r>
        <w:rPr>
          <w:rFonts w:hint="eastAsia" w:ascii="宋体" w:hAnsi="宋体"/>
          <w:b/>
          <w:sz w:val="32"/>
          <w:szCs w:val="32"/>
          <w:highlight w:val="none"/>
        </w:rPr>
        <w:t>项  目 编 号：</w:t>
      </w:r>
      <w:r>
        <w:rPr>
          <w:rFonts w:hint="eastAsia" w:ascii="宋体" w:hAnsi="宋体"/>
          <w:b/>
          <w:highlight w:val="none"/>
          <w:u w:val="single"/>
        </w:rPr>
        <w:t xml:space="preserve">                                                </w:t>
      </w:r>
      <w:r>
        <w:rPr>
          <w:rFonts w:hint="eastAsia" w:ascii="宋体" w:hAnsi="宋体"/>
          <w:b/>
          <w:color w:val="FFFFFF"/>
          <w:highlight w:val="none"/>
          <w:u w:val="single"/>
        </w:rPr>
        <w:t>.</w:t>
      </w:r>
    </w:p>
    <w:p w14:paraId="23E29B7B">
      <w:pPr>
        <w:spacing w:line="800" w:lineRule="exact"/>
        <w:ind w:firstLine="316" w:firstLineChars="150"/>
        <w:rPr>
          <w:rFonts w:ascii="宋体" w:hAnsi="宋体"/>
          <w:b/>
          <w:highlight w:val="none"/>
          <w:u w:val="single"/>
        </w:rPr>
      </w:pPr>
      <w:r>
        <w:rPr>
          <w:rFonts w:hint="eastAsia" w:ascii="宋体" w:hAnsi="宋体"/>
          <w:b/>
          <w:highlight w:val="none"/>
          <w:u w:val="single"/>
        </w:rPr>
        <w:t xml:space="preserve">    </w:t>
      </w:r>
    </w:p>
    <w:p w14:paraId="69A8B70E">
      <w:pPr>
        <w:spacing w:line="800" w:lineRule="exact"/>
        <w:ind w:firstLine="482" w:firstLineChars="150"/>
        <w:rPr>
          <w:rFonts w:ascii="宋体" w:hAnsi="宋体"/>
          <w:b/>
          <w:highlight w:val="none"/>
          <w:u w:val="single"/>
        </w:rPr>
      </w:pPr>
      <w:r>
        <w:rPr>
          <w:rFonts w:hint="eastAsia" w:ascii="宋体" w:hAnsi="宋体"/>
          <w:b/>
          <w:sz w:val="32"/>
          <w:szCs w:val="32"/>
          <w:highlight w:val="none"/>
        </w:rPr>
        <w:t>供   应   商：</w:t>
      </w:r>
      <w:r>
        <w:rPr>
          <w:rFonts w:hint="eastAsia" w:ascii="宋体" w:hAnsi="宋体"/>
          <w:b/>
          <w:highlight w:val="none"/>
          <w:u w:val="single"/>
        </w:rPr>
        <w:t xml:space="preserve">                                    </w:t>
      </w:r>
      <w:r>
        <w:rPr>
          <w:rFonts w:hint="eastAsia" w:ascii="宋体" w:hAnsi="宋体"/>
          <w:b/>
          <w:sz w:val="32"/>
          <w:szCs w:val="32"/>
          <w:highlight w:val="none"/>
          <w:u w:val="single"/>
        </w:rPr>
        <w:t>（</w:t>
      </w:r>
      <w:r>
        <w:rPr>
          <w:rFonts w:hint="eastAsia" w:ascii="宋体" w:hAnsi="宋体"/>
          <w:b/>
          <w:highlight w:val="none"/>
          <w:u w:val="single"/>
        </w:rPr>
        <w:t xml:space="preserve"> </w:t>
      </w:r>
      <w:r>
        <w:rPr>
          <w:rFonts w:hint="eastAsia" w:ascii="宋体" w:hAnsi="宋体"/>
          <w:b/>
          <w:sz w:val="32"/>
          <w:szCs w:val="32"/>
          <w:highlight w:val="none"/>
          <w:u w:val="single"/>
        </w:rPr>
        <w:t>盖章）</w:t>
      </w:r>
      <w:r>
        <w:rPr>
          <w:rFonts w:hint="eastAsia" w:ascii="宋体" w:hAnsi="宋体"/>
          <w:b/>
          <w:color w:val="FFFFFF"/>
          <w:highlight w:val="none"/>
          <w:u w:val="single"/>
        </w:rPr>
        <w:t>.</w:t>
      </w:r>
      <w:r>
        <w:rPr>
          <w:rFonts w:hint="eastAsia" w:ascii="宋体" w:hAnsi="宋体"/>
          <w:b/>
          <w:highlight w:val="none"/>
          <w:u w:val="single"/>
        </w:rPr>
        <w:t xml:space="preserve">  </w:t>
      </w:r>
    </w:p>
    <w:p w14:paraId="79A22975">
      <w:pPr>
        <w:spacing w:line="800" w:lineRule="exact"/>
        <w:ind w:firstLine="316" w:firstLineChars="150"/>
        <w:rPr>
          <w:rFonts w:ascii="宋体" w:hAnsi="宋体"/>
          <w:b/>
          <w:highlight w:val="none"/>
          <w:u w:val="single"/>
        </w:rPr>
      </w:pPr>
      <w:r>
        <w:rPr>
          <w:rFonts w:hint="eastAsia" w:ascii="宋体" w:hAnsi="宋体"/>
          <w:b/>
          <w:highlight w:val="none"/>
          <w:u w:val="single"/>
        </w:rPr>
        <w:t xml:space="preserve">    </w:t>
      </w:r>
    </w:p>
    <w:p w14:paraId="48536169">
      <w:pPr>
        <w:spacing w:line="440" w:lineRule="exact"/>
        <w:ind w:firstLine="482" w:firstLineChars="150"/>
        <w:rPr>
          <w:rFonts w:ascii="宋体" w:hAnsi="宋体"/>
          <w:b/>
          <w:sz w:val="32"/>
          <w:szCs w:val="32"/>
          <w:highlight w:val="none"/>
        </w:rPr>
      </w:pPr>
      <w:r>
        <w:rPr>
          <w:rFonts w:hint="eastAsia" w:ascii="宋体" w:hAnsi="宋体"/>
          <w:b/>
          <w:sz w:val="32"/>
          <w:szCs w:val="32"/>
          <w:highlight w:val="none"/>
        </w:rPr>
        <w:t>法定代表人</w:t>
      </w:r>
      <w:r>
        <w:rPr>
          <w:rFonts w:hint="eastAsia" w:ascii="宋体" w:hAnsi="宋体"/>
          <w:b/>
          <w:sz w:val="32"/>
          <w:szCs w:val="32"/>
          <w:highlight w:val="none"/>
          <w:lang w:val="en-US" w:eastAsia="zh-CN"/>
        </w:rPr>
        <w:t>/负责人</w:t>
      </w:r>
      <w:r>
        <w:rPr>
          <w:rFonts w:hint="eastAsia" w:ascii="宋体" w:hAnsi="宋体"/>
          <w:b/>
          <w:sz w:val="32"/>
          <w:szCs w:val="32"/>
          <w:highlight w:val="none"/>
        </w:rPr>
        <w:t>或</w:t>
      </w:r>
    </w:p>
    <w:p w14:paraId="21D7C29D">
      <w:pPr>
        <w:spacing w:line="440" w:lineRule="exact"/>
        <w:ind w:firstLine="482" w:firstLineChars="150"/>
        <w:rPr>
          <w:rFonts w:ascii="宋体" w:hAnsi="宋体"/>
          <w:b/>
          <w:highlight w:val="none"/>
          <w:u w:val="single"/>
        </w:rPr>
      </w:pPr>
      <w:r>
        <w:rPr>
          <w:rFonts w:hint="eastAsia" w:ascii="宋体" w:hAnsi="宋体"/>
          <w:b/>
          <w:sz w:val="32"/>
          <w:szCs w:val="32"/>
          <w:highlight w:val="none"/>
        </w:rPr>
        <w:t xml:space="preserve">其委托代理人： </w:t>
      </w:r>
      <w:r>
        <w:rPr>
          <w:rFonts w:hint="eastAsia" w:ascii="宋体" w:hAnsi="宋体"/>
          <w:b/>
          <w:highlight w:val="none"/>
          <w:u w:val="single"/>
        </w:rPr>
        <w:t xml:space="preserve">                          </w:t>
      </w:r>
      <w:r>
        <w:rPr>
          <w:rFonts w:hint="eastAsia" w:ascii="宋体" w:hAnsi="宋体"/>
          <w:b/>
          <w:sz w:val="32"/>
          <w:szCs w:val="32"/>
          <w:highlight w:val="none"/>
          <w:u w:val="single"/>
        </w:rPr>
        <w:t>（签字或盖章）</w:t>
      </w:r>
      <w:r>
        <w:rPr>
          <w:rFonts w:hint="eastAsia" w:ascii="宋体" w:hAnsi="宋体"/>
          <w:b/>
          <w:highlight w:val="none"/>
          <w:u w:val="single"/>
        </w:rPr>
        <w:t xml:space="preserve">  </w:t>
      </w:r>
    </w:p>
    <w:p w14:paraId="0AF377B3">
      <w:pPr>
        <w:spacing w:line="440" w:lineRule="exact"/>
        <w:ind w:firstLine="316" w:firstLineChars="150"/>
        <w:rPr>
          <w:rFonts w:ascii="宋体" w:hAnsi="宋体"/>
          <w:b/>
          <w:highlight w:val="none"/>
          <w:u w:val="single"/>
        </w:rPr>
      </w:pPr>
      <w:r>
        <w:rPr>
          <w:rFonts w:hint="eastAsia" w:ascii="宋体" w:hAnsi="宋体"/>
          <w:b/>
          <w:highlight w:val="none"/>
          <w:u w:val="single"/>
        </w:rPr>
        <w:t xml:space="preserve"> </w:t>
      </w:r>
    </w:p>
    <w:p w14:paraId="0E3A891C">
      <w:pPr>
        <w:rPr>
          <w:rFonts w:ascii="宋体" w:hAnsi="宋体"/>
          <w:b/>
          <w:highlight w:val="none"/>
          <w:u w:val="single"/>
        </w:rPr>
      </w:pPr>
    </w:p>
    <w:p w14:paraId="7D24D0E3">
      <w:pPr>
        <w:ind w:firstLine="482" w:firstLineChars="150"/>
        <w:rPr>
          <w:rFonts w:ascii="宋体" w:hAnsi="宋体"/>
          <w:b/>
          <w:sz w:val="32"/>
          <w:szCs w:val="32"/>
          <w:highlight w:val="none"/>
        </w:rPr>
      </w:pPr>
      <w:r>
        <w:rPr>
          <w:rFonts w:hint="eastAsia" w:ascii="宋体" w:hAnsi="宋体"/>
          <w:b/>
          <w:sz w:val="32"/>
          <w:szCs w:val="32"/>
          <w:highlight w:val="none"/>
        </w:rPr>
        <w:t>日        期：</w:t>
      </w:r>
      <w:r>
        <w:rPr>
          <w:rFonts w:hint="eastAsia" w:ascii="宋体" w:hAnsi="宋体"/>
          <w:b/>
          <w:sz w:val="32"/>
          <w:szCs w:val="32"/>
          <w:highlight w:val="none"/>
          <w:u w:val="single"/>
        </w:rPr>
        <w:t xml:space="preserve">         </w:t>
      </w:r>
      <w:r>
        <w:rPr>
          <w:rFonts w:hint="eastAsia" w:ascii="宋体" w:hAnsi="宋体"/>
          <w:b/>
          <w:sz w:val="32"/>
          <w:szCs w:val="32"/>
          <w:highlight w:val="none"/>
        </w:rPr>
        <w:t>年</w:t>
      </w:r>
      <w:r>
        <w:rPr>
          <w:rFonts w:hint="eastAsia" w:ascii="宋体" w:hAnsi="宋体"/>
          <w:b/>
          <w:sz w:val="32"/>
          <w:szCs w:val="32"/>
          <w:highlight w:val="none"/>
          <w:u w:val="single"/>
        </w:rPr>
        <w:t xml:space="preserve">        </w:t>
      </w:r>
      <w:r>
        <w:rPr>
          <w:rFonts w:hint="eastAsia" w:ascii="宋体" w:hAnsi="宋体"/>
          <w:b/>
          <w:sz w:val="32"/>
          <w:szCs w:val="32"/>
          <w:highlight w:val="none"/>
        </w:rPr>
        <w:t>月</w:t>
      </w:r>
      <w:r>
        <w:rPr>
          <w:rFonts w:hint="eastAsia" w:ascii="宋体" w:hAnsi="宋体"/>
          <w:b/>
          <w:sz w:val="32"/>
          <w:szCs w:val="32"/>
          <w:highlight w:val="none"/>
          <w:u w:val="single"/>
        </w:rPr>
        <w:t xml:space="preserve">          </w:t>
      </w:r>
      <w:r>
        <w:rPr>
          <w:rFonts w:hint="eastAsia" w:ascii="宋体" w:hAnsi="宋体"/>
          <w:b/>
          <w:sz w:val="32"/>
          <w:szCs w:val="32"/>
          <w:highlight w:val="none"/>
        </w:rPr>
        <w:t>日</w:t>
      </w:r>
    </w:p>
    <w:p w14:paraId="032756BA">
      <w:pPr>
        <w:adjustRightInd w:val="0"/>
        <w:snapToGrid w:val="0"/>
        <w:spacing w:line="360" w:lineRule="auto"/>
        <w:rPr>
          <w:rFonts w:ascii="宋体" w:hAnsi="宋体" w:cs="宋体"/>
          <w:b/>
          <w:color w:val="000000" w:themeColor="text1"/>
          <w:sz w:val="19"/>
          <w:highlight w:val="none"/>
          <w14:textFill>
            <w14:solidFill>
              <w14:schemeClr w14:val="tx1"/>
            </w14:solidFill>
          </w14:textFill>
        </w:rPr>
      </w:pPr>
    </w:p>
    <w:p w14:paraId="6358F807">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D1D5B35">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竞争性磋商响应文件编制说明</w:t>
      </w:r>
    </w:p>
    <w:p w14:paraId="46AFC0BD">
      <w:pPr>
        <w:spacing w:line="360" w:lineRule="auto"/>
        <w:rPr>
          <w:rFonts w:ascii="宋体" w:hAnsi="宋体" w:cs="宋体"/>
          <w:color w:val="000000" w:themeColor="text1"/>
          <w:sz w:val="24"/>
          <w:highlight w:val="none"/>
          <w14:textFill>
            <w14:solidFill>
              <w14:schemeClr w14:val="tx1"/>
            </w14:solidFill>
          </w14:textFill>
        </w:rPr>
      </w:pPr>
    </w:p>
    <w:p w14:paraId="18058A8F">
      <w:pPr>
        <w:spacing w:line="480" w:lineRule="auto"/>
        <w:ind w:left="105" w:leftChars="50"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中智投工程管理有限公司</w:t>
      </w:r>
      <w:r>
        <w:rPr>
          <w:rFonts w:hint="eastAsia" w:ascii="宋体" w:hAnsi="宋体" w:cs="宋体"/>
          <w:color w:val="000000" w:themeColor="text1"/>
          <w:sz w:val="24"/>
          <w:highlight w:val="none"/>
          <w14:textFill>
            <w14:solidFill>
              <w14:schemeClr w14:val="tx1"/>
            </w14:solidFill>
          </w14:textFill>
        </w:rPr>
        <w:t>提供的竞争性磋商文件格式，起到样式作用，编制竞争性磋商响应文件前，请详细阅读竞争性磋商文件，理解文件中的每一项要求。</w:t>
      </w:r>
    </w:p>
    <w:p w14:paraId="782780B7">
      <w:pPr>
        <w:spacing w:line="480" w:lineRule="auto"/>
        <w:ind w:left="120" w:hanging="120" w:hanging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2、竞争性磋商响应文件的编制应按照样本格式提供的内容，做出逐一明确的答复；供应商认为有必要，还可以做其它补充说明。</w:t>
      </w:r>
    </w:p>
    <w:p w14:paraId="3A08A234">
      <w:pPr>
        <w:spacing w:line="480" w:lineRule="auto"/>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3、全部编制完成，并加盖印章后，竞争性磋商响应文件正、副本应分别装订成册。</w:t>
      </w:r>
    </w:p>
    <w:p w14:paraId="6B13771F">
      <w:pPr>
        <w:spacing w:line="480" w:lineRule="auto"/>
        <w:ind w:left="105" w:hanging="105" w:hangingChars="50"/>
        <w:rPr>
          <w:rFonts w:ascii="宋体" w:hAnsi="宋体" w:cs="宋体"/>
          <w:color w:val="000000" w:themeColor="text1"/>
          <w:highlight w:val="none"/>
          <w14:textFill>
            <w14:solidFill>
              <w14:schemeClr w14:val="tx1"/>
            </w14:solidFill>
          </w14:textFill>
        </w:rPr>
      </w:pPr>
    </w:p>
    <w:p w14:paraId="1A8E1C24">
      <w:pPr>
        <w:spacing w:line="480" w:lineRule="auto"/>
        <w:ind w:left="120" w:hanging="120" w:hangingChars="50"/>
        <w:rPr>
          <w:rFonts w:ascii="宋体" w:hAnsi="宋体" w:cs="宋体"/>
          <w:color w:val="000000" w:themeColor="text1"/>
          <w:sz w:val="24"/>
          <w:highlight w:val="none"/>
          <w14:textFill>
            <w14:solidFill>
              <w14:schemeClr w14:val="tx1"/>
            </w14:solidFill>
          </w14:textFill>
        </w:rPr>
      </w:pPr>
    </w:p>
    <w:p w14:paraId="47B5BF71">
      <w:pPr>
        <w:spacing w:line="480" w:lineRule="auto"/>
        <w:ind w:left="120" w:hanging="120" w:hangingChar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2D2A1F65">
      <w:pPr>
        <w:spacing w:line="480" w:lineRule="auto"/>
        <w:ind w:left="220" w:hanging="220" w:hangingChars="50"/>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目      录</w:t>
      </w:r>
    </w:p>
    <w:p w14:paraId="51CCCD54">
      <w:pPr>
        <w:rPr>
          <w:rFonts w:ascii="宋体" w:hAnsi="宋体" w:cs="宋体"/>
          <w:color w:val="000000" w:themeColor="text1"/>
          <w:sz w:val="36"/>
          <w:szCs w:val="36"/>
          <w:highlight w:val="none"/>
          <w14:textFill>
            <w14:solidFill>
              <w14:schemeClr w14:val="tx1"/>
            </w14:solidFill>
          </w14:textFill>
        </w:rPr>
      </w:pPr>
    </w:p>
    <w:p w14:paraId="56CC421D">
      <w:pPr>
        <w:spacing w:line="600" w:lineRule="auto"/>
        <w:ind w:firstLine="2403" w:firstLineChars="801"/>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一、磋商函</w:t>
      </w:r>
    </w:p>
    <w:p w14:paraId="127AD022">
      <w:pPr>
        <w:spacing w:line="600" w:lineRule="auto"/>
        <w:ind w:firstLine="2403" w:firstLineChars="801"/>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二、法定代表人</w:t>
      </w:r>
      <w:r>
        <w:rPr>
          <w:rFonts w:hint="eastAsia" w:ascii="宋体" w:hAnsi="宋体" w:cs="宋体"/>
          <w:bCs/>
          <w:color w:val="000000" w:themeColor="text1"/>
          <w:sz w:val="30"/>
          <w:szCs w:val="30"/>
          <w:highlight w:val="none"/>
          <w:lang w:val="en-US" w:eastAsia="zh-CN"/>
          <w14:textFill>
            <w14:solidFill>
              <w14:schemeClr w14:val="tx1"/>
            </w14:solidFill>
          </w14:textFill>
        </w:rPr>
        <w:t>/负责人</w:t>
      </w:r>
      <w:r>
        <w:rPr>
          <w:rFonts w:hint="eastAsia" w:ascii="宋体" w:hAnsi="宋体" w:cs="宋体"/>
          <w:bCs/>
          <w:color w:val="000000" w:themeColor="text1"/>
          <w:sz w:val="30"/>
          <w:szCs w:val="30"/>
          <w:highlight w:val="none"/>
          <w14:textFill>
            <w14:solidFill>
              <w14:schemeClr w14:val="tx1"/>
            </w14:solidFill>
          </w14:textFill>
        </w:rPr>
        <w:t>证明书</w:t>
      </w:r>
    </w:p>
    <w:p w14:paraId="686C1CF2">
      <w:pPr>
        <w:spacing w:line="600" w:lineRule="auto"/>
        <w:ind w:firstLine="2403" w:firstLineChars="801"/>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三、法定代表人</w:t>
      </w:r>
      <w:r>
        <w:rPr>
          <w:rFonts w:hint="eastAsia" w:ascii="宋体" w:hAnsi="宋体" w:cs="宋体"/>
          <w:bCs/>
          <w:color w:val="000000" w:themeColor="text1"/>
          <w:sz w:val="30"/>
          <w:szCs w:val="30"/>
          <w:highlight w:val="none"/>
          <w:lang w:val="en-US" w:eastAsia="zh-CN"/>
          <w14:textFill>
            <w14:solidFill>
              <w14:schemeClr w14:val="tx1"/>
            </w14:solidFill>
          </w14:textFill>
        </w:rPr>
        <w:t>/负责人</w:t>
      </w:r>
      <w:r>
        <w:rPr>
          <w:rFonts w:hint="eastAsia" w:ascii="宋体" w:hAnsi="宋体" w:cs="宋体"/>
          <w:bCs/>
          <w:color w:val="000000" w:themeColor="text1"/>
          <w:sz w:val="30"/>
          <w:szCs w:val="30"/>
          <w:highlight w:val="none"/>
          <w14:textFill>
            <w14:solidFill>
              <w14:schemeClr w14:val="tx1"/>
            </w14:solidFill>
          </w14:textFill>
        </w:rPr>
        <w:t>授权书</w:t>
      </w:r>
    </w:p>
    <w:p w14:paraId="26FCE387">
      <w:pPr>
        <w:spacing w:line="600" w:lineRule="auto"/>
        <w:ind w:firstLine="2403" w:firstLineChars="801"/>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四、报价一</w:t>
      </w:r>
      <w:r>
        <w:rPr>
          <w:rFonts w:hint="eastAsia" w:ascii="宋体" w:hAnsi="宋体" w:cs="宋体"/>
          <w:bCs/>
          <w:color w:val="000000" w:themeColor="text1"/>
          <w:sz w:val="30"/>
          <w:szCs w:val="30"/>
          <w:highlight w:val="none"/>
          <w14:textFill>
            <w14:solidFill>
              <w14:schemeClr w14:val="tx1"/>
            </w14:solidFill>
          </w14:textFill>
        </w:rPr>
        <w:t>览表</w:t>
      </w:r>
    </w:p>
    <w:p w14:paraId="15BA7AA3">
      <w:pPr>
        <w:spacing w:line="600" w:lineRule="auto"/>
        <w:ind w:firstLine="2403" w:firstLineChars="801"/>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五、商务偏离表</w:t>
      </w:r>
    </w:p>
    <w:p w14:paraId="5A9B0645">
      <w:pPr>
        <w:spacing w:line="600" w:lineRule="auto"/>
        <w:ind w:firstLine="2403" w:firstLineChars="801"/>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lang w:val="en-US" w:eastAsia="zh-CN"/>
          <w14:textFill>
            <w14:solidFill>
              <w14:schemeClr w14:val="tx1"/>
            </w14:solidFill>
          </w14:textFill>
        </w:rPr>
        <w:t>六</w:t>
      </w:r>
      <w:r>
        <w:rPr>
          <w:rFonts w:hint="eastAsia" w:ascii="宋体" w:hAnsi="宋体" w:cs="宋体"/>
          <w:bCs/>
          <w:color w:val="000000" w:themeColor="text1"/>
          <w:sz w:val="30"/>
          <w:szCs w:val="30"/>
          <w:highlight w:val="none"/>
          <w14:textFill>
            <w14:solidFill>
              <w14:schemeClr w14:val="tx1"/>
            </w14:solidFill>
          </w14:textFill>
        </w:rPr>
        <w:t>、相关证明材料</w:t>
      </w:r>
    </w:p>
    <w:p w14:paraId="24D31A9B">
      <w:pPr>
        <w:spacing w:line="600" w:lineRule="auto"/>
        <w:ind w:firstLine="2403" w:firstLineChars="801"/>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lang w:val="en-US" w:eastAsia="zh-CN"/>
          <w14:textFill>
            <w14:solidFill>
              <w14:schemeClr w14:val="tx1"/>
            </w14:solidFill>
          </w14:textFill>
        </w:rPr>
        <w:t>七</w:t>
      </w:r>
      <w:r>
        <w:rPr>
          <w:rFonts w:hint="eastAsia" w:ascii="宋体" w:hAnsi="宋体" w:cs="宋体"/>
          <w:bCs/>
          <w:color w:val="000000" w:themeColor="text1"/>
          <w:sz w:val="30"/>
          <w:szCs w:val="30"/>
          <w:highlight w:val="none"/>
          <w14:textFill>
            <w14:solidFill>
              <w14:schemeClr w14:val="tx1"/>
            </w14:solidFill>
          </w14:textFill>
        </w:rPr>
        <w:t>、企业完成的类似项目业绩</w:t>
      </w:r>
    </w:p>
    <w:p w14:paraId="5FE4B7D8">
      <w:pPr>
        <w:spacing w:line="600" w:lineRule="auto"/>
        <w:ind w:firstLine="2403" w:firstLineChars="801"/>
        <w:rPr>
          <w:rFonts w:hint="eastAsia"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lang w:val="en-US" w:eastAsia="zh-CN"/>
          <w14:textFill>
            <w14:solidFill>
              <w14:schemeClr w14:val="tx1"/>
            </w14:solidFill>
          </w14:textFill>
        </w:rPr>
        <w:t>八</w:t>
      </w:r>
      <w:r>
        <w:rPr>
          <w:rFonts w:hint="eastAsia" w:ascii="宋体" w:hAnsi="宋体" w:cs="宋体"/>
          <w:bCs/>
          <w:color w:val="000000" w:themeColor="text1"/>
          <w:sz w:val="30"/>
          <w:szCs w:val="30"/>
          <w:highlight w:val="none"/>
          <w14:textFill>
            <w14:solidFill>
              <w14:schemeClr w14:val="tx1"/>
            </w14:solidFill>
          </w14:textFill>
        </w:rPr>
        <w:t>、技术服务方案</w:t>
      </w:r>
    </w:p>
    <w:p w14:paraId="469F6EC9">
      <w:pPr>
        <w:spacing w:line="600" w:lineRule="auto"/>
        <w:ind w:left="2386" w:leftChars="1136" w:firstLine="0" w:firstLineChars="0"/>
        <w:rPr>
          <w:rFonts w:hint="eastAsia" w:ascii="宋体" w:hAnsi="宋体" w:cs="宋体"/>
          <w:bCs/>
          <w:color w:val="000000" w:themeColor="text1"/>
          <w:sz w:val="30"/>
          <w:szCs w:val="30"/>
          <w:highlight w:val="none"/>
          <w:lang w:val="en-US" w:eastAsia="zh-CN"/>
          <w14:textFill>
            <w14:solidFill>
              <w14:schemeClr w14:val="tx1"/>
            </w14:solidFill>
          </w14:textFill>
        </w:rPr>
      </w:pPr>
      <w:r>
        <w:rPr>
          <w:rFonts w:hint="eastAsia" w:ascii="宋体" w:hAnsi="宋体" w:cs="宋体"/>
          <w:bCs/>
          <w:color w:val="000000" w:themeColor="text1"/>
          <w:sz w:val="30"/>
          <w:szCs w:val="30"/>
          <w:highlight w:val="none"/>
          <w:lang w:val="en-US" w:eastAsia="zh-CN"/>
          <w14:textFill>
            <w14:solidFill>
              <w14:schemeClr w14:val="tx1"/>
            </w14:solidFill>
          </w14:textFill>
        </w:rPr>
        <w:t>九、陕西省政府采购供应商拒绝政府采购领域商业贿赂承诺书</w:t>
      </w:r>
    </w:p>
    <w:p w14:paraId="2233CF6D">
      <w:pPr>
        <w:spacing w:line="600" w:lineRule="auto"/>
        <w:ind w:firstLine="2403" w:firstLineChars="801"/>
        <w:rPr>
          <w:rFonts w:ascii="宋体" w:hAnsi="宋体" w:cs="宋体"/>
          <w:bCs/>
          <w:color w:val="000000" w:themeColor="text1"/>
          <w:sz w:val="30"/>
          <w:szCs w:val="30"/>
          <w:highlight w:val="none"/>
          <w14:textFill>
            <w14:solidFill>
              <w14:schemeClr w14:val="tx1"/>
            </w14:solidFill>
          </w14:textFill>
        </w:rPr>
      </w:pPr>
    </w:p>
    <w:p w14:paraId="3BEC3B32">
      <w:pPr>
        <w:spacing w:line="360" w:lineRule="auto"/>
        <w:ind w:firstLine="210"/>
        <w:jc w:val="center"/>
        <w:outlineLvl w:val="1"/>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br w:type="page"/>
      </w:r>
      <w:bookmarkStart w:id="26" w:name="_Toc494096889"/>
      <w:r>
        <w:rPr>
          <w:rFonts w:hint="eastAsia" w:ascii="宋体" w:hAnsi="宋体" w:cs="宋体"/>
          <w:b/>
          <w:color w:val="000000" w:themeColor="text1"/>
          <w:sz w:val="32"/>
          <w:szCs w:val="32"/>
          <w:highlight w:val="none"/>
          <w14:textFill>
            <w14:solidFill>
              <w14:schemeClr w14:val="tx1"/>
            </w14:solidFill>
          </w14:textFill>
        </w:rPr>
        <w:t>一、磋商函</w:t>
      </w:r>
      <w:bookmarkEnd w:id="26"/>
    </w:p>
    <w:p w14:paraId="36A7B8F4">
      <w:pPr>
        <w:spacing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中智投工程管理有限公司</w:t>
      </w:r>
      <w:r>
        <w:rPr>
          <w:rFonts w:hint="eastAsia" w:ascii="宋体" w:hAnsi="宋体" w:cs="宋体"/>
          <w:b/>
          <w:color w:val="000000" w:themeColor="text1"/>
          <w:sz w:val="24"/>
          <w:highlight w:val="none"/>
          <w14:textFill>
            <w14:solidFill>
              <w14:schemeClr w14:val="tx1"/>
            </w14:solidFill>
          </w14:textFill>
        </w:rPr>
        <w:t>：</w:t>
      </w:r>
    </w:p>
    <w:p w14:paraId="38A5B097">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我单位收到贵单位项目</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u w:val="single"/>
          <w:lang w:eastAsia="zh-CN"/>
          <w14:textFill>
            <w14:solidFill>
              <w14:schemeClr w14:val="tx1"/>
            </w14:solidFill>
          </w14:textFill>
        </w:rPr>
        <w:t>ZZT2025-ZFCG-0224</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竞争性磋商文件，我们决定参加该项目磋商活动，并参与磋商会议。为此，我方郑重声明以下诸点，并负法律责任。</w:t>
      </w:r>
    </w:p>
    <w:p w14:paraId="6CEC9ACF">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1、愿意按照竞争性磋商文件中的一切要求，总报价为：</w:t>
      </w:r>
    </w:p>
    <w:p w14:paraId="74A65A73">
      <w:pPr>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元。         </w:t>
      </w:r>
    </w:p>
    <w:p w14:paraId="04D0C566">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2、我方提交的竞争性磋商响应文件，正本</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份，副本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份，电子文件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w:t>
      </w:r>
    </w:p>
    <w:p w14:paraId="2894E7B1">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3、如果我们竞争性磋商响应文件被接受，我们将履行竞争性磋商文件中规定的每一项要求，按期、按质、按量完成任务。</w:t>
      </w:r>
    </w:p>
    <w:p w14:paraId="228A180E">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4、我们理解，最低报价不是成交的唯一条件，你们有选择供应商的权力。</w:t>
      </w:r>
    </w:p>
    <w:p w14:paraId="267FEFEE">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5、我们愿按《中华人民共和国民法典》履行自己的全部责任。</w:t>
      </w:r>
    </w:p>
    <w:p w14:paraId="4AD8584B">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6、我们同意按竞争性磋商文件规定，遵守贵公司有关规定和收费标准。</w:t>
      </w:r>
    </w:p>
    <w:p w14:paraId="6DF713EA">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7、我方的磋商响应文件有效期为提交磋商响应文件的截止时间起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日历日。</w:t>
      </w:r>
    </w:p>
    <w:p w14:paraId="6326B1A4">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8、所有关于本竞争性磋商响应文件的函电，请按下列地址联系。</w:t>
      </w:r>
    </w:p>
    <w:p w14:paraId="42159D36">
      <w:pPr>
        <w:spacing w:line="360" w:lineRule="auto"/>
        <w:ind w:firstLine="2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FE7A01D">
      <w:pPr>
        <w:spacing w:line="360" w:lineRule="auto"/>
        <w:ind w:firstLine="8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供应商全称（公章）：</w:t>
      </w:r>
      <w:r>
        <w:rPr>
          <w:rFonts w:hint="eastAsia" w:ascii="宋体" w:hAnsi="宋体" w:cs="宋体"/>
          <w:color w:val="000000" w:themeColor="text1"/>
          <w:sz w:val="24"/>
          <w:highlight w:val="none"/>
          <w:u w:val="single"/>
          <w14:textFill>
            <w14:solidFill>
              <w14:schemeClr w14:val="tx1"/>
            </w14:solidFill>
          </w14:textFill>
        </w:rPr>
        <w:t xml:space="preserve">                    </w:t>
      </w:r>
    </w:p>
    <w:p w14:paraId="52518514">
      <w:pPr>
        <w:spacing w:line="360" w:lineRule="auto"/>
        <w:ind w:firstLine="8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14:paraId="4647E649">
      <w:pPr>
        <w:spacing w:line="360" w:lineRule="auto"/>
        <w:ind w:firstLine="8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 户 行：</w:t>
      </w:r>
      <w:r>
        <w:rPr>
          <w:rFonts w:hint="eastAsia" w:ascii="宋体" w:hAnsi="宋体" w:cs="宋体"/>
          <w:color w:val="000000" w:themeColor="text1"/>
          <w:sz w:val="24"/>
          <w:highlight w:val="none"/>
          <w:u w:val="single"/>
          <w14:textFill>
            <w14:solidFill>
              <w14:schemeClr w14:val="tx1"/>
            </w14:solidFill>
          </w14:textFill>
        </w:rPr>
        <w:t xml:space="preserve">                              </w:t>
      </w:r>
    </w:p>
    <w:p w14:paraId="6F99C461">
      <w:pPr>
        <w:spacing w:line="360" w:lineRule="auto"/>
        <w:ind w:firstLine="8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    号：</w:t>
      </w:r>
      <w:r>
        <w:rPr>
          <w:rFonts w:hint="eastAsia" w:ascii="宋体" w:hAnsi="宋体" w:cs="宋体"/>
          <w:color w:val="000000" w:themeColor="text1"/>
          <w:sz w:val="24"/>
          <w:highlight w:val="none"/>
          <w:u w:val="single"/>
          <w14:textFill>
            <w14:solidFill>
              <w14:schemeClr w14:val="tx1"/>
            </w14:solidFill>
          </w14:textFill>
        </w:rPr>
        <w:t xml:space="preserve">                              </w:t>
      </w:r>
    </w:p>
    <w:p w14:paraId="07017E34">
      <w:pPr>
        <w:spacing w:line="360" w:lineRule="auto"/>
        <w:ind w:firstLine="8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u w:val="single"/>
          <w14:textFill>
            <w14:solidFill>
              <w14:schemeClr w14:val="tx1"/>
            </w14:solidFill>
          </w14:textFill>
        </w:rPr>
        <w:t xml:space="preserve">                              </w:t>
      </w:r>
    </w:p>
    <w:p w14:paraId="5E639726">
      <w:pPr>
        <w:spacing w:line="360" w:lineRule="auto"/>
        <w:ind w:firstLine="8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r>
        <w:rPr>
          <w:rFonts w:hint="eastAsia" w:ascii="宋体" w:hAnsi="宋体" w:cs="宋体"/>
          <w:color w:val="000000" w:themeColor="text1"/>
          <w:sz w:val="24"/>
          <w:highlight w:val="none"/>
          <w:u w:val="single"/>
          <w14:textFill>
            <w14:solidFill>
              <w14:schemeClr w14:val="tx1"/>
            </w14:solidFill>
          </w14:textFill>
        </w:rPr>
        <w:t xml:space="preserve">                              </w:t>
      </w:r>
    </w:p>
    <w:p w14:paraId="2A96674C">
      <w:pPr>
        <w:spacing w:line="360" w:lineRule="auto"/>
        <w:ind w:firstLine="8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u w:val="single"/>
          <w14:textFill>
            <w14:solidFill>
              <w14:schemeClr w14:val="tx1"/>
            </w14:solidFill>
          </w14:textFill>
        </w:rPr>
        <w:t xml:space="preserve">                              </w:t>
      </w:r>
    </w:p>
    <w:p w14:paraId="52EF8B62">
      <w:pPr>
        <w:spacing w:line="360" w:lineRule="auto"/>
        <w:ind w:firstLine="8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    编：</w:t>
      </w:r>
      <w:r>
        <w:rPr>
          <w:rFonts w:hint="eastAsia" w:ascii="宋体" w:hAnsi="宋体" w:cs="宋体"/>
          <w:color w:val="000000" w:themeColor="text1"/>
          <w:sz w:val="24"/>
          <w:highlight w:val="none"/>
          <w:u w:val="single"/>
          <w14:textFill>
            <w14:solidFill>
              <w14:schemeClr w14:val="tx1"/>
            </w14:solidFill>
          </w14:textFill>
        </w:rPr>
        <w:t xml:space="preserve">                              </w:t>
      </w:r>
    </w:p>
    <w:p w14:paraId="1A79F1F4">
      <w:pPr>
        <w:spacing w:line="360" w:lineRule="auto"/>
        <w:ind w:firstLine="8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kern w:val="0"/>
          <w:sz w:val="24"/>
          <w:highlight w:val="none"/>
          <w14:textFill>
            <w14:solidFill>
              <w14:schemeClr w14:val="tx1"/>
            </w14:solidFill>
          </w14:textFill>
        </w:rPr>
        <w:t>（负责人）</w:t>
      </w:r>
    </w:p>
    <w:p w14:paraId="4B3F1429">
      <w:pPr>
        <w:spacing w:line="360" w:lineRule="auto"/>
        <w:ind w:firstLine="8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或授权代表:（签字）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7FDFD2E6">
      <w:pPr>
        <w:spacing w:line="360" w:lineRule="auto"/>
        <w:rPr>
          <w:rFonts w:ascii="宋体" w:hAnsi="宋体" w:cs="宋体"/>
          <w:color w:val="000000" w:themeColor="text1"/>
          <w:sz w:val="24"/>
          <w:highlight w:val="none"/>
          <w14:textFill>
            <w14:solidFill>
              <w14:schemeClr w14:val="tx1"/>
            </w14:solidFill>
          </w14:textFill>
        </w:rPr>
      </w:pPr>
    </w:p>
    <w:p w14:paraId="604EFB44">
      <w:pPr>
        <w:spacing w:line="360" w:lineRule="auto"/>
        <w:ind w:firstLine="2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844F22D">
      <w:pPr>
        <w:pStyle w:val="8"/>
        <w:rPr>
          <w:color w:val="000000" w:themeColor="text1"/>
          <w:highlight w:val="none"/>
          <w14:textFill>
            <w14:solidFill>
              <w14:schemeClr w14:val="tx1"/>
            </w14:solidFill>
          </w14:textFill>
        </w:rPr>
      </w:pPr>
    </w:p>
    <w:p w14:paraId="44297F4D">
      <w:p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bookmarkStart w:id="27" w:name="_Toc491186067"/>
      <w:bookmarkStart w:id="28" w:name="_Toc494096890"/>
      <w:bookmarkStart w:id="29" w:name="_Toc488741081"/>
      <w:r>
        <w:rPr>
          <w:rFonts w:hint="eastAsia" w:ascii="宋体" w:hAnsi="宋体" w:cs="宋体"/>
          <w:b/>
          <w:color w:val="000000" w:themeColor="text1"/>
          <w:sz w:val="32"/>
          <w:szCs w:val="32"/>
          <w:highlight w:val="none"/>
          <w14:textFill>
            <w14:solidFill>
              <w14:schemeClr w14:val="tx1"/>
            </w14:solidFill>
          </w14:textFill>
        </w:rPr>
        <w:t>二、法定代表人（负责人）证明书</w:t>
      </w:r>
      <w:bookmarkEnd w:id="27"/>
      <w:bookmarkEnd w:id="28"/>
    </w:p>
    <w:p w14:paraId="213B339C">
      <w:pPr>
        <w:pStyle w:val="8"/>
        <w:rPr>
          <w:color w:val="000000" w:themeColor="text1"/>
          <w:highlight w:val="none"/>
          <w14:textFill>
            <w14:solidFill>
              <w14:schemeClr w14:val="tx1"/>
            </w14:solidFill>
          </w14:textFill>
        </w:rPr>
      </w:pPr>
    </w:p>
    <w:tbl>
      <w:tblPr>
        <w:tblStyle w:val="21"/>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86"/>
        <w:gridCol w:w="2081"/>
        <w:gridCol w:w="177"/>
        <w:gridCol w:w="2082"/>
        <w:gridCol w:w="2085"/>
      </w:tblGrid>
      <w:tr w14:paraId="171A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380" w:type="dxa"/>
            <w:gridSpan w:val="6"/>
            <w:vAlign w:val="center"/>
          </w:tcPr>
          <w:p w14:paraId="690D2143">
            <w:pPr>
              <w:tabs>
                <w:tab w:val="left" w:pos="210"/>
              </w:tabs>
              <w:spacing w:line="3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kern w:val="0"/>
                <w:sz w:val="24"/>
                <w:highlight w:val="none"/>
                <w:lang w:eastAsia="zh-CN"/>
                <w14:textFill>
                  <w14:solidFill>
                    <w14:schemeClr w14:val="tx1"/>
                  </w14:solidFill>
                </w14:textFill>
              </w:rPr>
              <w:t>中智投工程管理有限公司</w:t>
            </w:r>
          </w:p>
        </w:tc>
      </w:tr>
      <w:tr w14:paraId="1DEB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restart"/>
            <w:vAlign w:val="center"/>
          </w:tcPr>
          <w:p w14:paraId="14CFB05B">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企</w:t>
            </w:r>
          </w:p>
          <w:p w14:paraId="5203D02F">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p w14:paraId="5E21BC6A">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业</w:t>
            </w:r>
          </w:p>
          <w:p w14:paraId="7F34312F">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p w14:paraId="6DD763F2">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w:t>
            </w:r>
          </w:p>
          <w:p w14:paraId="57B37771">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p w14:paraId="3C738FB6">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2086" w:type="dxa"/>
            <w:vAlign w:val="center"/>
          </w:tcPr>
          <w:p w14:paraId="7159ED12">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企业名称</w:t>
            </w:r>
          </w:p>
        </w:tc>
        <w:tc>
          <w:tcPr>
            <w:tcW w:w="6425" w:type="dxa"/>
            <w:gridSpan w:val="4"/>
            <w:vAlign w:val="center"/>
          </w:tcPr>
          <w:p w14:paraId="4FA686FF">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r>
      <w:tr w14:paraId="41D0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continue"/>
            <w:vAlign w:val="center"/>
          </w:tcPr>
          <w:p w14:paraId="0FC946BC">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2086" w:type="dxa"/>
            <w:vAlign w:val="center"/>
          </w:tcPr>
          <w:p w14:paraId="42757DC1">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法定地址</w:t>
            </w:r>
          </w:p>
        </w:tc>
        <w:tc>
          <w:tcPr>
            <w:tcW w:w="6425" w:type="dxa"/>
            <w:gridSpan w:val="4"/>
            <w:vAlign w:val="center"/>
          </w:tcPr>
          <w:p w14:paraId="0C79BB2D">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r>
      <w:tr w14:paraId="50CC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continue"/>
            <w:vAlign w:val="center"/>
          </w:tcPr>
          <w:p w14:paraId="242C6354">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2086" w:type="dxa"/>
            <w:vAlign w:val="center"/>
          </w:tcPr>
          <w:p w14:paraId="6870CA9B">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邮政编码</w:t>
            </w:r>
          </w:p>
        </w:tc>
        <w:tc>
          <w:tcPr>
            <w:tcW w:w="6425" w:type="dxa"/>
            <w:gridSpan w:val="4"/>
            <w:vAlign w:val="center"/>
          </w:tcPr>
          <w:p w14:paraId="5E7B6EAD">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r>
      <w:tr w14:paraId="6E96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Merge w:val="continue"/>
            <w:vAlign w:val="center"/>
          </w:tcPr>
          <w:p w14:paraId="7C9D124B">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2086" w:type="dxa"/>
            <w:vAlign w:val="center"/>
          </w:tcPr>
          <w:p w14:paraId="1BCA6FC5">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工商登记机关</w:t>
            </w:r>
          </w:p>
        </w:tc>
        <w:tc>
          <w:tcPr>
            <w:tcW w:w="6425" w:type="dxa"/>
            <w:gridSpan w:val="4"/>
            <w:vAlign w:val="center"/>
          </w:tcPr>
          <w:p w14:paraId="1DA4429F">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r>
      <w:tr w14:paraId="60D2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69" w:type="dxa"/>
            <w:vMerge w:val="continue"/>
            <w:vAlign w:val="center"/>
          </w:tcPr>
          <w:p w14:paraId="2A63D738">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2086" w:type="dxa"/>
            <w:vAlign w:val="center"/>
          </w:tcPr>
          <w:p w14:paraId="4D6604D3">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税务登记机关</w:t>
            </w:r>
          </w:p>
        </w:tc>
        <w:tc>
          <w:tcPr>
            <w:tcW w:w="6425" w:type="dxa"/>
            <w:gridSpan w:val="4"/>
            <w:vAlign w:val="center"/>
          </w:tcPr>
          <w:p w14:paraId="006CAAA4">
            <w:pPr>
              <w:tabs>
                <w:tab w:val="left" w:pos="210"/>
              </w:tabs>
              <w:spacing w:line="320" w:lineRule="exact"/>
              <w:rPr>
                <w:rFonts w:ascii="宋体" w:hAnsi="宋体" w:cs="宋体"/>
                <w:color w:val="000000" w:themeColor="text1"/>
                <w:kern w:val="0"/>
                <w:sz w:val="24"/>
                <w:highlight w:val="none"/>
                <w14:textFill>
                  <w14:solidFill>
                    <w14:schemeClr w14:val="tx1"/>
                  </w14:solidFill>
                </w14:textFill>
              </w:rPr>
            </w:pPr>
          </w:p>
        </w:tc>
      </w:tr>
      <w:tr w14:paraId="2FB6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Merge w:val="continue"/>
            <w:vAlign w:val="center"/>
          </w:tcPr>
          <w:p w14:paraId="23547F0E">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2086" w:type="dxa"/>
            <w:vAlign w:val="center"/>
          </w:tcPr>
          <w:p w14:paraId="6159D828">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机构代码证号</w:t>
            </w:r>
          </w:p>
        </w:tc>
        <w:tc>
          <w:tcPr>
            <w:tcW w:w="6425" w:type="dxa"/>
            <w:gridSpan w:val="4"/>
            <w:vAlign w:val="center"/>
          </w:tcPr>
          <w:p w14:paraId="4C61A499">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r>
      <w:tr w14:paraId="48B7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restart"/>
            <w:vAlign w:val="center"/>
          </w:tcPr>
          <w:p w14:paraId="40D0E806">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法定代表人（负责人）</w:t>
            </w:r>
          </w:p>
        </w:tc>
        <w:tc>
          <w:tcPr>
            <w:tcW w:w="2086" w:type="dxa"/>
            <w:vAlign w:val="center"/>
          </w:tcPr>
          <w:p w14:paraId="26955AD2">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姓名</w:t>
            </w:r>
          </w:p>
        </w:tc>
        <w:tc>
          <w:tcPr>
            <w:tcW w:w="2258" w:type="dxa"/>
            <w:gridSpan w:val="2"/>
            <w:vAlign w:val="center"/>
          </w:tcPr>
          <w:p w14:paraId="67303BD6">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2082" w:type="dxa"/>
            <w:vAlign w:val="center"/>
          </w:tcPr>
          <w:p w14:paraId="07EC572C">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性别</w:t>
            </w:r>
          </w:p>
        </w:tc>
        <w:tc>
          <w:tcPr>
            <w:tcW w:w="2085" w:type="dxa"/>
            <w:vAlign w:val="center"/>
          </w:tcPr>
          <w:p w14:paraId="11BCD869">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r>
      <w:tr w14:paraId="5F1A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continue"/>
            <w:vAlign w:val="center"/>
          </w:tcPr>
          <w:p w14:paraId="7FD4D0C4">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2086" w:type="dxa"/>
            <w:vAlign w:val="center"/>
          </w:tcPr>
          <w:p w14:paraId="4A0B95FF">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职务</w:t>
            </w:r>
          </w:p>
        </w:tc>
        <w:tc>
          <w:tcPr>
            <w:tcW w:w="2258" w:type="dxa"/>
            <w:gridSpan w:val="2"/>
            <w:vAlign w:val="center"/>
          </w:tcPr>
          <w:p w14:paraId="62280114">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2082" w:type="dxa"/>
            <w:vAlign w:val="center"/>
          </w:tcPr>
          <w:p w14:paraId="5565CC81">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tc>
        <w:tc>
          <w:tcPr>
            <w:tcW w:w="2085" w:type="dxa"/>
            <w:vAlign w:val="center"/>
          </w:tcPr>
          <w:p w14:paraId="60123E94">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r>
      <w:tr w14:paraId="7E29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Merge w:val="continue"/>
            <w:vAlign w:val="center"/>
          </w:tcPr>
          <w:p w14:paraId="679E0C61">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2086" w:type="dxa"/>
            <w:vAlign w:val="center"/>
          </w:tcPr>
          <w:p w14:paraId="0813E8E5">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传真</w:t>
            </w:r>
          </w:p>
        </w:tc>
        <w:tc>
          <w:tcPr>
            <w:tcW w:w="6425" w:type="dxa"/>
            <w:gridSpan w:val="4"/>
            <w:vAlign w:val="center"/>
          </w:tcPr>
          <w:p w14:paraId="009C755E">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r>
      <w:tr w14:paraId="2960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869" w:type="dxa"/>
            <w:vMerge w:val="restart"/>
            <w:vAlign w:val="center"/>
          </w:tcPr>
          <w:p w14:paraId="19C56D0C">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法定代表人（负责人）身份证复印件</w:t>
            </w:r>
          </w:p>
        </w:tc>
        <w:tc>
          <w:tcPr>
            <w:tcW w:w="4167" w:type="dxa"/>
            <w:gridSpan w:val="2"/>
            <w:vMerge w:val="restart"/>
            <w:vAlign w:val="center"/>
          </w:tcPr>
          <w:p w14:paraId="566BFDE0">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（粘贴处）</w:t>
            </w:r>
          </w:p>
        </w:tc>
        <w:tc>
          <w:tcPr>
            <w:tcW w:w="4344" w:type="dxa"/>
            <w:gridSpan w:val="3"/>
            <w:vAlign w:val="center"/>
          </w:tcPr>
          <w:p w14:paraId="08EC08DB">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法定代表人（负责人）（签字或盖章）</w:t>
            </w:r>
          </w:p>
        </w:tc>
      </w:tr>
      <w:tr w14:paraId="24AF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869" w:type="dxa"/>
            <w:vMerge w:val="continue"/>
            <w:vAlign w:val="center"/>
          </w:tcPr>
          <w:p w14:paraId="75AD9CAC">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4167" w:type="dxa"/>
            <w:gridSpan w:val="2"/>
            <w:vMerge w:val="continue"/>
            <w:vAlign w:val="center"/>
          </w:tcPr>
          <w:p w14:paraId="5785FEAC">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tc>
        <w:tc>
          <w:tcPr>
            <w:tcW w:w="4344" w:type="dxa"/>
            <w:gridSpan w:val="3"/>
            <w:vAlign w:val="bottom"/>
          </w:tcPr>
          <w:p w14:paraId="0BD900A1">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（公章）</w:t>
            </w:r>
          </w:p>
          <w:p w14:paraId="5A211C42">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p w14:paraId="657AF8AF">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p w14:paraId="24A93F2F">
            <w:pPr>
              <w:tabs>
                <w:tab w:val="left" w:pos="210"/>
              </w:tabs>
              <w:spacing w:line="320" w:lineRule="exact"/>
              <w:jc w:val="center"/>
              <w:rPr>
                <w:rFonts w:ascii="宋体" w:hAnsi="宋体" w:cs="宋体"/>
                <w:color w:val="000000" w:themeColor="text1"/>
                <w:kern w:val="0"/>
                <w:sz w:val="24"/>
                <w:highlight w:val="none"/>
                <w14:textFill>
                  <w14:solidFill>
                    <w14:schemeClr w14:val="tx1"/>
                  </w14:solidFill>
                </w14:textFill>
              </w:rPr>
            </w:pPr>
          </w:p>
          <w:p w14:paraId="7DA4407D">
            <w:pPr>
              <w:tabs>
                <w:tab w:val="left" w:pos="210"/>
              </w:tabs>
              <w:spacing w:line="320" w:lineRule="exact"/>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年  月  日 </w:t>
            </w:r>
          </w:p>
        </w:tc>
      </w:tr>
    </w:tbl>
    <w:p w14:paraId="09C0CE07">
      <w:pPr>
        <w:spacing w:line="360" w:lineRule="auto"/>
        <w:jc w:val="left"/>
        <w:rPr>
          <w:rFonts w:ascii="宋体" w:hAnsi="宋体" w:cs="宋体"/>
          <w:color w:val="000000" w:themeColor="text1"/>
          <w:sz w:val="24"/>
          <w:highlight w:val="none"/>
          <w14:textFill>
            <w14:solidFill>
              <w14:schemeClr w14:val="tx1"/>
            </w14:solidFill>
          </w14:textFill>
        </w:rPr>
      </w:pPr>
    </w:p>
    <w:p w14:paraId="6CE68F89">
      <w:pPr>
        <w:spacing w:line="360" w:lineRule="auto"/>
        <w:rPr>
          <w:rFonts w:ascii="宋体" w:hAnsi="宋体" w:cs="宋体"/>
          <w:color w:val="000000" w:themeColor="text1"/>
          <w:sz w:val="24"/>
          <w:highlight w:val="none"/>
          <w14:textFill>
            <w14:solidFill>
              <w14:schemeClr w14:val="tx1"/>
            </w14:solidFill>
          </w14:textFill>
        </w:rPr>
      </w:pPr>
    </w:p>
    <w:p w14:paraId="0CF78E25">
      <w:pPr>
        <w:rPr>
          <w:rFonts w:ascii="宋体" w:hAnsi="宋体" w:cs="宋体"/>
          <w:b/>
          <w:color w:val="000000" w:themeColor="text1"/>
          <w:sz w:val="32"/>
          <w:szCs w:val="32"/>
          <w:highlight w:val="none"/>
          <w14:textFill>
            <w14:solidFill>
              <w14:schemeClr w14:val="tx1"/>
            </w14:solidFill>
          </w14:textFill>
        </w:rPr>
      </w:pPr>
      <w:bookmarkStart w:id="30" w:name="_Toc491186068"/>
      <w:bookmarkStart w:id="31" w:name="_Toc494096891"/>
      <w:r>
        <w:rPr>
          <w:rFonts w:hint="eastAsia" w:ascii="宋体" w:hAnsi="宋体" w:cs="宋体"/>
          <w:b/>
          <w:color w:val="000000" w:themeColor="text1"/>
          <w:sz w:val="32"/>
          <w:szCs w:val="32"/>
          <w:highlight w:val="none"/>
          <w14:textFill>
            <w14:solidFill>
              <w14:schemeClr w14:val="tx1"/>
            </w14:solidFill>
          </w14:textFill>
        </w:rPr>
        <w:br w:type="page"/>
      </w:r>
    </w:p>
    <w:p w14:paraId="275150D6">
      <w:p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三、法定代表人（负责人）授权书</w:t>
      </w:r>
      <w:bookmarkEnd w:id="30"/>
      <w:bookmarkEnd w:id="31"/>
    </w:p>
    <w:p w14:paraId="70DEACD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致：</w:t>
      </w:r>
      <w:r>
        <w:rPr>
          <w:rFonts w:hint="eastAsia" w:ascii="宋体" w:hAnsi="宋体" w:cs="宋体"/>
          <w:b/>
          <w:color w:val="000000" w:themeColor="text1"/>
          <w:sz w:val="24"/>
          <w:highlight w:val="none"/>
          <w:lang w:eastAsia="zh-CN"/>
          <w14:textFill>
            <w14:solidFill>
              <w14:schemeClr w14:val="tx1"/>
            </w14:solidFill>
          </w14:textFill>
        </w:rPr>
        <w:t>中智投工程管理有限公司</w:t>
      </w:r>
      <w:r>
        <w:rPr>
          <w:rFonts w:hint="eastAsia" w:ascii="宋体" w:hAnsi="宋体" w:cs="宋体"/>
          <w:b/>
          <w:color w:val="000000" w:themeColor="text1"/>
          <w:sz w:val="24"/>
          <w:highlight w:val="none"/>
          <w14:textFill>
            <w14:solidFill>
              <w14:schemeClr w14:val="tx1"/>
            </w14:solidFill>
          </w14:textFill>
        </w:rPr>
        <w:t>：</w:t>
      </w:r>
    </w:p>
    <w:p w14:paraId="205EE71D">
      <w:pPr>
        <w:pStyle w:val="10"/>
        <w:spacing w:line="360" w:lineRule="auto"/>
        <w:ind w:firstLine="480" w:firstLineChars="200"/>
        <w:rPr>
          <w:rFonts w:hAnsi="宋体" w:cs="宋体"/>
          <w:color w:val="000000" w:themeColor="text1"/>
          <w:sz w:val="10"/>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本授权书声明：注册于（</w:t>
      </w:r>
      <w:r>
        <w:rPr>
          <w:rFonts w:hint="eastAsia" w:hAnsi="宋体" w:cs="宋体"/>
          <w:color w:val="000000" w:themeColor="text1"/>
          <w:sz w:val="24"/>
          <w:szCs w:val="24"/>
          <w:highlight w:val="none"/>
          <w:u w:val="single"/>
          <w14:textFill>
            <w14:solidFill>
              <w14:schemeClr w14:val="tx1"/>
            </w14:solidFill>
          </w14:textFill>
        </w:rPr>
        <w:t>工商行政管理局名称）之（委托单位全称）</w:t>
      </w:r>
      <w:r>
        <w:rPr>
          <w:rFonts w:hint="eastAsia" w:hAnsi="宋体" w:cs="宋体"/>
          <w:color w:val="000000" w:themeColor="text1"/>
          <w:sz w:val="24"/>
          <w:szCs w:val="24"/>
          <w:highlight w:val="none"/>
          <w14:textFill>
            <w14:solidFill>
              <w14:schemeClr w14:val="tx1"/>
            </w14:solidFill>
          </w14:textFill>
        </w:rPr>
        <w:t>的法定代表人</w:t>
      </w:r>
      <w:r>
        <w:rPr>
          <w:rFonts w:hint="eastAsia" w:hAnsi="宋体" w:cs="宋体"/>
          <w:color w:val="000000" w:themeColor="text1"/>
          <w:kern w:val="0"/>
          <w:sz w:val="24"/>
          <w:highlight w:val="none"/>
          <w14:textFill>
            <w14:solidFill>
              <w14:schemeClr w14:val="tx1"/>
            </w14:solidFill>
          </w14:textFill>
        </w:rPr>
        <w:t>（负责人）</w:t>
      </w:r>
      <w:r>
        <w:rPr>
          <w:rFonts w:hint="eastAsia" w:hAnsi="宋体" w:cs="宋体"/>
          <w:color w:val="000000" w:themeColor="text1"/>
          <w:sz w:val="24"/>
          <w:szCs w:val="24"/>
          <w:highlight w:val="none"/>
          <w:u w:val="single"/>
          <w14:textFill>
            <w14:solidFill>
              <w14:schemeClr w14:val="tx1"/>
            </w14:solidFill>
          </w14:textFill>
        </w:rPr>
        <w:t>（姓名、性别）</w:t>
      </w:r>
      <w:r>
        <w:rPr>
          <w:rFonts w:hint="eastAsia" w:hAnsi="宋体" w:cs="宋体"/>
          <w:color w:val="000000" w:themeColor="text1"/>
          <w:sz w:val="24"/>
          <w:szCs w:val="24"/>
          <w:highlight w:val="none"/>
          <w14:textFill>
            <w14:solidFill>
              <w14:schemeClr w14:val="tx1"/>
            </w14:solidFill>
          </w14:textFill>
        </w:rPr>
        <w:t>授权</w:t>
      </w:r>
      <w:r>
        <w:rPr>
          <w:rFonts w:hint="eastAsia" w:hAnsi="宋体" w:cs="宋体"/>
          <w:color w:val="000000" w:themeColor="text1"/>
          <w:sz w:val="24"/>
          <w:szCs w:val="24"/>
          <w:highlight w:val="none"/>
          <w:u w:val="single"/>
          <w14:textFill>
            <w14:solidFill>
              <w14:schemeClr w14:val="tx1"/>
            </w14:solidFill>
          </w14:textFill>
        </w:rPr>
        <w:t>（被授权人姓名、性别、职务）</w:t>
      </w:r>
      <w:r>
        <w:rPr>
          <w:rFonts w:hint="eastAsia" w:hAnsi="宋体" w:cs="宋体"/>
          <w:color w:val="000000" w:themeColor="text1"/>
          <w:sz w:val="24"/>
          <w:szCs w:val="24"/>
          <w:highlight w:val="none"/>
          <w14:textFill>
            <w14:solidFill>
              <w14:schemeClr w14:val="tx1"/>
            </w14:solidFill>
          </w14:textFill>
        </w:rPr>
        <w:t>为本公司合法代理人，就贵方组织的有关</w:t>
      </w:r>
      <w:r>
        <w:rPr>
          <w:rFonts w:hint="eastAsia" w:hAnsi="宋体" w:cs="宋体"/>
          <w:color w:val="000000" w:themeColor="text1"/>
          <w:sz w:val="24"/>
          <w:szCs w:val="24"/>
          <w:highlight w:val="none"/>
          <w:u w:val="single"/>
          <w14:textFill>
            <w14:solidFill>
              <w14:schemeClr w14:val="tx1"/>
            </w14:solidFill>
          </w14:textFill>
        </w:rPr>
        <w:t>（项目名称）</w:t>
      </w:r>
      <w:r>
        <w:rPr>
          <w:rFonts w:hint="eastAsia" w:hAnsi="宋体" w:cs="宋体"/>
          <w:color w:val="000000" w:themeColor="text1"/>
          <w:sz w:val="24"/>
          <w:szCs w:val="24"/>
          <w:highlight w:val="none"/>
          <w14:textFill>
            <w14:solidFill>
              <w14:schemeClr w14:val="tx1"/>
            </w14:solidFill>
          </w14:textFill>
        </w:rPr>
        <w:t>（项目编号：</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）的磋商、洽谈、执行等具体事务，签署全部有关文件、文书、协议、合同，本公司对被授权人在本项目中的签名承担全部法律责任。</w:t>
      </w:r>
    </w:p>
    <w:p w14:paraId="02D8CAD4">
      <w:pPr>
        <w:pStyle w:val="1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供应商名称（公章）：</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14:paraId="163B5476">
      <w:pPr>
        <w:pStyle w:val="10"/>
        <w:spacing w:line="360" w:lineRule="auto"/>
        <w:ind w:firstLine="240" w:firstLineChars="100"/>
        <w:jc w:val="left"/>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法定代表人</w:t>
      </w:r>
      <w:r>
        <w:rPr>
          <w:rFonts w:hint="eastAsia" w:hAnsi="宋体" w:cs="宋体"/>
          <w:color w:val="000000" w:themeColor="text1"/>
          <w:kern w:val="0"/>
          <w:sz w:val="24"/>
          <w:highlight w:val="none"/>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（签字或盖章）：</w:t>
      </w:r>
      <w:r>
        <w:rPr>
          <w:rFonts w:hint="eastAsia" w:hAnsi="宋体" w:cs="宋体"/>
          <w:color w:val="000000" w:themeColor="text1"/>
          <w:sz w:val="24"/>
          <w:szCs w:val="24"/>
          <w:highlight w:val="none"/>
          <w:u w:val="single"/>
          <w14:textFill>
            <w14:solidFill>
              <w14:schemeClr w14:val="tx1"/>
            </w14:solidFill>
          </w14:textFill>
        </w:rPr>
        <w:t xml:space="preserve">                         </w:t>
      </w:r>
    </w:p>
    <w:p w14:paraId="3ECC3F1F">
      <w:pPr>
        <w:pStyle w:val="1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授权期限：</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日历日。</w:t>
      </w:r>
    </w:p>
    <w:p w14:paraId="306A8C90">
      <w:pPr>
        <w:pStyle w:val="10"/>
        <w:spacing w:line="360" w:lineRule="auto"/>
        <w:ind w:firstLine="480" w:firstLineChars="200"/>
        <w:jc w:val="left"/>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附：被授权人姓名（签字）：</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性别：</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职务：</w:t>
      </w:r>
      <w:r>
        <w:rPr>
          <w:rFonts w:hint="eastAsia" w:hAnsi="宋体" w:cs="宋体"/>
          <w:color w:val="000000" w:themeColor="text1"/>
          <w:sz w:val="24"/>
          <w:szCs w:val="24"/>
          <w:highlight w:val="none"/>
          <w:u w:val="single"/>
          <w14:textFill>
            <w14:solidFill>
              <w14:schemeClr w14:val="tx1"/>
            </w14:solidFill>
          </w14:textFill>
        </w:rPr>
        <w:t xml:space="preserve">           </w:t>
      </w:r>
    </w:p>
    <w:p w14:paraId="10FF4363">
      <w:pPr>
        <w:pStyle w:val="10"/>
        <w:spacing w:line="360" w:lineRule="auto"/>
        <w:ind w:firstLine="480" w:firstLineChars="200"/>
        <w:jc w:val="left"/>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14:paraId="72992CB1">
      <w:pPr>
        <w:pStyle w:val="10"/>
        <w:spacing w:line="360" w:lineRule="auto"/>
        <w:ind w:firstLine="480" w:firstLineChars="200"/>
        <w:jc w:val="left"/>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联系电话：</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传真：</w:t>
      </w:r>
      <w:r>
        <w:rPr>
          <w:rFonts w:hint="eastAsia" w:hAnsi="宋体" w:cs="宋体"/>
          <w:color w:val="000000" w:themeColor="text1"/>
          <w:sz w:val="24"/>
          <w:szCs w:val="24"/>
          <w:highlight w:val="none"/>
          <w:u w:val="single"/>
          <w14:textFill>
            <w14:solidFill>
              <w14:schemeClr w14:val="tx1"/>
            </w14:solidFill>
          </w14:textFill>
        </w:rPr>
        <w:t xml:space="preserve">                 </w:t>
      </w:r>
    </w:p>
    <w:p w14:paraId="31C8505F">
      <w:pPr>
        <w:pStyle w:val="1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、被授权人身份证复印件</w:t>
      </w:r>
    </w:p>
    <w:tbl>
      <w:tblPr>
        <w:tblStyle w:val="2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388"/>
      </w:tblGrid>
      <w:tr w14:paraId="3CCA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9" w:hRule="atLeast"/>
          <w:jc w:val="center"/>
        </w:trPr>
        <w:tc>
          <w:tcPr>
            <w:tcW w:w="4652" w:type="dxa"/>
            <w:tcBorders>
              <w:top w:val="single" w:color="auto" w:sz="4" w:space="0"/>
              <w:left w:val="single" w:color="auto" w:sz="4" w:space="0"/>
              <w:right w:val="single" w:color="auto" w:sz="4" w:space="0"/>
            </w:tcBorders>
            <w:shd w:val="clear" w:color="auto" w:fill="D9D9D9"/>
            <w:vAlign w:val="center"/>
          </w:tcPr>
          <w:p w14:paraId="4EC5134A">
            <w:pPr>
              <w:pStyle w:val="10"/>
              <w:spacing w:line="500" w:lineRule="exact"/>
              <w:jc w:val="center"/>
              <w:rPr>
                <w:rFonts w:hAnsi="宋体" w:cs="宋体"/>
                <w:color w:val="000000" w:themeColor="text1"/>
                <w:sz w:val="24"/>
                <w:szCs w:val="24"/>
                <w:highlight w:val="none"/>
                <w:shd w:val="clear" w:color="FFFFFF" w:fill="D9D9D9"/>
                <w14:textFill>
                  <w14:solidFill>
                    <w14:schemeClr w14:val="tx1"/>
                  </w14:solidFill>
                </w14:textFill>
              </w:rPr>
            </w:pPr>
            <w:r>
              <w:rPr>
                <w:rFonts w:hint="eastAsia" w:hAnsi="宋体" w:cs="宋体"/>
                <w:color w:val="000000" w:themeColor="text1"/>
                <w:sz w:val="24"/>
                <w:szCs w:val="24"/>
                <w:highlight w:val="none"/>
                <w:shd w:val="clear" w:color="FFFFFF" w:fill="D9D9D9"/>
                <w14:textFill>
                  <w14:solidFill>
                    <w14:schemeClr w14:val="tx1"/>
                  </w14:solidFill>
                </w14:textFill>
              </w:rPr>
              <w:t>法定代表人</w:t>
            </w:r>
            <w:r>
              <w:rPr>
                <w:rFonts w:hint="eastAsia" w:hAnsi="宋体" w:cs="宋体"/>
                <w:color w:val="000000" w:themeColor="text1"/>
                <w:sz w:val="24"/>
                <w:szCs w:val="24"/>
                <w:highlight w:val="none"/>
                <w:shd w:val="clear" w:color="FFFFFF" w:fill="D9D9D9"/>
                <w:lang w:val="en-US" w:eastAsia="zh-CN"/>
                <w14:textFill>
                  <w14:solidFill>
                    <w14:schemeClr w14:val="tx1"/>
                  </w14:solidFill>
                </w14:textFill>
              </w:rPr>
              <w:t>/负责人</w:t>
            </w:r>
            <w:r>
              <w:rPr>
                <w:rFonts w:hint="eastAsia" w:hAnsi="宋体" w:cs="宋体"/>
                <w:color w:val="000000" w:themeColor="text1"/>
                <w:sz w:val="24"/>
                <w:szCs w:val="24"/>
                <w:highlight w:val="none"/>
                <w:shd w:val="clear" w:color="FFFFFF" w:fill="D9D9D9"/>
                <w14:textFill>
                  <w14:solidFill>
                    <w14:schemeClr w14:val="tx1"/>
                  </w14:solidFill>
                </w14:textFill>
              </w:rPr>
              <w:t>身份证复印件（正、反面）</w:t>
            </w:r>
          </w:p>
        </w:tc>
        <w:tc>
          <w:tcPr>
            <w:tcW w:w="4388" w:type="dxa"/>
            <w:tcBorders>
              <w:top w:val="single" w:color="auto" w:sz="4" w:space="0"/>
              <w:left w:val="single" w:color="auto" w:sz="4" w:space="0"/>
              <w:bottom w:val="single" w:color="auto" w:sz="4" w:space="0"/>
              <w:right w:val="single" w:color="auto" w:sz="4" w:space="0"/>
            </w:tcBorders>
            <w:shd w:val="clear" w:color="auto" w:fill="D9D9D9"/>
            <w:vAlign w:val="center"/>
          </w:tcPr>
          <w:p w14:paraId="2217D613">
            <w:pPr>
              <w:pStyle w:val="10"/>
              <w:spacing w:line="500" w:lineRule="exact"/>
              <w:jc w:val="center"/>
              <w:rPr>
                <w:rFonts w:hAnsi="宋体" w:cs="宋体"/>
                <w:color w:val="000000" w:themeColor="text1"/>
                <w:sz w:val="24"/>
                <w:szCs w:val="24"/>
                <w:highlight w:val="none"/>
                <w:shd w:val="clear" w:color="FFFFFF" w:fill="D9D9D9"/>
                <w14:textFill>
                  <w14:solidFill>
                    <w14:schemeClr w14:val="tx1"/>
                  </w14:solidFill>
                </w14:textFill>
              </w:rPr>
            </w:pPr>
            <w:r>
              <w:rPr>
                <w:rFonts w:hint="eastAsia" w:hAnsi="宋体" w:cs="宋体"/>
                <w:color w:val="000000" w:themeColor="text1"/>
                <w:sz w:val="24"/>
                <w:szCs w:val="24"/>
                <w:highlight w:val="none"/>
                <w:shd w:val="clear" w:color="FFFFFF" w:fill="D9D9D9"/>
                <w14:textFill>
                  <w14:solidFill>
                    <w14:schemeClr w14:val="tx1"/>
                  </w14:solidFill>
                </w14:textFill>
              </w:rPr>
              <w:t>被授权人身份证复印件（正、反面）</w:t>
            </w:r>
          </w:p>
        </w:tc>
      </w:tr>
    </w:tbl>
    <w:p w14:paraId="12065976">
      <w:pPr>
        <w:pStyle w:val="10"/>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（注：身份证复印件加盖企业公章）</w:t>
      </w:r>
    </w:p>
    <w:p w14:paraId="0B2DBB7D">
      <w:pPr>
        <w:pStyle w:val="10"/>
        <w:spacing w:line="360" w:lineRule="auto"/>
        <w:ind w:firstLine="218" w:firstLineChars="91"/>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说明：</w:t>
      </w:r>
    </w:p>
    <w:p w14:paraId="7B63B67A">
      <w:pPr>
        <w:pStyle w:val="10"/>
        <w:spacing w:line="360" w:lineRule="auto"/>
        <w:ind w:firstLine="240" w:firstLineChars="1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1.本授权书有效期自竞争性磋商响应文件递交截止之日起计算不得少于90日历日。</w:t>
      </w:r>
    </w:p>
    <w:p w14:paraId="213AEC00">
      <w:pPr>
        <w:pStyle w:val="10"/>
        <w:spacing w:line="360" w:lineRule="auto"/>
        <w:ind w:firstLine="240" w:firstLineChars="1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2．授权书内容填写要明确，文字要工整清楚，涂改无效。</w:t>
      </w:r>
    </w:p>
    <w:p w14:paraId="43F5DF86">
      <w:pPr>
        <w:pStyle w:val="8"/>
        <w:rPr>
          <w:rFonts w:ascii="宋体" w:hAnsi="宋体" w:cs="宋体"/>
          <w:color w:val="000000" w:themeColor="text1"/>
          <w:highlight w:val="none"/>
          <w14:textFill>
            <w14:solidFill>
              <w14:schemeClr w14:val="tx1"/>
            </w14:solidFill>
          </w14:textFill>
        </w:rPr>
      </w:pPr>
    </w:p>
    <w:p w14:paraId="4EC940C5">
      <w:pPr>
        <w:rPr>
          <w:rFonts w:ascii="宋体" w:hAnsi="宋体" w:cs="宋体"/>
          <w:b/>
          <w:color w:val="000000" w:themeColor="text1"/>
          <w:sz w:val="32"/>
          <w:szCs w:val="32"/>
          <w:highlight w:val="none"/>
          <w14:textFill>
            <w14:solidFill>
              <w14:schemeClr w14:val="tx1"/>
            </w14:solidFill>
          </w14:textFill>
        </w:rPr>
      </w:pPr>
      <w:bookmarkStart w:id="32" w:name="_Toc491186069"/>
      <w:bookmarkStart w:id="33" w:name="_Toc494096892"/>
      <w:r>
        <w:rPr>
          <w:rFonts w:hint="eastAsia" w:ascii="宋体" w:hAnsi="宋体" w:cs="宋体"/>
          <w:b/>
          <w:color w:val="000000" w:themeColor="text1"/>
          <w:sz w:val="32"/>
          <w:szCs w:val="32"/>
          <w:highlight w:val="none"/>
          <w14:textFill>
            <w14:solidFill>
              <w14:schemeClr w14:val="tx1"/>
            </w14:solidFill>
          </w14:textFill>
        </w:rPr>
        <w:br w:type="page"/>
      </w:r>
    </w:p>
    <w:p w14:paraId="5881A4E3">
      <w:p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四、报价一览表</w:t>
      </w:r>
      <w:bookmarkEnd w:id="32"/>
      <w:bookmarkEnd w:id="33"/>
    </w:p>
    <w:p w14:paraId="7B2AC95A">
      <w:pPr>
        <w:spacing w:line="360" w:lineRule="auto"/>
        <w:ind w:firstLine="211"/>
        <w:jc w:val="center"/>
        <w:rPr>
          <w:rFonts w:ascii="宋体" w:hAnsi="宋体" w:cs="宋体"/>
          <w:b/>
          <w:color w:val="000000" w:themeColor="text1"/>
          <w:sz w:val="24"/>
          <w:highlight w:val="none"/>
          <w14:textFill>
            <w14:solidFill>
              <w14:schemeClr w14:val="tx1"/>
            </w14:solidFill>
          </w14:textFill>
        </w:rPr>
      </w:pPr>
    </w:p>
    <w:p w14:paraId="2BD59211">
      <w:pPr>
        <w:spacing w:line="360" w:lineRule="auto"/>
        <w:ind w:firstLine="513" w:firstLineChars="21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                                     项目编号：</w:t>
      </w:r>
    </w:p>
    <w:tbl>
      <w:tblPr>
        <w:tblStyle w:val="21"/>
        <w:tblW w:w="9063" w:type="dxa"/>
        <w:jc w:val="center"/>
        <w:tblLayout w:type="fixed"/>
        <w:tblCellMar>
          <w:top w:w="0" w:type="dxa"/>
          <w:left w:w="108" w:type="dxa"/>
          <w:bottom w:w="0" w:type="dxa"/>
          <w:right w:w="108" w:type="dxa"/>
        </w:tblCellMar>
      </w:tblPr>
      <w:tblGrid>
        <w:gridCol w:w="4565"/>
        <w:gridCol w:w="2754"/>
        <w:gridCol w:w="1744"/>
      </w:tblGrid>
      <w:tr w14:paraId="715B1DDE">
        <w:tblPrEx>
          <w:tblCellMar>
            <w:top w:w="0" w:type="dxa"/>
            <w:left w:w="108" w:type="dxa"/>
            <w:bottom w:w="0" w:type="dxa"/>
            <w:right w:w="108" w:type="dxa"/>
          </w:tblCellMar>
        </w:tblPrEx>
        <w:trPr>
          <w:trHeight w:val="1762" w:hRule="atLeast"/>
          <w:jc w:val="center"/>
        </w:trPr>
        <w:tc>
          <w:tcPr>
            <w:tcW w:w="4565" w:type="dxa"/>
            <w:tcBorders>
              <w:top w:val="single" w:color="000000" w:sz="4" w:space="0"/>
              <w:left w:val="single" w:color="000000" w:sz="4" w:space="0"/>
              <w:bottom w:val="single" w:color="000000" w:sz="4" w:space="0"/>
            </w:tcBorders>
            <w:vAlign w:val="center"/>
          </w:tcPr>
          <w:p w14:paraId="25E0E10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磋商总报价（元）</w:t>
            </w:r>
          </w:p>
        </w:tc>
        <w:tc>
          <w:tcPr>
            <w:tcW w:w="2754" w:type="dxa"/>
            <w:tcBorders>
              <w:top w:val="single" w:color="000000" w:sz="4" w:space="0"/>
              <w:left w:val="single" w:color="000000" w:sz="4" w:space="0"/>
              <w:bottom w:val="single" w:color="000000" w:sz="4" w:space="0"/>
              <w:right w:val="single" w:color="000000" w:sz="4" w:space="0"/>
            </w:tcBorders>
            <w:vAlign w:val="center"/>
          </w:tcPr>
          <w:p w14:paraId="6ECF8D6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c>
          <w:tcPr>
            <w:tcW w:w="1744" w:type="dxa"/>
            <w:tcBorders>
              <w:top w:val="single" w:color="000000" w:sz="4" w:space="0"/>
              <w:left w:val="single" w:color="000000" w:sz="4" w:space="0"/>
              <w:bottom w:val="single" w:color="000000" w:sz="4" w:space="0"/>
              <w:right w:val="single" w:color="000000" w:sz="4" w:space="0"/>
            </w:tcBorders>
            <w:vAlign w:val="center"/>
          </w:tcPr>
          <w:p w14:paraId="1029730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122A626D">
        <w:tblPrEx>
          <w:tblCellMar>
            <w:top w:w="0" w:type="dxa"/>
            <w:left w:w="108" w:type="dxa"/>
            <w:bottom w:w="0" w:type="dxa"/>
            <w:right w:w="108" w:type="dxa"/>
          </w:tblCellMar>
        </w:tblPrEx>
        <w:trPr>
          <w:trHeight w:val="1693" w:hRule="atLeast"/>
          <w:jc w:val="center"/>
        </w:trPr>
        <w:tc>
          <w:tcPr>
            <w:tcW w:w="4565" w:type="dxa"/>
            <w:tcBorders>
              <w:top w:val="single" w:color="000000" w:sz="4" w:space="0"/>
              <w:left w:val="single" w:color="000000" w:sz="4" w:space="0"/>
              <w:bottom w:val="single" w:color="000000" w:sz="4" w:space="0"/>
            </w:tcBorders>
            <w:vAlign w:val="center"/>
          </w:tcPr>
          <w:p w14:paraId="2735FCE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大写：</w:t>
            </w:r>
            <w:r>
              <w:rPr>
                <w:rFonts w:hint="eastAsia" w:ascii="宋体" w:hAnsi="宋体" w:cs="宋体"/>
                <w:color w:val="000000" w:themeColor="text1"/>
                <w:sz w:val="24"/>
                <w:highlight w:val="none"/>
                <w:u w:val="single"/>
                <w14:textFill>
                  <w14:solidFill>
                    <w14:schemeClr w14:val="tx1"/>
                  </w14:solidFill>
                </w14:textFill>
              </w:rPr>
              <w:t xml:space="preserve">                      </w:t>
            </w:r>
          </w:p>
          <w:p w14:paraId="0FB64988">
            <w:pPr>
              <w:spacing w:line="360" w:lineRule="auto"/>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小写：</w:t>
            </w:r>
            <w:r>
              <w:rPr>
                <w:rFonts w:hint="eastAsia" w:ascii="宋体" w:hAnsi="宋体" w:cs="宋体"/>
                <w:color w:val="000000" w:themeColor="text1"/>
                <w:sz w:val="24"/>
                <w:highlight w:val="none"/>
                <w:u w:val="single"/>
                <w14:textFill>
                  <w14:solidFill>
                    <w14:schemeClr w14:val="tx1"/>
                  </w14:solidFill>
                </w14:textFill>
              </w:rPr>
              <w:t xml:space="preserve">                      </w:t>
            </w:r>
          </w:p>
        </w:tc>
        <w:tc>
          <w:tcPr>
            <w:tcW w:w="2754" w:type="dxa"/>
            <w:tcBorders>
              <w:top w:val="single" w:color="000000" w:sz="4" w:space="0"/>
              <w:left w:val="single" w:color="000000" w:sz="4" w:space="0"/>
              <w:bottom w:val="single" w:color="000000" w:sz="4" w:space="0"/>
              <w:right w:val="single" w:color="000000" w:sz="4" w:space="0"/>
            </w:tcBorders>
            <w:vAlign w:val="center"/>
          </w:tcPr>
          <w:p w14:paraId="7627EEFB">
            <w:pPr>
              <w:pStyle w:val="8"/>
              <w:rPr>
                <w:color w:val="000000" w:themeColor="text1"/>
                <w:highlight w:val="none"/>
                <w14:textFill>
                  <w14:solidFill>
                    <w14:schemeClr w14:val="tx1"/>
                  </w14:solidFill>
                </w14:textFill>
              </w:rPr>
            </w:pPr>
          </w:p>
        </w:tc>
        <w:tc>
          <w:tcPr>
            <w:tcW w:w="1744" w:type="dxa"/>
            <w:tcBorders>
              <w:top w:val="single" w:color="000000" w:sz="4" w:space="0"/>
              <w:left w:val="single" w:color="000000" w:sz="4" w:space="0"/>
              <w:bottom w:val="single" w:color="000000" w:sz="4" w:space="0"/>
              <w:right w:val="single" w:color="000000" w:sz="4" w:space="0"/>
            </w:tcBorders>
            <w:vAlign w:val="center"/>
          </w:tcPr>
          <w:p w14:paraId="66D46B24">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5569E5B">
      <w:pPr>
        <w:spacing w:line="360" w:lineRule="auto"/>
        <w:rPr>
          <w:rFonts w:ascii="宋体" w:hAnsi="宋体" w:cs="宋体"/>
          <w:color w:val="000000" w:themeColor="text1"/>
          <w:sz w:val="28"/>
          <w:szCs w:val="28"/>
          <w:highlight w:val="none"/>
          <w14:textFill>
            <w14:solidFill>
              <w14:schemeClr w14:val="tx1"/>
            </w14:solidFill>
          </w14:textFill>
        </w:rPr>
      </w:pPr>
    </w:p>
    <w:p w14:paraId="1898947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9F3C27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1.本合同为固定总价合同，供应商为完成磋商项目所需的全部费用均应计入报价中（包括人员、验收、培训、运行维护、质量保证、税金等。）。</w:t>
      </w:r>
    </w:p>
    <w:p w14:paraId="4CA74B28">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2.供应商报价不得高于采购预算，否则其响应文件将无效。</w:t>
      </w:r>
    </w:p>
    <w:p w14:paraId="47A13706">
      <w:pPr>
        <w:rPr>
          <w:rFonts w:ascii="宋体" w:hAnsi="宋体" w:cs="宋体"/>
          <w:color w:val="000000" w:themeColor="text1"/>
          <w:sz w:val="24"/>
          <w:highlight w:val="none"/>
          <w14:textFill>
            <w14:solidFill>
              <w14:schemeClr w14:val="tx1"/>
            </w14:solidFill>
          </w14:textFill>
        </w:rPr>
      </w:pPr>
    </w:p>
    <w:p w14:paraId="59C114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F0A34F1">
      <w:pPr>
        <w:spacing w:after="480" w:afterLines="200" w:line="600" w:lineRule="exact"/>
        <w:ind w:firstLine="3828" w:firstLineChars="159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14:paraId="1E780F9E">
      <w:pPr>
        <w:ind w:firstLine="3828" w:firstLineChars="159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kern w:val="0"/>
          <w:sz w:val="24"/>
          <w:highlight w:val="none"/>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或</w:t>
      </w:r>
    </w:p>
    <w:p w14:paraId="4A11C47D">
      <w:pPr>
        <w:ind w:firstLine="3828" w:firstLineChars="159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50117893">
      <w:pPr>
        <w:spacing w:before="480" w:beforeLines="200"/>
        <w:ind w:firstLine="3828" w:firstLineChars="159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bookmarkEnd w:id="29"/>
      <w:bookmarkStart w:id="34" w:name="_Toc494096893"/>
    </w:p>
    <w:p w14:paraId="41D3D682">
      <w:pPr>
        <w:pStyle w:val="8"/>
        <w:rPr>
          <w:rFonts w:ascii="宋体" w:hAnsi="宋体" w:cs="宋体"/>
          <w:b/>
          <w:bCs/>
          <w:color w:val="000000" w:themeColor="text1"/>
          <w:sz w:val="32"/>
          <w:szCs w:val="32"/>
          <w:highlight w:val="none"/>
          <w14:textFill>
            <w14:solidFill>
              <w14:schemeClr w14:val="tx1"/>
            </w14:solidFill>
          </w14:textFill>
        </w:rPr>
      </w:pPr>
    </w:p>
    <w:p w14:paraId="6F0FAF28">
      <w:pPr>
        <w:pStyle w:val="8"/>
        <w:rPr>
          <w:rFonts w:ascii="宋体" w:hAnsi="宋体" w:cs="宋体"/>
          <w:b/>
          <w:bCs/>
          <w:color w:val="000000" w:themeColor="text1"/>
          <w:sz w:val="32"/>
          <w:szCs w:val="32"/>
          <w:highlight w:val="none"/>
          <w14:textFill>
            <w14:solidFill>
              <w14:schemeClr w14:val="tx1"/>
            </w14:solidFill>
          </w14:textFill>
        </w:rPr>
      </w:pPr>
    </w:p>
    <w:p w14:paraId="651A88E0">
      <w:pPr>
        <w:pStyle w:val="8"/>
        <w:rPr>
          <w:rFonts w:ascii="宋体" w:hAnsi="宋体" w:cs="宋体"/>
          <w:b/>
          <w:bCs/>
          <w:color w:val="000000" w:themeColor="text1"/>
          <w:sz w:val="32"/>
          <w:szCs w:val="32"/>
          <w:highlight w:val="none"/>
          <w14:textFill>
            <w14:solidFill>
              <w14:schemeClr w14:val="tx1"/>
            </w14:solidFill>
          </w14:textFill>
        </w:rPr>
      </w:pPr>
    </w:p>
    <w:p w14:paraId="10FB5CFE">
      <w:pPr>
        <w:pStyle w:val="8"/>
        <w:rPr>
          <w:rFonts w:ascii="宋体" w:hAnsi="宋体" w:cs="宋体"/>
          <w:b/>
          <w:bCs/>
          <w:color w:val="000000" w:themeColor="text1"/>
          <w:sz w:val="32"/>
          <w:szCs w:val="32"/>
          <w:highlight w:val="none"/>
          <w14:textFill>
            <w14:solidFill>
              <w14:schemeClr w14:val="tx1"/>
            </w14:solidFill>
          </w14:textFill>
        </w:rPr>
      </w:pPr>
    </w:p>
    <w:p w14:paraId="3C71BDC9">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69BF18AB">
      <w:p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分项</w:t>
      </w:r>
      <w:r>
        <w:rPr>
          <w:rFonts w:hint="eastAsia" w:ascii="宋体" w:hAnsi="宋体" w:cs="宋体"/>
          <w:b/>
          <w:color w:val="000000" w:themeColor="text1"/>
          <w:sz w:val="32"/>
          <w:szCs w:val="32"/>
          <w:highlight w:val="none"/>
          <w:lang w:val="en-US" w:eastAsia="zh-CN"/>
          <w14:textFill>
            <w14:solidFill>
              <w14:schemeClr w14:val="tx1"/>
            </w14:solidFill>
          </w14:textFill>
        </w:rPr>
        <w:t>报价</w:t>
      </w:r>
      <w:r>
        <w:rPr>
          <w:rFonts w:hint="eastAsia" w:ascii="宋体" w:hAnsi="宋体" w:cs="宋体"/>
          <w:b/>
          <w:color w:val="000000" w:themeColor="text1"/>
          <w:sz w:val="32"/>
          <w:szCs w:val="32"/>
          <w:highlight w:val="none"/>
          <w14:textFill>
            <w14:solidFill>
              <w14:schemeClr w14:val="tx1"/>
            </w14:solidFill>
          </w14:textFill>
        </w:rPr>
        <w:t>表</w:t>
      </w:r>
    </w:p>
    <w:p w14:paraId="55C9C4DB">
      <w:pPr>
        <w:spacing w:after="480" w:afterLines="200" w:line="600" w:lineRule="exact"/>
        <w:ind w:firstLine="3828" w:firstLineChars="1595"/>
        <w:jc w:val="left"/>
        <w:rPr>
          <w:rFonts w:ascii="宋体" w:hAnsi="宋体" w:cs="宋体"/>
          <w:color w:val="000000" w:themeColor="text1"/>
          <w:sz w:val="24"/>
          <w:highlight w:val="none"/>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647"/>
        <w:gridCol w:w="1052"/>
        <w:gridCol w:w="1052"/>
        <w:gridCol w:w="2241"/>
        <w:gridCol w:w="1647"/>
      </w:tblGrid>
      <w:tr w14:paraId="6D4E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47" w:type="dxa"/>
            <w:noWrap w:val="0"/>
            <w:vAlign w:val="center"/>
          </w:tcPr>
          <w:p w14:paraId="1444D1D5">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647" w:type="dxa"/>
            <w:noWrap w:val="0"/>
            <w:vAlign w:val="center"/>
          </w:tcPr>
          <w:p w14:paraId="4B001F18">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类别</w:t>
            </w:r>
          </w:p>
        </w:tc>
        <w:tc>
          <w:tcPr>
            <w:tcW w:w="1052" w:type="dxa"/>
            <w:noWrap w:val="0"/>
            <w:vAlign w:val="center"/>
          </w:tcPr>
          <w:p w14:paraId="539457F5">
            <w:pPr>
              <w:pageBreakBefore w:val="0"/>
              <w:kinsoku/>
              <w:overflowPunct/>
              <w:topLinePunct w:val="0"/>
              <w:bidi w:val="0"/>
              <w:spacing w:beforeAutospacing="0" w:afterAutospacing="0" w:line="440" w:lineRule="exact"/>
              <w:ind w:left="0" w:leftChars="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规格、参数</w:t>
            </w:r>
          </w:p>
        </w:tc>
        <w:tc>
          <w:tcPr>
            <w:tcW w:w="1052" w:type="dxa"/>
            <w:noWrap w:val="0"/>
            <w:vAlign w:val="center"/>
          </w:tcPr>
          <w:p w14:paraId="02D0BCB7">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r>
              <w:rPr>
                <w:rFonts w:hint="eastAsia" w:ascii="宋体" w:hAnsi="宋体" w:eastAsia="宋体" w:cs="宋体"/>
                <w:color w:val="auto"/>
                <w:highlight w:val="none"/>
              </w:rPr>
              <w:t>数 量</w:t>
            </w:r>
          </w:p>
        </w:tc>
        <w:tc>
          <w:tcPr>
            <w:tcW w:w="2241" w:type="dxa"/>
            <w:noWrap w:val="0"/>
            <w:vAlign w:val="center"/>
          </w:tcPr>
          <w:p w14:paraId="60D99B98">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r>
              <w:rPr>
                <w:rFonts w:hint="eastAsia" w:ascii="宋体" w:hAnsi="宋体" w:eastAsia="宋体" w:cs="宋体"/>
                <w:color w:val="auto"/>
                <w:highlight w:val="none"/>
              </w:rPr>
              <w:t>单价（元）</w:t>
            </w:r>
          </w:p>
        </w:tc>
        <w:tc>
          <w:tcPr>
            <w:tcW w:w="1647" w:type="dxa"/>
            <w:noWrap w:val="0"/>
            <w:vAlign w:val="center"/>
          </w:tcPr>
          <w:p w14:paraId="64B0B006">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总价</w:t>
            </w:r>
            <w:r>
              <w:rPr>
                <w:rFonts w:hint="eastAsia" w:ascii="宋体" w:hAnsi="宋体" w:eastAsia="宋体" w:cs="宋体"/>
                <w:color w:val="auto"/>
                <w:highlight w:val="none"/>
              </w:rPr>
              <w:t>（元）</w:t>
            </w:r>
          </w:p>
        </w:tc>
      </w:tr>
      <w:tr w14:paraId="5734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47" w:type="dxa"/>
            <w:noWrap w:val="0"/>
            <w:vAlign w:val="top"/>
          </w:tcPr>
          <w:p w14:paraId="23C1400F">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647" w:type="dxa"/>
            <w:noWrap w:val="0"/>
            <w:vAlign w:val="top"/>
          </w:tcPr>
          <w:p w14:paraId="2F7F8BA8">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052" w:type="dxa"/>
            <w:noWrap w:val="0"/>
            <w:vAlign w:val="top"/>
          </w:tcPr>
          <w:p w14:paraId="5DB926FB">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052" w:type="dxa"/>
            <w:noWrap w:val="0"/>
            <w:vAlign w:val="top"/>
          </w:tcPr>
          <w:p w14:paraId="6A544F3D">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2241" w:type="dxa"/>
            <w:noWrap w:val="0"/>
            <w:vAlign w:val="top"/>
          </w:tcPr>
          <w:p w14:paraId="5B2F151E">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647" w:type="dxa"/>
            <w:noWrap w:val="0"/>
            <w:vAlign w:val="top"/>
          </w:tcPr>
          <w:p w14:paraId="01C7C34E">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r>
      <w:tr w14:paraId="1427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47" w:type="dxa"/>
            <w:noWrap w:val="0"/>
            <w:vAlign w:val="top"/>
          </w:tcPr>
          <w:p w14:paraId="48FBDD06">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647" w:type="dxa"/>
            <w:noWrap w:val="0"/>
            <w:vAlign w:val="top"/>
          </w:tcPr>
          <w:p w14:paraId="3FFBB19B">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052" w:type="dxa"/>
            <w:noWrap w:val="0"/>
            <w:vAlign w:val="top"/>
          </w:tcPr>
          <w:p w14:paraId="7E277183">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052" w:type="dxa"/>
            <w:noWrap w:val="0"/>
            <w:vAlign w:val="top"/>
          </w:tcPr>
          <w:p w14:paraId="75C9605B">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2241" w:type="dxa"/>
            <w:noWrap w:val="0"/>
            <w:vAlign w:val="top"/>
          </w:tcPr>
          <w:p w14:paraId="38D042A4">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647" w:type="dxa"/>
            <w:noWrap w:val="0"/>
            <w:vAlign w:val="top"/>
          </w:tcPr>
          <w:p w14:paraId="6CF9A629">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r>
      <w:tr w14:paraId="6362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47" w:type="dxa"/>
            <w:noWrap w:val="0"/>
            <w:vAlign w:val="top"/>
          </w:tcPr>
          <w:p w14:paraId="254C7255">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647" w:type="dxa"/>
            <w:noWrap w:val="0"/>
            <w:vAlign w:val="top"/>
          </w:tcPr>
          <w:p w14:paraId="7AAEDBD5">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052" w:type="dxa"/>
            <w:noWrap w:val="0"/>
            <w:vAlign w:val="top"/>
          </w:tcPr>
          <w:p w14:paraId="7AF61567">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052" w:type="dxa"/>
            <w:noWrap w:val="0"/>
            <w:vAlign w:val="top"/>
          </w:tcPr>
          <w:p w14:paraId="0F0C9337">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2241" w:type="dxa"/>
            <w:noWrap w:val="0"/>
            <w:vAlign w:val="top"/>
          </w:tcPr>
          <w:p w14:paraId="730BCBBD">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647" w:type="dxa"/>
            <w:noWrap w:val="0"/>
            <w:vAlign w:val="top"/>
          </w:tcPr>
          <w:p w14:paraId="481E97DA">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r>
      <w:tr w14:paraId="78E4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47" w:type="dxa"/>
            <w:noWrap w:val="0"/>
            <w:vAlign w:val="top"/>
          </w:tcPr>
          <w:p w14:paraId="31CC760D">
            <w:pPr>
              <w:pageBreakBefore w:val="0"/>
              <w:kinsoku/>
              <w:overflowPunct/>
              <w:topLinePunct w:val="0"/>
              <w:bidi w:val="0"/>
              <w:spacing w:beforeAutospacing="0" w:afterAutospacing="0" w:line="440" w:lineRule="exact"/>
              <w:ind w:left="0" w:leftChars="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647" w:type="dxa"/>
            <w:noWrap w:val="0"/>
            <w:vAlign w:val="top"/>
          </w:tcPr>
          <w:p w14:paraId="5DFDF254">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052" w:type="dxa"/>
            <w:noWrap w:val="0"/>
            <w:vAlign w:val="top"/>
          </w:tcPr>
          <w:p w14:paraId="2865E30A">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052" w:type="dxa"/>
            <w:noWrap w:val="0"/>
            <w:vAlign w:val="top"/>
          </w:tcPr>
          <w:p w14:paraId="5DD18682">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2241" w:type="dxa"/>
            <w:noWrap w:val="0"/>
            <w:vAlign w:val="top"/>
          </w:tcPr>
          <w:p w14:paraId="293FE7E0">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c>
          <w:tcPr>
            <w:tcW w:w="1647" w:type="dxa"/>
            <w:noWrap w:val="0"/>
            <w:vAlign w:val="top"/>
          </w:tcPr>
          <w:p w14:paraId="687FAECB">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p>
        </w:tc>
      </w:tr>
      <w:tr w14:paraId="1E19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647" w:type="dxa"/>
            <w:noWrap w:val="0"/>
            <w:vAlign w:val="top"/>
          </w:tcPr>
          <w:p w14:paraId="7D1BE321">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lang w:val="en-US" w:eastAsia="zh-CN"/>
              </w:rPr>
            </w:pPr>
          </w:p>
          <w:p w14:paraId="757B10B6">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lang w:val="en-US" w:eastAsia="zh-CN"/>
              </w:rPr>
            </w:pPr>
          </w:p>
          <w:p w14:paraId="7BF681D3">
            <w:pPr>
              <w:pageBreakBefore w:val="0"/>
              <w:kinsoku/>
              <w:overflowPunct/>
              <w:topLinePunct w:val="0"/>
              <w:bidi w:val="0"/>
              <w:spacing w:beforeAutospacing="0" w:afterAutospacing="0" w:line="440" w:lineRule="exact"/>
              <w:ind w:left="0" w:leftChars="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投标总价（元）</w:t>
            </w:r>
          </w:p>
        </w:tc>
        <w:tc>
          <w:tcPr>
            <w:tcW w:w="7639" w:type="dxa"/>
            <w:gridSpan w:val="5"/>
            <w:noWrap w:val="0"/>
            <w:vAlign w:val="top"/>
          </w:tcPr>
          <w:p w14:paraId="4401D9ED">
            <w:pPr>
              <w:pageBreakBefore w:val="0"/>
              <w:kinsoku/>
              <w:overflowPunct/>
              <w:topLinePunct w:val="0"/>
              <w:bidi w:val="0"/>
              <w:spacing w:beforeAutospacing="0" w:afterAutospacing="0" w:line="440" w:lineRule="exact"/>
              <w:ind w:left="0" w:leftChars="0" w:right="0"/>
              <w:jc w:val="left"/>
              <w:rPr>
                <w:rFonts w:hint="eastAsia" w:ascii="宋体" w:hAnsi="宋体" w:eastAsia="宋体" w:cs="宋体"/>
                <w:color w:val="auto"/>
                <w:highlight w:val="none"/>
              </w:rPr>
            </w:pPr>
          </w:p>
          <w:p w14:paraId="31F0A41D">
            <w:pPr>
              <w:pageBreakBefore w:val="0"/>
              <w:kinsoku/>
              <w:overflowPunct/>
              <w:topLinePunct w:val="0"/>
              <w:bidi w:val="0"/>
              <w:spacing w:beforeAutospacing="0" w:afterAutospacing="0" w:line="440" w:lineRule="exact"/>
              <w:ind w:left="0" w:leftChars="0" w:right="0"/>
              <w:jc w:val="left"/>
              <w:rPr>
                <w:rFonts w:hint="eastAsia" w:ascii="宋体" w:hAnsi="宋体" w:eastAsia="宋体" w:cs="宋体"/>
                <w:color w:val="auto"/>
                <w:highlight w:val="none"/>
              </w:rPr>
            </w:pPr>
            <w:r>
              <w:rPr>
                <w:rFonts w:hint="eastAsia" w:ascii="宋体" w:hAnsi="宋体" w:eastAsia="宋体" w:cs="宋体"/>
                <w:color w:val="auto"/>
                <w:highlight w:val="none"/>
              </w:rPr>
              <w:t>大写金额：</w:t>
            </w:r>
          </w:p>
          <w:p w14:paraId="0FCE8EA8">
            <w:pPr>
              <w:pageBreakBefore w:val="0"/>
              <w:kinsoku/>
              <w:overflowPunct/>
              <w:topLinePunct w:val="0"/>
              <w:bidi w:val="0"/>
              <w:spacing w:beforeAutospacing="0" w:afterAutospacing="0" w:line="440" w:lineRule="exact"/>
              <w:ind w:left="0" w:leftChars="0" w:right="0"/>
              <w:jc w:val="left"/>
              <w:rPr>
                <w:rFonts w:hint="eastAsia" w:ascii="宋体" w:hAnsi="宋体" w:eastAsia="宋体" w:cs="宋体"/>
                <w:color w:val="auto"/>
                <w:highlight w:val="none"/>
              </w:rPr>
            </w:pPr>
            <w:r>
              <w:rPr>
                <w:rFonts w:hint="eastAsia" w:ascii="宋体" w:hAnsi="宋体" w:eastAsia="宋体" w:cs="宋体"/>
                <w:color w:val="auto"/>
                <w:highlight w:val="none"/>
              </w:rPr>
              <w:t>小写金额：</w:t>
            </w:r>
          </w:p>
        </w:tc>
      </w:tr>
    </w:tbl>
    <w:p w14:paraId="6406A46D">
      <w:pPr>
        <w:pageBreakBefore w:val="0"/>
        <w:kinsoku/>
        <w:overflowPunct/>
        <w:topLinePunct w:val="0"/>
        <w:bidi w:val="0"/>
        <w:spacing w:beforeAutospacing="0" w:afterAutospacing="0" w:line="440" w:lineRule="exact"/>
        <w:ind w:left="0" w:leftChars="0" w:right="0"/>
        <w:rPr>
          <w:rFonts w:hint="eastAsia" w:ascii="宋体" w:hAnsi="宋体" w:eastAsia="宋体" w:cs="宋体"/>
          <w:b/>
          <w:bCs/>
          <w:color w:val="auto"/>
          <w:szCs w:val="21"/>
          <w:highlight w:val="none"/>
          <w:lang w:val="en-US" w:eastAsia="zh-CN"/>
        </w:rPr>
      </w:pPr>
    </w:p>
    <w:p w14:paraId="13ECD0E2">
      <w:pPr>
        <w:pageBreakBefore w:val="0"/>
        <w:kinsoku/>
        <w:overflowPunct/>
        <w:topLinePunct w:val="0"/>
        <w:bidi w:val="0"/>
        <w:spacing w:beforeAutospacing="0" w:afterAutospacing="0" w:line="440" w:lineRule="exact"/>
        <w:ind w:left="0" w:leftChars="0" w:right="0"/>
        <w:rPr>
          <w:rFonts w:hint="eastAsia" w:ascii="宋体" w:hAnsi="宋体" w:eastAsia="宋体" w:cs="宋体"/>
          <w:highlight w:val="none"/>
        </w:rPr>
      </w:pPr>
      <w:r>
        <w:rPr>
          <w:rFonts w:hint="eastAsia" w:ascii="宋体" w:hAnsi="宋体" w:eastAsia="宋体" w:cs="宋体"/>
          <w:b/>
          <w:bCs/>
          <w:color w:val="auto"/>
          <w:szCs w:val="21"/>
          <w:highlight w:val="none"/>
          <w:lang w:val="en-US" w:eastAsia="zh-CN"/>
        </w:rPr>
        <w:t>备</w:t>
      </w:r>
      <w:r>
        <w:rPr>
          <w:rFonts w:hint="eastAsia" w:ascii="宋体" w:hAnsi="宋体" w:eastAsia="宋体" w:cs="宋体"/>
          <w:b/>
          <w:bCs/>
          <w:color w:val="auto"/>
          <w:szCs w:val="21"/>
          <w:highlight w:val="none"/>
        </w:rPr>
        <w:t>注：</w:t>
      </w:r>
      <w:r>
        <w:rPr>
          <w:rFonts w:hint="eastAsia" w:ascii="宋体" w:hAnsi="宋体" w:eastAsia="宋体" w:cs="宋体"/>
          <w:highlight w:val="none"/>
        </w:rPr>
        <w:t>1、本表“投标报价”金额应与“开标一览表”中的“投标报价”一致；</w:t>
      </w:r>
    </w:p>
    <w:p w14:paraId="33D8F8F7">
      <w:pPr>
        <w:pStyle w:val="20"/>
        <w:pageBreakBefore w:val="0"/>
        <w:kinsoku/>
        <w:overflowPunct/>
        <w:topLinePunct w:val="0"/>
        <w:bidi w:val="0"/>
        <w:spacing w:beforeAutospacing="0" w:after="0" w:afterLines="0" w:afterAutospacing="0" w:line="440" w:lineRule="exact"/>
        <w:ind w:left="0" w:leftChars="0" w:right="0" w:firstLine="240" w:firstLineChars="100"/>
        <w:rPr>
          <w:rFonts w:hint="eastAsia" w:ascii="宋体" w:hAnsi="宋体" w:eastAsia="宋体" w:cs="宋体"/>
          <w:highlight w:val="none"/>
        </w:rPr>
      </w:pPr>
      <w:r>
        <w:rPr>
          <w:rFonts w:hint="eastAsia" w:ascii="宋体" w:hAnsi="宋体" w:eastAsia="宋体" w:cs="宋体"/>
          <w:highlight w:val="none"/>
        </w:rPr>
        <w:t>2、如果按单价计算的结果与总价不一致，以单价为准修正总价。</w:t>
      </w:r>
    </w:p>
    <w:p w14:paraId="30C36758">
      <w:pPr>
        <w:pStyle w:val="20"/>
        <w:pageBreakBefore w:val="0"/>
        <w:kinsoku/>
        <w:overflowPunct/>
        <w:topLinePunct w:val="0"/>
        <w:bidi w:val="0"/>
        <w:spacing w:beforeAutospacing="0" w:after="0" w:afterLines="0" w:afterAutospacing="0" w:line="440" w:lineRule="exact"/>
        <w:ind w:left="0" w:leftChars="0" w:right="0" w:firstLine="240" w:firstLineChars="100"/>
        <w:rPr>
          <w:rFonts w:hint="eastAsia" w:ascii="宋体" w:hAnsi="宋体" w:eastAsia="宋体" w:cs="宋体"/>
          <w:highlight w:val="none"/>
        </w:rPr>
      </w:pPr>
      <w:r>
        <w:rPr>
          <w:rFonts w:hint="eastAsia" w:ascii="宋体" w:hAnsi="宋体" w:eastAsia="宋体" w:cs="宋体"/>
          <w:highlight w:val="none"/>
        </w:rPr>
        <w:t>3、如果不提供详细分项报价将视为没有实质性响应招标文件。</w:t>
      </w:r>
    </w:p>
    <w:p w14:paraId="4C8B8F35">
      <w:pPr>
        <w:pStyle w:val="20"/>
        <w:pageBreakBefore w:val="0"/>
        <w:kinsoku/>
        <w:overflowPunct/>
        <w:topLinePunct w:val="0"/>
        <w:bidi w:val="0"/>
        <w:spacing w:beforeAutospacing="0" w:after="0" w:afterLines="0" w:afterAutospacing="0" w:line="440" w:lineRule="exact"/>
        <w:ind w:left="0" w:leftChars="0" w:right="0" w:firstLine="240" w:firstLineChars="100"/>
        <w:rPr>
          <w:rFonts w:hint="eastAsia" w:ascii="宋体" w:hAnsi="宋体" w:eastAsia="宋体" w:cs="宋体"/>
          <w:highlight w:val="none"/>
        </w:rPr>
      </w:pPr>
      <w:r>
        <w:rPr>
          <w:rFonts w:hint="eastAsia" w:ascii="宋体" w:hAnsi="宋体" w:eastAsia="宋体" w:cs="宋体"/>
          <w:highlight w:val="none"/>
        </w:rPr>
        <w:t>4、供应商可适当调整该表格式，但不得减少信息内容。</w:t>
      </w:r>
    </w:p>
    <w:p w14:paraId="7CC07419">
      <w:pPr>
        <w:pStyle w:val="11"/>
        <w:rPr>
          <w:rFonts w:ascii="宋体" w:hAnsi="宋体" w:cs="宋体"/>
          <w:color w:val="000000" w:themeColor="text1"/>
          <w:sz w:val="24"/>
          <w:highlight w:val="none"/>
          <w14:textFill>
            <w14:solidFill>
              <w14:schemeClr w14:val="tx1"/>
            </w14:solidFill>
          </w14:textFill>
        </w:rPr>
      </w:pPr>
    </w:p>
    <w:p w14:paraId="1F570447">
      <w:pPr>
        <w:pStyle w:val="11"/>
        <w:rPr>
          <w:rFonts w:ascii="宋体" w:hAnsi="宋体" w:cs="宋体"/>
          <w:color w:val="000000" w:themeColor="text1"/>
          <w:sz w:val="24"/>
          <w:highlight w:val="none"/>
          <w14:textFill>
            <w14:solidFill>
              <w14:schemeClr w14:val="tx1"/>
            </w14:solidFill>
          </w14:textFill>
        </w:rPr>
      </w:pPr>
    </w:p>
    <w:p w14:paraId="37A156B0">
      <w:pPr>
        <w:rPr>
          <w:color w:val="000000" w:themeColor="text1"/>
          <w:highlight w:val="none"/>
          <w14:textFill>
            <w14:solidFill>
              <w14:schemeClr w14:val="tx1"/>
            </w14:solidFill>
          </w14:textFill>
        </w:rPr>
      </w:pPr>
    </w:p>
    <w:p w14:paraId="0B34AAD0">
      <w:pPr>
        <w:rPr>
          <w:rFonts w:ascii="宋体" w:hAnsi="宋体" w:cs="宋体"/>
          <w:b/>
          <w:bCs/>
          <w:color w:val="000000" w:themeColor="text1"/>
          <w:sz w:val="32"/>
          <w:szCs w:val="32"/>
          <w:highlight w:val="none"/>
          <w14:textFill>
            <w14:solidFill>
              <w14:schemeClr w14:val="tx1"/>
            </w14:solidFill>
          </w14:textFill>
        </w:rPr>
      </w:pPr>
    </w:p>
    <w:p w14:paraId="46829174">
      <w:pPr>
        <w:rPr>
          <w:rFonts w:ascii="宋体" w:hAnsi="宋体" w:cs="宋体"/>
          <w:b/>
          <w:bCs/>
          <w:color w:val="000000" w:themeColor="text1"/>
          <w:sz w:val="32"/>
          <w:szCs w:val="32"/>
          <w:highlight w:val="none"/>
          <w14:textFill>
            <w14:solidFill>
              <w14:schemeClr w14:val="tx1"/>
            </w14:solidFill>
          </w14:textFill>
        </w:rPr>
      </w:pPr>
    </w:p>
    <w:p w14:paraId="40FE7F4A">
      <w:pPr>
        <w:rPr>
          <w:rFonts w:ascii="宋体" w:hAnsi="宋体" w:cs="宋体"/>
          <w:b/>
          <w:bCs/>
          <w:color w:val="000000" w:themeColor="text1"/>
          <w:sz w:val="32"/>
          <w:szCs w:val="32"/>
          <w:highlight w:val="none"/>
          <w14:textFill>
            <w14:solidFill>
              <w14:schemeClr w14:val="tx1"/>
            </w14:solidFill>
          </w14:textFill>
        </w:rPr>
      </w:pPr>
    </w:p>
    <w:p w14:paraId="1B3E5F70">
      <w:pP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645BD684">
      <w:pPr>
        <w:spacing w:line="480" w:lineRule="auto"/>
        <w:jc w:val="center"/>
        <w:outlineLvl w:val="1"/>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五、商务条款偏离表</w:t>
      </w:r>
    </w:p>
    <w:p w14:paraId="45C5ECD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                                               项目编号：</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81"/>
        <w:gridCol w:w="2403"/>
        <w:gridCol w:w="2532"/>
        <w:gridCol w:w="864"/>
        <w:gridCol w:w="780"/>
      </w:tblGrid>
      <w:tr w14:paraId="2F20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78" w:type="dxa"/>
            <w:vAlign w:val="center"/>
          </w:tcPr>
          <w:p w14:paraId="7ADD96E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981" w:type="dxa"/>
            <w:vAlign w:val="center"/>
          </w:tcPr>
          <w:p w14:paraId="169CCDC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磋商文件条目号</w:t>
            </w:r>
          </w:p>
        </w:tc>
        <w:tc>
          <w:tcPr>
            <w:tcW w:w="2403" w:type="dxa"/>
            <w:vAlign w:val="center"/>
          </w:tcPr>
          <w:p w14:paraId="722EC82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磋商文件的商务条款</w:t>
            </w:r>
          </w:p>
        </w:tc>
        <w:tc>
          <w:tcPr>
            <w:tcW w:w="2532" w:type="dxa"/>
            <w:vAlign w:val="center"/>
          </w:tcPr>
          <w:p w14:paraId="60D084A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响应文件的商务条款</w:t>
            </w:r>
          </w:p>
        </w:tc>
        <w:tc>
          <w:tcPr>
            <w:tcW w:w="864" w:type="dxa"/>
            <w:vAlign w:val="center"/>
          </w:tcPr>
          <w:p w14:paraId="2413187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w:t>
            </w:r>
          </w:p>
        </w:tc>
        <w:tc>
          <w:tcPr>
            <w:tcW w:w="780" w:type="dxa"/>
            <w:vAlign w:val="center"/>
          </w:tcPr>
          <w:p w14:paraId="3A38560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r w14:paraId="558C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5DB2DB53">
            <w:pPr>
              <w:jc w:val="center"/>
              <w:rPr>
                <w:rFonts w:ascii="宋体" w:hAnsi="宋体" w:cs="宋体"/>
                <w:color w:val="000000" w:themeColor="text1"/>
                <w:sz w:val="24"/>
                <w:highlight w:val="none"/>
                <w14:textFill>
                  <w14:solidFill>
                    <w14:schemeClr w14:val="tx1"/>
                  </w14:solidFill>
                </w14:textFill>
              </w:rPr>
            </w:pPr>
          </w:p>
        </w:tc>
        <w:tc>
          <w:tcPr>
            <w:tcW w:w="1981" w:type="dxa"/>
            <w:vAlign w:val="center"/>
          </w:tcPr>
          <w:p w14:paraId="08CF1FB3">
            <w:pPr>
              <w:jc w:val="center"/>
              <w:rPr>
                <w:rFonts w:ascii="宋体" w:hAnsi="宋体" w:cs="宋体"/>
                <w:color w:val="000000" w:themeColor="text1"/>
                <w:sz w:val="24"/>
                <w:highlight w:val="none"/>
                <w14:textFill>
                  <w14:solidFill>
                    <w14:schemeClr w14:val="tx1"/>
                  </w14:solidFill>
                </w14:textFill>
              </w:rPr>
            </w:pPr>
          </w:p>
        </w:tc>
        <w:tc>
          <w:tcPr>
            <w:tcW w:w="2403" w:type="dxa"/>
            <w:vAlign w:val="center"/>
          </w:tcPr>
          <w:p w14:paraId="77B86B34">
            <w:pPr>
              <w:jc w:val="center"/>
              <w:rPr>
                <w:rFonts w:ascii="宋体" w:hAnsi="宋体" w:cs="宋体"/>
                <w:color w:val="000000" w:themeColor="text1"/>
                <w:sz w:val="24"/>
                <w:highlight w:val="none"/>
                <w14:textFill>
                  <w14:solidFill>
                    <w14:schemeClr w14:val="tx1"/>
                  </w14:solidFill>
                </w14:textFill>
              </w:rPr>
            </w:pPr>
          </w:p>
        </w:tc>
        <w:tc>
          <w:tcPr>
            <w:tcW w:w="2532" w:type="dxa"/>
            <w:vAlign w:val="center"/>
          </w:tcPr>
          <w:p w14:paraId="7372C6C9">
            <w:pPr>
              <w:jc w:val="center"/>
              <w:rPr>
                <w:rFonts w:ascii="宋体" w:hAnsi="宋体" w:cs="宋体"/>
                <w:color w:val="000000" w:themeColor="text1"/>
                <w:sz w:val="24"/>
                <w:highlight w:val="none"/>
                <w14:textFill>
                  <w14:solidFill>
                    <w14:schemeClr w14:val="tx1"/>
                  </w14:solidFill>
                </w14:textFill>
              </w:rPr>
            </w:pPr>
          </w:p>
        </w:tc>
        <w:tc>
          <w:tcPr>
            <w:tcW w:w="864" w:type="dxa"/>
            <w:vAlign w:val="center"/>
          </w:tcPr>
          <w:p w14:paraId="1410130C">
            <w:pPr>
              <w:jc w:val="center"/>
              <w:rPr>
                <w:rFonts w:ascii="宋体" w:hAnsi="宋体" w:cs="宋体"/>
                <w:color w:val="000000" w:themeColor="text1"/>
                <w:sz w:val="24"/>
                <w:highlight w:val="none"/>
                <w14:textFill>
                  <w14:solidFill>
                    <w14:schemeClr w14:val="tx1"/>
                  </w14:solidFill>
                </w14:textFill>
              </w:rPr>
            </w:pPr>
          </w:p>
        </w:tc>
        <w:tc>
          <w:tcPr>
            <w:tcW w:w="780" w:type="dxa"/>
            <w:vAlign w:val="center"/>
          </w:tcPr>
          <w:p w14:paraId="0639B30F">
            <w:pPr>
              <w:jc w:val="center"/>
              <w:rPr>
                <w:rFonts w:ascii="宋体" w:hAnsi="宋体" w:cs="宋体"/>
                <w:color w:val="000000" w:themeColor="text1"/>
                <w:sz w:val="24"/>
                <w:highlight w:val="none"/>
                <w14:textFill>
                  <w14:solidFill>
                    <w14:schemeClr w14:val="tx1"/>
                  </w14:solidFill>
                </w14:textFill>
              </w:rPr>
            </w:pPr>
          </w:p>
        </w:tc>
      </w:tr>
      <w:tr w14:paraId="522C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6046F15F">
            <w:pPr>
              <w:jc w:val="center"/>
              <w:rPr>
                <w:rFonts w:ascii="宋体" w:hAnsi="宋体" w:cs="宋体"/>
                <w:color w:val="000000" w:themeColor="text1"/>
                <w:sz w:val="24"/>
                <w:highlight w:val="none"/>
                <w14:textFill>
                  <w14:solidFill>
                    <w14:schemeClr w14:val="tx1"/>
                  </w14:solidFill>
                </w14:textFill>
              </w:rPr>
            </w:pPr>
          </w:p>
        </w:tc>
        <w:tc>
          <w:tcPr>
            <w:tcW w:w="1981" w:type="dxa"/>
            <w:vAlign w:val="center"/>
          </w:tcPr>
          <w:p w14:paraId="0A376B87">
            <w:pPr>
              <w:jc w:val="center"/>
              <w:rPr>
                <w:rFonts w:ascii="宋体" w:hAnsi="宋体" w:cs="宋体"/>
                <w:color w:val="000000" w:themeColor="text1"/>
                <w:sz w:val="24"/>
                <w:highlight w:val="none"/>
                <w14:textFill>
                  <w14:solidFill>
                    <w14:schemeClr w14:val="tx1"/>
                  </w14:solidFill>
                </w14:textFill>
              </w:rPr>
            </w:pPr>
          </w:p>
        </w:tc>
        <w:tc>
          <w:tcPr>
            <w:tcW w:w="2403" w:type="dxa"/>
            <w:vAlign w:val="center"/>
          </w:tcPr>
          <w:p w14:paraId="2A0598C7">
            <w:pPr>
              <w:jc w:val="center"/>
              <w:rPr>
                <w:rFonts w:ascii="宋体" w:hAnsi="宋体" w:cs="宋体"/>
                <w:color w:val="000000" w:themeColor="text1"/>
                <w:sz w:val="24"/>
                <w:highlight w:val="none"/>
                <w14:textFill>
                  <w14:solidFill>
                    <w14:schemeClr w14:val="tx1"/>
                  </w14:solidFill>
                </w14:textFill>
              </w:rPr>
            </w:pPr>
          </w:p>
        </w:tc>
        <w:tc>
          <w:tcPr>
            <w:tcW w:w="2532" w:type="dxa"/>
            <w:vAlign w:val="center"/>
          </w:tcPr>
          <w:p w14:paraId="3449D6E5">
            <w:pPr>
              <w:jc w:val="center"/>
              <w:rPr>
                <w:rFonts w:ascii="宋体" w:hAnsi="宋体" w:cs="宋体"/>
                <w:color w:val="000000" w:themeColor="text1"/>
                <w:sz w:val="24"/>
                <w:highlight w:val="none"/>
                <w14:textFill>
                  <w14:solidFill>
                    <w14:schemeClr w14:val="tx1"/>
                  </w14:solidFill>
                </w14:textFill>
              </w:rPr>
            </w:pPr>
          </w:p>
        </w:tc>
        <w:tc>
          <w:tcPr>
            <w:tcW w:w="864" w:type="dxa"/>
            <w:vAlign w:val="center"/>
          </w:tcPr>
          <w:p w14:paraId="7DF3F768">
            <w:pPr>
              <w:jc w:val="center"/>
              <w:rPr>
                <w:rFonts w:ascii="宋体" w:hAnsi="宋体" w:cs="宋体"/>
                <w:color w:val="000000" w:themeColor="text1"/>
                <w:sz w:val="24"/>
                <w:highlight w:val="none"/>
                <w14:textFill>
                  <w14:solidFill>
                    <w14:schemeClr w14:val="tx1"/>
                  </w14:solidFill>
                </w14:textFill>
              </w:rPr>
            </w:pPr>
          </w:p>
        </w:tc>
        <w:tc>
          <w:tcPr>
            <w:tcW w:w="780" w:type="dxa"/>
            <w:vAlign w:val="center"/>
          </w:tcPr>
          <w:p w14:paraId="48EA57BA">
            <w:pPr>
              <w:jc w:val="center"/>
              <w:rPr>
                <w:rFonts w:ascii="宋体" w:hAnsi="宋体" w:cs="宋体"/>
                <w:color w:val="000000" w:themeColor="text1"/>
                <w:sz w:val="24"/>
                <w:highlight w:val="none"/>
                <w14:textFill>
                  <w14:solidFill>
                    <w14:schemeClr w14:val="tx1"/>
                  </w14:solidFill>
                </w14:textFill>
              </w:rPr>
            </w:pPr>
          </w:p>
        </w:tc>
      </w:tr>
      <w:tr w14:paraId="0ECF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57B4B107">
            <w:pPr>
              <w:jc w:val="center"/>
              <w:rPr>
                <w:rFonts w:ascii="宋体" w:hAnsi="宋体" w:cs="宋体"/>
                <w:color w:val="000000" w:themeColor="text1"/>
                <w:sz w:val="24"/>
                <w:highlight w:val="none"/>
                <w14:textFill>
                  <w14:solidFill>
                    <w14:schemeClr w14:val="tx1"/>
                  </w14:solidFill>
                </w14:textFill>
              </w:rPr>
            </w:pPr>
          </w:p>
        </w:tc>
        <w:tc>
          <w:tcPr>
            <w:tcW w:w="1981" w:type="dxa"/>
            <w:vAlign w:val="center"/>
          </w:tcPr>
          <w:p w14:paraId="6A7B99A0">
            <w:pPr>
              <w:jc w:val="center"/>
              <w:rPr>
                <w:rFonts w:ascii="宋体" w:hAnsi="宋体" w:cs="宋体"/>
                <w:color w:val="000000" w:themeColor="text1"/>
                <w:sz w:val="24"/>
                <w:highlight w:val="none"/>
                <w14:textFill>
                  <w14:solidFill>
                    <w14:schemeClr w14:val="tx1"/>
                  </w14:solidFill>
                </w14:textFill>
              </w:rPr>
            </w:pPr>
          </w:p>
        </w:tc>
        <w:tc>
          <w:tcPr>
            <w:tcW w:w="2403" w:type="dxa"/>
            <w:vAlign w:val="center"/>
          </w:tcPr>
          <w:p w14:paraId="1586FD20">
            <w:pPr>
              <w:jc w:val="center"/>
              <w:rPr>
                <w:rFonts w:ascii="宋体" w:hAnsi="宋体" w:cs="宋体"/>
                <w:color w:val="000000" w:themeColor="text1"/>
                <w:sz w:val="24"/>
                <w:highlight w:val="none"/>
                <w14:textFill>
                  <w14:solidFill>
                    <w14:schemeClr w14:val="tx1"/>
                  </w14:solidFill>
                </w14:textFill>
              </w:rPr>
            </w:pPr>
          </w:p>
        </w:tc>
        <w:tc>
          <w:tcPr>
            <w:tcW w:w="2532" w:type="dxa"/>
            <w:vAlign w:val="center"/>
          </w:tcPr>
          <w:p w14:paraId="3E121007">
            <w:pPr>
              <w:jc w:val="center"/>
              <w:rPr>
                <w:rFonts w:ascii="宋体" w:hAnsi="宋体" w:cs="宋体"/>
                <w:color w:val="000000" w:themeColor="text1"/>
                <w:sz w:val="24"/>
                <w:highlight w:val="none"/>
                <w14:textFill>
                  <w14:solidFill>
                    <w14:schemeClr w14:val="tx1"/>
                  </w14:solidFill>
                </w14:textFill>
              </w:rPr>
            </w:pPr>
          </w:p>
        </w:tc>
        <w:tc>
          <w:tcPr>
            <w:tcW w:w="864" w:type="dxa"/>
            <w:vAlign w:val="center"/>
          </w:tcPr>
          <w:p w14:paraId="559CEA42">
            <w:pPr>
              <w:jc w:val="center"/>
              <w:rPr>
                <w:rFonts w:ascii="宋体" w:hAnsi="宋体" w:cs="宋体"/>
                <w:color w:val="000000" w:themeColor="text1"/>
                <w:sz w:val="24"/>
                <w:highlight w:val="none"/>
                <w14:textFill>
                  <w14:solidFill>
                    <w14:schemeClr w14:val="tx1"/>
                  </w14:solidFill>
                </w14:textFill>
              </w:rPr>
            </w:pPr>
          </w:p>
        </w:tc>
        <w:tc>
          <w:tcPr>
            <w:tcW w:w="780" w:type="dxa"/>
            <w:vAlign w:val="center"/>
          </w:tcPr>
          <w:p w14:paraId="0464A9D9">
            <w:pPr>
              <w:jc w:val="center"/>
              <w:rPr>
                <w:rFonts w:ascii="宋体" w:hAnsi="宋体" w:cs="宋体"/>
                <w:color w:val="000000" w:themeColor="text1"/>
                <w:sz w:val="24"/>
                <w:highlight w:val="none"/>
                <w14:textFill>
                  <w14:solidFill>
                    <w14:schemeClr w14:val="tx1"/>
                  </w14:solidFill>
                </w14:textFill>
              </w:rPr>
            </w:pPr>
          </w:p>
        </w:tc>
      </w:tr>
      <w:tr w14:paraId="4E73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32E17611">
            <w:pPr>
              <w:jc w:val="center"/>
              <w:rPr>
                <w:rFonts w:ascii="宋体" w:hAnsi="宋体" w:cs="宋体"/>
                <w:color w:val="000000" w:themeColor="text1"/>
                <w:sz w:val="24"/>
                <w:highlight w:val="none"/>
                <w14:textFill>
                  <w14:solidFill>
                    <w14:schemeClr w14:val="tx1"/>
                  </w14:solidFill>
                </w14:textFill>
              </w:rPr>
            </w:pPr>
          </w:p>
        </w:tc>
        <w:tc>
          <w:tcPr>
            <w:tcW w:w="1981" w:type="dxa"/>
            <w:vAlign w:val="center"/>
          </w:tcPr>
          <w:p w14:paraId="1B533A12">
            <w:pPr>
              <w:jc w:val="center"/>
              <w:rPr>
                <w:rFonts w:ascii="宋体" w:hAnsi="宋体" w:cs="宋体"/>
                <w:color w:val="000000" w:themeColor="text1"/>
                <w:sz w:val="24"/>
                <w:highlight w:val="none"/>
                <w14:textFill>
                  <w14:solidFill>
                    <w14:schemeClr w14:val="tx1"/>
                  </w14:solidFill>
                </w14:textFill>
              </w:rPr>
            </w:pPr>
          </w:p>
        </w:tc>
        <w:tc>
          <w:tcPr>
            <w:tcW w:w="2403" w:type="dxa"/>
            <w:vAlign w:val="center"/>
          </w:tcPr>
          <w:p w14:paraId="47AC4CB9">
            <w:pPr>
              <w:jc w:val="center"/>
              <w:rPr>
                <w:rFonts w:ascii="宋体" w:hAnsi="宋体" w:cs="宋体"/>
                <w:color w:val="000000" w:themeColor="text1"/>
                <w:sz w:val="24"/>
                <w:highlight w:val="none"/>
                <w14:textFill>
                  <w14:solidFill>
                    <w14:schemeClr w14:val="tx1"/>
                  </w14:solidFill>
                </w14:textFill>
              </w:rPr>
            </w:pPr>
          </w:p>
        </w:tc>
        <w:tc>
          <w:tcPr>
            <w:tcW w:w="2532" w:type="dxa"/>
            <w:vAlign w:val="center"/>
          </w:tcPr>
          <w:p w14:paraId="7B5041A7">
            <w:pPr>
              <w:jc w:val="center"/>
              <w:rPr>
                <w:rFonts w:ascii="宋体" w:hAnsi="宋体" w:cs="宋体"/>
                <w:color w:val="000000" w:themeColor="text1"/>
                <w:sz w:val="24"/>
                <w:highlight w:val="none"/>
                <w14:textFill>
                  <w14:solidFill>
                    <w14:schemeClr w14:val="tx1"/>
                  </w14:solidFill>
                </w14:textFill>
              </w:rPr>
            </w:pPr>
          </w:p>
        </w:tc>
        <w:tc>
          <w:tcPr>
            <w:tcW w:w="864" w:type="dxa"/>
            <w:vAlign w:val="center"/>
          </w:tcPr>
          <w:p w14:paraId="7098085A">
            <w:pPr>
              <w:jc w:val="center"/>
              <w:rPr>
                <w:rFonts w:ascii="宋体" w:hAnsi="宋体" w:cs="宋体"/>
                <w:color w:val="000000" w:themeColor="text1"/>
                <w:sz w:val="24"/>
                <w:highlight w:val="none"/>
                <w14:textFill>
                  <w14:solidFill>
                    <w14:schemeClr w14:val="tx1"/>
                  </w14:solidFill>
                </w14:textFill>
              </w:rPr>
            </w:pPr>
          </w:p>
        </w:tc>
        <w:tc>
          <w:tcPr>
            <w:tcW w:w="780" w:type="dxa"/>
            <w:vAlign w:val="center"/>
          </w:tcPr>
          <w:p w14:paraId="7ADB937A">
            <w:pPr>
              <w:jc w:val="center"/>
              <w:rPr>
                <w:rFonts w:ascii="宋体" w:hAnsi="宋体" w:cs="宋体"/>
                <w:color w:val="000000" w:themeColor="text1"/>
                <w:sz w:val="24"/>
                <w:highlight w:val="none"/>
                <w14:textFill>
                  <w14:solidFill>
                    <w14:schemeClr w14:val="tx1"/>
                  </w14:solidFill>
                </w14:textFill>
              </w:rPr>
            </w:pPr>
          </w:p>
        </w:tc>
      </w:tr>
      <w:tr w14:paraId="4EF0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0F15CAB9">
            <w:pPr>
              <w:jc w:val="center"/>
              <w:rPr>
                <w:rFonts w:ascii="宋体" w:hAnsi="宋体" w:cs="宋体"/>
                <w:color w:val="000000" w:themeColor="text1"/>
                <w:sz w:val="24"/>
                <w:highlight w:val="none"/>
                <w14:textFill>
                  <w14:solidFill>
                    <w14:schemeClr w14:val="tx1"/>
                  </w14:solidFill>
                </w14:textFill>
              </w:rPr>
            </w:pPr>
          </w:p>
        </w:tc>
        <w:tc>
          <w:tcPr>
            <w:tcW w:w="1981" w:type="dxa"/>
            <w:vAlign w:val="center"/>
          </w:tcPr>
          <w:p w14:paraId="2CCAF0DD">
            <w:pPr>
              <w:jc w:val="center"/>
              <w:rPr>
                <w:rFonts w:ascii="宋体" w:hAnsi="宋体" w:cs="宋体"/>
                <w:color w:val="000000" w:themeColor="text1"/>
                <w:sz w:val="24"/>
                <w:highlight w:val="none"/>
                <w14:textFill>
                  <w14:solidFill>
                    <w14:schemeClr w14:val="tx1"/>
                  </w14:solidFill>
                </w14:textFill>
              </w:rPr>
            </w:pPr>
          </w:p>
        </w:tc>
        <w:tc>
          <w:tcPr>
            <w:tcW w:w="2403" w:type="dxa"/>
            <w:vAlign w:val="center"/>
          </w:tcPr>
          <w:p w14:paraId="54D7F366">
            <w:pPr>
              <w:jc w:val="center"/>
              <w:rPr>
                <w:rFonts w:ascii="宋体" w:hAnsi="宋体" w:cs="宋体"/>
                <w:color w:val="000000" w:themeColor="text1"/>
                <w:sz w:val="24"/>
                <w:highlight w:val="none"/>
                <w14:textFill>
                  <w14:solidFill>
                    <w14:schemeClr w14:val="tx1"/>
                  </w14:solidFill>
                </w14:textFill>
              </w:rPr>
            </w:pPr>
          </w:p>
        </w:tc>
        <w:tc>
          <w:tcPr>
            <w:tcW w:w="2532" w:type="dxa"/>
            <w:vAlign w:val="center"/>
          </w:tcPr>
          <w:p w14:paraId="279BF0DB">
            <w:pPr>
              <w:jc w:val="center"/>
              <w:rPr>
                <w:rFonts w:ascii="宋体" w:hAnsi="宋体" w:cs="宋体"/>
                <w:color w:val="000000" w:themeColor="text1"/>
                <w:sz w:val="24"/>
                <w:highlight w:val="none"/>
                <w14:textFill>
                  <w14:solidFill>
                    <w14:schemeClr w14:val="tx1"/>
                  </w14:solidFill>
                </w14:textFill>
              </w:rPr>
            </w:pPr>
          </w:p>
        </w:tc>
        <w:tc>
          <w:tcPr>
            <w:tcW w:w="864" w:type="dxa"/>
            <w:vAlign w:val="center"/>
          </w:tcPr>
          <w:p w14:paraId="6E5FE9A4">
            <w:pPr>
              <w:jc w:val="center"/>
              <w:rPr>
                <w:rFonts w:ascii="宋体" w:hAnsi="宋体" w:cs="宋体"/>
                <w:color w:val="000000" w:themeColor="text1"/>
                <w:sz w:val="24"/>
                <w:highlight w:val="none"/>
                <w14:textFill>
                  <w14:solidFill>
                    <w14:schemeClr w14:val="tx1"/>
                  </w14:solidFill>
                </w14:textFill>
              </w:rPr>
            </w:pPr>
          </w:p>
        </w:tc>
        <w:tc>
          <w:tcPr>
            <w:tcW w:w="780" w:type="dxa"/>
            <w:vAlign w:val="center"/>
          </w:tcPr>
          <w:p w14:paraId="162E5013">
            <w:pPr>
              <w:jc w:val="center"/>
              <w:rPr>
                <w:rFonts w:ascii="宋体" w:hAnsi="宋体" w:cs="宋体"/>
                <w:color w:val="000000" w:themeColor="text1"/>
                <w:sz w:val="24"/>
                <w:highlight w:val="none"/>
                <w14:textFill>
                  <w14:solidFill>
                    <w14:schemeClr w14:val="tx1"/>
                  </w14:solidFill>
                </w14:textFill>
              </w:rPr>
            </w:pPr>
          </w:p>
        </w:tc>
      </w:tr>
      <w:tr w14:paraId="03D8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78" w:type="dxa"/>
            <w:vAlign w:val="center"/>
          </w:tcPr>
          <w:p w14:paraId="40A0F22E">
            <w:pPr>
              <w:jc w:val="center"/>
              <w:rPr>
                <w:rFonts w:ascii="宋体" w:hAnsi="宋体" w:cs="宋体"/>
                <w:color w:val="000000" w:themeColor="text1"/>
                <w:sz w:val="24"/>
                <w:highlight w:val="none"/>
                <w14:textFill>
                  <w14:solidFill>
                    <w14:schemeClr w14:val="tx1"/>
                  </w14:solidFill>
                </w14:textFill>
              </w:rPr>
            </w:pPr>
          </w:p>
        </w:tc>
        <w:tc>
          <w:tcPr>
            <w:tcW w:w="1981" w:type="dxa"/>
            <w:vAlign w:val="center"/>
          </w:tcPr>
          <w:p w14:paraId="6C699096">
            <w:pPr>
              <w:jc w:val="center"/>
              <w:rPr>
                <w:rFonts w:ascii="宋体" w:hAnsi="宋体" w:cs="宋体"/>
                <w:color w:val="000000" w:themeColor="text1"/>
                <w:sz w:val="24"/>
                <w:highlight w:val="none"/>
                <w14:textFill>
                  <w14:solidFill>
                    <w14:schemeClr w14:val="tx1"/>
                  </w14:solidFill>
                </w14:textFill>
              </w:rPr>
            </w:pPr>
          </w:p>
        </w:tc>
        <w:tc>
          <w:tcPr>
            <w:tcW w:w="2403" w:type="dxa"/>
            <w:vAlign w:val="center"/>
          </w:tcPr>
          <w:p w14:paraId="3031226E">
            <w:pPr>
              <w:jc w:val="center"/>
              <w:rPr>
                <w:rFonts w:ascii="宋体" w:hAnsi="宋体" w:cs="宋体"/>
                <w:color w:val="000000" w:themeColor="text1"/>
                <w:sz w:val="24"/>
                <w:highlight w:val="none"/>
                <w14:textFill>
                  <w14:solidFill>
                    <w14:schemeClr w14:val="tx1"/>
                  </w14:solidFill>
                </w14:textFill>
              </w:rPr>
            </w:pPr>
          </w:p>
        </w:tc>
        <w:tc>
          <w:tcPr>
            <w:tcW w:w="2532" w:type="dxa"/>
            <w:vAlign w:val="center"/>
          </w:tcPr>
          <w:p w14:paraId="0EAFA2D0">
            <w:pPr>
              <w:jc w:val="center"/>
              <w:rPr>
                <w:rFonts w:ascii="宋体" w:hAnsi="宋体" w:cs="宋体"/>
                <w:color w:val="000000" w:themeColor="text1"/>
                <w:sz w:val="24"/>
                <w:highlight w:val="none"/>
                <w14:textFill>
                  <w14:solidFill>
                    <w14:schemeClr w14:val="tx1"/>
                  </w14:solidFill>
                </w14:textFill>
              </w:rPr>
            </w:pPr>
          </w:p>
        </w:tc>
        <w:tc>
          <w:tcPr>
            <w:tcW w:w="864" w:type="dxa"/>
            <w:vAlign w:val="center"/>
          </w:tcPr>
          <w:p w14:paraId="29A308A3">
            <w:pPr>
              <w:jc w:val="center"/>
              <w:rPr>
                <w:rFonts w:ascii="宋体" w:hAnsi="宋体" w:cs="宋体"/>
                <w:color w:val="000000" w:themeColor="text1"/>
                <w:sz w:val="24"/>
                <w:highlight w:val="none"/>
                <w14:textFill>
                  <w14:solidFill>
                    <w14:schemeClr w14:val="tx1"/>
                  </w14:solidFill>
                </w14:textFill>
              </w:rPr>
            </w:pPr>
          </w:p>
        </w:tc>
        <w:tc>
          <w:tcPr>
            <w:tcW w:w="780" w:type="dxa"/>
            <w:vAlign w:val="center"/>
          </w:tcPr>
          <w:p w14:paraId="7C60944B">
            <w:pPr>
              <w:jc w:val="center"/>
              <w:rPr>
                <w:rFonts w:ascii="宋体" w:hAnsi="宋体" w:cs="宋体"/>
                <w:color w:val="000000" w:themeColor="text1"/>
                <w:sz w:val="24"/>
                <w:highlight w:val="none"/>
                <w14:textFill>
                  <w14:solidFill>
                    <w14:schemeClr w14:val="tx1"/>
                  </w14:solidFill>
                </w14:textFill>
              </w:rPr>
            </w:pPr>
          </w:p>
        </w:tc>
      </w:tr>
    </w:tbl>
    <w:p w14:paraId="7751EF02">
      <w:pPr>
        <w:jc w:val="center"/>
        <w:rPr>
          <w:rFonts w:ascii="宋体" w:hAnsi="宋体" w:cs="宋体"/>
          <w:color w:val="000000" w:themeColor="text1"/>
          <w:sz w:val="24"/>
          <w:highlight w:val="none"/>
          <w14:textFill>
            <w14:solidFill>
              <w14:schemeClr w14:val="tx1"/>
            </w14:solidFill>
          </w14:textFill>
        </w:rPr>
      </w:pPr>
    </w:p>
    <w:p w14:paraId="46748934">
      <w:pPr>
        <w:pStyle w:val="15"/>
        <w:spacing w:line="360" w:lineRule="auto"/>
        <w:ind w:left="-206" w:leftChars="-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注：除本偏离表所列的偏离外，其他均完全响应招标文件中的要求。如无偏离，供应商不需要填表，但应声明：“本文件完全响应磋商文件所有条款的要求，无偏离。</w:t>
      </w:r>
    </w:p>
    <w:p w14:paraId="557F7B40">
      <w:pPr>
        <w:ind w:firstLine="1200" w:firstLineChars="500"/>
        <w:rPr>
          <w:rFonts w:ascii="宋体" w:hAnsi="宋体" w:cs="宋体"/>
          <w:color w:val="000000" w:themeColor="text1"/>
          <w:sz w:val="24"/>
          <w:highlight w:val="none"/>
          <w14:textFill>
            <w14:solidFill>
              <w14:schemeClr w14:val="tx1"/>
            </w14:solidFill>
          </w14:textFill>
        </w:rPr>
      </w:pPr>
    </w:p>
    <w:p w14:paraId="1E89EDDE">
      <w:pPr>
        <w:ind w:firstLine="1200" w:firstLineChars="500"/>
        <w:rPr>
          <w:rFonts w:ascii="宋体" w:hAnsi="宋体" w:cs="宋体"/>
          <w:color w:val="000000" w:themeColor="text1"/>
          <w:sz w:val="24"/>
          <w:highlight w:val="none"/>
          <w14:textFill>
            <w14:solidFill>
              <w14:schemeClr w14:val="tx1"/>
            </w14:solidFill>
          </w14:textFill>
        </w:rPr>
      </w:pPr>
    </w:p>
    <w:p w14:paraId="2987EAF8">
      <w:pPr>
        <w:spacing w:before="120" w:beforeLines="50" w:after="120" w:afterLines="50"/>
        <w:rPr>
          <w:rFonts w:ascii="宋体" w:hAnsi="宋体" w:cs="宋体"/>
          <w:color w:val="000000" w:themeColor="text1"/>
          <w:sz w:val="24"/>
          <w:highlight w:val="none"/>
          <w14:textFill>
            <w14:solidFill>
              <w14:schemeClr w14:val="tx1"/>
            </w14:solidFill>
          </w14:textFill>
        </w:rPr>
      </w:pPr>
    </w:p>
    <w:p w14:paraId="2115CD24">
      <w:pPr>
        <w:spacing w:after="480" w:line="200" w:lineRule="atLeast"/>
        <w:ind w:firstLine="3360" w:firstLineChars="14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14:paraId="689E1144">
      <w:pPr>
        <w:spacing w:after="480" w:line="200" w:lineRule="atLeast"/>
        <w:ind w:firstLine="3360" w:firstLineChars="14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w:t>
      </w:r>
    </w:p>
    <w:p w14:paraId="756054EA">
      <w:pPr>
        <w:spacing w:after="480" w:line="200" w:lineRule="atLeast"/>
        <w:ind w:firstLine="3360" w:firstLineChars="14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或被授权人：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448DAEF6">
      <w:pPr>
        <w:spacing w:before="480" w:line="200" w:lineRule="atLeast"/>
        <w:ind w:firstLine="3360" w:firstLineChars="14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75D7FE6">
      <w:pPr>
        <w:rPr>
          <w:rFonts w:ascii="宋体" w:hAnsi="宋体" w:cs="宋体"/>
          <w:b/>
          <w:bCs/>
          <w:color w:val="000000" w:themeColor="text1"/>
          <w:sz w:val="32"/>
          <w:szCs w:val="32"/>
          <w:highlight w:val="none"/>
          <w14:textFill>
            <w14:solidFill>
              <w14:schemeClr w14:val="tx1"/>
            </w14:solidFill>
          </w14:textFill>
        </w:rPr>
      </w:pPr>
    </w:p>
    <w:p w14:paraId="09648B6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E1539DD">
      <w:pPr>
        <w:spacing w:line="480" w:lineRule="auto"/>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六</w:t>
      </w: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相关证明</w:t>
      </w:r>
      <w:bookmarkEnd w:id="34"/>
      <w:r>
        <w:rPr>
          <w:rFonts w:hint="eastAsia" w:ascii="宋体" w:hAnsi="宋体" w:cs="宋体"/>
          <w:b/>
          <w:color w:val="000000" w:themeColor="text1"/>
          <w:sz w:val="32"/>
          <w:szCs w:val="32"/>
          <w:highlight w:val="none"/>
          <w14:textFill>
            <w14:solidFill>
              <w14:schemeClr w14:val="tx1"/>
            </w14:solidFill>
          </w14:textFill>
        </w:rPr>
        <w:t>材料</w:t>
      </w:r>
    </w:p>
    <w:p w14:paraId="68CEC13E">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供应商基本情况表</w:t>
      </w:r>
    </w:p>
    <w:tbl>
      <w:tblPr>
        <w:tblStyle w:val="21"/>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44"/>
        <w:gridCol w:w="1057"/>
        <w:gridCol w:w="1134"/>
        <w:gridCol w:w="283"/>
        <w:gridCol w:w="986"/>
        <w:gridCol w:w="999"/>
        <w:gridCol w:w="926"/>
        <w:gridCol w:w="1925"/>
      </w:tblGrid>
      <w:tr w14:paraId="034D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312" w:type="dxa"/>
            <w:gridSpan w:val="3"/>
            <w:vAlign w:val="center"/>
          </w:tcPr>
          <w:p w14:paraId="1782042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p>
        </w:tc>
        <w:tc>
          <w:tcPr>
            <w:tcW w:w="3460" w:type="dxa"/>
            <w:gridSpan w:val="4"/>
            <w:vAlign w:val="center"/>
          </w:tcPr>
          <w:p w14:paraId="489AB753">
            <w:pPr>
              <w:jc w:val="center"/>
              <w:rPr>
                <w:rFonts w:ascii="宋体" w:hAnsi="宋体" w:cs="宋体"/>
                <w:color w:val="000000" w:themeColor="text1"/>
                <w:sz w:val="24"/>
                <w:highlight w:val="none"/>
                <w14:textFill>
                  <w14:solidFill>
                    <w14:schemeClr w14:val="tx1"/>
                  </w14:solidFill>
                </w14:textFill>
              </w:rPr>
            </w:pPr>
          </w:p>
        </w:tc>
        <w:tc>
          <w:tcPr>
            <w:tcW w:w="1925" w:type="dxa"/>
            <w:gridSpan w:val="2"/>
            <w:vAlign w:val="center"/>
          </w:tcPr>
          <w:p w14:paraId="2A583408">
            <w:pPr>
              <w:spacing w:after="480" w:line="200" w:lineRule="atLeast"/>
              <w:ind w:firstLine="3360" w:firstLineChars="14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w:t>
            </w:r>
            <w:r>
              <w:rPr>
                <w:rFonts w:hint="eastAsia" w:ascii="宋体" w:hAnsi="宋体" w:cs="宋体"/>
                <w:color w:val="000000" w:themeColor="text1"/>
                <w:sz w:val="24"/>
                <w:highlight w:val="none"/>
                <w:lang w:val="en-US" w:eastAsia="zh-CN"/>
                <w14:textFill>
                  <w14:solidFill>
                    <w14:schemeClr w14:val="tx1"/>
                  </w14:solidFill>
                </w14:textFill>
              </w:rPr>
              <w:t>法</w:t>
            </w:r>
            <w:r>
              <w:rPr>
                <w:rFonts w:hint="eastAsia" w:ascii="宋体" w:hAnsi="宋体" w:cs="宋体"/>
                <w:color w:val="000000" w:themeColor="text1"/>
                <w:sz w:val="24"/>
                <w:highlight w:val="none"/>
                <w14:textFill>
                  <w14:solidFill>
                    <w14:schemeClr w14:val="tx1"/>
                  </w14:solidFill>
                </w14:textFill>
              </w:rPr>
              <w:t>定代表人（负责人）</w:t>
            </w:r>
          </w:p>
        </w:tc>
        <w:tc>
          <w:tcPr>
            <w:tcW w:w="1925" w:type="dxa"/>
            <w:vAlign w:val="center"/>
          </w:tcPr>
          <w:p w14:paraId="669149A8">
            <w:pPr>
              <w:jc w:val="center"/>
              <w:rPr>
                <w:rFonts w:ascii="宋体" w:hAnsi="宋体" w:cs="宋体"/>
                <w:color w:val="000000" w:themeColor="text1"/>
                <w:sz w:val="24"/>
                <w:highlight w:val="none"/>
                <w14:textFill>
                  <w14:solidFill>
                    <w14:schemeClr w14:val="tx1"/>
                  </w14:solidFill>
                </w14:textFill>
              </w:rPr>
            </w:pPr>
          </w:p>
        </w:tc>
      </w:tr>
      <w:tr w14:paraId="7E83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12" w:type="dxa"/>
            <w:gridSpan w:val="3"/>
            <w:vAlign w:val="center"/>
          </w:tcPr>
          <w:p w14:paraId="74AE8BF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p>
        </w:tc>
        <w:tc>
          <w:tcPr>
            <w:tcW w:w="3460" w:type="dxa"/>
            <w:gridSpan w:val="4"/>
            <w:vAlign w:val="center"/>
          </w:tcPr>
          <w:p w14:paraId="24EB545D">
            <w:pPr>
              <w:jc w:val="center"/>
              <w:rPr>
                <w:rFonts w:ascii="宋体" w:hAnsi="宋体" w:cs="宋体"/>
                <w:color w:val="000000" w:themeColor="text1"/>
                <w:sz w:val="24"/>
                <w:highlight w:val="none"/>
                <w14:textFill>
                  <w14:solidFill>
                    <w14:schemeClr w14:val="tx1"/>
                  </w14:solidFill>
                </w14:textFill>
              </w:rPr>
            </w:pPr>
          </w:p>
        </w:tc>
        <w:tc>
          <w:tcPr>
            <w:tcW w:w="1925" w:type="dxa"/>
            <w:gridSpan w:val="2"/>
            <w:vAlign w:val="center"/>
          </w:tcPr>
          <w:p w14:paraId="494C028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1925" w:type="dxa"/>
            <w:vAlign w:val="center"/>
          </w:tcPr>
          <w:p w14:paraId="6E428D05">
            <w:pPr>
              <w:jc w:val="center"/>
              <w:rPr>
                <w:rFonts w:ascii="宋体" w:hAnsi="宋体" w:cs="宋体"/>
                <w:color w:val="000000" w:themeColor="text1"/>
                <w:sz w:val="24"/>
                <w:highlight w:val="none"/>
                <w14:textFill>
                  <w14:solidFill>
                    <w14:schemeClr w14:val="tx1"/>
                  </w14:solidFill>
                </w14:textFill>
              </w:rPr>
            </w:pPr>
          </w:p>
        </w:tc>
      </w:tr>
      <w:tr w14:paraId="656D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12" w:type="dxa"/>
            <w:gridSpan w:val="3"/>
            <w:vAlign w:val="center"/>
          </w:tcPr>
          <w:p w14:paraId="12F6420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组织机构代码</w:t>
            </w:r>
          </w:p>
        </w:tc>
        <w:tc>
          <w:tcPr>
            <w:tcW w:w="3460" w:type="dxa"/>
            <w:gridSpan w:val="4"/>
            <w:vAlign w:val="center"/>
          </w:tcPr>
          <w:p w14:paraId="76987DD6">
            <w:pPr>
              <w:jc w:val="center"/>
              <w:rPr>
                <w:rFonts w:ascii="宋体" w:hAnsi="宋体" w:cs="宋体"/>
                <w:color w:val="000000" w:themeColor="text1"/>
                <w:sz w:val="24"/>
                <w:highlight w:val="none"/>
                <w14:textFill>
                  <w14:solidFill>
                    <w14:schemeClr w14:val="tx1"/>
                  </w14:solidFill>
                </w14:textFill>
              </w:rPr>
            </w:pPr>
          </w:p>
        </w:tc>
        <w:tc>
          <w:tcPr>
            <w:tcW w:w="1925" w:type="dxa"/>
            <w:gridSpan w:val="2"/>
            <w:vAlign w:val="center"/>
          </w:tcPr>
          <w:p w14:paraId="05504B7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电子邮箱</w:t>
            </w:r>
          </w:p>
        </w:tc>
        <w:tc>
          <w:tcPr>
            <w:tcW w:w="1925" w:type="dxa"/>
            <w:vAlign w:val="center"/>
          </w:tcPr>
          <w:p w14:paraId="03D858F1">
            <w:pPr>
              <w:jc w:val="center"/>
              <w:rPr>
                <w:rFonts w:ascii="宋体" w:hAnsi="宋体" w:cs="宋体"/>
                <w:color w:val="000000" w:themeColor="text1"/>
                <w:sz w:val="24"/>
                <w:highlight w:val="none"/>
                <w14:textFill>
                  <w14:solidFill>
                    <w14:schemeClr w14:val="tx1"/>
                  </w14:solidFill>
                </w14:textFill>
              </w:rPr>
            </w:pPr>
          </w:p>
        </w:tc>
      </w:tr>
      <w:tr w14:paraId="2762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12" w:type="dxa"/>
            <w:gridSpan w:val="3"/>
            <w:vAlign w:val="center"/>
          </w:tcPr>
          <w:p w14:paraId="1E6A954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上年营业收入</w:t>
            </w:r>
          </w:p>
        </w:tc>
        <w:tc>
          <w:tcPr>
            <w:tcW w:w="3460" w:type="dxa"/>
            <w:gridSpan w:val="4"/>
            <w:vAlign w:val="center"/>
          </w:tcPr>
          <w:p w14:paraId="3235764B">
            <w:pPr>
              <w:jc w:val="center"/>
              <w:rPr>
                <w:rFonts w:ascii="宋体" w:hAnsi="宋体" w:cs="宋体"/>
                <w:color w:val="000000" w:themeColor="text1"/>
                <w:sz w:val="24"/>
                <w:highlight w:val="none"/>
                <w14:textFill>
                  <w14:solidFill>
                    <w14:schemeClr w14:val="tx1"/>
                  </w14:solidFill>
                </w14:textFill>
              </w:rPr>
            </w:pPr>
          </w:p>
        </w:tc>
        <w:tc>
          <w:tcPr>
            <w:tcW w:w="1925" w:type="dxa"/>
            <w:gridSpan w:val="2"/>
            <w:vAlign w:val="center"/>
          </w:tcPr>
          <w:p w14:paraId="2A7E6DD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c>
          <w:tcPr>
            <w:tcW w:w="1925" w:type="dxa"/>
            <w:vAlign w:val="center"/>
          </w:tcPr>
          <w:p w14:paraId="4A619E73">
            <w:pPr>
              <w:jc w:val="center"/>
              <w:rPr>
                <w:rFonts w:ascii="宋体" w:hAnsi="宋体" w:cs="宋体"/>
                <w:color w:val="000000" w:themeColor="text1"/>
                <w:sz w:val="24"/>
                <w:highlight w:val="none"/>
                <w14:textFill>
                  <w14:solidFill>
                    <w14:schemeClr w14:val="tx1"/>
                  </w14:solidFill>
                </w14:textFill>
              </w:rPr>
            </w:pPr>
          </w:p>
        </w:tc>
      </w:tr>
      <w:tr w14:paraId="25BF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restart"/>
            <w:vAlign w:val="center"/>
          </w:tcPr>
          <w:p w14:paraId="377AEF7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w:t>
            </w:r>
          </w:p>
        </w:tc>
        <w:tc>
          <w:tcPr>
            <w:tcW w:w="1637" w:type="dxa"/>
            <w:gridSpan w:val="2"/>
            <w:vAlign w:val="center"/>
          </w:tcPr>
          <w:p w14:paraId="0190F22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信用代码号</w:t>
            </w:r>
          </w:p>
        </w:tc>
        <w:tc>
          <w:tcPr>
            <w:tcW w:w="2191" w:type="dxa"/>
            <w:gridSpan w:val="2"/>
            <w:vAlign w:val="center"/>
          </w:tcPr>
          <w:p w14:paraId="7B361DBA">
            <w:pPr>
              <w:jc w:val="center"/>
              <w:rPr>
                <w:rFonts w:ascii="宋体" w:hAnsi="宋体" w:cs="宋体"/>
                <w:color w:val="000000" w:themeColor="text1"/>
                <w:sz w:val="24"/>
                <w:highlight w:val="none"/>
                <w14:textFill>
                  <w14:solidFill>
                    <w14:schemeClr w14:val="tx1"/>
                  </w14:solidFill>
                </w14:textFill>
              </w:rPr>
            </w:pPr>
          </w:p>
        </w:tc>
        <w:tc>
          <w:tcPr>
            <w:tcW w:w="1269" w:type="dxa"/>
            <w:gridSpan w:val="2"/>
            <w:vAlign w:val="center"/>
          </w:tcPr>
          <w:p w14:paraId="4667D40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850" w:type="dxa"/>
            <w:gridSpan w:val="3"/>
            <w:vAlign w:val="center"/>
          </w:tcPr>
          <w:p w14:paraId="27655E54">
            <w:pPr>
              <w:jc w:val="center"/>
              <w:rPr>
                <w:rFonts w:ascii="宋体" w:hAnsi="宋体" w:cs="宋体"/>
                <w:color w:val="000000" w:themeColor="text1"/>
                <w:sz w:val="24"/>
                <w:highlight w:val="none"/>
                <w14:textFill>
                  <w14:solidFill>
                    <w14:schemeClr w14:val="tx1"/>
                  </w14:solidFill>
                </w14:textFill>
              </w:rPr>
            </w:pPr>
          </w:p>
        </w:tc>
      </w:tr>
      <w:tr w14:paraId="6478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continue"/>
            <w:vAlign w:val="center"/>
          </w:tcPr>
          <w:p w14:paraId="555703A8">
            <w:pPr>
              <w:jc w:val="center"/>
              <w:rPr>
                <w:rFonts w:ascii="宋体" w:hAnsi="宋体" w:cs="宋体"/>
                <w:color w:val="000000" w:themeColor="text1"/>
                <w:sz w:val="24"/>
                <w:highlight w:val="none"/>
                <w14:textFill>
                  <w14:solidFill>
                    <w14:schemeClr w14:val="tx1"/>
                  </w14:solidFill>
                </w14:textFill>
              </w:rPr>
            </w:pPr>
          </w:p>
        </w:tc>
        <w:tc>
          <w:tcPr>
            <w:tcW w:w="1637" w:type="dxa"/>
            <w:gridSpan w:val="2"/>
            <w:vAlign w:val="center"/>
          </w:tcPr>
          <w:p w14:paraId="1562286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发证机关</w:t>
            </w:r>
          </w:p>
        </w:tc>
        <w:tc>
          <w:tcPr>
            <w:tcW w:w="2191" w:type="dxa"/>
            <w:gridSpan w:val="2"/>
            <w:vAlign w:val="center"/>
          </w:tcPr>
          <w:p w14:paraId="372FAC02">
            <w:pPr>
              <w:jc w:val="center"/>
              <w:rPr>
                <w:rFonts w:ascii="宋体" w:hAnsi="宋体" w:cs="宋体"/>
                <w:color w:val="000000" w:themeColor="text1"/>
                <w:sz w:val="24"/>
                <w:highlight w:val="none"/>
                <w14:textFill>
                  <w14:solidFill>
                    <w14:schemeClr w14:val="tx1"/>
                  </w14:solidFill>
                </w14:textFill>
              </w:rPr>
            </w:pPr>
          </w:p>
        </w:tc>
        <w:tc>
          <w:tcPr>
            <w:tcW w:w="1269" w:type="dxa"/>
            <w:gridSpan w:val="2"/>
            <w:vAlign w:val="center"/>
          </w:tcPr>
          <w:p w14:paraId="6F638F2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发证日期</w:t>
            </w:r>
          </w:p>
        </w:tc>
        <w:tc>
          <w:tcPr>
            <w:tcW w:w="3850" w:type="dxa"/>
            <w:gridSpan w:val="3"/>
            <w:vAlign w:val="center"/>
          </w:tcPr>
          <w:p w14:paraId="147770BA">
            <w:pPr>
              <w:jc w:val="center"/>
              <w:rPr>
                <w:rFonts w:ascii="宋体" w:hAnsi="宋体" w:cs="宋体"/>
                <w:color w:val="000000" w:themeColor="text1"/>
                <w:sz w:val="24"/>
                <w:highlight w:val="none"/>
                <w14:textFill>
                  <w14:solidFill>
                    <w14:schemeClr w14:val="tx1"/>
                  </w14:solidFill>
                </w14:textFill>
              </w:rPr>
            </w:pPr>
          </w:p>
        </w:tc>
      </w:tr>
      <w:tr w14:paraId="694A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continue"/>
            <w:vAlign w:val="center"/>
          </w:tcPr>
          <w:p w14:paraId="5D87793E">
            <w:pPr>
              <w:jc w:val="center"/>
              <w:rPr>
                <w:rFonts w:ascii="宋体" w:hAnsi="宋体" w:cs="宋体"/>
                <w:color w:val="000000" w:themeColor="text1"/>
                <w:sz w:val="24"/>
                <w:highlight w:val="none"/>
                <w14:textFill>
                  <w14:solidFill>
                    <w14:schemeClr w14:val="tx1"/>
                  </w14:solidFill>
                </w14:textFill>
              </w:rPr>
            </w:pPr>
          </w:p>
        </w:tc>
        <w:tc>
          <w:tcPr>
            <w:tcW w:w="1637" w:type="dxa"/>
            <w:gridSpan w:val="2"/>
            <w:vAlign w:val="center"/>
          </w:tcPr>
          <w:p w14:paraId="10E2026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营业范围</w:t>
            </w:r>
          </w:p>
        </w:tc>
        <w:tc>
          <w:tcPr>
            <w:tcW w:w="7310" w:type="dxa"/>
            <w:gridSpan w:val="7"/>
            <w:vAlign w:val="center"/>
          </w:tcPr>
          <w:p w14:paraId="5B53A2D9">
            <w:pPr>
              <w:jc w:val="center"/>
              <w:rPr>
                <w:rFonts w:ascii="宋体" w:hAnsi="宋体" w:cs="宋体"/>
                <w:color w:val="000000" w:themeColor="text1"/>
                <w:sz w:val="24"/>
                <w:highlight w:val="none"/>
                <w14:textFill>
                  <w14:solidFill>
                    <w14:schemeClr w14:val="tx1"/>
                  </w14:solidFill>
                </w14:textFill>
              </w:rPr>
            </w:pPr>
          </w:p>
        </w:tc>
      </w:tr>
      <w:tr w14:paraId="1094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12" w:type="dxa"/>
            <w:gridSpan w:val="3"/>
            <w:vAlign w:val="center"/>
          </w:tcPr>
          <w:p w14:paraId="26E2C9C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基本开户行</w:t>
            </w:r>
          </w:p>
        </w:tc>
        <w:tc>
          <w:tcPr>
            <w:tcW w:w="2191" w:type="dxa"/>
            <w:gridSpan w:val="2"/>
            <w:vAlign w:val="center"/>
          </w:tcPr>
          <w:p w14:paraId="579DFE5B">
            <w:pPr>
              <w:jc w:val="center"/>
              <w:rPr>
                <w:rFonts w:ascii="宋体" w:hAnsi="宋体" w:cs="宋体"/>
                <w:color w:val="000000" w:themeColor="text1"/>
                <w:sz w:val="24"/>
                <w:highlight w:val="none"/>
                <w14:textFill>
                  <w14:solidFill>
                    <w14:schemeClr w14:val="tx1"/>
                  </w14:solidFill>
                </w14:textFill>
              </w:rPr>
            </w:pPr>
          </w:p>
        </w:tc>
        <w:tc>
          <w:tcPr>
            <w:tcW w:w="1269" w:type="dxa"/>
            <w:gridSpan w:val="2"/>
            <w:vAlign w:val="center"/>
          </w:tcPr>
          <w:p w14:paraId="6167DCA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3850" w:type="dxa"/>
            <w:gridSpan w:val="3"/>
            <w:vAlign w:val="center"/>
          </w:tcPr>
          <w:p w14:paraId="43C54EA3">
            <w:pPr>
              <w:jc w:val="center"/>
              <w:rPr>
                <w:rFonts w:ascii="宋体" w:hAnsi="宋体" w:cs="宋体"/>
                <w:color w:val="000000" w:themeColor="text1"/>
                <w:sz w:val="24"/>
                <w:highlight w:val="none"/>
                <w14:textFill>
                  <w14:solidFill>
                    <w14:schemeClr w14:val="tx1"/>
                  </w14:solidFill>
                </w14:textFill>
              </w:rPr>
            </w:pPr>
          </w:p>
        </w:tc>
      </w:tr>
      <w:tr w14:paraId="7885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12" w:type="dxa"/>
            <w:gridSpan w:val="3"/>
            <w:vAlign w:val="center"/>
          </w:tcPr>
          <w:p w14:paraId="542083B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税务登记机关</w:t>
            </w:r>
          </w:p>
        </w:tc>
        <w:tc>
          <w:tcPr>
            <w:tcW w:w="7310" w:type="dxa"/>
            <w:gridSpan w:val="7"/>
            <w:vAlign w:val="center"/>
          </w:tcPr>
          <w:p w14:paraId="0BDADA7B">
            <w:pPr>
              <w:jc w:val="center"/>
              <w:rPr>
                <w:rFonts w:ascii="宋体" w:hAnsi="宋体" w:cs="宋体"/>
                <w:color w:val="000000" w:themeColor="text1"/>
                <w:sz w:val="24"/>
                <w:highlight w:val="none"/>
                <w14:textFill>
                  <w14:solidFill>
                    <w14:schemeClr w14:val="tx1"/>
                  </w14:solidFill>
                </w14:textFill>
              </w:rPr>
            </w:pPr>
          </w:p>
        </w:tc>
      </w:tr>
      <w:tr w14:paraId="46F8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69" w:type="dxa"/>
            <w:gridSpan w:val="4"/>
            <w:vAlign w:val="center"/>
          </w:tcPr>
          <w:p w14:paraId="2DC08C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资质名称</w:t>
            </w:r>
          </w:p>
        </w:tc>
        <w:tc>
          <w:tcPr>
            <w:tcW w:w="1417" w:type="dxa"/>
            <w:gridSpan w:val="2"/>
            <w:vAlign w:val="center"/>
          </w:tcPr>
          <w:p w14:paraId="40254E6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1985" w:type="dxa"/>
            <w:gridSpan w:val="2"/>
            <w:vAlign w:val="center"/>
          </w:tcPr>
          <w:p w14:paraId="7613208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发证机关</w:t>
            </w:r>
          </w:p>
        </w:tc>
        <w:tc>
          <w:tcPr>
            <w:tcW w:w="2851" w:type="dxa"/>
            <w:gridSpan w:val="2"/>
            <w:vAlign w:val="center"/>
          </w:tcPr>
          <w:p w14:paraId="36320A6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有效期</w:t>
            </w:r>
          </w:p>
        </w:tc>
      </w:tr>
      <w:tr w14:paraId="4436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69" w:type="dxa"/>
            <w:gridSpan w:val="4"/>
            <w:vAlign w:val="center"/>
          </w:tcPr>
          <w:p w14:paraId="2E09907E">
            <w:pPr>
              <w:jc w:val="center"/>
              <w:rPr>
                <w:rFonts w:ascii="宋体" w:hAnsi="宋体" w:cs="宋体"/>
                <w:color w:val="000000" w:themeColor="text1"/>
                <w:sz w:val="24"/>
                <w:highlight w:val="none"/>
                <w14:textFill>
                  <w14:solidFill>
                    <w14:schemeClr w14:val="tx1"/>
                  </w14:solidFill>
                </w14:textFill>
              </w:rPr>
            </w:pPr>
          </w:p>
        </w:tc>
        <w:tc>
          <w:tcPr>
            <w:tcW w:w="1417" w:type="dxa"/>
            <w:gridSpan w:val="2"/>
            <w:vAlign w:val="center"/>
          </w:tcPr>
          <w:p w14:paraId="1662D697">
            <w:pPr>
              <w:jc w:val="center"/>
              <w:rPr>
                <w:rFonts w:ascii="宋体" w:hAnsi="宋体" w:cs="宋体"/>
                <w:color w:val="000000" w:themeColor="text1"/>
                <w:sz w:val="24"/>
                <w:highlight w:val="none"/>
                <w14:textFill>
                  <w14:solidFill>
                    <w14:schemeClr w14:val="tx1"/>
                  </w14:solidFill>
                </w14:textFill>
              </w:rPr>
            </w:pPr>
          </w:p>
        </w:tc>
        <w:tc>
          <w:tcPr>
            <w:tcW w:w="1985" w:type="dxa"/>
            <w:gridSpan w:val="2"/>
            <w:vAlign w:val="center"/>
          </w:tcPr>
          <w:p w14:paraId="6BD21FB5">
            <w:pPr>
              <w:jc w:val="center"/>
              <w:rPr>
                <w:rFonts w:ascii="宋体" w:hAnsi="宋体" w:cs="宋体"/>
                <w:color w:val="000000" w:themeColor="text1"/>
                <w:sz w:val="24"/>
                <w:highlight w:val="none"/>
                <w14:textFill>
                  <w14:solidFill>
                    <w14:schemeClr w14:val="tx1"/>
                  </w14:solidFill>
                </w14:textFill>
              </w:rPr>
            </w:pPr>
          </w:p>
        </w:tc>
        <w:tc>
          <w:tcPr>
            <w:tcW w:w="2851" w:type="dxa"/>
            <w:gridSpan w:val="2"/>
            <w:vAlign w:val="center"/>
          </w:tcPr>
          <w:p w14:paraId="5C069679">
            <w:pPr>
              <w:jc w:val="center"/>
              <w:rPr>
                <w:rFonts w:ascii="宋体" w:hAnsi="宋体" w:cs="宋体"/>
                <w:color w:val="000000" w:themeColor="text1"/>
                <w:sz w:val="24"/>
                <w:highlight w:val="none"/>
                <w14:textFill>
                  <w14:solidFill>
                    <w14:schemeClr w14:val="tx1"/>
                  </w14:solidFill>
                </w14:textFill>
              </w:rPr>
            </w:pPr>
          </w:p>
        </w:tc>
      </w:tr>
      <w:tr w14:paraId="0E9B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69" w:type="dxa"/>
            <w:gridSpan w:val="4"/>
            <w:vAlign w:val="center"/>
          </w:tcPr>
          <w:p w14:paraId="39C9D005">
            <w:pPr>
              <w:jc w:val="center"/>
              <w:rPr>
                <w:rFonts w:ascii="宋体" w:hAnsi="宋体" w:cs="宋体"/>
                <w:color w:val="000000" w:themeColor="text1"/>
                <w:sz w:val="24"/>
                <w:highlight w:val="none"/>
                <w14:textFill>
                  <w14:solidFill>
                    <w14:schemeClr w14:val="tx1"/>
                  </w14:solidFill>
                </w14:textFill>
              </w:rPr>
            </w:pPr>
          </w:p>
        </w:tc>
        <w:tc>
          <w:tcPr>
            <w:tcW w:w="1417" w:type="dxa"/>
            <w:gridSpan w:val="2"/>
            <w:vAlign w:val="center"/>
          </w:tcPr>
          <w:p w14:paraId="6FE3117C">
            <w:pPr>
              <w:jc w:val="center"/>
              <w:rPr>
                <w:rFonts w:ascii="宋体" w:hAnsi="宋体" w:cs="宋体"/>
                <w:color w:val="000000" w:themeColor="text1"/>
                <w:sz w:val="24"/>
                <w:highlight w:val="none"/>
                <w14:textFill>
                  <w14:solidFill>
                    <w14:schemeClr w14:val="tx1"/>
                  </w14:solidFill>
                </w14:textFill>
              </w:rPr>
            </w:pPr>
          </w:p>
        </w:tc>
        <w:tc>
          <w:tcPr>
            <w:tcW w:w="1985" w:type="dxa"/>
            <w:gridSpan w:val="2"/>
            <w:vAlign w:val="center"/>
          </w:tcPr>
          <w:p w14:paraId="666B8A4D">
            <w:pPr>
              <w:jc w:val="center"/>
              <w:rPr>
                <w:rFonts w:ascii="宋体" w:hAnsi="宋体" w:cs="宋体"/>
                <w:color w:val="000000" w:themeColor="text1"/>
                <w:sz w:val="24"/>
                <w:highlight w:val="none"/>
                <w14:textFill>
                  <w14:solidFill>
                    <w14:schemeClr w14:val="tx1"/>
                  </w14:solidFill>
                </w14:textFill>
              </w:rPr>
            </w:pPr>
          </w:p>
        </w:tc>
        <w:tc>
          <w:tcPr>
            <w:tcW w:w="2851" w:type="dxa"/>
            <w:gridSpan w:val="2"/>
            <w:vAlign w:val="center"/>
          </w:tcPr>
          <w:p w14:paraId="6B3BD1B5">
            <w:pPr>
              <w:jc w:val="center"/>
              <w:rPr>
                <w:rFonts w:ascii="宋体" w:hAnsi="宋体" w:cs="宋体"/>
                <w:color w:val="000000" w:themeColor="text1"/>
                <w:sz w:val="24"/>
                <w:highlight w:val="none"/>
                <w14:textFill>
                  <w14:solidFill>
                    <w14:schemeClr w14:val="tx1"/>
                  </w14:solidFill>
                </w14:textFill>
              </w:rPr>
            </w:pPr>
          </w:p>
        </w:tc>
      </w:tr>
      <w:tr w14:paraId="4BA4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69" w:type="dxa"/>
            <w:gridSpan w:val="4"/>
            <w:vAlign w:val="center"/>
          </w:tcPr>
          <w:p w14:paraId="05C1B79B">
            <w:pPr>
              <w:jc w:val="center"/>
              <w:rPr>
                <w:rFonts w:ascii="宋体" w:hAnsi="宋体" w:cs="宋体"/>
                <w:color w:val="000000" w:themeColor="text1"/>
                <w:sz w:val="24"/>
                <w:highlight w:val="none"/>
                <w14:textFill>
                  <w14:solidFill>
                    <w14:schemeClr w14:val="tx1"/>
                  </w14:solidFill>
                </w14:textFill>
              </w:rPr>
            </w:pPr>
          </w:p>
        </w:tc>
        <w:tc>
          <w:tcPr>
            <w:tcW w:w="1417" w:type="dxa"/>
            <w:gridSpan w:val="2"/>
            <w:vAlign w:val="center"/>
          </w:tcPr>
          <w:p w14:paraId="3DAFB226">
            <w:pPr>
              <w:jc w:val="center"/>
              <w:rPr>
                <w:rFonts w:ascii="宋体" w:hAnsi="宋体" w:cs="宋体"/>
                <w:color w:val="000000" w:themeColor="text1"/>
                <w:sz w:val="24"/>
                <w:highlight w:val="none"/>
                <w14:textFill>
                  <w14:solidFill>
                    <w14:schemeClr w14:val="tx1"/>
                  </w14:solidFill>
                </w14:textFill>
              </w:rPr>
            </w:pPr>
          </w:p>
        </w:tc>
        <w:tc>
          <w:tcPr>
            <w:tcW w:w="1985" w:type="dxa"/>
            <w:gridSpan w:val="2"/>
            <w:vAlign w:val="center"/>
          </w:tcPr>
          <w:p w14:paraId="0E2C6F6C">
            <w:pPr>
              <w:jc w:val="center"/>
              <w:rPr>
                <w:rFonts w:ascii="宋体" w:hAnsi="宋体" w:cs="宋体"/>
                <w:color w:val="000000" w:themeColor="text1"/>
                <w:sz w:val="24"/>
                <w:highlight w:val="none"/>
                <w14:textFill>
                  <w14:solidFill>
                    <w14:schemeClr w14:val="tx1"/>
                  </w14:solidFill>
                </w14:textFill>
              </w:rPr>
            </w:pPr>
          </w:p>
        </w:tc>
        <w:tc>
          <w:tcPr>
            <w:tcW w:w="2851" w:type="dxa"/>
            <w:gridSpan w:val="2"/>
            <w:vAlign w:val="center"/>
          </w:tcPr>
          <w:p w14:paraId="4533B5DD">
            <w:pPr>
              <w:jc w:val="center"/>
              <w:rPr>
                <w:rFonts w:ascii="宋体" w:hAnsi="宋体" w:cs="宋体"/>
                <w:color w:val="000000" w:themeColor="text1"/>
                <w:sz w:val="24"/>
                <w:highlight w:val="none"/>
                <w14:textFill>
                  <w14:solidFill>
                    <w14:schemeClr w14:val="tx1"/>
                  </w14:solidFill>
                </w14:textFill>
              </w:rPr>
            </w:pPr>
          </w:p>
        </w:tc>
      </w:tr>
      <w:tr w14:paraId="743D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69" w:type="dxa"/>
            <w:gridSpan w:val="4"/>
            <w:vAlign w:val="center"/>
          </w:tcPr>
          <w:p w14:paraId="206C2464">
            <w:pPr>
              <w:jc w:val="center"/>
              <w:rPr>
                <w:rFonts w:ascii="宋体" w:hAnsi="宋体" w:cs="宋体"/>
                <w:color w:val="000000" w:themeColor="text1"/>
                <w:sz w:val="24"/>
                <w:highlight w:val="none"/>
                <w14:textFill>
                  <w14:solidFill>
                    <w14:schemeClr w14:val="tx1"/>
                  </w14:solidFill>
                </w14:textFill>
              </w:rPr>
            </w:pPr>
          </w:p>
        </w:tc>
        <w:tc>
          <w:tcPr>
            <w:tcW w:w="1417" w:type="dxa"/>
            <w:gridSpan w:val="2"/>
            <w:vAlign w:val="center"/>
          </w:tcPr>
          <w:p w14:paraId="091DC8D7">
            <w:pPr>
              <w:jc w:val="center"/>
              <w:rPr>
                <w:rFonts w:ascii="宋体" w:hAnsi="宋体" w:cs="宋体"/>
                <w:color w:val="000000" w:themeColor="text1"/>
                <w:sz w:val="24"/>
                <w:highlight w:val="none"/>
                <w14:textFill>
                  <w14:solidFill>
                    <w14:schemeClr w14:val="tx1"/>
                  </w14:solidFill>
                </w14:textFill>
              </w:rPr>
            </w:pPr>
          </w:p>
        </w:tc>
        <w:tc>
          <w:tcPr>
            <w:tcW w:w="1985" w:type="dxa"/>
            <w:gridSpan w:val="2"/>
            <w:vAlign w:val="center"/>
          </w:tcPr>
          <w:p w14:paraId="26858A08">
            <w:pPr>
              <w:jc w:val="center"/>
              <w:rPr>
                <w:rFonts w:ascii="宋体" w:hAnsi="宋体" w:cs="宋体"/>
                <w:color w:val="000000" w:themeColor="text1"/>
                <w:sz w:val="24"/>
                <w:highlight w:val="none"/>
                <w14:textFill>
                  <w14:solidFill>
                    <w14:schemeClr w14:val="tx1"/>
                  </w14:solidFill>
                </w14:textFill>
              </w:rPr>
            </w:pPr>
          </w:p>
        </w:tc>
        <w:tc>
          <w:tcPr>
            <w:tcW w:w="2851" w:type="dxa"/>
            <w:gridSpan w:val="2"/>
            <w:vAlign w:val="center"/>
          </w:tcPr>
          <w:p w14:paraId="51194542">
            <w:pPr>
              <w:jc w:val="center"/>
              <w:rPr>
                <w:rFonts w:ascii="宋体" w:hAnsi="宋体" w:cs="宋体"/>
                <w:color w:val="000000" w:themeColor="text1"/>
                <w:sz w:val="24"/>
                <w:highlight w:val="none"/>
                <w14:textFill>
                  <w14:solidFill>
                    <w14:schemeClr w14:val="tx1"/>
                  </w14:solidFill>
                </w14:textFill>
              </w:rPr>
            </w:pPr>
          </w:p>
        </w:tc>
      </w:tr>
      <w:tr w14:paraId="105F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69" w:type="dxa"/>
            <w:gridSpan w:val="4"/>
            <w:vAlign w:val="center"/>
          </w:tcPr>
          <w:p w14:paraId="5056C521">
            <w:pPr>
              <w:jc w:val="center"/>
              <w:rPr>
                <w:rFonts w:ascii="宋体" w:hAnsi="宋体" w:cs="宋体"/>
                <w:color w:val="000000" w:themeColor="text1"/>
                <w:sz w:val="24"/>
                <w:highlight w:val="none"/>
                <w14:textFill>
                  <w14:solidFill>
                    <w14:schemeClr w14:val="tx1"/>
                  </w14:solidFill>
                </w14:textFill>
              </w:rPr>
            </w:pPr>
          </w:p>
        </w:tc>
        <w:tc>
          <w:tcPr>
            <w:tcW w:w="1417" w:type="dxa"/>
            <w:gridSpan w:val="2"/>
            <w:vAlign w:val="center"/>
          </w:tcPr>
          <w:p w14:paraId="4E57A5A4">
            <w:pPr>
              <w:jc w:val="center"/>
              <w:rPr>
                <w:rFonts w:ascii="宋体" w:hAnsi="宋体" w:cs="宋体"/>
                <w:color w:val="000000" w:themeColor="text1"/>
                <w:sz w:val="24"/>
                <w:highlight w:val="none"/>
                <w14:textFill>
                  <w14:solidFill>
                    <w14:schemeClr w14:val="tx1"/>
                  </w14:solidFill>
                </w14:textFill>
              </w:rPr>
            </w:pPr>
          </w:p>
        </w:tc>
        <w:tc>
          <w:tcPr>
            <w:tcW w:w="1985" w:type="dxa"/>
            <w:gridSpan w:val="2"/>
            <w:vAlign w:val="center"/>
          </w:tcPr>
          <w:p w14:paraId="0974A5CC">
            <w:pPr>
              <w:jc w:val="center"/>
              <w:rPr>
                <w:rFonts w:ascii="宋体" w:hAnsi="宋体" w:cs="宋体"/>
                <w:color w:val="000000" w:themeColor="text1"/>
                <w:sz w:val="24"/>
                <w:highlight w:val="none"/>
                <w14:textFill>
                  <w14:solidFill>
                    <w14:schemeClr w14:val="tx1"/>
                  </w14:solidFill>
                </w14:textFill>
              </w:rPr>
            </w:pPr>
          </w:p>
        </w:tc>
        <w:tc>
          <w:tcPr>
            <w:tcW w:w="2851" w:type="dxa"/>
            <w:gridSpan w:val="2"/>
            <w:vAlign w:val="center"/>
          </w:tcPr>
          <w:p w14:paraId="063B7D3D">
            <w:pPr>
              <w:jc w:val="center"/>
              <w:rPr>
                <w:rFonts w:ascii="宋体" w:hAnsi="宋体" w:cs="宋体"/>
                <w:color w:val="000000" w:themeColor="text1"/>
                <w:sz w:val="24"/>
                <w:highlight w:val="none"/>
                <w14:textFill>
                  <w14:solidFill>
                    <w14:schemeClr w14:val="tx1"/>
                  </w14:solidFill>
                </w14:textFill>
              </w:rPr>
            </w:pPr>
          </w:p>
        </w:tc>
      </w:tr>
      <w:tr w14:paraId="413A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69" w:type="dxa"/>
            <w:gridSpan w:val="4"/>
            <w:vAlign w:val="center"/>
          </w:tcPr>
          <w:p w14:paraId="4D040A90">
            <w:pPr>
              <w:jc w:val="center"/>
              <w:rPr>
                <w:rFonts w:ascii="宋体" w:hAnsi="宋体" w:cs="宋体"/>
                <w:color w:val="000000" w:themeColor="text1"/>
                <w:sz w:val="24"/>
                <w:highlight w:val="none"/>
                <w14:textFill>
                  <w14:solidFill>
                    <w14:schemeClr w14:val="tx1"/>
                  </w14:solidFill>
                </w14:textFill>
              </w:rPr>
            </w:pPr>
          </w:p>
        </w:tc>
        <w:tc>
          <w:tcPr>
            <w:tcW w:w="1417" w:type="dxa"/>
            <w:gridSpan w:val="2"/>
            <w:vAlign w:val="center"/>
          </w:tcPr>
          <w:p w14:paraId="40728F53">
            <w:pPr>
              <w:jc w:val="center"/>
              <w:rPr>
                <w:rFonts w:ascii="宋体" w:hAnsi="宋体" w:cs="宋体"/>
                <w:color w:val="000000" w:themeColor="text1"/>
                <w:sz w:val="24"/>
                <w:highlight w:val="none"/>
                <w14:textFill>
                  <w14:solidFill>
                    <w14:schemeClr w14:val="tx1"/>
                  </w14:solidFill>
                </w14:textFill>
              </w:rPr>
            </w:pPr>
          </w:p>
        </w:tc>
        <w:tc>
          <w:tcPr>
            <w:tcW w:w="1985" w:type="dxa"/>
            <w:gridSpan w:val="2"/>
            <w:vAlign w:val="center"/>
          </w:tcPr>
          <w:p w14:paraId="738FEBCE">
            <w:pPr>
              <w:jc w:val="center"/>
              <w:rPr>
                <w:rFonts w:ascii="宋体" w:hAnsi="宋体" w:cs="宋体"/>
                <w:color w:val="000000" w:themeColor="text1"/>
                <w:sz w:val="24"/>
                <w:highlight w:val="none"/>
                <w14:textFill>
                  <w14:solidFill>
                    <w14:schemeClr w14:val="tx1"/>
                  </w14:solidFill>
                </w14:textFill>
              </w:rPr>
            </w:pPr>
          </w:p>
        </w:tc>
        <w:tc>
          <w:tcPr>
            <w:tcW w:w="2851" w:type="dxa"/>
            <w:gridSpan w:val="2"/>
            <w:vAlign w:val="center"/>
          </w:tcPr>
          <w:p w14:paraId="521B7D4B">
            <w:pPr>
              <w:jc w:val="center"/>
              <w:rPr>
                <w:rFonts w:ascii="宋体" w:hAnsi="宋体" w:cs="宋体"/>
                <w:color w:val="000000" w:themeColor="text1"/>
                <w:sz w:val="24"/>
                <w:highlight w:val="none"/>
                <w14:textFill>
                  <w14:solidFill>
                    <w14:schemeClr w14:val="tx1"/>
                  </w14:solidFill>
                </w14:textFill>
              </w:rPr>
            </w:pPr>
          </w:p>
        </w:tc>
      </w:tr>
      <w:tr w14:paraId="05C4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68" w:type="dxa"/>
            <w:gridSpan w:val="2"/>
            <w:vAlign w:val="center"/>
          </w:tcPr>
          <w:p w14:paraId="472B9F1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954" w:type="dxa"/>
            <w:gridSpan w:val="8"/>
            <w:vAlign w:val="center"/>
          </w:tcPr>
          <w:p w14:paraId="4D6F092E">
            <w:pPr>
              <w:jc w:val="center"/>
              <w:rPr>
                <w:rFonts w:ascii="宋体" w:hAnsi="宋体" w:cs="宋体"/>
                <w:color w:val="000000" w:themeColor="text1"/>
                <w:sz w:val="24"/>
                <w:highlight w:val="none"/>
                <w14:textFill>
                  <w14:solidFill>
                    <w14:schemeClr w14:val="tx1"/>
                  </w14:solidFill>
                </w14:textFill>
              </w:rPr>
            </w:pPr>
          </w:p>
        </w:tc>
      </w:tr>
    </w:tbl>
    <w:p w14:paraId="587AB0A3">
      <w:pPr>
        <w:spacing w:line="480" w:lineRule="auto"/>
        <w:rPr>
          <w:rFonts w:ascii="宋体" w:hAnsi="宋体" w:cs="宋体"/>
          <w:b/>
          <w:color w:val="000000" w:themeColor="text1"/>
          <w:sz w:val="24"/>
          <w:highlight w:val="none"/>
          <w14:textFill>
            <w14:solidFill>
              <w14:schemeClr w14:val="tx1"/>
            </w14:solidFill>
          </w14:textFill>
        </w:rPr>
      </w:pPr>
    </w:p>
    <w:p w14:paraId="49830243">
      <w:pPr>
        <w:spacing w:line="48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以下相关资料需提供加盖公章的复印件：</w:t>
      </w:r>
    </w:p>
    <w:p w14:paraId="7185AC51">
      <w:pPr>
        <w:keepNext w:val="0"/>
        <w:keepLines w:val="0"/>
        <w:pageBreakBefore w:val="0"/>
        <w:numPr>
          <w:ilvl w:val="0"/>
          <w:numId w:val="0"/>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kern w:val="0"/>
          <w:sz w:val="24"/>
          <w:highlight w:val="none"/>
        </w:rPr>
      </w:pPr>
      <w:bookmarkStart w:id="35" w:name="_Toc494096894"/>
      <w:r>
        <w:rPr>
          <w:rFonts w:hint="default" w:ascii="宋体" w:hAnsi="宋体" w:eastAsia="宋体" w:cs="宋体"/>
          <w:kern w:val="0"/>
          <w:sz w:val="24"/>
          <w:szCs w:val="24"/>
          <w:highlight w:val="none"/>
          <w:lang w:val="en-US" w:eastAsia="zh-CN" w:bidi="ar-SA"/>
        </w:rPr>
        <w:t>1.</w:t>
      </w:r>
      <w:r>
        <w:rPr>
          <w:rFonts w:hint="eastAsia" w:ascii="宋体" w:hAnsi="宋体" w:cs="宋体"/>
          <w:kern w:val="0"/>
          <w:sz w:val="24"/>
          <w:highlight w:val="none"/>
        </w:rPr>
        <w:t>供应商应提供统一社会信用代码的营业执照；</w:t>
      </w:r>
    </w:p>
    <w:p w14:paraId="751E5745">
      <w:pPr>
        <w:keepNext w:val="0"/>
        <w:keepLines w:val="0"/>
        <w:pageBreakBefore w:val="0"/>
        <w:numPr>
          <w:ilvl w:val="0"/>
          <w:numId w:val="0"/>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eastAsia="宋体" w:cs="宋体"/>
          <w:kern w:val="0"/>
          <w:sz w:val="24"/>
          <w:highlight w:val="none"/>
          <w:lang w:val="en-US" w:eastAsia="zh-CN"/>
        </w:rPr>
      </w:pPr>
      <w:r>
        <w:rPr>
          <w:rFonts w:hint="default" w:ascii="宋体" w:hAnsi="宋体" w:eastAsia="宋体" w:cs="宋体"/>
          <w:kern w:val="0"/>
          <w:sz w:val="24"/>
          <w:szCs w:val="24"/>
          <w:highlight w:val="none"/>
          <w:lang w:val="en-US" w:eastAsia="zh-CN" w:bidi="ar-SA"/>
        </w:rPr>
        <w:t>2.</w:t>
      </w:r>
      <w:r>
        <w:rPr>
          <w:rFonts w:hint="eastAsia" w:ascii="宋体" w:hAnsi="宋体" w:cs="宋体"/>
          <w:kern w:val="0"/>
          <w:sz w:val="24"/>
          <w:highlight w:val="none"/>
        </w:rPr>
        <w:t>法定代表人/负责人授权委托书（附法定代表人/负责人身份证复印件）及被授权委托人身份证（法定代表人/负责人参加磋商只须提供法定代表人/负责人身份证）；</w:t>
      </w:r>
    </w:p>
    <w:p w14:paraId="3F6E8FF0">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425" w:firstLineChars="0"/>
        <w:contextualSpacing/>
        <w:jc w:val="left"/>
        <w:textAlignment w:val="auto"/>
        <w:rPr>
          <w:rFonts w:hint="eastAsia" w:ascii="宋体" w:hAnsi="宋体" w:cs="宋体"/>
          <w:kern w:val="0"/>
          <w:sz w:val="24"/>
          <w:highlight w:val="none"/>
        </w:rPr>
      </w:pPr>
      <w:r>
        <w:rPr>
          <w:rFonts w:hint="default" w:ascii="宋体" w:hAnsi="宋体" w:eastAsia="宋体" w:cs="宋体"/>
          <w:kern w:val="0"/>
          <w:sz w:val="24"/>
          <w:szCs w:val="24"/>
          <w:highlight w:val="none"/>
          <w:lang w:val="en-US" w:eastAsia="zh-CN" w:bidi="ar-SA"/>
        </w:rPr>
        <w:t>3.</w:t>
      </w:r>
      <w:r>
        <w:rPr>
          <w:rFonts w:hint="eastAsia" w:ascii="宋体" w:hAnsi="宋体" w:cs="宋体"/>
          <w:kern w:val="0"/>
          <w:sz w:val="24"/>
          <w:highlight w:val="none"/>
        </w:rPr>
        <w:t>提供</w:t>
      </w:r>
      <w:r>
        <w:rPr>
          <w:rFonts w:hint="eastAsia" w:ascii="宋体" w:hAnsi="宋体" w:cs="宋体"/>
          <w:kern w:val="0"/>
          <w:sz w:val="24"/>
          <w:highlight w:val="none"/>
          <w:lang w:val="en-US" w:eastAsia="zh-CN"/>
        </w:rPr>
        <w:t>2023或</w:t>
      </w: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年度经审计的财务报告或开标前六个月内其基本账户银行出具的资信证明或财政部门认可的政府采购专业担保机构出具的担保函；</w:t>
      </w:r>
    </w:p>
    <w:p w14:paraId="58F562EA">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425" w:firstLineChars="0"/>
        <w:contextualSpacing/>
        <w:jc w:val="left"/>
        <w:textAlignment w:val="auto"/>
        <w:rPr>
          <w:rFonts w:hint="eastAsia" w:ascii="宋体" w:hAnsi="宋体" w:cs="宋体"/>
          <w:kern w:val="0"/>
          <w:sz w:val="24"/>
          <w:highlight w:val="none"/>
        </w:rPr>
      </w:pPr>
      <w:r>
        <w:rPr>
          <w:rFonts w:hint="default" w:ascii="宋体" w:hAnsi="宋体" w:eastAsia="宋体" w:cs="宋体"/>
          <w:kern w:val="0"/>
          <w:sz w:val="24"/>
          <w:szCs w:val="24"/>
          <w:highlight w:val="none"/>
          <w:lang w:val="en-US" w:eastAsia="zh-CN" w:bidi="ar-SA"/>
        </w:rPr>
        <w:t>4.</w:t>
      </w:r>
      <w:r>
        <w:rPr>
          <w:rFonts w:hint="eastAsia" w:ascii="宋体" w:hAnsi="宋体" w:cs="宋体"/>
          <w:kern w:val="0"/>
          <w:sz w:val="24"/>
          <w:highlight w:val="none"/>
        </w:rPr>
        <w:t>提供202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3</w:t>
      </w:r>
      <w:r>
        <w:rPr>
          <w:rFonts w:hint="eastAsia" w:ascii="宋体" w:hAnsi="宋体" w:cs="宋体"/>
          <w:kern w:val="0"/>
          <w:sz w:val="24"/>
          <w:highlight w:val="none"/>
        </w:rPr>
        <w:t>月以来任意</w:t>
      </w:r>
      <w:r>
        <w:rPr>
          <w:rFonts w:hint="eastAsia" w:ascii="宋体" w:hAnsi="宋体" w:cs="宋体"/>
          <w:kern w:val="0"/>
          <w:sz w:val="24"/>
          <w:highlight w:val="none"/>
          <w:lang w:val="en-US" w:eastAsia="zh-CN"/>
        </w:rPr>
        <w:t>1</w:t>
      </w:r>
      <w:r>
        <w:rPr>
          <w:rFonts w:hint="eastAsia" w:ascii="宋体" w:hAnsi="宋体" w:cs="宋体"/>
          <w:kern w:val="0"/>
          <w:sz w:val="24"/>
          <w:highlight w:val="none"/>
        </w:rPr>
        <w:t>个月依法缴纳税收和社会保险的相关证明材料；注：依法免税或不需要缴纳社会保险的供应商提供相关部门出具的证明文件；</w:t>
      </w:r>
    </w:p>
    <w:p w14:paraId="784F72E4">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425" w:firstLineChars="0"/>
        <w:contextualSpacing/>
        <w:jc w:val="left"/>
        <w:textAlignment w:val="auto"/>
        <w:rPr>
          <w:rFonts w:hint="eastAsia" w:ascii="宋体" w:hAnsi="宋体" w:cs="宋体"/>
          <w:kern w:val="0"/>
          <w:sz w:val="24"/>
          <w:highlight w:val="none"/>
        </w:rPr>
      </w:pPr>
      <w:r>
        <w:rPr>
          <w:rFonts w:hint="default" w:ascii="宋体" w:hAnsi="宋体" w:eastAsia="宋体" w:cs="宋体"/>
          <w:kern w:val="0"/>
          <w:sz w:val="24"/>
          <w:szCs w:val="24"/>
          <w:highlight w:val="none"/>
          <w:lang w:val="en-US" w:eastAsia="zh-CN" w:bidi="ar-SA"/>
        </w:rPr>
        <w:t>5.</w:t>
      </w:r>
      <w:r>
        <w:rPr>
          <w:rFonts w:hint="eastAsia" w:ascii="宋体" w:hAnsi="宋体" w:cs="宋体"/>
          <w:kern w:val="0"/>
          <w:sz w:val="24"/>
          <w:highlight w:val="none"/>
        </w:rPr>
        <w:t>提供具有履行合同所必需的设备和专业技术能力的承诺；</w:t>
      </w:r>
    </w:p>
    <w:p w14:paraId="5643CADF">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425" w:firstLineChars="0"/>
        <w:contextualSpacing/>
        <w:jc w:val="left"/>
        <w:textAlignment w:val="auto"/>
        <w:rPr>
          <w:rFonts w:hint="eastAsia" w:ascii="宋体" w:hAnsi="宋体" w:cs="宋体"/>
          <w:kern w:val="0"/>
          <w:sz w:val="24"/>
          <w:highlight w:val="none"/>
        </w:rPr>
      </w:pPr>
      <w:r>
        <w:rPr>
          <w:rFonts w:hint="default" w:ascii="宋体" w:hAnsi="宋体" w:eastAsia="宋体" w:cs="宋体"/>
          <w:kern w:val="0"/>
          <w:sz w:val="24"/>
          <w:szCs w:val="24"/>
          <w:highlight w:val="none"/>
          <w:lang w:val="en-US" w:eastAsia="zh-CN" w:bidi="ar-SA"/>
        </w:rPr>
        <w:t>6.</w:t>
      </w:r>
      <w:r>
        <w:rPr>
          <w:rFonts w:hint="eastAsia" w:ascii="宋体" w:hAnsi="宋体" w:cs="宋体"/>
          <w:kern w:val="0"/>
          <w:sz w:val="24"/>
          <w:highlight w:val="none"/>
        </w:rPr>
        <w:t>提供参加政府采购活动前3年内在经营活动中没有重大违法记录的书面声明；</w:t>
      </w:r>
    </w:p>
    <w:p w14:paraId="028D8CB3">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425" w:firstLineChars="0"/>
        <w:contextualSpacing/>
        <w:jc w:val="left"/>
        <w:textAlignment w:val="auto"/>
        <w:rPr>
          <w:rFonts w:hint="eastAsia" w:ascii="宋体" w:hAnsi="宋体" w:cs="宋体"/>
          <w:kern w:val="0"/>
          <w:sz w:val="24"/>
          <w:highlight w:val="none"/>
        </w:rPr>
      </w:pPr>
      <w:r>
        <w:rPr>
          <w:rFonts w:hint="default" w:ascii="宋体" w:hAnsi="宋体" w:eastAsia="宋体" w:cs="宋体"/>
          <w:kern w:val="0"/>
          <w:sz w:val="24"/>
          <w:szCs w:val="24"/>
          <w:highlight w:val="none"/>
          <w:lang w:val="en-US" w:eastAsia="zh-CN" w:bidi="ar-SA"/>
        </w:rPr>
        <w:t>7.</w:t>
      </w:r>
      <w:r>
        <w:rPr>
          <w:rFonts w:hint="eastAsia" w:ascii="宋体" w:hAnsi="宋体" w:cs="宋体"/>
          <w:kern w:val="0"/>
          <w:sz w:val="24"/>
          <w:highlight w:val="none"/>
        </w:rPr>
        <w:t>单位负责人为同一人或者存在直接控股、管理关系的不同供应商，不得参加同一合同项下的政府采购活动；</w:t>
      </w:r>
    </w:p>
    <w:p w14:paraId="2DB77AE3">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425" w:firstLineChars="0"/>
        <w:textAlignment w:val="auto"/>
        <w:rPr>
          <w:rFonts w:hint="eastAsia" w:ascii="宋体" w:hAnsi="宋体" w:cs="宋体"/>
          <w:kern w:val="0"/>
          <w:sz w:val="24"/>
          <w:highlight w:val="none"/>
        </w:rPr>
      </w:pPr>
      <w:r>
        <w:rPr>
          <w:rFonts w:hint="default" w:ascii="宋体" w:hAnsi="宋体" w:eastAsia="宋体" w:cs="宋体"/>
          <w:kern w:val="0"/>
          <w:sz w:val="24"/>
          <w:szCs w:val="24"/>
          <w:highlight w:val="none"/>
          <w:lang w:val="en-US" w:eastAsia="zh-CN" w:bidi="ar-SA"/>
        </w:rPr>
        <w:t>8.</w:t>
      </w:r>
      <w:r>
        <w:rPr>
          <w:rFonts w:hint="eastAsia" w:ascii="宋体" w:hAnsi="宋体" w:cs="宋体"/>
          <w:kern w:val="0"/>
          <w:sz w:val="24"/>
          <w:highlight w:val="none"/>
        </w:rPr>
        <w:t>磋商保证金交纳凭证。</w:t>
      </w:r>
    </w:p>
    <w:p w14:paraId="707BFE14">
      <w:pPr>
        <w:spacing w:line="460" w:lineRule="exact"/>
        <w:ind w:firstLine="241"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注：上述资格证明文件的复印件须附在每份磋商响应文件（正、副本）中，并加盖磋商单位公章。</w:t>
      </w:r>
    </w:p>
    <w:p w14:paraId="527C385A">
      <w:pPr>
        <w:widowControl/>
        <w:tabs>
          <w:tab w:val="left" w:pos="1620"/>
        </w:tabs>
        <w:spacing w:line="400" w:lineRule="exact"/>
        <w:ind w:right="-197" w:rightChars="-94" w:firstLine="240" w:firstLineChars="100"/>
        <w:jc w:val="left"/>
        <w:rPr>
          <w:rFonts w:ascii="宋体" w:hAnsi="宋体" w:cs="宋体"/>
          <w:color w:val="000000" w:themeColor="text1"/>
          <w:sz w:val="24"/>
          <w:highlight w:val="none"/>
          <w14:textFill>
            <w14:solidFill>
              <w14:schemeClr w14:val="tx1"/>
            </w14:solidFill>
          </w14:textFill>
        </w:rPr>
      </w:pPr>
    </w:p>
    <w:p w14:paraId="3E1D78C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87F60A6">
      <w:pPr>
        <w:spacing w:line="480" w:lineRule="auto"/>
        <w:jc w:val="center"/>
        <w:outlineLvl w:val="1"/>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七</w:t>
      </w:r>
      <w:r>
        <w:rPr>
          <w:rFonts w:hint="eastAsia" w:ascii="宋体" w:hAnsi="宋体" w:cs="宋体"/>
          <w:b/>
          <w:bCs/>
          <w:color w:val="000000" w:themeColor="text1"/>
          <w:sz w:val="32"/>
          <w:szCs w:val="32"/>
          <w:highlight w:val="none"/>
          <w14:textFill>
            <w14:solidFill>
              <w14:schemeClr w14:val="tx1"/>
            </w14:solidFill>
          </w14:textFill>
        </w:rPr>
        <w:t>、类似项目业绩一览表</w:t>
      </w:r>
    </w:p>
    <w:p w14:paraId="6A08EAB8">
      <w:pPr>
        <w:rPr>
          <w:color w:val="000000" w:themeColor="text1"/>
          <w:highlight w:val="none"/>
          <w14:textFill>
            <w14:solidFill>
              <w14:schemeClr w14:val="tx1"/>
            </w14:solidFill>
          </w14:textFill>
        </w:rPr>
      </w:pPr>
    </w:p>
    <w:p w14:paraId="3D0F4E7A">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p>
    <w:p w14:paraId="03E77CFF">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p>
    <w:tbl>
      <w:tblPr>
        <w:tblStyle w:val="21"/>
        <w:tblW w:w="9780" w:type="dxa"/>
        <w:jc w:val="center"/>
        <w:tblLayout w:type="fixed"/>
        <w:tblCellMar>
          <w:top w:w="0" w:type="dxa"/>
          <w:left w:w="0" w:type="dxa"/>
          <w:bottom w:w="0" w:type="dxa"/>
          <w:right w:w="0" w:type="dxa"/>
        </w:tblCellMar>
      </w:tblPr>
      <w:tblGrid>
        <w:gridCol w:w="655"/>
        <w:gridCol w:w="1866"/>
        <w:gridCol w:w="1519"/>
        <w:gridCol w:w="1741"/>
        <w:gridCol w:w="1257"/>
        <w:gridCol w:w="2742"/>
      </w:tblGrid>
      <w:tr w14:paraId="68438D37">
        <w:tblPrEx>
          <w:tblCellMar>
            <w:top w:w="0" w:type="dxa"/>
            <w:left w:w="0" w:type="dxa"/>
            <w:bottom w:w="0" w:type="dxa"/>
            <w:right w:w="0" w:type="dxa"/>
          </w:tblCellMar>
        </w:tblPrEx>
        <w:trPr>
          <w:trHeight w:val="780" w:hRule="exact"/>
          <w:jc w:val="center"/>
        </w:trPr>
        <w:tc>
          <w:tcPr>
            <w:tcW w:w="655" w:type="dxa"/>
            <w:tcBorders>
              <w:top w:val="single" w:color="000000" w:sz="6" w:space="0"/>
              <w:left w:val="single" w:color="000000" w:sz="6" w:space="0"/>
              <w:bottom w:val="single" w:color="000000" w:sz="6" w:space="0"/>
              <w:right w:val="single" w:color="000000" w:sz="6" w:space="0"/>
            </w:tcBorders>
          </w:tcPr>
          <w:p w14:paraId="7C224A5C">
            <w:pPr>
              <w:pStyle w:val="33"/>
              <w:spacing w:before="188"/>
              <w:ind w:left="78"/>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序号</w:t>
            </w:r>
          </w:p>
        </w:tc>
        <w:tc>
          <w:tcPr>
            <w:tcW w:w="1866" w:type="dxa"/>
            <w:tcBorders>
              <w:top w:val="single" w:color="000000" w:sz="6" w:space="0"/>
              <w:left w:val="single" w:color="000000" w:sz="6" w:space="0"/>
              <w:bottom w:val="single" w:color="000000" w:sz="6" w:space="0"/>
              <w:right w:val="single" w:color="000000" w:sz="6" w:space="0"/>
            </w:tcBorders>
          </w:tcPr>
          <w:p w14:paraId="5505C00E">
            <w:pPr>
              <w:pStyle w:val="33"/>
              <w:spacing w:before="188"/>
              <w:ind w:left="206"/>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项目名称</w:t>
            </w:r>
          </w:p>
        </w:tc>
        <w:tc>
          <w:tcPr>
            <w:tcW w:w="1519" w:type="dxa"/>
            <w:tcBorders>
              <w:top w:val="single" w:color="000000" w:sz="6" w:space="0"/>
              <w:left w:val="single" w:color="000000" w:sz="6" w:space="0"/>
              <w:bottom w:val="single" w:color="000000" w:sz="6" w:space="0"/>
              <w:right w:val="single" w:color="000000" w:sz="6" w:space="0"/>
            </w:tcBorders>
          </w:tcPr>
          <w:p w14:paraId="00BE2100">
            <w:pPr>
              <w:pStyle w:val="33"/>
              <w:spacing w:before="188"/>
              <w:ind w:left="272"/>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项目内容</w:t>
            </w:r>
          </w:p>
        </w:tc>
        <w:tc>
          <w:tcPr>
            <w:tcW w:w="1741" w:type="dxa"/>
            <w:tcBorders>
              <w:top w:val="single" w:color="000000" w:sz="6" w:space="0"/>
              <w:left w:val="single" w:color="000000" w:sz="6" w:space="0"/>
              <w:bottom w:val="single" w:color="000000" w:sz="6" w:space="0"/>
              <w:right w:val="single" w:color="000000" w:sz="6" w:space="0"/>
            </w:tcBorders>
          </w:tcPr>
          <w:p w14:paraId="234636AC">
            <w:pPr>
              <w:pStyle w:val="33"/>
              <w:spacing w:before="32" w:line="313" w:lineRule="exact"/>
              <w:ind w:left="382"/>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合同金额</w:t>
            </w:r>
          </w:p>
          <w:p w14:paraId="41AE6B3D">
            <w:pPr>
              <w:pStyle w:val="33"/>
              <w:spacing w:line="313" w:lineRule="exact"/>
              <w:ind w:left="382"/>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（万元）</w:t>
            </w:r>
          </w:p>
        </w:tc>
        <w:tc>
          <w:tcPr>
            <w:tcW w:w="1257" w:type="dxa"/>
            <w:tcBorders>
              <w:top w:val="single" w:color="000000" w:sz="6" w:space="0"/>
              <w:left w:val="single" w:color="000000" w:sz="6" w:space="0"/>
              <w:bottom w:val="single" w:color="000000" w:sz="6" w:space="0"/>
              <w:right w:val="single" w:color="000000" w:sz="6" w:space="0"/>
            </w:tcBorders>
          </w:tcPr>
          <w:p w14:paraId="6FEE4BBC">
            <w:pPr>
              <w:pStyle w:val="33"/>
              <w:spacing w:before="188"/>
              <w:ind w:left="139"/>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完成日期</w:t>
            </w:r>
          </w:p>
        </w:tc>
        <w:tc>
          <w:tcPr>
            <w:tcW w:w="2742" w:type="dxa"/>
            <w:tcBorders>
              <w:top w:val="single" w:color="000000" w:sz="6" w:space="0"/>
              <w:left w:val="single" w:color="000000" w:sz="6" w:space="0"/>
              <w:bottom w:val="single" w:color="000000" w:sz="6" w:space="0"/>
              <w:right w:val="single" w:color="000000" w:sz="6" w:space="0"/>
            </w:tcBorders>
          </w:tcPr>
          <w:p w14:paraId="3A01172B">
            <w:pPr>
              <w:pStyle w:val="33"/>
              <w:spacing w:before="188"/>
              <w:jc w:val="center"/>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备注</w:t>
            </w:r>
          </w:p>
        </w:tc>
      </w:tr>
      <w:tr w14:paraId="70A65DC3">
        <w:tblPrEx>
          <w:tblCellMar>
            <w:top w:w="0" w:type="dxa"/>
            <w:left w:w="0" w:type="dxa"/>
            <w:bottom w:w="0" w:type="dxa"/>
            <w:right w:w="0" w:type="dxa"/>
          </w:tblCellMar>
        </w:tblPrEx>
        <w:trPr>
          <w:trHeight w:val="780" w:hRule="exact"/>
          <w:jc w:val="center"/>
        </w:trPr>
        <w:tc>
          <w:tcPr>
            <w:tcW w:w="655" w:type="dxa"/>
            <w:tcBorders>
              <w:top w:val="single" w:color="000000" w:sz="6" w:space="0"/>
              <w:left w:val="single" w:color="000000" w:sz="6" w:space="0"/>
              <w:bottom w:val="single" w:color="000000" w:sz="6" w:space="0"/>
              <w:right w:val="single" w:color="000000" w:sz="6" w:space="0"/>
            </w:tcBorders>
          </w:tcPr>
          <w:p w14:paraId="30110DE5">
            <w:pPr>
              <w:pStyle w:val="33"/>
              <w:spacing w:before="188"/>
              <w:ind w:left="318"/>
              <w:rPr>
                <w:rFonts w:ascii="宋体" w:hAnsi="宋体" w:cs="宋体"/>
                <w:color w:val="000000" w:themeColor="text1"/>
                <w:sz w:val="24"/>
                <w:highlight w:val="none"/>
                <w14:textFill>
                  <w14:solidFill>
                    <w14:schemeClr w14:val="tx1"/>
                  </w14:solidFill>
                </w14:textFill>
              </w:rPr>
            </w:pPr>
            <w:r>
              <w:rPr>
                <w:rFonts w:ascii="宋体"/>
                <w:b/>
                <w:color w:val="000000" w:themeColor="text1"/>
                <w:w w:val="99"/>
                <w:sz w:val="24"/>
                <w:highlight w:val="none"/>
                <w14:textFill>
                  <w14:solidFill>
                    <w14:schemeClr w14:val="tx1"/>
                  </w14:solidFill>
                </w14:textFill>
              </w:rPr>
              <w:t>1</w:t>
            </w:r>
          </w:p>
        </w:tc>
        <w:tc>
          <w:tcPr>
            <w:tcW w:w="1866" w:type="dxa"/>
            <w:tcBorders>
              <w:top w:val="single" w:color="000000" w:sz="6" w:space="0"/>
              <w:left w:val="single" w:color="000000" w:sz="6" w:space="0"/>
              <w:bottom w:val="single" w:color="000000" w:sz="6" w:space="0"/>
              <w:right w:val="single" w:color="000000" w:sz="6" w:space="0"/>
            </w:tcBorders>
          </w:tcPr>
          <w:p w14:paraId="65B6308B">
            <w:pPr>
              <w:rPr>
                <w:color w:val="000000" w:themeColor="text1"/>
                <w:highlight w:val="none"/>
                <w14:textFill>
                  <w14:solidFill>
                    <w14:schemeClr w14:val="tx1"/>
                  </w14:solidFill>
                </w14:textFill>
              </w:rPr>
            </w:pPr>
          </w:p>
        </w:tc>
        <w:tc>
          <w:tcPr>
            <w:tcW w:w="1519" w:type="dxa"/>
            <w:tcBorders>
              <w:top w:val="single" w:color="000000" w:sz="6" w:space="0"/>
              <w:left w:val="single" w:color="000000" w:sz="6" w:space="0"/>
              <w:bottom w:val="single" w:color="000000" w:sz="6" w:space="0"/>
              <w:right w:val="single" w:color="000000" w:sz="6" w:space="0"/>
            </w:tcBorders>
          </w:tcPr>
          <w:p w14:paraId="232A2E7D">
            <w:pPr>
              <w:rPr>
                <w:color w:val="000000" w:themeColor="text1"/>
                <w:highlight w:val="none"/>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tcPr>
          <w:p w14:paraId="6CE88317">
            <w:pPr>
              <w:rPr>
                <w:color w:val="000000" w:themeColor="text1"/>
                <w:highlight w:val="none"/>
                <w14:textFill>
                  <w14:solidFill>
                    <w14:schemeClr w14:val="tx1"/>
                  </w14:solidFill>
                </w14:textFill>
              </w:rPr>
            </w:pPr>
          </w:p>
        </w:tc>
        <w:tc>
          <w:tcPr>
            <w:tcW w:w="1257" w:type="dxa"/>
            <w:tcBorders>
              <w:top w:val="single" w:color="000000" w:sz="6" w:space="0"/>
              <w:left w:val="single" w:color="000000" w:sz="6" w:space="0"/>
              <w:bottom w:val="single" w:color="000000" w:sz="6" w:space="0"/>
              <w:right w:val="single" w:color="000000" w:sz="6" w:space="0"/>
            </w:tcBorders>
          </w:tcPr>
          <w:p w14:paraId="3DE55DE5">
            <w:pPr>
              <w:rPr>
                <w:color w:val="000000" w:themeColor="text1"/>
                <w:highlight w:val="none"/>
                <w14:textFill>
                  <w14:solidFill>
                    <w14:schemeClr w14:val="tx1"/>
                  </w14:solidFill>
                </w14:textFill>
              </w:rPr>
            </w:pPr>
          </w:p>
        </w:tc>
        <w:tc>
          <w:tcPr>
            <w:tcW w:w="2742" w:type="dxa"/>
            <w:tcBorders>
              <w:top w:val="single" w:color="000000" w:sz="6" w:space="0"/>
              <w:left w:val="single" w:color="000000" w:sz="6" w:space="0"/>
              <w:bottom w:val="single" w:color="000000" w:sz="6" w:space="0"/>
              <w:right w:val="single" w:color="000000" w:sz="6" w:space="0"/>
            </w:tcBorders>
          </w:tcPr>
          <w:p w14:paraId="78A5D98B">
            <w:pPr>
              <w:rPr>
                <w:color w:val="000000" w:themeColor="text1"/>
                <w:highlight w:val="none"/>
                <w14:textFill>
                  <w14:solidFill>
                    <w14:schemeClr w14:val="tx1"/>
                  </w14:solidFill>
                </w14:textFill>
              </w:rPr>
            </w:pPr>
          </w:p>
        </w:tc>
      </w:tr>
      <w:tr w14:paraId="1380C9E2">
        <w:tblPrEx>
          <w:tblCellMar>
            <w:top w:w="0" w:type="dxa"/>
            <w:left w:w="0" w:type="dxa"/>
            <w:bottom w:w="0" w:type="dxa"/>
            <w:right w:w="0" w:type="dxa"/>
          </w:tblCellMar>
        </w:tblPrEx>
        <w:trPr>
          <w:trHeight w:val="780" w:hRule="exact"/>
          <w:jc w:val="center"/>
        </w:trPr>
        <w:tc>
          <w:tcPr>
            <w:tcW w:w="655" w:type="dxa"/>
            <w:tcBorders>
              <w:top w:val="single" w:color="000000" w:sz="6" w:space="0"/>
              <w:left w:val="single" w:color="000000" w:sz="6" w:space="0"/>
              <w:bottom w:val="single" w:color="000000" w:sz="6" w:space="0"/>
              <w:right w:val="single" w:color="000000" w:sz="6" w:space="0"/>
            </w:tcBorders>
          </w:tcPr>
          <w:p w14:paraId="550F0B44">
            <w:pPr>
              <w:pStyle w:val="33"/>
              <w:spacing w:before="188"/>
              <w:ind w:left="318"/>
              <w:rPr>
                <w:rFonts w:ascii="宋体" w:hAnsi="宋体" w:cs="宋体"/>
                <w:color w:val="000000" w:themeColor="text1"/>
                <w:sz w:val="24"/>
                <w:highlight w:val="none"/>
                <w14:textFill>
                  <w14:solidFill>
                    <w14:schemeClr w14:val="tx1"/>
                  </w14:solidFill>
                </w14:textFill>
              </w:rPr>
            </w:pPr>
            <w:r>
              <w:rPr>
                <w:rFonts w:ascii="宋体"/>
                <w:b/>
                <w:color w:val="000000" w:themeColor="text1"/>
                <w:w w:val="99"/>
                <w:sz w:val="24"/>
                <w:highlight w:val="none"/>
                <w14:textFill>
                  <w14:solidFill>
                    <w14:schemeClr w14:val="tx1"/>
                  </w14:solidFill>
                </w14:textFill>
              </w:rPr>
              <w:t>2</w:t>
            </w:r>
          </w:p>
        </w:tc>
        <w:tc>
          <w:tcPr>
            <w:tcW w:w="1866" w:type="dxa"/>
            <w:tcBorders>
              <w:top w:val="single" w:color="000000" w:sz="6" w:space="0"/>
              <w:left w:val="single" w:color="000000" w:sz="6" w:space="0"/>
              <w:bottom w:val="single" w:color="000000" w:sz="6" w:space="0"/>
              <w:right w:val="single" w:color="000000" w:sz="6" w:space="0"/>
            </w:tcBorders>
          </w:tcPr>
          <w:p w14:paraId="46ACBFD4">
            <w:pPr>
              <w:rPr>
                <w:color w:val="000000" w:themeColor="text1"/>
                <w:highlight w:val="none"/>
                <w14:textFill>
                  <w14:solidFill>
                    <w14:schemeClr w14:val="tx1"/>
                  </w14:solidFill>
                </w14:textFill>
              </w:rPr>
            </w:pPr>
          </w:p>
        </w:tc>
        <w:tc>
          <w:tcPr>
            <w:tcW w:w="1519" w:type="dxa"/>
            <w:tcBorders>
              <w:top w:val="single" w:color="000000" w:sz="6" w:space="0"/>
              <w:left w:val="single" w:color="000000" w:sz="6" w:space="0"/>
              <w:bottom w:val="single" w:color="000000" w:sz="6" w:space="0"/>
              <w:right w:val="single" w:color="000000" w:sz="6" w:space="0"/>
            </w:tcBorders>
          </w:tcPr>
          <w:p w14:paraId="63056EB5">
            <w:pPr>
              <w:rPr>
                <w:color w:val="000000" w:themeColor="text1"/>
                <w:highlight w:val="none"/>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tcPr>
          <w:p w14:paraId="150C3E5C">
            <w:pPr>
              <w:rPr>
                <w:color w:val="000000" w:themeColor="text1"/>
                <w:highlight w:val="none"/>
                <w14:textFill>
                  <w14:solidFill>
                    <w14:schemeClr w14:val="tx1"/>
                  </w14:solidFill>
                </w14:textFill>
              </w:rPr>
            </w:pPr>
          </w:p>
        </w:tc>
        <w:tc>
          <w:tcPr>
            <w:tcW w:w="1257" w:type="dxa"/>
            <w:tcBorders>
              <w:top w:val="single" w:color="000000" w:sz="6" w:space="0"/>
              <w:left w:val="single" w:color="000000" w:sz="6" w:space="0"/>
              <w:bottom w:val="single" w:color="000000" w:sz="6" w:space="0"/>
              <w:right w:val="single" w:color="000000" w:sz="6" w:space="0"/>
            </w:tcBorders>
          </w:tcPr>
          <w:p w14:paraId="40B47EEB">
            <w:pPr>
              <w:rPr>
                <w:color w:val="000000" w:themeColor="text1"/>
                <w:highlight w:val="none"/>
                <w14:textFill>
                  <w14:solidFill>
                    <w14:schemeClr w14:val="tx1"/>
                  </w14:solidFill>
                </w14:textFill>
              </w:rPr>
            </w:pPr>
          </w:p>
        </w:tc>
        <w:tc>
          <w:tcPr>
            <w:tcW w:w="2742" w:type="dxa"/>
            <w:tcBorders>
              <w:top w:val="single" w:color="000000" w:sz="6" w:space="0"/>
              <w:left w:val="single" w:color="000000" w:sz="6" w:space="0"/>
              <w:bottom w:val="single" w:color="000000" w:sz="6" w:space="0"/>
              <w:right w:val="single" w:color="000000" w:sz="6" w:space="0"/>
            </w:tcBorders>
          </w:tcPr>
          <w:p w14:paraId="5D177800">
            <w:pPr>
              <w:rPr>
                <w:color w:val="000000" w:themeColor="text1"/>
                <w:highlight w:val="none"/>
                <w14:textFill>
                  <w14:solidFill>
                    <w14:schemeClr w14:val="tx1"/>
                  </w14:solidFill>
                </w14:textFill>
              </w:rPr>
            </w:pPr>
          </w:p>
        </w:tc>
      </w:tr>
      <w:tr w14:paraId="33364D70">
        <w:tblPrEx>
          <w:tblCellMar>
            <w:top w:w="0" w:type="dxa"/>
            <w:left w:w="0" w:type="dxa"/>
            <w:bottom w:w="0" w:type="dxa"/>
            <w:right w:w="0" w:type="dxa"/>
          </w:tblCellMar>
        </w:tblPrEx>
        <w:trPr>
          <w:trHeight w:val="780" w:hRule="exact"/>
          <w:jc w:val="center"/>
        </w:trPr>
        <w:tc>
          <w:tcPr>
            <w:tcW w:w="655" w:type="dxa"/>
            <w:tcBorders>
              <w:top w:val="single" w:color="000000" w:sz="6" w:space="0"/>
              <w:left w:val="single" w:color="000000" w:sz="6" w:space="0"/>
              <w:bottom w:val="single" w:color="000000" w:sz="6" w:space="0"/>
              <w:right w:val="single" w:color="000000" w:sz="6" w:space="0"/>
            </w:tcBorders>
          </w:tcPr>
          <w:p w14:paraId="401450ED">
            <w:pPr>
              <w:pStyle w:val="33"/>
              <w:spacing w:before="188"/>
              <w:ind w:left="318"/>
              <w:rPr>
                <w:rFonts w:ascii="宋体" w:hAnsi="宋体" w:cs="宋体"/>
                <w:color w:val="000000" w:themeColor="text1"/>
                <w:sz w:val="24"/>
                <w:highlight w:val="none"/>
                <w14:textFill>
                  <w14:solidFill>
                    <w14:schemeClr w14:val="tx1"/>
                  </w14:solidFill>
                </w14:textFill>
              </w:rPr>
            </w:pPr>
            <w:r>
              <w:rPr>
                <w:rFonts w:ascii="宋体"/>
                <w:b/>
                <w:color w:val="000000" w:themeColor="text1"/>
                <w:w w:val="99"/>
                <w:sz w:val="24"/>
                <w:highlight w:val="none"/>
                <w14:textFill>
                  <w14:solidFill>
                    <w14:schemeClr w14:val="tx1"/>
                  </w14:solidFill>
                </w14:textFill>
              </w:rPr>
              <w:t>3</w:t>
            </w:r>
          </w:p>
        </w:tc>
        <w:tc>
          <w:tcPr>
            <w:tcW w:w="1866" w:type="dxa"/>
            <w:tcBorders>
              <w:top w:val="single" w:color="000000" w:sz="6" w:space="0"/>
              <w:left w:val="single" w:color="000000" w:sz="6" w:space="0"/>
              <w:bottom w:val="single" w:color="000000" w:sz="6" w:space="0"/>
              <w:right w:val="single" w:color="000000" w:sz="6" w:space="0"/>
            </w:tcBorders>
          </w:tcPr>
          <w:p w14:paraId="2CFB8906">
            <w:pPr>
              <w:rPr>
                <w:color w:val="000000" w:themeColor="text1"/>
                <w:highlight w:val="none"/>
                <w14:textFill>
                  <w14:solidFill>
                    <w14:schemeClr w14:val="tx1"/>
                  </w14:solidFill>
                </w14:textFill>
              </w:rPr>
            </w:pPr>
          </w:p>
        </w:tc>
        <w:tc>
          <w:tcPr>
            <w:tcW w:w="1519" w:type="dxa"/>
            <w:tcBorders>
              <w:top w:val="single" w:color="000000" w:sz="6" w:space="0"/>
              <w:left w:val="single" w:color="000000" w:sz="6" w:space="0"/>
              <w:bottom w:val="single" w:color="000000" w:sz="6" w:space="0"/>
              <w:right w:val="single" w:color="000000" w:sz="6" w:space="0"/>
            </w:tcBorders>
          </w:tcPr>
          <w:p w14:paraId="17E0357B">
            <w:pPr>
              <w:rPr>
                <w:color w:val="000000" w:themeColor="text1"/>
                <w:highlight w:val="none"/>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tcPr>
          <w:p w14:paraId="346FAD47">
            <w:pPr>
              <w:rPr>
                <w:color w:val="000000" w:themeColor="text1"/>
                <w:highlight w:val="none"/>
                <w14:textFill>
                  <w14:solidFill>
                    <w14:schemeClr w14:val="tx1"/>
                  </w14:solidFill>
                </w14:textFill>
              </w:rPr>
            </w:pPr>
          </w:p>
        </w:tc>
        <w:tc>
          <w:tcPr>
            <w:tcW w:w="1257" w:type="dxa"/>
            <w:tcBorders>
              <w:top w:val="single" w:color="000000" w:sz="6" w:space="0"/>
              <w:left w:val="single" w:color="000000" w:sz="6" w:space="0"/>
              <w:bottom w:val="single" w:color="000000" w:sz="6" w:space="0"/>
              <w:right w:val="single" w:color="000000" w:sz="6" w:space="0"/>
            </w:tcBorders>
          </w:tcPr>
          <w:p w14:paraId="36EC7FF1">
            <w:pPr>
              <w:rPr>
                <w:color w:val="000000" w:themeColor="text1"/>
                <w:highlight w:val="none"/>
                <w14:textFill>
                  <w14:solidFill>
                    <w14:schemeClr w14:val="tx1"/>
                  </w14:solidFill>
                </w14:textFill>
              </w:rPr>
            </w:pPr>
          </w:p>
        </w:tc>
        <w:tc>
          <w:tcPr>
            <w:tcW w:w="2742" w:type="dxa"/>
            <w:tcBorders>
              <w:top w:val="single" w:color="000000" w:sz="6" w:space="0"/>
              <w:left w:val="single" w:color="000000" w:sz="6" w:space="0"/>
              <w:bottom w:val="single" w:color="000000" w:sz="6" w:space="0"/>
              <w:right w:val="single" w:color="000000" w:sz="6" w:space="0"/>
            </w:tcBorders>
          </w:tcPr>
          <w:p w14:paraId="76F5ACD5">
            <w:pPr>
              <w:rPr>
                <w:color w:val="000000" w:themeColor="text1"/>
                <w:highlight w:val="none"/>
                <w14:textFill>
                  <w14:solidFill>
                    <w14:schemeClr w14:val="tx1"/>
                  </w14:solidFill>
                </w14:textFill>
              </w:rPr>
            </w:pPr>
          </w:p>
        </w:tc>
      </w:tr>
      <w:tr w14:paraId="4921E0B0">
        <w:tblPrEx>
          <w:tblCellMar>
            <w:top w:w="0" w:type="dxa"/>
            <w:left w:w="0" w:type="dxa"/>
            <w:bottom w:w="0" w:type="dxa"/>
            <w:right w:w="0" w:type="dxa"/>
          </w:tblCellMar>
        </w:tblPrEx>
        <w:trPr>
          <w:trHeight w:val="780" w:hRule="exact"/>
          <w:jc w:val="center"/>
        </w:trPr>
        <w:tc>
          <w:tcPr>
            <w:tcW w:w="655" w:type="dxa"/>
            <w:tcBorders>
              <w:top w:val="single" w:color="000000" w:sz="6" w:space="0"/>
              <w:left w:val="single" w:color="000000" w:sz="6" w:space="0"/>
              <w:bottom w:val="single" w:color="000000" w:sz="6" w:space="0"/>
              <w:right w:val="single" w:color="000000" w:sz="6" w:space="0"/>
            </w:tcBorders>
          </w:tcPr>
          <w:p w14:paraId="18DD4539">
            <w:pPr>
              <w:pStyle w:val="33"/>
              <w:spacing w:before="188"/>
              <w:ind w:left="318"/>
              <w:rPr>
                <w:rFonts w:ascii="宋体" w:hAnsi="宋体" w:cs="宋体"/>
                <w:color w:val="000000" w:themeColor="text1"/>
                <w:sz w:val="24"/>
                <w:highlight w:val="none"/>
                <w14:textFill>
                  <w14:solidFill>
                    <w14:schemeClr w14:val="tx1"/>
                  </w14:solidFill>
                </w14:textFill>
              </w:rPr>
            </w:pPr>
            <w:r>
              <w:rPr>
                <w:rFonts w:ascii="宋体"/>
                <w:b/>
                <w:color w:val="000000" w:themeColor="text1"/>
                <w:w w:val="99"/>
                <w:sz w:val="24"/>
                <w:highlight w:val="none"/>
                <w14:textFill>
                  <w14:solidFill>
                    <w14:schemeClr w14:val="tx1"/>
                  </w14:solidFill>
                </w14:textFill>
              </w:rPr>
              <w:t>4</w:t>
            </w:r>
          </w:p>
        </w:tc>
        <w:tc>
          <w:tcPr>
            <w:tcW w:w="1866" w:type="dxa"/>
            <w:tcBorders>
              <w:top w:val="single" w:color="000000" w:sz="6" w:space="0"/>
              <w:left w:val="single" w:color="000000" w:sz="6" w:space="0"/>
              <w:bottom w:val="single" w:color="000000" w:sz="6" w:space="0"/>
              <w:right w:val="single" w:color="000000" w:sz="6" w:space="0"/>
            </w:tcBorders>
          </w:tcPr>
          <w:p w14:paraId="2C4B8C93">
            <w:pPr>
              <w:rPr>
                <w:color w:val="000000" w:themeColor="text1"/>
                <w:highlight w:val="none"/>
                <w14:textFill>
                  <w14:solidFill>
                    <w14:schemeClr w14:val="tx1"/>
                  </w14:solidFill>
                </w14:textFill>
              </w:rPr>
            </w:pPr>
          </w:p>
        </w:tc>
        <w:tc>
          <w:tcPr>
            <w:tcW w:w="1519" w:type="dxa"/>
            <w:tcBorders>
              <w:top w:val="single" w:color="000000" w:sz="6" w:space="0"/>
              <w:left w:val="single" w:color="000000" w:sz="6" w:space="0"/>
              <w:bottom w:val="single" w:color="000000" w:sz="6" w:space="0"/>
              <w:right w:val="single" w:color="000000" w:sz="6" w:space="0"/>
            </w:tcBorders>
          </w:tcPr>
          <w:p w14:paraId="0E4D262C">
            <w:pPr>
              <w:rPr>
                <w:color w:val="000000" w:themeColor="text1"/>
                <w:highlight w:val="none"/>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tcPr>
          <w:p w14:paraId="4EE96AFF">
            <w:pPr>
              <w:rPr>
                <w:color w:val="000000" w:themeColor="text1"/>
                <w:highlight w:val="none"/>
                <w14:textFill>
                  <w14:solidFill>
                    <w14:schemeClr w14:val="tx1"/>
                  </w14:solidFill>
                </w14:textFill>
              </w:rPr>
            </w:pPr>
          </w:p>
        </w:tc>
        <w:tc>
          <w:tcPr>
            <w:tcW w:w="1257" w:type="dxa"/>
            <w:tcBorders>
              <w:top w:val="single" w:color="000000" w:sz="6" w:space="0"/>
              <w:left w:val="single" w:color="000000" w:sz="6" w:space="0"/>
              <w:bottom w:val="single" w:color="000000" w:sz="6" w:space="0"/>
              <w:right w:val="single" w:color="000000" w:sz="6" w:space="0"/>
            </w:tcBorders>
          </w:tcPr>
          <w:p w14:paraId="1B20FFE7">
            <w:pPr>
              <w:rPr>
                <w:color w:val="000000" w:themeColor="text1"/>
                <w:highlight w:val="none"/>
                <w14:textFill>
                  <w14:solidFill>
                    <w14:schemeClr w14:val="tx1"/>
                  </w14:solidFill>
                </w14:textFill>
              </w:rPr>
            </w:pPr>
          </w:p>
        </w:tc>
        <w:tc>
          <w:tcPr>
            <w:tcW w:w="2742" w:type="dxa"/>
            <w:tcBorders>
              <w:top w:val="single" w:color="000000" w:sz="6" w:space="0"/>
              <w:left w:val="single" w:color="000000" w:sz="6" w:space="0"/>
              <w:bottom w:val="single" w:color="000000" w:sz="6" w:space="0"/>
              <w:right w:val="single" w:color="000000" w:sz="6" w:space="0"/>
            </w:tcBorders>
          </w:tcPr>
          <w:p w14:paraId="46F82B3B">
            <w:pPr>
              <w:rPr>
                <w:color w:val="000000" w:themeColor="text1"/>
                <w:highlight w:val="none"/>
                <w14:textFill>
                  <w14:solidFill>
                    <w14:schemeClr w14:val="tx1"/>
                  </w14:solidFill>
                </w14:textFill>
              </w:rPr>
            </w:pPr>
          </w:p>
        </w:tc>
      </w:tr>
      <w:tr w14:paraId="3103C1E3">
        <w:tblPrEx>
          <w:tblCellMar>
            <w:top w:w="0" w:type="dxa"/>
            <w:left w:w="0" w:type="dxa"/>
            <w:bottom w:w="0" w:type="dxa"/>
            <w:right w:w="0" w:type="dxa"/>
          </w:tblCellMar>
        </w:tblPrEx>
        <w:trPr>
          <w:trHeight w:val="780" w:hRule="exact"/>
          <w:jc w:val="center"/>
        </w:trPr>
        <w:tc>
          <w:tcPr>
            <w:tcW w:w="655" w:type="dxa"/>
            <w:tcBorders>
              <w:top w:val="single" w:color="000000" w:sz="6" w:space="0"/>
              <w:left w:val="single" w:color="000000" w:sz="6" w:space="0"/>
              <w:bottom w:val="single" w:color="000000" w:sz="6" w:space="0"/>
              <w:right w:val="single" w:color="000000" w:sz="6" w:space="0"/>
            </w:tcBorders>
          </w:tcPr>
          <w:p w14:paraId="444A1FA0">
            <w:pPr>
              <w:pStyle w:val="33"/>
              <w:spacing w:before="188"/>
              <w:ind w:left="318"/>
              <w:rPr>
                <w:rFonts w:ascii="宋体" w:hAnsi="宋体" w:cs="宋体"/>
                <w:color w:val="000000" w:themeColor="text1"/>
                <w:sz w:val="24"/>
                <w:highlight w:val="none"/>
                <w14:textFill>
                  <w14:solidFill>
                    <w14:schemeClr w14:val="tx1"/>
                  </w14:solidFill>
                </w14:textFill>
              </w:rPr>
            </w:pPr>
            <w:r>
              <w:rPr>
                <w:rFonts w:ascii="宋体"/>
                <w:b/>
                <w:color w:val="000000" w:themeColor="text1"/>
                <w:w w:val="99"/>
                <w:sz w:val="24"/>
                <w:highlight w:val="none"/>
                <w14:textFill>
                  <w14:solidFill>
                    <w14:schemeClr w14:val="tx1"/>
                  </w14:solidFill>
                </w14:textFill>
              </w:rPr>
              <w:t>5</w:t>
            </w:r>
          </w:p>
        </w:tc>
        <w:tc>
          <w:tcPr>
            <w:tcW w:w="1866" w:type="dxa"/>
            <w:tcBorders>
              <w:top w:val="single" w:color="000000" w:sz="6" w:space="0"/>
              <w:left w:val="single" w:color="000000" w:sz="6" w:space="0"/>
              <w:bottom w:val="single" w:color="000000" w:sz="6" w:space="0"/>
              <w:right w:val="single" w:color="000000" w:sz="6" w:space="0"/>
            </w:tcBorders>
          </w:tcPr>
          <w:p w14:paraId="42C00E99">
            <w:pPr>
              <w:rPr>
                <w:color w:val="000000" w:themeColor="text1"/>
                <w:highlight w:val="none"/>
                <w14:textFill>
                  <w14:solidFill>
                    <w14:schemeClr w14:val="tx1"/>
                  </w14:solidFill>
                </w14:textFill>
              </w:rPr>
            </w:pPr>
          </w:p>
        </w:tc>
        <w:tc>
          <w:tcPr>
            <w:tcW w:w="1519" w:type="dxa"/>
            <w:tcBorders>
              <w:top w:val="single" w:color="000000" w:sz="6" w:space="0"/>
              <w:left w:val="single" w:color="000000" w:sz="6" w:space="0"/>
              <w:bottom w:val="single" w:color="000000" w:sz="6" w:space="0"/>
              <w:right w:val="single" w:color="000000" w:sz="6" w:space="0"/>
            </w:tcBorders>
          </w:tcPr>
          <w:p w14:paraId="3D927C12">
            <w:pPr>
              <w:rPr>
                <w:color w:val="000000" w:themeColor="text1"/>
                <w:highlight w:val="none"/>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tcPr>
          <w:p w14:paraId="1D31E195">
            <w:pPr>
              <w:rPr>
                <w:color w:val="000000" w:themeColor="text1"/>
                <w:highlight w:val="none"/>
                <w14:textFill>
                  <w14:solidFill>
                    <w14:schemeClr w14:val="tx1"/>
                  </w14:solidFill>
                </w14:textFill>
              </w:rPr>
            </w:pPr>
          </w:p>
        </w:tc>
        <w:tc>
          <w:tcPr>
            <w:tcW w:w="1257" w:type="dxa"/>
            <w:tcBorders>
              <w:top w:val="single" w:color="000000" w:sz="6" w:space="0"/>
              <w:left w:val="single" w:color="000000" w:sz="6" w:space="0"/>
              <w:bottom w:val="single" w:color="000000" w:sz="6" w:space="0"/>
              <w:right w:val="single" w:color="000000" w:sz="6" w:space="0"/>
            </w:tcBorders>
          </w:tcPr>
          <w:p w14:paraId="79C4D74F">
            <w:pPr>
              <w:rPr>
                <w:color w:val="000000" w:themeColor="text1"/>
                <w:highlight w:val="none"/>
                <w14:textFill>
                  <w14:solidFill>
                    <w14:schemeClr w14:val="tx1"/>
                  </w14:solidFill>
                </w14:textFill>
              </w:rPr>
            </w:pPr>
          </w:p>
        </w:tc>
        <w:tc>
          <w:tcPr>
            <w:tcW w:w="2742" w:type="dxa"/>
            <w:tcBorders>
              <w:top w:val="single" w:color="000000" w:sz="6" w:space="0"/>
              <w:left w:val="single" w:color="000000" w:sz="6" w:space="0"/>
              <w:bottom w:val="single" w:color="000000" w:sz="6" w:space="0"/>
              <w:right w:val="single" w:color="000000" w:sz="6" w:space="0"/>
            </w:tcBorders>
          </w:tcPr>
          <w:p w14:paraId="1DD2C441">
            <w:pPr>
              <w:rPr>
                <w:color w:val="000000" w:themeColor="text1"/>
                <w:highlight w:val="none"/>
                <w14:textFill>
                  <w14:solidFill>
                    <w14:schemeClr w14:val="tx1"/>
                  </w14:solidFill>
                </w14:textFill>
              </w:rPr>
            </w:pPr>
          </w:p>
        </w:tc>
      </w:tr>
      <w:tr w14:paraId="09CDDF86">
        <w:tblPrEx>
          <w:tblCellMar>
            <w:top w:w="0" w:type="dxa"/>
            <w:left w:w="0" w:type="dxa"/>
            <w:bottom w:w="0" w:type="dxa"/>
            <w:right w:w="0" w:type="dxa"/>
          </w:tblCellMar>
        </w:tblPrEx>
        <w:trPr>
          <w:trHeight w:val="780" w:hRule="exact"/>
          <w:jc w:val="center"/>
        </w:trPr>
        <w:tc>
          <w:tcPr>
            <w:tcW w:w="655" w:type="dxa"/>
            <w:tcBorders>
              <w:top w:val="single" w:color="000000" w:sz="6" w:space="0"/>
              <w:left w:val="single" w:color="000000" w:sz="6" w:space="0"/>
              <w:bottom w:val="single" w:color="000000" w:sz="6" w:space="0"/>
              <w:right w:val="single" w:color="000000" w:sz="6" w:space="0"/>
            </w:tcBorders>
          </w:tcPr>
          <w:p w14:paraId="5FF0D36E">
            <w:pPr>
              <w:pStyle w:val="33"/>
              <w:spacing w:before="188"/>
              <w:ind w:left="198"/>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w w:val="99"/>
                <w:sz w:val="24"/>
                <w:highlight w:val="none"/>
                <w14:textFill>
                  <w14:solidFill>
                    <w14:schemeClr w14:val="tx1"/>
                  </w14:solidFill>
                </w14:textFill>
              </w:rPr>
              <w:t>…</w:t>
            </w:r>
          </w:p>
        </w:tc>
        <w:tc>
          <w:tcPr>
            <w:tcW w:w="1866" w:type="dxa"/>
            <w:tcBorders>
              <w:top w:val="single" w:color="000000" w:sz="6" w:space="0"/>
              <w:left w:val="single" w:color="000000" w:sz="6" w:space="0"/>
              <w:bottom w:val="single" w:color="000000" w:sz="6" w:space="0"/>
              <w:right w:val="single" w:color="000000" w:sz="6" w:space="0"/>
            </w:tcBorders>
          </w:tcPr>
          <w:p w14:paraId="6A385182">
            <w:pPr>
              <w:rPr>
                <w:color w:val="000000" w:themeColor="text1"/>
                <w:highlight w:val="none"/>
                <w14:textFill>
                  <w14:solidFill>
                    <w14:schemeClr w14:val="tx1"/>
                  </w14:solidFill>
                </w14:textFill>
              </w:rPr>
            </w:pPr>
          </w:p>
        </w:tc>
        <w:tc>
          <w:tcPr>
            <w:tcW w:w="1519" w:type="dxa"/>
            <w:tcBorders>
              <w:top w:val="single" w:color="000000" w:sz="6" w:space="0"/>
              <w:left w:val="single" w:color="000000" w:sz="6" w:space="0"/>
              <w:bottom w:val="single" w:color="000000" w:sz="6" w:space="0"/>
              <w:right w:val="single" w:color="000000" w:sz="6" w:space="0"/>
            </w:tcBorders>
          </w:tcPr>
          <w:p w14:paraId="33005E5B">
            <w:pPr>
              <w:rPr>
                <w:color w:val="000000" w:themeColor="text1"/>
                <w:highlight w:val="none"/>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tcPr>
          <w:p w14:paraId="6634F0DE">
            <w:pPr>
              <w:rPr>
                <w:color w:val="000000" w:themeColor="text1"/>
                <w:highlight w:val="none"/>
                <w14:textFill>
                  <w14:solidFill>
                    <w14:schemeClr w14:val="tx1"/>
                  </w14:solidFill>
                </w14:textFill>
              </w:rPr>
            </w:pPr>
          </w:p>
        </w:tc>
        <w:tc>
          <w:tcPr>
            <w:tcW w:w="1257" w:type="dxa"/>
            <w:tcBorders>
              <w:top w:val="single" w:color="000000" w:sz="6" w:space="0"/>
              <w:left w:val="single" w:color="000000" w:sz="6" w:space="0"/>
              <w:bottom w:val="single" w:color="000000" w:sz="6" w:space="0"/>
              <w:right w:val="single" w:color="000000" w:sz="6" w:space="0"/>
            </w:tcBorders>
          </w:tcPr>
          <w:p w14:paraId="0AD95C87">
            <w:pPr>
              <w:rPr>
                <w:color w:val="000000" w:themeColor="text1"/>
                <w:highlight w:val="none"/>
                <w14:textFill>
                  <w14:solidFill>
                    <w14:schemeClr w14:val="tx1"/>
                  </w14:solidFill>
                </w14:textFill>
              </w:rPr>
            </w:pPr>
          </w:p>
        </w:tc>
        <w:tc>
          <w:tcPr>
            <w:tcW w:w="2742" w:type="dxa"/>
            <w:tcBorders>
              <w:top w:val="single" w:color="000000" w:sz="6" w:space="0"/>
              <w:left w:val="single" w:color="000000" w:sz="6" w:space="0"/>
              <w:bottom w:val="single" w:color="000000" w:sz="6" w:space="0"/>
              <w:right w:val="single" w:color="000000" w:sz="6" w:space="0"/>
            </w:tcBorders>
          </w:tcPr>
          <w:p w14:paraId="09B824B4">
            <w:pPr>
              <w:rPr>
                <w:color w:val="000000" w:themeColor="text1"/>
                <w:highlight w:val="none"/>
                <w14:textFill>
                  <w14:solidFill>
                    <w14:schemeClr w14:val="tx1"/>
                  </w14:solidFill>
                </w14:textFill>
              </w:rPr>
            </w:pPr>
          </w:p>
        </w:tc>
      </w:tr>
      <w:tr w14:paraId="5A5A7ACE">
        <w:tblPrEx>
          <w:tblCellMar>
            <w:top w:w="0" w:type="dxa"/>
            <w:left w:w="0" w:type="dxa"/>
            <w:bottom w:w="0" w:type="dxa"/>
            <w:right w:w="0" w:type="dxa"/>
          </w:tblCellMar>
        </w:tblPrEx>
        <w:trPr>
          <w:trHeight w:val="780" w:hRule="exact"/>
          <w:jc w:val="center"/>
        </w:trPr>
        <w:tc>
          <w:tcPr>
            <w:tcW w:w="655" w:type="dxa"/>
            <w:tcBorders>
              <w:top w:val="single" w:color="000000" w:sz="6" w:space="0"/>
              <w:left w:val="single" w:color="000000" w:sz="6" w:space="0"/>
              <w:bottom w:val="single" w:color="000000" w:sz="6" w:space="0"/>
              <w:right w:val="single" w:color="000000" w:sz="6" w:space="0"/>
            </w:tcBorders>
          </w:tcPr>
          <w:p w14:paraId="09B4AF55">
            <w:pPr>
              <w:rPr>
                <w:color w:val="000000" w:themeColor="text1"/>
                <w:highlight w:val="none"/>
                <w14:textFill>
                  <w14:solidFill>
                    <w14:schemeClr w14:val="tx1"/>
                  </w14:solidFill>
                </w14:textFill>
              </w:rPr>
            </w:pPr>
          </w:p>
        </w:tc>
        <w:tc>
          <w:tcPr>
            <w:tcW w:w="1866" w:type="dxa"/>
            <w:tcBorders>
              <w:top w:val="single" w:color="000000" w:sz="6" w:space="0"/>
              <w:left w:val="single" w:color="000000" w:sz="6" w:space="0"/>
              <w:bottom w:val="single" w:color="000000" w:sz="6" w:space="0"/>
              <w:right w:val="single" w:color="000000" w:sz="6" w:space="0"/>
            </w:tcBorders>
          </w:tcPr>
          <w:p w14:paraId="4E059E3A">
            <w:pPr>
              <w:rPr>
                <w:color w:val="000000" w:themeColor="text1"/>
                <w:highlight w:val="none"/>
                <w14:textFill>
                  <w14:solidFill>
                    <w14:schemeClr w14:val="tx1"/>
                  </w14:solidFill>
                </w14:textFill>
              </w:rPr>
            </w:pPr>
          </w:p>
        </w:tc>
        <w:tc>
          <w:tcPr>
            <w:tcW w:w="1519" w:type="dxa"/>
            <w:tcBorders>
              <w:top w:val="single" w:color="000000" w:sz="6" w:space="0"/>
              <w:left w:val="single" w:color="000000" w:sz="6" w:space="0"/>
              <w:bottom w:val="single" w:color="000000" w:sz="6" w:space="0"/>
              <w:right w:val="single" w:color="000000" w:sz="6" w:space="0"/>
            </w:tcBorders>
          </w:tcPr>
          <w:p w14:paraId="49598529">
            <w:pPr>
              <w:rPr>
                <w:color w:val="000000" w:themeColor="text1"/>
                <w:highlight w:val="none"/>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tcPr>
          <w:p w14:paraId="378FFDE8">
            <w:pPr>
              <w:rPr>
                <w:color w:val="000000" w:themeColor="text1"/>
                <w:highlight w:val="none"/>
                <w14:textFill>
                  <w14:solidFill>
                    <w14:schemeClr w14:val="tx1"/>
                  </w14:solidFill>
                </w14:textFill>
              </w:rPr>
            </w:pPr>
          </w:p>
        </w:tc>
        <w:tc>
          <w:tcPr>
            <w:tcW w:w="1257" w:type="dxa"/>
            <w:tcBorders>
              <w:top w:val="single" w:color="000000" w:sz="6" w:space="0"/>
              <w:left w:val="single" w:color="000000" w:sz="6" w:space="0"/>
              <w:bottom w:val="single" w:color="000000" w:sz="6" w:space="0"/>
              <w:right w:val="single" w:color="000000" w:sz="6" w:space="0"/>
            </w:tcBorders>
          </w:tcPr>
          <w:p w14:paraId="3C9E0A47">
            <w:pPr>
              <w:rPr>
                <w:color w:val="000000" w:themeColor="text1"/>
                <w:highlight w:val="none"/>
                <w14:textFill>
                  <w14:solidFill>
                    <w14:schemeClr w14:val="tx1"/>
                  </w14:solidFill>
                </w14:textFill>
              </w:rPr>
            </w:pPr>
          </w:p>
        </w:tc>
        <w:tc>
          <w:tcPr>
            <w:tcW w:w="2742" w:type="dxa"/>
            <w:tcBorders>
              <w:top w:val="single" w:color="000000" w:sz="6" w:space="0"/>
              <w:left w:val="single" w:color="000000" w:sz="6" w:space="0"/>
              <w:bottom w:val="single" w:color="000000" w:sz="6" w:space="0"/>
              <w:right w:val="single" w:color="000000" w:sz="6" w:space="0"/>
            </w:tcBorders>
          </w:tcPr>
          <w:p w14:paraId="4C9640D6">
            <w:pPr>
              <w:rPr>
                <w:color w:val="000000" w:themeColor="text1"/>
                <w:highlight w:val="none"/>
                <w14:textFill>
                  <w14:solidFill>
                    <w14:schemeClr w14:val="tx1"/>
                  </w14:solidFill>
                </w14:textFill>
              </w:rPr>
            </w:pPr>
          </w:p>
        </w:tc>
      </w:tr>
      <w:tr w14:paraId="19DFB366">
        <w:tblPrEx>
          <w:tblCellMar>
            <w:top w:w="0" w:type="dxa"/>
            <w:left w:w="0" w:type="dxa"/>
            <w:bottom w:w="0" w:type="dxa"/>
            <w:right w:w="0" w:type="dxa"/>
          </w:tblCellMar>
        </w:tblPrEx>
        <w:trPr>
          <w:trHeight w:val="795" w:hRule="exact"/>
          <w:jc w:val="center"/>
        </w:trPr>
        <w:tc>
          <w:tcPr>
            <w:tcW w:w="655" w:type="dxa"/>
            <w:tcBorders>
              <w:top w:val="single" w:color="000000" w:sz="6" w:space="0"/>
              <w:left w:val="single" w:color="000000" w:sz="6" w:space="0"/>
              <w:bottom w:val="single" w:color="000000" w:sz="6" w:space="0"/>
              <w:right w:val="single" w:color="000000" w:sz="6" w:space="0"/>
            </w:tcBorders>
          </w:tcPr>
          <w:p w14:paraId="6FB8CD50">
            <w:pPr>
              <w:rPr>
                <w:color w:val="000000" w:themeColor="text1"/>
                <w:highlight w:val="none"/>
                <w14:textFill>
                  <w14:solidFill>
                    <w14:schemeClr w14:val="tx1"/>
                  </w14:solidFill>
                </w14:textFill>
              </w:rPr>
            </w:pPr>
          </w:p>
        </w:tc>
        <w:tc>
          <w:tcPr>
            <w:tcW w:w="1866" w:type="dxa"/>
            <w:tcBorders>
              <w:top w:val="single" w:color="000000" w:sz="6" w:space="0"/>
              <w:left w:val="single" w:color="000000" w:sz="6" w:space="0"/>
              <w:bottom w:val="single" w:color="000000" w:sz="6" w:space="0"/>
              <w:right w:val="single" w:color="000000" w:sz="6" w:space="0"/>
            </w:tcBorders>
          </w:tcPr>
          <w:p w14:paraId="306DB790">
            <w:pPr>
              <w:rPr>
                <w:color w:val="000000" w:themeColor="text1"/>
                <w:highlight w:val="none"/>
                <w14:textFill>
                  <w14:solidFill>
                    <w14:schemeClr w14:val="tx1"/>
                  </w14:solidFill>
                </w14:textFill>
              </w:rPr>
            </w:pPr>
          </w:p>
        </w:tc>
        <w:tc>
          <w:tcPr>
            <w:tcW w:w="1519" w:type="dxa"/>
            <w:tcBorders>
              <w:top w:val="single" w:color="000000" w:sz="6" w:space="0"/>
              <w:left w:val="single" w:color="000000" w:sz="6" w:space="0"/>
              <w:bottom w:val="single" w:color="000000" w:sz="6" w:space="0"/>
              <w:right w:val="single" w:color="000000" w:sz="6" w:space="0"/>
            </w:tcBorders>
          </w:tcPr>
          <w:p w14:paraId="27B4D192">
            <w:pPr>
              <w:rPr>
                <w:color w:val="000000" w:themeColor="text1"/>
                <w:highlight w:val="none"/>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tcPr>
          <w:p w14:paraId="7C1D6E2E">
            <w:pPr>
              <w:rPr>
                <w:color w:val="000000" w:themeColor="text1"/>
                <w:highlight w:val="none"/>
                <w14:textFill>
                  <w14:solidFill>
                    <w14:schemeClr w14:val="tx1"/>
                  </w14:solidFill>
                </w14:textFill>
              </w:rPr>
            </w:pPr>
          </w:p>
        </w:tc>
        <w:tc>
          <w:tcPr>
            <w:tcW w:w="1257" w:type="dxa"/>
            <w:tcBorders>
              <w:top w:val="single" w:color="000000" w:sz="6" w:space="0"/>
              <w:left w:val="single" w:color="000000" w:sz="6" w:space="0"/>
              <w:bottom w:val="single" w:color="000000" w:sz="6" w:space="0"/>
              <w:right w:val="single" w:color="000000" w:sz="6" w:space="0"/>
            </w:tcBorders>
          </w:tcPr>
          <w:p w14:paraId="6F2034E3">
            <w:pPr>
              <w:rPr>
                <w:color w:val="000000" w:themeColor="text1"/>
                <w:highlight w:val="none"/>
                <w14:textFill>
                  <w14:solidFill>
                    <w14:schemeClr w14:val="tx1"/>
                  </w14:solidFill>
                </w14:textFill>
              </w:rPr>
            </w:pPr>
          </w:p>
        </w:tc>
        <w:tc>
          <w:tcPr>
            <w:tcW w:w="2742" w:type="dxa"/>
            <w:tcBorders>
              <w:top w:val="single" w:color="000000" w:sz="6" w:space="0"/>
              <w:left w:val="single" w:color="000000" w:sz="6" w:space="0"/>
              <w:bottom w:val="single" w:color="000000" w:sz="6" w:space="0"/>
              <w:right w:val="single" w:color="000000" w:sz="6" w:space="0"/>
            </w:tcBorders>
          </w:tcPr>
          <w:p w14:paraId="1CE411C9">
            <w:pPr>
              <w:rPr>
                <w:color w:val="000000" w:themeColor="text1"/>
                <w:highlight w:val="none"/>
                <w14:textFill>
                  <w14:solidFill>
                    <w14:schemeClr w14:val="tx1"/>
                  </w14:solidFill>
                </w14:textFill>
              </w:rPr>
            </w:pPr>
          </w:p>
        </w:tc>
      </w:tr>
    </w:tbl>
    <w:p w14:paraId="2AC62D02">
      <w:pPr>
        <w:pStyle w:val="8"/>
        <w:spacing w:line="460" w:lineRule="exact"/>
        <w:ind w:left="629" w:hanging="48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1A4E1427">
      <w:pPr>
        <w:pStyle w:val="8"/>
        <w:spacing w:before="26" w:line="307" w:lineRule="auto"/>
        <w:ind w:right="117" w:firstLine="480"/>
        <w:rPr>
          <w:color w:val="000000" w:themeColor="text1"/>
          <w:spacing w:val="-3"/>
          <w:highlight w:val="none"/>
          <w14:textFill>
            <w14:solidFill>
              <w14:schemeClr w14:val="tx1"/>
            </w14:solidFill>
          </w14:textFill>
        </w:rPr>
      </w:pPr>
      <w:r>
        <w:rPr>
          <w:color w:val="000000" w:themeColor="text1"/>
          <w:spacing w:val="-3"/>
          <w:highlight w:val="none"/>
          <w14:textFill>
            <w14:solidFill>
              <w14:schemeClr w14:val="tx1"/>
            </w14:solidFill>
          </w14:textFill>
        </w:rPr>
        <w:t>1、</w:t>
      </w:r>
      <w:r>
        <w:rPr>
          <w:rFonts w:hint="eastAsia"/>
          <w:color w:val="000000" w:themeColor="text1"/>
          <w:spacing w:val="-3"/>
          <w:highlight w:val="none"/>
          <w14:textFill>
            <w14:solidFill>
              <w14:schemeClr w14:val="tx1"/>
            </w14:solidFill>
          </w14:textFill>
        </w:rPr>
        <w:t>供应商</w:t>
      </w:r>
      <w:r>
        <w:rPr>
          <w:color w:val="000000" w:themeColor="text1"/>
          <w:spacing w:val="-3"/>
          <w:highlight w:val="none"/>
          <w14:textFill>
            <w14:solidFill>
              <w14:schemeClr w14:val="tx1"/>
            </w14:solidFill>
          </w14:textFill>
        </w:rPr>
        <w:t xml:space="preserve">应如实列出以上情况，如有隐瞒，一经查实将导致其报价申请被拒绝。 </w:t>
      </w:r>
    </w:p>
    <w:p w14:paraId="14B40AC5">
      <w:pPr>
        <w:pStyle w:val="8"/>
        <w:spacing w:before="26" w:line="307" w:lineRule="auto"/>
        <w:ind w:right="117" w:firstLine="480"/>
        <w:rPr>
          <w:rFonts w:ascii="宋体" w:hAnsi="宋体" w:cs="宋体"/>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2、</w:t>
      </w:r>
      <w:r>
        <w:rPr>
          <w:rFonts w:hint="eastAsia"/>
          <w:color w:val="000000" w:themeColor="text1"/>
          <w:spacing w:val="-3"/>
          <w:highlight w:val="none"/>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提供20</w:t>
      </w:r>
      <w:r>
        <w:rPr>
          <w:rFonts w:hint="eastAsia" w:ascii="宋体" w:hAnsi="宋体" w:cs="宋体"/>
          <w:color w:val="000000" w:themeColor="text1"/>
          <w:highlight w:val="none"/>
          <w:lang w:val="en-US" w:eastAsia="zh-CN"/>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月至今类似业绩合同（以合同签订时间为准</w:t>
      </w:r>
      <w:r>
        <w:rPr>
          <w:rFonts w:hint="eastAsia"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提供合同复印件并加盖</w:t>
      </w:r>
      <w:r>
        <w:rPr>
          <w:rFonts w:hint="eastAsia"/>
          <w:color w:val="000000" w:themeColor="text1"/>
          <w:spacing w:val="-3"/>
          <w:highlight w:val="none"/>
          <w14:textFill>
            <w14:solidFill>
              <w14:schemeClr w14:val="tx1"/>
            </w14:solidFill>
          </w14:textFill>
        </w:rPr>
        <w:t>供应商</w:t>
      </w:r>
      <w:r>
        <w:rPr>
          <w:rFonts w:hint="eastAsia" w:ascii="宋体" w:hAnsi="宋体" w:cs="宋体"/>
          <w:color w:val="000000" w:themeColor="text1"/>
          <w:highlight w:val="none"/>
          <w:lang w:val="zh-CN"/>
          <w14:textFill>
            <w14:solidFill>
              <w14:schemeClr w14:val="tx1"/>
            </w14:solidFill>
          </w14:textFill>
        </w:rPr>
        <w:t>公章</w:t>
      </w:r>
    </w:p>
    <w:p w14:paraId="736F3D36">
      <w:pPr>
        <w:spacing w:before="12"/>
        <w:rPr>
          <w:rFonts w:ascii="宋体" w:hAnsi="宋体" w:cs="宋体"/>
          <w:color w:val="000000" w:themeColor="text1"/>
          <w:sz w:val="28"/>
          <w:szCs w:val="28"/>
          <w:highlight w:val="none"/>
          <w14:textFill>
            <w14:solidFill>
              <w14:schemeClr w14:val="tx1"/>
            </w14:solidFill>
          </w14:textFill>
        </w:rPr>
      </w:pPr>
    </w:p>
    <w:p w14:paraId="71BE4FB6">
      <w:pPr>
        <w:spacing w:line="480" w:lineRule="auto"/>
        <w:ind w:firstLine="3840" w:firstLineChars="16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供应商名称（公章）：</w:t>
      </w:r>
      <w:r>
        <w:rPr>
          <w:rFonts w:hint="eastAsia" w:ascii="宋体" w:hAnsi="宋体" w:cs="宋体"/>
          <w:color w:val="000000" w:themeColor="text1"/>
          <w:sz w:val="24"/>
          <w:highlight w:val="none"/>
          <w:u w:val="single"/>
          <w14:textFill>
            <w14:solidFill>
              <w14:schemeClr w14:val="tx1"/>
            </w14:solidFill>
          </w14:textFill>
        </w:rPr>
        <w:t xml:space="preserve">                              </w:t>
      </w:r>
    </w:p>
    <w:p w14:paraId="7E1F3E9E">
      <w:pPr>
        <w:spacing w:after="480" w:line="200" w:lineRule="atLeast"/>
        <w:ind w:firstLine="3840" w:firstLineChars="16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w:t>
      </w:r>
    </w:p>
    <w:p w14:paraId="13E0AB04">
      <w:pPr>
        <w:spacing w:line="480" w:lineRule="auto"/>
        <w:ind w:firstLine="3840" w:firstLineChars="16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或被授权人（签字）：</w:t>
      </w:r>
      <w:r>
        <w:rPr>
          <w:rFonts w:hint="eastAsia" w:ascii="宋体" w:hAnsi="宋体" w:cs="宋体"/>
          <w:color w:val="000000" w:themeColor="text1"/>
          <w:sz w:val="24"/>
          <w:highlight w:val="none"/>
          <w:u w:val="single"/>
          <w14:textFill>
            <w14:solidFill>
              <w14:schemeClr w14:val="tx1"/>
            </w14:solidFill>
          </w14:textFill>
        </w:rPr>
        <w:t xml:space="preserve">                    </w:t>
      </w:r>
    </w:p>
    <w:p w14:paraId="4508E216">
      <w:pPr>
        <w:spacing w:line="480" w:lineRule="auto"/>
        <w:ind w:firstLine="3840" w:firstLineChars="1600"/>
        <w:rPr>
          <w:rFonts w:ascii="宋体" w:hAnsi="宋体" w:cs="宋体"/>
          <w:color w:val="000000" w:themeColor="text1"/>
          <w:highlight w:val="none"/>
          <w:u w:val="single" w:color="000000"/>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44CEF1AA">
      <w:pPr>
        <w:spacing w:line="348" w:lineRule="auto"/>
        <w:jc w:val="center"/>
        <w:outlineLvl w:val="1"/>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八</w:t>
      </w:r>
      <w:r>
        <w:rPr>
          <w:rFonts w:hint="eastAsia" w:ascii="宋体" w:hAnsi="宋体" w:cs="宋体"/>
          <w:b/>
          <w:bCs/>
          <w:color w:val="000000" w:themeColor="text1"/>
          <w:sz w:val="32"/>
          <w:szCs w:val="32"/>
          <w:highlight w:val="none"/>
          <w14:textFill>
            <w14:solidFill>
              <w14:schemeClr w14:val="tx1"/>
            </w14:solidFill>
          </w14:textFill>
        </w:rPr>
        <w:t>、技术</w:t>
      </w:r>
      <w:bookmarkEnd w:id="35"/>
      <w:r>
        <w:rPr>
          <w:rFonts w:hint="eastAsia" w:ascii="宋体" w:hAnsi="宋体" w:cs="宋体"/>
          <w:b/>
          <w:bCs/>
          <w:color w:val="000000" w:themeColor="text1"/>
          <w:sz w:val="32"/>
          <w:szCs w:val="32"/>
          <w:highlight w:val="none"/>
          <w14:textFill>
            <w14:solidFill>
              <w14:schemeClr w14:val="tx1"/>
            </w14:solidFill>
          </w14:textFill>
        </w:rPr>
        <w:t>服务方案</w:t>
      </w:r>
    </w:p>
    <w:p w14:paraId="0B43F276">
      <w:pPr>
        <w:spacing w:line="480" w:lineRule="auto"/>
        <w:ind w:firstLine="482" w:firstLineChars="200"/>
        <w:rPr>
          <w:rFonts w:ascii="宋体" w:hAnsi="宋体"/>
          <w:b/>
          <w:color w:val="000000" w:themeColor="text1"/>
          <w:sz w:val="24"/>
          <w:szCs w:val="22"/>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供应商应按照磋商文件要求，根据磋商文件第二部分中《评审方法及内容》和第三部分分各条款作出全面</w:t>
      </w:r>
      <w:r>
        <w:rPr>
          <w:rFonts w:hint="eastAsia" w:ascii="宋体" w:hAnsi="宋体"/>
          <w:b/>
          <w:color w:val="000000" w:themeColor="text1"/>
          <w:sz w:val="24"/>
          <w:szCs w:val="22"/>
          <w:highlight w:val="none"/>
          <w14:textFill>
            <w14:solidFill>
              <w14:schemeClr w14:val="tx1"/>
            </w14:solidFill>
          </w14:textFill>
        </w:rPr>
        <w:t>响应。</w:t>
      </w:r>
    </w:p>
    <w:p w14:paraId="4E4F198D">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0BF11374">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10C8411C">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1C1C7B56">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0CBEE5DB">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401363D4">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47C72667">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2B26A72B">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52E8BF69">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3F6DB870">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5724C877">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12463D0B">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17C26771">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44215965">
      <w:pPr>
        <w:tabs>
          <w:tab w:val="left" w:pos="754"/>
        </w:tabs>
        <w:spacing w:line="360" w:lineRule="auto"/>
        <w:ind w:firstLine="211"/>
        <w:jc w:val="left"/>
        <w:rPr>
          <w:rFonts w:ascii="宋体" w:hAnsi="宋体" w:cs="宋体"/>
          <w:bCs/>
          <w:color w:val="000000" w:themeColor="text1"/>
          <w:sz w:val="28"/>
          <w:szCs w:val="28"/>
          <w:highlight w:val="none"/>
          <w14:textFill>
            <w14:solidFill>
              <w14:schemeClr w14:val="tx1"/>
            </w14:solidFill>
          </w14:textFill>
        </w:rPr>
      </w:pPr>
    </w:p>
    <w:p w14:paraId="58E8FB96">
      <w:pPr>
        <w:rPr>
          <w:rFonts w:ascii="宋体" w:hAnsi="宋体" w:cs="宋体"/>
          <w:color w:val="000000" w:themeColor="text1"/>
          <w:highlight w:val="none"/>
          <w14:textFill>
            <w14:solidFill>
              <w14:schemeClr w14:val="tx1"/>
            </w14:solidFill>
          </w14:textFill>
        </w:rPr>
      </w:pPr>
    </w:p>
    <w:p w14:paraId="5D481F91">
      <w:pPr>
        <w:rPr>
          <w:color w:val="000000" w:themeColor="text1"/>
          <w:highlight w:val="none"/>
          <w14:textFill>
            <w14:solidFill>
              <w14:schemeClr w14:val="tx1"/>
            </w14:solidFill>
          </w14:textFill>
        </w:rPr>
      </w:pPr>
    </w:p>
    <w:p w14:paraId="55FA28F4">
      <w:pPr>
        <w:pStyle w:val="8"/>
        <w:rPr>
          <w:rFonts w:ascii="宋体" w:hAnsi="宋体" w:cs="宋体"/>
          <w:b/>
          <w:bCs/>
          <w:color w:val="000000" w:themeColor="text1"/>
          <w:sz w:val="32"/>
          <w:szCs w:val="32"/>
          <w:highlight w:val="none"/>
          <w14:textFill>
            <w14:solidFill>
              <w14:schemeClr w14:val="tx1"/>
            </w14:solidFill>
          </w14:textFill>
        </w:rPr>
      </w:pPr>
    </w:p>
    <w:p w14:paraId="24419350">
      <w:pPr>
        <w:rPr>
          <w:rFonts w:ascii="宋体" w:hAnsi="宋体" w:cs="宋体"/>
          <w:b/>
          <w:bCs/>
          <w:color w:val="000000" w:themeColor="text1"/>
          <w:sz w:val="32"/>
          <w:szCs w:val="32"/>
          <w:highlight w:val="none"/>
          <w14:textFill>
            <w14:solidFill>
              <w14:schemeClr w14:val="tx1"/>
            </w14:solidFill>
          </w14:textFill>
        </w:rPr>
      </w:pPr>
    </w:p>
    <w:p w14:paraId="6CEC2C37">
      <w:pPr>
        <w:pStyle w:val="8"/>
        <w:rPr>
          <w:rFonts w:ascii="宋体" w:hAnsi="宋体" w:cs="宋体"/>
          <w:b/>
          <w:bCs/>
          <w:color w:val="000000" w:themeColor="text1"/>
          <w:sz w:val="32"/>
          <w:szCs w:val="32"/>
          <w:highlight w:val="none"/>
          <w14:textFill>
            <w14:solidFill>
              <w14:schemeClr w14:val="tx1"/>
            </w14:solidFill>
          </w14:textFill>
        </w:rPr>
      </w:pPr>
    </w:p>
    <w:p w14:paraId="2565F998">
      <w:pPr>
        <w:rPr>
          <w:rFonts w:ascii="宋体" w:hAnsi="宋体" w:cs="宋体"/>
          <w:b/>
          <w:bCs/>
          <w:color w:val="000000" w:themeColor="text1"/>
          <w:sz w:val="32"/>
          <w:szCs w:val="32"/>
          <w:highlight w:val="none"/>
          <w14:textFill>
            <w14:solidFill>
              <w14:schemeClr w14:val="tx1"/>
            </w14:solidFill>
          </w14:textFill>
        </w:rPr>
      </w:pPr>
    </w:p>
    <w:p w14:paraId="37462107">
      <w:pPr>
        <w:pStyle w:val="8"/>
        <w:rPr>
          <w:color w:val="000000" w:themeColor="text1"/>
          <w:highlight w:val="none"/>
          <w14:textFill>
            <w14:solidFill>
              <w14:schemeClr w14:val="tx1"/>
            </w14:solidFill>
          </w14:textFill>
        </w:rPr>
      </w:pPr>
    </w:p>
    <w:p w14:paraId="5AE1995A">
      <w:pPr>
        <w:pStyle w:val="8"/>
        <w:rPr>
          <w:rFonts w:ascii="宋体" w:hAnsi="宋体" w:cs="宋体"/>
          <w:b/>
          <w:bCs/>
          <w:color w:val="000000" w:themeColor="text1"/>
          <w:sz w:val="32"/>
          <w:szCs w:val="32"/>
          <w:highlight w:val="none"/>
          <w14:textFill>
            <w14:solidFill>
              <w14:schemeClr w14:val="tx1"/>
            </w14:solidFill>
          </w14:textFill>
        </w:rPr>
      </w:pPr>
    </w:p>
    <w:p w14:paraId="21ADAF14">
      <w:pPr>
        <w:pStyle w:val="10"/>
        <w:spacing w:line="460" w:lineRule="exact"/>
        <w:ind w:firstLine="482" w:firstLineChars="200"/>
        <w:jc w:val="center"/>
        <w:rPr>
          <w:rFonts w:hAnsi="宋体" w:cs="宋体"/>
          <w:b/>
          <w:bCs/>
          <w:color w:val="000000" w:themeColor="text1"/>
          <w:sz w:val="24"/>
          <w:szCs w:val="24"/>
          <w:highlight w:val="none"/>
          <w14:textFill>
            <w14:solidFill>
              <w14:schemeClr w14:val="tx1"/>
            </w14:solidFill>
          </w14:textFill>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p>
    <w:p w14:paraId="46C8E2C7">
      <w:pPr>
        <w:pStyle w:val="10"/>
        <w:spacing w:line="460" w:lineRule="exact"/>
        <w:ind w:firstLine="482" w:firstLineChars="200"/>
        <w:jc w:val="center"/>
        <w:rPr>
          <w:rFonts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用于本项目人员简历表</w:t>
      </w:r>
    </w:p>
    <w:tbl>
      <w:tblPr>
        <w:tblStyle w:val="21"/>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898"/>
        <w:gridCol w:w="2140"/>
        <w:gridCol w:w="2621"/>
      </w:tblGrid>
      <w:tr w14:paraId="6EC5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6CCE10EE">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姓名</w:t>
            </w:r>
          </w:p>
        </w:tc>
        <w:tc>
          <w:tcPr>
            <w:tcW w:w="1898" w:type="dxa"/>
            <w:vAlign w:val="center"/>
          </w:tcPr>
          <w:p w14:paraId="1B84B7D4">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5B86FF7C">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性别</w:t>
            </w:r>
          </w:p>
        </w:tc>
        <w:tc>
          <w:tcPr>
            <w:tcW w:w="2621" w:type="dxa"/>
            <w:vAlign w:val="center"/>
          </w:tcPr>
          <w:p w14:paraId="500D9E63">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5E6B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17750A18">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职务</w:t>
            </w:r>
          </w:p>
        </w:tc>
        <w:tc>
          <w:tcPr>
            <w:tcW w:w="1898" w:type="dxa"/>
            <w:vAlign w:val="center"/>
          </w:tcPr>
          <w:p w14:paraId="51775A83">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0458BAB6">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职称</w:t>
            </w:r>
          </w:p>
        </w:tc>
        <w:tc>
          <w:tcPr>
            <w:tcW w:w="2621" w:type="dxa"/>
            <w:vAlign w:val="center"/>
          </w:tcPr>
          <w:p w14:paraId="076B27F4">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1276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026FEE48">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毕业学校、专业</w:t>
            </w:r>
          </w:p>
        </w:tc>
        <w:tc>
          <w:tcPr>
            <w:tcW w:w="6659" w:type="dxa"/>
            <w:gridSpan w:val="3"/>
            <w:vAlign w:val="center"/>
          </w:tcPr>
          <w:p w14:paraId="2152B2C9">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1035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14:paraId="4B3CBEAD">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身份证号</w:t>
            </w:r>
          </w:p>
        </w:tc>
        <w:tc>
          <w:tcPr>
            <w:tcW w:w="1898" w:type="dxa"/>
            <w:vAlign w:val="center"/>
          </w:tcPr>
          <w:p w14:paraId="2A36721A">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63B752D4">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拟在本项目任职</w:t>
            </w:r>
          </w:p>
        </w:tc>
        <w:tc>
          <w:tcPr>
            <w:tcW w:w="2621" w:type="dxa"/>
            <w:vAlign w:val="center"/>
          </w:tcPr>
          <w:p w14:paraId="1B5BD445">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1172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14:paraId="7890AD7C">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执业资格证</w:t>
            </w:r>
          </w:p>
        </w:tc>
        <w:tc>
          <w:tcPr>
            <w:tcW w:w="1898" w:type="dxa"/>
            <w:vAlign w:val="center"/>
          </w:tcPr>
          <w:p w14:paraId="304C2F28">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13806E01">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执业资格证书号</w:t>
            </w:r>
          </w:p>
        </w:tc>
        <w:tc>
          <w:tcPr>
            <w:tcW w:w="2621" w:type="dxa"/>
            <w:vAlign w:val="center"/>
          </w:tcPr>
          <w:p w14:paraId="7B3DFA59">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79AA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20" w:type="dxa"/>
            <w:gridSpan w:val="4"/>
            <w:vAlign w:val="center"/>
          </w:tcPr>
          <w:p w14:paraId="6C204DF3">
            <w:pPr>
              <w:pStyle w:val="10"/>
              <w:spacing w:line="460" w:lineRule="exact"/>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近____年承担项目情况</w:t>
            </w:r>
          </w:p>
        </w:tc>
      </w:tr>
      <w:tr w14:paraId="62F3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14:paraId="5D3E27C2">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时间</w:t>
            </w:r>
          </w:p>
        </w:tc>
        <w:tc>
          <w:tcPr>
            <w:tcW w:w="1898" w:type="dxa"/>
            <w:vAlign w:val="center"/>
          </w:tcPr>
          <w:p w14:paraId="1A354F91">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类似项目名称</w:t>
            </w:r>
          </w:p>
        </w:tc>
        <w:tc>
          <w:tcPr>
            <w:tcW w:w="2140" w:type="dxa"/>
            <w:vAlign w:val="center"/>
          </w:tcPr>
          <w:p w14:paraId="4C55C40B">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担任职务</w:t>
            </w:r>
          </w:p>
        </w:tc>
        <w:tc>
          <w:tcPr>
            <w:tcW w:w="2621" w:type="dxa"/>
            <w:vAlign w:val="center"/>
          </w:tcPr>
          <w:p w14:paraId="4AB795D1">
            <w:pPr>
              <w:pStyle w:val="1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项目单位名称及电话</w:t>
            </w:r>
          </w:p>
        </w:tc>
      </w:tr>
      <w:tr w14:paraId="46EB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59623FC2">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4C997CB0">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32EB029B">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7F597A2C">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46CC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724CBCFC">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7DEB5EE3">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7BDB483C">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311B5058">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0D4B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10120F30">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0947A8AE">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202378E8">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2BC40A1D">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33ED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52E3E71D">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21649CEC">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7201FAAA">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44796F5B">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3DA1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2D97F43B">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17E9EBF2">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2C3C3706">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36533CC9">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63A1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5F0A75CF">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08CEDAE2">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4D98A7A4">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0713D1B7">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0D61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087AF9AD">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7F5A9E57">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33F0850F">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4299B98A">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4A0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46680E93">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6732EB38">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2AFB2504">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5EB34505">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5B5F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47CAAEE5">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1C1C642D">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47563D04">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7DA4BCB7">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198A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63B98907">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03C93A7A">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7DAC7B7E">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1AE7019A">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r w14:paraId="754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861" w:type="dxa"/>
            <w:vAlign w:val="center"/>
          </w:tcPr>
          <w:p w14:paraId="0675415E">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1898" w:type="dxa"/>
            <w:vAlign w:val="center"/>
          </w:tcPr>
          <w:p w14:paraId="1BECA360">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140" w:type="dxa"/>
            <w:vAlign w:val="center"/>
          </w:tcPr>
          <w:p w14:paraId="26EC042D">
            <w:pPr>
              <w:pStyle w:val="10"/>
              <w:spacing w:line="460" w:lineRule="exact"/>
              <w:jc w:val="center"/>
              <w:rPr>
                <w:rFonts w:hAnsi="宋体" w:cs="宋体"/>
                <w:color w:val="000000" w:themeColor="text1"/>
                <w:sz w:val="24"/>
                <w:szCs w:val="24"/>
                <w:highlight w:val="none"/>
                <w14:textFill>
                  <w14:solidFill>
                    <w14:schemeClr w14:val="tx1"/>
                  </w14:solidFill>
                </w14:textFill>
              </w:rPr>
            </w:pPr>
          </w:p>
        </w:tc>
        <w:tc>
          <w:tcPr>
            <w:tcW w:w="2621" w:type="dxa"/>
            <w:vAlign w:val="center"/>
          </w:tcPr>
          <w:p w14:paraId="634A0F69">
            <w:pPr>
              <w:pStyle w:val="10"/>
              <w:spacing w:line="460" w:lineRule="exact"/>
              <w:jc w:val="center"/>
              <w:rPr>
                <w:rFonts w:hAnsi="宋体" w:cs="宋体"/>
                <w:color w:val="000000" w:themeColor="text1"/>
                <w:sz w:val="24"/>
                <w:szCs w:val="24"/>
                <w:highlight w:val="none"/>
                <w14:textFill>
                  <w14:solidFill>
                    <w14:schemeClr w14:val="tx1"/>
                  </w14:solidFill>
                </w14:textFill>
              </w:rPr>
            </w:pPr>
          </w:p>
        </w:tc>
      </w:tr>
    </w:tbl>
    <w:p w14:paraId="3AFAB6CA">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p>
    <w:p w14:paraId="70E2A711">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供应商名称(公章)：____________</w:t>
      </w:r>
    </w:p>
    <w:p w14:paraId="7DA64DBF">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法定代表人（负责人）或授权代表(签字或盖章)：____________</w:t>
      </w:r>
    </w:p>
    <w:p w14:paraId="7581D201">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日期：______年____月____日</w:t>
      </w:r>
    </w:p>
    <w:p w14:paraId="3071941E">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p>
    <w:p w14:paraId="2DB451F8">
      <w:pPr>
        <w:snapToGrid w:val="0"/>
        <w:spacing w:line="440" w:lineRule="exact"/>
        <w:jc w:val="center"/>
        <w:rPr>
          <w:rFonts w:ascii="宋体" w:hAnsi="宋体" w:cs="宋体"/>
          <w:b/>
          <w:color w:val="000000" w:themeColor="text1"/>
          <w:sz w:val="28"/>
          <w:szCs w:val="28"/>
          <w:highlight w:val="none"/>
          <w14:textFill>
            <w14:solidFill>
              <w14:schemeClr w14:val="tx1"/>
            </w14:solidFill>
          </w14:textFill>
        </w:rPr>
      </w:pPr>
    </w:p>
    <w:p w14:paraId="5D31D291">
      <w:pPr>
        <w:snapToGrid w:val="0"/>
        <w:spacing w:line="440" w:lineRule="exact"/>
        <w:rPr>
          <w:rFonts w:ascii="宋体" w:hAnsi="宋体" w:cs="宋体"/>
          <w:b/>
          <w:color w:val="000000" w:themeColor="text1"/>
          <w:sz w:val="28"/>
          <w:szCs w:val="28"/>
          <w:highlight w:val="none"/>
          <w14:textFill>
            <w14:solidFill>
              <w14:schemeClr w14:val="tx1"/>
            </w14:solidFill>
          </w14:textFill>
        </w:rPr>
      </w:pPr>
    </w:p>
    <w:p w14:paraId="4C72991F">
      <w:pPr>
        <w:pStyle w:val="8"/>
        <w:rPr>
          <w:rFonts w:ascii="宋体" w:hAnsi="宋体" w:cs="宋体"/>
          <w:b/>
          <w:color w:val="000000" w:themeColor="text1"/>
          <w:sz w:val="28"/>
          <w:szCs w:val="28"/>
          <w:highlight w:val="none"/>
          <w14:textFill>
            <w14:solidFill>
              <w14:schemeClr w14:val="tx1"/>
            </w14:solidFill>
          </w14:textFill>
        </w:rPr>
      </w:pPr>
    </w:p>
    <w:p w14:paraId="40C79896">
      <w:pPr>
        <w:snapToGrid w:val="0"/>
        <w:spacing w:line="440" w:lineRule="exact"/>
        <w:ind w:firstLine="1405" w:firstLineChars="500"/>
        <w:rPr>
          <w:rFonts w:ascii="宋体" w:hAnsi="宋体" w:cs="宋体"/>
          <w:b/>
          <w:color w:val="000000" w:themeColor="text1"/>
          <w:sz w:val="28"/>
          <w:szCs w:val="28"/>
          <w:highlight w:val="none"/>
          <w14:textFill>
            <w14:solidFill>
              <w14:schemeClr w14:val="tx1"/>
            </w14:solidFill>
          </w14:textFill>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p>
    <w:p w14:paraId="6CC12F7F">
      <w:pPr>
        <w:spacing w:line="360" w:lineRule="auto"/>
        <w:jc w:val="center"/>
        <w:rPr>
          <w:rFonts w:ascii="宋体" w:hAnsi="宋体" w:cs="仿宋"/>
          <w:b/>
          <w:sz w:val="30"/>
          <w:szCs w:val="30"/>
          <w:highlight w:val="none"/>
        </w:rPr>
      </w:pPr>
      <w:bookmarkStart w:id="36" w:name="_Toc491186072"/>
      <w:r>
        <w:rPr>
          <w:rFonts w:hint="eastAsia" w:ascii="宋体" w:hAnsi="宋体" w:cs="仿宋"/>
          <w:b/>
          <w:sz w:val="30"/>
          <w:szCs w:val="30"/>
          <w:highlight w:val="none"/>
          <w:lang w:val="en-US" w:eastAsia="zh-CN"/>
        </w:rPr>
        <w:t>九、</w:t>
      </w:r>
      <w:r>
        <w:rPr>
          <w:rFonts w:ascii="宋体" w:hAnsi="宋体" w:cs="仿宋"/>
          <w:b/>
          <w:sz w:val="30"/>
          <w:szCs w:val="30"/>
          <w:highlight w:val="none"/>
        </w:rPr>
        <w:t>陕</w:t>
      </w:r>
      <w:r>
        <w:rPr>
          <w:rFonts w:hint="eastAsia" w:ascii="宋体" w:hAnsi="宋体" w:cs="仿宋"/>
          <w:b/>
          <w:sz w:val="30"/>
          <w:szCs w:val="30"/>
          <w:highlight w:val="none"/>
        </w:rPr>
        <w:t>西省政府采购供应商拒绝政府采购领域商业贿赂承诺书</w:t>
      </w:r>
    </w:p>
    <w:p w14:paraId="573EA882">
      <w:pPr>
        <w:widowControl/>
        <w:spacing w:line="360" w:lineRule="auto"/>
        <w:ind w:left="239" w:leftChars="114" w:firstLine="470" w:firstLineChars="196"/>
        <w:jc w:val="left"/>
        <w:rPr>
          <w:rFonts w:ascii="宋体" w:hAnsi="宋体" w:cs="宋体"/>
          <w:kern w:val="0"/>
          <w:sz w:val="24"/>
          <w:highlight w:val="none"/>
        </w:rPr>
      </w:pPr>
    </w:p>
    <w:p w14:paraId="16F9CFF3">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为响应党中央、国务院关于治理政府采购领域商业贿赂行为的号召，我公司在此庄严承诺：</w:t>
      </w:r>
    </w:p>
    <w:p w14:paraId="42568842">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1、在参与政府采购活动中遵纪守法、诚信经营、公平竞标。</w:t>
      </w:r>
    </w:p>
    <w:p w14:paraId="1AE3777C">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2、不向政府采购人、采购代理机构和政府采购评审专家进行任何形式的商业贿赂以谋取交易机会。</w:t>
      </w:r>
    </w:p>
    <w:p w14:paraId="1D061827">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3、不向政府采购代理机构和采购人提供虚假资质文件或采用虚假</w:t>
      </w:r>
      <w:r>
        <w:rPr>
          <w:rFonts w:hint="eastAsia" w:ascii="宋体" w:hAnsi="宋体" w:cs="宋体"/>
          <w:kern w:val="0"/>
          <w:sz w:val="24"/>
          <w:highlight w:val="none"/>
        </w:rPr>
        <w:t>磋商</w:t>
      </w:r>
      <w:r>
        <w:rPr>
          <w:rFonts w:ascii="宋体" w:hAnsi="宋体" w:cs="宋体"/>
          <w:kern w:val="0"/>
          <w:sz w:val="24"/>
          <w:highlight w:val="none"/>
        </w:rPr>
        <w:t>方式参与政府采购市场竞争并谋取成交。</w:t>
      </w:r>
    </w:p>
    <w:p w14:paraId="243E9210">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4、不采取“围、</w:t>
      </w:r>
      <w:r>
        <w:rPr>
          <w:rFonts w:hint="eastAsia" w:ascii="宋体" w:hAnsi="宋体" w:cs="宋体"/>
          <w:kern w:val="0"/>
          <w:sz w:val="24"/>
          <w:highlight w:val="none"/>
        </w:rPr>
        <w:t>陪</w:t>
      </w:r>
      <w:r>
        <w:rPr>
          <w:rFonts w:ascii="宋体" w:hAnsi="宋体" w:cs="宋体"/>
          <w:kern w:val="0"/>
          <w:sz w:val="24"/>
          <w:highlight w:val="none"/>
        </w:rPr>
        <w:t>”等商业欺诈手段获得政府采购定单。</w:t>
      </w:r>
    </w:p>
    <w:p w14:paraId="69FC14F8">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5、不采取不正当手段诋毁、排挤其他供应商。</w:t>
      </w:r>
    </w:p>
    <w:p w14:paraId="2A799DDE">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6、不在提供商品和服务时“偷梁换柱、以次充好”损害采购人的合法权益。</w:t>
      </w:r>
    </w:p>
    <w:p w14:paraId="18D32DC3">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7、不与采购人、采购代理机构政府采购评审专家或其它供应商恶意串通，进行质疑和投诉，维护政府采购市场秩序。</w:t>
      </w:r>
    </w:p>
    <w:p w14:paraId="5829C7D7">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8、尊重和接受政府采购监督管理部门的监督和政府采购代理机构采购要求，承担因违约行为给采购人造成的损失。</w:t>
      </w:r>
    </w:p>
    <w:p w14:paraId="47F3177F">
      <w:pPr>
        <w:widowControl/>
        <w:spacing w:line="360"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9、不发生其他有悖于政府采购公开、公平、公正和诚信原则的行为。</w:t>
      </w:r>
    </w:p>
    <w:p w14:paraId="72915BB9">
      <w:pPr>
        <w:pStyle w:val="8"/>
        <w:rPr>
          <w:highlight w:val="none"/>
        </w:rPr>
      </w:pPr>
    </w:p>
    <w:p w14:paraId="76DDBF6F">
      <w:pPr>
        <w:spacing w:line="480" w:lineRule="auto"/>
        <w:ind w:right="-161"/>
        <w:rPr>
          <w:rFonts w:ascii="宋体" w:hAnsi="宋体" w:cs="仿宋"/>
          <w:sz w:val="24"/>
          <w:highlight w:val="none"/>
        </w:rPr>
      </w:pPr>
      <w:r>
        <w:rPr>
          <w:rFonts w:hint="eastAsia" w:ascii="宋体" w:hAnsi="宋体" w:cs="仿宋"/>
          <w:sz w:val="24"/>
          <w:highlight w:val="none"/>
        </w:rPr>
        <w:t xml:space="preserve">              供应商名称：</w:t>
      </w:r>
      <w:r>
        <w:rPr>
          <w:rFonts w:hint="eastAsia" w:ascii="宋体" w:hAnsi="宋体" w:cs="仿宋"/>
          <w:sz w:val="24"/>
          <w:highlight w:val="none"/>
          <w:u w:val="single"/>
        </w:rPr>
        <w:t xml:space="preserve">                                   </w:t>
      </w:r>
      <w:r>
        <w:rPr>
          <w:rFonts w:hint="eastAsia" w:ascii="宋体" w:hAnsi="宋体" w:cs="仿宋"/>
          <w:sz w:val="24"/>
          <w:highlight w:val="none"/>
        </w:rPr>
        <w:t>（盖章）</w:t>
      </w:r>
    </w:p>
    <w:p w14:paraId="7EF3008E">
      <w:pPr>
        <w:spacing w:line="480" w:lineRule="auto"/>
        <w:rPr>
          <w:rFonts w:ascii="宋体" w:hAnsi="宋体" w:cs="仿宋"/>
          <w:sz w:val="24"/>
          <w:highlight w:val="none"/>
        </w:rPr>
      </w:pPr>
      <w:r>
        <w:rPr>
          <w:rFonts w:hint="eastAsia" w:ascii="宋体" w:hAnsi="宋体" w:cs="仿宋"/>
          <w:sz w:val="24"/>
          <w:highlight w:val="none"/>
        </w:rPr>
        <w:t xml:space="preserve">              法定代表人</w:t>
      </w:r>
      <w:r>
        <w:rPr>
          <w:rFonts w:hint="eastAsia" w:ascii="宋体" w:hAnsi="宋体" w:cs="仿宋"/>
          <w:sz w:val="24"/>
          <w:highlight w:val="none"/>
          <w:lang w:val="en-US" w:eastAsia="zh-CN"/>
        </w:rPr>
        <w:t>/负责人</w:t>
      </w:r>
      <w:r>
        <w:rPr>
          <w:rFonts w:hint="eastAsia" w:ascii="宋体" w:hAnsi="宋体" w:cs="仿宋"/>
          <w:sz w:val="24"/>
          <w:highlight w:val="none"/>
        </w:rPr>
        <w:t>或被授权代表：</w:t>
      </w:r>
      <w:r>
        <w:rPr>
          <w:rFonts w:hint="eastAsia" w:ascii="宋体" w:hAnsi="宋体" w:cs="仿宋"/>
          <w:sz w:val="24"/>
          <w:highlight w:val="none"/>
          <w:u w:val="single"/>
        </w:rPr>
        <w:t xml:space="preserve">                  </w:t>
      </w:r>
      <w:r>
        <w:rPr>
          <w:rFonts w:hint="eastAsia" w:ascii="宋体" w:hAnsi="宋体" w:cs="仿宋"/>
          <w:sz w:val="24"/>
          <w:highlight w:val="none"/>
        </w:rPr>
        <w:t>（签字或盖章）</w:t>
      </w:r>
    </w:p>
    <w:p w14:paraId="7394332A">
      <w:pPr>
        <w:spacing w:line="480" w:lineRule="auto"/>
        <w:ind w:firstLine="1680" w:firstLineChars="700"/>
        <w:rPr>
          <w:rFonts w:ascii="宋体" w:hAnsi="宋体" w:cs="仿宋"/>
          <w:sz w:val="24"/>
          <w:highlight w:val="none"/>
        </w:rPr>
      </w:pPr>
      <w:r>
        <w:rPr>
          <w:rFonts w:hint="eastAsia" w:ascii="宋体" w:hAnsi="宋体" w:cs="仿宋"/>
          <w:sz w:val="24"/>
          <w:highlight w:val="none"/>
        </w:rPr>
        <w:t xml:space="preserve">日  期：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p>
    <w:p w14:paraId="3D0C802D">
      <w:pPr>
        <w:spacing w:line="360" w:lineRule="auto"/>
        <w:ind w:left="4070" w:leftChars="1938"/>
        <w:rPr>
          <w:rFonts w:ascii="宋体" w:hAnsi="宋体" w:cs="宋体"/>
          <w:kern w:val="0"/>
          <w:sz w:val="24"/>
          <w:highlight w:val="none"/>
          <w:u w:val="single"/>
        </w:rPr>
      </w:pPr>
      <w:r>
        <w:rPr>
          <w:rFonts w:hint="eastAsia" w:ascii="宋体" w:hAnsi="宋体" w:cs="宋体"/>
          <w:color w:val="FFFFFF"/>
          <w:kern w:val="0"/>
          <w:sz w:val="24"/>
          <w:highlight w:val="none"/>
        </w:rPr>
        <w:t>、</w:t>
      </w:r>
    </w:p>
    <w:p w14:paraId="1B62FBAF">
      <w:pPr>
        <w:rPr>
          <w:rFonts w:ascii="宋体" w:hAnsi="宋体"/>
          <w:highlight w:val="none"/>
        </w:rPr>
      </w:pPr>
    </w:p>
    <w:p w14:paraId="0E59DD50">
      <w:pPr>
        <w:rPr>
          <w:rFonts w:ascii="宋体" w:hAnsi="宋体"/>
          <w:highlight w:val="none"/>
        </w:rPr>
      </w:pPr>
    </w:p>
    <w:p w14:paraId="0B8D02B9">
      <w:pPr>
        <w:rPr>
          <w:rFonts w:ascii="宋体" w:hAnsi="宋体"/>
          <w:highlight w:val="none"/>
        </w:rPr>
      </w:pPr>
    </w:p>
    <w:p w14:paraId="13030CE0">
      <w:pPr>
        <w:rPr>
          <w:rFonts w:hAnsi="宋体"/>
          <w:bCs/>
          <w:highlight w:val="none"/>
        </w:rPr>
      </w:pPr>
    </w:p>
    <w:p w14:paraId="6BA0AA00">
      <w:pPr>
        <w:rPr>
          <w:highlight w:val="none"/>
        </w:rPr>
      </w:pPr>
    </w:p>
    <w:p w14:paraId="2D2011B0">
      <w:pPr>
        <w:pStyle w:val="11"/>
        <w:rPr>
          <w:rFonts w:ascii="宋体" w:hAnsi="宋体"/>
          <w:sz w:val="24"/>
          <w:highlight w:val="none"/>
        </w:rPr>
      </w:pPr>
    </w:p>
    <w:p w14:paraId="666F07DC">
      <w:pPr>
        <w:spacing w:line="360" w:lineRule="auto"/>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 xml:space="preserve"> </w:t>
      </w:r>
    </w:p>
    <w:p w14:paraId="5F23450E">
      <w:pPr>
        <w:spacing w:line="360" w:lineRule="auto"/>
        <w:jc w:val="center"/>
        <w:rPr>
          <w:rFonts w:ascii="宋体" w:hAnsi="宋体" w:cs="宋体"/>
          <w:b/>
          <w:color w:val="000000" w:themeColor="text1"/>
          <w:kern w:val="0"/>
          <w:sz w:val="28"/>
          <w:szCs w:val="28"/>
          <w:highlight w:val="none"/>
          <w14:textFill>
            <w14:solidFill>
              <w14:schemeClr w14:val="tx1"/>
            </w14:solidFill>
          </w14:textFill>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p>
    <w:p w14:paraId="106C6074">
      <w:pPr>
        <w:spacing w:line="360" w:lineRule="auto"/>
        <w:rPr>
          <w:rFonts w:ascii="宋体" w:hAnsi="宋体"/>
          <w:sz w:val="32"/>
          <w:szCs w:val="32"/>
          <w:highlight w:val="none"/>
        </w:rPr>
      </w:pPr>
      <w:r>
        <w:rPr>
          <w:rFonts w:hint="eastAsia" w:ascii="宋体" w:hAnsi="宋体"/>
          <w:sz w:val="32"/>
          <w:szCs w:val="32"/>
          <w:highlight w:val="none"/>
        </w:rPr>
        <w:t>参考格式1：</w:t>
      </w:r>
    </w:p>
    <w:p w14:paraId="16D22AD7">
      <w:pPr>
        <w:spacing w:line="360" w:lineRule="auto"/>
        <w:jc w:val="center"/>
        <w:rPr>
          <w:rFonts w:ascii="宋体" w:hAnsi="宋体"/>
          <w:b/>
          <w:bCs/>
          <w:sz w:val="32"/>
          <w:szCs w:val="32"/>
          <w:highlight w:val="none"/>
        </w:rPr>
      </w:pPr>
      <w:r>
        <w:rPr>
          <w:rFonts w:hint="eastAsia" w:ascii="宋体" w:hAnsi="宋体"/>
          <w:b/>
          <w:bCs/>
          <w:sz w:val="32"/>
          <w:szCs w:val="32"/>
          <w:highlight w:val="none"/>
        </w:rPr>
        <w:t>近三年无重大违法记录书面声明</w:t>
      </w:r>
    </w:p>
    <w:p w14:paraId="76E65737">
      <w:pPr>
        <w:rPr>
          <w:highlight w:val="none"/>
        </w:rPr>
      </w:pPr>
    </w:p>
    <w:p w14:paraId="69382DE2">
      <w:pPr>
        <w:spacing w:line="360" w:lineRule="auto"/>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（采购人名称）：</w:t>
      </w:r>
    </w:p>
    <w:p w14:paraId="4FC370BC">
      <w:pPr>
        <w:widowControl/>
        <w:spacing w:line="700" w:lineRule="exact"/>
        <w:ind w:firstLine="480"/>
        <w:jc w:val="left"/>
        <w:rPr>
          <w:rFonts w:ascii="宋体" w:hAnsi="宋体"/>
          <w:sz w:val="24"/>
          <w:highlight w:val="none"/>
        </w:rPr>
      </w:pPr>
      <w:r>
        <w:rPr>
          <w:rFonts w:hint="eastAsia" w:ascii="宋体" w:hAnsi="宋体"/>
          <w:sz w:val="24"/>
          <w:highlight w:val="none"/>
        </w:rPr>
        <w:t>我方参加贵单位“</w:t>
      </w:r>
      <w:r>
        <w:rPr>
          <w:rFonts w:hint="eastAsia" w:ascii="宋体" w:hAnsi="宋体"/>
          <w:sz w:val="24"/>
          <w:highlight w:val="none"/>
          <w:u w:val="single"/>
        </w:rPr>
        <w:t xml:space="preserve">             </w:t>
      </w:r>
      <w:r>
        <w:rPr>
          <w:rFonts w:hint="eastAsia" w:ascii="宋体" w:hAnsi="宋体"/>
          <w:sz w:val="24"/>
          <w:highlight w:val="none"/>
        </w:rPr>
        <w:t>”（项目名称）投标的申请，现我方向你方慎重承诺：</w:t>
      </w:r>
    </w:p>
    <w:p w14:paraId="637FDB33">
      <w:pPr>
        <w:widowControl/>
        <w:spacing w:line="700" w:lineRule="exact"/>
        <w:ind w:firstLine="480"/>
        <w:jc w:val="left"/>
        <w:rPr>
          <w:rFonts w:ascii="宋体" w:hAnsi="宋体"/>
          <w:sz w:val="24"/>
          <w:highlight w:val="none"/>
        </w:rPr>
      </w:pPr>
      <w:r>
        <w:rPr>
          <w:rFonts w:hint="eastAsia" w:ascii="宋体" w:hAnsi="宋体"/>
          <w:sz w:val="24"/>
          <w:highlight w:val="none"/>
        </w:rPr>
        <w:t>近三年公司企业财务和经营状况良好，具备履行合同能力，无不良经营行为，无重大违法记录，未处于被责令停业、投标资格被取消或者财产被接管、冻结和破产状态，无因投标申请人违约或不恰当履约引起的合同争议纠纷及仲裁和诉讼记录。如果我方经本工程评标委员会评定为第一中标候选人，在公示期间被他人举报并经招标投标监管机构核实，确认存在上述不良记录，你方即可取消我方第一中标候选人资格，并同意投标保证金不予退还。</w:t>
      </w:r>
    </w:p>
    <w:p w14:paraId="029D6FDC">
      <w:pPr>
        <w:spacing w:line="360" w:lineRule="auto"/>
        <w:ind w:firstLine="480"/>
        <w:rPr>
          <w:rFonts w:ascii="宋体" w:hAnsi="宋体"/>
          <w:sz w:val="24"/>
          <w:highlight w:val="none"/>
        </w:rPr>
      </w:pPr>
    </w:p>
    <w:p w14:paraId="735E2353">
      <w:pPr>
        <w:spacing w:line="360" w:lineRule="auto"/>
        <w:ind w:firstLine="480"/>
        <w:rPr>
          <w:rFonts w:ascii="宋体" w:hAnsi="宋体"/>
          <w:sz w:val="24"/>
          <w:highlight w:val="none"/>
        </w:rPr>
      </w:pPr>
    </w:p>
    <w:p w14:paraId="5DC57C11">
      <w:pPr>
        <w:spacing w:line="360" w:lineRule="auto"/>
        <w:ind w:firstLine="480"/>
        <w:rPr>
          <w:rFonts w:ascii="宋体" w:hAnsi="宋体"/>
          <w:sz w:val="24"/>
          <w:highlight w:val="none"/>
        </w:rPr>
      </w:pPr>
    </w:p>
    <w:p w14:paraId="1A208671">
      <w:pPr>
        <w:spacing w:line="480" w:lineRule="auto"/>
        <w:ind w:right="-161"/>
        <w:rPr>
          <w:rFonts w:ascii="宋体" w:hAnsi="宋体" w:cs="仿宋"/>
          <w:sz w:val="24"/>
          <w:highlight w:val="none"/>
        </w:rPr>
      </w:pPr>
      <w:r>
        <w:rPr>
          <w:rFonts w:hint="eastAsia" w:ascii="宋体" w:hAnsi="宋体"/>
          <w:sz w:val="24"/>
          <w:highlight w:val="none"/>
        </w:rPr>
        <w:t xml:space="preserve">              </w:t>
      </w:r>
      <w:r>
        <w:rPr>
          <w:rFonts w:hint="eastAsia" w:ascii="宋体" w:hAnsi="宋体" w:cs="仿宋"/>
          <w:sz w:val="24"/>
          <w:highlight w:val="none"/>
        </w:rPr>
        <w:t>供应商名称：</w:t>
      </w:r>
      <w:r>
        <w:rPr>
          <w:rFonts w:hint="eastAsia" w:ascii="宋体" w:hAnsi="宋体" w:cs="仿宋"/>
          <w:sz w:val="24"/>
          <w:highlight w:val="none"/>
          <w:u w:val="single"/>
        </w:rPr>
        <w:t xml:space="preserve">                                   </w:t>
      </w:r>
      <w:r>
        <w:rPr>
          <w:rFonts w:hint="eastAsia" w:ascii="宋体" w:hAnsi="宋体" w:cs="仿宋"/>
          <w:sz w:val="24"/>
          <w:highlight w:val="none"/>
        </w:rPr>
        <w:t>（盖章）</w:t>
      </w:r>
    </w:p>
    <w:p w14:paraId="441A5BAB">
      <w:pPr>
        <w:spacing w:line="480" w:lineRule="auto"/>
        <w:rPr>
          <w:rFonts w:ascii="宋体" w:hAnsi="宋体" w:cs="仿宋"/>
          <w:sz w:val="24"/>
          <w:highlight w:val="none"/>
        </w:rPr>
      </w:pPr>
      <w:r>
        <w:rPr>
          <w:rFonts w:hint="eastAsia" w:ascii="宋体" w:hAnsi="宋体" w:cs="仿宋"/>
          <w:sz w:val="24"/>
          <w:highlight w:val="none"/>
        </w:rPr>
        <w:t xml:space="preserve">              法定代表人</w:t>
      </w:r>
      <w:r>
        <w:rPr>
          <w:rFonts w:hint="eastAsia" w:ascii="宋体" w:hAnsi="宋体" w:cs="仿宋"/>
          <w:sz w:val="24"/>
          <w:highlight w:val="none"/>
          <w:lang w:val="en-US" w:eastAsia="zh-CN"/>
        </w:rPr>
        <w:t>/负责人</w:t>
      </w:r>
      <w:r>
        <w:rPr>
          <w:rFonts w:hint="eastAsia" w:ascii="宋体" w:hAnsi="宋体" w:cs="仿宋"/>
          <w:sz w:val="24"/>
          <w:highlight w:val="none"/>
        </w:rPr>
        <w:t>或被授权代表：</w:t>
      </w:r>
      <w:r>
        <w:rPr>
          <w:rFonts w:hint="eastAsia" w:ascii="宋体" w:hAnsi="宋体" w:cs="仿宋"/>
          <w:sz w:val="24"/>
          <w:highlight w:val="none"/>
          <w:u w:val="single"/>
        </w:rPr>
        <w:t xml:space="preserve">                  </w:t>
      </w:r>
      <w:r>
        <w:rPr>
          <w:rFonts w:hint="eastAsia" w:ascii="宋体" w:hAnsi="宋体" w:cs="仿宋"/>
          <w:sz w:val="24"/>
          <w:highlight w:val="none"/>
        </w:rPr>
        <w:t>（签字或盖章）</w:t>
      </w:r>
    </w:p>
    <w:p w14:paraId="16A7AE42">
      <w:pPr>
        <w:spacing w:line="480" w:lineRule="auto"/>
        <w:ind w:firstLine="1680" w:firstLineChars="700"/>
        <w:rPr>
          <w:rFonts w:ascii="宋体" w:hAnsi="宋体" w:cs="仿宋"/>
          <w:sz w:val="24"/>
          <w:highlight w:val="none"/>
        </w:rPr>
      </w:pPr>
      <w:r>
        <w:rPr>
          <w:rFonts w:hint="eastAsia" w:ascii="宋体" w:hAnsi="宋体" w:cs="仿宋"/>
          <w:sz w:val="24"/>
          <w:highlight w:val="none"/>
        </w:rPr>
        <w:t xml:space="preserve">日  期：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p>
    <w:p w14:paraId="4CCFC745">
      <w:pPr>
        <w:adjustRightInd w:val="0"/>
        <w:snapToGrid w:val="0"/>
        <w:spacing w:line="360" w:lineRule="auto"/>
        <w:jc w:val="center"/>
        <w:rPr>
          <w:rFonts w:ascii="宋体" w:hAnsi="宋体"/>
          <w:b/>
          <w:color w:val="000000" w:themeColor="text1"/>
          <w:sz w:val="36"/>
          <w:szCs w:val="36"/>
          <w:highlight w:val="none"/>
          <w14:textFill>
            <w14:solidFill>
              <w14:schemeClr w14:val="tx1"/>
            </w14:solidFill>
          </w14:textFill>
        </w:rPr>
      </w:pPr>
    </w:p>
    <w:p w14:paraId="4BECA63E">
      <w:pPr>
        <w:pStyle w:val="9"/>
        <w:rPr>
          <w:color w:val="000000" w:themeColor="text1"/>
          <w:highlight w:val="none"/>
          <w14:textFill>
            <w14:solidFill>
              <w14:schemeClr w14:val="tx1"/>
            </w14:solidFill>
          </w14:textFill>
        </w:rPr>
      </w:pPr>
    </w:p>
    <w:p w14:paraId="45D564B0">
      <w:pPr>
        <w:pStyle w:val="27"/>
        <w:rPr>
          <w:rFonts w:ascii="宋体" w:hAnsi="宋体" w:cs="宋体"/>
          <w:b/>
          <w:color w:val="000000" w:themeColor="text1"/>
          <w:sz w:val="28"/>
          <w:szCs w:val="28"/>
          <w:highlight w:val="none"/>
          <w14:textFill>
            <w14:solidFill>
              <w14:schemeClr w14:val="tx1"/>
            </w14:solidFill>
          </w14:textFill>
        </w:rPr>
      </w:pPr>
    </w:p>
    <w:p w14:paraId="0FCE1A41">
      <w:pPr>
        <w:pStyle w:val="27"/>
        <w:rPr>
          <w:rFonts w:ascii="宋体" w:hAnsi="宋体" w:cs="宋体"/>
          <w:b/>
          <w:color w:val="000000" w:themeColor="text1"/>
          <w:sz w:val="28"/>
          <w:szCs w:val="28"/>
          <w:highlight w:val="none"/>
          <w14:textFill>
            <w14:solidFill>
              <w14:schemeClr w14:val="tx1"/>
            </w14:solidFill>
          </w14:textFill>
        </w:rPr>
      </w:pPr>
    </w:p>
    <w:p w14:paraId="5B6FBD8C">
      <w:pPr>
        <w:spacing w:line="360" w:lineRule="auto"/>
        <w:jc w:val="center"/>
        <w:rPr>
          <w:rFonts w:ascii="宋体" w:hAnsi="宋体" w:cs="宋体"/>
          <w:b/>
          <w:color w:val="000000" w:themeColor="text1"/>
          <w:sz w:val="28"/>
          <w:szCs w:val="28"/>
          <w:highlight w:val="none"/>
          <w14:textFill>
            <w14:solidFill>
              <w14:schemeClr w14:val="tx1"/>
            </w14:solidFill>
          </w14:textFill>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p>
    <w:p w14:paraId="7535CB0F">
      <w:pPr>
        <w:spacing w:line="360" w:lineRule="auto"/>
        <w:rPr>
          <w:rFonts w:ascii="宋体" w:hAnsi="宋体"/>
          <w:sz w:val="32"/>
          <w:szCs w:val="32"/>
          <w:highlight w:val="none"/>
        </w:rPr>
      </w:pPr>
      <w:r>
        <w:rPr>
          <w:rFonts w:hint="eastAsia" w:ascii="宋体" w:hAnsi="宋体"/>
          <w:sz w:val="32"/>
          <w:szCs w:val="32"/>
          <w:highlight w:val="none"/>
        </w:rPr>
        <w:t>参考格式2：</w:t>
      </w:r>
    </w:p>
    <w:p w14:paraId="7FD53D80">
      <w:pPr>
        <w:spacing w:line="360" w:lineRule="auto"/>
        <w:jc w:val="center"/>
        <w:rPr>
          <w:rFonts w:ascii="宋体" w:hAnsi="宋体" w:cs="宋体"/>
          <w:b/>
          <w:color w:val="000000" w:themeColor="text1"/>
          <w:sz w:val="28"/>
          <w:szCs w:val="28"/>
          <w:highlight w:val="none"/>
          <w14:textFill>
            <w14:solidFill>
              <w14:schemeClr w14:val="tx1"/>
            </w14:solidFill>
          </w14:textFill>
        </w:rPr>
      </w:pPr>
    </w:p>
    <w:p w14:paraId="6F4B2638">
      <w:pPr>
        <w:spacing w:line="360" w:lineRule="auto"/>
        <w:jc w:val="center"/>
        <w:rPr>
          <w:rFonts w:ascii="宋体" w:hAnsi="宋体" w:cs="宋体"/>
          <w:b/>
          <w:color w:val="000000" w:themeColor="text1"/>
          <w:sz w:val="28"/>
          <w:szCs w:val="28"/>
          <w:highlight w:val="none"/>
          <w14:textFill>
            <w14:solidFill>
              <w14:schemeClr w14:val="tx1"/>
            </w14:solidFill>
          </w14:textFill>
        </w:rPr>
      </w:pPr>
    </w:p>
    <w:p w14:paraId="1CBE70ED">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履行合同所必需的设备和专业技术能力的书面声明</w:t>
      </w:r>
    </w:p>
    <w:p w14:paraId="0B818C3E">
      <w:pPr>
        <w:pStyle w:val="10"/>
        <w:adjustRightInd w:val="0"/>
        <w:snapToGrid w:val="0"/>
        <w:spacing w:line="360" w:lineRule="auto"/>
        <w:jc w:val="center"/>
        <w:rPr>
          <w:b/>
          <w:color w:val="000000" w:themeColor="text1"/>
          <w:sz w:val="44"/>
          <w:szCs w:val="44"/>
          <w:highlight w:val="none"/>
          <w14:textFill>
            <w14:solidFill>
              <w14:schemeClr w14:val="tx1"/>
            </w14:solidFill>
          </w14:textFill>
        </w:rPr>
      </w:pPr>
    </w:p>
    <w:p w14:paraId="387B4E6A">
      <w:pPr>
        <w:widowControl/>
        <w:spacing w:line="48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（采购人名称）    </w:t>
      </w:r>
      <w:r>
        <w:rPr>
          <w:rFonts w:hint="eastAsia" w:ascii="宋体" w:hAnsi="宋体" w:cs="宋体"/>
          <w:color w:val="000000" w:themeColor="text1"/>
          <w:kern w:val="0"/>
          <w:sz w:val="24"/>
          <w:highlight w:val="none"/>
          <w14:textFill>
            <w14:solidFill>
              <w14:schemeClr w14:val="tx1"/>
            </w14:solidFill>
          </w14:textFill>
        </w:rPr>
        <w:t>：</w:t>
      </w:r>
    </w:p>
    <w:p w14:paraId="74EB52D1">
      <w:pPr>
        <w:widowControl/>
        <w:spacing w:line="48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cs="宋体"/>
          <w:color w:val="000000" w:themeColor="text1"/>
          <w:kern w:val="0"/>
          <w:sz w:val="24"/>
          <w:highlight w:val="none"/>
          <w14:textFill>
            <w14:solidFill>
              <w14:schemeClr w14:val="tx1"/>
            </w14:solidFill>
          </w14:textFill>
        </w:rPr>
        <w:t>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日在中华人民共和国境内</w:t>
      </w:r>
      <w:r>
        <w:rPr>
          <w:rFonts w:hint="eastAsia" w:ascii="宋体" w:hAnsi="宋体" w:cs="宋体"/>
          <w:color w:val="000000" w:themeColor="text1"/>
          <w:kern w:val="0"/>
          <w:sz w:val="24"/>
          <w:highlight w:val="none"/>
          <w:u w:val="single"/>
          <w14:textFill>
            <w14:solidFill>
              <w14:schemeClr w14:val="tx1"/>
            </w14:solidFill>
          </w14:textFill>
        </w:rPr>
        <w:t xml:space="preserve">               （详细注册地址）     </w:t>
      </w:r>
      <w:r>
        <w:rPr>
          <w:rFonts w:hint="eastAsia" w:ascii="宋体" w:hAnsi="宋体" w:cs="宋体"/>
          <w:color w:val="000000" w:themeColor="text1"/>
          <w:kern w:val="0"/>
          <w:sz w:val="24"/>
          <w:highlight w:val="none"/>
          <w14:textFill>
            <w14:solidFill>
              <w14:schemeClr w14:val="tx1"/>
            </w14:solidFill>
          </w14:textFill>
        </w:rPr>
        <w:t>合法注册并经营，公司主营业务为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，营业（生产经营）面积为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，现有员工数量为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，其中与履行本合同相关的专业技术人员有（</w:t>
      </w:r>
      <w:r>
        <w:rPr>
          <w:rFonts w:hint="eastAsia" w:ascii="宋体" w:hAnsi="宋体" w:cs="宋体"/>
          <w:color w:val="000000" w:themeColor="text1"/>
          <w:kern w:val="0"/>
          <w:sz w:val="24"/>
          <w:highlight w:val="none"/>
          <w:u w:val="single"/>
          <w14:textFill>
            <w14:solidFill>
              <w14:schemeClr w14:val="tx1"/>
            </w14:solidFill>
          </w14:textFill>
        </w:rPr>
        <w:t xml:space="preserve">             专业能力、数量        </w:t>
      </w:r>
      <w:r>
        <w:rPr>
          <w:rFonts w:hint="eastAsia" w:ascii="宋体" w:hAnsi="宋体" w:cs="宋体"/>
          <w:color w:val="000000" w:themeColor="text1"/>
          <w:kern w:val="0"/>
          <w:sz w:val="24"/>
          <w:highlight w:val="none"/>
          <w14:textFill>
            <w14:solidFill>
              <w14:schemeClr w14:val="tx1"/>
            </w14:solidFill>
          </w14:textFill>
        </w:rPr>
        <w:t>），本公司郑重承诺，具有履行本合同所必需的设备和专业技术能力。</w:t>
      </w:r>
    </w:p>
    <w:p w14:paraId="70285185">
      <w:pPr>
        <w:widowControl/>
        <w:spacing w:line="480" w:lineRule="auto"/>
        <w:jc w:val="left"/>
        <w:rPr>
          <w:rFonts w:ascii="宋体" w:hAnsi="宋体" w:cs="宋体"/>
          <w:color w:val="000000" w:themeColor="text1"/>
          <w:kern w:val="0"/>
          <w:sz w:val="24"/>
          <w:highlight w:val="none"/>
          <w14:textFill>
            <w14:solidFill>
              <w14:schemeClr w14:val="tx1"/>
            </w14:solidFill>
          </w14:textFill>
        </w:rPr>
      </w:pPr>
    </w:p>
    <w:p w14:paraId="17D6CA08">
      <w:pPr>
        <w:widowControl/>
        <w:spacing w:line="480" w:lineRule="auto"/>
        <w:jc w:val="left"/>
        <w:rPr>
          <w:rFonts w:ascii="宋体" w:hAnsi="宋体" w:cs="宋体"/>
          <w:color w:val="000000" w:themeColor="text1"/>
          <w:kern w:val="0"/>
          <w:sz w:val="24"/>
          <w:highlight w:val="none"/>
          <w14:textFill>
            <w14:solidFill>
              <w14:schemeClr w14:val="tx1"/>
            </w14:solidFill>
          </w14:textFill>
        </w:rPr>
      </w:pPr>
    </w:p>
    <w:p w14:paraId="2D272C4F">
      <w:pPr>
        <w:widowControl/>
        <w:spacing w:line="480" w:lineRule="auto"/>
        <w:jc w:val="left"/>
        <w:rPr>
          <w:rFonts w:ascii="宋体" w:hAnsi="宋体" w:cs="宋体"/>
          <w:color w:val="000000" w:themeColor="text1"/>
          <w:kern w:val="0"/>
          <w:sz w:val="24"/>
          <w:highlight w:val="none"/>
          <w14:textFill>
            <w14:solidFill>
              <w14:schemeClr w14:val="tx1"/>
            </w14:solidFill>
          </w14:textFill>
        </w:rPr>
      </w:pPr>
    </w:p>
    <w:p w14:paraId="2373AA4F">
      <w:pPr>
        <w:widowControl/>
        <w:spacing w:line="480" w:lineRule="auto"/>
        <w:ind w:firstLine="2880" w:firstLineChars="1200"/>
        <w:jc w:val="left"/>
        <w:rPr>
          <w:rFonts w:ascii="宋体" w:hAnsi="宋体" w:cs="宋体"/>
          <w:color w:val="000000" w:themeColor="text1"/>
          <w:kern w:val="0"/>
          <w:sz w:val="24"/>
          <w:highlight w:val="none"/>
          <w14:textFill>
            <w14:solidFill>
              <w14:schemeClr w14:val="tx1"/>
            </w14:solidFill>
          </w14:textFill>
        </w:rPr>
      </w:pPr>
    </w:p>
    <w:p w14:paraId="0DB8CD40">
      <w:pPr>
        <w:widowControl/>
        <w:spacing w:line="480" w:lineRule="auto"/>
        <w:ind w:firstLine="4080" w:firstLineChars="17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供应商（公章）： </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179E2296">
      <w:pPr>
        <w:widowControl/>
        <w:spacing w:line="48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法定代表人（负责人）</w:t>
      </w:r>
    </w:p>
    <w:p w14:paraId="28111F65">
      <w:pPr>
        <w:widowControl/>
        <w:spacing w:line="480" w:lineRule="auto"/>
        <w:ind w:firstLine="4080" w:firstLineChars="17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或授权代表</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179F1BA7">
      <w:pPr>
        <w:widowControl/>
        <w:spacing w:line="480" w:lineRule="auto"/>
        <w:ind w:firstLine="4080" w:firstLineChars="17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日    期：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p>
    <w:p w14:paraId="087CBC04">
      <w:pPr>
        <w:spacing w:line="360"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End w:id="36"/>
      <w:r>
        <w:rPr>
          <w:rFonts w:hint="eastAsia" w:ascii="宋体" w:hAnsi="宋体" w:cs="宋体"/>
          <w:b/>
          <w:color w:val="000000" w:themeColor="text1"/>
          <w:sz w:val="32"/>
          <w:szCs w:val="32"/>
          <w:highlight w:val="none"/>
          <w14:textFill>
            <w14:solidFill>
              <w14:schemeClr w14:val="tx1"/>
            </w14:solidFill>
          </w14:textFill>
        </w:rPr>
        <w:t>附件一</w:t>
      </w:r>
    </w:p>
    <w:p w14:paraId="707F2913">
      <w:pPr>
        <w:spacing w:line="360" w:lineRule="auto"/>
        <w:ind w:firstLine="21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w:t>
      </w:r>
    </w:p>
    <w:p w14:paraId="736B4EED">
      <w:pPr>
        <w:spacing w:line="360" w:lineRule="auto"/>
        <w:ind w:firstLine="211"/>
        <w:jc w:val="center"/>
        <w:rPr>
          <w:rFonts w:ascii="宋体" w:hAnsi="宋体" w:cs="宋体"/>
          <w:b/>
          <w:color w:val="000000" w:themeColor="text1"/>
          <w:sz w:val="32"/>
          <w:szCs w:val="32"/>
          <w:highlight w:val="none"/>
          <w14:textFill>
            <w14:solidFill>
              <w14:schemeClr w14:val="tx1"/>
            </w14:solidFill>
          </w14:textFill>
        </w:rPr>
      </w:pPr>
    </w:p>
    <w:p w14:paraId="13A8694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14:textFill>
            <w14:solidFill>
              <w14:schemeClr w14:val="tx1"/>
            </w14:solidFill>
          </w14:textFill>
        </w:rPr>
        <w:t>（单位名称）的（项目名称）</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61CDC7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color w:val="000000" w:themeColor="text1"/>
          <w:sz w:val="24"/>
          <w:highlight w:val="none"/>
          <w:vertAlign w:val="superscript"/>
          <w14:textFill>
            <w14:solidFill>
              <w14:schemeClr w14:val="tx1"/>
            </w14:solidFill>
          </w14:textFill>
        </w:rPr>
        <w:t>1</w:t>
      </w:r>
      <w:r>
        <w:rPr>
          <w:rFonts w:hint="eastAsia" w:ascii="宋体" w:hAnsi="宋体" w:cs="宋体"/>
          <w:color w:val="000000" w:themeColor="text1"/>
          <w:sz w:val="24"/>
          <w:highlight w:val="none"/>
          <w:vertAlign w:val="superscript"/>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29B63A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03C2443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47728C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DB03912">
      <w:pPr>
        <w:spacing w:line="72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4D7A824">
      <w:pPr>
        <w:spacing w:line="720" w:lineRule="auto"/>
        <w:ind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4895D283">
      <w:pPr>
        <w:spacing w:line="720" w:lineRule="auto"/>
        <w:ind w:firstLine="5520" w:firstLineChars="2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3719E3F9">
      <w:pPr>
        <w:snapToGrid w:val="0"/>
        <w:spacing w:line="480" w:lineRule="auto"/>
        <w:rPr>
          <w:rFonts w:ascii="宋体" w:hAnsi="宋体" w:cs="宋体"/>
          <w:color w:val="000000" w:themeColor="text1"/>
          <w:sz w:val="24"/>
          <w:highlight w:val="none"/>
          <w14:textFill>
            <w14:solidFill>
              <w14:schemeClr w14:val="tx1"/>
            </w14:solidFill>
          </w14:textFill>
        </w:rPr>
      </w:pPr>
    </w:p>
    <w:p w14:paraId="51A3E128">
      <w:pPr>
        <w:snapToGrid w:val="0"/>
        <w:spacing w:line="480" w:lineRule="auto"/>
        <w:rPr>
          <w:rFonts w:ascii="宋体" w:hAnsi="宋体" w:cs="宋体"/>
          <w:color w:val="000000" w:themeColor="text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p w14:paraId="135AE992">
      <w:pPr>
        <w:spacing w:line="360" w:lineRule="auto"/>
        <w:rPr>
          <w:rFonts w:ascii="宋体" w:hAnsi="宋体" w:cs="宋体"/>
          <w:b/>
          <w:color w:val="000000" w:themeColor="text1"/>
          <w:sz w:val="32"/>
          <w:szCs w:val="32"/>
          <w:highlight w:val="none"/>
          <w14:textFill>
            <w14:solidFill>
              <w14:schemeClr w14:val="tx1"/>
            </w14:solidFill>
          </w14:textFill>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p>
    <w:p w14:paraId="18FAE7DD">
      <w:pPr>
        <w:spacing w:line="360"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附件二</w:t>
      </w:r>
    </w:p>
    <w:p w14:paraId="1E235C8F">
      <w:pPr>
        <w:widowControl/>
        <w:spacing w:after="24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监狱企业证明文件</w:t>
      </w:r>
    </w:p>
    <w:p w14:paraId="672DDBCE">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14:paraId="43AF5AAA">
      <w:pPr>
        <w:spacing w:line="360" w:lineRule="auto"/>
        <w:rPr>
          <w:rFonts w:ascii="宋体" w:hAnsi="宋体" w:cs="宋体"/>
          <w:b/>
          <w:bCs/>
          <w:color w:val="000000" w:themeColor="text1"/>
          <w:sz w:val="32"/>
          <w:szCs w:val="32"/>
          <w:highlight w:val="none"/>
          <w14:textFill>
            <w14:solidFill>
              <w14:schemeClr w14:val="tx1"/>
            </w14:solidFill>
          </w14:textFill>
        </w:rPr>
      </w:pPr>
      <w:bookmarkStart w:id="37" w:name="_Toc14457"/>
      <w:bookmarkStart w:id="38" w:name="_Toc12305"/>
      <w:r>
        <w:rPr>
          <w:rFonts w:hint="eastAsia"/>
          <w:b/>
          <w:bCs/>
          <w:color w:val="000000" w:themeColor="text1"/>
          <w:sz w:val="24"/>
          <w:highlight w:val="none"/>
          <w14:textFill>
            <w14:solidFill>
              <w14:schemeClr w14:val="tx1"/>
            </w14:solidFill>
          </w14:textFill>
        </w:rPr>
        <w:t>注：如供应商不符合要求无需提供此表。</w:t>
      </w:r>
      <w:bookmarkEnd w:id="37"/>
      <w:bookmarkEnd w:id="38"/>
    </w:p>
    <w:p w14:paraId="3C775B99">
      <w:pPr>
        <w:snapToGrid w:val="0"/>
        <w:spacing w:line="480" w:lineRule="auto"/>
        <w:rPr>
          <w:rFonts w:ascii="宋体" w:hAnsi="宋体" w:cs="宋体"/>
          <w:color w:val="000000" w:themeColor="text1"/>
          <w:sz w:val="32"/>
          <w:szCs w:val="32"/>
          <w:highlight w:val="none"/>
          <w14:textFill>
            <w14:solidFill>
              <w14:schemeClr w14:val="tx1"/>
            </w14:solidFill>
          </w14:textFill>
        </w:rPr>
      </w:pPr>
    </w:p>
    <w:p w14:paraId="564AB939">
      <w:pPr>
        <w:spacing w:line="360"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附件三</w:t>
      </w:r>
    </w:p>
    <w:p w14:paraId="6436375F">
      <w:pPr>
        <w:widowControl/>
        <w:spacing w:after="24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福利企业证明文件</w:t>
      </w:r>
    </w:p>
    <w:p w14:paraId="7388E911">
      <w:pPr>
        <w:widowControl/>
        <w:spacing w:before="100" w:beforeAutospacing="1" w:after="100" w:afterAutospacing="1"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p>
    <w:p w14:paraId="149CDA7F">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说明：根据《关于政府采购优先购买福利性企业系统和服务的意见》(陕民发【2015】1号)，福利企业参加政府采购活动时，应提供省级残疾人集中就业企业和民政福利企业证明文件，包括以民政、财政、残联部门联合发文的形式正式予以公布的福利性企业名单和系统目录等。</w:t>
      </w:r>
    </w:p>
    <w:p w14:paraId="7F224189">
      <w:pPr>
        <w:pStyle w:val="18"/>
        <w:spacing w:line="360" w:lineRule="auto"/>
        <w:ind w:firstLine="48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注：非残疾人福利性单位不填写此声明函。</w:t>
      </w:r>
    </w:p>
    <w:p w14:paraId="394452B9">
      <w:pPr>
        <w:pStyle w:val="11"/>
        <w:rPr>
          <w:color w:val="000000" w:themeColor="text1"/>
          <w:highlight w:val="none"/>
          <w14:textFill>
            <w14:solidFill>
              <w14:schemeClr w14:val="tx1"/>
            </w14:solidFill>
          </w14:textFill>
        </w:rPr>
        <w:sectPr>
          <w:pgSz w:w="11906" w:h="16838"/>
          <w:pgMar w:top="1134" w:right="1417" w:bottom="1134" w:left="1417" w:header="851" w:footer="624" w:gutter="0"/>
          <w:pgBorders>
            <w:top w:val="none" w:sz="0" w:space="0"/>
            <w:left w:val="none" w:sz="0" w:space="0"/>
            <w:bottom w:val="none" w:sz="0" w:space="0"/>
            <w:right w:val="none" w:sz="0" w:space="0"/>
          </w:pgBorders>
          <w:pgNumType w:start="1"/>
          <w:cols w:space="720" w:num="1"/>
          <w:titlePg/>
          <w:docGrid w:linePitch="312" w:charSpace="0"/>
        </w:sectPr>
      </w:pPr>
    </w:p>
    <w:p w14:paraId="4E97EB0F">
      <w:pPr>
        <w:spacing w:line="360"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附件四</w:t>
      </w:r>
    </w:p>
    <w:p w14:paraId="4AA15B4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二次（最终）报价表</w:t>
      </w:r>
    </w:p>
    <w:p w14:paraId="14CB7AC1">
      <w:pPr>
        <w:spacing w:line="360" w:lineRule="auto"/>
        <w:ind w:firstLine="211"/>
        <w:jc w:val="center"/>
        <w:rPr>
          <w:rFonts w:ascii="宋体" w:hAnsi="宋体" w:cs="宋体"/>
          <w:b/>
          <w:color w:val="000000" w:themeColor="text1"/>
          <w:sz w:val="24"/>
          <w:highlight w:val="none"/>
          <w14:textFill>
            <w14:solidFill>
              <w14:schemeClr w14:val="tx1"/>
            </w14:solidFill>
          </w14:textFill>
        </w:rPr>
      </w:pPr>
    </w:p>
    <w:p w14:paraId="7DDAFC5D">
      <w:pPr>
        <w:spacing w:line="360" w:lineRule="auto"/>
        <w:ind w:firstLine="513" w:firstLineChars="21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                                     项目编号：</w:t>
      </w:r>
    </w:p>
    <w:tbl>
      <w:tblPr>
        <w:tblStyle w:val="21"/>
        <w:tblW w:w="8565" w:type="dxa"/>
        <w:jc w:val="center"/>
        <w:tblLayout w:type="fixed"/>
        <w:tblCellMar>
          <w:top w:w="0" w:type="dxa"/>
          <w:left w:w="108" w:type="dxa"/>
          <w:bottom w:w="0" w:type="dxa"/>
          <w:right w:w="108" w:type="dxa"/>
        </w:tblCellMar>
      </w:tblPr>
      <w:tblGrid>
        <w:gridCol w:w="3150"/>
        <w:gridCol w:w="3650"/>
        <w:gridCol w:w="1765"/>
      </w:tblGrid>
      <w:tr w14:paraId="3C3626F2">
        <w:tblPrEx>
          <w:tblCellMar>
            <w:top w:w="0" w:type="dxa"/>
            <w:left w:w="108" w:type="dxa"/>
            <w:bottom w:w="0" w:type="dxa"/>
            <w:right w:w="108" w:type="dxa"/>
          </w:tblCellMar>
        </w:tblPrEx>
        <w:trPr>
          <w:trHeight w:val="1762" w:hRule="atLeast"/>
          <w:jc w:val="center"/>
        </w:trPr>
        <w:tc>
          <w:tcPr>
            <w:tcW w:w="3150" w:type="dxa"/>
            <w:tcBorders>
              <w:top w:val="single" w:color="000000" w:sz="4" w:space="0"/>
              <w:left w:val="single" w:color="000000" w:sz="4" w:space="0"/>
              <w:bottom w:val="single" w:color="000000" w:sz="4" w:space="0"/>
            </w:tcBorders>
            <w:vAlign w:val="center"/>
          </w:tcPr>
          <w:p w14:paraId="626CB7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磋商总报价（元）</w:t>
            </w:r>
          </w:p>
        </w:tc>
        <w:tc>
          <w:tcPr>
            <w:tcW w:w="3650" w:type="dxa"/>
            <w:tcBorders>
              <w:top w:val="single" w:color="000000" w:sz="4" w:space="0"/>
              <w:left w:val="single" w:color="000000" w:sz="4" w:space="0"/>
              <w:bottom w:val="single" w:color="000000" w:sz="4" w:space="0"/>
              <w:right w:val="single" w:color="000000" w:sz="4" w:space="0"/>
            </w:tcBorders>
            <w:vAlign w:val="center"/>
          </w:tcPr>
          <w:p w14:paraId="63A02AC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c>
          <w:tcPr>
            <w:tcW w:w="1765" w:type="dxa"/>
            <w:tcBorders>
              <w:top w:val="single" w:color="000000" w:sz="4" w:space="0"/>
              <w:left w:val="single" w:color="000000" w:sz="4" w:space="0"/>
              <w:bottom w:val="single" w:color="000000" w:sz="4" w:space="0"/>
              <w:right w:val="single" w:color="000000" w:sz="4" w:space="0"/>
            </w:tcBorders>
            <w:vAlign w:val="center"/>
          </w:tcPr>
          <w:p w14:paraId="6B18E0D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409F2B23">
        <w:tblPrEx>
          <w:tblCellMar>
            <w:top w:w="0" w:type="dxa"/>
            <w:left w:w="108" w:type="dxa"/>
            <w:bottom w:w="0" w:type="dxa"/>
            <w:right w:w="108" w:type="dxa"/>
          </w:tblCellMar>
        </w:tblPrEx>
        <w:trPr>
          <w:trHeight w:val="2340" w:hRule="atLeast"/>
          <w:jc w:val="center"/>
        </w:trPr>
        <w:tc>
          <w:tcPr>
            <w:tcW w:w="3150" w:type="dxa"/>
            <w:tcBorders>
              <w:top w:val="single" w:color="000000" w:sz="4" w:space="0"/>
              <w:left w:val="single" w:color="000000" w:sz="4" w:space="0"/>
              <w:bottom w:val="single" w:color="000000" w:sz="4" w:space="0"/>
            </w:tcBorders>
            <w:vAlign w:val="center"/>
          </w:tcPr>
          <w:p w14:paraId="4BF1501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                      </w:t>
            </w:r>
          </w:p>
          <w:p w14:paraId="660C9536">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96DE1ED">
            <w:pPr>
              <w:spacing w:line="360" w:lineRule="auto"/>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xml:space="preserve">                      </w:t>
            </w:r>
          </w:p>
        </w:tc>
        <w:tc>
          <w:tcPr>
            <w:tcW w:w="3650" w:type="dxa"/>
            <w:tcBorders>
              <w:top w:val="single" w:color="000000" w:sz="4" w:space="0"/>
              <w:left w:val="single" w:color="000000" w:sz="4" w:space="0"/>
              <w:bottom w:val="single" w:color="000000" w:sz="4" w:space="0"/>
              <w:right w:val="single" w:color="000000" w:sz="4" w:space="0"/>
            </w:tcBorders>
            <w:vAlign w:val="center"/>
          </w:tcPr>
          <w:p w14:paraId="1EA51C9C">
            <w:pPr>
              <w:pStyle w:val="8"/>
              <w:rPr>
                <w:color w:val="000000" w:themeColor="text1"/>
                <w:highlight w:val="none"/>
                <w14:textFill>
                  <w14:solidFill>
                    <w14:schemeClr w14:val="tx1"/>
                  </w14:solidFill>
                </w14:textFill>
              </w:rPr>
            </w:pPr>
          </w:p>
        </w:tc>
        <w:tc>
          <w:tcPr>
            <w:tcW w:w="1765" w:type="dxa"/>
            <w:tcBorders>
              <w:top w:val="single" w:color="000000" w:sz="4" w:space="0"/>
              <w:left w:val="single" w:color="000000" w:sz="4" w:space="0"/>
              <w:bottom w:val="single" w:color="000000" w:sz="4" w:space="0"/>
              <w:right w:val="single" w:color="000000" w:sz="4" w:space="0"/>
            </w:tcBorders>
            <w:vAlign w:val="center"/>
          </w:tcPr>
          <w:p w14:paraId="27952DFA">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F8A95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1EBD8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1.本合同为固定总价合同，供应商为完成磋商项目所需的全部费用（包括人员、验收、培训、运行维护、质量保证、税金等。）均应计入报价中。</w:t>
      </w:r>
    </w:p>
    <w:p w14:paraId="48C0BA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2.本表不装在响应文件中，磋商时需要二次（最终）报价时现场填写。</w:t>
      </w:r>
    </w:p>
    <w:p w14:paraId="6F823E6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考虑磋商报价的方便，供应商在填写最终报价后，(第一次报价－最终报价)除以第一次报价后得出的优惠率视同为需求表中全部分项设备或服务的优惠浮动值(特定分项优惠除外)。此优惠率调整原则适用于合同内价格的计算及项目增减、变更时价格的计算。</w:t>
      </w:r>
    </w:p>
    <w:p w14:paraId="7CAC644E">
      <w:pPr>
        <w:spacing w:line="360" w:lineRule="auto"/>
        <w:ind w:firstLine="3998" w:firstLineChars="1666"/>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1210AF4C">
      <w:pPr>
        <w:spacing w:line="360" w:lineRule="auto"/>
        <w:ind w:firstLine="3998" w:firstLineChars="1666"/>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w:t>
      </w:r>
    </w:p>
    <w:p w14:paraId="1EEEEAE3">
      <w:pPr>
        <w:spacing w:line="360" w:lineRule="auto"/>
        <w:ind w:firstLine="3998" w:firstLineChars="1666"/>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(签字)</w:t>
      </w:r>
    </w:p>
    <w:p w14:paraId="744AA223">
      <w:pPr>
        <w:spacing w:line="360" w:lineRule="auto"/>
        <w:ind w:firstLine="3998" w:firstLineChars="1666"/>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EBDEA71">
      <w:pPr>
        <w:spacing w:line="500" w:lineRule="exact"/>
        <w:rPr>
          <w:rFonts w:ascii="宋体" w:hAnsi="宋体" w:cs="宋体"/>
          <w:b/>
          <w:bCs/>
          <w:color w:val="000000" w:themeColor="text1"/>
          <w:sz w:val="32"/>
          <w:highlight w:val="none"/>
          <w14:textFill>
            <w14:solidFill>
              <w14:schemeClr w14:val="tx1"/>
            </w14:solidFill>
          </w14:textFill>
        </w:rPr>
      </w:pPr>
    </w:p>
    <w:p w14:paraId="6B3AA657">
      <w:pPr>
        <w:pStyle w:val="11"/>
        <w:rPr>
          <w:color w:val="000000" w:themeColor="text1"/>
          <w:highlight w:val="none"/>
          <w14:textFill>
            <w14:solidFill>
              <w14:schemeClr w14:val="tx1"/>
            </w14:solidFill>
          </w14:textFill>
        </w:rPr>
      </w:pPr>
    </w:p>
    <w:p w14:paraId="6A7102D3">
      <w:pPr>
        <w:spacing w:line="360" w:lineRule="auto"/>
        <w:rPr>
          <w:rFonts w:ascii="宋体" w:hAnsi="宋体" w:cs="宋体"/>
          <w:b/>
          <w:color w:val="000000" w:themeColor="text1"/>
          <w:sz w:val="32"/>
          <w:szCs w:val="32"/>
          <w:highlight w:val="none"/>
          <w14:textFill>
            <w14:solidFill>
              <w14:schemeClr w14:val="tx1"/>
            </w14:solidFill>
          </w14:textFill>
        </w:rPr>
      </w:pPr>
    </w:p>
    <w:p w14:paraId="32602569">
      <w:pPr>
        <w:spacing w:line="360" w:lineRule="auto"/>
        <w:rPr>
          <w:rFonts w:ascii="宋体" w:hAnsi="宋体" w:cs="宋体"/>
          <w:b/>
          <w:color w:val="000000" w:themeColor="text1"/>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134" w:right="1417" w:bottom="1134" w:left="1417" w:header="851" w:footer="510" w:gutter="0"/>
          <w:pgBorders>
            <w:top w:val="none" w:sz="0" w:space="0"/>
            <w:left w:val="none" w:sz="0" w:space="0"/>
            <w:bottom w:val="none" w:sz="0" w:space="0"/>
            <w:right w:val="none" w:sz="0" w:space="0"/>
          </w:pgBorders>
          <w:cols w:space="720" w:num="1"/>
          <w:titlePg/>
          <w:docGrid w:linePitch="312" w:charSpace="0"/>
        </w:sectPr>
      </w:pPr>
    </w:p>
    <w:p w14:paraId="6F8ADCD7">
      <w:pPr>
        <w:spacing w:line="360"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附件五</w:t>
      </w:r>
    </w:p>
    <w:p w14:paraId="397B0EEA">
      <w:pPr>
        <w:pStyle w:val="10"/>
        <w:jc w:val="center"/>
        <w:rPr>
          <w:rFonts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磋商保证金</w:t>
      </w:r>
    </w:p>
    <w:p w14:paraId="73191A34">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说明：可提供付款凭证或金融机构、担保机构出具的保函原件。</w:t>
      </w:r>
    </w:p>
    <w:p w14:paraId="574D230D">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p>
    <w:p w14:paraId="33B75D28">
      <w:pPr>
        <w:pStyle w:val="10"/>
        <w:spacing w:line="460" w:lineRule="exact"/>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保证金汇款声明函(适用银行转账)</w:t>
      </w:r>
    </w:p>
    <w:p w14:paraId="78B5689D">
      <w:pPr>
        <w:pStyle w:val="10"/>
        <w:spacing w:line="4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致：____________(采购人或采购代理机构)</w:t>
      </w:r>
    </w:p>
    <w:p w14:paraId="57338EAA">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(项目名称)(项目编号：</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)递交保证金人民币</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元(大写(人民币</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元)已于______年____月____日以银行主动划账方式划入你方账户。</w:t>
      </w:r>
    </w:p>
    <w:p w14:paraId="04EAC18A">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p>
    <w:p w14:paraId="0807C4ED">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详见附件：银行出具的汇款单或转账凭证复印件。</w:t>
      </w:r>
    </w:p>
    <w:p w14:paraId="337FCD9E">
      <w:pPr>
        <w:pStyle w:val="10"/>
        <w:spacing w:line="460" w:lineRule="exact"/>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退还保证金时请按以下内容划入我方账户。若因内容不全、错误、字迹潦草模糊导致该项目保证金未能及时退还或退还过程中发生错误，我方将承担全部责任和损失。</w:t>
      </w:r>
    </w:p>
    <w:p w14:paraId="0FDB77B1">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单位全称：</w:t>
      </w:r>
    </w:p>
    <w:p w14:paraId="353D8820">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开户银行：</w:t>
      </w:r>
    </w:p>
    <w:p w14:paraId="6D52FE20">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开户账号：</w:t>
      </w:r>
    </w:p>
    <w:p w14:paraId="6B4CDF93">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供应商(公章)：　</w:t>
      </w:r>
    </w:p>
    <w:p w14:paraId="320C13FE">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　</w:t>
      </w:r>
    </w:p>
    <w:p w14:paraId="5725078C">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项目联系人：　　</w:t>
      </w:r>
    </w:p>
    <w:p w14:paraId="0C032573">
      <w:pPr>
        <w:pStyle w:val="1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电话(手机)：　</w:t>
      </w:r>
    </w:p>
    <w:tbl>
      <w:tblPr>
        <w:tblStyle w:val="21"/>
        <w:tblW w:w="79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0"/>
      </w:tblGrid>
      <w:tr w14:paraId="3A07C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1" w:hRule="atLeast"/>
          <w:jc w:val="center"/>
        </w:trPr>
        <w:tc>
          <w:tcPr>
            <w:tcW w:w="7920" w:type="dxa"/>
            <w:tcBorders>
              <w:top w:val="single" w:color="auto" w:sz="4" w:space="0"/>
              <w:bottom w:val="single" w:color="auto" w:sz="4" w:space="0"/>
            </w:tcBorders>
            <w:vAlign w:val="center"/>
          </w:tcPr>
          <w:p w14:paraId="30D6249D">
            <w:pPr>
              <w:pStyle w:val="1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汇款单或转账凭证复印件</w:t>
            </w:r>
          </w:p>
        </w:tc>
      </w:tr>
    </w:tbl>
    <w:p w14:paraId="651BCD2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3EBB186">
      <w:pPr>
        <w:pStyle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第六部分  封袋正面标识式样</w:t>
      </w:r>
    </w:p>
    <w:p w14:paraId="544095FE">
      <w:pPr>
        <w:spacing w:line="4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格式A：磋商响应文件封袋正面标识式样</w:t>
      </w:r>
    </w:p>
    <w:p w14:paraId="79AEA804">
      <w:pPr>
        <w:spacing w:line="4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5715000" cy="6562725"/>
                <wp:effectExtent l="4445" t="5080" r="14605" b="4445"/>
                <wp:wrapNone/>
                <wp:docPr id="1" name="文本框 1"/>
                <wp:cNvGraphicFramePr/>
                <a:graphic xmlns:a="http://schemas.openxmlformats.org/drawingml/2006/main">
                  <a:graphicData uri="http://schemas.microsoft.com/office/word/2010/wordprocessingShape">
                    <wps:wsp>
                      <wps:cNvSpPr txBox="1"/>
                      <wps:spPr>
                        <a:xfrm>
                          <a:off x="0" y="0"/>
                          <a:ext cx="5715000" cy="6562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4DD72E">
                            <w:pPr>
                              <w:rPr>
                                <w:rFonts w:hint="eastAsia" w:eastAsia="宋体"/>
                                <w:sz w:val="28"/>
                                <w:szCs w:val="28"/>
                                <w:lang w:eastAsia="zh-CN"/>
                              </w:rPr>
                            </w:pPr>
                            <w:r>
                              <w:rPr>
                                <w:rFonts w:hint="eastAsia"/>
                                <w:sz w:val="28"/>
                                <w:szCs w:val="28"/>
                              </w:rPr>
                              <w:t>致：</w:t>
                            </w:r>
                            <w:r>
                              <w:rPr>
                                <w:rFonts w:hint="eastAsia"/>
                                <w:sz w:val="28"/>
                                <w:szCs w:val="28"/>
                                <w:lang w:eastAsia="zh-CN"/>
                              </w:rPr>
                              <w:t>中智投工程管理有限公司</w:t>
                            </w:r>
                          </w:p>
                          <w:p w14:paraId="6A1B9B59">
                            <w:pPr>
                              <w:rPr>
                                <w:color w:val="FF0000"/>
                                <w:sz w:val="28"/>
                                <w:szCs w:val="28"/>
                              </w:rPr>
                            </w:pPr>
                            <w:r>
                              <w:rPr>
                                <w:rFonts w:hint="eastAsia"/>
                                <w:sz w:val="28"/>
                                <w:szCs w:val="28"/>
                              </w:rPr>
                              <w:t xml:space="preserve">项目编号：                                       </w:t>
                            </w:r>
                            <w:r>
                              <w:rPr>
                                <w:rFonts w:hint="eastAsia"/>
                                <w:color w:val="FF0000"/>
                                <w:sz w:val="28"/>
                                <w:szCs w:val="28"/>
                              </w:rPr>
                              <w:t xml:space="preserve">  </w:t>
                            </w:r>
                          </w:p>
                          <w:p w14:paraId="36C7D1AC">
                            <w:pPr>
                              <w:rPr>
                                <w:sz w:val="28"/>
                                <w:szCs w:val="28"/>
                              </w:rPr>
                            </w:pPr>
                            <w:r>
                              <w:rPr>
                                <w:rFonts w:hint="eastAsia"/>
                                <w:sz w:val="28"/>
                                <w:szCs w:val="28"/>
                              </w:rPr>
                              <w:t>项目名称：</w:t>
                            </w:r>
                          </w:p>
                          <w:p w14:paraId="5137797E">
                            <w:pPr>
                              <w:rPr>
                                <w:color w:val="FF0000"/>
                                <w:sz w:val="28"/>
                                <w:szCs w:val="28"/>
                              </w:rPr>
                            </w:pPr>
                            <w:r>
                              <w:rPr>
                                <w:rFonts w:hint="eastAsia"/>
                                <w:sz w:val="28"/>
                                <w:szCs w:val="28"/>
                              </w:rPr>
                              <w:t xml:space="preserve">                           </w:t>
                            </w:r>
                          </w:p>
                          <w:p w14:paraId="5A1BE69E">
                            <w:pPr>
                              <w:jc w:val="center"/>
                              <w:rPr>
                                <w:b/>
                                <w:sz w:val="44"/>
                                <w:szCs w:val="44"/>
                              </w:rPr>
                            </w:pPr>
                          </w:p>
                          <w:p w14:paraId="5B911778">
                            <w:pPr>
                              <w:jc w:val="center"/>
                              <w:rPr>
                                <w:b/>
                                <w:sz w:val="44"/>
                                <w:szCs w:val="44"/>
                              </w:rPr>
                            </w:pPr>
                          </w:p>
                          <w:p w14:paraId="6E6270D4">
                            <w:pPr>
                              <w:jc w:val="center"/>
                              <w:rPr>
                                <w:b/>
                                <w:sz w:val="44"/>
                                <w:szCs w:val="44"/>
                              </w:rPr>
                            </w:pPr>
                          </w:p>
                          <w:p w14:paraId="47A68C93">
                            <w:pPr>
                              <w:jc w:val="center"/>
                              <w:rPr>
                                <w:b/>
                                <w:sz w:val="44"/>
                                <w:szCs w:val="44"/>
                              </w:rPr>
                            </w:pPr>
                            <w:r>
                              <w:rPr>
                                <w:rFonts w:hint="eastAsia"/>
                                <w:b/>
                                <w:sz w:val="44"/>
                                <w:szCs w:val="44"/>
                              </w:rPr>
                              <w:t>磋商响应文件正本（副本）</w:t>
                            </w:r>
                          </w:p>
                          <w:p w14:paraId="379041D8">
                            <w:pPr>
                              <w:ind w:firstLine="280" w:firstLineChars="100"/>
                              <w:rPr>
                                <w:sz w:val="28"/>
                                <w:szCs w:val="28"/>
                              </w:rPr>
                            </w:pPr>
                            <w:r>
                              <w:rPr>
                                <w:rFonts w:hint="eastAsia" w:ascii="宋体" w:hAnsi="宋体" w:cs="宋体"/>
                                <w:sz w:val="28"/>
                                <w:szCs w:val="28"/>
                              </w:rPr>
                              <w:t>（磋商响应文件在202</w:t>
                            </w:r>
                            <w:r>
                              <w:rPr>
                                <w:rFonts w:hint="eastAsia" w:ascii="宋体" w:hAnsi="宋体" w:cs="宋体"/>
                                <w:sz w:val="28"/>
                                <w:szCs w:val="28"/>
                                <w:lang w:val="en-US" w:eastAsia="zh-CN"/>
                              </w:rPr>
                              <w:t>5</w:t>
                            </w:r>
                            <w:r>
                              <w:rPr>
                                <w:rFonts w:hint="eastAsia" w:ascii="宋体" w:hAnsi="宋体" w:cs="宋体"/>
                                <w:sz w:val="28"/>
                                <w:szCs w:val="28"/>
                              </w:rPr>
                              <w:t>年  月    日       时前不得开启）</w:t>
                            </w:r>
                          </w:p>
                          <w:p w14:paraId="2C6C03B7">
                            <w:pPr>
                              <w:ind w:firstLine="280" w:firstLineChars="100"/>
                              <w:rPr>
                                <w:sz w:val="28"/>
                                <w:szCs w:val="28"/>
                              </w:rPr>
                            </w:pPr>
                          </w:p>
                          <w:p w14:paraId="2736E3B0">
                            <w:pPr>
                              <w:ind w:firstLine="280" w:firstLineChars="100"/>
                              <w:rPr>
                                <w:sz w:val="28"/>
                                <w:szCs w:val="28"/>
                              </w:rPr>
                            </w:pPr>
                          </w:p>
                          <w:p w14:paraId="2CE3C7C3">
                            <w:pPr>
                              <w:ind w:firstLine="280" w:firstLineChars="100"/>
                              <w:rPr>
                                <w:sz w:val="28"/>
                                <w:szCs w:val="28"/>
                              </w:rPr>
                            </w:pPr>
                          </w:p>
                          <w:p w14:paraId="74223B4E">
                            <w:pPr>
                              <w:ind w:firstLine="280" w:firstLineChars="100"/>
                              <w:rPr>
                                <w:sz w:val="28"/>
                                <w:szCs w:val="28"/>
                              </w:rPr>
                            </w:pPr>
                          </w:p>
                          <w:p w14:paraId="1866CE97">
                            <w:pPr>
                              <w:ind w:firstLine="280" w:firstLineChars="100"/>
                              <w:rPr>
                                <w:sz w:val="28"/>
                                <w:szCs w:val="28"/>
                              </w:rPr>
                            </w:pPr>
                          </w:p>
                          <w:p w14:paraId="26120E78">
                            <w:pPr>
                              <w:ind w:firstLine="280" w:firstLineChars="100"/>
                              <w:rPr>
                                <w:sz w:val="28"/>
                                <w:szCs w:val="28"/>
                              </w:rPr>
                            </w:pPr>
                          </w:p>
                          <w:p w14:paraId="13359F39">
                            <w:pPr>
                              <w:ind w:firstLine="280" w:firstLineChars="100"/>
                              <w:rPr>
                                <w:sz w:val="28"/>
                                <w:szCs w:val="28"/>
                              </w:rPr>
                            </w:pPr>
                          </w:p>
                          <w:p w14:paraId="36EC89E6">
                            <w:pPr>
                              <w:ind w:firstLine="280" w:firstLineChars="100"/>
                              <w:rPr>
                                <w:sz w:val="28"/>
                                <w:szCs w:val="28"/>
                              </w:rPr>
                            </w:pPr>
                          </w:p>
                          <w:p w14:paraId="2F826461">
                            <w:pPr>
                              <w:ind w:firstLine="280" w:firstLineChars="100"/>
                              <w:rPr>
                                <w:sz w:val="28"/>
                                <w:szCs w:val="28"/>
                              </w:rPr>
                            </w:pPr>
                            <w:r>
                              <w:rPr>
                                <w:rFonts w:hint="eastAsia"/>
                                <w:sz w:val="28"/>
                                <w:szCs w:val="28"/>
                              </w:rPr>
                              <w:t>供应商名称：            （公章）</w:t>
                            </w:r>
                          </w:p>
                          <w:p w14:paraId="0DDDD9F4">
                            <w:pPr>
                              <w:rPr>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12.05pt;height:516.75pt;width:450pt;z-index:251659264;mso-width-relative:page;mso-height-relative:page;" fillcolor="#FFFFFF" filled="t" stroked="t" coordsize="21600,21600" o:gfxdata="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svkv9cAAAAIAQAADwAAAAAAAAAB&#10;ACAAAAAiAAAAZHJzL2Rvd25yZXYueG1sUEsBAhQAFAAAAAgAh07iQLBRfdYRAgAARQQAAA4AAAAA&#10;AAAAAQAgAAAAJgEAAGRycy9lMm9Eb2MueG1sUEsFBgAAAAAGAAYAWQEAAKkFAAAAAA==&#10;">
                <v:fill on="t" focussize="0,0"/>
                <v:stroke color="#000000" joinstyle="miter"/>
                <v:imagedata o:title=""/>
                <o:lock v:ext="edit" aspectratio="f"/>
                <v:textbox>
                  <w:txbxContent>
                    <w:p w14:paraId="7C4DD72E">
                      <w:pPr>
                        <w:rPr>
                          <w:rFonts w:hint="eastAsia" w:eastAsia="宋体"/>
                          <w:sz w:val="28"/>
                          <w:szCs w:val="28"/>
                          <w:lang w:eastAsia="zh-CN"/>
                        </w:rPr>
                      </w:pPr>
                      <w:r>
                        <w:rPr>
                          <w:rFonts w:hint="eastAsia"/>
                          <w:sz w:val="28"/>
                          <w:szCs w:val="28"/>
                        </w:rPr>
                        <w:t>致：</w:t>
                      </w:r>
                      <w:r>
                        <w:rPr>
                          <w:rFonts w:hint="eastAsia"/>
                          <w:sz w:val="28"/>
                          <w:szCs w:val="28"/>
                          <w:lang w:eastAsia="zh-CN"/>
                        </w:rPr>
                        <w:t>中智投工程管理有限公司</w:t>
                      </w:r>
                    </w:p>
                    <w:p w14:paraId="6A1B9B59">
                      <w:pPr>
                        <w:rPr>
                          <w:color w:val="FF0000"/>
                          <w:sz w:val="28"/>
                          <w:szCs w:val="28"/>
                        </w:rPr>
                      </w:pPr>
                      <w:r>
                        <w:rPr>
                          <w:rFonts w:hint="eastAsia"/>
                          <w:sz w:val="28"/>
                          <w:szCs w:val="28"/>
                        </w:rPr>
                        <w:t xml:space="preserve">项目编号：                                       </w:t>
                      </w:r>
                      <w:r>
                        <w:rPr>
                          <w:rFonts w:hint="eastAsia"/>
                          <w:color w:val="FF0000"/>
                          <w:sz w:val="28"/>
                          <w:szCs w:val="28"/>
                        </w:rPr>
                        <w:t xml:space="preserve">  </w:t>
                      </w:r>
                    </w:p>
                    <w:p w14:paraId="36C7D1AC">
                      <w:pPr>
                        <w:rPr>
                          <w:sz w:val="28"/>
                          <w:szCs w:val="28"/>
                        </w:rPr>
                      </w:pPr>
                      <w:r>
                        <w:rPr>
                          <w:rFonts w:hint="eastAsia"/>
                          <w:sz w:val="28"/>
                          <w:szCs w:val="28"/>
                        </w:rPr>
                        <w:t>项目名称：</w:t>
                      </w:r>
                    </w:p>
                    <w:p w14:paraId="5137797E">
                      <w:pPr>
                        <w:rPr>
                          <w:color w:val="FF0000"/>
                          <w:sz w:val="28"/>
                          <w:szCs w:val="28"/>
                        </w:rPr>
                      </w:pPr>
                      <w:r>
                        <w:rPr>
                          <w:rFonts w:hint="eastAsia"/>
                          <w:sz w:val="28"/>
                          <w:szCs w:val="28"/>
                        </w:rPr>
                        <w:t xml:space="preserve">                           </w:t>
                      </w:r>
                    </w:p>
                    <w:p w14:paraId="5A1BE69E">
                      <w:pPr>
                        <w:jc w:val="center"/>
                        <w:rPr>
                          <w:b/>
                          <w:sz w:val="44"/>
                          <w:szCs w:val="44"/>
                        </w:rPr>
                      </w:pPr>
                    </w:p>
                    <w:p w14:paraId="5B911778">
                      <w:pPr>
                        <w:jc w:val="center"/>
                        <w:rPr>
                          <w:b/>
                          <w:sz w:val="44"/>
                          <w:szCs w:val="44"/>
                        </w:rPr>
                      </w:pPr>
                    </w:p>
                    <w:p w14:paraId="6E6270D4">
                      <w:pPr>
                        <w:jc w:val="center"/>
                        <w:rPr>
                          <w:b/>
                          <w:sz w:val="44"/>
                          <w:szCs w:val="44"/>
                        </w:rPr>
                      </w:pPr>
                    </w:p>
                    <w:p w14:paraId="47A68C93">
                      <w:pPr>
                        <w:jc w:val="center"/>
                        <w:rPr>
                          <w:b/>
                          <w:sz w:val="44"/>
                          <w:szCs w:val="44"/>
                        </w:rPr>
                      </w:pPr>
                      <w:r>
                        <w:rPr>
                          <w:rFonts w:hint="eastAsia"/>
                          <w:b/>
                          <w:sz w:val="44"/>
                          <w:szCs w:val="44"/>
                        </w:rPr>
                        <w:t>磋商响应文件正本（副本）</w:t>
                      </w:r>
                    </w:p>
                    <w:p w14:paraId="379041D8">
                      <w:pPr>
                        <w:ind w:firstLine="280" w:firstLineChars="100"/>
                        <w:rPr>
                          <w:sz w:val="28"/>
                          <w:szCs w:val="28"/>
                        </w:rPr>
                      </w:pPr>
                      <w:r>
                        <w:rPr>
                          <w:rFonts w:hint="eastAsia" w:ascii="宋体" w:hAnsi="宋体" w:cs="宋体"/>
                          <w:sz w:val="28"/>
                          <w:szCs w:val="28"/>
                        </w:rPr>
                        <w:t>（磋商响应文件在202</w:t>
                      </w:r>
                      <w:r>
                        <w:rPr>
                          <w:rFonts w:hint="eastAsia" w:ascii="宋体" w:hAnsi="宋体" w:cs="宋体"/>
                          <w:sz w:val="28"/>
                          <w:szCs w:val="28"/>
                          <w:lang w:val="en-US" w:eastAsia="zh-CN"/>
                        </w:rPr>
                        <w:t>5</w:t>
                      </w:r>
                      <w:r>
                        <w:rPr>
                          <w:rFonts w:hint="eastAsia" w:ascii="宋体" w:hAnsi="宋体" w:cs="宋体"/>
                          <w:sz w:val="28"/>
                          <w:szCs w:val="28"/>
                        </w:rPr>
                        <w:t>年  月    日       时前不得开启）</w:t>
                      </w:r>
                    </w:p>
                    <w:p w14:paraId="2C6C03B7">
                      <w:pPr>
                        <w:ind w:firstLine="280" w:firstLineChars="100"/>
                        <w:rPr>
                          <w:sz w:val="28"/>
                          <w:szCs w:val="28"/>
                        </w:rPr>
                      </w:pPr>
                    </w:p>
                    <w:p w14:paraId="2736E3B0">
                      <w:pPr>
                        <w:ind w:firstLine="280" w:firstLineChars="100"/>
                        <w:rPr>
                          <w:sz w:val="28"/>
                          <w:szCs w:val="28"/>
                        </w:rPr>
                      </w:pPr>
                    </w:p>
                    <w:p w14:paraId="2CE3C7C3">
                      <w:pPr>
                        <w:ind w:firstLine="280" w:firstLineChars="100"/>
                        <w:rPr>
                          <w:sz w:val="28"/>
                          <w:szCs w:val="28"/>
                        </w:rPr>
                      </w:pPr>
                    </w:p>
                    <w:p w14:paraId="74223B4E">
                      <w:pPr>
                        <w:ind w:firstLine="280" w:firstLineChars="100"/>
                        <w:rPr>
                          <w:sz w:val="28"/>
                          <w:szCs w:val="28"/>
                        </w:rPr>
                      </w:pPr>
                    </w:p>
                    <w:p w14:paraId="1866CE97">
                      <w:pPr>
                        <w:ind w:firstLine="280" w:firstLineChars="100"/>
                        <w:rPr>
                          <w:sz w:val="28"/>
                          <w:szCs w:val="28"/>
                        </w:rPr>
                      </w:pPr>
                    </w:p>
                    <w:p w14:paraId="26120E78">
                      <w:pPr>
                        <w:ind w:firstLine="280" w:firstLineChars="100"/>
                        <w:rPr>
                          <w:sz w:val="28"/>
                          <w:szCs w:val="28"/>
                        </w:rPr>
                      </w:pPr>
                    </w:p>
                    <w:p w14:paraId="13359F39">
                      <w:pPr>
                        <w:ind w:firstLine="280" w:firstLineChars="100"/>
                        <w:rPr>
                          <w:sz w:val="28"/>
                          <w:szCs w:val="28"/>
                        </w:rPr>
                      </w:pPr>
                    </w:p>
                    <w:p w14:paraId="36EC89E6">
                      <w:pPr>
                        <w:ind w:firstLine="280" w:firstLineChars="100"/>
                        <w:rPr>
                          <w:sz w:val="28"/>
                          <w:szCs w:val="28"/>
                        </w:rPr>
                      </w:pPr>
                    </w:p>
                    <w:p w14:paraId="2F826461">
                      <w:pPr>
                        <w:ind w:firstLine="280" w:firstLineChars="100"/>
                        <w:rPr>
                          <w:sz w:val="28"/>
                          <w:szCs w:val="28"/>
                        </w:rPr>
                      </w:pPr>
                      <w:r>
                        <w:rPr>
                          <w:rFonts w:hint="eastAsia"/>
                          <w:sz w:val="28"/>
                          <w:szCs w:val="28"/>
                        </w:rPr>
                        <w:t>供应商名称：            （公章）</w:t>
                      </w:r>
                    </w:p>
                    <w:p w14:paraId="0DDDD9F4">
                      <w:pPr>
                        <w:rPr>
                          <w:sz w:val="28"/>
                          <w:szCs w:val="28"/>
                        </w:rPr>
                      </w:pPr>
                      <w:r>
                        <w:rPr>
                          <w:rFonts w:hint="eastAsia"/>
                          <w:sz w:val="28"/>
                          <w:szCs w:val="28"/>
                        </w:rPr>
                        <w:t xml:space="preserve">                                </w:t>
                      </w:r>
                    </w:p>
                  </w:txbxContent>
                </v:textbox>
              </v:shape>
            </w:pict>
          </mc:Fallback>
        </mc:AlternateContent>
      </w:r>
    </w:p>
    <w:p w14:paraId="0E6C7EC3">
      <w:pPr>
        <w:spacing w:line="460" w:lineRule="exact"/>
        <w:ind w:firstLine="482" w:firstLineChars="200"/>
        <w:rPr>
          <w:rFonts w:ascii="宋体" w:hAnsi="宋体" w:cs="宋体"/>
          <w:b/>
          <w:color w:val="000000" w:themeColor="text1"/>
          <w:sz w:val="24"/>
          <w:highlight w:val="none"/>
          <w14:textFill>
            <w14:solidFill>
              <w14:schemeClr w14:val="tx1"/>
            </w14:solidFill>
          </w14:textFill>
        </w:rPr>
      </w:pPr>
    </w:p>
    <w:p w14:paraId="68318BEE">
      <w:pPr>
        <w:spacing w:line="460" w:lineRule="exact"/>
        <w:ind w:firstLine="482" w:firstLineChars="200"/>
        <w:rPr>
          <w:rFonts w:ascii="宋体" w:hAnsi="宋体" w:cs="宋体"/>
          <w:b/>
          <w:color w:val="000000" w:themeColor="text1"/>
          <w:sz w:val="24"/>
          <w:highlight w:val="none"/>
          <w14:textFill>
            <w14:solidFill>
              <w14:schemeClr w14:val="tx1"/>
            </w14:solidFill>
          </w14:textFill>
        </w:rPr>
      </w:pPr>
    </w:p>
    <w:p w14:paraId="008428D1">
      <w:pPr>
        <w:spacing w:line="360" w:lineRule="atLeast"/>
        <w:ind w:firstLine="2108" w:firstLineChars="500"/>
        <w:rPr>
          <w:rFonts w:ascii="宋体" w:hAnsi="宋体" w:cs="宋体"/>
          <w:b/>
          <w:color w:val="000000" w:themeColor="text1"/>
          <w:sz w:val="42"/>
          <w:szCs w:val="42"/>
          <w:highlight w:val="none"/>
          <w14:textFill>
            <w14:solidFill>
              <w14:schemeClr w14:val="tx1"/>
            </w14:solidFill>
          </w14:textFill>
        </w:rPr>
      </w:pPr>
    </w:p>
    <w:p w14:paraId="2039CA0E">
      <w:pPr>
        <w:spacing w:line="360" w:lineRule="atLeast"/>
        <w:ind w:firstLine="2108" w:firstLineChars="500"/>
        <w:rPr>
          <w:rFonts w:ascii="宋体" w:hAnsi="宋体" w:cs="宋体"/>
          <w:b/>
          <w:color w:val="000000" w:themeColor="text1"/>
          <w:sz w:val="42"/>
          <w:szCs w:val="42"/>
          <w:highlight w:val="none"/>
          <w14:textFill>
            <w14:solidFill>
              <w14:schemeClr w14:val="tx1"/>
            </w14:solidFill>
          </w14:textFill>
        </w:rPr>
      </w:pPr>
    </w:p>
    <w:p w14:paraId="24A4DB22">
      <w:pPr>
        <w:spacing w:line="360" w:lineRule="atLeast"/>
        <w:ind w:firstLine="2108" w:firstLineChars="500"/>
        <w:rPr>
          <w:rFonts w:ascii="宋体" w:hAnsi="宋体" w:cs="宋体"/>
          <w:b/>
          <w:color w:val="000000" w:themeColor="text1"/>
          <w:sz w:val="42"/>
          <w:szCs w:val="42"/>
          <w:highlight w:val="none"/>
          <w14:textFill>
            <w14:solidFill>
              <w14:schemeClr w14:val="tx1"/>
            </w14:solidFill>
          </w14:textFill>
        </w:rPr>
      </w:pPr>
    </w:p>
    <w:p w14:paraId="325D7BCA">
      <w:pPr>
        <w:spacing w:line="360" w:lineRule="atLeast"/>
        <w:ind w:firstLine="2108" w:firstLineChars="500"/>
        <w:rPr>
          <w:rFonts w:ascii="宋体" w:hAnsi="宋体" w:cs="宋体"/>
          <w:b/>
          <w:color w:val="000000" w:themeColor="text1"/>
          <w:sz w:val="42"/>
          <w:szCs w:val="42"/>
          <w:highlight w:val="none"/>
          <w14:textFill>
            <w14:solidFill>
              <w14:schemeClr w14:val="tx1"/>
            </w14:solidFill>
          </w14:textFill>
        </w:rPr>
      </w:pPr>
    </w:p>
    <w:p w14:paraId="38D719E5">
      <w:pPr>
        <w:spacing w:line="360" w:lineRule="atLeast"/>
        <w:ind w:firstLine="2108" w:firstLineChars="500"/>
        <w:rPr>
          <w:rFonts w:ascii="宋体" w:hAnsi="宋体" w:cs="宋体"/>
          <w:b/>
          <w:color w:val="000000" w:themeColor="text1"/>
          <w:sz w:val="42"/>
          <w:szCs w:val="42"/>
          <w:highlight w:val="none"/>
          <w14:textFill>
            <w14:solidFill>
              <w14:schemeClr w14:val="tx1"/>
            </w14:solidFill>
          </w14:textFill>
        </w:rPr>
      </w:pPr>
    </w:p>
    <w:p w14:paraId="2139613F">
      <w:pPr>
        <w:spacing w:line="360" w:lineRule="atLeast"/>
        <w:ind w:firstLine="2108" w:firstLineChars="500"/>
        <w:rPr>
          <w:rFonts w:ascii="宋体" w:hAnsi="宋体" w:cs="宋体"/>
          <w:b/>
          <w:color w:val="000000" w:themeColor="text1"/>
          <w:sz w:val="42"/>
          <w:szCs w:val="42"/>
          <w:highlight w:val="none"/>
          <w14:textFill>
            <w14:solidFill>
              <w14:schemeClr w14:val="tx1"/>
            </w14:solidFill>
          </w14:textFill>
        </w:rPr>
      </w:pPr>
    </w:p>
    <w:p w14:paraId="5BA76BAB">
      <w:pPr>
        <w:spacing w:line="360" w:lineRule="atLeast"/>
        <w:ind w:firstLine="2108" w:firstLineChars="500"/>
        <w:rPr>
          <w:rFonts w:ascii="宋体" w:hAnsi="宋体" w:cs="宋体"/>
          <w:b/>
          <w:color w:val="000000" w:themeColor="text1"/>
          <w:sz w:val="42"/>
          <w:szCs w:val="42"/>
          <w:highlight w:val="none"/>
          <w14:textFill>
            <w14:solidFill>
              <w14:schemeClr w14:val="tx1"/>
            </w14:solidFill>
          </w14:textFill>
        </w:rPr>
      </w:pPr>
    </w:p>
    <w:p w14:paraId="69EBDAFF">
      <w:pPr>
        <w:spacing w:line="360" w:lineRule="atLeast"/>
        <w:rPr>
          <w:rFonts w:ascii="宋体" w:hAnsi="宋体" w:cs="宋体"/>
          <w:b/>
          <w:color w:val="000000" w:themeColor="text1"/>
          <w:sz w:val="24"/>
          <w:highlight w:val="none"/>
          <w14:textFill>
            <w14:solidFill>
              <w14:schemeClr w14:val="tx1"/>
            </w14:solidFill>
          </w14:textFill>
        </w:rPr>
      </w:pPr>
    </w:p>
    <w:p w14:paraId="0AF92F0D">
      <w:pPr>
        <w:spacing w:line="360" w:lineRule="auto"/>
        <w:rPr>
          <w:rFonts w:ascii="宋体" w:hAnsi="宋体" w:cs="宋体"/>
          <w:b/>
          <w:color w:val="000000" w:themeColor="text1"/>
          <w:sz w:val="32"/>
          <w:szCs w:val="32"/>
          <w:highlight w:val="none"/>
          <w14:textFill>
            <w14:solidFill>
              <w14:schemeClr w14:val="tx1"/>
            </w14:solidFill>
          </w14:textFill>
        </w:rPr>
      </w:pPr>
    </w:p>
    <w:p w14:paraId="0AF25A3E">
      <w:pPr>
        <w:spacing w:line="360" w:lineRule="auto"/>
        <w:rPr>
          <w:rFonts w:ascii="宋体" w:hAnsi="宋体" w:cs="宋体"/>
          <w:b/>
          <w:color w:val="000000" w:themeColor="text1"/>
          <w:sz w:val="32"/>
          <w:szCs w:val="32"/>
          <w:highlight w:val="none"/>
          <w14:textFill>
            <w14:solidFill>
              <w14:schemeClr w14:val="tx1"/>
            </w14:solidFill>
          </w14:textFill>
        </w:rPr>
      </w:pPr>
    </w:p>
    <w:p w14:paraId="4245F8B6">
      <w:pPr>
        <w:spacing w:line="360" w:lineRule="auto"/>
        <w:rPr>
          <w:rFonts w:ascii="宋体" w:hAnsi="宋体" w:cs="宋体"/>
          <w:b/>
          <w:color w:val="000000" w:themeColor="text1"/>
          <w:sz w:val="32"/>
          <w:szCs w:val="32"/>
          <w:highlight w:val="none"/>
          <w14:textFill>
            <w14:solidFill>
              <w14:schemeClr w14:val="tx1"/>
            </w14:solidFill>
          </w14:textFill>
        </w:rPr>
      </w:pPr>
    </w:p>
    <w:p w14:paraId="5C5FA11C">
      <w:pPr>
        <w:spacing w:line="360" w:lineRule="auto"/>
        <w:rPr>
          <w:rFonts w:ascii="宋体" w:hAnsi="宋体" w:cs="宋体"/>
          <w:b/>
          <w:color w:val="000000" w:themeColor="text1"/>
          <w:sz w:val="32"/>
          <w:szCs w:val="32"/>
          <w:highlight w:val="none"/>
          <w14:textFill>
            <w14:solidFill>
              <w14:schemeClr w14:val="tx1"/>
            </w14:solidFill>
          </w14:textFill>
        </w:rPr>
      </w:pPr>
    </w:p>
    <w:p w14:paraId="34F31E33">
      <w:pPr>
        <w:spacing w:line="360" w:lineRule="auto"/>
        <w:rPr>
          <w:rFonts w:ascii="宋体" w:hAnsi="宋体" w:cs="宋体"/>
          <w:b/>
          <w:color w:val="000000" w:themeColor="text1"/>
          <w:sz w:val="32"/>
          <w:szCs w:val="32"/>
          <w:highlight w:val="none"/>
          <w14:textFill>
            <w14:solidFill>
              <w14:schemeClr w14:val="tx1"/>
            </w14:solidFill>
          </w14:textFill>
        </w:rPr>
      </w:pPr>
    </w:p>
    <w:p w14:paraId="20EA173F">
      <w:pPr>
        <w:spacing w:line="360" w:lineRule="auto"/>
        <w:rPr>
          <w:rFonts w:ascii="宋体" w:hAnsi="宋体" w:cs="宋体"/>
          <w:b/>
          <w:color w:val="000000" w:themeColor="text1"/>
          <w:sz w:val="32"/>
          <w:szCs w:val="32"/>
          <w:highlight w:val="none"/>
          <w14:textFill>
            <w14:solidFill>
              <w14:schemeClr w14:val="tx1"/>
            </w14:solidFill>
          </w14:textFill>
        </w:rPr>
      </w:pPr>
    </w:p>
    <w:p w14:paraId="2495CC89">
      <w:pPr>
        <w:spacing w:line="360" w:lineRule="auto"/>
        <w:rPr>
          <w:rFonts w:ascii="宋体" w:hAnsi="宋体" w:cs="宋体"/>
          <w:b/>
          <w:color w:val="000000" w:themeColor="text1"/>
          <w:sz w:val="32"/>
          <w:szCs w:val="32"/>
          <w:highlight w:val="none"/>
          <w14:textFill>
            <w14:solidFill>
              <w14:schemeClr w14:val="tx1"/>
            </w14:solidFill>
          </w14:textFill>
        </w:rPr>
      </w:pPr>
    </w:p>
    <w:p w14:paraId="055D3644">
      <w:pPr>
        <w:spacing w:line="360" w:lineRule="auto"/>
        <w:rPr>
          <w:rFonts w:ascii="宋体" w:hAnsi="宋体" w:cs="宋体"/>
          <w:b/>
          <w:color w:val="000000" w:themeColor="text1"/>
          <w:sz w:val="32"/>
          <w:szCs w:val="32"/>
          <w:highlight w:val="none"/>
          <w14:textFill>
            <w14:solidFill>
              <w14:schemeClr w14:val="tx1"/>
            </w14:solidFill>
          </w14:textFill>
        </w:rPr>
      </w:pPr>
    </w:p>
    <w:p w14:paraId="206E2A6A">
      <w:pPr>
        <w:spacing w:line="360" w:lineRule="auto"/>
        <w:rPr>
          <w:rFonts w:ascii="宋体" w:hAnsi="宋体" w:cs="宋体"/>
          <w:b/>
          <w:color w:val="000000" w:themeColor="text1"/>
          <w:sz w:val="32"/>
          <w:szCs w:val="32"/>
          <w:highlight w:val="none"/>
          <w14:textFill>
            <w14:solidFill>
              <w14:schemeClr w14:val="tx1"/>
            </w14:solidFill>
          </w14:textFill>
        </w:rPr>
      </w:pPr>
    </w:p>
    <w:bookmarkEnd w:id="39"/>
    <w:p w14:paraId="1E4ECB5A">
      <w:pPr>
        <w:pStyle w:val="11"/>
      </w:pPr>
    </w:p>
    <w:sectPr>
      <w:pgSz w:w="11906" w:h="16838"/>
      <w:pgMar w:top="1134" w:right="1417" w:bottom="1134" w:left="1417" w:header="851" w:footer="510" w:gutter="0"/>
      <w:pgBorders>
        <w:top w:val="none" w:sz="0" w:space="0"/>
        <w:left w:val="none" w:sz="0" w:space="0"/>
        <w:bottom w:val="none" w:sz="0" w:space="0"/>
        <w:right w:val="none" w:sz="0" w:space="0"/>
      </w:pgBorders>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35DD7">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1233">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D1B8">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A6C97">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D0E0">
    <w:pPr>
      <w:pStyle w:val="11"/>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456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A09B">
    <w:pPr>
      <w:pStyle w:val="12"/>
      <w:pBdr>
        <w:bottom w:val="none" w:color="auto" w:sz="0" w:space="1"/>
      </w:pBdr>
      <w:spacing w:before="100" w:beforeAutospacing="1" w:after="100" w:afterAutospacing="1"/>
      <w:jc w:val="both"/>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A490">
    <w:pPr>
      <w:pStyle w:val="12"/>
      <w:pBdr>
        <w:bottom w:val="none" w:color="auto" w:sz="0" w:space="1"/>
      </w:pBdr>
      <w:spacing w:before="100" w:beforeAutospacing="1" w:after="100" w:afterAutospacing="1"/>
      <w:jc w:val="both"/>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889">
    <w:pPr>
      <w:pStyle w:val="12"/>
      <w:pBdr>
        <w:bottom w:val="none" w:color="auto" w:sz="0" w:space="1"/>
      </w:pBdr>
      <w:spacing w:before="100" w:beforeAutospacing="1" w:after="100" w:afterAutospacing="1"/>
      <w:jc w:val="both"/>
      <w:rPr>
        <w:sz w:val="24"/>
        <w:szCs w:val="24"/>
      </w:rPr>
    </w:pPr>
    <w:r>
      <w:rPr>
        <w:rFonts w:hint="eastAsia"/>
        <w:sz w:val="24"/>
        <w:szCs w:val="24"/>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D79D4">
    <w:pPr>
      <w:pStyle w:val="12"/>
      <w:pBdr>
        <w:bottom w:val="none" w:color="auto" w:sz="0" w:space="1"/>
      </w:pBdr>
      <w:spacing w:before="100" w:beforeAutospacing="1" w:after="100" w:afterAutospacing="1"/>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EAFF7">
    <w:pPr>
      <w:pStyle w:val="12"/>
      <w:pBdr>
        <w:bottom w:val="none" w:color="auto" w:sz="0" w:space="1"/>
      </w:pBdr>
      <w:spacing w:before="100" w:beforeAutospacing="1" w:after="100" w:afterAutospacing="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4CD4E"/>
    <w:multiLevelType w:val="singleLevel"/>
    <w:tmpl w:val="99E4CD4E"/>
    <w:lvl w:ilvl="0" w:tentative="0">
      <w:start w:val="2"/>
      <w:numFmt w:val="decimal"/>
      <w:suff w:val="space"/>
      <w:lvlText w:val="%1、"/>
      <w:lvlJc w:val="left"/>
    </w:lvl>
  </w:abstractNum>
  <w:abstractNum w:abstractNumId="1">
    <w:nsid w:val="A444FB84"/>
    <w:multiLevelType w:val="singleLevel"/>
    <w:tmpl w:val="A444FB84"/>
    <w:lvl w:ilvl="0" w:tentative="0">
      <w:start w:val="1"/>
      <w:numFmt w:val="chineseCounting"/>
      <w:suff w:val="nothing"/>
      <w:lvlText w:val="%1、"/>
      <w:lvlJc w:val="left"/>
      <w:rPr>
        <w:rFonts w:hint="eastAsia"/>
      </w:rPr>
    </w:lvl>
  </w:abstractNum>
  <w:abstractNum w:abstractNumId="2">
    <w:nsid w:val="EEFF050E"/>
    <w:multiLevelType w:val="singleLevel"/>
    <w:tmpl w:val="EEFF050E"/>
    <w:lvl w:ilvl="0" w:tentative="0">
      <w:start w:val="1"/>
      <w:numFmt w:val="decimal"/>
      <w:suff w:val="space"/>
      <w:lvlText w:val="%1、"/>
      <w:lvlJc w:val="left"/>
    </w:lvl>
  </w:abstractNum>
  <w:abstractNum w:abstractNumId="3">
    <w:nsid w:val="0B4467AD"/>
    <w:multiLevelType w:val="multilevel"/>
    <w:tmpl w:val="0B4467AD"/>
    <w:lvl w:ilvl="0" w:tentative="0">
      <w:start w:val="1"/>
      <w:numFmt w:val="decimal"/>
      <w:lvlText w:val="第%1章"/>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353C7F08"/>
    <w:multiLevelType w:val="multilevel"/>
    <w:tmpl w:val="353C7F0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359CB8E8"/>
    <w:multiLevelType w:val="singleLevel"/>
    <w:tmpl w:val="359CB8E8"/>
    <w:lvl w:ilvl="0" w:tentative="0">
      <w:start w:val="1"/>
      <w:numFmt w:val="chineseCounting"/>
      <w:suff w:val="nothing"/>
      <w:lvlText w:val="%1、"/>
      <w:lvlJc w:val="left"/>
      <w:rPr>
        <w:rFonts w:hint="eastAsia"/>
      </w:rPr>
    </w:lvl>
  </w:abstractNum>
  <w:abstractNum w:abstractNumId="6">
    <w:nsid w:val="6D622BC1"/>
    <w:multiLevelType w:val="multilevel"/>
    <w:tmpl w:val="6D622BC1"/>
    <w:lvl w:ilvl="0" w:tentative="0">
      <w:start w:val="1"/>
      <w:numFmt w:val="chineseCounting"/>
      <w:suff w:val="nothing"/>
      <w:lvlText w:val="第%1部分 "/>
      <w:lvlJc w:val="left"/>
      <w:pPr>
        <w:tabs>
          <w:tab w:val="left" w:pos="0"/>
        </w:tabs>
        <w:ind w:left="0" w:firstLine="0"/>
      </w:pPr>
      <w:rPr>
        <w:rFonts w:hint="eastAsia" w:ascii="宋体" w:hAnsi="宋体" w:eastAsia="黑体" w:cs="宋体"/>
      </w:rPr>
    </w:lvl>
    <w:lvl w:ilvl="1" w:tentative="0">
      <w:start w:val="1"/>
      <w:numFmt w:val="chineseCounting"/>
      <w:suff w:val="nothing"/>
      <w:lvlText w:val="%2 "/>
      <w:lvlJc w:val="left"/>
      <w:pPr>
        <w:tabs>
          <w:tab w:val="left" w:pos="0"/>
        </w:tabs>
        <w:ind w:left="0" w:firstLine="0"/>
      </w:pPr>
      <w:rPr>
        <w:rFonts w:hint="eastAsia" w:ascii="宋体" w:hAnsi="宋体" w:eastAsia="黑体" w:cs="宋体"/>
      </w:rPr>
    </w:lvl>
    <w:lvl w:ilvl="2" w:tentative="0">
      <w:start w:val="1"/>
      <w:numFmt w:val="chineseCounting"/>
      <w:suff w:val="nothing"/>
      <w:lvlText w:val="（%3） "/>
      <w:lvlJc w:val="left"/>
      <w:pPr>
        <w:tabs>
          <w:tab w:val="left" w:pos="0"/>
        </w:tabs>
        <w:ind w:left="0" w:firstLine="0"/>
      </w:pPr>
      <w:rPr>
        <w:rFonts w:hint="eastAsia" w:ascii="宋体" w:hAnsi="宋体" w:eastAsia="黑体" w:cs="宋体"/>
      </w:rPr>
    </w:lvl>
    <w:lvl w:ilvl="3" w:tentative="0">
      <w:start w:val="1"/>
      <w:numFmt w:val="decimal"/>
      <w:pStyle w:val="5"/>
      <w:suff w:val="nothing"/>
      <w:lvlText w:val="%4 "/>
      <w:lvlJc w:val="left"/>
      <w:pPr>
        <w:ind w:left="0" w:firstLine="0"/>
      </w:pPr>
      <w:rPr>
        <w:rFonts w:hint="eastAsia" w:ascii="宋体" w:hAnsi="宋体" w:eastAsia="黑体" w:cs="宋体"/>
      </w:rPr>
    </w:lvl>
    <w:lvl w:ilvl="4" w:tentative="0">
      <w:start w:val="1"/>
      <w:numFmt w:val="decimal"/>
      <w:suff w:val="nothing"/>
      <w:lvlText w:val="%4.%5 "/>
      <w:lvlJc w:val="left"/>
      <w:pPr>
        <w:ind w:left="0" w:firstLine="0"/>
      </w:pPr>
      <w:rPr>
        <w:rFonts w:hint="eastAsia" w:ascii="宋体" w:hAnsi="宋体" w:eastAsia="黑体" w:cs="宋体"/>
      </w:rPr>
    </w:lvl>
    <w:lvl w:ilvl="5" w:tentative="0">
      <w:start w:val="1"/>
      <w:numFmt w:val="decimal"/>
      <w:suff w:val="nothing"/>
      <w:lvlText w:val="%4.%5.%6 "/>
      <w:lvlJc w:val="left"/>
      <w:pPr>
        <w:tabs>
          <w:tab w:val="left" w:pos="0"/>
        </w:tabs>
        <w:ind w:left="0" w:firstLine="0"/>
      </w:pPr>
      <w:rPr>
        <w:rFonts w:hint="eastAsia" w:ascii="宋体" w:hAnsi="宋体" w:eastAsia="黑体" w:cs="宋体"/>
      </w:rPr>
    </w:lvl>
    <w:lvl w:ilvl="6" w:tentative="0">
      <w:start w:val="1"/>
      <w:numFmt w:val="decimal"/>
      <w:lvlText w:val="%4.%5.%6.%7."/>
      <w:lvlJc w:val="left"/>
      <w:pPr>
        <w:tabs>
          <w:tab w:val="left" w:pos="420"/>
        </w:tabs>
        <w:ind w:left="1296" w:hanging="1296"/>
      </w:pPr>
      <w:rPr>
        <w:rFonts w:hint="eastAsia" w:ascii="宋体" w:hAnsi="宋体" w:eastAsia="黑体" w:cs="宋体"/>
      </w:rPr>
    </w:lvl>
    <w:lvl w:ilvl="7" w:tentative="0">
      <w:start w:val="1"/>
      <w:numFmt w:val="decimal"/>
      <w:lvlText w:val="%1.%2.%3.%4.%5.%6.%7.%8."/>
      <w:lvlJc w:val="left"/>
      <w:pPr>
        <w:ind w:left="1440" w:hanging="1440"/>
      </w:pPr>
      <w:rPr>
        <w:rFonts w:hint="eastAsia" w:ascii="宋体" w:hAnsi="宋体" w:eastAsia="宋体" w:cs="宋体"/>
      </w:rPr>
    </w:lvl>
    <w:lvl w:ilvl="8" w:tentative="0">
      <w:start w:val="1"/>
      <w:numFmt w:val="decimal"/>
      <w:lvlText w:val="%1.%2.%3.%4.%5.%6.%7.%8.%9."/>
      <w:lvlJc w:val="left"/>
      <w:pPr>
        <w:ind w:left="1583" w:hanging="1583"/>
      </w:pPr>
      <w:rPr>
        <w:rFonts w:hint="eastAsia"/>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NjUzNjkzZTgzMDMxZjgwYTAxNTQyNDViNDhkNzgifQ=="/>
  </w:docVars>
  <w:rsids>
    <w:rsidRoot w:val="00172A27"/>
    <w:rsid w:val="000122BD"/>
    <w:rsid w:val="00172A27"/>
    <w:rsid w:val="002911AD"/>
    <w:rsid w:val="003009FF"/>
    <w:rsid w:val="00427C25"/>
    <w:rsid w:val="00437FA9"/>
    <w:rsid w:val="0064544E"/>
    <w:rsid w:val="006822E9"/>
    <w:rsid w:val="00757C2B"/>
    <w:rsid w:val="007A311C"/>
    <w:rsid w:val="00820980"/>
    <w:rsid w:val="008C4920"/>
    <w:rsid w:val="00AB3FC6"/>
    <w:rsid w:val="00B764C1"/>
    <w:rsid w:val="00C45491"/>
    <w:rsid w:val="00CD26E1"/>
    <w:rsid w:val="00E60BD9"/>
    <w:rsid w:val="00EE324E"/>
    <w:rsid w:val="00F94314"/>
    <w:rsid w:val="01373C7A"/>
    <w:rsid w:val="01697383"/>
    <w:rsid w:val="01C0290C"/>
    <w:rsid w:val="01C60E70"/>
    <w:rsid w:val="01DB2623"/>
    <w:rsid w:val="01E62A93"/>
    <w:rsid w:val="01FC1D03"/>
    <w:rsid w:val="02103EDF"/>
    <w:rsid w:val="021E4E1A"/>
    <w:rsid w:val="021F4C30"/>
    <w:rsid w:val="023C6FB2"/>
    <w:rsid w:val="02433C26"/>
    <w:rsid w:val="026548F2"/>
    <w:rsid w:val="02946CE6"/>
    <w:rsid w:val="02955A7B"/>
    <w:rsid w:val="0299623E"/>
    <w:rsid w:val="02A6147B"/>
    <w:rsid w:val="02C5530E"/>
    <w:rsid w:val="02D12BAE"/>
    <w:rsid w:val="03250913"/>
    <w:rsid w:val="03277DD7"/>
    <w:rsid w:val="032F299D"/>
    <w:rsid w:val="036875DD"/>
    <w:rsid w:val="03862C5B"/>
    <w:rsid w:val="038E4A3F"/>
    <w:rsid w:val="03C9750E"/>
    <w:rsid w:val="03EC00E9"/>
    <w:rsid w:val="03F33F79"/>
    <w:rsid w:val="04255EDB"/>
    <w:rsid w:val="04900E7B"/>
    <w:rsid w:val="04B67A6C"/>
    <w:rsid w:val="04D06A5A"/>
    <w:rsid w:val="04D76579"/>
    <w:rsid w:val="04DA233B"/>
    <w:rsid w:val="04F61DB0"/>
    <w:rsid w:val="04F7491E"/>
    <w:rsid w:val="04FC6060"/>
    <w:rsid w:val="05024A89"/>
    <w:rsid w:val="051445E6"/>
    <w:rsid w:val="05150E28"/>
    <w:rsid w:val="051977DC"/>
    <w:rsid w:val="05333E78"/>
    <w:rsid w:val="053568F5"/>
    <w:rsid w:val="0541315D"/>
    <w:rsid w:val="0559751E"/>
    <w:rsid w:val="058416CF"/>
    <w:rsid w:val="0586528E"/>
    <w:rsid w:val="05A7148F"/>
    <w:rsid w:val="05AA76EF"/>
    <w:rsid w:val="05E2314E"/>
    <w:rsid w:val="05EB4E35"/>
    <w:rsid w:val="05F45067"/>
    <w:rsid w:val="060728D6"/>
    <w:rsid w:val="061F3510"/>
    <w:rsid w:val="0658220A"/>
    <w:rsid w:val="066666E8"/>
    <w:rsid w:val="06795FDA"/>
    <w:rsid w:val="069563C9"/>
    <w:rsid w:val="06995418"/>
    <w:rsid w:val="069E3343"/>
    <w:rsid w:val="06B47B3C"/>
    <w:rsid w:val="06C76A02"/>
    <w:rsid w:val="06D15CC4"/>
    <w:rsid w:val="06D22051"/>
    <w:rsid w:val="06E22789"/>
    <w:rsid w:val="06FE381B"/>
    <w:rsid w:val="072A5613"/>
    <w:rsid w:val="0747709C"/>
    <w:rsid w:val="07556533"/>
    <w:rsid w:val="07610AE5"/>
    <w:rsid w:val="078F4D25"/>
    <w:rsid w:val="0793776B"/>
    <w:rsid w:val="07D55EAD"/>
    <w:rsid w:val="080B460F"/>
    <w:rsid w:val="084B6E59"/>
    <w:rsid w:val="086A4E72"/>
    <w:rsid w:val="0877315A"/>
    <w:rsid w:val="08780F25"/>
    <w:rsid w:val="087976B6"/>
    <w:rsid w:val="08DA3946"/>
    <w:rsid w:val="08F5355B"/>
    <w:rsid w:val="093C64B7"/>
    <w:rsid w:val="09950A5D"/>
    <w:rsid w:val="099E12E4"/>
    <w:rsid w:val="09BC3F9C"/>
    <w:rsid w:val="09BF0697"/>
    <w:rsid w:val="09C76B70"/>
    <w:rsid w:val="0A2A06F1"/>
    <w:rsid w:val="0A7F45D0"/>
    <w:rsid w:val="0A9A59B2"/>
    <w:rsid w:val="0A9C67E8"/>
    <w:rsid w:val="0AAC50F3"/>
    <w:rsid w:val="0AB862A8"/>
    <w:rsid w:val="0AD15B27"/>
    <w:rsid w:val="0AF27B10"/>
    <w:rsid w:val="0AF74CD2"/>
    <w:rsid w:val="0AFF6D67"/>
    <w:rsid w:val="0B163429"/>
    <w:rsid w:val="0B2E52A8"/>
    <w:rsid w:val="0B4758DC"/>
    <w:rsid w:val="0B5953C2"/>
    <w:rsid w:val="0B9F03F6"/>
    <w:rsid w:val="0BBE1F95"/>
    <w:rsid w:val="0BE07F57"/>
    <w:rsid w:val="0C11364F"/>
    <w:rsid w:val="0C461BD6"/>
    <w:rsid w:val="0C5422EA"/>
    <w:rsid w:val="0C5D057E"/>
    <w:rsid w:val="0C613EF2"/>
    <w:rsid w:val="0C7450A3"/>
    <w:rsid w:val="0C780B6E"/>
    <w:rsid w:val="0C7F3120"/>
    <w:rsid w:val="0C812F90"/>
    <w:rsid w:val="0CD37C3B"/>
    <w:rsid w:val="0CD86D81"/>
    <w:rsid w:val="0CDC6EBD"/>
    <w:rsid w:val="0CDE692B"/>
    <w:rsid w:val="0CE734E9"/>
    <w:rsid w:val="0CEC1B6F"/>
    <w:rsid w:val="0D59153C"/>
    <w:rsid w:val="0D7B79BF"/>
    <w:rsid w:val="0D7E0E55"/>
    <w:rsid w:val="0DA5245F"/>
    <w:rsid w:val="0DAC1CB6"/>
    <w:rsid w:val="0DEF37E2"/>
    <w:rsid w:val="0E1A2124"/>
    <w:rsid w:val="0E402EDD"/>
    <w:rsid w:val="0E4F7AB6"/>
    <w:rsid w:val="0E534483"/>
    <w:rsid w:val="0E637FB3"/>
    <w:rsid w:val="0E763174"/>
    <w:rsid w:val="0E8E25B1"/>
    <w:rsid w:val="0EAE77E4"/>
    <w:rsid w:val="0EC37D2E"/>
    <w:rsid w:val="0EC81956"/>
    <w:rsid w:val="0ECF2B6F"/>
    <w:rsid w:val="0EDD34DE"/>
    <w:rsid w:val="0EE1310F"/>
    <w:rsid w:val="0EED2DE7"/>
    <w:rsid w:val="0EFD48F2"/>
    <w:rsid w:val="0F2172A0"/>
    <w:rsid w:val="0F2E3835"/>
    <w:rsid w:val="0F2F588D"/>
    <w:rsid w:val="0F74669E"/>
    <w:rsid w:val="0F800158"/>
    <w:rsid w:val="0F875A32"/>
    <w:rsid w:val="0FE02BC4"/>
    <w:rsid w:val="0FE45015"/>
    <w:rsid w:val="10170F4A"/>
    <w:rsid w:val="10173A4E"/>
    <w:rsid w:val="102C708A"/>
    <w:rsid w:val="10344C96"/>
    <w:rsid w:val="10601A12"/>
    <w:rsid w:val="107B62AB"/>
    <w:rsid w:val="107C137E"/>
    <w:rsid w:val="107C1F5F"/>
    <w:rsid w:val="1095562F"/>
    <w:rsid w:val="10B62D3D"/>
    <w:rsid w:val="10C66595"/>
    <w:rsid w:val="10D90B46"/>
    <w:rsid w:val="10F31094"/>
    <w:rsid w:val="110B1B3C"/>
    <w:rsid w:val="11D72A0A"/>
    <w:rsid w:val="11DB2A70"/>
    <w:rsid w:val="120C3A58"/>
    <w:rsid w:val="12244715"/>
    <w:rsid w:val="122A6242"/>
    <w:rsid w:val="123219FC"/>
    <w:rsid w:val="12821B0C"/>
    <w:rsid w:val="12832955"/>
    <w:rsid w:val="128C1C92"/>
    <w:rsid w:val="12A75BB9"/>
    <w:rsid w:val="12BC2662"/>
    <w:rsid w:val="12C82DDC"/>
    <w:rsid w:val="12CF3752"/>
    <w:rsid w:val="12E1708A"/>
    <w:rsid w:val="1312543B"/>
    <w:rsid w:val="13325BA2"/>
    <w:rsid w:val="134D58F6"/>
    <w:rsid w:val="13734B4C"/>
    <w:rsid w:val="13A6624F"/>
    <w:rsid w:val="13A91139"/>
    <w:rsid w:val="13AB1038"/>
    <w:rsid w:val="13C61981"/>
    <w:rsid w:val="14546244"/>
    <w:rsid w:val="146C5982"/>
    <w:rsid w:val="14A906B2"/>
    <w:rsid w:val="14B261FB"/>
    <w:rsid w:val="14C06208"/>
    <w:rsid w:val="14D3719B"/>
    <w:rsid w:val="14DE6D62"/>
    <w:rsid w:val="14E34E5B"/>
    <w:rsid w:val="15082FDF"/>
    <w:rsid w:val="153B6E50"/>
    <w:rsid w:val="15777D04"/>
    <w:rsid w:val="15866559"/>
    <w:rsid w:val="159D1FB6"/>
    <w:rsid w:val="15B243D9"/>
    <w:rsid w:val="15C75227"/>
    <w:rsid w:val="15CE0F46"/>
    <w:rsid w:val="15FE60A6"/>
    <w:rsid w:val="160E6B94"/>
    <w:rsid w:val="16107A9A"/>
    <w:rsid w:val="165929C5"/>
    <w:rsid w:val="166E570D"/>
    <w:rsid w:val="16AC166B"/>
    <w:rsid w:val="16B8770A"/>
    <w:rsid w:val="16F45B85"/>
    <w:rsid w:val="17125CEF"/>
    <w:rsid w:val="172E0416"/>
    <w:rsid w:val="174021D8"/>
    <w:rsid w:val="1756721D"/>
    <w:rsid w:val="17637FF4"/>
    <w:rsid w:val="177D3ED4"/>
    <w:rsid w:val="17923BD9"/>
    <w:rsid w:val="17AA0E34"/>
    <w:rsid w:val="17B61343"/>
    <w:rsid w:val="17BA5E28"/>
    <w:rsid w:val="17C46336"/>
    <w:rsid w:val="17D91AFB"/>
    <w:rsid w:val="17F77BD6"/>
    <w:rsid w:val="18073128"/>
    <w:rsid w:val="180B31D6"/>
    <w:rsid w:val="182364A1"/>
    <w:rsid w:val="183C3D33"/>
    <w:rsid w:val="184F7FAC"/>
    <w:rsid w:val="191C2434"/>
    <w:rsid w:val="193131C2"/>
    <w:rsid w:val="193B2D17"/>
    <w:rsid w:val="194D279E"/>
    <w:rsid w:val="19904E34"/>
    <w:rsid w:val="19944EAB"/>
    <w:rsid w:val="19A50808"/>
    <w:rsid w:val="19C057BD"/>
    <w:rsid w:val="19D63F84"/>
    <w:rsid w:val="19DB5151"/>
    <w:rsid w:val="19F27459"/>
    <w:rsid w:val="1A181101"/>
    <w:rsid w:val="1A875C5C"/>
    <w:rsid w:val="1AA33A21"/>
    <w:rsid w:val="1AE6590D"/>
    <w:rsid w:val="1B1709C3"/>
    <w:rsid w:val="1B433F58"/>
    <w:rsid w:val="1B465C0B"/>
    <w:rsid w:val="1B584D1F"/>
    <w:rsid w:val="1B6B609A"/>
    <w:rsid w:val="1B8C730D"/>
    <w:rsid w:val="1BC12113"/>
    <w:rsid w:val="1BCA645B"/>
    <w:rsid w:val="1BCE2D3C"/>
    <w:rsid w:val="1BCE69B8"/>
    <w:rsid w:val="1BD250D0"/>
    <w:rsid w:val="1C1B11DE"/>
    <w:rsid w:val="1C3F4C43"/>
    <w:rsid w:val="1C4C56B8"/>
    <w:rsid w:val="1C535F8C"/>
    <w:rsid w:val="1C9D0020"/>
    <w:rsid w:val="1CF91695"/>
    <w:rsid w:val="1D015A47"/>
    <w:rsid w:val="1D1125CB"/>
    <w:rsid w:val="1D1519A8"/>
    <w:rsid w:val="1D432CB1"/>
    <w:rsid w:val="1D490B6F"/>
    <w:rsid w:val="1D8C6A47"/>
    <w:rsid w:val="1D95020A"/>
    <w:rsid w:val="1DB92AE5"/>
    <w:rsid w:val="1DC06C38"/>
    <w:rsid w:val="1DE9573A"/>
    <w:rsid w:val="1DFB74DD"/>
    <w:rsid w:val="1E146B74"/>
    <w:rsid w:val="1E316AFD"/>
    <w:rsid w:val="1E9E142B"/>
    <w:rsid w:val="1EAA4ACC"/>
    <w:rsid w:val="1EB26293"/>
    <w:rsid w:val="1EBE7AFE"/>
    <w:rsid w:val="1EF3201E"/>
    <w:rsid w:val="1F03702B"/>
    <w:rsid w:val="1F3B566D"/>
    <w:rsid w:val="1F467F93"/>
    <w:rsid w:val="1F5E0302"/>
    <w:rsid w:val="1F721F25"/>
    <w:rsid w:val="1F8147EF"/>
    <w:rsid w:val="1FBA7CAB"/>
    <w:rsid w:val="1FC76B93"/>
    <w:rsid w:val="1FDA462D"/>
    <w:rsid w:val="1FE51343"/>
    <w:rsid w:val="1FE83E24"/>
    <w:rsid w:val="1FF91514"/>
    <w:rsid w:val="20085EF1"/>
    <w:rsid w:val="200971AE"/>
    <w:rsid w:val="201A6037"/>
    <w:rsid w:val="202A5D3C"/>
    <w:rsid w:val="20400152"/>
    <w:rsid w:val="2075737D"/>
    <w:rsid w:val="20A4469A"/>
    <w:rsid w:val="20AC2FAD"/>
    <w:rsid w:val="20D607E2"/>
    <w:rsid w:val="213C6A19"/>
    <w:rsid w:val="214B76A6"/>
    <w:rsid w:val="218230FB"/>
    <w:rsid w:val="21AE1C12"/>
    <w:rsid w:val="21DB4080"/>
    <w:rsid w:val="22074CDF"/>
    <w:rsid w:val="22160A30"/>
    <w:rsid w:val="226C73D8"/>
    <w:rsid w:val="227125BD"/>
    <w:rsid w:val="22796EBD"/>
    <w:rsid w:val="22AE3FE8"/>
    <w:rsid w:val="22BE7687"/>
    <w:rsid w:val="22CE558B"/>
    <w:rsid w:val="22F554D8"/>
    <w:rsid w:val="22FF574F"/>
    <w:rsid w:val="230D6A92"/>
    <w:rsid w:val="234A69A5"/>
    <w:rsid w:val="23837523"/>
    <w:rsid w:val="23C37671"/>
    <w:rsid w:val="23E25A19"/>
    <w:rsid w:val="240B6A72"/>
    <w:rsid w:val="24287ADA"/>
    <w:rsid w:val="24484F3D"/>
    <w:rsid w:val="245B79FE"/>
    <w:rsid w:val="2461168B"/>
    <w:rsid w:val="24650660"/>
    <w:rsid w:val="246A1ABB"/>
    <w:rsid w:val="24714A26"/>
    <w:rsid w:val="24770A4F"/>
    <w:rsid w:val="24781560"/>
    <w:rsid w:val="24885826"/>
    <w:rsid w:val="24B2758B"/>
    <w:rsid w:val="24C6441A"/>
    <w:rsid w:val="24C65DDB"/>
    <w:rsid w:val="24FC446C"/>
    <w:rsid w:val="251B10EE"/>
    <w:rsid w:val="2527423D"/>
    <w:rsid w:val="252A79EE"/>
    <w:rsid w:val="254C61D5"/>
    <w:rsid w:val="258C0A3A"/>
    <w:rsid w:val="259729AA"/>
    <w:rsid w:val="25B90354"/>
    <w:rsid w:val="25CC357A"/>
    <w:rsid w:val="26270FDF"/>
    <w:rsid w:val="262A39D3"/>
    <w:rsid w:val="26320878"/>
    <w:rsid w:val="265B47EA"/>
    <w:rsid w:val="265D664F"/>
    <w:rsid w:val="26797B39"/>
    <w:rsid w:val="26924486"/>
    <w:rsid w:val="269373C3"/>
    <w:rsid w:val="269817D3"/>
    <w:rsid w:val="26B42662"/>
    <w:rsid w:val="26C873BA"/>
    <w:rsid w:val="26E45849"/>
    <w:rsid w:val="26E50A8C"/>
    <w:rsid w:val="26EE3476"/>
    <w:rsid w:val="26F95E52"/>
    <w:rsid w:val="27011AF4"/>
    <w:rsid w:val="2713326B"/>
    <w:rsid w:val="273B293B"/>
    <w:rsid w:val="2740407B"/>
    <w:rsid w:val="274E788F"/>
    <w:rsid w:val="276810D4"/>
    <w:rsid w:val="27865029"/>
    <w:rsid w:val="27873C0D"/>
    <w:rsid w:val="27906587"/>
    <w:rsid w:val="279C264E"/>
    <w:rsid w:val="27E21910"/>
    <w:rsid w:val="27EC5762"/>
    <w:rsid w:val="27F410A7"/>
    <w:rsid w:val="27F70287"/>
    <w:rsid w:val="27FA2652"/>
    <w:rsid w:val="27FA5EF3"/>
    <w:rsid w:val="27FB235B"/>
    <w:rsid w:val="2813173E"/>
    <w:rsid w:val="2893580E"/>
    <w:rsid w:val="289E367D"/>
    <w:rsid w:val="28A518A0"/>
    <w:rsid w:val="28AC0D73"/>
    <w:rsid w:val="28C63250"/>
    <w:rsid w:val="28D94723"/>
    <w:rsid w:val="28DC7EE1"/>
    <w:rsid w:val="28E70392"/>
    <w:rsid w:val="291167C1"/>
    <w:rsid w:val="29163AA8"/>
    <w:rsid w:val="291C4BB5"/>
    <w:rsid w:val="29291071"/>
    <w:rsid w:val="29321C9F"/>
    <w:rsid w:val="29397324"/>
    <w:rsid w:val="2968745A"/>
    <w:rsid w:val="29AB5EA1"/>
    <w:rsid w:val="29BE5BD5"/>
    <w:rsid w:val="29C57B17"/>
    <w:rsid w:val="29DA4BF1"/>
    <w:rsid w:val="2A1B3098"/>
    <w:rsid w:val="2A3627D7"/>
    <w:rsid w:val="2A3F08E2"/>
    <w:rsid w:val="2A510C72"/>
    <w:rsid w:val="2A684377"/>
    <w:rsid w:val="2A692144"/>
    <w:rsid w:val="2A6B4AC4"/>
    <w:rsid w:val="2AED63FF"/>
    <w:rsid w:val="2AFD097C"/>
    <w:rsid w:val="2B2E4B5F"/>
    <w:rsid w:val="2B524298"/>
    <w:rsid w:val="2B5541F9"/>
    <w:rsid w:val="2B617A24"/>
    <w:rsid w:val="2B727B18"/>
    <w:rsid w:val="2B7A1E5A"/>
    <w:rsid w:val="2B9255BB"/>
    <w:rsid w:val="2BD45091"/>
    <w:rsid w:val="2BE1486E"/>
    <w:rsid w:val="2BE62657"/>
    <w:rsid w:val="2BE80FBF"/>
    <w:rsid w:val="2C0A7787"/>
    <w:rsid w:val="2C5D47F4"/>
    <w:rsid w:val="2C5F0006"/>
    <w:rsid w:val="2C675C54"/>
    <w:rsid w:val="2C8F3E27"/>
    <w:rsid w:val="2CA42DE9"/>
    <w:rsid w:val="2CC23AFD"/>
    <w:rsid w:val="2CF1043C"/>
    <w:rsid w:val="2D0C35C2"/>
    <w:rsid w:val="2D461454"/>
    <w:rsid w:val="2D7131D1"/>
    <w:rsid w:val="2D7D7C3F"/>
    <w:rsid w:val="2DB82763"/>
    <w:rsid w:val="2DBE5647"/>
    <w:rsid w:val="2DD51697"/>
    <w:rsid w:val="2DDF06F7"/>
    <w:rsid w:val="2E020C66"/>
    <w:rsid w:val="2E195E2F"/>
    <w:rsid w:val="2E824EA3"/>
    <w:rsid w:val="2E9F130B"/>
    <w:rsid w:val="2EC9747A"/>
    <w:rsid w:val="2EDF4FE5"/>
    <w:rsid w:val="2EF72100"/>
    <w:rsid w:val="2F1140F9"/>
    <w:rsid w:val="2F1410FF"/>
    <w:rsid w:val="2F26710B"/>
    <w:rsid w:val="2F5E3A56"/>
    <w:rsid w:val="2F827E6F"/>
    <w:rsid w:val="2FAA0DF8"/>
    <w:rsid w:val="2FAB2A78"/>
    <w:rsid w:val="2FD2036E"/>
    <w:rsid w:val="2FD93441"/>
    <w:rsid w:val="2FE77226"/>
    <w:rsid w:val="30162609"/>
    <w:rsid w:val="301B66F1"/>
    <w:rsid w:val="30330E9D"/>
    <w:rsid w:val="30515746"/>
    <w:rsid w:val="30772C64"/>
    <w:rsid w:val="30844CFF"/>
    <w:rsid w:val="30897828"/>
    <w:rsid w:val="30B924BE"/>
    <w:rsid w:val="30F411A2"/>
    <w:rsid w:val="31090DEF"/>
    <w:rsid w:val="311B6D36"/>
    <w:rsid w:val="3121258F"/>
    <w:rsid w:val="3140742F"/>
    <w:rsid w:val="316635F6"/>
    <w:rsid w:val="318F32E1"/>
    <w:rsid w:val="319C3A9E"/>
    <w:rsid w:val="31E62371"/>
    <w:rsid w:val="31FC56B8"/>
    <w:rsid w:val="3219019C"/>
    <w:rsid w:val="32677992"/>
    <w:rsid w:val="32823ADE"/>
    <w:rsid w:val="32857B0B"/>
    <w:rsid w:val="32A22F73"/>
    <w:rsid w:val="32A56D4F"/>
    <w:rsid w:val="32B949CA"/>
    <w:rsid w:val="32D2572E"/>
    <w:rsid w:val="33493322"/>
    <w:rsid w:val="3365589E"/>
    <w:rsid w:val="336624F8"/>
    <w:rsid w:val="337C1A75"/>
    <w:rsid w:val="33865EE6"/>
    <w:rsid w:val="3390330A"/>
    <w:rsid w:val="33A83C7B"/>
    <w:rsid w:val="33BC6AB9"/>
    <w:rsid w:val="33BE4F0D"/>
    <w:rsid w:val="34187DAB"/>
    <w:rsid w:val="34286E2C"/>
    <w:rsid w:val="34671F85"/>
    <w:rsid w:val="34780B0C"/>
    <w:rsid w:val="34781601"/>
    <w:rsid w:val="34B46D57"/>
    <w:rsid w:val="34BF2625"/>
    <w:rsid w:val="34E619F3"/>
    <w:rsid w:val="34F42EF3"/>
    <w:rsid w:val="35532B2A"/>
    <w:rsid w:val="355E6A58"/>
    <w:rsid w:val="35764BC8"/>
    <w:rsid w:val="3597323C"/>
    <w:rsid w:val="35AE6EE3"/>
    <w:rsid w:val="35B019FF"/>
    <w:rsid w:val="36357021"/>
    <w:rsid w:val="36635017"/>
    <w:rsid w:val="369031BE"/>
    <w:rsid w:val="369C72E5"/>
    <w:rsid w:val="36F709A3"/>
    <w:rsid w:val="37005171"/>
    <w:rsid w:val="372358FE"/>
    <w:rsid w:val="375D7BAF"/>
    <w:rsid w:val="37620B7E"/>
    <w:rsid w:val="3762339A"/>
    <w:rsid w:val="37627968"/>
    <w:rsid w:val="37653551"/>
    <w:rsid w:val="376A2A8A"/>
    <w:rsid w:val="37745EC5"/>
    <w:rsid w:val="37825EBC"/>
    <w:rsid w:val="37832542"/>
    <w:rsid w:val="37D526F5"/>
    <w:rsid w:val="37DA4F11"/>
    <w:rsid w:val="37DA58C5"/>
    <w:rsid w:val="37ED654A"/>
    <w:rsid w:val="37FA228A"/>
    <w:rsid w:val="38006237"/>
    <w:rsid w:val="3803345B"/>
    <w:rsid w:val="382126F4"/>
    <w:rsid w:val="383827BE"/>
    <w:rsid w:val="383B044E"/>
    <w:rsid w:val="385E4CBC"/>
    <w:rsid w:val="388E6E5C"/>
    <w:rsid w:val="38AB4A82"/>
    <w:rsid w:val="38C318F9"/>
    <w:rsid w:val="38D87D53"/>
    <w:rsid w:val="38FB1060"/>
    <w:rsid w:val="395D1743"/>
    <w:rsid w:val="39B730AE"/>
    <w:rsid w:val="39E65DAA"/>
    <w:rsid w:val="3A0E3F8B"/>
    <w:rsid w:val="3A1B2877"/>
    <w:rsid w:val="3A2A3677"/>
    <w:rsid w:val="3A3A4530"/>
    <w:rsid w:val="3A411B38"/>
    <w:rsid w:val="3A4A01C1"/>
    <w:rsid w:val="3A573F97"/>
    <w:rsid w:val="3A642355"/>
    <w:rsid w:val="3A6C5C5B"/>
    <w:rsid w:val="3A70759E"/>
    <w:rsid w:val="3A874F00"/>
    <w:rsid w:val="3AD66F09"/>
    <w:rsid w:val="3ADA7342"/>
    <w:rsid w:val="3AFE49DE"/>
    <w:rsid w:val="3B07205A"/>
    <w:rsid w:val="3B155C9B"/>
    <w:rsid w:val="3B1A1C60"/>
    <w:rsid w:val="3B217E5E"/>
    <w:rsid w:val="3B5340FC"/>
    <w:rsid w:val="3B8272CE"/>
    <w:rsid w:val="3BBD11B2"/>
    <w:rsid w:val="3BC462BF"/>
    <w:rsid w:val="3C237D3A"/>
    <w:rsid w:val="3C2F2FBB"/>
    <w:rsid w:val="3C34216F"/>
    <w:rsid w:val="3C70253A"/>
    <w:rsid w:val="3C72450C"/>
    <w:rsid w:val="3CC52228"/>
    <w:rsid w:val="3CC61FB5"/>
    <w:rsid w:val="3CC64FDC"/>
    <w:rsid w:val="3CCD7E3F"/>
    <w:rsid w:val="3CD54618"/>
    <w:rsid w:val="3CFB0695"/>
    <w:rsid w:val="3D08452F"/>
    <w:rsid w:val="3D0D3753"/>
    <w:rsid w:val="3D1243F9"/>
    <w:rsid w:val="3D140CC4"/>
    <w:rsid w:val="3D326EDE"/>
    <w:rsid w:val="3D375ECF"/>
    <w:rsid w:val="3D782BA8"/>
    <w:rsid w:val="3D826E7B"/>
    <w:rsid w:val="3D853B2C"/>
    <w:rsid w:val="3D876A09"/>
    <w:rsid w:val="3DB55EE8"/>
    <w:rsid w:val="3DCC42FC"/>
    <w:rsid w:val="3DD65CB6"/>
    <w:rsid w:val="3DDA52B1"/>
    <w:rsid w:val="3DDB3A4B"/>
    <w:rsid w:val="3DFB32A1"/>
    <w:rsid w:val="3E1133A8"/>
    <w:rsid w:val="3E175FE7"/>
    <w:rsid w:val="3E25453E"/>
    <w:rsid w:val="3E426ADF"/>
    <w:rsid w:val="3E512CF7"/>
    <w:rsid w:val="3E65175D"/>
    <w:rsid w:val="3E946F73"/>
    <w:rsid w:val="3ECA1097"/>
    <w:rsid w:val="3ED119D3"/>
    <w:rsid w:val="3ED21B63"/>
    <w:rsid w:val="3ED60866"/>
    <w:rsid w:val="3EDF4EC6"/>
    <w:rsid w:val="3EE00A1B"/>
    <w:rsid w:val="3EE836F9"/>
    <w:rsid w:val="3F30252A"/>
    <w:rsid w:val="3F315616"/>
    <w:rsid w:val="3F383ADB"/>
    <w:rsid w:val="3F6858A9"/>
    <w:rsid w:val="3F8A4C0E"/>
    <w:rsid w:val="3FB10C0A"/>
    <w:rsid w:val="3FC05D9E"/>
    <w:rsid w:val="3FCE3D13"/>
    <w:rsid w:val="3FD30B5D"/>
    <w:rsid w:val="3FEF17FE"/>
    <w:rsid w:val="400D633D"/>
    <w:rsid w:val="40230BFF"/>
    <w:rsid w:val="4040341C"/>
    <w:rsid w:val="408B63F5"/>
    <w:rsid w:val="409530E0"/>
    <w:rsid w:val="40A13892"/>
    <w:rsid w:val="40B12514"/>
    <w:rsid w:val="40C36176"/>
    <w:rsid w:val="40DF0929"/>
    <w:rsid w:val="40E55183"/>
    <w:rsid w:val="40FB45DF"/>
    <w:rsid w:val="40FC7EFF"/>
    <w:rsid w:val="410D3AC6"/>
    <w:rsid w:val="415B1EBD"/>
    <w:rsid w:val="41AC1583"/>
    <w:rsid w:val="41E461BE"/>
    <w:rsid w:val="42403883"/>
    <w:rsid w:val="427F30FF"/>
    <w:rsid w:val="429A03B5"/>
    <w:rsid w:val="42DD179D"/>
    <w:rsid w:val="42E32D8E"/>
    <w:rsid w:val="43001CA2"/>
    <w:rsid w:val="430329D0"/>
    <w:rsid w:val="432819F9"/>
    <w:rsid w:val="43455141"/>
    <w:rsid w:val="438A29A5"/>
    <w:rsid w:val="43C12083"/>
    <w:rsid w:val="43CD187D"/>
    <w:rsid w:val="43CF4C7A"/>
    <w:rsid w:val="43F043BA"/>
    <w:rsid w:val="44122F2B"/>
    <w:rsid w:val="4434627F"/>
    <w:rsid w:val="444C6731"/>
    <w:rsid w:val="44557254"/>
    <w:rsid w:val="44586AAA"/>
    <w:rsid w:val="446A7C6C"/>
    <w:rsid w:val="44B9766B"/>
    <w:rsid w:val="44C90C46"/>
    <w:rsid w:val="44D5605A"/>
    <w:rsid w:val="44DF594C"/>
    <w:rsid w:val="44E977E0"/>
    <w:rsid w:val="44F716B6"/>
    <w:rsid w:val="45092BDC"/>
    <w:rsid w:val="451E1274"/>
    <w:rsid w:val="45873AE2"/>
    <w:rsid w:val="45880F0D"/>
    <w:rsid w:val="458B2788"/>
    <w:rsid w:val="45921F73"/>
    <w:rsid w:val="459C0C74"/>
    <w:rsid w:val="45A26F02"/>
    <w:rsid w:val="45D60A84"/>
    <w:rsid w:val="463D3C12"/>
    <w:rsid w:val="46516B24"/>
    <w:rsid w:val="46585B76"/>
    <w:rsid w:val="465D49DB"/>
    <w:rsid w:val="465F20B6"/>
    <w:rsid w:val="46607442"/>
    <w:rsid w:val="46681E68"/>
    <w:rsid w:val="46D7456C"/>
    <w:rsid w:val="46DC2827"/>
    <w:rsid w:val="46F9275D"/>
    <w:rsid w:val="46FA0FB1"/>
    <w:rsid w:val="472A5179"/>
    <w:rsid w:val="476E5E63"/>
    <w:rsid w:val="478622BB"/>
    <w:rsid w:val="478F26EA"/>
    <w:rsid w:val="479B7A91"/>
    <w:rsid w:val="47C92A4E"/>
    <w:rsid w:val="47E92BD3"/>
    <w:rsid w:val="481C3F50"/>
    <w:rsid w:val="481D2897"/>
    <w:rsid w:val="483C6A33"/>
    <w:rsid w:val="484A47B5"/>
    <w:rsid w:val="48682253"/>
    <w:rsid w:val="48762671"/>
    <w:rsid w:val="487C51CE"/>
    <w:rsid w:val="48ED51FA"/>
    <w:rsid w:val="48FD7704"/>
    <w:rsid w:val="4908491C"/>
    <w:rsid w:val="491A2290"/>
    <w:rsid w:val="49423AA5"/>
    <w:rsid w:val="49585D27"/>
    <w:rsid w:val="497D0826"/>
    <w:rsid w:val="49846A31"/>
    <w:rsid w:val="498736D0"/>
    <w:rsid w:val="498A679C"/>
    <w:rsid w:val="49982D19"/>
    <w:rsid w:val="49A168A6"/>
    <w:rsid w:val="49D623DC"/>
    <w:rsid w:val="4A072CF1"/>
    <w:rsid w:val="4A213D9A"/>
    <w:rsid w:val="4A2B41C3"/>
    <w:rsid w:val="4A2B43F6"/>
    <w:rsid w:val="4A500626"/>
    <w:rsid w:val="4A504290"/>
    <w:rsid w:val="4A5904F7"/>
    <w:rsid w:val="4A590F65"/>
    <w:rsid w:val="4A603F5D"/>
    <w:rsid w:val="4A7019D0"/>
    <w:rsid w:val="4A837CBC"/>
    <w:rsid w:val="4A99261C"/>
    <w:rsid w:val="4AA54069"/>
    <w:rsid w:val="4AB94E98"/>
    <w:rsid w:val="4ACA50C0"/>
    <w:rsid w:val="4ACB0ADE"/>
    <w:rsid w:val="4AFE0EB9"/>
    <w:rsid w:val="4B1643F1"/>
    <w:rsid w:val="4B560F32"/>
    <w:rsid w:val="4B6E6D3D"/>
    <w:rsid w:val="4B7C4922"/>
    <w:rsid w:val="4B8F4D2A"/>
    <w:rsid w:val="4B991B7C"/>
    <w:rsid w:val="4BD63562"/>
    <w:rsid w:val="4C0817BC"/>
    <w:rsid w:val="4C1D3D3A"/>
    <w:rsid w:val="4C28056E"/>
    <w:rsid w:val="4C336C1B"/>
    <w:rsid w:val="4C48536B"/>
    <w:rsid w:val="4C55113F"/>
    <w:rsid w:val="4C580C9F"/>
    <w:rsid w:val="4CA321EF"/>
    <w:rsid w:val="4CBF3618"/>
    <w:rsid w:val="4CC83571"/>
    <w:rsid w:val="4CCD01A0"/>
    <w:rsid w:val="4CD2104B"/>
    <w:rsid w:val="4CEC2563"/>
    <w:rsid w:val="4CF73F51"/>
    <w:rsid w:val="4D082981"/>
    <w:rsid w:val="4D142C16"/>
    <w:rsid w:val="4D26254A"/>
    <w:rsid w:val="4D2B2FD8"/>
    <w:rsid w:val="4D837B9E"/>
    <w:rsid w:val="4DAA1BB9"/>
    <w:rsid w:val="4DE076D7"/>
    <w:rsid w:val="4E021AB1"/>
    <w:rsid w:val="4E045D1B"/>
    <w:rsid w:val="4E3D1CF3"/>
    <w:rsid w:val="4E4F3E29"/>
    <w:rsid w:val="4E7306B1"/>
    <w:rsid w:val="4ECA2F7B"/>
    <w:rsid w:val="4EF223F7"/>
    <w:rsid w:val="4F002F02"/>
    <w:rsid w:val="4F0A1E31"/>
    <w:rsid w:val="4F16659F"/>
    <w:rsid w:val="4F252D43"/>
    <w:rsid w:val="4F3734E7"/>
    <w:rsid w:val="4F3A5EDE"/>
    <w:rsid w:val="4F5138F8"/>
    <w:rsid w:val="4FE509B4"/>
    <w:rsid w:val="50320D2B"/>
    <w:rsid w:val="50393C28"/>
    <w:rsid w:val="503C7063"/>
    <w:rsid w:val="503E0275"/>
    <w:rsid w:val="5053160B"/>
    <w:rsid w:val="50685558"/>
    <w:rsid w:val="50762F1F"/>
    <w:rsid w:val="507E201E"/>
    <w:rsid w:val="50887CFF"/>
    <w:rsid w:val="509422C2"/>
    <w:rsid w:val="50AA7FC3"/>
    <w:rsid w:val="50C9209B"/>
    <w:rsid w:val="50F365EB"/>
    <w:rsid w:val="50FB0FF1"/>
    <w:rsid w:val="51145C4E"/>
    <w:rsid w:val="511E2E0F"/>
    <w:rsid w:val="514866F2"/>
    <w:rsid w:val="514D30F8"/>
    <w:rsid w:val="51670E4B"/>
    <w:rsid w:val="51711289"/>
    <w:rsid w:val="517C15C6"/>
    <w:rsid w:val="51941966"/>
    <w:rsid w:val="51AB2A84"/>
    <w:rsid w:val="51B75004"/>
    <w:rsid w:val="51CE17BD"/>
    <w:rsid w:val="51E0593D"/>
    <w:rsid w:val="523D2B01"/>
    <w:rsid w:val="526249B7"/>
    <w:rsid w:val="52865A11"/>
    <w:rsid w:val="529F63ED"/>
    <w:rsid w:val="52A664A3"/>
    <w:rsid w:val="52B735D5"/>
    <w:rsid w:val="52D77C26"/>
    <w:rsid w:val="53012568"/>
    <w:rsid w:val="53141FD1"/>
    <w:rsid w:val="53147C0D"/>
    <w:rsid w:val="53252F9F"/>
    <w:rsid w:val="53341ECA"/>
    <w:rsid w:val="534D5A83"/>
    <w:rsid w:val="534E622D"/>
    <w:rsid w:val="535C6D15"/>
    <w:rsid w:val="53796FD2"/>
    <w:rsid w:val="538C6F92"/>
    <w:rsid w:val="539D0814"/>
    <w:rsid w:val="539D2749"/>
    <w:rsid w:val="53B369C1"/>
    <w:rsid w:val="540B19B4"/>
    <w:rsid w:val="545D40A9"/>
    <w:rsid w:val="54975FC2"/>
    <w:rsid w:val="54B609EC"/>
    <w:rsid w:val="54C23804"/>
    <w:rsid w:val="54CB72BF"/>
    <w:rsid w:val="54CC47FF"/>
    <w:rsid w:val="54E91177"/>
    <w:rsid w:val="55052457"/>
    <w:rsid w:val="55294064"/>
    <w:rsid w:val="55473F0F"/>
    <w:rsid w:val="55544100"/>
    <w:rsid w:val="55611EE4"/>
    <w:rsid w:val="558C214E"/>
    <w:rsid w:val="55AE2AAB"/>
    <w:rsid w:val="55C30006"/>
    <w:rsid w:val="55C8614B"/>
    <w:rsid w:val="55CE78EC"/>
    <w:rsid w:val="56020BAA"/>
    <w:rsid w:val="560F3DEF"/>
    <w:rsid w:val="562D16E9"/>
    <w:rsid w:val="56765214"/>
    <w:rsid w:val="568663A7"/>
    <w:rsid w:val="56B829AD"/>
    <w:rsid w:val="56CC26E7"/>
    <w:rsid w:val="56D45F08"/>
    <w:rsid w:val="571A08CE"/>
    <w:rsid w:val="57395273"/>
    <w:rsid w:val="578F0DB6"/>
    <w:rsid w:val="57A920A4"/>
    <w:rsid w:val="57C40E67"/>
    <w:rsid w:val="57DB6556"/>
    <w:rsid w:val="5816545D"/>
    <w:rsid w:val="58640A90"/>
    <w:rsid w:val="58FB73D6"/>
    <w:rsid w:val="590475EF"/>
    <w:rsid w:val="59231B5C"/>
    <w:rsid w:val="59314B6A"/>
    <w:rsid w:val="59363720"/>
    <w:rsid w:val="593A4598"/>
    <w:rsid w:val="59452B03"/>
    <w:rsid w:val="59714831"/>
    <w:rsid w:val="599D0BBE"/>
    <w:rsid w:val="599E23F8"/>
    <w:rsid w:val="59B25856"/>
    <w:rsid w:val="59DE4A41"/>
    <w:rsid w:val="59DF04B9"/>
    <w:rsid w:val="5A312B0B"/>
    <w:rsid w:val="5A3410A5"/>
    <w:rsid w:val="5A371983"/>
    <w:rsid w:val="5A4134F4"/>
    <w:rsid w:val="5A8C43D2"/>
    <w:rsid w:val="5AA93710"/>
    <w:rsid w:val="5ABE5CA7"/>
    <w:rsid w:val="5AFC7CE1"/>
    <w:rsid w:val="5B440992"/>
    <w:rsid w:val="5B5539A3"/>
    <w:rsid w:val="5B5D09B3"/>
    <w:rsid w:val="5B650F94"/>
    <w:rsid w:val="5B794EE9"/>
    <w:rsid w:val="5BA87B28"/>
    <w:rsid w:val="5BB335D6"/>
    <w:rsid w:val="5BC0059B"/>
    <w:rsid w:val="5BCC5B28"/>
    <w:rsid w:val="5BDE5E27"/>
    <w:rsid w:val="5BED56A7"/>
    <w:rsid w:val="5C0772E7"/>
    <w:rsid w:val="5C197467"/>
    <w:rsid w:val="5C2B2102"/>
    <w:rsid w:val="5C5217C9"/>
    <w:rsid w:val="5C5B1215"/>
    <w:rsid w:val="5C5E3E8F"/>
    <w:rsid w:val="5C7626D3"/>
    <w:rsid w:val="5C7A3AFF"/>
    <w:rsid w:val="5CA47E6E"/>
    <w:rsid w:val="5CDD7979"/>
    <w:rsid w:val="5CE03246"/>
    <w:rsid w:val="5CE54B31"/>
    <w:rsid w:val="5CED0F2F"/>
    <w:rsid w:val="5CFA6AC6"/>
    <w:rsid w:val="5D277D0E"/>
    <w:rsid w:val="5D2C7027"/>
    <w:rsid w:val="5D36475F"/>
    <w:rsid w:val="5D5C118A"/>
    <w:rsid w:val="5D62338F"/>
    <w:rsid w:val="5D664687"/>
    <w:rsid w:val="5D67196A"/>
    <w:rsid w:val="5D6B5451"/>
    <w:rsid w:val="5D72705A"/>
    <w:rsid w:val="5D8B4CEC"/>
    <w:rsid w:val="5D8C2657"/>
    <w:rsid w:val="5D8D6764"/>
    <w:rsid w:val="5DBB323F"/>
    <w:rsid w:val="5DC73389"/>
    <w:rsid w:val="5DF818E0"/>
    <w:rsid w:val="5E452638"/>
    <w:rsid w:val="5E6B3CF6"/>
    <w:rsid w:val="5E7C3143"/>
    <w:rsid w:val="5EA96378"/>
    <w:rsid w:val="5ECF121B"/>
    <w:rsid w:val="5EF53D70"/>
    <w:rsid w:val="5EFC62D0"/>
    <w:rsid w:val="5EFF5F98"/>
    <w:rsid w:val="5F025C16"/>
    <w:rsid w:val="5F3E378C"/>
    <w:rsid w:val="5F9C5DAC"/>
    <w:rsid w:val="5FBA1926"/>
    <w:rsid w:val="5FC53828"/>
    <w:rsid w:val="5FDA7D49"/>
    <w:rsid w:val="60324726"/>
    <w:rsid w:val="60542179"/>
    <w:rsid w:val="6055207F"/>
    <w:rsid w:val="6099129D"/>
    <w:rsid w:val="60B60A66"/>
    <w:rsid w:val="60DA431A"/>
    <w:rsid w:val="611549C3"/>
    <w:rsid w:val="6143039D"/>
    <w:rsid w:val="616D4577"/>
    <w:rsid w:val="617F02DB"/>
    <w:rsid w:val="61825855"/>
    <w:rsid w:val="61850165"/>
    <w:rsid w:val="618B6342"/>
    <w:rsid w:val="61A36707"/>
    <w:rsid w:val="61CA4E55"/>
    <w:rsid w:val="62314DA2"/>
    <w:rsid w:val="623F3E78"/>
    <w:rsid w:val="62516C98"/>
    <w:rsid w:val="62536FEF"/>
    <w:rsid w:val="62537C15"/>
    <w:rsid w:val="627F4B59"/>
    <w:rsid w:val="628874E1"/>
    <w:rsid w:val="62A2442F"/>
    <w:rsid w:val="62E91B0A"/>
    <w:rsid w:val="62EB0CA2"/>
    <w:rsid w:val="62F85AA5"/>
    <w:rsid w:val="63191BE9"/>
    <w:rsid w:val="631C79F4"/>
    <w:rsid w:val="633322B1"/>
    <w:rsid w:val="633F10FA"/>
    <w:rsid w:val="63843282"/>
    <w:rsid w:val="63BD3E10"/>
    <w:rsid w:val="63EC58A8"/>
    <w:rsid w:val="63ED2FB8"/>
    <w:rsid w:val="64165CB2"/>
    <w:rsid w:val="6440011C"/>
    <w:rsid w:val="64605AC5"/>
    <w:rsid w:val="64680287"/>
    <w:rsid w:val="646A7D83"/>
    <w:rsid w:val="64A92145"/>
    <w:rsid w:val="64B969E8"/>
    <w:rsid w:val="64D5718E"/>
    <w:rsid w:val="64E245A3"/>
    <w:rsid w:val="64E55A89"/>
    <w:rsid w:val="64EB3A4D"/>
    <w:rsid w:val="653D668F"/>
    <w:rsid w:val="654F00C2"/>
    <w:rsid w:val="658B37D4"/>
    <w:rsid w:val="65A0052E"/>
    <w:rsid w:val="65BF6B8C"/>
    <w:rsid w:val="65CC79E6"/>
    <w:rsid w:val="66017D14"/>
    <w:rsid w:val="66254902"/>
    <w:rsid w:val="66397067"/>
    <w:rsid w:val="663C2440"/>
    <w:rsid w:val="664D74B7"/>
    <w:rsid w:val="66863745"/>
    <w:rsid w:val="66B26C59"/>
    <w:rsid w:val="66BC1B59"/>
    <w:rsid w:val="66F226A8"/>
    <w:rsid w:val="66F67445"/>
    <w:rsid w:val="66F756FF"/>
    <w:rsid w:val="670A5353"/>
    <w:rsid w:val="67127B49"/>
    <w:rsid w:val="672E439C"/>
    <w:rsid w:val="675412F8"/>
    <w:rsid w:val="676B3677"/>
    <w:rsid w:val="677519A0"/>
    <w:rsid w:val="677A2066"/>
    <w:rsid w:val="677A4FC6"/>
    <w:rsid w:val="67927E95"/>
    <w:rsid w:val="67AF724B"/>
    <w:rsid w:val="67B42B51"/>
    <w:rsid w:val="67BC3489"/>
    <w:rsid w:val="67CD4A97"/>
    <w:rsid w:val="67E2382A"/>
    <w:rsid w:val="6836649E"/>
    <w:rsid w:val="68374C19"/>
    <w:rsid w:val="68445A05"/>
    <w:rsid w:val="68490279"/>
    <w:rsid w:val="68521B89"/>
    <w:rsid w:val="6855678B"/>
    <w:rsid w:val="686056D3"/>
    <w:rsid w:val="686E1BC0"/>
    <w:rsid w:val="688531B7"/>
    <w:rsid w:val="688933C3"/>
    <w:rsid w:val="68E25ED5"/>
    <w:rsid w:val="68F67307"/>
    <w:rsid w:val="68F67569"/>
    <w:rsid w:val="691938DD"/>
    <w:rsid w:val="69252E36"/>
    <w:rsid w:val="69303AFB"/>
    <w:rsid w:val="69361EA6"/>
    <w:rsid w:val="694133C0"/>
    <w:rsid w:val="695D0A86"/>
    <w:rsid w:val="695E5367"/>
    <w:rsid w:val="6967413D"/>
    <w:rsid w:val="699E70CA"/>
    <w:rsid w:val="69B37B95"/>
    <w:rsid w:val="69C77B60"/>
    <w:rsid w:val="69CB17A4"/>
    <w:rsid w:val="69D13CE1"/>
    <w:rsid w:val="6A01228B"/>
    <w:rsid w:val="6A0B7B11"/>
    <w:rsid w:val="6A5A3138"/>
    <w:rsid w:val="6A6B450F"/>
    <w:rsid w:val="6A7D3973"/>
    <w:rsid w:val="6A8544DA"/>
    <w:rsid w:val="6AAC15E6"/>
    <w:rsid w:val="6AB33017"/>
    <w:rsid w:val="6ABD06F5"/>
    <w:rsid w:val="6AC208AD"/>
    <w:rsid w:val="6AE21668"/>
    <w:rsid w:val="6AF83406"/>
    <w:rsid w:val="6B466309"/>
    <w:rsid w:val="6B493271"/>
    <w:rsid w:val="6B564138"/>
    <w:rsid w:val="6B8E70F4"/>
    <w:rsid w:val="6B9F5E6F"/>
    <w:rsid w:val="6BBB370E"/>
    <w:rsid w:val="6BBD7F17"/>
    <w:rsid w:val="6C0A4254"/>
    <w:rsid w:val="6C3D1F01"/>
    <w:rsid w:val="6C507852"/>
    <w:rsid w:val="6C707728"/>
    <w:rsid w:val="6D190E73"/>
    <w:rsid w:val="6D203861"/>
    <w:rsid w:val="6D4A54BE"/>
    <w:rsid w:val="6D5D13E0"/>
    <w:rsid w:val="6DA03AE5"/>
    <w:rsid w:val="6DCE2E2F"/>
    <w:rsid w:val="6DF40E20"/>
    <w:rsid w:val="6DF6232B"/>
    <w:rsid w:val="6E072DAE"/>
    <w:rsid w:val="6E3506BB"/>
    <w:rsid w:val="6E4213F6"/>
    <w:rsid w:val="6E484F58"/>
    <w:rsid w:val="6E504CA7"/>
    <w:rsid w:val="6E5827B1"/>
    <w:rsid w:val="6E641C32"/>
    <w:rsid w:val="6EA24CEF"/>
    <w:rsid w:val="6EB716DD"/>
    <w:rsid w:val="6ED22746"/>
    <w:rsid w:val="6F25219D"/>
    <w:rsid w:val="6F356C9F"/>
    <w:rsid w:val="6F637D39"/>
    <w:rsid w:val="6F8A08E8"/>
    <w:rsid w:val="6F943933"/>
    <w:rsid w:val="6F9A410B"/>
    <w:rsid w:val="6F9B74F9"/>
    <w:rsid w:val="6FB5040E"/>
    <w:rsid w:val="6FF617C2"/>
    <w:rsid w:val="6FF62DC7"/>
    <w:rsid w:val="702C2AF2"/>
    <w:rsid w:val="703A70A5"/>
    <w:rsid w:val="70506D47"/>
    <w:rsid w:val="705B6A95"/>
    <w:rsid w:val="705D33E3"/>
    <w:rsid w:val="70755FE5"/>
    <w:rsid w:val="709E578E"/>
    <w:rsid w:val="70F114D8"/>
    <w:rsid w:val="70FC0FF3"/>
    <w:rsid w:val="71044198"/>
    <w:rsid w:val="71647383"/>
    <w:rsid w:val="717F5729"/>
    <w:rsid w:val="71812B00"/>
    <w:rsid w:val="71957BAA"/>
    <w:rsid w:val="71BB7DCA"/>
    <w:rsid w:val="72353B81"/>
    <w:rsid w:val="725522D0"/>
    <w:rsid w:val="727B7557"/>
    <w:rsid w:val="728E7B6A"/>
    <w:rsid w:val="7291414E"/>
    <w:rsid w:val="7295497F"/>
    <w:rsid w:val="72AE18C7"/>
    <w:rsid w:val="72D80025"/>
    <w:rsid w:val="72F1461A"/>
    <w:rsid w:val="731153B7"/>
    <w:rsid w:val="73912FE7"/>
    <w:rsid w:val="73A42FE3"/>
    <w:rsid w:val="73AA3251"/>
    <w:rsid w:val="73C82B32"/>
    <w:rsid w:val="73F23F4A"/>
    <w:rsid w:val="73F77BA0"/>
    <w:rsid w:val="74056A7A"/>
    <w:rsid w:val="74244253"/>
    <w:rsid w:val="7428115A"/>
    <w:rsid w:val="743C1D27"/>
    <w:rsid w:val="74450E36"/>
    <w:rsid w:val="746E6050"/>
    <w:rsid w:val="74807A62"/>
    <w:rsid w:val="74B8570B"/>
    <w:rsid w:val="74D62AC0"/>
    <w:rsid w:val="74F64DDB"/>
    <w:rsid w:val="751B1E06"/>
    <w:rsid w:val="7527243F"/>
    <w:rsid w:val="75313DC8"/>
    <w:rsid w:val="753611C4"/>
    <w:rsid w:val="75557F90"/>
    <w:rsid w:val="758A6118"/>
    <w:rsid w:val="75B20B56"/>
    <w:rsid w:val="75C952D3"/>
    <w:rsid w:val="75CB02EF"/>
    <w:rsid w:val="75E5032B"/>
    <w:rsid w:val="75FD606F"/>
    <w:rsid w:val="76077C00"/>
    <w:rsid w:val="765324E6"/>
    <w:rsid w:val="76621CD9"/>
    <w:rsid w:val="76762DAE"/>
    <w:rsid w:val="76AC79B4"/>
    <w:rsid w:val="76B61C65"/>
    <w:rsid w:val="76D330D4"/>
    <w:rsid w:val="76D57A40"/>
    <w:rsid w:val="76E3401E"/>
    <w:rsid w:val="77257795"/>
    <w:rsid w:val="772B106E"/>
    <w:rsid w:val="776D3703"/>
    <w:rsid w:val="779560F0"/>
    <w:rsid w:val="77A536E2"/>
    <w:rsid w:val="77E2381A"/>
    <w:rsid w:val="77F511E4"/>
    <w:rsid w:val="780343F1"/>
    <w:rsid w:val="784348A0"/>
    <w:rsid w:val="78476300"/>
    <w:rsid w:val="78486087"/>
    <w:rsid w:val="784E5EA3"/>
    <w:rsid w:val="78584D3D"/>
    <w:rsid w:val="788C0BD3"/>
    <w:rsid w:val="78A067BA"/>
    <w:rsid w:val="78AD7BFA"/>
    <w:rsid w:val="78B72344"/>
    <w:rsid w:val="78BB0074"/>
    <w:rsid w:val="78D01773"/>
    <w:rsid w:val="78DA1D7B"/>
    <w:rsid w:val="793E239D"/>
    <w:rsid w:val="796046DE"/>
    <w:rsid w:val="79701BB9"/>
    <w:rsid w:val="799A57C0"/>
    <w:rsid w:val="79B40F10"/>
    <w:rsid w:val="79BD050F"/>
    <w:rsid w:val="79E473EB"/>
    <w:rsid w:val="79F16188"/>
    <w:rsid w:val="79F34742"/>
    <w:rsid w:val="7A143249"/>
    <w:rsid w:val="7A277C2E"/>
    <w:rsid w:val="7A5224C2"/>
    <w:rsid w:val="7A8E271A"/>
    <w:rsid w:val="7AB10D78"/>
    <w:rsid w:val="7ACF7679"/>
    <w:rsid w:val="7B0679E6"/>
    <w:rsid w:val="7B0A6F05"/>
    <w:rsid w:val="7B0C351E"/>
    <w:rsid w:val="7B194EAE"/>
    <w:rsid w:val="7B294FB4"/>
    <w:rsid w:val="7B614EF2"/>
    <w:rsid w:val="7B6C7526"/>
    <w:rsid w:val="7B8D6502"/>
    <w:rsid w:val="7BB22021"/>
    <w:rsid w:val="7C121D88"/>
    <w:rsid w:val="7C2D0BB6"/>
    <w:rsid w:val="7C5C02C2"/>
    <w:rsid w:val="7C660F07"/>
    <w:rsid w:val="7CC3541A"/>
    <w:rsid w:val="7CF03648"/>
    <w:rsid w:val="7CF217DD"/>
    <w:rsid w:val="7CF625CC"/>
    <w:rsid w:val="7D0E006E"/>
    <w:rsid w:val="7D1A6357"/>
    <w:rsid w:val="7D3960D8"/>
    <w:rsid w:val="7D3E038C"/>
    <w:rsid w:val="7D653C5A"/>
    <w:rsid w:val="7D742C73"/>
    <w:rsid w:val="7D7668EE"/>
    <w:rsid w:val="7D776FD9"/>
    <w:rsid w:val="7D7C351D"/>
    <w:rsid w:val="7D7F68D2"/>
    <w:rsid w:val="7DDE52D3"/>
    <w:rsid w:val="7DDF202D"/>
    <w:rsid w:val="7E39441D"/>
    <w:rsid w:val="7E666B62"/>
    <w:rsid w:val="7E73782B"/>
    <w:rsid w:val="7E7E2BFF"/>
    <w:rsid w:val="7EDA30CB"/>
    <w:rsid w:val="7EE24294"/>
    <w:rsid w:val="7EE66910"/>
    <w:rsid w:val="7EF60C6D"/>
    <w:rsid w:val="7F023367"/>
    <w:rsid w:val="7F125421"/>
    <w:rsid w:val="7F496071"/>
    <w:rsid w:val="7F9247E5"/>
    <w:rsid w:val="7FB311DE"/>
    <w:rsid w:val="7FE07CD0"/>
    <w:rsid w:val="7FE800B2"/>
    <w:rsid w:val="7FF8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20" w:after="120" w:line="360" w:lineRule="auto"/>
      <w:jc w:val="center"/>
      <w:outlineLvl w:val="0"/>
    </w:pPr>
    <w:rPr>
      <w:b/>
      <w:bCs/>
      <w:kern w:val="44"/>
      <w:sz w:val="30"/>
      <w:szCs w:val="44"/>
    </w:rPr>
  </w:style>
  <w:style w:type="paragraph" w:styleId="3">
    <w:name w:val="heading 2"/>
    <w:basedOn w:val="1"/>
    <w:next w:val="1"/>
    <w:autoRedefine/>
    <w:unhideWhenUsed/>
    <w:qFormat/>
    <w:uiPriority w:val="9"/>
    <w:pPr>
      <w:keepNext/>
      <w:keepLines/>
      <w:widowControl/>
      <w:numPr>
        <w:ilvl w:val="1"/>
        <w:numId w:val="1"/>
      </w:numPr>
      <w:spacing w:line="360"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qFormat/>
    <w:uiPriority w:val="9"/>
    <w:pPr>
      <w:keepNext/>
      <w:tabs>
        <w:tab w:val="left" w:pos="1275"/>
      </w:tabs>
      <w:spacing w:line="216" w:lineRule="auto"/>
      <w:ind w:left="1275" w:hanging="720"/>
      <w:outlineLvl w:val="2"/>
    </w:pPr>
    <w:rPr>
      <w:rFonts w:ascii="宋体"/>
      <w:b/>
      <w:sz w:val="28"/>
    </w:rPr>
  </w:style>
  <w:style w:type="paragraph" w:styleId="5">
    <w:name w:val="heading 4"/>
    <w:basedOn w:val="1"/>
    <w:next w:val="1"/>
    <w:autoRedefine/>
    <w:qFormat/>
    <w:uiPriority w:val="9"/>
    <w:pPr>
      <w:keepNext/>
      <w:keepLines/>
      <w:numPr>
        <w:ilvl w:val="3"/>
        <w:numId w:val="2"/>
      </w:numPr>
      <w:spacing w:before="280" w:after="290" w:line="372" w:lineRule="auto"/>
      <w:outlineLvl w:val="3"/>
    </w:pPr>
    <w:rPr>
      <w:rFonts w:ascii="Arial" w:hAnsi="Arial" w:eastAsia="黑体"/>
      <w:b/>
      <w:sz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firstLine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rPr>
      <w:color w:val="993300"/>
      <w:sz w:val="24"/>
    </w:rPr>
  </w:style>
  <w:style w:type="paragraph" w:styleId="9">
    <w:name w:val="Body Text Indent"/>
    <w:basedOn w:val="1"/>
    <w:next w:val="1"/>
    <w:autoRedefine/>
    <w:unhideWhenUsed/>
    <w:qFormat/>
    <w:uiPriority w:val="99"/>
    <w:pPr>
      <w:spacing w:line="640" w:lineRule="exact"/>
      <w:ind w:firstLine="585"/>
    </w:pPr>
    <w:rPr>
      <w:rFonts w:ascii="楷体_GB2312" w:eastAsia="楷体_GB2312"/>
      <w:sz w:val="32"/>
    </w:rPr>
  </w:style>
  <w:style w:type="paragraph" w:styleId="10">
    <w:name w:val="Plain Text"/>
    <w:basedOn w:val="1"/>
    <w:autoRedefine/>
    <w:qFormat/>
    <w:uiPriority w:val="0"/>
    <w:rPr>
      <w:rFonts w:ascii="宋体" w:hAnsi="Courier New" w:cs="Courier New"/>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autoRedefine/>
    <w:qFormat/>
    <w:uiPriority w:val="39"/>
    <w:pPr>
      <w:tabs>
        <w:tab w:val="right" w:leader="middleDot" w:pos="8760"/>
      </w:tabs>
      <w:spacing w:line="700" w:lineRule="exact"/>
    </w:pPr>
  </w:style>
  <w:style w:type="paragraph" w:styleId="14">
    <w:name w:val="Subtitle"/>
    <w:basedOn w:val="1"/>
    <w:next w:val="1"/>
    <w:autoRedefine/>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5">
    <w:name w:val="Body Text Indent 3"/>
    <w:basedOn w:val="1"/>
    <w:autoRedefine/>
    <w:qFormat/>
    <w:uiPriority w:val="0"/>
    <w:pPr>
      <w:spacing w:after="120"/>
      <w:ind w:left="420" w:leftChars="200"/>
    </w:pPr>
    <w:rPr>
      <w:sz w:val="16"/>
      <w:szCs w:val="16"/>
    </w:rPr>
  </w:style>
  <w:style w:type="paragraph" w:styleId="16">
    <w:name w:val="toc 2"/>
    <w:basedOn w:val="1"/>
    <w:next w:val="1"/>
    <w:autoRedefine/>
    <w:qFormat/>
    <w:uiPriority w:val="0"/>
    <w:pPr>
      <w:spacing w:before="312" w:beforeLines="100" w:beforeAutospacing="0" w:line="360" w:lineRule="auto"/>
      <w:ind w:left="240" w:firstLine="480" w:firstLineChars="200"/>
      <w:jc w:val="left"/>
    </w:pPr>
    <w:rPr>
      <w:smallCaps/>
      <w:sz w:val="24"/>
    </w:rPr>
  </w:style>
  <w:style w:type="paragraph" w:styleId="17">
    <w:name w:val="toc 9"/>
    <w:basedOn w:val="1"/>
    <w:next w:val="1"/>
    <w:autoRedefine/>
    <w:qFormat/>
    <w:uiPriority w:val="0"/>
    <w:pPr>
      <w:wordWrap w:val="0"/>
      <w:ind w:left="2975"/>
    </w:pPr>
  </w:style>
  <w:style w:type="paragraph" w:styleId="18">
    <w:name w:val="Normal (Web)"/>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styleId="19">
    <w:name w:val="Body Text First Indent"/>
    <w:basedOn w:val="8"/>
    <w:autoRedefine/>
    <w:unhideWhenUsed/>
    <w:qFormat/>
    <w:uiPriority w:val="99"/>
    <w:pPr>
      <w:ind w:firstLine="420" w:firstLineChars="100"/>
    </w:pPr>
  </w:style>
  <w:style w:type="paragraph" w:styleId="20">
    <w:name w:val="Body Text First Indent 2"/>
    <w:basedOn w:val="9"/>
    <w:next w:val="16"/>
    <w:autoRedefine/>
    <w:unhideWhenUsed/>
    <w:qFormat/>
    <w:uiPriority w:val="99"/>
    <w:pPr>
      <w:spacing w:after="0" w:line="360" w:lineRule="auto"/>
      <w:ind w:left="424" w:leftChars="202" w:firstLine="420" w:firstLineChars="200"/>
    </w:pPr>
    <w:rPr>
      <w:sz w:val="24"/>
    </w:rPr>
  </w:style>
  <w:style w:type="table" w:styleId="22">
    <w:name w:val="Table Grid"/>
    <w:basedOn w:val="21"/>
    <w:autoRedefine/>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99"/>
  </w:style>
  <w:style w:type="paragraph" w:customStyle="1" w:styleId="26">
    <w:name w:val="p15"/>
    <w:basedOn w:val="1"/>
    <w:autoRedefine/>
    <w:qFormat/>
    <w:uiPriority w:val="0"/>
    <w:pPr>
      <w:widowControl/>
      <w:spacing w:line="360" w:lineRule="auto"/>
      <w:jc w:val="left"/>
    </w:pPr>
    <w:rPr>
      <w:kern w:val="0"/>
      <w:sz w:val="24"/>
    </w:rPr>
  </w:style>
  <w:style w:type="paragraph" w:customStyle="1" w:styleId="27">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9">
    <w:name w:val="首行缩进"/>
    <w:basedOn w:val="1"/>
    <w:autoRedefine/>
    <w:qFormat/>
    <w:uiPriority w:val="0"/>
    <w:pPr>
      <w:ind w:firstLine="480" w:firstLineChars="200"/>
    </w:pPr>
    <w:rPr>
      <w:szCs w:val="20"/>
      <w:lang w:val="zh-CN"/>
    </w:rPr>
  </w:style>
  <w:style w:type="paragraph" w:customStyle="1" w:styleId="30">
    <w:name w:val="SW正文"/>
    <w:basedOn w:val="1"/>
    <w:autoRedefine/>
    <w:qFormat/>
    <w:uiPriority w:val="0"/>
    <w:pPr>
      <w:spacing w:before="120" w:after="120" w:line="360" w:lineRule="auto"/>
      <w:ind w:firstLine="480" w:firstLineChars="200"/>
    </w:pPr>
    <w:rPr>
      <w:rFonts w:ascii="Calibri" w:hAnsi="Calibri"/>
      <w:sz w:val="24"/>
    </w:rPr>
  </w:style>
  <w:style w:type="paragraph" w:customStyle="1" w:styleId="31">
    <w:name w:val="样式 正文缩进 + 首行缩进:  2 字符"/>
    <w:basedOn w:val="6"/>
    <w:autoRedefine/>
    <w:qFormat/>
    <w:uiPriority w:val="0"/>
    <w:pPr>
      <w:ind w:firstLine="200"/>
    </w:pPr>
    <w:rPr>
      <w:rFonts w:cs="宋体"/>
      <w:szCs w:val="20"/>
    </w:rPr>
  </w:style>
  <w:style w:type="paragraph" w:customStyle="1" w:styleId="32">
    <w:name w:val="列表段落1"/>
    <w:basedOn w:val="1"/>
    <w:autoRedefine/>
    <w:qFormat/>
    <w:uiPriority w:val="0"/>
    <w:pPr>
      <w:widowControl/>
      <w:spacing w:line="240" w:lineRule="auto"/>
      <w:ind w:left="720"/>
      <w:contextualSpacing/>
      <w:jc w:val="left"/>
    </w:pPr>
    <w:rPr>
      <w:rFonts w:ascii="Calibri" w:hAnsi="Calibri"/>
      <w:kern w:val="0"/>
      <w:sz w:val="24"/>
      <w:lang w:eastAsia="en-US" w:bidi="en-US"/>
    </w:rPr>
  </w:style>
  <w:style w:type="paragraph" w:customStyle="1" w:styleId="33">
    <w:name w:val="Table Paragraph"/>
    <w:basedOn w:val="1"/>
    <w:autoRedefine/>
    <w:qFormat/>
    <w:uiPriority w:val="1"/>
  </w:style>
  <w:style w:type="paragraph" w:customStyle="1" w:styleId="34">
    <w:name w:val="列出段落1"/>
    <w:basedOn w:val="1"/>
    <w:autoRedefine/>
    <w:qFormat/>
    <w:uiPriority w:val="0"/>
    <w:pPr>
      <w:ind w:firstLine="420" w:firstLineChars="200"/>
    </w:pPr>
    <w:rPr>
      <w:rFonts w:ascii="Calibri" w:hAnsi="Calibri"/>
    </w:rPr>
  </w:style>
  <w:style w:type="paragraph" w:customStyle="1" w:styleId="3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title1"/>
    <w:basedOn w:val="1"/>
    <w:autoRedefine/>
    <w:qFormat/>
    <w:uiPriority w:val="0"/>
    <w:pPr>
      <w:spacing w:before="150" w:line="450" w:lineRule="atLeast"/>
      <w:jc w:val="left"/>
    </w:pPr>
    <w:rPr>
      <w:b/>
      <w:kern w:val="0"/>
      <w:sz w:val="24"/>
    </w:rPr>
  </w:style>
  <w:style w:type="paragraph" w:customStyle="1" w:styleId="37">
    <w:name w:val="正文（缩进）"/>
    <w:basedOn w:val="1"/>
    <w:autoRedefine/>
    <w:qFormat/>
    <w:uiPriority w:val="0"/>
    <w:pPr>
      <w:spacing w:before="156" w:after="156" w:line="360" w:lineRule="auto"/>
      <w:ind w:firstLine="480" w:firstLineChars="200"/>
    </w:pPr>
    <w:rPr>
      <w:rFonts w:ascii="Calibri" w:hAnsi="Calibri"/>
      <w:szCs w:val="21"/>
    </w:rPr>
  </w:style>
  <w:style w:type="paragraph" w:customStyle="1" w:styleId="38">
    <w:name w:val="0段落文字"/>
    <w:basedOn w:val="1"/>
    <w:autoRedefine/>
    <w:qFormat/>
    <w:uiPriority w:val="0"/>
    <w:pPr>
      <w:spacing w:line="360" w:lineRule="auto"/>
      <w:ind w:firstLine="200" w:firstLineChars="200"/>
    </w:pPr>
    <w:rPr>
      <w:sz w:val="24"/>
    </w:rPr>
  </w:style>
  <w:style w:type="paragraph" w:customStyle="1" w:styleId="39">
    <w:name w:val="p0"/>
    <w:basedOn w:val="1"/>
    <w:autoRedefine/>
    <w:qFormat/>
    <w:uiPriority w:val="0"/>
    <w:pPr>
      <w:widowControl/>
      <w:spacing w:line="240" w:lineRule="auto"/>
    </w:pPr>
    <w:rPr>
      <w:kern w:val="0"/>
      <w:szCs w:val="21"/>
    </w:rPr>
  </w:style>
  <w:style w:type="paragraph" w:customStyle="1" w:styleId="40">
    <w:name w:val="文档正文"/>
    <w:basedOn w:val="1"/>
    <w:autoRedefine/>
    <w:qFormat/>
    <w:uiPriority w:val="11"/>
    <w:pPr>
      <w:ind w:firstLine="482"/>
    </w:pPr>
    <w:rPr>
      <w:rFonts w:ascii="微软雅黑" w:hAnsi="微软雅黑" w:eastAsia="微软雅黑"/>
      <w:sz w:val="24"/>
    </w:rPr>
  </w:style>
  <w:style w:type="paragraph" w:styleId="41">
    <w:name w:val="List Paragraph"/>
    <w:basedOn w:val="1"/>
    <w:autoRedefine/>
    <w:qFormat/>
    <w:uiPriority w:val="1"/>
    <w:pPr>
      <w:ind w:firstLine="420" w:firstLineChars="200"/>
    </w:pPr>
  </w:style>
  <w:style w:type="paragraph" w:customStyle="1" w:styleId="42">
    <w:name w:val="xl31"/>
    <w:basedOn w:val="1"/>
    <w:autoRedefine/>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43">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44">
    <w:name w:val="正文文本缩进_0_0"/>
    <w:basedOn w:val="1"/>
    <w:autoRedefine/>
    <w:qFormat/>
    <w:uiPriority w:val="0"/>
    <w:pPr>
      <w:widowControl w:val="0"/>
      <w:suppressAutoHyphens/>
      <w:spacing w:line="500" w:lineRule="exact"/>
      <w:ind w:left="1588" w:firstLine="433"/>
      <w:jc w:val="both"/>
    </w:pPr>
    <w:rPr>
      <w:rFonts w:ascii="Calibri" w:hAnsi="Calibri" w:eastAsia="宋体;SimSun" w:cs="Calibri"/>
      <w:sz w:val="24"/>
    </w:rPr>
  </w:style>
  <w:style w:type="paragraph" w:customStyle="1" w:styleId="45">
    <w:name w:val="标书正文"/>
    <w:basedOn w:val="1"/>
    <w:autoRedefine/>
    <w:qFormat/>
    <w:uiPriority w:val="0"/>
    <w:pPr>
      <w:widowControl w:val="0"/>
      <w:suppressAutoHyphens/>
      <w:spacing w:line="560" w:lineRule="exact"/>
      <w:ind w:firstLine="723"/>
      <w:jc w:val="center"/>
    </w:pPr>
    <w:rPr>
      <w:rFonts w:ascii="仿宋_GB2312" w:hAnsi="仿宋_GB2312" w:eastAsia="仿宋_GB2312" w:cs="仿宋_GB2312"/>
      <w:b/>
      <w:bCs/>
      <w:sz w:val="36"/>
      <w:szCs w:val="36"/>
    </w:rPr>
  </w:style>
  <w:style w:type="paragraph" w:customStyle="1" w:styleId="46">
    <w:name w:val="正"/>
    <w:basedOn w:val="1"/>
    <w:autoRedefine/>
    <w:qFormat/>
    <w:uiPriority w:val="0"/>
    <w:pPr>
      <w:widowControl w:val="0"/>
      <w:tabs>
        <w:tab w:val="left" w:pos="-120"/>
      </w:tabs>
      <w:suppressAutoHyphens/>
      <w:spacing w:line="560" w:lineRule="exact"/>
      <w:ind w:firstLine="600"/>
      <w:jc w:val="both"/>
      <w:textAlignment w:val="baseline"/>
    </w:pPr>
    <w:rPr>
      <w:rFonts w:ascii="仿宋_GB2312" w:hAnsi="仿宋_GB2312" w:eastAsia="仿宋_GB2312" w:cs="仿宋_GB2312"/>
      <w:color w:val="000000"/>
      <w:spacing w:val="20"/>
      <w:kern w:val="0"/>
      <w:szCs w:val="21"/>
    </w:rPr>
  </w:style>
  <w:style w:type="character" w:customStyle="1" w:styleId="47">
    <w:name w:val="font31"/>
    <w:basedOn w:val="23"/>
    <w:autoRedefine/>
    <w:qFormat/>
    <w:uiPriority w:val="0"/>
    <w:rPr>
      <w:rFonts w:hint="eastAsia" w:ascii="微软雅黑" w:hAnsi="微软雅黑" w:eastAsia="微软雅黑" w:cs="微软雅黑"/>
      <w:b/>
      <w:bCs/>
      <w:color w:val="000000"/>
      <w:sz w:val="20"/>
      <w:szCs w:val="20"/>
      <w:u w:val="none"/>
    </w:rPr>
  </w:style>
  <w:style w:type="character" w:customStyle="1" w:styleId="48">
    <w:name w:val="font21"/>
    <w:basedOn w:val="23"/>
    <w:autoRedefine/>
    <w:qFormat/>
    <w:uiPriority w:val="0"/>
    <w:rPr>
      <w:rFonts w:hint="eastAsia" w:ascii="微软雅黑" w:hAnsi="微软雅黑" w:eastAsia="微软雅黑" w:cs="微软雅黑"/>
      <w:color w:val="000000"/>
      <w:sz w:val="20"/>
      <w:szCs w:val="20"/>
      <w:u w:val="none"/>
    </w:rPr>
  </w:style>
  <w:style w:type="character" w:customStyle="1" w:styleId="49">
    <w:name w:val="font51"/>
    <w:basedOn w:val="23"/>
    <w:autoRedefine/>
    <w:qFormat/>
    <w:uiPriority w:val="0"/>
    <w:rPr>
      <w:rFonts w:hint="eastAsia" w:ascii="微软雅黑" w:hAnsi="微软雅黑" w:eastAsia="微软雅黑" w:cs="微软雅黑"/>
      <w:b/>
      <w:bCs/>
      <w:color w:val="000000"/>
      <w:sz w:val="20"/>
      <w:szCs w:val="20"/>
      <w:u w:val="none"/>
    </w:rPr>
  </w:style>
  <w:style w:type="character" w:customStyle="1" w:styleId="50">
    <w:name w:val="font41"/>
    <w:basedOn w:val="23"/>
    <w:autoRedefine/>
    <w:qFormat/>
    <w:uiPriority w:val="0"/>
    <w:rPr>
      <w:rFonts w:hint="eastAsia" w:ascii="微软雅黑" w:hAnsi="微软雅黑" w:eastAsia="微软雅黑" w:cs="微软雅黑"/>
      <w:color w:val="000000"/>
      <w:sz w:val="20"/>
      <w:szCs w:val="20"/>
      <w:u w:val="none"/>
    </w:rPr>
  </w:style>
  <w:style w:type="paragraph" w:customStyle="1" w:styleId="51">
    <w:name w:val="正本加黑"/>
    <w:basedOn w:val="1"/>
    <w:next w:val="1"/>
    <w:autoRedefine/>
    <w:qFormat/>
    <w:uiPriority w:val="0"/>
    <w:pPr>
      <w:spacing w:line="360" w:lineRule="auto"/>
      <w:ind w:firstLine="881" w:firstLineChars="200"/>
      <w:jc w:val="left"/>
    </w:pPr>
    <w:rPr>
      <w:rFonts w:ascii="宋体" w:hAnsi="宋体" w:cstheme="minorBidi"/>
      <w:b/>
      <w:bCs/>
      <w:sz w:val="24"/>
    </w:rPr>
  </w:style>
  <w:style w:type="character" w:customStyle="1" w:styleId="52">
    <w:name w:val="font11"/>
    <w:basedOn w:val="2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8729</Words>
  <Characters>9307</Characters>
  <Lines>257</Lines>
  <Paragraphs>72</Paragraphs>
  <TotalTime>6</TotalTime>
  <ScaleCrop>false</ScaleCrop>
  <LinksUpToDate>false</LinksUpToDate>
  <CharactersWithSpaces>9593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2023-05-22T10:16:00Z</dcterms:created>
  <dc:creator>Administrator</dc:creator>
  <cp:lastModifiedBy>十 。</cp:lastModifiedBy>
  <cp:lastPrinted>2021-06-06T11:56:00Z</cp:lastPrinted>
  <dcterms:modified xsi:type="dcterms:W3CDTF">2025-04-01T07:34:39Z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8A2EF7A2294943C48287BE172EBFC213_13</vt:lpwstr>
  </property>
  <property fmtid="{D5CDD505-2E9C-101B-9397-08002B2CF9AE}" pid="4" name="KSOTemplateDocerSaveRecord">
    <vt:lpwstr>eyJoZGlkIjoiMDlmZGUxODZhOTE0ZDA0MzY0YTJkMjc2OWZjNjkxNzAiLCJ1c2VySWQiOiI3NTQ0NjE3ODUifQ==</vt:lpwstr>
  </property>
</Properties>
</file>