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A4F68">
      <w:pPr>
        <w:keepNext w:val="0"/>
        <w:keepLines w:val="0"/>
        <w:pageBreakBefore w:val="0"/>
        <w:kinsoku/>
        <w:overflowPunct/>
        <w:topLinePunct w:val="0"/>
        <w:bidi w:val="0"/>
        <w:adjustRightInd/>
        <w:spacing w:beforeAutospacing="0" w:afterAutospacing="0" w:line="60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rPr>
        <w:t>一、</w:t>
      </w:r>
      <w:r>
        <w:rPr>
          <w:rFonts w:hint="eastAsia" w:ascii="仿宋" w:hAnsi="仿宋" w:eastAsia="仿宋" w:cs="仿宋"/>
          <w:b/>
          <w:bCs/>
          <w:color w:val="000000"/>
          <w:sz w:val="28"/>
          <w:szCs w:val="28"/>
          <w:lang w:val="en-US" w:eastAsia="zh-CN"/>
        </w:rPr>
        <w:t>工作目标</w:t>
      </w:r>
    </w:p>
    <w:p w14:paraId="01B44555">
      <w:pPr>
        <w:keepNext w:val="0"/>
        <w:keepLines w:val="0"/>
        <w:pageBreakBefore w:val="0"/>
        <w:kinsoku/>
        <w:overflowPunct/>
        <w:topLinePunct w:val="0"/>
        <w:bidi w:val="0"/>
        <w:adjustRightInd/>
        <w:spacing w:beforeAutospacing="0" w:afterAutospacing="0" w:line="600" w:lineRule="exact"/>
        <w:ind w:firstLine="560"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（一）</w:t>
      </w:r>
      <w:r>
        <w:rPr>
          <w:rFonts w:hint="eastAsia" w:ascii="仿宋" w:hAnsi="仿宋" w:eastAsia="仿宋" w:cs="仿宋"/>
          <w:color w:val="000000"/>
          <w:sz w:val="28"/>
          <w:szCs w:val="28"/>
          <w:lang w:val="en-US" w:eastAsia="zh-CN"/>
        </w:rPr>
        <w:t>演出任务</w:t>
      </w:r>
    </w:p>
    <w:p w14:paraId="7811A2D3">
      <w:pPr>
        <w:keepNext w:val="0"/>
        <w:keepLines w:val="0"/>
        <w:pageBreakBefore w:val="0"/>
        <w:widowControl w:val="0"/>
        <w:kinsoku/>
        <w:overflowPunct/>
        <w:topLinePunct w:val="0"/>
        <w:bidi w:val="0"/>
        <w:adjustRightInd/>
        <w:spacing w:beforeAutospacing="0" w:afterAutospacing="0" w:line="60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b w:val="0"/>
          <w:bCs/>
          <w:sz w:val="28"/>
          <w:szCs w:val="28"/>
          <w:shd w:val="clear" w:color="auto" w:fill="FFFFFF"/>
          <w:lang w:val="en-US" w:eastAsia="zh-CN"/>
        </w:rPr>
        <w:t>共采购公共文化惠民演出176场。</w:t>
      </w:r>
    </w:p>
    <w:p w14:paraId="1033C2C0">
      <w:pPr>
        <w:keepNext w:val="0"/>
        <w:keepLines w:val="0"/>
        <w:pageBreakBefore w:val="0"/>
        <w:kinsoku/>
        <w:overflowPunct/>
        <w:topLinePunct w:val="0"/>
        <w:bidi w:val="0"/>
        <w:adjustRightInd/>
        <w:spacing w:beforeAutospacing="0" w:afterAutospacing="0" w:line="600" w:lineRule="exact"/>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二</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购买方式</w:t>
      </w:r>
    </w:p>
    <w:p w14:paraId="5DDEE15C">
      <w:pPr>
        <w:keepNext w:val="0"/>
        <w:keepLines w:val="0"/>
        <w:pageBreakBefore w:val="0"/>
        <w:widowControl w:val="0"/>
        <w:kinsoku/>
        <w:overflowPunct/>
        <w:topLinePunct w:val="0"/>
        <w:bidi w:val="0"/>
        <w:adjustRightInd/>
        <w:spacing w:beforeAutospacing="0" w:afterAutospacing="0" w:line="600" w:lineRule="exact"/>
        <w:ind w:firstLine="560" w:firstLineChars="200"/>
        <w:textAlignment w:val="auto"/>
        <w:rPr>
          <w:rFonts w:hint="eastAsia" w:ascii="仿宋" w:hAnsi="仿宋" w:eastAsia="仿宋" w:cs="仿宋"/>
          <w:color w:val="FF0000"/>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shd w:val="clear" w:color="auto" w:fill="FFFFFF"/>
          <w:lang w:val="en-US" w:eastAsia="zh-CN"/>
        </w:rPr>
        <w:t>拟</w:t>
      </w:r>
      <w:r>
        <w:rPr>
          <w:rFonts w:hint="eastAsia" w:ascii="仿宋" w:hAnsi="仿宋" w:eastAsia="仿宋" w:cs="仿宋"/>
          <w:sz w:val="28"/>
          <w:szCs w:val="28"/>
          <w:lang w:eastAsia="zh-CN"/>
        </w:rPr>
        <w:t>采购</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家供应商提供202</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年政府购买公共演出所需服务，</w:t>
      </w:r>
      <w:r>
        <w:rPr>
          <w:rFonts w:hint="eastAsia" w:ascii="仿宋" w:hAnsi="仿宋" w:eastAsia="仿宋" w:cs="仿宋"/>
          <w:sz w:val="28"/>
          <w:szCs w:val="28"/>
          <w:lang w:val="en-US" w:eastAsia="zh-CN"/>
        </w:rPr>
        <w:t>服务内容均为室外演出。</w:t>
      </w:r>
      <w:r>
        <w:rPr>
          <w:rFonts w:hint="eastAsia" w:ascii="仿宋" w:hAnsi="仿宋" w:eastAsia="仿宋" w:cs="仿宋"/>
          <w:color w:val="auto"/>
          <w:sz w:val="28"/>
          <w:szCs w:val="28"/>
          <w:lang w:val="en-US" w:eastAsia="zh-CN"/>
        </w:rPr>
        <w:t>按具体演出服务类别，分类限定最高限</w:t>
      </w:r>
      <w:r>
        <w:rPr>
          <w:rFonts w:hint="eastAsia" w:ascii="仿宋" w:hAnsi="仿宋" w:eastAsia="仿宋" w:cs="仿宋"/>
          <w:sz w:val="28"/>
          <w:szCs w:val="28"/>
          <w:lang w:val="en-US" w:eastAsia="zh-CN"/>
        </w:rPr>
        <w:t>价（单价上限），中标价在最高限价的基础上下浮</w:t>
      </w:r>
    </w:p>
    <w:p w14:paraId="601A3748">
      <w:pPr>
        <w:keepNext w:val="0"/>
        <w:keepLines w:val="0"/>
        <w:pageBreakBefore w:val="0"/>
        <w:widowControl w:val="0"/>
        <w:kinsoku/>
        <w:overflowPunct/>
        <w:topLinePunct w:val="0"/>
        <w:bidi w:val="0"/>
        <w:adjustRightInd/>
        <w:spacing w:beforeAutospacing="0" w:afterAutospacing="0" w:line="6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2.采购服务内容、要求、最高限价：</w:t>
      </w:r>
    </w:p>
    <w:tbl>
      <w:tblPr>
        <w:tblStyle w:val="5"/>
        <w:tblpPr w:leftFromText="180" w:rightFromText="180" w:vertAnchor="text" w:horzAnchor="page" w:tblpX="940" w:tblpY="305"/>
        <w:tblOverlap w:val="never"/>
        <w:tblW w:w="99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7"/>
        <w:gridCol w:w="2900"/>
        <w:gridCol w:w="1816"/>
        <w:gridCol w:w="1867"/>
        <w:gridCol w:w="2026"/>
      </w:tblGrid>
      <w:tr w14:paraId="53C54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17" w:type="dxa"/>
            <w:gridSpan w:val="2"/>
            <w:vMerge w:val="restart"/>
            <w:tcBorders>
              <w:bottom w:val="nil"/>
            </w:tcBorders>
            <w:vAlign w:val="center"/>
          </w:tcPr>
          <w:p w14:paraId="0C57FDD5">
            <w:pPr>
              <w:bidi w:val="0"/>
              <w:jc w:val="center"/>
              <w:rPr>
                <w:rFonts w:hint="eastAsia" w:ascii="仿宋" w:hAnsi="仿宋" w:eastAsia="仿宋" w:cs="仿宋"/>
                <w:sz w:val="24"/>
                <w:szCs w:val="24"/>
              </w:rPr>
            </w:pPr>
            <w:r>
              <w:rPr>
                <w:rFonts w:hint="eastAsia" w:ascii="仿宋" w:hAnsi="仿宋" w:eastAsia="仿宋" w:cs="仿宋"/>
                <w:sz w:val="24"/>
                <w:szCs w:val="24"/>
              </w:rPr>
              <w:t>演出服务内容</w:t>
            </w:r>
          </w:p>
        </w:tc>
        <w:tc>
          <w:tcPr>
            <w:tcW w:w="3683" w:type="dxa"/>
            <w:gridSpan w:val="2"/>
            <w:vAlign w:val="center"/>
          </w:tcPr>
          <w:p w14:paraId="2B25D4D3">
            <w:pPr>
              <w:bidi w:val="0"/>
              <w:jc w:val="center"/>
              <w:rPr>
                <w:rFonts w:hint="eastAsia" w:ascii="仿宋" w:hAnsi="仿宋" w:eastAsia="仿宋" w:cs="仿宋"/>
                <w:sz w:val="24"/>
                <w:szCs w:val="24"/>
              </w:rPr>
            </w:pPr>
            <w:r>
              <w:rPr>
                <w:rFonts w:hint="eastAsia" w:ascii="仿宋" w:hAnsi="仿宋" w:eastAsia="仿宋" w:cs="仿宋"/>
                <w:sz w:val="24"/>
                <w:szCs w:val="24"/>
              </w:rPr>
              <w:t>规模要求（人数、分钟）</w:t>
            </w:r>
          </w:p>
        </w:tc>
        <w:tc>
          <w:tcPr>
            <w:tcW w:w="2026" w:type="dxa"/>
            <w:vMerge w:val="restart"/>
            <w:tcBorders>
              <w:bottom w:val="nil"/>
            </w:tcBorders>
            <w:vAlign w:val="center"/>
          </w:tcPr>
          <w:p w14:paraId="7466A9CE">
            <w:pPr>
              <w:bidi w:val="0"/>
              <w:jc w:val="center"/>
              <w:rPr>
                <w:rFonts w:hint="eastAsia" w:ascii="仿宋" w:hAnsi="仿宋" w:eastAsia="仿宋" w:cs="仿宋"/>
                <w:sz w:val="24"/>
                <w:szCs w:val="24"/>
              </w:rPr>
            </w:pPr>
            <w:r>
              <w:rPr>
                <w:rFonts w:hint="eastAsia" w:ascii="仿宋" w:hAnsi="仿宋" w:eastAsia="仿宋" w:cs="仿宋"/>
                <w:sz w:val="24"/>
                <w:szCs w:val="24"/>
              </w:rPr>
              <w:t>最高限价</w:t>
            </w:r>
          </w:p>
        </w:tc>
      </w:tr>
      <w:tr w14:paraId="0EB0F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4217" w:type="dxa"/>
            <w:gridSpan w:val="2"/>
            <w:vMerge w:val="continue"/>
            <w:tcBorders>
              <w:top w:val="nil"/>
            </w:tcBorders>
            <w:vAlign w:val="center"/>
          </w:tcPr>
          <w:p w14:paraId="49C9EB5D">
            <w:pPr>
              <w:bidi w:val="0"/>
              <w:jc w:val="center"/>
              <w:rPr>
                <w:rFonts w:hint="eastAsia" w:ascii="仿宋" w:hAnsi="仿宋" w:eastAsia="仿宋" w:cs="仿宋"/>
                <w:sz w:val="24"/>
                <w:szCs w:val="24"/>
              </w:rPr>
            </w:pPr>
          </w:p>
        </w:tc>
        <w:tc>
          <w:tcPr>
            <w:tcW w:w="1816" w:type="dxa"/>
            <w:vAlign w:val="center"/>
          </w:tcPr>
          <w:p w14:paraId="174A5641">
            <w:pPr>
              <w:bidi w:val="0"/>
              <w:jc w:val="center"/>
              <w:rPr>
                <w:rFonts w:hint="eastAsia" w:ascii="仿宋" w:hAnsi="仿宋" w:eastAsia="仿宋" w:cs="仿宋"/>
                <w:sz w:val="24"/>
                <w:szCs w:val="24"/>
              </w:rPr>
            </w:pPr>
            <w:r>
              <w:rPr>
                <w:rFonts w:hint="eastAsia" w:ascii="仿宋" w:hAnsi="仿宋" w:eastAsia="仿宋" w:cs="仿宋"/>
                <w:sz w:val="24"/>
                <w:szCs w:val="24"/>
              </w:rPr>
              <w:t>人员(≥)</w:t>
            </w:r>
          </w:p>
        </w:tc>
        <w:tc>
          <w:tcPr>
            <w:tcW w:w="1867" w:type="dxa"/>
            <w:vAlign w:val="center"/>
          </w:tcPr>
          <w:p w14:paraId="2A5B094D">
            <w:pPr>
              <w:bidi w:val="0"/>
              <w:jc w:val="center"/>
              <w:rPr>
                <w:rFonts w:hint="eastAsia" w:ascii="仿宋" w:hAnsi="仿宋" w:eastAsia="仿宋" w:cs="仿宋"/>
                <w:sz w:val="24"/>
                <w:szCs w:val="24"/>
              </w:rPr>
            </w:pPr>
            <w:r>
              <w:rPr>
                <w:rFonts w:hint="eastAsia" w:ascii="仿宋" w:hAnsi="仿宋" w:eastAsia="仿宋" w:cs="仿宋"/>
                <w:sz w:val="24"/>
                <w:szCs w:val="24"/>
              </w:rPr>
              <w:t>时长(≥)</w:t>
            </w:r>
          </w:p>
        </w:tc>
        <w:tc>
          <w:tcPr>
            <w:tcW w:w="2026" w:type="dxa"/>
            <w:vMerge w:val="continue"/>
            <w:tcBorders>
              <w:top w:val="nil"/>
            </w:tcBorders>
            <w:vAlign w:val="center"/>
          </w:tcPr>
          <w:p w14:paraId="05390BA3">
            <w:pPr>
              <w:bidi w:val="0"/>
              <w:jc w:val="center"/>
              <w:rPr>
                <w:rFonts w:hint="eastAsia" w:ascii="仿宋" w:hAnsi="仿宋" w:eastAsia="仿宋" w:cs="仿宋"/>
                <w:sz w:val="24"/>
                <w:szCs w:val="24"/>
              </w:rPr>
            </w:pPr>
          </w:p>
        </w:tc>
      </w:tr>
      <w:tr w14:paraId="08DA3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317" w:type="dxa"/>
            <w:vMerge w:val="restart"/>
            <w:vAlign w:val="center"/>
          </w:tcPr>
          <w:p w14:paraId="7BC519FD">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戏曲</w:t>
            </w:r>
            <w:r>
              <w:rPr>
                <w:rFonts w:hint="eastAsia" w:ascii="仿宋" w:hAnsi="仿宋" w:eastAsia="仿宋" w:cs="仿宋"/>
                <w:sz w:val="24"/>
                <w:szCs w:val="24"/>
              </w:rPr>
              <w:t>类</w:t>
            </w:r>
          </w:p>
        </w:tc>
        <w:tc>
          <w:tcPr>
            <w:tcW w:w="2900" w:type="dxa"/>
            <w:tcBorders>
              <w:bottom w:val="single" w:color="000000" w:sz="2" w:space="0"/>
            </w:tcBorders>
            <w:vAlign w:val="center"/>
          </w:tcPr>
          <w:p w14:paraId="40186D44">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戏曲（小型）</w:t>
            </w:r>
          </w:p>
        </w:tc>
        <w:tc>
          <w:tcPr>
            <w:tcW w:w="1816" w:type="dxa"/>
            <w:tcBorders>
              <w:bottom w:val="single" w:color="000000" w:sz="2" w:space="0"/>
            </w:tcBorders>
            <w:vAlign w:val="center"/>
          </w:tcPr>
          <w:p w14:paraId="1845036E">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867" w:type="dxa"/>
            <w:tcBorders>
              <w:bottom w:val="single" w:color="000000" w:sz="2" w:space="0"/>
            </w:tcBorders>
            <w:vAlign w:val="center"/>
          </w:tcPr>
          <w:p w14:paraId="2B616003">
            <w:pPr>
              <w:bidi w:val="0"/>
              <w:jc w:val="center"/>
              <w:rPr>
                <w:rFonts w:hint="eastAsia" w:ascii="仿宋" w:hAnsi="仿宋" w:eastAsia="仿宋" w:cs="仿宋"/>
                <w:sz w:val="24"/>
                <w:szCs w:val="24"/>
              </w:rPr>
            </w:pPr>
            <w:r>
              <w:rPr>
                <w:rFonts w:hint="eastAsia" w:ascii="仿宋" w:hAnsi="仿宋" w:eastAsia="仿宋" w:cs="仿宋"/>
                <w:sz w:val="24"/>
                <w:szCs w:val="24"/>
              </w:rPr>
              <w:t>90</w:t>
            </w:r>
          </w:p>
        </w:tc>
        <w:tc>
          <w:tcPr>
            <w:tcW w:w="2026" w:type="dxa"/>
            <w:tcBorders>
              <w:bottom w:val="single" w:color="000000" w:sz="2" w:space="0"/>
            </w:tcBorders>
            <w:vAlign w:val="center"/>
          </w:tcPr>
          <w:p w14:paraId="3D0BC0FA">
            <w:pPr>
              <w:bidi w:val="0"/>
              <w:jc w:val="center"/>
              <w:rPr>
                <w:rFonts w:hint="eastAsia" w:ascii="仿宋" w:hAnsi="仿宋" w:eastAsia="仿宋" w:cs="仿宋"/>
                <w:sz w:val="24"/>
                <w:szCs w:val="24"/>
              </w:rPr>
            </w:pPr>
            <w:r>
              <w:rPr>
                <w:rFonts w:hint="eastAsia" w:ascii="仿宋" w:hAnsi="仿宋" w:eastAsia="仿宋" w:cs="仿宋"/>
                <w:sz w:val="24"/>
                <w:szCs w:val="24"/>
                <w:lang w:val="en-US" w:eastAsia="zh-CN"/>
              </w:rPr>
              <w:t>5000元/场</w:t>
            </w:r>
          </w:p>
        </w:tc>
      </w:tr>
      <w:tr w14:paraId="5FE82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317" w:type="dxa"/>
            <w:vMerge w:val="continue"/>
            <w:vAlign w:val="center"/>
          </w:tcPr>
          <w:p w14:paraId="072285A2">
            <w:pPr>
              <w:bidi w:val="0"/>
              <w:jc w:val="center"/>
              <w:rPr>
                <w:rFonts w:hint="eastAsia" w:ascii="仿宋" w:hAnsi="仿宋" w:eastAsia="仿宋" w:cs="仿宋"/>
                <w:sz w:val="24"/>
                <w:szCs w:val="24"/>
                <w:lang w:val="en-US" w:eastAsia="en-US"/>
              </w:rPr>
            </w:pPr>
          </w:p>
        </w:tc>
        <w:tc>
          <w:tcPr>
            <w:tcW w:w="2900" w:type="dxa"/>
            <w:tcBorders>
              <w:bottom w:val="single" w:color="000000" w:sz="2" w:space="0"/>
            </w:tcBorders>
            <w:vAlign w:val="center"/>
          </w:tcPr>
          <w:p w14:paraId="29FD17C3">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戏曲（中型）</w:t>
            </w:r>
          </w:p>
        </w:tc>
        <w:tc>
          <w:tcPr>
            <w:tcW w:w="1816" w:type="dxa"/>
            <w:tcBorders>
              <w:bottom w:val="single" w:color="000000" w:sz="2" w:space="0"/>
            </w:tcBorders>
            <w:vAlign w:val="center"/>
          </w:tcPr>
          <w:p w14:paraId="5A5E9D55">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867" w:type="dxa"/>
            <w:tcBorders>
              <w:bottom w:val="single" w:color="000000" w:sz="2" w:space="0"/>
            </w:tcBorders>
            <w:vAlign w:val="center"/>
          </w:tcPr>
          <w:p w14:paraId="0F201D65">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rPr>
              <w:t>90</w:t>
            </w:r>
          </w:p>
        </w:tc>
        <w:tc>
          <w:tcPr>
            <w:tcW w:w="2026" w:type="dxa"/>
            <w:tcBorders>
              <w:bottom w:val="single" w:color="000000" w:sz="2" w:space="0"/>
            </w:tcBorders>
            <w:vAlign w:val="center"/>
          </w:tcPr>
          <w:p w14:paraId="16E11A1D">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5540元/场</w:t>
            </w:r>
          </w:p>
        </w:tc>
      </w:tr>
      <w:tr w14:paraId="0F603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317" w:type="dxa"/>
            <w:vMerge w:val="continue"/>
            <w:tcBorders>
              <w:bottom w:val="single" w:color="000000" w:sz="2" w:space="0"/>
            </w:tcBorders>
            <w:vAlign w:val="center"/>
          </w:tcPr>
          <w:p w14:paraId="707A35BF">
            <w:pPr>
              <w:bidi w:val="0"/>
              <w:jc w:val="center"/>
              <w:rPr>
                <w:rFonts w:hint="eastAsia" w:ascii="仿宋" w:hAnsi="仿宋" w:eastAsia="仿宋" w:cs="仿宋"/>
                <w:sz w:val="24"/>
                <w:szCs w:val="24"/>
                <w:lang w:val="en-US" w:eastAsia="en-US"/>
              </w:rPr>
            </w:pPr>
          </w:p>
        </w:tc>
        <w:tc>
          <w:tcPr>
            <w:tcW w:w="2900" w:type="dxa"/>
            <w:tcBorders>
              <w:top w:val="single" w:color="000000" w:sz="2" w:space="0"/>
              <w:bottom w:val="single" w:color="000000" w:sz="2" w:space="0"/>
            </w:tcBorders>
            <w:vAlign w:val="center"/>
          </w:tcPr>
          <w:p w14:paraId="6EDE68F5">
            <w:pPr>
              <w:bidi w:val="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木偶皮影戏</w:t>
            </w:r>
          </w:p>
        </w:tc>
        <w:tc>
          <w:tcPr>
            <w:tcW w:w="1816" w:type="dxa"/>
            <w:tcBorders>
              <w:top w:val="single" w:color="000000" w:sz="2" w:space="0"/>
              <w:bottom w:val="single" w:color="000000" w:sz="2" w:space="0"/>
            </w:tcBorders>
            <w:vAlign w:val="center"/>
          </w:tcPr>
          <w:p w14:paraId="52FF306F">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867" w:type="dxa"/>
            <w:tcBorders>
              <w:top w:val="single" w:color="000000" w:sz="2" w:space="0"/>
              <w:bottom w:val="single" w:color="000000" w:sz="2" w:space="0"/>
            </w:tcBorders>
            <w:vAlign w:val="center"/>
          </w:tcPr>
          <w:p w14:paraId="185A0263">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2026" w:type="dxa"/>
            <w:tcBorders>
              <w:top w:val="single" w:color="000000" w:sz="2" w:space="0"/>
              <w:bottom w:val="single" w:color="000000" w:sz="2" w:space="0"/>
            </w:tcBorders>
            <w:vAlign w:val="center"/>
          </w:tcPr>
          <w:p w14:paraId="51BDD83B">
            <w:pPr>
              <w:bidi w:val="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3190元/场</w:t>
            </w:r>
          </w:p>
        </w:tc>
      </w:tr>
      <w:tr w14:paraId="1E46A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317" w:type="dxa"/>
            <w:vMerge w:val="restart"/>
            <w:tcBorders>
              <w:top w:val="single" w:color="000000" w:sz="2" w:space="0"/>
            </w:tcBorders>
            <w:vAlign w:val="center"/>
          </w:tcPr>
          <w:p w14:paraId="2B874D02">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歌舞类</w:t>
            </w:r>
          </w:p>
        </w:tc>
        <w:tc>
          <w:tcPr>
            <w:tcW w:w="2900" w:type="dxa"/>
            <w:tcBorders>
              <w:top w:val="single" w:color="000000" w:sz="2" w:space="0"/>
            </w:tcBorders>
            <w:vAlign w:val="center"/>
          </w:tcPr>
          <w:p w14:paraId="4AD5103A">
            <w:pPr>
              <w:bidi w:val="0"/>
              <w:jc w:val="center"/>
              <w:rPr>
                <w:rFonts w:hint="eastAsia" w:ascii="仿宋" w:hAnsi="仿宋" w:eastAsia="仿宋" w:cs="仿宋"/>
                <w:sz w:val="24"/>
                <w:szCs w:val="24"/>
                <w:lang w:val="en-US" w:eastAsia="zh-CN"/>
              </w:rPr>
            </w:pPr>
            <w:r>
              <w:rPr>
                <w:rFonts w:hint="eastAsia" w:ascii="仿宋" w:hAnsi="仿宋" w:eastAsia="仿宋" w:cs="仿宋"/>
                <w:sz w:val="24"/>
                <w:szCs w:val="32"/>
                <w:lang w:val="en-US" w:eastAsia="zh-CN"/>
              </w:rPr>
              <w:t>综合歌舞（</w:t>
            </w:r>
            <w:r>
              <w:rPr>
                <w:rFonts w:hint="eastAsia" w:ascii="仿宋" w:hAnsi="仿宋" w:eastAsia="仿宋" w:cs="仿宋"/>
                <w:sz w:val="24"/>
                <w:szCs w:val="24"/>
                <w:lang w:val="en-US" w:eastAsia="zh-CN"/>
              </w:rPr>
              <w:t>小型</w:t>
            </w:r>
            <w:r>
              <w:rPr>
                <w:rFonts w:hint="eastAsia" w:ascii="仿宋" w:hAnsi="仿宋" w:eastAsia="仿宋" w:cs="仿宋"/>
                <w:sz w:val="24"/>
                <w:szCs w:val="32"/>
                <w:lang w:val="en-US" w:eastAsia="zh-CN"/>
              </w:rPr>
              <w:t>）</w:t>
            </w:r>
          </w:p>
        </w:tc>
        <w:tc>
          <w:tcPr>
            <w:tcW w:w="1816" w:type="dxa"/>
            <w:tcBorders>
              <w:top w:val="single" w:color="000000" w:sz="2" w:space="0"/>
            </w:tcBorders>
            <w:vAlign w:val="center"/>
          </w:tcPr>
          <w:p w14:paraId="6232B801">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867" w:type="dxa"/>
            <w:tcBorders>
              <w:top w:val="single" w:color="000000" w:sz="2" w:space="0"/>
            </w:tcBorders>
            <w:vAlign w:val="center"/>
          </w:tcPr>
          <w:p w14:paraId="6AB80E44">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en-US"/>
              </w:rPr>
              <w:t>90</w:t>
            </w:r>
          </w:p>
        </w:tc>
        <w:tc>
          <w:tcPr>
            <w:tcW w:w="2026" w:type="dxa"/>
            <w:tcBorders>
              <w:top w:val="single" w:color="000000" w:sz="2" w:space="0"/>
              <w:bottom w:val="single" w:color="000000" w:sz="2" w:space="0"/>
            </w:tcBorders>
            <w:vAlign w:val="center"/>
          </w:tcPr>
          <w:p w14:paraId="2E6159F9">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4600元/场</w:t>
            </w:r>
          </w:p>
        </w:tc>
      </w:tr>
      <w:tr w14:paraId="38C87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317" w:type="dxa"/>
            <w:vMerge w:val="continue"/>
            <w:vAlign w:val="center"/>
          </w:tcPr>
          <w:p w14:paraId="200BC884">
            <w:pPr>
              <w:bidi w:val="0"/>
              <w:jc w:val="center"/>
              <w:rPr>
                <w:rFonts w:hint="eastAsia" w:ascii="仿宋" w:hAnsi="仿宋" w:eastAsia="仿宋" w:cs="仿宋"/>
                <w:sz w:val="24"/>
                <w:szCs w:val="24"/>
                <w:lang w:val="en-US" w:eastAsia="en-US"/>
              </w:rPr>
            </w:pPr>
          </w:p>
        </w:tc>
        <w:tc>
          <w:tcPr>
            <w:tcW w:w="2900" w:type="dxa"/>
            <w:tcBorders>
              <w:top w:val="single" w:color="000000" w:sz="2" w:space="0"/>
            </w:tcBorders>
            <w:vAlign w:val="center"/>
          </w:tcPr>
          <w:p w14:paraId="2E305965">
            <w:pPr>
              <w:bidi w:val="0"/>
              <w:jc w:val="center"/>
              <w:rPr>
                <w:rFonts w:hint="eastAsia" w:ascii="仿宋" w:hAnsi="仿宋" w:eastAsia="仿宋" w:cs="仿宋"/>
                <w:sz w:val="24"/>
                <w:szCs w:val="24"/>
                <w:lang w:val="en-US" w:eastAsia="zh-CN"/>
              </w:rPr>
            </w:pPr>
            <w:r>
              <w:rPr>
                <w:rFonts w:hint="eastAsia" w:ascii="仿宋" w:hAnsi="仿宋" w:eastAsia="仿宋" w:cs="仿宋"/>
                <w:sz w:val="24"/>
                <w:szCs w:val="32"/>
                <w:lang w:val="en-US" w:eastAsia="zh-CN"/>
              </w:rPr>
              <w:t>综合歌舞（</w:t>
            </w:r>
            <w:r>
              <w:rPr>
                <w:rFonts w:hint="eastAsia" w:ascii="仿宋" w:hAnsi="仿宋" w:eastAsia="仿宋" w:cs="仿宋"/>
                <w:sz w:val="24"/>
                <w:szCs w:val="24"/>
                <w:lang w:val="en-US" w:eastAsia="zh-CN"/>
              </w:rPr>
              <w:t>中型</w:t>
            </w:r>
            <w:r>
              <w:rPr>
                <w:rFonts w:hint="eastAsia" w:ascii="仿宋" w:hAnsi="仿宋" w:eastAsia="仿宋" w:cs="仿宋"/>
                <w:sz w:val="24"/>
                <w:szCs w:val="32"/>
                <w:lang w:val="en-US" w:eastAsia="zh-CN"/>
              </w:rPr>
              <w:t>）</w:t>
            </w:r>
          </w:p>
        </w:tc>
        <w:tc>
          <w:tcPr>
            <w:tcW w:w="1816" w:type="dxa"/>
            <w:tcBorders>
              <w:top w:val="single" w:color="000000" w:sz="2" w:space="0"/>
            </w:tcBorders>
            <w:vAlign w:val="center"/>
          </w:tcPr>
          <w:p w14:paraId="0FC75315">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867" w:type="dxa"/>
            <w:tcBorders>
              <w:top w:val="single" w:color="000000" w:sz="2" w:space="0"/>
            </w:tcBorders>
            <w:vAlign w:val="center"/>
          </w:tcPr>
          <w:p w14:paraId="5EC0B332">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en-US"/>
              </w:rPr>
              <w:t>90</w:t>
            </w:r>
          </w:p>
        </w:tc>
        <w:tc>
          <w:tcPr>
            <w:tcW w:w="2026" w:type="dxa"/>
            <w:tcBorders>
              <w:top w:val="single" w:color="000000" w:sz="2" w:space="0"/>
              <w:bottom w:val="single" w:color="000000" w:sz="2" w:space="0"/>
            </w:tcBorders>
            <w:vAlign w:val="center"/>
          </w:tcPr>
          <w:p w14:paraId="48CA8C8B">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4900元/场</w:t>
            </w:r>
          </w:p>
        </w:tc>
      </w:tr>
      <w:tr w14:paraId="28AEA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1317" w:type="dxa"/>
            <w:vMerge w:val="continue"/>
            <w:vAlign w:val="center"/>
          </w:tcPr>
          <w:p w14:paraId="5F0229B4">
            <w:pPr>
              <w:bidi w:val="0"/>
              <w:jc w:val="center"/>
              <w:rPr>
                <w:rFonts w:hint="eastAsia" w:ascii="仿宋" w:hAnsi="仿宋" w:eastAsia="仿宋" w:cs="仿宋"/>
                <w:sz w:val="24"/>
                <w:szCs w:val="24"/>
                <w:lang w:val="en-US" w:eastAsia="zh-CN"/>
              </w:rPr>
            </w:pPr>
          </w:p>
        </w:tc>
        <w:tc>
          <w:tcPr>
            <w:tcW w:w="2900" w:type="dxa"/>
            <w:tcBorders>
              <w:top w:val="single" w:color="000000" w:sz="2" w:space="0"/>
            </w:tcBorders>
            <w:vAlign w:val="center"/>
          </w:tcPr>
          <w:p w14:paraId="029135E8">
            <w:pPr>
              <w:bidi w:val="0"/>
              <w:jc w:val="center"/>
              <w:rPr>
                <w:rFonts w:hint="eastAsia" w:ascii="仿宋" w:hAnsi="仿宋" w:eastAsia="仿宋" w:cs="仿宋"/>
                <w:sz w:val="24"/>
                <w:szCs w:val="24"/>
                <w:lang w:val="en-US" w:eastAsia="zh-CN"/>
              </w:rPr>
            </w:pPr>
            <w:r>
              <w:rPr>
                <w:rFonts w:hint="eastAsia" w:ascii="仿宋" w:hAnsi="仿宋" w:eastAsia="仿宋" w:cs="仿宋"/>
                <w:sz w:val="24"/>
                <w:szCs w:val="32"/>
                <w:lang w:val="en-US" w:eastAsia="zh-CN"/>
              </w:rPr>
              <w:t>综合歌舞（</w:t>
            </w:r>
            <w:r>
              <w:rPr>
                <w:rFonts w:hint="eastAsia" w:ascii="仿宋" w:hAnsi="仿宋" w:eastAsia="仿宋" w:cs="仿宋"/>
                <w:sz w:val="24"/>
                <w:szCs w:val="24"/>
                <w:lang w:val="en-US" w:eastAsia="zh-CN"/>
              </w:rPr>
              <w:t>大型</w:t>
            </w:r>
            <w:r>
              <w:rPr>
                <w:rFonts w:hint="eastAsia" w:ascii="仿宋" w:hAnsi="仿宋" w:eastAsia="仿宋" w:cs="仿宋"/>
                <w:sz w:val="24"/>
                <w:szCs w:val="32"/>
                <w:lang w:val="en-US" w:eastAsia="zh-CN"/>
              </w:rPr>
              <w:t>）</w:t>
            </w:r>
          </w:p>
        </w:tc>
        <w:tc>
          <w:tcPr>
            <w:tcW w:w="1816" w:type="dxa"/>
            <w:tcBorders>
              <w:top w:val="single" w:color="000000" w:sz="2" w:space="0"/>
            </w:tcBorders>
            <w:vAlign w:val="center"/>
          </w:tcPr>
          <w:p w14:paraId="2F110885">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867" w:type="dxa"/>
            <w:tcBorders>
              <w:top w:val="single" w:color="000000" w:sz="2" w:space="0"/>
            </w:tcBorders>
            <w:vAlign w:val="center"/>
          </w:tcPr>
          <w:p w14:paraId="014FC930">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en-US"/>
              </w:rPr>
              <w:t>90</w:t>
            </w:r>
          </w:p>
        </w:tc>
        <w:tc>
          <w:tcPr>
            <w:tcW w:w="2026" w:type="dxa"/>
            <w:tcBorders>
              <w:top w:val="single" w:color="000000" w:sz="2" w:space="0"/>
              <w:bottom w:val="single" w:color="000000" w:sz="2" w:space="0"/>
            </w:tcBorders>
            <w:vAlign w:val="center"/>
          </w:tcPr>
          <w:p w14:paraId="08DDA262">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5200元/场</w:t>
            </w:r>
          </w:p>
        </w:tc>
      </w:tr>
      <w:tr w14:paraId="4AA7F3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exact"/>
        </w:trPr>
        <w:tc>
          <w:tcPr>
            <w:tcW w:w="4217" w:type="dxa"/>
            <w:gridSpan w:val="2"/>
            <w:tcBorders>
              <w:bottom w:val="single" w:color="000000" w:sz="2" w:space="0"/>
            </w:tcBorders>
            <w:vAlign w:val="center"/>
          </w:tcPr>
          <w:p w14:paraId="60D66BA6">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马戏杂技</w:t>
            </w:r>
          </w:p>
        </w:tc>
        <w:tc>
          <w:tcPr>
            <w:tcW w:w="1816" w:type="dxa"/>
            <w:tcBorders>
              <w:top w:val="single" w:color="000000" w:sz="2" w:space="0"/>
              <w:bottom w:val="single" w:color="000000" w:sz="2" w:space="0"/>
            </w:tcBorders>
            <w:vAlign w:val="center"/>
          </w:tcPr>
          <w:p w14:paraId="5C265369">
            <w:pPr>
              <w:bidi w:val="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1867" w:type="dxa"/>
            <w:tcBorders>
              <w:top w:val="single" w:color="000000" w:sz="2" w:space="0"/>
              <w:bottom w:val="single" w:color="000000" w:sz="2" w:space="0"/>
            </w:tcBorders>
            <w:vAlign w:val="center"/>
          </w:tcPr>
          <w:p w14:paraId="34A310AB">
            <w:pPr>
              <w:bidi w:val="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en-US"/>
              </w:rPr>
              <w:t>90</w:t>
            </w:r>
          </w:p>
        </w:tc>
        <w:tc>
          <w:tcPr>
            <w:tcW w:w="2026" w:type="dxa"/>
            <w:tcBorders>
              <w:top w:val="single" w:color="000000" w:sz="2" w:space="0"/>
              <w:bottom w:val="single" w:color="000000" w:sz="2" w:space="0"/>
            </w:tcBorders>
            <w:vAlign w:val="center"/>
          </w:tcPr>
          <w:p w14:paraId="3D9587BB">
            <w:pPr>
              <w:bidi w:val="0"/>
              <w:jc w:val="center"/>
              <w:rPr>
                <w:rFonts w:hint="eastAsia" w:ascii="仿宋" w:hAnsi="仿宋" w:eastAsia="仿宋" w:cs="仿宋"/>
                <w:sz w:val="24"/>
                <w:szCs w:val="24"/>
                <w:lang w:val="en-US" w:eastAsia="en-US"/>
              </w:rPr>
            </w:pPr>
            <w:r>
              <w:rPr>
                <w:rFonts w:hint="eastAsia" w:ascii="仿宋" w:hAnsi="仿宋" w:eastAsia="仿宋" w:cs="仿宋"/>
                <w:sz w:val="24"/>
                <w:szCs w:val="24"/>
                <w:lang w:val="en-US" w:eastAsia="zh-CN"/>
              </w:rPr>
              <w:t>5400元/场</w:t>
            </w:r>
          </w:p>
        </w:tc>
      </w:tr>
      <w:tr w14:paraId="7A4FBF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trPr>
        <w:tc>
          <w:tcPr>
            <w:tcW w:w="9926" w:type="dxa"/>
            <w:gridSpan w:val="5"/>
            <w:vAlign w:val="center"/>
          </w:tcPr>
          <w:p w14:paraId="4FB23AA0">
            <w:pPr>
              <w:pStyle w:val="6"/>
              <w:keepNext w:val="0"/>
              <w:keepLines w:val="0"/>
              <w:pageBreakBefore w:val="0"/>
              <w:widowControl/>
              <w:kinsoku w:val="0"/>
              <w:wordWrap/>
              <w:overflowPunct/>
              <w:topLinePunct w:val="0"/>
              <w:autoSpaceDE w:val="0"/>
              <w:autoSpaceDN w:val="0"/>
              <w:bidi w:val="0"/>
              <w:adjustRightInd w:val="0"/>
              <w:snapToGrid w:val="0"/>
              <w:spacing w:line="560" w:lineRule="atLeast"/>
              <w:ind w:left="129"/>
              <w:textAlignment w:val="baseline"/>
              <w:rPr>
                <w:rFonts w:hint="eastAsia" w:ascii="仿宋" w:hAnsi="仿宋" w:eastAsia="仿宋" w:cs="仿宋"/>
                <w:b w:val="0"/>
                <w:bCs w:val="0"/>
                <w:sz w:val="24"/>
                <w:szCs w:val="24"/>
              </w:rPr>
            </w:pPr>
            <w:r>
              <w:rPr>
                <w:rFonts w:hint="eastAsia" w:ascii="仿宋" w:hAnsi="仿宋" w:eastAsia="仿宋" w:cs="仿宋"/>
                <w:b w:val="0"/>
                <w:bCs w:val="0"/>
                <w:spacing w:val="-7"/>
                <w:sz w:val="24"/>
                <w:szCs w:val="24"/>
              </w:rPr>
              <w:t>备注：</w:t>
            </w:r>
          </w:p>
          <w:p w14:paraId="61ECA7D5">
            <w:pPr>
              <w:pStyle w:val="6"/>
              <w:keepNext w:val="0"/>
              <w:keepLines w:val="0"/>
              <w:pageBreakBefore w:val="0"/>
              <w:widowControl/>
              <w:kinsoku w:val="0"/>
              <w:wordWrap/>
              <w:overflowPunct/>
              <w:topLinePunct w:val="0"/>
              <w:autoSpaceDE w:val="0"/>
              <w:autoSpaceDN w:val="0"/>
              <w:bidi w:val="0"/>
              <w:adjustRightInd w:val="0"/>
              <w:snapToGrid w:val="0"/>
              <w:spacing w:line="560" w:lineRule="atLeast"/>
              <w:ind w:left="132" w:right="106" w:firstLine="565"/>
              <w:textAlignment w:val="baseline"/>
              <w:rPr>
                <w:rFonts w:hint="eastAsia" w:ascii="仿宋" w:hAnsi="仿宋" w:eastAsia="仿宋" w:cs="仿宋"/>
                <w:b w:val="0"/>
                <w:bCs w:val="0"/>
                <w:sz w:val="24"/>
                <w:szCs w:val="24"/>
              </w:rPr>
            </w:pPr>
            <w:r>
              <w:rPr>
                <w:rFonts w:hint="eastAsia" w:ascii="仿宋" w:hAnsi="仿宋" w:eastAsia="仿宋" w:cs="仿宋"/>
                <w:b w:val="0"/>
                <w:bCs w:val="0"/>
                <w:spacing w:val="3"/>
                <w:sz w:val="24"/>
                <w:szCs w:val="24"/>
              </w:rPr>
              <w:t>1.为提高节目演出质量，戏曲、综合歌舞类演出团队应具备在上年度“戏曲进乡村”惠民演出绩效测评中无不良演出记录，且演出应当含有至少一个近年获得过省级、市级及以上奖项(或入选省级、市级及以上文艺创作资助项目，或演出单位的相同类别节目具有省级、市级及以上奖项)的节目</w:t>
            </w:r>
            <w:r>
              <w:rPr>
                <w:rFonts w:hint="eastAsia" w:ascii="仿宋" w:hAnsi="仿宋" w:eastAsia="仿宋" w:cs="仿宋"/>
                <w:b w:val="0"/>
                <w:bCs w:val="0"/>
                <w:spacing w:val="-2"/>
                <w:sz w:val="24"/>
                <w:szCs w:val="24"/>
              </w:rPr>
              <w:t>。</w:t>
            </w:r>
          </w:p>
          <w:p w14:paraId="30A31A46">
            <w:pPr>
              <w:pStyle w:val="6"/>
              <w:keepNext w:val="0"/>
              <w:keepLines w:val="0"/>
              <w:pageBreakBefore w:val="0"/>
              <w:widowControl/>
              <w:kinsoku w:val="0"/>
              <w:wordWrap/>
              <w:overflowPunct/>
              <w:topLinePunct w:val="0"/>
              <w:autoSpaceDE w:val="0"/>
              <w:autoSpaceDN w:val="0"/>
              <w:bidi w:val="0"/>
              <w:adjustRightInd w:val="0"/>
              <w:snapToGrid w:val="0"/>
              <w:spacing w:line="560" w:lineRule="atLeast"/>
              <w:ind w:left="681"/>
              <w:textAlignment w:val="baseline"/>
              <w:rPr>
                <w:rFonts w:hint="eastAsia" w:ascii="仿宋" w:hAnsi="仿宋" w:eastAsia="仿宋" w:cs="仿宋"/>
                <w:b w:val="0"/>
                <w:bCs w:val="0"/>
                <w:sz w:val="24"/>
                <w:szCs w:val="24"/>
              </w:rPr>
            </w:pPr>
            <w:r>
              <w:rPr>
                <w:rFonts w:hint="eastAsia" w:ascii="仿宋" w:hAnsi="仿宋" w:eastAsia="仿宋" w:cs="仿宋"/>
                <w:b w:val="0"/>
                <w:bCs w:val="0"/>
                <w:spacing w:val="-1"/>
                <w:sz w:val="24"/>
                <w:szCs w:val="24"/>
              </w:rPr>
              <w:t>2.所有演出均为室外演出，需供应商自行前往。</w:t>
            </w:r>
          </w:p>
          <w:p w14:paraId="73D059D8">
            <w:pPr>
              <w:pStyle w:val="6"/>
              <w:keepNext w:val="0"/>
              <w:keepLines w:val="0"/>
              <w:pageBreakBefore w:val="0"/>
              <w:widowControl/>
              <w:kinsoku w:val="0"/>
              <w:wordWrap/>
              <w:overflowPunct/>
              <w:topLinePunct w:val="0"/>
              <w:autoSpaceDE w:val="0"/>
              <w:autoSpaceDN w:val="0"/>
              <w:bidi w:val="0"/>
              <w:adjustRightInd w:val="0"/>
              <w:snapToGrid w:val="0"/>
              <w:spacing w:line="560" w:lineRule="atLeast"/>
              <w:ind w:left="128" w:right="106" w:firstLine="554"/>
              <w:textAlignment w:val="baseline"/>
              <w:rPr>
                <w:rFonts w:hint="eastAsia" w:ascii="仿宋" w:hAnsi="仿宋" w:eastAsia="仿宋" w:cs="仿宋"/>
                <w:b w:val="0"/>
                <w:bCs w:val="0"/>
                <w:spacing w:val="-3"/>
                <w:sz w:val="24"/>
                <w:szCs w:val="24"/>
              </w:rPr>
            </w:pPr>
            <w:r>
              <w:rPr>
                <w:rFonts w:hint="eastAsia" w:ascii="仿宋" w:hAnsi="仿宋" w:eastAsia="仿宋" w:cs="仿宋"/>
                <w:b w:val="0"/>
                <w:bCs w:val="0"/>
                <w:spacing w:val="3"/>
                <w:sz w:val="24"/>
                <w:szCs w:val="24"/>
              </w:rPr>
              <w:t>3.供应商应至少选择一个演出服务类别进行申报，并填写相对应的演出</w:t>
            </w:r>
            <w:r>
              <w:rPr>
                <w:rFonts w:hint="eastAsia" w:ascii="仿宋" w:hAnsi="仿宋" w:eastAsia="仿宋" w:cs="仿宋"/>
                <w:b w:val="0"/>
                <w:bCs w:val="0"/>
                <w:spacing w:val="-3"/>
                <w:sz w:val="24"/>
                <w:szCs w:val="24"/>
              </w:rPr>
              <w:t>项目申报表。</w:t>
            </w:r>
          </w:p>
          <w:p w14:paraId="166774F6">
            <w:pPr>
              <w:pStyle w:val="6"/>
              <w:keepNext w:val="0"/>
              <w:keepLines w:val="0"/>
              <w:pageBreakBefore w:val="0"/>
              <w:widowControl/>
              <w:kinsoku w:val="0"/>
              <w:wordWrap/>
              <w:overflowPunct/>
              <w:topLinePunct w:val="0"/>
              <w:autoSpaceDE w:val="0"/>
              <w:autoSpaceDN w:val="0"/>
              <w:bidi w:val="0"/>
              <w:adjustRightInd w:val="0"/>
              <w:snapToGrid w:val="0"/>
              <w:spacing w:line="560" w:lineRule="atLeast"/>
              <w:ind w:left="128" w:right="106" w:firstLine="554"/>
              <w:textAlignment w:val="baseline"/>
              <w:rPr>
                <w:rFonts w:hint="eastAsia" w:cs="仿宋"/>
                <w:b w:val="0"/>
                <w:bCs w:val="0"/>
                <w:spacing w:val="-3"/>
                <w:sz w:val="24"/>
                <w:szCs w:val="24"/>
                <w:lang w:val="en-US" w:eastAsia="zh-CN"/>
              </w:rPr>
            </w:pPr>
            <w:r>
              <w:rPr>
                <w:rFonts w:hint="eastAsia" w:cs="仿宋"/>
                <w:b w:val="0"/>
                <w:bCs w:val="0"/>
                <w:spacing w:val="-3"/>
                <w:sz w:val="24"/>
                <w:szCs w:val="24"/>
                <w:lang w:val="en-US" w:eastAsia="zh-CN"/>
              </w:rPr>
              <w:t>4.中标后，采购人将根据中标单位申报节目质量划分级别（大型/中型/小型），并对应其相应的最高限价进行结算。</w:t>
            </w:r>
          </w:p>
          <w:p w14:paraId="1CB1A98A">
            <w:pPr>
              <w:pStyle w:val="6"/>
              <w:keepNext w:val="0"/>
              <w:keepLines w:val="0"/>
              <w:pageBreakBefore w:val="0"/>
              <w:widowControl/>
              <w:kinsoku w:val="0"/>
              <w:wordWrap/>
              <w:overflowPunct/>
              <w:topLinePunct w:val="0"/>
              <w:autoSpaceDE w:val="0"/>
              <w:autoSpaceDN w:val="0"/>
              <w:bidi w:val="0"/>
              <w:adjustRightInd w:val="0"/>
              <w:snapToGrid w:val="0"/>
              <w:spacing w:line="560" w:lineRule="atLeast"/>
              <w:ind w:left="128" w:right="106" w:firstLine="554"/>
              <w:textAlignment w:val="baseline"/>
              <w:rPr>
                <w:rFonts w:hint="eastAsia" w:cs="仿宋"/>
                <w:b/>
                <w:bCs/>
                <w:spacing w:val="-3"/>
                <w:sz w:val="24"/>
                <w:szCs w:val="24"/>
                <w:lang w:val="en-US" w:eastAsia="zh-CN"/>
              </w:rPr>
            </w:pPr>
            <w:r>
              <w:rPr>
                <w:rFonts w:hint="eastAsia" w:cs="仿宋"/>
                <w:b/>
                <w:bCs/>
                <w:spacing w:val="-3"/>
                <w:sz w:val="24"/>
                <w:szCs w:val="24"/>
                <w:lang w:val="en-US" w:eastAsia="zh-CN"/>
              </w:rPr>
              <w:t>5.供应商应在自身演出许可证的“经营范围”内选择相应的节目类型进行申报，如申报节目类型全部超出“经营范围”许可，将按未满足采购文件要求处理；如申报节目类型部分超出“经营范围”许可，投标文件评审及后续演出任务分配只认可“经营范围”内的节目单。演出许可证的“经营范围”对照表如下：</w:t>
            </w:r>
          </w:p>
          <w:tbl>
            <w:tblPr>
              <w:tblStyle w:val="3"/>
              <w:tblW w:w="9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4"/>
              <w:gridCol w:w="6168"/>
            </w:tblGrid>
            <w:tr w14:paraId="40E9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tcPr>
                <w:p w14:paraId="18777360">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atLeast"/>
                    <w:ind w:left="0" w:right="106"/>
                    <w:jc w:val="center"/>
                    <w:textAlignment w:val="baseline"/>
                    <w:rPr>
                      <w:rFonts w:hint="eastAsia" w:cs="仿宋"/>
                      <w:b/>
                      <w:bCs/>
                      <w:spacing w:val="-3"/>
                      <w:sz w:val="24"/>
                      <w:szCs w:val="24"/>
                      <w:vertAlign w:val="baseline"/>
                      <w:lang w:val="en-US" w:eastAsia="zh-CN"/>
                    </w:rPr>
                  </w:pPr>
                  <w:r>
                    <w:rPr>
                      <w:rFonts w:hint="eastAsia" w:cs="仿宋"/>
                      <w:b/>
                      <w:bCs/>
                      <w:spacing w:val="-3"/>
                      <w:sz w:val="24"/>
                      <w:szCs w:val="24"/>
                      <w:vertAlign w:val="baseline"/>
                      <w:lang w:val="en-US" w:eastAsia="zh-CN"/>
                    </w:rPr>
                    <w:t>演出服务内容</w:t>
                  </w:r>
                </w:p>
              </w:tc>
              <w:tc>
                <w:tcPr>
                  <w:tcW w:w="6168" w:type="dxa"/>
                </w:tcPr>
                <w:p w14:paraId="66111CBE">
                  <w:pPr>
                    <w:pStyle w:val="6"/>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560" w:lineRule="atLeast"/>
                    <w:ind w:left="0" w:right="106"/>
                    <w:jc w:val="center"/>
                    <w:textAlignment w:val="baseline"/>
                    <w:rPr>
                      <w:rFonts w:hint="eastAsia" w:cs="仿宋"/>
                      <w:b/>
                      <w:bCs/>
                      <w:spacing w:val="-3"/>
                      <w:sz w:val="24"/>
                      <w:szCs w:val="24"/>
                      <w:vertAlign w:val="baseline"/>
                      <w:lang w:val="en-US" w:eastAsia="zh-CN"/>
                    </w:rPr>
                  </w:pPr>
                  <w:r>
                    <w:rPr>
                      <w:rFonts w:hint="eastAsia" w:cs="仿宋"/>
                      <w:b/>
                      <w:bCs/>
                      <w:spacing w:val="-3"/>
                      <w:sz w:val="24"/>
                      <w:szCs w:val="24"/>
                      <w:lang w:val="en-US" w:eastAsia="zh-CN"/>
                    </w:rPr>
                    <w:t>演出许可证的“经营范围”对照</w:t>
                  </w:r>
                </w:p>
              </w:tc>
            </w:tr>
            <w:tr w14:paraId="7A75D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Align w:val="center"/>
                </w:tcPr>
                <w:p w14:paraId="06F0EBC1">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戏曲</w:t>
                  </w:r>
                </w:p>
              </w:tc>
              <w:tc>
                <w:tcPr>
                  <w:tcW w:w="6168" w:type="dxa"/>
                  <w:vAlign w:val="center"/>
                </w:tcPr>
                <w:p w14:paraId="493B6849">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戏剧</w:t>
                  </w:r>
                </w:p>
              </w:tc>
            </w:tr>
            <w:tr w14:paraId="21CA0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Align w:val="center"/>
                </w:tcPr>
                <w:p w14:paraId="15FE3982">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木偶皮影戏</w:t>
                  </w:r>
                </w:p>
              </w:tc>
              <w:tc>
                <w:tcPr>
                  <w:tcW w:w="6168" w:type="dxa"/>
                  <w:vAlign w:val="center"/>
                </w:tcPr>
                <w:p w14:paraId="4B16699C">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木偶、戏剧</w:t>
                  </w:r>
                </w:p>
              </w:tc>
            </w:tr>
            <w:tr w14:paraId="51DFF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3754" w:type="dxa"/>
                  <w:vAlign w:val="center"/>
                </w:tcPr>
                <w:p w14:paraId="7A332586">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马戏杂技</w:t>
                  </w:r>
                </w:p>
              </w:tc>
              <w:tc>
                <w:tcPr>
                  <w:tcW w:w="6168" w:type="dxa"/>
                  <w:vAlign w:val="center"/>
                </w:tcPr>
                <w:p w14:paraId="310CAB96">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杂技、魔术、马戏</w:t>
                  </w:r>
                </w:p>
              </w:tc>
            </w:tr>
            <w:tr w14:paraId="2D295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54" w:type="dxa"/>
                  <w:vAlign w:val="center"/>
                </w:tcPr>
                <w:p w14:paraId="268E77C9">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综合歌舞</w:t>
                  </w:r>
                </w:p>
              </w:tc>
              <w:tc>
                <w:tcPr>
                  <w:tcW w:w="6168" w:type="dxa"/>
                  <w:vAlign w:val="center"/>
                </w:tcPr>
                <w:p w14:paraId="7362B042">
                  <w:pPr>
                    <w:keepNext w:val="0"/>
                    <w:keepLines w:val="0"/>
                    <w:suppressLineNumbers w:val="0"/>
                    <w:bidi w:val="0"/>
                    <w:spacing w:before="0" w:beforeAutospacing="0" w:after="0" w:afterAutospacing="0"/>
                    <w:ind w:left="0" w:right="0"/>
                    <w:jc w:val="center"/>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舞蹈、声乐、民间文艺</w:t>
                  </w:r>
                </w:p>
              </w:tc>
            </w:tr>
          </w:tbl>
          <w:p w14:paraId="68AE20A6">
            <w:pPr>
              <w:pStyle w:val="6"/>
              <w:keepNext w:val="0"/>
              <w:keepLines w:val="0"/>
              <w:pageBreakBefore w:val="0"/>
              <w:widowControl/>
              <w:kinsoku w:val="0"/>
              <w:wordWrap/>
              <w:overflowPunct/>
              <w:topLinePunct w:val="0"/>
              <w:autoSpaceDE w:val="0"/>
              <w:autoSpaceDN w:val="0"/>
              <w:bidi w:val="0"/>
              <w:adjustRightInd w:val="0"/>
              <w:snapToGrid w:val="0"/>
              <w:spacing w:line="560" w:lineRule="atLeast"/>
              <w:ind w:left="128" w:right="106" w:firstLine="554"/>
              <w:textAlignment w:val="baseline"/>
              <w:rPr>
                <w:rFonts w:hint="default" w:cs="仿宋"/>
                <w:b/>
                <w:bCs/>
                <w:spacing w:val="-3"/>
                <w:sz w:val="24"/>
                <w:szCs w:val="24"/>
                <w:lang w:val="en-US" w:eastAsia="zh-CN"/>
              </w:rPr>
            </w:pPr>
          </w:p>
        </w:tc>
      </w:tr>
    </w:tbl>
    <w:p w14:paraId="73BC720E">
      <w:pPr>
        <w:keepNext w:val="0"/>
        <w:keepLines w:val="0"/>
        <w:pageBreakBefore w:val="0"/>
        <w:kinsoku/>
        <w:overflowPunct/>
        <w:topLinePunct w:val="0"/>
        <w:bidi w:val="0"/>
        <w:adjustRightInd/>
        <w:spacing w:beforeAutospacing="0" w:afterAutospacing="0" w:line="600" w:lineRule="exact"/>
        <w:ind w:firstLine="280" w:firstLineChars="100"/>
        <w:textAlignment w:val="auto"/>
        <w:rPr>
          <w:rFonts w:hint="eastAsia" w:ascii="仿宋" w:hAnsi="仿宋" w:eastAsia="仿宋" w:cs="仿宋"/>
          <w:color w:val="000000"/>
          <w:sz w:val="28"/>
          <w:szCs w:val="28"/>
          <w:lang w:val="en-US"/>
        </w:rPr>
      </w:pP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三</w:t>
      </w:r>
      <w:r>
        <w:rPr>
          <w:rFonts w:hint="eastAsia" w:ascii="仿宋" w:hAnsi="仿宋" w:eastAsia="仿宋" w:cs="仿宋"/>
          <w:color w:val="000000"/>
          <w:sz w:val="28"/>
          <w:szCs w:val="28"/>
        </w:rPr>
        <w:t>）</w:t>
      </w:r>
      <w:r>
        <w:rPr>
          <w:rFonts w:hint="eastAsia" w:ascii="仿宋" w:hAnsi="仿宋" w:eastAsia="仿宋" w:cs="仿宋"/>
          <w:color w:val="000000"/>
          <w:sz w:val="28"/>
          <w:szCs w:val="28"/>
          <w:lang w:val="en-US" w:eastAsia="zh-CN"/>
        </w:rPr>
        <w:t>服务区域</w:t>
      </w:r>
    </w:p>
    <w:p w14:paraId="24443D06">
      <w:pPr>
        <w:keepNext w:val="0"/>
        <w:keepLines w:val="0"/>
        <w:pageBreakBefore w:val="0"/>
        <w:kinsoku/>
        <w:overflowPunct/>
        <w:topLinePunct w:val="0"/>
        <w:bidi w:val="0"/>
        <w:adjustRightInd/>
        <w:spacing w:beforeAutospacing="0" w:afterAutospacing="0" w:line="600" w:lineRule="exact"/>
        <w:ind w:firstLine="640" w:firstLineChars="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文化</w:t>
      </w:r>
      <w:r>
        <w:rPr>
          <w:rFonts w:hint="eastAsia" w:ascii="仿宋" w:hAnsi="仿宋" w:eastAsia="仿宋" w:cs="仿宋"/>
          <w:color w:val="000000"/>
          <w:sz w:val="28"/>
          <w:szCs w:val="28"/>
          <w:lang w:val="en-US" w:eastAsia="zh-CN"/>
        </w:rPr>
        <w:t>惠民</w:t>
      </w:r>
      <w:r>
        <w:rPr>
          <w:rFonts w:hint="eastAsia" w:ascii="仿宋" w:hAnsi="仿宋" w:eastAsia="仿宋" w:cs="仿宋"/>
          <w:color w:val="000000"/>
          <w:sz w:val="28"/>
          <w:szCs w:val="28"/>
        </w:rPr>
        <w:t>演出服务</w:t>
      </w:r>
      <w:r>
        <w:rPr>
          <w:rFonts w:hint="eastAsia" w:ascii="仿宋" w:hAnsi="仿宋" w:eastAsia="仿宋" w:cs="仿宋"/>
          <w:sz w:val="28"/>
          <w:szCs w:val="28"/>
          <w:lang w:eastAsia="zh-CN"/>
        </w:rPr>
        <w:t>区域为</w:t>
      </w:r>
      <w:r>
        <w:rPr>
          <w:rFonts w:hint="eastAsia" w:ascii="仿宋" w:hAnsi="仿宋" w:eastAsia="仿宋" w:cs="仿宋"/>
          <w:sz w:val="28"/>
          <w:szCs w:val="28"/>
          <w:lang w:val="en-US" w:eastAsia="zh-CN"/>
        </w:rPr>
        <w:t>南郑区域内</w:t>
      </w:r>
      <w:r>
        <w:rPr>
          <w:rFonts w:hint="eastAsia" w:ascii="仿宋" w:hAnsi="仿宋" w:eastAsia="仿宋" w:cs="仿宋"/>
          <w:color w:val="000000"/>
          <w:sz w:val="28"/>
          <w:szCs w:val="28"/>
        </w:rPr>
        <w:t>。</w:t>
      </w:r>
    </w:p>
    <w:p w14:paraId="6BF65B91">
      <w:pPr>
        <w:keepNext w:val="0"/>
        <w:keepLines w:val="0"/>
        <w:pageBreakBefore w:val="0"/>
        <w:numPr>
          <w:ilvl w:val="0"/>
          <w:numId w:val="0"/>
        </w:numPr>
        <w:kinsoku/>
        <w:overflowPunct/>
        <w:topLinePunct w:val="0"/>
        <w:bidi w:val="0"/>
        <w:adjustRightInd/>
        <w:spacing w:beforeAutospacing="0" w:afterAutospacing="0" w:line="600" w:lineRule="exact"/>
        <w:ind w:firstLine="562" w:firstLineChars="200"/>
        <w:textAlignment w:val="auto"/>
        <w:rPr>
          <w:rFonts w:hint="eastAsia" w:ascii="仿宋" w:hAnsi="仿宋" w:eastAsia="仿宋" w:cs="仿宋"/>
          <w:color w:val="000000"/>
          <w:sz w:val="28"/>
          <w:szCs w:val="28"/>
          <w:lang w:val="en-US" w:eastAsia="zh-CN"/>
        </w:rPr>
      </w:pPr>
      <w:r>
        <w:rPr>
          <w:rFonts w:hint="eastAsia" w:ascii="仿宋" w:hAnsi="仿宋" w:eastAsia="仿宋" w:cs="仿宋"/>
          <w:b/>
          <w:bCs/>
          <w:color w:val="000000"/>
          <w:sz w:val="28"/>
          <w:szCs w:val="28"/>
          <w:lang w:eastAsia="zh-CN"/>
        </w:rPr>
        <w:t>二</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val="en-US" w:eastAsia="zh-CN"/>
        </w:rPr>
        <w:t>工作要求</w:t>
      </w:r>
    </w:p>
    <w:p w14:paraId="3F2BDAE3">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sz w:val="28"/>
          <w:szCs w:val="28"/>
          <w:shd w:val="clear" w:color="auto" w:fill="FFFFFF"/>
          <w:lang w:val="en-US" w:eastAsia="zh-CN"/>
        </w:rPr>
      </w:pPr>
      <w:r>
        <w:rPr>
          <w:rFonts w:hint="eastAsia" w:ascii="仿宋" w:hAnsi="仿宋" w:eastAsia="仿宋" w:cs="仿宋"/>
          <w:b w:val="0"/>
          <w:bCs/>
          <w:sz w:val="28"/>
          <w:szCs w:val="28"/>
          <w:shd w:val="clear" w:color="auto" w:fill="FFFFFF"/>
          <w:lang w:val="en-US" w:eastAsia="zh-CN"/>
        </w:rPr>
        <w:t xml:space="preserve">1.加大宣传力度。各演出院团要充分利用基层综合性文化服务中心的文体广场和其他具备条件的公共服务设施场地，结合实 际广泛开展形式多样的“戏曲进乡村”惠民演出活动。提前利用 公众号、抖音、微博等多种媒体形式进行大力宣传此项活动的目 的及意义，并说明演出时间地点，让广大的群众知晓并积极参与 进来。 </w:t>
      </w:r>
    </w:p>
    <w:p w14:paraId="4998A4DE">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sz w:val="28"/>
          <w:szCs w:val="28"/>
          <w:shd w:val="clear" w:color="auto" w:fill="FFFFFF"/>
          <w:lang w:val="en-US" w:eastAsia="zh-CN"/>
        </w:rPr>
      </w:pPr>
      <w:r>
        <w:rPr>
          <w:rFonts w:hint="eastAsia" w:ascii="仿宋" w:hAnsi="仿宋" w:eastAsia="仿宋" w:cs="仿宋"/>
          <w:b w:val="0"/>
          <w:bCs/>
          <w:sz w:val="28"/>
          <w:szCs w:val="28"/>
          <w:shd w:val="clear" w:color="auto" w:fill="FFFFFF"/>
          <w:lang w:val="en-US" w:eastAsia="zh-CN"/>
        </w:rPr>
        <w:t xml:space="preserve">2.各演出院团要按季度有序推进演出任务顺利实施。我区 176 场演出按季度进行分解推进，原则上按照一季度 30％、二季度 30％、三季度 30％、四季度 10％安排，并于11月底前全部 完成年度演出任务。 </w:t>
      </w:r>
    </w:p>
    <w:p w14:paraId="08D00E2E">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sz w:val="28"/>
          <w:szCs w:val="28"/>
          <w:shd w:val="clear" w:color="auto" w:fill="FFFFFF"/>
          <w:lang w:val="en-US" w:eastAsia="zh-CN"/>
        </w:rPr>
      </w:pPr>
      <w:r>
        <w:rPr>
          <w:rFonts w:hint="eastAsia" w:ascii="仿宋" w:hAnsi="仿宋" w:eastAsia="仿宋" w:cs="仿宋"/>
          <w:b w:val="0"/>
          <w:bCs/>
          <w:sz w:val="28"/>
          <w:szCs w:val="28"/>
          <w:shd w:val="clear" w:color="auto" w:fill="FFFFFF"/>
          <w:lang w:val="en-US" w:eastAsia="zh-CN"/>
        </w:rPr>
        <w:t xml:space="preserve">3.演出过程中，各演出院团要严格按照市局要求喷绘背景， 利用电子屏或悬挂横幅的方式进行宣传，活动名称统一为：2025 年陕西省汉中市戏曲进乡村惠民演出（红底白字，黑体）。依托 “秦岭视云”APP，扎实做好“戏曲进乡村”演出直录播工作，确保“戏曲进乡村”演出直录播达到 100％；因信号不佳等无法 直播的，要及时上传演出图文资料。 </w:t>
      </w:r>
    </w:p>
    <w:p w14:paraId="585A2CC1">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sz w:val="28"/>
          <w:szCs w:val="28"/>
          <w:shd w:val="clear" w:color="auto" w:fill="FFFFFF"/>
          <w:lang w:val="en-US" w:eastAsia="zh-CN"/>
        </w:rPr>
      </w:pPr>
      <w:r>
        <w:rPr>
          <w:rFonts w:hint="eastAsia" w:ascii="仿宋" w:hAnsi="仿宋" w:eastAsia="仿宋" w:cs="仿宋"/>
          <w:b w:val="0"/>
          <w:bCs/>
          <w:sz w:val="28"/>
          <w:szCs w:val="28"/>
          <w:shd w:val="clear" w:color="auto" w:fill="FFFFFF"/>
          <w:lang w:val="en-US" w:eastAsia="zh-CN"/>
        </w:rPr>
        <w:t>4.完善印证资料，留存演出凭证。实行双向评价、演出记录 “三联单”、群众需求表达反馈制度，按照“一场一档”要求， 逐场建立《送戏下乡工作日志》（日志须用文字、照片等详实记 录每场演出的时间、地点、节目、观众等基本情况），如实填写 《演出三联单》《演出满意度调查表》，并作为考核的重要依据。</w:t>
      </w:r>
    </w:p>
    <w:p w14:paraId="632EAC28">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both"/>
        <w:textAlignment w:val="auto"/>
        <w:rPr>
          <w:rFonts w:hint="eastAsia" w:ascii="仿宋" w:hAnsi="仿宋" w:eastAsia="仿宋" w:cs="仿宋"/>
          <w:b w:val="0"/>
          <w:bCs/>
          <w:sz w:val="28"/>
          <w:szCs w:val="28"/>
          <w:shd w:val="clear" w:color="auto" w:fill="FFFFFF"/>
          <w:lang w:val="en-US" w:eastAsia="zh-CN"/>
        </w:rPr>
      </w:pPr>
      <w:r>
        <w:rPr>
          <w:rFonts w:hint="eastAsia" w:ascii="仿宋" w:hAnsi="仿宋" w:eastAsia="仿宋" w:cs="仿宋"/>
          <w:b w:val="0"/>
          <w:bCs/>
          <w:sz w:val="28"/>
          <w:szCs w:val="28"/>
          <w:shd w:val="clear" w:color="auto" w:fill="FFFFFF"/>
          <w:lang w:val="en-US" w:eastAsia="zh-CN"/>
        </w:rPr>
        <w:t xml:space="preserve">5.严格落实绩效考核评价制度。严格参照《汉中市 2025 年“戏曲进乡村”惠民演出绩效测评细则》，对演出情况逐场考核。 各中标院团、各镇（街道）要落实专人负责惠民演出任务的沟通 对接工作。要按照合同约定的演出内容、时长、质量及季度目标 任务，高标准完成惠民演出任务。区文旅局要加大对惠民演出活 动检查、抽查力度，发现有严令禁止的演出内容、欺骗观众等演 出违规行为的立即取消其演出资格。对未按要求完成演出任务、 未达到演出质量的院团，按照合同约定可由采购方单方面终止合 同或取消演出资格，不再列入我区下年度惠民演出采购序列，不 能参与下年度我区组织的惠民演出招标采购各项工作。 </w:t>
      </w:r>
    </w:p>
    <w:p w14:paraId="36CF67AE">
      <w:r>
        <w:rPr>
          <w:rFonts w:hint="eastAsia" w:ascii="仿宋" w:hAnsi="仿宋" w:eastAsia="仿宋" w:cs="仿宋"/>
          <w:b w:val="0"/>
          <w:bCs/>
          <w:sz w:val="28"/>
          <w:szCs w:val="28"/>
          <w:shd w:val="clear" w:color="auto" w:fill="FFFFFF"/>
          <w:lang w:val="en-US" w:eastAsia="zh-CN"/>
        </w:rPr>
        <w:t>6.各镇（街道）要积极配合做好 2025 年“戏曲进乡村”惠民演出各项工作，认真落实演出前的观众组织、信息发布，演出过程当中的全程监督、秩序维护、安全保障以及演出后的质量评 定和对外宣传工作。通过惠民演出活动，提高基层广大群众享受 文化大餐、获取内生动力、提高精神文化素养的强大合力。</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3B4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28"/>
      <w:szCs w:val="28"/>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2025-03-26T08:11:09Z</dcterms:created>
  <dc:creator>Administrator</dc:creator>
  <cp:lastModifiedBy>C。</cp:lastModifiedBy>
  <dcterms:modified xsi:type="dcterms:W3CDTF">2025-03-26T08:11:37Z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eyJoZGlkIjoiMWE2NmQ2NTMxZGE3YjNjZjI5NTA3YjZhOTMyZGJmYjAiLCJ1c2VySWQiOiIyODY3ODk5OTYifQ==</vt:lpwstr>
  </property>
  <property fmtid="{D5CDD505-2E9C-101B-9397-08002B2CF9AE}" pid="4" name="ICV">
    <vt:lpwstr>6A1F48AD298A41F98656CC591063750C_12</vt:lpwstr>
  </property>
</Properties>
</file>