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04"/>
        <w:gridCol w:w="7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参数性质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line="278" w:lineRule="exact"/>
              <w:ind w:left="89" w:right="0"/>
              <w:jc w:val="left"/>
              <w:rPr>
                <w:rFonts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技术参数与性能指标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1.项目概况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西安经开区管委会职工2025年度健康体检项目。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本项目所属行业为其他未列明行业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2.采购内容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2.1服务要求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2.1.1带有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号的条款为实质性条款不得有偏离。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2.1.2下列产品为强制采购的节能产品（如有）：/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2.1.3服务内容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1、体检人数：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男411人（≥40岁226人，＜40岁185人）、女315人（≥40岁228人，＜40岁87人）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，共726人。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2、体检标准：最高限价单价男1000元/人、女1200元/人。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 xml:space="preserve">3、职工根据工作情况在服务期限内自行前往体检服务点进行体检。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4、供应商在响应文件中注明是否提供早餐、健康咨询等其他服务，如有，请在响应文件中一并列明。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★5、体检套餐（“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”表示该套餐中包含此项，“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”表示该套餐中不包含此项），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根据体检人员需求可等价置换体检项目。</w:t>
            </w:r>
          </w:p>
          <w:tbl>
            <w:tblPr>
              <w:tblStyle w:val="4"/>
              <w:tblW w:w="688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1035"/>
              <w:gridCol w:w="1485"/>
              <w:gridCol w:w="790"/>
              <w:gridCol w:w="940"/>
              <w:gridCol w:w="993"/>
              <w:gridCol w:w="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651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项目说明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＜40岁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≥40岁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651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03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85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男士</w:t>
                  </w:r>
                </w:p>
              </w:tc>
              <w:tc>
                <w:tcPr>
                  <w:tcW w:w="940" w:type="dxa"/>
                  <w:tcBorders>
                    <w:top w:val="single" w:color="000000" w:sz="8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女士</w:t>
                  </w:r>
                </w:p>
              </w:tc>
              <w:tc>
                <w:tcPr>
                  <w:tcW w:w="99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男士</w:t>
                  </w:r>
                </w:p>
              </w:tc>
              <w:tc>
                <w:tcPr>
                  <w:tcW w:w="9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一般检查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身高体重血压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肝胆胰脾触诊检查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甲状腺 、浅表淋巴结、乳腺、脊柱、四肢关节的基础检查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6" w:hRule="atLeast"/>
              </w:trPr>
              <w:tc>
                <w:tcPr>
                  <w:tcW w:w="651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眼科检查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常用的视功能检查包括视觉心理物理学检查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color="000000" w:sz="8" w:space="0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耳鼻喉检查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口咽鼻咽喉咽的检查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妇科检查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包括腹部检查和盆腔检查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了解是否存在感染、是否患有血液疾病，是多种疾病的辅助检查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尿常规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检测人体的代谢状况，初步反映泌尿系统病变，简介反映全身代谢及循环等系统的功能状态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肝功筛查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肝功八项，通过血液生化分析可反映目前肝细胞的新陈代谢状态，可筛查肝、胆功能异常、急（慢）性肝炎，黄疸性肝炎、肝硬化、肝癌、心肌炎、肾炎等脏器疾病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乙肝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乙肝表面抗原、乙肝表面抗体、乙肝e抗原、乙肝e抗体、乙肝核心抗体IGG、乙肝核心抗体IGM可筛查是否感染乙肝病毒，是否产生乙肝抗体，是否应注射疫苗和注射疫苗的效果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肾功筛查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测定肾功能中的肌酐测定和尿素测定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尿酸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高尿酸血症、痛风等疾病。 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血脂筛查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检测受检者血液中的血脂含量，评价受检者的血脂肪代谢水平（血清甘油三酯测定、血清总胆固醇测定、血清高密度脂蛋白胆固醇测定、血清低密度脂蛋白胆固醇测定）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癌胚抗原（CEA）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血液肿瘤标志物是判断胃肠道癌症诊断、疗效、预后及选择方案的有力依据及辅助建厂项目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甲胎蛋白（AFP）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通过血液检查可筛查病毒性肝炎、肝癌、肝硬化等疾病，是肝癌标志物检查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游离前列腺特异抗原PSA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早期诊断和监测前列腺癌的重要指标之一，对前列腺炎及前列腺肥大的鉴别诊断也有一定意义。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糖类抗原Ca125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反映卵巢癌或者帮助诊断卵巢癌的很重要的临床指标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糖类抗原Ca153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乳腺癌抗原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糖类抗原Ca199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肿瘤标志物,筛查胰腺癌,肝、胆或者胃肠道肿瘤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空腹血糖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用于筛查、诊断及监测糖尿病、低血糖症等多种糖代谢异常相关疾病，反映了机体对葡萄糖的吸收、代谢是否正常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同型半胱氨酸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用于筛查是导致动脉粥样硬化、心脑血管病、癌症、老年性痴呆等多种疾病，对预测相关疾病的发病具有重要意义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C-反应蛋白测定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以检查急性炎症反应和感染情况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丙肝抗体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筛查是否感染丙肝病毒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类风湿因子测定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主要检查类风湿关节炎、系统性红斑狼疮、硬皮病、干燥综合征、肝炎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心肌酶谱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用来排查心脏相关疾病，如急性心肌梗死、心肌炎、心肌损伤等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电解质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常量元素主要包括钙、氯、磷、钠、钾等元素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心电图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了解受检者是否存在心律失常、心绞痛、心肌梗塞、冠心病、心室肥厚、心肌缺血、心脏传导阻滞等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胸部CT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了解有无肺部炎症、结核、肿瘤、及心脏大血管疾病等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胸部CT三维重建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用于检查胸部的病变，如肺部、纵隔、胸膜以及胸壁结构等方面。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经颅多普勒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排查颅内动脉狭窄和闭塞、颈动脉狭窄和闭塞、椎动脉狭窄和闭塞等疾病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甲状腺彩超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对甲状腺进行声像学检查，能够发现清晰地观察到甲状腺肿物、结节、肿大、炎症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腹部彩超（无双肾）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对人体腹腔内肝、胆、胰、脾等脏器进行声像学检查，可敏感地发现脏器大小、形态、边缘、实质回声以及血流的异常改变，为肿块的鉴别诊断提供影像依据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男性（泌尿彩超）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对泌尿系统进行声像学检查,可以了解肾脏、输尿管、膀胱的结构有无异常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乳腺彩超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对乳腺进行声像学检查，能够发现乳腺异常改变,尤其可以初步鉴别乳腺肿块的良恶性,发现早期乳腺癌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女性（子宫、附件）+双肾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对子宫以及附件进行声像学检查，能观察子宫的发育情况以及子宫的常见疾病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白带常规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通过显微镜对阴道分泌物的检查,确定阴道清洁程度,寻找病原体，确定阴道炎症性质。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妇科液基细胞学检查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了解宫颈上皮是否存在病变,是宫颈癌筛查当中的一项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腰椎侧位拍片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auto"/>
                      <w:highlight w:val="none"/>
                      <w:lang w:val="en-US" w:eastAsia="zh-CN" w:bidi="ar"/>
                    </w:rPr>
                    <w:t>检查颈椎骨性畸形、椎体和棘突骨折、是否存在椎管狭窄、椎前软组织间隙是否增宽等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碳13尿素呼气试验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诊断胃幽门螺杆菌感染的金标准，非侵入性且无放射性、无痛苦、安全、可靠、操作简单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</w:tbl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2.1.4服务、产品（如有）执行的标准、规范：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（1）国家标准、规范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（2）行业标准、规范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（3）地方标准、规范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（4）团体标准、规范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（5）企业标准、规范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2.1.5本章2.1.4条款未明确服务（产品）执行标准、规范的，按下列方法进行选择：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□ 顺序执行：国家标准→行业标准→地方标准→团体标准→企业标准（有国家标准按国家标准执行，没有国家标准按行业标准，以此类推）；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□ 最高标准执行：国家标准，行业标准，地方标准，团体标准，企业标准（那个标准高执行那个标准）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√必须执行：国家（行业）强制性标准。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2.2商务要求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2.2.1带有★号的商务要求为实质性条款不得有偏差。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</w:rPr>
              <w:t>★2.2.2服务期限：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自合同签订后120日历天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sz w:val="21"/>
                <w:szCs w:val="21"/>
                <w:highlight w:val="none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DE1M2U1MjMwMDlmOGYwZGVmNjY2ZDE3ZmUifQ=="/>
    <w:docVar w:name="KSO_WPS_MARK_KEY" w:val="12973b2c-1dff-4e86-97e5-10d45c160384"/>
  </w:docVars>
  <w:rsids>
    <w:rsidRoot w:val="00000000"/>
    <w:rsid w:val="1FF72E42"/>
    <w:rsid w:val="616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pPr>
      <w:ind w:left="490"/>
    </w:pPr>
    <w:rPr>
      <w:rFonts w:ascii="宋体" w:hAnsi="宋体" w:eastAsia="宋体"/>
      <w:sz w:val="19"/>
      <w:szCs w:val="19"/>
    </w:rPr>
  </w:style>
  <w:style w:type="paragraph" w:customStyle="1" w:styleId="3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2267</Words>
  <Characters>2388</Characters>
  <Lines>0</Lines>
  <Paragraphs>0</Paragraphs>
  <TotalTime>0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2024-03-15T08:59:00Z</dcterms:created>
  <dc:creator>Administrator</dc:creator>
  <cp:lastModifiedBy>Cinderella</cp:lastModifiedBy>
  <dcterms:modified xsi:type="dcterms:W3CDTF">2025-03-25T09:58:57Z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AC1F0BAAC0B2471F86FD631C40DB33A1_12</vt:lpwstr>
  </property>
</Properties>
</file>