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府谷能源投资集团有限公司府谷能源投资集团五一矿业有限公司原煤仓设备及安装(二次)招标公告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府谷能源投资集团五一矿业有限公司原煤仓设备及安装(二次)</w:t>
      </w:r>
      <w:r>
        <w:rPr>
          <w:rFonts w:ascii="仿宋_GB2312" w:hAnsi="仿宋_GB2312" w:cs="仿宋_GB2312" w:eastAsia="仿宋_GB2312"/>
        </w:rPr>
        <w:t>招标项目的潜在投标人应在</w:t>
      </w:r>
      <w:r>
        <w:rPr>
          <w:rFonts w:ascii="仿宋_GB2312" w:hAnsi="仿宋_GB2312" w:cs="仿宋_GB2312" w:eastAsia="仿宋_GB2312"/>
        </w:rPr>
        <w:t>全国公共资源交易中心平台（陕西省）（http://www.sxggzyjy.cn/）使用CA锁自行下载</w:t>
      </w:r>
      <w:r>
        <w:rPr>
          <w:rFonts w:ascii="仿宋_GB2312" w:hAnsi="仿宋_GB2312" w:cs="仿宋_GB2312" w:eastAsia="仿宋_GB2312"/>
        </w:rPr>
        <w:t>获取招标文件，并于</w:t>
      </w:r>
      <w:r>
        <w:rPr>
          <w:rFonts w:ascii="仿宋_GB2312" w:hAnsi="仿宋_GB2312" w:cs="仿宋_GB2312" w:eastAsia="仿宋_GB2312"/>
        </w:rPr>
        <w:t xml:space="preserve"> 2025年04月11日 13时30分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项目编号：FGZC2024-HW-104.1B1</w:t>
      </w:r>
    </w:p>
    <w:p>
      <w:pPr>
        <w:pStyle w:val="null3"/>
      </w:pPr>
      <w:r>
        <w:rPr>
          <w:rFonts w:ascii="仿宋_GB2312" w:hAnsi="仿宋_GB2312" w:cs="仿宋_GB2312" w:eastAsia="仿宋_GB2312"/>
        </w:rPr>
        <w:t>项目名称：府谷能源投资集团五一矿业有限公司原煤仓设备及安装(二次)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预算金额：2,613,302.00元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合同包1(府谷能源投资集团五一矿业有限公司原煤仓设备及安装):</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2,613,302.00元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2,613,302.00元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其他输送设备</w:t>
            </w:r>
          </w:p>
        </w:tc>
        <w:tc>
          <w:tcPr>
            <w:tcW w:type="dxa" w:w="1187"/>
          </w:tcPr>
          <w:p>
            <w:pPr>
              <w:pStyle w:val="null3"/>
            </w:pPr>
            <w:r>
              <w:rPr>
                <w:rFonts w:ascii="仿宋_GB2312" w:hAnsi="仿宋_GB2312" w:cs="仿宋_GB2312" w:eastAsia="仿宋_GB2312"/>
              </w:rPr>
              <w:t>府谷能源投资集团五一矿业有限公司原煤仓设备及安装</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2,613,302.00</w:t>
            </w:r>
          </w:p>
        </w:tc>
        <w:tc>
          <w:tcPr>
            <w:tcW w:type="dxa" w:w="1187"/>
          </w:tcPr>
          <w:p>
            <w:pPr>
              <w:pStyle w:val="null3"/>
            </w:pPr>
            <w:r>
              <w:rPr>
                <w:rFonts w:ascii="仿宋_GB2312" w:hAnsi="仿宋_GB2312" w:cs="仿宋_GB2312" w:eastAsia="仿宋_GB2312"/>
              </w:rPr>
              <w:t>2,613,302.00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项目须于签订合同后60日历日内完成。</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合同包1(府谷能源投资集团五一矿业有限公司原煤仓设备及安装)落实政府采购政策需满足的资格要求如下:</w:t>
      </w:r>
    </w:p>
    <w:p>
      <w:pPr>
        <w:pStyle w:val="null3"/>
        <w:ind w:left="480"/>
      </w:pPr>
      <w:r>
        <w:rPr>
          <w:rFonts w:ascii="仿宋_GB2312" w:hAnsi="仿宋_GB2312" w:cs="仿宋_GB2312" w:eastAsia="仿宋_GB2312"/>
        </w:rPr>
        <w:t>①、《政府采购促进中小企业发展管理办法》（财库〔2020〕46号）；</w:t>
      </w:r>
      <w:r>
        <w:br/>
      </w:r>
      <w:r>
        <w:rPr>
          <w:rFonts w:ascii="仿宋_GB2312" w:hAnsi="仿宋_GB2312" w:cs="仿宋_GB2312" w:eastAsia="仿宋_GB2312"/>
        </w:rPr>
        <w:t>②、《三部门联合发布关于促进残疾人就业政府采购政策的通知》（财库[2017] 141号）；</w:t>
      </w:r>
      <w:r>
        <w:br/>
      </w:r>
      <w:r>
        <w:rPr>
          <w:rFonts w:ascii="仿宋_GB2312" w:hAnsi="仿宋_GB2312" w:cs="仿宋_GB2312" w:eastAsia="仿宋_GB2312"/>
        </w:rPr>
        <w:t>③、《财政部司法部关于政府采购支持监狱企业发展有关问题的通知》（财库〔2014〕68号）；</w:t>
      </w:r>
      <w:r>
        <w:br/>
      </w:r>
      <w:r>
        <w:rPr>
          <w:rFonts w:ascii="仿宋_GB2312" w:hAnsi="仿宋_GB2312" w:cs="仿宋_GB2312" w:eastAsia="仿宋_GB2312"/>
        </w:rPr>
        <w:t>④、《国务院办公厅关于建立政府强制采购节能产品制度的通知》（国办发[2007]51号）；</w:t>
      </w:r>
      <w:r>
        <w:br/>
      </w:r>
      <w:r>
        <w:rPr>
          <w:rFonts w:ascii="仿宋_GB2312" w:hAnsi="仿宋_GB2312" w:cs="仿宋_GB2312" w:eastAsia="仿宋_GB2312"/>
        </w:rPr>
        <w:t>⑤、《环境标志产品政府采购实施的意见》（财库[2006]90号）；</w:t>
      </w:r>
      <w:r>
        <w:br/>
      </w:r>
      <w:r>
        <w:rPr>
          <w:rFonts w:ascii="仿宋_GB2312" w:hAnsi="仿宋_GB2312" w:cs="仿宋_GB2312" w:eastAsia="仿宋_GB2312"/>
        </w:rPr>
        <w:t>⑥、《节能产品政府采购实施意见》（财库[2004]185号）；</w:t>
      </w:r>
      <w:r>
        <w:br/>
      </w:r>
      <w:r>
        <w:rPr>
          <w:rFonts w:ascii="仿宋_GB2312" w:hAnsi="仿宋_GB2312" w:cs="仿宋_GB2312" w:eastAsia="仿宋_GB2312"/>
        </w:rPr>
        <w:t>⑦、《财政部发展改革委生态环境部市场监管总局关于调整优化节能产品、环境标志产品政府采购执行机制的通知》（财库〔2019〕9号）；</w:t>
      </w:r>
      <w:r>
        <w:br/>
      </w:r>
      <w:r>
        <w:rPr>
          <w:rFonts w:ascii="仿宋_GB2312" w:hAnsi="仿宋_GB2312" w:cs="仿宋_GB2312" w:eastAsia="仿宋_GB2312"/>
        </w:rPr>
        <w:t>⑧、《陕西省中小企业政府采购信用融资办法》（陕财办采〔2018〕23号）</w:t>
      </w:r>
      <w:r>
        <w:br/>
      </w:r>
      <w:r>
        <w:rPr>
          <w:rFonts w:ascii="仿宋_GB2312" w:hAnsi="仿宋_GB2312" w:cs="仿宋_GB2312" w:eastAsia="仿宋_GB2312"/>
        </w:rPr>
        <w:t>⑨、《关于进一步加大政府采购支持中小企业力度的通知》（财库〔2022〕19号）；</w:t>
      </w:r>
      <w:r>
        <w:br/>
      </w:r>
      <w:r>
        <w:rPr>
          <w:rFonts w:ascii="仿宋_GB2312" w:hAnsi="仿宋_GB2312" w:cs="仿宋_GB2312" w:eastAsia="仿宋_GB2312"/>
        </w:rPr>
        <w:t>⑩、 落实其它相关政策。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合同包1(府谷能源投资集团五一矿业有限公司原煤仓设备及安装)特定资格要求如下:</w:t>
      </w:r>
    </w:p>
    <w:p>
      <w:pPr>
        <w:pStyle w:val="null3"/>
        <w:ind w:left="480"/>
      </w:pPr>
      <w:r>
        <w:rPr>
          <w:rFonts w:ascii="仿宋_GB2312" w:hAnsi="仿宋_GB2312" w:cs="仿宋_GB2312" w:eastAsia="仿宋_GB2312"/>
        </w:rPr>
        <w:t xml:space="preserve">(1)供应商应具有独立承担民事责任能力的法人、其他组织或自然人。企业法人应提供合法有效的标识有统一社会信用代码的营业执照（附2023年或2024年企业年度报告书）；事业法人应提供事业单位法人证书；其他组织应提供合法登记证明文件；自然人应提供身份证；  </w:t>
      </w:r>
      <w:r>
        <w:br/>
      </w:r>
      <w:r>
        <w:rPr>
          <w:rFonts w:ascii="仿宋_GB2312" w:hAnsi="仿宋_GB2312" w:cs="仿宋_GB2312" w:eastAsia="仿宋_GB2312"/>
        </w:rPr>
        <w:t>（2）社会保障资金缴纳证明：提供2024年7月至投标文件递交截止时间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（3）税收缴纳证明：提供2024年7月至投标文件递交截止时间已缴纳的至少一个月的纳税证明或完税证明，依法免税的单位应提供相关证明材料；</w:t>
      </w:r>
      <w:r>
        <w:br/>
      </w:r>
      <w:r>
        <w:rPr>
          <w:rFonts w:ascii="仿宋_GB2312" w:hAnsi="仿宋_GB2312" w:cs="仿宋_GB2312" w:eastAsia="仿宋_GB2312"/>
        </w:rPr>
        <w:t>（4）财务状况报告：提供2023年或2024年的财务审计报告（至少包括资产负债表、利润表、现金流量表、所有者权益变动表及其附注），公司成立时间不足一年的需提供开标时间前六个月内其基本存款账户开户银行出具的资信证明；</w:t>
      </w:r>
      <w:r>
        <w:br/>
      </w:r>
      <w:r>
        <w:rPr>
          <w:rFonts w:ascii="仿宋_GB2312" w:hAnsi="仿宋_GB2312" w:cs="仿宋_GB2312" w:eastAsia="仿宋_GB2312"/>
        </w:rPr>
        <w:t>（5）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现场查询结果为准）；</w:t>
      </w:r>
      <w:r>
        <w:br/>
      </w:r>
      <w:r>
        <w:rPr>
          <w:rFonts w:ascii="仿宋_GB2312" w:hAnsi="仿宋_GB2312" w:cs="仿宋_GB2312" w:eastAsia="仿宋_GB2312"/>
        </w:rPr>
        <w:t>（6）投标保证金：用投标信用承诺书代替（提供投标信用承诺书及信用中国（陕西榆林）主动承诺网页截图）；</w:t>
      </w:r>
      <w:r>
        <w:br/>
      </w:r>
      <w:r>
        <w:rPr>
          <w:rFonts w:ascii="仿宋_GB2312" w:hAnsi="仿宋_GB2312" w:cs="仿宋_GB2312" w:eastAsia="仿宋_GB2312"/>
        </w:rPr>
        <w:t>（7）书面声明：参加本次政府采购活动前三年内在经营活动中没有重大违法记录的声明函；</w:t>
      </w:r>
      <w:r>
        <w:br/>
      </w:r>
      <w:r>
        <w:rPr>
          <w:rFonts w:ascii="仿宋_GB2312" w:hAnsi="仿宋_GB2312" w:cs="仿宋_GB2312" w:eastAsia="仿宋_GB2312"/>
        </w:rPr>
        <w:t>（8）提供榆林市政府采购货物类项目供应商信用承诺书及信用中国（陕西榆林）主动承诺网页截图；</w:t>
      </w:r>
      <w:r>
        <w:br/>
      </w:r>
      <w:r>
        <w:rPr>
          <w:rFonts w:ascii="仿宋_GB2312" w:hAnsi="仿宋_GB2312" w:cs="仿宋_GB2312" w:eastAsia="仿宋_GB2312"/>
        </w:rPr>
        <w:t>（9）本合同包不接受联合体投标；</w:t>
      </w:r>
      <w:r>
        <w:br/>
      </w:r>
      <w:r>
        <w:rPr>
          <w:rFonts w:ascii="仿宋_GB2312" w:hAnsi="仿宋_GB2312" w:cs="仿宋_GB2312" w:eastAsia="仿宋_GB2312"/>
        </w:rPr>
        <w:t>（10）单位负责人为同一人或者存在直接控股、管理关系的不同供应商，不得同时参加本项目投标活动，提供《供应商企业关系关联承诺书》；</w:t>
      </w:r>
      <w:r>
        <w:br/>
      </w:r>
      <w:r>
        <w:rPr>
          <w:rFonts w:ascii="仿宋_GB2312" w:hAnsi="仿宋_GB2312" w:cs="仿宋_GB2312" w:eastAsia="仿宋_GB2312"/>
        </w:rPr>
        <w:t xml:space="preserve"> （11）本项目非专门面向中小企业采购。满足要求的中小企业须提供管理办法规定的《中小企业声明函》 ；满足要求的监狱企业、福利性企业参加政府采购活动时，视同小微企业。</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2025年03月20日 </w:t>
      </w:r>
      <w:r>
        <w:rPr>
          <w:rFonts w:ascii="仿宋_GB2312" w:hAnsi="仿宋_GB2312" w:cs="仿宋_GB2312" w:eastAsia="仿宋_GB2312"/>
        </w:rPr>
        <w:t>至</w:t>
      </w:r>
      <w:r>
        <w:rPr>
          <w:rFonts w:ascii="仿宋_GB2312" w:hAnsi="仿宋_GB2312" w:cs="仿宋_GB2312" w:eastAsia="仿宋_GB2312"/>
        </w:rPr>
        <w:t xml:space="preserve"> 2025年03月26日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全国公共资源交易中心平台（陕西省）（http://www.sxggzyjy.cn/）使用CA锁自行下载</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2025年04月11日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全国公共资源交易中心平台CA锁在线上传递交</w:t>
      </w:r>
    </w:p>
    <w:p>
      <w:pPr>
        <w:pStyle w:val="null3"/>
      </w:pPr>
      <w:r>
        <w:rPr>
          <w:rFonts w:ascii="仿宋_GB2312" w:hAnsi="仿宋_GB2312" w:cs="仿宋_GB2312" w:eastAsia="仿宋_GB2312"/>
        </w:rPr>
        <w:t>开标地点：</w:t>
      </w:r>
      <w:r>
        <w:rPr>
          <w:rFonts w:ascii="仿宋_GB2312" w:hAnsi="仿宋_GB2312" w:cs="仿宋_GB2312" w:eastAsia="仿宋_GB2312"/>
        </w:rPr>
        <w:t>榆林市公共资源交易中心十楼开标10室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1）投标人登录全国公共资源交易中心平台（陕西省）（http://www.sxggzyjy.cn/）,选择“电子交易平台→陕西政府采购交易系统→陕西省公共资源交易平台→投标人”进行登录，登录后选择“交易乙方”身份进入投标人界面进行报名并下载招标文件。未及时下载招标文件将会影响后续开评标活动，其后果自负。</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2）投标人须按照陕西省财政厅关于政府采购投标人注册登记有关事项的通知中的要求，通过陕西省政府采购网（http://www.ccgp-shaanxi.gov.cn/）注册登记加入陕西省政府采购供应商库；</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3）投标人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4）本项目采用电子化不见面开标方式，投标人使用数字认证证书（CA锁）对投标文件进行签章、加密、上传、签到、解密。建议使用带有麦克风和摄像头的笔记本电脑。不见面开标设备的签到和投标文件解密事宜请登录全国公共资源交易平台（陕西省˙榆林市）（http://yl.sxggzyjy.cn/），选择“服务指南”，点击“下载专区”，点击榆林不见面开标设备操作手册（投标人）、榆林不见面开标大厅投标人询标操作手册V1.0，请投标人仔细阅读操作手册，了解操作流程，熟练掌握不见面开标、不见面询标操作相关事宜。若无法正常投标，投标人自行承担责任。电子投标文件制作软件技术支持热线：400-998-0000；CA锁购买：榆林市市民大厦四楼窗口,联系电话：0912-3515031。</w:t>
      </w:r>
    </w:p>
    <w:p>
      <w:pPr>
        <w:pStyle w:val="null3"/>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5）投标文件递交：网上递交（本项目投标供应商须另提供与电子投标文件内容一致的纸质投标文件一式三份，加盖单位原色印章（投标文件递交截止前寄出）至代理机构以备留存档案。）</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府谷能源投资集团有限公司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陕西省榆林市府谷县新区营盘路</w:t>
      </w:r>
    </w:p>
    <w:p>
      <w:pPr>
        <w:pStyle w:val="null3"/>
      </w:pPr>
      <w:r>
        <w:rPr>
          <w:rFonts w:ascii="仿宋_GB2312" w:hAnsi="仿宋_GB2312" w:cs="仿宋_GB2312" w:eastAsia="仿宋_GB2312"/>
        </w:rPr>
        <w:t>联系方式：</w:t>
      </w:r>
      <w:r>
        <w:rPr>
          <w:rFonts w:ascii="仿宋_GB2312" w:hAnsi="仿宋_GB2312" w:cs="仿宋_GB2312" w:eastAsia="仿宋_GB2312"/>
        </w:rPr>
        <w:t>0912-3708109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陕西中采项目管理有限公司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府谷县华盛大厦8楼</w:t>
      </w:r>
    </w:p>
    <w:p>
      <w:pPr>
        <w:pStyle w:val="null3"/>
      </w:pPr>
      <w:r>
        <w:rPr>
          <w:rFonts w:ascii="仿宋_GB2312" w:hAnsi="仿宋_GB2312" w:cs="仿宋_GB2312" w:eastAsia="仿宋_GB2312"/>
        </w:rPr>
        <w:t>联系方式：</w:t>
      </w:r>
      <w:r>
        <w:rPr>
          <w:rFonts w:ascii="仿宋_GB2312" w:hAnsi="仿宋_GB2312" w:cs="仿宋_GB2312" w:eastAsia="仿宋_GB2312"/>
        </w:rPr>
        <w:t>0912-8723101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中采</w:t>
      </w:r>
    </w:p>
    <w:p>
      <w:pPr>
        <w:pStyle w:val="null3"/>
      </w:pPr>
      <w:r>
        <w:rPr>
          <w:rFonts w:ascii="仿宋_GB2312" w:hAnsi="仿宋_GB2312" w:cs="仿宋_GB2312" w:eastAsia="仿宋_GB2312"/>
        </w:rPr>
        <w:t>电话：</w:t>
      </w:r>
      <w:r>
        <w:rPr>
          <w:rFonts w:ascii="仿宋_GB2312" w:hAnsi="仿宋_GB2312" w:cs="仿宋_GB2312" w:eastAsia="仿宋_GB2312"/>
        </w:rPr>
        <w:t>0912-8723101</w:t>
      </w:r>
    </w:p>
    <w:p>
      <w:pPr>
        <w:pStyle w:val="null3"/>
        <w:jc w:val="right"/>
      </w:pPr>
      <w:r>
        <w:rPr>
          <w:rFonts w:ascii="仿宋_GB2312" w:hAnsi="仿宋_GB2312" w:cs="仿宋_GB2312" w:eastAsia="仿宋_GB2312"/>
        </w:rPr>
        <w:t>陕西中采项目管理有限公司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