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府谷能源投资集团有限公司府谷能源投资集团郭家湾矿业有限公司采购矿井主运输及工作面通讯、控制、保护系统设备(二次)招标公告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府谷能源投资集团郭家湾矿业有限公司采购矿井主运输及工作面通讯、控制、保护系统设备(二次)</w:t>
      </w:r>
      <w:r>
        <w:rPr>
          <w:rFonts w:ascii="仿宋_GB2312" w:hAnsi="仿宋_GB2312" w:cs="仿宋_GB2312" w:eastAsia="仿宋_GB2312"/>
        </w:rPr>
        <w:t>招标项目的潜在投标人应在</w:t>
      </w:r>
      <w:r>
        <w:rPr>
          <w:rFonts w:ascii="仿宋_GB2312" w:hAnsi="仿宋_GB2312" w:cs="仿宋_GB2312" w:eastAsia="仿宋_GB2312"/>
        </w:rPr>
        <w:t>全国公共资源交易中心平台（陕西省）（http://www.sxggzyjy.cn/）使用CA锁自行下载</w:t>
      </w:r>
      <w:r>
        <w:rPr>
          <w:rFonts w:ascii="仿宋_GB2312" w:hAnsi="仿宋_GB2312" w:cs="仿宋_GB2312" w:eastAsia="仿宋_GB2312"/>
        </w:rPr>
        <w:t>获取招标文件，并于</w:t>
      </w:r>
      <w:r>
        <w:rPr>
          <w:rFonts w:ascii="仿宋_GB2312" w:hAnsi="仿宋_GB2312" w:cs="仿宋_GB2312" w:eastAsia="仿宋_GB2312"/>
        </w:rPr>
        <w:t xml:space="preserve"> 2025年04月11日 09时30分 </w:t>
      </w:r>
      <w:r>
        <w:rPr>
          <w:rFonts w:ascii="仿宋_GB2312" w:hAnsi="仿宋_GB2312" w:cs="仿宋_GB2312" w:eastAsia="仿宋_GB2312"/>
        </w:rPr>
        <w:t>（北京时间）前递交投标文件。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项目编号：FGZC2025-HW-004.1B1</w:t>
      </w:r>
    </w:p>
    <w:p>
      <w:pPr>
        <w:pStyle w:val="null3"/>
      </w:pPr>
      <w:r>
        <w:rPr>
          <w:rFonts w:ascii="仿宋_GB2312" w:hAnsi="仿宋_GB2312" w:cs="仿宋_GB2312" w:eastAsia="仿宋_GB2312"/>
        </w:rPr>
        <w:t>项目名称：府谷能源投资集团郭家湾矿业有限公司采购矿井主运输及工作面通讯、控制、保护系统设备(二次)</w:t>
      </w:r>
    </w:p>
    <w:p>
      <w:pPr>
        <w:pStyle w:val="null3"/>
      </w:pPr>
      <w:r>
        <w:rPr>
          <w:rFonts w:ascii="仿宋_GB2312" w:hAnsi="仿宋_GB2312" w:cs="仿宋_GB2312" w:eastAsia="仿宋_GB2312"/>
        </w:rPr>
        <w:t>采购方式：公开招标</w:t>
      </w:r>
    </w:p>
    <w:p>
      <w:pPr>
        <w:pStyle w:val="null3"/>
      </w:pPr>
      <w:r>
        <w:rPr>
          <w:rFonts w:ascii="仿宋_GB2312" w:hAnsi="仿宋_GB2312" w:cs="仿宋_GB2312" w:eastAsia="仿宋_GB2312"/>
        </w:rPr>
        <w:t>预算金额：2,731,640.00元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合同包1(府谷能源投资集团郭家湾矿业有限公司采购矿井主运输及工作面通讯、控制、保护系统设备):</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2,731,640.00元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2,731,640.00元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rFonts w:ascii="仿宋_GB2312" w:hAnsi="仿宋_GB2312" w:cs="仿宋_GB2312" w:eastAsia="仿宋_GB2312"/>
              </w:rPr>
              <w:t>品目号</w:t>
            </w:r>
          </w:p>
        </w:tc>
        <w:tc>
          <w:tcPr>
            <w:tcW w:type="dxa" w:w="1187"/>
          </w:tcPr>
          <w:p>
            <w:pPr>
              <w:pStyle w:val="null3"/>
            </w:pPr>
            <w:r>
              <w:rPr>
                <w:rFonts w:ascii="仿宋_GB2312" w:hAnsi="仿宋_GB2312" w:cs="仿宋_GB2312" w:eastAsia="仿宋_GB2312"/>
              </w:rPr>
              <w:t>品目名称</w:t>
            </w:r>
          </w:p>
        </w:tc>
        <w:tc>
          <w:tcPr>
            <w:tcW w:type="dxa" w:w="1187"/>
          </w:tcPr>
          <w:p>
            <w:pPr>
              <w:pStyle w:val="null3"/>
            </w:pPr>
            <w:r>
              <w:rPr>
                <w:rFonts w:ascii="仿宋_GB2312" w:hAnsi="仿宋_GB2312" w:cs="仿宋_GB2312" w:eastAsia="仿宋_GB2312"/>
              </w:rPr>
              <w:t>采购标的</w:t>
            </w:r>
          </w:p>
        </w:tc>
        <w:tc>
          <w:tcPr>
            <w:tcW w:type="dxa" w:w="1187"/>
          </w:tcPr>
          <w:p>
            <w:pPr>
              <w:pStyle w:val="null3"/>
            </w:pPr>
            <w:r>
              <w:rPr>
                <w:rFonts w:ascii="仿宋_GB2312" w:hAnsi="仿宋_GB2312" w:cs="仿宋_GB2312" w:eastAsia="仿宋_GB2312"/>
              </w:rPr>
              <w:t>数量（单位）</w:t>
            </w:r>
          </w:p>
        </w:tc>
        <w:tc>
          <w:tcPr>
            <w:tcW w:type="dxa" w:w="1187"/>
          </w:tcPr>
          <w:p>
            <w:pPr>
              <w:pStyle w:val="null3"/>
            </w:pPr>
            <w:r>
              <w:rPr>
                <w:rFonts w:ascii="仿宋_GB2312" w:hAnsi="仿宋_GB2312" w:cs="仿宋_GB2312" w:eastAsia="仿宋_GB2312"/>
              </w:rPr>
              <w:t>技术规格、参数及要求</w:t>
            </w:r>
          </w:p>
        </w:tc>
        <w:tc>
          <w:tcPr>
            <w:tcW w:type="dxa" w:w="1187"/>
          </w:tcPr>
          <w:p>
            <w:pPr>
              <w:pStyle w:val="null3"/>
            </w:pPr>
            <w:r>
              <w:rPr>
                <w:rFonts w:ascii="仿宋_GB2312" w:hAnsi="仿宋_GB2312" w:cs="仿宋_GB2312" w:eastAsia="仿宋_GB2312"/>
              </w:rPr>
              <w:t>品目预算(元)</w:t>
            </w:r>
          </w:p>
        </w:tc>
        <w:tc>
          <w:tcPr>
            <w:tcW w:type="dxa" w:w="1187"/>
          </w:tcPr>
          <w:p>
            <w:pPr>
              <w:pStyle w:val="null3"/>
            </w:pPr>
            <w:r>
              <w:rPr>
                <w:rFonts w:ascii="仿宋_GB2312" w:hAnsi="仿宋_GB2312" w:cs="仿宋_GB2312" w:eastAsia="仿宋_GB2312"/>
              </w:rPr>
              <w:t>最高限价(元)</w:t>
            </w:r>
          </w:p>
        </w:tc>
      </w:tr>
      <w:tr>
        <w:tc>
          <w:tcPr>
            <w:tcW w:type="dxa" w:w="1187"/>
          </w:tcPr>
          <w:p>
            <w:pPr>
              <w:pStyle w:val="null3"/>
            </w:pPr>
            <w:r>
              <w:rPr>
                <w:rFonts w:ascii="仿宋_GB2312" w:hAnsi="仿宋_GB2312" w:cs="仿宋_GB2312" w:eastAsia="仿宋_GB2312"/>
              </w:rPr>
              <w:t>1-1</w:t>
            </w:r>
          </w:p>
        </w:tc>
        <w:tc>
          <w:tcPr>
            <w:tcW w:type="dxa" w:w="1187"/>
          </w:tcPr>
          <w:p>
            <w:pPr>
              <w:pStyle w:val="null3"/>
            </w:pPr>
            <w:r>
              <w:rPr>
                <w:rFonts w:ascii="仿宋_GB2312" w:hAnsi="仿宋_GB2312" w:cs="仿宋_GB2312" w:eastAsia="仿宋_GB2312"/>
              </w:rPr>
              <w:t>其他输送设备</w:t>
            </w:r>
          </w:p>
        </w:tc>
        <w:tc>
          <w:tcPr>
            <w:tcW w:type="dxa" w:w="1187"/>
          </w:tcPr>
          <w:p>
            <w:pPr>
              <w:pStyle w:val="null3"/>
            </w:pPr>
            <w:r>
              <w:rPr>
                <w:rFonts w:ascii="仿宋_GB2312" w:hAnsi="仿宋_GB2312" w:cs="仿宋_GB2312" w:eastAsia="仿宋_GB2312"/>
              </w:rPr>
              <w:t>府谷能源投资集团郭家湾矿业有限公司采购矿井主运输及工作面通讯、控制、保护系统设备</w:t>
            </w:r>
          </w:p>
        </w:tc>
        <w:tc>
          <w:tcPr>
            <w:tcW w:type="dxa" w:w="1187"/>
          </w:tcPr>
          <w:p>
            <w:pPr>
              <w:pStyle w:val="null3"/>
            </w:pPr>
            <w:r>
              <w:rPr>
                <w:rFonts w:ascii="仿宋_GB2312" w:hAnsi="仿宋_GB2312" w:cs="仿宋_GB2312" w:eastAsia="仿宋_GB2312"/>
              </w:rPr>
              <w:t>1(批)</w:t>
            </w:r>
          </w:p>
        </w:tc>
        <w:tc>
          <w:tcPr>
            <w:tcW w:type="dxa" w:w="1187"/>
          </w:tcPr>
          <w:p>
            <w:pPr>
              <w:pStyle w:val="null3"/>
            </w:pPr>
            <w:r>
              <w:rPr>
                <w:rFonts w:ascii="仿宋_GB2312" w:hAnsi="仿宋_GB2312" w:cs="仿宋_GB2312" w:eastAsia="仿宋_GB2312"/>
              </w:rPr>
              <w:t>详见采购文件</w:t>
            </w:r>
          </w:p>
        </w:tc>
        <w:tc>
          <w:tcPr>
            <w:tcW w:type="dxa" w:w="1187"/>
          </w:tcPr>
          <w:p>
            <w:pPr>
              <w:pStyle w:val="null3"/>
            </w:pPr>
            <w:r>
              <w:rPr>
                <w:rFonts w:ascii="仿宋_GB2312" w:hAnsi="仿宋_GB2312" w:cs="仿宋_GB2312" w:eastAsia="仿宋_GB2312"/>
              </w:rPr>
              <w:t>2,731,640.00</w:t>
            </w:r>
          </w:p>
        </w:tc>
        <w:tc>
          <w:tcPr>
            <w:tcW w:type="dxa" w:w="1187"/>
          </w:tcPr>
          <w:p>
            <w:pPr>
              <w:pStyle w:val="null3"/>
            </w:pPr>
            <w:r>
              <w:rPr>
                <w:rFonts w:ascii="仿宋_GB2312" w:hAnsi="仿宋_GB2312" w:cs="仿宋_GB2312" w:eastAsia="仿宋_GB2312"/>
              </w:rPr>
              <w:t>2,731,640.00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项目须于签订合同后90日历日内完成。</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合同包1(府谷能源投资集团郭家湾矿业有限公司采购矿井主运输及工作面通讯、控制、保护系统设备)落实政府采购政策需满足的资格要求如下:</w:t>
      </w:r>
    </w:p>
    <w:p>
      <w:pPr>
        <w:pStyle w:val="null3"/>
        <w:ind w:left="480"/>
      </w:pPr>
      <w:r>
        <w:rPr>
          <w:rFonts w:ascii="仿宋_GB2312" w:hAnsi="仿宋_GB2312" w:cs="仿宋_GB2312" w:eastAsia="仿宋_GB2312"/>
        </w:rPr>
        <w:t>①、《政府采购促进中小企业发展管理办法》（财库〔2020〕46号）；</w:t>
      </w:r>
      <w:r>
        <w:br/>
      </w:r>
      <w:r>
        <w:rPr>
          <w:rFonts w:ascii="仿宋_GB2312" w:hAnsi="仿宋_GB2312" w:cs="仿宋_GB2312" w:eastAsia="仿宋_GB2312"/>
        </w:rPr>
        <w:t>②、《三部门联合发布关于促进残疾人就业政府采购政策的通知》（财库[2017] 141号）；</w:t>
      </w:r>
      <w:r>
        <w:br/>
      </w:r>
      <w:r>
        <w:rPr>
          <w:rFonts w:ascii="仿宋_GB2312" w:hAnsi="仿宋_GB2312" w:cs="仿宋_GB2312" w:eastAsia="仿宋_GB2312"/>
        </w:rPr>
        <w:t>③、《财政部司法部关于政府采购支持监狱企业发展有关问题的通知》（财库〔2014〕68号）；</w:t>
      </w:r>
      <w:r>
        <w:br/>
      </w:r>
      <w:r>
        <w:rPr>
          <w:rFonts w:ascii="仿宋_GB2312" w:hAnsi="仿宋_GB2312" w:cs="仿宋_GB2312" w:eastAsia="仿宋_GB2312"/>
        </w:rPr>
        <w:t>④、《国务院办公厅关于建立政府强制采购节能产品制度的通知》（国办发[2007]51号）；</w:t>
      </w:r>
      <w:r>
        <w:br/>
      </w:r>
      <w:r>
        <w:rPr>
          <w:rFonts w:ascii="仿宋_GB2312" w:hAnsi="仿宋_GB2312" w:cs="仿宋_GB2312" w:eastAsia="仿宋_GB2312"/>
        </w:rPr>
        <w:t>⑤、《环境标志产品政府采购实施的意见》（财库[2006]90号）；</w:t>
      </w:r>
      <w:r>
        <w:br/>
      </w:r>
      <w:r>
        <w:rPr>
          <w:rFonts w:ascii="仿宋_GB2312" w:hAnsi="仿宋_GB2312" w:cs="仿宋_GB2312" w:eastAsia="仿宋_GB2312"/>
        </w:rPr>
        <w:t>⑥、《节能产品政府采购实施意见》（财库[2004]185号）；</w:t>
      </w:r>
      <w:r>
        <w:br/>
      </w:r>
      <w:r>
        <w:rPr>
          <w:rFonts w:ascii="仿宋_GB2312" w:hAnsi="仿宋_GB2312" w:cs="仿宋_GB2312" w:eastAsia="仿宋_GB2312"/>
        </w:rPr>
        <w:t>⑦、《财政部发展改革委生态环境部市场监管总局关于调整优化节能产品、环境标志产品政府采购执行机制的通知》（财库〔2019〕9号）；</w:t>
      </w:r>
      <w:r>
        <w:br/>
      </w:r>
      <w:r>
        <w:rPr>
          <w:rFonts w:ascii="仿宋_GB2312" w:hAnsi="仿宋_GB2312" w:cs="仿宋_GB2312" w:eastAsia="仿宋_GB2312"/>
        </w:rPr>
        <w:t>⑧、《陕西省中小企业政府采购信用融资办法》（陕财办采〔2018〕23号）</w:t>
      </w:r>
      <w:r>
        <w:br/>
      </w:r>
      <w:r>
        <w:rPr>
          <w:rFonts w:ascii="仿宋_GB2312" w:hAnsi="仿宋_GB2312" w:cs="仿宋_GB2312" w:eastAsia="仿宋_GB2312"/>
        </w:rPr>
        <w:t>⑨、《关于进一步加大政府采购支持中小企业力度的通知》（财库〔2022〕19号）；</w:t>
      </w:r>
      <w:r>
        <w:br/>
      </w:r>
      <w:r>
        <w:rPr>
          <w:rFonts w:ascii="仿宋_GB2312" w:hAnsi="仿宋_GB2312" w:cs="仿宋_GB2312" w:eastAsia="仿宋_GB2312"/>
        </w:rPr>
        <w:t>⑩、 落实其它相关政策。</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合同包1(府谷能源投资集团郭家湾矿业有限公司采购矿井主运输及工作面通讯、控制、保护系统设备)特定资格要求如下:</w:t>
      </w:r>
    </w:p>
    <w:p>
      <w:pPr>
        <w:pStyle w:val="null3"/>
        <w:ind w:left="480"/>
      </w:pPr>
      <w:r>
        <w:rPr>
          <w:rFonts w:ascii="仿宋_GB2312" w:hAnsi="仿宋_GB2312" w:cs="仿宋_GB2312" w:eastAsia="仿宋_GB2312"/>
        </w:rPr>
        <w:t xml:space="preserve">(1)供应商应具有独立承担民事责任能力的法人、其他组织或自然人。企业法人应提供合法有效的标识有统一社会信用代码的营业执照（附2023年或2024年企业年度报告书）；事业法人应提供事业单位法人证书；其他组织应提供合法登记证明文件；自然人应提供身份证；  </w:t>
      </w:r>
      <w:r>
        <w:br/>
      </w:r>
      <w:r>
        <w:rPr>
          <w:rFonts w:ascii="仿宋_GB2312" w:hAnsi="仿宋_GB2312" w:cs="仿宋_GB2312" w:eastAsia="仿宋_GB2312"/>
        </w:rPr>
        <w:t>（2）社会保障资金缴纳证明：提供2024年7月至投标文件递交截止时间至少一个月的社会保障资金银行缴费单据或社保机构开具的社会保险参保缴费情况证明，依法不需要缴纳社会保障资金的单位应提供相关证明材料；</w:t>
      </w:r>
      <w:r>
        <w:br/>
      </w:r>
      <w:r>
        <w:rPr>
          <w:rFonts w:ascii="仿宋_GB2312" w:hAnsi="仿宋_GB2312" w:cs="仿宋_GB2312" w:eastAsia="仿宋_GB2312"/>
        </w:rPr>
        <w:t>（3）税收缴纳证明：提供2024年7月至投标文件递交截止时间已缴纳的至少一个月的纳税证明或完税证明，依法免税的单位应提供相关证明材料；</w:t>
      </w:r>
      <w:r>
        <w:br/>
      </w:r>
      <w:r>
        <w:rPr>
          <w:rFonts w:ascii="仿宋_GB2312" w:hAnsi="仿宋_GB2312" w:cs="仿宋_GB2312" w:eastAsia="仿宋_GB2312"/>
        </w:rPr>
        <w:t>（4）财务状况报告：提供2023年或2024年的财务审计报告（至少包括资产负债表、利润表、现金流量表、所有者权益变动表及其附注），公司成立时间不足一年的需提供开标时间前六个月内其基本存款账户开户银行出具的资信证明；</w:t>
      </w:r>
      <w:r>
        <w:br/>
      </w:r>
      <w:r>
        <w:rPr>
          <w:rFonts w:ascii="仿宋_GB2312" w:hAnsi="仿宋_GB2312" w:cs="仿宋_GB2312" w:eastAsia="仿宋_GB2312"/>
        </w:rPr>
        <w:t>（5）供应商在中国政府采购网（www.ccgp.gov.cn）中未被列入政府采购严重违法失信行为记录名单；供应商、法定代表人不得为“信用中国”网站（www.creditchina.gov.cn）中列入重大税收失信主体（提供网站信息查询截图加盖企业原色印章,“信用中国”企业信用信息报告复印件加盖企业原色印章，截图及报告生成时间段为招标文件发出至递交投标文件截止时间内）；供应商、法定代表人不得为中国执行信息公开网（http://zxgk.court.gov.cn）中列入失信被执行人名单（提供网站信息查询截图加盖企业原色印章，截图及报告生成时间段为招标文件发出至递交投标文件截止时间内）；（以采购代理机构现场查询结果为准）；</w:t>
      </w:r>
      <w:r>
        <w:br/>
      </w:r>
      <w:r>
        <w:rPr>
          <w:rFonts w:ascii="仿宋_GB2312" w:hAnsi="仿宋_GB2312" w:cs="仿宋_GB2312" w:eastAsia="仿宋_GB2312"/>
        </w:rPr>
        <w:t>（6）投标保证金：用投标信用承诺书代替（提供投标信用承诺书及信用中国（陕西榆林）主动承诺网页截图）；</w:t>
      </w:r>
      <w:r>
        <w:br/>
      </w:r>
      <w:r>
        <w:rPr>
          <w:rFonts w:ascii="仿宋_GB2312" w:hAnsi="仿宋_GB2312" w:cs="仿宋_GB2312" w:eastAsia="仿宋_GB2312"/>
        </w:rPr>
        <w:t>（7）书面声明：参加本次政府采购活动前三年内在经营活动中没有重大违法记录的声明函；</w:t>
      </w:r>
      <w:r>
        <w:br/>
      </w:r>
      <w:r>
        <w:rPr>
          <w:rFonts w:ascii="仿宋_GB2312" w:hAnsi="仿宋_GB2312" w:cs="仿宋_GB2312" w:eastAsia="仿宋_GB2312"/>
        </w:rPr>
        <w:t>（8）提供榆林市政府采购货物类项目供应商信用承诺书及信用中国（陕西榆林）主动承诺网页截图；</w:t>
      </w:r>
      <w:r>
        <w:br/>
      </w:r>
      <w:r>
        <w:rPr>
          <w:rFonts w:ascii="仿宋_GB2312" w:hAnsi="仿宋_GB2312" w:cs="仿宋_GB2312" w:eastAsia="仿宋_GB2312"/>
        </w:rPr>
        <w:t>（9）本合同包不接受联合体投标；</w:t>
      </w:r>
      <w:r>
        <w:br/>
      </w:r>
      <w:r>
        <w:rPr>
          <w:rFonts w:ascii="仿宋_GB2312" w:hAnsi="仿宋_GB2312" w:cs="仿宋_GB2312" w:eastAsia="仿宋_GB2312"/>
        </w:rPr>
        <w:t>（10）单位负责人为同一人或者存在直接控股、管理关系的不同供应商，不得同时参加本项目投标活动，提供《供应商企业关系关联承诺书》；</w:t>
      </w:r>
      <w:r>
        <w:br/>
      </w:r>
      <w:r>
        <w:rPr>
          <w:rFonts w:ascii="仿宋_GB2312" w:hAnsi="仿宋_GB2312" w:cs="仿宋_GB2312" w:eastAsia="仿宋_GB2312"/>
        </w:rPr>
        <w:t xml:space="preserve"> （11）本项目非专门面向中小企业采购。满足要求的中小企业须提供管理办法规定的《中小企业声明函》 ；满足要求的监狱企业、福利性企业参加政府采购活动时，视同小微企业。</w:t>
      </w:r>
    </w:p>
    <w:p>
      <w:pPr>
        <w:pStyle w:val="null3"/>
        <w:outlineLvl w:val="3"/>
      </w:pPr>
      <w:r>
        <w:rPr>
          <w:rFonts w:ascii="仿宋_GB2312" w:hAnsi="仿宋_GB2312" w:cs="仿宋_GB2312" w:eastAsia="仿宋_GB2312"/>
          <w:sz w:val="24"/>
          <w:b/>
        </w:rPr>
        <w:t>三、获取招标文件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2025年03月20日 </w:t>
      </w:r>
      <w:r>
        <w:rPr>
          <w:rFonts w:ascii="仿宋_GB2312" w:hAnsi="仿宋_GB2312" w:cs="仿宋_GB2312" w:eastAsia="仿宋_GB2312"/>
        </w:rPr>
        <w:t>至</w:t>
      </w:r>
      <w:r>
        <w:rPr>
          <w:rFonts w:ascii="仿宋_GB2312" w:hAnsi="仿宋_GB2312" w:cs="仿宋_GB2312" w:eastAsia="仿宋_GB2312"/>
        </w:rPr>
        <w:t xml:space="preserve"> 2025年03月26日 </w:t>
      </w:r>
      <w:r>
        <w:rPr>
          <w:rFonts w:ascii="仿宋_GB2312" w:hAnsi="仿宋_GB2312" w:cs="仿宋_GB2312" w:eastAsia="仿宋_GB2312"/>
        </w:rPr>
        <w:t>，每天上午</w:t>
      </w:r>
      <w:r>
        <w:rPr>
          <w:rFonts w:ascii="仿宋_GB2312" w:hAnsi="仿宋_GB2312" w:cs="仿宋_GB2312" w:eastAsia="仿宋_GB2312"/>
        </w:rPr>
        <w:t xml:space="preserve"> 09:00:00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14:00:00 </w:t>
      </w:r>
      <w:r>
        <w:rPr>
          <w:rFonts w:ascii="仿宋_GB2312" w:hAnsi="仿宋_GB2312" w:cs="仿宋_GB2312" w:eastAsia="仿宋_GB2312"/>
        </w:rPr>
        <w:t>至</w:t>
      </w:r>
      <w:r>
        <w:rPr>
          <w:rFonts w:ascii="仿宋_GB2312" w:hAnsi="仿宋_GB2312" w:cs="仿宋_GB2312" w:eastAsia="仿宋_GB2312"/>
        </w:rPr>
        <w:t xml:space="preserve"> 18:00:00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全国公共资源交易中心平台（陕西省）（http://www.sxggzyjy.cn/）使用CA锁自行下载</w:t>
      </w:r>
    </w:p>
    <w:p>
      <w:pPr>
        <w:pStyle w:val="null3"/>
      </w:pPr>
      <w:r>
        <w:rPr>
          <w:rFonts w:ascii="仿宋_GB2312" w:hAnsi="仿宋_GB2312" w:cs="仿宋_GB2312" w:eastAsia="仿宋_GB2312"/>
        </w:rPr>
        <w:t>方式：</w:t>
      </w:r>
      <w:r>
        <w:rPr>
          <w:rFonts w:ascii="仿宋_GB2312" w:hAnsi="仿宋_GB2312" w:cs="仿宋_GB2312" w:eastAsia="仿宋_GB2312"/>
        </w:rPr>
        <w:t>在线获取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四、提交投标文件截止时间、开标时间和地点</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2025年04月11日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提交投标文件地点：</w:t>
      </w:r>
      <w:r>
        <w:rPr>
          <w:rFonts w:ascii="仿宋_GB2312" w:hAnsi="仿宋_GB2312" w:cs="仿宋_GB2312" w:eastAsia="仿宋_GB2312"/>
        </w:rPr>
        <w:t>全国公共资源交易中心平台CA锁在线上传递交</w:t>
      </w:r>
    </w:p>
    <w:p>
      <w:pPr>
        <w:pStyle w:val="null3"/>
      </w:pPr>
      <w:r>
        <w:rPr>
          <w:rFonts w:ascii="仿宋_GB2312" w:hAnsi="仿宋_GB2312" w:cs="仿宋_GB2312" w:eastAsia="仿宋_GB2312"/>
        </w:rPr>
        <w:t>开标地点：</w:t>
      </w:r>
      <w:r>
        <w:rPr>
          <w:rFonts w:ascii="仿宋_GB2312" w:hAnsi="仿宋_GB2312" w:cs="仿宋_GB2312" w:eastAsia="仿宋_GB2312"/>
        </w:rPr>
        <w:t>榆林市公共资源交易中心十楼开标10室</w:t>
      </w:r>
    </w:p>
    <w:p>
      <w:pPr>
        <w:pStyle w:val="null3"/>
        <w:outlineLvl w:val="3"/>
      </w:pPr>
      <w:r>
        <w:rPr>
          <w:rFonts w:ascii="仿宋_GB2312" w:hAnsi="仿宋_GB2312" w:cs="仿宋_GB2312" w:eastAsia="仿宋_GB2312"/>
          <w:sz w:val="24"/>
          <w:b/>
        </w:rPr>
        <w:t>五、公告期限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5</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六、其他补充事宜</w:t>
      </w:r>
    </w:p>
    <w:p>
      <w:pPr>
        <w:pStyle w:val="null3"/>
      </w:pPr>
      <w:r>
        <w:rPr>
          <w:rFonts w:ascii="仿宋_GB2312" w:hAnsi="仿宋_GB2312" w:cs="仿宋_GB2312" w:eastAsia="仿宋_GB2312"/>
          <w:sz w:val="21"/>
          <w:color w:val="333333"/>
          <w:shd w:fill="FFFFFF" w:val="clear"/>
        </w:rPr>
        <w:t>（</w:t>
      </w:r>
      <w:r>
        <w:rPr>
          <w:rFonts w:ascii="仿宋_GB2312" w:hAnsi="仿宋_GB2312" w:cs="仿宋_GB2312" w:eastAsia="仿宋_GB2312"/>
          <w:sz w:val="21"/>
          <w:color w:val="333333"/>
          <w:shd w:fill="FFFFFF" w:val="clear"/>
        </w:rPr>
        <w:t>1）投标人登录全国公共资源交易中心平台（陕西省）（http://www.sxggzyjy.cn/）,选择“电子交易平台→陕西政府采购交易系统→陕西省公共资源交易平台→投标人”进行登录，登录后选择“交易乙方”身份进入投标人界面进行报名并下载招标文件。未及时下载招标文件将会影响后续开评标活动，其后果自负。</w:t>
      </w:r>
    </w:p>
    <w:p>
      <w:pPr>
        <w:pStyle w:val="null3"/>
        <w:ind w:firstLine="420"/>
        <w:jc w:val="both"/>
      </w:pPr>
      <w:r>
        <w:rPr>
          <w:rFonts w:ascii="仿宋_GB2312" w:hAnsi="仿宋_GB2312" w:cs="仿宋_GB2312" w:eastAsia="仿宋_GB2312"/>
          <w:sz w:val="21"/>
          <w:color w:val="333333"/>
          <w:shd w:fill="FFFFFF" w:val="clear"/>
        </w:rPr>
        <w:t>（</w:t>
      </w:r>
      <w:r>
        <w:rPr>
          <w:rFonts w:ascii="仿宋_GB2312" w:hAnsi="仿宋_GB2312" w:cs="仿宋_GB2312" w:eastAsia="仿宋_GB2312"/>
          <w:sz w:val="21"/>
          <w:color w:val="333333"/>
          <w:shd w:fill="FFFFFF" w:val="clear"/>
        </w:rPr>
        <w:t>2）投标人须按照陕西省财政厅关于政府采购投标人注册登记有关事项的通知中的要求，通过陕西省政府采购网（http://www.ccgp-shaanxi.gov.cn/）注册登记加入陕西省政府采购供应商库；</w:t>
      </w:r>
    </w:p>
    <w:p>
      <w:pPr>
        <w:pStyle w:val="null3"/>
        <w:ind w:firstLine="420"/>
        <w:jc w:val="both"/>
      </w:pPr>
      <w:r>
        <w:rPr>
          <w:rFonts w:ascii="仿宋_GB2312" w:hAnsi="仿宋_GB2312" w:cs="仿宋_GB2312" w:eastAsia="仿宋_GB2312"/>
          <w:sz w:val="21"/>
          <w:color w:val="333333"/>
          <w:shd w:fill="FFFFFF" w:val="clear"/>
        </w:rPr>
        <w:t>（</w:t>
      </w:r>
      <w:r>
        <w:rPr>
          <w:rFonts w:ascii="仿宋_GB2312" w:hAnsi="仿宋_GB2312" w:cs="仿宋_GB2312" w:eastAsia="仿宋_GB2312"/>
          <w:sz w:val="21"/>
          <w:color w:val="333333"/>
          <w:shd w:fill="FFFFFF" w:val="clear"/>
        </w:rPr>
        <w:t>3）投标人初次使用交易平台，须先完成诚信入库登记、CA锁认证及企业信息绑定。相关操作流程详见全国公共资源交易平台（陕西省）网站首页“服务指南”下载专区中的《陕西省公共资源交易中心政府采购项目投标指南》。</w:t>
      </w:r>
    </w:p>
    <w:p>
      <w:pPr>
        <w:pStyle w:val="null3"/>
        <w:ind w:firstLine="420"/>
        <w:jc w:val="both"/>
      </w:pPr>
      <w:r>
        <w:rPr>
          <w:rFonts w:ascii="仿宋_GB2312" w:hAnsi="仿宋_GB2312" w:cs="仿宋_GB2312" w:eastAsia="仿宋_GB2312"/>
          <w:sz w:val="21"/>
          <w:color w:val="333333"/>
          <w:shd w:fill="FFFFFF" w:val="clear"/>
        </w:rPr>
        <w:t>（</w:t>
      </w:r>
      <w:r>
        <w:rPr>
          <w:rFonts w:ascii="仿宋_GB2312" w:hAnsi="仿宋_GB2312" w:cs="仿宋_GB2312" w:eastAsia="仿宋_GB2312"/>
          <w:sz w:val="21"/>
          <w:color w:val="333333"/>
          <w:shd w:fill="FFFFFF" w:val="clear"/>
        </w:rPr>
        <w:t>4）本项目采用电子化不见面开标方式，投标人使用数字认证证书（CA锁）对投标文件进行签章、加密、上传、签到、解密。建议使用带有麦克风和摄像头的笔记本电脑。不见面开标设备的签到和投标文件解密事宜请登录全国公共资源交易平台（陕西省˙榆林市）（http://yl.sxggzyjy.cn/），选择“服务指南”，点击“下载专区”，点击榆林不见面开标设备操作手册（投标人）、榆林不见面开标大厅投标人询标操作手册V1.0，请投标人仔细阅读操作手册，了解操作流程，熟练掌握不见面开标、不见面询标操作相关事宜。若无法正常投标，投标人自行承担责任。电子投标文件制作软件技术支持热线：400-998-0000；CA锁购买：榆林市市民大厦四楼窗口,联系电话：0912-3515031。</w:t>
      </w:r>
    </w:p>
    <w:p>
      <w:pPr>
        <w:pStyle w:val="null3"/>
        <w:ind w:firstLine="420"/>
        <w:jc w:val="both"/>
      </w:pPr>
      <w:r>
        <w:rPr>
          <w:rFonts w:ascii="仿宋_GB2312" w:hAnsi="仿宋_GB2312" w:cs="仿宋_GB2312" w:eastAsia="仿宋_GB2312"/>
          <w:sz w:val="21"/>
          <w:color w:val="333333"/>
          <w:shd w:fill="FFFFFF" w:val="clear"/>
        </w:rPr>
        <w:t>（</w:t>
      </w:r>
      <w:r>
        <w:rPr>
          <w:rFonts w:ascii="仿宋_GB2312" w:hAnsi="仿宋_GB2312" w:cs="仿宋_GB2312" w:eastAsia="仿宋_GB2312"/>
          <w:sz w:val="21"/>
          <w:color w:val="333333"/>
          <w:shd w:fill="FFFFFF" w:val="clear"/>
        </w:rPr>
        <w:t>5）投标文件递交：网上递交（本项目投标供应商须另提供与电子投标文件内容一致的纸质投标文件一式三份，加盖单位原色印章（投标文件递交截止前寄出）至代理机构以备留存档案。）</w:t>
      </w:r>
    </w:p>
    <w:p>
      <w:pPr>
        <w:pStyle w:val="null3"/>
        <w:outlineLvl w:val="3"/>
      </w:pPr>
      <w:r>
        <w:rPr>
          <w:rFonts w:ascii="仿宋_GB2312" w:hAnsi="仿宋_GB2312" w:cs="仿宋_GB2312" w:eastAsia="仿宋_GB2312"/>
          <w:sz w:val="24"/>
          <w:b/>
        </w:rPr>
        <w:t>七、对本次招标提出询问，请按以下方式联系。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府谷能源投资集团有限公司</w:t>
      </w:r>
    </w:p>
    <w:p>
      <w:pPr>
        <w:pStyle w:val="null3"/>
      </w:pPr>
      <w:r>
        <w:rPr>
          <w:rFonts w:ascii="仿宋_GB2312" w:hAnsi="仿宋_GB2312" w:cs="仿宋_GB2312" w:eastAsia="仿宋_GB2312"/>
        </w:rPr>
        <w:t>地址：</w:t>
      </w:r>
      <w:r>
        <w:rPr>
          <w:rFonts w:ascii="仿宋_GB2312" w:hAnsi="仿宋_GB2312" w:cs="仿宋_GB2312" w:eastAsia="仿宋_GB2312"/>
        </w:rPr>
        <w:t>陕西省榆林市府谷县新区营盘路</w:t>
      </w:r>
    </w:p>
    <w:p>
      <w:pPr>
        <w:pStyle w:val="null3"/>
      </w:pPr>
      <w:r>
        <w:rPr>
          <w:rFonts w:ascii="仿宋_GB2312" w:hAnsi="仿宋_GB2312" w:cs="仿宋_GB2312" w:eastAsia="仿宋_GB2312"/>
        </w:rPr>
        <w:t>联系方式：</w:t>
      </w:r>
      <w:r>
        <w:rPr>
          <w:rFonts w:ascii="仿宋_GB2312" w:hAnsi="仿宋_GB2312" w:cs="仿宋_GB2312" w:eastAsia="仿宋_GB2312"/>
        </w:rPr>
        <w:t>0912-3708109</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陕西中采项目管理有限公司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府谷县华盛大厦8楼</w:t>
      </w:r>
    </w:p>
    <w:p>
      <w:pPr>
        <w:pStyle w:val="null3"/>
      </w:pPr>
      <w:r>
        <w:rPr>
          <w:rFonts w:ascii="仿宋_GB2312" w:hAnsi="仿宋_GB2312" w:cs="仿宋_GB2312" w:eastAsia="仿宋_GB2312"/>
        </w:rPr>
        <w:t>联系方式：</w:t>
      </w:r>
      <w:r>
        <w:rPr>
          <w:rFonts w:ascii="仿宋_GB2312" w:hAnsi="仿宋_GB2312" w:cs="仿宋_GB2312" w:eastAsia="仿宋_GB2312"/>
        </w:rPr>
        <w:t>0912-8723101</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中采</w:t>
      </w:r>
    </w:p>
    <w:p>
      <w:pPr>
        <w:pStyle w:val="null3"/>
      </w:pPr>
      <w:r>
        <w:rPr>
          <w:rFonts w:ascii="仿宋_GB2312" w:hAnsi="仿宋_GB2312" w:cs="仿宋_GB2312" w:eastAsia="仿宋_GB2312"/>
        </w:rPr>
        <w:t>电话：</w:t>
      </w:r>
      <w:r>
        <w:rPr>
          <w:rFonts w:ascii="仿宋_GB2312" w:hAnsi="仿宋_GB2312" w:cs="仿宋_GB2312" w:eastAsia="仿宋_GB2312"/>
        </w:rPr>
        <w:t>0912-8723101</w:t>
      </w:r>
    </w:p>
    <w:p>
      <w:pPr>
        <w:pStyle w:val="null3"/>
        <w:jc w:val="right"/>
      </w:pPr>
      <w:r>
        <w:rPr>
          <w:rFonts w:ascii="仿宋_GB2312" w:hAnsi="仿宋_GB2312" w:cs="仿宋_GB2312" w:eastAsia="仿宋_GB2312"/>
        </w:rPr>
        <w:t>陕西中采项目管理有限公司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