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5278E">
      <w:pPr>
        <w:pStyle w:val="7"/>
        <w:jc w:val="center"/>
        <w:outlineLvl w:val="1"/>
        <w:rPr>
          <w:rFonts w:hint="default"/>
          <w:b/>
          <w:sz w:val="36"/>
          <w:lang w:eastAsia="zh-CN"/>
        </w:rPr>
      </w:pPr>
      <w:r>
        <w:rPr>
          <w:b/>
          <w:sz w:val="36"/>
          <w:lang w:eastAsia="zh-CN"/>
        </w:rPr>
        <w:t>第三章 磋商项目技术、服务、商务及其他要求</w:t>
      </w:r>
    </w:p>
    <w:p w14:paraId="215C4FBE">
      <w:pPr>
        <w:pStyle w:val="7"/>
        <w:ind w:firstLine="480"/>
        <w:rPr>
          <w:rFonts w:hint="default" w:asciiTheme="minorEastAsia" w:hAnsiTheme="minorEastAsia" w:cstheme="minorEastAsia"/>
          <w:kern w:val="2"/>
          <w:sz w:val="24"/>
          <w:szCs w:val="24"/>
          <w:lang w:eastAsia="zh-CN"/>
        </w:rPr>
      </w:pPr>
    </w:p>
    <w:p w14:paraId="1BC32779">
      <w:pPr>
        <w:pStyle w:val="7"/>
        <w:spacing w:line="360" w:lineRule="auto"/>
        <w:ind w:firstLine="480"/>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（注：带“★”的参数需求为实质性要求，供应商必须响应并满足的参数需求，采购人、采购代理机构应当根据项目实际需 求合理设定，并明确具体要求。带“▲”号条款为允许负偏离的参数需求，若未响应或者不满足，将在综合评审中予以扣分处理。）</w:t>
      </w:r>
    </w:p>
    <w:p w14:paraId="58885429">
      <w:pPr>
        <w:pStyle w:val="7"/>
        <w:rPr>
          <w:rFonts w:hint="default" w:asciiTheme="minorEastAsia" w:hAnsiTheme="minorEastAsia" w:cstheme="minorEastAsia"/>
          <w:b/>
          <w:sz w:val="24"/>
          <w:szCs w:val="24"/>
          <w:lang w:eastAsia="zh-CN"/>
        </w:rPr>
      </w:pPr>
      <w:r>
        <w:rPr>
          <w:rFonts w:asciiTheme="minorEastAsia" w:hAnsiTheme="minorEastAsia" w:cstheme="minorEastAsia"/>
          <w:b/>
          <w:sz w:val="24"/>
          <w:szCs w:val="24"/>
          <w:lang w:eastAsia="zh-CN"/>
        </w:rPr>
        <w:t>3.1采购项目概况</w:t>
      </w:r>
    </w:p>
    <w:p w14:paraId="6B6FD083">
      <w:pPr>
        <w:pStyle w:val="7"/>
        <w:spacing w:line="360" w:lineRule="auto"/>
        <w:ind w:firstLine="480"/>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消化内镜中心23条胃、肠、十二指肠检查镜及2条超声镜</w:t>
      </w:r>
      <w:r>
        <w:rPr>
          <w:rFonts w:hint="eastAsia" w:ascii="华文仿宋" w:hAnsi="华文仿宋"/>
          <w:sz w:val="24"/>
          <w:szCs w:val="24"/>
          <w:lang w:eastAsia="zh-CN"/>
        </w:rPr>
        <w:t>和</w:t>
      </w:r>
      <w:r>
        <w:rPr>
          <w:rFonts w:hint="eastAsia" w:ascii="华文仿宋" w:hAnsi="华文仿宋"/>
          <w:sz w:val="24"/>
          <w:szCs w:val="24"/>
          <w:lang w:val="en-US" w:eastAsia="zh-CN"/>
        </w:rPr>
        <w:t>1条</w:t>
      </w:r>
      <w:r>
        <w:rPr>
          <w:rFonts w:hint="eastAsia" w:ascii="华文仿宋" w:hAnsi="华文仿宋"/>
          <w:sz w:val="24"/>
          <w:szCs w:val="24"/>
        </w:rPr>
        <w:t>超细胃镜</w:t>
      </w:r>
      <w:r>
        <w:rPr>
          <w:rFonts w:hint="eastAsia" w:asciiTheme="minorEastAsia" w:hAnsiTheme="minorEastAsia" w:cstheme="minorEastAsia"/>
          <w:kern w:val="2"/>
          <w:sz w:val="24"/>
          <w:szCs w:val="24"/>
          <w:lang w:val="en-US" w:eastAsia="zh-CN"/>
        </w:rPr>
        <w:t>2024</w:t>
      </w:r>
      <w:r>
        <w:rPr>
          <w:rFonts w:asciiTheme="minorEastAsia" w:hAnsiTheme="minorEastAsia" w:cstheme="minorEastAsia"/>
          <w:kern w:val="2"/>
          <w:sz w:val="24"/>
          <w:szCs w:val="24"/>
          <w:lang w:eastAsia="zh-CN"/>
        </w:rPr>
        <w:t>年至20</w:t>
      </w:r>
      <w:r>
        <w:rPr>
          <w:rFonts w:hint="eastAsia" w:asciiTheme="minorEastAsia" w:hAnsiTheme="minorEastAsia" w:cstheme="minorEastAsia"/>
          <w:kern w:val="2"/>
          <w:sz w:val="24"/>
          <w:szCs w:val="24"/>
          <w:lang w:val="en-US" w:eastAsia="zh-CN"/>
        </w:rPr>
        <w:t>25</w:t>
      </w:r>
      <w:r>
        <w:rPr>
          <w:rFonts w:asciiTheme="minorEastAsia" w:hAnsiTheme="minorEastAsia" w:cstheme="minorEastAsia"/>
          <w:kern w:val="2"/>
          <w:sz w:val="24"/>
          <w:szCs w:val="24"/>
          <w:lang w:eastAsia="zh-CN"/>
        </w:rPr>
        <w:t>年维保服务</w:t>
      </w:r>
    </w:p>
    <w:p w14:paraId="0E80038B">
      <w:pPr>
        <w:pStyle w:val="7"/>
        <w:rPr>
          <w:rFonts w:hint="default" w:asciiTheme="minorEastAsia" w:hAnsiTheme="minorEastAsia" w:cstheme="minorEastAsia"/>
          <w:b/>
          <w:sz w:val="24"/>
          <w:szCs w:val="24"/>
          <w:lang w:eastAsia="zh-CN"/>
        </w:rPr>
      </w:pPr>
      <w:r>
        <w:rPr>
          <w:rFonts w:asciiTheme="minorEastAsia" w:hAnsiTheme="minorEastAsia" w:cstheme="minorEastAsia"/>
          <w:b/>
          <w:sz w:val="24"/>
          <w:szCs w:val="24"/>
          <w:lang w:eastAsia="zh-CN"/>
        </w:rPr>
        <w:t>3.2服务内容及服务要求</w:t>
      </w:r>
    </w:p>
    <w:p w14:paraId="6803AB6A">
      <w:pPr>
        <w:pStyle w:val="7"/>
        <w:outlineLvl w:val="2"/>
        <w:rPr>
          <w:rFonts w:hint="default" w:asciiTheme="minorEastAsia" w:hAnsiTheme="minorEastAsia" w:cstheme="minorEastAsia"/>
          <w:b/>
          <w:sz w:val="24"/>
          <w:szCs w:val="24"/>
          <w:lang w:eastAsia="zh-CN"/>
        </w:rPr>
      </w:pPr>
      <w:r>
        <w:rPr>
          <w:rFonts w:asciiTheme="minorEastAsia" w:hAnsiTheme="minorEastAsia" w:cstheme="minorEastAsia"/>
          <w:b/>
          <w:sz w:val="24"/>
          <w:szCs w:val="24"/>
          <w:lang w:eastAsia="zh-CN"/>
        </w:rPr>
        <w:t>3.2.1服务内容</w:t>
      </w:r>
    </w:p>
    <w:p w14:paraId="241079E5">
      <w:pPr>
        <w:spacing w:line="360" w:lineRule="auto"/>
        <w:ind w:left="12" w:firstLine="480" w:firstLineChars="200"/>
        <w:outlineLvl w:val="3"/>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采购包1：采购包预算金额（元）: 750,000.00</w:t>
      </w:r>
    </w:p>
    <w:p w14:paraId="1D5A3955">
      <w:pPr>
        <w:spacing w:line="360" w:lineRule="auto"/>
        <w:ind w:left="12" w:firstLine="480" w:firstLineChars="200"/>
        <w:outlineLvl w:val="3"/>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采购包最高限价（元）：750,000.00 供应商报价不允许超过标的金额（招单价的）供应商报价不允许超过标的单价</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7"/>
        <w:gridCol w:w="1296"/>
        <w:gridCol w:w="731"/>
        <w:gridCol w:w="1416"/>
        <w:gridCol w:w="747"/>
        <w:gridCol w:w="747"/>
        <w:gridCol w:w="747"/>
        <w:gridCol w:w="747"/>
        <w:gridCol w:w="747"/>
        <w:gridCol w:w="747"/>
      </w:tblGrid>
      <w:tr w14:paraId="6BE4A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vAlign w:val="center"/>
          </w:tcPr>
          <w:p w14:paraId="6D998E74">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序号</w:t>
            </w:r>
          </w:p>
        </w:tc>
        <w:tc>
          <w:tcPr>
            <w:tcW w:w="1087" w:type="dxa"/>
            <w:vAlign w:val="center"/>
          </w:tcPr>
          <w:p w14:paraId="0990FE8E">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标的名称</w:t>
            </w:r>
          </w:p>
        </w:tc>
        <w:tc>
          <w:tcPr>
            <w:tcW w:w="738" w:type="dxa"/>
            <w:vAlign w:val="center"/>
          </w:tcPr>
          <w:p w14:paraId="658A57C4">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数量</w:t>
            </w:r>
          </w:p>
        </w:tc>
        <w:tc>
          <w:tcPr>
            <w:tcW w:w="1216" w:type="dxa"/>
            <w:vAlign w:val="center"/>
          </w:tcPr>
          <w:p w14:paraId="5447FE80">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标的金额 （元）</w:t>
            </w:r>
          </w:p>
        </w:tc>
        <w:tc>
          <w:tcPr>
            <w:tcW w:w="808" w:type="dxa"/>
            <w:vAlign w:val="center"/>
          </w:tcPr>
          <w:p w14:paraId="1EA2B096">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计量单位</w:t>
            </w:r>
          </w:p>
        </w:tc>
        <w:tc>
          <w:tcPr>
            <w:tcW w:w="808" w:type="dxa"/>
            <w:vAlign w:val="center"/>
          </w:tcPr>
          <w:p w14:paraId="5C28F499">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所属行业</w:t>
            </w:r>
          </w:p>
        </w:tc>
        <w:tc>
          <w:tcPr>
            <w:tcW w:w="808" w:type="dxa"/>
            <w:vAlign w:val="center"/>
          </w:tcPr>
          <w:p w14:paraId="5AA16F1F">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是否核心产品</w:t>
            </w:r>
          </w:p>
        </w:tc>
        <w:tc>
          <w:tcPr>
            <w:tcW w:w="808" w:type="dxa"/>
            <w:vAlign w:val="center"/>
          </w:tcPr>
          <w:p w14:paraId="36B4B385">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是否允许进口产品</w:t>
            </w:r>
          </w:p>
        </w:tc>
        <w:tc>
          <w:tcPr>
            <w:tcW w:w="808" w:type="dxa"/>
            <w:vAlign w:val="center"/>
          </w:tcPr>
          <w:p w14:paraId="024F5C9F">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是否属于节能产品</w:t>
            </w:r>
          </w:p>
        </w:tc>
        <w:tc>
          <w:tcPr>
            <w:tcW w:w="808" w:type="dxa"/>
            <w:vAlign w:val="center"/>
          </w:tcPr>
          <w:p w14:paraId="7E36B59D">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是否属于环境标志产品</w:t>
            </w:r>
          </w:p>
        </w:tc>
      </w:tr>
      <w:tr w14:paraId="6A407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vAlign w:val="center"/>
          </w:tcPr>
          <w:p w14:paraId="4E547787">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1</w:t>
            </w:r>
          </w:p>
        </w:tc>
        <w:tc>
          <w:tcPr>
            <w:tcW w:w="1087" w:type="dxa"/>
            <w:vAlign w:val="center"/>
          </w:tcPr>
          <w:p w14:paraId="27F137F0">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胃、肠、十二指肠检查镜202</w:t>
            </w:r>
            <w:r>
              <w:rPr>
                <w:rFonts w:hint="eastAsia" w:asciiTheme="minorEastAsia" w:hAnsiTheme="minorEastAsia" w:cstheme="minorEastAsia"/>
                <w:kern w:val="2"/>
                <w:sz w:val="24"/>
                <w:szCs w:val="24"/>
                <w:lang w:val="en-US" w:eastAsia="zh-CN"/>
              </w:rPr>
              <w:t>4</w:t>
            </w:r>
            <w:r>
              <w:rPr>
                <w:rFonts w:asciiTheme="minorEastAsia" w:hAnsiTheme="minorEastAsia" w:cstheme="minorEastAsia"/>
                <w:kern w:val="2"/>
                <w:sz w:val="24"/>
                <w:szCs w:val="24"/>
                <w:lang w:eastAsia="zh-CN"/>
              </w:rPr>
              <w:t>-202</w:t>
            </w:r>
            <w:r>
              <w:rPr>
                <w:rFonts w:hint="eastAsia" w:asciiTheme="minorEastAsia" w:hAnsiTheme="minorEastAsia" w:cstheme="minorEastAsia"/>
                <w:kern w:val="2"/>
                <w:sz w:val="24"/>
                <w:szCs w:val="24"/>
                <w:lang w:val="en-US" w:eastAsia="zh-CN"/>
              </w:rPr>
              <w:t>5</w:t>
            </w:r>
            <w:r>
              <w:rPr>
                <w:rFonts w:asciiTheme="minorEastAsia" w:hAnsiTheme="minorEastAsia" w:cstheme="minorEastAsia"/>
                <w:kern w:val="2"/>
                <w:sz w:val="24"/>
                <w:szCs w:val="24"/>
                <w:lang w:eastAsia="zh-CN"/>
              </w:rPr>
              <w:t>维保服务项目</w:t>
            </w:r>
          </w:p>
        </w:tc>
        <w:tc>
          <w:tcPr>
            <w:tcW w:w="738" w:type="dxa"/>
            <w:vAlign w:val="center"/>
          </w:tcPr>
          <w:p w14:paraId="2F78D1A6">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1.00</w:t>
            </w:r>
          </w:p>
        </w:tc>
        <w:tc>
          <w:tcPr>
            <w:tcW w:w="1216" w:type="dxa"/>
            <w:vAlign w:val="center"/>
          </w:tcPr>
          <w:p w14:paraId="35479137">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750,000.00</w:t>
            </w:r>
          </w:p>
        </w:tc>
        <w:tc>
          <w:tcPr>
            <w:tcW w:w="808" w:type="dxa"/>
            <w:vAlign w:val="center"/>
          </w:tcPr>
          <w:p w14:paraId="47EC8309">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批</w:t>
            </w:r>
          </w:p>
        </w:tc>
        <w:tc>
          <w:tcPr>
            <w:tcW w:w="808" w:type="dxa"/>
            <w:vAlign w:val="center"/>
          </w:tcPr>
          <w:p w14:paraId="151F7CF3">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其他未 列明行 业</w:t>
            </w:r>
          </w:p>
        </w:tc>
        <w:tc>
          <w:tcPr>
            <w:tcW w:w="808" w:type="dxa"/>
            <w:vAlign w:val="center"/>
          </w:tcPr>
          <w:p w14:paraId="029B454E">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否</w:t>
            </w:r>
          </w:p>
        </w:tc>
        <w:tc>
          <w:tcPr>
            <w:tcW w:w="808" w:type="dxa"/>
            <w:vAlign w:val="center"/>
          </w:tcPr>
          <w:p w14:paraId="61751E2C">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否</w:t>
            </w:r>
          </w:p>
        </w:tc>
        <w:tc>
          <w:tcPr>
            <w:tcW w:w="808" w:type="dxa"/>
            <w:vAlign w:val="center"/>
          </w:tcPr>
          <w:p w14:paraId="3A54B612">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否</w:t>
            </w:r>
          </w:p>
        </w:tc>
        <w:tc>
          <w:tcPr>
            <w:tcW w:w="808" w:type="dxa"/>
            <w:vAlign w:val="center"/>
          </w:tcPr>
          <w:p w14:paraId="5D94ABEC">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否</w:t>
            </w:r>
          </w:p>
        </w:tc>
      </w:tr>
    </w:tbl>
    <w:p w14:paraId="68779AED">
      <w:pPr>
        <w:spacing w:line="360" w:lineRule="auto"/>
        <w:ind w:left="14"/>
        <w:outlineLvl w:val="2"/>
        <w:rPr>
          <w:rFonts w:ascii="宋体" w:hAnsi="宋体" w:eastAsia="宋体" w:cs="宋体"/>
          <w:b/>
          <w:bCs/>
          <w:spacing w:val="14"/>
          <w:sz w:val="20"/>
          <w:szCs w:val="20"/>
        </w:rPr>
      </w:pPr>
    </w:p>
    <w:p w14:paraId="632C7C68">
      <w:pPr>
        <w:pStyle w:val="7"/>
        <w:rPr>
          <w:rFonts w:hint="default" w:asciiTheme="minorEastAsia" w:hAnsiTheme="minorEastAsia" w:cstheme="minorEastAsia"/>
          <w:b/>
          <w:sz w:val="24"/>
          <w:szCs w:val="24"/>
          <w:lang w:eastAsia="zh-CN"/>
        </w:rPr>
      </w:pPr>
      <w:r>
        <w:rPr>
          <w:rFonts w:asciiTheme="minorEastAsia" w:hAnsiTheme="minorEastAsia" w:cstheme="minorEastAsia"/>
          <w:b/>
          <w:sz w:val="24"/>
          <w:szCs w:val="24"/>
          <w:lang w:eastAsia="zh-CN"/>
        </w:rPr>
        <w:t>3 .2 .2服务要求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9"/>
        <w:gridCol w:w="655"/>
        <w:gridCol w:w="6933"/>
      </w:tblGrid>
      <w:tr w14:paraId="0DEF1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9" w:type="dxa"/>
            <w:vAlign w:val="center"/>
          </w:tcPr>
          <w:p w14:paraId="2063794C">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参数性质</w:t>
            </w:r>
          </w:p>
        </w:tc>
        <w:tc>
          <w:tcPr>
            <w:tcW w:w="655" w:type="dxa"/>
            <w:vAlign w:val="center"/>
          </w:tcPr>
          <w:p w14:paraId="5DFCEF0B">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序号</w:t>
            </w:r>
          </w:p>
        </w:tc>
        <w:tc>
          <w:tcPr>
            <w:tcW w:w="6933" w:type="dxa"/>
            <w:vAlign w:val="center"/>
          </w:tcPr>
          <w:p w14:paraId="1D350FEB">
            <w:pPr>
              <w:pStyle w:val="7"/>
              <w:spacing w:line="360" w:lineRule="auto"/>
              <w:jc w:val="center"/>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技术参数与性能指标</w:t>
            </w:r>
          </w:p>
        </w:tc>
      </w:tr>
      <w:tr w14:paraId="64F51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8" w:hRule="atLeast"/>
        </w:trPr>
        <w:tc>
          <w:tcPr>
            <w:tcW w:w="719" w:type="dxa"/>
          </w:tcPr>
          <w:p w14:paraId="2C597DC0">
            <w:pPr>
              <w:rPr>
                <w:rFonts w:asciiTheme="minorEastAsia" w:hAnsiTheme="minorEastAsia" w:eastAsiaTheme="minorEastAsia" w:cstheme="minorEastAsia"/>
                <w:snapToGrid/>
                <w:color w:val="auto"/>
                <w:kern w:val="2"/>
                <w:sz w:val="24"/>
                <w:szCs w:val="24"/>
                <w:lang w:eastAsia="zh-CN"/>
              </w:rPr>
            </w:pPr>
          </w:p>
        </w:tc>
        <w:tc>
          <w:tcPr>
            <w:tcW w:w="655" w:type="dxa"/>
          </w:tcPr>
          <w:p w14:paraId="5175904B">
            <w:pPr>
              <w:pStyle w:val="7"/>
              <w:rPr>
                <w:rFonts w:hint="default" w:asciiTheme="minorEastAsia" w:hAnsiTheme="minorEastAsia" w:cstheme="minorEastAsia"/>
                <w:kern w:val="2"/>
                <w:sz w:val="24"/>
                <w:szCs w:val="24"/>
                <w:lang w:eastAsia="zh-CN"/>
              </w:rPr>
            </w:pPr>
            <w:r>
              <w:rPr>
                <w:rFonts w:asciiTheme="minorEastAsia" w:hAnsiTheme="minorEastAsia" w:cstheme="minorEastAsia"/>
                <w:kern w:val="2"/>
                <w:sz w:val="24"/>
                <w:szCs w:val="24"/>
                <w:lang w:eastAsia="zh-CN"/>
              </w:rPr>
              <w:t>1</w:t>
            </w:r>
          </w:p>
        </w:tc>
        <w:tc>
          <w:tcPr>
            <w:tcW w:w="6933" w:type="dxa"/>
          </w:tcPr>
          <w:p w14:paraId="38004CA3">
            <w:pPr>
              <w:pStyle w:val="8"/>
              <w:ind w:firstLine="0" w:firstLineChars="0"/>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一、维修保修保养设备名称、规格型号：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341"/>
              <w:gridCol w:w="3376"/>
              <w:gridCol w:w="1165"/>
            </w:tblGrid>
            <w:tr w14:paraId="33AC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25" w:type="dxa"/>
                  <w:vAlign w:val="center"/>
                </w:tcPr>
                <w:p w14:paraId="31193225">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序号</w:t>
                  </w:r>
                </w:p>
              </w:tc>
              <w:tc>
                <w:tcPr>
                  <w:tcW w:w="1341" w:type="dxa"/>
                  <w:vAlign w:val="center"/>
                </w:tcPr>
                <w:p w14:paraId="4032D3BC">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设备厂家</w:t>
                  </w:r>
                </w:p>
              </w:tc>
              <w:tc>
                <w:tcPr>
                  <w:tcW w:w="3376" w:type="dxa"/>
                  <w:vAlign w:val="center"/>
                </w:tcPr>
                <w:p w14:paraId="3E8F0511">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内镜型号</w:t>
                  </w:r>
                </w:p>
              </w:tc>
              <w:tc>
                <w:tcPr>
                  <w:tcW w:w="1165" w:type="dxa"/>
                  <w:vAlign w:val="center"/>
                </w:tcPr>
                <w:p w14:paraId="186AEB4B">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机身号</w:t>
                  </w:r>
                </w:p>
              </w:tc>
            </w:tr>
            <w:tr w14:paraId="2F30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2113B118">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w:t>
                  </w:r>
                </w:p>
              </w:tc>
              <w:tc>
                <w:tcPr>
                  <w:tcW w:w="1341" w:type="dxa"/>
                  <w:vAlign w:val="center"/>
                </w:tcPr>
                <w:p w14:paraId="4CF4665A">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54CDE9C1">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电子胃镜EG27-i10</w:t>
                  </w:r>
                </w:p>
              </w:tc>
              <w:tc>
                <w:tcPr>
                  <w:tcW w:w="1165" w:type="dxa"/>
                  <w:vAlign w:val="center"/>
                </w:tcPr>
                <w:p w14:paraId="06D3C2B9">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A110927</w:t>
                  </w:r>
                </w:p>
              </w:tc>
            </w:tr>
            <w:tr w14:paraId="67E9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53A9449E">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2</w:t>
                  </w:r>
                </w:p>
              </w:tc>
              <w:tc>
                <w:tcPr>
                  <w:tcW w:w="1341" w:type="dxa"/>
                  <w:vAlign w:val="center"/>
                </w:tcPr>
                <w:p w14:paraId="686C4207">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465E9F65">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电子胃镜EG27-i10</w:t>
                  </w:r>
                </w:p>
              </w:tc>
              <w:tc>
                <w:tcPr>
                  <w:tcW w:w="1165" w:type="dxa"/>
                  <w:vAlign w:val="center"/>
                </w:tcPr>
                <w:p w14:paraId="3D78DDFE">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A110925</w:t>
                  </w:r>
                </w:p>
              </w:tc>
            </w:tr>
            <w:tr w14:paraId="3235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4CEF917D">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3</w:t>
                  </w:r>
                </w:p>
              </w:tc>
              <w:tc>
                <w:tcPr>
                  <w:tcW w:w="1341" w:type="dxa"/>
                  <w:vAlign w:val="center"/>
                </w:tcPr>
                <w:p w14:paraId="06E9894D">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6CACEDC3">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电子胃镜EG29-i10</w:t>
                  </w:r>
                </w:p>
              </w:tc>
              <w:tc>
                <w:tcPr>
                  <w:tcW w:w="1165" w:type="dxa"/>
                  <w:vAlign w:val="center"/>
                </w:tcPr>
                <w:p w14:paraId="3C72FC92">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A112956</w:t>
                  </w:r>
                </w:p>
              </w:tc>
            </w:tr>
            <w:tr w14:paraId="1E4D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3243DB6D">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4</w:t>
                  </w:r>
                </w:p>
              </w:tc>
              <w:tc>
                <w:tcPr>
                  <w:tcW w:w="1341" w:type="dxa"/>
                  <w:vAlign w:val="center"/>
                </w:tcPr>
                <w:p w14:paraId="49C90D3F">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27084ED2">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电子胃镜EG-2990Zi</w:t>
                  </w:r>
                </w:p>
              </w:tc>
              <w:tc>
                <w:tcPr>
                  <w:tcW w:w="1165" w:type="dxa"/>
                  <w:vAlign w:val="center"/>
                </w:tcPr>
                <w:p w14:paraId="13089629">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H110141</w:t>
                  </w:r>
                </w:p>
              </w:tc>
            </w:tr>
            <w:tr w14:paraId="2EF7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3962FD57">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5</w:t>
                  </w:r>
                </w:p>
              </w:tc>
              <w:tc>
                <w:tcPr>
                  <w:tcW w:w="1341" w:type="dxa"/>
                  <w:vAlign w:val="center"/>
                </w:tcPr>
                <w:p w14:paraId="21B7D5FF">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2F111056">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电子胃镜EG29-i10</w:t>
                  </w:r>
                </w:p>
              </w:tc>
              <w:tc>
                <w:tcPr>
                  <w:tcW w:w="1165" w:type="dxa"/>
                  <w:vAlign w:val="center"/>
                </w:tcPr>
                <w:p w14:paraId="0AF12770">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A116325</w:t>
                  </w:r>
                </w:p>
              </w:tc>
            </w:tr>
            <w:tr w14:paraId="14B5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2B772D78">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6</w:t>
                  </w:r>
                </w:p>
              </w:tc>
              <w:tc>
                <w:tcPr>
                  <w:tcW w:w="1341" w:type="dxa"/>
                  <w:vAlign w:val="center"/>
                </w:tcPr>
                <w:p w14:paraId="2654047D">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7575F1E6">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电子胃镜EG29-i10</w:t>
                  </w:r>
                </w:p>
              </w:tc>
              <w:tc>
                <w:tcPr>
                  <w:tcW w:w="1165" w:type="dxa"/>
                  <w:vAlign w:val="center"/>
                </w:tcPr>
                <w:p w14:paraId="6B41D0BD">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A116331</w:t>
                  </w:r>
                </w:p>
              </w:tc>
            </w:tr>
            <w:tr w14:paraId="0E6E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69D1EA4A">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7</w:t>
                  </w:r>
                </w:p>
              </w:tc>
              <w:tc>
                <w:tcPr>
                  <w:tcW w:w="1341" w:type="dxa"/>
                  <w:vAlign w:val="center"/>
                </w:tcPr>
                <w:p w14:paraId="44E774B2">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573FC7DA">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电子肠镜EC38-i10F</w:t>
                  </w:r>
                </w:p>
              </w:tc>
              <w:tc>
                <w:tcPr>
                  <w:tcW w:w="1165" w:type="dxa"/>
                  <w:vAlign w:val="center"/>
                </w:tcPr>
                <w:p w14:paraId="03B4EB96">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A110871</w:t>
                  </w:r>
                </w:p>
              </w:tc>
            </w:tr>
            <w:tr w14:paraId="7833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48467213">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8</w:t>
                  </w:r>
                </w:p>
              </w:tc>
              <w:tc>
                <w:tcPr>
                  <w:tcW w:w="1341" w:type="dxa"/>
                  <w:vAlign w:val="center"/>
                </w:tcPr>
                <w:p w14:paraId="2A78C48C">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78710355">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反转肠镜EC-3490TFIi</w:t>
                  </w:r>
                </w:p>
              </w:tc>
              <w:tc>
                <w:tcPr>
                  <w:tcW w:w="1165" w:type="dxa"/>
                  <w:vAlign w:val="center"/>
                </w:tcPr>
                <w:p w14:paraId="70847412">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H110208</w:t>
                  </w:r>
                </w:p>
              </w:tc>
            </w:tr>
            <w:tr w14:paraId="141C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4BD4351A">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9</w:t>
                  </w:r>
                </w:p>
              </w:tc>
              <w:tc>
                <w:tcPr>
                  <w:tcW w:w="1341" w:type="dxa"/>
                  <w:vAlign w:val="center"/>
                </w:tcPr>
                <w:p w14:paraId="743A62EF">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0AC2EF6C">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电子肠镜EC38-i10M</w:t>
                  </w:r>
                </w:p>
              </w:tc>
              <w:tc>
                <w:tcPr>
                  <w:tcW w:w="1165" w:type="dxa"/>
                  <w:vAlign w:val="center"/>
                </w:tcPr>
                <w:p w14:paraId="5794B37B">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A110845</w:t>
                  </w:r>
                </w:p>
              </w:tc>
            </w:tr>
            <w:tr w14:paraId="1AE6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13E8A77B">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10</w:t>
                  </w:r>
                </w:p>
              </w:tc>
              <w:tc>
                <w:tcPr>
                  <w:tcW w:w="1341" w:type="dxa"/>
                  <w:vAlign w:val="center"/>
                </w:tcPr>
                <w:p w14:paraId="4EAB1C44">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59984AE4">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放大肠镜EC-3890FZi</w:t>
                  </w:r>
                </w:p>
              </w:tc>
              <w:tc>
                <w:tcPr>
                  <w:tcW w:w="1165" w:type="dxa"/>
                  <w:vAlign w:val="center"/>
                </w:tcPr>
                <w:p w14:paraId="0C09B6F9">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H110064</w:t>
                  </w:r>
                </w:p>
              </w:tc>
            </w:tr>
            <w:tr w14:paraId="04DB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23FBF9AD">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11</w:t>
                  </w:r>
                </w:p>
              </w:tc>
              <w:tc>
                <w:tcPr>
                  <w:tcW w:w="1341" w:type="dxa"/>
                  <w:vAlign w:val="center"/>
                </w:tcPr>
                <w:p w14:paraId="2BBE26BF">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7D831515">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电子十二指肠镜ED34-i10T</w:t>
                  </w:r>
                </w:p>
              </w:tc>
              <w:tc>
                <w:tcPr>
                  <w:tcW w:w="1165" w:type="dxa"/>
                  <w:vAlign w:val="center"/>
                </w:tcPr>
                <w:p w14:paraId="5326AB2D">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A110539</w:t>
                  </w:r>
                </w:p>
              </w:tc>
            </w:tr>
            <w:tr w14:paraId="7C0E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5A9284AC">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12</w:t>
                  </w:r>
                </w:p>
              </w:tc>
              <w:tc>
                <w:tcPr>
                  <w:tcW w:w="1341" w:type="dxa"/>
                  <w:vAlign w:val="center"/>
                </w:tcPr>
                <w:p w14:paraId="5EB472CB">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4D6449F7">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超声内镜EG-3670URK</w:t>
                  </w:r>
                </w:p>
              </w:tc>
              <w:tc>
                <w:tcPr>
                  <w:tcW w:w="1165" w:type="dxa"/>
                  <w:vAlign w:val="center"/>
                </w:tcPr>
                <w:p w14:paraId="66FA5813">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H121013</w:t>
                  </w:r>
                </w:p>
              </w:tc>
            </w:tr>
            <w:tr w14:paraId="63B3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60CF5942">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13</w:t>
                  </w:r>
                </w:p>
              </w:tc>
              <w:tc>
                <w:tcPr>
                  <w:tcW w:w="1341" w:type="dxa"/>
                  <w:vAlign w:val="center"/>
                </w:tcPr>
                <w:p w14:paraId="345EAFFE">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5E16F1E2">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超声内镜EG-3270UK</w:t>
                  </w:r>
                </w:p>
              </w:tc>
              <w:tc>
                <w:tcPr>
                  <w:tcW w:w="1165" w:type="dxa"/>
                  <w:vAlign w:val="center"/>
                </w:tcPr>
                <w:p w14:paraId="6450C8D2">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H120274</w:t>
                  </w:r>
                </w:p>
              </w:tc>
            </w:tr>
            <w:tr w14:paraId="47F4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404BB3D6">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14</w:t>
                  </w:r>
                </w:p>
              </w:tc>
              <w:tc>
                <w:tcPr>
                  <w:tcW w:w="1341" w:type="dxa"/>
                  <w:vAlign w:val="center"/>
                </w:tcPr>
                <w:p w14:paraId="6B7E46BC">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76A1864B">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电子胃镜EG29-i10</w:t>
                  </w:r>
                </w:p>
              </w:tc>
              <w:tc>
                <w:tcPr>
                  <w:tcW w:w="1165" w:type="dxa"/>
                  <w:vAlign w:val="center"/>
                </w:tcPr>
                <w:p w14:paraId="2871F464">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A160469</w:t>
                  </w:r>
                </w:p>
              </w:tc>
            </w:tr>
            <w:tr w14:paraId="09BB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6111E869">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15</w:t>
                  </w:r>
                </w:p>
              </w:tc>
              <w:tc>
                <w:tcPr>
                  <w:tcW w:w="1341" w:type="dxa"/>
                  <w:vAlign w:val="center"/>
                </w:tcPr>
                <w:p w14:paraId="3CE400CB">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4EB675C4">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电子肠镜EC34-i10</w:t>
                  </w:r>
                </w:p>
              </w:tc>
              <w:tc>
                <w:tcPr>
                  <w:tcW w:w="1165" w:type="dxa"/>
                  <w:vAlign w:val="center"/>
                </w:tcPr>
                <w:p w14:paraId="5DE15349">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A160442</w:t>
                  </w:r>
                </w:p>
              </w:tc>
            </w:tr>
            <w:tr w14:paraId="5F2A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7AF9DBF8">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16</w:t>
                  </w:r>
                </w:p>
              </w:tc>
              <w:tc>
                <w:tcPr>
                  <w:tcW w:w="1341" w:type="dxa"/>
                  <w:vAlign w:val="center"/>
                </w:tcPr>
                <w:p w14:paraId="05FC9FE7">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6FC9F4C8">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电子肠镜EC38-i10</w:t>
                  </w:r>
                </w:p>
              </w:tc>
              <w:tc>
                <w:tcPr>
                  <w:tcW w:w="1165" w:type="dxa"/>
                  <w:vAlign w:val="center"/>
                </w:tcPr>
                <w:p w14:paraId="78413A07">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L160060</w:t>
                  </w:r>
                </w:p>
              </w:tc>
            </w:tr>
            <w:tr w14:paraId="686E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203C4787">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17</w:t>
                  </w:r>
                </w:p>
              </w:tc>
              <w:tc>
                <w:tcPr>
                  <w:tcW w:w="1341" w:type="dxa"/>
                  <w:vAlign w:val="center"/>
                </w:tcPr>
                <w:p w14:paraId="0679FF11">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3D2C3618">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电子肠镜EC34-i10</w:t>
                  </w:r>
                </w:p>
              </w:tc>
              <w:tc>
                <w:tcPr>
                  <w:tcW w:w="1165" w:type="dxa"/>
                  <w:vAlign w:val="center"/>
                </w:tcPr>
                <w:p w14:paraId="131E8268">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A160469</w:t>
                  </w:r>
                </w:p>
              </w:tc>
            </w:tr>
            <w:tr w14:paraId="67A7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0F3D2E77">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18</w:t>
                  </w:r>
                </w:p>
              </w:tc>
              <w:tc>
                <w:tcPr>
                  <w:tcW w:w="1341" w:type="dxa"/>
                  <w:vAlign w:val="center"/>
                </w:tcPr>
                <w:p w14:paraId="49E1E1AF">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647CD502">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电子肠镜EC34-i10</w:t>
                  </w:r>
                </w:p>
              </w:tc>
              <w:tc>
                <w:tcPr>
                  <w:tcW w:w="1165" w:type="dxa"/>
                  <w:vAlign w:val="center"/>
                </w:tcPr>
                <w:p w14:paraId="0301B6A3">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A160442</w:t>
                  </w:r>
                </w:p>
              </w:tc>
            </w:tr>
            <w:tr w14:paraId="1C5B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64761B23">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19</w:t>
                  </w:r>
                </w:p>
              </w:tc>
              <w:tc>
                <w:tcPr>
                  <w:tcW w:w="1341" w:type="dxa"/>
                  <w:vAlign w:val="center"/>
                </w:tcPr>
                <w:p w14:paraId="118E96EC">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5087D38A">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电子肠镜EC38-i10</w:t>
                  </w:r>
                </w:p>
              </w:tc>
              <w:tc>
                <w:tcPr>
                  <w:tcW w:w="1165" w:type="dxa"/>
                  <w:vAlign w:val="center"/>
                </w:tcPr>
                <w:p w14:paraId="35083863">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L160060</w:t>
                  </w:r>
                </w:p>
              </w:tc>
            </w:tr>
            <w:tr w14:paraId="208F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677D3BAD">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20</w:t>
                  </w:r>
                </w:p>
              </w:tc>
              <w:tc>
                <w:tcPr>
                  <w:tcW w:w="1341" w:type="dxa"/>
                  <w:vAlign w:val="center"/>
                </w:tcPr>
                <w:p w14:paraId="1C9533E5">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45597407">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电子胃镜EG29-i10</w:t>
                  </w:r>
                </w:p>
              </w:tc>
              <w:tc>
                <w:tcPr>
                  <w:tcW w:w="1165" w:type="dxa"/>
                  <w:vAlign w:val="center"/>
                </w:tcPr>
                <w:p w14:paraId="42A8E967">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A117213</w:t>
                  </w:r>
                </w:p>
              </w:tc>
            </w:tr>
            <w:tr w14:paraId="7896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2EFDDA3D">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21</w:t>
                  </w:r>
                </w:p>
              </w:tc>
              <w:tc>
                <w:tcPr>
                  <w:tcW w:w="1341" w:type="dxa"/>
                  <w:vAlign w:val="center"/>
                </w:tcPr>
                <w:p w14:paraId="02AC6E6F">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7B09DD67">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电子胃镜EG29-i10</w:t>
                  </w:r>
                </w:p>
              </w:tc>
              <w:tc>
                <w:tcPr>
                  <w:tcW w:w="1165" w:type="dxa"/>
                  <w:vAlign w:val="center"/>
                </w:tcPr>
                <w:p w14:paraId="49B4A9C8">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A117215</w:t>
                  </w:r>
                </w:p>
              </w:tc>
            </w:tr>
            <w:tr w14:paraId="5BFD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45D2DD56">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22</w:t>
                  </w:r>
                </w:p>
              </w:tc>
              <w:tc>
                <w:tcPr>
                  <w:tcW w:w="1341" w:type="dxa"/>
                  <w:vAlign w:val="center"/>
                </w:tcPr>
                <w:p w14:paraId="19CF3D0E">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43D994DD">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电子胃镜EG29-i10</w:t>
                  </w:r>
                </w:p>
              </w:tc>
              <w:tc>
                <w:tcPr>
                  <w:tcW w:w="1165" w:type="dxa"/>
                  <w:vAlign w:val="center"/>
                </w:tcPr>
                <w:p w14:paraId="0790266B">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A117212</w:t>
                  </w:r>
                </w:p>
              </w:tc>
            </w:tr>
            <w:tr w14:paraId="4DC7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2EE87232">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23</w:t>
                  </w:r>
                </w:p>
              </w:tc>
              <w:tc>
                <w:tcPr>
                  <w:tcW w:w="1341" w:type="dxa"/>
                  <w:vAlign w:val="center"/>
                </w:tcPr>
                <w:p w14:paraId="75AF9CF3">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1952733E">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电子肠镜EC34-i10M</w:t>
                  </w:r>
                </w:p>
              </w:tc>
              <w:tc>
                <w:tcPr>
                  <w:tcW w:w="1165" w:type="dxa"/>
                  <w:vAlign w:val="center"/>
                </w:tcPr>
                <w:p w14:paraId="2F3B46DD">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A110213</w:t>
                  </w:r>
                </w:p>
              </w:tc>
            </w:tr>
            <w:tr w14:paraId="42E5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26F832AB">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24</w:t>
                  </w:r>
                </w:p>
              </w:tc>
              <w:tc>
                <w:tcPr>
                  <w:tcW w:w="1341" w:type="dxa"/>
                  <w:vAlign w:val="center"/>
                </w:tcPr>
                <w:p w14:paraId="0EF33A5B">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4C0AD0B8">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电子肠镜EC34-i10M</w:t>
                  </w:r>
                </w:p>
              </w:tc>
              <w:tc>
                <w:tcPr>
                  <w:tcW w:w="1165" w:type="dxa"/>
                  <w:vAlign w:val="center"/>
                </w:tcPr>
                <w:p w14:paraId="4425F053">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A110221</w:t>
                  </w:r>
                </w:p>
              </w:tc>
            </w:tr>
            <w:tr w14:paraId="7E3E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4511E40B">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25</w:t>
                  </w:r>
                </w:p>
              </w:tc>
              <w:tc>
                <w:tcPr>
                  <w:tcW w:w="1341" w:type="dxa"/>
                  <w:vAlign w:val="center"/>
                </w:tcPr>
                <w:p w14:paraId="7D1AFCD4">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0F4EB005">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电子十二指肠镜ED34-i10T</w:t>
                  </w:r>
                </w:p>
              </w:tc>
              <w:tc>
                <w:tcPr>
                  <w:tcW w:w="1165" w:type="dxa"/>
                  <w:vAlign w:val="center"/>
                </w:tcPr>
                <w:p w14:paraId="5E786A4C">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A160067</w:t>
                  </w:r>
                </w:p>
              </w:tc>
            </w:tr>
            <w:tr w14:paraId="5B7A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14:paraId="36D28FC4">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26</w:t>
                  </w:r>
                </w:p>
              </w:tc>
              <w:tc>
                <w:tcPr>
                  <w:tcW w:w="1341" w:type="dxa"/>
                  <w:vAlign w:val="center"/>
                </w:tcPr>
                <w:p w14:paraId="06EEA246">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PENTAX</w:t>
                  </w:r>
                </w:p>
              </w:tc>
              <w:tc>
                <w:tcPr>
                  <w:tcW w:w="3376" w:type="dxa"/>
                  <w:vAlign w:val="center"/>
                </w:tcPr>
                <w:p w14:paraId="49485F4E">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超细胃镜EG-1690K</w:t>
                  </w:r>
                </w:p>
              </w:tc>
              <w:tc>
                <w:tcPr>
                  <w:tcW w:w="1165" w:type="dxa"/>
                  <w:vAlign w:val="center"/>
                </w:tcPr>
                <w:p w14:paraId="2E3305F8">
                  <w:pPr>
                    <w:tabs>
                      <w:tab w:val="left" w:pos="480"/>
                    </w:tabs>
                    <w:spacing w:line="360" w:lineRule="auto"/>
                    <w:jc w:val="cente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H120563</w:t>
                  </w:r>
                </w:p>
              </w:tc>
            </w:tr>
          </w:tbl>
          <w:p w14:paraId="1E93A1C0">
            <w:pPr>
              <w:pStyle w:val="8"/>
              <w:ind w:firstLine="0" w:firstLineChars="0"/>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二、服务内容：</w:t>
            </w:r>
          </w:p>
          <w:p w14:paraId="314B9A45">
            <w:pP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消化内镜中心胃，肠，十二指肠镜整机保修含人工、所有配件</w:t>
            </w:r>
          </w:p>
          <w:p w14:paraId="00295163">
            <w:pP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三、服务要求：</w:t>
            </w:r>
          </w:p>
          <w:p w14:paraId="19C7F56C">
            <w:pP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1、服务期内，接到医院故障通知4小时内电话响应，工程师应在24小时内到达现场（包括节假日）。</w:t>
            </w:r>
          </w:p>
          <w:p w14:paraId="77C69AB8">
            <w:pPr>
              <w:rPr>
                <w:rFonts w:hint="eastAsia"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2、服务期内，对维保内镜设备每年提供4次定期维护、保养，计划性定期的维修服务检测包括内镜测漏、内镜相关性能测试及校准、以及设备参数矫正，确保按照制造商的产品规格运行的标准来维修。</w:t>
            </w:r>
          </w:p>
          <w:p w14:paraId="0F915ABA">
            <w:pP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3、服务期内，服务商在维修故障内镜时需提供备用内镜供医院使用。</w:t>
            </w:r>
          </w:p>
          <w:p w14:paraId="3EF12EAA">
            <w:pP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4、服务商需提供的其他重要服务内容资格、条件：</w:t>
            </w:r>
          </w:p>
          <w:p w14:paraId="1F21F400">
            <w:pP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1.必须提供由原厂针对本项目的售后授权的证明函</w:t>
            </w:r>
          </w:p>
          <w:p w14:paraId="0C802D90">
            <w:pP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2.提供经年检有效地营业执照</w:t>
            </w:r>
          </w:p>
          <w:p w14:paraId="0FCE53E8">
            <w:pP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3.按照保养计划提供，以保证设备处于最佳运行状态,记录并安排保养时间,更换相应损耗部件,按照标准进行调校,记录设备状况</w:t>
            </w:r>
          </w:p>
          <w:p w14:paraId="4E25343E">
            <w:pP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4.服务期内无限制免费更换备件，并在维修时提供备用镜</w:t>
            </w:r>
          </w:p>
          <w:p w14:paraId="3DF41BE7">
            <w:pP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5.必须能提供相应更换全新原厂零部件的进口报关证明。</w:t>
            </w:r>
          </w:p>
          <w:p w14:paraId="6A448E91">
            <w:pPr>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6.投标人必须具有维修能力及相应的技术人员，提供原厂培训证明</w:t>
            </w:r>
          </w:p>
          <w:p w14:paraId="61165B5D">
            <w:pP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7.投标人必须具备800或400客户服务专线电话，每年365天开通，每天开通服务时间不少于12小时。</w:t>
            </w:r>
          </w:p>
          <w:p w14:paraId="2595C789">
            <w:pP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8.全年按365天使用率率＞95%，低于使用率按每天经济损失10%计赔</w:t>
            </w:r>
          </w:p>
          <w:p w14:paraId="1002189B">
            <w:pPr>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9.每季度提供设备运行维护报告</w:t>
            </w:r>
          </w:p>
        </w:tc>
      </w:tr>
    </w:tbl>
    <w:p w14:paraId="628BCC58">
      <w:pPr>
        <w:pStyle w:val="7"/>
        <w:rPr>
          <w:rFonts w:hint="default" w:asciiTheme="minorEastAsia" w:hAnsiTheme="minorEastAsia" w:cstheme="minorEastAsia"/>
          <w:b/>
          <w:sz w:val="24"/>
          <w:szCs w:val="24"/>
          <w:highlight w:val="none"/>
          <w:lang w:eastAsia="zh-CN"/>
        </w:rPr>
      </w:pPr>
      <w:r>
        <w:rPr>
          <w:rFonts w:asciiTheme="minorEastAsia" w:hAnsiTheme="minorEastAsia" w:cstheme="minorEastAsia"/>
          <w:b/>
          <w:sz w:val="24"/>
          <w:szCs w:val="24"/>
          <w:highlight w:val="none"/>
          <w:lang w:eastAsia="zh-CN"/>
        </w:rPr>
        <w:t>3 .2 .3人员配置要求</w:t>
      </w:r>
    </w:p>
    <w:p w14:paraId="4CAD11E3">
      <w:pPr>
        <w:spacing w:line="240" w:lineRule="auto"/>
        <w:ind w:left="0" w:firstLine="480" w:firstLineChars="200"/>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采购包1：</w:t>
      </w:r>
    </w:p>
    <w:p w14:paraId="2EC47280">
      <w:pPr>
        <w:spacing w:line="240" w:lineRule="auto"/>
        <w:ind w:left="0" w:firstLine="480" w:firstLineChars="200"/>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必须具有维修能力及相应的技术人员不少于3名，提供原厂培训证明</w:t>
      </w:r>
    </w:p>
    <w:p w14:paraId="15EEDDCD">
      <w:pPr>
        <w:pStyle w:val="7"/>
        <w:rPr>
          <w:rFonts w:hint="default" w:asciiTheme="minorEastAsia" w:hAnsiTheme="minorEastAsia" w:cstheme="minorEastAsia"/>
          <w:b/>
          <w:sz w:val="24"/>
          <w:szCs w:val="24"/>
          <w:highlight w:val="none"/>
          <w:lang w:eastAsia="zh-CN"/>
        </w:rPr>
      </w:pPr>
      <w:r>
        <w:rPr>
          <w:rFonts w:asciiTheme="minorEastAsia" w:hAnsiTheme="minorEastAsia" w:cstheme="minorEastAsia"/>
          <w:b/>
          <w:sz w:val="24"/>
          <w:szCs w:val="24"/>
          <w:highlight w:val="none"/>
          <w:lang w:eastAsia="zh-CN"/>
        </w:rPr>
        <w:t>3 .2 .4设施设备要求</w:t>
      </w:r>
    </w:p>
    <w:p w14:paraId="60758731">
      <w:pPr>
        <w:spacing w:line="360" w:lineRule="auto"/>
        <w:ind w:firstLine="480" w:firstLineChars="200"/>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采购包1：</w:t>
      </w:r>
    </w:p>
    <w:p w14:paraId="01FD4632">
      <w:pPr>
        <w:spacing w:line="360" w:lineRule="auto"/>
        <w:ind w:firstLine="480" w:firstLineChars="200"/>
        <w:rPr>
          <w:rFonts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提供维修场地的租赁合同或证明；提供维修设备所需的工具清单；</w:t>
      </w:r>
    </w:p>
    <w:p w14:paraId="77313D83">
      <w:pPr>
        <w:pStyle w:val="7"/>
        <w:rPr>
          <w:rFonts w:hint="default" w:asciiTheme="minorEastAsia" w:hAnsiTheme="minorEastAsia" w:cstheme="minorEastAsia"/>
          <w:b/>
          <w:sz w:val="24"/>
          <w:szCs w:val="24"/>
          <w:highlight w:val="none"/>
          <w:lang w:eastAsia="zh-CN"/>
        </w:rPr>
      </w:pPr>
      <w:r>
        <w:rPr>
          <w:rFonts w:asciiTheme="minorEastAsia" w:hAnsiTheme="minorEastAsia" w:cstheme="minorEastAsia"/>
          <w:b/>
          <w:sz w:val="24"/>
          <w:szCs w:val="24"/>
          <w:highlight w:val="none"/>
          <w:lang w:eastAsia="zh-CN"/>
        </w:rPr>
        <w:t>3 .2 .5其他要求</w:t>
      </w:r>
    </w:p>
    <w:p w14:paraId="2D5A0D19">
      <w:pPr>
        <w:spacing w:line="240" w:lineRule="auto"/>
        <w:ind w:firstLine="480" w:firstLineChars="200"/>
        <w:rPr>
          <w:rFonts w:hint="eastAsia"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highlight w:val="none"/>
          <w:lang w:eastAsia="zh-CN"/>
        </w:rPr>
        <w:t>采购包1：</w:t>
      </w:r>
    </w:p>
    <w:p w14:paraId="5BEAA259">
      <w:pPr>
        <w:spacing w:line="240" w:lineRule="auto"/>
        <w:ind w:firstLine="480" w:firstLineChars="200"/>
        <w:rPr>
          <w:rFonts w:hint="eastAsia" w:asciiTheme="minorEastAsia" w:hAnsiTheme="minorEastAsia" w:eastAsiaTheme="minorEastAsia" w:cstheme="minorEastAsia"/>
          <w:snapToGrid/>
          <w:color w:val="auto"/>
          <w:kern w:val="2"/>
          <w:sz w:val="24"/>
          <w:szCs w:val="24"/>
          <w:highlight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更换配件至维保期结束，维保期内无限制更换全新配件。</w:t>
      </w:r>
    </w:p>
    <w:p w14:paraId="400406B1">
      <w:pPr>
        <w:pStyle w:val="7"/>
        <w:rPr>
          <w:rFonts w:hint="default" w:asciiTheme="minorEastAsia" w:hAnsiTheme="minorEastAsia" w:cstheme="minorEastAsia"/>
          <w:b/>
          <w:sz w:val="24"/>
          <w:szCs w:val="24"/>
          <w:lang w:eastAsia="zh-CN"/>
        </w:rPr>
      </w:pPr>
      <w:r>
        <w:rPr>
          <w:rFonts w:asciiTheme="minorEastAsia" w:hAnsiTheme="minorEastAsia" w:cstheme="minorEastAsia"/>
          <w:b/>
          <w:sz w:val="24"/>
          <w:szCs w:val="24"/>
          <w:lang w:eastAsia="zh-CN"/>
        </w:rPr>
        <w:t>3 .3商务要求</w:t>
      </w:r>
    </w:p>
    <w:p w14:paraId="70B15054">
      <w:pPr>
        <w:pStyle w:val="7"/>
        <w:rPr>
          <w:rFonts w:hint="default" w:asciiTheme="minorEastAsia" w:hAnsiTheme="minorEastAsia" w:cstheme="minorEastAsia"/>
          <w:b/>
          <w:sz w:val="24"/>
          <w:szCs w:val="24"/>
          <w:lang w:eastAsia="zh-CN"/>
        </w:rPr>
      </w:pPr>
      <w:r>
        <w:rPr>
          <w:rFonts w:asciiTheme="minorEastAsia" w:hAnsiTheme="minorEastAsia" w:cstheme="minorEastAsia"/>
          <w:b/>
          <w:sz w:val="24"/>
          <w:szCs w:val="24"/>
          <w:lang w:eastAsia="zh-CN"/>
        </w:rPr>
        <w:t>3.3.1服务期限</w:t>
      </w:r>
    </w:p>
    <w:p w14:paraId="7F218531">
      <w:pPr>
        <w:spacing w:line="360" w:lineRule="auto"/>
        <w:ind w:left="7" w:firstLine="480"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采购包1：</w:t>
      </w:r>
    </w:p>
    <w:p w14:paraId="24AD8951">
      <w:pPr>
        <w:spacing w:line="360" w:lineRule="auto"/>
        <w:ind w:left="7" w:firstLine="480"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自合同签订之日起1年</w:t>
      </w:r>
    </w:p>
    <w:p w14:paraId="56AFF4AE">
      <w:pPr>
        <w:pStyle w:val="7"/>
        <w:rPr>
          <w:rFonts w:hint="default" w:asciiTheme="minorEastAsia" w:hAnsiTheme="minorEastAsia" w:cstheme="minorEastAsia"/>
          <w:b/>
          <w:sz w:val="24"/>
          <w:szCs w:val="24"/>
          <w:lang w:eastAsia="zh-CN"/>
        </w:rPr>
      </w:pPr>
      <w:r>
        <w:rPr>
          <w:rFonts w:asciiTheme="minorEastAsia" w:hAnsiTheme="minorEastAsia" w:cstheme="minorEastAsia"/>
          <w:b/>
          <w:sz w:val="24"/>
          <w:szCs w:val="24"/>
          <w:lang w:eastAsia="zh-CN"/>
        </w:rPr>
        <w:t>3.3.2服务地点</w:t>
      </w:r>
    </w:p>
    <w:p w14:paraId="38E91A4E">
      <w:pPr>
        <w:spacing w:line="360" w:lineRule="auto"/>
        <w:ind w:left="7" w:firstLine="480"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采购包1：</w:t>
      </w:r>
    </w:p>
    <w:p w14:paraId="2B2102C4">
      <w:pPr>
        <w:spacing w:line="360" w:lineRule="auto"/>
        <w:ind w:left="7" w:firstLine="480"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采购人指定地点</w:t>
      </w:r>
    </w:p>
    <w:p w14:paraId="3302881A">
      <w:pPr>
        <w:pStyle w:val="7"/>
        <w:rPr>
          <w:rFonts w:hint="default" w:asciiTheme="minorEastAsia" w:hAnsiTheme="minorEastAsia" w:cstheme="minorEastAsia"/>
          <w:b/>
          <w:sz w:val="24"/>
          <w:szCs w:val="24"/>
          <w:highlight w:val="none"/>
          <w:lang w:eastAsia="zh-CN"/>
        </w:rPr>
      </w:pPr>
      <w:r>
        <w:rPr>
          <w:rFonts w:asciiTheme="minorEastAsia" w:hAnsiTheme="minorEastAsia" w:cstheme="minorEastAsia"/>
          <w:b/>
          <w:sz w:val="24"/>
          <w:szCs w:val="24"/>
          <w:highlight w:val="none"/>
          <w:lang w:eastAsia="zh-CN"/>
        </w:rPr>
        <w:t>3.3.3考核（验收）标准和方法</w:t>
      </w:r>
    </w:p>
    <w:p w14:paraId="028F8650">
      <w:pPr>
        <w:spacing w:line="360" w:lineRule="auto"/>
        <w:ind w:firstLine="480" w:firstLineChars="200"/>
        <w:outlineLvl w:val="2"/>
        <w:rPr>
          <w:rFonts w:hint="eastAsia" w:asciiTheme="minorEastAsia" w:hAnsiTheme="minorEastAsia" w:eastAsiaTheme="minorEastAsia" w:cstheme="minorEastAsia"/>
          <w:snapToGrid/>
          <w:color w:val="auto"/>
          <w:kern w:val="2"/>
          <w:sz w:val="24"/>
          <w:szCs w:val="24"/>
          <w:highlight w:val="none"/>
          <w:u w:val="none"/>
          <w:lang w:eastAsia="zh-CN"/>
        </w:rPr>
      </w:pPr>
      <w:r>
        <w:rPr>
          <w:rFonts w:hint="eastAsia" w:asciiTheme="minorEastAsia" w:hAnsiTheme="minorEastAsia" w:eastAsiaTheme="minorEastAsia" w:cstheme="minorEastAsia"/>
          <w:snapToGrid/>
          <w:color w:val="auto"/>
          <w:kern w:val="2"/>
          <w:sz w:val="24"/>
          <w:szCs w:val="24"/>
          <w:highlight w:val="none"/>
          <w:lang w:eastAsia="zh-CN"/>
        </w:rPr>
        <w:t>采购包1：</w:t>
      </w:r>
      <w:r>
        <w:rPr>
          <w:rFonts w:hint="eastAsia" w:asciiTheme="minorEastAsia" w:hAnsiTheme="minorEastAsia" w:eastAsiaTheme="minorEastAsia" w:cstheme="minorEastAsia"/>
          <w:snapToGrid/>
          <w:color w:val="auto"/>
          <w:kern w:val="2"/>
          <w:sz w:val="24"/>
          <w:szCs w:val="24"/>
          <w:highlight w:val="none"/>
          <w:u w:val="none"/>
          <w:lang w:eastAsia="zh-CN"/>
        </w:rPr>
        <w:t>服务期满半年，提供维保报告（报告内工单需有科室人员签字），满一年提供下半年维保报告，经使用科室及西安市第三医院验收小组人员签字确认维保合格后，为维保服务结束</w:t>
      </w:r>
    </w:p>
    <w:p w14:paraId="4F5F7D31">
      <w:pPr>
        <w:pStyle w:val="7"/>
        <w:rPr>
          <w:rFonts w:hint="default" w:asciiTheme="minorEastAsia" w:hAnsiTheme="minorEastAsia" w:cstheme="minorEastAsia"/>
          <w:b/>
          <w:sz w:val="24"/>
          <w:szCs w:val="24"/>
          <w:lang w:eastAsia="zh-CN"/>
        </w:rPr>
      </w:pPr>
      <w:r>
        <w:rPr>
          <w:rFonts w:asciiTheme="minorEastAsia" w:hAnsiTheme="minorEastAsia" w:cstheme="minorEastAsia"/>
          <w:b/>
          <w:sz w:val="24"/>
          <w:szCs w:val="24"/>
          <w:lang w:eastAsia="zh-CN"/>
        </w:rPr>
        <w:t>3.3.4支付方式</w:t>
      </w:r>
    </w:p>
    <w:p w14:paraId="605A85A1">
      <w:pPr>
        <w:spacing w:line="360" w:lineRule="auto"/>
        <w:ind w:firstLine="480"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采购包1：</w:t>
      </w:r>
    </w:p>
    <w:p w14:paraId="2A01E1D9">
      <w:pPr>
        <w:spacing w:line="360" w:lineRule="auto"/>
        <w:ind w:firstLine="480"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分期付款</w:t>
      </w:r>
    </w:p>
    <w:p w14:paraId="2ADCF359">
      <w:pPr>
        <w:pStyle w:val="7"/>
        <w:outlineLvl w:val="2"/>
        <w:rPr>
          <w:rFonts w:hint="default" w:asciiTheme="minorEastAsia" w:hAnsiTheme="minorEastAsia" w:cstheme="minorEastAsia"/>
          <w:b/>
          <w:sz w:val="24"/>
          <w:szCs w:val="24"/>
          <w:lang w:eastAsia="zh-CN"/>
        </w:rPr>
      </w:pPr>
      <w:r>
        <w:rPr>
          <w:rFonts w:asciiTheme="minorEastAsia" w:hAnsiTheme="minorEastAsia" w:cstheme="minorEastAsia"/>
          <w:b/>
          <w:sz w:val="24"/>
          <w:szCs w:val="24"/>
          <w:lang w:eastAsia="zh-CN"/>
        </w:rPr>
        <w:t>3.3.5支付约定</w:t>
      </w:r>
    </w:p>
    <w:p w14:paraId="0A3996B7">
      <w:pPr>
        <w:pStyle w:val="2"/>
        <w:spacing w:line="360" w:lineRule="auto"/>
        <w:ind w:firstLine="240" w:firstLineChars="100"/>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在保证设备正常运行状态的前提下，合同签订后30日内支付合同总价的45%，合同履行六个月之后，无质量问题，另行支付合同总价的45%，留合同总价的10%，自验收合格之日起，若无质量及其他问题，一年后甲方于30日内一次性无息支付完毕。</w:t>
      </w:r>
    </w:p>
    <w:p w14:paraId="72D0E005">
      <w:pPr>
        <w:pStyle w:val="7"/>
        <w:outlineLvl w:val="2"/>
        <w:rPr>
          <w:rFonts w:hint="default" w:asciiTheme="minorEastAsia" w:hAnsiTheme="minorEastAsia" w:cstheme="minorEastAsia"/>
          <w:b/>
          <w:sz w:val="24"/>
          <w:szCs w:val="24"/>
          <w:lang w:eastAsia="zh-CN"/>
        </w:rPr>
      </w:pPr>
      <w:r>
        <w:rPr>
          <w:rFonts w:asciiTheme="minorEastAsia" w:hAnsiTheme="minorEastAsia" w:cstheme="minorEastAsia"/>
          <w:b/>
          <w:sz w:val="24"/>
          <w:szCs w:val="24"/>
          <w:lang w:eastAsia="zh-CN"/>
        </w:rPr>
        <w:t>3.3.6违约责任及解决争议的方法</w:t>
      </w:r>
    </w:p>
    <w:p w14:paraId="33BC4A99">
      <w:pPr>
        <w:spacing w:line="360" w:lineRule="auto"/>
        <w:ind w:firstLine="480"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采购包1：</w:t>
      </w:r>
    </w:p>
    <w:p w14:paraId="4C775534">
      <w:pPr>
        <w:spacing w:line="360" w:lineRule="auto"/>
        <w:ind w:firstLine="480"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一、违约责任：（一）按《政府采购法》、《民法典》的相关条款执行。</w:t>
      </w:r>
    </w:p>
    <w:p w14:paraId="1676A792">
      <w:pPr>
        <w:spacing w:line="360" w:lineRule="auto"/>
        <w:ind w:firstLine="480"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二）未按合同要求维修设备或维修质量、所提供设备质量不能满足磋商文件技术要求，在约定的条件下，乙方必须无条件更换，提高技术，完善质量，否则，甲方有权终止合同，解除合同书面通知书到达乙方之日视为合同已解除，并按以下两种方式追究乙方的违约责任：</w:t>
      </w:r>
    </w:p>
    <w:p w14:paraId="3D7B987E">
      <w:pPr>
        <w:spacing w:line="360" w:lineRule="auto"/>
        <w:ind w:firstLine="480"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1、乙方赔偿甲方解除合同的全部损失（包括但不限于重新采购产生的费用、合同未履行导致设备不能按规划交付使用可能产生的租赁费用及其它由此造成的甲方对第三方的违约损失）；</w:t>
      </w:r>
    </w:p>
    <w:p w14:paraId="3C787B25">
      <w:pPr>
        <w:spacing w:line="360" w:lineRule="auto"/>
        <w:ind w:firstLine="480"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2、乙方支付甲方违约金，违约金计算方法：以合同总价为基数，支付甲方合同总价的30%为违约金。并对乙方的违约行为报监管机构进行相应的处罚。</w:t>
      </w:r>
    </w:p>
    <w:p w14:paraId="7F8DEB85">
      <w:pPr>
        <w:spacing w:line="360" w:lineRule="auto"/>
        <w:ind w:firstLine="480"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（三）维修期限每超过一日，扣除乙方合同价款的1%；累计超过15日，视为乙方根本违约，甲方有权解除合同，合同自书面通知书到达乙方之日视为已解除，并按本条第（二）款之约定承担违约责任。</w:t>
      </w:r>
    </w:p>
    <w:p w14:paraId="7DB2316F">
      <w:pPr>
        <w:spacing w:line="360" w:lineRule="auto"/>
        <w:ind w:firstLine="480"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二、合同争议解决的方式：本合同在履行过程中发生的争议，由甲、乙双方当事人协商解决，协商不成的依法向甲方所在地人民法院起诉。</w:t>
      </w:r>
    </w:p>
    <w:p w14:paraId="1BEB7AE1">
      <w:pPr>
        <w:pStyle w:val="7"/>
        <w:rPr>
          <w:rFonts w:hint="default" w:asciiTheme="minorEastAsia" w:hAnsiTheme="minorEastAsia" w:cstheme="minorEastAsia"/>
          <w:b/>
          <w:sz w:val="24"/>
          <w:szCs w:val="24"/>
          <w:lang w:eastAsia="zh-CN"/>
        </w:rPr>
      </w:pPr>
      <w:r>
        <w:rPr>
          <w:rFonts w:asciiTheme="minorEastAsia" w:hAnsiTheme="minorEastAsia" w:cstheme="minorEastAsia"/>
          <w:b/>
          <w:sz w:val="24"/>
          <w:szCs w:val="24"/>
          <w:lang w:eastAsia="zh-CN"/>
        </w:rPr>
        <w:t>3 .4其他要求</w:t>
      </w:r>
    </w:p>
    <w:p w14:paraId="6BE96866">
      <w:pPr>
        <w:numPr>
          <w:ilvl w:val="255"/>
          <w:numId w:val="0"/>
        </w:numPr>
        <w:spacing w:line="360" w:lineRule="auto"/>
        <w:ind w:firstLine="356" w:firstLineChars="200"/>
        <w:outlineLvl w:val="2"/>
        <w:rPr>
          <w:rFonts w:asciiTheme="minorEastAsia" w:hAnsiTheme="minorEastAsia" w:eastAsiaTheme="minorEastAsia" w:cstheme="minorEastAsia"/>
          <w:snapToGrid/>
          <w:color w:val="auto"/>
          <w:kern w:val="2"/>
          <w:sz w:val="24"/>
          <w:szCs w:val="24"/>
          <w:lang w:eastAsia="zh-CN"/>
        </w:rPr>
      </w:pPr>
      <w:r>
        <w:rPr>
          <w:rFonts w:hint="eastAsia" w:ascii="宋体" w:hAnsi="宋体" w:eastAsia="宋体" w:cs="宋体"/>
          <w:spacing w:val="-11"/>
          <w:sz w:val="20"/>
          <w:szCs w:val="20"/>
        </w:rPr>
        <w:t>1</w:t>
      </w:r>
      <w:r>
        <w:rPr>
          <w:rFonts w:hint="eastAsia" w:asciiTheme="minorEastAsia" w:hAnsiTheme="minorEastAsia" w:eastAsiaTheme="minorEastAsia" w:cstheme="minorEastAsia"/>
          <w:snapToGrid/>
          <w:color w:val="auto"/>
          <w:kern w:val="2"/>
          <w:sz w:val="24"/>
          <w:szCs w:val="24"/>
          <w:lang w:eastAsia="zh-CN"/>
        </w:rPr>
        <w:t xml:space="preserve">.采购标的对应的中小企业划分标准所属行业为其他未列明行业。其他未列明行业的划型标准为：从业人员300人以下的 为中小微型企业。其中，从业人员100人及以上的为中型企业；从业人员10人及以上的为小型企业；从业人员10人以下的为微型企业。 </w:t>
      </w:r>
    </w:p>
    <w:p w14:paraId="135193D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C5CC1"/>
    <w:rsid w:val="0E6C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pPr>
    <w:rPr>
      <w:sz w:val="18"/>
    </w:rPr>
  </w:style>
  <w:style w:type="paragraph" w:styleId="4">
    <w:name w:val="Normal (Web)"/>
    <w:basedOn w:val="1"/>
    <w:unhideWhenUsed/>
    <w:qFormat/>
    <w:uiPriority w:val="99"/>
    <w:pPr>
      <w:spacing w:before="100" w:beforeAutospacing="1" w:after="100" w:afterAutospacing="1"/>
    </w:pPr>
    <w:rPr>
      <w:rFonts w:cs="Times New Roman"/>
      <w:sz w:val="24"/>
      <w:lang w:eastAsia="zh-CN"/>
    </w:r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2025-02-26T10:47:00Z</dcterms:created>
  <dc:creator>泽元不迷糊</dc:creator>
  <cp:lastModifiedBy>泽元不迷糊</cp:lastModifiedBy>
  <dcterms:modified xsi:type="dcterms:W3CDTF">2025-02-26T10:49:34Z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D507D730CE3F493295B47422D299191D_11</vt:lpwstr>
  </property>
  <property fmtid="{D5CDD505-2E9C-101B-9397-08002B2CF9AE}" pid="4" name="KSOTemplateDocerSaveRecord">
    <vt:lpwstr>eyJoZGlkIjoiNTU5NWViNGQ2ZDJiMzM1ZGU4N2ZmNTg2MjhhOTdhYTEiLCJ1c2VySWQiOiIxODg0NjE1NyJ9</vt:lpwstr>
  </property>
</Properties>
</file>