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15.xml" ContentType="application/vnd.openxmlformats-officedocument.wordprocessingml.footer+xml"/>
  <Override PartName="/word/footer16.xml" ContentType="application/vnd.openxmlformats-officedocument.wordprocessingml.footer+xml"/>
  <Override PartName="/word/footer17.xml" ContentType="application/vnd.openxmlformats-officedocument.wordprocessingml.footer+xml"/>
  <Override PartName="/word/footer18.xml" ContentType="application/vnd.openxmlformats-officedocument.wordprocessingml.footer+xml"/>
  <Override PartName="/word/footer19.xml" ContentType="application/vnd.openxmlformats-officedocument.wordprocessingml.footer+xml"/>
  <Override PartName="/word/footer2.xml" ContentType="application/vnd.openxmlformats-officedocument.wordprocessingml.footer+xml"/>
  <Override PartName="/word/footer20.xml" ContentType="application/vnd.openxmlformats-officedocument.wordprocessingml.footer+xml"/>
  <Override PartName="/word/footer21.xml" ContentType="application/vnd.openxmlformats-officedocument.wordprocessingml.footer+xml"/>
  <Override PartName="/word/footer22.xml" ContentType="application/vnd.openxmlformats-officedocument.wordprocessingml.footer+xml"/>
  <Override PartName="/word/footer23.xml" ContentType="application/vnd.openxmlformats-officedocument.wordprocessingml.footer+xml"/>
  <Override PartName="/word/footer24.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glossary/document.xml" ContentType="application/vnd.openxmlformats-officedocument.wordprocessingml.document.glossary+xml"/>
  <Override PartName="/word/glossary/fontTable.xml" ContentType="application/vnd.openxmlformats-officedocument.wordprocessingml.fontTable+xml"/>
  <Override PartName="/word/glossary/settings.xml" ContentType="application/vnd.openxmlformats-officedocument.wordprocessingml.settings+xml"/>
  <Override PartName="/word/glossary/styles.xml" ContentType="application/vnd.openxmlformats-officedocument.wordprocessingml.styl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topLinePunct/>
        <w:jc w:val="center"/>
        <w:rPr>
          <w:rFonts w:eastAsia="宋体" w:cs="Tahoma"/>
          <w:sz w:val="44"/>
          <w:szCs w:val="44"/>
        </w:rPr>
      </w:pPr>
      <w:bookmarkStart w:id="22" w:name="_GoBack"/>
      <w:bookmarkEnd w:id="22"/>
    </w:p>
    <w:p>
      <w:pPr>
        <w:widowControl w:val="0"/>
        <w:topLinePunct/>
        <w:jc w:val="center"/>
        <w:rPr>
          <w:rFonts w:eastAsia="宋体" w:cs="Tahoma"/>
          <w:sz w:val="44"/>
          <w:szCs w:val="44"/>
        </w:rPr>
      </w:pPr>
    </w:p>
    <w:p>
      <w:pPr>
        <w:widowControl w:val="0"/>
        <w:topLinePunct/>
        <w:jc w:val="center"/>
        <w:rPr>
          <w:rFonts w:eastAsia="宋体" w:cs="Tahoma"/>
          <w:sz w:val="44"/>
          <w:szCs w:val="44"/>
        </w:rPr>
      </w:pPr>
    </w:p>
    <w:p>
      <w:pPr>
        <w:pStyle w:val="37"/>
        <w:widowControl w:val="0"/>
        <w:topLinePunct/>
        <w:rPr>
          <w:rFonts w:eastAsia="宋体" w:cs="Tahoma" w:asciiTheme="minorHAnsi" w:hAnsiTheme="minorHAnsi"/>
        </w:rPr>
      </w:pPr>
      <w:r>
        <w:rPr>
          <w:rFonts w:eastAsia="宋体" w:cs="Tahoma" w:asciiTheme="minorHAnsi" w:hAnsiTheme="minorHAnsi"/>
        </w:rPr>
        <w:t>西安市市级单位政府采购中心</w:t>
      </w:r>
    </w:p>
    <w:p>
      <w:pPr>
        <w:pStyle w:val="35"/>
        <w:widowControl w:val="0"/>
        <w:topLinePunct/>
        <w:rPr>
          <w:rFonts w:cstheme="minorHAnsi"/>
        </w:rPr>
      </w:pPr>
      <w:r>
        <w:rPr>
          <w:rFonts w:cstheme="minorHAnsi"/>
          <w:spacing w:val="324"/>
          <w:kern w:val="0"/>
          <w:fitText w:val="5784" w:id="-1539664640"/>
        </w:rPr>
        <w:t>招标文</w:t>
      </w:r>
      <w:r>
        <w:rPr>
          <w:rFonts w:cstheme="minorHAnsi"/>
          <w:spacing w:val="0"/>
          <w:kern w:val="0"/>
          <w:fitText w:val="5784" w:id="-1539664640"/>
        </w:rPr>
        <w:t>件</w:t>
      </w:r>
    </w:p>
    <w:p>
      <w:pPr>
        <w:widowControl w:val="0"/>
        <w:topLinePunct/>
        <w:spacing w:line="360" w:lineRule="auto"/>
        <w:jc w:val="center"/>
        <w:rPr>
          <w:rFonts w:eastAsia="宋体" w:cs="Tahoma"/>
          <w:sz w:val="36"/>
          <w:szCs w:val="36"/>
        </w:rPr>
      </w:pPr>
    </w:p>
    <w:p>
      <w:pPr>
        <w:pStyle w:val="38"/>
        <w:widowControl w:val="0"/>
        <w:topLinePunct/>
        <w:spacing w:line="360" w:lineRule="auto"/>
        <w:ind w:left="2640" w:right="1130" w:rightChars="471" w:hanging="1800"/>
        <w:rPr>
          <w:rFonts w:cs="Tahoma" w:asciiTheme="minorHAnsi" w:hAnsiTheme="minorHAnsi"/>
        </w:rPr>
      </w:pPr>
      <w:r>
        <w:rPr>
          <w:rFonts w:cs="Tahoma" w:asciiTheme="minorHAnsi" w:hAnsiTheme="minorHAnsi"/>
        </w:rPr>
        <w:t>项目名称：</w:t>
      </w:r>
      <w:r>
        <w:rPr>
          <w:rFonts w:cs="Tahoma" w:asciiTheme="minorHAnsi" w:hAnsiTheme="minorHAnsi"/>
          <w:color w:val="C00000"/>
        </w:rPr>
        <w:t>西安市中医医院南院区后勤社会化托管服务项目</w:t>
      </w:r>
    </w:p>
    <w:p>
      <w:pPr>
        <w:pStyle w:val="38"/>
        <w:widowControl w:val="0"/>
        <w:topLinePunct/>
        <w:spacing w:line="360" w:lineRule="auto"/>
        <w:ind w:left="2640" w:right="600" w:hanging="1800"/>
        <w:rPr>
          <w:rFonts w:cs="Tahoma" w:asciiTheme="minorHAnsi" w:hAnsiTheme="minorHAnsi"/>
        </w:rPr>
      </w:pPr>
      <w:r>
        <w:rPr>
          <w:rFonts w:cs="Tahoma" w:asciiTheme="minorHAnsi" w:hAnsiTheme="minorHAnsi"/>
        </w:rPr>
        <w:t>项目编号：</w:t>
      </w:r>
      <w:r>
        <w:rPr>
          <w:rFonts w:cs="Tahoma" w:asciiTheme="minorHAnsi" w:hAnsiTheme="minorHAnsi"/>
          <w:color w:val="C00000"/>
        </w:rPr>
        <w:t>XCZX2024-0195</w:t>
      </w:r>
    </w:p>
    <w:p>
      <w:pPr>
        <w:widowControl w:val="0"/>
        <w:topLinePunct/>
        <w:spacing w:line="360" w:lineRule="auto"/>
        <w:jc w:val="center"/>
        <w:rPr>
          <w:rFonts w:eastAsia="宋体" w:cs="Tahoma"/>
          <w:sz w:val="36"/>
          <w:szCs w:val="36"/>
        </w:rPr>
      </w:pPr>
    </w:p>
    <w:p>
      <w:pPr>
        <w:widowControl w:val="0"/>
        <w:topLinePunct/>
        <w:spacing w:line="360" w:lineRule="auto"/>
        <w:jc w:val="center"/>
        <w:rPr>
          <w:rFonts w:eastAsia="宋体" w:cs="Tahoma"/>
          <w:sz w:val="36"/>
          <w:szCs w:val="36"/>
        </w:rPr>
      </w:pPr>
    </w:p>
    <w:p>
      <w:pPr>
        <w:widowControl w:val="0"/>
        <w:topLinePunct/>
        <w:spacing w:line="360" w:lineRule="auto"/>
        <w:jc w:val="center"/>
        <w:rPr>
          <w:rFonts w:eastAsia="宋体" w:cs="Tahoma"/>
          <w:sz w:val="36"/>
          <w:szCs w:val="36"/>
        </w:rPr>
      </w:pPr>
    </w:p>
    <w:p>
      <w:pPr>
        <w:widowControl w:val="0"/>
        <w:topLinePunct/>
        <w:spacing w:line="360" w:lineRule="auto"/>
        <w:jc w:val="center"/>
        <w:rPr>
          <w:rFonts w:eastAsia="宋体" w:cs="Tahoma"/>
          <w:sz w:val="36"/>
          <w:szCs w:val="36"/>
        </w:rPr>
      </w:pPr>
    </w:p>
    <w:p>
      <w:pPr>
        <w:widowControl w:val="0"/>
        <w:topLinePunct/>
        <w:spacing w:line="360" w:lineRule="auto"/>
        <w:jc w:val="center"/>
        <w:rPr>
          <w:rFonts w:eastAsia="宋体" w:cs="Tahoma"/>
          <w:sz w:val="36"/>
          <w:szCs w:val="36"/>
        </w:rPr>
      </w:pPr>
    </w:p>
    <w:p>
      <w:pPr>
        <w:pStyle w:val="36"/>
        <w:widowControl w:val="0"/>
        <w:topLinePunct/>
        <w:spacing w:line="360" w:lineRule="auto"/>
        <w:rPr>
          <w:rFonts w:eastAsia="宋体" w:cs="Tahoma" w:asciiTheme="minorHAnsi" w:hAnsiTheme="minorHAnsi"/>
        </w:rPr>
      </w:pPr>
      <w:r>
        <w:rPr>
          <w:rFonts w:eastAsia="宋体" w:cs="Tahoma" w:asciiTheme="minorHAnsi" w:hAnsiTheme="minorHAnsi"/>
        </w:rPr>
        <w:fldChar w:fldCharType="begin"/>
      </w:r>
      <w:r>
        <w:rPr>
          <w:rFonts w:eastAsia="宋体" w:cs="Tahoma" w:asciiTheme="minorHAnsi" w:hAnsiTheme="minorHAnsi"/>
        </w:rPr>
        <w:instrText xml:space="preserve"> TIME \@ "yyyy年M月" </w:instrText>
      </w:r>
      <w:r>
        <w:rPr>
          <w:rFonts w:eastAsia="宋体" w:cs="Tahoma" w:asciiTheme="minorHAnsi" w:hAnsiTheme="minorHAnsi"/>
        </w:rPr>
        <w:fldChar w:fldCharType="separate"/>
      </w:r>
      <w:r>
        <w:rPr>
          <w:rFonts w:eastAsia="宋体" w:cs="Tahoma" w:asciiTheme="minorHAnsi" w:hAnsiTheme="minorHAnsi"/>
        </w:rPr>
        <w:t>2025年4月</w:t>
      </w:r>
      <w:r>
        <w:rPr>
          <w:rFonts w:eastAsia="宋体" w:cs="Tahoma" w:asciiTheme="minorHAnsi" w:hAnsiTheme="minorHAnsi"/>
        </w:rPr>
        <w:fldChar w:fldCharType="end"/>
      </w:r>
    </w:p>
    <w:p>
      <w:pPr>
        <w:widowControl w:val="0"/>
        <w:topLinePunct/>
        <w:jc w:val="center"/>
        <w:rPr>
          <w:rFonts w:eastAsia="宋体" w:cstheme="minorHAnsi"/>
          <w:sz w:val="36"/>
          <w:szCs w:val="36"/>
        </w:rPr>
      </w:pPr>
      <w:r>
        <w:rPr>
          <w:rFonts w:eastAsia="宋体" w:cstheme="minorHAnsi"/>
          <w:sz w:val="36"/>
          <w:szCs w:val="36"/>
        </w:rPr>
        <w:br w:type="page"/>
      </w:r>
    </w:p>
    <w:p>
      <w:pPr>
        <w:widowControl w:val="0"/>
        <w:topLinePunct/>
        <w:jc w:val="center"/>
        <w:rPr>
          <w:sz w:val="44"/>
          <w:szCs w:val="44"/>
        </w:rPr>
      </w:pPr>
    </w:p>
    <w:p>
      <w:pPr>
        <w:widowControl w:val="0"/>
        <w:topLinePunct/>
        <w:jc w:val="center"/>
        <w:rPr>
          <w:rFonts w:ascii="黑体" w:hAnsi="黑体" w:eastAsia="黑体" w:cstheme="minorHAnsi"/>
          <w:sz w:val="44"/>
          <w:szCs w:val="44"/>
        </w:rPr>
      </w:pPr>
      <w:r>
        <w:rPr>
          <w:rFonts w:hint="eastAsia" w:ascii="黑体" w:hAnsi="黑体" w:eastAsia="黑体" w:cstheme="minorHAnsi"/>
          <w:sz w:val="44"/>
          <w:szCs w:val="44"/>
        </w:rPr>
        <w:t>目　　录</w:t>
      </w:r>
    </w:p>
    <w:p>
      <w:pPr>
        <w:widowControl w:val="0"/>
        <w:topLinePunct/>
        <w:jc w:val="center"/>
        <w:rPr>
          <w:rFonts w:ascii="黑体" w:hAnsi="黑体" w:eastAsia="黑体" w:cstheme="minorHAnsi"/>
          <w:sz w:val="44"/>
          <w:szCs w:val="44"/>
        </w:rPr>
      </w:pPr>
    </w:p>
    <w:p>
      <w:pPr>
        <w:pStyle w:val="20"/>
        <w:tabs>
          <w:tab w:val="right" w:leader="hyphen" w:pos="8504"/>
        </w:tabs>
        <w:spacing w:before="460" w:beforeLines="0" w:after="460" w:afterLines="0"/>
        <w:ind w:left="1920" w:leftChars="200" w:right="480" w:rightChars="200" w:hanging="1440" w:hangingChars="400"/>
        <w:jc w:val="both"/>
        <w:rPr>
          <w:rFonts w:hAnsi="华文仿宋" w:eastAsia="华文仿宋" w:cstheme="minorBidi"/>
          <w:kern w:val="2"/>
          <w:sz w:val="36"/>
          <w:szCs w:val="22"/>
        </w:rPr>
      </w:pPr>
      <w:r>
        <w:rPr>
          <w:rFonts w:hAnsi="华文仿宋" w:eastAsia="华文仿宋" w:cstheme="minorHAnsi"/>
          <w:sz w:val="36"/>
          <w:szCs w:val="30"/>
        </w:rPr>
        <w:fldChar w:fldCharType="begin"/>
      </w:r>
      <w:r>
        <w:rPr>
          <w:rFonts w:hAnsi="华文仿宋" w:eastAsia="华文仿宋" w:cstheme="minorHAnsi"/>
          <w:sz w:val="36"/>
          <w:szCs w:val="30"/>
        </w:rPr>
        <w:instrText xml:space="preserve"> TOC \o "1-1" \f - \t "-1" </w:instrText>
      </w:r>
      <w:r>
        <w:rPr>
          <w:rFonts w:hAnsi="华文仿宋" w:eastAsia="华文仿宋" w:cstheme="minorHAnsi"/>
          <w:sz w:val="36"/>
          <w:szCs w:val="30"/>
        </w:rPr>
        <w:fldChar w:fldCharType="separate"/>
      </w:r>
      <w:r>
        <w:rPr>
          <w:rFonts w:hint="eastAsia" w:hAnsi="华文仿宋" w:eastAsia="华文仿宋"/>
          <w:sz w:val="36"/>
        </w:rPr>
        <w:t>第一章　投标邀请函</w:t>
      </w:r>
      <w:r>
        <w:rPr>
          <w:rFonts w:hAnsi="华文仿宋" w:eastAsia="华文仿宋"/>
          <w:sz w:val="36"/>
        </w:rPr>
        <w:tab/>
      </w:r>
      <w:r>
        <w:rPr>
          <w:rFonts w:hAnsi="华文仿宋" w:eastAsia="华文仿宋"/>
          <w:sz w:val="36"/>
        </w:rPr>
        <w:fldChar w:fldCharType="begin"/>
      </w:r>
      <w:r>
        <w:rPr>
          <w:rFonts w:hAnsi="华文仿宋" w:eastAsia="华文仿宋"/>
          <w:sz w:val="36"/>
        </w:rPr>
        <w:instrText xml:space="preserve"> PAGEREF _Toc194075972 \h </w:instrText>
      </w:r>
      <w:r>
        <w:rPr>
          <w:rFonts w:hAnsi="华文仿宋" w:eastAsia="华文仿宋"/>
          <w:sz w:val="36"/>
        </w:rPr>
        <w:fldChar w:fldCharType="separate"/>
      </w:r>
      <w:r>
        <w:rPr>
          <w:rFonts w:hAnsi="华文仿宋" w:eastAsia="华文仿宋"/>
          <w:sz w:val="36"/>
        </w:rPr>
        <w:t>1</w:t>
      </w:r>
      <w:r>
        <w:rPr>
          <w:rFonts w:hAnsi="华文仿宋" w:eastAsia="华文仿宋"/>
          <w:sz w:val="36"/>
        </w:rPr>
        <w:fldChar w:fldCharType="end"/>
      </w:r>
    </w:p>
    <w:p>
      <w:pPr>
        <w:pStyle w:val="20"/>
        <w:tabs>
          <w:tab w:val="right" w:leader="hyphen" w:pos="8504"/>
        </w:tabs>
        <w:spacing w:before="460" w:beforeLines="0" w:after="460" w:afterLines="0"/>
        <w:ind w:left="1920" w:leftChars="200" w:right="480" w:rightChars="200" w:hanging="1440" w:hangingChars="400"/>
        <w:jc w:val="both"/>
        <w:rPr>
          <w:rFonts w:hAnsi="华文仿宋" w:eastAsia="华文仿宋" w:cstheme="minorBidi"/>
          <w:kern w:val="2"/>
          <w:sz w:val="36"/>
          <w:szCs w:val="22"/>
        </w:rPr>
      </w:pPr>
      <w:r>
        <w:rPr>
          <w:rFonts w:hint="eastAsia" w:hAnsi="华文仿宋" w:eastAsia="华文仿宋"/>
          <w:sz w:val="36"/>
        </w:rPr>
        <w:t>第二章　供应商须知</w:t>
      </w:r>
      <w:r>
        <w:rPr>
          <w:rFonts w:hAnsi="华文仿宋" w:eastAsia="华文仿宋"/>
          <w:sz w:val="36"/>
        </w:rPr>
        <w:tab/>
      </w:r>
      <w:r>
        <w:rPr>
          <w:rFonts w:hAnsi="华文仿宋" w:eastAsia="华文仿宋"/>
          <w:sz w:val="36"/>
        </w:rPr>
        <w:fldChar w:fldCharType="begin"/>
      </w:r>
      <w:r>
        <w:rPr>
          <w:rFonts w:hAnsi="华文仿宋" w:eastAsia="华文仿宋"/>
          <w:sz w:val="36"/>
        </w:rPr>
        <w:instrText xml:space="preserve"> PAGEREF _Toc194075973 \h </w:instrText>
      </w:r>
      <w:r>
        <w:rPr>
          <w:rFonts w:hAnsi="华文仿宋" w:eastAsia="华文仿宋"/>
          <w:sz w:val="36"/>
        </w:rPr>
        <w:fldChar w:fldCharType="separate"/>
      </w:r>
      <w:r>
        <w:rPr>
          <w:rFonts w:hAnsi="华文仿宋" w:eastAsia="华文仿宋"/>
          <w:sz w:val="36"/>
        </w:rPr>
        <w:t>4</w:t>
      </w:r>
      <w:r>
        <w:rPr>
          <w:rFonts w:hAnsi="华文仿宋" w:eastAsia="华文仿宋"/>
          <w:sz w:val="36"/>
        </w:rPr>
        <w:fldChar w:fldCharType="end"/>
      </w:r>
    </w:p>
    <w:p>
      <w:pPr>
        <w:pStyle w:val="20"/>
        <w:tabs>
          <w:tab w:val="right" w:leader="hyphen" w:pos="8504"/>
        </w:tabs>
        <w:spacing w:before="460" w:beforeLines="0" w:after="460" w:afterLines="0"/>
        <w:ind w:left="1920" w:leftChars="200" w:right="480" w:rightChars="200" w:hanging="1440" w:hangingChars="400"/>
        <w:jc w:val="both"/>
        <w:rPr>
          <w:rFonts w:hAnsi="华文仿宋" w:eastAsia="华文仿宋" w:cstheme="minorBidi"/>
          <w:kern w:val="2"/>
          <w:sz w:val="36"/>
          <w:szCs w:val="22"/>
        </w:rPr>
      </w:pPr>
      <w:r>
        <w:rPr>
          <w:rFonts w:hint="eastAsia" w:hAnsi="华文仿宋" w:eastAsia="华文仿宋"/>
          <w:sz w:val="36"/>
        </w:rPr>
        <w:t>第三章　招标内容及要求</w:t>
      </w:r>
      <w:r>
        <w:rPr>
          <w:rFonts w:hAnsi="华文仿宋" w:eastAsia="华文仿宋"/>
          <w:sz w:val="36"/>
        </w:rPr>
        <w:tab/>
      </w:r>
      <w:r>
        <w:rPr>
          <w:rFonts w:hAnsi="华文仿宋" w:eastAsia="华文仿宋"/>
          <w:sz w:val="36"/>
        </w:rPr>
        <w:fldChar w:fldCharType="begin"/>
      </w:r>
      <w:r>
        <w:rPr>
          <w:rFonts w:hAnsi="华文仿宋" w:eastAsia="华文仿宋"/>
          <w:sz w:val="36"/>
        </w:rPr>
        <w:instrText xml:space="preserve"> PAGEREF _Toc194075974 \h </w:instrText>
      </w:r>
      <w:r>
        <w:rPr>
          <w:rFonts w:hAnsi="华文仿宋" w:eastAsia="华文仿宋"/>
          <w:sz w:val="36"/>
        </w:rPr>
        <w:fldChar w:fldCharType="separate"/>
      </w:r>
      <w:r>
        <w:rPr>
          <w:rFonts w:hAnsi="华文仿宋" w:eastAsia="华文仿宋"/>
          <w:sz w:val="36"/>
        </w:rPr>
        <w:t>36</w:t>
      </w:r>
      <w:r>
        <w:rPr>
          <w:rFonts w:hAnsi="华文仿宋" w:eastAsia="华文仿宋"/>
          <w:sz w:val="36"/>
        </w:rPr>
        <w:fldChar w:fldCharType="end"/>
      </w:r>
    </w:p>
    <w:p>
      <w:pPr>
        <w:pStyle w:val="20"/>
        <w:tabs>
          <w:tab w:val="right" w:leader="hyphen" w:pos="8504"/>
        </w:tabs>
        <w:spacing w:before="460" w:beforeLines="0" w:after="460" w:afterLines="0"/>
        <w:ind w:left="1920" w:leftChars="200" w:right="480" w:rightChars="200" w:hanging="1440" w:hangingChars="400"/>
        <w:jc w:val="both"/>
        <w:rPr>
          <w:rFonts w:hAnsi="华文仿宋" w:eastAsia="华文仿宋" w:cstheme="minorBidi"/>
          <w:kern w:val="2"/>
          <w:sz w:val="36"/>
          <w:szCs w:val="22"/>
        </w:rPr>
      </w:pPr>
      <w:r>
        <w:rPr>
          <w:rFonts w:hint="eastAsia" w:hAnsi="华文仿宋" w:eastAsia="华文仿宋"/>
          <w:sz w:val="36"/>
        </w:rPr>
        <w:t>第四章　合同文本</w:t>
      </w:r>
      <w:r>
        <w:rPr>
          <w:rFonts w:hAnsi="华文仿宋" w:eastAsia="华文仿宋"/>
          <w:sz w:val="36"/>
        </w:rPr>
        <w:tab/>
      </w:r>
      <w:r>
        <w:rPr>
          <w:rFonts w:hAnsi="华文仿宋" w:eastAsia="华文仿宋"/>
          <w:sz w:val="36"/>
        </w:rPr>
        <w:fldChar w:fldCharType="begin"/>
      </w:r>
      <w:r>
        <w:rPr>
          <w:rFonts w:hAnsi="华文仿宋" w:eastAsia="华文仿宋"/>
          <w:sz w:val="36"/>
        </w:rPr>
        <w:instrText xml:space="preserve"> PAGEREF _Toc194075975 \h </w:instrText>
      </w:r>
      <w:r>
        <w:rPr>
          <w:rFonts w:hAnsi="华文仿宋" w:eastAsia="华文仿宋"/>
          <w:sz w:val="36"/>
        </w:rPr>
        <w:fldChar w:fldCharType="separate"/>
      </w:r>
      <w:r>
        <w:rPr>
          <w:rFonts w:hAnsi="华文仿宋" w:eastAsia="华文仿宋"/>
          <w:sz w:val="36"/>
        </w:rPr>
        <w:t>88</w:t>
      </w:r>
      <w:r>
        <w:rPr>
          <w:rFonts w:hAnsi="华文仿宋" w:eastAsia="华文仿宋"/>
          <w:sz w:val="36"/>
        </w:rPr>
        <w:fldChar w:fldCharType="end"/>
      </w:r>
    </w:p>
    <w:p>
      <w:pPr>
        <w:pStyle w:val="20"/>
        <w:tabs>
          <w:tab w:val="right" w:leader="hyphen" w:pos="8504"/>
        </w:tabs>
        <w:spacing w:before="460" w:beforeLines="0" w:after="460" w:afterLines="0"/>
        <w:ind w:left="1920" w:leftChars="200" w:right="480" w:rightChars="200" w:hanging="1440" w:hangingChars="400"/>
        <w:jc w:val="both"/>
        <w:rPr>
          <w:rFonts w:hAnsi="华文仿宋" w:eastAsia="华文仿宋" w:cstheme="minorBidi"/>
          <w:kern w:val="2"/>
          <w:sz w:val="36"/>
          <w:szCs w:val="22"/>
        </w:rPr>
      </w:pPr>
      <w:r>
        <w:rPr>
          <w:rFonts w:hint="eastAsia" w:hAnsi="华文仿宋" w:eastAsia="华文仿宋"/>
          <w:sz w:val="36"/>
        </w:rPr>
        <w:t>第五章　投标文件构成及格式</w:t>
      </w:r>
      <w:r>
        <w:rPr>
          <w:rFonts w:hAnsi="华文仿宋" w:eastAsia="华文仿宋"/>
          <w:sz w:val="36"/>
        </w:rPr>
        <w:tab/>
      </w:r>
      <w:r>
        <w:rPr>
          <w:rFonts w:hAnsi="华文仿宋" w:eastAsia="华文仿宋"/>
          <w:sz w:val="36"/>
        </w:rPr>
        <w:fldChar w:fldCharType="begin"/>
      </w:r>
      <w:r>
        <w:rPr>
          <w:rFonts w:hAnsi="华文仿宋" w:eastAsia="华文仿宋"/>
          <w:sz w:val="36"/>
        </w:rPr>
        <w:instrText xml:space="preserve"> PAGEREF _Toc194075976 \h </w:instrText>
      </w:r>
      <w:r>
        <w:rPr>
          <w:rFonts w:hAnsi="华文仿宋" w:eastAsia="华文仿宋"/>
          <w:sz w:val="36"/>
        </w:rPr>
        <w:fldChar w:fldCharType="separate"/>
      </w:r>
      <w:r>
        <w:rPr>
          <w:rFonts w:hAnsi="华文仿宋" w:eastAsia="华文仿宋"/>
          <w:sz w:val="36"/>
        </w:rPr>
        <w:t>92</w:t>
      </w:r>
      <w:r>
        <w:rPr>
          <w:rFonts w:hAnsi="华文仿宋" w:eastAsia="华文仿宋"/>
          <w:sz w:val="36"/>
        </w:rPr>
        <w:fldChar w:fldCharType="end"/>
      </w:r>
    </w:p>
    <w:p>
      <w:pPr>
        <w:widowControl w:val="0"/>
        <w:tabs>
          <w:tab w:val="right" w:leader="hyphen" w:pos="8504"/>
        </w:tabs>
        <w:topLinePunct/>
        <w:ind w:left="1920" w:leftChars="200" w:right="480" w:rightChars="200" w:hanging="1440" w:hangingChars="400"/>
        <w:jc w:val="both"/>
        <w:rPr>
          <w:rFonts w:eastAsia="宋体" w:cstheme="minorHAnsi"/>
          <w:sz w:val="36"/>
          <w:szCs w:val="36"/>
        </w:rPr>
        <w:sectPr>
          <w:headerReference r:id="rId3" w:type="default"/>
          <w:footerReference r:id="rId5" w:type="default"/>
          <w:headerReference r:id="rId4" w:type="even"/>
          <w:footerReference r:id="rId6" w:type="even"/>
          <w:pgSz w:w="11906" w:h="16838"/>
          <w:pgMar w:top="1418" w:right="1418" w:bottom="1418" w:left="1418" w:header="851" w:footer="992" w:gutter="0"/>
          <w:pgNumType w:start="1"/>
          <w:cols w:space="425" w:num="1"/>
          <w:docGrid w:type="linesAndChars" w:linePitch="460" w:charSpace="0"/>
        </w:sectPr>
      </w:pPr>
      <w:r>
        <w:rPr>
          <w:rFonts w:ascii="Calibri" w:hAnsi="华文仿宋" w:eastAsia="华文仿宋" w:cstheme="minorHAnsi"/>
          <w:kern w:val="32"/>
          <w:sz w:val="36"/>
          <w:szCs w:val="30"/>
        </w:rPr>
        <w:fldChar w:fldCharType="end"/>
      </w:r>
    </w:p>
    <w:p>
      <w:pPr>
        <w:pStyle w:val="2"/>
        <w:spacing w:beforeLines="0" w:afterLines="0"/>
      </w:pPr>
      <w:bookmarkStart w:id="0" w:name="_Toc194075972"/>
      <w:bookmarkStart w:id="1" w:name="_Toc100219612"/>
      <w:bookmarkStart w:id="2" w:name="_Toc190678195"/>
      <w:r>
        <w:rPr>
          <w:rFonts w:hint="eastAsia"/>
        </w:rPr>
        <w:t>第一章　投标邀请函</w:t>
      </w:r>
      <w:bookmarkEnd w:id="0"/>
      <w:bookmarkEnd w:id="1"/>
      <w:bookmarkEnd w:id="2"/>
    </w:p>
    <w:p>
      <w:pPr>
        <w:widowControl w:val="0"/>
        <w:topLinePunct/>
        <w:ind w:firstLine="480" w:firstLineChars="200"/>
        <w:jc w:val="both"/>
      </w:pPr>
      <w:r>
        <w:rPr>
          <w:rFonts w:hint="eastAsia"/>
        </w:rPr>
        <w:t>西安市市级单位政府采购中心受</w:t>
      </w:r>
      <w:r>
        <w:rPr>
          <w:rFonts w:hint="eastAsia"/>
          <w:color w:val="C00000"/>
        </w:rPr>
        <w:t>西安市中医医院</w:t>
      </w:r>
      <w:r>
        <w:rPr>
          <w:rFonts w:hint="eastAsia"/>
        </w:rPr>
        <w:t>的委托，经政府采购监管部门批准，按照政府采购程序，对</w:t>
      </w:r>
      <w:r>
        <w:rPr>
          <w:rFonts w:hint="eastAsia"/>
          <w:color w:val="C00000"/>
        </w:rPr>
        <w:t>西安市中医医院南院区后勤社会化托管服务</w:t>
      </w:r>
      <w:r>
        <w:rPr>
          <w:rFonts w:hint="eastAsia"/>
        </w:rPr>
        <w:t>项目进行公开招标，欢迎符合资格条件的、有能力提供本项目所需服务的供应商参加投标。</w:t>
      </w:r>
    </w:p>
    <w:p>
      <w:pPr>
        <w:widowControl w:val="0"/>
        <w:topLinePunct/>
        <w:ind w:firstLine="480" w:firstLineChars="200"/>
        <w:jc w:val="both"/>
        <w:rPr>
          <w:b/>
        </w:rPr>
      </w:pPr>
      <w:r>
        <w:rPr>
          <w:rFonts w:hint="eastAsia"/>
          <w:b/>
        </w:rPr>
        <w:t>一、项目基本信息：</w:t>
      </w:r>
    </w:p>
    <w:p>
      <w:pPr>
        <w:widowControl w:val="0"/>
        <w:topLinePunct/>
        <w:ind w:firstLine="480" w:firstLineChars="200"/>
        <w:jc w:val="both"/>
      </w:pPr>
      <w:r>
        <w:t>项目</w:t>
      </w:r>
      <w:r>
        <w:rPr>
          <w:rFonts w:hint="eastAsia"/>
        </w:rPr>
        <w:t>名称：</w:t>
      </w:r>
      <w:r>
        <w:rPr>
          <w:rFonts w:hint="eastAsia"/>
          <w:color w:val="C00000"/>
        </w:rPr>
        <w:t>西安市中医医院南院区后勤社会化托管服务项目</w:t>
      </w:r>
    </w:p>
    <w:p>
      <w:pPr>
        <w:widowControl w:val="0"/>
        <w:topLinePunct/>
        <w:ind w:firstLine="480" w:firstLineChars="200"/>
        <w:jc w:val="both"/>
      </w:pPr>
      <w:r>
        <w:rPr>
          <w:rFonts w:hint="eastAsia"/>
        </w:rPr>
        <w:t>项目编号：</w:t>
      </w:r>
      <w:r>
        <w:rPr>
          <w:rFonts w:hint="eastAsia"/>
          <w:color w:val="C00000"/>
        </w:rPr>
        <w:t>XCZX2024-0195</w:t>
      </w:r>
    </w:p>
    <w:p>
      <w:pPr>
        <w:widowControl w:val="0"/>
        <w:topLinePunct/>
        <w:ind w:firstLine="480" w:firstLineChars="200"/>
        <w:jc w:val="both"/>
        <w:rPr>
          <w:color w:val="C00000"/>
        </w:rPr>
      </w:pPr>
      <w:r>
        <w:t>备案编号：</w:t>
      </w:r>
      <w:r>
        <w:rPr>
          <w:color w:val="C00000"/>
        </w:rPr>
        <w:t>ZCBN-西安市-2024-06159</w:t>
      </w:r>
    </w:p>
    <w:p>
      <w:pPr>
        <w:widowControl w:val="0"/>
        <w:topLinePunct/>
        <w:ind w:firstLine="480" w:firstLineChars="200"/>
        <w:jc w:val="both"/>
      </w:pPr>
      <w:r>
        <w:rPr>
          <w:rFonts w:hint="eastAsia"/>
          <w:b/>
        </w:rPr>
        <w:t>二、项目性质：</w:t>
      </w:r>
      <w:sdt>
        <w:sdtPr>
          <w:rPr>
            <w:rFonts w:hint="eastAsia"/>
            <w:color w:val="C00000"/>
          </w:rPr>
          <w:alias w:val="@项目性质"/>
          <w:tag w:val="@项目性质"/>
          <w:id w:val="1366255977"/>
          <w:placeholder>
            <w:docPart w:val="9E144EFA519D4C9FA390E1330E3F5185"/>
          </w:placeholder>
          <w:temporary/>
          <w:dropDownList>
            <w:listItem w:displayText="非专门面向中小企业的采购项目" w:value="非专门面向中小企业的采购项目"/>
            <w:listItem w:displayText="专门面向中小企业的采购项目" w:value="专门面向中小企业的采购项目"/>
            <w:listItem w:displayText="专门面向小微企业的采购项目" w:value="专门面向小微企业的采购项目"/>
          </w:dropDownList>
        </w:sdtPr>
        <w:sdtEndPr>
          <w:rPr>
            <w:rFonts w:hint="default"/>
            <w:color w:val="C00000"/>
          </w:rPr>
        </w:sdtEndPr>
        <w:sdtContent>
          <w:r>
            <w:rPr>
              <w:rFonts w:hint="eastAsia"/>
              <w:color w:val="C00000"/>
            </w:rPr>
            <w:t>非专门面向中小企业的采购项目</w:t>
          </w:r>
        </w:sdtContent>
      </w:sdt>
    </w:p>
    <w:p>
      <w:pPr>
        <w:widowControl w:val="0"/>
        <w:topLinePunct/>
        <w:ind w:firstLine="480" w:firstLineChars="200"/>
        <w:jc w:val="both"/>
        <w:rPr>
          <w:color w:val="C00000"/>
        </w:rPr>
      </w:pPr>
      <w:r>
        <w:rPr>
          <w:rFonts w:hint="eastAsia"/>
          <w:b/>
        </w:rPr>
        <w:t>三、采购预算：</w:t>
      </w:r>
      <w:r>
        <w:rPr>
          <w:rFonts w:hint="eastAsia"/>
          <w:color w:val="C00000"/>
        </w:rPr>
        <w:t>三年共42000000</w:t>
      </w:r>
      <w:r>
        <w:rPr>
          <w:color w:val="C00000"/>
        </w:rPr>
        <w:t>元</w:t>
      </w:r>
      <w:r>
        <w:rPr>
          <w:rFonts w:hint="eastAsia"/>
          <w:color w:val="C00000"/>
        </w:rPr>
        <w:t>（最高限价42000000元）</w:t>
      </w:r>
    </w:p>
    <w:p>
      <w:pPr>
        <w:widowControl w:val="0"/>
        <w:topLinePunct/>
        <w:ind w:firstLine="480" w:firstLineChars="200"/>
        <w:jc w:val="both"/>
      </w:pPr>
      <w:r>
        <w:rPr>
          <w:b/>
        </w:rPr>
        <w:t>四、采购</w:t>
      </w:r>
      <w:r>
        <w:rPr>
          <w:rFonts w:hint="eastAsia"/>
          <w:b/>
        </w:rPr>
        <w:t>内容和要求：</w:t>
      </w:r>
      <w:r>
        <w:rPr>
          <w:rFonts w:cs="Tahoma"/>
          <w:color w:val="C00000"/>
        </w:rPr>
        <w:t>西安市中医医院南院区后勤社会化托管服务项目</w:t>
      </w:r>
      <w:r>
        <w:rPr>
          <w:rFonts w:hint="eastAsia"/>
        </w:rPr>
        <w:t>。本项目累计服务期为三年。</w:t>
      </w:r>
      <w:r>
        <w:t>详见招标文件第三章〈招标内容及要求〉。</w:t>
      </w:r>
    </w:p>
    <w:p>
      <w:pPr>
        <w:widowControl w:val="0"/>
        <w:topLinePunct/>
        <w:ind w:firstLine="480" w:firstLineChars="200"/>
        <w:jc w:val="both"/>
      </w:pPr>
      <w:r>
        <w:rPr>
          <w:rFonts w:hint="eastAsia"/>
        </w:rPr>
        <w:t>详见第三章「招标内容及要求」。</w:t>
      </w:r>
    </w:p>
    <w:p>
      <w:pPr>
        <w:widowControl w:val="0"/>
        <w:topLinePunct/>
        <w:ind w:firstLine="480" w:firstLineChars="200"/>
        <w:jc w:val="both"/>
        <w:rPr>
          <w:b/>
        </w:rPr>
      </w:pPr>
      <w:r>
        <w:rPr>
          <w:rFonts w:hint="eastAsia"/>
          <w:b/>
        </w:rPr>
        <w:t>五、供应商的资格条件：</w:t>
      </w:r>
    </w:p>
    <w:p>
      <w:pPr>
        <w:widowControl w:val="0"/>
        <w:topLinePunct/>
        <w:ind w:firstLine="480" w:firstLineChars="200"/>
        <w:jc w:val="both"/>
      </w:pPr>
      <w:r>
        <w:rPr>
          <w:rFonts w:hint="eastAsia"/>
        </w:rPr>
        <w:t>详</w:t>
      </w:r>
      <w:r>
        <w:t>见第二章「资格性审查表」。</w:t>
      </w:r>
    </w:p>
    <w:p>
      <w:pPr>
        <w:widowControl w:val="0"/>
        <w:topLinePunct/>
        <w:ind w:firstLine="480" w:firstLineChars="200"/>
        <w:jc w:val="both"/>
        <w:rPr>
          <w:b/>
        </w:rPr>
      </w:pPr>
      <w:r>
        <w:rPr>
          <w:rFonts w:hint="eastAsia"/>
          <w:b/>
        </w:rPr>
        <w:t>六、执行的其他政府采购政策：</w:t>
      </w:r>
    </w:p>
    <w:p>
      <w:pPr>
        <w:widowControl w:val="0"/>
        <w:topLinePunct/>
        <w:ind w:firstLine="480" w:firstLineChars="200"/>
        <w:jc w:val="both"/>
      </w:pPr>
      <w:r>
        <w:rPr>
          <w:rFonts w:hint="eastAsia"/>
        </w:rPr>
        <w:t>1．《政府采购促进中小企业发展管理办法》（财库〔2020〕46号），《关于进一步加大政府采购支持中小企业力度的通知》（财库〔2022〕19号）。</w:t>
      </w:r>
    </w:p>
    <w:p>
      <w:pPr>
        <w:widowControl w:val="0"/>
        <w:topLinePunct/>
        <w:ind w:firstLine="480" w:firstLineChars="200"/>
        <w:jc w:val="both"/>
      </w:pPr>
      <w:r>
        <w:rPr>
          <w:rFonts w:hint="eastAsia"/>
        </w:rPr>
        <w:t>2．《关于政府采购支持监狱企业发展有关问题的通知》（财库〔2014〕68号），《关于促进残疾人就业政府采购政策的通知》（财库〔2017〕141号）。</w:t>
      </w:r>
    </w:p>
    <w:p>
      <w:pPr>
        <w:ind w:firstLine="480" w:firstLineChars="200"/>
        <w:rPr>
          <w:rFonts w:cstheme="minorHAnsi"/>
        </w:rPr>
      </w:pPr>
      <w:r>
        <w:rPr>
          <w:rFonts w:hint="eastAsia"/>
        </w:rPr>
        <w:t>3．</w:t>
      </w:r>
      <w:r>
        <w:rPr>
          <w:rFonts w:hint="eastAsia" w:cstheme="minorHAnsi"/>
        </w:rPr>
        <w:t>国务院办公厅《关于建立政府强制采购节能产品制度的通知》（国办发〔2007〕51号）、《关于调整优化节能产品、环境标志产品政府采购执行机制的通知》（财库〔2019〕9号）、《关于印发环境标志产品政府采购品目清单的通知》（财库〔2019〕18号）、《关于印发节能产品政府采购品目清单的通知》（财库〔2019〕19号）</w:t>
      </w:r>
      <w:r>
        <w:rPr>
          <w:rFonts w:cstheme="minorHAnsi"/>
        </w:rPr>
        <w:t>。</w:t>
      </w:r>
    </w:p>
    <w:p>
      <w:pPr>
        <w:widowControl w:val="0"/>
        <w:topLinePunct/>
        <w:ind w:firstLine="480" w:firstLineChars="200"/>
        <w:jc w:val="both"/>
      </w:pPr>
      <w:r>
        <w:rPr>
          <w:rFonts w:hint="eastAsia"/>
        </w:rPr>
        <w:t>4．《陕西省财政厅关于加快推进我省中小企业政府采购信用融资工作的通知》（陕财办采〔2020〕15号），陕西省财政厅关于印发《陕西省中小企业政府采购信用融资办法》（陕财办采〔2018〕23号）。</w:t>
      </w:r>
    </w:p>
    <w:p>
      <w:pPr>
        <w:widowControl w:val="0"/>
        <w:topLinePunct/>
        <w:ind w:firstLine="480" w:firstLineChars="200"/>
        <w:jc w:val="both"/>
      </w:pPr>
      <w:r>
        <w:t>5</w:t>
      </w:r>
      <w:r>
        <w:rPr>
          <w:rFonts w:hint="eastAsia"/>
        </w:rPr>
        <w:t>．详见第二章「关于政府采购政策」。</w:t>
      </w:r>
    </w:p>
    <w:p>
      <w:pPr>
        <w:widowControl w:val="0"/>
        <w:topLinePunct/>
        <w:ind w:firstLine="480" w:firstLineChars="200"/>
        <w:jc w:val="both"/>
        <w:rPr>
          <w:b/>
        </w:rPr>
      </w:pPr>
      <w:r>
        <w:rPr>
          <w:rFonts w:hint="eastAsia"/>
          <w:b/>
        </w:rPr>
        <w:t>七、获取招标文件的时间及方式：</w:t>
      </w:r>
    </w:p>
    <w:p>
      <w:pPr>
        <w:widowControl w:val="0"/>
        <w:topLinePunct/>
        <w:ind w:firstLine="480" w:firstLineChars="200"/>
        <w:jc w:val="both"/>
      </w:pPr>
      <w:r>
        <w:rPr>
          <w:rFonts w:hint="eastAsia"/>
        </w:rPr>
        <w:t>1．获取时间：自招标公告发布之日起5个工作日内。</w:t>
      </w:r>
    </w:p>
    <w:p>
      <w:pPr>
        <w:widowControl w:val="0"/>
        <w:topLinePunct/>
        <w:ind w:firstLine="480" w:firstLineChars="200"/>
        <w:jc w:val="both"/>
      </w:pPr>
      <w:r>
        <w:t>2</w:t>
      </w:r>
      <w:r>
        <w:rPr>
          <w:rFonts w:hint="eastAsia"/>
        </w:rPr>
        <w:t>．获取方式：打开【</w:t>
      </w:r>
      <w:r>
        <w:rPr>
          <w:rFonts w:hint="eastAsia"/>
          <w:color w:val="7030A0"/>
        </w:rPr>
        <w:t>全国公共资源交易平台（陕西省</w:t>
      </w:r>
      <w:r>
        <w:rPr>
          <w:color w:val="7030A0"/>
        </w:rPr>
        <w:t>·</w:t>
      </w:r>
      <w:r>
        <w:rPr>
          <w:rFonts w:hint="eastAsia"/>
          <w:color w:val="7030A0"/>
        </w:rPr>
        <w:t>西安市）</w:t>
      </w:r>
      <w:r>
        <w:rPr>
          <w:rFonts w:hint="eastAsia"/>
        </w:rPr>
        <w:t>】网站（简称</w:t>
      </w:r>
      <w:r>
        <w:rPr>
          <w:rFonts w:hint="eastAsia"/>
          <w:color w:val="7030A0"/>
        </w:rPr>
        <w:t>西安市公共资源交易平台</w:t>
      </w:r>
      <w:r>
        <w:rPr>
          <w:rFonts w:hint="eastAsia"/>
        </w:rPr>
        <w:t>，门户链接：</w:t>
      </w:r>
      <w:r>
        <w:fldChar w:fldCharType="begin"/>
      </w:r>
      <w:r>
        <w:instrText xml:space="preserve"> HYPERLINK "http://sxggzyjy.xa.gov.cn/" </w:instrText>
      </w:r>
      <w:r>
        <w:fldChar w:fldCharType="separate"/>
      </w:r>
      <w:r>
        <w:rPr>
          <w:rStyle w:val="33"/>
          <w:rFonts w:hint="eastAsia"/>
        </w:rPr>
        <w:t>http://sxggzyjy.xa.gov.cn/</w:t>
      </w:r>
      <w:r>
        <w:rPr>
          <w:rStyle w:val="33"/>
          <w:rFonts w:hint="eastAsia"/>
        </w:rPr>
        <w:fldChar w:fldCharType="end"/>
      </w:r>
      <w:r>
        <w:rPr>
          <w:rFonts w:hint="eastAsia"/>
        </w:rPr>
        <w:t>），从〖首页</w:t>
      </w:r>
      <w:r>
        <w:t>·</w:t>
      </w:r>
      <w:r>
        <w:rPr>
          <w:rFonts w:hint="eastAsia"/>
        </w:rPr>
        <w:t>〉电子交易平台</w:t>
      </w:r>
      <w:r>
        <w:t>·</w:t>
      </w:r>
      <w:r>
        <w:rPr>
          <w:rFonts w:hint="eastAsia"/>
        </w:rPr>
        <w:t>〉陕西政府采购交易系统</w:t>
      </w:r>
      <w:r>
        <w:t>·</w:t>
      </w:r>
      <w:r>
        <w:rPr>
          <w:rFonts w:hint="eastAsia"/>
        </w:rPr>
        <w:t>〉企业端〗登录后，首先在〖招</w:t>
      </w:r>
      <w:r>
        <w:rPr>
          <w:rFonts w:hint="eastAsia"/>
          <w:w w:val="1"/>
        </w:rPr>
        <w:t xml:space="preserve"> </w:t>
      </w:r>
      <w:r>
        <w:rPr>
          <w:rFonts w:hint="eastAsia"/>
        </w:rPr>
        <w:t>标公告/出让公告〗模块中预览全部可供参与的项目，然后选择有意向的项目点击〖我要投</w:t>
      </w:r>
      <w:r>
        <w:rPr>
          <w:rFonts w:hint="eastAsia"/>
          <w:w w:val="1"/>
        </w:rPr>
        <w:t xml:space="preserve"> </w:t>
      </w:r>
      <w:r>
        <w:rPr>
          <w:rFonts w:hint="eastAsia"/>
        </w:rPr>
        <w:t>标〗，成功后切换到〖我的项目〗模块，依次点选〖项目流程</w:t>
      </w:r>
      <w:r>
        <w:t>·</w:t>
      </w:r>
      <w:r>
        <w:rPr>
          <w:rFonts w:hint="eastAsia"/>
        </w:rPr>
        <w:t>〉项目管理</w:t>
      </w:r>
      <w:r>
        <w:t>·</w:t>
      </w:r>
      <w:r>
        <w:rPr>
          <w:rFonts w:hint="eastAsia"/>
        </w:rPr>
        <w:t>〉交易文件下载〗免费获取本项目电子招标文件（*.SXSZF）。</w:t>
      </w:r>
    </w:p>
    <w:p>
      <w:pPr>
        <w:widowControl w:val="0"/>
        <w:topLinePunct/>
        <w:ind w:firstLine="480" w:firstLineChars="200"/>
        <w:jc w:val="both"/>
      </w:pPr>
      <w:r>
        <w:rPr>
          <w:rFonts w:hint="eastAsia"/>
        </w:rPr>
        <w:t>3．友情提示：</w:t>
      </w:r>
    </w:p>
    <w:p>
      <w:pPr>
        <w:widowControl w:val="0"/>
        <w:topLinePunct/>
        <w:ind w:firstLine="480" w:firstLineChars="200"/>
        <w:jc w:val="both"/>
      </w:pPr>
      <w:r>
        <w:rPr>
          <w:rFonts w:hint="eastAsia"/>
        </w:rPr>
        <w:t>（1）本项目为电子化政府采购项目，供应商初次登录西安市公共资源交易平台前应先完成诚信入库登记、CA认证和企业信息绑定。详见西安市公共资源交易平台〖首页</w:t>
      </w:r>
      <w:r>
        <w:t>·</w:t>
      </w:r>
      <w:r>
        <w:rPr>
          <w:rFonts w:hint="eastAsia"/>
        </w:rPr>
        <w:t>〉服务指南</w:t>
      </w:r>
      <w:r>
        <w:t>·</w:t>
      </w:r>
      <w:r>
        <w:rPr>
          <w:rFonts w:hint="eastAsia"/>
        </w:rPr>
        <w:t>〉下载专区〗中的《西安市市级单位电子化政府采购项目投</w:t>
      </w:r>
      <w:r>
        <w:rPr>
          <w:rFonts w:hint="eastAsia"/>
          <w:w w:val="1"/>
        </w:rPr>
        <w:t xml:space="preserve"> </w:t>
      </w:r>
      <w:r>
        <w:rPr>
          <w:rFonts w:hint="eastAsia"/>
        </w:rPr>
        <w:t>标指南》。</w:t>
      </w:r>
    </w:p>
    <w:p>
      <w:pPr>
        <w:widowControl w:val="0"/>
        <w:topLinePunct/>
        <w:ind w:firstLine="480" w:firstLineChars="200"/>
        <w:jc w:val="both"/>
      </w:pPr>
      <w:r>
        <w:rPr>
          <w:rFonts w:hint="eastAsia"/>
        </w:rPr>
        <w:t>（2）制作电子投标文件（*.SXSTF）需要使用专用制作工具。软件下载及操作说明详见西安市公共资源交易平台〖首页</w:t>
      </w:r>
      <w:r>
        <w:t>·</w:t>
      </w:r>
      <w:r>
        <w:rPr>
          <w:rFonts w:hint="eastAsia"/>
        </w:rPr>
        <w:t>〉服务指南</w:t>
      </w:r>
      <w:r>
        <w:t>·</w:t>
      </w:r>
      <w:r>
        <w:rPr>
          <w:rFonts w:hint="eastAsia"/>
        </w:rPr>
        <w:t>〉下载专区〗中的《政府采购项目投</w:t>
      </w:r>
      <w:r>
        <w:rPr>
          <w:rFonts w:hint="eastAsia"/>
          <w:w w:val="1"/>
        </w:rPr>
        <w:t xml:space="preserve"> </w:t>
      </w:r>
      <w:r>
        <w:rPr>
          <w:rFonts w:hint="eastAsia"/>
        </w:rPr>
        <w:t>标文件制作软件及操作手册》。</w:t>
      </w:r>
    </w:p>
    <w:p>
      <w:pPr>
        <w:widowControl w:val="0"/>
        <w:topLinePunct/>
        <w:ind w:firstLine="480" w:firstLineChars="200"/>
        <w:jc w:val="both"/>
      </w:pPr>
      <w:r>
        <w:rPr>
          <w:rFonts w:hint="eastAsia"/>
        </w:rPr>
        <w:t>（3）提交投标文件截止时间前，供应商应随时留意【</w:t>
      </w:r>
      <w:r>
        <w:rPr>
          <w:rFonts w:hint="eastAsia"/>
          <w:color w:val="7030A0"/>
        </w:rPr>
        <w:t>陕西省政府采购网</w:t>
      </w:r>
      <w:r>
        <w:rPr>
          <w:rFonts w:hint="eastAsia"/>
        </w:rPr>
        <w:t>】、【</w:t>
      </w:r>
      <w:r>
        <w:rPr>
          <w:rFonts w:hint="eastAsia"/>
          <w:color w:val="7030A0"/>
        </w:rPr>
        <w:t>全国公共资源交易平台（陕西省</w:t>
      </w:r>
      <w:r>
        <w:rPr>
          <w:color w:val="7030A0"/>
        </w:rPr>
        <w:t>·</w:t>
      </w:r>
      <w:r>
        <w:rPr>
          <w:rFonts w:hint="eastAsia"/>
          <w:color w:val="7030A0"/>
        </w:rPr>
        <w:t>西安市）</w:t>
      </w:r>
      <w:r>
        <w:rPr>
          <w:rFonts w:hint="eastAsia"/>
        </w:rPr>
        <w:t>】上可能发布的变更公告。若变更公告中明确注明本项目提供有变更文件的，供应商应登录企业端后，从〖项目流程</w:t>
      </w:r>
      <w:r>
        <w:t>·</w:t>
      </w:r>
      <w:r>
        <w:rPr>
          <w:rFonts w:hint="eastAsia"/>
        </w:rPr>
        <w:t>〉项目管理</w:t>
      </w:r>
      <w:r>
        <w:t>·</w:t>
      </w:r>
      <w:r>
        <w:rPr>
          <w:rFonts w:hint="eastAsia"/>
        </w:rPr>
        <w:t>〉答疑文件下载〗获取更新后的电子招标文件（*.SXSCF），使用旧版电子招标文件制作的电子投标文件（*.SXSTF），系统将拒绝接收。</w:t>
      </w:r>
    </w:p>
    <w:p>
      <w:pPr>
        <w:widowControl w:val="0"/>
        <w:topLinePunct/>
        <w:ind w:firstLine="480" w:firstLineChars="200"/>
        <w:jc w:val="both"/>
        <w:rPr>
          <w:b/>
        </w:rPr>
      </w:pPr>
      <w:r>
        <w:rPr>
          <w:rFonts w:hint="eastAsia"/>
          <w:b/>
        </w:rPr>
        <w:t>八、提交投标文件截止时间及方式：</w:t>
      </w:r>
    </w:p>
    <w:p>
      <w:pPr>
        <w:widowControl w:val="0"/>
        <w:topLinePunct/>
        <w:ind w:firstLine="480" w:firstLineChars="200"/>
        <w:jc w:val="both"/>
      </w:pPr>
      <w:r>
        <w:rPr>
          <w:rFonts w:hint="eastAsia"/>
        </w:rPr>
        <w:t>1．提交投标文件截止时间：</w:t>
      </w:r>
      <w:r>
        <w:rPr>
          <w:rFonts w:hint="eastAsia"/>
          <w:u w:val="single"/>
        </w:rPr>
        <w:t>2</w:t>
      </w:r>
      <w:r>
        <w:rPr>
          <w:u w:val="single"/>
        </w:rPr>
        <w:t>025</w:t>
      </w:r>
      <w:r>
        <w:rPr>
          <w:rFonts w:hint="eastAsia"/>
        </w:rPr>
        <w:t>年</w:t>
      </w:r>
      <w:r>
        <w:rPr>
          <w:u w:val="single"/>
        </w:rPr>
        <w:t>4</w:t>
      </w:r>
      <w:r>
        <w:rPr>
          <w:rFonts w:hint="eastAsia"/>
        </w:rPr>
        <w:t>月</w:t>
      </w:r>
      <w:r>
        <w:rPr>
          <w:u w:val="single"/>
        </w:rPr>
        <w:t>24</w:t>
      </w:r>
      <w:r>
        <w:rPr>
          <w:rFonts w:hint="eastAsia"/>
        </w:rPr>
        <w:t>日10:30，逾期提交的，系统将拒绝接收。</w:t>
      </w:r>
    </w:p>
    <w:p>
      <w:pPr>
        <w:widowControl w:val="0"/>
        <w:topLinePunct/>
        <w:ind w:firstLine="480" w:firstLineChars="200"/>
        <w:jc w:val="both"/>
      </w:pPr>
      <w:r>
        <w:rPr>
          <w:rFonts w:hint="eastAsia"/>
        </w:rPr>
        <w:t>2．提交投标文件的方式：从西安市公共资源交易平台〖首页</w:t>
      </w:r>
      <w:r>
        <w:t>·</w:t>
      </w:r>
      <w:r>
        <w:rPr>
          <w:rFonts w:hint="eastAsia"/>
        </w:rPr>
        <w:t>〉电子交易平台</w:t>
      </w:r>
      <w:r>
        <w:t>·</w:t>
      </w:r>
      <w:r>
        <w:rPr>
          <w:rFonts w:hint="eastAsia"/>
        </w:rPr>
        <w:t>〉陕西政府采购交易系统</w:t>
      </w:r>
      <w:r>
        <w:t>·</w:t>
      </w:r>
      <w:r>
        <w:rPr>
          <w:rFonts w:hint="eastAsia"/>
        </w:rPr>
        <w:t>〉企业端〗登录，登录后切换到〖我的项目〗模块，依次点选〖项目流程</w:t>
      </w:r>
      <w:r>
        <w:t>·</w:t>
      </w:r>
      <w:r>
        <w:rPr>
          <w:rFonts w:hint="eastAsia"/>
        </w:rPr>
        <w:t>〉项目管理</w:t>
      </w:r>
      <w:r>
        <w:t>·</w:t>
      </w:r>
      <w:r>
        <w:rPr>
          <w:rFonts w:hint="eastAsia"/>
        </w:rPr>
        <w:t>〉上传响</w:t>
      </w:r>
      <w:r>
        <w:rPr>
          <w:rFonts w:hint="eastAsia"/>
          <w:w w:val="1"/>
        </w:rPr>
        <w:t xml:space="preserve"> </w:t>
      </w:r>
      <w:r>
        <w:rPr>
          <w:rFonts w:hint="eastAsia"/>
        </w:rPr>
        <w:t>应文件〗上传加密后的电子投标文件（*.SXSTF）。</w:t>
      </w:r>
    </w:p>
    <w:p>
      <w:pPr>
        <w:widowControl w:val="0"/>
        <w:topLinePunct/>
        <w:ind w:firstLine="480" w:firstLineChars="200"/>
        <w:jc w:val="both"/>
      </w:pPr>
      <w:r>
        <w:rPr>
          <w:rFonts w:hint="eastAsia"/>
          <w:b/>
        </w:rPr>
        <w:t>九、开标时间、地点及形式：</w:t>
      </w:r>
    </w:p>
    <w:p>
      <w:pPr>
        <w:widowControl w:val="0"/>
        <w:topLinePunct/>
        <w:ind w:firstLine="480" w:firstLineChars="200"/>
        <w:jc w:val="both"/>
      </w:pPr>
      <w:r>
        <w:t>1</w:t>
      </w:r>
      <w:r>
        <w:rPr>
          <w:rFonts w:hint="eastAsia"/>
        </w:rPr>
        <w:t>．开标时间：</w:t>
      </w:r>
      <w:r>
        <w:rPr>
          <w:rFonts w:hint="eastAsia"/>
          <w:u w:val="single"/>
        </w:rPr>
        <w:t>2</w:t>
      </w:r>
      <w:r>
        <w:rPr>
          <w:u w:val="single"/>
        </w:rPr>
        <w:t>025</w:t>
      </w:r>
      <w:r>
        <w:rPr>
          <w:rFonts w:hint="eastAsia"/>
        </w:rPr>
        <w:t>年</w:t>
      </w:r>
      <w:r>
        <w:rPr>
          <w:u w:val="single"/>
        </w:rPr>
        <w:t>4</w:t>
      </w:r>
      <w:r>
        <w:rPr>
          <w:rFonts w:hint="eastAsia"/>
        </w:rPr>
        <w:t>月</w:t>
      </w:r>
      <w:r>
        <w:rPr>
          <w:u w:val="single"/>
        </w:rPr>
        <w:t>24</w:t>
      </w:r>
      <w:r>
        <w:rPr>
          <w:rFonts w:hint="eastAsia"/>
        </w:rPr>
        <w:t>日10:30</w:t>
      </w:r>
    </w:p>
    <w:p>
      <w:pPr>
        <w:widowControl w:val="0"/>
        <w:topLinePunct/>
        <w:ind w:firstLine="480" w:firstLineChars="200"/>
        <w:jc w:val="both"/>
      </w:pPr>
      <w:r>
        <w:rPr>
          <w:rFonts w:hint="eastAsia"/>
        </w:rPr>
        <w:t>2．</w:t>
      </w:r>
      <w:r>
        <w:t>开标</w:t>
      </w:r>
      <w:r>
        <w:rPr>
          <w:rFonts w:hint="eastAsia"/>
        </w:rPr>
        <w:t>地点：本集采机构虚拟开标室</w:t>
      </w:r>
      <w:r>
        <w:rPr>
          <w:u w:val="single"/>
        </w:rPr>
        <w:t>5</w:t>
      </w:r>
      <w:r>
        <w:rPr>
          <w:rFonts w:hint="eastAsia"/>
        </w:rPr>
        <w:t>。</w:t>
      </w:r>
    </w:p>
    <w:p>
      <w:pPr>
        <w:widowControl w:val="0"/>
        <w:topLinePunct/>
        <w:ind w:firstLine="480" w:firstLineChars="200"/>
        <w:jc w:val="both"/>
      </w:pPr>
      <w:r>
        <w:t>3</w:t>
      </w:r>
      <w:r>
        <w:rPr>
          <w:rFonts w:hint="eastAsia"/>
        </w:rPr>
        <w:t>．开标形式：本项目将采用“不见面开</w:t>
      </w:r>
      <w:r>
        <w:rPr>
          <w:rFonts w:hint="eastAsia"/>
          <w:w w:val="1"/>
        </w:rPr>
        <w:t xml:space="preserve"> </w:t>
      </w:r>
      <w:r>
        <w:rPr>
          <w:rFonts w:hint="eastAsia"/>
        </w:rPr>
        <w:t>标”形式。操作说明详见平台〖首页</w:t>
      </w:r>
      <w:r>
        <w:t>·</w:t>
      </w:r>
      <w:r>
        <w:rPr>
          <w:rFonts w:hint="eastAsia"/>
        </w:rPr>
        <w:t>〉服务指南</w:t>
      </w:r>
      <w:r>
        <w:t>·</w:t>
      </w:r>
      <w:r>
        <w:rPr>
          <w:rFonts w:hint="eastAsia"/>
        </w:rPr>
        <w:t>〉下载专区〗中的《西安公共资源交易不见面开</w:t>
      </w:r>
      <w:r>
        <w:rPr>
          <w:rFonts w:hint="eastAsia"/>
          <w:w w:val="1"/>
        </w:rPr>
        <w:t xml:space="preserve"> </w:t>
      </w:r>
      <w:r>
        <w:rPr>
          <w:rFonts w:hint="eastAsia"/>
        </w:rPr>
        <w:t>标大厅供应商操作手册》。</w:t>
      </w:r>
    </w:p>
    <w:p>
      <w:pPr>
        <w:widowControl w:val="0"/>
        <w:topLinePunct/>
        <w:ind w:firstLine="480" w:firstLineChars="200"/>
        <w:jc w:val="both"/>
        <w:rPr>
          <w:b/>
        </w:rPr>
      </w:pPr>
      <w:r>
        <w:rPr>
          <w:rFonts w:hint="eastAsia"/>
          <w:b/>
        </w:rPr>
        <w:t>十、联系方式：</w:t>
      </w:r>
    </w:p>
    <w:p>
      <w:pPr>
        <w:widowControl w:val="0"/>
        <w:topLinePunct/>
        <w:ind w:firstLine="480" w:firstLineChars="200"/>
        <w:jc w:val="both"/>
      </w:pPr>
      <w:r>
        <w:rPr>
          <w:rFonts w:hint="eastAsia"/>
        </w:rPr>
        <w:t>1．采购人：西安市中医医院</w:t>
      </w:r>
    </w:p>
    <w:p>
      <w:pPr>
        <w:widowControl w:val="0"/>
        <w:topLinePunct/>
        <w:ind w:firstLine="480" w:firstLineChars="200"/>
        <w:jc w:val="both"/>
      </w:pPr>
      <w:r>
        <w:t>地址：</w:t>
      </w:r>
      <w:r>
        <w:rPr>
          <w:rFonts w:hint="eastAsia"/>
        </w:rPr>
        <w:t>西安市未央区凤城八路69号</w:t>
      </w:r>
    </w:p>
    <w:p>
      <w:pPr>
        <w:widowControl w:val="0"/>
        <w:topLinePunct/>
        <w:ind w:firstLine="480" w:firstLineChars="200"/>
        <w:jc w:val="both"/>
      </w:pPr>
      <w:r>
        <w:t>联系人：</w:t>
      </w:r>
      <w:r>
        <w:rPr>
          <w:rFonts w:hint="eastAsia"/>
        </w:rPr>
        <w:t>薛</w:t>
      </w:r>
      <w:r>
        <w:t>老师</w:t>
      </w:r>
    </w:p>
    <w:p>
      <w:pPr>
        <w:widowControl w:val="0"/>
        <w:topLinePunct/>
        <w:ind w:firstLine="480" w:firstLineChars="200"/>
        <w:jc w:val="both"/>
      </w:pPr>
      <w:r>
        <w:t>联系电话：</w:t>
      </w:r>
      <w:r>
        <w:rPr>
          <w:rFonts w:hint="eastAsia"/>
        </w:rPr>
        <w:t>0</w:t>
      </w:r>
      <w:r>
        <w:t>29-89626819</w:t>
      </w:r>
    </w:p>
    <w:p>
      <w:pPr>
        <w:widowControl w:val="0"/>
        <w:topLinePunct/>
        <w:ind w:firstLine="480" w:firstLineChars="200"/>
        <w:jc w:val="both"/>
      </w:pPr>
      <w:r>
        <w:rPr>
          <w:rFonts w:hint="eastAsia"/>
        </w:rPr>
        <w:t>2．采购代理机构：西安市市级单位政府采购中心</w:t>
      </w:r>
    </w:p>
    <w:p>
      <w:pPr>
        <w:widowControl w:val="0"/>
        <w:topLinePunct/>
        <w:ind w:firstLine="480" w:firstLineChars="200"/>
        <w:jc w:val="both"/>
      </w:pPr>
      <w:r>
        <w:rPr>
          <w:rFonts w:hint="eastAsia"/>
        </w:rPr>
        <w:t>地址：西安市未央区文景北路16号白桦林国际B座</w:t>
      </w:r>
    </w:p>
    <w:p>
      <w:pPr>
        <w:widowControl w:val="0"/>
        <w:topLinePunct/>
        <w:ind w:firstLine="480" w:firstLineChars="200"/>
        <w:jc w:val="both"/>
      </w:pPr>
      <w:r>
        <w:rPr>
          <w:rFonts w:hint="eastAsia"/>
        </w:rPr>
        <w:t>总机：029-86510091/86510092/86510093</w:t>
      </w:r>
    </w:p>
    <w:p>
      <w:pPr>
        <w:widowControl w:val="0"/>
        <w:topLinePunct/>
        <w:ind w:firstLine="480" w:firstLineChars="200"/>
        <w:jc w:val="both"/>
      </w:pPr>
      <w:r>
        <w:rPr>
          <w:rFonts w:hint="eastAsia"/>
        </w:rPr>
        <w:t>标书联系人及分机号：冯老师（</w:t>
      </w:r>
      <w:r>
        <w:t>80846</w:t>
      </w:r>
      <w:r>
        <w:rPr>
          <w:rFonts w:hint="eastAsia"/>
        </w:rPr>
        <w:t>）</w:t>
      </w:r>
    </w:p>
    <w:p>
      <w:pPr>
        <w:widowControl w:val="0"/>
        <w:topLinePunct/>
        <w:ind w:firstLine="480" w:firstLineChars="200"/>
        <w:jc w:val="both"/>
      </w:pPr>
      <w:r>
        <w:rPr>
          <w:rFonts w:hint="eastAsia"/>
        </w:rPr>
        <w:t>开标联系人及分机号：苏老师</w:t>
      </w:r>
      <w:r>
        <w:t>（80837）</w:t>
      </w:r>
    </w:p>
    <w:p>
      <w:pPr>
        <w:widowControl w:val="0"/>
        <w:topLinePunct/>
        <w:jc w:val="both"/>
      </w:pPr>
    </w:p>
    <w:p>
      <w:pPr>
        <w:widowControl w:val="0"/>
        <w:topLinePunct/>
        <w:jc w:val="both"/>
        <w:sectPr>
          <w:headerReference r:id="rId7" w:type="default"/>
          <w:footerReference r:id="rId9" w:type="default"/>
          <w:headerReference r:id="rId8" w:type="even"/>
          <w:footerReference r:id="rId10" w:type="even"/>
          <w:pgSz w:w="11906" w:h="16838"/>
          <w:pgMar w:top="1418" w:right="1418" w:bottom="1418" w:left="1418" w:header="851" w:footer="851" w:gutter="0"/>
          <w:pgNumType w:start="1"/>
          <w:cols w:space="425" w:num="1"/>
          <w:docGrid w:type="linesAndChars" w:linePitch="460" w:charSpace="0"/>
        </w:sectPr>
      </w:pPr>
    </w:p>
    <w:p>
      <w:pPr>
        <w:pStyle w:val="2"/>
        <w:spacing w:before="230" w:after="230"/>
      </w:pPr>
      <w:bookmarkStart w:id="3" w:name="_Toc100219613"/>
      <w:bookmarkStart w:id="4" w:name="_Toc534656414"/>
      <w:bookmarkStart w:id="5" w:name="_Toc97563329"/>
      <w:bookmarkStart w:id="6" w:name="_Toc533363235"/>
      <w:bookmarkStart w:id="7" w:name="_Toc194075973"/>
      <w:bookmarkStart w:id="8" w:name="_Toc534656409"/>
      <w:bookmarkStart w:id="9" w:name="_Toc533363262"/>
      <w:bookmarkStart w:id="10" w:name="_Toc190678196"/>
      <w:bookmarkStart w:id="11" w:name="_Toc498349068"/>
      <w:bookmarkStart w:id="12" w:name="_Toc445407251"/>
      <w:r>
        <w:t>第二章</w:t>
      </w:r>
      <w:r>
        <w:rPr>
          <w:rFonts w:hint="eastAsia"/>
        </w:rPr>
        <w:t>　</w:t>
      </w:r>
      <w:r>
        <w:t>供应商须知</w:t>
      </w:r>
      <w:bookmarkEnd w:id="3"/>
      <w:bookmarkEnd w:id="4"/>
      <w:bookmarkEnd w:id="5"/>
      <w:bookmarkEnd w:id="6"/>
      <w:bookmarkEnd w:id="7"/>
      <w:bookmarkEnd w:id="8"/>
      <w:bookmarkEnd w:id="9"/>
      <w:bookmarkEnd w:id="10"/>
      <w:bookmarkEnd w:id="11"/>
      <w:bookmarkEnd w:id="12"/>
    </w:p>
    <w:p>
      <w:pPr>
        <w:jc w:val="center"/>
        <w:outlineLvl w:val="2"/>
        <w:rPr>
          <w:rFonts w:cstheme="minorHAnsi"/>
        </w:rPr>
      </w:pPr>
      <w:r>
        <w:rPr>
          <w:rFonts w:hint="eastAsia" w:ascii="黑体" w:hAnsi="黑体" w:eastAsia="黑体" w:cstheme="minorHAnsi"/>
          <w:color w:val="0070C0"/>
          <w:sz w:val="32"/>
          <w:szCs w:val="32"/>
        </w:rPr>
        <w:t>『前附表』</w:t>
      </w:r>
    </w:p>
    <w:tbl>
      <w:tblPr>
        <w:tblStyle w:val="27"/>
        <w:tblW w:w="0" w:type="auto"/>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694"/>
        <w:gridCol w:w="2410"/>
        <w:gridCol w:w="5766"/>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94" w:type="dxa"/>
            <w:tcBorders>
              <w:top w:val="single" w:color="auto" w:sz="12" w:space="0"/>
              <w:bottom w:val="single" w:color="auto" w:sz="2" w:space="0"/>
            </w:tcBorders>
            <w:shd w:val="clear" w:color="auto" w:fill="F1F1F1" w:themeFill="background1" w:themeFillShade="F2"/>
            <w:vAlign w:val="center"/>
          </w:tcPr>
          <w:p>
            <w:pPr>
              <w:spacing w:line="320" w:lineRule="exact"/>
              <w:jc w:val="center"/>
              <w:rPr>
                <w:rFonts w:ascii="Calibri" w:hAnsi="宋体" w:eastAsia="宋体" w:cstheme="minorHAnsi"/>
                <w:b/>
                <w:sz w:val="21"/>
              </w:rPr>
            </w:pPr>
            <w:r>
              <w:rPr>
                <w:rFonts w:hint="eastAsia" w:ascii="Calibri" w:hAnsi="宋体" w:eastAsia="宋体" w:cstheme="minorHAnsi"/>
                <w:b/>
                <w:sz w:val="21"/>
              </w:rPr>
              <w:t>序号</w:t>
            </w:r>
          </w:p>
        </w:tc>
        <w:tc>
          <w:tcPr>
            <w:tcW w:w="2410" w:type="dxa"/>
            <w:tcBorders>
              <w:top w:val="single" w:color="auto" w:sz="12" w:space="0"/>
              <w:bottom w:val="single" w:color="auto" w:sz="2" w:space="0"/>
            </w:tcBorders>
            <w:shd w:val="clear" w:color="auto" w:fill="F1F1F1" w:themeFill="background1" w:themeFillShade="F2"/>
            <w:vAlign w:val="center"/>
          </w:tcPr>
          <w:p>
            <w:pPr>
              <w:spacing w:line="320" w:lineRule="exact"/>
              <w:jc w:val="center"/>
              <w:rPr>
                <w:rFonts w:ascii="Calibri" w:hAnsi="宋体" w:eastAsia="宋体" w:cstheme="minorHAnsi"/>
                <w:b/>
                <w:sz w:val="21"/>
              </w:rPr>
            </w:pPr>
            <w:r>
              <w:rPr>
                <w:rFonts w:hint="eastAsia" w:ascii="Calibri" w:hAnsi="宋体" w:eastAsia="宋体" w:cstheme="minorHAnsi"/>
                <w:b/>
                <w:sz w:val="21"/>
              </w:rPr>
              <w:t>内容</w:t>
            </w:r>
          </w:p>
        </w:tc>
        <w:tc>
          <w:tcPr>
            <w:tcW w:w="5766" w:type="dxa"/>
            <w:tcBorders>
              <w:top w:val="single" w:color="auto" w:sz="12" w:space="0"/>
              <w:bottom w:val="single" w:color="auto" w:sz="2" w:space="0"/>
            </w:tcBorders>
            <w:shd w:val="clear" w:color="auto" w:fill="F1F1F1" w:themeFill="background1" w:themeFillShade="F2"/>
            <w:vAlign w:val="center"/>
          </w:tcPr>
          <w:p>
            <w:pPr>
              <w:spacing w:line="320" w:lineRule="exact"/>
              <w:jc w:val="center"/>
              <w:rPr>
                <w:rFonts w:ascii="Calibri" w:hAnsi="宋体" w:eastAsia="宋体" w:cstheme="minorHAnsi"/>
                <w:b/>
                <w:sz w:val="21"/>
              </w:rPr>
            </w:pPr>
            <w:r>
              <w:rPr>
                <w:rFonts w:hint="eastAsia" w:ascii="Calibri" w:hAnsi="宋体" w:eastAsia="宋体" w:cstheme="minorHAnsi"/>
                <w:b/>
                <w:sz w:val="21"/>
              </w:rPr>
              <w:t>说明和要求</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94" w:type="dxa"/>
            <w:tcBorders>
              <w:top w:val="single" w:color="auto" w:sz="2" w:space="0"/>
            </w:tcBorders>
            <w:shd w:val="clear" w:color="auto" w:fill="auto"/>
            <w:vAlign w:val="center"/>
          </w:tcPr>
          <w:p>
            <w:pPr>
              <w:pStyle w:val="70"/>
              <w:numPr>
                <w:ilvl w:val="0"/>
                <w:numId w:val="4"/>
              </w:numPr>
              <w:spacing w:line="320" w:lineRule="exact"/>
              <w:ind w:left="0" w:firstLine="210" w:firstLineChars="100"/>
              <w:rPr>
                <w:rFonts w:ascii="Calibri" w:hAnsi="宋体" w:eastAsia="宋体" w:cstheme="minorHAnsi"/>
                <w:sz w:val="21"/>
              </w:rPr>
            </w:pPr>
          </w:p>
        </w:tc>
        <w:tc>
          <w:tcPr>
            <w:tcW w:w="2410" w:type="dxa"/>
            <w:tcBorders>
              <w:top w:val="single" w:color="auto" w:sz="2" w:space="0"/>
            </w:tcBorders>
            <w:shd w:val="clear" w:color="auto" w:fill="auto"/>
            <w:vAlign w:val="center"/>
          </w:tcPr>
          <w:p>
            <w:pPr>
              <w:spacing w:line="320" w:lineRule="exact"/>
              <w:rPr>
                <w:rFonts w:ascii="Calibri" w:hAnsi="宋体" w:eastAsia="宋体" w:cstheme="minorHAnsi"/>
                <w:sz w:val="21"/>
              </w:rPr>
            </w:pPr>
            <w:r>
              <w:rPr>
                <w:rFonts w:hint="eastAsia" w:ascii="Calibri" w:hAnsi="宋体" w:eastAsia="宋体" w:cstheme="minorHAnsi"/>
                <w:sz w:val="21"/>
              </w:rPr>
              <w:t>项目名称</w:t>
            </w:r>
          </w:p>
        </w:tc>
        <w:tc>
          <w:tcPr>
            <w:tcW w:w="5766" w:type="dxa"/>
            <w:tcBorders>
              <w:top w:val="single" w:color="auto" w:sz="2" w:space="0"/>
            </w:tcBorders>
            <w:shd w:val="clear" w:color="auto" w:fill="auto"/>
            <w:vAlign w:val="center"/>
          </w:tcPr>
          <w:p>
            <w:pPr>
              <w:spacing w:line="320" w:lineRule="exact"/>
              <w:jc w:val="both"/>
              <w:rPr>
                <w:rFonts w:ascii="Calibri" w:hAnsi="宋体" w:eastAsia="宋体" w:cstheme="minorHAnsi"/>
                <w:sz w:val="21"/>
              </w:rPr>
            </w:pPr>
            <w:r>
              <w:rPr>
                <w:rFonts w:hint="eastAsia" w:ascii="Calibri" w:hAnsi="宋体" w:eastAsia="宋体" w:cstheme="minorHAnsi"/>
                <w:sz w:val="21"/>
              </w:rPr>
              <w:t>西安市中医医院南院区后勤社会化托管服务项目</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94" w:type="dxa"/>
            <w:shd w:val="clear" w:color="auto" w:fill="auto"/>
            <w:vAlign w:val="center"/>
          </w:tcPr>
          <w:p>
            <w:pPr>
              <w:pStyle w:val="70"/>
              <w:numPr>
                <w:ilvl w:val="0"/>
                <w:numId w:val="4"/>
              </w:numPr>
              <w:spacing w:line="320" w:lineRule="exact"/>
              <w:ind w:left="0" w:firstLine="210" w:firstLineChars="100"/>
              <w:rPr>
                <w:rFonts w:ascii="Calibri" w:hAnsi="宋体" w:eastAsia="宋体" w:cstheme="minorHAnsi"/>
                <w:sz w:val="21"/>
              </w:rPr>
            </w:pPr>
          </w:p>
        </w:tc>
        <w:tc>
          <w:tcPr>
            <w:tcW w:w="2410" w:type="dxa"/>
            <w:shd w:val="clear" w:color="auto" w:fill="auto"/>
            <w:vAlign w:val="center"/>
          </w:tcPr>
          <w:p>
            <w:pPr>
              <w:spacing w:line="320" w:lineRule="exact"/>
              <w:rPr>
                <w:rFonts w:ascii="Calibri" w:hAnsi="宋体" w:eastAsia="宋体" w:cstheme="minorHAnsi"/>
                <w:sz w:val="21"/>
              </w:rPr>
            </w:pPr>
            <w:r>
              <w:rPr>
                <w:rFonts w:hint="eastAsia" w:ascii="Calibri" w:hAnsi="宋体" w:eastAsia="宋体" w:cstheme="minorHAnsi"/>
                <w:sz w:val="21"/>
              </w:rPr>
              <w:t>项目编号</w:t>
            </w:r>
          </w:p>
        </w:tc>
        <w:tc>
          <w:tcPr>
            <w:tcW w:w="5766" w:type="dxa"/>
            <w:shd w:val="clear" w:color="auto" w:fill="auto"/>
            <w:vAlign w:val="center"/>
          </w:tcPr>
          <w:p>
            <w:pPr>
              <w:spacing w:line="320" w:lineRule="exact"/>
              <w:jc w:val="both"/>
              <w:rPr>
                <w:rFonts w:ascii="Calibri" w:hAnsi="宋体" w:eastAsia="宋体" w:cstheme="minorHAnsi"/>
                <w:sz w:val="21"/>
              </w:rPr>
            </w:pPr>
            <w:r>
              <w:rPr>
                <w:rFonts w:ascii="Calibri" w:hAnsi="宋体" w:eastAsia="宋体" w:cstheme="minorHAnsi"/>
                <w:sz w:val="21"/>
              </w:rPr>
              <w:t>XCZX2024-0195</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94" w:type="dxa"/>
            <w:shd w:val="clear" w:color="auto" w:fill="auto"/>
            <w:vAlign w:val="center"/>
          </w:tcPr>
          <w:p>
            <w:pPr>
              <w:pStyle w:val="70"/>
              <w:numPr>
                <w:ilvl w:val="0"/>
                <w:numId w:val="4"/>
              </w:numPr>
              <w:spacing w:line="320" w:lineRule="exact"/>
              <w:ind w:left="0" w:firstLine="210" w:firstLineChars="100"/>
              <w:rPr>
                <w:rFonts w:ascii="Calibri" w:hAnsi="宋体" w:eastAsia="宋体" w:cstheme="minorHAnsi"/>
                <w:sz w:val="21"/>
              </w:rPr>
            </w:pPr>
          </w:p>
        </w:tc>
        <w:tc>
          <w:tcPr>
            <w:tcW w:w="2410" w:type="dxa"/>
            <w:shd w:val="clear" w:color="auto" w:fill="auto"/>
            <w:vAlign w:val="center"/>
          </w:tcPr>
          <w:p>
            <w:pPr>
              <w:spacing w:line="320" w:lineRule="exact"/>
              <w:rPr>
                <w:rFonts w:ascii="Calibri" w:hAnsi="宋体" w:eastAsia="宋体" w:cstheme="minorHAnsi"/>
                <w:sz w:val="21"/>
              </w:rPr>
            </w:pPr>
            <w:r>
              <w:rPr>
                <w:rFonts w:ascii="Calibri" w:hAnsi="宋体" w:eastAsia="宋体" w:cstheme="minorHAnsi"/>
                <w:sz w:val="21"/>
              </w:rPr>
              <w:t>项目性质</w:t>
            </w:r>
          </w:p>
        </w:tc>
        <w:tc>
          <w:tcPr>
            <w:tcW w:w="5766" w:type="dxa"/>
            <w:shd w:val="clear" w:color="auto" w:fill="auto"/>
            <w:vAlign w:val="center"/>
          </w:tcPr>
          <w:p>
            <w:pPr>
              <w:spacing w:line="320" w:lineRule="exact"/>
              <w:jc w:val="both"/>
              <w:rPr>
                <w:rFonts w:ascii="Calibri" w:hAnsi="宋体" w:eastAsia="宋体" w:cstheme="minorHAnsi"/>
                <w:sz w:val="21"/>
              </w:rPr>
            </w:pPr>
            <w:sdt>
              <w:sdtPr>
                <w:rPr>
                  <w:rFonts w:hint="eastAsia" w:ascii="Calibri" w:hAnsi="宋体" w:eastAsia="宋体" w:cstheme="minorHAnsi"/>
                  <w:sz w:val="21"/>
                </w:rPr>
                <w:id w:val="2139916130"/>
                <w14:checkbox>
                  <w14:checked w14:val="1"/>
                  <w14:checkedState w14:val="2611" w14:font="MS Gothic"/>
                  <w14:uncheckedState w14:val="2610" w14:font="MS Gothic"/>
                </w14:checkbox>
              </w:sdtPr>
              <w:sdtEndPr>
                <w:rPr>
                  <w:rFonts w:hint="eastAsia" w:ascii="Calibri" w:hAnsi="宋体" w:eastAsia="宋体" w:cstheme="minorHAnsi"/>
                  <w:sz w:val="21"/>
                </w:rPr>
              </w:sdtEndPr>
              <w:sdtContent>
                <w:r>
                  <w:rPr>
                    <w:rFonts w:hint="eastAsia" w:ascii="MS Gothic" w:hAnsi="MS Gothic" w:eastAsia="MS Gothic" w:cstheme="minorHAnsi"/>
                    <w:sz w:val="21"/>
                  </w:rPr>
                  <w:t>☑</w:t>
                </w:r>
              </w:sdtContent>
            </w:sdt>
            <w:r>
              <w:rPr>
                <w:rFonts w:hint="eastAsia" w:ascii="Calibri" w:hAnsi="宋体" w:eastAsia="宋体" w:cstheme="minorHAnsi"/>
                <w:sz w:val="21"/>
              </w:rPr>
              <w:t>非专门面向中小企业</w:t>
            </w:r>
          </w:p>
          <w:p>
            <w:pPr>
              <w:spacing w:line="320" w:lineRule="exact"/>
              <w:jc w:val="both"/>
              <w:rPr>
                <w:rFonts w:ascii="Calibri" w:hAnsi="宋体" w:eastAsia="宋体" w:cstheme="minorHAnsi"/>
                <w:sz w:val="21"/>
              </w:rPr>
            </w:pPr>
            <w:sdt>
              <w:sdtPr>
                <w:rPr>
                  <w:rFonts w:hint="eastAsia" w:ascii="Calibri" w:hAnsi="宋体" w:eastAsia="宋体" w:cstheme="minorHAnsi"/>
                  <w:sz w:val="21"/>
                </w:rPr>
                <w:id w:val="-2072024220"/>
                <w14:checkbox>
                  <w14:checked w14:val="0"/>
                  <w14:checkedState w14:val="2611" w14:font="MS Gothic"/>
                  <w14:uncheckedState w14:val="2610" w14:font="MS Gothic"/>
                </w14:checkbox>
              </w:sdtPr>
              <w:sdtEndPr>
                <w:rPr>
                  <w:rFonts w:hint="eastAsia" w:ascii="Calibri" w:hAnsi="宋体" w:eastAsia="宋体" w:cstheme="minorHAnsi"/>
                  <w:sz w:val="21"/>
                </w:rPr>
              </w:sdtEndPr>
              <w:sdtContent>
                <w:r>
                  <w:rPr>
                    <w:rFonts w:hint="eastAsia" w:ascii="MS Gothic" w:hAnsi="MS Gothic" w:eastAsia="MS Gothic" w:cstheme="minorHAnsi"/>
                    <w:sz w:val="21"/>
                  </w:rPr>
                  <w:t>☐</w:t>
                </w:r>
              </w:sdtContent>
            </w:sdt>
            <w:r>
              <w:rPr>
                <w:rFonts w:hint="eastAsia" w:ascii="Calibri" w:hAnsi="宋体" w:eastAsia="宋体" w:cstheme="minorHAnsi"/>
                <w:sz w:val="21"/>
              </w:rPr>
              <w:t>专门面向中小企业</w:t>
            </w:r>
          </w:p>
          <w:p>
            <w:pPr>
              <w:spacing w:line="320" w:lineRule="exact"/>
              <w:jc w:val="both"/>
              <w:rPr>
                <w:rFonts w:ascii="Segoe UI Symbol" w:hAnsi="Segoe UI Symbol" w:eastAsia="Segoe UI Symbol" w:cstheme="minorHAnsi"/>
                <w:sz w:val="21"/>
              </w:rPr>
            </w:pPr>
            <w:sdt>
              <w:sdtPr>
                <w:rPr>
                  <w:rFonts w:hint="eastAsia" w:ascii="Calibri" w:hAnsi="宋体" w:eastAsia="宋体" w:cstheme="minorHAnsi"/>
                  <w:sz w:val="21"/>
                </w:rPr>
                <w:id w:val="1790936943"/>
                <w14:checkbox>
                  <w14:checked w14:val="0"/>
                  <w14:checkedState w14:val="2611" w14:font="MS Gothic"/>
                  <w14:uncheckedState w14:val="2610" w14:font="MS Gothic"/>
                </w14:checkbox>
              </w:sdtPr>
              <w:sdtEndPr>
                <w:rPr>
                  <w:rFonts w:hint="eastAsia" w:ascii="Calibri" w:hAnsi="宋体" w:eastAsia="宋体" w:cstheme="minorHAnsi"/>
                  <w:sz w:val="21"/>
                </w:rPr>
              </w:sdtEndPr>
              <w:sdtContent>
                <w:r>
                  <w:rPr>
                    <w:rFonts w:hint="eastAsia" w:ascii="MS Gothic" w:hAnsi="MS Gothic" w:eastAsia="MS Gothic" w:cstheme="minorHAnsi"/>
                    <w:sz w:val="21"/>
                  </w:rPr>
                  <w:t>☐</w:t>
                </w:r>
              </w:sdtContent>
            </w:sdt>
            <w:r>
              <w:rPr>
                <w:rFonts w:hint="eastAsia" w:ascii="Calibri" w:hAnsi="宋体" w:eastAsia="宋体" w:cstheme="minorHAnsi"/>
                <w:sz w:val="21"/>
              </w:rPr>
              <w:t>专门面向小微企业</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35" w:hRule="atLeast"/>
          <w:jc w:val="center"/>
        </w:trPr>
        <w:tc>
          <w:tcPr>
            <w:tcW w:w="694" w:type="dxa"/>
            <w:shd w:val="clear" w:color="auto" w:fill="auto"/>
            <w:vAlign w:val="center"/>
          </w:tcPr>
          <w:p>
            <w:pPr>
              <w:pStyle w:val="70"/>
              <w:numPr>
                <w:ilvl w:val="0"/>
                <w:numId w:val="4"/>
              </w:numPr>
              <w:spacing w:line="320" w:lineRule="exact"/>
              <w:ind w:left="0" w:firstLine="210" w:firstLineChars="100"/>
              <w:rPr>
                <w:rFonts w:ascii="Calibri" w:hAnsi="宋体" w:eastAsia="宋体" w:cstheme="minorHAnsi"/>
                <w:sz w:val="21"/>
              </w:rPr>
            </w:pPr>
          </w:p>
        </w:tc>
        <w:tc>
          <w:tcPr>
            <w:tcW w:w="2410" w:type="dxa"/>
            <w:shd w:val="clear" w:color="auto" w:fill="auto"/>
            <w:vAlign w:val="center"/>
          </w:tcPr>
          <w:p>
            <w:pPr>
              <w:spacing w:line="320" w:lineRule="exact"/>
              <w:rPr>
                <w:rFonts w:ascii="Calibri" w:hAnsi="宋体" w:eastAsia="宋体" w:cstheme="minorHAnsi"/>
                <w:sz w:val="21"/>
              </w:rPr>
            </w:pPr>
            <w:r>
              <w:rPr>
                <w:rFonts w:hint="eastAsia" w:ascii="Calibri" w:hAnsi="宋体" w:eastAsia="宋体" w:cstheme="minorHAnsi"/>
                <w:sz w:val="21"/>
              </w:rPr>
              <w:t>项目总预算</w:t>
            </w:r>
          </w:p>
        </w:tc>
        <w:tc>
          <w:tcPr>
            <w:tcW w:w="5766" w:type="dxa"/>
            <w:shd w:val="clear" w:color="auto" w:fill="auto"/>
            <w:vAlign w:val="center"/>
          </w:tcPr>
          <w:p>
            <w:pPr>
              <w:spacing w:line="320" w:lineRule="exact"/>
              <w:jc w:val="both"/>
              <w:rPr>
                <w:rFonts w:ascii="Calibri" w:hAnsi="宋体" w:eastAsia="宋体" w:cstheme="minorHAnsi"/>
                <w:sz w:val="21"/>
                <w:szCs w:val="21"/>
              </w:rPr>
            </w:pPr>
            <w:r>
              <w:rPr>
                <w:rFonts w:hint="eastAsia" w:eastAsia="宋体" w:cstheme="minorHAnsi"/>
                <w:sz w:val="21"/>
              </w:rPr>
              <w:t>三年共42000000</w:t>
            </w:r>
            <w:r>
              <w:rPr>
                <w:rFonts w:eastAsia="宋体" w:cstheme="minorHAnsi"/>
                <w:sz w:val="21"/>
              </w:rPr>
              <w:t>元</w:t>
            </w:r>
            <w:r>
              <w:rPr>
                <w:rFonts w:hint="eastAsia" w:ascii="Calibri" w:hAnsi="宋体" w:eastAsia="宋体" w:cstheme="minorHAnsi"/>
                <w:sz w:val="21"/>
              </w:rPr>
              <w:t>（最高限价</w:t>
            </w:r>
            <w:r>
              <w:rPr>
                <w:rFonts w:hint="eastAsia" w:eastAsia="宋体" w:cstheme="minorHAnsi"/>
                <w:sz w:val="21"/>
              </w:rPr>
              <w:t>42000000</w:t>
            </w:r>
            <w:r>
              <w:rPr>
                <w:rFonts w:hint="eastAsia" w:ascii="Calibri" w:hAnsi="宋体" w:eastAsia="宋体" w:cstheme="minorHAnsi"/>
                <w:sz w:val="21"/>
              </w:rPr>
              <w:t>元）</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94" w:type="dxa"/>
            <w:shd w:val="clear" w:color="auto" w:fill="auto"/>
            <w:vAlign w:val="center"/>
          </w:tcPr>
          <w:p>
            <w:pPr>
              <w:pStyle w:val="70"/>
              <w:numPr>
                <w:ilvl w:val="0"/>
                <w:numId w:val="4"/>
              </w:numPr>
              <w:spacing w:line="320" w:lineRule="exact"/>
              <w:ind w:left="0" w:firstLine="210" w:firstLineChars="100"/>
              <w:rPr>
                <w:rFonts w:ascii="Calibri" w:hAnsi="宋体" w:eastAsia="宋体" w:cstheme="minorHAnsi"/>
                <w:sz w:val="21"/>
              </w:rPr>
            </w:pPr>
          </w:p>
        </w:tc>
        <w:tc>
          <w:tcPr>
            <w:tcW w:w="2410" w:type="dxa"/>
            <w:shd w:val="clear" w:color="auto" w:fill="auto"/>
            <w:vAlign w:val="center"/>
          </w:tcPr>
          <w:p>
            <w:pPr>
              <w:spacing w:line="320" w:lineRule="exact"/>
              <w:rPr>
                <w:rFonts w:ascii="Calibri" w:hAnsi="宋体" w:eastAsia="宋体" w:cstheme="minorHAnsi"/>
                <w:sz w:val="21"/>
              </w:rPr>
            </w:pPr>
            <w:r>
              <w:rPr>
                <w:rFonts w:hint="eastAsia" w:ascii="Calibri" w:hAnsi="宋体" w:eastAsia="宋体" w:cstheme="minorHAnsi"/>
                <w:sz w:val="21"/>
              </w:rPr>
              <w:t>是否接受联合体</w:t>
            </w:r>
          </w:p>
        </w:tc>
        <w:tc>
          <w:tcPr>
            <w:tcW w:w="5766" w:type="dxa"/>
            <w:shd w:val="clear" w:color="auto" w:fill="auto"/>
            <w:vAlign w:val="center"/>
          </w:tcPr>
          <w:p>
            <w:pPr>
              <w:spacing w:line="320" w:lineRule="exact"/>
              <w:jc w:val="both"/>
              <w:rPr>
                <w:rFonts w:ascii="Calibri" w:hAnsi="宋体" w:eastAsia="宋体" w:cstheme="minorHAnsi"/>
                <w:sz w:val="21"/>
              </w:rPr>
            </w:pPr>
            <w:sdt>
              <w:sdtPr>
                <w:rPr>
                  <w:rFonts w:hint="eastAsia" w:ascii="Calibri" w:hAnsi="宋体" w:eastAsia="宋体" w:cstheme="minorHAnsi"/>
                  <w:sz w:val="21"/>
                </w:rPr>
                <w:id w:val="608160193"/>
                <w14:checkbox>
                  <w14:checked w14:val="0"/>
                  <w14:checkedState w14:val="2611" w14:font="MS Gothic"/>
                  <w14:uncheckedState w14:val="2610" w14:font="MS Gothic"/>
                </w14:checkbox>
              </w:sdtPr>
              <w:sdtEndPr>
                <w:rPr>
                  <w:rFonts w:hint="eastAsia" w:ascii="Calibri" w:hAnsi="宋体" w:eastAsia="宋体" w:cstheme="minorHAnsi"/>
                  <w:sz w:val="21"/>
                </w:rPr>
              </w:sdtEndPr>
              <w:sdtContent>
                <w:r>
                  <w:rPr>
                    <w:rFonts w:hint="eastAsia" w:ascii="MS Gothic" w:hAnsi="MS Gothic" w:eastAsia="MS Gothic" w:cstheme="minorHAnsi"/>
                    <w:sz w:val="21"/>
                  </w:rPr>
                  <w:t>☐</w:t>
                </w:r>
              </w:sdtContent>
            </w:sdt>
            <w:r>
              <w:rPr>
                <w:rFonts w:hint="eastAsia" w:ascii="Calibri" w:hAnsi="宋体" w:eastAsia="宋体" w:cstheme="minorHAnsi"/>
                <w:sz w:val="21"/>
              </w:rPr>
              <w:t xml:space="preserve">接受  </w:t>
            </w:r>
            <w:sdt>
              <w:sdtPr>
                <w:rPr>
                  <w:rFonts w:hint="eastAsia" w:ascii="Calibri" w:hAnsi="宋体" w:eastAsia="宋体" w:cstheme="minorHAnsi"/>
                  <w:sz w:val="21"/>
                </w:rPr>
                <w:id w:val="1317929335"/>
                <w14:checkbox>
                  <w14:checked w14:val="1"/>
                  <w14:checkedState w14:val="2611" w14:font="MS Gothic"/>
                  <w14:uncheckedState w14:val="2610" w14:font="MS Gothic"/>
                </w14:checkbox>
              </w:sdtPr>
              <w:sdtEndPr>
                <w:rPr>
                  <w:rFonts w:hint="eastAsia" w:ascii="Calibri" w:hAnsi="宋体" w:eastAsia="宋体" w:cstheme="minorHAnsi"/>
                  <w:sz w:val="21"/>
                </w:rPr>
              </w:sdtEndPr>
              <w:sdtContent>
                <w:r>
                  <w:rPr>
                    <w:rFonts w:hint="eastAsia" w:ascii="MS Gothic" w:hAnsi="MS Gothic" w:eastAsia="MS Gothic" w:cstheme="minorHAnsi"/>
                    <w:sz w:val="21"/>
                  </w:rPr>
                  <w:t>☑</w:t>
                </w:r>
              </w:sdtContent>
            </w:sdt>
            <w:r>
              <w:rPr>
                <w:rFonts w:hint="eastAsia" w:ascii="Calibri" w:hAnsi="宋体" w:eastAsia="宋体" w:cstheme="minorHAnsi"/>
                <w:sz w:val="21"/>
              </w:rPr>
              <w:t>不接受</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94" w:type="dxa"/>
            <w:shd w:val="clear" w:color="auto" w:fill="auto"/>
            <w:vAlign w:val="center"/>
          </w:tcPr>
          <w:p>
            <w:pPr>
              <w:pStyle w:val="70"/>
              <w:numPr>
                <w:ilvl w:val="0"/>
                <w:numId w:val="4"/>
              </w:numPr>
              <w:spacing w:line="320" w:lineRule="exact"/>
              <w:ind w:left="0" w:firstLine="210" w:firstLineChars="100"/>
              <w:rPr>
                <w:rFonts w:ascii="Calibri" w:hAnsi="宋体" w:eastAsia="宋体" w:cstheme="minorHAnsi"/>
                <w:sz w:val="21"/>
              </w:rPr>
            </w:pPr>
          </w:p>
        </w:tc>
        <w:tc>
          <w:tcPr>
            <w:tcW w:w="2410" w:type="dxa"/>
            <w:shd w:val="clear" w:color="auto" w:fill="auto"/>
            <w:vAlign w:val="center"/>
          </w:tcPr>
          <w:p>
            <w:pPr>
              <w:spacing w:line="320" w:lineRule="exact"/>
              <w:rPr>
                <w:rFonts w:ascii="Calibri" w:hAnsi="宋体" w:eastAsia="宋体" w:cstheme="minorHAnsi"/>
                <w:sz w:val="21"/>
              </w:rPr>
            </w:pPr>
            <w:r>
              <w:rPr>
                <w:rFonts w:hint="eastAsia" w:ascii="Calibri" w:hAnsi="宋体" w:eastAsia="宋体" w:cstheme="minorHAnsi"/>
                <w:sz w:val="21"/>
              </w:rPr>
              <w:t>是否允许进口产品</w:t>
            </w:r>
          </w:p>
        </w:tc>
        <w:tc>
          <w:tcPr>
            <w:tcW w:w="5766" w:type="dxa"/>
            <w:shd w:val="clear" w:color="auto" w:fill="auto"/>
            <w:vAlign w:val="center"/>
          </w:tcPr>
          <w:p>
            <w:pPr>
              <w:spacing w:line="320" w:lineRule="exact"/>
              <w:jc w:val="both"/>
              <w:rPr>
                <w:rFonts w:ascii="Calibri" w:hAnsi="宋体" w:eastAsia="宋体" w:cstheme="minorHAnsi"/>
                <w:sz w:val="21"/>
              </w:rPr>
            </w:pPr>
            <w:sdt>
              <w:sdtPr>
                <w:rPr>
                  <w:rFonts w:hint="eastAsia" w:ascii="Calibri" w:hAnsi="宋体" w:eastAsia="宋体" w:cstheme="minorHAnsi"/>
                  <w:sz w:val="21"/>
                </w:rPr>
                <w:id w:val="148570254"/>
                <w14:checkbox>
                  <w14:checked w14:val="0"/>
                  <w14:checkedState w14:val="2611" w14:font="MS Gothic"/>
                  <w14:uncheckedState w14:val="2610" w14:font="MS Gothic"/>
                </w14:checkbox>
              </w:sdtPr>
              <w:sdtEndPr>
                <w:rPr>
                  <w:rFonts w:hint="eastAsia" w:ascii="Calibri" w:hAnsi="宋体" w:eastAsia="宋体" w:cstheme="minorHAnsi"/>
                  <w:sz w:val="21"/>
                </w:rPr>
              </w:sdtEndPr>
              <w:sdtContent>
                <w:r>
                  <w:rPr>
                    <w:rFonts w:hint="eastAsia" w:ascii="MS Gothic" w:hAnsi="MS Gothic" w:eastAsia="MS Gothic" w:cstheme="minorHAnsi"/>
                    <w:sz w:val="21"/>
                  </w:rPr>
                  <w:t>☐</w:t>
                </w:r>
              </w:sdtContent>
            </w:sdt>
            <w:r>
              <w:rPr>
                <w:rFonts w:hint="eastAsia" w:ascii="Calibri" w:hAnsi="宋体" w:eastAsia="宋体" w:cstheme="minorHAnsi"/>
                <w:sz w:val="21"/>
              </w:rPr>
              <w:t xml:space="preserve">允许  </w:t>
            </w:r>
            <w:sdt>
              <w:sdtPr>
                <w:rPr>
                  <w:rFonts w:hint="eastAsia" w:ascii="Calibri" w:hAnsi="宋体" w:eastAsia="宋体" w:cstheme="minorHAnsi"/>
                  <w:sz w:val="21"/>
                </w:rPr>
                <w:id w:val="-1689594843"/>
                <w14:checkbox>
                  <w14:checked w14:val="1"/>
                  <w14:checkedState w14:val="2611" w14:font="MS Gothic"/>
                  <w14:uncheckedState w14:val="2610" w14:font="MS Gothic"/>
                </w14:checkbox>
              </w:sdtPr>
              <w:sdtEndPr>
                <w:rPr>
                  <w:rFonts w:hint="eastAsia" w:ascii="Calibri" w:hAnsi="宋体" w:eastAsia="宋体" w:cstheme="minorHAnsi"/>
                  <w:sz w:val="21"/>
                </w:rPr>
              </w:sdtEndPr>
              <w:sdtContent>
                <w:r>
                  <w:rPr>
                    <w:rFonts w:hint="eastAsia" w:ascii="MS Gothic" w:hAnsi="MS Gothic" w:eastAsia="MS Gothic" w:cstheme="minorHAnsi"/>
                    <w:sz w:val="21"/>
                  </w:rPr>
                  <w:t>☑</w:t>
                </w:r>
              </w:sdtContent>
            </w:sdt>
            <w:r>
              <w:rPr>
                <w:rFonts w:hint="eastAsia" w:ascii="Calibri" w:hAnsi="宋体" w:eastAsia="宋体" w:cstheme="minorHAnsi"/>
                <w:sz w:val="21"/>
              </w:rPr>
              <w:t>不允许</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94" w:type="dxa"/>
            <w:shd w:val="clear" w:color="auto" w:fill="auto"/>
            <w:vAlign w:val="center"/>
          </w:tcPr>
          <w:p>
            <w:pPr>
              <w:pStyle w:val="70"/>
              <w:numPr>
                <w:ilvl w:val="0"/>
                <w:numId w:val="4"/>
              </w:numPr>
              <w:spacing w:line="320" w:lineRule="exact"/>
              <w:ind w:left="0" w:firstLine="210" w:firstLineChars="100"/>
              <w:rPr>
                <w:rFonts w:ascii="Calibri" w:hAnsi="宋体" w:eastAsia="宋体" w:cstheme="minorHAnsi"/>
                <w:sz w:val="21"/>
              </w:rPr>
            </w:pPr>
          </w:p>
        </w:tc>
        <w:tc>
          <w:tcPr>
            <w:tcW w:w="2410" w:type="dxa"/>
            <w:shd w:val="clear" w:color="auto" w:fill="auto"/>
            <w:vAlign w:val="center"/>
          </w:tcPr>
          <w:p>
            <w:pPr>
              <w:spacing w:line="320" w:lineRule="exact"/>
              <w:rPr>
                <w:rFonts w:ascii="Calibri" w:hAnsi="宋体" w:eastAsia="宋体" w:cstheme="minorHAnsi"/>
                <w:sz w:val="21"/>
              </w:rPr>
            </w:pPr>
            <w:r>
              <w:rPr>
                <w:rFonts w:hint="eastAsia" w:ascii="Calibri" w:hAnsi="宋体" w:eastAsia="宋体" w:cstheme="minorHAnsi"/>
                <w:sz w:val="21"/>
              </w:rPr>
              <w:t>投标保证金</w:t>
            </w:r>
          </w:p>
        </w:tc>
        <w:tc>
          <w:tcPr>
            <w:tcW w:w="5766" w:type="dxa"/>
            <w:shd w:val="clear" w:color="auto" w:fill="auto"/>
            <w:vAlign w:val="center"/>
          </w:tcPr>
          <w:p>
            <w:pPr>
              <w:spacing w:line="320" w:lineRule="exact"/>
              <w:jc w:val="both"/>
              <w:rPr>
                <w:rFonts w:ascii="Calibri" w:hAnsi="宋体" w:eastAsia="宋体" w:cstheme="minorHAnsi"/>
                <w:sz w:val="21"/>
              </w:rPr>
            </w:pPr>
            <w:r>
              <w:rPr>
                <w:rFonts w:ascii="Calibri" w:hAnsi="宋体" w:eastAsia="宋体" w:cstheme="minorHAnsi"/>
                <w:sz w:val="21"/>
              </w:rPr>
              <w:t>免交</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94" w:type="dxa"/>
            <w:shd w:val="clear" w:color="auto" w:fill="auto"/>
            <w:vAlign w:val="center"/>
          </w:tcPr>
          <w:p>
            <w:pPr>
              <w:pStyle w:val="70"/>
              <w:numPr>
                <w:ilvl w:val="0"/>
                <w:numId w:val="4"/>
              </w:numPr>
              <w:spacing w:line="320" w:lineRule="exact"/>
              <w:ind w:left="0" w:firstLine="210" w:firstLineChars="100"/>
              <w:rPr>
                <w:rFonts w:ascii="Calibri" w:hAnsi="宋体" w:eastAsia="宋体" w:cstheme="minorHAnsi"/>
                <w:sz w:val="21"/>
              </w:rPr>
            </w:pPr>
          </w:p>
        </w:tc>
        <w:tc>
          <w:tcPr>
            <w:tcW w:w="2410" w:type="dxa"/>
            <w:shd w:val="clear" w:color="auto" w:fill="auto"/>
            <w:vAlign w:val="center"/>
          </w:tcPr>
          <w:p>
            <w:pPr>
              <w:spacing w:line="320" w:lineRule="exact"/>
              <w:rPr>
                <w:rFonts w:ascii="Calibri" w:hAnsi="宋体" w:eastAsia="宋体" w:cstheme="minorHAnsi"/>
                <w:sz w:val="21"/>
              </w:rPr>
            </w:pPr>
            <w:r>
              <w:rPr>
                <w:rFonts w:hint="eastAsia" w:ascii="Calibri" w:hAnsi="宋体" w:eastAsia="宋体" w:cstheme="minorHAnsi"/>
                <w:sz w:val="21"/>
              </w:rPr>
              <w:t>履约保证金</w:t>
            </w:r>
          </w:p>
        </w:tc>
        <w:tc>
          <w:tcPr>
            <w:tcW w:w="5766" w:type="dxa"/>
            <w:shd w:val="clear" w:color="auto" w:fill="auto"/>
            <w:vAlign w:val="center"/>
          </w:tcPr>
          <w:p>
            <w:pPr>
              <w:spacing w:line="320" w:lineRule="exact"/>
              <w:jc w:val="both"/>
              <w:rPr>
                <w:rFonts w:ascii="Calibri" w:hAnsi="宋体" w:eastAsia="宋体" w:cstheme="minorHAnsi"/>
                <w:sz w:val="21"/>
              </w:rPr>
            </w:pPr>
            <w:sdt>
              <w:sdtPr>
                <w:rPr>
                  <w:rFonts w:hint="eastAsia" w:ascii="Calibri" w:hAnsi="宋体" w:eastAsia="宋体" w:cstheme="minorHAnsi"/>
                  <w:sz w:val="21"/>
                </w:rPr>
                <w:id w:val="1713921966"/>
                <w14:checkbox>
                  <w14:checked w14:val="1"/>
                  <w14:checkedState w14:val="2611" w14:font="MS Gothic"/>
                  <w14:uncheckedState w14:val="2610" w14:font="MS Gothic"/>
                </w14:checkbox>
              </w:sdtPr>
              <w:sdtEndPr>
                <w:rPr>
                  <w:rFonts w:hint="eastAsia" w:ascii="Calibri" w:hAnsi="宋体" w:eastAsia="宋体" w:cstheme="minorHAnsi"/>
                  <w:sz w:val="21"/>
                </w:rPr>
              </w:sdtEndPr>
              <w:sdtContent>
                <w:r>
                  <w:rPr>
                    <w:rFonts w:hint="eastAsia" w:ascii="MS Gothic" w:hAnsi="MS Gothic" w:eastAsia="MS Gothic" w:cstheme="minorHAnsi"/>
                    <w:sz w:val="21"/>
                  </w:rPr>
                  <w:t>☑</w:t>
                </w:r>
              </w:sdtContent>
            </w:sdt>
            <w:r>
              <w:rPr>
                <w:rFonts w:ascii="Calibri" w:hAnsi="宋体" w:eastAsia="宋体" w:cstheme="minorHAnsi"/>
                <w:sz w:val="21"/>
              </w:rPr>
              <w:t>不收取</w:t>
            </w:r>
          </w:p>
          <w:p>
            <w:pPr>
              <w:spacing w:line="320" w:lineRule="exact"/>
              <w:jc w:val="both"/>
              <w:rPr>
                <w:rFonts w:ascii="Calibri" w:hAnsi="宋体" w:eastAsia="宋体" w:cstheme="minorHAnsi"/>
                <w:sz w:val="21"/>
              </w:rPr>
            </w:pPr>
            <w:sdt>
              <w:sdtPr>
                <w:rPr>
                  <w:rFonts w:hint="eastAsia" w:ascii="Calibri" w:hAnsi="宋体" w:eastAsia="宋体" w:cstheme="minorHAnsi"/>
                  <w:sz w:val="21"/>
                </w:rPr>
                <w:id w:val="-838932817"/>
                <w14:checkbox>
                  <w14:checked w14:val="0"/>
                  <w14:checkedState w14:val="2611" w14:font="MS Gothic"/>
                  <w14:uncheckedState w14:val="2610" w14:font="MS Gothic"/>
                </w14:checkbox>
              </w:sdtPr>
              <w:sdtEndPr>
                <w:rPr>
                  <w:rFonts w:hint="eastAsia" w:ascii="Calibri" w:hAnsi="宋体" w:eastAsia="宋体" w:cstheme="minorHAnsi"/>
                  <w:sz w:val="21"/>
                </w:rPr>
              </w:sdtEndPr>
              <w:sdtContent>
                <w:r>
                  <w:rPr>
                    <w:rFonts w:hint="eastAsia" w:ascii="MS Gothic" w:hAnsi="MS Gothic" w:eastAsia="MS Gothic" w:cstheme="minorHAnsi"/>
                    <w:sz w:val="21"/>
                  </w:rPr>
                  <w:t>☐</w:t>
                </w:r>
              </w:sdtContent>
            </w:sdt>
            <w:r>
              <w:rPr>
                <w:rFonts w:hint="eastAsia" w:ascii="Calibri" w:hAnsi="宋体" w:eastAsia="宋体" w:cstheme="minorHAnsi"/>
                <w:sz w:val="21"/>
              </w:rPr>
              <w:t>占合同总价的___%</w:t>
            </w:r>
            <w:r>
              <w:rPr>
                <w:rFonts w:ascii="Calibri" w:hAnsi="宋体" w:eastAsia="宋体" w:cstheme="minorHAnsi"/>
                <w:sz w:val="21"/>
              </w:rPr>
              <w:t>，</w:t>
            </w:r>
            <w:r>
              <w:rPr>
                <w:rFonts w:hint="eastAsia" w:ascii="Calibri" w:hAnsi="宋体" w:eastAsia="宋体" w:cstheme="minorHAnsi"/>
                <w:sz w:val="21"/>
              </w:rPr>
              <w:t>由采购人自行收退</w:t>
            </w:r>
          </w:p>
          <w:p>
            <w:pPr>
              <w:spacing w:line="320" w:lineRule="exact"/>
              <w:jc w:val="both"/>
              <w:rPr>
                <w:rFonts w:ascii="Calibri" w:hAnsi="宋体" w:eastAsia="宋体" w:cstheme="minorHAnsi"/>
                <w:sz w:val="21"/>
              </w:rPr>
            </w:pPr>
            <w:sdt>
              <w:sdtPr>
                <w:rPr>
                  <w:rFonts w:hint="eastAsia" w:ascii="Calibri" w:hAnsi="宋体" w:eastAsia="宋体" w:cstheme="minorHAnsi"/>
                  <w:sz w:val="21"/>
                </w:rPr>
                <w:id w:val="1891918650"/>
                <w14:checkbox>
                  <w14:checked w14:val="0"/>
                  <w14:checkedState w14:val="2611" w14:font="MS Gothic"/>
                  <w14:uncheckedState w14:val="2610" w14:font="MS Gothic"/>
                </w14:checkbox>
              </w:sdtPr>
              <w:sdtEndPr>
                <w:rPr>
                  <w:rFonts w:hint="eastAsia" w:ascii="Calibri" w:hAnsi="宋体" w:eastAsia="宋体" w:cstheme="minorHAnsi"/>
                  <w:sz w:val="21"/>
                </w:rPr>
              </w:sdtEndPr>
              <w:sdtContent>
                <w:r>
                  <w:rPr>
                    <w:rFonts w:hint="eastAsia" w:ascii="MS Gothic" w:hAnsi="MS Gothic" w:eastAsia="MS Gothic" w:cstheme="minorHAnsi"/>
                    <w:sz w:val="21"/>
                  </w:rPr>
                  <w:t>☐</w:t>
                </w:r>
              </w:sdtContent>
            </w:sdt>
            <w:r>
              <w:rPr>
                <w:rFonts w:hint="eastAsia" w:ascii="Calibri" w:hAnsi="宋体" w:eastAsia="宋体" w:cstheme="minorHAnsi"/>
                <w:sz w:val="21"/>
              </w:rPr>
              <w:t>占合同总价的___%，由西安市公共资源交易中心代收代退</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94" w:type="dxa"/>
            <w:shd w:val="clear" w:color="auto" w:fill="auto"/>
            <w:vAlign w:val="center"/>
          </w:tcPr>
          <w:p>
            <w:pPr>
              <w:pStyle w:val="70"/>
              <w:numPr>
                <w:ilvl w:val="0"/>
                <w:numId w:val="4"/>
              </w:numPr>
              <w:spacing w:line="320" w:lineRule="exact"/>
              <w:ind w:left="0" w:firstLine="210" w:firstLineChars="100"/>
              <w:rPr>
                <w:rFonts w:ascii="Calibri" w:hAnsi="宋体" w:eastAsia="宋体" w:cstheme="minorHAnsi"/>
                <w:sz w:val="21"/>
              </w:rPr>
            </w:pPr>
          </w:p>
        </w:tc>
        <w:tc>
          <w:tcPr>
            <w:tcW w:w="2410" w:type="dxa"/>
            <w:shd w:val="clear" w:color="auto" w:fill="auto"/>
            <w:vAlign w:val="center"/>
          </w:tcPr>
          <w:p>
            <w:pPr>
              <w:spacing w:line="320" w:lineRule="exact"/>
              <w:rPr>
                <w:rFonts w:ascii="Calibri" w:hAnsi="宋体" w:eastAsia="宋体" w:cstheme="minorHAnsi"/>
                <w:sz w:val="21"/>
              </w:rPr>
            </w:pPr>
            <w:r>
              <w:rPr>
                <w:rFonts w:hint="eastAsia" w:ascii="Calibri" w:hAnsi="宋体" w:eastAsia="宋体" w:cstheme="minorHAnsi"/>
                <w:sz w:val="21"/>
              </w:rPr>
              <w:t>代理服务费</w:t>
            </w:r>
          </w:p>
        </w:tc>
        <w:tc>
          <w:tcPr>
            <w:tcW w:w="5766" w:type="dxa"/>
            <w:shd w:val="clear" w:color="auto" w:fill="auto"/>
            <w:vAlign w:val="center"/>
          </w:tcPr>
          <w:p>
            <w:pPr>
              <w:spacing w:line="320" w:lineRule="exact"/>
              <w:jc w:val="both"/>
              <w:rPr>
                <w:rFonts w:ascii="Calibri" w:hAnsi="宋体" w:eastAsia="宋体" w:cstheme="minorHAnsi"/>
                <w:sz w:val="21"/>
              </w:rPr>
            </w:pPr>
            <w:r>
              <w:rPr>
                <w:rFonts w:hint="eastAsia" w:ascii="Calibri" w:hAnsi="宋体" w:eastAsia="宋体" w:cstheme="minorHAnsi"/>
                <w:sz w:val="21"/>
              </w:rPr>
              <w:t>0.00元</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94" w:type="dxa"/>
            <w:shd w:val="clear" w:color="auto" w:fill="auto"/>
            <w:vAlign w:val="center"/>
          </w:tcPr>
          <w:p>
            <w:pPr>
              <w:pStyle w:val="70"/>
              <w:numPr>
                <w:ilvl w:val="0"/>
                <w:numId w:val="4"/>
              </w:numPr>
              <w:spacing w:line="320" w:lineRule="exact"/>
              <w:ind w:left="0" w:firstLine="210" w:firstLineChars="100"/>
              <w:rPr>
                <w:rFonts w:ascii="Calibri" w:hAnsi="宋体" w:eastAsia="宋体" w:cstheme="minorHAnsi"/>
                <w:sz w:val="21"/>
              </w:rPr>
            </w:pPr>
          </w:p>
        </w:tc>
        <w:tc>
          <w:tcPr>
            <w:tcW w:w="2410" w:type="dxa"/>
            <w:shd w:val="clear" w:color="auto" w:fill="auto"/>
            <w:vAlign w:val="center"/>
          </w:tcPr>
          <w:p>
            <w:pPr>
              <w:spacing w:line="320" w:lineRule="exact"/>
              <w:rPr>
                <w:rFonts w:ascii="Calibri" w:hAnsi="宋体" w:eastAsia="宋体" w:cstheme="minorHAnsi"/>
                <w:sz w:val="21"/>
              </w:rPr>
            </w:pPr>
            <w:r>
              <w:rPr>
                <w:rFonts w:hint="eastAsia" w:ascii="Calibri" w:hAnsi="宋体" w:eastAsia="宋体" w:cstheme="minorHAnsi"/>
                <w:sz w:val="21"/>
              </w:rPr>
              <w:t>纸质投标文件份数</w:t>
            </w:r>
          </w:p>
        </w:tc>
        <w:tc>
          <w:tcPr>
            <w:tcW w:w="5766" w:type="dxa"/>
            <w:shd w:val="clear" w:color="auto" w:fill="auto"/>
            <w:vAlign w:val="center"/>
          </w:tcPr>
          <w:p>
            <w:pPr>
              <w:spacing w:line="320" w:lineRule="exact"/>
              <w:jc w:val="both"/>
              <w:rPr>
                <w:rFonts w:ascii="Calibri" w:hAnsi="宋体" w:eastAsia="宋体" w:cstheme="minorHAnsi"/>
                <w:sz w:val="21"/>
              </w:rPr>
            </w:pPr>
            <w:r>
              <w:rPr>
                <w:rFonts w:ascii="Calibri" w:hAnsi="宋体" w:eastAsia="宋体" w:cstheme="minorHAnsi"/>
                <w:sz w:val="21"/>
              </w:rPr>
              <w:t>投标供应商无需提供纸质投标文件；</w:t>
            </w:r>
          </w:p>
          <w:p>
            <w:pPr>
              <w:spacing w:line="320" w:lineRule="exact"/>
              <w:jc w:val="both"/>
              <w:rPr>
                <w:rFonts w:ascii="Calibri" w:hAnsi="宋体" w:eastAsia="宋体" w:cstheme="minorHAnsi"/>
                <w:sz w:val="21"/>
              </w:rPr>
            </w:pPr>
            <w:r>
              <w:rPr>
                <w:rFonts w:ascii="Calibri" w:hAnsi="宋体" w:eastAsia="宋体" w:cstheme="minorHAnsi"/>
                <w:sz w:val="21"/>
              </w:rPr>
              <w:t>中标供应商在领取中标通知书时提供一正两副。</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94" w:type="dxa"/>
            <w:shd w:val="clear" w:color="auto" w:fill="auto"/>
            <w:vAlign w:val="center"/>
          </w:tcPr>
          <w:p>
            <w:pPr>
              <w:pStyle w:val="70"/>
              <w:numPr>
                <w:ilvl w:val="0"/>
                <w:numId w:val="4"/>
              </w:numPr>
              <w:spacing w:line="320" w:lineRule="exact"/>
              <w:ind w:left="0" w:firstLine="210" w:firstLineChars="100"/>
              <w:rPr>
                <w:rFonts w:ascii="Calibri" w:hAnsi="宋体" w:eastAsia="宋体" w:cstheme="minorHAnsi"/>
                <w:sz w:val="21"/>
              </w:rPr>
            </w:pPr>
          </w:p>
        </w:tc>
        <w:tc>
          <w:tcPr>
            <w:tcW w:w="2410" w:type="dxa"/>
            <w:shd w:val="clear" w:color="auto" w:fill="auto"/>
            <w:vAlign w:val="center"/>
          </w:tcPr>
          <w:p>
            <w:pPr>
              <w:spacing w:line="320" w:lineRule="exact"/>
              <w:rPr>
                <w:rFonts w:ascii="Calibri" w:hAnsi="宋体" w:eastAsia="宋体" w:cstheme="minorHAnsi"/>
                <w:sz w:val="21"/>
              </w:rPr>
            </w:pPr>
            <w:r>
              <w:rPr>
                <w:rFonts w:hint="eastAsia" w:ascii="Calibri" w:hAnsi="宋体" w:eastAsia="宋体" w:cstheme="minorHAnsi"/>
                <w:sz w:val="21"/>
              </w:rPr>
              <w:t>政府采购信息发布媒体</w:t>
            </w:r>
          </w:p>
          <w:p>
            <w:pPr>
              <w:spacing w:line="320" w:lineRule="exact"/>
              <w:rPr>
                <w:rFonts w:ascii="Calibri" w:hAnsi="宋体" w:eastAsia="宋体" w:cstheme="minorHAnsi"/>
                <w:sz w:val="21"/>
              </w:rPr>
            </w:pPr>
            <w:r>
              <w:rPr>
                <w:rFonts w:ascii="Calibri" w:hAnsi="宋体" w:eastAsia="宋体" w:cstheme="minorHAnsi"/>
                <w:sz w:val="21"/>
              </w:rPr>
              <w:t>（采购公告、采购结果公告、变更公告）</w:t>
            </w:r>
          </w:p>
        </w:tc>
        <w:tc>
          <w:tcPr>
            <w:tcW w:w="5766" w:type="dxa"/>
            <w:shd w:val="clear" w:color="auto" w:fill="auto"/>
            <w:vAlign w:val="center"/>
          </w:tcPr>
          <w:p>
            <w:pPr>
              <w:spacing w:line="320" w:lineRule="exact"/>
              <w:jc w:val="both"/>
              <w:rPr>
                <w:rFonts w:ascii="Calibri" w:hAnsi="宋体" w:eastAsia="宋体" w:cstheme="minorHAnsi"/>
                <w:sz w:val="21"/>
              </w:rPr>
            </w:pPr>
            <w:r>
              <w:rPr>
                <w:rFonts w:hint="eastAsia" w:ascii="Calibri" w:hAnsi="宋体" w:eastAsia="宋体" w:cstheme="minorHAnsi"/>
                <w:sz w:val="21"/>
              </w:rPr>
              <w:t>1．陕西省政府采购网：仅提供项目公告。</w:t>
            </w:r>
          </w:p>
          <w:p>
            <w:pPr>
              <w:spacing w:line="320" w:lineRule="exact"/>
              <w:jc w:val="both"/>
              <w:rPr>
                <w:rFonts w:ascii="Calibri" w:hAnsi="宋体" w:eastAsia="宋体" w:cstheme="minorHAnsi"/>
                <w:sz w:val="21"/>
              </w:rPr>
            </w:pPr>
            <w:r>
              <w:rPr>
                <w:rFonts w:hint="eastAsia" w:ascii="Calibri" w:hAnsi="宋体" w:eastAsia="宋体" w:cstheme="minorHAnsi"/>
                <w:sz w:val="21"/>
              </w:rPr>
              <w:t>　 官网地址：http://ccgp-shaanxi.gov.cn/。</w:t>
            </w:r>
          </w:p>
          <w:p>
            <w:pPr>
              <w:spacing w:line="320" w:lineRule="exact"/>
              <w:jc w:val="both"/>
              <w:rPr>
                <w:rFonts w:ascii="Calibri" w:hAnsi="宋体" w:eastAsia="宋体" w:cstheme="minorHAnsi"/>
                <w:sz w:val="21"/>
              </w:rPr>
            </w:pPr>
            <w:r>
              <w:rPr>
                <w:rFonts w:hint="eastAsia" w:ascii="Calibri" w:hAnsi="宋体" w:eastAsia="宋体" w:cstheme="minorHAnsi"/>
                <w:sz w:val="21"/>
              </w:rPr>
              <w:t>2．全国公共资源交易平台（陕西省</w:t>
            </w:r>
            <w:r>
              <w:rPr>
                <w:rFonts w:ascii="Calibri" w:hAnsi="宋体" w:eastAsia="宋体" w:cstheme="minorHAnsi"/>
                <w:sz w:val="21"/>
              </w:rPr>
              <w:t>·</w:t>
            </w:r>
            <w:r>
              <w:rPr>
                <w:rFonts w:hint="eastAsia" w:ascii="Calibri" w:hAnsi="宋体" w:eastAsia="宋体" w:cstheme="minorHAnsi"/>
                <w:sz w:val="21"/>
              </w:rPr>
              <w:t>西安市）：即西安市公共资源交易平台，提供项目公告和采购文件下载。</w:t>
            </w:r>
          </w:p>
          <w:p>
            <w:pPr>
              <w:spacing w:line="320" w:lineRule="exact"/>
              <w:jc w:val="both"/>
              <w:rPr>
                <w:rFonts w:ascii="Calibri" w:hAnsi="宋体" w:eastAsia="宋体" w:cstheme="minorHAnsi"/>
                <w:sz w:val="21"/>
              </w:rPr>
            </w:pPr>
            <w:r>
              <w:rPr>
                <w:rFonts w:hint="eastAsia" w:ascii="Calibri" w:hAnsi="宋体" w:eastAsia="宋体" w:cstheme="minorHAnsi"/>
                <w:sz w:val="21"/>
              </w:rPr>
              <w:t>　 官网地址：http://sxggzyjy.xa.gov.cn/</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94" w:type="dxa"/>
            <w:shd w:val="clear" w:color="auto" w:fill="auto"/>
            <w:vAlign w:val="center"/>
          </w:tcPr>
          <w:p>
            <w:pPr>
              <w:pStyle w:val="70"/>
              <w:numPr>
                <w:ilvl w:val="0"/>
                <w:numId w:val="4"/>
              </w:numPr>
              <w:spacing w:line="320" w:lineRule="exact"/>
              <w:ind w:left="0" w:firstLine="210" w:firstLineChars="100"/>
              <w:rPr>
                <w:rFonts w:ascii="Calibri" w:hAnsi="宋体" w:eastAsia="宋体" w:cstheme="minorHAnsi"/>
                <w:sz w:val="21"/>
              </w:rPr>
            </w:pPr>
          </w:p>
        </w:tc>
        <w:tc>
          <w:tcPr>
            <w:tcW w:w="2410" w:type="dxa"/>
            <w:shd w:val="clear" w:color="auto" w:fill="auto"/>
            <w:vAlign w:val="center"/>
          </w:tcPr>
          <w:p>
            <w:pPr>
              <w:spacing w:line="320" w:lineRule="exact"/>
              <w:rPr>
                <w:rFonts w:ascii="Calibri" w:hAnsi="宋体" w:eastAsia="宋体" w:cstheme="minorHAnsi"/>
                <w:sz w:val="21"/>
              </w:rPr>
            </w:pPr>
            <w:r>
              <w:rPr>
                <w:rFonts w:hint="eastAsia" w:ascii="Calibri" w:hAnsi="宋体" w:eastAsia="宋体" w:cstheme="minorHAnsi"/>
                <w:sz w:val="21"/>
              </w:rPr>
              <w:t>询问</w:t>
            </w:r>
          </w:p>
        </w:tc>
        <w:tc>
          <w:tcPr>
            <w:tcW w:w="5766" w:type="dxa"/>
            <w:shd w:val="clear" w:color="auto" w:fill="auto"/>
            <w:vAlign w:val="center"/>
          </w:tcPr>
          <w:p>
            <w:pPr>
              <w:spacing w:line="320" w:lineRule="exact"/>
              <w:jc w:val="both"/>
              <w:rPr>
                <w:rFonts w:ascii="Calibri" w:hAnsi="宋体" w:eastAsia="宋体" w:cstheme="minorHAnsi"/>
                <w:sz w:val="21"/>
              </w:rPr>
            </w:pPr>
            <w:r>
              <w:rPr>
                <w:rFonts w:hint="eastAsia" w:ascii="Calibri" w:hAnsi="宋体" w:eastAsia="宋体" w:cstheme="minorHAnsi"/>
                <w:sz w:val="21"/>
              </w:rPr>
              <w:t>见第一章「投标邀请函」中的联系方式</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94" w:type="dxa"/>
            <w:shd w:val="clear" w:color="auto" w:fill="auto"/>
            <w:vAlign w:val="center"/>
          </w:tcPr>
          <w:p>
            <w:pPr>
              <w:pStyle w:val="70"/>
              <w:numPr>
                <w:ilvl w:val="0"/>
                <w:numId w:val="4"/>
              </w:numPr>
              <w:spacing w:line="320" w:lineRule="exact"/>
              <w:ind w:left="0" w:firstLine="210" w:firstLineChars="100"/>
              <w:rPr>
                <w:rFonts w:ascii="Calibri" w:hAnsi="宋体" w:eastAsia="宋体" w:cstheme="minorHAnsi"/>
                <w:sz w:val="21"/>
              </w:rPr>
            </w:pPr>
          </w:p>
        </w:tc>
        <w:tc>
          <w:tcPr>
            <w:tcW w:w="2410" w:type="dxa"/>
            <w:shd w:val="clear" w:color="auto" w:fill="auto"/>
            <w:vAlign w:val="center"/>
          </w:tcPr>
          <w:p>
            <w:pPr>
              <w:spacing w:line="320" w:lineRule="exact"/>
              <w:rPr>
                <w:rFonts w:ascii="Calibri" w:hAnsi="宋体" w:eastAsia="宋体" w:cstheme="minorHAnsi"/>
                <w:sz w:val="21"/>
              </w:rPr>
            </w:pPr>
            <w:r>
              <w:rPr>
                <w:rFonts w:hint="eastAsia" w:ascii="Calibri" w:hAnsi="宋体" w:eastAsia="宋体" w:cstheme="minorHAnsi"/>
                <w:sz w:val="21"/>
              </w:rPr>
              <w:t>质疑</w:t>
            </w:r>
          </w:p>
        </w:tc>
        <w:tc>
          <w:tcPr>
            <w:tcW w:w="5766" w:type="dxa"/>
            <w:shd w:val="clear" w:color="auto" w:fill="auto"/>
            <w:vAlign w:val="center"/>
          </w:tcPr>
          <w:p>
            <w:pPr>
              <w:spacing w:line="320" w:lineRule="exact"/>
              <w:jc w:val="both"/>
              <w:rPr>
                <w:rFonts w:ascii="Calibri" w:hAnsi="宋体" w:eastAsia="宋体" w:cstheme="minorHAnsi"/>
                <w:sz w:val="21"/>
              </w:rPr>
            </w:pPr>
            <w:r>
              <w:rPr>
                <w:rFonts w:hint="eastAsia" w:ascii="Calibri" w:hAnsi="宋体" w:eastAsia="宋体" w:cstheme="minorHAnsi"/>
                <w:sz w:val="21"/>
              </w:rPr>
              <w:t>1</w:t>
            </w:r>
            <w:r>
              <w:rPr>
                <w:rFonts w:ascii="Calibri" w:hAnsi="宋体" w:eastAsia="宋体" w:cstheme="minorHAnsi"/>
                <w:sz w:val="21"/>
              </w:rPr>
              <w:t>．采购人受理方式</w:t>
            </w:r>
          </w:p>
          <w:p>
            <w:pPr>
              <w:spacing w:line="320" w:lineRule="exact"/>
              <w:jc w:val="both"/>
              <w:rPr>
                <w:rFonts w:ascii="Calibri" w:hAnsi="宋体" w:eastAsia="宋体" w:cstheme="minorHAnsi"/>
                <w:color w:val="595959" w:themeColor="text1" w:themeTint="A6"/>
                <w:sz w:val="21"/>
                <w14:textFill>
                  <w14:solidFill>
                    <w14:schemeClr w14:val="tx1">
                      <w14:lumMod w14:val="65000"/>
                      <w14:lumOff w14:val="35000"/>
                    </w14:schemeClr>
                  </w14:solidFill>
                </w14:textFill>
              </w:rPr>
            </w:pPr>
            <w:r>
              <w:rPr>
                <w:rFonts w:hint="eastAsia" w:ascii="Calibri" w:hAnsi="宋体" w:eastAsia="宋体" w:cstheme="minorHAnsi"/>
                <w:color w:val="595959" w:themeColor="text1" w:themeTint="A6"/>
                <w:sz w:val="21"/>
                <w14:textFill>
                  <w14:solidFill>
                    <w14:schemeClr w14:val="tx1">
                      <w14:lumMod w14:val="65000"/>
                      <w14:lumOff w14:val="35000"/>
                    </w14:schemeClr>
                  </w14:solidFill>
                </w14:textFill>
              </w:rPr>
              <w:t>　 见第一章「投标邀请函」中的联系方式</w:t>
            </w:r>
          </w:p>
          <w:p>
            <w:pPr>
              <w:spacing w:line="320" w:lineRule="exact"/>
              <w:jc w:val="both"/>
              <w:rPr>
                <w:rFonts w:ascii="Calibri" w:hAnsi="宋体" w:eastAsia="宋体" w:cstheme="minorHAnsi"/>
                <w:sz w:val="21"/>
              </w:rPr>
            </w:pPr>
            <w:r>
              <w:rPr>
                <w:rFonts w:hint="eastAsia" w:ascii="Calibri" w:hAnsi="宋体" w:eastAsia="宋体" w:cstheme="minorHAnsi"/>
                <w:sz w:val="21"/>
              </w:rPr>
              <w:t>2</w:t>
            </w:r>
            <w:r>
              <w:rPr>
                <w:rFonts w:ascii="Calibri" w:hAnsi="宋体" w:eastAsia="宋体" w:cstheme="minorHAnsi"/>
                <w:sz w:val="21"/>
              </w:rPr>
              <w:t>．集采机构受理方式</w:t>
            </w:r>
          </w:p>
          <w:p>
            <w:pPr>
              <w:spacing w:line="320" w:lineRule="exact"/>
              <w:jc w:val="both"/>
              <w:rPr>
                <w:rFonts w:ascii="Calibri" w:hAnsi="宋体" w:eastAsia="宋体" w:cstheme="minorHAnsi"/>
                <w:color w:val="595959" w:themeColor="text1" w:themeTint="A6"/>
                <w:sz w:val="21"/>
                <w14:textFill>
                  <w14:solidFill>
                    <w14:schemeClr w14:val="tx1">
                      <w14:lumMod w14:val="65000"/>
                      <w14:lumOff w14:val="35000"/>
                    </w14:schemeClr>
                  </w14:solidFill>
                </w14:textFill>
              </w:rPr>
            </w:pPr>
            <w:r>
              <w:rPr>
                <w:rFonts w:hint="eastAsia" w:ascii="Calibri" w:hAnsi="宋体" w:eastAsia="宋体" w:cstheme="minorHAnsi"/>
                <w:color w:val="595959" w:themeColor="text1" w:themeTint="A6"/>
                <w:sz w:val="21"/>
                <w14:textFill>
                  <w14:solidFill>
                    <w14:schemeClr w14:val="tx1">
                      <w14:lumMod w14:val="65000"/>
                      <w14:lumOff w14:val="35000"/>
                    </w14:schemeClr>
                  </w14:solidFill>
                </w14:textFill>
              </w:rPr>
              <w:t>　 受理部门：本集采机构综合业务组</w:t>
            </w:r>
          </w:p>
          <w:p>
            <w:pPr>
              <w:spacing w:line="320" w:lineRule="exact"/>
              <w:jc w:val="both"/>
              <w:rPr>
                <w:rFonts w:ascii="Calibri" w:hAnsi="宋体" w:eastAsia="宋体" w:cstheme="minorHAnsi"/>
                <w:sz w:val="21"/>
              </w:rPr>
            </w:pPr>
            <w:r>
              <w:rPr>
                <w:rFonts w:hint="eastAsia" w:ascii="Calibri" w:hAnsi="宋体" w:eastAsia="宋体" w:cstheme="minorHAnsi"/>
                <w:color w:val="595959" w:themeColor="text1" w:themeTint="A6"/>
                <w:sz w:val="21"/>
                <w14:textFill>
                  <w14:solidFill>
                    <w14:schemeClr w14:val="tx1">
                      <w14:lumMod w14:val="65000"/>
                      <w14:lumOff w14:val="35000"/>
                    </w14:schemeClr>
                  </w14:solidFill>
                </w14:textFill>
              </w:rPr>
              <w:t>　 联系电话：029-86510166/86510167转80706</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94" w:type="dxa"/>
            <w:shd w:val="clear" w:color="auto" w:fill="auto"/>
            <w:vAlign w:val="center"/>
          </w:tcPr>
          <w:p>
            <w:pPr>
              <w:pStyle w:val="70"/>
              <w:numPr>
                <w:ilvl w:val="0"/>
                <w:numId w:val="4"/>
              </w:numPr>
              <w:spacing w:line="320" w:lineRule="exact"/>
              <w:ind w:left="0" w:firstLine="210" w:firstLineChars="100"/>
              <w:rPr>
                <w:rFonts w:ascii="Calibri" w:hAnsi="宋体" w:eastAsia="宋体" w:cstheme="minorHAnsi"/>
                <w:sz w:val="21"/>
              </w:rPr>
            </w:pPr>
          </w:p>
        </w:tc>
        <w:tc>
          <w:tcPr>
            <w:tcW w:w="2410" w:type="dxa"/>
            <w:shd w:val="clear" w:color="auto" w:fill="auto"/>
            <w:vAlign w:val="center"/>
          </w:tcPr>
          <w:p>
            <w:pPr>
              <w:spacing w:line="320" w:lineRule="exact"/>
              <w:rPr>
                <w:rFonts w:ascii="Calibri" w:hAnsi="宋体" w:eastAsia="宋体" w:cstheme="minorHAnsi"/>
                <w:sz w:val="21"/>
              </w:rPr>
            </w:pPr>
            <w:r>
              <w:rPr>
                <w:rFonts w:hint="eastAsia" w:ascii="Calibri" w:hAnsi="宋体" w:eastAsia="宋体" w:cstheme="minorHAnsi"/>
                <w:sz w:val="21"/>
              </w:rPr>
              <w:t>投诉</w:t>
            </w:r>
          </w:p>
        </w:tc>
        <w:tc>
          <w:tcPr>
            <w:tcW w:w="5766" w:type="dxa"/>
            <w:shd w:val="clear" w:color="auto" w:fill="auto"/>
            <w:vAlign w:val="center"/>
          </w:tcPr>
          <w:p>
            <w:pPr>
              <w:spacing w:line="320" w:lineRule="exact"/>
              <w:jc w:val="both"/>
              <w:rPr>
                <w:rFonts w:ascii="Calibri" w:hAnsi="宋体" w:eastAsia="宋体" w:cstheme="minorHAnsi"/>
                <w:sz w:val="21"/>
              </w:rPr>
            </w:pPr>
            <w:r>
              <w:rPr>
                <w:rFonts w:hint="eastAsia" w:ascii="Calibri" w:hAnsi="宋体" w:eastAsia="宋体" w:cstheme="minorHAnsi"/>
                <w:sz w:val="21"/>
              </w:rPr>
              <w:t>受理单位：西安市财政局政府采购管理处</w:t>
            </w:r>
          </w:p>
          <w:p>
            <w:pPr>
              <w:spacing w:line="320" w:lineRule="exact"/>
              <w:jc w:val="both"/>
              <w:rPr>
                <w:rFonts w:ascii="Calibri" w:hAnsi="宋体" w:eastAsia="宋体" w:cstheme="minorHAnsi"/>
                <w:sz w:val="21"/>
              </w:rPr>
            </w:pPr>
            <w:r>
              <w:rPr>
                <w:rFonts w:hint="eastAsia" w:ascii="Calibri" w:hAnsi="宋体" w:eastAsia="宋体" w:cstheme="minorHAnsi"/>
                <w:sz w:val="21"/>
              </w:rPr>
              <w:t>联系电话：029-89821846</w:t>
            </w:r>
          </w:p>
          <w:p>
            <w:pPr>
              <w:spacing w:line="320" w:lineRule="exact"/>
              <w:jc w:val="both"/>
              <w:rPr>
                <w:rFonts w:ascii="Calibri" w:hAnsi="宋体" w:eastAsia="宋体" w:cstheme="minorHAnsi"/>
                <w:sz w:val="21"/>
              </w:rPr>
            </w:pPr>
            <w:r>
              <w:rPr>
                <w:rFonts w:hint="eastAsia" w:ascii="Calibri" w:hAnsi="宋体" w:eastAsia="宋体" w:cstheme="minorHAnsi"/>
                <w:sz w:val="21"/>
              </w:rPr>
              <w:t>地址：西安市未央区西北国金中心A座18层</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94" w:type="dxa"/>
            <w:shd w:val="clear" w:color="auto" w:fill="auto"/>
            <w:vAlign w:val="center"/>
          </w:tcPr>
          <w:p>
            <w:pPr>
              <w:pStyle w:val="70"/>
              <w:numPr>
                <w:ilvl w:val="0"/>
                <w:numId w:val="4"/>
              </w:numPr>
              <w:spacing w:line="320" w:lineRule="exact"/>
              <w:ind w:left="0" w:firstLine="210" w:firstLineChars="100"/>
              <w:rPr>
                <w:rFonts w:ascii="Calibri" w:hAnsi="宋体" w:eastAsia="宋体" w:cstheme="minorHAnsi"/>
                <w:sz w:val="21"/>
              </w:rPr>
            </w:pPr>
          </w:p>
        </w:tc>
        <w:tc>
          <w:tcPr>
            <w:tcW w:w="2410" w:type="dxa"/>
            <w:shd w:val="clear" w:color="auto" w:fill="auto"/>
            <w:vAlign w:val="center"/>
          </w:tcPr>
          <w:p>
            <w:pPr>
              <w:spacing w:line="320" w:lineRule="exact"/>
              <w:rPr>
                <w:rFonts w:ascii="Calibri" w:hAnsi="宋体" w:eastAsia="宋体" w:cstheme="minorHAnsi"/>
                <w:sz w:val="21"/>
              </w:rPr>
            </w:pPr>
            <w:r>
              <w:rPr>
                <w:rFonts w:hint="eastAsia" w:ascii="Calibri" w:hAnsi="宋体" w:eastAsia="宋体" w:cstheme="minorHAnsi"/>
                <w:sz w:val="21"/>
              </w:rPr>
              <w:t>信用信息查询截至时点</w:t>
            </w:r>
          </w:p>
        </w:tc>
        <w:tc>
          <w:tcPr>
            <w:tcW w:w="5766" w:type="dxa"/>
            <w:shd w:val="clear" w:color="auto" w:fill="auto"/>
            <w:vAlign w:val="center"/>
          </w:tcPr>
          <w:p>
            <w:pPr>
              <w:spacing w:line="320" w:lineRule="exact"/>
              <w:jc w:val="both"/>
              <w:rPr>
                <w:rFonts w:ascii="Calibri" w:hAnsi="宋体" w:eastAsia="宋体" w:cstheme="minorHAnsi"/>
                <w:sz w:val="21"/>
              </w:rPr>
            </w:pPr>
            <w:r>
              <w:rPr>
                <w:rFonts w:ascii="Calibri" w:hAnsi="宋体" w:eastAsia="宋体" w:cstheme="minorHAnsi"/>
                <w:sz w:val="21"/>
              </w:rPr>
              <w:t>同提交投标文件截止时间</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94" w:type="dxa"/>
            <w:shd w:val="clear" w:color="auto" w:fill="auto"/>
            <w:vAlign w:val="center"/>
          </w:tcPr>
          <w:p>
            <w:pPr>
              <w:pStyle w:val="70"/>
              <w:numPr>
                <w:ilvl w:val="0"/>
                <w:numId w:val="4"/>
              </w:numPr>
              <w:spacing w:line="320" w:lineRule="exact"/>
              <w:ind w:left="0" w:firstLine="210" w:firstLineChars="100"/>
              <w:rPr>
                <w:rFonts w:ascii="Calibri" w:hAnsi="宋体" w:eastAsia="宋体" w:cstheme="minorHAnsi"/>
                <w:sz w:val="21"/>
              </w:rPr>
            </w:pPr>
          </w:p>
        </w:tc>
        <w:tc>
          <w:tcPr>
            <w:tcW w:w="2410" w:type="dxa"/>
            <w:shd w:val="clear" w:color="auto" w:fill="auto"/>
            <w:vAlign w:val="center"/>
          </w:tcPr>
          <w:p>
            <w:pPr>
              <w:spacing w:line="320" w:lineRule="exact"/>
              <w:rPr>
                <w:rFonts w:ascii="Calibri" w:hAnsi="宋体" w:eastAsia="宋体" w:cstheme="minorHAnsi"/>
                <w:sz w:val="21"/>
              </w:rPr>
            </w:pPr>
            <w:r>
              <w:rPr>
                <w:rFonts w:hint="eastAsia" w:ascii="Calibri" w:hAnsi="宋体" w:eastAsia="宋体" w:cstheme="minorHAnsi"/>
                <w:sz w:val="21"/>
              </w:rPr>
              <w:t>开标形式</w:t>
            </w:r>
          </w:p>
        </w:tc>
        <w:tc>
          <w:tcPr>
            <w:tcW w:w="5766" w:type="dxa"/>
            <w:shd w:val="clear" w:color="auto" w:fill="auto"/>
            <w:vAlign w:val="center"/>
          </w:tcPr>
          <w:p>
            <w:pPr>
              <w:spacing w:line="320" w:lineRule="exact"/>
              <w:jc w:val="both"/>
              <w:rPr>
                <w:rFonts w:cstheme="minorHAnsi"/>
                <w:color w:val="C00000"/>
                <w:sz w:val="21"/>
                <w:szCs w:val="21"/>
              </w:rPr>
            </w:pPr>
            <w:sdt>
              <w:sdtPr>
                <w:rPr>
                  <w:rFonts w:cstheme="minorHAnsi"/>
                  <w:color w:val="C00000"/>
                  <w:sz w:val="21"/>
                  <w:szCs w:val="21"/>
                </w:rPr>
                <w:id w:val="1077786224"/>
                <w14:checkbox>
                  <w14:checked w14:val="1"/>
                  <w14:checkedState w14:val="2611" w14:font="MS Gothic"/>
                  <w14:uncheckedState w14:val="2610" w14:font="MS Gothic"/>
                </w14:checkbox>
              </w:sdtPr>
              <w:sdtEndPr>
                <w:rPr>
                  <w:rFonts w:cstheme="minorHAnsi"/>
                  <w:color w:val="C00000"/>
                  <w:sz w:val="21"/>
                  <w:szCs w:val="21"/>
                </w:rPr>
              </w:sdtEndPr>
              <w:sdtContent>
                <w:r>
                  <w:rPr>
                    <w:rFonts w:ascii="Segoe UI Symbol" w:hAnsi="Segoe UI Symbol" w:cs="Segoe UI Symbol"/>
                    <w:color w:val="C00000"/>
                    <w:sz w:val="21"/>
                    <w:szCs w:val="21"/>
                  </w:rPr>
                  <w:t>☑</w:t>
                </w:r>
              </w:sdtContent>
            </w:sdt>
            <w:r>
              <w:rPr>
                <w:rFonts w:cstheme="minorHAnsi"/>
                <w:color w:val="C00000"/>
                <w:sz w:val="21"/>
                <w:szCs w:val="21"/>
              </w:rPr>
              <w:t>不见面开标：</w:t>
            </w:r>
          </w:p>
          <w:p>
            <w:pPr>
              <w:wordWrap w:val="0"/>
              <w:spacing w:line="320" w:lineRule="exact"/>
              <w:jc w:val="both"/>
              <w:rPr>
                <w:rFonts w:cstheme="minorHAnsi"/>
                <w:sz w:val="21"/>
                <w:szCs w:val="21"/>
              </w:rPr>
            </w:pPr>
            <w:r>
              <w:rPr>
                <w:rFonts w:cstheme="minorHAnsi"/>
                <w:color w:val="595959" w:themeColor="text1" w:themeTint="A6"/>
                <w:sz w:val="21"/>
                <w:szCs w:val="21"/>
                <w14:textFill>
                  <w14:solidFill>
                    <w14:schemeClr w14:val="tx1">
                      <w14:lumMod w14:val="65000"/>
                      <w14:lumOff w14:val="35000"/>
                    </w14:schemeClr>
                  </w14:solidFill>
                </w14:textFill>
              </w:rPr>
              <w:t>　 供应商的法定代表人或其授权代表无需到达开标现场，直接在线参加开标大会。</w:t>
            </w:r>
          </w:p>
          <w:p>
            <w:pPr>
              <w:spacing w:line="320" w:lineRule="exact"/>
              <w:jc w:val="both"/>
              <w:rPr>
                <w:rFonts w:cstheme="minorHAnsi"/>
                <w:color w:val="C00000"/>
                <w:sz w:val="21"/>
                <w:szCs w:val="21"/>
              </w:rPr>
            </w:pPr>
            <w:sdt>
              <w:sdtPr>
                <w:rPr>
                  <w:rFonts w:cstheme="minorHAnsi"/>
                  <w:color w:val="C00000"/>
                  <w:sz w:val="21"/>
                  <w:szCs w:val="21"/>
                </w:rPr>
                <w:id w:val="1553575034"/>
                <w14:checkbox>
                  <w14:checked w14:val="0"/>
                  <w14:checkedState w14:val="2611" w14:font="MS Gothic"/>
                  <w14:uncheckedState w14:val="2610" w14:font="MS Gothic"/>
                </w14:checkbox>
              </w:sdtPr>
              <w:sdtEndPr>
                <w:rPr>
                  <w:rFonts w:cstheme="minorHAnsi"/>
                  <w:color w:val="C00000"/>
                  <w:sz w:val="21"/>
                  <w:szCs w:val="21"/>
                </w:rPr>
              </w:sdtEndPr>
              <w:sdtContent>
                <w:r>
                  <w:rPr>
                    <w:rFonts w:hint="eastAsia" w:ascii="MS Gothic" w:hAnsi="MS Gothic" w:eastAsia="MS Gothic" w:cstheme="minorHAnsi"/>
                    <w:color w:val="C00000"/>
                    <w:sz w:val="21"/>
                    <w:szCs w:val="21"/>
                  </w:rPr>
                  <w:t>☐</w:t>
                </w:r>
              </w:sdtContent>
            </w:sdt>
            <w:r>
              <w:rPr>
                <w:rFonts w:cstheme="minorHAnsi"/>
                <w:color w:val="C00000"/>
                <w:sz w:val="21"/>
                <w:szCs w:val="21"/>
              </w:rPr>
              <w:t>见面开标：</w:t>
            </w:r>
          </w:p>
          <w:p>
            <w:pPr>
              <w:spacing w:line="320" w:lineRule="exact"/>
              <w:jc w:val="both"/>
              <w:rPr>
                <w:rFonts w:ascii="Calibri" w:hAnsi="宋体" w:eastAsia="宋体" w:cstheme="minorHAnsi"/>
                <w:sz w:val="21"/>
              </w:rPr>
            </w:pPr>
            <w:r>
              <w:rPr>
                <w:rFonts w:cstheme="minorHAnsi"/>
                <w:color w:val="595959" w:themeColor="text1" w:themeTint="A6"/>
                <w:sz w:val="21"/>
                <w:szCs w:val="21"/>
                <w14:textFill>
                  <w14:solidFill>
                    <w14:schemeClr w14:val="tx1">
                      <w14:lumMod w14:val="65000"/>
                      <w14:lumOff w14:val="35000"/>
                    </w14:schemeClr>
                  </w14:solidFill>
                </w14:textFill>
              </w:rPr>
              <w:t>　 供应商的法定代表人或其授权代表应当持有效身份证件在提交响应文件截止时间前抵达开标现场，并签到确认。</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94" w:type="dxa"/>
            <w:shd w:val="clear" w:color="auto" w:fill="auto"/>
            <w:vAlign w:val="center"/>
          </w:tcPr>
          <w:p>
            <w:pPr>
              <w:pStyle w:val="70"/>
              <w:numPr>
                <w:ilvl w:val="0"/>
                <w:numId w:val="4"/>
              </w:numPr>
              <w:spacing w:line="320" w:lineRule="exact"/>
              <w:ind w:left="0" w:firstLine="210" w:firstLineChars="100"/>
              <w:rPr>
                <w:rFonts w:ascii="Calibri" w:hAnsi="宋体" w:eastAsia="宋体" w:cstheme="minorHAnsi"/>
                <w:sz w:val="21"/>
              </w:rPr>
            </w:pPr>
          </w:p>
        </w:tc>
        <w:tc>
          <w:tcPr>
            <w:tcW w:w="2410" w:type="dxa"/>
            <w:shd w:val="clear" w:color="auto" w:fill="auto"/>
            <w:vAlign w:val="center"/>
          </w:tcPr>
          <w:p>
            <w:pPr>
              <w:spacing w:line="320" w:lineRule="exact"/>
              <w:rPr>
                <w:rFonts w:ascii="Calibri" w:hAnsi="宋体" w:eastAsia="宋体" w:cstheme="minorHAnsi"/>
                <w:sz w:val="21"/>
              </w:rPr>
            </w:pPr>
            <w:r>
              <w:rPr>
                <w:rFonts w:hint="eastAsia" w:ascii="Calibri" w:hAnsi="宋体" w:eastAsia="宋体" w:cstheme="minorHAnsi"/>
                <w:sz w:val="21"/>
              </w:rPr>
              <w:t>评标形式</w:t>
            </w:r>
          </w:p>
        </w:tc>
        <w:tc>
          <w:tcPr>
            <w:tcW w:w="5766" w:type="dxa"/>
            <w:shd w:val="clear" w:color="auto" w:fill="auto"/>
            <w:vAlign w:val="center"/>
          </w:tcPr>
          <w:p>
            <w:pPr>
              <w:spacing w:line="320" w:lineRule="exact"/>
              <w:jc w:val="both"/>
              <w:rPr>
                <w:rFonts w:ascii="Calibri" w:hAnsi="宋体" w:eastAsia="宋体" w:cstheme="minorHAnsi"/>
                <w:color w:val="C00000"/>
                <w:sz w:val="21"/>
              </w:rPr>
            </w:pPr>
            <w:r>
              <w:rPr>
                <w:rFonts w:hint="eastAsia" w:ascii="Segoe UI Symbol" w:hAnsi="Segoe UI Symbol" w:eastAsia="Segoe UI Symbol" w:cstheme="minorHAnsi"/>
                <w:color w:val="C00000"/>
                <w:sz w:val="21"/>
              </w:rPr>
              <w:t>☑</w:t>
            </w:r>
            <w:r>
              <w:rPr>
                <w:rFonts w:hint="eastAsia" w:ascii="Calibri" w:hAnsi="宋体" w:eastAsia="宋体" w:cstheme="minorHAnsi"/>
                <w:color w:val="C00000"/>
                <w:sz w:val="21"/>
              </w:rPr>
              <w:t xml:space="preserve">暗标盲评 </w:t>
            </w:r>
            <w:r>
              <w:rPr>
                <w:rFonts w:ascii="Calibri" w:hAnsi="宋体" w:eastAsia="宋体" w:cstheme="minorHAnsi"/>
                <w:color w:val="C00000"/>
                <w:sz w:val="21"/>
              </w:rPr>
              <w:t xml:space="preserve">  </w:t>
            </w:r>
            <w:r>
              <w:rPr>
                <w:rFonts w:hint="eastAsia" w:ascii="Calibri" w:hAnsi="宋体" w:eastAsia="宋体" w:cstheme="minorHAnsi"/>
                <w:color w:val="C00000"/>
                <w:sz w:val="21"/>
              </w:rPr>
              <w:t xml:space="preserve"> </w:t>
            </w:r>
            <w:r>
              <w:rPr>
                <w:rFonts w:hint="eastAsia" w:ascii="Segoe UI Symbol" w:hAnsi="Segoe UI Symbol" w:eastAsia="Segoe UI Symbol" w:cstheme="minorHAnsi"/>
                <w:color w:val="C00000"/>
                <w:sz w:val="21"/>
              </w:rPr>
              <w:t>☐</w:t>
            </w:r>
            <w:r>
              <w:rPr>
                <w:rFonts w:hint="eastAsia" w:ascii="Calibri" w:hAnsi="宋体" w:eastAsia="宋体" w:cstheme="minorHAnsi"/>
                <w:color w:val="C00000"/>
                <w:sz w:val="21"/>
              </w:rPr>
              <w:t>明标</w:t>
            </w:r>
          </w:p>
          <w:p>
            <w:pPr>
              <w:spacing w:line="320" w:lineRule="exact"/>
              <w:jc w:val="both"/>
              <w:rPr>
                <w:rFonts w:ascii="Calibri" w:hAnsi="宋体" w:eastAsia="宋体" w:cstheme="minorHAnsi"/>
                <w:sz w:val="21"/>
              </w:rPr>
            </w:pPr>
            <w:r>
              <w:rPr>
                <w:rFonts w:ascii="Calibri" w:hAnsi="宋体" w:eastAsia="宋体" w:cstheme="minorHAnsi"/>
                <w:sz w:val="21"/>
              </w:rPr>
              <w:t>详见本章「</w:t>
            </w:r>
            <w:r>
              <w:rPr>
                <w:rFonts w:hint="eastAsia" w:ascii="Calibri" w:hAnsi="宋体" w:eastAsia="宋体" w:cstheme="minorHAnsi"/>
                <w:sz w:val="21"/>
              </w:rPr>
              <w:t>评审方法和程序</w:t>
            </w:r>
            <w:r>
              <w:rPr>
                <w:rFonts w:ascii="Calibri" w:hAnsi="宋体" w:eastAsia="宋体" w:cstheme="minorHAnsi"/>
                <w:sz w:val="21"/>
              </w:rPr>
              <w:t>」有关内容。</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94" w:type="dxa"/>
            <w:shd w:val="clear" w:color="auto" w:fill="auto"/>
            <w:vAlign w:val="center"/>
          </w:tcPr>
          <w:p>
            <w:pPr>
              <w:pStyle w:val="70"/>
              <w:numPr>
                <w:ilvl w:val="0"/>
                <w:numId w:val="4"/>
              </w:numPr>
              <w:spacing w:line="320" w:lineRule="exact"/>
              <w:ind w:left="0" w:firstLine="210" w:firstLineChars="100"/>
              <w:rPr>
                <w:rFonts w:ascii="Calibri" w:hAnsi="宋体" w:eastAsia="宋体" w:cstheme="minorHAnsi"/>
                <w:sz w:val="21"/>
              </w:rPr>
            </w:pPr>
          </w:p>
        </w:tc>
        <w:tc>
          <w:tcPr>
            <w:tcW w:w="2410" w:type="dxa"/>
            <w:shd w:val="clear" w:color="auto" w:fill="auto"/>
            <w:vAlign w:val="center"/>
          </w:tcPr>
          <w:p>
            <w:pPr>
              <w:spacing w:line="320" w:lineRule="exact"/>
              <w:rPr>
                <w:rFonts w:ascii="Calibri" w:hAnsi="宋体" w:eastAsia="宋体" w:cstheme="minorHAnsi"/>
                <w:sz w:val="21"/>
              </w:rPr>
            </w:pPr>
            <w:r>
              <w:rPr>
                <w:rFonts w:hint="eastAsia" w:ascii="Calibri" w:hAnsi="宋体" w:eastAsia="宋体" w:cstheme="minorHAnsi"/>
                <w:sz w:val="21"/>
              </w:rPr>
              <w:t>采购标的对应的中小企业划分标准所属行业</w:t>
            </w:r>
          </w:p>
        </w:tc>
        <w:tc>
          <w:tcPr>
            <w:tcW w:w="5766" w:type="dxa"/>
            <w:shd w:val="clear" w:color="auto" w:fill="auto"/>
            <w:vAlign w:val="center"/>
          </w:tcPr>
          <w:p>
            <w:pPr>
              <w:spacing w:line="320" w:lineRule="exact"/>
              <w:jc w:val="both"/>
              <w:rPr>
                <w:rFonts w:ascii="Calibri" w:hAnsi="宋体" w:eastAsia="宋体" w:cstheme="minorHAnsi"/>
                <w:sz w:val="21"/>
              </w:rPr>
            </w:pPr>
            <w:r>
              <w:rPr>
                <w:rFonts w:hint="eastAsia" w:ascii="Calibri" w:hAnsi="宋体" w:eastAsia="宋体" w:cstheme="minorHAnsi"/>
                <w:sz w:val="21"/>
              </w:rPr>
              <w:t>依据工业和信息化部、国家统计局、国家发展和改革委员会、财政部《关于印发中小企业划型标准规定的通知》（工信部联企业〔2011〕300号），本项目采购标的对应的中小企业划分标准所属行业为</w:t>
            </w:r>
            <w:r>
              <w:rPr>
                <w:rFonts w:hint="eastAsia"/>
                <w:color w:val="7030A0"/>
                <w:sz w:val="21"/>
                <w:szCs w:val="21"/>
                <w:u w:val="single"/>
              </w:rPr>
              <w:t>物业管理</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94" w:type="dxa"/>
            <w:shd w:val="clear" w:color="auto" w:fill="auto"/>
            <w:vAlign w:val="center"/>
          </w:tcPr>
          <w:p>
            <w:pPr>
              <w:pStyle w:val="70"/>
              <w:numPr>
                <w:ilvl w:val="0"/>
                <w:numId w:val="4"/>
              </w:numPr>
              <w:spacing w:line="320" w:lineRule="exact"/>
              <w:ind w:left="0" w:firstLine="210" w:firstLineChars="100"/>
              <w:rPr>
                <w:rFonts w:ascii="Calibri" w:hAnsi="宋体" w:eastAsia="宋体" w:cstheme="minorHAnsi"/>
                <w:sz w:val="21"/>
              </w:rPr>
            </w:pPr>
          </w:p>
        </w:tc>
        <w:tc>
          <w:tcPr>
            <w:tcW w:w="2410" w:type="dxa"/>
            <w:shd w:val="clear" w:color="auto" w:fill="auto"/>
            <w:vAlign w:val="center"/>
          </w:tcPr>
          <w:p>
            <w:pPr>
              <w:spacing w:line="320" w:lineRule="exact"/>
              <w:rPr>
                <w:rFonts w:ascii="Calibri" w:hAnsi="宋体" w:eastAsia="宋体" w:cstheme="minorHAnsi"/>
                <w:sz w:val="21"/>
              </w:rPr>
            </w:pPr>
            <w:r>
              <w:rPr>
                <w:rFonts w:hint="eastAsia" w:ascii="Calibri" w:hAnsi="宋体" w:eastAsia="宋体" w:cstheme="minorHAnsi"/>
                <w:sz w:val="21"/>
              </w:rPr>
              <w:t>中标通知书</w:t>
            </w:r>
          </w:p>
        </w:tc>
        <w:tc>
          <w:tcPr>
            <w:tcW w:w="5766" w:type="dxa"/>
            <w:shd w:val="clear" w:color="auto" w:fill="auto"/>
            <w:vAlign w:val="center"/>
          </w:tcPr>
          <w:p>
            <w:pPr>
              <w:spacing w:line="320" w:lineRule="exact"/>
              <w:jc w:val="both"/>
              <w:rPr>
                <w:rFonts w:ascii="Calibri" w:hAnsi="Calibri" w:eastAsia="宋体" w:cstheme="minorHAnsi"/>
                <w:sz w:val="21"/>
              </w:rPr>
            </w:pPr>
            <w:r>
              <w:rPr>
                <w:rFonts w:hint="eastAsia" w:ascii="Calibri" w:hAnsi="宋体" w:eastAsia="宋体" w:cstheme="minorHAnsi"/>
                <w:sz w:val="21"/>
              </w:rPr>
              <w:t>领取时间及方式见中标公告。</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94" w:type="dxa"/>
            <w:shd w:val="clear" w:color="auto" w:fill="auto"/>
            <w:vAlign w:val="center"/>
          </w:tcPr>
          <w:p>
            <w:pPr>
              <w:pStyle w:val="70"/>
              <w:numPr>
                <w:ilvl w:val="0"/>
                <w:numId w:val="4"/>
              </w:numPr>
              <w:spacing w:line="320" w:lineRule="exact"/>
              <w:ind w:left="0" w:firstLine="210" w:firstLineChars="100"/>
              <w:rPr>
                <w:rFonts w:ascii="Calibri" w:hAnsi="宋体" w:eastAsia="宋体" w:cstheme="minorHAnsi"/>
                <w:sz w:val="21"/>
              </w:rPr>
            </w:pPr>
          </w:p>
        </w:tc>
        <w:tc>
          <w:tcPr>
            <w:tcW w:w="2410" w:type="dxa"/>
            <w:shd w:val="clear" w:color="auto" w:fill="auto"/>
            <w:vAlign w:val="center"/>
          </w:tcPr>
          <w:p>
            <w:pPr>
              <w:spacing w:line="320" w:lineRule="exact"/>
              <w:rPr>
                <w:rFonts w:ascii="Calibri" w:hAnsi="宋体" w:eastAsia="宋体" w:cstheme="minorHAnsi"/>
                <w:sz w:val="21"/>
              </w:rPr>
            </w:pPr>
            <w:r>
              <w:rPr>
                <w:rFonts w:hint="eastAsia" w:ascii="Calibri" w:hAnsi="宋体" w:eastAsia="宋体" w:cstheme="minorHAnsi"/>
                <w:sz w:val="21"/>
              </w:rPr>
              <w:t>电子化政府采购系统技术支持</w:t>
            </w:r>
            <w:r>
              <w:rPr>
                <w:rFonts w:ascii="Calibri" w:hAnsi="宋体" w:eastAsia="宋体" w:cstheme="minorHAnsi"/>
                <w:sz w:val="21"/>
              </w:rPr>
              <w:t>（</w:t>
            </w:r>
            <w:r>
              <w:rPr>
                <w:rFonts w:hint="eastAsia" w:ascii="Calibri" w:hAnsi="宋体" w:eastAsia="宋体" w:cstheme="minorHAnsi"/>
                <w:sz w:val="21"/>
              </w:rPr>
              <w:t>国泰新点软件股份有限公司</w:t>
            </w:r>
            <w:r>
              <w:rPr>
                <w:rFonts w:ascii="Calibri" w:hAnsi="宋体" w:eastAsia="宋体" w:cstheme="minorHAnsi"/>
                <w:sz w:val="21"/>
              </w:rPr>
              <w:t>）</w:t>
            </w:r>
          </w:p>
        </w:tc>
        <w:tc>
          <w:tcPr>
            <w:tcW w:w="5766" w:type="dxa"/>
            <w:shd w:val="clear" w:color="auto" w:fill="auto"/>
            <w:vAlign w:val="center"/>
          </w:tcPr>
          <w:p>
            <w:pPr>
              <w:spacing w:line="320" w:lineRule="exact"/>
              <w:jc w:val="both"/>
              <w:rPr>
                <w:rFonts w:ascii="Calibri" w:hAnsi="宋体" w:eastAsia="宋体" w:cstheme="minorHAnsi"/>
                <w:sz w:val="21"/>
              </w:rPr>
            </w:pPr>
            <w:r>
              <w:rPr>
                <w:rFonts w:hint="eastAsia" w:ascii="Calibri" w:hAnsi="宋体" w:eastAsia="宋体" w:cstheme="minorHAnsi"/>
                <w:sz w:val="21"/>
              </w:rPr>
              <w:t>技术</w:t>
            </w:r>
            <w:r>
              <w:rPr>
                <w:rFonts w:ascii="Calibri" w:hAnsi="宋体" w:eastAsia="宋体" w:cstheme="minorHAnsi"/>
                <w:sz w:val="21"/>
              </w:rPr>
              <w:t>支持</w:t>
            </w:r>
            <w:r>
              <w:rPr>
                <w:rFonts w:hint="eastAsia" w:ascii="Calibri" w:hAnsi="宋体" w:eastAsia="宋体" w:cstheme="minorHAnsi"/>
                <w:sz w:val="21"/>
              </w:rPr>
              <w:t>热线</w:t>
            </w:r>
            <w:r>
              <w:rPr>
                <w:rFonts w:ascii="Calibri" w:hAnsi="宋体" w:eastAsia="宋体" w:cstheme="minorHAnsi"/>
                <w:sz w:val="21"/>
              </w:rPr>
              <w:t>：</w:t>
            </w:r>
            <w:r>
              <w:rPr>
                <w:rFonts w:hint="eastAsia" w:ascii="Calibri" w:hAnsi="宋体" w:eastAsia="宋体" w:cstheme="minorHAnsi"/>
                <w:sz w:val="21"/>
              </w:rPr>
              <w:t>400-998-0000/400-928-0095</w:t>
            </w:r>
          </w:p>
          <w:p>
            <w:pPr>
              <w:spacing w:line="320" w:lineRule="exact"/>
              <w:jc w:val="both"/>
              <w:rPr>
                <w:rFonts w:ascii="Calibri" w:hAnsi="宋体" w:eastAsia="宋体" w:cstheme="minorHAnsi"/>
                <w:sz w:val="21"/>
              </w:rPr>
            </w:pPr>
            <w:r>
              <w:rPr>
                <w:rFonts w:hint="eastAsia" w:ascii="Calibri" w:hAnsi="宋体" w:eastAsia="宋体" w:cstheme="minorHAnsi"/>
                <w:sz w:val="21"/>
              </w:rPr>
              <w:t>驻场技术人员：徐工</w:t>
            </w:r>
          </w:p>
          <w:p>
            <w:pPr>
              <w:spacing w:line="320" w:lineRule="exact"/>
              <w:jc w:val="both"/>
              <w:rPr>
                <w:rFonts w:ascii="Calibri" w:hAnsi="宋体" w:eastAsia="宋体" w:cstheme="minorHAnsi"/>
                <w:sz w:val="21"/>
              </w:rPr>
            </w:pPr>
            <w:r>
              <w:rPr>
                <w:rFonts w:hint="eastAsia" w:ascii="Calibri" w:hAnsi="宋体" w:eastAsia="宋体" w:cstheme="minorHAnsi"/>
                <w:sz w:val="21"/>
              </w:rPr>
              <w:t>联系电话：029-86510166/86510167转80310</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694" w:type="dxa"/>
            <w:shd w:val="clear" w:color="auto" w:fill="auto"/>
            <w:vAlign w:val="center"/>
          </w:tcPr>
          <w:p>
            <w:pPr>
              <w:pStyle w:val="70"/>
              <w:numPr>
                <w:ilvl w:val="0"/>
                <w:numId w:val="4"/>
              </w:numPr>
              <w:spacing w:line="320" w:lineRule="exact"/>
              <w:ind w:left="0" w:firstLine="210" w:firstLineChars="100"/>
              <w:rPr>
                <w:rFonts w:ascii="Calibri" w:hAnsi="宋体" w:eastAsia="宋体" w:cstheme="minorHAnsi"/>
                <w:sz w:val="21"/>
              </w:rPr>
            </w:pPr>
          </w:p>
        </w:tc>
        <w:tc>
          <w:tcPr>
            <w:tcW w:w="2410" w:type="dxa"/>
            <w:shd w:val="clear" w:color="auto" w:fill="auto"/>
            <w:vAlign w:val="center"/>
          </w:tcPr>
          <w:p>
            <w:pPr>
              <w:spacing w:line="320" w:lineRule="exact"/>
              <w:rPr>
                <w:rFonts w:ascii="Calibri" w:hAnsi="宋体" w:eastAsia="宋体" w:cstheme="minorHAnsi"/>
                <w:sz w:val="21"/>
              </w:rPr>
            </w:pPr>
            <w:r>
              <w:rPr>
                <w:rFonts w:hint="eastAsia" w:ascii="Calibri" w:hAnsi="宋体" w:eastAsia="宋体" w:cstheme="minorHAnsi"/>
                <w:sz w:val="21"/>
              </w:rPr>
              <w:t>办理数字认证证书（CA）</w:t>
            </w:r>
          </w:p>
        </w:tc>
        <w:tc>
          <w:tcPr>
            <w:tcW w:w="5766" w:type="dxa"/>
            <w:shd w:val="clear" w:color="auto" w:fill="auto"/>
            <w:vAlign w:val="center"/>
          </w:tcPr>
          <w:p>
            <w:pPr>
              <w:spacing w:line="320" w:lineRule="exact"/>
              <w:jc w:val="both"/>
              <w:rPr>
                <w:rFonts w:ascii="Calibri" w:hAnsi="宋体" w:eastAsia="宋体" w:cstheme="minorHAnsi"/>
                <w:sz w:val="21"/>
              </w:rPr>
            </w:pPr>
            <w:r>
              <w:rPr>
                <w:rFonts w:hint="eastAsia" w:ascii="Calibri" w:hAnsi="宋体" w:eastAsia="宋体" w:cstheme="minorHAnsi"/>
                <w:sz w:val="21"/>
              </w:rPr>
              <w:t>1．CA办理方式</w:t>
            </w:r>
          </w:p>
          <w:p>
            <w:pPr>
              <w:spacing w:line="320" w:lineRule="exact"/>
              <w:jc w:val="both"/>
              <w:rPr>
                <w:rFonts w:ascii="Calibri" w:hAnsi="宋体" w:eastAsia="宋体" w:cstheme="minorHAnsi"/>
                <w:sz w:val="21"/>
              </w:rPr>
            </w:pPr>
            <w:r>
              <w:rPr>
                <w:rFonts w:ascii="Calibri" w:hAnsi="宋体" w:eastAsia="宋体" w:cstheme="minorHAnsi"/>
                <w:sz w:val="21"/>
              </w:rPr>
              <w:t xml:space="preserve">① </w:t>
            </w:r>
            <w:r>
              <w:rPr>
                <w:rFonts w:hint="eastAsia" w:ascii="Calibri" w:hAnsi="宋体" w:eastAsia="宋体" w:cstheme="minorHAnsi"/>
                <w:sz w:val="21"/>
              </w:rPr>
              <w:t>到陕西省公共资源交易中心大厅进行现场办理</w:t>
            </w:r>
          </w:p>
          <w:p>
            <w:pPr>
              <w:spacing w:line="320" w:lineRule="exact"/>
              <w:jc w:val="both"/>
              <w:rPr>
                <w:rFonts w:ascii="Calibri" w:hAnsi="宋体" w:eastAsia="宋体" w:cstheme="minorHAnsi"/>
                <w:color w:val="595959" w:themeColor="text1" w:themeTint="A6"/>
                <w:sz w:val="21"/>
                <w14:textFill>
                  <w14:solidFill>
                    <w14:schemeClr w14:val="tx1">
                      <w14:lumMod w14:val="65000"/>
                      <w14:lumOff w14:val="35000"/>
                    </w14:schemeClr>
                  </w14:solidFill>
                </w14:textFill>
              </w:rPr>
            </w:pPr>
            <w:r>
              <w:rPr>
                <w:rFonts w:hint="eastAsia" w:ascii="Calibri" w:hAnsi="宋体" w:eastAsia="宋体" w:cstheme="minorHAnsi"/>
                <w:color w:val="595959" w:themeColor="text1" w:themeTint="A6"/>
                <w:sz w:val="21"/>
                <w14:textFill>
                  <w14:solidFill>
                    <w14:schemeClr w14:val="tx1">
                      <w14:lumMod w14:val="65000"/>
                      <w14:lumOff w14:val="35000"/>
                    </w14:schemeClr>
                  </w14:solidFill>
                </w14:textFill>
              </w:rPr>
              <w:t>　 地址：陕西省西安市碑林区长安北路14号</w:t>
            </w:r>
          </w:p>
          <w:p>
            <w:pPr>
              <w:spacing w:line="320" w:lineRule="exact"/>
              <w:jc w:val="both"/>
              <w:rPr>
                <w:rFonts w:ascii="Calibri" w:hAnsi="宋体" w:eastAsia="宋体" w:cstheme="minorHAnsi"/>
                <w:sz w:val="21"/>
              </w:rPr>
            </w:pPr>
            <w:r>
              <w:rPr>
                <w:rFonts w:hint="eastAsia" w:ascii="Calibri" w:hAnsi="宋体" w:eastAsia="宋体" w:cstheme="minorHAnsi"/>
                <w:sz w:val="21"/>
              </w:rPr>
              <w:t>② 到西安市公共资源交易中心二楼大厅现场办理</w:t>
            </w:r>
          </w:p>
          <w:p>
            <w:pPr>
              <w:spacing w:line="320" w:lineRule="exact"/>
              <w:jc w:val="both"/>
              <w:rPr>
                <w:rFonts w:ascii="Calibri" w:hAnsi="宋体" w:eastAsia="宋体" w:cstheme="minorHAnsi"/>
                <w:color w:val="595959" w:themeColor="text1" w:themeTint="A6"/>
                <w:sz w:val="21"/>
                <w14:textFill>
                  <w14:solidFill>
                    <w14:schemeClr w14:val="tx1">
                      <w14:lumMod w14:val="65000"/>
                      <w14:lumOff w14:val="35000"/>
                    </w14:schemeClr>
                  </w14:solidFill>
                </w14:textFill>
              </w:rPr>
            </w:pPr>
            <w:r>
              <w:rPr>
                <w:rFonts w:hint="eastAsia" w:ascii="Calibri" w:hAnsi="宋体" w:eastAsia="宋体" w:cstheme="minorHAnsi"/>
                <w:color w:val="595959" w:themeColor="text1" w:themeTint="A6"/>
                <w:sz w:val="21"/>
                <w14:textFill>
                  <w14:solidFill>
                    <w14:schemeClr w14:val="tx1">
                      <w14:lumMod w14:val="65000"/>
                      <w14:lumOff w14:val="35000"/>
                    </w14:schemeClr>
                  </w14:solidFill>
                </w14:textFill>
              </w:rPr>
              <w:t>　 地址：西安市未央区文景北路16号白桦林国际B座</w:t>
            </w:r>
          </w:p>
          <w:p>
            <w:pPr>
              <w:spacing w:line="320" w:lineRule="exact"/>
              <w:jc w:val="both"/>
              <w:rPr>
                <w:rFonts w:ascii="Calibri" w:hAnsi="宋体" w:eastAsia="宋体" w:cstheme="minorHAnsi"/>
                <w:sz w:val="21"/>
              </w:rPr>
            </w:pPr>
            <w:r>
              <w:rPr>
                <w:rFonts w:hint="eastAsia" w:ascii="Calibri" w:hAnsi="宋体" w:eastAsia="宋体" w:cstheme="minorHAnsi"/>
                <w:sz w:val="21"/>
              </w:rPr>
              <w:t>③ 下载“陕公共资源交易服务”APP，通过APP进行线上业务办理。</w:t>
            </w:r>
          </w:p>
          <w:p>
            <w:pPr>
              <w:spacing w:line="320" w:lineRule="exact"/>
              <w:jc w:val="both"/>
              <w:rPr>
                <w:rFonts w:ascii="Calibri" w:hAnsi="宋体" w:eastAsia="宋体" w:cstheme="minorHAnsi"/>
                <w:sz w:val="21"/>
              </w:rPr>
            </w:pPr>
            <w:r>
              <w:rPr>
                <w:rFonts w:ascii="Calibri" w:hAnsi="宋体" w:eastAsia="宋体" w:cstheme="minorHAnsi"/>
                <w:sz w:val="21"/>
              </w:rPr>
              <w:t>4</w:t>
            </w:r>
            <w:r>
              <w:rPr>
                <w:rFonts w:hint="eastAsia" w:ascii="Calibri" w:hAnsi="宋体" w:eastAsia="宋体" w:cstheme="minorHAnsi"/>
                <w:sz w:val="21"/>
              </w:rPr>
              <w:t>．各CA客服热线：</w:t>
            </w:r>
          </w:p>
          <w:p>
            <w:pPr>
              <w:spacing w:line="320" w:lineRule="exact"/>
              <w:jc w:val="both"/>
              <w:rPr>
                <w:rFonts w:ascii="Calibri" w:hAnsi="宋体" w:eastAsia="宋体" w:cstheme="minorHAnsi"/>
                <w:sz w:val="21"/>
              </w:rPr>
            </w:pPr>
            <w:r>
              <w:rPr>
                <w:rFonts w:ascii="Calibri" w:hAnsi="宋体" w:eastAsia="宋体" w:cstheme="minorHAnsi"/>
                <w:sz w:val="21"/>
              </w:rPr>
              <w:t xml:space="preserve">① </w:t>
            </w:r>
            <w:r>
              <w:rPr>
                <w:rFonts w:hint="eastAsia" w:ascii="Calibri" w:hAnsi="宋体" w:eastAsia="宋体" w:cstheme="minorHAnsi"/>
                <w:sz w:val="21"/>
              </w:rPr>
              <w:t>陕西CA客服热线：4006369888</w:t>
            </w:r>
          </w:p>
          <w:p>
            <w:pPr>
              <w:spacing w:line="320" w:lineRule="exact"/>
              <w:jc w:val="both"/>
              <w:rPr>
                <w:rFonts w:ascii="Calibri" w:hAnsi="宋体" w:eastAsia="宋体" w:cstheme="minorHAnsi"/>
                <w:sz w:val="21"/>
              </w:rPr>
            </w:pPr>
            <w:r>
              <w:rPr>
                <w:rFonts w:hint="eastAsia" w:ascii="Calibri" w:hAnsi="宋体" w:eastAsia="宋体" w:cstheme="minorHAnsi"/>
                <w:sz w:val="21"/>
              </w:rPr>
              <w:t>② 天威CA客服热线：</w:t>
            </w:r>
            <w:r>
              <w:rPr>
                <w:rFonts w:ascii="Calibri" w:hAnsi="宋体" w:eastAsia="宋体" w:cstheme="minorHAnsi"/>
                <w:sz w:val="21"/>
              </w:rPr>
              <w:t>15002930121、</w:t>
            </w:r>
            <w:r>
              <w:rPr>
                <w:rFonts w:hint="eastAsia" w:ascii="Calibri" w:hAnsi="宋体" w:eastAsia="宋体" w:cstheme="minorHAnsi"/>
                <w:sz w:val="21"/>
              </w:rPr>
              <w:t>029-86510029</w:t>
            </w:r>
          </w:p>
          <w:p>
            <w:pPr>
              <w:spacing w:line="320" w:lineRule="exact"/>
              <w:jc w:val="both"/>
              <w:rPr>
                <w:rFonts w:ascii="Calibri" w:hAnsi="宋体" w:eastAsia="宋体" w:cstheme="minorHAnsi"/>
                <w:sz w:val="21"/>
              </w:rPr>
            </w:pPr>
            <w:r>
              <w:rPr>
                <w:rFonts w:hint="eastAsia" w:ascii="Calibri" w:hAnsi="宋体" w:eastAsia="宋体" w:cstheme="minorHAnsi"/>
                <w:sz w:val="21"/>
              </w:rPr>
              <w:t>③ 西部CA客服热线：15389081371、15389081372</w:t>
            </w:r>
          </w:p>
          <w:p>
            <w:pPr>
              <w:spacing w:line="320" w:lineRule="exact"/>
              <w:jc w:val="both"/>
              <w:rPr>
                <w:rFonts w:ascii="Calibri" w:hAnsi="宋体" w:eastAsia="宋体" w:cstheme="minorHAnsi"/>
                <w:sz w:val="21"/>
              </w:rPr>
            </w:pPr>
            <w:r>
              <w:rPr>
                <w:rFonts w:hint="eastAsia" w:ascii="Calibri" w:hAnsi="宋体" w:eastAsia="宋体" w:cstheme="minorHAnsi"/>
                <w:sz w:val="21"/>
              </w:rPr>
              <w:t>④ 北京CA客服热线：4001390123、029-86510029</w:t>
            </w:r>
          </w:p>
        </w:tc>
      </w:tr>
    </w:tbl>
    <w:p>
      <w:r>
        <w:br w:type="page"/>
      </w:r>
    </w:p>
    <w:p>
      <w:pPr>
        <w:pStyle w:val="3"/>
        <w:jc w:val="both"/>
      </w:pPr>
      <w:r>
        <w:t>一、有关定义</w:t>
      </w:r>
    </w:p>
    <w:p>
      <w:pPr>
        <w:ind w:firstLine="480" w:firstLineChars="200"/>
        <w:jc w:val="both"/>
        <w:rPr>
          <w:rFonts w:cstheme="minorHAnsi"/>
        </w:rPr>
      </w:pPr>
      <w:r>
        <w:rPr>
          <w:rFonts w:hint="eastAsia" w:cstheme="minorHAnsi"/>
        </w:rPr>
        <w:t>1．采购人：依法进行政府采购的西安市市级机关、事业单位或团体组织。</w:t>
      </w:r>
    </w:p>
    <w:p>
      <w:pPr>
        <w:ind w:firstLine="480" w:firstLineChars="200"/>
        <w:jc w:val="both"/>
        <w:rPr>
          <w:rFonts w:cstheme="minorHAnsi"/>
        </w:rPr>
      </w:pPr>
      <w:r>
        <w:rPr>
          <w:rFonts w:hint="eastAsia" w:cstheme="minorHAnsi"/>
        </w:rPr>
        <w:t>2．政府采购</w:t>
      </w:r>
      <w:r>
        <w:rPr>
          <w:rFonts w:cstheme="minorHAnsi"/>
        </w:rPr>
        <w:t>监管</w:t>
      </w:r>
      <w:r>
        <w:rPr>
          <w:rFonts w:hint="eastAsia" w:cstheme="minorHAnsi"/>
        </w:rPr>
        <w:t>部门</w:t>
      </w:r>
      <w:r>
        <w:rPr>
          <w:rFonts w:cstheme="minorHAnsi"/>
        </w:rPr>
        <w:t>：本项目特指西安市财政局</w:t>
      </w:r>
      <w:r>
        <w:rPr>
          <w:rFonts w:hint="eastAsia" w:cstheme="minorHAnsi"/>
        </w:rPr>
        <w:t>政府采购管理处。</w:t>
      </w:r>
    </w:p>
    <w:p>
      <w:pPr>
        <w:ind w:firstLine="480" w:firstLineChars="200"/>
        <w:jc w:val="both"/>
        <w:rPr>
          <w:rFonts w:cstheme="minorHAnsi"/>
        </w:rPr>
      </w:pPr>
      <w:r>
        <w:rPr>
          <w:rFonts w:cstheme="minorHAnsi"/>
        </w:rPr>
        <w:t>3</w:t>
      </w:r>
      <w:r>
        <w:rPr>
          <w:rFonts w:hint="eastAsia" w:cstheme="minorHAnsi"/>
        </w:rPr>
        <w:t>．供应商：指向采购人提供货物、工程或者服务的法人、其他组织或者自然人。</w:t>
      </w:r>
    </w:p>
    <w:p>
      <w:pPr>
        <w:ind w:firstLine="480" w:firstLineChars="200"/>
        <w:jc w:val="both"/>
        <w:rPr>
          <w:rFonts w:cstheme="minorHAnsi"/>
        </w:rPr>
      </w:pPr>
      <w:r>
        <w:rPr>
          <w:rFonts w:cstheme="minorHAnsi"/>
        </w:rPr>
        <w:t>4</w:t>
      </w:r>
      <w:r>
        <w:rPr>
          <w:rFonts w:hint="eastAsia" w:cstheme="minorHAnsi"/>
        </w:rPr>
        <w:t>．法定代表人（负责人）：指单位法定代表人或者法律、行政法规规定代表单位行使职权的主要负责人，包含企业法人的法定代表人、个人独资企业的投资人、分支机构的负责人、合伙企业的执行事务合伙人（委派代表）、个体工商户业主、农民专业合作社的法定代表人等。</w:t>
      </w:r>
    </w:p>
    <w:p>
      <w:pPr>
        <w:ind w:firstLine="480" w:firstLineChars="200"/>
        <w:jc w:val="both"/>
        <w:rPr>
          <w:rFonts w:cstheme="minorHAnsi"/>
        </w:rPr>
      </w:pPr>
      <w:r>
        <w:rPr>
          <w:rFonts w:cstheme="minorHAnsi"/>
        </w:rPr>
        <w:t>5</w:t>
      </w:r>
      <w:r>
        <w:rPr>
          <w:rFonts w:hint="eastAsia" w:cstheme="minorHAnsi"/>
        </w:rPr>
        <w:t>．西安市公共资源交易平台：即【全国公共资源交易平台（陕西省</w:t>
      </w:r>
      <w:r>
        <w:rPr>
          <w:rFonts w:cstheme="minorHAnsi"/>
        </w:rPr>
        <w:t>·</w:t>
      </w:r>
      <w:r>
        <w:rPr>
          <w:rFonts w:hint="eastAsia" w:cstheme="minorHAnsi"/>
        </w:rPr>
        <w:t>西安市）】的简称，官网地址</w:t>
      </w:r>
      <w:r>
        <w:fldChar w:fldCharType="begin"/>
      </w:r>
      <w:r>
        <w:instrText xml:space="preserve"> HYPERLINK "http://sxggzyjy.xa.gov.cn/" </w:instrText>
      </w:r>
      <w:r>
        <w:fldChar w:fldCharType="separate"/>
      </w:r>
      <w:r>
        <w:rPr>
          <w:rStyle w:val="33"/>
          <w:rFonts w:hint="eastAsia" w:cstheme="minorHAnsi"/>
        </w:rPr>
        <w:t>http</w:t>
      </w:r>
      <w:r>
        <w:rPr>
          <w:rStyle w:val="33"/>
          <w:rFonts w:cstheme="minorHAnsi"/>
        </w:rPr>
        <w:t>://sxggzyjy.xa.gov.cn</w:t>
      </w:r>
      <w:r>
        <w:rPr>
          <w:rStyle w:val="33"/>
          <w:rFonts w:hint="eastAsia" w:cstheme="minorHAnsi"/>
        </w:rPr>
        <w:t>/</w:t>
      </w:r>
      <w:r>
        <w:rPr>
          <w:rStyle w:val="33"/>
          <w:rFonts w:cstheme="minorHAnsi"/>
        </w:rPr>
        <w:fldChar w:fldCharType="end"/>
      </w:r>
      <w:r>
        <w:rPr>
          <w:rFonts w:cstheme="minorHAnsi"/>
        </w:rPr>
        <w:t>。</w:t>
      </w:r>
    </w:p>
    <w:p>
      <w:pPr>
        <w:ind w:firstLine="480" w:firstLineChars="200"/>
        <w:jc w:val="both"/>
        <w:rPr>
          <w:rFonts w:cstheme="minorHAnsi"/>
        </w:rPr>
      </w:pPr>
      <w:r>
        <w:rPr>
          <w:rFonts w:cstheme="minorHAnsi"/>
        </w:rPr>
        <w:t>6</w:t>
      </w:r>
      <w:r>
        <w:rPr>
          <w:rFonts w:hint="eastAsia" w:cstheme="minorHAnsi"/>
        </w:rPr>
        <w:t>．企业端：指西安市公共资源交易平台〖首页</w:t>
      </w:r>
      <w:r>
        <w:rPr>
          <w:rFonts w:cstheme="minorHAnsi"/>
        </w:rPr>
        <w:t>·</w:t>
      </w:r>
      <w:r>
        <w:rPr>
          <w:rFonts w:eastAsiaTheme="majorEastAsia" w:cstheme="minorHAnsi"/>
        </w:rPr>
        <w:t>〉</w:t>
      </w:r>
      <w:r>
        <w:rPr>
          <w:rFonts w:hint="eastAsia" w:cstheme="minorHAnsi"/>
        </w:rPr>
        <w:t>电子交易平台</w:t>
      </w:r>
      <w:r>
        <w:rPr>
          <w:rFonts w:cstheme="minorHAnsi"/>
        </w:rPr>
        <w:t>·</w:t>
      </w:r>
      <w:r>
        <w:rPr>
          <w:rFonts w:eastAsiaTheme="majorEastAsia" w:cstheme="minorHAnsi"/>
        </w:rPr>
        <w:t>〉</w:t>
      </w:r>
      <w:r>
        <w:rPr>
          <w:rFonts w:hint="eastAsia" w:cstheme="minorHAnsi"/>
        </w:rPr>
        <w:t>陕西政府采购交易系统</w:t>
      </w:r>
      <w:r>
        <w:rPr>
          <w:rFonts w:cstheme="minorHAnsi"/>
        </w:rPr>
        <w:t>·</w:t>
      </w:r>
      <w:r>
        <w:rPr>
          <w:rFonts w:eastAsiaTheme="majorEastAsia" w:cstheme="minorHAnsi"/>
        </w:rPr>
        <w:t>〉</w:t>
      </w:r>
      <w:r>
        <w:rPr>
          <w:rFonts w:hint="eastAsia" w:cstheme="minorHAnsi"/>
        </w:rPr>
        <w:t>企业端〗，快捷登录网址</w:t>
      </w:r>
      <w:r>
        <w:fldChar w:fldCharType="begin"/>
      </w:r>
      <w:r>
        <w:instrText xml:space="preserve"> HYPERLINK "http://www.sxggzyjy.cn:9002/TPBidder/memberLogin" </w:instrText>
      </w:r>
      <w:r>
        <w:fldChar w:fldCharType="separate"/>
      </w:r>
      <w:r>
        <w:rPr>
          <w:rStyle w:val="33"/>
          <w:rFonts w:cstheme="minorHAnsi"/>
        </w:rPr>
        <w:t>http://www.sxggzyjy.cn:9002/TPBidder/memberLogin</w:t>
      </w:r>
      <w:r>
        <w:rPr>
          <w:rStyle w:val="33"/>
          <w:rFonts w:cstheme="minorHAnsi"/>
        </w:rPr>
        <w:fldChar w:fldCharType="end"/>
      </w:r>
      <w:r>
        <w:rPr>
          <w:rFonts w:hint="eastAsia" w:cstheme="minorHAnsi"/>
        </w:rPr>
        <w:t>。</w:t>
      </w:r>
    </w:p>
    <w:p>
      <w:pPr>
        <w:pStyle w:val="3"/>
        <w:jc w:val="both"/>
      </w:pPr>
      <w:r>
        <w:t>二、供应商注意事项</w:t>
      </w:r>
    </w:p>
    <w:p>
      <w:pPr>
        <w:pStyle w:val="4"/>
        <w:ind w:firstLine="482"/>
        <w:jc w:val="both"/>
      </w:pPr>
      <w:r>
        <w:rPr>
          <w:rFonts w:hint="eastAsia"/>
        </w:rPr>
        <w:t>（一）供应商投</w:t>
      </w:r>
      <w:r>
        <w:rPr>
          <w:rFonts w:hint="eastAsia"/>
          <w:w w:val="1"/>
        </w:rPr>
        <w:t xml:space="preserve"> </w:t>
      </w:r>
      <w:r>
        <w:rPr>
          <w:rFonts w:hint="eastAsia"/>
        </w:rPr>
        <w:t>标流程</w:t>
      </w:r>
    </w:p>
    <w:p>
      <w:pPr>
        <w:widowControl w:val="0"/>
        <w:ind w:firstLine="480" w:firstLineChars="200"/>
        <w:jc w:val="both"/>
        <w:rPr>
          <w:rFonts w:cstheme="minorHAnsi"/>
        </w:rPr>
      </w:pPr>
      <w:r>
        <w:rPr>
          <w:rFonts w:cstheme="minorHAnsi"/>
        </w:rPr>
        <w:t>1</w:t>
      </w:r>
      <w:r>
        <w:rPr>
          <w:rFonts w:hint="eastAsia" w:cstheme="minorHAnsi"/>
        </w:rPr>
        <w:t>．</w:t>
      </w:r>
      <w:r>
        <w:rPr>
          <w:rFonts w:cstheme="minorHAnsi"/>
          <w:color w:val="C00000"/>
        </w:rPr>
        <w:t>办理注册登记</w:t>
      </w:r>
      <w:r>
        <w:rPr>
          <w:rFonts w:cstheme="minorHAnsi"/>
        </w:rPr>
        <w:t>（针对初次使用电子化政府采购系统的用户）：</w:t>
      </w:r>
    </w:p>
    <w:p>
      <w:pPr>
        <w:widowControl w:val="0"/>
        <w:ind w:firstLine="480" w:firstLineChars="200"/>
        <w:jc w:val="both"/>
        <w:rPr>
          <w:rFonts w:cstheme="minorHAnsi"/>
        </w:rPr>
      </w:pPr>
      <w:r>
        <w:rPr>
          <w:rFonts w:cstheme="minorHAnsi"/>
        </w:rPr>
        <w:t>（</w:t>
      </w:r>
      <w:r>
        <w:rPr>
          <w:rFonts w:hint="eastAsia" w:cstheme="minorHAnsi"/>
        </w:rPr>
        <w:t>1</w:t>
      </w:r>
      <w:r>
        <w:rPr>
          <w:rFonts w:cstheme="minorHAnsi"/>
        </w:rPr>
        <w:t>）</w:t>
      </w:r>
      <w:r>
        <w:rPr>
          <w:rFonts w:hint="eastAsia" w:cstheme="minorHAnsi"/>
        </w:rPr>
        <w:t>办理</w:t>
      </w:r>
      <w:r>
        <w:rPr>
          <w:rFonts w:cstheme="minorHAnsi"/>
        </w:rPr>
        <w:t>诚信</w:t>
      </w:r>
      <w:r>
        <w:rPr>
          <w:rFonts w:hint="eastAsia" w:cstheme="minorHAnsi"/>
        </w:rPr>
        <w:t>入库</w:t>
      </w:r>
      <w:r>
        <w:rPr>
          <w:rFonts w:cstheme="minorHAnsi"/>
        </w:rPr>
        <w:t>注册：在决定参加本项目</w:t>
      </w:r>
      <w:r>
        <w:rPr>
          <w:rFonts w:hint="eastAsia" w:cstheme="minorHAnsi"/>
        </w:rPr>
        <w:t>采购</w:t>
      </w:r>
      <w:r>
        <w:rPr>
          <w:rFonts w:cstheme="minorHAnsi"/>
        </w:rPr>
        <w:t>活动后，供应商应先在西安市公共资源交易平台上完成</w:t>
      </w:r>
      <w:r>
        <w:rPr>
          <w:rFonts w:hint="eastAsia" w:cstheme="minorHAnsi"/>
        </w:rPr>
        <w:t>“诚信入库登记”</w:t>
      </w:r>
      <w:r>
        <w:rPr>
          <w:rFonts w:cstheme="minorHAnsi"/>
        </w:rPr>
        <w:t>；</w:t>
      </w:r>
    </w:p>
    <w:p>
      <w:pPr>
        <w:widowControl w:val="0"/>
        <w:ind w:firstLine="480" w:firstLineChars="200"/>
        <w:jc w:val="both"/>
        <w:rPr>
          <w:rFonts w:cstheme="minorHAnsi"/>
        </w:rPr>
      </w:pPr>
      <w:r>
        <w:rPr>
          <w:rFonts w:cstheme="minorHAnsi"/>
        </w:rPr>
        <w:t>（2）办理数字认证（CA锁）</w:t>
      </w:r>
      <w:r>
        <w:rPr>
          <w:rFonts w:hint="eastAsia" w:cstheme="minorHAnsi"/>
        </w:rPr>
        <w:t>：一般分为法人锁（必选）、企业锁主锁（必选）及副锁（可选）。</w:t>
      </w:r>
      <w:r>
        <w:rPr>
          <w:rFonts w:cstheme="minorHAnsi"/>
        </w:rPr>
        <w:t>CA锁将用于对电子投标文件进行签章、加密、递交及开标时解密等相关操作。CA办理及售后服务由第三方机构负责（见本章「前附表」）。</w:t>
      </w:r>
    </w:p>
    <w:p>
      <w:pPr>
        <w:widowControl w:val="0"/>
        <w:ind w:firstLine="480" w:firstLineChars="200"/>
        <w:jc w:val="both"/>
        <w:rPr>
          <w:rFonts w:cstheme="minorHAnsi"/>
        </w:rPr>
      </w:pPr>
      <w:r>
        <w:rPr>
          <w:rFonts w:cstheme="minorHAnsi"/>
        </w:rPr>
        <w:t>（3）</w:t>
      </w:r>
      <w:r>
        <w:rPr>
          <w:rFonts w:hint="eastAsia" w:cstheme="minorHAnsi"/>
        </w:rPr>
        <w:t>绑定</w:t>
      </w:r>
      <w:r>
        <w:rPr>
          <w:rFonts w:cstheme="minorHAnsi"/>
        </w:rPr>
        <w:t>和激活CA：将数字证书与诚信库中的供应商账户进行绑定。</w:t>
      </w:r>
    </w:p>
    <w:p>
      <w:pPr>
        <w:widowControl w:val="0"/>
        <w:ind w:firstLine="480" w:firstLineChars="200"/>
        <w:jc w:val="both"/>
        <w:rPr>
          <w:rFonts w:cstheme="minorHAnsi"/>
          <w:color w:val="C00000"/>
        </w:rPr>
      </w:pPr>
      <w:r>
        <w:rPr>
          <w:rFonts w:cstheme="minorHAnsi"/>
        </w:rPr>
        <w:t>2</w:t>
      </w:r>
      <w:r>
        <w:rPr>
          <w:rFonts w:hint="eastAsia" w:cstheme="minorHAnsi"/>
        </w:rPr>
        <w:t>．</w:t>
      </w:r>
      <w:r>
        <w:rPr>
          <w:rFonts w:hint="eastAsia" w:cstheme="minorHAnsi"/>
          <w:color w:val="C00000"/>
        </w:rPr>
        <w:t>下载电子</w:t>
      </w:r>
      <w:r>
        <w:rPr>
          <w:rFonts w:cstheme="minorHAnsi"/>
          <w:color w:val="C00000"/>
        </w:rPr>
        <w:t>招标文件</w:t>
      </w:r>
      <w:r>
        <w:rPr>
          <w:rFonts w:cstheme="minorHAnsi"/>
        </w:rPr>
        <w:t>：供应商</w:t>
      </w:r>
      <w:r>
        <w:rPr>
          <w:rFonts w:hint="eastAsia" w:cstheme="minorHAnsi"/>
        </w:rPr>
        <w:t>应</w:t>
      </w:r>
      <w:r>
        <w:rPr>
          <w:rFonts w:cstheme="minorHAnsi"/>
        </w:rPr>
        <w:t>登录</w:t>
      </w:r>
      <w:r>
        <w:rPr>
          <w:rFonts w:hint="eastAsia"/>
        </w:rPr>
        <w:t>西安市公共资源交易平台</w:t>
      </w:r>
      <w:r>
        <w:rPr>
          <w:rFonts w:cstheme="minorHAnsi"/>
        </w:rPr>
        <w:t>〖首页·</w:t>
      </w:r>
      <w:r>
        <w:rPr>
          <w:rFonts w:eastAsiaTheme="majorEastAsia" w:cstheme="minorHAnsi"/>
        </w:rPr>
        <w:t>〉</w:t>
      </w:r>
      <w:r>
        <w:rPr>
          <w:rFonts w:cstheme="minorHAnsi"/>
        </w:rPr>
        <w:t>电子交易平台·</w:t>
      </w:r>
      <w:r>
        <w:rPr>
          <w:rFonts w:eastAsiaTheme="majorEastAsia" w:cstheme="minorHAnsi"/>
        </w:rPr>
        <w:t>〉</w:t>
      </w:r>
      <w:r>
        <w:t>陕西政府采购交易系统·〉</w:t>
      </w:r>
      <w:r>
        <w:rPr>
          <w:rFonts w:cstheme="minorHAnsi"/>
        </w:rPr>
        <w:t>企业端〗，</w:t>
      </w:r>
      <w:r>
        <w:rPr>
          <w:rFonts w:hint="eastAsia" w:cstheme="minorHAnsi"/>
        </w:rPr>
        <w:t>在〖招</w:t>
      </w:r>
      <w:r>
        <w:rPr>
          <w:rFonts w:hint="eastAsia" w:cstheme="minorHAnsi"/>
          <w:w w:val="1"/>
        </w:rPr>
        <w:t xml:space="preserve"> </w:t>
      </w:r>
      <w:r>
        <w:rPr>
          <w:rFonts w:hint="eastAsia" w:cstheme="minorHAnsi"/>
        </w:rPr>
        <w:t>标公告/出让公告〗模块中预览全部可供参与的项目，然后选择有意向的项目点击〖项目确认〗，成功后切换到〖我的项目〗模块，依次点选〖项目流程</w:t>
      </w:r>
      <w:r>
        <w:rPr>
          <w:rFonts w:cstheme="minorHAnsi"/>
        </w:rPr>
        <w:t>·</w:t>
      </w:r>
      <w:r>
        <w:rPr>
          <w:rFonts w:hint="eastAsia" w:cstheme="minorHAnsi"/>
        </w:rPr>
        <w:t>〉项目管理</w:t>
      </w:r>
      <w:r>
        <w:rPr>
          <w:rFonts w:cstheme="minorHAnsi"/>
        </w:rPr>
        <w:t>·</w:t>
      </w:r>
      <w:r>
        <w:rPr>
          <w:rFonts w:hint="eastAsia" w:cstheme="minorHAnsi"/>
        </w:rPr>
        <w:t>〉交易文件下载〗免费获取本项目电子招标文件（*.SXSZF）。</w:t>
      </w:r>
      <w:r>
        <w:rPr>
          <w:rFonts w:cstheme="minorHAnsi"/>
          <w:color w:val="C00000"/>
        </w:rPr>
        <w:t>请务必在采购文件获取期限内及时下载电子招标文件并做好备份，逾期无法再下载！</w:t>
      </w:r>
    </w:p>
    <w:p>
      <w:pPr>
        <w:widowControl w:val="0"/>
        <w:ind w:firstLine="480" w:firstLineChars="200"/>
        <w:jc w:val="both"/>
        <w:rPr>
          <w:rFonts w:cstheme="minorHAnsi"/>
        </w:rPr>
      </w:pPr>
      <w:r>
        <w:rPr>
          <w:rFonts w:cstheme="minorHAnsi"/>
        </w:rPr>
        <w:t>3</w:t>
      </w:r>
      <w:r>
        <w:rPr>
          <w:rFonts w:hint="eastAsia" w:cstheme="minorHAnsi"/>
        </w:rPr>
        <w:t>．</w:t>
      </w:r>
      <w:r>
        <w:rPr>
          <w:rFonts w:hint="eastAsia" w:cstheme="minorHAnsi"/>
          <w:color w:val="C00000"/>
        </w:rPr>
        <w:t>制作电子投标</w:t>
      </w:r>
      <w:r>
        <w:rPr>
          <w:rFonts w:cstheme="minorHAnsi"/>
          <w:color w:val="C00000"/>
        </w:rPr>
        <w:t>文件</w:t>
      </w:r>
      <w:r>
        <w:rPr>
          <w:rFonts w:cstheme="minorHAnsi"/>
        </w:rPr>
        <w:t>：</w:t>
      </w:r>
      <w:r>
        <w:rPr>
          <w:rFonts w:hint="eastAsia" w:cstheme="minorHAnsi"/>
        </w:rPr>
        <w:t>需要使用专用制作软件“</w:t>
      </w:r>
      <w:r>
        <w:rPr>
          <w:rFonts w:hint="eastAsia" w:cstheme="minorHAnsi"/>
          <w:b/>
          <w:color w:val="0070C0"/>
        </w:rPr>
        <w:t>新点投</w:t>
      </w:r>
      <w:r>
        <w:rPr>
          <w:rFonts w:hint="eastAsia" w:cstheme="minorHAnsi"/>
          <w:b/>
          <w:color w:val="0070C0"/>
          <w:w w:val="1"/>
        </w:rPr>
        <w:t xml:space="preserve"> </w:t>
      </w:r>
      <w:r>
        <w:rPr>
          <w:rFonts w:hint="eastAsia" w:cstheme="minorHAnsi"/>
          <w:b/>
          <w:color w:val="0070C0"/>
        </w:rPr>
        <w:t>标文件制作软件（陕西公共资源）</w:t>
      </w:r>
      <w:r>
        <w:rPr>
          <w:rFonts w:hint="eastAsia" w:cstheme="minorHAnsi"/>
        </w:rPr>
        <w:t>”进行编制</w:t>
      </w:r>
      <w:r>
        <w:rPr>
          <w:rFonts w:cstheme="minorHAnsi"/>
        </w:rPr>
        <w:t>，编制完成后使用CA锁对电子投标文件进行签章、加密。详见本章「</w:t>
      </w:r>
      <w:r>
        <w:rPr>
          <w:rFonts w:hint="eastAsia" w:cstheme="minorHAnsi"/>
        </w:rPr>
        <w:t>投标文件</w:t>
      </w:r>
      <w:r>
        <w:rPr>
          <w:rFonts w:cstheme="minorHAnsi"/>
        </w:rPr>
        <w:t>」一节相关内容。</w:t>
      </w:r>
    </w:p>
    <w:p>
      <w:pPr>
        <w:widowControl w:val="0"/>
        <w:ind w:firstLine="480" w:firstLineChars="200"/>
        <w:jc w:val="both"/>
        <w:rPr>
          <w:rFonts w:cstheme="minorHAnsi"/>
        </w:rPr>
      </w:pPr>
      <w:r>
        <w:rPr>
          <w:rFonts w:cstheme="minorHAnsi"/>
        </w:rPr>
        <w:t>4</w:t>
      </w:r>
      <w:r>
        <w:rPr>
          <w:rFonts w:hint="eastAsia" w:cstheme="minorHAnsi"/>
        </w:rPr>
        <w:t>．</w:t>
      </w:r>
      <w:r>
        <w:rPr>
          <w:rFonts w:hint="eastAsia" w:cstheme="minorHAnsi"/>
          <w:color w:val="C00000"/>
        </w:rPr>
        <w:t>提交电子</w:t>
      </w:r>
      <w:r>
        <w:rPr>
          <w:rFonts w:cstheme="minorHAnsi"/>
          <w:color w:val="C00000"/>
        </w:rPr>
        <w:t>投标文件</w:t>
      </w:r>
      <w:r>
        <w:rPr>
          <w:rFonts w:cstheme="minorHAnsi"/>
        </w:rPr>
        <w:t>：在提交投标文件截止时间前及时提交加密后电子投标文件，逾期提交的，系统将会拒收；</w:t>
      </w:r>
    </w:p>
    <w:p>
      <w:pPr>
        <w:widowControl w:val="0"/>
        <w:ind w:firstLine="480" w:firstLineChars="200"/>
        <w:jc w:val="both"/>
        <w:rPr>
          <w:rFonts w:cstheme="minorHAnsi"/>
        </w:rPr>
      </w:pPr>
      <w:r>
        <w:rPr>
          <w:rFonts w:cstheme="minorHAnsi"/>
        </w:rPr>
        <w:t>5</w:t>
      </w:r>
      <w:r>
        <w:rPr>
          <w:rFonts w:hint="eastAsia" w:cstheme="minorHAnsi"/>
        </w:rPr>
        <w:t>．</w:t>
      </w:r>
      <w:r>
        <w:rPr>
          <w:rFonts w:cstheme="minorHAnsi"/>
          <w:color w:val="C00000"/>
        </w:rPr>
        <w:t>在线</w:t>
      </w:r>
      <w:r>
        <w:rPr>
          <w:rFonts w:hint="eastAsia" w:cstheme="minorHAnsi"/>
          <w:color w:val="C00000"/>
        </w:rPr>
        <w:t>参加</w:t>
      </w:r>
      <w:r>
        <w:rPr>
          <w:rFonts w:cstheme="minorHAnsi"/>
          <w:color w:val="C00000"/>
        </w:rPr>
        <w:t>开标</w:t>
      </w:r>
      <w:r>
        <w:rPr>
          <w:rFonts w:hint="eastAsia" w:cstheme="minorHAnsi"/>
          <w:color w:val="C00000"/>
        </w:rPr>
        <w:t>大会</w:t>
      </w:r>
      <w:r>
        <w:rPr>
          <w:rFonts w:cstheme="minorHAnsi"/>
        </w:rPr>
        <w:t>：开标当日，供应商法定代表人或其授权代表需提前登录</w:t>
      </w:r>
      <w:r>
        <w:rPr>
          <w:rFonts w:hint="eastAsia" w:cstheme="minorHAnsi"/>
        </w:rPr>
        <w:t>“不见面</w:t>
      </w:r>
      <w:r>
        <w:rPr>
          <w:rFonts w:cstheme="minorHAnsi"/>
        </w:rPr>
        <w:t>开</w:t>
      </w:r>
      <w:r>
        <w:rPr>
          <w:rFonts w:hint="eastAsia" w:cstheme="minorHAnsi"/>
          <w:w w:val="1"/>
        </w:rPr>
        <w:t xml:space="preserve"> </w:t>
      </w:r>
      <w:r>
        <w:rPr>
          <w:rFonts w:cstheme="minorHAnsi"/>
        </w:rPr>
        <w:t>标</w:t>
      </w:r>
      <w:r>
        <w:rPr>
          <w:rFonts w:hint="eastAsia" w:cstheme="minorHAnsi"/>
        </w:rPr>
        <w:t>”</w:t>
      </w:r>
      <w:r>
        <w:rPr>
          <w:rFonts w:cstheme="minorHAnsi"/>
        </w:rPr>
        <w:t>系统，</w:t>
      </w:r>
      <w:r>
        <w:rPr>
          <w:rFonts w:hint="eastAsia" w:cstheme="minorHAnsi"/>
        </w:rPr>
        <w:t>收到主持人“开始解密”指令后，使用CA锁（</w:t>
      </w:r>
      <w:r>
        <w:rPr>
          <w:rFonts w:hint="eastAsia" w:cstheme="minorHAnsi"/>
          <w:color w:val="C00000"/>
        </w:rPr>
        <w:t>必须与加密投标文件时使用的CA锁为同一把锁</w:t>
      </w:r>
      <w:r>
        <w:rPr>
          <w:rFonts w:hint="eastAsia" w:cstheme="minorHAnsi"/>
        </w:rPr>
        <w:t>）在线对电子投标文件进行解密。</w:t>
      </w:r>
      <w:r>
        <w:rPr>
          <w:rFonts w:cstheme="minorHAnsi"/>
        </w:rPr>
        <w:t>相关技术问题，请咨询软件开发商。</w:t>
      </w:r>
    </w:p>
    <w:p>
      <w:pPr>
        <w:widowControl w:val="0"/>
        <w:ind w:firstLine="480" w:firstLineChars="200"/>
        <w:jc w:val="both"/>
        <w:rPr>
          <w:rFonts w:cstheme="minorHAnsi"/>
        </w:rPr>
      </w:pPr>
      <w:r>
        <w:rPr>
          <w:rFonts w:cstheme="minorHAnsi"/>
        </w:rPr>
        <w:t>6</w:t>
      </w:r>
      <w:r>
        <w:rPr>
          <w:rFonts w:hint="eastAsia" w:cstheme="minorHAnsi"/>
        </w:rPr>
        <w:t>．</w:t>
      </w:r>
      <w:r>
        <w:rPr>
          <w:rFonts w:cstheme="minorHAnsi"/>
          <w:color w:val="C00000"/>
        </w:rPr>
        <w:t>等待专家评审</w:t>
      </w:r>
      <w:r>
        <w:rPr>
          <w:rFonts w:hint="eastAsia" w:cstheme="minorHAnsi"/>
        </w:rPr>
        <w:t>：评审期间</w:t>
      </w:r>
      <w:r>
        <w:rPr>
          <w:rFonts w:cstheme="minorHAnsi"/>
        </w:rPr>
        <w:t>，可能需要对评审专家提出的问题进行澄清或答复。在主持人宣布评审结束前，供应商请勿擅自离席；否则，由此造成的不利后果，由供应商自行承担。</w:t>
      </w:r>
    </w:p>
    <w:p>
      <w:pPr>
        <w:widowControl w:val="0"/>
        <w:ind w:firstLine="480" w:firstLineChars="200"/>
        <w:jc w:val="both"/>
        <w:rPr>
          <w:rFonts w:cstheme="minorHAnsi"/>
        </w:rPr>
      </w:pPr>
      <w:r>
        <w:rPr>
          <w:rFonts w:cstheme="minorHAnsi"/>
        </w:rPr>
        <w:t>7</w:t>
      </w:r>
      <w:r>
        <w:rPr>
          <w:rFonts w:hint="eastAsia" w:cstheme="minorHAnsi"/>
        </w:rPr>
        <w:t>．</w:t>
      </w:r>
      <w:r>
        <w:rPr>
          <w:rFonts w:hint="eastAsia" w:cstheme="minorHAnsi"/>
          <w:color w:val="C00000"/>
        </w:rPr>
        <w:t>中</w:t>
      </w:r>
      <w:r>
        <w:rPr>
          <w:rFonts w:hint="eastAsia" w:cstheme="minorHAnsi"/>
          <w:color w:val="C00000"/>
          <w:w w:val="1"/>
        </w:rPr>
        <w:t>　</w:t>
      </w:r>
      <w:r>
        <w:rPr>
          <w:rFonts w:hint="eastAsia" w:cstheme="minorHAnsi"/>
          <w:color w:val="C00000"/>
        </w:rPr>
        <w:t>标（成</w:t>
      </w:r>
      <w:r>
        <w:rPr>
          <w:rFonts w:hint="eastAsia" w:cstheme="minorHAnsi"/>
          <w:color w:val="C00000"/>
          <w:w w:val="1"/>
        </w:rPr>
        <w:t>　</w:t>
      </w:r>
      <w:r>
        <w:rPr>
          <w:rFonts w:hint="eastAsia" w:cstheme="minorHAnsi"/>
          <w:color w:val="C00000"/>
        </w:rPr>
        <w:t>交）</w:t>
      </w:r>
      <w:r>
        <w:rPr>
          <w:rFonts w:cstheme="minorHAnsi"/>
          <w:color w:val="C00000"/>
        </w:rPr>
        <w:t>供应商注册</w:t>
      </w:r>
      <w:r>
        <w:rPr>
          <w:rFonts w:cstheme="minorHAnsi"/>
        </w:rPr>
        <w:t>：按照陕西省政府采购监管部门的要求，采购代理机构在发布</w:t>
      </w:r>
      <w:r>
        <w:rPr>
          <w:rFonts w:hint="eastAsia" w:cstheme="minorHAnsi"/>
        </w:rPr>
        <w:t>中</w:t>
      </w:r>
      <w:r>
        <w:rPr>
          <w:rFonts w:hint="eastAsia" w:cstheme="minorHAnsi"/>
          <w:w w:val="1"/>
        </w:rPr>
        <w:t>　</w:t>
      </w:r>
      <w:r>
        <w:rPr>
          <w:rFonts w:hint="eastAsia" w:cstheme="minorHAnsi"/>
        </w:rPr>
        <w:t>标（成</w:t>
      </w:r>
      <w:r>
        <w:rPr>
          <w:rFonts w:hint="eastAsia" w:cstheme="minorHAnsi"/>
          <w:w w:val="1"/>
        </w:rPr>
        <w:t>　</w:t>
      </w:r>
      <w:r>
        <w:rPr>
          <w:rFonts w:hint="eastAsia" w:cstheme="minorHAnsi"/>
        </w:rPr>
        <w:t>交）</w:t>
      </w:r>
      <w:r>
        <w:rPr>
          <w:rFonts w:cstheme="minorHAnsi"/>
        </w:rPr>
        <w:t>公告前，</w:t>
      </w:r>
      <w:r>
        <w:rPr>
          <w:rFonts w:hint="eastAsia" w:cstheme="minorHAnsi"/>
        </w:rPr>
        <w:t>中</w:t>
      </w:r>
      <w:r>
        <w:rPr>
          <w:rFonts w:hint="eastAsia" w:cstheme="minorHAnsi"/>
          <w:w w:val="1"/>
        </w:rPr>
        <w:t>　</w:t>
      </w:r>
      <w:r>
        <w:rPr>
          <w:rFonts w:hint="eastAsia" w:cstheme="minorHAnsi"/>
        </w:rPr>
        <w:t>标（成</w:t>
      </w:r>
      <w:r>
        <w:rPr>
          <w:rFonts w:hint="eastAsia" w:cstheme="minorHAnsi"/>
          <w:w w:val="1"/>
        </w:rPr>
        <w:t>　</w:t>
      </w:r>
      <w:r>
        <w:rPr>
          <w:rFonts w:hint="eastAsia" w:cstheme="minorHAnsi"/>
        </w:rPr>
        <w:t>交）</w:t>
      </w:r>
      <w:r>
        <w:rPr>
          <w:rFonts w:cstheme="minorHAnsi"/>
        </w:rPr>
        <w:t>供应商还应预先在陕西省政府采购网上完成注册。</w:t>
      </w:r>
    </w:p>
    <w:p>
      <w:pPr>
        <w:pStyle w:val="4"/>
        <w:ind w:firstLine="482"/>
        <w:jc w:val="both"/>
      </w:pPr>
      <w:r>
        <w:t>（</w:t>
      </w:r>
      <w:r>
        <w:rPr>
          <w:rFonts w:hint="eastAsia"/>
        </w:rPr>
        <w:t>二</w:t>
      </w:r>
      <w:r>
        <w:t>）</w:t>
      </w:r>
      <w:r>
        <w:rPr>
          <w:rFonts w:hint="eastAsia"/>
        </w:rPr>
        <w:t>关于</w:t>
      </w:r>
      <w:r>
        <w:t>询问</w:t>
      </w:r>
      <w:r>
        <w:rPr>
          <w:rFonts w:hint="eastAsia"/>
        </w:rPr>
        <w:t>、质疑和投诉</w:t>
      </w:r>
    </w:p>
    <w:p>
      <w:pPr>
        <w:ind w:firstLine="480" w:firstLineChars="200"/>
        <w:jc w:val="both"/>
        <w:rPr>
          <w:rFonts w:eastAsiaTheme="majorEastAsia" w:cstheme="minorHAnsi"/>
          <w:b/>
        </w:rPr>
      </w:pPr>
      <w:r>
        <w:rPr>
          <w:rFonts w:hint="eastAsia" w:eastAsiaTheme="majorEastAsia" w:cstheme="minorHAnsi"/>
          <w:b/>
        </w:rPr>
        <w:t>1</w:t>
      </w:r>
      <w:r>
        <w:rPr>
          <w:rFonts w:hint="eastAsia" w:cstheme="minorHAnsi"/>
        </w:rPr>
        <w:t>．</w:t>
      </w:r>
      <w:r>
        <w:rPr>
          <w:rFonts w:hint="eastAsia" w:eastAsiaTheme="majorEastAsia" w:cstheme="minorHAnsi"/>
          <w:b/>
        </w:rPr>
        <w:t>询问</w:t>
      </w:r>
    </w:p>
    <w:p>
      <w:pPr>
        <w:ind w:firstLine="480" w:firstLineChars="200"/>
        <w:jc w:val="both"/>
        <w:rPr>
          <w:rFonts w:cstheme="minorHAnsi"/>
        </w:rPr>
      </w:pPr>
      <w:r>
        <w:rPr>
          <w:rFonts w:cstheme="minorHAnsi"/>
        </w:rPr>
        <w:t>供应商对政府采购活动事项有疑问的，可以向</w:t>
      </w:r>
      <w:r>
        <w:rPr>
          <w:rFonts w:hint="eastAsia" w:cstheme="minorHAnsi"/>
        </w:rPr>
        <w:t>采购人</w:t>
      </w:r>
      <w:r>
        <w:rPr>
          <w:rFonts w:cstheme="minorHAnsi"/>
        </w:rPr>
        <w:t>或采购代理机构提出询问。采购人或采购代理机构将在3个工作日内对供应商依法提出的询问作出答复。</w:t>
      </w:r>
    </w:p>
    <w:p>
      <w:pPr>
        <w:ind w:firstLine="480" w:firstLineChars="200"/>
        <w:jc w:val="both"/>
        <w:rPr>
          <w:rFonts w:cstheme="minorHAnsi"/>
          <w:color w:val="C00000"/>
        </w:rPr>
      </w:pPr>
      <w:r>
        <w:rPr>
          <w:rFonts w:hint="eastAsia" w:cstheme="minorHAnsi"/>
        </w:rPr>
        <w:t>根据采购人和采购代理机构签订的《政府采购</w:t>
      </w:r>
      <w:r>
        <w:rPr>
          <w:rFonts w:cstheme="minorHAnsi"/>
        </w:rPr>
        <w:t>委托代理协议</w:t>
      </w:r>
      <w:r>
        <w:rPr>
          <w:rFonts w:hint="eastAsia" w:cstheme="minorHAnsi"/>
        </w:rPr>
        <w:t>》，</w:t>
      </w:r>
      <w:r>
        <w:rPr>
          <w:rFonts w:cstheme="minorHAnsi"/>
        </w:rPr>
        <w:t>针对采购需求</w:t>
      </w:r>
      <w:r>
        <w:rPr>
          <w:rFonts w:hint="eastAsia" w:cstheme="minorHAnsi"/>
        </w:rPr>
        <w:t>（包括</w:t>
      </w:r>
      <w:r>
        <w:rPr>
          <w:rFonts w:cstheme="minorHAnsi"/>
        </w:rPr>
        <w:t>采购内容、技术或服务</w:t>
      </w:r>
      <w:r>
        <w:rPr>
          <w:rFonts w:hint="eastAsia" w:cstheme="minorHAnsi"/>
        </w:rPr>
        <w:t>要求、商务</w:t>
      </w:r>
      <w:r>
        <w:rPr>
          <w:rFonts w:cstheme="minorHAnsi"/>
        </w:rPr>
        <w:t>要求</w:t>
      </w:r>
      <w:r>
        <w:rPr>
          <w:rFonts w:hint="eastAsia" w:cstheme="minorHAnsi"/>
        </w:rPr>
        <w:t>、合同条款、供应商资格</w:t>
      </w:r>
      <w:r>
        <w:rPr>
          <w:rFonts w:cstheme="minorHAnsi"/>
        </w:rPr>
        <w:t>条件</w:t>
      </w:r>
      <w:r>
        <w:rPr>
          <w:rFonts w:hint="eastAsia" w:cstheme="minorHAnsi"/>
        </w:rPr>
        <w:t>、</w:t>
      </w:r>
      <w:r>
        <w:rPr>
          <w:rFonts w:cstheme="minorHAnsi"/>
        </w:rPr>
        <w:t>评审要素及分值一览表</w:t>
      </w:r>
      <w:r>
        <w:rPr>
          <w:rFonts w:hint="eastAsia" w:cstheme="minorHAnsi"/>
        </w:rPr>
        <w:t>）</w:t>
      </w:r>
      <w:r>
        <w:rPr>
          <w:rFonts w:cstheme="minorHAnsi"/>
        </w:rPr>
        <w:t>的询问请向采购人提出。</w:t>
      </w:r>
    </w:p>
    <w:p>
      <w:pPr>
        <w:ind w:firstLine="480" w:firstLineChars="200"/>
        <w:jc w:val="both"/>
        <w:rPr>
          <w:rFonts w:cstheme="minorHAnsi"/>
          <w:b/>
        </w:rPr>
      </w:pPr>
      <w:r>
        <w:rPr>
          <w:rFonts w:hint="eastAsia" w:cstheme="minorHAnsi"/>
          <w:b/>
        </w:rPr>
        <w:t>2</w:t>
      </w:r>
      <w:r>
        <w:rPr>
          <w:rFonts w:hint="eastAsia" w:cstheme="minorHAnsi"/>
        </w:rPr>
        <w:t>．</w:t>
      </w:r>
      <w:r>
        <w:rPr>
          <w:rFonts w:hint="eastAsia" w:cstheme="minorHAnsi"/>
          <w:b/>
        </w:rPr>
        <w:t>质疑</w:t>
      </w:r>
    </w:p>
    <w:p>
      <w:pPr>
        <w:ind w:firstLine="480" w:firstLineChars="200"/>
        <w:jc w:val="both"/>
      </w:pPr>
      <w:r>
        <w:t>（</w:t>
      </w:r>
      <w:r>
        <w:rPr>
          <w:rFonts w:hint="eastAsia"/>
        </w:rPr>
        <w:t>1</w:t>
      </w:r>
      <w:r>
        <w:t>）供应商认为</w:t>
      </w:r>
      <w:r>
        <w:rPr>
          <w:color w:val="C00000"/>
        </w:rPr>
        <w:t>采购文件、采购过程、</w:t>
      </w:r>
      <w:r>
        <w:rPr>
          <w:rFonts w:hint="eastAsia" w:cstheme="minorHAnsi"/>
          <w:color w:val="C00000"/>
        </w:rPr>
        <w:t>中</w:t>
      </w:r>
      <w:r>
        <w:rPr>
          <w:rFonts w:hint="eastAsia" w:cstheme="minorHAnsi"/>
          <w:color w:val="C00000"/>
          <w:w w:val="1"/>
        </w:rPr>
        <w:t>　</w:t>
      </w:r>
      <w:r>
        <w:rPr>
          <w:rFonts w:hint="eastAsia" w:cstheme="minorHAnsi"/>
          <w:color w:val="C00000"/>
        </w:rPr>
        <w:t>标（成</w:t>
      </w:r>
      <w:r>
        <w:rPr>
          <w:rFonts w:hint="eastAsia" w:cstheme="minorHAnsi"/>
          <w:color w:val="C00000"/>
          <w:w w:val="1"/>
        </w:rPr>
        <w:t>　</w:t>
      </w:r>
      <w:r>
        <w:rPr>
          <w:rFonts w:hint="eastAsia" w:cstheme="minorHAnsi"/>
          <w:color w:val="C00000"/>
        </w:rPr>
        <w:t>交）</w:t>
      </w:r>
      <w:r>
        <w:rPr>
          <w:color w:val="C00000"/>
        </w:rPr>
        <w:t>结果</w:t>
      </w:r>
      <w:r>
        <w:t>使自己的权益受到损害的，可以在知道或应知其权益受到损害之日起7个工作日内以</w:t>
      </w:r>
      <w:r>
        <w:rPr>
          <w:color w:val="C00000"/>
        </w:rPr>
        <w:t>书面形式</w:t>
      </w:r>
      <w:r>
        <w:t>向采购人、采购代理机构提出。</w:t>
      </w:r>
    </w:p>
    <w:p>
      <w:pPr>
        <w:ind w:firstLine="480" w:firstLineChars="200"/>
        <w:jc w:val="both"/>
      </w:pPr>
      <w:r>
        <w:rPr>
          <w:rFonts w:hint="eastAsia"/>
        </w:rPr>
        <w:t>采购文件由供应商到采购人、采购代理机构指定的地点领取的，领取之日为“应知其权益受到损害之日”；</w:t>
      </w:r>
      <w:r>
        <w:rPr>
          <w:rFonts w:hint="eastAsia"/>
          <w:color w:val="C00000"/>
        </w:rPr>
        <w:t>采购文件以网上公告方式发出，并由潜在供应商自行下载的，质疑时效期间的起算日期为采购文件公告期限届满之日。</w:t>
      </w:r>
    </w:p>
    <w:p>
      <w:pPr>
        <w:ind w:firstLine="480" w:firstLineChars="200"/>
        <w:jc w:val="both"/>
      </w:pPr>
      <w:r>
        <w:t>（2）质疑方式：</w:t>
      </w:r>
    </w:p>
    <w:p>
      <w:pPr>
        <w:ind w:firstLine="480" w:firstLineChars="200"/>
        <w:jc w:val="both"/>
        <w:rPr>
          <w:rFonts w:asciiTheme="minorEastAsia" w:hAnsiTheme="minorEastAsia"/>
        </w:rPr>
      </w:pPr>
      <w:r>
        <w:rPr>
          <w:rFonts w:asciiTheme="minorEastAsia" w:hAnsiTheme="minorEastAsia"/>
        </w:rPr>
        <w:t>① 在线质疑：</w:t>
      </w:r>
    </w:p>
    <w:p>
      <w:pPr>
        <w:ind w:firstLine="480" w:firstLineChars="200"/>
        <w:jc w:val="both"/>
      </w:pPr>
      <w:r>
        <w:rPr>
          <w:rFonts w:hint="eastAsia"/>
        </w:rPr>
        <w:t>登录西安市公共资源交易平台〖首页</w:t>
      </w:r>
      <w:r>
        <w:t>·</w:t>
      </w:r>
      <w:r>
        <w:rPr>
          <w:rFonts w:hint="eastAsia"/>
        </w:rPr>
        <w:t>〉电子交易平台</w:t>
      </w:r>
      <w:r>
        <w:t>·</w:t>
      </w:r>
      <w:r>
        <w:rPr>
          <w:rFonts w:hint="eastAsia"/>
        </w:rPr>
        <w:t>〉企业端〗，在〖我的项目〗中点击“项目流程</w:t>
      </w:r>
      <w:r>
        <w:t>·</w:t>
      </w:r>
      <w:r>
        <w:rPr>
          <w:rFonts w:hint="eastAsia"/>
        </w:rPr>
        <w:t>〉提出质疑”，填写表单并提交质疑。</w:t>
      </w:r>
    </w:p>
    <w:p>
      <w:pPr>
        <w:ind w:firstLine="480" w:firstLineChars="200"/>
        <w:jc w:val="both"/>
        <w:rPr>
          <w:rFonts w:asciiTheme="minorEastAsia" w:hAnsiTheme="minorEastAsia"/>
        </w:rPr>
      </w:pPr>
      <w:r>
        <w:rPr>
          <w:rFonts w:asciiTheme="minorEastAsia" w:hAnsiTheme="minorEastAsia"/>
        </w:rPr>
        <w:t>② 书面质疑：</w:t>
      </w:r>
    </w:p>
    <w:p>
      <w:pPr>
        <w:ind w:firstLine="480" w:firstLineChars="200"/>
        <w:jc w:val="both"/>
      </w:pPr>
      <w:r>
        <w:t>书面质疑函应</w:t>
      </w:r>
      <w:r>
        <w:rPr>
          <w:rFonts w:hint="eastAsia"/>
        </w:rPr>
        <w:t>按照财政部国库司制定的《政府采购供</w:t>
      </w:r>
      <w:r>
        <w:rPr>
          <w:rFonts w:hint="eastAsia"/>
          <w:w w:val="1"/>
        </w:rPr>
        <w:t xml:space="preserve"> </w:t>
      </w:r>
      <w:r>
        <w:rPr>
          <w:rFonts w:hint="eastAsia"/>
        </w:rPr>
        <w:t>应</w:t>
      </w:r>
      <w:r>
        <w:rPr>
          <w:rFonts w:hint="eastAsia"/>
          <w:w w:val="1"/>
        </w:rPr>
        <w:t xml:space="preserve"> </w:t>
      </w:r>
      <w:r>
        <w:rPr>
          <w:rFonts w:hint="eastAsia"/>
        </w:rPr>
        <w:t>商质疑函范本》进行填写，签字、盖章后提交至采购人、采购代理机构。</w:t>
      </w:r>
    </w:p>
    <w:p>
      <w:pPr>
        <w:wordWrap w:val="0"/>
        <w:ind w:firstLine="480" w:firstLineChars="200"/>
        <w:jc w:val="both"/>
      </w:pPr>
      <w:r>
        <w:rPr>
          <w:rFonts w:hint="eastAsia"/>
        </w:rPr>
        <w:t>质疑函范本下载地址：</w:t>
      </w:r>
      <w:r>
        <w:fldChar w:fldCharType="begin"/>
      </w:r>
      <w:r>
        <w:instrText xml:space="preserve"> HYPERLINK "http://download.ccgp.gov.cn/2018/zhiyihanfanben.zip" </w:instrText>
      </w:r>
      <w:r>
        <w:fldChar w:fldCharType="separate"/>
      </w:r>
      <w:r>
        <w:rPr>
          <w:rStyle w:val="33"/>
        </w:rPr>
        <w:t>http://download.ccgp.gov.cn/2018/zhiyihanfanben.zip</w:t>
      </w:r>
      <w:r>
        <w:rPr>
          <w:rStyle w:val="33"/>
        </w:rPr>
        <w:fldChar w:fldCharType="end"/>
      </w:r>
    </w:p>
    <w:p>
      <w:pPr>
        <w:ind w:firstLine="480" w:firstLineChars="200"/>
        <w:jc w:val="both"/>
        <w:rPr>
          <w:rFonts w:cstheme="minorHAnsi"/>
        </w:rPr>
      </w:pPr>
      <w:r>
        <w:rPr>
          <w:rFonts w:hint="eastAsia" w:cstheme="minorHAnsi"/>
        </w:rPr>
        <w:t>（3）供应商为自然人的，应当由本人签字；供应商为法人或者其他组织的，应当由法定代表人（负责人），或者其授权代表签字或者盖章，并加盖单位公章，公章不得以合同章或其他印章代替。供应商委托授权代表提出质疑的，应当同时提交供应商签署的委托授权书。</w:t>
      </w:r>
    </w:p>
    <w:p>
      <w:pPr>
        <w:ind w:firstLine="480" w:firstLineChars="200"/>
        <w:jc w:val="both"/>
        <w:rPr>
          <w:rFonts w:cstheme="minorHAnsi"/>
        </w:rPr>
      </w:pPr>
      <w:r>
        <w:rPr>
          <w:rFonts w:hint="eastAsia" w:cstheme="minorHAnsi"/>
        </w:rPr>
        <w:t>（</w:t>
      </w:r>
      <w:r>
        <w:rPr>
          <w:rFonts w:cstheme="minorHAnsi"/>
        </w:rPr>
        <w:t>4</w:t>
      </w:r>
      <w:r>
        <w:rPr>
          <w:rFonts w:hint="eastAsia" w:cstheme="minorHAnsi"/>
        </w:rPr>
        <w:t>）在法定质疑期内，针对同一采购程序环节的质疑应当一次性提出。采购人、采购代理机构将在收到书面质疑后</w:t>
      </w:r>
      <w:r>
        <w:rPr>
          <w:rFonts w:cstheme="minorHAnsi"/>
        </w:rPr>
        <w:t>7个工作日内做出答复，并以书面形式通知质疑人和其他有关供应商。</w:t>
      </w:r>
    </w:p>
    <w:p>
      <w:pPr>
        <w:ind w:firstLine="480" w:firstLineChars="200"/>
        <w:jc w:val="both"/>
        <w:rPr>
          <w:rFonts w:cstheme="minorHAnsi"/>
          <w:color w:val="C00000"/>
        </w:rPr>
      </w:pPr>
      <w:r>
        <w:rPr>
          <w:rFonts w:cstheme="minorHAnsi"/>
          <w:color w:val="C00000"/>
        </w:rPr>
        <w:t>（</w:t>
      </w:r>
      <w:r>
        <w:rPr>
          <w:rFonts w:hint="eastAsia" w:cstheme="minorHAnsi"/>
          <w:color w:val="C00000"/>
        </w:rPr>
        <w:t>5</w:t>
      </w:r>
      <w:r>
        <w:rPr>
          <w:rFonts w:cstheme="minorHAnsi"/>
          <w:color w:val="C00000"/>
        </w:rPr>
        <w:t>）有下列情形之一的，属于无效质疑：</w:t>
      </w:r>
    </w:p>
    <w:p>
      <w:pPr>
        <w:ind w:firstLine="480" w:firstLineChars="200"/>
        <w:jc w:val="both"/>
        <w:rPr>
          <w:rFonts w:cstheme="minorHAnsi"/>
        </w:rPr>
      </w:pPr>
      <w:r>
        <w:rPr>
          <w:rFonts w:hint="eastAsia" w:cstheme="minorHAnsi"/>
        </w:rPr>
        <w:t xml:space="preserve">① </w:t>
      </w:r>
      <w:r>
        <w:rPr>
          <w:rFonts w:cstheme="minorHAnsi"/>
        </w:rPr>
        <w:t>对采购文件提出质疑的质疑人不是依法获取采购文件的潜在供应商；对采购过程、</w:t>
      </w:r>
      <w:r>
        <w:rPr>
          <w:rFonts w:hint="eastAsia" w:cstheme="minorHAnsi"/>
        </w:rPr>
        <w:t>中</w:t>
      </w:r>
      <w:r>
        <w:rPr>
          <w:rFonts w:hint="eastAsia" w:cstheme="minorHAnsi"/>
          <w:w w:val="1"/>
        </w:rPr>
        <w:t>　</w:t>
      </w:r>
      <w:r>
        <w:rPr>
          <w:rFonts w:hint="eastAsia" w:cstheme="minorHAnsi"/>
        </w:rPr>
        <w:t>标（成</w:t>
      </w:r>
      <w:r>
        <w:rPr>
          <w:rFonts w:hint="eastAsia" w:cstheme="minorHAnsi"/>
          <w:w w:val="1"/>
        </w:rPr>
        <w:t>　</w:t>
      </w:r>
      <w:r>
        <w:rPr>
          <w:rFonts w:hint="eastAsia" w:cstheme="minorHAnsi"/>
        </w:rPr>
        <w:t>交）</w:t>
      </w:r>
      <w:r>
        <w:rPr>
          <w:rFonts w:cstheme="minorHAnsi"/>
        </w:rPr>
        <w:t>结果提出质疑的质疑人不是参与本次政府采购项目的供应商；</w:t>
      </w:r>
    </w:p>
    <w:p>
      <w:pPr>
        <w:ind w:firstLine="480" w:firstLineChars="200"/>
        <w:jc w:val="both"/>
        <w:rPr>
          <w:rFonts w:cstheme="minorHAnsi"/>
        </w:rPr>
      </w:pPr>
      <w:r>
        <w:rPr>
          <w:rFonts w:hint="eastAsia" w:cstheme="minorHAnsi"/>
        </w:rPr>
        <w:t xml:space="preserve">② </w:t>
      </w:r>
      <w:r>
        <w:rPr>
          <w:rFonts w:cstheme="minorHAnsi"/>
        </w:rPr>
        <w:t>超过法定期限或未以书面形式提出的；</w:t>
      </w:r>
    </w:p>
    <w:p>
      <w:pPr>
        <w:ind w:firstLine="480" w:firstLineChars="200"/>
        <w:jc w:val="both"/>
        <w:rPr>
          <w:rFonts w:cstheme="minorHAnsi"/>
        </w:rPr>
      </w:pPr>
      <w:r>
        <w:rPr>
          <w:rFonts w:hint="eastAsia" w:cstheme="minorHAnsi"/>
        </w:rPr>
        <w:t xml:space="preserve">③ </w:t>
      </w:r>
      <w:r>
        <w:rPr>
          <w:rFonts w:cstheme="minorHAnsi"/>
        </w:rPr>
        <w:t>缺乏必要的证明材料，或捏造事实、提供虚假材料，或以非法手段取得证明材料的；</w:t>
      </w:r>
    </w:p>
    <w:p>
      <w:pPr>
        <w:ind w:firstLine="480" w:firstLineChars="200"/>
        <w:jc w:val="both"/>
        <w:rPr>
          <w:rFonts w:cstheme="minorHAnsi"/>
        </w:rPr>
      </w:pPr>
      <w:r>
        <w:rPr>
          <w:rFonts w:hint="eastAsia" w:cstheme="minorHAnsi"/>
        </w:rPr>
        <w:t xml:space="preserve">④ </w:t>
      </w:r>
      <w:r>
        <w:rPr>
          <w:rFonts w:cstheme="minorHAnsi"/>
        </w:rPr>
        <w:t>质疑函没有合法有效的签字、盖章或委托授权书的（委托</w:t>
      </w:r>
      <w:r>
        <w:rPr>
          <w:rFonts w:hint="eastAsia" w:cstheme="minorHAnsi"/>
        </w:rPr>
        <w:t>授权代表</w:t>
      </w:r>
      <w:r>
        <w:rPr>
          <w:rFonts w:cstheme="minorHAnsi"/>
        </w:rPr>
        <w:t>提出质疑和投诉，应当提交供应商签署的委托授权书）；</w:t>
      </w:r>
    </w:p>
    <w:p>
      <w:pPr>
        <w:ind w:firstLine="480" w:firstLineChars="200"/>
        <w:jc w:val="both"/>
        <w:rPr>
          <w:rFonts w:cstheme="minorHAnsi"/>
        </w:rPr>
      </w:pPr>
      <w:r>
        <w:rPr>
          <w:rFonts w:hint="eastAsia" w:cstheme="minorHAnsi"/>
        </w:rPr>
        <w:t xml:space="preserve">⑤ </w:t>
      </w:r>
      <w:r>
        <w:rPr>
          <w:rFonts w:cstheme="minorHAnsi"/>
        </w:rPr>
        <w:t>针对同一采购程序环节又提出其他质疑事项的，或质疑答复后就同一事项再次提出质疑的；</w:t>
      </w:r>
    </w:p>
    <w:p>
      <w:pPr>
        <w:ind w:firstLine="480" w:firstLineChars="200"/>
        <w:jc w:val="both"/>
        <w:rPr>
          <w:rFonts w:cstheme="minorHAnsi"/>
        </w:rPr>
      </w:pPr>
      <w:r>
        <w:rPr>
          <w:rFonts w:hint="eastAsia" w:cstheme="minorHAnsi"/>
        </w:rPr>
        <w:t xml:space="preserve">⑥ </w:t>
      </w:r>
      <w:r>
        <w:rPr>
          <w:rFonts w:cstheme="minorHAnsi"/>
        </w:rPr>
        <w:t>不符合法律、法规、规章和政府采购监管机构规定的其他条件的。</w:t>
      </w:r>
    </w:p>
    <w:p>
      <w:pPr>
        <w:ind w:firstLine="480" w:firstLineChars="200"/>
        <w:jc w:val="both"/>
        <w:rPr>
          <w:rFonts w:cstheme="minorHAnsi"/>
          <w:b/>
        </w:rPr>
      </w:pPr>
      <w:r>
        <w:rPr>
          <w:rFonts w:cstheme="minorHAnsi"/>
          <w:b/>
        </w:rPr>
        <w:t>3</w:t>
      </w:r>
      <w:r>
        <w:rPr>
          <w:rFonts w:hint="eastAsia" w:cstheme="minorHAnsi"/>
        </w:rPr>
        <w:t>．</w:t>
      </w:r>
      <w:r>
        <w:rPr>
          <w:rFonts w:cstheme="minorHAnsi"/>
          <w:b/>
        </w:rPr>
        <w:t>投诉</w:t>
      </w:r>
    </w:p>
    <w:p>
      <w:pPr>
        <w:ind w:firstLine="480" w:firstLineChars="200"/>
        <w:jc w:val="both"/>
        <w:rPr>
          <w:rFonts w:cstheme="minorHAnsi"/>
        </w:rPr>
      </w:pPr>
      <w:r>
        <w:rPr>
          <w:rFonts w:cstheme="minorHAnsi"/>
        </w:rPr>
        <w:t>（</w:t>
      </w:r>
      <w:r>
        <w:rPr>
          <w:rFonts w:hint="eastAsia" w:cstheme="minorHAnsi"/>
        </w:rPr>
        <w:t>1</w:t>
      </w:r>
      <w:r>
        <w:rPr>
          <w:rFonts w:cstheme="minorHAnsi"/>
        </w:rPr>
        <w:t>）质疑供应商对采购人、采购代理机构的答复不满意，或者采购人、采购代理机构未在规定的时间内做出答复的，可以在答复期满后15个工作日内按照《政府采购质疑和投诉办法》（财政部94号令）相关规定向同级</w:t>
      </w:r>
      <w:r>
        <w:rPr>
          <w:rFonts w:hint="eastAsia" w:cstheme="minorHAnsi"/>
        </w:rPr>
        <w:t>政府采购</w:t>
      </w:r>
      <w:r>
        <w:rPr>
          <w:rFonts w:cstheme="minorHAnsi"/>
        </w:rPr>
        <w:t>监管</w:t>
      </w:r>
      <w:r>
        <w:rPr>
          <w:rFonts w:hint="eastAsia" w:cstheme="minorHAnsi"/>
        </w:rPr>
        <w:t>部门</w:t>
      </w:r>
      <w:r>
        <w:rPr>
          <w:rFonts w:cstheme="minorHAnsi"/>
        </w:rPr>
        <w:t>提出投诉。</w:t>
      </w:r>
    </w:p>
    <w:p>
      <w:pPr>
        <w:ind w:firstLine="480" w:firstLineChars="200"/>
        <w:jc w:val="both"/>
        <w:rPr>
          <w:rFonts w:cstheme="minorHAnsi"/>
        </w:rPr>
      </w:pPr>
      <w:r>
        <w:rPr>
          <w:rFonts w:cstheme="minorHAnsi"/>
        </w:rPr>
        <w:t>（</w:t>
      </w:r>
      <w:r>
        <w:rPr>
          <w:rFonts w:hint="eastAsia" w:cstheme="minorHAnsi"/>
        </w:rPr>
        <w:t>2</w:t>
      </w:r>
      <w:r>
        <w:rPr>
          <w:rFonts w:cstheme="minorHAnsi"/>
        </w:rPr>
        <w:t>）供应商投诉的事项不得超出已质疑事项的范围。</w:t>
      </w:r>
      <w:r>
        <w:rPr>
          <w:rFonts w:hint="eastAsia" w:cstheme="minorHAnsi"/>
        </w:rPr>
        <w:t>供应商提出投诉时，应当提交投诉书和必要的证明材料，并按财政部《投诉书范本》给定的格式进行填写。</w:t>
      </w:r>
    </w:p>
    <w:p>
      <w:pPr>
        <w:ind w:firstLine="480" w:firstLineChars="200"/>
        <w:jc w:val="both"/>
        <w:rPr>
          <w:rFonts w:cstheme="minorHAnsi"/>
          <w:color w:val="0070C0"/>
        </w:rPr>
      </w:pPr>
      <w:r>
        <w:rPr>
          <w:rFonts w:hint="eastAsia" w:cstheme="minorHAnsi"/>
        </w:rPr>
        <w:t>投诉书范本</w:t>
      </w:r>
      <w:r>
        <w:rPr>
          <w:rFonts w:hint="eastAsia"/>
        </w:rPr>
        <w:t>下载</w:t>
      </w:r>
      <w:r>
        <w:rPr>
          <w:rFonts w:hint="eastAsia" w:cstheme="minorHAnsi"/>
        </w:rPr>
        <w:t>地址：</w:t>
      </w:r>
      <w:r>
        <w:fldChar w:fldCharType="begin"/>
      </w:r>
      <w:r>
        <w:instrText xml:space="preserve"> HYPERLINK "http://download.ccgp.gov.cn/2018/tousushufanben.zip" </w:instrText>
      </w:r>
      <w:r>
        <w:fldChar w:fldCharType="separate"/>
      </w:r>
      <w:r>
        <w:rPr>
          <w:rStyle w:val="33"/>
          <w:rFonts w:cstheme="minorHAnsi"/>
          <w:color w:val="0070C0"/>
        </w:rPr>
        <w:t>http://download.ccgp.gov.cn/2018/tousushufanben.zip</w:t>
      </w:r>
      <w:r>
        <w:rPr>
          <w:rStyle w:val="33"/>
          <w:rFonts w:cstheme="minorHAnsi"/>
          <w:color w:val="0070C0"/>
        </w:rPr>
        <w:fldChar w:fldCharType="end"/>
      </w:r>
    </w:p>
    <w:p>
      <w:pPr>
        <w:ind w:firstLine="480" w:firstLineChars="200"/>
        <w:jc w:val="both"/>
        <w:rPr>
          <w:rFonts w:cstheme="minorHAnsi"/>
          <w:b/>
        </w:rPr>
      </w:pPr>
      <w:r>
        <w:rPr>
          <w:rFonts w:cstheme="minorHAnsi"/>
          <w:b/>
        </w:rPr>
        <w:t>4</w:t>
      </w:r>
      <w:r>
        <w:rPr>
          <w:rFonts w:hint="eastAsia" w:cstheme="minorHAnsi"/>
        </w:rPr>
        <w:t>．</w:t>
      </w:r>
      <w:r>
        <w:rPr>
          <w:rFonts w:hint="eastAsia" w:cstheme="minorHAnsi"/>
          <w:b/>
        </w:rPr>
        <w:t>恶意</w:t>
      </w:r>
      <w:r>
        <w:rPr>
          <w:rFonts w:cstheme="minorHAnsi"/>
          <w:b/>
        </w:rPr>
        <w:t>质疑、投诉的</w:t>
      </w:r>
      <w:r>
        <w:rPr>
          <w:rFonts w:hint="eastAsia" w:cstheme="minorHAnsi"/>
          <w:b/>
        </w:rPr>
        <w:t>法律</w:t>
      </w:r>
      <w:r>
        <w:rPr>
          <w:rFonts w:cstheme="minorHAnsi"/>
          <w:b/>
        </w:rPr>
        <w:t>后果</w:t>
      </w:r>
    </w:p>
    <w:p>
      <w:pPr>
        <w:ind w:firstLine="480" w:firstLineChars="200"/>
        <w:jc w:val="both"/>
        <w:rPr>
          <w:rFonts w:cstheme="minorHAnsi"/>
        </w:rPr>
      </w:pPr>
      <w:r>
        <w:rPr>
          <w:rFonts w:hint="eastAsia" w:cstheme="minorHAnsi"/>
        </w:rPr>
        <w:t>（1）</w:t>
      </w:r>
      <w:r>
        <w:rPr>
          <w:rFonts w:cstheme="minorHAnsi"/>
        </w:rPr>
        <w:t>对捏造事实、提供虚假材料进行质疑、投诉的行为予以严肃处理：</w:t>
      </w:r>
    </w:p>
    <w:p>
      <w:pPr>
        <w:ind w:firstLine="480" w:firstLineChars="200"/>
        <w:jc w:val="both"/>
        <w:rPr>
          <w:rFonts w:cstheme="minorHAnsi"/>
        </w:rPr>
      </w:pPr>
      <w:r>
        <w:rPr>
          <w:rFonts w:hint="eastAsia" w:cstheme="minorHAnsi"/>
        </w:rPr>
        <w:t>《政府采购质疑和投诉办法》（财政部</w:t>
      </w:r>
      <w:r>
        <w:rPr>
          <w:rFonts w:cstheme="minorHAnsi"/>
        </w:rPr>
        <w:t>94号令）规定，投诉人在全国范围内十二个月内三次以上投诉查无实据的，由财政部门列入不良行为记录名单。对于捏造事实、或提供虚假材料、或以非法手段取得证明材料（证据来源的合法性存在明显疑问，投诉人无法证明其取得方式合法的，视为以非法手段取得证明材料）进行投诉的，属于虚假、恶意投诉，由财政部门列入不良行为记录名单，并禁止其一至三年内参加政府采购活动。</w:t>
      </w:r>
    </w:p>
    <w:p>
      <w:pPr>
        <w:ind w:firstLine="480" w:firstLineChars="200"/>
        <w:jc w:val="both"/>
        <w:rPr>
          <w:rFonts w:cstheme="minorHAnsi"/>
        </w:rPr>
      </w:pPr>
      <w:r>
        <w:rPr>
          <w:rFonts w:hint="eastAsia" w:cstheme="minorHAnsi"/>
        </w:rPr>
        <w:t>（2）</w:t>
      </w:r>
      <w:r>
        <w:rPr>
          <w:rFonts w:cstheme="minorHAnsi"/>
        </w:rPr>
        <w:t>对捏造事实诬告陷害他人、诽谤他人的法律适用：</w:t>
      </w:r>
    </w:p>
    <w:p>
      <w:pPr>
        <w:ind w:firstLine="480" w:firstLineChars="200"/>
        <w:jc w:val="both"/>
        <w:rPr>
          <w:rFonts w:cstheme="minorHAnsi"/>
        </w:rPr>
      </w:pPr>
      <w:r>
        <w:rPr>
          <w:rFonts w:hint="eastAsia" w:cstheme="minorHAnsi"/>
        </w:rPr>
        <w:t>《中华人民共和国刑法》第</w:t>
      </w:r>
      <w:r>
        <w:rPr>
          <w:rFonts w:cstheme="minorHAnsi"/>
        </w:rPr>
        <w:t>243条【诬告陷害罪】捏造事实诬告陷害他人，意图使他人受刑事追究，情节严重的，处三年以下有期徒刑、拘役或者管制；造成严重后果的，处三年以上十年以下有期徒刑。</w:t>
      </w:r>
    </w:p>
    <w:p>
      <w:pPr>
        <w:ind w:firstLine="480" w:firstLineChars="200"/>
        <w:jc w:val="both"/>
        <w:rPr>
          <w:rFonts w:cstheme="minorHAnsi"/>
        </w:rPr>
      </w:pPr>
      <w:r>
        <w:rPr>
          <w:rFonts w:hint="eastAsia" w:cstheme="minorHAnsi"/>
        </w:rPr>
        <w:t>《中华人民共和国刑法》第</w:t>
      </w:r>
      <w:r>
        <w:rPr>
          <w:rFonts w:cstheme="minorHAnsi"/>
        </w:rPr>
        <w:t>246条【侮辱罪、诽谤罪】以暴力或者其他方法公然侮辱他人或者捏造事实诽谤他人，情节严重的，处三年以下有期徒刑、拘役、管制或者剥夺政治权利。</w:t>
      </w:r>
    </w:p>
    <w:p>
      <w:pPr>
        <w:pStyle w:val="4"/>
        <w:ind w:firstLine="482"/>
      </w:pPr>
      <w:r>
        <w:t>（</w:t>
      </w:r>
      <w:r>
        <w:rPr>
          <w:rFonts w:hint="eastAsia"/>
        </w:rPr>
        <w:t>三</w:t>
      </w:r>
      <w:r>
        <w:t>）</w:t>
      </w:r>
      <w:r>
        <w:rPr>
          <w:rFonts w:hint="eastAsia"/>
        </w:rPr>
        <w:t>关于</w:t>
      </w:r>
      <w:r>
        <w:t>保证金</w:t>
      </w:r>
    </w:p>
    <w:p>
      <w:pPr>
        <w:ind w:firstLine="480" w:firstLineChars="200"/>
        <w:jc w:val="both"/>
        <w:rPr>
          <w:b/>
        </w:rPr>
      </w:pPr>
      <w:r>
        <w:rPr>
          <w:rFonts w:cstheme="minorHAnsi"/>
          <w:b/>
        </w:rPr>
        <w:t>1</w:t>
      </w:r>
      <w:r>
        <w:rPr>
          <w:rFonts w:hint="eastAsia" w:cstheme="minorHAnsi"/>
        </w:rPr>
        <w:t>．</w:t>
      </w:r>
      <w:r>
        <w:rPr>
          <w:b/>
        </w:rPr>
        <w:t>投</w:t>
      </w:r>
      <w:r>
        <w:rPr>
          <w:rFonts w:hint="eastAsia"/>
          <w:b/>
          <w:w w:val="1"/>
        </w:rPr>
        <w:t xml:space="preserve"> </w:t>
      </w:r>
      <w:r>
        <w:rPr>
          <w:b/>
        </w:rPr>
        <w:t>标保证金</w:t>
      </w:r>
    </w:p>
    <w:p>
      <w:pPr>
        <w:ind w:firstLine="480" w:firstLineChars="200"/>
        <w:jc w:val="both"/>
      </w:pPr>
      <w:r>
        <w:rPr>
          <w:rFonts w:hint="eastAsia"/>
        </w:rPr>
        <w:t>按照西安市财政局《关于促进政府采购公平竞争优化营商环境的通知》第三条规定，供应商参与西安市政府采购活动时，免交投</w:t>
      </w:r>
      <w:r>
        <w:rPr>
          <w:rFonts w:hint="eastAsia"/>
          <w:w w:val="1"/>
        </w:rPr>
        <w:t xml:space="preserve"> </w:t>
      </w:r>
      <w:r>
        <w:rPr>
          <w:rFonts w:hint="eastAsia"/>
        </w:rPr>
        <w:t>标保证金。</w:t>
      </w:r>
    </w:p>
    <w:p>
      <w:pPr>
        <w:ind w:firstLine="480" w:firstLineChars="200"/>
        <w:jc w:val="both"/>
        <w:rPr>
          <w:rFonts w:cstheme="minorHAnsi"/>
          <w:b/>
        </w:rPr>
      </w:pPr>
      <w:r>
        <w:rPr>
          <w:rFonts w:cstheme="minorHAnsi"/>
          <w:b/>
        </w:rPr>
        <w:t>2</w:t>
      </w:r>
      <w:r>
        <w:rPr>
          <w:rFonts w:hint="eastAsia" w:cstheme="minorHAnsi"/>
        </w:rPr>
        <w:t>．</w:t>
      </w:r>
      <w:r>
        <w:rPr>
          <w:rFonts w:cstheme="minorHAnsi"/>
          <w:b/>
        </w:rPr>
        <w:t>履约保证金</w:t>
      </w:r>
    </w:p>
    <w:p>
      <w:pPr>
        <w:ind w:firstLine="480" w:firstLineChars="200"/>
        <w:jc w:val="both"/>
      </w:pPr>
      <w:r>
        <w:rPr>
          <w:rFonts w:hint="eastAsia"/>
        </w:rPr>
        <w:t>采购文件要求</w:t>
      </w:r>
      <w:r>
        <w:rPr>
          <w:rFonts w:hint="eastAsia" w:cstheme="minorHAnsi"/>
        </w:rPr>
        <w:t>中</w:t>
      </w:r>
      <w:r>
        <w:rPr>
          <w:rFonts w:hint="eastAsia" w:cstheme="minorHAnsi"/>
          <w:w w:val="1"/>
        </w:rPr>
        <w:t>　</w:t>
      </w:r>
      <w:r>
        <w:rPr>
          <w:rFonts w:hint="eastAsia" w:cstheme="minorHAnsi"/>
        </w:rPr>
        <w:t>标（成</w:t>
      </w:r>
      <w:r>
        <w:rPr>
          <w:rFonts w:hint="eastAsia" w:cstheme="minorHAnsi"/>
          <w:w w:val="1"/>
        </w:rPr>
        <w:t>　</w:t>
      </w:r>
      <w:r>
        <w:rPr>
          <w:rFonts w:hint="eastAsia" w:cstheme="minorHAnsi"/>
        </w:rPr>
        <w:t>交）</w:t>
      </w:r>
      <w:r>
        <w:rPr>
          <w:rFonts w:hint="eastAsia"/>
        </w:rPr>
        <w:t>供应商提交履约保证金的，供应商应当以支票、汇票、本票或者金融机构、担保机构出具的保函（含纸质保函、电子保函）等非现金形式提交。</w:t>
      </w:r>
    </w:p>
    <w:p>
      <w:pPr>
        <w:ind w:firstLine="480" w:firstLineChars="200"/>
        <w:jc w:val="both"/>
      </w:pPr>
      <w:r>
        <w:t>（</w:t>
      </w:r>
      <w:r>
        <w:rPr>
          <w:rFonts w:hint="eastAsia"/>
        </w:rPr>
        <w:t>1</w:t>
      </w:r>
      <w:r>
        <w:t>）「前附表」注明“</w:t>
      </w:r>
      <w:r>
        <w:rPr>
          <w:color w:val="C00000"/>
        </w:rPr>
        <w:t>由采购人自行收退</w:t>
      </w:r>
      <w:r>
        <w:t>”</w:t>
      </w:r>
      <w:r>
        <w:rPr>
          <w:rFonts w:hint="eastAsia"/>
        </w:rPr>
        <w:t>的，</w:t>
      </w:r>
      <w:r>
        <w:t>供应商可通过上述非现金形式提交给采购人。</w:t>
      </w:r>
    </w:p>
    <w:p>
      <w:pPr>
        <w:wordWrap w:val="0"/>
        <w:ind w:firstLine="480" w:firstLineChars="200"/>
        <w:jc w:val="both"/>
      </w:pPr>
      <w:r>
        <w:rPr>
          <w:rFonts w:hint="eastAsia"/>
        </w:rPr>
        <w:t>（</w:t>
      </w:r>
      <w:r>
        <w:t>2</w:t>
      </w:r>
      <w:r>
        <w:rPr>
          <w:rFonts w:hint="eastAsia"/>
        </w:rPr>
        <w:t>）</w:t>
      </w:r>
      <w:r>
        <w:t>「前附表」注明“</w:t>
      </w:r>
      <w:r>
        <w:rPr>
          <w:color w:val="C00000"/>
        </w:rPr>
        <w:t>由交易中心代收代退</w:t>
      </w:r>
      <w:r>
        <w:t>”</w:t>
      </w:r>
      <w:r>
        <w:rPr>
          <w:rFonts w:hint="eastAsia"/>
        </w:rPr>
        <w:t>的，可选择以下途径提交给</w:t>
      </w:r>
      <w:r>
        <w:t>西安市公共资源交易中心</w:t>
      </w:r>
      <w:r>
        <w:rPr>
          <w:rFonts w:hint="eastAsia"/>
        </w:rPr>
        <w:t>：</w:t>
      </w:r>
    </w:p>
    <w:p>
      <w:pPr>
        <w:wordWrap w:val="0"/>
        <w:ind w:firstLine="480" w:firstLineChars="200"/>
        <w:jc w:val="both"/>
      </w:pPr>
      <w:r>
        <w:rPr>
          <w:rFonts w:ascii="宋体" w:hAnsi="宋体" w:eastAsia="宋体"/>
        </w:rPr>
        <w:t xml:space="preserve">① </w:t>
      </w:r>
      <w:r>
        <w:rPr>
          <w:rFonts w:hint="eastAsia"/>
        </w:rPr>
        <w:t>采用支票、汇票、本票、网上银行支付形式时，应将履约保证金足额提交至以下账户：</w:t>
      </w:r>
    </w:p>
    <w:p>
      <w:pPr>
        <w:wordWrap w:val="0"/>
        <w:ind w:firstLine="480" w:firstLineChars="200"/>
        <w:jc w:val="both"/>
      </w:pPr>
      <w:r>
        <w:rPr>
          <w:rFonts w:hint="eastAsia"/>
        </w:rPr>
        <w:t>户　名：西安市公共资源交易中心保证金户</w:t>
      </w:r>
    </w:p>
    <w:p>
      <w:pPr>
        <w:wordWrap w:val="0"/>
        <w:ind w:firstLine="480" w:firstLineChars="200"/>
        <w:jc w:val="both"/>
      </w:pPr>
      <w:r>
        <w:rPr>
          <w:rFonts w:hint="eastAsia"/>
        </w:rPr>
        <w:t>账　号：9558853700001663476</w:t>
      </w:r>
    </w:p>
    <w:p>
      <w:pPr>
        <w:wordWrap w:val="0"/>
        <w:ind w:firstLine="480" w:firstLineChars="200"/>
        <w:jc w:val="both"/>
      </w:pPr>
      <w:r>
        <w:rPr>
          <w:rFonts w:hint="eastAsia"/>
        </w:rPr>
        <w:t>开户行：中国工商银行股份有限公司西安曲江支行</w:t>
      </w:r>
    </w:p>
    <w:p>
      <w:pPr>
        <w:wordWrap w:val="0"/>
        <w:ind w:firstLine="480" w:firstLineChars="200"/>
        <w:jc w:val="both"/>
      </w:pPr>
      <w:r>
        <w:rPr>
          <w:rFonts w:hint="eastAsia"/>
        </w:rPr>
        <w:t>② 采用纸质保函形式时，应将履约保函原件递交至西安市公共资源交易中心保证金业务室：</w:t>
      </w:r>
    </w:p>
    <w:p>
      <w:pPr>
        <w:wordWrap w:val="0"/>
        <w:ind w:firstLine="480" w:firstLineChars="200"/>
        <w:jc w:val="both"/>
      </w:pPr>
      <w:r>
        <w:rPr>
          <w:rFonts w:hint="eastAsia"/>
        </w:rPr>
        <w:t>业务咨询电话：029-86510166/86510167转80206</w:t>
      </w:r>
    </w:p>
    <w:p>
      <w:pPr>
        <w:wordWrap w:val="0"/>
        <w:ind w:firstLine="480" w:firstLineChars="200"/>
        <w:jc w:val="both"/>
      </w:pPr>
      <w:r>
        <w:rPr>
          <w:rFonts w:hint="eastAsia"/>
        </w:rPr>
        <w:t>业务受理时间：（法定节假日除外）上午9:00-12:00、下午13:30-17:30</w:t>
      </w:r>
    </w:p>
    <w:p>
      <w:pPr>
        <w:wordWrap w:val="0"/>
        <w:ind w:firstLine="480" w:firstLineChars="200"/>
        <w:jc w:val="both"/>
      </w:pPr>
      <w:r>
        <w:rPr>
          <w:rFonts w:hint="eastAsia"/>
        </w:rPr>
        <w:t>业务受理地点：西安市未央区文景北路16号白桦林国际B座二层206室</w:t>
      </w:r>
    </w:p>
    <w:p>
      <w:pPr>
        <w:wordWrap w:val="0"/>
        <w:ind w:firstLine="480" w:firstLineChars="200"/>
        <w:jc w:val="both"/>
      </w:pPr>
      <w:r>
        <w:rPr>
          <w:rFonts w:hint="eastAsia"/>
        </w:rPr>
        <w:t>③ 采用电子保函形式时，可登录交易平台〖</w:t>
      </w:r>
      <w:r>
        <w:rPr>
          <w:rFonts w:cstheme="minorHAnsi"/>
        </w:rPr>
        <w:t>首页·</w:t>
      </w:r>
      <w:r>
        <w:rPr>
          <w:rFonts w:eastAsiaTheme="majorEastAsia" w:cstheme="minorHAnsi"/>
        </w:rPr>
        <w:t>〉</w:t>
      </w:r>
      <w:r>
        <w:rPr>
          <w:rFonts w:cstheme="minorHAnsi"/>
        </w:rPr>
        <w:t>电子交易平台·</w:t>
      </w:r>
      <w:r>
        <w:rPr>
          <w:rFonts w:eastAsiaTheme="majorEastAsia" w:cstheme="minorHAnsi"/>
        </w:rPr>
        <w:t>〉</w:t>
      </w:r>
      <w:r>
        <w:t>陕西政府采购交易系统·〉</w:t>
      </w:r>
      <w:r>
        <w:rPr>
          <w:rFonts w:cstheme="minorHAnsi"/>
        </w:rPr>
        <w:t>企业端〗</w:t>
      </w:r>
      <w:r>
        <w:rPr>
          <w:rFonts w:hint="eastAsia"/>
        </w:rPr>
        <w:t>，登录后切换到〖我的项目〗模块下，即可选择电子履约保函申请（点击申请后系统将自动跳转至电子保函业务平台，选择对应金融机构后，按要求填写相应信息进行申请）和入账查询。</w:t>
      </w:r>
    </w:p>
    <w:p>
      <w:pPr>
        <w:wordWrap w:val="0"/>
        <w:ind w:firstLine="480" w:firstLineChars="200"/>
        <w:jc w:val="both"/>
      </w:pPr>
      <w:r>
        <w:rPr>
          <w:rFonts w:hint="eastAsia"/>
        </w:rPr>
        <w:t>（</w:t>
      </w:r>
      <w:r>
        <w:t>3</w:t>
      </w:r>
      <w:r>
        <w:rPr>
          <w:rFonts w:hint="eastAsia"/>
        </w:rPr>
        <w:t>）采用履约保函形式时应注意以下事项：</w:t>
      </w:r>
    </w:p>
    <w:p>
      <w:pPr>
        <w:wordWrap w:val="0"/>
        <w:ind w:firstLine="480" w:firstLineChars="200"/>
        <w:jc w:val="both"/>
      </w:pPr>
      <w:r>
        <w:rPr>
          <w:rFonts w:hint="eastAsia"/>
        </w:rPr>
        <w:t>① 履约保函的受益人为采购人，供应商未能按合同规定履行其义务时，采购人有权从履约保证金中取得补偿。</w:t>
      </w:r>
    </w:p>
    <w:p>
      <w:pPr>
        <w:wordWrap w:val="0"/>
        <w:ind w:firstLine="480" w:firstLineChars="200"/>
        <w:jc w:val="both"/>
      </w:pPr>
      <w:r>
        <w:rPr>
          <w:rFonts w:hint="eastAsia"/>
        </w:rPr>
        <w:t>② 履约保函的内容包括但不限于保函申请人、项目名称（如分标段，还应写明所投</w:t>
      </w:r>
      <w:r>
        <w:rPr>
          <w:rFonts w:hint="eastAsia"/>
          <w:w w:val="1"/>
        </w:rPr>
        <w:t xml:space="preserve"> </w:t>
      </w:r>
      <w:r>
        <w:rPr>
          <w:rFonts w:hint="eastAsia"/>
        </w:rPr>
        <w:t>标段）、担保金额、保函有效期（履约保函的有效期至少应覆盖至合同验收之日，履约保函有效期不足的，供应商应向履约保函签发机构办理担保续期手续）；</w:t>
      </w:r>
    </w:p>
    <w:p>
      <w:pPr>
        <w:wordWrap w:val="0"/>
        <w:ind w:firstLine="480" w:firstLineChars="200"/>
        <w:jc w:val="both"/>
      </w:pPr>
      <w:r>
        <w:rPr>
          <w:rFonts w:hint="eastAsia"/>
        </w:rPr>
        <w:t>③ 担保金额不少于</w:t>
      </w:r>
      <w:r>
        <w:t>本章「前附表」</w:t>
      </w:r>
      <w:r>
        <w:rPr>
          <w:rFonts w:hint="eastAsia"/>
        </w:rPr>
        <w:t>中规定的履约保证金金额；</w:t>
      </w:r>
    </w:p>
    <w:p>
      <w:pPr>
        <w:wordWrap w:val="0"/>
        <w:ind w:firstLine="480" w:firstLineChars="200"/>
        <w:jc w:val="both"/>
      </w:pPr>
      <w:r>
        <w:rPr>
          <w:rFonts w:hint="eastAsia"/>
        </w:rPr>
        <w:t>④ 保函申请人须与供应商名称一致。若供应商为联合体形式，原则上可由联合体任意一方或多方作为保函申请人，然而对于电子保函，目前只能由下载电子招标文件的一方作为保函申请人。</w:t>
      </w:r>
    </w:p>
    <w:p>
      <w:pPr>
        <w:wordWrap w:val="0"/>
        <w:ind w:firstLine="480" w:firstLineChars="200"/>
        <w:jc w:val="both"/>
      </w:pPr>
      <w:r>
        <w:rPr>
          <w:rFonts w:hint="eastAsia"/>
        </w:rPr>
        <w:t>（</w:t>
      </w:r>
      <w:r>
        <w:t>4</w:t>
      </w:r>
      <w:r>
        <w:rPr>
          <w:rFonts w:hint="eastAsia"/>
        </w:rPr>
        <w:t>）退还履约保证金</w:t>
      </w:r>
    </w:p>
    <w:p>
      <w:pPr>
        <w:ind w:firstLine="480" w:firstLineChars="200"/>
        <w:jc w:val="both"/>
      </w:pPr>
      <w:r>
        <w:rPr>
          <w:rFonts w:hint="eastAsia"/>
        </w:rPr>
        <w:t>在采购项目验收合格后，</w:t>
      </w:r>
      <w:r>
        <w:rPr>
          <w:rFonts w:hint="eastAsia" w:cstheme="minorHAnsi"/>
        </w:rPr>
        <w:t>中</w:t>
      </w:r>
      <w:r>
        <w:rPr>
          <w:rFonts w:hint="eastAsia" w:cstheme="minorHAnsi"/>
          <w:w w:val="1"/>
        </w:rPr>
        <w:t>　</w:t>
      </w:r>
      <w:r>
        <w:rPr>
          <w:rFonts w:hint="eastAsia" w:cstheme="minorHAnsi"/>
        </w:rPr>
        <w:t>标（成</w:t>
      </w:r>
      <w:r>
        <w:rPr>
          <w:rFonts w:hint="eastAsia" w:cstheme="minorHAnsi"/>
          <w:w w:val="1"/>
        </w:rPr>
        <w:t>　</w:t>
      </w:r>
      <w:r>
        <w:rPr>
          <w:rFonts w:hint="eastAsia" w:cstheme="minorHAnsi"/>
        </w:rPr>
        <w:t>交）</w:t>
      </w:r>
      <w:r>
        <w:rPr>
          <w:rFonts w:hint="eastAsia"/>
        </w:rPr>
        <w:t>供应商持政府采购项目验收单，到履约保证金原收取人处办理退还手续，5个工作日内无息退还（针对支票、本票、汇票、网上银行等支付形式）</w:t>
      </w:r>
      <w:r>
        <w:t>\</w:t>
      </w:r>
      <w:r>
        <w:rPr>
          <w:rFonts w:hint="eastAsia"/>
        </w:rPr>
        <w:t>当场返还（针对纸质保函）</w:t>
      </w:r>
      <w:r>
        <w:t>\</w:t>
      </w:r>
      <w:r>
        <w:rPr>
          <w:rFonts w:hint="eastAsia"/>
        </w:rPr>
        <w:t>当场注销（针对电子保函）。</w:t>
      </w:r>
    </w:p>
    <w:p>
      <w:pPr>
        <w:pStyle w:val="4"/>
        <w:ind w:firstLine="482"/>
      </w:pPr>
      <w:r>
        <w:rPr>
          <w:rFonts w:hint="eastAsia"/>
        </w:rPr>
        <w:t>（四）关于</w:t>
      </w:r>
      <w:r>
        <w:t>进口产品</w:t>
      </w:r>
    </w:p>
    <w:p>
      <w:pPr>
        <w:ind w:firstLine="480" w:firstLineChars="200"/>
        <w:jc w:val="both"/>
        <w:rPr>
          <w:rFonts w:cstheme="minorHAnsi"/>
        </w:rPr>
      </w:pPr>
      <w:r>
        <w:rPr>
          <w:rFonts w:hint="eastAsia" w:cstheme="minorHAnsi"/>
        </w:rPr>
        <w:t>1．根据《政府采购进口产品管理办法》（财库〔</w:t>
      </w:r>
      <w:r>
        <w:rPr>
          <w:rFonts w:cstheme="minorHAnsi"/>
        </w:rPr>
        <w:t>2007〕119号）</w:t>
      </w:r>
      <w:r>
        <w:rPr>
          <w:rFonts w:hint="eastAsia" w:cstheme="minorHAnsi"/>
        </w:rPr>
        <w:t>规定</w:t>
      </w:r>
      <w:r>
        <w:rPr>
          <w:rFonts w:cstheme="minorHAnsi"/>
        </w:rPr>
        <w:t>，</w:t>
      </w:r>
      <w:r>
        <w:rPr>
          <w:rFonts w:hint="eastAsia" w:cstheme="minorHAnsi"/>
        </w:rPr>
        <w:t>政府采购应当采购本国产品，确需采购进口产品的，应当在采购活动开始前向财政部门提出申请并获得财政部门审核同意后，依法开展政府采购活动。采购人采购进口产品时</w:t>
      </w:r>
      <w:r>
        <w:rPr>
          <w:rFonts w:cstheme="minorHAnsi"/>
        </w:rPr>
        <w:t>，</w:t>
      </w:r>
      <w:r>
        <w:rPr>
          <w:rFonts w:hint="eastAsia" w:cstheme="minorHAnsi"/>
        </w:rPr>
        <w:t>优先采购向我国企业转让技术、与我国企业签订消化吸收再创新方案的供应商的进口产品。</w:t>
      </w:r>
    </w:p>
    <w:p>
      <w:pPr>
        <w:ind w:firstLine="480" w:firstLineChars="200"/>
        <w:jc w:val="both"/>
        <w:rPr>
          <w:rFonts w:cstheme="minorHAnsi"/>
          <w:strike/>
        </w:rPr>
      </w:pPr>
      <w:r>
        <w:rPr>
          <w:rFonts w:hint="eastAsia" w:cstheme="minorHAnsi"/>
        </w:rPr>
        <w:t>2．根据《关于政府采购进口产品管理有关问题的通知》（财办库〔</w:t>
      </w:r>
      <w:r>
        <w:rPr>
          <w:rFonts w:cstheme="minorHAnsi"/>
        </w:rPr>
        <w:t>2008〕248号）有关规定，</w:t>
      </w:r>
      <w:r>
        <w:rPr>
          <w:rFonts w:hint="eastAsia" w:cstheme="minorHAnsi"/>
        </w:rPr>
        <w:t>财政部门审核同意购买进口产品的，招标文件将明确载明“允许</w:t>
      </w:r>
      <w:r>
        <w:rPr>
          <w:rFonts w:cstheme="minorHAnsi"/>
        </w:rPr>
        <w:t>进口产品参与</w:t>
      </w:r>
      <w:r>
        <w:rPr>
          <w:rFonts w:hint="eastAsia" w:cstheme="minorHAnsi"/>
        </w:rPr>
        <w:t>”，此时满足招标文件要求的国产产品仍然可以参与竞争；否则，视为拒绝进口产品参与，供应商以进口产品参与投标时，将作无效投标处理。</w:t>
      </w:r>
    </w:p>
    <w:p>
      <w:pPr>
        <w:pStyle w:val="4"/>
        <w:ind w:firstLine="482"/>
      </w:pPr>
      <w:r>
        <w:t>（五）</w:t>
      </w:r>
      <w:r>
        <w:rPr>
          <w:rFonts w:hint="eastAsia"/>
        </w:rPr>
        <w:t>关于政府采购</w:t>
      </w:r>
      <w:r>
        <w:t>政策</w:t>
      </w:r>
    </w:p>
    <w:p>
      <w:pPr>
        <w:ind w:firstLine="480" w:firstLineChars="200"/>
        <w:jc w:val="both"/>
        <w:rPr>
          <w:rFonts w:cstheme="minorHAnsi"/>
          <w:b/>
          <w:color w:val="C00000"/>
        </w:rPr>
      </w:pPr>
      <w:r>
        <w:rPr>
          <w:rFonts w:cstheme="minorHAnsi"/>
          <w:b/>
          <w:color w:val="C00000"/>
        </w:rPr>
        <w:t>1</w:t>
      </w:r>
      <w:r>
        <w:rPr>
          <w:rFonts w:hint="eastAsia" w:cstheme="minorHAnsi"/>
          <w:color w:val="C00000"/>
        </w:rPr>
        <w:t>．</w:t>
      </w:r>
      <w:r>
        <w:rPr>
          <w:rFonts w:hint="eastAsia" w:cstheme="minorHAnsi"/>
          <w:b/>
          <w:color w:val="C00000"/>
        </w:rPr>
        <w:t>对中小企业的扶持政策</w:t>
      </w:r>
    </w:p>
    <w:p>
      <w:pPr>
        <w:ind w:firstLine="480" w:firstLineChars="200"/>
        <w:jc w:val="both"/>
        <w:rPr>
          <w:rFonts w:cstheme="minorHAnsi"/>
        </w:rPr>
      </w:pPr>
      <w:r>
        <w:rPr>
          <w:rFonts w:cstheme="minorHAnsi"/>
        </w:rPr>
        <w:t>（</w:t>
      </w:r>
      <w:r>
        <w:rPr>
          <w:rFonts w:hint="eastAsia" w:cstheme="minorHAnsi"/>
        </w:rPr>
        <w:t>1</w:t>
      </w:r>
      <w:r>
        <w:rPr>
          <w:rFonts w:cstheme="minorHAnsi"/>
        </w:rPr>
        <w:t>）</w:t>
      </w:r>
      <w:r>
        <w:rPr>
          <w:rFonts w:hint="eastAsia" w:cstheme="minorHAnsi"/>
        </w:rPr>
        <w:t>中小企业的界定</w:t>
      </w:r>
    </w:p>
    <w:p>
      <w:pPr>
        <w:ind w:firstLine="480" w:firstLineChars="200"/>
        <w:jc w:val="both"/>
        <w:rPr>
          <w:rFonts w:cstheme="minorHAnsi"/>
        </w:rPr>
      </w:pPr>
      <w:r>
        <w:rPr>
          <w:rFonts w:hint="eastAsia" w:cstheme="minorHAnsi"/>
        </w:rPr>
        <w:t>指在中华人民共和国境内依法设立，依据国务院批准的中小企业划分标准确定的中型企业、小型企业和微型企业，但与大企业的负责人为同一人，或者与大企业存在直接控股、管理关系的除外。符合以下条件的，视同中小企业（小型、微型企业）：</w:t>
      </w:r>
    </w:p>
    <w:p>
      <w:pPr>
        <w:ind w:firstLine="480" w:firstLineChars="200"/>
        <w:jc w:val="both"/>
        <w:rPr>
          <w:rFonts w:cstheme="minorHAnsi"/>
        </w:rPr>
      </w:pPr>
      <w:r>
        <w:rPr>
          <w:rFonts w:asciiTheme="minorEastAsia" w:hAnsiTheme="minorEastAsia" w:cstheme="minorHAnsi"/>
        </w:rPr>
        <w:t xml:space="preserve">① </w:t>
      </w:r>
      <w:r>
        <w:rPr>
          <w:rFonts w:cstheme="minorHAnsi"/>
        </w:rPr>
        <w:t>根据财政部《政府采购促进中小企业发展管理办法》（财库〔2020〕46号）第二条规定，符合中小企业划分标准的个体工商户，在政府采购活动中视同中小企业。</w:t>
      </w:r>
    </w:p>
    <w:p>
      <w:pPr>
        <w:ind w:firstLine="480" w:firstLineChars="200"/>
        <w:jc w:val="both"/>
        <w:rPr>
          <w:rFonts w:cstheme="minorHAnsi"/>
        </w:rPr>
      </w:pPr>
      <w:r>
        <w:rPr>
          <w:rFonts w:asciiTheme="minorEastAsia" w:hAnsiTheme="minorEastAsia" w:cstheme="minorHAnsi"/>
        </w:rPr>
        <w:t xml:space="preserve">② </w:t>
      </w:r>
      <w:r>
        <w:rPr>
          <w:rFonts w:cstheme="minorHAnsi"/>
        </w:rPr>
        <w:t>根据财政部、司法部联合下发的《关于政府采购支持监狱企业发展有关问题的通知》（财库〔2014〕68号）的规定，监狱企业视同小型、微型企业。</w:t>
      </w:r>
    </w:p>
    <w:p>
      <w:pPr>
        <w:ind w:firstLine="480" w:firstLineChars="200"/>
        <w:jc w:val="both"/>
        <w:rPr>
          <w:rFonts w:cstheme="minorHAnsi"/>
        </w:rPr>
      </w:pPr>
      <w:r>
        <w:rPr>
          <w:rFonts w:asciiTheme="minorEastAsia" w:hAnsiTheme="minorEastAsia" w:cstheme="minorHAnsi"/>
        </w:rPr>
        <w:t xml:space="preserve">③ </w:t>
      </w:r>
      <w:r>
        <w:rPr>
          <w:rFonts w:cstheme="minorHAnsi"/>
        </w:rPr>
        <w:t>根据财政部、民政部、中国残疾人联合会下发的《关于促进残疾人就业政府采购政策的通知》（财库〔2017〕141号）的规定，残疾人福利性单位提供本单位制造的货物、承建的工程或者承接的服务（以下简称产品），或者提供其他残疾人福利性单位制造的货物（不包括使用非残疾人福利性单位注册商标的货物）参与政府采购活动时，视同小型、微型企业，享受预留份额、评审中价格扣除等促进中小企业发展的政府采购政策。残疾人福利性单位属于小型、微型企业的，不重复享受政策。</w:t>
      </w:r>
    </w:p>
    <w:p>
      <w:pPr>
        <w:ind w:firstLine="480" w:firstLineChars="200"/>
        <w:jc w:val="both"/>
        <w:rPr>
          <w:rFonts w:cstheme="minorHAnsi"/>
        </w:rPr>
      </w:pPr>
      <w:r>
        <w:rPr>
          <w:rFonts w:hint="eastAsia" w:cstheme="minorHAnsi"/>
        </w:rPr>
        <w:t>中小企业</w:t>
      </w:r>
      <w:r>
        <w:rPr>
          <w:rFonts w:cstheme="minorHAnsi"/>
        </w:rPr>
        <w:t>具体划型标准详见</w:t>
      </w:r>
      <w:r>
        <w:rPr>
          <w:rFonts w:hint="eastAsia" w:cstheme="minorHAnsi"/>
        </w:rPr>
        <w:t>工业和信息化部、国家统计局、国家发展和改革委员会、财政部《关于印发中小企业划型标准规定的通知》（工信部联企业〔2011〕300号）。</w:t>
      </w:r>
    </w:p>
    <w:p>
      <w:pPr>
        <w:ind w:firstLine="480" w:firstLineChars="200"/>
        <w:jc w:val="both"/>
        <w:rPr>
          <w:rFonts w:cstheme="minorHAnsi"/>
        </w:rPr>
      </w:pPr>
      <w:r>
        <w:rPr>
          <w:rFonts w:cstheme="minorHAnsi"/>
        </w:rPr>
        <w:t>（</w:t>
      </w:r>
      <w:r>
        <w:rPr>
          <w:rFonts w:hint="eastAsia" w:cstheme="minorHAnsi"/>
        </w:rPr>
        <w:t>2</w:t>
      </w:r>
      <w:r>
        <w:rPr>
          <w:rFonts w:cstheme="minorHAnsi"/>
        </w:rPr>
        <w:t>）在政府采购活动中，供应商提供的货物、工程或者服务符合下列情形的，享受本办法规定的中小企业扶持政策：</w:t>
      </w:r>
    </w:p>
    <w:p>
      <w:pPr>
        <w:ind w:firstLine="480" w:firstLineChars="200"/>
        <w:jc w:val="both"/>
        <w:rPr>
          <w:rFonts w:cstheme="minorHAnsi"/>
        </w:rPr>
      </w:pPr>
      <w:r>
        <w:rPr>
          <w:rFonts w:asciiTheme="minorEastAsia" w:hAnsiTheme="minorEastAsia" w:cstheme="minorHAnsi"/>
        </w:rPr>
        <w:t xml:space="preserve">① </w:t>
      </w:r>
      <w:r>
        <w:rPr>
          <w:rFonts w:cstheme="minorHAnsi"/>
        </w:rPr>
        <w:t>在货物采购项目中，货物由中小企业制造，即货物由中小企业生产且使用该中小企业商号或者注册商标；供应商提供的货物既有中小企业制造货物，也有大型企业制造货物的，不享受本办法规定的中小企业扶持政策。</w:t>
      </w:r>
    </w:p>
    <w:p>
      <w:pPr>
        <w:ind w:firstLine="480" w:firstLineChars="200"/>
        <w:jc w:val="both"/>
        <w:rPr>
          <w:rFonts w:cstheme="minorHAnsi"/>
        </w:rPr>
      </w:pPr>
      <w:r>
        <w:rPr>
          <w:rFonts w:asciiTheme="minorEastAsia" w:hAnsiTheme="minorEastAsia" w:cstheme="minorHAnsi"/>
        </w:rPr>
        <w:t xml:space="preserve">② </w:t>
      </w:r>
      <w:r>
        <w:rPr>
          <w:rFonts w:cstheme="minorHAnsi"/>
        </w:rPr>
        <w:t>在工程采购项目中，工程由中小企业承建，即工程施工单位为中小企业；</w:t>
      </w:r>
    </w:p>
    <w:p>
      <w:pPr>
        <w:ind w:firstLine="480" w:firstLineChars="200"/>
        <w:jc w:val="both"/>
        <w:rPr>
          <w:rFonts w:cstheme="minorHAnsi"/>
        </w:rPr>
      </w:pPr>
      <w:r>
        <w:rPr>
          <w:rFonts w:asciiTheme="minorEastAsia" w:hAnsiTheme="minorEastAsia" w:cstheme="minorHAnsi"/>
        </w:rPr>
        <w:t xml:space="preserve">③ </w:t>
      </w:r>
      <w:r>
        <w:rPr>
          <w:rFonts w:cstheme="minorHAnsi"/>
        </w:rPr>
        <w:t>在服务采购项目中，服务由中小企业承接，即提供服务的人员为中小企业依照《中华人民共和国劳动合同法》订立劳动合同的从业人员。</w:t>
      </w:r>
    </w:p>
    <w:p>
      <w:pPr>
        <w:ind w:firstLine="480" w:firstLineChars="200"/>
        <w:jc w:val="both"/>
        <w:rPr>
          <w:rFonts w:cstheme="minorHAnsi"/>
        </w:rPr>
      </w:pPr>
      <w:r>
        <w:rPr>
          <w:rFonts w:cstheme="minorHAnsi"/>
        </w:rPr>
        <w:t>（</w:t>
      </w:r>
      <w:r>
        <w:rPr>
          <w:rFonts w:hint="eastAsia" w:cstheme="minorHAnsi"/>
        </w:rPr>
        <w:t>3</w:t>
      </w:r>
      <w:r>
        <w:rPr>
          <w:rFonts w:cstheme="minorHAnsi"/>
        </w:rPr>
        <w:t>）落实中小企业扶持政策的具体措施：</w:t>
      </w:r>
    </w:p>
    <w:p>
      <w:pPr>
        <w:ind w:firstLine="480" w:firstLineChars="200"/>
        <w:jc w:val="both"/>
        <w:rPr>
          <w:rFonts w:cstheme="minorHAnsi"/>
        </w:rPr>
      </w:pPr>
      <w:r>
        <w:rPr>
          <w:rFonts w:asciiTheme="minorEastAsia" w:hAnsiTheme="minorEastAsia" w:cstheme="minorHAnsi"/>
        </w:rPr>
        <w:t xml:space="preserve">① </w:t>
      </w:r>
      <w:r>
        <w:rPr>
          <w:rFonts w:cstheme="minorHAnsi"/>
        </w:rPr>
        <w:t>针对非专门面向中小企业的采购：根据《关于进一步加大政府采购支持中小企业力度的通知》（财库〔2022〕19号）的有关规定，货物服务采购项目给予小微企业的价格评审优惠幅度为10%~20%（</w:t>
      </w:r>
      <w:r>
        <w:rPr>
          <w:rFonts w:cstheme="minorHAnsi"/>
          <w:color w:val="C00000"/>
        </w:rPr>
        <w:t>具体扣除比例见本章「评审要素及分值一览表」</w:t>
      </w:r>
      <w:r>
        <w:rPr>
          <w:rFonts w:cstheme="minorHAnsi"/>
        </w:rPr>
        <w:t>），用扣除后的价格参加评审。未按要求提供《中小企业声明函》\《监狱企业证明函》\《残疾人福利性单位声明函》的，不能享受招标文件规定的价格扣除，但不影响投标文件的有效性。</w:t>
      </w:r>
    </w:p>
    <w:p>
      <w:pPr>
        <w:ind w:firstLine="480" w:firstLineChars="200"/>
        <w:jc w:val="both"/>
        <w:rPr>
          <w:rFonts w:cstheme="minorHAnsi"/>
        </w:rPr>
      </w:pPr>
      <w:r>
        <w:rPr>
          <w:rFonts w:asciiTheme="minorEastAsia" w:hAnsiTheme="minorEastAsia" w:cstheme="minorHAnsi"/>
        </w:rPr>
        <w:t xml:space="preserve">② </w:t>
      </w:r>
      <w:r>
        <w:rPr>
          <w:rFonts w:cstheme="minorHAnsi"/>
        </w:rPr>
        <w:t>针对专门面向中小企业的采购：仅限符合中小企业划分标准确定的中型企业、小型企业和微型企业参与。未按要求提供《中小企业声明函》\《监狱企业证明函》\《残疾人福利性单位声明函》的，投标无效。</w:t>
      </w:r>
    </w:p>
    <w:p>
      <w:pPr>
        <w:ind w:firstLine="480" w:firstLineChars="200"/>
        <w:jc w:val="both"/>
        <w:rPr>
          <w:rFonts w:cstheme="minorHAnsi"/>
        </w:rPr>
      </w:pPr>
      <w:r>
        <w:rPr>
          <w:rFonts w:asciiTheme="minorEastAsia" w:hAnsiTheme="minorEastAsia" w:cstheme="minorHAnsi"/>
        </w:rPr>
        <w:t xml:space="preserve">③ </w:t>
      </w:r>
      <w:r>
        <w:rPr>
          <w:rFonts w:cstheme="minorHAnsi"/>
        </w:rPr>
        <w:t>针对专门面向小型、微型企业的采购：仅限符合中小企业划分标准确定的小型企业、微型企业参与。未按要求提供《中小企业声明函》\《监狱企业证明函》\《残疾人福利性单位声明函》的，投标无效。</w:t>
      </w:r>
    </w:p>
    <w:p>
      <w:pPr>
        <w:ind w:firstLine="480" w:firstLineChars="200"/>
        <w:jc w:val="both"/>
        <w:rPr>
          <w:rFonts w:cstheme="minorHAnsi"/>
        </w:rPr>
      </w:pPr>
      <w:r>
        <w:rPr>
          <w:rFonts w:cstheme="minorHAnsi"/>
        </w:rPr>
        <w:t>（4）依据《政府采购促进中小企业发展管理办法》（财库〔2020〕46号）规定享受扶持政策获得政府采购合同的，小微企业不得将合同分包给大中型企业，中型企业不得将合同分包给大型企业。</w:t>
      </w:r>
    </w:p>
    <w:p>
      <w:pPr>
        <w:ind w:firstLine="480" w:firstLineChars="200"/>
        <w:jc w:val="both"/>
        <w:rPr>
          <w:rFonts w:cstheme="minorHAnsi"/>
          <w:b/>
          <w:color w:val="C00000"/>
        </w:rPr>
      </w:pPr>
      <w:r>
        <w:rPr>
          <w:rFonts w:hint="eastAsia" w:cstheme="minorHAnsi"/>
          <w:b/>
          <w:color w:val="C00000"/>
        </w:rPr>
        <w:t>2</w:t>
      </w:r>
      <w:r>
        <w:rPr>
          <w:rFonts w:hint="eastAsia" w:cstheme="minorHAnsi"/>
          <w:color w:val="C00000"/>
        </w:rPr>
        <w:t>．</w:t>
      </w:r>
      <w:r>
        <w:rPr>
          <w:rFonts w:hint="eastAsia" w:cstheme="minorHAnsi"/>
          <w:b/>
          <w:color w:val="C00000"/>
        </w:rPr>
        <w:t>节能、环保产品采购政策</w:t>
      </w:r>
    </w:p>
    <w:p>
      <w:pPr>
        <w:ind w:firstLine="480" w:firstLineChars="200"/>
        <w:jc w:val="both"/>
        <w:rPr>
          <w:rFonts w:cstheme="minorHAnsi"/>
        </w:rPr>
      </w:pPr>
      <w:r>
        <w:rPr>
          <w:rFonts w:hint="eastAsia" w:cstheme="minorHAnsi"/>
        </w:rPr>
        <w:t>（1）</w:t>
      </w:r>
      <w:r>
        <w:rPr>
          <w:rFonts w:cstheme="minorHAnsi"/>
        </w:rPr>
        <w:t>根据财政部、发展改革委、生态环境部、市场监管总局《关于调整优化节能产品、环境标志产品政府采购执行机制的通知》（财库〔2019〕9号）规定</w:t>
      </w:r>
      <w:r>
        <w:rPr>
          <w:rFonts w:hint="eastAsia" w:cstheme="minorHAnsi"/>
        </w:rPr>
        <w:t>“对政府采购节能产品、环境标志产品实施品目清单管理”。采购人拟采购的产品属于品目清单范围的，依据国家确定的认证机构出具的、处于有效期之内的节能产品、环境标志产品认证证书，对获得证书的产品实施政府</w:t>
      </w:r>
      <w:r>
        <w:rPr>
          <w:rFonts w:hint="eastAsia" w:cstheme="minorHAnsi"/>
          <w:color w:val="C00000"/>
        </w:rPr>
        <w:t>优先采购</w:t>
      </w:r>
      <w:r>
        <w:rPr>
          <w:rFonts w:hint="eastAsia" w:cstheme="minorHAnsi"/>
        </w:rPr>
        <w:t>或</w:t>
      </w:r>
      <w:r>
        <w:rPr>
          <w:rFonts w:hint="eastAsia" w:cstheme="minorHAnsi"/>
          <w:color w:val="C00000"/>
        </w:rPr>
        <w:t>强制采购</w:t>
      </w:r>
      <w:r>
        <w:rPr>
          <w:rFonts w:hint="eastAsia" w:cstheme="minorHAnsi"/>
        </w:rPr>
        <w:t>。</w:t>
      </w:r>
    </w:p>
    <w:p>
      <w:pPr>
        <w:ind w:firstLine="480" w:firstLineChars="200"/>
        <w:jc w:val="both"/>
        <w:rPr>
          <w:rFonts w:cstheme="minorHAnsi"/>
        </w:rPr>
      </w:pPr>
      <w:r>
        <w:rPr>
          <w:rFonts w:hint="eastAsia" w:cstheme="minorHAnsi"/>
        </w:rPr>
        <w:t>（2）对于已列入品目清单的产品类别，采购人可在采购需求中提出更高的节约资源和保护环境要求，对符合条件的获证产品给予优先待遇。对于未列入品目清单的产品类别，鼓励采购人综合考虑节能、节水、环保、循环、低碳、再生、有机等因素，参考相关国家标准、行业标准或团体标准，在采购需求中提出相关</w:t>
      </w:r>
      <w:r>
        <w:rPr>
          <w:rFonts w:hint="eastAsia" w:cstheme="minorHAnsi"/>
          <w:color w:val="C00000"/>
        </w:rPr>
        <w:t>绿色采购</w:t>
      </w:r>
      <w:r>
        <w:rPr>
          <w:rFonts w:hint="eastAsia" w:cstheme="minorHAnsi"/>
        </w:rPr>
        <w:t>要求，促进绿色产品推广应用。</w:t>
      </w:r>
    </w:p>
    <w:p>
      <w:pPr>
        <w:ind w:firstLine="480" w:firstLineChars="200"/>
        <w:jc w:val="both"/>
        <w:rPr>
          <w:rFonts w:cstheme="minorHAnsi"/>
        </w:rPr>
      </w:pPr>
      <w:r>
        <w:rPr>
          <w:rFonts w:hint="eastAsia" w:cstheme="minorHAnsi"/>
        </w:rPr>
        <w:t>（</w:t>
      </w:r>
      <w:r>
        <w:rPr>
          <w:rFonts w:cstheme="minorHAnsi"/>
        </w:rPr>
        <w:t>3</w:t>
      </w:r>
      <w:r>
        <w:rPr>
          <w:rFonts w:hint="eastAsia" w:cstheme="minorHAnsi"/>
        </w:rPr>
        <w:t>）《</w:t>
      </w:r>
      <w:r>
        <w:rPr>
          <w:rFonts w:cstheme="minorHAnsi"/>
        </w:rPr>
        <w:t>节能产品政府采购品目清单</w:t>
      </w:r>
      <w:r>
        <w:rPr>
          <w:rFonts w:hint="eastAsia" w:cstheme="minorHAnsi"/>
        </w:rPr>
        <w:t>》</w:t>
      </w:r>
      <w:r>
        <w:rPr>
          <w:rFonts w:cstheme="minorHAnsi"/>
        </w:rPr>
        <w:t>见财政部、发展改革委《关于印发节能产品政府采购品目清单的通知》（财库〔2019〕19号）</w:t>
      </w:r>
      <w:r>
        <w:rPr>
          <w:rFonts w:hint="eastAsia" w:cstheme="minorHAnsi"/>
        </w:rPr>
        <w:t>附件</w:t>
      </w:r>
      <w:r>
        <w:rPr>
          <w:rFonts w:cstheme="minorHAnsi"/>
        </w:rPr>
        <w:t>。</w:t>
      </w:r>
    </w:p>
    <w:p>
      <w:pPr>
        <w:ind w:firstLine="480" w:firstLineChars="200"/>
        <w:jc w:val="both"/>
        <w:rPr>
          <w:rFonts w:cstheme="minorHAnsi"/>
        </w:rPr>
      </w:pPr>
      <w:r>
        <w:rPr>
          <w:rFonts w:hint="eastAsia" w:cstheme="minorHAnsi"/>
        </w:rPr>
        <w:t>（</w:t>
      </w:r>
      <w:r>
        <w:rPr>
          <w:rFonts w:cstheme="minorHAnsi"/>
        </w:rPr>
        <w:t>4</w:t>
      </w:r>
      <w:r>
        <w:rPr>
          <w:rFonts w:hint="eastAsia" w:cstheme="minorHAnsi"/>
        </w:rPr>
        <w:t>）《</w:t>
      </w:r>
      <w:r>
        <w:rPr>
          <w:rFonts w:cstheme="minorHAnsi"/>
        </w:rPr>
        <w:t>环境标志产品政府采购品目清单</w:t>
      </w:r>
      <w:r>
        <w:rPr>
          <w:rFonts w:hint="eastAsia" w:cstheme="minorHAnsi"/>
        </w:rPr>
        <w:t>》</w:t>
      </w:r>
      <w:r>
        <w:rPr>
          <w:rFonts w:cstheme="minorHAnsi"/>
        </w:rPr>
        <w:t>见财政部、生态环境部《关于印发环境标志产品政府采购品目清单的通知》（财库〔2019〕18号）</w:t>
      </w:r>
      <w:r>
        <w:rPr>
          <w:rFonts w:hint="eastAsia" w:cstheme="minorHAnsi"/>
        </w:rPr>
        <w:t>附件</w:t>
      </w:r>
      <w:r>
        <w:rPr>
          <w:rFonts w:cstheme="minorHAnsi"/>
        </w:rPr>
        <w:t>。</w:t>
      </w:r>
    </w:p>
    <w:p>
      <w:pPr>
        <w:ind w:firstLine="480" w:firstLineChars="200"/>
        <w:jc w:val="both"/>
        <w:rPr>
          <w:rFonts w:cstheme="minorHAnsi"/>
        </w:rPr>
      </w:pPr>
      <w:r>
        <w:rPr>
          <w:rFonts w:hint="eastAsia" w:cstheme="minorHAnsi"/>
        </w:rPr>
        <w:t>（</w:t>
      </w:r>
      <w:r>
        <w:rPr>
          <w:rFonts w:cstheme="minorHAnsi"/>
        </w:rPr>
        <w:t>5</w:t>
      </w:r>
      <w:r>
        <w:rPr>
          <w:rFonts w:hint="eastAsia" w:cstheme="minorHAnsi"/>
        </w:rPr>
        <w:t>）“国家确定的认证机构”名单</w:t>
      </w:r>
      <w:r>
        <w:rPr>
          <w:rFonts w:cstheme="minorHAnsi"/>
        </w:rPr>
        <w:t>见市场监管总局《关于发布参与实施政府采购节能产品、环境标志产品认证机构名录的公告》（2019年第16号）。</w:t>
      </w:r>
    </w:p>
    <w:p>
      <w:pPr>
        <w:ind w:firstLine="480" w:firstLineChars="200"/>
        <w:jc w:val="both"/>
        <w:rPr>
          <w:rFonts w:cstheme="minorHAnsi"/>
        </w:rPr>
      </w:pPr>
      <w:r>
        <w:rPr>
          <w:rFonts w:cstheme="minorHAnsi"/>
          <w:b/>
          <w:color w:val="C00000"/>
        </w:rPr>
        <w:t>3</w:t>
      </w:r>
      <w:r>
        <w:rPr>
          <w:rFonts w:hint="eastAsia" w:cstheme="minorHAnsi"/>
          <w:color w:val="C00000"/>
        </w:rPr>
        <w:t>．</w:t>
      </w:r>
      <w:r>
        <w:rPr>
          <w:rFonts w:hint="eastAsia" w:cstheme="minorHAnsi"/>
          <w:b/>
          <w:color w:val="C00000"/>
        </w:rPr>
        <w:t>政府采购信用担保及信用融资政策</w:t>
      </w:r>
    </w:p>
    <w:p>
      <w:pPr>
        <w:ind w:firstLine="480" w:firstLineChars="200"/>
        <w:jc w:val="both"/>
        <w:rPr>
          <w:rFonts w:cstheme="minorHAnsi"/>
          <w:b/>
        </w:rPr>
      </w:pPr>
      <w:r>
        <w:rPr>
          <w:rFonts w:hint="eastAsia" w:cstheme="minorHAnsi"/>
          <w:b/>
        </w:rPr>
        <w:t>（</w:t>
      </w:r>
      <w:r>
        <w:rPr>
          <w:rFonts w:cstheme="minorHAnsi"/>
          <w:b/>
        </w:rPr>
        <w:t>1</w:t>
      </w:r>
      <w:r>
        <w:rPr>
          <w:rFonts w:hint="eastAsia" w:cstheme="minorHAnsi"/>
          <w:b/>
        </w:rPr>
        <w:t>）陕西省中小企业政府采购信用融资办法</w:t>
      </w:r>
    </w:p>
    <w:p>
      <w:pPr>
        <w:wordWrap w:val="0"/>
        <w:ind w:firstLine="480" w:firstLineChars="200"/>
        <w:jc w:val="both"/>
        <w:rPr>
          <w:rStyle w:val="33"/>
          <w:color w:val="0070C0"/>
        </w:rPr>
      </w:pPr>
      <w:r>
        <w:rPr>
          <w:rFonts w:hint="eastAsia" w:cstheme="minorBidi"/>
        </w:rPr>
        <w:t>根据《陕西省中小企业政府采购信用融资办法》（陕财办采〔</w:t>
      </w:r>
      <w:r>
        <w:rPr>
          <w:rFonts w:cstheme="minorBidi"/>
        </w:rPr>
        <w:t>2018</w:t>
      </w:r>
      <w:r>
        <w:rPr>
          <w:rFonts w:hint="eastAsia" w:cstheme="minorBidi"/>
        </w:rPr>
        <w:t>〕</w:t>
      </w:r>
      <w:r>
        <w:rPr>
          <w:rFonts w:cstheme="minorBidi"/>
        </w:rPr>
        <w:t>23</w:t>
      </w:r>
      <w:r>
        <w:rPr>
          <w:rFonts w:hint="eastAsia" w:cstheme="minorBidi"/>
        </w:rPr>
        <w:t>号，简称融资办法）及《陕西省财政厅关于加快推进我省中小企业政府采购信用融资工作的通知》（陕财办采〔</w:t>
      </w:r>
      <w:r>
        <w:rPr>
          <w:rFonts w:cstheme="minorBidi"/>
        </w:rPr>
        <w:t>2020</w:t>
      </w:r>
      <w:r>
        <w:rPr>
          <w:rFonts w:hint="eastAsia" w:cstheme="minorBidi"/>
        </w:rPr>
        <w:t>〕</w:t>
      </w:r>
      <w:r>
        <w:rPr>
          <w:rFonts w:cstheme="minorBidi"/>
        </w:rPr>
        <w:t>15</w:t>
      </w:r>
      <w:r>
        <w:rPr>
          <w:rFonts w:hint="eastAsia" w:cstheme="minorBidi"/>
        </w:rPr>
        <w:t>号），</w:t>
      </w:r>
      <w:r>
        <w:rPr>
          <w:rFonts w:hint="eastAsia" w:ascii="华文仿宋" w:hAnsi="华文仿宋" w:cs="华文仿宋"/>
        </w:rPr>
        <w:t>有融资需求的供应商可根据自身情况，在陕西省政府采购信用融资平台（含各市分平台）自主选择金融机构及其融资产品，凭政府采购中标（成交）通知书或政府采购合同向金融机构提出融资申请。陕西省政府采购信用融资平台：</w:t>
      </w:r>
      <w:r>
        <w:rPr>
          <w:rStyle w:val="33"/>
          <w:rFonts w:cstheme="minorHAnsi"/>
          <w:color w:val="0070C0"/>
        </w:rPr>
        <w:t>http://www.ccgp-shaanxi.gov.cn/zcdservice/zcd/shanxi/</w:t>
      </w:r>
    </w:p>
    <w:p>
      <w:pPr>
        <w:ind w:firstLine="480" w:firstLineChars="200"/>
        <w:jc w:val="both"/>
        <w:rPr>
          <w:b/>
        </w:rPr>
      </w:pPr>
      <w:r>
        <w:rPr>
          <w:rFonts w:hint="eastAsia" w:cstheme="minorHAnsi"/>
          <w:b/>
        </w:rPr>
        <w:t>（</w:t>
      </w:r>
      <w:r>
        <w:rPr>
          <w:rFonts w:cstheme="minorHAnsi"/>
          <w:b/>
        </w:rPr>
        <w:t>2</w:t>
      </w:r>
      <w:r>
        <w:rPr>
          <w:rFonts w:hint="eastAsia" w:cstheme="minorHAnsi"/>
          <w:b/>
        </w:rPr>
        <w:t>）</w:t>
      </w:r>
      <w:r>
        <w:rPr>
          <w:rFonts w:hint="eastAsia"/>
          <w:b/>
        </w:rPr>
        <w:t>西安市政府采购信用担保及信用融资政策</w:t>
      </w:r>
    </w:p>
    <w:p>
      <w:pPr>
        <w:wordWrap w:val="0"/>
        <w:ind w:firstLine="480" w:firstLineChars="200"/>
        <w:jc w:val="both"/>
      </w:pPr>
      <w:r>
        <w:rPr>
          <w:rFonts w:hint="eastAsia"/>
        </w:rPr>
        <w:t>根据西安市财政局《关于做好西安市政府采购信用融资工作的通知》（市财发〔</w:t>
      </w:r>
      <w:r>
        <w:t>2023</w:t>
      </w:r>
      <w:r>
        <w:rPr>
          <w:rFonts w:hint="eastAsia"/>
        </w:rPr>
        <w:t>〕</w:t>
      </w:r>
      <w:r>
        <w:t>1538</w:t>
      </w:r>
      <w:r>
        <w:rPr>
          <w:rFonts w:hint="eastAsia"/>
        </w:rPr>
        <w:t>号，链接地址：</w:t>
      </w:r>
      <w:r>
        <w:rPr>
          <w:rStyle w:val="33"/>
        </w:rPr>
        <w:t>http://xaczj.xa.gov.cn/ztzl/zfcg/cgfg/1707310573956952066.html</w:t>
      </w:r>
      <w:r>
        <w:rPr>
          <w:rFonts w:hint="eastAsia"/>
        </w:rPr>
        <w:t>）的规定，为有融资需求的中标（成交）中小企业提供政府采购信用融资及增信担保服务。政府采购信用融资方式分为线上和线下两种模式。</w:t>
      </w:r>
      <w:r>
        <w:t>1.</w:t>
      </w:r>
      <w:r>
        <w:rPr>
          <w:rFonts w:hint="eastAsia"/>
        </w:rPr>
        <w:t>线上模式。财政部门提供了两个电子操作平台，一个是陕西省政府采购综合管理平台的陕西省政府采购信用融资平台，另一个是中国人民银行征信中心应收账款融资服务平台（简称中征平台）。政府采购中标（成交）供应商和银行机构通过平台办理融资业务。</w:t>
      </w:r>
      <w:r>
        <w:t>2.</w:t>
      </w:r>
      <w:r>
        <w:rPr>
          <w:rFonts w:hint="eastAsia"/>
        </w:rPr>
        <w:t>线下模式。是采用书面形式进行确认的政府采购信用融资过程。</w:t>
      </w:r>
    </w:p>
    <w:p>
      <w:pPr>
        <w:pStyle w:val="4"/>
        <w:ind w:firstLine="482"/>
      </w:pPr>
      <w:r>
        <w:rPr>
          <w:rFonts w:hint="eastAsia"/>
        </w:rPr>
        <w:t>（六）</w:t>
      </w:r>
      <w:r>
        <w:t>关于同一品牌产品的处理</w:t>
      </w:r>
    </w:p>
    <w:p>
      <w:pPr>
        <w:wordWrap w:val="0"/>
        <w:ind w:firstLine="480" w:firstLineChars="200"/>
        <w:jc w:val="both"/>
        <w:rPr>
          <w:rFonts w:cstheme="minorBidi"/>
        </w:rPr>
      </w:pPr>
      <w:r>
        <w:rPr>
          <w:rFonts w:cstheme="minorBidi"/>
        </w:rPr>
        <w:t>1</w:t>
      </w:r>
      <w:r>
        <w:rPr>
          <w:rFonts w:hint="eastAsia" w:cstheme="minorHAnsi"/>
        </w:rPr>
        <w:t>．</w:t>
      </w:r>
      <w:r>
        <w:rPr>
          <w:rFonts w:cstheme="minorBidi"/>
        </w:rPr>
        <w:t>采用最低评标价法的采购项目，提供相同品牌产品的不同供应商参加同一合同项下投标的，以其中通过资格审查、符合性审查且报价最低的参加评标；报价相同的，由采购人或者采购人委托</w:t>
      </w:r>
      <w:r>
        <w:rPr>
          <w:rFonts w:hint="eastAsia" w:cstheme="minorBidi"/>
        </w:rPr>
        <w:t>评审</w:t>
      </w:r>
      <w:r>
        <w:rPr>
          <w:rFonts w:cstheme="minorBidi"/>
        </w:rPr>
        <w:t>委员会按照采购文件规定的方式确定一个参加评标的供应商，采购文件未规定的采取随机抽取方式确定，其他投标无效。</w:t>
      </w:r>
    </w:p>
    <w:p>
      <w:pPr>
        <w:wordWrap w:val="0"/>
        <w:ind w:firstLine="480" w:firstLineChars="200"/>
        <w:jc w:val="both"/>
        <w:rPr>
          <w:rFonts w:cstheme="minorBidi"/>
        </w:rPr>
      </w:pPr>
      <w:r>
        <w:rPr>
          <w:rFonts w:cstheme="minorBidi"/>
        </w:rPr>
        <w:t>2</w:t>
      </w:r>
      <w:r>
        <w:rPr>
          <w:rFonts w:hint="eastAsia" w:cstheme="minorHAnsi"/>
        </w:rPr>
        <w:t>．</w:t>
      </w:r>
      <w:r>
        <w:rPr>
          <w:rFonts w:cstheme="minorBidi"/>
        </w:rPr>
        <w:t>使用综合评分法的采购项目，提供相同品牌产品且通过资格审查、符合性审查的不同供应商参加同一合同项下投标的，按一家供应商计算，评审后得分最高的同品牌供应商获得中标供应商推荐资格；评审得分相同的，由采购人或者采购人委托</w:t>
      </w:r>
      <w:r>
        <w:rPr>
          <w:rFonts w:hint="eastAsia" w:cstheme="minorBidi"/>
        </w:rPr>
        <w:t>评审</w:t>
      </w:r>
      <w:r>
        <w:rPr>
          <w:rFonts w:cstheme="minorBidi"/>
        </w:rPr>
        <w:t>委员会按照采购文件规定的方式确定一个供应商获得中标供应商推荐资格，采购文件未规定的采取随机抽取方式确定，其他同品牌供应商不作为中标候选人。</w:t>
      </w:r>
    </w:p>
    <w:p>
      <w:pPr>
        <w:wordWrap w:val="0"/>
        <w:ind w:firstLine="480" w:firstLineChars="200"/>
        <w:jc w:val="both"/>
        <w:rPr>
          <w:rFonts w:cstheme="minorBidi"/>
        </w:rPr>
      </w:pPr>
      <w:r>
        <w:rPr>
          <w:rFonts w:cstheme="minorBidi"/>
        </w:rPr>
        <w:t>3</w:t>
      </w:r>
      <w:r>
        <w:rPr>
          <w:rFonts w:hint="eastAsia" w:cstheme="minorHAnsi"/>
        </w:rPr>
        <w:t>．</w:t>
      </w:r>
      <w:r>
        <w:rPr>
          <w:rFonts w:cstheme="minorBidi"/>
        </w:rPr>
        <w:t>非单一产品采购项目，采购人将根据采购项目技术构成、产品价格比重等因素确定核心产品（可能不止一种），并在采购文件中载明。多家供应商提供的核心产品有部分采用或全部采用相同品牌的，按一家供应商计算。</w:t>
      </w:r>
    </w:p>
    <w:p>
      <w:pPr>
        <w:pStyle w:val="4"/>
        <w:ind w:firstLine="482"/>
      </w:pPr>
      <w:r>
        <w:t>（七）</w:t>
      </w:r>
      <w:r>
        <w:rPr>
          <w:rFonts w:hint="eastAsia"/>
        </w:rPr>
        <w:t>关于</w:t>
      </w:r>
      <w:r>
        <w:t>知识产权和保密</w:t>
      </w:r>
      <w:r>
        <w:rPr>
          <w:rFonts w:hint="eastAsia"/>
        </w:rPr>
        <w:t>事项</w:t>
      </w:r>
    </w:p>
    <w:p>
      <w:pPr>
        <w:wordWrap w:val="0"/>
        <w:ind w:firstLine="480" w:firstLineChars="200"/>
        <w:jc w:val="both"/>
        <w:rPr>
          <w:rFonts w:cstheme="minorBidi"/>
        </w:rPr>
      </w:pPr>
      <w:r>
        <w:rPr>
          <w:rFonts w:cstheme="minorBidi"/>
        </w:rPr>
        <w:t>1</w:t>
      </w:r>
      <w:r>
        <w:rPr>
          <w:rFonts w:hint="eastAsia" w:cstheme="minorHAnsi"/>
        </w:rPr>
        <w:t>．</w:t>
      </w:r>
      <w:r>
        <w:rPr>
          <w:rFonts w:cstheme="minorBidi"/>
        </w:rPr>
        <w:t>所有涉及知识产权的产品及设计，供应商必须确保委托人、采购人拥有其合法的、不受限制的无偿使用权，并免受任何侵权诉讼或索偿</w:t>
      </w:r>
      <w:r>
        <w:rPr>
          <w:rFonts w:hint="eastAsia" w:cstheme="minorBidi"/>
        </w:rPr>
        <w:t>；</w:t>
      </w:r>
      <w:r>
        <w:rPr>
          <w:rFonts w:cstheme="minorBidi"/>
        </w:rPr>
        <w:t>否则，由此产生的一切经济损失和法律责任由供应商承担。</w:t>
      </w:r>
    </w:p>
    <w:p>
      <w:pPr>
        <w:wordWrap w:val="0"/>
        <w:ind w:firstLine="480" w:firstLineChars="200"/>
        <w:jc w:val="both"/>
        <w:rPr>
          <w:rFonts w:cstheme="minorBidi"/>
        </w:rPr>
      </w:pPr>
      <w:r>
        <w:rPr>
          <w:rFonts w:cstheme="minorBidi"/>
        </w:rPr>
        <w:t>2</w:t>
      </w:r>
      <w:r>
        <w:rPr>
          <w:rFonts w:hint="eastAsia" w:cstheme="minorHAnsi"/>
        </w:rPr>
        <w:t>．</w:t>
      </w:r>
      <w:r>
        <w:rPr>
          <w:rFonts w:cstheme="minorBidi"/>
        </w:rPr>
        <w:t>由采购人向供应商提供的用户需求书、图纸、样品、模型、模件和所有资料，供应商获得后，应对其保密。除非采购人同意，供应商不得向第三方透露或将其用于本次采购活动以外的任何用途。开标后，若采购人有要求，供应商人须归还采购人认为需保密的文件和资料，并销毁所有相应的备份文件及资料。</w:t>
      </w:r>
    </w:p>
    <w:p>
      <w:pPr>
        <w:pStyle w:val="4"/>
        <w:ind w:firstLine="482"/>
      </w:pPr>
      <w:r>
        <w:t>（八）关于信用记录的查询和使用</w:t>
      </w:r>
    </w:p>
    <w:p>
      <w:pPr>
        <w:ind w:firstLine="480" w:firstLineChars="200"/>
        <w:jc w:val="both"/>
        <w:rPr>
          <w:rFonts w:eastAsiaTheme="majorEastAsia" w:cstheme="minorHAnsi"/>
        </w:rPr>
      </w:pPr>
      <w:r>
        <w:rPr>
          <w:rFonts w:eastAsiaTheme="majorEastAsia" w:cstheme="minorHAnsi"/>
        </w:rPr>
        <w:t>1</w:t>
      </w:r>
      <w:r>
        <w:rPr>
          <w:rFonts w:hint="eastAsia" w:cstheme="minorHAnsi"/>
        </w:rPr>
        <w:t>．</w:t>
      </w:r>
      <w:r>
        <w:rPr>
          <w:rFonts w:eastAsiaTheme="majorEastAsia" w:cstheme="minorHAnsi"/>
        </w:rPr>
        <w:t>根据财政部《关于在政府采购活动中查询及使用信用记录有关问题的通知》（财库〔2016〕125号）</w:t>
      </w:r>
      <w:r>
        <w:rPr>
          <w:rFonts w:hint="eastAsia" w:eastAsiaTheme="majorEastAsia" w:cstheme="minorHAnsi"/>
        </w:rPr>
        <w:t>第二条有关要求</w:t>
      </w:r>
      <w:r>
        <w:rPr>
          <w:rFonts w:eastAsiaTheme="majorEastAsia" w:cstheme="minorHAnsi"/>
        </w:rPr>
        <w:t>，采购人将</w:t>
      </w:r>
      <w:r>
        <w:rPr>
          <w:rFonts w:eastAsiaTheme="majorEastAsia" w:cstheme="minorHAnsi"/>
          <w:color w:val="C00000"/>
        </w:rPr>
        <w:t>在资格审查阶段</w:t>
      </w:r>
      <w:r>
        <w:rPr>
          <w:rFonts w:eastAsiaTheme="majorEastAsia" w:cstheme="minorHAnsi"/>
        </w:rPr>
        <w:t>通过【信用中国】（</w:t>
      </w:r>
      <w:r>
        <w:fldChar w:fldCharType="begin"/>
      </w:r>
      <w:r>
        <w:instrText xml:space="preserve"> HYPERLINK "https://www.creditchina.gov.cn" </w:instrText>
      </w:r>
      <w:r>
        <w:fldChar w:fldCharType="separate"/>
      </w:r>
      <w:r>
        <w:rPr>
          <w:rStyle w:val="33"/>
          <w:rFonts w:eastAsiaTheme="majorEastAsia" w:cstheme="minorHAnsi"/>
          <w:color w:val="0070C0"/>
        </w:rPr>
        <w:t>https://www.creditchina.gov.cn</w:t>
      </w:r>
      <w:r>
        <w:rPr>
          <w:rStyle w:val="33"/>
          <w:rFonts w:eastAsiaTheme="majorEastAsia" w:cstheme="minorHAnsi"/>
          <w:color w:val="0070C0"/>
        </w:rPr>
        <w:fldChar w:fldCharType="end"/>
      </w:r>
      <w:r>
        <w:rPr>
          <w:rFonts w:eastAsiaTheme="majorEastAsia" w:cstheme="minorHAnsi"/>
          <w:color w:val="0070C0"/>
        </w:rPr>
        <w:t>/</w:t>
      </w:r>
      <w:r>
        <w:rPr>
          <w:rFonts w:eastAsiaTheme="majorEastAsia" w:cstheme="minorHAnsi"/>
        </w:rPr>
        <w:t>）和【中国政府采购网】（</w:t>
      </w:r>
      <w:r>
        <w:fldChar w:fldCharType="begin"/>
      </w:r>
      <w:r>
        <w:instrText xml:space="preserve"> HYPERLINK "http://www.ccgp.gov.cn/" </w:instrText>
      </w:r>
      <w:r>
        <w:fldChar w:fldCharType="separate"/>
      </w:r>
      <w:r>
        <w:rPr>
          <w:rStyle w:val="33"/>
          <w:rFonts w:eastAsiaTheme="majorEastAsia" w:cstheme="minorHAnsi"/>
          <w:color w:val="0070C0"/>
        </w:rPr>
        <w:t>http://www.ccgp.gov.cn/</w:t>
      </w:r>
      <w:r>
        <w:rPr>
          <w:rStyle w:val="33"/>
          <w:rFonts w:eastAsiaTheme="majorEastAsia" w:cstheme="minorHAnsi"/>
        </w:rPr>
        <w:t>）</w:t>
      </w:r>
      <w:r>
        <w:rPr>
          <w:rStyle w:val="33"/>
          <w:rFonts w:eastAsiaTheme="majorEastAsia" w:cstheme="minorHAnsi"/>
        </w:rPr>
        <w:fldChar w:fldCharType="end"/>
      </w:r>
      <w:r>
        <w:rPr>
          <w:rFonts w:eastAsiaTheme="majorEastAsia" w:cstheme="minorHAnsi"/>
        </w:rPr>
        <w:t>对供应商的信用情况进行甄别。</w:t>
      </w:r>
    </w:p>
    <w:p>
      <w:pPr>
        <w:ind w:firstLine="480" w:firstLineChars="200"/>
        <w:jc w:val="both"/>
        <w:rPr>
          <w:rFonts w:eastAsiaTheme="majorEastAsia" w:cstheme="minorHAnsi"/>
        </w:rPr>
      </w:pPr>
      <w:r>
        <w:rPr>
          <w:rFonts w:eastAsiaTheme="majorEastAsia" w:cstheme="minorHAnsi"/>
        </w:rPr>
        <w:t>2</w:t>
      </w:r>
      <w:r>
        <w:rPr>
          <w:rFonts w:hint="eastAsia" w:cstheme="minorHAnsi"/>
        </w:rPr>
        <w:t>．</w:t>
      </w:r>
      <w:r>
        <w:rPr>
          <w:rFonts w:eastAsiaTheme="majorEastAsia" w:cstheme="minorHAnsi"/>
        </w:rPr>
        <w:t>对列入失信被执行人、重大税收违法案件当事人名单、政府采购严重违法失信行为记录名单及其他不符合《中华人民共和国政府采购法》第二十二条规定条件的供应商，</w:t>
      </w:r>
      <w:r>
        <w:rPr>
          <w:rFonts w:hint="eastAsia" w:eastAsiaTheme="majorEastAsia" w:cstheme="minorHAnsi"/>
        </w:rPr>
        <w:t>将拒绝其参与政府采购活动</w:t>
      </w:r>
      <w:r>
        <w:rPr>
          <w:rFonts w:eastAsiaTheme="majorEastAsia" w:cstheme="minorHAnsi"/>
        </w:rPr>
        <w:t>。</w:t>
      </w:r>
    </w:p>
    <w:p>
      <w:pPr>
        <w:ind w:firstLine="480" w:firstLineChars="200"/>
        <w:jc w:val="both"/>
        <w:rPr>
          <w:rFonts w:eastAsiaTheme="majorEastAsia" w:cstheme="minorHAnsi"/>
        </w:rPr>
      </w:pPr>
      <w:r>
        <w:rPr>
          <w:rFonts w:eastAsiaTheme="majorEastAsia" w:cstheme="minorHAnsi"/>
        </w:rPr>
        <w:t>3</w:t>
      </w:r>
      <w:r>
        <w:rPr>
          <w:rFonts w:hint="eastAsia" w:cstheme="minorHAnsi"/>
        </w:rPr>
        <w:t>．</w:t>
      </w:r>
      <w:r>
        <w:rPr>
          <w:rFonts w:eastAsiaTheme="majorEastAsia" w:cstheme="minorHAnsi"/>
        </w:rPr>
        <w:t>供应商在参加政府采购活动前3年内因违法经营被禁止在一定期限内参加政府采购活动，期限届满的，可以参加政府采购活动的，但供应商应提供相关证明材料。</w:t>
      </w:r>
    </w:p>
    <w:p>
      <w:pPr>
        <w:ind w:firstLine="480" w:firstLineChars="200"/>
        <w:jc w:val="both"/>
        <w:rPr>
          <w:rFonts w:cstheme="minorBidi"/>
        </w:rPr>
      </w:pPr>
      <w:r>
        <w:rPr>
          <w:rFonts w:eastAsiaTheme="majorEastAsia" w:cstheme="minorHAnsi"/>
        </w:rPr>
        <w:t>4</w:t>
      </w:r>
      <w:r>
        <w:rPr>
          <w:rFonts w:hint="eastAsia" w:cstheme="minorHAnsi"/>
        </w:rPr>
        <w:t>．</w:t>
      </w:r>
      <w:r>
        <w:rPr>
          <w:rFonts w:hint="eastAsia" w:eastAsiaTheme="majorEastAsia" w:cstheme="minorHAnsi"/>
        </w:rPr>
        <w:t>信用记录</w:t>
      </w:r>
      <w:r>
        <w:rPr>
          <w:rFonts w:eastAsiaTheme="majorEastAsia" w:cstheme="minorHAnsi"/>
        </w:rPr>
        <w:t>查询</w:t>
      </w:r>
      <w:r>
        <w:rPr>
          <w:rFonts w:hint="eastAsia" w:eastAsiaTheme="majorEastAsia" w:cstheme="minorHAnsi"/>
        </w:rPr>
        <w:t>结果打印后，将与其他采购文件一并保存。</w:t>
      </w:r>
    </w:p>
    <w:p>
      <w:pPr>
        <w:pStyle w:val="4"/>
      </w:pPr>
      <w:r>
        <w:t>（九）</w:t>
      </w:r>
      <w:r>
        <w:rPr>
          <w:rFonts w:hint="eastAsia"/>
        </w:rPr>
        <w:t>关于现场踏勘和集中答疑</w:t>
      </w:r>
    </w:p>
    <w:p>
      <w:pPr>
        <w:ind w:firstLine="480" w:firstLineChars="200"/>
        <w:jc w:val="both"/>
      </w:pPr>
      <w:r>
        <w:rPr>
          <w:rFonts w:hint="eastAsia"/>
        </w:rPr>
        <w:t>本章「前附表」中载明组织现场踏勘或标前集中答疑活动的，各供应商应在招标文件约定的时间，派技术、预算等相关人员进行现场踏勘、参加标前集中答疑，需答疑的问题各供应商可以口头或书面形式做出。集中采购机构、采购人将共同对各供应商提出的问题进行答复，并对供应商书面提出的问题形成答疑纪要，在网上发布公告。答疑纪要与招标文件中不一致的内容，以答疑纪要为准。凡未参加现场踏勘或集中答疑的供应商，由此造成的偏差由各供应商自行负责。</w:t>
      </w:r>
    </w:p>
    <w:p>
      <w:pPr>
        <w:pStyle w:val="4"/>
      </w:pPr>
      <w:r>
        <w:t>（十）关于联合体</w:t>
      </w:r>
    </w:p>
    <w:p>
      <w:pPr>
        <w:ind w:firstLine="480" w:firstLineChars="200"/>
        <w:jc w:val="both"/>
      </w:pPr>
      <w:r>
        <w:rPr>
          <w:rFonts w:hint="eastAsia"/>
        </w:rPr>
        <w:t>1．本章「前附表」中明确注明接受联合体的，两个以上的自然人、法人或者其他组织可以组成一个联合体，以一个供应商的身份共同参加政府采购。联合体各方均为中小企业的，联合体视同中小企业。其中，联合体各方均为小微企业的，联合体视同小微企业。</w:t>
      </w:r>
    </w:p>
    <w:p>
      <w:pPr>
        <w:ind w:firstLine="480" w:firstLineChars="200"/>
        <w:jc w:val="both"/>
      </w:pPr>
      <w:r>
        <w:rPr>
          <w:rFonts w:hint="eastAsia"/>
        </w:rPr>
        <w:t>2．联合协议及牵头方：联合体各方之间应当签订联合协议，明确载明各方承担的工作和义务，并由各方共同签署。联合协议必须指定牵头方，授权其代表所有联合体成员负责投</w:t>
      </w:r>
      <w:r>
        <w:rPr>
          <w:rFonts w:hint="eastAsia"/>
          <w:w w:val="1"/>
        </w:rPr>
        <w:t>　</w:t>
      </w:r>
      <w:r>
        <w:rPr>
          <w:rFonts w:hint="eastAsia"/>
        </w:rPr>
        <w:t>标和合同实施阶段的主办、组织和协调工作。联合体提交的投标文件、澄清、说明或补正由联合体牵头方的法定代表人（负责人）或其授权的代表签字或盖章（采购文件另有约定的从其约定），并对联合体各方负责。联合协议作为资格证明文件的一部分，随投标文件一并提交；进行资格预审的项目，联合协议应当在提交资格预审申请文件时一并提交。</w:t>
      </w:r>
    </w:p>
    <w:p>
      <w:pPr>
        <w:ind w:firstLine="480" w:firstLineChars="200"/>
        <w:jc w:val="both"/>
      </w:pPr>
      <w:r>
        <w:t>3</w:t>
      </w:r>
      <w:r>
        <w:rPr>
          <w:rFonts w:hint="eastAsia"/>
        </w:rPr>
        <w:t>．联合体资质：以联合体形式参加政府采购活动的，联合体各方均应当具备《政府采购法》第二十二条规定的基本条件。采购人根据项目特点设定的特定资格条件，按照联合协议承担特定工作的供应商应满足对应的资质要求；联合体中有同类资质的供应商按照联合体分工承担相同工作的，按照资质等级较低的供应商确定资质等级。</w:t>
      </w:r>
    </w:p>
    <w:p>
      <w:pPr>
        <w:ind w:firstLine="480" w:firstLineChars="200"/>
        <w:jc w:val="both"/>
      </w:pPr>
      <w:r>
        <w:t>4</w:t>
      </w:r>
      <w:r>
        <w:rPr>
          <w:rFonts w:hint="eastAsia"/>
        </w:rPr>
        <w:t>．联合体信用记录：资格审查时，将对所有联合体成员进行信用记录查询，联合体成员存在不良信用记录的，视同联合体存在不良信用记录。</w:t>
      </w:r>
    </w:p>
    <w:p>
      <w:pPr>
        <w:ind w:firstLine="480" w:firstLineChars="200"/>
        <w:jc w:val="both"/>
      </w:pPr>
      <w:r>
        <w:rPr>
          <w:rFonts w:hint="eastAsia"/>
        </w:rPr>
        <w:t>5．商务响应的评审：采购项目以业绩、奖项作为加分或中标条件时，联合体成员中只要有一方具有相应的业绩、奖项即可。联合体成员间出现同一业绩或同一奖项的，不重复计算。</w:t>
      </w:r>
    </w:p>
    <w:p>
      <w:pPr>
        <w:ind w:firstLine="480" w:firstLineChars="200"/>
        <w:jc w:val="both"/>
      </w:pPr>
      <w:r>
        <w:rPr>
          <w:rFonts w:hint="eastAsia"/>
        </w:rPr>
        <w:t>6．联合体可享受的中小企业优惠政策：</w:t>
      </w:r>
    </w:p>
    <w:p>
      <w:pPr>
        <w:ind w:firstLine="480" w:firstLineChars="200"/>
        <w:jc w:val="both"/>
      </w:pPr>
      <w:r>
        <w:rPr>
          <w:rFonts w:hint="eastAsia"/>
        </w:rPr>
        <w:t>（1）对于预留份额专门面向中小企业的采购项目（或采购包），以联合体形式参加采购活动的，联合体中中小企业承担的部分应达到采购文件规定的比例。组成联合体的</w:t>
      </w:r>
      <w:r>
        <w:rPr>
          <w:rFonts w:hint="eastAsia"/>
          <w:color w:val="C00000"/>
        </w:rPr>
        <w:t>中小企业</w:t>
      </w:r>
      <w:r>
        <w:rPr>
          <w:rFonts w:hint="eastAsia"/>
        </w:rPr>
        <w:t>与联合体内其他企业之间存在直接控股、管理关系的，投标无效。</w:t>
      </w:r>
    </w:p>
    <w:p>
      <w:pPr>
        <w:ind w:firstLine="480" w:firstLineChars="200"/>
        <w:jc w:val="both"/>
      </w:pPr>
      <w:r>
        <w:rPr>
          <w:rFonts w:hint="eastAsia"/>
        </w:rPr>
        <w:t>（2）对于未预留份额专门面向中小企业采购的采购项目，以及预留份额项目中的非预留部分采购包，当联合协议中约定小微企业的合同份额占到合同总金额30%以上时，根据《关于进一步加大政府采购支持中小企业力度的通知》（财库〔2022〕19号）第二条规定对联合体或者大中型企业的报价给予4%-6%（工程项目为1%-2%）的扣除，用扣除后的价格参加评审。组成联合体</w:t>
      </w:r>
      <w:r>
        <w:rPr>
          <w:rFonts w:hint="eastAsia"/>
          <w:color w:val="C00000"/>
        </w:rPr>
        <w:t>小微企业</w:t>
      </w:r>
      <w:r>
        <w:rPr>
          <w:rFonts w:hint="eastAsia"/>
        </w:rPr>
        <w:t>与联合体内其他企业、分包企业之间存在直接控股、管理关系的，不享受价格扣除优惠政策。</w:t>
      </w:r>
    </w:p>
    <w:p>
      <w:pPr>
        <w:ind w:firstLine="480" w:firstLineChars="200"/>
        <w:jc w:val="both"/>
      </w:pPr>
      <w:r>
        <w:rPr>
          <w:rFonts w:hint="eastAsia"/>
        </w:rPr>
        <w:t>7．联合体出现下列情形之一的，投标无效：</w:t>
      </w:r>
    </w:p>
    <w:p>
      <w:pPr>
        <w:ind w:firstLine="480" w:firstLineChars="200"/>
        <w:jc w:val="both"/>
      </w:pPr>
      <w:r>
        <w:rPr>
          <w:rFonts w:hint="eastAsia"/>
        </w:rPr>
        <w:t>（1）联合体没有提交有效的联合协议的；</w:t>
      </w:r>
    </w:p>
    <w:p>
      <w:pPr>
        <w:ind w:firstLine="480" w:firstLineChars="200"/>
        <w:jc w:val="both"/>
      </w:pPr>
      <w:r>
        <w:rPr>
          <w:rFonts w:hint="eastAsia"/>
        </w:rPr>
        <w:t>（2）进行资格预审的项目，资格预审后联合体增减、更换成员的；</w:t>
      </w:r>
    </w:p>
    <w:p>
      <w:pPr>
        <w:ind w:firstLine="480" w:firstLineChars="200"/>
        <w:jc w:val="both"/>
      </w:pPr>
      <w:r>
        <w:rPr>
          <w:rFonts w:hint="eastAsia"/>
        </w:rPr>
        <w:t>（3）联合协议签订后，联合体成员单独参加或者与其他供应商另外组成联合体参加同一合同项下的政府采购活动的。</w:t>
      </w:r>
    </w:p>
    <w:p>
      <w:pPr>
        <w:pStyle w:val="4"/>
        <w:ind w:firstLine="482"/>
      </w:pPr>
      <w:r>
        <w:t>（十一）</w:t>
      </w:r>
      <w:r>
        <w:rPr>
          <w:rFonts w:hint="eastAsia"/>
        </w:rPr>
        <w:t>其他重要</w:t>
      </w:r>
      <w:r>
        <w:t>事项</w:t>
      </w:r>
    </w:p>
    <w:p>
      <w:pPr>
        <w:wordWrap w:val="0"/>
        <w:ind w:firstLine="480" w:firstLineChars="200"/>
        <w:jc w:val="both"/>
        <w:rPr>
          <w:rFonts w:cstheme="minorBidi"/>
        </w:rPr>
      </w:pPr>
      <w:r>
        <w:rPr>
          <w:rFonts w:cstheme="minorBidi"/>
        </w:rPr>
        <w:t>1</w:t>
      </w:r>
      <w:r>
        <w:rPr>
          <w:rFonts w:hint="eastAsia" w:cstheme="minorHAnsi"/>
        </w:rPr>
        <w:t>．</w:t>
      </w:r>
      <w:r>
        <w:rPr>
          <w:rFonts w:cstheme="minorBidi"/>
        </w:rPr>
        <w:t>招标文件</w:t>
      </w:r>
      <w:r>
        <w:rPr>
          <w:rFonts w:hint="eastAsia" w:cstheme="minorBidi"/>
        </w:rPr>
        <w:t>内</w:t>
      </w:r>
      <w:r>
        <w:rPr>
          <w:rFonts w:cstheme="minorBidi"/>
        </w:rPr>
        <w:t>所</w:t>
      </w:r>
      <w:r>
        <w:rPr>
          <w:rFonts w:hint="eastAsia" w:cstheme="minorBidi"/>
        </w:rPr>
        <w:t>附</w:t>
      </w:r>
      <w:r>
        <w:rPr>
          <w:rFonts w:cstheme="minorBidi"/>
        </w:rPr>
        <w:t>网络链接仅供参考，</w:t>
      </w:r>
      <w:r>
        <w:rPr>
          <w:rFonts w:hint="eastAsia" w:cstheme="minorBidi"/>
        </w:rPr>
        <w:t>不</w:t>
      </w:r>
      <w:r>
        <w:rPr>
          <w:rFonts w:cstheme="minorBidi"/>
        </w:rPr>
        <w:t>保证其长期有效性。</w:t>
      </w:r>
    </w:p>
    <w:p>
      <w:pPr>
        <w:wordWrap w:val="0"/>
        <w:ind w:firstLine="480" w:firstLineChars="200"/>
        <w:jc w:val="both"/>
        <w:rPr>
          <w:rFonts w:cstheme="minorBidi"/>
        </w:rPr>
      </w:pPr>
      <w:r>
        <w:rPr>
          <w:rFonts w:hint="eastAsia" w:cstheme="minorBidi"/>
        </w:rPr>
        <w:t>2</w:t>
      </w:r>
      <w:r>
        <w:rPr>
          <w:rFonts w:hint="eastAsia" w:cstheme="minorHAnsi"/>
        </w:rPr>
        <w:t>．</w:t>
      </w:r>
      <w:r>
        <w:rPr>
          <w:rFonts w:cstheme="minorBidi"/>
        </w:rPr>
        <w:t>供应商参加本次采购活动的费用自理</w:t>
      </w:r>
      <w:r>
        <w:rPr>
          <w:rFonts w:hint="eastAsia" w:cstheme="minorBidi"/>
        </w:rPr>
        <w:t>。</w:t>
      </w:r>
    </w:p>
    <w:p>
      <w:pPr>
        <w:pStyle w:val="3"/>
      </w:pPr>
      <w:r>
        <w:t>三、招标文件</w:t>
      </w:r>
    </w:p>
    <w:p>
      <w:pPr>
        <w:pStyle w:val="4"/>
        <w:ind w:firstLine="482"/>
      </w:pPr>
      <w:r>
        <w:t>（一）招标</w:t>
      </w:r>
      <w:r>
        <w:rPr>
          <w:rFonts w:hint="eastAsia"/>
        </w:rPr>
        <w:t>文件的解释权</w:t>
      </w:r>
    </w:p>
    <w:p>
      <w:pPr>
        <w:ind w:firstLine="480" w:firstLineChars="200"/>
        <w:jc w:val="both"/>
        <w:rPr>
          <w:rFonts w:cstheme="minorHAnsi"/>
        </w:rPr>
      </w:pPr>
      <w:r>
        <w:rPr>
          <w:rFonts w:cstheme="minorHAnsi"/>
        </w:rPr>
        <w:t>本项目招标文件的解释权</w:t>
      </w:r>
      <w:r>
        <w:rPr>
          <w:rFonts w:hint="eastAsia" w:cstheme="minorHAnsi"/>
        </w:rPr>
        <w:t>归采购代理机构，评标委员会成员应根据政府采购法律法规和招标文件所载明的评审方法、标准进行评审。</w:t>
      </w:r>
    </w:p>
    <w:p>
      <w:pPr>
        <w:pStyle w:val="4"/>
        <w:ind w:firstLine="482"/>
      </w:pPr>
      <w:r>
        <w:t>（二）招标文件主要内容</w:t>
      </w:r>
    </w:p>
    <w:p>
      <w:pPr>
        <w:ind w:firstLine="480" w:firstLineChars="200"/>
        <w:jc w:val="both"/>
        <w:rPr>
          <w:rFonts w:cstheme="minorHAnsi"/>
        </w:rPr>
      </w:pPr>
      <w:r>
        <w:rPr>
          <w:rFonts w:cstheme="minorHAnsi"/>
        </w:rPr>
        <w:t>第</w:t>
      </w:r>
      <w:r>
        <w:rPr>
          <w:rFonts w:hint="eastAsia" w:cstheme="minorHAnsi"/>
          <w:b/>
        </w:rPr>
        <w:t>1</w:t>
      </w:r>
      <w:r>
        <w:rPr>
          <w:rFonts w:cstheme="minorHAnsi"/>
        </w:rPr>
        <w:t>章</w:t>
      </w:r>
      <w:r>
        <w:rPr>
          <w:rFonts w:hint="eastAsia" w:cstheme="minorHAnsi"/>
        </w:rPr>
        <w:t>　</w:t>
      </w:r>
      <w:r>
        <w:rPr>
          <w:rFonts w:cstheme="minorHAnsi"/>
        </w:rPr>
        <w:t>投标邀请函</w:t>
      </w:r>
    </w:p>
    <w:p>
      <w:pPr>
        <w:ind w:firstLine="480" w:firstLineChars="200"/>
        <w:jc w:val="both"/>
        <w:rPr>
          <w:rFonts w:cstheme="minorHAnsi"/>
        </w:rPr>
      </w:pPr>
      <w:r>
        <w:rPr>
          <w:rFonts w:cstheme="minorHAnsi"/>
        </w:rPr>
        <w:t>第</w:t>
      </w:r>
      <w:r>
        <w:rPr>
          <w:rFonts w:hint="eastAsia" w:cstheme="minorHAnsi"/>
          <w:b/>
        </w:rPr>
        <w:t>2</w:t>
      </w:r>
      <w:r>
        <w:rPr>
          <w:rFonts w:cstheme="minorHAnsi"/>
        </w:rPr>
        <w:t>章</w:t>
      </w:r>
      <w:r>
        <w:rPr>
          <w:rFonts w:hint="eastAsia" w:cstheme="minorHAnsi"/>
        </w:rPr>
        <w:t>　</w:t>
      </w:r>
      <w:r>
        <w:rPr>
          <w:rFonts w:cstheme="minorHAnsi"/>
        </w:rPr>
        <w:t>供应商须知</w:t>
      </w:r>
    </w:p>
    <w:p>
      <w:pPr>
        <w:ind w:firstLine="480" w:firstLineChars="200"/>
        <w:jc w:val="both"/>
        <w:rPr>
          <w:rFonts w:cstheme="minorHAnsi"/>
        </w:rPr>
      </w:pPr>
      <w:r>
        <w:rPr>
          <w:rFonts w:cstheme="minorHAnsi"/>
        </w:rPr>
        <w:t>第</w:t>
      </w:r>
      <w:r>
        <w:rPr>
          <w:rFonts w:hint="eastAsia" w:cstheme="minorHAnsi"/>
          <w:b/>
        </w:rPr>
        <w:t>3</w:t>
      </w:r>
      <w:r>
        <w:rPr>
          <w:rFonts w:cstheme="minorHAnsi"/>
        </w:rPr>
        <w:t>章</w:t>
      </w:r>
      <w:r>
        <w:rPr>
          <w:rFonts w:hint="eastAsia" w:cstheme="minorHAnsi"/>
        </w:rPr>
        <w:t>　</w:t>
      </w:r>
      <w:r>
        <w:rPr>
          <w:rFonts w:cstheme="minorHAnsi"/>
        </w:rPr>
        <w:t>招标内容及要求</w:t>
      </w:r>
    </w:p>
    <w:p>
      <w:pPr>
        <w:ind w:firstLine="480" w:firstLineChars="200"/>
        <w:jc w:val="both"/>
        <w:rPr>
          <w:rFonts w:cstheme="minorHAnsi"/>
        </w:rPr>
      </w:pPr>
      <w:r>
        <w:rPr>
          <w:rFonts w:cstheme="minorHAnsi"/>
        </w:rPr>
        <w:t>第</w:t>
      </w:r>
      <w:r>
        <w:rPr>
          <w:rFonts w:hint="eastAsia" w:cstheme="minorHAnsi"/>
          <w:b/>
        </w:rPr>
        <w:t>4</w:t>
      </w:r>
      <w:r>
        <w:rPr>
          <w:rFonts w:cstheme="minorHAnsi"/>
        </w:rPr>
        <w:t>章</w:t>
      </w:r>
      <w:r>
        <w:rPr>
          <w:rFonts w:hint="eastAsia" w:cstheme="minorHAnsi"/>
        </w:rPr>
        <w:t>　</w:t>
      </w:r>
      <w:r>
        <w:rPr>
          <w:rFonts w:cstheme="minorHAnsi"/>
        </w:rPr>
        <w:t>合同文本</w:t>
      </w:r>
    </w:p>
    <w:p>
      <w:pPr>
        <w:ind w:firstLine="480" w:firstLineChars="200"/>
        <w:jc w:val="both"/>
        <w:rPr>
          <w:rFonts w:cstheme="minorHAnsi"/>
        </w:rPr>
      </w:pPr>
      <w:r>
        <w:rPr>
          <w:rFonts w:cstheme="minorHAnsi"/>
        </w:rPr>
        <w:t>第</w:t>
      </w:r>
      <w:r>
        <w:rPr>
          <w:rFonts w:hint="eastAsia" w:cstheme="minorHAnsi"/>
          <w:b/>
        </w:rPr>
        <w:t>5</w:t>
      </w:r>
      <w:r>
        <w:rPr>
          <w:rFonts w:cstheme="minorHAnsi"/>
        </w:rPr>
        <w:t>章</w:t>
      </w:r>
      <w:r>
        <w:rPr>
          <w:rFonts w:hint="eastAsia" w:cstheme="minorHAnsi"/>
        </w:rPr>
        <w:t>　</w:t>
      </w:r>
      <w:r>
        <w:rPr>
          <w:rFonts w:cstheme="minorHAnsi"/>
        </w:rPr>
        <w:t>投标文件构成及格式</w:t>
      </w:r>
    </w:p>
    <w:p>
      <w:pPr>
        <w:pStyle w:val="4"/>
        <w:ind w:firstLine="482"/>
      </w:pPr>
      <w:r>
        <w:t>（三）招标文件的检查及阅读</w:t>
      </w:r>
    </w:p>
    <w:p>
      <w:pPr>
        <w:ind w:firstLine="480" w:firstLineChars="200"/>
        <w:jc w:val="both"/>
        <w:rPr>
          <w:rFonts w:cstheme="minorHAnsi"/>
        </w:rPr>
      </w:pPr>
      <w:r>
        <w:rPr>
          <w:rFonts w:cstheme="minorHAnsi"/>
        </w:rPr>
        <w:t>供应商应认真阅读和充分理解招标文件中所有的事项、格式条款和规范要求，在投标文件中对招标文件做出全面响</w:t>
      </w:r>
      <w:r>
        <w:rPr>
          <w:rFonts w:cstheme="minorHAnsi"/>
          <w:w w:val="1"/>
        </w:rPr>
        <w:t xml:space="preserve"> </w:t>
      </w:r>
      <w:r>
        <w:rPr>
          <w:rFonts w:cstheme="minorHAnsi"/>
        </w:rPr>
        <w:t>应，并按招标文件的要求提交全部资料。</w:t>
      </w:r>
    </w:p>
    <w:p>
      <w:pPr>
        <w:ind w:firstLine="480" w:firstLineChars="200"/>
        <w:jc w:val="both"/>
        <w:rPr>
          <w:rFonts w:cstheme="minorHAnsi"/>
        </w:rPr>
      </w:pPr>
      <w:r>
        <w:rPr>
          <w:rFonts w:cstheme="minorHAnsi"/>
        </w:rPr>
        <w:t>项目废标后重新组织招标的，采购代理机构将重新编制、发布新的招标文件，供应商应按新版招标文件重新编制投标文件。原招标文件及投标文件失效。</w:t>
      </w:r>
    </w:p>
    <w:p>
      <w:pPr>
        <w:pStyle w:val="4"/>
        <w:ind w:firstLine="482"/>
      </w:pPr>
      <w:r>
        <w:t>（四）招标文件的修改、澄清</w:t>
      </w:r>
    </w:p>
    <w:p>
      <w:pPr>
        <w:ind w:firstLine="480" w:firstLineChars="200"/>
        <w:jc w:val="both"/>
        <w:rPr>
          <w:rFonts w:cstheme="minorHAnsi"/>
        </w:rPr>
      </w:pPr>
      <w:r>
        <w:rPr>
          <w:rFonts w:hint="eastAsia" w:cstheme="minorHAnsi"/>
        </w:rPr>
        <w:t>1．提交投标文件截止之日前，采购人或采购代理机构可能对已发出的招标文件进行澄清或者修改，</w:t>
      </w:r>
      <w:r>
        <w:rPr>
          <w:rFonts w:cstheme="minorHAnsi"/>
        </w:rPr>
        <w:t>澄清或者修改的内容为招标文件的组成部分。</w:t>
      </w:r>
    </w:p>
    <w:p>
      <w:pPr>
        <w:ind w:firstLine="480" w:firstLineChars="200"/>
        <w:jc w:val="both"/>
        <w:rPr>
          <w:rFonts w:cstheme="minorHAnsi"/>
        </w:rPr>
      </w:pPr>
      <w:r>
        <w:rPr>
          <w:rFonts w:hint="eastAsia" w:cstheme="minorHAnsi"/>
        </w:rPr>
        <w:t>2．澄清或者修改的内容可能影响投标文件编制的，采购人或者采购代理机构将在投标截止时间至少15日前，在原公告发布媒体上发布澄清公告；不足15日的，采购人或者采购代理机构将顺延提交投标文件的截止时间。</w:t>
      </w:r>
    </w:p>
    <w:p>
      <w:pPr>
        <w:ind w:firstLine="480" w:firstLineChars="200"/>
        <w:jc w:val="both"/>
        <w:rPr>
          <w:rFonts w:cstheme="minorHAnsi"/>
        </w:rPr>
      </w:pPr>
      <w:r>
        <w:rPr>
          <w:rFonts w:hint="eastAsia" w:cstheme="minorHAnsi"/>
        </w:rPr>
        <w:t>3．澄清或修改的内容可能影响投标文件编制时，采购代理机构将在发布变更公告的同时，提醒供应商下载</w:t>
      </w:r>
      <w:r>
        <w:rPr>
          <w:rFonts w:cstheme="minorHAnsi"/>
        </w:rPr>
        <w:t>答疑文件（*.SXSCF，即更新后的电子招标文件）。</w:t>
      </w:r>
      <w:r>
        <w:rPr>
          <w:rFonts w:hint="eastAsia" w:cstheme="minorHAnsi"/>
        </w:rPr>
        <w:t>供应商应及时从西安市公共资源交易平台〖首页</w:t>
      </w:r>
      <w:r>
        <w:rPr>
          <w:rFonts w:cstheme="minorHAnsi"/>
        </w:rPr>
        <w:t>·</w:t>
      </w:r>
      <w:r>
        <w:rPr>
          <w:rFonts w:hint="eastAsia" w:cstheme="minorHAnsi"/>
        </w:rPr>
        <w:t>〉电子交易平台</w:t>
      </w:r>
      <w:r>
        <w:rPr>
          <w:rFonts w:cstheme="minorHAnsi"/>
        </w:rPr>
        <w:t>·</w:t>
      </w:r>
      <w:r>
        <w:rPr>
          <w:rFonts w:hint="eastAsia" w:cstheme="minorHAnsi"/>
        </w:rPr>
        <w:t>〉</w:t>
      </w:r>
      <w:r>
        <w:t>陕西政府采购交易系统·〉</w:t>
      </w:r>
      <w:r>
        <w:rPr>
          <w:rFonts w:hint="eastAsia" w:cstheme="minorHAnsi"/>
        </w:rPr>
        <w:t>企业端〗登录，登录后切换到〖我的项目〗模块，从〖项目流程</w:t>
      </w:r>
      <w:r>
        <w:rPr>
          <w:rFonts w:cstheme="minorHAnsi"/>
        </w:rPr>
        <w:t>·</w:t>
      </w:r>
      <w:r>
        <w:rPr>
          <w:rFonts w:hint="eastAsia" w:cstheme="minorHAnsi"/>
        </w:rPr>
        <w:t>〉项目管理</w:t>
      </w:r>
      <w:r>
        <w:rPr>
          <w:rFonts w:cstheme="minorHAnsi"/>
        </w:rPr>
        <w:t>·</w:t>
      </w:r>
      <w:r>
        <w:rPr>
          <w:rFonts w:hint="eastAsia" w:cstheme="minorHAnsi"/>
        </w:rPr>
        <w:t>〉答疑文件下载〗获取更新后的电子招标文件（*.SXSCF），使用旧版电子招标文件制作的电子投标文件（*.SXSTF），系统将拒绝接收。</w:t>
      </w:r>
    </w:p>
    <w:p>
      <w:pPr>
        <w:ind w:firstLine="480" w:firstLineChars="200"/>
        <w:jc w:val="both"/>
      </w:pPr>
      <w:r>
        <w:rPr>
          <w:rFonts w:cstheme="minorHAnsi"/>
        </w:rPr>
        <w:t>4</w:t>
      </w:r>
      <w:r>
        <w:rPr>
          <w:rFonts w:hint="eastAsia" w:cstheme="minorHAnsi"/>
        </w:rPr>
        <w:t>．</w:t>
      </w:r>
      <w:r>
        <w:rPr>
          <w:color w:val="C00000"/>
        </w:rPr>
        <w:t>请各供应商在提交投标文件截止时间之前，务必随时关注</w:t>
      </w:r>
      <w:r>
        <w:rPr>
          <w:rFonts w:hint="eastAsia"/>
          <w:color w:val="C00000"/>
        </w:rPr>
        <w:t>“</w:t>
      </w:r>
      <w:r>
        <w:rPr>
          <w:rFonts w:hint="eastAsia"/>
          <w:color w:val="7030A0"/>
        </w:rPr>
        <w:t>政府采购信息发布媒体</w:t>
      </w:r>
      <w:r>
        <w:rPr>
          <w:rFonts w:hint="eastAsia"/>
          <w:color w:val="C00000"/>
        </w:rPr>
        <w:t>”上</w:t>
      </w:r>
      <w:r>
        <w:rPr>
          <w:color w:val="C00000"/>
        </w:rPr>
        <w:t>发布的变更公告，采购代理机构不再另行通知，因供应商未及时关注所造成的一切后果由供应商自行承担</w:t>
      </w:r>
      <w:r>
        <w:t>：</w:t>
      </w:r>
    </w:p>
    <w:p>
      <w:pPr>
        <w:ind w:firstLine="480" w:firstLineChars="200"/>
        <w:jc w:val="both"/>
      </w:pPr>
      <w:r>
        <w:t>（1）【</w:t>
      </w:r>
      <w:r>
        <w:fldChar w:fldCharType="begin"/>
      </w:r>
      <w:r>
        <w:instrText xml:space="preserve"> HYPERLINK "http://www.ccgp-shaanxi.gov.cn" </w:instrText>
      </w:r>
      <w:r>
        <w:fldChar w:fldCharType="separate"/>
      </w:r>
      <w:r>
        <w:t>陕西省政府采购网</w:t>
      </w:r>
      <w:r>
        <w:fldChar w:fldCharType="end"/>
      </w:r>
      <w:r>
        <w:t>】（</w:t>
      </w:r>
      <w:r>
        <w:fldChar w:fldCharType="begin"/>
      </w:r>
      <w:r>
        <w:instrText xml:space="preserve"> HYPERLINK "http://www.ccgp-shaanxi.gov.cn/" </w:instrText>
      </w:r>
      <w:r>
        <w:fldChar w:fldCharType="separate"/>
      </w:r>
      <w:r>
        <w:rPr>
          <w:rStyle w:val="33"/>
          <w:color w:val="0070C0"/>
        </w:rPr>
        <w:t>http://www.ccgp-shaanxi.gov.cn/</w:t>
      </w:r>
      <w:r>
        <w:rPr>
          <w:rStyle w:val="33"/>
          <w:color w:val="0070C0"/>
        </w:rPr>
        <w:fldChar w:fldCharType="end"/>
      </w:r>
      <w:r>
        <w:t>）中的〖首页·〉信息公告·〉市级·〉西安市〗；</w:t>
      </w:r>
    </w:p>
    <w:p>
      <w:pPr>
        <w:ind w:firstLine="480" w:firstLineChars="200"/>
        <w:jc w:val="both"/>
        <w:rPr>
          <w:rFonts w:cstheme="minorHAnsi"/>
        </w:rPr>
      </w:pPr>
      <w:r>
        <w:t>（2）【</w:t>
      </w:r>
      <w:r>
        <w:fldChar w:fldCharType="begin"/>
      </w:r>
      <w:r>
        <w:instrText xml:space="preserve"> HYPERLINK "http://xa.sxggzyjy.cn/" </w:instrText>
      </w:r>
      <w:r>
        <w:fldChar w:fldCharType="separate"/>
      </w:r>
      <w:r>
        <w:t>全国公共资源交易网（陕西省·西安市）</w:t>
      </w:r>
      <w:r>
        <w:fldChar w:fldCharType="end"/>
      </w:r>
      <w:r>
        <w:t>】（</w:t>
      </w:r>
      <w:r>
        <w:fldChar w:fldCharType="begin"/>
      </w:r>
      <w:r>
        <w:instrText xml:space="preserve"> HYPERLINK "http://sxggzyjy.xa.gov.cn/" </w:instrText>
      </w:r>
      <w:r>
        <w:fldChar w:fldCharType="separate"/>
      </w:r>
      <w:r>
        <w:rPr>
          <w:rStyle w:val="33"/>
          <w:rFonts w:hint="eastAsia"/>
          <w:color w:val="0070C0"/>
        </w:rPr>
        <w:t>http://</w:t>
      </w:r>
      <w:r>
        <w:rPr>
          <w:rStyle w:val="33"/>
          <w:color w:val="0070C0"/>
        </w:rPr>
        <w:t>sxggzyjy.xa.gov.cn/</w:t>
      </w:r>
      <w:r>
        <w:rPr>
          <w:rStyle w:val="33"/>
          <w:color w:val="0070C0"/>
        </w:rPr>
        <w:fldChar w:fldCharType="end"/>
      </w:r>
      <w:r>
        <w:t>）中的〖首页·〉交易大厅·〉政府采购〗。</w:t>
      </w:r>
    </w:p>
    <w:p>
      <w:pPr>
        <w:pStyle w:val="3"/>
      </w:pPr>
      <w:r>
        <w:t>四、投标文件</w:t>
      </w:r>
    </w:p>
    <w:p>
      <w:pPr>
        <w:pStyle w:val="4"/>
        <w:ind w:firstLine="482"/>
      </w:pPr>
      <w:r>
        <w:rPr>
          <w:rFonts w:hint="eastAsia"/>
        </w:rPr>
        <w:t>（一）投标文件</w:t>
      </w:r>
      <w:r>
        <w:t>的式样</w:t>
      </w:r>
    </w:p>
    <w:p>
      <w:pPr>
        <w:pStyle w:val="83"/>
        <w:ind w:firstLine="480"/>
      </w:pPr>
      <w:r>
        <w:t>1</w:t>
      </w:r>
      <w:r>
        <w:rPr>
          <w:rFonts w:hint="eastAsia"/>
          <w:color w:val="auto"/>
        </w:rPr>
        <w:t>．</w:t>
      </w:r>
      <w:r>
        <w:rPr>
          <w:rFonts w:hint="eastAsia"/>
        </w:rPr>
        <w:t>组成</w:t>
      </w:r>
      <w:r>
        <w:t>及格式</w:t>
      </w:r>
    </w:p>
    <w:p>
      <w:pPr>
        <w:pStyle w:val="83"/>
        <w:ind w:firstLine="480"/>
      </w:pPr>
      <w:r>
        <w:t>供应商依照招标文件</w:t>
      </w:r>
      <w:r>
        <w:rPr>
          <w:color w:val="C00000"/>
        </w:rPr>
        <w:t>第五章《投标文件构成及格式》</w:t>
      </w:r>
      <w:r>
        <w:t>给定形式进行编制</w:t>
      </w:r>
      <w:r>
        <w:rPr>
          <w:rFonts w:hint="eastAsia"/>
        </w:rPr>
        <w:t>投标文件</w:t>
      </w:r>
      <w:r>
        <w:t>。项目分标段的，应按所投</w:t>
      </w:r>
      <w:r>
        <w:rPr>
          <w:rFonts w:hint="eastAsia"/>
          <w:w w:val="1"/>
        </w:rPr>
        <w:t xml:space="preserve"> </w:t>
      </w:r>
      <w:r>
        <w:t>标段分别准备投标文件。</w:t>
      </w:r>
    </w:p>
    <w:p>
      <w:pPr>
        <w:pStyle w:val="83"/>
        <w:ind w:firstLine="480"/>
      </w:pPr>
      <w:r>
        <w:rPr>
          <w:rFonts w:hint="eastAsia"/>
        </w:rPr>
        <w:t>2</w:t>
      </w:r>
      <w:r>
        <w:rPr>
          <w:rFonts w:hint="eastAsia"/>
          <w:color w:val="auto"/>
        </w:rPr>
        <w:t>．</w:t>
      </w:r>
      <w:r>
        <w:rPr>
          <w:rFonts w:hint="eastAsia"/>
        </w:rPr>
        <w:t>语言</w:t>
      </w:r>
    </w:p>
    <w:p>
      <w:pPr>
        <w:pStyle w:val="83"/>
        <w:ind w:firstLine="480"/>
      </w:pPr>
      <w:r>
        <w:rPr>
          <w:rFonts w:hint="eastAsia"/>
        </w:rPr>
        <w:t>招标活动的所有文件、资料、函电文字均使用简体中文，确需提交用其他语言形成的资料，必须翻译成简体中文，如有差异，以简体中文为准。</w:t>
      </w:r>
    </w:p>
    <w:p>
      <w:pPr>
        <w:pStyle w:val="83"/>
        <w:ind w:firstLine="480"/>
      </w:pPr>
      <w:r>
        <w:rPr>
          <w:rFonts w:hint="eastAsia"/>
        </w:rPr>
        <w:t>3</w:t>
      </w:r>
      <w:r>
        <w:rPr>
          <w:rFonts w:hint="eastAsia"/>
          <w:color w:val="auto"/>
        </w:rPr>
        <w:t>．</w:t>
      </w:r>
      <w:r>
        <w:t>计量单位</w:t>
      </w:r>
    </w:p>
    <w:p>
      <w:pPr>
        <w:pStyle w:val="83"/>
        <w:ind w:firstLine="480"/>
      </w:pPr>
      <w:r>
        <w:rPr>
          <w:rFonts w:hint="eastAsia"/>
        </w:rPr>
        <w:t>投标文件的计量单位应使用中华人民共和国法定计量单位，但招标文件另有规定的除外。</w:t>
      </w:r>
    </w:p>
    <w:p>
      <w:pPr>
        <w:pStyle w:val="4"/>
        <w:ind w:firstLine="482"/>
      </w:pPr>
      <w:r>
        <w:rPr>
          <w:rFonts w:hint="eastAsia"/>
        </w:rPr>
        <w:t>（二）投标文件</w:t>
      </w:r>
      <w:r>
        <w:t>的有效期</w:t>
      </w:r>
    </w:p>
    <w:p>
      <w:pPr>
        <w:pStyle w:val="83"/>
        <w:ind w:firstLine="480"/>
      </w:pPr>
      <w:r>
        <w:rPr>
          <w:rFonts w:hint="eastAsia"/>
        </w:rPr>
        <w:t>投标文件有效期为</w:t>
      </w:r>
      <w:r>
        <w:rPr>
          <w:rFonts w:hint="eastAsia"/>
          <w:color w:val="C00000"/>
        </w:rPr>
        <w:t>自开标之日起不少于</w:t>
      </w:r>
      <w:r>
        <w:rPr>
          <w:color w:val="C00000"/>
        </w:rPr>
        <w:t>90个日历日</w:t>
      </w:r>
      <w:r>
        <w:t>。如中标，延长至合同执行完毕时止。</w:t>
      </w:r>
    </w:p>
    <w:p>
      <w:pPr>
        <w:pStyle w:val="4"/>
        <w:ind w:firstLine="482"/>
      </w:pPr>
      <w:r>
        <w:rPr>
          <w:rFonts w:hint="eastAsia"/>
        </w:rPr>
        <w:t>（三）投标</w:t>
      </w:r>
      <w:r>
        <w:t>报价</w:t>
      </w:r>
    </w:p>
    <w:p>
      <w:pPr>
        <w:pStyle w:val="83"/>
        <w:ind w:firstLine="480"/>
      </w:pPr>
      <w:r>
        <w:rPr>
          <w:rFonts w:hint="eastAsia"/>
        </w:rPr>
        <w:t>投标报价是供应商响</w:t>
      </w:r>
      <w:r>
        <w:rPr>
          <w:rFonts w:hint="eastAsia"/>
          <w:w w:val="1"/>
        </w:rPr>
        <w:t xml:space="preserve"> </w:t>
      </w:r>
      <w:r>
        <w:rPr>
          <w:rFonts w:hint="eastAsia"/>
        </w:rPr>
        <w:t>应采购项目要求的全部工作内容的价格体现，包括完成采购内容所需的直接费、间接费、利润、税金及其它相关的一切费用。</w:t>
      </w:r>
    </w:p>
    <w:p>
      <w:pPr>
        <w:pStyle w:val="83"/>
        <w:ind w:firstLine="480"/>
      </w:pPr>
      <w:r>
        <w:rPr>
          <w:rFonts w:hint="eastAsia"/>
        </w:rPr>
        <w:t>1</w:t>
      </w:r>
      <w:r>
        <w:rPr>
          <w:rFonts w:hint="eastAsia"/>
          <w:color w:val="auto"/>
        </w:rPr>
        <w:t>．</w:t>
      </w:r>
      <w:r>
        <w:rPr>
          <w:rFonts w:hint="eastAsia"/>
        </w:rPr>
        <w:t>供应商在报价时应充分考虑所有可能发生的费用，招标文件未列明，而供应商认为应当计取的费用均应列入报价中。报价时不论是否计取，采购人均按已计取对待。</w:t>
      </w:r>
    </w:p>
    <w:p>
      <w:pPr>
        <w:pStyle w:val="83"/>
        <w:ind w:firstLine="480"/>
      </w:pPr>
      <w:r>
        <w:rPr>
          <w:rFonts w:hint="eastAsia"/>
        </w:rPr>
        <w:t>2</w:t>
      </w:r>
      <w:r>
        <w:rPr>
          <w:rFonts w:hint="eastAsia"/>
          <w:color w:val="auto"/>
        </w:rPr>
        <w:t>．</w:t>
      </w:r>
      <w:r>
        <w:rPr>
          <w:rFonts w:hint="eastAsia"/>
        </w:rPr>
        <w:t>供应商应严格按照《投标文件构成及格式》第二部分《开标一览表》中的相关要求填写分类报价及其他需要响</w:t>
      </w:r>
      <w:r>
        <w:rPr>
          <w:rFonts w:hint="eastAsia"/>
          <w:w w:val="1"/>
        </w:rPr>
        <w:t xml:space="preserve"> </w:t>
      </w:r>
      <w:r>
        <w:rPr>
          <w:rFonts w:hint="eastAsia"/>
        </w:rPr>
        <w:t>应的内容。投标报价只能提交唯一报价，任何有选择的报价将不予接受，按无效投标处理。</w:t>
      </w:r>
    </w:p>
    <w:p>
      <w:pPr>
        <w:pStyle w:val="83"/>
        <w:ind w:firstLine="480"/>
      </w:pPr>
      <w:r>
        <w:rPr>
          <w:rFonts w:hint="eastAsia"/>
        </w:rPr>
        <w:t>3</w:t>
      </w:r>
      <w:r>
        <w:rPr>
          <w:rFonts w:hint="eastAsia"/>
          <w:color w:val="auto"/>
        </w:rPr>
        <w:t>．</w:t>
      </w:r>
      <w:r>
        <w:rPr>
          <w:rFonts w:hint="eastAsia"/>
        </w:rPr>
        <w:t>投标报价货币：</w:t>
      </w:r>
      <w:r>
        <w:rPr>
          <w:rFonts w:hint="eastAsia"/>
          <w:color w:val="C00000"/>
        </w:rPr>
        <w:t>人民币</w:t>
      </w:r>
      <w:r>
        <w:rPr>
          <w:rFonts w:hint="eastAsia"/>
        </w:rPr>
        <w:t>；单位：</w:t>
      </w:r>
      <w:r>
        <w:rPr>
          <w:rFonts w:hint="eastAsia"/>
          <w:color w:val="C00000"/>
        </w:rPr>
        <w:t>元</w:t>
      </w:r>
      <w:r>
        <w:rPr>
          <w:rFonts w:hint="eastAsia"/>
        </w:rPr>
        <w:t>。</w:t>
      </w:r>
    </w:p>
    <w:p>
      <w:pPr>
        <w:pStyle w:val="83"/>
        <w:ind w:firstLine="480"/>
      </w:pPr>
      <w:r>
        <w:rPr>
          <w:color w:val="auto"/>
        </w:rPr>
        <w:t>4</w:t>
      </w:r>
      <w:r>
        <w:rPr>
          <w:rFonts w:hint="eastAsia"/>
          <w:color w:val="auto"/>
        </w:rPr>
        <w:t>．</w:t>
      </w:r>
      <w:r>
        <w:rPr>
          <w:rFonts w:hint="eastAsia"/>
        </w:rPr>
        <w:t>因供应商对招标文件理解不透、误解、疏漏或对市场行情了解不清造成的后果和风险，均由供应商自己负责。</w:t>
      </w:r>
    </w:p>
    <w:p>
      <w:pPr>
        <w:pStyle w:val="4"/>
        <w:ind w:firstLine="482"/>
      </w:pPr>
      <w:r>
        <w:rPr>
          <w:rFonts w:hint="eastAsia"/>
        </w:rPr>
        <w:t>（四）电子投标文件</w:t>
      </w:r>
      <w:r>
        <w:t>的</w:t>
      </w:r>
      <w:r>
        <w:rPr>
          <w:rFonts w:hint="eastAsia"/>
        </w:rPr>
        <w:t>制作、</w:t>
      </w:r>
      <w:r>
        <w:t>签章及加密</w:t>
      </w:r>
    </w:p>
    <w:p>
      <w:pPr>
        <w:pStyle w:val="83"/>
        <w:ind w:firstLine="480"/>
        <w:rPr>
          <w:color w:val="C00000"/>
        </w:rPr>
      </w:pPr>
      <w:r>
        <w:rPr>
          <w:rFonts w:hint="eastAsia"/>
        </w:rPr>
        <w:t>1</w:t>
      </w:r>
      <w:r>
        <w:rPr>
          <w:rFonts w:hint="eastAsia"/>
          <w:color w:val="auto"/>
        </w:rPr>
        <w:t>．</w:t>
      </w:r>
      <w:r>
        <w:t>电子</w:t>
      </w:r>
      <w:r>
        <w:rPr>
          <w:rFonts w:hint="eastAsia"/>
        </w:rPr>
        <w:t>投标文件（</w:t>
      </w:r>
      <w:r>
        <w:rPr>
          <w:color w:val="C00000"/>
        </w:rPr>
        <w:t>*.SXSTF</w:t>
      </w:r>
      <w:r>
        <w:rPr>
          <w:rFonts w:hint="eastAsia"/>
        </w:rPr>
        <w:t>）</w:t>
      </w:r>
      <w:r>
        <w:t>需要使用</w:t>
      </w:r>
      <w:r>
        <w:rPr>
          <w:rFonts w:hint="eastAsia"/>
        </w:rPr>
        <w:t>专用</w:t>
      </w:r>
      <w:r>
        <w:t>制作</w:t>
      </w:r>
      <w:r>
        <w:rPr>
          <w:rFonts w:hint="eastAsia"/>
        </w:rPr>
        <w:t>软件</w:t>
      </w:r>
      <w:r>
        <w:t>——</w:t>
      </w:r>
      <w:r>
        <w:rPr>
          <w:rFonts w:hint="eastAsia"/>
        </w:rPr>
        <w:t>“新点投</w:t>
      </w:r>
      <w:r>
        <w:rPr>
          <w:rFonts w:hint="eastAsia"/>
          <w:w w:val="1"/>
        </w:rPr>
        <w:t xml:space="preserve"> </w:t>
      </w:r>
      <w:r>
        <w:rPr>
          <w:rFonts w:hint="eastAsia"/>
        </w:rPr>
        <w:t>标</w:t>
      </w:r>
      <w:r>
        <w:t>文件制作软件</w:t>
      </w:r>
      <w:r>
        <w:rPr>
          <w:rFonts w:hint="eastAsia"/>
        </w:rPr>
        <w:t>（陕西</w:t>
      </w:r>
      <w:r>
        <w:t>公共资源</w:t>
      </w:r>
      <w:r>
        <w:rPr>
          <w:rFonts w:hint="eastAsia"/>
        </w:rPr>
        <w:t>）”</w:t>
      </w:r>
      <w:r>
        <w:t>进行编制。</w:t>
      </w:r>
      <w:r>
        <w:rPr>
          <w:rFonts w:hint="eastAsia"/>
        </w:rPr>
        <w:t>软件</w:t>
      </w:r>
      <w:r>
        <w:t>下载</w:t>
      </w:r>
      <w:r>
        <w:rPr>
          <w:rFonts w:hint="eastAsia"/>
        </w:rPr>
        <w:t>地址及操作</w:t>
      </w:r>
      <w:r>
        <w:t>手册：</w:t>
      </w:r>
      <w:r>
        <w:rPr>
          <w:rFonts w:hint="eastAsia"/>
        </w:rPr>
        <w:t>见西安市公共资源交易平台〖首页〉服务指南〉下载专区〗中的《</w:t>
      </w:r>
      <w:r>
        <w:rPr>
          <w:rFonts w:hint="eastAsia"/>
          <w:color w:val="C00000"/>
        </w:rPr>
        <w:t>政府采购项目投</w:t>
      </w:r>
      <w:r>
        <w:rPr>
          <w:color w:val="C00000"/>
          <w:w w:val="1"/>
        </w:rPr>
        <w:t xml:space="preserve"> </w:t>
      </w:r>
      <w:r>
        <w:rPr>
          <w:color w:val="C00000"/>
        </w:rPr>
        <w:t>标文件制作软件及操作手册</w:t>
      </w:r>
      <w:r>
        <w:t>》。</w:t>
      </w:r>
    </w:p>
    <w:p>
      <w:pPr>
        <w:pStyle w:val="83"/>
        <w:wordWrap w:val="0"/>
        <w:ind w:firstLine="480"/>
      </w:pPr>
      <w:r>
        <w:rPr>
          <w:rFonts w:hint="eastAsia"/>
        </w:rPr>
        <w:t>链接地址</w:t>
      </w:r>
      <w:r>
        <w:t>：</w:t>
      </w:r>
      <w:r>
        <w:fldChar w:fldCharType="begin"/>
      </w:r>
      <w:r>
        <w:instrText xml:space="preserve"> HYPERLINK "http://sxggzyjy.xa.gov.cn/fwzn/004003/20181115/4d59c184-e8f6-4d5a-a416-c2f6b0601e66.html" </w:instrText>
      </w:r>
      <w:r>
        <w:fldChar w:fldCharType="separate"/>
      </w:r>
      <w:r>
        <w:rPr>
          <w:rStyle w:val="33"/>
          <w:rFonts w:asciiTheme="minorHAnsi" w:hAnsiTheme="minorHAnsi" w:eastAsiaTheme="minorEastAsia"/>
          <w:color w:val="0070C0"/>
        </w:rPr>
        <w:t>http://sxggzyjy.xa.gov.cn/fwzn/004003/20181115/4d59c184-e8f6-4d5a-a416-c2f6b0601e66.html</w:t>
      </w:r>
      <w:r>
        <w:rPr>
          <w:rStyle w:val="33"/>
          <w:rFonts w:asciiTheme="minorHAnsi" w:hAnsiTheme="minorHAnsi" w:eastAsiaTheme="minorEastAsia"/>
          <w:color w:val="0070C0"/>
        </w:rPr>
        <w:fldChar w:fldCharType="end"/>
      </w:r>
    </w:p>
    <w:p>
      <w:pPr>
        <w:pStyle w:val="83"/>
        <w:ind w:firstLine="480"/>
      </w:pPr>
      <w:r>
        <w:rPr>
          <w:rFonts w:hint="eastAsia"/>
        </w:rPr>
        <w:t>2</w:t>
      </w:r>
      <w:r>
        <w:rPr>
          <w:rFonts w:hint="eastAsia"/>
          <w:color w:val="auto"/>
        </w:rPr>
        <w:t>．</w:t>
      </w:r>
      <w:r>
        <w:rPr>
          <w:rFonts w:hint="eastAsia"/>
        </w:rPr>
        <w:t>编制</w:t>
      </w:r>
      <w:r>
        <w:t>电子投标文件前，</w:t>
      </w:r>
      <w:r>
        <w:rPr>
          <w:rFonts w:hint="eastAsia"/>
          <w:b/>
          <w:color w:val="C00000"/>
        </w:rPr>
        <w:t>务必</w:t>
      </w:r>
      <w:r>
        <w:rPr>
          <w:b/>
          <w:color w:val="C00000"/>
        </w:rPr>
        <w:t>先</w:t>
      </w:r>
      <w:r>
        <w:rPr>
          <w:rFonts w:hint="eastAsia"/>
          <w:b/>
          <w:color w:val="C00000"/>
        </w:rPr>
        <w:t>做好</w:t>
      </w:r>
      <w:r>
        <w:rPr>
          <w:b/>
          <w:color w:val="C00000"/>
        </w:rPr>
        <w:t>电子招标文件的备份工作</w:t>
      </w:r>
      <w:r>
        <w:t>。</w:t>
      </w:r>
      <w:r>
        <w:rPr>
          <w:rFonts w:hint="eastAsia"/>
        </w:rPr>
        <w:t>然后</w:t>
      </w:r>
      <w:r>
        <w:t>按操作</w:t>
      </w:r>
      <w:r>
        <w:rPr>
          <w:rFonts w:hint="eastAsia"/>
        </w:rPr>
        <w:t>手册</w:t>
      </w:r>
      <w:r>
        <w:t>中</w:t>
      </w:r>
      <w:r>
        <w:rPr>
          <w:rFonts w:hint="eastAsia"/>
        </w:rPr>
        <w:t>给出</w:t>
      </w:r>
      <w:r>
        <w:t>的方法</w:t>
      </w:r>
      <w:r>
        <w:rPr>
          <w:rFonts w:hint="eastAsia"/>
        </w:rPr>
        <w:t>将</w:t>
      </w:r>
      <w:r>
        <w:t>电子招标文件</w:t>
      </w:r>
      <w:r>
        <w:rPr>
          <w:rFonts w:hint="eastAsia"/>
        </w:rPr>
        <w:t>（*.SXSZF）或</w:t>
      </w:r>
      <w:r>
        <w:t>答疑文件</w:t>
      </w:r>
      <w:r>
        <w:rPr>
          <w:rFonts w:hint="eastAsia"/>
        </w:rPr>
        <w:t>（*.SXSCF，</w:t>
      </w:r>
      <w:r>
        <w:t>即</w:t>
      </w:r>
      <w:r>
        <w:rPr>
          <w:rFonts w:hint="eastAsia"/>
        </w:rPr>
        <w:t>更新</w:t>
      </w:r>
      <w:r>
        <w:t>后的</w:t>
      </w:r>
      <w:r>
        <w:rPr>
          <w:rFonts w:hint="eastAsia"/>
        </w:rPr>
        <w:t>电子</w:t>
      </w:r>
      <w:r>
        <w:t>招标文件</w:t>
      </w:r>
      <w:r>
        <w:rPr>
          <w:rFonts w:hint="eastAsia"/>
        </w:rPr>
        <w:t>）导入</w:t>
      </w:r>
      <w:r>
        <w:t>制作</w:t>
      </w:r>
      <w:r>
        <w:rPr>
          <w:rFonts w:hint="eastAsia"/>
        </w:rPr>
        <w:t>软件，最后</w:t>
      </w:r>
      <w:r>
        <w:t>按照章节分别编制</w:t>
      </w:r>
      <w:r>
        <w:rPr>
          <w:rFonts w:hint="eastAsia"/>
        </w:rPr>
        <w:t>投标文件</w:t>
      </w:r>
      <w:r>
        <w:t>各个部分。</w:t>
      </w:r>
    </w:p>
    <w:p>
      <w:pPr>
        <w:pStyle w:val="83"/>
        <w:ind w:firstLine="482"/>
        <w:rPr>
          <w:color w:val="C00000"/>
        </w:rPr>
      </w:pPr>
      <w:r>
        <w:rPr>
          <w:b/>
          <w:color w:val="C00000"/>
        </w:rPr>
        <w:t>再次提醒：</w:t>
      </w:r>
      <w:r>
        <w:rPr>
          <w:rFonts w:hint="eastAsia"/>
        </w:rPr>
        <w:t>提交投标文件截止时间前，供应商应随时留意“</w:t>
      </w:r>
      <w:r>
        <w:rPr>
          <w:rFonts w:hint="eastAsia"/>
          <w:color w:val="7030A0"/>
        </w:rPr>
        <w:t>政府采购信息发布媒体</w:t>
      </w:r>
      <w:r>
        <w:rPr>
          <w:rFonts w:hint="eastAsia"/>
        </w:rPr>
        <w:t>”上可能发布的变更公告。若变更公告中明确注明本项目伴有变更文件的，供应商应登录企业端后，从〖项目流程</w:t>
      </w:r>
      <w:r>
        <w:t>·</w:t>
      </w:r>
      <w:r>
        <w:rPr>
          <w:rFonts w:hint="eastAsia"/>
        </w:rPr>
        <w:t>〉项目管理</w:t>
      </w:r>
      <w:r>
        <w:t>·</w:t>
      </w:r>
      <w:r>
        <w:rPr>
          <w:rFonts w:hint="eastAsia"/>
        </w:rPr>
        <w:t>〉答疑文件下载〗获取更新后的电子招标文件（*.SXSCF），</w:t>
      </w:r>
      <w:r>
        <w:rPr>
          <w:rFonts w:hint="eastAsia"/>
          <w:color w:val="C00000"/>
        </w:rPr>
        <w:t>使用旧版电子招标文件制作的电子投标文件（*.SXSTF），系统将拒绝接收</w:t>
      </w:r>
      <w:r>
        <w:rPr>
          <w:rFonts w:hint="eastAsia"/>
        </w:rPr>
        <w:t>。</w:t>
      </w:r>
    </w:p>
    <w:p>
      <w:pPr>
        <w:pStyle w:val="83"/>
        <w:ind w:firstLine="480"/>
        <w:rPr>
          <w:color w:val="C00000"/>
        </w:rPr>
      </w:pPr>
      <w:r>
        <w:rPr>
          <w:rFonts w:hint="eastAsia"/>
        </w:rPr>
        <w:t>3</w:t>
      </w:r>
      <w:r>
        <w:rPr>
          <w:rFonts w:hint="eastAsia"/>
          <w:color w:val="auto"/>
        </w:rPr>
        <w:t>．</w:t>
      </w:r>
      <w:r>
        <w:rPr>
          <w:rFonts w:hint="eastAsia"/>
        </w:rPr>
        <w:t>电子投标文件制作</w:t>
      </w:r>
      <w:r>
        <w:t>过程</w:t>
      </w:r>
      <w:r>
        <w:rPr>
          <w:rFonts w:hint="eastAsia"/>
        </w:rPr>
        <w:t>中，需要法定代表人签字或盖章的地方，请使用“法人</w:t>
      </w:r>
      <w:r>
        <w:t>CA</w:t>
      </w:r>
      <w:r>
        <w:rPr>
          <w:rFonts w:hint="eastAsia"/>
        </w:rPr>
        <w:t>锁”</w:t>
      </w:r>
      <w:r>
        <w:t>进行签章；需要加盖供应商公章的地方，请使用</w:t>
      </w:r>
      <w:r>
        <w:rPr>
          <w:rFonts w:hint="eastAsia"/>
        </w:rPr>
        <w:t>“</w:t>
      </w:r>
      <w:r>
        <w:t>企业CA</w:t>
      </w:r>
      <w:r>
        <w:rPr>
          <w:rFonts w:hint="eastAsia"/>
        </w:rPr>
        <w:t>锁”</w:t>
      </w:r>
      <w:r>
        <w:t>进行</w:t>
      </w:r>
      <w:r>
        <w:rPr>
          <w:rFonts w:hint="eastAsia"/>
        </w:rPr>
        <w:t>签章</w:t>
      </w:r>
      <w:r>
        <w:t>。</w:t>
      </w:r>
    </w:p>
    <w:p>
      <w:pPr>
        <w:pStyle w:val="83"/>
        <w:ind w:firstLine="480"/>
      </w:pPr>
      <w:r>
        <w:rPr>
          <w:rFonts w:hint="eastAsia"/>
        </w:rPr>
        <w:t>若导出的</w:t>
      </w:r>
      <w:r>
        <w:t>PDF文件里看不到签章，请尝试使用</w:t>
      </w:r>
      <w:r>
        <w:rPr>
          <w:rFonts w:hint="eastAsia"/>
        </w:rPr>
        <w:t>专用制作</w:t>
      </w:r>
      <w:r>
        <w:t>软件中的</w:t>
      </w:r>
      <w:r>
        <w:rPr>
          <w:rFonts w:hint="eastAsia"/>
        </w:rPr>
        <w:t>“</w:t>
      </w:r>
      <w:r>
        <w:t>查看投</w:t>
      </w:r>
      <w:r>
        <w:rPr>
          <w:rFonts w:hint="eastAsia"/>
          <w:w w:val="1"/>
        </w:rPr>
        <w:t>　</w:t>
      </w:r>
      <w:r>
        <w:t>标文件工具</w:t>
      </w:r>
      <w:r>
        <w:rPr>
          <w:rFonts w:hint="eastAsia"/>
        </w:rPr>
        <w:t>”</w:t>
      </w:r>
      <w:r>
        <w:t>打开未加密的电子投标文件重新导出。在</w:t>
      </w:r>
      <w:r>
        <w:rPr>
          <w:rFonts w:hint="eastAsia"/>
        </w:rPr>
        <w:t>制作</w:t>
      </w:r>
      <w:r>
        <w:t>过程中，如有其他技术性问题，请先翻阅操作手册，或致电软件开发商。</w:t>
      </w:r>
    </w:p>
    <w:p>
      <w:pPr>
        <w:pStyle w:val="83"/>
        <w:ind w:firstLine="480"/>
      </w:pPr>
      <w:r>
        <w:rPr>
          <w:rFonts w:hint="eastAsia"/>
        </w:rPr>
        <w:t>4．在</w:t>
      </w:r>
      <w:r>
        <w:t>生成电子投标文件时，需要使用CA锁对投标</w:t>
      </w:r>
      <w:r>
        <w:rPr>
          <w:rFonts w:hint="eastAsia"/>
        </w:rPr>
        <w:t>文件</w:t>
      </w:r>
      <w:r>
        <w:t>进行加密（</w:t>
      </w:r>
      <w:r>
        <w:rPr>
          <w:color w:val="C00000"/>
        </w:rPr>
        <w:t>开标时还须使用同一把CA锁进行解密</w:t>
      </w:r>
      <w:r>
        <w:t>）。</w:t>
      </w:r>
    </w:p>
    <w:p>
      <w:pPr>
        <w:pStyle w:val="4"/>
        <w:ind w:firstLine="482"/>
      </w:pPr>
      <w:r>
        <w:rPr>
          <w:rFonts w:hint="eastAsia"/>
        </w:rPr>
        <w:t>（五）电子投标文件</w:t>
      </w:r>
      <w:r>
        <w:t>的提交</w:t>
      </w:r>
    </w:p>
    <w:p>
      <w:pPr>
        <w:pStyle w:val="83"/>
        <w:ind w:firstLine="480"/>
      </w:pPr>
      <w:r>
        <w:t>供应商可于提交投标文件截止时间前任意时段</w:t>
      </w:r>
      <w:r>
        <w:rPr>
          <w:rFonts w:hint="eastAsia"/>
        </w:rPr>
        <w:t>，登录西安市公共资源交易平台</w:t>
      </w:r>
      <w:r>
        <w:t>〖</w:t>
      </w:r>
      <w:r>
        <w:rPr>
          <w:rFonts w:hint="eastAsia"/>
        </w:rPr>
        <w:t>首页</w:t>
      </w:r>
      <w:r>
        <w:t>·</w:t>
      </w:r>
      <w:r>
        <w:rPr>
          <w:rFonts w:hint="eastAsia"/>
        </w:rPr>
        <w:t>〉</w:t>
      </w:r>
      <w:r>
        <w:t>电子交易平台·</w:t>
      </w:r>
      <w:r>
        <w:rPr>
          <w:rFonts w:hint="eastAsia"/>
        </w:rPr>
        <w:t>〉</w:t>
      </w:r>
      <w:r>
        <w:t>企业端〗，登录后切换到</w:t>
      </w:r>
      <w:r>
        <w:rPr>
          <w:rFonts w:hint="eastAsia"/>
        </w:rPr>
        <w:t>〖</w:t>
      </w:r>
      <w:r>
        <w:t>我的项目〗模块下，依次点选〖项目流程·</w:t>
      </w:r>
      <w:r>
        <w:rPr>
          <w:rFonts w:hint="eastAsia"/>
        </w:rPr>
        <w:t>〉</w:t>
      </w:r>
      <w:r>
        <w:t>项目管理·〉</w:t>
      </w:r>
      <w:r>
        <w:rPr>
          <w:rFonts w:hint="eastAsia"/>
        </w:rPr>
        <w:t>上传响</w:t>
      </w:r>
      <w:r>
        <w:rPr>
          <w:rFonts w:hint="eastAsia"/>
          <w:w w:val="1"/>
        </w:rPr>
        <w:t xml:space="preserve"> </w:t>
      </w:r>
      <w:r>
        <w:rPr>
          <w:rFonts w:hint="eastAsia"/>
        </w:rPr>
        <w:t>应文件〗</w:t>
      </w:r>
      <w:r>
        <w:t>，上传加密</w:t>
      </w:r>
      <w:r>
        <w:rPr>
          <w:rFonts w:hint="eastAsia"/>
        </w:rPr>
        <w:t>后</w:t>
      </w:r>
      <w:r>
        <w:t>的电子投标文件（*.SXSTF）。上传成功后，西安市公共资源交易平台政府采购系统将予以记录。</w:t>
      </w:r>
    </w:p>
    <w:p>
      <w:pPr>
        <w:pStyle w:val="83"/>
        <w:ind w:firstLine="480"/>
      </w:pPr>
      <w:r>
        <w:t>出现下述情形的，电子投标文件将被系统拒收：</w:t>
      </w:r>
    </w:p>
    <w:p>
      <w:pPr>
        <w:ind w:firstLine="480" w:firstLineChars="200"/>
        <w:jc w:val="both"/>
        <w:rPr>
          <w:rFonts w:cstheme="minorHAnsi"/>
        </w:rPr>
      </w:pPr>
      <w:r>
        <w:rPr>
          <w:rFonts w:cstheme="minorHAnsi"/>
        </w:rPr>
        <w:t>1</w:t>
      </w:r>
      <w:r>
        <w:rPr>
          <w:rFonts w:hint="eastAsia" w:cstheme="minorHAnsi"/>
        </w:rPr>
        <w:t>．</w:t>
      </w:r>
      <w:r>
        <w:rPr>
          <w:rFonts w:cstheme="minorHAnsi"/>
        </w:rPr>
        <w:t>误投的；</w:t>
      </w:r>
    </w:p>
    <w:p>
      <w:pPr>
        <w:ind w:firstLine="480" w:firstLineChars="200"/>
        <w:jc w:val="both"/>
        <w:rPr>
          <w:rFonts w:cstheme="minorHAnsi"/>
        </w:rPr>
      </w:pPr>
      <w:r>
        <w:rPr>
          <w:rFonts w:hint="eastAsia" w:cstheme="minorHAnsi"/>
        </w:rPr>
        <w:t>2．</w:t>
      </w:r>
      <w:r>
        <w:rPr>
          <w:rFonts w:cstheme="minorHAnsi"/>
        </w:rPr>
        <w:t>逾期提交电子投标文件的；</w:t>
      </w:r>
    </w:p>
    <w:p>
      <w:pPr>
        <w:pStyle w:val="83"/>
        <w:ind w:firstLine="480"/>
      </w:pPr>
      <w:r>
        <w:t>3</w:t>
      </w:r>
      <w:r>
        <w:rPr>
          <w:rFonts w:hint="eastAsia"/>
        </w:rPr>
        <w:t>．使用旧版电子招标文件制作电子投标文件的。</w:t>
      </w:r>
    </w:p>
    <w:p>
      <w:pPr>
        <w:pStyle w:val="4"/>
        <w:ind w:firstLine="482"/>
      </w:pPr>
      <w:r>
        <w:t>（</w:t>
      </w:r>
      <w:r>
        <w:rPr>
          <w:rFonts w:hint="eastAsia"/>
        </w:rPr>
        <w:t>六</w:t>
      </w:r>
      <w:r>
        <w:t>）电子</w:t>
      </w:r>
      <w:r>
        <w:rPr>
          <w:rFonts w:hint="eastAsia"/>
        </w:rPr>
        <w:t>投标</w:t>
      </w:r>
      <w:r>
        <w:t>文件的撤回、补充及修改</w:t>
      </w:r>
    </w:p>
    <w:p>
      <w:pPr>
        <w:pStyle w:val="83"/>
        <w:ind w:firstLine="480"/>
      </w:pPr>
      <w:r>
        <w:rPr>
          <w:rFonts w:hint="eastAsia"/>
        </w:rPr>
        <w:t>供应商在提交投标文件截止时间前，可以对已提交的电子投标文件进行撤回、补充及修改。</w:t>
      </w:r>
      <w:r>
        <w:t>对已</w:t>
      </w:r>
      <w:r>
        <w:rPr>
          <w:rFonts w:hint="eastAsia"/>
        </w:rPr>
        <w:t>提交</w:t>
      </w:r>
      <w:r>
        <w:t>的电子投标文件进行补充、修改的，应先从电子交易平台上撤回旧投标</w:t>
      </w:r>
      <w:r>
        <w:rPr>
          <w:rFonts w:hint="eastAsia"/>
        </w:rPr>
        <w:t>文件</w:t>
      </w:r>
      <w:r>
        <w:t>，再重新提交新</w:t>
      </w:r>
      <w:r>
        <w:rPr>
          <w:rFonts w:hint="eastAsia"/>
        </w:rPr>
        <w:t>文件。</w:t>
      </w:r>
    </w:p>
    <w:p>
      <w:pPr>
        <w:pStyle w:val="83"/>
        <w:ind w:firstLine="480"/>
        <w:rPr>
          <w:color w:val="C00000"/>
        </w:rPr>
      </w:pPr>
      <w:r>
        <w:rPr>
          <w:rFonts w:hint="eastAsia"/>
          <w:color w:val="C00000"/>
        </w:rPr>
        <w:t>中标后</w:t>
      </w:r>
      <w:r>
        <w:rPr>
          <w:color w:val="C00000"/>
        </w:rPr>
        <w:t>提交的纸质文件</w:t>
      </w:r>
      <w:r>
        <w:rPr>
          <w:rFonts w:hint="eastAsia"/>
          <w:color w:val="C00000"/>
        </w:rPr>
        <w:t>（备案</w:t>
      </w:r>
      <w:r>
        <w:rPr>
          <w:color w:val="C00000"/>
        </w:rPr>
        <w:t>用</w:t>
      </w:r>
      <w:r>
        <w:rPr>
          <w:rFonts w:hint="eastAsia"/>
          <w:color w:val="C00000"/>
        </w:rPr>
        <w:t>）应</w:t>
      </w:r>
      <w:r>
        <w:rPr>
          <w:color w:val="C00000"/>
        </w:rPr>
        <w:t>从专用制作软件中直接打印，并</w:t>
      </w:r>
      <w:r>
        <w:rPr>
          <w:rFonts w:hint="eastAsia"/>
          <w:color w:val="C00000"/>
        </w:rPr>
        <w:t>与</w:t>
      </w:r>
      <w:r>
        <w:rPr>
          <w:color w:val="C00000"/>
        </w:rPr>
        <w:t>电子投标文件保持一致，不得再进行</w:t>
      </w:r>
      <w:r>
        <w:rPr>
          <w:rFonts w:hint="eastAsia"/>
          <w:color w:val="C00000"/>
        </w:rPr>
        <w:t>补充</w:t>
      </w:r>
      <w:r>
        <w:rPr>
          <w:color w:val="C00000"/>
        </w:rPr>
        <w:t>和修改。</w:t>
      </w:r>
    </w:p>
    <w:p>
      <w:pPr>
        <w:pStyle w:val="4"/>
        <w:ind w:firstLine="482"/>
      </w:pPr>
      <w:r>
        <w:rPr>
          <w:rFonts w:hint="eastAsia"/>
        </w:rPr>
        <w:t>（七）关于电子投标文件的雷同性分析</w:t>
      </w:r>
    </w:p>
    <w:p>
      <w:pPr>
        <w:pStyle w:val="83"/>
        <w:ind w:firstLine="480"/>
      </w:pPr>
      <w:r>
        <w:rPr>
          <w:rFonts w:hint="eastAsia"/>
        </w:rPr>
        <w:t>根据陕西省公共资源交易中心2021年7月22日印发的《关于在政府采购交易系统中开通标书雷同性分析功能的通知》，在符合性审查环节，将由评标委员会（谈判小组、询价小组、磋商小组）在评标系统中对供应商的电子投标文件进行雷同性分析。</w:t>
      </w:r>
    </w:p>
    <w:p>
      <w:pPr>
        <w:pStyle w:val="83"/>
        <w:ind w:firstLine="480"/>
      </w:pPr>
      <w:r>
        <w:rPr>
          <w:rFonts w:hint="eastAsia"/>
        </w:rPr>
        <w:t>雷同性分析由两项指标组成，分别是“文件制作机器码”和“文件创建标识码”。其中，前者通过验证电子投标文件制作设备的特征信息（如MAC地址、硬盘序列号、CPU编号、主板号等），判断电子投标文件是否出自同一台设备。</w:t>
      </w:r>
    </w:p>
    <w:p>
      <w:pPr>
        <w:pStyle w:val="83"/>
        <w:ind w:firstLine="480"/>
      </w:pPr>
      <w:r>
        <w:rPr>
          <w:rFonts w:hint="eastAsia"/>
        </w:rPr>
        <w:t>若“文件制作机器码”一致，则表明不同投标供应商的电子投标文件出自同一台制作设备，根据《陕西省财政厅关于政府采购有关政策的复函》（陕财办采函〔2019〕18号），该情形可以视同“投标文件由同一单位或者个人编制的”情形。</w:t>
      </w:r>
    </w:p>
    <w:p>
      <w:pPr>
        <w:pStyle w:val="83"/>
        <w:ind w:firstLine="480"/>
      </w:pPr>
      <w:r>
        <w:rPr>
          <w:rFonts w:hint="eastAsia"/>
        </w:rPr>
        <w:t>若“文件创建标识码”一致，则表示不同投标供应商使用投标文件制作软件时，使用同一源工程文件，该情形建议由评标委员会（谈判小组、询价小组、磋商小组）结合项目情况综合判定。</w:t>
      </w:r>
    </w:p>
    <w:p>
      <w:pPr>
        <w:pStyle w:val="4"/>
        <w:ind w:firstLine="482"/>
      </w:pPr>
      <w:r>
        <w:rPr>
          <w:rFonts w:hint="eastAsia"/>
        </w:rPr>
        <w:t>（八）投标文件出现下列情形时，视同供应商串通投标，其投标无效：</w:t>
      </w:r>
    </w:p>
    <w:p>
      <w:pPr>
        <w:pStyle w:val="83"/>
        <w:ind w:firstLine="480"/>
      </w:pPr>
      <w:r>
        <w:rPr>
          <w:rFonts w:hint="eastAsia"/>
        </w:rPr>
        <w:t>1．不同供应商的投标文件由同一单位或者个人编制的；</w:t>
      </w:r>
    </w:p>
    <w:p>
      <w:pPr>
        <w:pStyle w:val="83"/>
        <w:ind w:firstLine="480"/>
      </w:pPr>
      <w:r>
        <w:rPr>
          <w:rFonts w:hint="eastAsia"/>
        </w:rPr>
        <w:t>2．不同供应商委托同一单位或者个人办理投标事宜的；</w:t>
      </w:r>
    </w:p>
    <w:p>
      <w:pPr>
        <w:pStyle w:val="83"/>
        <w:ind w:firstLine="480"/>
      </w:pPr>
      <w:r>
        <w:rPr>
          <w:rFonts w:hint="eastAsia"/>
        </w:rPr>
        <w:t>3．不同供应商的投标文件载明的项目管理成员或者联系人员为同一人的；</w:t>
      </w:r>
    </w:p>
    <w:p>
      <w:pPr>
        <w:pStyle w:val="83"/>
        <w:ind w:firstLine="480"/>
      </w:pPr>
      <w:r>
        <w:rPr>
          <w:rFonts w:hint="eastAsia"/>
        </w:rPr>
        <w:t>4．不同供应商的投标文件异常一致或者投标报价呈规律性差异的。</w:t>
      </w:r>
    </w:p>
    <w:p>
      <w:pPr>
        <w:pStyle w:val="83"/>
        <w:ind w:firstLine="480"/>
      </w:pPr>
      <w:r>
        <w:rPr>
          <w:rFonts w:hint="eastAsia"/>
        </w:rPr>
        <w:t>5．不同供应商的响应文件相互混编或混装的。</w:t>
      </w:r>
    </w:p>
    <w:p>
      <w:pPr>
        <w:pStyle w:val="3"/>
      </w:pPr>
      <w:r>
        <w:rPr>
          <w:rFonts w:hint="eastAsia"/>
        </w:rPr>
        <w:t>五</w:t>
      </w:r>
      <w:r>
        <w:t>、开标</w:t>
      </w:r>
      <w:r>
        <w:rPr>
          <w:rFonts w:hint="eastAsia"/>
        </w:rPr>
        <w:t>程序</w:t>
      </w:r>
    </w:p>
    <w:p>
      <w:pPr>
        <w:pStyle w:val="83"/>
        <w:ind w:firstLine="480"/>
      </w:pPr>
      <w:r>
        <w:rPr>
          <w:rFonts w:hint="eastAsia"/>
        </w:rPr>
        <w:t>开标工作由采购代理机构组织实施，整个过程受同级政府采购监管机构的监督、管理。本项目采用“不见面开标”形式，供应商无需抵达开标现场，即可在线实现开标、解密、澄清等操作。</w:t>
      </w:r>
    </w:p>
    <w:p>
      <w:pPr>
        <w:pStyle w:val="83"/>
        <w:ind w:firstLine="480"/>
      </w:pPr>
      <w:r>
        <w:t>操作说明：</w:t>
      </w:r>
      <w:r>
        <w:rPr>
          <w:rFonts w:hint="eastAsia"/>
        </w:rPr>
        <w:t>详见西安市公共资源交易平台〖首页</w:t>
      </w:r>
      <w:r>
        <w:t>·</w:t>
      </w:r>
      <w:r>
        <w:rPr>
          <w:rFonts w:hint="eastAsia"/>
        </w:rPr>
        <w:t>〉服务指南</w:t>
      </w:r>
      <w:r>
        <w:t>·</w:t>
      </w:r>
      <w:r>
        <w:rPr>
          <w:rFonts w:hint="eastAsia"/>
        </w:rPr>
        <w:t>〉下载专区〗中的《</w:t>
      </w:r>
      <w:r>
        <w:rPr>
          <w:rFonts w:hint="eastAsia"/>
          <w:color w:val="C00000"/>
        </w:rPr>
        <w:t>西安公共资源交易不见面开标大厅供应商操作手册</w:t>
      </w:r>
      <w:r>
        <w:rPr>
          <w:rFonts w:hint="eastAsia"/>
        </w:rPr>
        <w:t>》。</w:t>
      </w:r>
    </w:p>
    <w:p>
      <w:pPr>
        <w:pStyle w:val="83"/>
        <w:ind w:firstLine="480"/>
      </w:pPr>
      <w:r>
        <w:rPr>
          <w:rFonts w:hint="eastAsia"/>
        </w:rPr>
        <w:t>链接地址：</w:t>
      </w:r>
      <w:r>
        <w:fldChar w:fldCharType="begin"/>
      </w:r>
      <w:r>
        <w:instrText xml:space="preserve"> HYPERLINK "http://sxggzyjy.xa.gov.cn/fwzn/004003/20200426/bc8b2c1e-abe2-4168-913c-68ff93345faf.html" </w:instrText>
      </w:r>
      <w:r>
        <w:fldChar w:fldCharType="separate"/>
      </w:r>
      <w:r>
        <w:rPr>
          <w:rStyle w:val="33"/>
          <w:rFonts w:hint="eastAsia"/>
          <w:color w:val="0070C0"/>
        </w:rPr>
        <w:t>http://sxggzyjy.xa.gov.cn/fwzn/004003/20200426/bc8b2c1e-abe2-4168-913c-68ff93345faf.html</w:t>
      </w:r>
      <w:r>
        <w:rPr>
          <w:rStyle w:val="33"/>
          <w:rFonts w:hint="eastAsia"/>
          <w:color w:val="0070C0"/>
        </w:rPr>
        <w:fldChar w:fldCharType="end"/>
      </w:r>
    </w:p>
    <w:p>
      <w:pPr>
        <w:pStyle w:val="4"/>
        <w:ind w:firstLine="482"/>
      </w:pPr>
      <w:r>
        <w:rPr>
          <w:rFonts w:hint="eastAsia"/>
        </w:rPr>
        <w:t>（一）基本流程</w:t>
      </w:r>
    </w:p>
    <w:p>
      <w:pPr>
        <w:pStyle w:val="83"/>
        <w:ind w:firstLine="480"/>
      </w:pPr>
      <w:r>
        <w:rPr>
          <w:rFonts w:hint="eastAsia"/>
        </w:rPr>
        <w:t>1</w:t>
      </w:r>
      <w:r>
        <w:rPr>
          <w:rFonts w:hint="eastAsia"/>
          <w:color w:val="auto"/>
        </w:rPr>
        <w:t>．</w:t>
      </w:r>
      <w:r>
        <w:rPr>
          <w:rFonts w:hint="eastAsia"/>
        </w:rPr>
        <w:t>供应商登录</w:t>
      </w:r>
      <w:r>
        <w:t>：</w:t>
      </w:r>
      <w:r>
        <w:rPr>
          <w:rFonts w:hint="eastAsia"/>
        </w:rPr>
        <w:t>开标前，请各供应商至少提前半小时登录西安市公共资源交易平台〖</w:t>
      </w:r>
      <w:r>
        <w:t>首页·〉不见面开标〗</w:t>
      </w:r>
      <w:r>
        <w:rPr>
          <w:rFonts w:hint="eastAsia"/>
        </w:rPr>
        <w:t>系统。</w:t>
      </w:r>
    </w:p>
    <w:p>
      <w:pPr>
        <w:pStyle w:val="83"/>
        <w:ind w:firstLine="480"/>
      </w:pPr>
      <w:r>
        <w:rPr>
          <w:rFonts w:hint="eastAsia"/>
        </w:rPr>
        <w:t>2</w:t>
      </w:r>
      <w:r>
        <w:rPr>
          <w:rFonts w:hint="eastAsia"/>
          <w:color w:val="auto"/>
        </w:rPr>
        <w:t>．</w:t>
      </w:r>
      <w:r>
        <w:rPr>
          <w:rFonts w:hint="eastAsia"/>
        </w:rPr>
        <w:t>主持人宣布开标：提交投标文件截止时间过后，系统将不再接收任何投标文件。</w:t>
      </w:r>
    </w:p>
    <w:p>
      <w:pPr>
        <w:pStyle w:val="83"/>
        <w:ind w:firstLine="480"/>
      </w:pPr>
      <w:r>
        <w:t>3</w:t>
      </w:r>
      <w:r>
        <w:rPr>
          <w:rFonts w:hint="eastAsia"/>
          <w:color w:val="auto"/>
        </w:rPr>
        <w:t>．</w:t>
      </w:r>
      <w:r>
        <w:t>解密投标文件：</w:t>
      </w:r>
      <w:r>
        <w:rPr>
          <w:rFonts w:hint="eastAsia"/>
        </w:rPr>
        <w:t>供应商在收到主持人“开始解密”指令后，应使用“加密该电子投标文件时使用的CA锁（</w:t>
      </w:r>
      <w:r>
        <w:rPr>
          <w:rFonts w:hint="eastAsia"/>
          <w:color w:val="C00000"/>
        </w:rPr>
        <w:t>必须是同一把锁</w:t>
      </w:r>
      <w:r>
        <w:rPr>
          <w:rFonts w:hint="eastAsia"/>
        </w:rPr>
        <w:t>）”完成电子投标文件解密。除因【</w:t>
      </w:r>
      <w:r>
        <w:rPr>
          <w:rFonts w:hint="eastAsia"/>
          <w:color w:val="7030A0"/>
        </w:rPr>
        <w:t>西安市公共资源交易中心</w:t>
      </w:r>
      <w:r>
        <w:rPr>
          <w:rFonts w:hint="eastAsia"/>
        </w:rPr>
        <w:t>】断电、断网、系统故障及其他不可抗力等因素，导致“</w:t>
      </w:r>
      <w:r>
        <w:t>不见面开标</w:t>
      </w:r>
      <w:r>
        <w:rPr>
          <w:rFonts w:hint="eastAsia"/>
        </w:rPr>
        <w:t>”系统无法正常运行外，供应商应在规定的解密时间内完成解密。</w:t>
      </w:r>
    </w:p>
    <w:p>
      <w:pPr>
        <w:pStyle w:val="83"/>
        <w:ind w:firstLine="480"/>
      </w:pPr>
      <w:r>
        <w:t>4</w:t>
      </w:r>
      <w:r>
        <w:rPr>
          <w:rFonts w:hint="eastAsia"/>
          <w:color w:val="auto"/>
        </w:rPr>
        <w:t>．</w:t>
      </w:r>
      <w:r>
        <w:t>唱标：</w:t>
      </w:r>
      <w:r>
        <w:rPr>
          <w:rFonts w:hint="eastAsia"/>
        </w:rPr>
        <w:t>对于</w:t>
      </w:r>
      <w:r>
        <w:t>公开招标项目，</w:t>
      </w:r>
      <w:r>
        <w:rPr>
          <w:rFonts w:hint="eastAsia"/>
        </w:rPr>
        <w:t>“</w:t>
      </w:r>
      <w:r>
        <w:t>不见面开标</w:t>
      </w:r>
      <w:r>
        <w:rPr>
          <w:rFonts w:hint="eastAsia"/>
        </w:rPr>
        <w:t>”</w:t>
      </w:r>
      <w:r>
        <w:t>系统将</w:t>
      </w:r>
      <w:r>
        <w:rPr>
          <w:rFonts w:hint="eastAsia"/>
        </w:rPr>
        <w:t>自动</w:t>
      </w:r>
      <w:r>
        <w:t>展示供应商名单及其</w:t>
      </w:r>
      <w:r>
        <w:rPr>
          <w:rFonts w:hint="eastAsia"/>
        </w:rPr>
        <w:t>投标</w:t>
      </w:r>
      <w:r>
        <w:t>报价</w:t>
      </w:r>
      <w:r>
        <w:rPr>
          <w:rFonts w:hint="eastAsia"/>
        </w:rPr>
        <w:t>。</w:t>
      </w:r>
    </w:p>
    <w:p>
      <w:pPr>
        <w:pStyle w:val="83"/>
        <w:ind w:firstLine="480"/>
      </w:pPr>
      <w:r>
        <w:t>5</w:t>
      </w:r>
      <w:r>
        <w:rPr>
          <w:rFonts w:hint="eastAsia"/>
          <w:color w:val="auto"/>
        </w:rPr>
        <w:t>．</w:t>
      </w:r>
      <w:r>
        <w:rPr>
          <w:rFonts w:hint="eastAsia"/>
        </w:rPr>
        <w:t>开标结束：进入评审环节。供应商请保持在位，评审期间评标委员会可能会要求供应商对投标文件做相应的澄清。因供应商擅自离席造成的不利后果，由供应商自行承担。</w:t>
      </w:r>
    </w:p>
    <w:p>
      <w:pPr>
        <w:pStyle w:val="4"/>
        <w:ind w:firstLine="480" w:firstLineChars="200"/>
      </w:pPr>
      <w:r>
        <w:rPr>
          <w:rFonts w:hint="eastAsia"/>
        </w:rPr>
        <w:t>（二）开标环节出现以下情形之一的，投标文件将被视为无效：</w:t>
      </w:r>
    </w:p>
    <w:p>
      <w:pPr>
        <w:pStyle w:val="83"/>
        <w:ind w:firstLine="480"/>
        <w:rPr>
          <w:color w:val="auto"/>
        </w:rPr>
      </w:pPr>
      <w:r>
        <w:rPr>
          <w:rFonts w:hint="eastAsia"/>
          <w:color w:val="auto"/>
        </w:rPr>
        <w:t>1．</w:t>
      </w:r>
      <w:r>
        <w:rPr>
          <w:color w:val="auto"/>
        </w:rPr>
        <w:t>供应商</w:t>
      </w:r>
      <w:r>
        <w:rPr>
          <w:rFonts w:hint="eastAsia"/>
          <w:color w:val="auto"/>
        </w:rPr>
        <w:t>放弃</w:t>
      </w:r>
      <w:r>
        <w:rPr>
          <w:color w:val="auto"/>
        </w:rPr>
        <w:t>或拒绝对电子投标文件进行解密的；</w:t>
      </w:r>
    </w:p>
    <w:p>
      <w:pPr>
        <w:pStyle w:val="83"/>
        <w:ind w:firstLine="480"/>
        <w:rPr>
          <w:color w:val="auto"/>
        </w:rPr>
      </w:pPr>
      <w:r>
        <w:rPr>
          <w:color w:val="auto"/>
        </w:rPr>
        <w:t>2</w:t>
      </w:r>
      <w:r>
        <w:rPr>
          <w:rFonts w:hint="eastAsia"/>
          <w:color w:val="auto"/>
        </w:rPr>
        <w:t>．</w:t>
      </w:r>
      <w:r>
        <w:rPr>
          <w:color w:val="auto"/>
        </w:rPr>
        <w:t>因供应商自身原因，导致未在规定的解密时限内完整解密的，如</w:t>
      </w:r>
      <w:r>
        <w:rPr>
          <w:rFonts w:hint="eastAsia"/>
          <w:color w:val="auto"/>
        </w:rPr>
        <w:t>忘</w:t>
      </w:r>
      <w:r>
        <w:rPr>
          <w:color w:val="auto"/>
        </w:rPr>
        <w:t>带CA锁、</w:t>
      </w:r>
      <w:r>
        <w:rPr>
          <w:rFonts w:hint="eastAsia"/>
          <w:color w:val="auto"/>
        </w:rPr>
        <w:t>或</w:t>
      </w:r>
      <w:r>
        <w:rPr>
          <w:color w:val="auto"/>
        </w:rPr>
        <w:t>携带的CA锁与加密文件的CA锁</w:t>
      </w:r>
      <w:r>
        <w:rPr>
          <w:rFonts w:hint="eastAsia"/>
          <w:color w:val="auto"/>
        </w:rPr>
        <w:t>不同、或使用旧版招标文件编制投标文件</w:t>
      </w:r>
      <w:r>
        <w:rPr>
          <w:color w:val="auto"/>
        </w:rPr>
        <w:t>等情形；</w:t>
      </w:r>
    </w:p>
    <w:p>
      <w:pPr>
        <w:pStyle w:val="83"/>
        <w:ind w:firstLine="480"/>
        <w:rPr>
          <w:color w:val="auto"/>
        </w:rPr>
      </w:pPr>
      <w:r>
        <w:rPr>
          <w:rFonts w:hint="eastAsia"/>
          <w:color w:val="auto"/>
        </w:rPr>
        <w:t>3．上传</w:t>
      </w:r>
      <w:r>
        <w:rPr>
          <w:color w:val="auto"/>
        </w:rPr>
        <w:t>的电子投标文件无法正常打开的；</w:t>
      </w:r>
    </w:p>
    <w:p>
      <w:pPr>
        <w:pStyle w:val="83"/>
        <w:ind w:firstLine="480"/>
        <w:rPr>
          <w:color w:val="auto"/>
        </w:rPr>
      </w:pPr>
      <w:r>
        <w:rPr>
          <w:rFonts w:hint="eastAsia"/>
          <w:color w:val="auto"/>
        </w:rPr>
        <w:t>4．</w:t>
      </w:r>
      <w:r>
        <w:rPr>
          <w:color w:val="auto"/>
        </w:rPr>
        <w:t>政府采购法律法规规定的其他无效情形。</w:t>
      </w:r>
    </w:p>
    <w:p>
      <w:pPr>
        <w:pStyle w:val="4"/>
        <w:ind w:firstLine="482"/>
      </w:pPr>
      <w:r>
        <w:rPr>
          <w:rFonts w:hint="eastAsia"/>
        </w:rPr>
        <w:t>（</w:t>
      </w:r>
      <w:r>
        <w:t>三</w:t>
      </w:r>
      <w:r>
        <w:rPr>
          <w:rFonts w:hint="eastAsia"/>
        </w:rPr>
        <w:t>）突发状况的应急处置</w:t>
      </w:r>
    </w:p>
    <w:p>
      <w:pPr>
        <w:pStyle w:val="83"/>
        <w:ind w:firstLine="480"/>
        <w:rPr>
          <w:color w:val="auto"/>
        </w:rPr>
      </w:pPr>
      <w:r>
        <w:rPr>
          <w:rFonts w:hint="eastAsia"/>
          <w:color w:val="auto"/>
        </w:rPr>
        <w:t>在开评标过程中，如因停电、断网、电子化系统故障等特殊原因导致电子化开、评标工作无法正常进行时，采购代理机构将及时汇报</w:t>
      </w:r>
      <w:r>
        <w:rPr>
          <w:color w:val="auto"/>
        </w:rPr>
        <w:t>政府采购监管部门，并等待或中止</w:t>
      </w:r>
      <w:r>
        <w:rPr>
          <w:rFonts w:hint="eastAsia"/>
          <w:color w:val="auto"/>
        </w:rPr>
        <w:t>后续</w:t>
      </w:r>
      <w:r>
        <w:rPr>
          <w:color w:val="auto"/>
        </w:rPr>
        <w:t>活动</w:t>
      </w:r>
      <w:r>
        <w:rPr>
          <w:rFonts w:hint="eastAsia"/>
          <w:color w:val="auto"/>
        </w:rPr>
        <w:t>。</w:t>
      </w:r>
    </w:p>
    <w:p>
      <w:pPr>
        <w:pStyle w:val="3"/>
      </w:pPr>
      <w:r>
        <w:t>六、资格审查</w:t>
      </w:r>
    </w:p>
    <w:p>
      <w:pPr>
        <w:pStyle w:val="83"/>
        <w:ind w:firstLine="480"/>
      </w:pPr>
      <w:r>
        <w:t>开标结束后，由采购人委派的</w:t>
      </w:r>
      <w:r>
        <w:rPr>
          <w:color w:val="C00000"/>
        </w:rPr>
        <w:t>资格审查小组</w:t>
      </w:r>
      <w:r>
        <w:t>按照《政府采购货物和服务招</w:t>
      </w:r>
      <w:r>
        <w:rPr>
          <w:rFonts w:hint="eastAsia"/>
          <w:w w:val="1"/>
        </w:rPr>
        <w:t xml:space="preserve"> </w:t>
      </w:r>
      <w:r>
        <w:t>标投</w:t>
      </w:r>
      <w:r>
        <w:rPr>
          <w:rFonts w:hint="eastAsia"/>
          <w:w w:val="1"/>
        </w:rPr>
        <w:t xml:space="preserve"> </w:t>
      </w:r>
      <w:r>
        <w:t>标管理办法》（财政部第87号令）有关规定，对投标文件中的供应商资格证明文件进行审查，并对供应商</w:t>
      </w:r>
      <w:r>
        <w:rPr>
          <w:rFonts w:hint="eastAsia"/>
        </w:rPr>
        <w:t>信用</w:t>
      </w:r>
      <w:r>
        <w:t>记录进行核查。资格审查小组</w:t>
      </w:r>
      <w:r>
        <w:rPr>
          <w:rFonts w:hint="eastAsia"/>
        </w:rPr>
        <w:t>由3人以上单数组成，采购人应出具书面授权函，并指定组长。</w:t>
      </w:r>
    </w:p>
    <w:p>
      <w:pPr>
        <w:pStyle w:val="83"/>
        <w:ind w:firstLine="480"/>
        <w:rPr>
          <w:color w:val="auto"/>
        </w:rPr>
      </w:pPr>
      <w:r>
        <w:rPr>
          <w:color w:val="auto"/>
        </w:rPr>
        <w:t>供应商提供的资格证明文件缺少任何一项或</w:t>
      </w:r>
      <w:r>
        <w:rPr>
          <w:rFonts w:hint="eastAsia"/>
          <w:color w:val="auto"/>
        </w:rPr>
        <w:t>有</w:t>
      </w:r>
      <w:r>
        <w:rPr>
          <w:color w:val="auto"/>
        </w:rPr>
        <w:t>任何一项不满足，</w:t>
      </w:r>
      <w:r>
        <w:rPr>
          <w:rFonts w:hint="eastAsia"/>
          <w:color w:val="auto"/>
        </w:rPr>
        <w:t>都将被视为无效投标。供应商所提供的资格证明文件应图文清晰、易于辨识，否则由此带来的不利后果由供应商自行承担。</w:t>
      </w:r>
    </w:p>
    <w:p>
      <w:pPr>
        <w:pStyle w:val="83"/>
        <w:ind w:firstLine="480"/>
      </w:pPr>
      <w:r>
        <w:t>资格审查结束后，资格审查小组成员应当对审查结果进行签字确认；</w:t>
      </w:r>
      <w:r>
        <w:rPr>
          <w:rFonts w:hint="eastAsia"/>
        </w:rPr>
        <w:t>对未通过资格审查的供应商，资格审查小组应</w:t>
      </w:r>
      <w:r>
        <w:t>当场告知其未通过的原因。</w:t>
      </w:r>
    </w:p>
    <w:p>
      <w:pPr>
        <w:pStyle w:val="83"/>
        <w:ind w:firstLine="480"/>
      </w:pPr>
      <w:r>
        <w:t>合格供应商不足3家的，不得评标。</w:t>
      </w:r>
    </w:p>
    <w:p>
      <w:pPr>
        <w:keepNext/>
        <w:spacing w:before="230" w:beforeLines="50" w:after="230" w:afterLines="50"/>
        <w:jc w:val="center"/>
        <w:outlineLvl w:val="3"/>
        <w:rPr>
          <w:rFonts w:ascii="黑体" w:hAnsi="黑体" w:eastAsia="黑体" w:cstheme="minorHAnsi"/>
          <w:color w:val="1F4E79"/>
          <w:sz w:val="32"/>
          <w:szCs w:val="32"/>
        </w:rPr>
      </w:pPr>
      <w:r>
        <w:rPr>
          <w:rFonts w:hint="eastAsia" w:ascii="黑体" w:hAnsi="黑体" w:eastAsia="黑体" w:cstheme="minorHAnsi"/>
          <w:color w:val="1F4E79"/>
          <w:sz w:val="32"/>
          <w:szCs w:val="32"/>
        </w:rPr>
        <w:t>『资格</w:t>
      </w:r>
      <w:r>
        <w:rPr>
          <w:rFonts w:ascii="黑体" w:hAnsi="黑体" w:eastAsia="黑体" w:cstheme="minorHAnsi"/>
          <w:color w:val="1F4E79"/>
          <w:sz w:val="32"/>
          <w:szCs w:val="32"/>
        </w:rPr>
        <w:t>性审查表</w:t>
      </w:r>
      <w:r>
        <w:rPr>
          <w:rFonts w:hint="eastAsia" w:ascii="黑体" w:hAnsi="黑体" w:eastAsia="黑体" w:cstheme="minorHAnsi"/>
          <w:color w:val="1F4E79"/>
          <w:sz w:val="32"/>
          <w:szCs w:val="32"/>
        </w:rPr>
        <w:t>』</w:t>
      </w:r>
    </w:p>
    <w:tbl>
      <w:tblPr>
        <w:tblStyle w:val="26"/>
        <w:tblW w:w="9092"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703"/>
        <w:gridCol w:w="2543"/>
        <w:gridCol w:w="5846"/>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jc w:val="center"/>
        </w:trPr>
        <w:tc>
          <w:tcPr>
            <w:tcW w:w="703" w:type="dxa"/>
            <w:tcBorders>
              <w:top w:val="single" w:color="auto" w:sz="12" w:space="0"/>
              <w:bottom w:val="single" w:color="auto" w:sz="2" w:space="0"/>
            </w:tcBorders>
            <w:shd w:val="clear" w:color="auto" w:fill="F1F1F1" w:themeFill="background1" w:themeFillShade="F2"/>
            <w:vAlign w:val="center"/>
          </w:tcPr>
          <w:p>
            <w:pPr>
              <w:spacing w:line="400" w:lineRule="exact"/>
              <w:jc w:val="center"/>
              <w:rPr>
                <w:rFonts w:ascii="Calibri" w:hAnsi="宋体" w:eastAsia="宋体" w:cstheme="minorHAnsi"/>
                <w:b/>
                <w:bCs/>
                <w:sz w:val="21"/>
              </w:rPr>
            </w:pPr>
            <w:r>
              <w:rPr>
                <w:rFonts w:ascii="Calibri" w:hAnsi="宋体" w:eastAsia="宋体" w:cstheme="minorHAnsi"/>
                <w:b/>
                <w:bCs/>
                <w:sz w:val="21"/>
              </w:rPr>
              <w:t>序号</w:t>
            </w:r>
          </w:p>
        </w:tc>
        <w:tc>
          <w:tcPr>
            <w:tcW w:w="2543" w:type="dxa"/>
            <w:tcBorders>
              <w:top w:val="single" w:color="auto" w:sz="12" w:space="0"/>
              <w:bottom w:val="single" w:color="auto" w:sz="2" w:space="0"/>
            </w:tcBorders>
            <w:shd w:val="clear" w:color="auto" w:fill="F1F1F1" w:themeFill="background1" w:themeFillShade="F2"/>
            <w:vAlign w:val="center"/>
          </w:tcPr>
          <w:p>
            <w:pPr>
              <w:spacing w:line="400" w:lineRule="exact"/>
              <w:jc w:val="center"/>
              <w:rPr>
                <w:rFonts w:ascii="Calibri" w:hAnsi="宋体" w:eastAsia="宋体" w:cstheme="minorHAnsi"/>
                <w:b/>
                <w:bCs/>
                <w:sz w:val="21"/>
              </w:rPr>
            </w:pPr>
            <w:r>
              <w:rPr>
                <w:rFonts w:ascii="Calibri" w:hAnsi="宋体" w:eastAsia="宋体" w:cstheme="minorHAnsi"/>
                <w:b/>
                <w:bCs/>
                <w:sz w:val="21"/>
              </w:rPr>
              <w:t>资格性审查项</w:t>
            </w:r>
          </w:p>
        </w:tc>
        <w:tc>
          <w:tcPr>
            <w:tcW w:w="5846" w:type="dxa"/>
            <w:tcBorders>
              <w:top w:val="single" w:color="auto" w:sz="12" w:space="0"/>
              <w:bottom w:val="single" w:color="auto" w:sz="2" w:space="0"/>
            </w:tcBorders>
            <w:shd w:val="clear" w:color="auto" w:fill="F1F1F1" w:themeFill="background1" w:themeFillShade="F2"/>
            <w:vAlign w:val="center"/>
          </w:tcPr>
          <w:p>
            <w:pPr>
              <w:spacing w:line="400" w:lineRule="exact"/>
              <w:jc w:val="center"/>
              <w:rPr>
                <w:rFonts w:ascii="Calibri" w:hAnsi="宋体" w:eastAsia="宋体" w:cstheme="minorHAnsi"/>
                <w:b/>
                <w:bCs/>
                <w:sz w:val="21"/>
              </w:rPr>
            </w:pPr>
            <w:r>
              <w:rPr>
                <w:rFonts w:ascii="Calibri" w:hAnsi="宋体" w:eastAsia="宋体" w:cstheme="minorHAnsi"/>
                <w:b/>
                <w:bCs/>
                <w:sz w:val="21"/>
              </w:rPr>
              <w:t>审查内容</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jc w:val="center"/>
        </w:trPr>
        <w:tc>
          <w:tcPr>
            <w:tcW w:w="703" w:type="dxa"/>
            <w:tcBorders>
              <w:top w:val="single" w:color="auto" w:sz="2" w:space="0"/>
            </w:tcBorders>
            <w:shd w:val="clear" w:color="auto" w:fill="auto"/>
            <w:vAlign w:val="center"/>
          </w:tcPr>
          <w:p>
            <w:pPr>
              <w:spacing w:line="400" w:lineRule="exact"/>
              <w:jc w:val="center"/>
              <w:rPr>
                <w:rFonts w:ascii="Calibri" w:hAnsi="宋体" w:eastAsia="宋体" w:cstheme="minorHAnsi"/>
                <w:b/>
                <w:bCs/>
                <w:sz w:val="21"/>
              </w:rPr>
            </w:pPr>
            <w:r>
              <w:rPr>
                <w:rFonts w:ascii="Calibri" w:hAnsi="宋体" w:eastAsia="宋体" w:cstheme="minorHAnsi"/>
                <w:b/>
                <w:bCs/>
                <w:sz w:val="21"/>
              </w:rPr>
              <w:t>一</w:t>
            </w:r>
          </w:p>
        </w:tc>
        <w:tc>
          <w:tcPr>
            <w:tcW w:w="8389" w:type="dxa"/>
            <w:gridSpan w:val="2"/>
            <w:tcBorders>
              <w:top w:val="single" w:color="auto" w:sz="2" w:space="0"/>
            </w:tcBorders>
            <w:shd w:val="clear" w:color="auto" w:fill="auto"/>
            <w:vAlign w:val="center"/>
          </w:tcPr>
          <w:p>
            <w:pPr>
              <w:spacing w:line="400" w:lineRule="exact"/>
              <w:rPr>
                <w:rFonts w:ascii="Calibri" w:hAnsi="宋体" w:eastAsia="宋体" w:cstheme="minorHAnsi"/>
                <w:b/>
                <w:bCs/>
                <w:sz w:val="21"/>
              </w:rPr>
            </w:pPr>
            <w:r>
              <w:rPr>
                <w:rFonts w:hint="eastAsia" w:ascii="Calibri" w:hAnsi="宋体" w:eastAsia="宋体" w:cstheme="minorHAnsi"/>
                <w:b/>
                <w:bCs/>
                <w:sz w:val="21"/>
              </w:rPr>
              <w:t>基本资格条件</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jc w:val="center"/>
        </w:trPr>
        <w:tc>
          <w:tcPr>
            <w:tcW w:w="703" w:type="dxa"/>
            <w:vAlign w:val="center"/>
          </w:tcPr>
          <w:p>
            <w:pPr>
              <w:spacing w:line="400" w:lineRule="exact"/>
              <w:jc w:val="center"/>
              <w:rPr>
                <w:rFonts w:ascii="Calibri" w:hAnsi="宋体" w:eastAsia="宋体" w:cstheme="minorHAnsi"/>
                <w:bCs/>
                <w:sz w:val="21"/>
              </w:rPr>
            </w:pPr>
            <w:r>
              <w:rPr>
                <w:rFonts w:hint="eastAsia" w:ascii="Calibri" w:hAnsi="宋体" w:eastAsia="宋体" w:cstheme="minorHAnsi"/>
                <w:bCs/>
                <w:sz w:val="21"/>
              </w:rPr>
              <w:t>1</w:t>
            </w:r>
          </w:p>
        </w:tc>
        <w:tc>
          <w:tcPr>
            <w:tcW w:w="2543" w:type="dxa"/>
            <w:vAlign w:val="center"/>
          </w:tcPr>
          <w:p>
            <w:pPr>
              <w:spacing w:line="400" w:lineRule="exact"/>
              <w:jc w:val="both"/>
              <w:rPr>
                <w:rFonts w:ascii="Calibri" w:hAnsi="宋体" w:eastAsia="宋体" w:cstheme="minorHAnsi"/>
                <w:bCs/>
                <w:sz w:val="21"/>
              </w:rPr>
            </w:pPr>
            <w:r>
              <w:rPr>
                <w:rFonts w:hint="eastAsia" w:ascii="Calibri" w:hAnsi="宋体" w:eastAsia="宋体" w:cstheme="minorHAnsi"/>
                <w:bCs/>
                <w:sz w:val="21"/>
              </w:rPr>
              <w:t>有效的注册登记证明文件</w:t>
            </w:r>
          </w:p>
        </w:tc>
        <w:tc>
          <w:tcPr>
            <w:tcW w:w="5846" w:type="dxa"/>
            <w:vAlign w:val="center"/>
          </w:tcPr>
          <w:p>
            <w:pPr>
              <w:spacing w:line="400" w:lineRule="exact"/>
              <w:jc w:val="both"/>
              <w:rPr>
                <w:rFonts w:ascii="Calibri" w:hAnsi="宋体" w:eastAsia="宋体" w:cstheme="minorHAnsi"/>
                <w:bCs/>
                <w:sz w:val="21"/>
              </w:rPr>
            </w:pPr>
            <w:r>
              <w:rPr>
                <w:rFonts w:hint="eastAsia" w:ascii="Calibri" w:hAnsi="宋体" w:eastAsia="宋体" w:cstheme="minorHAnsi"/>
                <w:bCs/>
                <w:sz w:val="21"/>
              </w:rPr>
              <w:t>在中华人民共和国境内注册，并有效存续的营业执照（含电子营业执照）\事业单位法人证书\民办非企业单位登记证书\非企业专业服务机构执业许可证等。</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PrEx>
        <w:trPr>
          <w:jc w:val="center"/>
        </w:trPr>
        <w:tc>
          <w:tcPr>
            <w:tcW w:w="703" w:type="dxa"/>
            <w:vAlign w:val="center"/>
          </w:tcPr>
          <w:p>
            <w:pPr>
              <w:spacing w:line="400" w:lineRule="exact"/>
              <w:jc w:val="center"/>
              <w:rPr>
                <w:rFonts w:ascii="Calibri" w:hAnsi="宋体" w:eastAsia="宋体" w:cstheme="minorHAnsi"/>
                <w:bCs/>
                <w:sz w:val="21"/>
              </w:rPr>
            </w:pPr>
            <w:r>
              <w:rPr>
                <w:rFonts w:hint="eastAsia" w:ascii="Calibri" w:hAnsi="宋体" w:eastAsia="宋体" w:cstheme="minorHAnsi"/>
                <w:bCs/>
                <w:sz w:val="21"/>
              </w:rPr>
              <w:t>2</w:t>
            </w:r>
          </w:p>
        </w:tc>
        <w:tc>
          <w:tcPr>
            <w:tcW w:w="2543" w:type="dxa"/>
            <w:vAlign w:val="center"/>
          </w:tcPr>
          <w:p>
            <w:pPr>
              <w:spacing w:line="400" w:lineRule="exact"/>
              <w:jc w:val="both"/>
              <w:rPr>
                <w:rFonts w:ascii="Calibri" w:hAnsi="宋体" w:eastAsia="宋体" w:cstheme="minorHAnsi"/>
                <w:bCs/>
                <w:sz w:val="21"/>
              </w:rPr>
            </w:pPr>
            <w:r>
              <w:rPr>
                <w:rFonts w:hint="eastAsia" w:ascii="Calibri" w:hAnsi="宋体" w:eastAsia="宋体" w:cstheme="minorHAnsi"/>
                <w:bCs/>
                <w:sz w:val="21"/>
              </w:rPr>
              <w:t>财务状况报告（任选其一）</w:t>
            </w:r>
          </w:p>
        </w:tc>
        <w:tc>
          <w:tcPr>
            <w:tcW w:w="5846" w:type="dxa"/>
            <w:vAlign w:val="center"/>
          </w:tcPr>
          <w:p>
            <w:pPr>
              <w:spacing w:line="400" w:lineRule="exact"/>
              <w:jc w:val="both"/>
              <w:rPr>
                <w:rFonts w:ascii="Calibri" w:hAnsi="宋体" w:eastAsia="宋体" w:cstheme="minorHAnsi"/>
                <w:bCs/>
                <w:sz w:val="21"/>
              </w:rPr>
            </w:pPr>
            <w:r>
              <w:rPr>
                <w:rFonts w:hint="eastAsia" w:ascii="Calibri" w:hAnsi="宋体" w:eastAsia="宋体" w:cstheme="minorHAnsi"/>
                <w:bCs/>
                <w:sz w:val="21"/>
              </w:rPr>
              <w:t>1．20</w:t>
            </w:r>
            <w:r>
              <w:rPr>
                <w:rFonts w:ascii="Calibri" w:hAnsi="宋体" w:eastAsia="宋体" w:cstheme="minorHAnsi"/>
                <w:bCs/>
                <w:sz w:val="21"/>
              </w:rPr>
              <w:t>24</w:t>
            </w:r>
            <w:r>
              <w:rPr>
                <w:rFonts w:hint="eastAsia" w:ascii="Calibri" w:hAnsi="宋体" w:eastAsia="宋体" w:cstheme="minorHAnsi"/>
                <w:bCs/>
                <w:sz w:val="21"/>
              </w:rPr>
              <w:t>年度或2</w:t>
            </w:r>
            <w:r>
              <w:rPr>
                <w:rFonts w:ascii="Calibri" w:hAnsi="宋体" w:eastAsia="宋体" w:cstheme="minorHAnsi"/>
                <w:bCs/>
                <w:sz w:val="21"/>
              </w:rPr>
              <w:t>023</w:t>
            </w:r>
            <w:r>
              <w:rPr>
                <w:rFonts w:hint="eastAsia" w:ascii="Calibri" w:hAnsi="宋体" w:eastAsia="宋体" w:cstheme="minorHAnsi"/>
                <w:bCs/>
                <w:sz w:val="21"/>
              </w:rPr>
              <w:t>年度经审计的财务会计报告（成立时间至提交投标文件截止时间不足一年的可提供成立后任意时段的资产负债表）；</w:t>
            </w:r>
          </w:p>
          <w:p>
            <w:pPr>
              <w:spacing w:line="400" w:lineRule="exact"/>
              <w:jc w:val="both"/>
              <w:rPr>
                <w:rFonts w:ascii="Calibri" w:hAnsi="宋体" w:eastAsia="宋体" w:cstheme="minorHAnsi"/>
                <w:bCs/>
                <w:sz w:val="21"/>
              </w:rPr>
            </w:pPr>
            <w:r>
              <w:rPr>
                <w:rFonts w:hint="eastAsia" w:ascii="Calibri" w:hAnsi="宋体" w:eastAsia="宋体" w:cstheme="minorHAnsi"/>
                <w:bCs/>
                <w:sz w:val="21"/>
              </w:rPr>
              <w:t>2．提供供应商基本存款账户信息及开标日期前9</w:t>
            </w:r>
            <w:r>
              <w:rPr>
                <w:rFonts w:ascii="Calibri" w:hAnsi="宋体" w:eastAsia="宋体" w:cstheme="minorHAnsi"/>
                <w:bCs/>
                <w:sz w:val="21"/>
              </w:rPr>
              <w:t>0日</w:t>
            </w:r>
            <w:r>
              <w:rPr>
                <w:rFonts w:hint="eastAsia" w:ascii="Calibri" w:hAnsi="宋体" w:eastAsia="宋体" w:cstheme="minorHAnsi"/>
                <w:bCs/>
                <w:sz w:val="21"/>
              </w:rPr>
              <w:t>内其基本存款账户开户银行出具的资信证明。</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jc w:val="center"/>
        </w:trPr>
        <w:tc>
          <w:tcPr>
            <w:tcW w:w="703" w:type="dxa"/>
            <w:vAlign w:val="center"/>
          </w:tcPr>
          <w:p>
            <w:pPr>
              <w:spacing w:line="400" w:lineRule="exact"/>
              <w:jc w:val="center"/>
              <w:rPr>
                <w:rFonts w:ascii="Calibri" w:hAnsi="宋体" w:eastAsia="宋体" w:cstheme="minorHAnsi"/>
                <w:bCs/>
                <w:sz w:val="21"/>
              </w:rPr>
            </w:pPr>
            <w:r>
              <w:rPr>
                <w:rFonts w:hint="eastAsia" w:ascii="Calibri" w:hAnsi="宋体" w:eastAsia="宋体" w:cstheme="minorHAnsi"/>
                <w:bCs/>
                <w:sz w:val="21"/>
              </w:rPr>
              <w:t>3</w:t>
            </w:r>
          </w:p>
        </w:tc>
        <w:tc>
          <w:tcPr>
            <w:tcW w:w="2543" w:type="dxa"/>
            <w:vAlign w:val="center"/>
          </w:tcPr>
          <w:p>
            <w:pPr>
              <w:spacing w:line="400" w:lineRule="exact"/>
              <w:jc w:val="both"/>
              <w:rPr>
                <w:rFonts w:ascii="Calibri" w:hAnsi="宋体" w:eastAsia="宋体" w:cstheme="minorHAnsi"/>
                <w:bCs/>
                <w:sz w:val="21"/>
              </w:rPr>
            </w:pPr>
            <w:r>
              <w:rPr>
                <w:rFonts w:hint="eastAsia" w:ascii="Calibri" w:hAnsi="宋体" w:eastAsia="宋体" w:cstheme="minorHAnsi"/>
                <w:bCs/>
                <w:sz w:val="21"/>
              </w:rPr>
              <w:t>社保资金缴纳证明</w:t>
            </w:r>
          </w:p>
        </w:tc>
        <w:tc>
          <w:tcPr>
            <w:tcW w:w="5846" w:type="dxa"/>
            <w:vAlign w:val="center"/>
          </w:tcPr>
          <w:p>
            <w:pPr>
              <w:spacing w:line="400" w:lineRule="exact"/>
              <w:jc w:val="both"/>
              <w:rPr>
                <w:rFonts w:ascii="Calibri" w:hAnsi="宋体" w:eastAsia="宋体" w:cstheme="minorHAnsi"/>
                <w:bCs/>
                <w:sz w:val="21"/>
              </w:rPr>
            </w:pPr>
            <w:r>
              <w:rPr>
                <w:rFonts w:hint="eastAsia" w:ascii="Calibri" w:hAnsi="宋体" w:eastAsia="宋体" w:cstheme="minorHAnsi"/>
                <w:bCs/>
                <w:sz w:val="21"/>
              </w:rPr>
              <w:t>自202</w:t>
            </w:r>
            <w:r>
              <w:rPr>
                <w:rFonts w:ascii="Calibri" w:hAnsi="宋体" w:eastAsia="宋体" w:cstheme="minorHAnsi"/>
                <w:bCs/>
                <w:sz w:val="21"/>
              </w:rPr>
              <w:t>4</w:t>
            </w:r>
            <w:r>
              <w:rPr>
                <w:rFonts w:hint="eastAsia" w:ascii="Calibri" w:hAnsi="宋体" w:eastAsia="宋体" w:cstheme="minorHAnsi"/>
                <w:bCs/>
                <w:sz w:val="21"/>
              </w:rPr>
              <w:t>年</w:t>
            </w:r>
            <w:r>
              <w:rPr>
                <w:rFonts w:ascii="Calibri" w:hAnsi="宋体" w:eastAsia="宋体" w:cstheme="minorHAnsi"/>
                <w:bCs/>
                <w:sz w:val="21"/>
              </w:rPr>
              <w:t>7</w:t>
            </w:r>
            <w:r>
              <w:rPr>
                <w:rFonts w:hint="eastAsia" w:ascii="Calibri" w:hAnsi="宋体" w:eastAsia="宋体" w:cstheme="minorHAnsi"/>
                <w:bCs/>
                <w:sz w:val="21"/>
              </w:rPr>
              <w:t>月1日以来已缴存的至少一个月的社会保障资金缴存单据或社保机构开具的社会保险参保缴费情况证明，缴费种类至少包括养老保险。单据或证明上应有社保机构或代收机构的公章或业务专用章。依法不需要缴纳社会保障资金的供应商应提供相关文件证明。</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jc w:val="center"/>
        </w:trPr>
        <w:tc>
          <w:tcPr>
            <w:tcW w:w="703" w:type="dxa"/>
            <w:vAlign w:val="center"/>
          </w:tcPr>
          <w:p>
            <w:pPr>
              <w:spacing w:line="400" w:lineRule="exact"/>
              <w:jc w:val="center"/>
              <w:rPr>
                <w:rFonts w:ascii="Calibri" w:hAnsi="宋体" w:eastAsia="宋体" w:cstheme="minorHAnsi"/>
                <w:bCs/>
                <w:sz w:val="21"/>
              </w:rPr>
            </w:pPr>
            <w:r>
              <w:rPr>
                <w:rFonts w:hint="eastAsia" w:ascii="Calibri" w:hAnsi="宋体" w:eastAsia="宋体" w:cstheme="minorHAnsi"/>
                <w:bCs/>
                <w:sz w:val="21"/>
              </w:rPr>
              <w:t>4</w:t>
            </w:r>
          </w:p>
        </w:tc>
        <w:tc>
          <w:tcPr>
            <w:tcW w:w="2543" w:type="dxa"/>
            <w:vAlign w:val="center"/>
          </w:tcPr>
          <w:p>
            <w:pPr>
              <w:spacing w:line="400" w:lineRule="exact"/>
              <w:jc w:val="both"/>
              <w:rPr>
                <w:rFonts w:ascii="Calibri" w:hAnsi="宋体" w:eastAsia="宋体" w:cstheme="minorHAnsi"/>
                <w:bCs/>
                <w:sz w:val="21"/>
              </w:rPr>
            </w:pPr>
            <w:r>
              <w:rPr>
                <w:rFonts w:hint="eastAsia" w:ascii="Calibri" w:hAnsi="宋体" w:eastAsia="宋体" w:cstheme="minorHAnsi"/>
                <w:bCs/>
                <w:sz w:val="21"/>
              </w:rPr>
              <w:t>税收缴纳证明</w:t>
            </w:r>
          </w:p>
        </w:tc>
        <w:tc>
          <w:tcPr>
            <w:tcW w:w="5846" w:type="dxa"/>
            <w:vAlign w:val="center"/>
          </w:tcPr>
          <w:p>
            <w:pPr>
              <w:spacing w:line="400" w:lineRule="exact"/>
              <w:jc w:val="both"/>
              <w:rPr>
                <w:rFonts w:ascii="Calibri" w:hAnsi="宋体" w:eastAsia="宋体" w:cstheme="minorHAnsi"/>
                <w:b/>
                <w:bCs/>
                <w:sz w:val="21"/>
              </w:rPr>
            </w:pPr>
            <w:r>
              <w:rPr>
                <w:rFonts w:hint="eastAsia" w:ascii="Calibri" w:hAnsi="宋体" w:eastAsia="宋体"/>
                <w:sz w:val="21"/>
              </w:rPr>
              <w:t>自202</w:t>
            </w:r>
            <w:r>
              <w:rPr>
                <w:rFonts w:ascii="Calibri" w:hAnsi="宋体" w:eastAsia="宋体"/>
                <w:sz w:val="21"/>
              </w:rPr>
              <w:t>4</w:t>
            </w:r>
            <w:r>
              <w:rPr>
                <w:rFonts w:hint="eastAsia" w:ascii="Calibri" w:hAnsi="宋体" w:eastAsia="宋体"/>
                <w:sz w:val="21"/>
              </w:rPr>
              <w:t>年</w:t>
            </w:r>
            <w:r>
              <w:rPr>
                <w:rFonts w:ascii="Calibri" w:hAnsi="宋体" w:eastAsia="宋体"/>
                <w:sz w:val="21"/>
              </w:rPr>
              <w:t>7</w:t>
            </w:r>
            <w:r>
              <w:rPr>
                <w:rFonts w:hint="eastAsia" w:ascii="Calibri" w:hAnsi="宋体" w:eastAsia="宋体"/>
                <w:sz w:val="21"/>
              </w:rPr>
              <w:t>月1日以来已缴存的至少一个月的纳税证明或完税证明，税种为增值税或企业所得税。纳税证明或完税证明上应有代收机构或税务机关的公章或业务专用章。依法免税的供应商应提供相关文件证明。</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jc w:val="center"/>
        </w:trPr>
        <w:tc>
          <w:tcPr>
            <w:tcW w:w="703" w:type="dxa"/>
            <w:vAlign w:val="center"/>
          </w:tcPr>
          <w:p>
            <w:pPr>
              <w:spacing w:line="400" w:lineRule="exact"/>
              <w:jc w:val="center"/>
              <w:rPr>
                <w:rFonts w:ascii="Calibri" w:hAnsi="宋体" w:eastAsia="宋体" w:cstheme="minorHAnsi"/>
                <w:bCs/>
                <w:sz w:val="21"/>
              </w:rPr>
            </w:pPr>
            <w:r>
              <w:rPr>
                <w:rFonts w:hint="eastAsia" w:ascii="Calibri" w:hAnsi="宋体" w:eastAsia="宋体" w:cstheme="minorHAnsi"/>
                <w:bCs/>
                <w:sz w:val="21"/>
              </w:rPr>
              <w:t>5</w:t>
            </w:r>
          </w:p>
        </w:tc>
        <w:tc>
          <w:tcPr>
            <w:tcW w:w="2543" w:type="dxa"/>
            <w:vAlign w:val="center"/>
          </w:tcPr>
          <w:p>
            <w:pPr>
              <w:spacing w:line="400" w:lineRule="exact"/>
              <w:jc w:val="both"/>
              <w:rPr>
                <w:rFonts w:ascii="Calibri" w:hAnsi="宋体" w:eastAsia="宋体" w:cstheme="minorHAnsi"/>
                <w:bCs/>
                <w:sz w:val="21"/>
              </w:rPr>
            </w:pPr>
            <w:r>
              <w:rPr>
                <w:rFonts w:hint="eastAsia" w:ascii="Calibri" w:hAnsi="宋体" w:eastAsia="宋体" w:cstheme="minorHAnsi"/>
                <w:bCs/>
                <w:sz w:val="21"/>
              </w:rPr>
              <w:t>无重大违法记录声明</w:t>
            </w:r>
          </w:p>
        </w:tc>
        <w:tc>
          <w:tcPr>
            <w:tcW w:w="5846" w:type="dxa"/>
            <w:vAlign w:val="center"/>
          </w:tcPr>
          <w:p>
            <w:pPr>
              <w:spacing w:line="400" w:lineRule="exact"/>
              <w:jc w:val="both"/>
              <w:rPr>
                <w:rFonts w:ascii="Calibri" w:hAnsi="宋体" w:eastAsia="宋体" w:cstheme="minorHAnsi"/>
                <w:b/>
                <w:bCs/>
                <w:sz w:val="21"/>
              </w:rPr>
            </w:pPr>
            <w:r>
              <w:rPr>
                <w:rFonts w:hint="eastAsia" w:ascii="Calibri" w:hAnsi="宋体" w:eastAsia="宋体"/>
                <w:sz w:val="21"/>
              </w:rPr>
              <w:t>参加本次政府采购活动前三年内</w:t>
            </w:r>
            <w:r>
              <w:rPr>
                <w:rFonts w:hint="eastAsia" w:ascii="Calibri" w:hAnsi="宋体" w:eastAsia="宋体" w:cstheme="minorHAnsi"/>
                <w:bCs/>
                <w:sz w:val="21"/>
              </w:rPr>
              <w:t>（以自然日计）</w:t>
            </w:r>
            <w:r>
              <w:rPr>
                <w:rFonts w:hint="eastAsia" w:ascii="Calibri" w:hAnsi="宋体" w:eastAsia="宋体"/>
                <w:sz w:val="21"/>
              </w:rPr>
              <w:t>在经营活动中没有重大违法记录，以及未被列入失信被执行人、重大税收违法案件当事人名单、政府采购严重违法失信行为记录名单的书面声明。</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PrEx>
        <w:trPr>
          <w:jc w:val="center"/>
        </w:trPr>
        <w:tc>
          <w:tcPr>
            <w:tcW w:w="703" w:type="dxa"/>
            <w:vAlign w:val="center"/>
          </w:tcPr>
          <w:p>
            <w:pPr>
              <w:spacing w:line="400" w:lineRule="exact"/>
              <w:jc w:val="center"/>
              <w:rPr>
                <w:rFonts w:ascii="Calibri" w:hAnsi="宋体" w:eastAsia="宋体" w:cstheme="minorHAnsi"/>
                <w:bCs/>
                <w:sz w:val="21"/>
              </w:rPr>
            </w:pPr>
            <w:r>
              <w:rPr>
                <w:rFonts w:hint="eastAsia" w:ascii="Calibri" w:hAnsi="宋体" w:eastAsia="宋体" w:cstheme="minorHAnsi"/>
                <w:bCs/>
                <w:sz w:val="21"/>
              </w:rPr>
              <w:t>6</w:t>
            </w:r>
          </w:p>
        </w:tc>
        <w:tc>
          <w:tcPr>
            <w:tcW w:w="2543" w:type="dxa"/>
            <w:vAlign w:val="center"/>
          </w:tcPr>
          <w:p>
            <w:pPr>
              <w:spacing w:line="400" w:lineRule="exact"/>
              <w:jc w:val="both"/>
              <w:rPr>
                <w:rFonts w:ascii="Calibri" w:hAnsi="宋体" w:eastAsia="宋体" w:cstheme="minorHAnsi"/>
                <w:bCs/>
                <w:sz w:val="21"/>
              </w:rPr>
            </w:pPr>
            <w:r>
              <w:rPr>
                <w:rFonts w:hint="eastAsia" w:ascii="Calibri" w:hAnsi="宋体" w:eastAsia="宋体" w:cstheme="minorHAnsi"/>
                <w:bCs/>
                <w:sz w:val="21"/>
              </w:rPr>
              <w:t>法定代表人（负责人）委托授权书</w:t>
            </w:r>
            <w:r>
              <w:rPr>
                <w:rFonts w:ascii="Calibri" w:hAnsi="宋体" w:eastAsia="宋体" w:cstheme="minorHAnsi"/>
                <w:bCs/>
                <w:sz w:val="21"/>
              </w:rPr>
              <w:t>\身份证明</w:t>
            </w:r>
          </w:p>
        </w:tc>
        <w:tc>
          <w:tcPr>
            <w:tcW w:w="5846" w:type="dxa"/>
            <w:vAlign w:val="center"/>
          </w:tcPr>
          <w:p>
            <w:pPr>
              <w:spacing w:line="400" w:lineRule="exact"/>
              <w:jc w:val="both"/>
              <w:rPr>
                <w:rFonts w:ascii="Calibri" w:hAnsi="宋体" w:eastAsia="宋体" w:cstheme="minorHAnsi"/>
                <w:bCs/>
                <w:sz w:val="21"/>
              </w:rPr>
            </w:pPr>
            <w:r>
              <w:rPr>
                <w:rFonts w:hint="eastAsia" w:ascii="Calibri" w:hAnsi="宋体" w:eastAsia="宋体" w:cstheme="minorHAnsi"/>
                <w:bCs/>
                <w:sz w:val="21"/>
              </w:rPr>
              <w:t>法定代表人（负责人）委托授权代表参加投标时，应提供法定代表人（负责人）委托授权书；法定代表人（负责人）亲自参加投标时，应提供法定代表人（负责人）身份证明书。</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jc w:val="center"/>
        </w:trPr>
        <w:tc>
          <w:tcPr>
            <w:tcW w:w="703" w:type="dxa"/>
            <w:vAlign w:val="center"/>
          </w:tcPr>
          <w:p>
            <w:pPr>
              <w:spacing w:line="400" w:lineRule="exact"/>
              <w:jc w:val="center"/>
              <w:rPr>
                <w:rFonts w:ascii="Calibri" w:hAnsi="宋体" w:eastAsia="宋体" w:cstheme="minorHAnsi"/>
                <w:b/>
                <w:bCs/>
                <w:sz w:val="21"/>
              </w:rPr>
            </w:pPr>
            <w:r>
              <w:rPr>
                <w:rFonts w:hint="eastAsia" w:ascii="Calibri" w:hAnsi="宋体" w:eastAsia="宋体" w:cstheme="minorHAnsi"/>
                <w:b/>
                <w:bCs/>
                <w:sz w:val="21"/>
              </w:rPr>
              <w:t>二</w:t>
            </w:r>
          </w:p>
        </w:tc>
        <w:tc>
          <w:tcPr>
            <w:tcW w:w="8389" w:type="dxa"/>
            <w:gridSpan w:val="2"/>
            <w:vAlign w:val="center"/>
          </w:tcPr>
          <w:p>
            <w:pPr>
              <w:spacing w:line="400" w:lineRule="exact"/>
              <w:jc w:val="both"/>
              <w:rPr>
                <w:rFonts w:ascii="Calibri" w:hAnsi="宋体" w:eastAsia="宋体" w:cstheme="minorHAnsi"/>
                <w:b/>
                <w:bCs/>
                <w:color w:val="C00000"/>
                <w:sz w:val="21"/>
              </w:rPr>
            </w:pPr>
            <w:r>
              <w:rPr>
                <w:rFonts w:ascii="Calibri" w:hAnsi="宋体" w:eastAsia="宋体" w:cstheme="minorHAnsi"/>
                <w:b/>
                <w:bCs/>
                <w:sz w:val="21"/>
              </w:rPr>
              <w:t>落实政府采购政策需要满足的资格条件</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jc w:val="center"/>
        </w:trPr>
        <w:tc>
          <w:tcPr>
            <w:tcW w:w="703" w:type="dxa"/>
            <w:vAlign w:val="center"/>
          </w:tcPr>
          <w:p>
            <w:pPr>
              <w:spacing w:line="400" w:lineRule="exact"/>
              <w:jc w:val="center"/>
              <w:rPr>
                <w:rFonts w:ascii="Calibri" w:hAnsi="宋体" w:eastAsia="宋体" w:cstheme="minorHAnsi"/>
                <w:bCs/>
                <w:sz w:val="21"/>
              </w:rPr>
            </w:pPr>
            <w:r>
              <w:rPr>
                <w:rFonts w:ascii="Calibri" w:hAnsi="宋体" w:eastAsia="宋体" w:cstheme="minorHAnsi"/>
                <w:bCs/>
                <w:sz w:val="21"/>
              </w:rPr>
              <w:t>1</w:t>
            </w:r>
          </w:p>
        </w:tc>
        <w:tc>
          <w:tcPr>
            <w:tcW w:w="8389" w:type="dxa"/>
            <w:gridSpan w:val="2"/>
            <w:vAlign w:val="center"/>
          </w:tcPr>
          <w:p>
            <w:pPr>
              <w:spacing w:line="400" w:lineRule="exact"/>
              <w:jc w:val="both"/>
              <w:rPr>
                <w:rFonts w:ascii="Calibri" w:hAnsi="宋体" w:eastAsia="宋体" w:cstheme="minorHAnsi"/>
                <w:bCs/>
                <w:color w:val="FF0000"/>
                <w:sz w:val="21"/>
              </w:rPr>
            </w:pPr>
            <w:r>
              <w:rPr>
                <w:rFonts w:hint="eastAsia" w:ascii="Calibri" w:hAnsi="宋体" w:eastAsia="宋体" w:cstheme="minorHAnsi"/>
                <w:bCs/>
                <w:color w:val="C00000"/>
                <w:sz w:val="21"/>
              </w:rPr>
              <w:t>无</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jc w:val="center"/>
        </w:trPr>
        <w:tc>
          <w:tcPr>
            <w:tcW w:w="703" w:type="dxa"/>
            <w:vAlign w:val="center"/>
          </w:tcPr>
          <w:p>
            <w:pPr>
              <w:spacing w:line="400" w:lineRule="exact"/>
              <w:jc w:val="center"/>
              <w:rPr>
                <w:rFonts w:ascii="Calibri" w:hAnsi="宋体" w:eastAsia="宋体" w:cstheme="minorHAnsi"/>
                <w:b/>
                <w:bCs/>
                <w:sz w:val="21"/>
              </w:rPr>
            </w:pPr>
            <w:r>
              <w:rPr>
                <w:rFonts w:hint="eastAsia" w:ascii="Calibri" w:hAnsi="宋体" w:eastAsia="宋体" w:cstheme="minorHAnsi"/>
                <w:b/>
                <w:bCs/>
                <w:sz w:val="21"/>
              </w:rPr>
              <w:t>三</w:t>
            </w:r>
          </w:p>
        </w:tc>
        <w:tc>
          <w:tcPr>
            <w:tcW w:w="8389" w:type="dxa"/>
            <w:gridSpan w:val="2"/>
            <w:vAlign w:val="center"/>
          </w:tcPr>
          <w:p>
            <w:pPr>
              <w:spacing w:line="400" w:lineRule="exact"/>
              <w:jc w:val="both"/>
              <w:rPr>
                <w:rFonts w:ascii="Calibri" w:hAnsi="宋体" w:eastAsia="宋体" w:cstheme="minorHAnsi"/>
                <w:b/>
                <w:bCs/>
                <w:sz w:val="21"/>
              </w:rPr>
            </w:pPr>
            <w:r>
              <w:rPr>
                <w:rFonts w:ascii="Calibri" w:hAnsi="宋体" w:eastAsia="宋体" w:cstheme="minorHAnsi"/>
                <w:b/>
                <w:bCs/>
                <w:sz w:val="21"/>
              </w:rPr>
              <w:t>特定资格条件</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PrEx>
        <w:trPr>
          <w:jc w:val="center"/>
        </w:trPr>
        <w:tc>
          <w:tcPr>
            <w:tcW w:w="703" w:type="dxa"/>
            <w:vAlign w:val="center"/>
          </w:tcPr>
          <w:p>
            <w:pPr>
              <w:spacing w:line="400" w:lineRule="exact"/>
              <w:jc w:val="center"/>
              <w:rPr>
                <w:rFonts w:ascii="Calibri" w:hAnsi="宋体" w:eastAsia="宋体" w:cstheme="minorHAnsi"/>
                <w:bCs/>
                <w:sz w:val="21"/>
              </w:rPr>
            </w:pPr>
            <w:r>
              <w:rPr>
                <w:rFonts w:hint="eastAsia" w:ascii="Calibri" w:hAnsi="宋体" w:eastAsia="宋体" w:cstheme="minorHAnsi"/>
                <w:bCs/>
                <w:sz w:val="21"/>
              </w:rPr>
              <w:t>1</w:t>
            </w:r>
          </w:p>
        </w:tc>
        <w:tc>
          <w:tcPr>
            <w:tcW w:w="8389" w:type="dxa"/>
            <w:gridSpan w:val="2"/>
            <w:vAlign w:val="center"/>
          </w:tcPr>
          <w:p>
            <w:pPr>
              <w:spacing w:line="400" w:lineRule="exact"/>
              <w:ind w:firstLine="420" w:firstLineChars="200"/>
              <w:jc w:val="both"/>
              <w:rPr>
                <w:rFonts w:ascii="Calibri" w:hAnsi="宋体" w:eastAsia="宋体"/>
                <w:sz w:val="21"/>
              </w:rPr>
            </w:pPr>
            <w:r>
              <w:rPr>
                <w:rFonts w:hint="eastAsia" w:ascii="Calibri" w:hAnsi="宋体" w:eastAsia="宋体"/>
                <w:sz w:val="21"/>
              </w:rPr>
              <w:t>（1）自行招用保安员的投标人，须出具承诺书（承诺书形式不限），承诺自承接本项目之日起30日内向采购人所在地设区的市级人民政府公安机关备案。</w:t>
            </w:r>
          </w:p>
          <w:p>
            <w:pPr>
              <w:spacing w:line="400" w:lineRule="exact"/>
              <w:ind w:firstLine="420" w:firstLineChars="200"/>
              <w:jc w:val="both"/>
              <w:rPr>
                <w:rFonts w:ascii="Calibri" w:hAnsi="宋体" w:eastAsia="宋体" w:cstheme="minorHAnsi"/>
                <w:bCs/>
                <w:color w:val="C00000"/>
                <w:sz w:val="21"/>
              </w:rPr>
            </w:pPr>
            <w:r>
              <w:rPr>
                <w:rFonts w:hint="eastAsia" w:ascii="Calibri" w:hAnsi="宋体" w:eastAsia="宋体"/>
                <w:sz w:val="21"/>
              </w:rPr>
              <w:t>（2）从保安服务公司购买保安服务的投标人，需提供该</w:t>
            </w:r>
            <w:r>
              <w:rPr>
                <w:rFonts w:ascii="Calibri" w:hAnsi="宋体" w:eastAsia="宋体"/>
                <w:sz w:val="21"/>
              </w:rPr>
              <w:t>保安公司的《</w:t>
            </w:r>
            <w:r>
              <w:rPr>
                <w:rFonts w:hint="eastAsia" w:ascii="Calibri" w:hAnsi="宋体" w:eastAsia="宋体"/>
                <w:sz w:val="21"/>
              </w:rPr>
              <w:t>保安服务</w:t>
            </w:r>
            <w:r>
              <w:rPr>
                <w:rFonts w:ascii="Calibri" w:hAnsi="宋体" w:eastAsia="宋体"/>
                <w:sz w:val="21"/>
              </w:rPr>
              <w:t>许可证》</w:t>
            </w:r>
            <w:r>
              <w:rPr>
                <w:rFonts w:hint="eastAsia" w:ascii="Calibri" w:hAnsi="宋体" w:eastAsia="宋体"/>
                <w:sz w:val="21"/>
              </w:rPr>
              <w:t>及投标人与保安服务公司签订的保安服务合同，明确规定服务的项目、内容以及双方的权利义务。</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jc w:val="center"/>
        </w:trPr>
        <w:tc>
          <w:tcPr>
            <w:tcW w:w="9092" w:type="dxa"/>
            <w:gridSpan w:val="3"/>
            <w:vAlign w:val="center"/>
          </w:tcPr>
          <w:p>
            <w:pPr>
              <w:spacing w:line="400" w:lineRule="exact"/>
              <w:jc w:val="both"/>
              <w:rPr>
                <w:rFonts w:ascii="Calibri" w:hAnsi="宋体" w:eastAsia="宋体" w:cstheme="minorHAnsi"/>
                <w:bCs/>
                <w:color w:val="C00000"/>
                <w:sz w:val="21"/>
              </w:rPr>
            </w:pPr>
            <w:r>
              <w:rPr>
                <w:rFonts w:ascii="Calibri" w:hAnsi="宋体" w:eastAsia="宋体" w:cstheme="minorHAnsi"/>
                <w:bCs/>
                <w:color w:val="C00000"/>
                <w:sz w:val="21"/>
              </w:rPr>
              <w:t>注意事项：</w:t>
            </w:r>
          </w:p>
          <w:p>
            <w:pPr>
              <w:spacing w:line="400" w:lineRule="exact"/>
              <w:ind w:left="315" w:hanging="315" w:hangingChars="150"/>
              <w:jc w:val="both"/>
              <w:rPr>
                <w:rFonts w:ascii="Calibri" w:hAnsi="宋体" w:eastAsia="宋体" w:cstheme="minorHAnsi"/>
                <w:bCs/>
                <w:sz w:val="21"/>
              </w:rPr>
            </w:pPr>
            <w:r>
              <w:rPr>
                <w:rFonts w:ascii="Calibri" w:hAnsi="宋体" w:eastAsia="宋体" w:cstheme="minorHAnsi"/>
                <w:bCs/>
                <w:sz w:val="21"/>
              </w:rPr>
              <w:t>1</w:t>
            </w:r>
            <w:r>
              <w:rPr>
                <w:rFonts w:hint="eastAsia" w:ascii="Calibri" w:hAnsi="宋体" w:eastAsia="宋体" w:cstheme="minorHAnsi"/>
                <w:bCs/>
                <w:sz w:val="21"/>
              </w:rPr>
              <w:t>．单位负责人为同一人或者存在直接控股、管理关系的不同供应商，不得参加同一合同项下的政府采购活动；除单一来源采购项目外，为采购项目提供整体设计、规范编制或者项目管理、监理、检测等服务的供应商，不得再参加该采购项目的其他采购活动。</w:t>
            </w:r>
          </w:p>
          <w:p>
            <w:pPr>
              <w:spacing w:line="400" w:lineRule="exact"/>
              <w:ind w:left="315" w:hanging="315" w:hangingChars="150"/>
              <w:jc w:val="both"/>
              <w:rPr>
                <w:rFonts w:ascii="Calibri" w:hAnsi="宋体" w:eastAsia="宋体" w:cstheme="minorHAnsi"/>
                <w:bCs/>
                <w:sz w:val="21"/>
              </w:rPr>
            </w:pPr>
            <w:r>
              <w:rPr>
                <w:rFonts w:ascii="Calibri" w:hAnsi="宋体" w:eastAsia="宋体" w:cstheme="minorHAnsi"/>
                <w:bCs/>
                <w:sz w:val="21"/>
              </w:rPr>
              <w:t>2．</w:t>
            </w:r>
            <w:r>
              <w:rPr>
                <w:rFonts w:hint="eastAsia" w:ascii="Calibri" w:hAnsi="宋体" w:eastAsia="宋体" w:cstheme="minorHAnsi"/>
                <w:bCs/>
                <w:sz w:val="21"/>
              </w:rPr>
              <w:t>除银行、保险、石油石化、电力、电信行业外，其他行业分支机构在参与本项目时，须同时提供分支机构主体资格证明文件和总公司（总所）出具的授权书，总公司（总所）只能授权一家分支机构。经总公司（总所）授权后，总公司（总所）取得的相关资质证书对分支机构有效（法律法规或行业另有规定的除外）。</w:t>
            </w:r>
          </w:p>
          <w:p>
            <w:pPr>
              <w:spacing w:line="400" w:lineRule="exact"/>
              <w:ind w:left="315" w:hanging="315" w:hangingChars="150"/>
              <w:jc w:val="both"/>
              <w:rPr>
                <w:rFonts w:ascii="Calibri" w:hAnsi="宋体" w:eastAsia="宋体" w:cstheme="minorHAnsi"/>
                <w:bCs/>
                <w:sz w:val="21"/>
              </w:rPr>
            </w:pPr>
            <w:r>
              <w:rPr>
                <w:rFonts w:ascii="Calibri" w:hAnsi="宋体" w:eastAsia="宋体" w:cstheme="minorHAnsi"/>
                <w:bCs/>
                <w:sz w:val="21"/>
              </w:rPr>
              <w:t>3</w:t>
            </w:r>
            <w:r>
              <w:rPr>
                <w:rFonts w:hint="eastAsia" w:ascii="Calibri" w:hAnsi="宋体" w:eastAsia="宋体" w:cstheme="minorHAnsi"/>
                <w:bCs/>
                <w:sz w:val="21"/>
              </w:rPr>
              <w:t>．依法免税或不需要缴纳社会保障资金的供应商，应提供相应证明文件，证明其依法免税或不需要缴纳社会保障资金；自然人（仅限中国公民）参与本项目时，只须提供身份证复印件。</w:t>
            </w:r>
          </w:p>
          <w:p>
            <w:pPr>
              <w:spacing w:line="400" w:lineRule="exact"/>
              <w:ind w:left="315" w:hanging="315" w:hangingChars="150"/>
              <w:jc w:val="both"/>
              <w:rPr>
                <w:rFonts w:ascii="Calibri" w:hAnsi="宋体" w:eastAsia="宋体" w:cstheme="minorHAnsi"/>
                <w:bCs/>
                <w:sz w:val="21"/>
              </w:rPr>
            </w:pPr>
            <w:r>
              <w:rPr>
                <w:rFonts w:ascii="Calibri" w:hAnsi="宋体" w:eastAsia="宋体" w:cstheme="minorHAnsi"/>
                <w:bCs/>
                <w:sz w:val="21"/>
              </w:rPr>
              <w:t>4</w:t>
            </w:r>
            <w:r>
              <w:rPr>
                <w:rFonts w:hint="eastAsia" w:ascii="Calibri" w:hAnsi="宋体" w:eastAsia="宋体" w:cstheme="minorHAnsi"/>
                <w:bCs/>
                <w:sz w:val="21"/>
              </w:rPr>
              <w:t>．《基本存款账户信息》、《无重大违法记录声明》、《法定代表人委托授权书》\《法定代表人身份证明书》应按第五章《响应文件构成及格式》中给定的格式填写，并按要求签字、盖章。</w:t>
            </w:r>
          </w:p>
          <w:p>
            <w:pPr>
              <w:spacing w:line="400" w:lineRule="exact"/>
              <w:ind w:left="315" w:hanging="315" w:hangingChars="150"/>
              <w:jc w:val="both"/>
              <w:rPr>
                <w:rFonts w:ascii="Calibri" w:hAnsi="宋体" w:eastAsia="宋体" w:cstheme="minorHAnsi"/>
                <w:bCs/>
                <w:sz w:val="21"/>
              </w:rPr>
            </w:pPr>
            <w:r>
              <w:rPr>
                <w:rFonts w:ascii="Calibri" w:hAnsi="宋体" w:eastAsia="宋体" w:cstheme="minorHAnsi"/>
                <w:bCs/>
                <w:sz w:val="21"/>
              </w:rPr>
              <w:t>5</w:t>
            </w:r>
            <w:r>
              <w:rPr>
                <w:rFonts w:hint="eastAsia" w:ascii="Calibri" w:hAnsi="宋体" w:eastAsia="宋体" w:cstheme="minorHAnsi"/>
                <w:bCs/>
                <w:sz w:val="21"/>
              </w:rPr>
              <w:t>．按照财政部《关于在政府采购活动中查询及使用信用记录有关问题的通知》（财库〔2016〕125号）要求，在资格审查阶段，采购人将对供应商的信用记录进行核查，出现采购文件第二章中「关于信用记录的查询和使用」所列失信行为的，将拒绝其参与政府采购活动。</w:t>
            </w:r>
          </w:p>
        </w:tc>
      </w:tr>
    </w:tbl>
    <w:p>
      <w:pPr>
        <w:pStyle w:val="3"/>
      </w:pPr>
      <w:r>
        <w:t>七、评审方法和程序</w:t>
      </w:r>
    </w:p>
    <w:p>
      <w:pPr>
        <w:pStyle w:val="4"/>
        <w:ind w:firstLine="482"/>
      </w:pPr>
      <w:r>
        <w:t>（一）评标方法</w:t>
      </w:r>
    </w:p>
    <w:p>
      <w:pPr>
        <w:pStyle w:val="83"/>
        <w:ind w:firstLine="480"/>
      </w:pPr>
      <w:r>
        <w:t>本项目采用</w:t>
      </w:r>
      <w:r>
        <w:rPr>
          <w:color w:val="C00000"/>
        </w:rPr>
        <w:t>综合评分法</w:t>
      </w:r>
      <w:r>
        <w:t>，即投标文件满足招标文件全部实质性要求，且按照评审因素的量化指标评审得分最高的供应商为中标候选人。</w:t>
      </w:r>
    </w:p>
    <w:p>
      <w:pPr>
        <w:pStyle w:val="4"/>
        <w:ind w:firstLine="482"/>
      </w:pPr>
      <w:r>
        <w:t>（二）评标形式</w:t>
      </w:r>
    </w:p>
    <w:p>
      <w:pPr>
        <w:pStyle w:val="83"/>
        <w:ind w:firstLine="480"/>
      </w:pPr>
      <w:r>
        <w:rPr>
          <w:rFonts w:hint="eastAsia"/>
        </w:rPr>
        <w:t>1．关于技术标“暗标盲评”</w:t>
      </w:r>
    </w:p>
    <w:p>
      <w:pPr>
        <w:pStyle w:val="83"/>
        <w:ind w:firstLine="480"/>
      </w:pPr>
      <w:r>
        <w:rPr>
          <w:rFonts w:hint="eastAsia"/>
        </w:rPr>
        <w:t>根据西安市发展和改革委员会《关于印发〈西安市深化公共资源交易平台整合共享行动方案〉的通知》（市发改发〔2021〕71号）要求，推动交易平台智慧化转型，西安市公共资源交易平台运用人工智能、云计算、大数据等前沿信息技术，建设模块化、智能化辅助评标系统，实现清标、批量评审、暗标评审等功能，使得评审结果更公正、真实。</w:t>
      </w:r>
    </w:p>
    <w:p>
      <w:pPr>
        <w:pStyle w:val="83"/>
        <w:ind w:firstLine="480"/>
      </w:pPr>
      <w:r>
        <w:rPr>
          <w:rFonts w:hint="eastAsia"/>
        </w:rPr>
        <w:t>所谓“暗标盲评”，是指隐匿或不公开投标单位名称，由评标系统将各投标单位进行随机编号，并将其提交的投标文件乱序后交由评标委员会进行评审，评审结果确定后，再由评标系统归类汇总各投标单位得分，确定中标候选人。暗标盲评不仅是对评审方法的一种创新，而且是对政府采购当事人行为的一种有效规范。</w:t>
      </w:r>
    </w:p>
    <w:p>
      <w:pPr>
        <w:pStyle w:val="83"/>
        <w:ind w:firstLine="480"/>
      </w:pPr>
      <w:r>
        <w:rPr>
          <w:rFonts w:hint="eastAsia"/>
        </w:rPr>
        <w:t>2．“暗标盲评部分”编制要求</w:t>
      </w:r>
    </w:p>
    <w:p>
      <w:pPr>
        <w:pStyle w:val="83"/>
        <w:ind w:firstLine="480"/>
        <w:rPr>
          <w:color w:val="C00000"/>
        </w:rPr>
      </w:pPr>
      <w:r>
        <w:rPr>
          <w:rFonts w:hint="eastAsia"/>
          <w:color w:val="C00000"/>
        </w:rPr>
        <w:t>暗标盲评部分应按如下要求编制，否则，将依据财政部第87号令《政府采购货物和服务招标投标管理办法》第六十三条第六款的规定，视为无效投标。</w:t>
      </w:r>
    </w:p>
    <w:p>
      <w:pPr>
        <w:pStyle w:val="83"/>
        <w:ind w:firstLine="480"/>
        <w:rPr>
          <w:color w:val="C00000"/>
        </w:rPr>
      </w:pPr>
      <w:r>
        <w:rPr>
          <w:rFonts w:hint="eastAsia"/>
          <w:color w:val="C00000"/>
        </w:rPr>
        <w:t>（1）不得出现任何可直接识别投标服务商身份的字符或徽标，包括文字、符号、图案、标志、标识、人员姓名、投标服务商独有的企业标准名称或编号等。</w:t>
      </w:r>
    </w:p>
    <w:p>
      <w:pPr>
        <w:pStyle w:val="83"/>
        <w:ind w:firstLine="480"/>
        <w:rPr>
          <w:color w:val="C00000"/>
        </w:rPr>
      </w:pPr>
      <w:r>
        <w:rPr>
          <w:rFonts w:hint="eastAsia"/>
          <w:color w:val="C00000"/>
        </w:rPr>
        <w:t>（2）签章要求：暗标部分不得进行签章。</w:t>
      </w:r>
    </w:p>
    <w:p>
      <w:pPr>
        <w:pStyle w:val="83"/>
        <w:ind w:firstLine="480"/>
        <w:rPr>
          <w:color w:val="C00000"/>
        </w:rPr>
      </w:pPr>
      <w:r>
        <w:rPr>
          <w:rFonts w:hint="eastAsia"/>
          <w:color w:val="C00000"/>
        </w:rPr>
        <w:t>暗标部分评审时出现争议的，评标委员会按照少数服从多数的原则做出结论。持不同意见的评审委员会成员应当在评审报告上签署不同意见并说明理由，否则视为同意。</w:t>
      </w:r>
    </w:p>
    <w:p>
      <w:pPr>
        <w:pStyle w:val="4"/>
        <w:ind w:firstLine="482"/>
      </w:pPr>
      <w:r>
        <w:t>（三）评标程序</w:t>
      </w:r>
    </w:p>
    <w:p>
      <w:pPr>
        <w:pStyle w:val="83"/>
        <w:ind w:firstLine="482"/>
        <w:rPr>
          <w:b/>
        </w:rPr>
      </w:pPr>
      <w:r>
        <w:rPr>
          <w:rFonts w:hint="eastAsia"/>
          <w:b/>
        </w:rPr>
        <w:t>1</w:t>
      </w:r>
      <w:r>
        <w:rPr>
          <w:rFonts w:hint="eastAsia"/>
          <w:b/>
          <w:color w:val="auto"/>
        </w:rPr>
        <w:t>．</w:t>
      </w:r>
      <w:r>
        <w:rPr>
          <w:rFonts w:hint="eastAsia"/>
          <w:b/>
        </w:rPr>
        <w:t>组建评标委员会</w:t>
      </w:r>
    </w:p>
    <w:p>
      <w:pPr>
        <w:pStyle w:val="83"/>
        <w:ind w:firstLine="480"/>
      </w:pPr>
      <w:r>
        <w:t>为了确保评标工作的公平、公正，依据《中华人民共和国政府采购法》及《</w:t>
      </w:r>
      <w:r>
        <w:rPr>
          <w:rFonts w:hint="eastAsia"/>
        </w:rPr>
        <w:t>政府采购货物和服务招标投标管理办法</w:t>
      </w:r>
      <w:r>
        <w:t>》（</w:t>
      </w:r>
      <w:r>
        <w:rPr>
          <w:rFonts w:hint="eastAsia"/>
        </w:rPr>
        <w:t>财政部87号令</w:t>
      </w:r>
      <w:r>
        <w:t>），组建评标委员会，评标委员会由采购人代表和有关技术、经济等方面的专家组成，成员人数为5人以上单数（采购预算金额在1000万元以上、技术复杂、社会影响较大的采购项目评标委员会成员人数应当为7人以上单数）。其中，技术、经济等方面的专家不少于成员总数的三分之二。评标专家从省级政府采购评审专家库内相关专业的专家名单中随机抽取。</w:t>
      </w:r>
    </w:p>
    <w:p>
      <w:pPr>
        <w:pStyle w:val="83"/>
        <w:ind w:firstLine="480"/>
      </w:pPr>
      <w:r>
        <w:rPr>
          <w:rFonts w:hint="eastAsia"/>
        </w:rPr>
        <w:t>由采购代理机构组织评标委员会推选评标组长，采购人代表不得担任组长。</w:t>
      </w:r>
    </w:p>
    <w:p>
      <w:pPr>
        <w:pStyle w:val="83"/>
        <w:ind w:firstLine="482"/>
        <w:rPr>
          <w:b/>
        </w:rPr>
      </w:pPr>
      <w:r>
        <w:rPr>
          <w:rFonts w:hint="eastAsia"/>
          <w:b/>
        </w:rPr>
        <w:t>2</w:t>
      </w:r>
      <w:r>
        <w:rPr>
          <w:rFonts w:hint="eastAsia"/>
          <w:b/>
          <w:color w:val="auto"/>
        </w:rPr>
        <w:t>．</w:t>
      </w:r>
      <w:r>
        <w:rPr>
          <w:b/>
        </w:rPr>
        <w:t>投标文件的符合性审查</w:t>
      </w:r>
    </w:p>
    <w:p>
      <w:pPr>
        <w:pStyle w:val="83"/>
        <w:ind w:firstLine="480"/>
        <w:rPr>
          <w:bCs/>
        </w:rPr>
      </w:pPr>
      <w:r>
        <w:t>供应商资格性审查通过后，</w:t>
      </w:r>
      <w:r>
        <w:rPr>
          <w:rFonts w:hint="eastAsia"/>
          <w:bCs/>
        </w:rPr>
        <w:t>评标委员会对符合资格条件的供应商的投标文件进行符合性审查，以确定其是否满足招标文件的实质性要求。</w:t>
      </w:r>
    </w:p>
    <w:p>
      <w:pPr>
        <w:keepNext/>
        <w:spacing w:before="230" w:beforeLines="50" w:after="230" w:afterLines="50"/>
        <w:jc w:val="center"/>
        <w:outlineLvl w:val="3"/>
        <w:rPr>
          <w:rFonts w:ascii="黑体" w:hAnsi="黑体" w:eastAsia="黑体" w:cstheme="minorHAnsi"/>
          <w:color w:val="1F4E79"/>
          <w:sz w:val="32"/>
          <w:szCs w:val="32"/>
        </w:rPr>
      </w:pPr>
      <w:r>
        <w:rPr>
          <w:rFonts w:ascii="黑体" w:hAnsi="黑体" w:eastAsia="黑体" w:cstheme="minorHAnsi"/>
          <w:color w:val="1F4E79"/>
          <w:sz w:val="32"/>
          <w:szCs w:val="32"/>
        </w:rPr>
        <w:t>『符合性审查表』</w:t>
      </w:r>
    </w:p>
    <w:tbl>
      <w:tblPr>
        <w:tblStyle w:val="26"/>
        <w:tblW w:w="8916"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704"/>
        <w:gridCol w:w="2268"/>
        <w:gridCol w:w="5944"/>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704" w:type="dxa"/>
            <w:tcBorders>
              <w:top w:val="single" w:color="auto" w:sz="12" w:space="0"/>
              <w:bottom w:val="single" w:color="auto" w:sz="2" w:space="0"/>
            </w:tcBorders>
            <w:shd w:val="clear" w:color="auto" w:fill="F1F1F1" w:themeFill="background1" w:themeFillShade="F2"/>
            <w:vAlign w:val="center"/>
          </w:tcPr>
          <w:p>
            <w:pPr>
              <w:spacing w:line="400" w:lineRule="exact"/>
              <w:jc w:val="center"/>
              <w:rPr>
                <w:rFonts w:ascii="Calibri" w:hAnsi="宋体" w:eastAsia="宋体" w:cstheme="minorHAnsi"/>
                <w:b/>
                <w:bCs/>
                <w:sz w:val="21"/>
                <w:szCs w:val="21"/>
              </w:rPr>
            </w:pPr>
            <w:r>
              <w:rPr>
                <w:rFonts w:ascii="Calibri" w:hAnsi="宋体" w:eastAsia="宋体" w:cstheme="minorHAnsi"/>
                <w:b/>
                <w:bCs/>
                <w:sz w:val="21"/>
                <w:szCs w:val="21"/>
              </w:rPr>
              <w:t>序号</w:t>
            </w:r>
          </w:p>
        </w:tc>
        <w:tc>
          <w:tcPr>
            <w:tcW w:w="2268" w:type="dxa"/>
            <w:tcBorders>
              <w:top w:val="single" w:color="auto" w:sz="12" w:space="0"/>
              <w:bottom w:val="single" w:color="auto" w:sz="2" w:space="0"/>
            </w:tcBorders>
            <w:shd w:val="clear" w:color="auto" w:fill="F1F1F1" w:themeFill="background1" w:themeFillShade="F2"/>
            <w:vAlign w:val="center"/>
          </w:tcPr>
          <w:p>
            <w:pPr>
              <w:spacing w:line="400" w:lineRule="exact"/>
              <w:jc w:val="center"/>
              <w:rPr>
                <w:rFonts w:ascii="Calibri" w:hAnsi="宋体" w:eastAsia="宋体" w:cstheme="minorHAnsi"/>
                <w:b/>
                <w:bCs/>
                <w:sz w:val="21"/>
                <w:szCs w:val="21"/>
              </w:rPr>
            </w:pPr>
            <w:r>
              <w:rPr>
                <w:rFonts w:ascii="Calibri" w:hAnsi="宋体" w:eastAsia="宋体" w:cstheme="minorHAnsi"/>
                <w:b/>
                <w:bCs/>
                <w:sz w:val="21"/>
                <w:szCs w:val="21"/>
              </w:rPr>
              <w:t>符合性审查项</w:t>
            </w:r>
          </w:p>
        </w:tc>
        <w:tc>
          <w:tcPr>
            <w:tcW w:w="5944" w:type="dxa"/>
            <w:tcBorders>
              <w:top w:val="single" w:color="auto" w:sz="12" w:space="0"/>
              <w:bottom w:val="single" w:color="auto" w:sz="2" w:space="0"/>
            </w:tcBorders>
            <w:shd w:val="clear" w:color="auto" w:fill="F1F1F1" w:themeFill="background1" w:themeFillShade="F2"/>
            <w:vAlign w:val="center"/>
          </w:tcPr>
          <w:p>
            <w:pPr>
              <w:spacing w:line="400" w:lineRule="exact"/>
              <w:jc w:val="center"/>
              <w:rPr>
                <w:rFonts w:ascii="Calibri" w:hAnsi="宋体" w:eastAsia="宋体" w:cstheme="minorHAnsi"/>
                <w:b/>
                <w:bCs/>
                <w:sz w:val="21"/>
                <w:szCs w:val="21"/>
              </w:rPr>
            </w:pPr>
            <w:r>
              <w:rPr>
                <w:rFonts w:ascii="Calibri" w:hAnsi="宋体" w:eastAsia="宋体" w:cstheme="minorHAnsi"/>
                <w:b/>
                <w:bCs/>
                <w:sz w:val="21"/>
                <w:szCs w:val="21"/>
              </w:rPr>
              <w:t>通过条件</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704" w:type="dxa"/>
            <w:tcBorders>
              <w:top w:val="single" w:color="auto" w:sz="2" w:space="0"/>
            </w:tcBorders>
            <w:vAlign w:val="center"/>
          </w:tcPr>
          <w:p>
            <w:pPr>
              <w:spacing w:line="400" w:lineRule="exact"/>
              <w:jc w:val="center"/>
              <w:rPr>
                <w:rFonts w:ascii="Calibri" w:hAnsi="宋体" w:eastAsia="宋体" w:cstheme="minorHAnsi"/>
                <w:bCs/>
                <w:sz w:val="21"/>
                <w:szCs w:val="21"/>
              </w:rPr>
            </w:pPr>
            <w:r>
              <w:rPr>
                <w:rFonts w:hint="eastAsia" w:ascii="Calibri" w:hAnsi="宋体" w:eastAsia="宋体" w:cstheme="minorHAnsi"/>
                <w:bCs/>
                <w:sz w:val="21"/>
                <w:szCs w:val="21"/>
              </w:rPr>
              <w:t>1</w:t>
            </w:r>
          </w:p>
        </w:tc>
        <w:tc>
          <w:tcPr>
            <w:tcW w:w="2268" w:type="dxa"/>
            <w:tcBorders>
              <w:top w:val="single" w:color="auto" w:sz="2" w:space="0"/>
            </w:tcBorders>
            <w:vAlign w:val="center"/>
          </w:tcPr>
          <w:p>
            <w:pPr>
              <w:spacing w:line="400" w:lineRule="exact"/>
              <w:jc w:val="both"/>
              <w:rPr>
                <w:rFonts w:ascii="Calibri" w:hAnsi="宋体" w:eastAsia="宋体" w:cstheme="minorHAnsi"/>
                <w:bCs/>
                <w:sz w:val="21"/>
                <w:szCs w:val="21"/>
              </w:rPr>
            </w:pPr>
            <w:r>
              <w:rPr>
                <w:rFonts w:ascii="Calibri" w:hAnsi="宋体" w:eastAsia="宋体" w:cstheme="minorHAnsi"/>
                <w:bCs/>
                <w:sz w:val="21"/>
                <w:szCs w:val="21"/>
              </w:rPr>
              <w:t>投标文件与本项目的一致性</w:t>
            </w:r>
          </w:p>
        </w:tc>
        <w:tc>
          <w:tcPr>
            <w:tcW w:w="5944" w:type="dxa"/>
            <w:tcBorders>
              <w:top w:val="single" w:color="auto" w:sz="2" w:space="0"/>
            </w:tcBorders>
            <w:vAlign w:val="center"/>
          </w:tcPr>
          <w:p>
            <w:pPr>
              <w:spacing w:line="400" w:lineRule="exact"/>
              <w:jc w:val="both"/>
              <w:rPr>
                <w:rFonts w:ascii="Calibri" w:hAnsi="宋体" w:eastAsia="宋体" w:cstheme="minorHAnsi"/>
                <w:bCs/>
                <w:sz w:val="21"/>
                <w:szCs w:val="21"/>
              </w:rPr>
            </w:pPr>
            <w:r>
              <w:rPr>
                <w:rFonts w:ascii="Calibri" w:hAnsi="宋体" w:eastAsia="宋体" w:cstheme="minorHAnsi"/>
                <w:bCs/>
                <w:sz w:val="21"/>
                <w:szCs w:val="21"/>
              </w:rPr>
              <w:t>至少以下三处的项目名称、项目编号、</w:t>
            </w:r>
            <w:r>
              <w:rPr>
                <w:rFonts w:hint="eastAsia" w:ascii="Calibri" w:hAnsi="宋体" w:eastAsia="宋体" w:cstheme="minorHAnsi"/>
                <w:bCs/>
                <w:sz w:val="21"/>
                <w:szCs w:val="21"/>
              </w:rPr>
              <w:t>采购包</w:t>
            </w:r>
            <w:r>
              <w:rPr>
                <w:rFonts w:ascii="Calibri" w:hAnsi="宋体" w:eastAsia="宋体" w:cstheme="minorHAnsi"/>
                <w:bCs/>
                <w:sz w:val="21"/>
                <w:szCs w:val="21"/>
              </w:rPr>
              <w:t>与「投标邀请函」中的相一致：</w:t>
            </w:r>
          </w:p>
          <w:p>
            <w:pPr>
              <w:spacing w:line="400" w:lineRule="exact"/>
              <w:jc w:val="both"/>
              <w:rPr>
                <w:rFonts w:ascii="Calibri" w:hAnsi="宋体" w:eastAsia="宋体" w:cstheme="minorHAnsi"/>
                <w:bCs/>
                <w:sz w:val="21"/>
                <w:szCs w:val="21"/>
              </w:rPr>
            </w:pPr>
            <w:r>
              <w:rPr>
                <w:rFonts w:hint="eastAsia" w:ascii="Calibri" w:hAnsi="宋体" w:eastAsia="宋体" w:cstheme="minorHAnsi"/>
                <w:bCs/>
                <w:sz w:val="21"/>
                <w:szCs w:val="21"/>
              </w:rPr>
              <w:t>（1）</w:t>
            </w:r>
            <w:r>
              <w:rPr>
                <w:rFonts w:ascii="Calibri" w:hAnsi="宋体" w:eastAsia="宋体" w:cstheme="minorHAnsi"/>
                <w:bCs/>
                <w:sz w:val="21"/>
                <w:szCs w:val="21"/>
              </w:rPr>
              <w:t>投标文件封面</w:t>
            </w:r>
          </w:p>
          <w:p>
            <w:pPr>
              <w:spacing w:line="400" w:lineRule="exact"/>
              <w:jc w:val="both"/>
              <w:rPr>
                <w:rFonts w:ascii="Calibri" w:hAnsi="宋体" w:eastAsia="宋体" w:cstheme="minorHAnsi"/>
                <w:bCs/>
                <w:sz w:val="21"/>
                <w:szCs w:val="21"/>
              </w:rPr>
            </w:pPr>
            <w:r>
              <w:rPr>
                <w:rFonts w:hint="eastAsia" w:ascii="Calibri" w:hAnsi="宋体" w:eastAsia="宋体" w:cstheme="minorHAnsi"/>
                <w:bCs/>
                <w:sz w:val="21"/>
                <w:szCs w:val="21"/>
              </w:rPr>
              <w:t>（2）</w:t>
            </w:r>
            <w:r>
              <w:rPr>
                <w:rFonts w:ascii="Calibri" w:hAnsi="宋体" w:eastAsia="宋体" w:cstheme="minorHAnsi"/>
                <w:bCs/>
                <w:sz w:val="21"/>
                <w:szCs w:val="21"/>
              </w:rPr>
              <w:t>投标函</w:t>
            </w:r>
          </w:p>
          <w:p>
            <w:pPr>
              <w:spacing w:line="400" w:lineRule="exact"/>
              <w:jc w:val="both"/>
              <w:rPr>
                <w:rFonts w:ascii="Calibri" w:hAnsi="宋体" w:eastAsia="宋体" w:cstheme="minorHAnsi"/>
                <w:bCs/>
                <w:sz w:val="21"/>
                <w:szCs w:val="21"/>
              </w:rPr>
            </w:pPr>
            <w:r>
              <w:rPr>
                <w:rFonts w:hint="eastAsia" w:ascii="Calibri" w:hAnsi="宋体" w:eastAsia="宋体" w:cstheme="minorHAnsi"/>
                <w:bCs/>
                <w:sz w:val="21"/>
                <w:szCs w:val="21"/>
              </w:rPr>
              <w:t>（3）</w:t>
            </w:r>
            <w:r>
              <w:rPr>
                <w:rFonts w:ascii="Calibri" w:hAnsi="宋体" w:eastAsia="宋体" w:cstheme="minorHAnsi"/>
                <w:bCs/>
                <w:sz w:val="21"/>
                <w:szCs w:val="21"/>
              </w:rPr>
              <w:t>法定代表人（负责人）委托授权书</w:t>
            </w:r>
            <w:r>
              <w:rPr>
                <w:rFonts w:hint="eastAsia" w:ascii="Calibri" w:hAnsi="宋体" w:eastAsia="宋体" w:cstheme="minorHAnsi"/>
                <w:bCs/>
                <w:sz w:val="21"/>
                <w:szCs w:val="21"/>
              </w:rPr>
              <w:t>\身份证明</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704" w:type="dxa"/>
            <w:vAlign w:val="center"/>
          </w:tcPr>
          <w:p>
            <w:pPr>
              <w:spacing w:line="400" w:lineRule="exact"/>
              <w:jc w:val="center"/>
              <w:rPr>
                <w:rFonts w:ascii="Calibri" w:hAnsi="宋体" w:eastAsia="宋体" w:cstheme="minorHAnsi"/>
                <w:bCs/>
                <w:sz w:val="21"/>
                <w:szCs w:val="21"/>
              </w:rPr>
            </w:pPr>
            <w:r>
              <w:rPr>
                <w:rFonts w:hint="eastAsia" w:ascii="Calibri" w:hAnsi="宋体" w:eastAsia="宋体" w:cstheme="minorHAnsi"/>
                <w:bCs/>
                <w:sz w:val="21"/>
                <w:szCs w:val="21"/>
              </w:rPr>
              <w:t>2</w:t>
            </w:r>
          </w:p>
        </w:tc>
        <w:tc>
          <w:tcPr>
            <w:tcW w:w="2268" w:type="dxa"/>
            <w:vAlign w:val="center"/>
          </w:tcPr>
          <w:p>
            <w:pPr>
              <w:spacing w:line="400" w:lineRule="exact"/>
              <w:jc w:val="both"/>
              <w:rPr>
                <w:rFonts w:ascii="Calibri" w:hAnsi="宋体" w:eastAsia="宋体" w:cstheme="minorHAnsi"/>
                <w:bCs/>
                <w:sz w:val="21"/>
                <w:szCs w:val="21"/>
              </w:rPr>
            </w:pPr>
            <w:r>
              <w:rPr>
                <w:rFonts w:ascii="Calibri" w:hAnsi="宋体" w:eastAsia="宋体" w:cstheme="minorHAnsi"/>
                <w:bCs/>
                <w:sz w:val="21"/>
                <w:szCs w:val="21"/>
              </w:rPr>
              <w:t>投标文件组成</w:t>
            </w:r>
          </w:p>
        </w:tc>
        <w:tc>
          <w:tcPr>
            <w:tcW w:w="5944" w:type="dxa"/>
            <w:vAlign w:val="center"/>
          </w:tcPr>
          <w:p>
            <w:pPr>
              <w:spacing w:line="400" w:lineRule="exact"/>
              <w:jc w:val="both"/>
              <w:rPr>
                <w:rFonts w:ascii="Calibri" w:hAnsi="宋体" w:eastAsia="宋体" w:cstheme="minorHAnsi"/>
                <w:sz w:val="21"/>
                <w:szCs w:val="21"/>
              </w:rPr>
            </w:pPr>
            <w:r>
              <w:rPr>
                <w:rFonts w:ascii="Calibri" w:hAnsi="宋体" w:eastAsia="宋体" w:cstheme="minorHAnsi"/>
                <w:bCs/>
                <w:sz w:val="21"/>
                <w:szCs w:val="21"/>
              </w:rPr>
              <w:t>投标文件</w:t>
            </w:r>
            <w:r>
              <w:rPr>
                <w:rFonts w:ascii="Calibri" w:hAnsi="宋体" w:eastAsia="宋体" w:cstheme="minorHAnsi"/>
                <w:sz w:val="21"/>
                <w:szCs w:val="21"/>
              </w:rPr>
              <w:t>应包含以下部分：</w:t>
            </w:r>
          </w:p>
          <w:p>
            <w:pPr>
              <w:spacing w:line="400" w:lineRule="exact"/>
              <w:jc w:val="both"/>
              <w:rPr>
                <w:rFonts w:ascii="Calibri" w:hAnsi="宋体" w:eastAsia="宋体" w:cstheme="minorHAnsi"/>
                <w:sz w:val="21"/>
                <w:szCs w:val="21"/>
              </w:rPr>
            </w:pPr>
            <w:r>
              <w:rPr>
                <w:rFonts w:hint="eastAsia" w:ascii="Calibri" w:hAnsi="宋体" w:eastAsia="宋体" w:cstheme="minorHAnsi"/>
                <w:bCs/>
                <w:sz w:val="21"/>
                <w:szCs w:val="21"/>
              </w:rPr>
              <w:t>（1）</w:t>
            </w:r>
            <w:r>
              <w:rPr>
                <w:rFonts w:ascii="Calibri" w:hAnsi="宋体" w:eastAsia="宋体" w:cstheme="minorHAnsi"/>
                <w:sz w:val="21"/>
                <w:szCs w:val="21"/>
                <w:lang w:val="en-AU"/>
              </w:rPr>
              <w:t>投标</w:t>
            </w:r>
            <w:r>
              <w:rPr>
                <w:rFonts w:ascii="Calibri" w:hAnsi="宋体" w:eastAsia="宋体" w:cstheme="minorHAnsi"/>
                <w:bCs/>
                <w:sz w:val="21"/>
                <w:szCs w:val="21"/>
              </w:rPr>
              <w:t>函</w:t>
            </w:r>
          </w:p>
          <w:p>
            <w:pPr>
              <w:spacing w:line="400" w:lineRule="exact"/>
              <w:jc w:val="both"/>
              <w:rPr>
                <w:rFonts w:ascii="Calibri" w:hAnsi="宋体" w:eastAsia="宋体" w:cstheme="minorHAnsi"/>
                <w:sz w:val="21"/>
                <w:szCs w:val="21"/>
              </w:rPr>
            </w:pPr>
            <w:r>
              <w:rPr>
                <w:rFonts w:hint="eastAsia" w:ascii="Calibri" w:hAnsi="宋体" w:eastAsia="宋体" w:cstheme="minorHAnsi"/>
                <w:bCs/>
                <w:sz w:val="21"/>
                <w:szCs w:val="21"/>
              </w:rPr>
              <w:t>（2）</w:t>
            </w:r>
            <w:r>
              <w:rPr>
                <w:rFonts w:ascii="Calibri" w:hAnsi="宋体" w:eastAsia="宋体" w:cstheme="minorHAnsi"/>
                <w:sz w:val="21"/>
                <w:szCs w:val="21"/>
                <w:lang w:val="en-AU"/>
              </w:rPr>
              <w:t>开标一览表</w:t>
            </w:r>
          </w:p>
          <w:p>
            <w:pPr>
              <w:spacing w:line="400" w:lineRule="exact"/>
              <w:jc w:val="both"/>
              <w:rPr>
                <w:rFonts w:ascii="Calibri" w:hAnsi="宋体" w:eastAsia="宋体" w:cstheme="minorHAnsi"/>
                <w:sz w:val="21"/>
                <w:szCs w:val="21"/>
              </w:rPr>
            </w:pPr>
            <w:r>
              <w:rPr>
                <w:rFonts w:hint="eastAsia" w:ascii="Calibri" w:hAnsi="宋体" w:eastAsia="宋体" w:cstheme="minorHAnsi"/>
                <w:bCs/>
                <w:sz w:val="21"/>
                <w:szCs w:val="21"/>
              </w:rPr>
              <w:t>（3）</w:t>
            </w:r>
            <w:r>
              <w:rPr>
                <w:rFonts w:ascii="Calibri" w:hAnsi="宋体" w:eastAsia="宋体" w:cstheme="minorHAnsi"/>
                <w:sz w:val="21"/>
                <w:szCs w:val="21"/>
              </w:rPr>
              <w:t>资格证明文件</w:t>
            </w:r>
          </w:p>
          <w:p>
            <w:pPr>
              <w:spacing w:line="400" w:lineRule="exact"/>
              <w:jc w:val="both"/>
              <w:rPr>
                <w:rFonts w:ascii="Calibri" w:hAnsi="宋体" w:eastAsia="宋体" w:cstheme="minorHAnsi"/>
                <w:bCs/>
                <w:sz w:val="21"/>
                <w:szCs w:val="21"/>
              </w:rPr>
            </w:pPr>
            <w:r>
              <w:rPr>
                <w:rFonts w:hint="eastAsia" w:ascii="Calibri" w:hAnsi="宋体" w:eastAsia="宋体" w:cstheme="minorHAnsi"/>
                <w:bCs/>
                <w:sz w:val="21"/>
                <w:szCs w:val="21"/>
              </w:rPr>
              <w:t>（4）实质性条款响</w:t>
            </w:r>
            <w:r>
              <w:rPr>
                <w:rFonts w:hint="eastAsia" w:ascii="Calibri" w:hAnsi="宋体" w:eastAsia="宋体" w:cstheme="minorHAnsi"/>
                <w:bCs/>
                <w:w w:val="1"/>
                <w:sz w:val="21"/>
                <w:szCs w:val="21"/>
              </w:rPr>
              <w:t xml:space="preserve"> </w:t>
            </w:r>
            <w:r>
              <w:rPr>
                <w:rFonts w:hint="eastAsia" w:ascii="Calibri" w:hAnsi="宋体" w:eastAsia="宋体" w:cstheme="minorHAnsi"/>
                <w:bCs/>
                <w:sz w:val="21"/>
                <w:szCs w:val="21"/>
              </w:rPr>
              <w:t>应</w:t>
            </w:r>
          </w:p>
          <w:p>
            <w:pPr>
              <w:spacing w:line="400" w:lineRule="exact"/>
              <w:jc w:val="both"/>
              <w:rPr>
                <w:rFonts w:ascii="Calibri" w:hAnsi="宋体" w:eastAsia="宋体" w:cstheme="minorHAnsi"/>
                <w:bCs/>
                <w:sz w:val="21"/>
                <w:szCs w:val="21"/>
              </w:rPr>
            </w:pPr>
            <w:r>
              <w:rPr>
                <w:rFonts w:ascii="Calibri" w:hAnsi="宋体" w:eastAsia="宋体" w:cstheme="minorHAnsi"/>
                <w:bCs/>
                <w:sz w:val="21"/>
                <w:szCs w:val="21"/>
              </w:rPr>
              <w:t>（</w:t>
            </w:r>
            <w:r>
              <w:rPr>
                <w:rFonts w:hint="eastAsia" w:ascii="Calibri" w:hAnsi="宋体" w:eastAsia="宋体" w:cstheme="minorHAnsi"/>
                <w:bCs/>
                <w:sz w:val="21"/>
                <w:szCs w:val="21"/>
              </w:rPr>
              <w:t>5</w:t>
            </w:r>
            <w:r>
              <w:rPr>
                <w:rFonts w:ascii="Calibri" w:hAnsi="宋体" w:eastAsia="宋体" w:cstheme="minorHAnsi"/>
                <w:bCs/>
                <w:sz w:val="21"/>
                <w:szCs w:val="21"/>
              </w:rPr>
              <w:t>）投标方案</w:t>
            </w:r>
          </w:p>
          <w:p>
            <w:pPr>
              <w:spacing w:line="400" w:lineRule="exact"/>
              <w:jc w:val="both"/>
              <w:rPr>
                <w:rFonts w:ascii="Calibri" w:hAnsi="宋体" w:eastAsia="宋体" w:cstheme="minorHAnsi"/>
                <w:bCs/>
                <w:sz w:val="21"/>
                <w:szCs w:val="21"/>
              </w:rPr>
            </w:pPr>
            <w:r>
              <w:rPr>
                <w:rFonts w:ascii="Calibri" w:hAnsi="宋体" w:eastAsia="宋体" w:cstheme="minorHAnsi"/>
                <w:bCs/>
                <w:sz w:val="21"/>
                <w:szCs w:val="21"/>
              </w:rPr>
              <w:t>（</w:t>
            </w:r>
            <w:r>
              <w:rPr>
                <w:rFonts w:hint="eastAsia" w:ascii="Calibri" w:hAnsi="宋体" w:eastAsia="宋体" w:cstheme="minorHAnsi"/>
                <w:bCs/>
                <w:sz w:val="21"/>
                <w:szCs w:val="21"/>
              </w:rPr>
              <w:t>6</w:t>
            </w:r>
            <w:r>
              <w:rPr>
                <w:rFonts w:ascii="Calibri" w:hAnsi="宋体" w:eastAsia="宋体" w:cstheme="minorHAnsi"/>
                <w:bCs/>
                <w:sz w:val="21"/>
                <w:szCs w:val="21"/>
              </w:rPr>
              <w:t>）供应商概况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704" w:type="dxa"/>
            <w:vAlign w:val="center"/>
          </w:tcPr>
          <w:p>
            <w:pPr>
              <w:spacing w:line="400" w:lineRule="exact"/>
              <w:jc w:val="center"/>
              <w:rPr>
                <w:rFonts w:ascii="Calibri" w:hAnsi="宋体" w:eastAsia="宋体" w:cstheme="minorHAnsi"/>
                <w:bCs/>
                <w:sz w:val="21"/>
                <w:szCs w:val="21"/>
              </w:rPr>
            </w:pPr>
            <w:r>
              <w:rPr>
                <w:rFonts w:hint="eastAsia" w:ascii="Calibri" w:hAnsi="宋体" w:eastAsia="宋体" w:cstheme="minorHAnsi"/>
                <w:bCs/>
                <w:sz w:val="21"/>
                <w:szCs w:val="21"/>
              </w:rPr>
              <w:t>3</w:t>
            </w:r>
          </w:p>
        </w:tc>
        <w:tc>
          <w:tcPr>
            <w:tcW w:w="2268" w:type="dxa"/>
            <w:vAlign w:val="center"/>
          </w:tcPr>
          <w:p>
            <w:pPr>
              <w:spacing w:line="400" w:lineRule="exact"/>
              <w:jc w:val="both"/>
              <w:rPr>
                <w:rFonts w:ascii="Calibri" w:hAnsi="宋体" w:eastAsia="宋体" w:cstheme="minorHAnsi"/>
                <w:bCs/>
                <w:sz w:val="21"/>
                <w:szCs w:val="21"/>
              </w:rPr>
            </w:pPr>
            <w:r>
              <w:rPr>
                <w:rFonts w:hint="eastAsia" w:ascii="Calibri" w:hAnsi="宋体" w:eastAsia="宋体" w:cstheme="minorHAnsi"/>
                <w:bCs/>
                <w:sz w:val="21"/>
                <w:szCs w:val="21"/>
              </w:rPr>
              <w:t>签章</w:t>
            </w:r>
          </w:p>
        </w:tc>
        <w:tc>
          <w:tcPr>
            <w:tcW w:w="5944" w:type="dxa"/>
            <w:vAlign w:val="center"/>
          </w:tcPr>
          <w:p>
            <w:pPr>
              <w:spacing w:line="400" w:lineRule="exact"/>
              <w:jc w:val="both"/>
              <w:rPr>
                <w:rFonts w:ascii="Calibri" w:hAnsi="宋体" w:eastAsia="宋体" w:cstheme="minorHAnsi"/>
                <w:sz w:val="21"/>
                <w:szCs w:val="21"/>
              </w:rPr>
            </w:pPr>
            <w:r>
              <w:rPr>
                <w:rFonts w:hint="eastAsia" w:ascii="Calibri" w:hAnsi="宋体" w:eastAsia="宋体" w:cstheme="minorHAnsi"/>
                <w:sz w:val="21"/>
                <w:szCs w:val="21"/>
              </w:rPr>
              <w:t>签章均符合招标文件要求，且无遗漏。</w:t>
            </w:r>
          </w:p>
          <w:p>
            <w:pPr>
              <w:spacing w:line="400" w:lineRule="exact"/>
              <w:jc w:val="both"/>
              <w:rPr>
                <w:rFonts w:ascii="Calibri" w:hAnsi="宋体" w:eastAsia="宋体" w:cstheme="minorHAnsi"/>
                <w:bCs/>
                <w:sz w:val="21"/>
                <w:szCs w:val="21"/>
              </w:rPr>
            </w:pPr>
            <w:r>
              <w:rPr>
                <w:rFonts w:ascii="Calibri" w:hAnsi="宋体" w:eastAsia="宋体" w:cstheme="minorHAnsi"/>
                <w:b/>
                <w:color w:val="C00000"/>
                <w:sz w:val="21"/>
                <w:szCs w:val="21"/>
                <w:highlight w:val="yellow"/>
              </w:rPr>
              <w:t>注意：暗标部分不得进行签章</w:t>
            </w:r>
            <w:r>
              <w:rPr>
                <w:rFonts w:ascii="Calibri" w:hAnsi="宋体" w:eastAsia="宋体" w:cstheme="minorHAnsi"/>
                <w:color w:val="C00000"/>
                <w:sz w:val="21"/>
                <w:szCs w:val="21"/>
                <w:highlight w:val="yellow"/>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704" w:type="dxa"/>
            <w:vAlign w:val="center"/>
          </w:tcPr>
          <w:p>
            <w:pPr>
              <w:spacing w:line="400" w:lineRule="exact"/>
              <w:jc w:val="center"/>
              <w:rPr>
                <w:rFonts w:ascii="Calibri" w:hAnsi="宋体" w:eastAsia="宋体" w:cstheme="minorHAnsi"/>
                <w:bCs/>
                <w:sz w:val="21"/>
                <w:szCs w:val="21"/>
              </w:rPr>
            </w:pPr>
            <w:r>
              <w:rPr>
                <w:rFonts w:hint="eastAsia" w:ascii="Calibri" w:hAnsi="宋体" w:eastAsia="宋体" w:cstheme="minorHAnsi"/>
                <w:bCs/>
                <w:sz w:val="21"/>
                <w:szCs w:val="21"/>
              </w:rPr>
              <w:t>4</w:t>
            </w:r>
          </w:p>
        </w:tc>
        <w:tc>
          <w:tcPr>
            <w:tcW w:w="2268" w:type="dxa"/>
            <w:vAlign w:val="center"/>
          </w:tcPr>
          <w:p>
            <w:pPr>
              <w:spacing w:line="400" w:lineRule="exact"/>
              <w:jc w:val="both"/>
              <w:rPr>
                <w:rFonts w:ascii="Calibri" w:hAnsi="宋体" w:eastAsia="宋体" w:cstheme="minorHAnsi"/>
                <w:bCs/>
                <w:sz w:val="21"/>
                <w:szCs w:val="21"/>
              </w:rPr>
            </w:pPr>
            <w:r>
              <w:rPr>
                <w:rFonts w:ascii="Calibri" w:hAnsi="宋体" w:eastAsia="宋体" w:cstheme="minorHAnsi"/>
                <w:bCs/>
                <w:sz w:val="21"/>
                <w:szCs w:val="21"/>
              </w:rPr>
              <w:t>语言和计量单位</w:t>
            </w:r>
          </w:p>
        </w:tc>
        <w:tc>
          <w:tcPr>
            <w:tcW w:w="5944" w:type="dxa"/>
            <w:vAlign w:val="center"/>
          </w:tcPr>
          <w:p>
            <w:pPr>
              <w:spacing w:line="400" w:lineRule="exact"/>
              <w:jc w:val="both"/>
              <w:rPr>
                <w:rFonts w:ascii="Calibri" w:hAnsi="宋体" w:eastAsia="宋体" w:cstheme="minorHAnsi"/>
                <w:sz w:val="21"/>
                <w:szCs w:val="21"/>
              </w:rPr>
            </w:pPr>
            <w:r>
              <w:rPr>
                <w:rFonts w:ascii="Calibri" w:hAnsi="宋体" w:eastAsia="宋体" w:cstheme="minorHAnsi"/>
                <w:sz w:val="21"/>
                <w:szCs w:val="21"/>
              </w:rPr>
              <w:t>符合招标文件的要求</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704" w:type="dxa"/>
            <w:vAlign w:val="center"/>
          </w:tcPr>
          <w:p>
            <w:pPr>
              <w:spacing w:line="400" w:lineRule="exact"/>
              <w:jc w:val="center"/>
              <w:rPr>
                <w:rFonts w:ascii="Calibri" w:hAnsi="宋体" w:eastAsia="宋体" w:cstheme="minorHAnsi"/>
                <w:bCs/>
                <w:sz w:val="21"/>
                <w:szCs w:val="21"/>
              </w:rPr>
            </w:pPr>
            <w:r>
              <w:rPr>
                <w:rFonts w:hint="eastAsia" w:ascii="Calibri" w:hAnsi="宋体" w:eastAsia="宋体" w:cstheme="minorHAnsi"/>
                <w:bCs/>
                <w:sz w:val="21"/>
                <w:szCs w:val="21"/>
              </w:rPr>
              <w:t>5</w:t>
            </w:r>
          </w:p>
        </w:tc>
        <w:tc>
          <w:tcPr>
            <w:tcW w:w="2268" w:type="dxa"/>
            <w:vAlign w:val="center"/>
          </w:tcPr>
          <w:p>
            <w:pPr>
              <w:spacing w:line="400" w:lineRule="exact"/>
              <w:jc w:val="both"/>
              <w:rPr>
                <w:rFonts w:ascii="Calibri" w:hAnsi="宋体" w:eastAsia="宋体" w:cstheme="minorHAnsi"/>
                <w:bCs/>
                <w:sz w:val="21"/>
                <w:szCs w:val="21"/>
              </w:rPr>
            </w:pPr>
            <w:r>
              <w:rPr>
                <w:rFonts w:ascii="Calibri" w:hAnsi="宋体" w:eastAsia="宋体" w:cstheme="minorHAnsi"/>
                <w:bCs/>
                <w:sz w:val="21"/>
                <w:szCs w:val="21"/>
              </w:rPr>
              <w:t>投标文件有效期</w:t>
            </w:r>
          </w:p>
        </w:tc>
        <w:tc>
          <w:tcPr>
            <w:tcW w:w="5944" w:type="dxa"/>
            <w:vAlign w:val="center"/>
          </w:tcPr>
          <w:p>
            <w:pPr>
              <w:spacing w:line="400" w:lineRule="exact"/>
              <w:jc w:val="both"/>
              <w:rPr>
                <w:rFonts w:ascii="Calibri" w:hAnsi="宋体" w:eastAsia="宋体" w:cstheme="minorHAnsi"/>
                <w:b/>
                <w:bCs/>
                <w:sz w:val="21"/>
                <w:szCs w:val="21"/>
              </w:rPr>
            </w:pPr>
            <w:r>
              <w:rPr>
                <w:rFonts w:ascii="Calibri" w:hAnsi="宋体" w:eastAsia="宋体" w:cstheme="minorHAnsi"/>
                <w:sz w:val="21"/>
                <w:szCs w:val="21"/>
              </w:rPr>
              <w:t>符合招标文件的要求</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704" w:type="dxa"/>
            <w:vAlign w:val="center"/>
          </w:tcPr>
          <w:p>
            <w:pPr>
              <w:spacing w:line="400" w:lineRule="exact"/>
              <w:jc w:val="center"/>
              <w:rPr>
                <w:rFonts w:ascii="Calibri" w:hAnsi="宋体" w:eastAsia="宋体" w:cstheme="minorHAnsi"/>
                <w:bCs/>
                <w:sz w:val="21"/>
                <w:szCs w:val="21"/>
              </w:rPr>
            </w:pPr>
            <w:r>
              <w:rPr>
                <w:rFonts w:hint="eastAsia" w:ascii="Calibri" w:hAnsi="宋体" w:eastAsia="宋体" w:cstheme="minorHAnsi"/>
                <w:bCs/>
                <w:sz w:val="21"/>
                <w:szCs w:val="21"/>
              </w:rPr>
              <w:t>6</w:t>
            </w:r>
          </w:p>
        </w:tc>
        <w:tc>
          <w:tcPr>
            <w:tcW w:w="2268" w:type="dxa"/>
            <w:vAlign w:val="center"/>
          </w:tcPr>
          <w:p>
            <w:pPr>
              <w:spacing w:line="400" w:lineRule="exact"/>
              <w:jc w:val="both"/>
              <w:rPr>
                <w:rFonts w:ascii="Calibri" w:hAnsi="宋体" w:eastAsia="宋体" w:cstheme="minorHAnsi"/>
                <w:bCs/>
                <w:sz w:val="21"/>
                <w:szCs w:val="21"/>
              </w:rPr>
            </w:pPr>
            <w:r>
              <w:rPr>
                <w:rFonts w:ascii="Calibri" w:hAnsi="宋体" w:eastAsia="宋体" w:cstheme="minorHAnsi"/>
                <w:bCs/>
                <w:sz w:val="21"/>
                <w:szCs w:val="21"/>
              </w:rPr>
              <w:t>投标报价</w:t>
            </w:r>
          </w:p>
        </w:tc>
        <w:tc>
          <w:tcPr>
            <w:tcW w:w="5944" w:type="dxa"/>
            <w:vAlign w:val="center"/>
          </w:tcPr>
          <w:p>
            <w:pPr>
              <w:spacing w:line="400" w:lineRule="exact"/>
              <w:jc w:val="both"/>
              <w:rPr>
                <w:rFonts w:ascii="Calibri" w:hAnsi="宋体" w:eastAsia="宋体" w:cstheme="minorHAnsi"/>
                <w:bCs/>
                <w:sz w:val="21"/>
                <w:szCs w:val="21"/>
              </w:rPr>
            </w:pPr>
            <w:r>
              <w:rPr>
                <w:rFonts w:ascii="Calibri" w:hAnsi="宋体" w:eastAsia="宋体" w:cstheme="minorHAnsi"/>
                <w:bCs/>
                <w:sz w:val="21"/>
                <w:szCs w:val="21"/>
              </w:rPr>
              <w:t>同时满足以下条款：</w:t>
            </w:r>
          </w:p>
          <w:p>
            <w:pPr>
              <w:spacing w:line="400" w:lineRule="exact"/>
              <w:jc w:val="both"/>
              <w:rPr>
                <w:rFonts w:ascii="Calibri" w:hAnsi="宋体" w:eastAsia="宋体" w:cstheme="minorHAnsi"/>
                <w:bCs/>
                <w:sz w:val="21"/>
                <w:szCs w:val="21"/>
              </w:rPr>
            </w:pPr>
            <w:r>
              <w:rPr>
                <w:rFonts w:hint="eastAsia" w:ascii="Calibri" w:hAnsi="宋体" w:eastAsia="宋体" w:cstheme="minorHAnsi"/>
                <w:bCs/>
                <w:sz w:val="21"/>
                <w:szCs w:val="21"/>
              </w:rPr>
              <w:t>（1）</w:t>
            </w:r>
            <w:r>
              <w:rPr>
                <w:rFonts w:ascii="Calibri" w:hAnsi="宋体" w:eastAsia="宋体" w:cstheme="minorHAnsi"/>
                <w:bCs/>
                <w:sz w:val="21"/>
                <w:szCs w:val="21"/>
              </w:rPr>
              <w:t>货币单位符合招标文件要求</w:t>
            </w:r>
          </w:p>
          <w:p>
            <w:pPr>
              <w:spacing w:line="400" w:lineRule="exact"/>
              <w:jc w:val="both"/>
              <w:rPr>
                <w:rFonts w:ascii="Calibri" w:hAnsi="宋体" w:eastAsia="宋体" w:cstheme="minorHAnsi"/>
                <w:bCs/>
                <w:sz w:val="21"/>
                <w:szCs w:val="21"/>
              </w:rPr>
            </w:pPr>
            <w:r>
              <w:rPr>
                <w:rFonts w:hint="eastAsia" w:ascii="Calibri" w:hAnsi="宋体" w:eastAsia="宋体" w:cstheme="minorHAnsi"/>
                <w:bCs/>
                <w:sz w:val="21"/>
                <w:szCs w:val="21"/>
              </w:rPr>
              <w:t>（2）</w:t>
            </w:r>
            <w:r>
              <w:rPr>
                <w:rFonts w:ascii="Calibri" w:hAnsi="宋体" w:eastAsia="宋体" w:cstheme="minorHAnsi"/>
                <w:bCs/>
                <w:sz w:val="21"/>
                <w:szCs w:val="21"/>
              </w:rPr>
              <w:t>报价符合唯一性要求</w:t>
            </w:r>
          </w:p>
          <w:p>
            <w:pPr>
              <w:spacing w:line="400" w:lineRule="exact"/>
              <w:jc w:val="both"/>
              <w:rPr>
                <w:rFonts w:ascii="Calibri" w:hAnsi="宋体" w:eastAsia="宋体" w:cstheme="minorHAnsi"/>
                <w:bCs/>
                <w:sz w:val="21"/>
                <w:szCs w:val="21"/>
              </w:rPr>
            </w:pPr>
            <w:r>
              <w:rPr>
                <w:rFonts w:hint="eastAsia" w:ascii="Calibri" w:hAnsi="宋体" w:eastAsia="宋体" w:cstheme="minorHAnsi"/>
                <w:bCs/>
                <w:sz w:val="21"/>
                <w:szCs w:val="21"/>
              </w:rPr>
              <w:t>（3）</w:t>
            </w:r>
            <w:r>
              <w:rPr>
                <w:rFonts w:ascii="Calibri" w:hAnsi="宋体" w:eastAsia="宋体" w:cstheme="minorHAnsi"/>
                <w:bCs/>
                <w:sz w:val="21"/>
                <w:szCs w:val="21"/>
              </w:rPr>
              <w:t>未超出采购预算或最高限价</w:t>
            </w:r>
          </w:p>
          <w:p>
            <w:pPr>
              <w:spacing w:line="400" w:lineRule="exact"/>
              <w:jc w:val="both"/>
              <w:rPr>
                <w:rFonts w:ascii="Calibri" w:hAnsi="宋体" w:eastAsia="宋体" w:cstheme="minorHAnsi"/>
                <w:sz w:val="21"/>
                <w:szCs w:val="21"/>
              </w:rPr>
            </w:pPr>
            <w:r>
              <w:rPr>
                <w:rFonts w:hint="eastAsia" w:ascii="Calibri" w:hAnsi="宋体" w:eastAsia="宋体" w:cstheme="minorHAnsi"/>
                <w:bCs/>
                <w:sz w:val="21"/>
                <w:szCs w:val="21"/>
              </w:rPr>
              <w:t>（4）符合《开标一览</w:t>
            </w:r>
            <w:r>
              <w:rPr>
                <w:rFonts w:ascii="Calibri" w:hAnsi="宋体" w:eastAsia="宋体" w:cstheme="minorHAnsi"/>
                <w:bCs/>
                <w:sz w:val="21"/>
                <w:szCs w:val="21"/>
              </w:rPr>
              <w:t>表</w:t>
            </w:r>
            <w:r>
              <w:rPr>
                <w:rFonts w:hint="eastAsia" w:ascii="Calibri" w:hAnsi="宋体" w:eastAsia="宋体" w:cstheme="minorHAnsi"/>
                <w:bCs/>
                <w:sz w:val="21"/>
                <w:szCs w:val="21"/>
              </w:rPr>
              <w:t>》的</w:t>
            </w:r>
            <w:r>
              <w:rPr>
                <w:rFonts w:ascii="Calibri" w:hAnsi="宋体" w:eastAsia="宋体" w:cstheme="minorHAnsi"/>
                <w:bCs/>
                <w:sz w:val="21"/>
                <w:szCs w:val="21"/>
              </w:rPr>
              <w:t>填报要求</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704" w:type="dxa"/>
            <w:vAlign w:val="center"/>
          </w:tcPr>
          <w:p>
            <w:pPr>
              <w:spacing w:line="400" w:lineRule="exact"/>
              <w:jc w:val="center"/>
              <w:rPr>
                <w:rFonts w:ascii="Calibri" w:hAnsi="宋体" w:eastAsia="宋体" w:cstheme="minorHAnsi"/>
                <w:bCs/>
                <w:sz w:val="21"/>
                <w:szCs w:val="21"/>
              </w:rPr>
            </w:pPr>
            <w:r>
              <w:rPr>
                <w:rFonts w:hint="eastAsia" w:ascii="Calibri" w:hAnsi="宋体" w:eastAsia="宋体" w:cstheme="minorHAnsi"/>
                <w:bCs/>
                <w:sz w:val="21"/>
                <w:szCs w:val="21"/>
              </w:rPr>
              <w:t>7</w:t>
            </w:r>
          </w:p>
        </w:tc>
        <w:tc>
          <w:tcPr>
            <w:tcW w:w="2268" w:type="dxa"/>
            <w:vAlign w:val="center"/>
          </w:tcPr>
          <w:p>
            <w:pPr>
              <w:spacing w:line="400" w:lineRule="exact"/>
              <w:jc w:val="both"/>
              <w:rPr>
                <w:rFonts w:ascii="Calibri" w:hAnsi="宋体" w:eastAsia="宋体" w:cstheme="minorHAnsi"/>
                <w:bCs/>
                <w:sz w:val="21"/>
                <w:szCs w:val="21"/>
              </w:rPr>
            </w:pPr>
            <w:r>
              <w:rPr>
                <w:rFonts w:ascii="Calibri" w:hAnsi="宋体" w:eastAsia="宋体" w:cstheme="minorHAnsi"/>
                <w:bCs/>
                <w:sz w:val="21"/>
                <w:szCs w:val="21"/>
              </w:rPr>
              <w:t>实质性条款响</w:t>
            </w:r>
            <w:r>
              <w:rPr>
                <w:rFonts w:hint="eastAsia" w:ascii="Calibri" w:hAnsi="宋体" w:eastAsia="宋体" w:cstheme="minorHAnsi"/>
                <w:bCs/>
                <w:w w:val="1"/>
                <w:sz w:val="21"/>
                <w:szCs w:val="21"/>
              </w:rPr>
              <w:t xml:space="preserve"> </w:t>
            </w:r>
            <w:r>
              <w:rPr>
                <w:rFonts w:ascii="Calibri" w:hAnsi="宋体" w:eastAsia="宋体" w:cstheme="minorHAnsi"/>
                <w:bCs/>
                <w:sz w:val="21"/>
                <w:szCs w:val="21"/>
              </w:rPr>
              <w:t>应</w:t>
            </w:r>
          </w:p>
        </w:tc>
        <w:tc>
          <w:tcPr>
            <w:tcW w:w="5944" w:type="dxa"/>
            <w:vAlign w:val="center"/>
          </w:tcPr>
          <w:p>
            <w:pPr>
              <w:spacing w:line="400" w:lineRule="exact"/>
              <w:jc w:val="both"/>
              <w:rPr>
                <w:rFonts w:ascii="Calibri" w:hAnsi="宋体" w:eastAsia="宋体" w:cstheme="minorHAnsi"/>
                <w:sz w:val="21"/>
                <w:szCs w:val="21"/>
              </w:rPr>
            </w:pPr>
            <w:r>
              <w:rPr>
                <w:rFonts w:ascii="Calibri" w:hAnsi="宋体" w:eastAsia="宋体" w:cstheme="minorHAnsi"/>
                <w:sz w:val="21"/>
                <w:szCs w:val="21"/>
              </w:rPr>
              <w:t>完全响</w:t>
            </w:r>
            <w:r>
              <w:rPr>
                <w:rFonts w:hint="eastAsia" w:ascii="Calibri" w:hAnsi="宋体" w:eastAsia="宋体" w:cstheme="minorHAnsi"/>
                <w:w w:val="1"/>
                <w:sz w:val="21"/>
                <w:szCs w:val="21"/>
              </w:rPr>
              <w:t xml:space="preserve"> </w:t>
            </w:r>
            <w:r>
              <w:rPr>
                <w:rFonts w:ascii="Calibri" w:hAnsi="宋体" w:eastAsia="宋体" w:cstheme="minorHAnsi"/>
                <w:sz w:val="21"/>
                <w:szCs w:val="21"/>
              </w:rPr>
              <w:t>应招标文件第三章标注了</w:t>
            </w:r>
            <w:r>
              <w:rPr>
                <w:rFonts w:eastAsia="宋体" w:cstheme="minorHAnsi"/>
                <w:sz w:val="21"/>
                <w:szCs w:val="21"/>
              </w:rPr>
              <w:t>“</w:t>
            </w:r>
            <w:r>
              <w:rPr>
                <w:rFonts w:ascii="Segoe UI Symbol" w:hAnsi="Segoe UI Symbol" w:eastAsia="宋体" w:cs="Segoe UI Symbol"/>
                <w:sz w:val="21"/>
                <w:szCs w:val="21"/>
              </w:rPr>
              <w:t>★</w:t>
            </w:r>
            <w:r>
              <w:rPr>
                <w:rFonts w:eastAsia="宋体" w:cstheme="minorHAnsi"/>
                <w:sz w:val="21"/>
                <w:szCs w:val="21"/>
              </w:rPr>
              <w:t>”</w:t>
            </w:r>
            <w:r>
              <w:rPr>
                <w:rFonts w:ascii="Calibri" w:hAnsi="宋体" w:eastAsia="宋体" w:cstheme="minorHAnsi"/>
                <w:sz w:val="21"/>
                <w:szCs w:val="21"/>
              </w:rPr>
              <w:t>的各项实质性条款。</w:t>
            </w:r>
          </w:p>
          <w:p>
            <w:pPr>
              <w:spacing w:line="400" w:lineRule="exact"/>
              <w:jc w:val="both"/>
              <w:rPr>
                <w:rFonts w:ascii="Calibri" w:hAnsi="宋体" w:eastAsia="宋体" w:cstheme="minorHAnsi"/>
                <w:sz w:val="21"/>
                <w:szCs w:val="21"/>
              </w:rPr>
            </w:pPr>
            <w:r>
              <w:rPr>
                <w:rFonts w:ascii="Calibri" w:hAnsi="宋体" w:eastAsia="宋体" w:cstheme="minorHAnsi"/>
                <w:bCs/>
                <w:sz w:val="21"/>
                <w:szCs w:val="21"/>
              </w:rPr>
              <w:t>（</w:t>
            </w:r>
            <w:r>
              <w:rPr>
                <w:rFonts w:ascii="Calibri" w:hAnsi="宋体" w:eastAsia="宋体" w:cstheme="minorHAnsi"/>
                <w:bCs/>
                <w:color w:val="C00000"/>
                <w:sz w:val="21"/>
                <w:szCs w:val="21"/>
              </w:rPr>
              <w:t>招标文件</w:t>
            </w:r>
            <w:r>
              <w:rPr>
                <w:rFonts w:ascii="Calibri" w:hAnsi="宋体" w:eastAsia="宋体" w:cs="Segoe UI Symbol"/>
                <w:bCs/>
                <w:color w:val="C00000"/>
                <w:sz w:val="21"/>
                <w:szCs w:val="21"/>
              </w:rPr>
              <w:t>未设置实质性条款时请忽略此项</w:t>
            </w:r>
            <w:r>
              <w:rPr>
                <w:rFonts w:ascii="Calibri" w:hAnsi="宋体" w:eastAsia="宋体" w:cstheme="minorHAnsi"/>
                <w:bCs/>
                <w:sz w:val="21"/>
                <w:szCs w:val="21"/>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704" w:type="dxa"/>
            <w:vAlign w:val="center"/>
          </w:tcPr>
          <w:p>
            <w:pPr>
              <w:spacing w:line="400" w:lineRule="exact"/>
              <w:jc w:val="center"/>
              <w:rPr>
                <w:rFonts w:ascii="Calibri" w:hAnsi="宋体" w:eastAsia="宋体" w:cstheme="minorHAnsi"/>
                <w:bCs/>
                <w:sz w:val="21"/>
                <w:szCs w:val="21"/>
              </w:rPr>
            </w:pPr>
            <w:r>
              <w:rPr>
                <w:rFonts w:hint="eastAsia" w:ascii="Calibri" w:hAnsi="宋体" w:eastAsia="宋体" w:cstheme="minorHAnsi"/>
                <w:bCs/>
                <w:sz w:val="21"/>
                <w:szCs w:val="21"/>
              </w:rPr>
              <w:t>8</w:t>
            </w:r>
          </w:p>
        </w:tc>
        <w:tc>
          <w:tcPr>
            <w:tcW w:w="2268" w:type="dxa"/>
            <w:vAlign w:val="center"/>
          </w:tcPr>
          <w:p>
            <w:pPr>
              <w:spacing w:line="400" w:lineRule="exact"/>
              <w:jc w:val="both"/>
              <w:rPr>
                <w:rFonts w:ascii="Calibri" w:hAnsi="宋体" w:eastAsia="宋体" w:cstheme="minorHAnsi"/>
                <w:bCs/>
                <w:sz w:val="21"/>
                <w:szCs w:val="21"/>
              </w:rPr>
            </w:pPr>
            <w:r>
              <w:rPr>
                <w:rFonts w:ascii="Calibri" w:hAnsi="宋体" w:eastAsia="宋体" w:cstheme="minorHAnsi"/>
                <w:bCs/>
                <w:sz w:val="21"/>
                <w:szCs w:val="21"/>
              </w:rPr>
              <w:t>合同条款响</w:t>
            </w:r>
            <w:r>
              <w:rPr>
                <w:rFonts w:hint="eastAsia" w:ascii="Calibri" w:hAnsi="宋体" w:eastAsia="宋体" w:cstheme="minorHAnsi"/>
                <w:bCs/>
                <w:w w:val="1"/>
                <w:sz w:val="21"/>
                <w:szCs w:val="21"/>
              </w:rPr>
              <w:t xml:space="preserve"> </w:t>
            </w:r>
            <w:r>
              <w:rPr>
                <w:rFonts w:ascii="Calibri" w:hAnsi="宋体" w:eastAsia="宋体" w:cstheme="minorHAnsi"/>
                <w:bCs/>
                <w:sz w:val="21"/>
                <w:szCs w:val="21"/>
              </w:rPr>
              <w:t>应</w:t>
            </w:r>
          </w:p>
        </w:tc>
        <w:tc>
          <w:tcPr>
            <w:tcW w:w="5944" w:type="dxa"/>
            <w:vAlign w:val="center"/>
          </w:tcPr>
          <w:p>
            <w:pPr>
              <w:spacing w:line="400" w:lineRule="exact"/>
              <w:jc w:val="both"/>
              <w:rPr>
                <w:rFonts w:ascii="Calibri" w:hAnsi="宋体" w:eastAsia="宋体" w:cstheme="minorHAnsi"/>
                <w:sz w:val="21"/>
                <w:szCs w:val="21"/>
              </w:rPr>
            </w:pPr>
            <w:r>
              <w:rPr>
                <w:rFonts w:ascii="Calibri" w:hAnsi="宋体" w:eastAsia="宋体" w:cstheme="minorHAnsi"/>
                <w:sz w:val="21"/>
                <w:szCs w:val="21"/>
              </w:rPr>
              <w:t>完全理解并响</w:t>
            </w:r>
            <w:r>
              <w:rPr>
                <w:rFonts w:hint="eastAsia" w:ascii="Calibri" w:hAnsi="宋体" w:eastAsia="宋体" w:cstheme="minorHAnsi"/>
                <w:w w:val="1"/>
                <w:sz w:val="21"/>
                <w:szCs w:val="21"/>
              </w:rPr>
              <w:t xml:space="preserve"> </w:t>
            </w:r>
            <w:r>
              <w:rPr>
                <w:rFonts w:ascii="Calibri" w:hAnsi="宋体" w:eastAsia="宋体" w:cstheme="minorHAnsi"/>
                <w:sz w:val="21"/>
                <w:szCs w:val="21"/>
              </w:rPr>
              <w:t>应招标文件合同条款的要求，且未</w:t>
            </w:r>
            <w:r>
              <w:rPr>
                <w:rFonts w:hint="eastAsia" w:ascii="Calibri" w:hAnsi="宋体" w:eastAsia="宋体" w:cstheme="minorHAnsi"/>
                <w:sz w:val="21"/>
                <w:szCs w:val="21"/>
              </w:rPr>
              <w:t>含有采购人不能接受的附加条件的</w:t>
            </w:r>
            <w:r>
              <w:rPr>
                <w:rFonts w:ascii="Calibri" w:hAnsi="宋体" w:eastAsia="宋体" w:cstheme="minorHAnsi"/>
                <w:sz w:val="21"/>
                <w:szCs w:val="21"/>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704" w:type="dxa"/>
            <w:vAlign w:val="center"/>
          </w:tcPr>
          <w:p>
            <w:pPr>
              <w:spacing w:line="400" w:lineRule="exact"/>
              <w:jc w:val="center"/>
              <w:rPr>
                <w:rFonts w:ascii="Calibri" w:hAnsi="宋体" w:eastAsia="宋体" w:cstheme="minorHAnsi"/>
                <w:bCs/>
                <w:sz w:val="21"/>
                <w:szCs w:val="21"/>
              </w:rPr>
            </w:pPr>
            <w:r>
              <w:rPr>
                <w:rFonts w:hint="eastAsia" w:ascii="Calibri" w:hAnsi="宋体" w:eastAsia="宋体" w:cstheme="minorHAnsi"/>
                <w:bCs/>
                <w:sz w:val="21"/>
                <w:szCs w:val="21"/>
              </w:rPr>
              <w:t>9</w:t>
            </w:r>
          </w:p>
        </w:tc>
        <w:tc>
          <w:tcPr>
            <w:tcW w:w="2268" w:type="dxa"/>
            <w:vAlign w:val="center"/>
          </w:tcPr>
          <w:p>
            <w:pPr>
              <w:spacing w:line="400" w:lineRule="exact"/>
              <w:jc w:val="both"/>
              <w:rPr>
                <w:rFonts w:ascii="Calibri" w:hAnsi="宋体" w:eastAsia="宋体" w:cstheme="minorHAnsi"/>
                <w:bCs/>
                <w:sz w:val="21"/>
                <w:szCs w:val="21"/>
              </w:rPr>
            </w:pPr>
            <w:r>
              <w:rPr>
                <w:rFonts w:hint="eastAsia" w:ascii="Calibri" w:hAnsi="宋体" w:eastAsia="宋体"/>
                <w:bCs/>
                <w:color w:val="000000"/>
                <w:sz w:val="21"/>
                <w:szCs w:val="21"/>
              </w:rPr>
              <w:t>电子投标文件雷同性分析</w:t>
            </w:r>
          </w:p>
        </w:tc>
        <w:tc>
          <w:tcPr>
            <w:tcW w:w="5944" w:type="dxa"/>
            <w:vAlign w:val="center"/>
          </w:tcPr>
          <w:p>
            <w:pPr>
              <w:spacing w:line="400" w:lineRule="exact"/>
              <w:jc w:val="both"/>
              <w:rPr>
                <w:rFonts w:ascii="Calibri" w:hAnsi="宋体" w:eastAsia="宋体" w:cstheme="minorHAnsi"/>
                <w:sz w:val="21"/>
                <w:szCs w:val="21"/>
              </w:rPr>
            </w:pPr>
            <w:r>
              <w:rPr>
                <w:rFonts w:hint="eastAsia" w:ascii="Calibri" w:hAnsi="宋体" w:eastAsia="宋体"/>
                <w:bCs/>
                <w:color w:val="000000"/>
                <w:sz w:val="21"/>
                <w:szCs w:val="21"/>
              </w:rPr>
              <w:t>电子投标文件的“文件制作机器码”和“文件创建标识码”通过评标系统的雷同性分析。</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704" w:type="dxa"/>
            <w:vAlign w:val="center"/>
          </w:tcPr>
          <w:p>
            <w:pPr>
              <w:spacing w:line="400" w:lineRule="exact"/>
              <w:jc w:val="center"/>
              <w:rPr>
                <w:rFonts w:ascii="Calibri" w:hAnsi="宋体" w:eastAsia="宋体" w:cstheme="minorHAnsi"/>
                <w:sz w:val="21"/>
                <w:szCs w:val="21"/>
              </w:rPr>
            </w:pPr>
            <w:r>
              <w:rPr>
                <w:rFonts w:hint="eastAsia" w:ascii="Calibri" w:hAnsi="宋体" w:eastAsia="宋体" w:cstheme="minorHAnsi"/>
                <w:sz w:val="21"/>
                <w:szCs w:val="21"/>
              </w:rPr>
              <w:t>10</w:t>
            </w:r>
          </w:p>
        </w:tc>
        <w:tc>
          <w:tcPr>
            <w:tcW w:w="2268" w:type="dxa"/>
            <w:vAlign w:val="center"/>
          </w:tcPr>
          <w:p>
            <w:pPr>
              <w:spacing w:line="400" w:lineRule="exact"/>
              <w:jc w:val="both"/>
              <w:rPr>
                <w:rFonts w:ascii="Calibri" w:hAnsi="宋体" w:eastAsia="宋体" w:cstheme="minorHAnsi"/>
                <w:bCs/>
                <w:sz w:val="21"/>
                <w:szCs w:val="21"/>
              </w:rPr>
            </w:pPr>
            <w:r>
              <w:rPr>
                <w:rFonts w:ascii="Calibri" w:hAnsi="宋体" w:eastAsia="宋体" w:cstheme="minorHAnsi"/>
                <w:bCs/>
                <w:sz w:val="21"/>
                <w:szCs w:val="21"/>
              </w:rPr>
              <w:t>其他</w:t>
            </w:r>
          </w:p>
        </w:tc>
        <w:tc>
          <w:tcPr>
            <w:tcW w:w="5944" w:type="dxa"/>
            <w:vAlign w:val="center"/>
          </w:tcPr>
          <w:p>
            <w:pPr>
              <w:spacing w:line="400" w:lineRule="exact"/>
              <w:jc w:val="both"/>
              <w:rPr>
                <w:rFonts w:ascii="Calibri" w:hAnsi="宋体" w:eastAsia="宋体" w:cstheme="minorHAnsi"/>
                <w:sz w:val="21"/>
                <w:szCs w:val="21"/>
              </w:rPr>
            </w:pPr>
            <w:r>
              <w:rPr>
                <w:rFonts w:ascii="Calibri" w:hAnsi="宋体" w:eastAsia="宋体" w:cstheme="minorHAnsi"/>
                <w:sz w:val="21"/>
                <w:szCs w:val="21"/>
              </w:rPr>
              <w:t>完全理解并接受法律法规和招标文件对供应商合法经营的各类规约和责任义务要求，没有出现法律法规或招标文件规定的其他</w:t>
            </w:r>
            <w:r>
              <w:rPr>
                <w:rFonts w:hint="eastAsia" w:ascii="Calibri" w:hAnsi="宋体" w:eastAsia="宋体" w:cstheme="minorHAnsi"/>
                <w:sz w:val="21"/>
                <w:szCs w:val="21"/>
              </w:rPr>
              <w:t>无效</w:t>
            </w:r>
            <w:r>
              <w:rPr>
                <w:rFonts w:ascii="Calibri" w:hAnsi="宋体" w:eastAsia="宋体" w:cstheme="minorHAnsi"/>
                <w:sz w:val="21"/>
                <w:szCs w:val="21"/>
              </w:rPr>
              <w:t>情形。</w:t>
            </w:r>
          </w:p>
        </w:tc>
      </w:tr>
    </w:tbl>
    <w:p>
      <w:pPr>
        <w:pStyle w:val="83"/>
        <w:ind w:firstLine="482"/>
        <w:rPr>
          <w:b/>
        </w:rPr>
      </w:pPr>
      <w:r>
        <w:rPr>
          <w:b/>
        </w:rPr>
        <w:t>3</w:t>
      </w:r>
      <w:r>
        <w:rPr>
          <w:rFonts w:hint="eastAsia"/>
          <w:b/>
          <w:color w:val="auto"/>
        </w:rPr>
        <w:t>．投标</w:t>
      </w:r>
      <w:r>
        <w:rPr>
          <w:rFonts w:hint="eastAsia"/>
          <w:b/>
        </w:rPr>
        <w:t>文件的澄清</w:t>
      </w:r>
    </w:p>
    <w:p>
      <w:pPr>
        <w:pStyle w:val="83"/>
        <w:ind w:firstLine="480"/>
      </w:pPr>
      <w:r>
        <w:rPr>
          <w:rFonts w:hint="eastAsia"/>
        </w:rPr>
        <w:t>对于投标文件中</w:t>
      </w:r>
      <w:r>
        <w:rPr>
          <w:rFonts w:hint="eastAsia"/>
          <w:color w:val="C00000"/>
        </w:rPr>
        <w:t>含义不明确</w:t>
      </w:r>
      <w:r>
        <w:rPr>
          <w:rFonts w:hint="eastAsia"/>
        </w:rPr>
        <w:t>、</w:t>
      </w:r>
      <w:r>
        <w:rPr>
          <w:rFonts w:hint="eastAsia"/>
          <w:color w:val="C00000"/>
        </w:rPr>
        <w:t>同类问题表述不一致</w:t>
      </w:r>
      <w:r>
        <w:rPr>
          <w:rFonts w:hint="eastAsia"/>
        </w:rPr>
        <w:t>或者</w:t>
      </w:r>
      <w:r>
        <w:rPr>
          <w:rFonts w:hint="eastAsia"/>
          <w:color w:val="C00000"/>
        </w:rPr>
        <w:t>有明显文字和计算错误</w:t>
      </w:r>
      <w:r>
        <w:rPr>
          <w:rFonts w:hint="eastAsia"/>
        </w:rPr>
        <w:t>的内容，评标委员会应当以书面形式要求供应商作出必要的澄清、说明或者补正。</w:t>
      </w:r>
    </w:p>
    <w:p>
      <w:pPr>
        <w:pStyle w:val="83"/>
        <w:ind w:firstLine="480"/>
        <w:rPr>
          <w:b/>
          <w:color w:val="auto"/>
        </w:rPr>
      </w:pPr>
      <w:r>
        <w:rPr>
          <w:rFonts w:hint="eastAsia"/>
        </w:rPr>
        <w:t>供应商的澄清、说明或者补正应当采用书面形式，并加盖公章，或者由法定代表人或其授权代表签字。供应商的澄清、说明或者补正不得超出投标文件的范围或者改变投标文件的实质性内容。</w:t>
      </w:r>
    </w:p>
    <w:p>
      <w:pPr>
        <w:pStyle w:val="83"/>
        <w:ind w:firstLine="482"/>
        <w:rPr>
          <w:b/>
        </w:rPr>
      </w:pPr>
      <w:r>
        <w:rPr>
          <w:rFonts w:hint="eastAsia"/>
          <w:b/>
        </w:rPr>
        <w:t>4．</w:t>
      </w:r>
      <w:r>
        <w:rPr>
          <w:b/>
        </w:rPr>
        <w:t>综合比较与评价</w:t>
      </w:r>
    </w:p>
    <w:p>
      <w:pPr>
        <w:pStyle w:val="83"/>
        <w:ind w:firstLine="480"/>
      </w:pPr>
      <w:r>
        <w:t>评标委员会按「评审要素及分值一览表」中规定的评标方法和标准，对通过符合性审查的投标文件进行商务和技术评估，综合比较与评价。</w:t>
      </w:r>
    </w:p>
    <w:p>
      <w:pPr>
        <w:pStyle w:val="83"/>
        <w:ind w:firstLine="480"/>
        <w:rPr>
          <w:color w:val="C00000"/>
        </w:rPr>
      </w:pPr>
      <w:r>
        <w:rPr>
          <w:color w:val="C00000"/>
        </w:rPr>
        <w:t>出现下列情形的，供应商投标无效：</w:t>
      </w:r>
    </w:p>
    <w:p>
      <w:pPr>
        <w:pStyle w:val="83"/>
        <w:ind w:firstLine="480"/>
      </w:pPr>
      <w:r>
        <w:t>（1）投标文件报价出现本章第</w:t>
      </w:r>
      <w:r>
        <w:rPr>
          <w:rFonts w:hint="eastAsia"/>
        </w:rPr>
        <w:t>四</w:t>
      </w:r>
      <w:r>
        <w:t>小节</w:t>
      </w:r>
      <w:r>
        <w:rPr>
          <w:rFonts w:hint="eastAsia"/>
        </w:rPr>
        <w:t>“</w:t>
      </w:r>
      <w:r>
        <w:t>投标报价</w:t>
      </w:r>
      <w:r>
        <w:rPr>
          <w:rFonts w:hint="eastAsia"/>
        </w:rPr>
        <w:t>”</w:t>
      </w:r>
      <w:r>
        <w:t>所列需要修正情形，但供应商对修正后的报价不予确认的；</w:t>
      </w:r>
    </w:p>
    <w:p>
      <w:pPr>
        <w:pStyle w:val="83"/>
        <w:widowControl w:val="0"/>
        <w:ind w:firstLine="480"/>
      </w:pPr>
      <w:r>
        <w:t>（2）评标委员会认为供应商的报价明显低于其他通过符合性审查供应商的报价，有可能影响产品质量或者不能诚信履约的，要求供应商在评标现场合理的时间内提供书面说明（必要时提交相关证明材料），供应商不能证明其报价合理性的。</w:t>
      </w:r>
    </w:p>
    <w:p>
      <w:pPr>
        <w:keepNext/>
        <w:spacing w:before="230" w:beforeLines="50" w:after="230" w:afterLines="50"/>
        <w:jc w:val="center"/>
        <w:outlineLvl w:val="3"/>
        <w:rPr>
          <w:rFonts w:ascii="黑体" w:hAnsi="黑体" w:eastAsia="黑体" w:cstheme="minorHAnsi"/>
          <w:color w:val="1F4E79"/>
          <w:sz w:val="32"/>
          <w:szCs w:val="32"/>
        </w:rPr>
      </w:pPr>
      <w:r>
        <w:rPr>
          <w:rFonts w:ascii="黑体" w:hAnsi="黑体" w:eastAsia="黑体" w:cstheme="minorHAnsi"/>
          <w:color w:val="1F4E79"/>
          <w:sz w:val="32"/>
          <w:szCs w:val="32"/>
        </w:rPr>
        <w:t>『评审要素及分值一览表』</w:t>
      </w:r>
    </w:p>
    <w:tbl>
      <w:tblPr>
        <w:tblStyle w:val="26"/>
        <w:tblW w:w="9067" w:type="dxa"/>
        <w:tblInd w:w="0" w:type="dxa"/>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735"/>
        <w:gridCol w:w="630"/>
        <w:gridCol w:w="945"/>
        <w:gridCol w:w="5869"/>
        <w:gridCol w:w="888"/>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trPr>
        <w:tc>
          <w:tcPr>
            <w:tcW w:w="735" w:type="dxa"/>
            <w:vMerge w:val="restart"/>
            <w:tcBorders>
              <w:top w:val="single" w:color="auto" w:sz="12" w:space="0"/>
              <w:bottom w:val="single" w:color="auto" w:sz="2" w:space="0"/>
            </w:tcBorders>
            <w:shd w:val="clear" w:color="auto" w:fill="F1F1F1" w:themeFill="background1" w:themeFillShade="F2"/>
            <w:vAlign w:val="center"/>
          </w:tcPr>
          <w:p>
            <w:pPr>
              <w:spacing w:line="320" w:lineRule="exact"/>
              <w:jc w:val="center"/>
              <w:rPr>
                <w:rFonts w:ascii="Calibri" w:hAnsi="宋体" w:eastAsia="宋体"/>
                <w:b/>
                <w:bCs/>
                <w:color w:val="000000" w:themeColor="text1"/>
                <w:sz w:val="21"/>
                <w:szCs w:val="21"/>
                <w14:textFill>
                  <w14:solidFill>
                    <w14:schemeClr w14:val="tx1"/>
                  </w14:solidFill>
                </w14:textFill>
              </w:rPr>
            </w:pPr>
            <w:r>
              <w:rPr>
                <w:rFonts w:ascii="Calibri" w:hAnsi="宋体" w:eastAsia="宋体"/>
                <w:b/>
                <w:bCs/>
                <w:color w:val="000000" w:themeColor="text1"/>
                <w:sz w:val="21"/>
                <w:szCs w:val="21"/>
                <w14:textFill>
                  <w14:solidFill>
                    <w14:schemeClr w14:val="tx1"/>
                  </w14:solidFill>
                </w14:textFill>
              </w:rPr>
              <w:t>项别</w:t>
            </w:r>
          </w:p>
        </w:tc>
        <w:tc>
          <w:tcPr>
            <w:tcW w:w="1575" w:type="dxa"/>
            <w:gridSpan w:val="2"/>
            <w:tcBorders>
              <w:top w:val="single" w:color="auto" w:sz="12" w:space="0"/>
              <w:bottom w:val="single" w:color="auto" w:sz="2" w:space="0"/>
            </w:tcBorders>
            <w:shd w:val="clear" w:color="auto" w:fill="F1F1F1" w:themeFill="background1" w:themeFillShade="F2"/>
            <w:vAlign w:val="center"/>
          </w:tcPr>
          <w:p>
            <w:pPr>
              <w:spacing w:line="320" w:lineRule="exact"/>
              <w:jc w:val="center"/>
              <w:rPr>
                <w:rFonts w:ascii="Calibri" w:hAnsi="宋体" w:eastAsia="宋体"/>
                <w:b/>
                <w:bCs/>
                <w:color w:val="000000" w:themeColor="text1"/>
                <w:sz w:val="21"/>
                <w:szCs w:val="21"/>
                <w14:textFill>
                  <w14:solidFill>
                    <w14:schemeClr w14:val="tx1"/>
                  </w14:solidFill>
                </w14:textFill>
              </w:rPr>
            </w:pPr>
            <w:r>
              <w:rPr>
                <w:rFonts w:ascii="Calibri" w:hAnsi="宋体" w:eastAsia="宋体"/>
                <w:b/>
                <w:bCs/>
                <w:color w:val="000000" w:themeColor="text1"/>
                <w:sz w:val="21"/>
                <w:szCs w:val="21"/>
                <w14:textFill>
                  <w14:solidFill>
                    <w14:schemeClr w14:val="tx1"/>
                  </w14:solidFill>
                </w14:textFill>
              </w:rPr>
              <w:t>总分值</w:t>
            </w:r>
          </w:p>
        </w:tc>
        <w:tc>
          <w:tcPr>
            <w:tcW w:w="5869" w:type="dxa"/>
            <w:vMerge w:val="restart"/>
            <w:tcBorders>
              <w:top w:val="single" w:color="auto" w:sz="12" w:space="0"/>
              <w:bottom w:val="single" w:color="auto" w:sz="2" w:space="0"/>
            </w:tcBorders>
            <w:shd w:val="clear" w:color="auto" w:fill="F1F1F1" w:themeFill="background1" w:themeFillShade="F2"/>
            <w:vAlign w:val="center"/>
          </w:tcPr>
          <w:p>
            <w:pPr>
              <w:spacing w:line="320" w:lineRule="exact"/>
              <w:jc w:val="center"/>
              <w:rPr>
                <w:rFonts w:ascii="Calibri" w:hAnsi="宋体" w:eastAsia="宋体"/>
                <w:b/>
                <w:bCs/>
                <w:color w:val="000000" w:themeColor="text1"/>
                <w:sz w:val="21"/>
                <w:szCs w:val="21"/>
                <w14:textFill>
                  <w14:solidFill>
                    <w14:schemeClr w14:val="tx1"/>
                  </w14:solidFill>
                </w14:textFill>
              </w:rPr>
            </w:pPr>
            <w:r>
              <w:rPr>
                <w:rFonts w:ascii="Calibri" w:hAnsi="宋体" w:eastAsia="宋体"/>
                <w:b/>
                <w:bCs/>
                <w:color w:val="000000" w:themeColor="text1"/>
                <w:sz w:val="21"/>
                <w:szCs w:val="21"/>
                <w14:textFill>
                  <w14:solidFill>
                    <w14:schemeClr w14:val="tx1"/>
                  </w14:solidFill>
                </w14:textFill>
              </w:rPr>
              <w:t>评审要素</w:t>
            </w:r>
          </w:p>
        </w:tc>
        <w:tc>
          <w:tcPr>
            <w:tcW w:w="888" w:type="dxa"/>
            <w:vMerge w:val="restart"/>
            <w:tcBorders>
              <w:top w:val="single" w:color="auto" w:sz="12" w:space="0"/>
              <w:bottom w:val="single" w:color="auto" w:sz="2" w:space="0"/>
            </w:tcBorders>
            <w:shd w:val="clear" w:color="auto" w:fill="F1F1F1" w:themeFill="background1" w:themeFillShade="F2"/>
            <w:vAlign w:val="center"/>
          </w:tcPr>
          <w:p>
            <w:pPr>
              <w:spacing w:line="320" w:lineRule="exact"/>
              <w:jc w:val="center"/>
              <w:rPr>
                <w:rFonts w:ascii="Calibri" w:hAnsi="宋体" w:eastAsia="宋体"/>
                <w:b/>
                <w:bCs/>
                <w:color w:val="000000" w:themeColor="text1"/>
                <w:sz w:val="21"/>
                <w:szCs w:val="21"/>
                <w14:textFill>
                  <w14:solidFill>
                    <w14:schemeClr w14:val="tx1"/>
                  </w14:solidFill>
                </w14:textFill>
              </w:rPr>
            </w:pPr>
            <w:r>
              <w:rPr>
                <w:rFonts w:ascii="Calibri" w:hAnsi="宋体" w:eastAsia="宋体"/>
                <w:b/>
                <w:bCs/>
                <w:color w:val="000000" w:themeColor="text1"/>
                <w:sz w:val="21"/>
                <w:szCs w:val="21"/>
                <w14:textFill>
                  <w14:solidFill>
                    <w14:schemeClr w14:val="tx1"/>
                  </w14:solidFill>
                </w14:textFill>
              </w:rPr>
              <w:t>备注</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trPr>
        <w:tc>
          <w:tcPr>
            <w:tcW w:w="735" w:type="dxa"/>
            <w:vMerge w:val="continue"/>
            <w:tcBorders>
              <w:top w:val="single" w:color="auto" w:sz="2" w:space="0"/>
              <w:bottom w:val="single" w:color="auto" w:sz="2" w:space="0"/>
            </w:tcBorders>
            <w:shd w:val="clear" w:color="auto" w:fill="F1F1F1" w:themeFill="background1" w:themeFillShade="F2"/>
            <w:vAlign w:val="center"/>
          </w:tcPr>
          <w:p>
            <w:pPr>
              <w:spacing w:line="320" w:lineRule="exact"/>
              <w:rPr>
                <w:rFonts w:ascii="Calibri" w:hAnsi="宋体" w:eastAsia="宋体"/>
                <w:bCs/>
                <w:color w:val="000000" w:themeColor="text1"/>
                <w:sz w:val="21"/>
                <w:szCs w:val="21"/>
                <w14:textFill>
                  <w14:solidFill>
                    <w14:schemeClr w14:val="tx1"/>
                  </w14:solidFill>
                </w14:textFill>
              </w:rPr>
            </w:pPr>
          </w:p>
        </w:tc>
        <w:tc>
          <w:tcPr>
            <w:tcW w:w="630" w:type="dxa"/>
            <w:tcBorders>
              <w:top w:val="single" w:color="auto" w:sz="2" w:space="0"/>
              <w:bottom w:val="single" w:color="auto" w:sz="2" w:space="0"/>
            </w:tcBorders>
            <w:shd w:val="clear" w:color="auto" w:fill="F1F1F1" w:themeFill="background1" w:themeFillShade="F2"/>
            <w:vAlign w:val="center"/>
          </w:tcPr>
          <w:p>
            <w:pPr>
              <w:spacing w:line="320" w:lineRule="exact"/>
              <w:jc w:val="center"/>
              <w:rPr>
                <w:rFonts w:ascii="Calibri" w:hAnsi="宋体" w:eastAsia="宋体"/>
                <w:b/>
                <w:bCs/>
                <w:color w:val="000000" w:themeColor="text1"/>
                <w:sz w:val="21"/>
                <w:szCs w:val="21"/>
                <w14:textFill>
                  <w14:solidFill>
                    <w14:schemeClr w14:val="tx1"/>
                  </w14:solidFill>
                </w14:textFill>
              </w:rPr>
            </w:pPr>
            <w:r>
              <w:rPr>
                <w:rFonts w:ascii="Calibri" w:hAnsi="宋体" w:eastAsia="宋体"/>
                <w:b/>
                <w:bCs/>
                <w:color w:val="000000" w:themeColor="text1"/>
                <w:sz w:val="21"/>
                <w:szCs w:val="21"/>
                <w14:textFill>
                  <w14:solidFill>
                    <w14:schemeClr w14:val="tx1"/>
                  </w14:solidFill>
                </w14:textFill>
              </w:rPr>
              <w:t>100</w:t>
            </w:r>
          </w:p>
        </w:tc>
        <w:tc>
          <w:tcPr>
            <w:tcW w:w="945" w:type="dxa"/>
            <w:tcBorders>
              <w:top w:val="single" w:color="auto" w:sz="2" w:space="0"/>
              <w:bottom w:val="single" w:color="auto" w:sz="2" w:space="0"/>
            </w:tcBorders>
            <w:shd w:val="clear" w:color="auto" w:fill="F1F1F1" w:themeFill="background1" w:themeFillShade="F2"/>
            <w:vAlign w:val="center"/>
          </w:tcPr>
          <w:p>
            <w:pPr>
              <w:spacing w:line="320" w:lineRule="exact"/>
              <w:jc w:val="center"/>
              <w:rPr>
                <w:rFonts w:ascii="Calibri" w:hAnsi="宋体" w:eastAsia="宋体"/>
                <w:b/>
                <w:bCs/>
                <w:color w:val="000000" w:themeColor="text1"/>
                <w:sz w:val="21"/>
                <w:szCs w:val="21"/>
                <w14:textFill>
                  <w14:solidFill>
                    <w14:schemeClr w14:val="tx1"/>
                  </w14:solidFill>
                </w14:textFill>
              </w:rPr>
            </w:pPr>
            <w:r>
              <w:rPr>
                <w:rFonts w:ascii="Calibri" w:hAnsi="宋体" w:eastAsia="宋体"/>
                <w:b/>
                <w:bCs/>
                <w:color w:val="000000" w:themeColor="text1"/>
                <w:sz w:val="21"/>
                <w:szCs w:val="21"/>
                <w14:textFill>
                  <w14:solidFill>
                    <w14:schemeClr w14:val="tx1"/>
                  </w14:solidFill>
                </w14:textFill>
              </w:rPr>
              <w:t>分项最高分值</w:t>
            </w:r>
          </w:p>
        </w:tc>
        <w:tc>
          <w:tcPr>
            <w:tcW w:w="5869" w:type="dxa"/>
            <w:vMerge w:val="continue"/>
            <w:tcBorders>
              <w:top w:val="single" w:color="auto" w:sz="2" w:space="0"/>
              <w:bottom w:val="single" w:color="auto" w:sz="2" w:space="0"/>
            </w:tcBorders>
            <w:shd w:val="clear" w:color="auto" w:fill="F1F1F1" w:themeFill="background1" w:themeFillShade="F2"/>
            <w:vAlign w:val="center"/>
          </w:tcPr>
          <w:p>
            <w:pPr>
              <w:spacing w:line="320" w:lineRule="exact"/>
              <w:ind w:firstLine="420" w:firstLineChars="200"/>
              <w:rPr>
                <w:rFonts w:ascii="Calibri" w:hAnsi="宋体" w:eastAsia="宋体"/>
                <w:bCs/>
                <w:color w:val="000000" w:themeColor="text1"/>
                <w:sz w:val="21"/>
                <w:szCs w:val="21"/>
                <w14:textFill>
                  <w14:solidFill>
                    <w14:schemeClr w14:val="tx1"/>
                  </w14:solidFill>
                </w14:textFill>
              </w:rPr>
            </w:pPr>
          </w:p>
        </w:tc>
        <w:tc>
          <w:tcPr>
            <w:tcW w:w="888" w:type="dxa"/>
            <w:vMerge w:val="continue"/>
            <w:tcBorders>
              <w:top w:val="single" w:color="auto" w:sz="2" w:space="0"/>
              <w:bottom w:val="single" w:color="auto" w:sz="2" w:space="0"/>
            </w:tcBorders>
            <w:shd w:val="clear" w:color="auto" w:fill="F1F1F1" w:themeFill="background1" w:themeFillShade="F2"/>
            <w:vAlign w:val="center"/>
          </w:tcPr>
          <w:p>
            <w:pPr>
              <w:spacing w:line="320" w:lineRule="exact"/>
              <w:ind w:firstLine="420" w:firstLineChars="200"/>
              <w:rPr>
                <w:rFonts w:ascii="Calibri" w:hAnsi="宋体" w:eastAsia="宋体"/>
                <w:bCs/>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trPr>
        <w:tc>
          <w:tcPr>
            <w:tcW w:w="735" w:type="dxa"/>
            <w:tcBorders>
              <w:top w:val="single" w:color="auto" w:sz="2" w:space="0"/>
            </w:tcBorders>
            <w:shd w:val="clear" w:color="auto" w:fill="auto"/>
            <w:vAlign w:val="center"/>
          </w:tcPr>
          <w:p>
            <w:pPr>
              <w:spacing w:line="320" w:lineRule="exact"/>
              <w:rPr>
                <w:rFonts w:ascii="Calibri" w:hAnsi="宋体" w:eastAsia="宋体"/>
                <w:bCs/>
                <w:color w:val="000000" w:themeColor="text1"/>
                <w:sz w:val="21"/>
                <w:szCs w:val="21"/>
                <w14:textFill>
                  <w14:solidFill>
                    <w14:schemeClr w14:val="tx1"/>
                  </w14:solidFill>
                </w14:textFill>
              </w:rPr>
            </w:pPr>
            <w:r>
              <w:rPr>
                <w:rFonts w:ascii="Calibri" w:hAnsi="宋体" w:eastAsia="宋体"/>
                <w:bCs/>
                <w:color w:val="000000" w:themeColor="text1"/>
                <w:sz w:val="21"/>
                <w:szCs w:val="21"/>
                <w14:textFill>
                  <w14:solidFill>
                    <w14:schemeClr w14:val="tx1"/>
                  </w14:solidFill>
                </w14:textFill>
              </w:rPr>
              <w:t>价格</w:t>
            </w:r>
          </w:p>
        </w:tc>
        <w:tc>
          <w:tcPr>
            <w:tcW w:w="630" w:type="dxa"/>
            <w:tcBorders>
              <w:top w:val="single" w:color="auto" w:sz="2" w:space="0"/>
            </w:tcBorders>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r>
              <w:rPr>
                <w:rFonts w:ascii="Calibri" w:hAnsi="宋体" w:eastAsia="宋体"/>
                <w:bCs/>
                <w:color w:val="000000" w:themeColor="text1"/>
                <w:sz w:val="21"/>
                <w:szCs w:val="21"/>
                <w14:textFill>
                  <w14:solidFill>
                    <w14:schemeClr w14:val="tx1"/>
                  </w14:solidFill>
                </w14:textFill>
              </w:rPr>
              <w:t>10</w:t>
            </w:r>
          </w:p>
        </w:tc>
        <w:tc>
          <w:tcPr>
            <w:tcW w:w="945" w:type="dxa"/>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p>
        </w:tc>
        <w:tc>
          <w:tcPr>
            <w:tcW w:w="5869" w:type="dxa"/>
            <w:tcBorders>
              <w:top w:val="single" w:color="auto" w:sz="2" w:space="0"/>
            </w:tcBorders>
            <w:shd w:val="clear" w:color="auto" w:fill="auto"/>
            <w:vAlign w:val="center"/>
          </w:tcPr>
          <w:p>
            <w:pPr>
              <w:tabs>
                <w:tab w:val="left" w:pos="547"/>
              </w:tabs>
              <w:spacing w:line="320" w:lineRule="exact"/>
              <w:ind w:firstLine="420" w:firstLineChars="200"/>
              <w:rPr>
                <w:rFonts w:ascii="Calibri" w:hAnsi="宋体" w:eastAsia="宋体"/>
                <w:color w:val="000000" w:themeColor="text1"/>
                <w:sz w:val="21"/>
                <w:szCs w:val="21"/>
                <w14:textFill>
                  <w14:solidFill>
                    <w14:schemeClr w14:val="tx1"/>
                  </w14:solidFill>
                </w14:textFill>
              </w:rPr>
            </w:pPr>
            <w:r>
              <w:rPr>
                <w:rFonts w:hint="eastAsia" w:ascii="Calibri" w:hAnsi="宋体" w:eastAsia="宋体"/>
                <w:color w:val="000000" w:themeColor="text1"/>
                <w:sz w:val="21"/>
                <w:szCs w:val="21"/>
                <w14:textFill>
                  <w14:solidFill>
                    <w14:schemeClr w14:val="tx1"/>
                  </w14:solidFill>
                </w14:textFill>
              </w:rPr>
              <w:t>有效服务商最低报价作为基准价，各服务商的报价得分按下列公式计算：（基准价</w:t>
            </w:r>
            <w:r>
              <w:rPr>
                <w:rFonts w:ascii="Calibri" w:hAnsi="宋体" w:eastAsia="宋体"/>
                <w:color w:val="000000" w:themeColor="text1"/>
                <w:sz w:val="21"/>
                <w:szCs w:val="21"/>
                <w14:textFill>
                  <w14:solidFill>
                    <w14:schemeClr w14:val="tx1"/>
                  </w14:solidFill>
                </w14:textFill>
              </w:rPr>
              <w:t>/投标报价）×10%×100分</w:t>
            </w:r>
          </w:p>
        </w:tc>
        <w:tc>
          <w:tcPr>
            <w:tcW w:w="888" w:type="dxa"/>
            <w:tcBorders>
              <w:top w:val="single" w:color="auto" w:sz="2" w:space="0"/>
            </w:tcBorders>
            <w:shd w:val="clear" w:color="auto" w:fill="auto"/>
            <w:vAlign w:val="center"/>
          </w:tcPr>
          <w:p>
            <w:pPr>
              <w:spacing w:line="320" w:lineRule="exact"/>
              <w:ind w:firstLine="420" w:firstLineChars="200"/>
              <w:rPr>
                <w:rFonts w:ascii="Calibri" w:hAnsi="宋体" w:eastAsia="宋体"/>
                <w:bCs/>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041" w:hRule="atLeast"/>
        </w:trPr>
        <w:tc>
          <w:tcPr>
            <w:tcW w:w="735" w:type="dxa"/>
            <w:vMerge w:val="restart"/>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r>
              <w:rPr>
                <w:rFonts w:hint="eastAsia" w:ascii="Calibri" w:hAnsi="宋体" w:eastAsia="宋体"/>
                <w:color w:val="000000" w:themeColor="text1"/>
                <w:sz w:val="21"/>
                <w:szCs w:val="21"/>
                <w14:textFill>
                  <w14:solidFill>
                    <w14:schemeClr w14:val="tx1"/>
                  </w14:solidFill>
                </w14:textFill>
              </w:rPr>
              <w:t>技术（服务</w:t>
            </w:r>
            <w:r>
              <w:rPr>
                <w:rFonts w:ascii="Calibri" w:hAnsi="宋体" w:eastAsia="宋体"/>
                <w:color w:val="000000" w:themeColor="text1"/>
                <w:sz w:val="21"/>
                <w:szCs w:val="21"/>
                <w14:textFill>
                  <w14:solidFill>
                    <w14:schemeClr w14:val="tx1"/>
                  </w14:solidFill>
                </w14:textFill>
              </w:rPr>
              <w:t>）</w:t>
            </w:r>
            <w:r>
              <w:rPr>
                <w:rFonts w:hint="eastAsia" w:ascii="Calibri" w:hAnsi="宋体" w:eastAsia="宋体"/>
                <w:color w:val="000000" w:themeColor="text1"/>
                <w:sz w:val="21"/>
                <w:szCs w:val="21"/>
                <w14:textFill>
                  <w14:solidFill>
                    <w14:schemeClr w14:val="tx1"/>
                  </w14:solidFill>
                </w14:textFill>
              </w:rPr>
              <w:t>暗标盲评部分</w:t>
            </w:r>
          </w:p>
        </w:tc>
        <w:tc>
          <w:tcPr>
            <w:tcW w:w="630" w:type="dxa"/>
            <w:vMerge w:val="restart"/>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r>
              <w:rPr>
                <w:rFonts w:ascii="Calibri" w:hAnsi="宋体" w:eastAsia="宋体"/>
                <w:bCs/>
                <w:color w:val="000000" w:themeColor="text1"/>
                <w:sz w:val="21"/>
                <w:szCs w:val="21"/>
                <w14:textFill>
                  <w14:solidFill>
                    <w14:schemeClr w14:val="tx1"/>
                  </w14:solidFill>
                </w14:textFill>
              </w:rPr>
              <w:t>30</w:t>
            </w:r>
          </w:p>
        </w:tc>
        <w:tc>
          <w:tcPr>
            <w:tcW w:w="945" w:type="dxa"/>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r>
              <w:rPr>
                <w:rFonts w:ascii="宋体" w:hAnsi="宋体" w:eastAsia="宋体" w:cs="Calibri Light"/>
                <w:bCs/>
                <w:sz w:val="21"/>
                <w:szCs w:val="21"/>
              </w:rPr>
              <w:t>12</w:t>
            </w:r>
          </w:p>
        </w:tc>
        <w:tc>
          <w:tcPr>
            <w:tcW w:w="5869" w:type="dxa"/>
            <w:shd w:val="clear" w:color="auto" w:fill="auto"/>
            <w:vAlign w:val="center"/>
          </w:tcPr>
          <w:p>
            <w:pPr>
              <w:spacing w:line="320" w:lineRule="exact"/>
              <w:ind w:firstLine="420" w:firstLineChars="200"/>
              <w:jc w:val="both"/>
              <w:rPr>
                <w:rFonts w:ascii="Calibri" w:hAnsi="宋体" w:eastAsia="宋体" w:cs="Calibri Light"/>
                <w:b/>
                <w:bCs/>
                <w:kern w:val="2"/>
                <w:sz w:val="21"/>
                <w:szCs w:val="21"/>
              </w:rPr>
            </w:pPr>
            <w:r>
              <w:rPr>
                <w:rFonts w:hint="eastAsia" w:ascii="Calibri" w:hAnsi="宋体" w:eastAsia="宋体" w:cs="Calibri Light"/>
                <w:b/>
                <w:bCs/>
                <w:kern w:val="2"/>
                <w:sz w:val="21"/>
                <w:szCs w:val="21"/>
              </w:rPr>
              <w:t>总体服务方案：</w:t>
            </w:r>
          </w:p>
          <w:p>
            <w:pPr>
              <w:autoSpaceDE w:val="0"/>
              <w:autoSpaceDN w:val="0"/>
              <w:adjustRightInd w:val="0"/>
              <w:spacing w:line="280" w:lineRule="exact"/>
              <w:ind w:firstLine="420" w:firstLineChars="200"/>
              <w:rPr>
                <w:rFonts w:ascii="宋体" w:hAnsi="宋体" w:eastAsia="宋体" w:cs="Calibri Light"/>
                <w:b/>
                <w:sz w:val="21"/>
                <w:szCs w:val="21"/>
              </w:rPr>
            </w:pPr>
            <w:r>
              <w:rPr>
                <w:rFonts w:hint="eastAsia" w:ascii="宋体" w:hAnsi="宋体" w:eastAsia="宋体" w:cs="Calibri Light"/>
                <w:b/>
                <w:sz w:val="21"/>
                <w:szCs w:val="21"/>
              </w:rPr>
              <w:t>1、评审</w:t>
            </w:r>
            <w:r>
              <w:rPr>
                <w:rFonts w:ascii="宋体" w:hAnsi="宋体" w:eastAsia="宋体" w:cs="Calibri Light"/>
                <w:b/>
                <w:sz w:val="21"/>
                <w:szCs w:val="21"/>
              </w:rPr>
              <w:t>内容：</w:t>
            </w:r>
          </w:p>
          <w:p>
            <w:pPr>
              <w:spacing w:line="320" w:lineRule="exact"/>
              <w:ind w:firstLine="420" w:firstLineChars="200"/>
              <w:jc w:val="both"/>
              <w:rPr>
                <w:rFonts w:cs="华文仿宋"/>
                <w:sz w:val="21"/>
                <w:szCs w:val="21"/>
              </w:rPr>
            </w:pPr>
            <w:r>
              <w:rPr>
                <w:rFonts w:hint="eastAsia" w:cs="华文仿宋"/>
                <w:sz w:val="21"/>
                <w:szCs w:val="21"/>
              </w:rPr>
              <w:t>①物业管理服务的整体思路和</w:t>
            </w:r>
            <w:r>
              <w:rPr>
                <w:rFonts w:cs="华文仿宋"/>
                <w:sz w:val="21"/>
                <w:szCs w:val="21"/>
              </w:rPr>
              <w:t>服务理念</w:t>
            </w:r>
          </w:p>
          <w:p>
            <w:pPr>
              <w:spacing w:line="320" w:lineRule="exact"/>
              <w:ind w:firstLine="420" w:firstLineChars="200"/>
              <w:jc w:val="both"/>
              <w:rPr>
                <w:rFonts w:cs="华文仿宋"/>
                <w:sz w:val="21"/>
                <w:szCs w:val="21"/>
              </w:rPr>
            </w:pPr>
            <w:r>
              <w:rPr>
                <w:rFonts w:hint="eastAsia" w:cs="华文仿宋"/>
                <w:sz w:val="21"/>
                <w:szCs w:val="21"/>
              </w:rPr>
              <w:t>②物业服务目标及计划安排</w:t>
            </w:r>
          </w:p>
          <w:p>
            <w:pPr>
              <w:spacing w:line="320" w:lineRule="exact"/>
              <w:ind w:firstLine="420" w:firstLineChars="200"/>
              <w:jc w:val="both"/>
              <w:rPr>
                <w:rFonts w:cs="华文仿宋"/>
                <w:sz w:val="21"/>
                <w:szCs w:val="21"/>
              </w:rPr>
            </w:pPr>
            <w:r>
              <w:rPr>
                <w:rFonts w:hint="eastAsia" w:cs="华文仿宋"/>
                <w:sz w:val="21"/>
                <w:szCs w:val="21"/>
              </w:rPr>
              <w:t>③进退场交接方案</w:t>
            </w:r>
          </w:p>
          <w:p>
            <w:pPr>
              <w:spacing w:line="320" w:lineRule="exact"/>
              <w:ind w:firstLine="420" w:firstLineChars="200"/>
              <w:jc w:val="both"/>
              <w:rPr>
                <w:rFonts w:cs="华文仿宋"/>
                <w:sz w:val="21"/>
                <w:szCs w:val="21"/>
              </w:rPr>
            </w:pPr>
            <w:r>
              <w:rPr>
                <w:rFonts w:hint="eastAsia" w:cs="华文仿宋"/>
                <w:sz w:val="21"/>
                <w:szCs w:val="21"/>
              </w:rPr>
              <w:t>④本项目</w:t>
            </w:r>
            <w:r>
              <w:rPr>
                <w:rFonts w:cs="华文仿宋"/>
                <w:sz w:val="21"/>
                <w:szCs w:val="21"/>
              </w:rPr>
              <w:t>重点、难点分析</w:t>
            </w:r>
          </w:p>
          <w:p>
            <w:pPr>
              <w:autoSpaceDE w:val="0"/>
              <w:autoSpaceDN w:val="0"/>
              <w:adjustRightInd w:val="0"/>
              <w:spacing w:line="280" w:lineRule="exact"/>
              <w:ind w:firstLine="420" w:firstLineChars="200"/>
              <w:jc w:val="both"/>
              <w:rPr>
                <w:rFonts w:ascii="宋体" w:hAnsi="宋体" w:eastAsia="宋体" w:cs="Calibri Light"/>
                <w:b/>
                <w:sz w:val="21"/>
                <w:szCs w:val="21"/>
              </w:rPr>
            </w:pPr>
            <w:r>
              <w:rPr>
                <w:rFonts w:hint="eastAsia" w:ascii="宋体" w:hAnsi="宋体" w:eastAsia="宋体" w:cs="Calibri Light"/>
                <w:b/>
                <w:sz w:val="21"/>
                <w:szCs w:val="21"/>
              </w:rPr>
              <w:t>2、评审标准</w:t>
            </w:r>
            <w:r>
              <w:rPr>
                <w:rFonts w:ascii="宋体" w:hAnsi="宋体" w:eastAsia="宋体" w:cs="Calibri Light"/>
                <w:b/>
                <w:sz w:val="21"/>
                <w:szCs w:val="21"/>
              </w:rPr>
              <w:t>：</w:t>
            </w:r>
          </w:p>
          <w:p>
            <w:pPr>
              <w:spacing w:line="320" w:lineRule="exact"/>
              <w:ind w:firstLine="420" w:firstLineChars="200"/>
              <w:jc w:val="both"/>
              <w:rPr>
                <w:rFonts w:cs="华文仿宋"/>
                <w:sz w:val="21"/>
                <w:szCs w:val="21"/>
              </w:rPr>
            </w:pPr>
            <w:r>
              <w:rPr>
                <w:rFonts w:hint="eastAsia" w:cs="华文仿宋"/>
                <w:sz w:val="21"/>
                <w:szCs w:val="21"/>
              </w:rPr>
              <w:t xml:space="preserve">①完整性：方案须全面，对招标文件中的各项要求有详细描述及说明； </w:t>
            </w:r>
          </w:p>
          <w:p>
            <w:pPr>
              <w:spacing w:line="320" w:lineRule="exact"/>
              <w:ind w:firstLine="420" w:firstLineChars="200"/>
              <w:jc w:val="both"/>
              <w:rPr>
                <w:rFonts w:cs="华文仿宋"/>
                <w:sz w:val="21"/>
                <w:szCs w:val="21"/>
              </w:rPr>
            </w:pPr>
            <w:r>
              <w:rPr>
                <w:rFonts w:hint="eastAsia" w:cs="华文仿宋"/>
                <w:sz w:val="21"/>
                <w:szCs w:val="21"/>
              </w:rPr>
              <w:t>②可实施性：方案科学合理，可操作性强；</w:t>
            </w:r>
          </w:p>
          <w:p>
            <w:pPr>
              <w:spacing w:line="320" w:lineRule="exact"/>
              <w:ind w:firstLine="420" w:firstLineChars="200"/>
              <w:jc w:val="both"/>
              <w:rPr>
                <w:rFonts w:cs="华文仿宋"/>
                <w:sz w:val="21"/>
                <w:szCs w:val="21"/>
              </w:rPr>
            </w:pPr>
            <w:r>
              <w:rPr>
                <w:rFonts w:hint="eastAsia" w:cs="华文仿宋"/>
                <w:sz w:val="21"/>
                <w:szCs w:val="21"/>
              </w:rPr>
              <w:t>③针对性：方案能紧扣本项目实际情况，满足本项目各项具体要求。</w:t>
            </w:r>
          </w:p>
          <w:p>
            <w:pPr>
              <w:autoSpaceDE w:val="0"/>
              <w:autoSpaceDN w:val="0"/>
              <w:adjustRightInd w:val="0"/>
              <w:spacing w:line="280" w:lineRule="exact"/>
              <w:ind w:firstLine="420" w:firstLineChars="200"/>
              <w:jc w:val="both"/>
              <w:rPr>
                <w:rFonts w:ascii="宋体" w:hAnsi="宋体" w:eastAsia="宋体" w:cs="Calibri Light"/>
                <w:b/>
                <w:sz w:val="21"/>
                <w:szCs w:val="21"/>
              </w:rPr>
            </w:pPr>
            <w:r>
              <w:rPr>
                <w:rFonts w:hint="eastAsia" w:ascii="宋体" w:hAnsi="宋体" w:eastAsia="宋体" w:cs="Calibri Light"/>
                <w:b/>
                <w:sz w:val="21"/>
                <w:szCs w:val="21"/>
              </w:rPr>
              <w:t>3、</w:t>
            </w:r>
            <w:r>
              <w:rPr>
                <w:rFonts w:ascii="宋体" w:hAnsi="宋体" w:eastAsia="宋体" w:cs="Calibri Light"/>
                <w:b/>
                <w:sz w:val="21"/>
                <w:szCs w:val="21"/>
              </w:rPr>
              <w:t>赋分标准：</w:t>
            </w:r>
            <w:r>
              <w:rPr>
                <w:rFonts w:hint="eastAsia" w:ascii="Calibri" w:hAnsi="宋体" w:eastAsia="宋体" w:cs="仿宋"/>
                <w:b/>
                <w:sz w:val="21"/>
                <w:szCs w:val="20"/>
              </w:rPr>
              <w:t>（满分</w:t>
            </w:r>
            <w:r>
              <w:rPr>
                <w:rFonts w:ascii="Calibri" w:hAnsi="宋体" w:eastAsia="宋体" w:cs="仿宋"/>
                <w:b/>
                <w:sz w:val="21"/>
                <w:szCs w:val="20"/>
              </w:rPr>
              <w:t>12</w:t>
            </w:r>
            <w:r>
              <w:rPr>
                <w:rFonts w:hint="eastAsia" w:ascii="Calibri" w:hAnsi="宋体" w:eastAsia="宋体" w:cs="仿宋"/>
                <w:b/>
                <w:sz w:val="21"/>
                <w:szCs w:val="20"/>
              </w:rPr>
              <w:t>分）</w:t>
            </w:r>
          </w:p>
          <w:p>
            <w:pPr>
              <w:spacing w:line="320" w:lineRule="exact"/>
              <w:ind w:firstLine="420" w:firstLineChars="200"/>
              <w:jc w:val="both"/>
              <w:rPr>
                <w:rFonts w:cs="华文仿宋"/>
                <w:sz w:val="21"/>
                <w:szCs w:val="21"/>
              </w:rPr>
            </w:pPr>
            <w:r>
              <w:rPr>
                <w:rFonts w:hint="eastAsia" w:cs="华文仿宋"/>
                <w:sz w:val="21"/>
                <w:szCs w:val="21"/>
              </w:rPr>
              <w:t>①物业管理服务的整体思路和服务理念：每满足一项评审标准得1分，满分3分；</w:t>
            </w:r>
          </w:p>
          <w:p>
            <w:pPr>
              <w:spacing w:line="320" w:lineRule="exact"/>
              <w:ind w:firstLine="420" w:firstLineChars="200"/>
              <w:jc w:val="both"/>
              <w:rPr>
                <w:rFonts w:cs="华文仿宋"/>
                <w:sz w:val="21"/>
                <w:szCs w:val="21"/>
              </w:rPr>
            </w:pPr>
            <w:r>
              <w:rPr>
                <w:rFonts w:hint="eastAsia" w:cs="华文仿宋"/>
                <w:sz w:val="21"/>
                <w:szCs w:val="21"/>
              </w:rPr>
              <w:t>②物业服务目标及计划安排：每满足一项评审标准得1分，满分3分；</w:t>
            </w:r>
          </w:p>
          <w:p>
            <w:pPr>
              <w:spacing w:line="320" w:lineRule="exact"/>
              <w:ind w:firstLine="420" w:firstLineChars="200"/>
              <w:jc w:val="both"/>
              <w:rPr>
                <w:rFonts w:cs="华文仿宋"/>
                <w:sz w:val="21"/>
                <w:szCs w:val="21"/>
              </w:rPr>
            </w:pPr>
            <w:r>
              <w:rPr>
                <w:rFonts w:hint="eastAsia" w:cs="华文仿宋"/>
                <w:sz w:val="21"/>
                <w:szCs w:val="21"/>
              </w:rPr>
              <w:t>③进退场交接方案：每满足一项评审标准得1分，满分3分；</w:t>
            </w:r>
          </w:p>
          <w:p>
            <w:pPr>
              <w:spacing w:line="320" w:lineRule="exact"/>
              <w:ind w:firstLine="420" w:firstLineChars="200"/>
              <w:jc w:val="both"/>
              <w:rPr>
                <w:rFonts w:ascii="宋体" w:hAnsi="宋体" w:eastAsia="宋体" w:cs="Calibri Light"/>
                <w:bCs/>
                <w:sz w:val="21"/>
                <w:szCs w:val="21"/>
              </w:rPr>
            </w:pPr>
            <w:r>
              <w:rPr>
                <w:rFonts w:hint="eastAsia" w:cs="华文仿宋"/>
                <w:sz w:val="21"/>
                <w:szCs w:val="21"/>
              </w:rPr>
              <w:t>④本项目重点、难点分析：每满足一项评审标准得1分，满分3分。</w:t>
            </w:r>
          </w:p>
        </w:tc>
        <w:tc>
          <w:tcPr>
            <w:tcW w:w="888" w:type="dxa"/>
            <w:vMerge w:val="restart"/>
            <w:shd w:val="clear" w:color="auto" w:fill="auto"/>
            <w:vAlign w:val="center"/>
          </w:tcPr>
          <w:p>
            <w:pPr>
              <w:spacing w:line="320" w:lineRule="exact"/>
              <w:jc w:val="both"/>
              <w:rPr>
                <w:rFonts w:ascii="Calibri" w:hAnsi="宋体" w:eastAsia="宋体"/>
                <w:bCs/>
                <w:color w:val="000000" w:themeColor="text1"/>
                <w:sz w:val="21"/>
                <w:szCs w:val="21"/>
                <w14:textFill>
                  <w14:solidFill>
                    <w14:schemeClr w14:val="tx1"/>
                  </w14:solidFill>
                </w14:textFill>
              </w:rPr>
            </w:pPr>
            <w:r>
              <w:rPr>
                <w:rFonts w:cs="宋体"/>
                <w:bCs/>
                <w:color w:val="C00000"/>
                <w:sz w:val="21"/>
                <w:szCs w:val="21"/>
              </w:rPr>
              <w:t>按照本章“七、评审方法和程序”的“（二）评标形式”中的暗标盲评部分的响应要求进行编制，否则，其投标视为无效</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974" w:hRule="atLeast"/>
        </w:trPr>
        <w:tc>
          <w:tcPr>
            <w:tcW w:w="735" w:type="dxa"/>
            <w:vMerge w:val="continue"/>
            <w:shd w:val="clear" w:color="auto" w:fill="auto"/>
            <w:vAlign w:val="center"/>
          </w:tcPr>
          <w:p>
            <w:pPr>
              <w:spacing w:line="320" w:lineRule="exact"/>
              <w:jc w:val="center"/>
              <w:rPr>
                <w:rFonts w:ascii="Calibri" w:hAnsi="宋体" w:eastAsia="宋体"/>
                <w:color w:val="000000" w:themeColor="text1"/>
                <w:sz w:val="21"/>
                <w:szCs w:val="21"/>
                <w14:textFill>
                  <w14:solidFill>
                    <w14:schemeClr w14:val="tx1"/>
                  </w14:solidFill>
                </w14:textFill>
              </w:rPr>
            </w:pPr>
          </w:p>
        </w:tc>
        <w:tc>
          <w:tcPr>
            <w:tcW w:w="630" w:type="dxa"/>
            <w:vMerge w:val="continue"/>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p>
        </w:tc>
        <w:tc>
          <w:tcPr>
            <w:tcW w:w="945" w:type="dxa"/>
            <w:shd w:val="clear" w:color="auto" w:fill="auto"/>
            <w:vAlign w:val="center"/>
          </w:tcPr>
          <w:p>
            <w:pPr>
              <w:spacing w:line="320" w:lineRule="exact"/>
              <w:jc w:val="center"/>
              <w:rPr>
                <w:rFonts w:ascii="宋体" w:hAnsi="宋体" w:eastAsia="宋体" w:cs="Calibri Light"/>
                <w:bCs/>
                <w:sz w:val="21"/>
                <w:szCs w:val="21"/>
              </w:rPr>
            </w:pPr>
            <w:r>
              <w:rPr>
                <w:rFonts w:cs="华文仿宋"/>
                <w:bCs/>
                <w:sz w:val="21"/>
                <w:szCs w:val="21"/>
              </w:rPr>
              <w:t>12</w:t>
            </w:r>
          </w:p>
        </w:tc>
        <w:tc>
          <w:tcPr>
            <w:tcW w:w="5869" w:type="dxa"/>
            <w:shd w:val="clear" w:color="auto" w:fill="auto"/>
            <w:vAlign w:val="center"/>
          </w:tcPr>
          <w:p>
            <w:pPr>
              <w:spacing w:line="320" w:lineRule="exact"/>
              <w:ind w:firstLine="420" w:firstLineChars="200"/>
              <w:jc w:val="both"/>
              <w:rPr>
                <w:rFonts w:cs="华文仿宋"/>
                <w:b/>
                <w:sz w:val="21"/>
                <w:szCs w:val="21"/>
              </w:rPr>
            </w:pPr>
            <w:r>
              <w:rPr>
                <w:rFonts w:hint="eastAsia" w:cs="华文仿宋"/>
                <w:b/>
                <w:sz w:val="21"/>
                <w:szCs w:val="21"/>
              </w:rPr>
              <w:t>分项</w:t>
            </w:r>
            <w:r>
              <w:rPr>
                <w:rFonts w:cs="华文仿宋"/>
                <w:b/>
                <w:sz w:val="21"/>
                <w:szCs w:val="21"/>
              </w:rPr>
              <w:t>服务方案：</w:t>
            </w:r>
          </w:p>
          <w:p>
            <w:pPr>
              <w:spacing w:line="320" w:lineRule="exact"/>
              <w:ind w:firstLine="420" w:firstLineChars="200"/>
              <w:jc w:val="both"/>
              <w:rPr>
                <w:rFonts w:cs="华文仿宋"/>
                <w:b/>
                <w:sz w:val="21"/>
                <w:szCs w:val="21"/>
              </w:rPr>
            </w:pPr>
            <w:r>
              <w:rPr>
                <w:rFonts w:hint="eastAsia" w:cs="华文仿宋"/>
                <w:b/>
                <w:sz w:val="21"/>
                <w:szCs w:val="21"/>
              </w:rPr>
              <w:t>1、评审内容：</w:t>
            </w:r>
          </w:p>
          <w:p>
            <w:pPr>
              <w:spacing w:line="320" w:lineRule="exact"/>
              <w:ind w:firstLine="420" w:firstLineChars="200"/>
              <w:jc w:val="both"/>
              <w:rPr>
                <w:rFonts w:cs="华文仿宋"/>
                <w:sz w:val="21"/>
                <w:szCs w:val="21"/>
              </w:rPr>
            </w:pPr>
            <w:r>
              <w:rPr>
                <w:rFonts w:hint="eastAsia" w:cs="华文仿宋"/>
                <w:sz w:val="21"/>
                <w:szCs w:val="21"/>
              </w:rPr>
              <w:t>①环境保洁服务方案</w:t>
            </w:r>
          </w:p>
          <w:p>
            <w:pPr>
              <w:spacing w:line="320" w:lineRule="exact"/>
              <w:ind w:firstLine="420" w:firstLineChars="200"/>
              <w:jc w:val="both"/>
              <w:rPr>
                <w:rFonts w:cs="华文仿宋"/>
                <w:sz w:val="21"/>
                <w:szCs w:val="21"/>
              </w:rPr>
            </w:pPr>
            <w:r>
              <w:rPr>
                <w:rFonts w:hint="eastAsia" w:cs="华文仿宋"/>
                <w:sz w:val="21"/>
                <w:szCs w:val="21"/>
              </w:rPr>
              <w:t>②中央运送</w:t>
            </w:r>
            <w:r>
              <w:rPr>
                <w:rFonts w:cs="华文仿宋"/>
                <w:sz w:val="21"/>
                <w:szCs w:val="21"/>
              </w:rPr>
              <w:t>服务方案</w:t>
            </w:r>
          </w:p>
          <w:p>
            <w:pPr>
              <w:spacing w:line="320" w:lineRule="exact"/>
              <w:ind w:firstLine="420" w:firstLineChars="200"/>
              <w:jc w:val="both"/>
              <w:rPr>
                <w:rFonts w:cs="华文仿宋"/>
                <w:sz w:val="21"/>
                <w:szCs w:val="21"/>
              </w:rPr>
            </w:pPr>
            <w:r>
              <w:rPr>
                <w:rFonts w:hint="eastAsia" w:cs="华文仿宋"/>
                <w:sz w:val="21"/>
                <w:szCs w:val="21"/>
              </w:rPr>
              <w:t>③秩序维护服务方案</w:t>
            </w:r>
          </w:p>
          <w:p>
            <w:pPr>
              <w:spacing w:line="320" w:lineRule="exact"/>
              <w:ind w:firstLine="420" w:firstLineChars="200"/>
              <w:jc w:val="both"/>
              <w:rPr>
                <w:rFonts w:cs="华文仿宋"/>
                <w:sz w:val="21"/>
                <w:szCs w:val="21"/>
              </w:rPr>
            </w:pPr>
            <w:r>
              <w:rPr>
                <w:rFonts w:hint="eastAsia" w:cs="华文仿宋"/>
                <w:sz w:val="21"/>
                <w:szCs w:val="21"/>
              </w:rPr>
              <w:t>④工程设施</w:t>
            </w:r>
            <w:r>
              <w:rPr>
                <w:rFonts w:cs="华文仿宋"/>
                <w:sz w:val="21"/>
                <w:szCs w:val="21"/>
              </w:rPr>
              <w:t>设备日常运行及维修维护服务方案</w:t>
            </w:r>
          </w:p>
          <w:p>
            <w:pPr>
              <w:spacing w:line="320" w:lineRule="exact"/>
              <w:ind w:firstLine="420" w:firstLineChars="200"/>
              <w:jc w:val="both"/>
              <w:rPr>
                <w:rFonts w:cs="华文仿宋"/>
                <w:b/>
                <w:sz w:val="21"/>
                <w:szCs w:val="21"/>
              </w:rPr>
            </w:pPr>
            <w:r>
              <w:rPr>
                <w:rFonts w:hint="eastAsia" w:cs="华文仿宋"/>
                <w:b/>
                <w:sz w:val="21"/>
                <w:szCs w:val="21"/>
              </w:rPr>
              <w:t>2、评审标准：</w:t>
            </w:r>
          </w:p>
          <w:p>
            <w:pPr>
              <w:spacing w:line="320" w:lineRule="exact"/>
              <w:ind w:firstLine="420" w:firstLineChars="200"/>
              <w:jc w:val="both"/>
              <w:rPr>
                <w:rFonts w:cs="华文仿宋"/>
                <w:sz w:val="21"/>
                <w:szCs w:val="21"/>
              </w:rPr>
            </w:pPr>
            <w:r>
              <w:rPr>
                <w:rFonts w:hint="eastAsia" w:cs="华文仿宋"/>
                <w:sz w:val="21"/>
                <w:szCs w:val="21"/>
              </w:rPr>
              <w:t xml:space="preserve">①完整性：方案须全面，对招标文件中的各项要求有详细描述及说明； </w:t>
            </w:r>
          </w:p>
          <w:p>
            <w:pPr>
              <w:spacing w:line="320" w:lineRule="exact"/>
              <w:ind w:firstLine="420" w:firstLineChars="200"/>
              <w:jc w:val="both"/>
              <w:rPr>
                <w:rFonts w:cs="华文仿宋"/>
                <w:sz w:val="21"/>
                <w:szCs w:val="21"/>
              </w:rPr>
            </w:pPr>
            <w:r>
              <w:rPr>
                <w:rFonts w:hint="eastAsia" w:cs="华文仿宋"/>
                <w:sz w:val="21"/>
                <w:szCs w:val="21"/>
              </w:rPr>
              <w:t>②可实施性：方案科学合理，可操作性强；</w:t>
            </w:r>
          </w:p>
          <w:p>
            <w:pPr>
              <w:spacing w:line="320" w:lineRule="exact"/>
              <w:ind w:firstLine="420" w:firstLineChars="200"/>
              <w:jc w:val="both"/>
              <w:rPr>
                <w:rFonts w:cs="华文仿宋"/>
                <w:sz w:val="21"/>
                <w:szCs w:val="21"/>
              </w:rPr>
            </w:pPr>
            <w:r>
              <w:rPr>
                <w:rFonts w:hint="eastAsia" w:cs="华文仿宋"/>
                <w:sz w:val="21"/>
                <w:szCs w:val="21"/>
              </w:rPr>
              <w:t>③针对性：方案能紧扣本项目实际情况，满足本项目各项具体要求。</w:t>
            </w:r>
          </w:p>
          <w:p>
            <w:pPr>
              <w:autoSpaceDE w:val="0"/>
              <w:autoSpaceDN w:val="0"/>
              <w:adjustRightInd w:val="0"/>
              <w:spacing w:line="280" w:lineRule="exact"/>
              <w:ind w:firstLine="420" w:firstLineChars="200"/>
              <w:jc w:val="both"/>
              <w:rPr>
                <w:rFonts w:ascii="宋体" w:hAnsi="宋体" w:eastAsia="宋体" w:cs="Calibri Light"/>
                <w:b/>
                <w:sz w:val="21"/>
                <w:szCs w:val="21"/>
              </w:rPr>
            </w:pPr>
            <w:r>
              <w:rPr>
                <w:rFonts w:hint="eastAsia" w:cs="华文仿宋"/>
                <w:b/>
                <w:sz w:val="21"/>
                <w:szCs w:val="21"/>
              </w:rPr>
              <w:t>3、赋分标准：</w:t>
            </w:r>
            <w:r>
              <w:rPr>
                <w:rFonts w:hint="eastAsia" w:ascii="Calibri" w:hAnsi="宋体" w:eastAsia="宋体" w:cs="仿宋"/>
                <w:b/>
                <w:sz w:val="21"/>
                <w:szCs w:val="20"/>
              </w:rPr>
              <w:t>（满分</w:t>
            </w:r>
            <w:r>
              <w:rPr>
                <w:rFonts w:ascii="Calibri" w:hAnsi="宋体" w:eastAsia="宋体" w:cs="仿宋"/>
                <w:b/>
                <w:sz w:val="21"/>
                <w:szCs w:val="20"/>
              </w:rPr>
              <w:t>12</w:t>
            </w:r>
            <w:r>
              <w:rPr>
                <w:rFonts w:hint="eastAsia" w:ascii="Calibri" w:hAnsi="宋体" w:eastAsia="宋体" w:cs="仿宋"/>
                <w:b/>
                <w:sz w:val="21"/>
                <w:szCs w:val="20"/>
              </w:rPr>
              <w:t>分）</w:t>
            </w:r>
          </w:p>
          <w:p>
            <w:pPr>
              <w:spacing w:line="320" w:lineRule="exact"/>
              <w:ind w:firstLine="420" w:firstLineChars="200"/>
              <w:jc w:val="both"/>
              <w:rPr>
                <w:rFonts w:cs="华文仿宋"/>
                <w:sz w:val="21"/>
                <w:szCs w:val="21"/>
              </w:rPr>
            </w:pPr>
            <w:r>
              <w:rPr>
                <w:rFonts w:hint="eastAsia" w:cs="华文仿宋"/>
                <w:sz w:val="21"/>
                <w:szCs w:val="21"/>
              </w:rPr>
              <w:t>①环境保洁服务方案：每满足一项评审标准得1分，满分3分；</w:t>
            </w:r>
          </w:p>
          <w:p>
            <w:pPr>
              <w:spacing w:line="320" w:lineRule="exact"/>
              <w:ind w:firstLine="420" w:firstLineChars="200"/>
              <w:jc w:val="both"/>
              <w:rPr>
                <w:rFonts w:cs="华文仿宋"/>
                <w:sz w:val="21"/>
                <w:szCs w:val="21"/>
              </w:rPr>
            </w:pPr>
            <w:r>
              <w:rPr>
                <w:rFonts w:hint="eastAsia" w:cs="华文仿宋"/>
                <w:sz w:val="21"/>
                <w:szCs w:val="21"/>
              </w:rPr>
              <w:t>②中央运送</w:t>
            </w:r>
            <w:r>
              <w:rPr>
                <w:rFonts w:cs="华文仿宋"/>
                <w:sz w:val="21"/>
                <w:szCs w:val="21"/>
              </w:rPr>
              <w:t>服务方案</w:t>
            </w:r>
            <w:r>
              <w:rPr>
                <w:rFonts w:hint="eastAsia" w:cs="华文仿宋"/>
                <w:sz w:val="21"/>
                <w:szCs w:val="21"/>
              </w:rPr>
              <w:t>：每满足一项评审标准得1分，满分</w:t>
            </w:r>
            <w:r>
              <w:rPr>
                <w:rFonts w:cs="华文仿宋"/>
                <w:sz w:val="21"/>
                <w:szCs w:val="21"/>
              </w:rPr>
              <w:t>3</w:t>
            </w:r>
            <w:r>
              <w:rPr>
                <w:rFonts w:hint="eastAsia" w:cs="华文仿宋"/>
                <w:sz w:val="21"/>
                <w:szCs w:val="21"/>
              </w:rPr>
              <w:t>分；</w:t>
            </w:r>
          </w:p>
          <w:p>
            <w:pPr>
              <w:spacing w:line="320" w:lineRule="exact"/>
              <w:ind w:firstLine="420" w:firstLineChars="200"/>
              <w:jc w:val="both"/>
              <w:rPr>
                <w:rFonts w:cs="华文仿宋"/>
                <w:sz w:val="21"/>
                <w:szCs w:val="21"/>
              </w:rPr>
            </w:pPr>
            <w:r>
              <w:rPr>
                <w:rFonts w:hint="eastAsia" w:cs="华文仿宋"/>
                <w:sz w:val="21"/>
                <w:szCs w:val="21"/>
              </w:rPr>
              <w:t>③秩序维护服务方案：每满足一项评审标准得1分，满分3分；</w:t>
            </w:r>
          </w:p>
          <w:p>
            <w:pPr>
              <w:spacing w:line="320" w:lineRule="exact"/>
              <w:ind w:firstLine="420" w:firstLineChars="200"/>
              <w:jc w:val="both"/>
              <w:rPr>
                <w:rFonts w:ascii="Calibri" w:hAnsi="宋体" w:eastAsia="宋体" w:cs="Calibri Light"/>
                <w:b/>
                <w:bCs/>
                <w:kern w:val="2"/>
                <w:sz w:val="21"/>
                <w:szCs w:val="21"/>
              </w:rPr>
            </w:pPr>
            <w:r>
              <w:rPr>
                <w:rFonts w:hint="eastAsia" w:cs="华文仿宋"/>
                <w:sz w:val="21"/>
                <w:szCs w:val="21"/>
              </w:rPr>
              <w:t>④工程设施</w:t>
            </w:r>
            <w:r>
              <w:rPr>
                <w:rFonts w:cs="华文仿宋"/>
                <w:sz w:val="21"/>
                <w:szCs w:val="21"/>
              </w:rPr>
              <w:t>设备日常运行及维修维护服务方案</w:t>
            </w:r>
            <w:r>
              <w:rPr>
                <w:rFonts w:hint="eastAsia" w:cs="华文仿宋"/>
                <w:sz w:val="21"/>
                <w:szCs w:val="21"/>
              </w:rPr>
              <w:t>：每满足一项评审标准得1分，满分3分。</w:t>
            </w:r>
          </w:p>
        </w:tc>
        <w:tc>
          <w:tcPr>
            <w:tcW w:w="888" w:type="dxa"/>
            <w:vMerge w:val="continue"/>
            <w:shd w:val="clear" w:color="auto" w:fill="auto"/>
            <w:vAlign w:val="center"/>
          </w:tcPr>
          <w:p>
            <w:pPr>
              <w:spacing w:line="320" w:lineRule="exact"/>
              <w:jc w:val="both"/>
              <w:rPr>
                <w:rFonts w:cs="宋体"/>
                <w:bCs/>
                <w:color w:val="C00000"/>
                <w:sz w:val="21"/>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549" w:hRule="atLeast"/>
        </w:trPr>
        <w:tc>
          <w:tcPr>
            <w:tcW w:w="735" w:type="dxa"/>
            <w:vMerge w:val="continue"/>
            <w:shd w:val="clear" w:color="auto" w:fill="auto"/>
            <w:vAlign w:val="center"/>
          </w:tcPr>
          <w:p>
            <w:pPr>
              <w:spacing w:line="320" w:lineRule="exact"/>
              <w:jc w:val="center"/>
              <w:rPr>
                <w:rFonts w:ascii="Calibri" w:hAnsi="宋体" w:eastAsia="宋体"/>
                <w:color w:val="000000" w:themeColor="text1"/>
                <w:sz w:val="21"/>
                <w:szCs w:val="21"/>
                <w14:textFill>
                  <w14:solidFill>
                    <w14:schemeClr w14:val="tx1"/>
                  </w14:solidFill>
                </w14:textFill>
              </w:rPr>
            </w:pPr>
          </w:p>
        </w:tc>
        <w:tc>
          <w:tcPr>
            <w:tcW w:w="630" w:type="dxa"/>
            <w:vMerge w:val="continue"/>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p>
        </w:tc>
        <w:tc>
          <w:tcPr>
            <w:tcW w:w="945" w:type="dxa"/>
            <w:shd w:val="clear" w:color="auto" w:fill="auto"/>
            <w:vAlign w:val="center"/>
          </w:tcPr>
          <w:p>
            <w:pPr>
              <w:spacing w:line="320" w:lineRule="exact"/>
              <w:jc w:val="center"/>
              <w:rPr>
                <w:rFonts w:ascii="宋体" w:hAnsi="宋体" w:eastAsia="宋体" w:cs="Calibri Light"/>
                <w:bCs/>
                <w:sz w:val="21"/>
                <w:szCs w:val="21"/>
              </w:rPr>
            </w:pPr>
            <w:r>
              <w:rPr>
                <w:rFonts w:ascii="宋体" w:hAnsi="宋体" w:eastAsia="宋体" w:cs="Calibri Light"/>
                <w:bCs/>
                <w:sz w:val="21"/>
                <w:szCs w:val="21"/>
              </w:rPr>
              <w:t>6</w:t>
            </w:r>
          </w:p>
        </w:tc>
        <w:tc>
          <w:tcPr>
            <w:tcW w:w="5869" w:type="dxa"/>
            <w:shd w:val="clear" w:color="auto" w:fill="auto"/>
            <w:vAlign w:val="center"/>
          </w:tcPr>
          <w:p>
            <w:pPr>
              <w:spacing w:line="320" w:lineRule="exact"/>
              <w:ind w:firstLine="422"/>
              <w:jc w:val="both"/>
              <w:rPr>
                <w:rFonts w:ascii="Calibri" w:hAnsi="宋体" w:eastAsia="宋体" w:cs="Calibri Light"/>
                <w:b/>
                <w:bCs/>
                <w:kern w:val="2"/>
                <w:sz w:val="21"/>
                <w:szCs w:val="21"/>
              </w:rPr>
            </w:pPr>
            <w:r>
              <w:rPr>
                <w:rFonts w:hint="eastAsia" w:ascii="Calibri" w:hAnsi="宋体" w:eastAsia="宋体" w:cs="Calibri Light"/>
                <w:b/>
                <w:bCs/>
                <w:kern w:val="2"/>
                <w:sz w:val="21"/>
                <w:szCs w:val="21"/>
              </w:rPr>
              <w:t>应急预案：</w:t>
            </w:r>
          </w:p>
          <w:p>
            <w:pPr>
              <w:autoSpaceDE w:val="0"/>
              <w:autoSpaceDN w:val="0"/>
              <w:adjustRightInd w:val="0"/>
              <w:spacing w:line="280" w:lineRule="exact"/>
              <w:ind w:firstLine="420" w:firstLineChars="200"/>
              <w:jc w:val="both"/>
              <w:rPr>
                <w:rFonts w:ascii="宋体" w:hAnsi="宋体" w:eastAsia="宋体" w:cs="Calibri Light"/>
                <w:b/>
                <w:sz w:val="21"/>
                <w:szCs w:val="21"/>
              </w:rPr>
            </w:pPr>
            <w:r>
              <w:rPr>
                <w:rFonts w:hint="eastAsia" w:ascii="宋体" w:hAnsi="宋体" w:eastAsia="宋体" w:cs="Calibri Light"/>
                <w:b/>
                <w:sz w:val="21"/>
                <w:szCs w:val="21"/>
              </w:rPr>
              <w:t>1、评审内容</w:t>
            </w:r>
            <w:r>
              <w:rPr>
                <w:rFonts w:ascii="宋体" w:hAnsi="宋体" w:eastAsia="宋体" w:cs="Calibri Light"/>
                <w:b/>
                <w:sz w:val="21"/>
                <w:szCs w:val="21"/>
              </w:rPr>
              <w:t>：</w:t>
            </w:r>
          </w:p>
          <w:p>
            <w:pPr>
              <w:autoSpaceDE w:val="0"/>
              <w:autoSpaceDN w:val="0"/>
              <w:adjustRightInd w:val="0"/>
              <w:spacing w:line="280" w:lineRule="exact"/>
              <w:ind w:firstLine="420" w:firstLineChars="200"/>
              <w:jc w:val="both"/>
              <w:rPr>
                <w:rFonts w:cs="华文仿宋"/>
                <w:sz w:val="21"/>
                <w:szCs w:val="21"/>
              </w:rPr>
            </w:pPr>
            <w:r>
              <w:rPr>
                <w:rFonts w:hint="eastAsia" w:cs="华文仿宋"/>
                <w:sz w:val="21"/>
                <w:szCs w:val="21"/>
              </w:rPr>
              <w:t>供应商针对本项目可能出现的突发情况， 制定针对性的突发应急预案措施，预案</w:t>
            </w:r>
            <w:r>
              <w:rPr>
                <w:rFonts w:cs="华文仿宋"/>
                <w:sz w:val="21"/>
                <w:szCs w:val="21"/>
              </w:rPr>
              <w:t>内容包括：</w:t>
            </w:r>
          </w:p>
          <w:p>
            <w:pPr>
              <w:autoSpaceDE w:val="0"/>
              <w:autoSpaceDN w:val="0"/>
              <w:adjustRightInd w:val="0"/>
              <w:spacing w:line="280" w:lineRule="exact"/>
              <w:ind w:firstLine="420" w:firstLineChars="200"/>
              <w:jc w:val="both"/>
              <w:rPr>
                <w:rFonts w:cs="华文仿宋"/>
                <w:sz w:val="21"/>
                <w:szCs w:val="21"/>
              </w:rPr>
            </w:pPr>
            <w:r>
              <w:rPr>
                <w:rFonts w:hint="eastAsia" w:cs="华文仿宋"/>
                <w:sz w:val="21"/>
                <w:szCs w:val="21"/>
              </w:rPr>
              <w:t>①火灾、水浸、停水停电等其他突发事件紧急响应</w:t>
            </w:r>
          </w:p>
          <w:p>
            <w:pPr>
              <w:autoSpaceDE w:val="0"/>
              <w:autoSpaceDN w:val="0"/>
              <w:adjustRightInd w:val="0"/>
              <w:spacing w:line="280" w:lineRule="exact"/>
              <w:ind w:firstLine="420" w:firstLineChars="200"/>
              <w:jc w:val="both"/>
              <w:rPr>
                <w:rFonts w:cs="华文仿宋"/>
                <w:sz w:val="21"/>
                <w:szCs w:val="21"/>
              </w:rPr>
            </w:pPr>
            <w:r>
              <w:rPr>
                <w:rFonts w:hint="eastAsia" w:cs="华文仿宋"/>
                <w:sz w:val="21"/>
                <w:szCs w:val="21"/>
              </w:rPr>
              <w:t>②暴雨、暴雪、沙尘暴等极端天气紧急响应</w:t>
            </w:r>
          </w:p>
          <w:p>
            <w:pPr>
              <w:autoSpaceDE w:val="0"/>
              <w:autoSpaceDN w:val="0"/>
              <w:adjustRightInd w:val="0"/>
              <w:spacing w:line="280" w:lineRule="exact"/>
              <w:ind w:firstLine="420" w:firstLineChars="200"/>
              <w:jc w:val="both"/>
              <w:rPr>
                <w:rFonts w:cs="华文仿宋"/>
                <w:sz w:val="21"/>
                <w:szCs w:val="21"/>
              </w:rPr>
            </w:pPr>
            <w:r>
              <w:rPr>
                <w:rFonts w:hint="eastAsia" w:cs="华文仿宋"/>
                <w:sz w:val="21"/>
                <w:szCs w:val="21"/>
              </w:rPr>
              <w:t>③突发公共卫生事件如重大传染病疫情、群体性不明原因疾病、重大食物和职业中毒，以及其他严重影响公众健康事件的紧急响应</w:t>
            </w:r>
          </w:p>
          <w:p>
            <w:pPr>
              <w:autoSpaceDE w:val="0"/>
              <w:autoSpaceDN w:val="0"/>
              <w:adjustRightInd w:val="0"/>
              <w:spacing w:line="280" w:lineRule="exact"/>
              <w:ind w:firstLine="420" w:firstLineChars="200"/>
              <w:jc w:val="both"/>
              <w:rPr>
                <w:rFonts w:cs="华文仿宋"/>
                <w:sz w:val="21"/>
                <w:szCs w:val="21"/>
              </w:rPr>
            </w:pPr>
            <w:r>
              <w:rPr>
                <w:rFonts w:hint="eastAsia" w:cs="华文仿宋"/>
                <w:sz w:val="21"/>
                <w:szCs w:val="21"/>
              </w:rPr>
              <w:t>④节假日、各类临时性活动、各类大型检查等其他事件的紧急响应</w:t>
            </w:r>
          </w:p>
          <w:p>
            <w:pPr>
              <w:autoSpaceDE w:val="0"/>
              <w:autoSpaceDN w:val="0"/>
              <w:adjustRightInd w:val="0"/>
              <w:spacing w:line="280" w:lineRule="exact"/>
              <w:ind w:firstLine="420" w:firstLineChars="200"/>
              <w:jc w:val="both"/>
              <w:rPr>
                <w:rFonts w:ascii="宋体" w:hAnsi="宋体" w:eastAsia="宋体" w:cs="Calibri Light"/>
                <w:b/>
                <w:sz w:val="21"/>
                <w:szCs w:val="21"/>
              </w:rPr>
            </w:pPr>
            <w:r>
              <w:rPr>
                <w:rFonts w:hint="eastAsia" w:ascii="宋体" w:hAnsi="宋体" w:eastAsia="宋体" w:cs="Calibri Light"/>
                <w:b/>
                <w:sz w:val="21"/>
                <w:szCs w:val="21"/>
              </w:rPr>
              <w:t>2、评审标准</w:t>
            </w:r>
            <w:r>
              <w:rPr>
                <w:rFonts w:ascii="宋体" w:hAnsi="宋体" w:eastAsia="宋体" w:cs="Calibri Light"/>
                <w:b/>
                <w:sz w:val="21"/>
                <w:szCs w:val="21"/>
              </w:rPr>
              <w:t>：</w:t>
            </w:r>
          </w:p>
          <w:p>
            <w:pPr>
              <w:spacing w:line="320" w:lineRule="exact"/>
              <w:ind w:firstLine="420" w:firstLineChars="200"/>
              <w:jc w:val="both"/>
              <w:rPr>
                <w:rFonts w:cs="华文仿宋"/>
                <w:sz w:val="21"/>
                <w:szCs w:val="21"/>
              </w:rPr>
            </w:pPr>
            <w:r>
              <w:rPr>
                <w:rFonts w:hint="eastAsia" w:cs="华文仿宋"/>
                <w:sz w:val="21"/>
                <w:szCs w:val="21"/>
              </w:rPr>
              <w:t>①完整性：方案须全面，对招标文件中的各项要求有详细描述及说明；</w:t>
            </w:r>
            <w:r>
              <w:rPr>
                <w:rFonts w:cs="华文仿宋"/>
                <w:sz w:val="21"/>
                <w:szCs w:val="21"/>
              </w:rPr>
              <w:t xml:space="preserve"> </w:t>
            </w:r>
          </w:p>
          <w:p>
            <w:pPr>
              <w:spacing w:line="320" w:lineRule="exact"/>
              <w:ind w:firstLine="420" w:firstLineChars="200"/>
              <w:jc w:val="both"/>
              <w:rPr>
                <w:rFonts w:cs="华文仿宋"/>
                <w:sz w:val="21"/>
                <w:szCs w:val="21"/>
              </w:rPr>
            </w:pPr>
            <w:r>
              <w:rPr>
                <w:rFonts w:hint="eastAsia" w:cs="华文仿宋"/>
                <w:sz w:val="21"/>
                <w:szCs w:val="21"/>
              </w:rPr>
              <w:t>②可</w:t>
            </w:r>
            <w:r>
              <w:rPr>
                <w:rFonts w:cs="华文仿宋"/>
                <w:sz w:val="21"/>
                <w:szCs w:val="21"/>
              </w:rPr>
              <w:t>实施性：</w:t>
            </w:r>
            <w:r>
              <w:rPr>
                <w:rFonts w:hint="eastAsia" w:cs="华文仿宋"/>
                <w:sz w:val="21"/>
                <w:szCs w:val="21"/>
              </w:rPr>
              <w:t>方案科学</w:t>
            </w:r>
            <w:r>
              <w:rPr>
                <w:rFonts w:cs="华文仿宋"/>
                <w:sz w:val="21"/>
                <w:szCs w:val="21"/>
              </w:rPr>
              <w:t>合理</w:t>
            </w:r>
            <w:r>
              <w:rPr>
                <w:rFonts w:hint="eastAsia" w:cs="华文仿宋"/>
                <w:sz w:val="21"/>
                <w:szCs w:val="21"/>
              </w:rPr>
              <w:t>，</w:t>
            </w:r>
            <w:r>
              <w:rPr>
                <w:rFonts w:cs="华文仿宋"/>
                <w:sz w:val="21"/>
                <w:szCs w:val="21"/>
              </w:rPr>
              <w:t>可操作性强；</w:t>
            </w:r>
          </w:p>
          <w:p>
            <w:pPr>
              <w:spacing w:line="320" w:lineRule="exact"/>
              <w:ind w:firstLine="420" w:firstLineChars="200"/>
              <w:jc w:val="both"/>
              <w:rPr>
                <w:rFonts w:cs="华文仿宋"/>
                <w:sz w:val="21"/>
                <w:szCs w:val="21"/>
              </w:rPr>
            </w:pPr>
            <w:r>
              <w:rPr>
                <w:rFonts w:hint="eastAsia" w:cs="华文仿宋"/>
                <w:sz w:val="21"/>
                <w:szCs w:val="21"/>
              </w:rPr>
              <w:t>③针对性</w:t>
            </w:r>
            <w:r>
              <w:rPr>
                <w:rFonts w:cs="华文仿宋"/>
                <w:sz w:val="21"/>
                <w:szCs w:val="21"/>
              </w:rPr>
              <w:t>：</w:t>
            </w:r>
            <w:r>
              <w:rPr>
                <w:rFonts w:hint="eastAsia" w:cs="华文仿宋"/>
                <w:sz w:val="21"/>
                <w:szCs w:val="21"/>
              </w:rPr>
              <w:t>方案能紧扣</w:t>
            </w:r>
            <w:r>
              <w:rPr>
                <w:rFonts w:cs="华文仿宋"/>
                <w:sz w:val="21"/>
                <w:szCs w:val="21"/>
              </w:rPr>
              <w:t>本</w:t>
            </w:r>
            <w:r>
              <w:rPr>
                <w:rFonts w:hint="eastAsia" w:cs="华文仿宋"/>
                <w:sz w:val="21"/>
                <w:szCs w:val="21"/>
              </w:rPr>
              <w:t>项目</w:t>
            </w:r>
            <w:r>
              <w:rPr>
                <w:rFonts w:cs="华文仿宋"/>
                <w:sz w:val="21"/>
                <w:szCs w:val="21"/>
              </w:rPr>
              <w:t>实际情况，</w:t>
            </w:r>
            <w:r>
              <w:rPr>
                <w:rFonts w:hint="eastAsia" w:cs="华文仿宋"/>
                <w:sz w:val="21"/>
                <w:szCs w:val="21"/>
              </w:rPr>
              <w:t>满足</w:t>
            </w:r>
            <w:r>
              <w:rPr>
                <w:rFonts w:cs="华文仿宋"/>
                <w:sz w:val="21"/>
                <w:szCs w:val="21"/>
              </w:rPr>
              <w:t>本项目各项具体要求。</w:t>
            </w:r>
          </w:p>
          <w:p>
            <w:pPr>
              <w:autoSpaceDE w:val="0"/>
              <w:autoSpaceDN w:val="0"/>
              <w:adjustRightInd w:val="0"/>
              <w:spacing w:line="280" w:lineRule="exact"/>
              <w:ind w:firstLine="420" w:firstLineChars="200"/>
              <w:jc w:val="both"/>
              <w:rPr>
                <w:rFonts w:ascii="宋体" w:hAnsi="宋体" w:eastAsia="宋体" w:cs="Calibri Light"/>
                <w:b/>
                <w:sz w:val="21"/>
                <w:szCs w:val="21"/>
              </w:rPr>
            </w:pPr>
            <w:r>
              <w:rPr>
                <w:rFonts w:hint="eastAsia" w:ascii="宋体" w:hAnsi="宋体" w:eastAsia="宋体" w:cs="Calibri Light"/>
                <w:b/>
                <w:sz w:val="21"/>
                <w:szCs w:val="21"/>
              </w:rPr>
              <w:t>3、</w:t>
            </w:r>
            <w:r>
              <w:rPr>
                <w:rFonts w:ascii="宋体" w:hAnsi="宋体" w:eastAsia="宋体" w:cs="Calibri Light"/>
                <w:b/>
                <w:sz w:val="21"/>
                <w:szCs w:val="21"/>
              </w:rPr>
              <w:t>赋分标准：</w:t>
            </w:r>
            <w:r>
              <w:rPr>
                <w:rFonts w:hint="eastAsia" w:ascii="Calibri" w:hAnsi="宋体" w:eastAsia="宋体" w:cs="仿宋"/>
                <w:b/>
                <w:sz w:val="21"/>
                <w:szCs w:val="20"/>
              </w:rPr>
              <w:t>（满分</w:t>
            </w:r>
            <w:r>
              <w:rPr>
                <w:rFonts w:ascii="Calibri" w:hAnsi="宋体" w:eastAsia="宋体" w:cs="仿宋"/>
                <w:b/>
                <w:sz w:val="21"/>
                <w:szCs w:val="20"/>
              </w:rPr>
              <w:t>6</w:t>
            </w:r>
            <w:r>
              <w:rPr>
                <w:rFonts w:hint="eastAsia" w:ascii="Calibri" w:hAnsi="宋体" w:eastAsia="宋体" w:cs="仿宋"/>
                <w:b/>
                <w:sz w:val="21"/>
                <w:szCs w:val="20"/>
              </w:rPr>
              <w:t>分）</w:t>
            </w:r>
          </w:p>
          <w:p>
            <w:pPr>
              <w:spacing w:line="320" w:lineRule="exact"/>
              <w:ind w:firstLine="420" w:firstLineChars="200"/>
              <w:jc w:val="both"/>
              <w:rPr>
                <w:rFonts w:cs="华文仿宋"/>
                <w:sz w:val="21"/>
                <w:szCs w:val="21"/>
              </w:rPr>
            </w:pPr>
            <w:r>
              <w:rPr>
                <w:rFonts w:hint="eastAsia" w:cs="华文仿宋"/>
                <w:sz w:val="21"/>
                <w:szCs w:val="21"/>
              </w:rPr>
              <w:t>①火灾、水浸、停水停电等其他突发事件紧急响应：</w:t>
            </w:r>
            <w:r>
              <w:rPr>
                <w:rFonts w:cs="华文仿宋"/>
                <w:sz w:val="21"/>
                <w:szCs w:val="21"/>
              </w:rPr>
              <w:t>每满足一项评审标准</w:t>
            </w:r>
            <w:r>
              <w:rPr>
                <w:rFonts w:hint="eastAsia" w:cs="华文仿宋"/>
                <w:sz w:val="21"/>
                <w:szCs w:val="21"/>
              </w:rPr>
              <w:t>得</w:t>
            </w:r>
            <w:r>
              <w:rPr>
                <w:rFonts w:cs="华文仿宋"/>
                <w:sz w:val="21"/>
                <w:szCs w:val="21"/>
              </w:rPr>
              <w:t>0.5</w:t>
            </w:r>
            <w:r>
              <w:rPr>
                <w:rFonts w:hint="eastAsia" w:cs="华文仿宋"/>
                <w:sz w:val="21"/>
                <w:szCs w:val="21"/>
              </w:rPr>
              <w:t>分</w:t>
            </w:r>
            <w:r>
              <w:rPr>
                <w:rFonts w:cs="华文仿宋"/>
                <w:sz w:val="21"/>
                <w:szCs w:val="21"/>
              </w:rPr>
              <w:t>，满分1.5</w:t>
            </w:r>
            <w:r>
              <w:rPr>
                <w:rFonts w:hint="eastAsia" w:cs="华文仿宋"/>
                <w:sz w:val="21"/>
                <w:szCs w:val="21"/>
              </w:rPr>
              <w:t>分；</w:t>
            </w:r>
          </w:p>
          <w:p>
            <w:pPr>
              <w:spacing w:line="320" w:lineRule="exact"/>
              <w:ind w:firstLine="420" w:firstLineChars="200"/>
              <w:jc w:val="both"/>
              <w:rPr>
                <w:rFonts w:cs="华文仿宋"/>
                <w:sz w:val="21"/>
                <w:szCs w:val="21"/>
              </w:rPr>
            </w:pPr>
            <w:r>
              <w:rPr>
                <w:rFonts w:hint="eastAsia" w:cs="华文仿宋"/>
                <w:sz w:val="21"/>
                <w:szCs w:val="21"/>
              </w:rPr>
              <w:t>②暴雨、暴雪、沙尘暴等极端天气紧急响应：</w:t>
            </w:r>
            <w:r>
              <w:rPr>
                <w:rFonts w:cs="华文仿宋"/>
                <w:sz w:val="21"/>
                <w:szCs w:val="21"/>
              </w:rPr>
              <w:t>每满足一项评审标准</w:t>
            </w:r>
            <w:r>
              <w:rPr>
                <w:rFonts w:hint="eastAsia" w:cs="华文仿宋"/>
                <w:sz w:val="21"/>
                <w:szCs w:val="21"/>
              </w:rPr>
              <w:t>得</w:t>
            </w:r>
            <w:r>
              <w:rPr>
                <w:rFonts w:cs="华文仿宋"/>
                <w:sz w:val="21"/>
                <w:szCs w:val="21"/>
              </w:rPr>
              <w:t>0.5</w:t>
            </w:r>
            <w:r>
              <w:rPr>
                <w:rFonts w:hint="eastAsia" w:cs="华文仿宋"/>
                <w:sz w:val="21"/>
                <w:szCs w:val="21"/>
              </w:rPr>
              <w:t>分</w:t>
            </w:r>
            <w:r>
              <w:rPr>
                <w:rFonts w:cs="华文仿宋"/>
                <w:sz w:val="21"/>
                <w:szCs w:val="21"/>
              </w:rPr>
              <w:t>，满分1.5</w:t>
            </w:r>
            <w:r>
              <w:rPr>
                <w:rFonts w:hint="eastAsia" w:cs="华文仿宋"/>
                <w:sz w:val="21"/>
                <w:szCs w:val="21"/>
              </w:rPr>
              <w:t>分；</w:t>
            </w:r>
          </w:p>
          <w:p>
            <w:pPr>
              <w:spacing w:line="320" w:lineRule="exact"/>
              <w:ind w:firstLine="420" w:firstLineChars="200"/>
              <w:jc w:val="both"/>
              <w:rPr>
                <w:rFonts w:cs="华文仿宋"/>
                <w:sz w:val="21"/>
                <w:szCs w:val="21"/>
              </w:rPr>
            </w:pPr>
            <w:r>
              <w:rPr>
                <w:rFonts w:hint="eastAsia" w:cs="华文仿宋"/>
                <w:sz w:val="21"/>
                <w:szCs w:val="21"/>
              </w:rPr>
              <w:t>③突发公共卫生事件如重大传染病疫情、群体性不明原因疾病、重大食物和职业中毒，以及其他严重影响公众健康事件的紧急响应：</w:t>
            </w:r>
            <w:r>
              <w:rPr>
                <w:rFonts w:cs="华文仿宋"/>
                <w:sz w:val="21"/>
                <w:szCs w:val="21"/>
              </w:rPr>
              <w:t>每满足一项评审标准</w:t>
            </w:r>
            <w:r>
              <w:rPr>
                <w:rFonts w:hint="eastAsia" w:cs="华文仿宋"/>
                <w:sz w:val="21"/>
                <w:szCs w:val="21"/>
              </w:rPr>
              <w:t>得</w:t>
            </w:r>
            <w:r>
              <w:rPr>
                <w:rFonts w:cs="华文仿宋"/>
                <w:sz w:val="21"/>
                <w:szCs w:val="21"/>
              </w:rPr>
              <w:t>0.5</w:t>
            </w:r>
            <w:r>
              <w:rPr>
                <w:rFonts w:hint="eastAsia" w:cs="华文仿宋"/>
                <w:sz w:val="21"/>
                <w:szCs w:val="21"/>
              </w:rPr>
              <w:t>分</w:t>
            </w:r>
            <w:r>
              <w:rPr>
                <w:rFonts w:cs="华文仿宋"/>
                <w:sz w:val="21"/>
                <w:szCs w:val="21"/>
              </w:rPr>
              <w:t>，满分1.5</w:t>
            </w:r>
            <w:r>
              <w:rPr>
                <w:rFonts w:hint="eastAsia" w:cs="华文仿宋"/>
                <w:sz w:val="21"/>
                <w:szCs w:val="21"/>
              </w:rPr>
              <w:t>分；</w:t>
            </w:r>
          </w:p>
          <w:p>
            <w:pPr>
              <w:spacing w:line="320" w:lineRule="exact"/>
              <w:ind w:firstLine="420" w:firstLineChars="200"/>
              <w:jc w:val="both"/>
              <w:rPr>
                <w:rFonts w:ascii="宋体" w:hAnsi="宋体" w:eastAsia="宋体" w:cs="Calibri Light"/>
                <w:bCs/>
                <w:sz w:val="21"/>
                <w:szCs w:val="21"/>
              </w:rPr>
            </w:pPr>
            <w:r>
              <w:rPr>
                <w:rFonts w:hint="eastAsia" w:cs="华文仿宋"/>
                <w:sz w:val="21"/>
                <w:szCs w:val="21"/>
              </w:rPr>
              <w:t>④节假日、各类临时性活动、各类大型检查等其他事件的紧急响应：</w:t>
            </w:r>
            <w:r>
              <w:rPr>
                <w:rFonts w:cs="华文仿宋"/>
                <w:sz w:val="21"/>
                <w:szCs w:val="21"/>
              </w:rPr>
              <w:t>每满足一项评审标准</w:t>
            </w:r>
            <w:r>
              <w:rPr>
                <w:rFonts w:hint="eastAsia" w:cs="华文仿宋"/>
                <w:sz w:val="21"/>
                <w:szCs w:val="21"/>
              </w:rPr>
              <w:t>得</w:t>
            </w:r>
            <w:r>
              <w:rPr>
                <w:rFonts w:cs="华文仿宋"/>
                <w:sz w:val="21"/>
                <w:szCs w:val="21"/>
              </w:rPr>
              <w:t>0.5</w:t>
            </w:r>
            <w:r>
              <w:rPr>
                <w:rFonts w:hint="eastAsia" w:cs="华文仿宋"/>
                <w:sz w:val="21"/>
                <w:szCs w:val="21"/>
              </w:rPr>
              <w:t>分</w:t>
            </w:r>
            <w:r>
              <w:rPr>
                <w:rFonts w:cs="华文仿宋"/>
                <w:sz w:val="21"/>
                <w:szCs w:val="21"/>
              </w:rPr>
              <w:t>，满分1.5</w:t>
            </w:r>
            <w:r>
              <w:rPr>
                <w:rFonts w:hint="eastAsia" w:cs="华文仿宋"/>
                <w:sz w:val="21"/>
                <w:szCs w:val="21"/>
              </w:rPr>
              <w:t>分。</w:t>
            </w:r>
          </w:p>
        </w:tc>
        <w:tc>
          <w:tcPr>
            <w:tcW w:w="888" w:type="dxa"/>
            <w:vMerge w:val="continue"/>
            <w:shd w:val="clear" w:color="auto" w:fill="auto"/>
            <w:vAlign w:val="center"/>
          </w:tcPr>
          <w:p>
            <w:pPr>
              <w:spacing w:line="320" w:lineRule="exact"/>
              <w:rPr>
                <w:rFonts w:eastAsia="宋体"/>
                <w:bCs/>
                <w:color w:val="FF0000"/>
                <w:sz w:val="21"/>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118" w:hRule="atLeast"/>
        </w:trPr>
        <w:tc>
          <w:tcPr>
            <w:tcW w:w="735" w:type="dxa"/>
            <w:vMerge w:val="restart"/>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r>
              <w:rPr>
                <w:rFonts w:hint="eastAsia" w:ascii="Calibri" w:hAnsi="宋体" w:eastAsia="宋体"/>
                <w:bCs/>
                <w:color w:val="000000" w:themeColor="text1"/>
                <w:sz w:val="21"/>
                <w:szCs w:val="21"/>
                <w14:textFill>
                  <w14:solidFill>
                    <w14:schemeClr w14:val="tx1"/>
                  </w14:solidFill>
                </w14:textFill>
              </w:rPr>
              <w:t>商务</w:t>
            </w:r>
            <w:r>
              <w:rPr>
                <w:rFonts w:ascii="Calibri" w:hAnsi="宋体" w:eastAsia="宋体"/>
                <w:bCs/>
                <w:color w:val="000000" w:themeColor="text1"/>
                <w:sz w:val="21"/>
                <w:szCs w:val="21"/>
                <w14:textFill>
                  <w14:solidFill>
                    <w14:schemeClr w14:val="tx1"/>
                  </w14:solidFill>
                </w14:textFill>
              </w:rPr>
              <w:t>评审部分</w:t>
            </w:r>
          </w:p>
        </w:tc>
        <w:tc>
          <w:tcPr>
            <w:tcW w:w="630" w:type="dxa"/>
            <w:vMerge w:val="restart"/>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r>
              <w:rPr>
                <w:rFonts w:ascii="Calibri" w:hAnsi="宋体" w:eastAsia="宋体"/>
                <w:bCs/>
                <w:color w:val="000000" w:themeColor="text1"/>
                <w:sz w:val="21"/>
                <w:szCs w:val="21"/>
                <w14:textFill>
                  <w14:solidFill>
                    <w14:schemeClr w14:val="tx1"/>
                  </w14:solidFill>
                </w14:textFill>
              </w:rPr>
              <w:t>60</w:t>
            </w:r>
          </w:p>
        </w:tc>
        <w:tc>
          <w:tcPr>
            <w:tcW w:w="945" w:type="dxa"/>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r>
              <w:rPr>
                <w:rFonts w:ascii="Calibri" w:hAnsi="宋体" w:eastAsia="宋体"/>
                <w:bCs/>
                <w:color w:val="000000" w:themeColor="text1"/>
                <w:sz w:val="21"/>
                <w:szCs w:val="21"/>
                <w14:textFill>
                  <w14:solidFill>
                    <w14:schemeClr w14:val="tx1"/>
                  </w14:solidFill>
                </w14:textFill>
              </w:rPr>
              <w:t>11</w:t>
            </w:r>
          </w:p>
        </w:tc>
        <w:tc>
          <w:tcPr>
            <w:tcW w:w="5869" w:type="dxa"/>
            <w:shd w:val="clear" w:color="auto" w:fill="auto"/>
            <w:vAlign w:val="center"/>
          </w:tcPr>
          <w:p>
            <w:pPr>
              <w:autoSpaceDE w:val="0"/>
              <w:autoSpaceDN w:val="0"/>
              <w:adjustRightInd w:val="0"/>
              <w:spacing w:line="300" w:lineRule="exact"/>
              <w:ind w:firstLine="420" w:firstLineChars="200"/>
              <w:jc w:val="both"/>
              <w:rPr>
                <w:rFonts w:ascii="宋体" w:hAnsi="宋体" w:eastAsia="宋体" w:cs="Calibri Light"/>
                <w:b/>
                <w:sz w:val="21"/>
                <w:szCs w:val="21"/>
              </w:rPr>
            </w:pPr>
            <w:r>
              <w:rPr>
                <w:rFonts w:hint="eastAsia" w:ascii="宋体" w:hAnsi="宋体" w:eastAsia="宋体" w:cs="Calibri Light"/>
                <w:b/>
                <w:sz w:val="21"/>
                <w:szCs w:val="21"/>
              </w:rPr>
              <w:t xml:space="preserve">人员配置情况： </w:t>
            </w:r>
          </w:p>
          <w:p>
            <w:pPr>
              <w:autoSpaceDE w:val="0"/>
              <w:autoSpaceDN w:val="0"/>
              <w:adjustRightInd w:val="0"/>
              <w:spacing w:line="300" w:lineRule="exact"/>
              <w:ind w:firstLine="420" w:firstLineChars="200"/>
              <w:jc w:val="both"/>
              <w:rPr>
                <w:rFonts w:ascii="宋体" w:hAnsi="宋体" w:eastAsia="宋体" w:cs="Calibri Light"/>
                <w:b/>
                <w:sz w:val="21"/>
                <w:szCs w:val="21"/>
              </w:rPr>
            </w:pPr>
            <w:r>
              <w:rPr>
                <w:rFonts w:hint="eastAsia" w:ascii="宋体" w:hAnsi="宋体" w:eastAsia="宋体" w:cs="Calibri Light"/>
                <w:b/>
                <w:sz w:val="21"/>
                <w:szCs w:val="21"/>
              </w:rPr>
              <w:t>1、项目经理（共</w:t>
            </w:r>
            <w:r>
              <w:rPr>
                <w:rFonts w:ascii="宋体" w:hAnsi="宋体" w:eastAsia="宋体" w:cs="Calibri Light"/>
                <w:b/>
                <w:sz w:val="21"/>
                <w:szCs w:val="21"/>
              </w:rPr>
              <w:t>4</w:t>
            </w:r>
            <w:r>
              <w:rPr>
                <w:rFonts w:hint="eastAsia" w:ascii="宋体" w:hAnsi="宋体" w:eastAsia="宋体" w:cs="Calibri Light"/>
                <w:b/>
                <w:sz w:val="21"/>
                <w:szCs w:val="21"/>
              </w:rPr>
              <w:t>分）：</w:t>
            </w:r>
          </w:p>
          <w:p>
            <w:pPr>
              <w:spacing w:line="320" w:lineRule="exact"/>
              <w:ind w:firstLine="420" w:firstLineChars="200"/>
              <w:jc w:val="both"/>
              <w:rPr>
                <w:rFonts w:cs="华文仿宋"/>
                <w:sz w:val="21"/>
                <w:szCs w:val="21"/>
              </w:rPr>
            </w:pPr>
            <w:r>
              <w:rPr>
                <w:rFonts w:hint="eastAsia" w:cs="华文仿宋"/>
                <w:sz w:val="21"/>
                <w:szCs w:val="21"/>
              </w:rPr>
              <w:t>（1）具有本科及以上学历，得1分，具备大专学历，得0.5分，须提供学历证书扫描件及学信网查询报告。</w:t>
            </w:r>
          </w:p>
          <w:p>
            <w:pPr>
              <w:spacing w:line="320" w:lineRule="exact"/>
              <w:ind w:firstLine="420" w:firstLineChars="200"/>
              <w:jc w:val="both"/>
              <w:rPr>
                <w:rFonts w:cs="华文仿宋"/>
                <w:sz w:val="21"/>
                <w:szCs w:val="21"/>
              </w:rPr>
            </w:pPr>
            <w:r>
              <w:rPr>
                <w:rFonts w:hint="eastAsia" w:cs="华文仿宋"/>
                <w:sz w:val="21"/>
                <w:szCs w:val="21"/>
              </w:rPr>
              <w:t>（2）年龄在</w:t>
            </w:r>
            <w:r>
              <w:rPr>
                <w:rFonts w:cs="华文仿宋"/>
                <w:sz w:val="21"/>
                <w:szCs w:val="21"/>
              </w:rPr>
              <w:t>50</w:t>
            </w:r>
            <w:r>
              <w:rPr>
                <w:rFonts w:hint="eastAsia" w:cs="华文仿宋"/>
                <w:sz w:val="21"/>
                <w:szCs w:val="21"/>
              </w:rPr>
              <w:t>岁及以下，至少具有五年同类物业项目管理工作经验，提供身份证扫描件，工作履历证明并加盖服务单位公章（证明包含姓名、工作起止时间、工作岗位等信息），得1分，在五年经验的基础上每增加一年加0.5分，最多</w:t>
            </w:r>
            <w:r>
              <w:rPr>
                <w:rFonts w:cs="华文仿宋"/>
                <w:sz w:val="21"/>
                <w:szCs w:val="21"/>
              </w:rPr>
              <w:t>加</w:t>
            </w:r>
            <w:r>
              <w:rPr>
                <w:rFonts w:hint="eastAsia" w:cs="华文仿宋"/>
                <w:sz w:val="21"/>
                <w:szCs w:val="21"/>
              </w:rPr>
              <w:t>2分，本项满分3分。</w:t>
            </w:r>
          </w:p>
          <w:p>
            <w:pPr>
              <w:spacing w:line="320" w:lineRule="exact"/>
              <w:ind w:firstLine="420" w:firstLineChars="200"/>
              <w:jc w:val="both"/>
              <w:rPr>
                <w:rFonts w:cs="华文仿宋"/>
                <w:sz w:val="21"/>
                <w:szCs w:val="21"/>
              </w:rPr>
            </w:pPr>
            <w:r>
              <w:rPr>
                <w:rFonts w:hint="eastAsia" w:cs="华文仿宋"/>
                <w:sz w:val="21"/>
                <w:szCs w:val="21"/>
              </w:rPr>
              <w:t>备注：除上述赋分依据外，还须提供供应商为上述人员缴纳的近一年以来至少连续三个月的社保缴纳证明材料（成立时间至提交投标文件截止时间不足六个月的投标人，可提供成立后任意一个月的社保缴纳证明材料），不提供或缺漏项本项不得分。</w:t>
            </w:r>
          </w:p>
          <w:p>
            <w:pPr>
              <w:autoSpaceDE w:val="0"/>
              <w:autoSpaceDN w:val="0"/>
              <w:adjustRightInd w:val="0"/>
              <w:spacing w:line="300" w:lineRule="exact"/>
              <w:ind w:firstLine="420" w:firstLineChars="200"/>
              <w:jc w:val="both"/>
              <w:rPr>
                <w:rFonts w:ascii="宋体" w:hAnsi="宋体" w:eastAsia="宋体" w:cs="Calibri Light"/>
                <w:b/>
                <w:sz w:val="21"/>
                <w:szCs w:val="21"/>
              </w:rPr>
            </w:pPr>
            <w:r>
              <w:rPr>
                <w:rFonts w:hint="eastAsia" w:ascii="宋体" w:hAnsi="宋体" w:eastAsia="宋体" w:cs="Calibri Light"/>
                <w:b/>
                <w:sz w:val="21"/>
                <w:szCs w:val="21"/>
              </w:rPr>
              <w:t>2、工程设施主管2人（共</w:t>
            </w:r>
            <w:r>
              <w:rPr>
                <w:rFonts w:ascii="宋体" w:hAnsi="宋体" w:eastAsia="宋体" w:cs="Calibri Light"/>
                <w:b/>
                <w:sz w:val="21"/>
                <w:szCs w:val="21"/>
              </w:rPr>
              <w:t>3</w:t>
            </w:r>
            <w:r>
              <w:rPr>
                <w:rFonts w:hint="eastAsia" w:ascii="宋体" w:hAnsi="宋体" w:eastAsia="宋体" w:cs="Calibri Light"/>
                <w:b/>
                <w:sz w:val="21"/>
                <w:szCs w:val="21"/>
              </w:rPr>
              <w:t>分）：</w:t>
            </w:r>
          </w:p>
          <w:p>
            <w:pPr>
              <w:spacing w:line="320" w:lineRule="exact"/>
              <w:ind w:firstLine="420" w:firstLineChars="200"/>
              <w:jc w:val="both"/>
              <w:rPr>
                <w:rFonts w:cs="华文仿宋"/>
                <w:sz w:val="21"/>
                <w:szCs w:val="21"/>
              </w:rPr>
            </w:pPr>
            <w:r>
              <w:rPr>
                <w:rFonts w:hint="eastAsia" w:cs="华文仿宋"/>
                <w:sz w:val="21"/>
                <w:szCs w:val="21"/>
              </w:rPr>
              <w:t>（1）以上2人具备电气类专业（不限于电气工程及其自动化、电气工程与智能控制）专业，本科及以上学历，每提供1人</w:t>
            </w:r>
            <w:r>
              <w:rPr>
                <w:rFonts w:cs="华文仿宋"/>
                <w:sz w:val="21"/>
                <w:szCs w:val="21"/>
              </w:rPr>
              <w:t>的</w:t>
            </w:r>
            <w:r>
              <w:rPr>
                <w:rFonts w:hint="eastAsia" w:cs="华文仿宋"/>
                <w:sz w:val="21"/>
                <w:szCs w:val="21"/>
              </w:rPr>
              <w:t>学历证书扫描件及学信网查询报告得</w:t>
            </w:r>
            <w:r>
              <w:rPr>
                <w:rFonts w:cs="华文仿宋"/>
                <w:sz w:val="21"/>
                <w:szCs w:val="21"/>
              </w:rPr>
              <w:t>0.5</w:t>
            </w:r>
            <w:r>
              <w:rPr>
                <w:rFonts w:hint="eastAsia" w:cs="华文仿宋"/>
                <w:sz w:val="21"/>
                <w:szCs w:val="21"/>
              </w:rPr>
              <w:t>分</w:t>
            </w:r>
            <w:r>
              <w:rPr>
                <w:rFonts w:cs="华文仿宋"/>
                <w:sz w:val="21"/>
                <w:szCs w:val="21"/>
              </w:rPr>
              <w:t>，满分1</w:t>
            </w:r>
            <w:r>
              <w:rPr>
                <w:rFonts w:hint="eastAsia" w:cs="华文仿宋"/>
                <w:sz w:val="21"/>
                <w:szCs w:val="21"/>
              </w:rPr>
              <w:t>分。</w:t>
            </w:r>
          </w:p>
          <w:p>
            <w:pPr>
              <w:spacing w:line="320" w:lineRule="exact"/>
              <w:ind w:firstLine="420" w:firstLineChars="200"/>
              <w:jc w:val="both"/>
              <w:rPr>
                <w:rFonts w:cs="华文仿宋"/>
                <w:sz w:val="21"/>
                <w:szCs w:val="21"/>
              </w:rPr>
            </w:pPr>
            <w:r>
              <w:rPr>
                <w:rFonts w:hint="eastAsia" w:cs="华文仿宋"/>
                <w:sz w:val="21"/>
                <w:szCs w:val="21"/>
              </w:rPr>
              <w:t>（2）以上2人需年龄在</w:t>
            </w:r>
            <w:r>
              <w:rPr>
                <w:rFonts w:cs="华文仿宋"/>
                <w:sz w:val="21"/>
                <w:szCs w:val="21"/>
              </w:rPr>
              <w:t>50</w:t>
            </w:r>
            <w:r>
              <w:rPr>
                <w:rFonts w:hint="eastAsia" w:cs="华文仿宋"/>
                <w:sz w:val="21"/>
                <w:szCs w:val="21"/>
              </w:rPr>
              <w:t>岁及以下，至少具有五年同类物业项目管理工作经验，提供身份证扫描件，工作履历证明并加盖服务单位公章（证明包含姓名、工作起止时间、工作岗位等信息）的证明</w:t>
            </w:r>
            <w:r>
              <w:rPr>
                <w:rFonts w:cs="华文仿宋"/>
                <w:sz w:val="21"/>
                <w:szCs w:val="21"/>
              </w:rPr>
              <w:t>材料，</w:t>
            </w:r>
            <w:r>
              <w:rPr>
                <w:rFonts w:hint="eastAsia" w:cs="华文仿宋"/>
                <w:sz w:val="21"/>
                <w:szCs w:val="21"/>
              </w:rPr>
              <w:t>每提供</w:t>
            </w:r>
            <w:r>
              <w:rPr>
                <w:rFonts w:cs="华文仿宋"/>
                <w:sz w:val="21"/>
                <w:szCs w:val="21"/>
              </w:rPr>
              <w:t>一</w:t>
            </w:r>
            <w:r>
              <w:rPr>
                <w:rFonts w:hint="eastAsia" w:cs="华文仿宋"/>
                <w:sz w:val="21"/>
                <w:szCs w:val="21"/>
              </w:rPr>
              <w:t>人的证明</w:t>
            </w:r>
            <w:r>
              <w:rPr>
                <w:rFonts w:cs="华文仿宋"/>
                <w:sz w:val="21"/>
                <w:szCs w:val="21"/>
              </w:rPr>
              <w:t>材料得0.5</w:t>
            </w:r>
            <w:r>
              <w:rPr>
                <w:rFonts w:hint="eastAsia" w:cs="华文仿宋"/>
                <w:sz w:val="21"/>
                <w:szCs w:val="21"/>
              </w:rPr>
              <w:t>分，其中</w:t>
            </w:r>
            <w:r>
              <w:rPr>
                <w:rFonts w:cs="华文仿宋"/>
                <w:sz w:val="21"/>
                <w:szCs w:val="21"/>
              </w:rPr>
              <w:t>有人</w:t>
            </w:r>
            <w:r>
              <w:rPr>
                <w:rFonts w:hint="eastAsia" w:cs="华文仿宋"/>
                <w:sz w:val="21"/>
                <w:szCs w:val="21"/>
              </w:rPr>
              <w:t>在五年经验的基础上每增加一年加0.5分，最多</w:t>
            </w:r>
            <w:r>
              <w:rPr>
                <w:rFonts w:cs="华文仿宋"/>
                <w:sz w:val="21"/>
                <w:szCs w:val="21"/>
              </w:rPr>
              <w:t>加1</w:t>
            </w:r>
            <w:r>
              <w:rPr>
                <w:rFonts w:hint="eastAsia" w:cs="华文仿宋"/>
                <w:sz w:val="21"/>
                <w:szCs w:val="21"/>
              </w:rPr>
              <w:t>分，本项满分</w:t>
            </w:r>
            <w:r>
              <w:rPr>
                <w:rFonts w:cs="华文仿宋"/>
                <w:sz w:val="21"/>
                <w:szCs w:val="21"/>
              </w:rPr>
              <w:t>2</w:t>
            </w:r>
            <w:r>
              <w:rPr>
                <w:rFonts w:hint="eastAsia" w:cs="华文仿宋"/>
                <w:sz w:val="21"/>
                <w:szCs w:val="21"/>
              </w:rPr>
              <w:t>分。</w:t>
            </w:r>
          </w:p>
          <w:p>
            <w:pPr>
              <w:autoSpaceDE w:val="0"/>
              <w:autoSpaceDN w:val="0"/>
              <w:adjustRightInd w:val="0"/>
              <w:spacing w:line="300" w:lineRule="exact"/>
              <w:ind w:firstLine="420" w:firstLineChars="200"/>
              <w:jc w:val="both"/>
              <w:rPr>
                <w:rFonts w:cs="华文仿宋"/>
                <w:sz w:val="21"/>
                <w:szCs w:val="21"/>
              </w:rPr>
            </w:pPr>
            <w:r>
              <w:rPr>
                <w:rFonts w:hint="eastAsia" w:cs="华文仿宋"/>
                <w:sz w:val="21"/>
                <w:szCs w:val="21"/>
              </w:rPr>
              <w:t>备注：除上述赋分依据外，还须提供供应商为上述人员人缴纳的近一年以来至少连续三个月的社保缴纳证明材料（成立时间至提交投标文件截止时间不足六个月的投标人，可提供成立后任意一个月的社保缴纳证明材料），不提供或缺漏项本项不得分。</w:t>
            </w:r>
          </w:p>
          <w:p>
            <w:pPr>
              <w:autoSpaceDE w:val="0"/>
              <w:autoSpaceDN w:val="0"/>
              <w:adjustRightInd w:val="0"/>
              <w:spacing w:line="300" w:lineRule="exact"/>
              <w:ind w:firstLine="420" w:firstLineChars="200"/>
              <w:jc w:val="both"/>
              <w:rPr>
                <w:rFonts w:ascii="宋体" w:hAnsi="宋体" w:eastAsia="宋体" w:cs="Calibri Light"/>
                <w:b/>
                <w:sz w:val="21"/>
                <w:szCs w:val="21"/>
              </w:rPr>
            </w:pPr>
            <w:r>
              <w:rPr>
                <w:rFonts w:hint="eastAsia" w:ascii="宋体" w:hAnsi="宋体" w:eastAsia="宋体" w:cs="Calibri Light"/>
                <w:b/>
                <w:sz w:val="21"/>
                <w:szCs w:val="21"/>
              </w:rPr>
              <w:t>3、环境保洁主管1人、中央运送主管1人、秩序维护主管2人（</w:t>
            </w:r>
            <w:r>
              <w:rPr>
                <w:rFonts w:ascii="宋体" w:hAnsi="宋体" w:eastAsia="宋体" w:cs="Calibri Light"/>
                <w:b/>
                <w:sz w:val="21"/>
                <w:szCs w:val="21"/>
              </w:rPr>
              <w:t>4</w:t>
            </w:r>
            <w:r>
              <w:rPr>
                <w:rFonts w:hint="eastAsia" w:ascii="宋体" w:hAnsi="宋体" w:eastAsia="宋体" w:cs="Calibri Light"/>
                <w:b/>
                <w:sz w:val="21"/>
                <w:szCs w:val="21"/>
              </w:rPr>
              <w:t>分）</w:t>
            </w:r>
            <w:r>
              <w:rPr>
                <w:rFonts w:ascii="宋体" w:hAnsi="宋体" w:eastAsia="宋体" w:cs="Calibri Light"/>
                <w:b/>
                <w:sz w:val="21"/>
                <w:szCs w:val="21"/>
              </w:rPr>
              <w:t>：</w:t>
            </w:r>
          </w:p>
          <w:p>
            <w:pPr>
              <w:spacing w:line="320" w:lineRule="exact"/>
              <w:ind w:firstLine="420" w:firstLineChars="200"/>
              <w:jc w:val="both"/>
              <w:rPr>
                <w:rFonts w:cs="华文仿宋"/>
                <w:sz w:val="21"/>
                <w:szCs w:val="21"/>
              </w:rPr>
            </w:pPr>
            <w:r>
              <w:rPr>
                <w:rFonts w:hint="eastAsia" w:cs="华文仿宋"/>
                <w:sz w:val="21"/>
                <w:szCs w:val="21"/>
              </w:rPr>
              <w:t>（1）以上四</w:t>
            </w:r>
            <w:r>
              <w:rPr>
                <w:rFonts w:cs="华文仿宋"/>
                <w:sz w:val="21"/>
                <w:szCs w:val="21"/>
              </w:rPr>
              <w:t>人</w:t>
            </w:r>
            <w:r>
              <w:rPr>
                <w:rFonts w:hint="eastAsia" w:cs="华文仿宋"/>
                <w:sz w:val="21"/>
                <w:szCs w:val="21"/>
              </w:rPr>
              <w:t>具备大专及以上学历，每提供1人</w:t>
            </w:r>
            <w:r>
              <w:rPr>
                <w:rFonts w:cs="华文仿宋"/>
                <w:sz w:val="21"/>
                <w:szCs w:val="21"/>
              </w:rPr>
              <w:t>的</w:t>
            </w:r>
            <w:r>
              <w:rPr>
                <w:rFonts w:hint="eastAsia" w:cs="华文仿宋"/>
                <w:sz w:val="21"/>
                <w:szCs w:val="21"/>
              </w:rPr>
              <w:t>学历证书扫描件及学信网查询报告得0.5分</w:t>
            </w:r>
            <w:r>
              <w:rPr>
                <w:rFonts w:cs="华文仿宋"/>
                <w:sz w:val="21"/>
                <w:szCs w:val="21"/>
              </w:rPr>
              <w:t>，满分2</w:t>
            </w:r>
            <w:r>
              <w:rPr>
                <w:rFonts w:hint="eastAsia" w:cs="华文仿宋"/>
                <w:sz w:val="21"/>
                <w:szCs w:val="21"/>
              </w:rPr>
              <w:t>分。</w:t>
            </w:r>
          </w:p>
          <w:p>
            <w:pPr>
              <w:spacing w:line="320" w:lineRule="exact"/>
              <w:ind w:firstLine="420" w:firstLineChars="200"/>
              <w:jc w:val="both"/>
              <w:rPr>
                <w:rFonts w:cs="华文仿宋"/>
                <w:sz w:val="21"/>
                <w:szCs w:val="21"/>
              </w:rPr>
            </w:pPr>
            <w:r>
              <w:rPr>
                <w:rFonts w:hint="eastAsia" w:cs="华文仿宋"/>
                <w:sz w:val="21"/>
                <w:szCs w:val="21"/>
              </w:rPr>
              <w:t>（2）以上四</w:t>
            </w:r>
            <w:r>
              <w:rPr>
                <w:rFonts w:cs="华文仿宋"/>
                <w:sz w:val="21"/>
                <w:szCs w:val="21"/>
              </w:rPr>
              <w:t>人</w:t>
            </w:r>
            <w:r>
              <w:rPr>
                <w:rFonts w:hint="eastAsia" w:cs="华文仿宋"/>
                <w:sz w:val="21"/>
                <w:szCs w:val="21"/>
              </w:rPr>
              <w:t>具备三年及以上同类物业项目管理工作经验，需提供身份证扫描件，工作履历证明并加盖服务单位公章（证明包含姓名、工作起止时间、工作岗位等信息）的证明材料，</w:t>
            </w:r>
            <w:r>
              <w:rPr>
                <w:rFonts w:cs="华文仿宋"/>
                <w:sz w:val="21"/>
                <w:szCs w:val="21"/>
              </w:rPr>
              <w:t>每提供一人的证明材料</w:t>
            </w:r>
            <w:r>
              <w:rPr>
                <w:rFonts w:hint="eastAsia" w:cs="华文仿宋"/>
                <w:sz w:val="21"/>
                <w:szCs w:val="21"/>
              </w:rPr>
              <w:t>得0.5分，</w:t>
            </w:r>
            <w:r>
              <w:rPr>
                <w:rFonts w:cs="华文仿宋"/>
                <w:sz w:val="21"/>
                <w:szCs w:val="21"/>
              </w:rPr>
              <w:t>满分2</w:t>
            </w:r>
            <w:r>
              <w:rPr>
                <w:rFonts w:hint="eastAsia" w:cs="华文仿宋"/>
                <w:sz w:val="21"/>
                <w:szCs w:val="21"/>
              </w:rPr>
              <w:t>分。</w:t>
            </w:r>
          </w:p>
          <w:p>
            <w:pPr>
              <w:spacing w:line="320" w:lineRule="exact"/>
              <w:ind w:firstLine="420" w:firstLineChars="200"/>
              <w:jc w:val="both"/>
              <w:rPr>
                <w:rFonts w:ascii="宋体" w:hAnsi="宋体" w:eastAsia="宋体" w:cs="Calibri Light"/>
                <w:sz w:val="21"/>
                <w:szCs w:val="21"/>
              </w:rPr>
            </w:pPr>
            <w:r>
              <w:rPr>
                <w:rFonts w:hint="eastAsia" w:cs="华文仿宋"/>
                <w:sz w:val="21"/>
                <w:szCs w:val="21"/>
              </w:rPr>
              <w:t>备注：除上述赋分依据外，还须提供供应商为上述人员人缴纳的近一年以来至少连续三个月的社保缴纳证明材料（成立时间至提交投标文件截止时间不足六个月的投标人，可提供成立后任意一个月的社保缴纳证明材料），不提供或缺漏项本项不得分。</w:t>
            </w:r>
          </w:p>
        </w:tc>
        <w:tc>
          <w:tcPr>
            <w:tcW w:w="888" w:type="dxa"/>
            <w:vMerge w:val="restart"/>
            <w:shd w:val="clear" w:color="auto" w:fill="auto"/>
            <w:vAlign w:val="center"/>
          </w:tcPr>
          <w:p>
            <w:pPr>
              <w:spacing w:line="320" w:lineRule="exact"/>
              <w:ind w:firstLine="420" w:firstLineChars="200"/>
              <w:rPr>
                <w:rFonts w:ascii="Calibri" w:hAnsi="宋体" w:eastAsia="宋体"/>
                <w:bCs/>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c>
          <w:tcPr>
            <w:tcW w:w="735" w:type="dxa"/>
            <w:vMerge w:val="continue"/>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p>
        </w:tc>
        <w:tc>
          <w:tcPr>
            <w:tcW w:w="630" w:type="dxa"/>
            <w:vMerge w:val="continue"/>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p>
        </w:tc>
        <w:tc>
          <w:tcPr>
            <w:tcW w:w="945" w:type="dxa"/>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r>
              <w:rPr>
                <w:rFonts w:ascii="宋体" w:hAnsi="宋体" w:eastAsia="宋体" w:cs="Calibri Light"/>
                <w:bCs/>
                <w:sz w:val="21"/>
                <w:szCs w:val="21"/>
              </w:rPr>
              <w:t>9</w:t>
            </w:r>
          </w:p>
        </w:tc>
        <w:tc>
          <w:tcPr>
            <w:tcW w:w="5869" w:type="dxa"/>
            <w:shd w:val="clear" w:color="auto" w:fill="auto"/>
            <w:vAlign w:val="center"/>
          </w:tcPr>
          <w:p>
            <w:pPr>
              <w:tabs>
                <w:tab w:val="left" w:pos="547"/>
              </w:tabs>
              <w:spacing w:line="320" w:lineRule="exact"/>
              <w:ind w:firstLine="420" w:firstLineChars="200"/>
              <w:jc w:val="both"/>
              <w:rPr>
                <w:rFonts w:ascii="Calibri" w:hAnsi="宋体" w:eastAsia="宋体" w:cs="仿宋"/>
                <w:b/>
                <w:sz w:val="21"/>
              </w:rPr>
            </w:pPr>
            <w:r>
              <w:rPr>
                <w:rFonts w:ascii="Calibri" w:hAnsi="宋体" w:eastAsia="宋体" w:cs="仿宋"/>
                <w:b/>
                <w:sz w:val="21"/>
              </w:rPr>
              <w:t>管理制度：</w:t>
            </w:r>
          </w:p>
          <w:p>
            <w:pPr>
              <w:tabs>
                <w:tab w:val="left" w:pos="547"/>
              </w:tabs>
              <w:spacing w:line="320" w:lineRule="exact"/>
              <w:ind w:firstLine="420" w:firstLineChars="200"/>
              <w:jc w:val="both"/>
              <w:rPr>
                <w:rFonts w:ascii="Calibri" w:hAnsi="宋体" w:eastAsia="宋体" w:cs="仿宋"/>
                <w:b/>
                <w:sz w:val="21"/>
              </w:rPr>
            </w:pPr>
            <w:r>
              <w:rPr>
                <w:rFonts w:hint="eastAsia" w:ascii="Calibri" w:hAnsi="宋体" w:eastAsia="宋体" w:cs="仿宋"/>
                <w:b/>
                <w:sz w:val="21"/>
              </w:rPr>
              <w:t>1、评审内容：</w:t>
            </w:r>
          </w:p>
          <w:p>
            <w:pPr>
              <w:spacing w:line="320" w:lineRule="exact"/>
              <w:ind w:firstLine="420" w:firstLineChars="200"/>
              <w:jc w:val="both"/>
              <w:rPr>
                <w:rFonts w:cs="华文仿宋"/>
                <w:sz w:val="21"/>
                <w:szCs w:val="21"/>
              </w:rPr>
            </w:pPr>
            <w:r>
              <w:rPr>
                <w:rFonts w:hint="eastAsia" w:cs="华文仿宋"/>
                <w:sz w:val="21"/>
                <w:szCs w:val="21"/>
              </w:rPr>
              <w:t>供应商提供针对本项目的管理制度，方案内容包含：</w:t>
            </w:r>
          </w:p>
          <w:p>
            <w:pPr>
              <w:spacing w:line="320" w:lineRule="exact"/>
              <w:ind w:firstLine="420" w:firstLineChars="200"/>
              <w:jc w:val="both"/>
              <w:rPr>
                <w:rFonts w:cs="华文仿宋"/>
                <w:sz w:val="21"/>
                <w:szCs w:val="21"/>
              </w:rPr>
            </w:pPr>
            <w:r>
              <w:rPr>
                <w:rFonts w:hint="eastAsia" w:cs="华文仿宋"/>
                <w:sz w:val="21"/>
                <w:szCs w:val="21"/>
              </w:rPr>
              <w:t>①岗位职责：包含岗位工作标准、服务质量标准、现场质量控制体系、组织架构图；</w:t>
            </w:r>
          </w:p>
          <w:p>
            <w:pPr>
              <w:spacing w:line="320" w:lineRule="exact"/>
              <w:ind w:firstLine="420" w:firstLineChars="200"/>
              <w:jc w:val="both"/>
              <w:rPr>
                <w:rFonts w:cs="华文仿宋"/>
                <w:sz w:val="21"/>
                <w:szCs w:val="21"/>
              </w:rPr>
            </w:pPr>
            <w:r>
              <w:rPr>
                <w:rFonts w:hint="eastAsia" w:cs="华文仿宋"/>
                <w:sz w:val="21"/>
                <w:szCs w:val="21"/>
              </w:rPr>
              <w:t>②内控制度：包含保密制度、管理组织机构、问责机制、监督机制、自查制度、档案管理制度（包含档案保管措施及档案的归档、移交、备案登记、保存和销毁）；</w:t>
            </w:r>
          </w:p>
          <w:p>
            <w:pPr>
              <w:spacing w:line="320" w:lineRule="exact"/>
              <w:ind w:firstLine="420" w:firstLineChars="200"/>
              <w:jc w:val="both"/>
              <w:rPr>
                <w:rFonts w:cs="华文仿宋"/>
                <w:sz w:val="21"/>
                <w:szCs w:val="21"/>
              </w:rPr>
            </w:pPr>
            <w:r>
              <w:rPr>
                <w:rFonts w:hint="eastAsia" w:cs="华文仿宋"/>
                <w:sz w:val="21"/>
                <w:szCs w:val="21"/>
              </w:rPr>
              <w:t>③人员管理制度：包含员工日常管理办法、请销假制度、奖惩措施、激励机制、仪容仪表制度。</w:t>
            </w:r>
          </w:p>
          <w:p>
            <w:pPr>
              <w:autoSpaceDE w:val="0"/>
              <w:autoSpaceDN w:val="0"/>
              <w:adjustRightInd w:val="0"/>
              <w:spacing w:line="280" w:lineRule="exact"/>
              <w:ind w:firstLine="420" w:firstLineChars="200"/>
              <w:jc w:val="both"/>
              <w:rPr>
                <w:rFonts w:ascii="Calibri" w:hAnsi="宋体" w:eastAsia="宋体" w:cs="仿宋"/>
                <w:b/>
                <w:sz w:val="21"/>
              </w:rPr>
            </w:pPr>
            <w:r>
              <w:rPr>
                <w:rFonts w:hint="eastAsia" w:ascii="Calibri" w:hAnsi="宋体" w:eastAsia="宋体" w:cs="仿宋"/>
                <w:b/>
                <w:sz w:val="21"/>
              </w:rPr>
              <w:t>2、评审标准：</w:t>
            </w:r>
          </w:p>
          <w:p>
            <w:pPr>
              <w:spacing w:line="320" w:lineRule="exact"/>
              <w:ind w:firstLine="420" w:firstLineChars="200"/>
              <w:jc w:val="both"/>
              <w:rPr>
                <w:rFonts w:cs="华文仿宋"/>
                <w:sz w:val="21"/>
                <w:szCs w:val="21"/>
              </w:rPr>
            </w:pPr>
            <w:r>
              <w:rPr>
                <w:rFonts w:hint="eastAsia" w:ascii="宋体" w:hAnsi="宋体" w:eastAsia="宋体" w:cs="Calibri Light"/>
                <w:bCs/>
                <w:sz w:val="21"/>
                <w:szCs w:val="21"/>
              </w:rPr>
              <w:t>1</w:t>
            </w:r>
            <w:r>
              <w:rPr>
                <w:rFonts w:hint="eastAsia" w:cs="华文仿宋"/>
                <w:sz w:val="21"/>
                <w:szCs w:val="21"/>
              </w:rPr>
              <w:t>、完整性：方案须详细全面，表述清晰完整，完全满足招标文件要求；</w:t>
            </w:r>
          </w:p>
          <w:p>
            <w:pPr>
              <w:spacing w:line="320" w:lineRule="exact"/>
              <w:ind w:firstLine="420" w:firstLineChars="200"/>
              <w:jc w:val="both"/>
              <w:rPr>
                <w:rFonts w:cs="华文仿宋"/>
                <w:sz w:val="21"/>
                <w:szCs w:val="21"/>
              </w:rPr>
            </w:pPr>
            <w:r>
              <w:rPr>
                <w:rFonts w:hint="eastAsia" w:cs="华文仿宋"/>
                <w:sz w:val="21"/>
                <w:szCs w:val="21"/>
              </w:rPr>
              <w:t>2、可实施性：切合本项目实际情况，实施步骤清晰、合理；</w:t>
            </w:r>
          </w:p>
          <w:p>
            <w:pPr>
              <w:spacing w:line="320" w:lineRule="exact"/>
              <w:ind w:firstLine="420" w:firstLineChars="200"/>
              <w:jc w:val="both"/>
              <w:rPr>
                <w:rFonts w:cs="华文仿宋"/>
                <w:sz w:val="21"/>
                <w:szCs w:val="21"/>
              </w:rPr>
            </w:pPr>
            <w:r>
              <w:rPr>
                <w:rFonts w:hint="eastAsia" w:cs="华文仿宋"/>
                <w:sz w:val="21"/>
                <w:szCs w:val="21"/>
              </w:rPr>
              <w:t>3、针对性：方案能够紧扣项目实际情况，内容科学合理。</w:t>
            </w:r>
          </w:p>
          <w:p>
            <w:pPr>
              <w:tabs>
                <w:tab w:val="left" w:pos="547"/>
              </w:tabs>
              <w:spacing w:line="320" w:lineRule="exact"/>
              <w:ind w:firstLine="420" w:firstLineChars="200"/>
              <w:jc w:val="both"/>
              <w:rPr>
                <w:rFonts w:ascii="Calibri" w:hAnsi="宋体" w:eastAsia="宋体" w:cs="仿宋"/>
                <w:b/>
                <w:sz w:val="21"/>
                <w:szCs w:val="20"/>
              </w:rPr>
            </w:pPr>
            <w:r>
              <w:rPr>
                <w:rFonts w:hint="eastAsia" w:ascii="Calibri" w:hAnsi="宋体" w:eastAsia="宋体" w:cs="仿宋"/>
                <w:b/>
                <w:sz w:val="21"/>
                <w:szCs w:val="20"/>
              </w:rPr>
              <w:t>3、赋分标准：（满分</w:t>
            </w:r>
            <w:r>
              <w:rPr>
                <w:rFonts w:ascii="Calibri" w:hAnsi="宋体" w:eastAsia="宋体" w:cs="仿宋"/>
                <w:b/>
                <w:sz w:val="21"/>
                <w:szCs w:val="20"/>
              </w:rPr>
              <w:t>9</w:t>
            </w:r>
            <w:r>
              <w:rPr>
                <w:rFonts w:hint="eastAsia" w:ascii="Calibri" w:hAnsi="宋体" w:eastAsia="宋体" w:cs="仿宋"/>
                <w:b/>
                <w:sz w:val="21"/>
                <w:szCs w:val="20"/>
              </w:rPr>
              <w:t>分）</w:t>
            </w:r>
          </w:p>
          <w:p>
            <w:pPr>
              <w:spacing w:line="320" w:lineRule="exact"/>
              <w:ind w:firstLine="420" w:firstLineChars="200"/>
              <w:jc w:val="both"/>
              <w:rPr>
                <w:rFonts w:cs="华文仿宋"/>
                <w:sz w:val="21"/>
                <w:szCs w:val="21"/>
              </w:rPr>
            </w:pPr>
            <w:r>
              <w:rPr>
                <w:rFonts w:hint="eastAsia" w:cs="华文仿宋"/>
                <w:sz w:val="21"/>
                <w:szCs w:val="21"/>
              </w:rPr>
              <w:t>①岗位职责：每完全满足一项评审标准得</w:t>
            </w:r>
            <w:r>
              <w:rPr>
                <w:rFonts w:cs="华文仿宋"/>
                <w:sz w:val="21"/>
                <w:szCs w:val="21"/>
              </w:rPr>
              <w:t>1</w:t>
            </w:r>
            <w:r>
              <w:rPr>
                <w:rFonts w:hint="eastAsia" w:cs="华文仿宋"/>
                <w:sz w:val="21"/>
                <w:szCs w:val="21"/>
              </w:rPr>
              <w:t>分，满分</w:t>
            </w:r>
            <w:r>
              <w:rPr>
                <w:rFonts w:cs="华文仿宋"/>
                <w:sz w:val="21"/>
                <w:szCs w:val="21"/>
              </w:rPr>
              <w:t>3</w:t>
            </w:r>
            <w:r>
              <w:rPr>
                <w:rFonts w:hint="eastAsia" w:cs="华文仿宋"/>
                <w:sz w:val="21"/>
                <w:szCs w:val="21"/>
              </w:rPr>
              <w:t>分；</w:t>
            </w:r>
          </w:p>
          <w:p>
            <w:pPr>
              <w:spacing w:line="320" w:lineRule="exact"/>
              <w:ind w:firstLine="420" w:firstLineChars="200"/>
              <w:jc w:val="both"/>
              <w:rPr>
                <w:rFonts w:cs="华文仿宋"/>
                <w:sz w:val="21"/>
                <w:szCs w:val="21"/>
              </w:rPr>
            </w:pPr>
            <w:r>
              <w:rPr>
                <w:rFonts w:hint="eastAsia" w:cs="华文仿宋"/>
                <w:sz w:val="21"/>
                <w:szCs w:val="21"/>
              </w:rPr>
              <w:t>②内控制度：每完全满足一项评审标准得</w:t>
            </w:r>
            <w:r>
              <w:rPr>
                <w:rFonts w:cs="华文仿宋"/>
                <w:sz w:val="21"/>
                <w:szCs w:val="21"/>
              </w:rPr>
              <w:t>1</w:t>
            </w:r>
            <w:r>
              <w:rPr>
                <w:rFonts w:hint="eastAsia" w:cs="华文仿宋"/>
                <w:sz w:val="21"/>
                <w:szCs w:val="21"/>
              </w:rPr>
              <w:t>分，满分</w:t>
            </w:r>
            <w:r>
              <w:rPr>
                <w:rFonts w:cs="华文仿宋"/>
                <w:sz w:val="21"/>
                <w:szCs w:val="21"/>
              </w:rPr>
              <w:t>3</w:t>
            </w:r>
            <w:r>
              <w:rPr>
                <w:rFonts w:hint="eastAsia" w:cs="华文仿宋"/>
                <w:sz w:val="21"/>
                <w:szCs w:val="21"/>
              </w:rPr>
              <w:t>分；</w:t>
            </w:r>
          </w:p>
          <w:p>
            <w:pPr>
              <w:spacing w:line="320" w:lineRule="exact"/>
              <w:ind w:firstLine="420" w:firstLineChars="200"/>
              <w:jc w:val="both"/>
              <w:rPr>
                <w:rFonts w:cs="华文仿宋"/>
                <w:sz w:val="21"/>
                <w:szCs w:val="21"/>
              </w:rPr>
            </w:pPr>
            <w:r>
              <w:rPr>
                <w:rFonts w:hint="eastAsia" w:cs="华文仿宋"/>
                <w:sz w:val="21"/>
                <w:szCs w:val="21"/>
              </w:rPr>
              <w:t>③人员管理制度：每完全满足一项评审标准得</w:t>
            </w:r>
            <w:r>
              <w:rPr>
                <w:rFonts w:cs="华文仿宋"/>
                <w:sz w:val="21"/>
                <w:szCs w:val="21"/>
              </w:rPr>
              <w:t>1</w:t>
            </w:r>
            <w:r>
              <w:rPr>
                <w:rFonts w:hint="eastAsia" w:cs="华文仿宋"/>
                <w:sz w:val="21"/>
                <w:szCs w:val="21"/>
              </w:rPr>
              <w:t>分，满分3分；</w:t>
            </w:r>
          </w:p>
        </w:tc>
        <w:tc>
          <w:tcPr>
            <w:tcW w:w="888" w:type="dxa"/>
            <w:vMerge w:val="continue"/>
            <w:shd w:val="clear" w:color="auto" w:fill="auto"/>
            <w:vAlign w:val="center"/>
          </w:tcPr>
          <w:p>
            <w:pPr>
              <w:spacing w:line="320" w:lineRule="exact"/>
              <w:ind w:firstLine="420" w:firstLineChars="200"/>
              <w:rPr>
                <w:rFonts w:ascii="Calibri" w:hAnsi="宋体" w:eastAsia="宋体"/>
                <w:bCs/>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407" w:hRule="atLeast"/>
        </w:trPr>
        <w:tc>
          <w:tcPr>
            <w:tcW w:w="735" w:type="dxa"/>
            <w:vMerge w:val="continue"/>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p>
        </w:tc>
        <w:tc>
          <w:tcPr>
            <w:tcW w:w="630" w:type="dxa"/>
            <w:vMerge w:val="continue"/>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p>
        </w:tc>
        <w:tc>
          <w:tcPr>
            <w:tcW w:w="945" w:type="dxa"/>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r>
              <w:rPr>
                <w:rFonts w:ascii="Calibri" w:hAnsi="宋体" w:eastAsia="宋体"/>
                <w:bCs/>
                <w:color w:val="000000" w:themeColor="text1"/>
                <w:sz w:val="21"/>
                <w:szCs w:val="21"/>
                <w14:textFill>
                  <w14:solidFill>
                    <w14:schemeClr w14:val="tx1"/>
                  </w14:solidFill>
                </w14:textFill>
              </w:rPr>
              <w:t>2</w:t>
            </w:r>
          </w:p>
        </w:tc>
        <w:tc>
          <w:tcPr>
            <w:tcW w:w="5869" w:type="dxa"/>
            <w:shd w:val="clear" w:color="auto" w:fill="auto"/>
            <w:vAlign w:val="center"/>
          </w:tcPr>
          <w:p>
            <w:pPr>
              <w:spacing w:line="320" w:lineRule="exact"/>
              <w:ind w:firstLine="420" w:firstLineChars="200"/>
              <w:jc w:val="both"/>
              <w:rPr>
                <w:rFonts w:ascii="Calibri" w:hAnsi="宋体" w:eastAsia="宋体"/>
                <w:b/>
                <w:bCs/>
                <w:sz w:val="21"/>
                <w:szCs w:val="21"/>
              </w:rPr>
            </w:pPr>
            <w:r>
              <w:rPr>
                <w:rFonts w:hint="eastAsia" w:ascii="Calibri" w:hAnsi="宋体" w:eastAsia="宋体"/>
                <w:b/>
                <w:bCs/>
                <w:sz w:val="21"/>
                <w:szCs w:val="21"/>
              </w:rPr>
              <w:t>管理体系</w:t>
            </w:r>
            <w:r>
              <w:rPr>
                <w:rFonts w:ascii="Calibri" w:hAnsi="宋体" w:eastAsia="宋体"/>
                <w:b/>
                <w:bCs/>
                <w:sz w:val="21"/>
                <w:szCs w:val="21"/>
              </w:rPr>
              <w:t>认证证书：</w:t>
            </w:r>
          </w:p>
          <w:p>
            <w:pPr>
              <w:spacing w:line="320" w:lineRule="exact"/>
              <w:ind w:firstLine="422"/>
              <w:jc w:val="both"/>
              <w:rPr>
                <w:rFonts w:ascii="Calibri" w:hAnsi="宋体" w:eastAsia="宋体" w:cs="Calibri Light"/>
                <w:b/>
                <w:kern w:val="2"/>
                <w:sz w:val="21"/>
                <w:szCs w:val="21"/>
              </w:rPr>
            </w:pPr>
            <w:r>
              <w:rPr>
                <w:rFonts w:hint="eastAsia" w:ascii="华文仿宋" w:hAnsi="华文仿宋"/>
                <w:sz w:val="21"/>
                <w:szCs w:val="21"/>
              </w:rPr>
              <w:t>提供供应商有效的质量管理体系认证证书，环境管理体系认证证书，职业健康安全管理体系认证证书，信息</w:t>
            </w:r>
            <w:r>
              <w:rPr>
                <w:rFonts w:ascii="华文仿宋" w:hAnsi="华文仿宋"/>
                <w:sz w:val="21"/>
                <w:szCs w:val="21"/>
              </w:rPr>
              <w:t>安全管理体系认证证书，</w:t>
            </w:r>
            <w:r>
              <w:rPr>
                <w:rFonts w:hint="eastAsia" w:ascii="华文仿宋" w:hAnsi="华文仿宋"/>
                <w:sz w:val="21"/>
                <w:szCs w:val="21"/>
              </w:rPr>
              <w:t>每提供一个得</w:t>
            </w:r>
            <w:r>
              <w:rPr>
                <w:rFonts w:ascii="华文仿宋" w:hAnsi="华文仿宋"/>
                <w:sz w:val="21"/>
                <w:szCs w:val="21"/>
              </w:rPr>
              <w:t>0.5</w:t>
            </w:r>
            <w:r>
              <w:rPr>
                <w:rFonts w:hint="eastAsia" w:ascii="华文仿宋" w:hAnsi="华文仿宋"/>
                <w:sz w:val="21"/>
                <w:szCs w:val="21"/>
              </w:rPr>
              <w:t>分，满分</w:t>
            </w:r>
            <w:r>
              <w:rPr>
                <w:rFonts w:ascii="华文仿宋" w:hAnsi="华文仿宋"/>
                <w:sz w:val="21"/>
                <w:szCs w:val="21"/>
              </w:rPr>
              <w:t>2</w:t>
            </w:r>
            <w:r>
              <w:rPr>
                <w:rFonts w:hint="eastAsia" w:ascii="华文仿宋" w:hAnsi="华文仿宋"/>
                <w:sz w:val="21"/>
                <w:szCs w:val="21"/>
              </w:rPr>
              <w:t>分。提供证书扫描件。</w:t>
            </w:r>
          </w:p>
        </w:tc>
        <w:tc>
          <w:tcPr>
            <w:tcW w:w="888" w:type="dxa"/>
            <w:vMerge w:val="continue"/>
            <w:shd w:val="clear" w:color="auto" w:fill="auto"/>
            <w:vAlign w:val="center"/>
          </w:tcPr>
          <w:p>
            <w:pPr>
              <w:spacing w:line="320" w:lineRule="exact"/>
              <w:ind w:firstLine="420" w:firstLineChars="200"/>
              <w:rPr>
                <w:rFonts w:ascii="Calibri" w:hAnsi="宋体" w:eastAsia="宋体"/>
                <w:bCs/>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097" w:hRule="atLeast"/>
        </w:trPr>
        <w:tc>
          <w:tcPr>
            <w:tcW w:w="735" w:type="dxa"/>
            <w:vMerge w:val="continue"/>
            <w:shd w:val="clear" w:color="auto" w:fill="auto"/>
            <w:vAlign w:val="center"/>
          </w:tcPr>
          <w:p>
            <w:pPr>
              <w:spacing w:line="320" w:lineRule="exact"/>
              <w:rPr>
                <w:rFonts w:ascii="Calibri" w:hAnsi="宋体" w:eastAsia="宋体"/>
                <w:bCs/>
                <w:color w:val="000000" w:themeColor="text1"/>
                <w:sz w:val="21"/>
                <w:szCs w:val="21"/>
                <w14:textFill>
                  <w14:solidFill>
                    <w14:schemeClr w14:val="tx1"/>
                  </w14:solidFill>
                </w14:textFill>
              </w:rPr>
            </w:pPr>
          </w:p>
        </w:tc>
        <w:tc>
          <w:tcPr>
            <w:tcW w:w="630" w:type="dxa"/>
            <w:vMerge w:val="continue"/>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p>
        </w:tc>
        <w:tc>
          <w:tcPr>
            <w:tcW w:w="945" w:type="dxa"/>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r>
              <w:rPr>
                <w:rFonts w:cs="华文仿宋"/>
                <w:bCs/>
                <w:sz w:val="21"/>
                <w:szCs w:val="21"/>
              </w:rPr>
              <w:t>3</w:t>
            </w:r>
          </w:p>
        </w:tc>
        <w:tc>
          <w:tcPr>
            <w:tcW w:w="5869" w:type="dxa"/>
            <w:shd w:val="clear" w:color="auto" w:fill="auto"/>
            <w:vAlign w:val="center"/>
          </w:tcPr>
          <w:p>
            <w:pPr>
              <w:spacing w:line="320" w:lineRule="exact"/>
              <w:ind w:firstLine="420" w:firstLineChars="200"/>
              <w:jc w:val="both"/>
              <w:rPr>
                <w:rFonts w:cs="华文仿宋"/>
                <w:b/>
                <w:sz w:val="21"/>
                <w:szCs w:val="21"/>
              </w:rPr>
            </w:pPr>
            <w:r>
              <w:rPr>
                <w:rFonts w:hint="eastAsia" w:cs="华文仿宋"/>
                <w:b/>
                <w:sz w:val="21"/>
                <w:szCs w:val="21"/>
              </w:rPr>
              <w:t>物资装备及耗材配置：</w:t>
            </w:r>
          </w:p>
          <w:p>
            <w:pPr>
              <w:spacing w:line="320" w:lineRule="exact"/>
              <w:ind w:firstLine="420" w:firstLineChars="200"/>
              <w:jc w:val="both"/>
              <w:rPr>
                <w:rFonts w:cs="华文仿宋"/>
                <w:b/>
                <w:sz w:val="21"/>
                <w:szCs w:val="21"/>
              </w:rPr>
            </w:pPr>
            <w:r>
              <w:rPr>
                <w:rFonts w:hint="eastAsia" w:cs="华文仿宋"/>
                <w:b/>
                <w:sz w:val="21"/>
                <w:szCs w:val="21"/>
              </w:rPr>
              <w:t>1、评审内容</w:t>
            </w:r>
            <w:r>
              <w:rPr>
                <w:rFonts w:cs="华文仿宋"/>
                <w:b/>
                <w:sz w:val="21"/>
                <w:szCs w:val="21"/>
              </w:rPr>
              <w:t>：</w:t>
            </w:r>
          </w:p>
          <w:p>
            <w:pPr>
              <w:spacing w:line="320" w:lineRule="exact"/>
              <w:ind w:firstLine="420" w:firstLineChars="200"/>
              <w:jc w:val="both"/>
              <w:rPr>
                <w:rFonts w:cs="华文仿宋"/>
                <w:sz w:val="21"/>
                <w:szCs w:val="21"/>
              </w:rPr>
            </w:pPr>
            <w:r>
              <w:rPr>
                <w:rFonts w:hint="eastAsia" w:cs="华文仿宋"/>
                <w:sz w:val="21"/>
                <w:szCs w:val="21"/>
              </w:rPr>
              <w:t>①服务商拟投入的工程用具</w:t>
            </w:r>
            <w:r>
              <w:rPr>
                <w:rFonts w:cs="华文仿宋"/>
                <w:sz w:val="21"/>
                <w:szCs w:val="21"/>
              </w:rPr>
              <w:t>及设备</w:t>
            </w:r>
            <w:r>
              <w:rPr>
                <w:rFonts w:hint="eastAsia" w:cs="华文仿宋"/>
                <w:sz w:val="21"/>
                <w:szCs w:val="21"/>
              </w:rPr>
              <w:t>，</w:t>
            </w:r>
            <w:r>
              <w:rPr>
                <w:rFonts w:cs="华文仿宋"/>
                <w:sz w:val="21"/>
                <w:szCs w:val="21"/>
              </w:rPr>
              <w:t>保洁</w:t>
            </w:r>
            <w:r>
              <w:rPr>
                <w:rFonts w:hint="eastAsia" w:cs="华文仿宋"/>
                <w:sz w:val="21"/>
                <w:szCs w:val="21"/>
              </w:rPr>
              <w:t>设施设备、工具、消耗材料，安保用品等；</w:t>
            </w:r>
          </w:p>
          <w:p>
            <w:pPr>
              <w:spacing w:line="320" w:lineRule="exact"/>
              <w:ind w:firstLine="420" w:firstLineChars="200"/>
              <w:jc w:val="both"/>
              <w:rPr>
                <w:rFonts w:cs="华文仿宋"/>
                <w:sz w:val="21"/>
                <w:szCs w:val="21"/>
              </w:rPr>
            </w:pPr>
            <w:r>
              <w:rPr>
                <w:rFonts w:hint="eastAsia" w:cs="华文仿宋"/>
                <w:sz w:val="21"/>
                <w:szCs w:val="21"/>
              </w:rPr>
              <w:t>②服务商拟投入</w:t>
            </w:r>
            <w:r>
              <w:rPr>
                <w:rFonts w:cs="华文仿宋"/>
                <w:sz w:val="21"/>
                <w:szCs w:val="21"/>
              </w:rPr>
              <w:t>的</w:t>
            </w:r>
            <w:r>
              <w:rPr>
                <w:rFonts w:hint="eastAsia" w:cs="华文仿宋"/>
                <w:sz w:val="21"/>
                <w:szCs w:val="21"/>
              </w:rPr>
              <w:t>劳保用品、物业服务</w:t>
            </w:r>
            <w:r>
              <w:rPr>
                <w:rFonts w:cs="华文仿宋"/>
                <w:sz w:val="21"/>
                <w:szCs w:val="21"/>
              </w:rPr>
              <w:t>人员</w:t>
            </w:r>
            <w:r>
              <w:rPr>
                <w:rFonts w:hint="eastAsia" w:cs="华文仿宋"/>
                <w:sz w:val="21"/>
                <w:szCs w:val="21"/>
              </w:rPr>
              <w:t>服装、用具、办公设备。</w:t>
            </w:r>
          </w:p>
          <w:p>
            <w:pPr>
              <w:spacing w:line="320" w:lineRule="exact"/>
              <w:ind w:firstLine="420" w:firstLineChars="200"/>
              <w:jc w:val="both"/>
              <w:rPr>
                <w:rFonts w:cs="华文仿宋"/>
                <w:b/>
                <w:sz w:val="21"/>
                <w:szCs w:val="21"/>
              </w:rPr>
            </w:pPr>
            <w:r>
              <w:rPr>
                <w:rFonts w:hint="eastAsia" w:cs="华文仿宋"/>
                <w:b/>
                <w:sz w:val="21"/>
                <w:szCs w:val="21"/>
              </w:rPr>
              <w:t>2、评审标准</w:t>
            </w:r>
            <w:r>
              <w:rPr>
                <w:rFonts w:cs="华文仿宋"/>
                <w:b/>
                <w:sz w:val="21"/>
                <w:szCs w:val="21"/>
              </w:rPr>
              <w:t>：</w:t>
            </w:r>
          </w:p>
          <w:p>
            <w:pPr>
              <w:spacing w:line="320" w:lineRule="exact"/>
              <w:ind w:firstLine="420" w:firstLineChars="200"/>
              <w:jc w:val="both"/>
              <w:rPr>
                <w:rFonts w:cs="华文仿宋"/>
                <w:sz w:val="21"/>
                <w:szCs w:val="21"/>
              </w:rPr>
            </w:pPr>
            <w:r>
              <w:rPr>
                <w:rFonts w:hint="eastAsia" w:cs="华文仿宋"/>
                <w:sz w:val="21"/>
                <w:szCs w:val="21"/>
              </w:rPr>
              <w:t>（1）服务商拟投入的工程用具</w:t>
            </w:r>
            <w:r>
              <w:rPr>
                <w:rFonts w:cs="华文仿宋"/>
                <w:sz w:val="21"/>
                <w:szCs w:val="21"/>
              </w:rPr>
              <w:t>及设备</w:t>
            </w:r>
            <w:r>
              <w:rPr>
                <w:rFonts w:hint="eastAsia" w:cs="华文仿宋"/>
                <w:sz w:val="21"/>
                <w:szCs w:val="21"/>
              </w:rPr>
              <w:t>，</w:t>
            </w:r>
            <w:r>
              <w:rPr>
                <w:rFonts w:cs="华文仿宋"/>
                <w:sz w:val="21"/>
                <w:szCs w:val="21"/>
              </w:rPr>
              <w:t>保洁</w:t>
            </w:r>
            <w:r>
              <w:rPr>
                <w:rFonts w:hint="eastAsia" w:cs="华文仿宋"/>
                <w:sz w:val="21"/>
                <w:szCs w:val="21"/>
              </w:rPr>
              <w:t>设施设备、工具、消耗材料，安保用品等：</w:t>
            </w:r>
          </w:p>
          <w:p>
            <w:pPr>
              <w:spacing w:line="320" w:lineRule="exact"/>
              <w:ind w:firstLine="420" w:firstLineChars="200"/>
              <w:jc w:val="both"/>
              <w:rPr>
                <w:rFonts w:cs="华文仿宋"/>
                <w:sz w:val="21"/>
                <w:szCs w:val="21"/>
              </w:rPr>
            </w:pPr>
            <w:r>
              <w:rPr>
                <w:rFonts w:hint="eastAsia" w:cs="华文仿宋"/>
                <w:sz w:val="21"/>
                <w:szCs w:val="21"/>
              </w:rPr>
              <w:t>①完整性：工具配置清单齐全完整，能完全满足并提供评审内容中的各项要求；</w:t>
            </w:r>
          </w:p>
          <w:p>
            <w:pPr>
              <w:spacing w:line="320" w:lineRule="exact"/>
              <w:ind w:firstLine="420" w:firstLineChars="200"/>
              <w:jc w:val="both"/>
              <w:rPr>
                <w:rFonts w:cs="华文仿宋"/>
                <w:sz w:val="21"/>
                <w:szCs w:val="21"/>
              </w:rPr>
            </w:pPr>
            <w:r>
              <w:rPr>
                <w:rFonts w:hint="eastAsia" w:cs="华文仿宋"/>
                <w:sz w:val="21"/>
                <w:szCs w:val="21"/>
              </w:rPr>
              <w:t>②实用性：设备工具质量有保障、使用率高、安全性能强；</w:t>
            </w:r>
          </w:p>
          <w:p>
            <w:pPr>
              <w:spacing w:line="320" w:lineRule="exact"/>
              <w:ind w:firstLine="420" w:firstLineChars="200"/>
              <w:jc w:val="both"/>
              <w:rPr>
                <w:rFonts w:cs="华文仿宋"/>
                <w:sz w:val="21"/>
                <w:szCs w:val="21"/>
              </w:rPr>
            </w:pPr>
            <w:r>
              <w:rPr>
                <w:rFonts w:hint="eastAsia" w:cs="华文仿宋"/>
                <w:sz w:val="21"/>
                <w:szCs w:val="21"/>
              </w:rPr>
              <w:t>③针对性：设备工具能紧扣项目实际情况，配置合理科学。</w:t>
            </w:r>
          </w:p>
          <w:p>
            <w:pPr>
              <w:spacing w:line="320" w:lineRule="exact"/>
              <w:ind w:firstLine="420" w:firstLineChars="200"/>
              <w:jc w:val="both"/>
              <w:rPr>
                <w:rFonts w:cs="华文仿宋"/>
                <w:sz w:val="21"/>
                <w:szCs w:val="21"/>
              </w:rPr>
            </w:pPr>
            <w:r>
              <w:rPr>
                <w:rFonts w:hint="eastAsia" w:cs="华文仿宋"/>
                <w:sz w:val="21"/>
                <w:szCs w:val="21"/>
              </w:rPr>
              <w:t>④先进性</w:t>
            </w:r>
            <w:r>
              <w:rPr>
                <w:rFonts w:cs="华文仿宋"/>
                <w:sz w:val="21"/>
                <w:szCs w:val="21"/>
              </w:rPr>
              <w:t>：</w:t>
            </w:r>
            <w:r>
              <w:rPr>
                <w:rFonts w:hint="eastAsia" w:cs="华文仿宋"/>
                <w:sz w:val="21"/>
                <w:szCs w:val="21"/>
              </w:rPr>
              <w:t>设施设备先进</w:t>
            </w:r>
            <w:r>
              <w:rPr>
                <w:rFonts w:cs="华文仿宋"/>
                <w:sz w:val="21"/>
                <w:szCs w:val="21"/>
              </w:rPr>
              <w:t>，能满足本项目各项要求</w:t>
            </w:r>
            <w:r>
              <w:rPr>
                <w:rFonts w:hint="eastAsia" w:cs="华文仿宋"/>
                <w:sz w:val="21"/>
                <w:szCs w:val="21"/>
              </w:rPr>
              <w:t>。</w:t>
            </w:r>
          </w:p>
          <w:p>
            <w:pPr>
              <w:spacing w:line="320" w:lineRule="exact"/>
              <w:ind w:firstLine="420" w:firstLineChars="200"/>
              <w:jc w:val="both"/>
              <w:rPr>
                <w:rFonts w:cs="华文仿宋"/>
                <w:sz w:val="21"/>
                <w:szCs w:val="21"/>
              </w:rPr>
            </w:pPr>
            <w:r>
              <w:rPr>
                <w:rFonts w:hint="eastAsia" w:cs="华文仿宋"/>
                <w:sz w:val="21"/>
                <w:szCs w:val="21"/>
              </w:rPr>
              <w:t>（2）服务商拟投入</w:t>
            </w:r>
            <w:r>
              <w:rPr>
                <w:rFonts w:cs="华文仿宋"/>
                <w:sz w:val="21"/>
                <w:szCs w:val="21"/>
              </w:rPr>
              <w:t>的</w:t>
            </w:r>
            <w:r>
              <w:rPr>
                <w:rFonts w:hint="eastAsia" w:cs="华文仿宋"/>
                <w:sz w:val="21"/>
                <w:szCs w:val="21"/>
              </w:rPr>
              <w:t>劳保用品、物业服务</w:t>
            </w:r>
            <w:r>
              <w:rPr>
                <w:rFonts w:cs="华文仿宋"/>
                <w:sz w:val="21"/>
                <w:szCs w:val="21"/>
              </w:rPr>
              <w:t>人员</w:t>
            </w:r>
            <w:r>
              <w:rPr>
                <w:rFonts w:hint="eastAsia" w:cs="华文仿宋"/>
                <w:sz w:val="21"/>
                <w:szCs w:val="21"/>
              </w:rPr>
              <w:t>服装、用具、办公设备：</w:t>
            </w:r>
          </w:p>
          <w:p>
            <w:pPr>
              <w:spacing w:line="320" w:lineRule="exact"/>
              <w:ind w:firstLine="420" w:firstLineChars="200"/>
              <w:jc w:val="both"/>
              <w:rPr>
                <w:rFonts w:cs="华文仿宋"/>
                <w:sz w:val="21"/>
                <w:szCs w:val="21"/>
              </w:rPr>
            </w:pPr>
            <w:r>
              <w:rPr>
                <w:rFonts w:hint="eastAsia" w:cs="华文仿宋"/>
                <w:sz w:val="21"/>
                <w:szCs w:val="21"/>
              </w:rPr>
              <w:t>①完整性：配置清单齐全完整，能完全满足并提供评审内容中的各项要求；</w:t>
            </w:r>
          </w:p>
          <w:p>
            <w:pPr>
              <w:spacing w:line="320" w:lineRule="exact"/>
              <w:ind w:firstLine="420" w:firstLineChars="200"/>
              <w:jc w:val="both"/>
              <w:rPr>
                <w:rFonts w:cs="华文仿宋"/>
                <w:sz w:val="21"/>
                <w:szCs w:val="21"/>
              </w:rPr>
            </w:pPr>
            <w:r>
              <w:rPr>
                <w:rFonts w:hint="eastAsia" w:cs="华文仿宋"/>
                <w:sz w:val="21"/>
                <w:szCs w:val="21"/>
              </w:rPr>
              <w:t>②针对性：紧扣项目实际情况，配置合理科学，</w:t>
            </w:r>
            <w:r>
              <w:rPr>
                <w:rFonts w:cs="华文仿宋"/>
                <w:sz w:val="21"/>
                <w:szCs w:val="21"/>
              </w:rPr>
              <w:t>保洁人员服装统一</w:t>
            </w:r>
            <w:r>
              <w:rPr>
                <w:rFonts w:hint="eastAsia" w:cs="华文仿宋"/>
                <w:sz w:val="21"/>
                <w:szCs w:val="21"/>
              </w:rPr>
              <w:t>。</w:t>
            </w:r>
          </w:p>
          <w:p>
            <w:pPr>
              <w:spacing w:line="320" w:lineRule="exact"/>
              <w:ind w:firstLine="420" w:firstLineChars="200"/>
              <w:jc w:val="both"/>
              <w:rPr>
                <w:rFonts w:cs="华文仿宋"/>
                <w:b/>
                <w:sz w:val="21"/>
                <w:szCs w:val="21"/>
              </w:rPr>
            </w:pPr>
            <w:r>
              <w:rPr>
                <w:rFonts w:hint="eastAsia" w:cs="华文仿宋"/>
                <w:b/>
                <w:sz w:val="21"/>
                <w:szCs w:val="21"/>
              </w:rPr>
              <w:t>3、</w:t>
            </w:r>
            <w:r>
              <w:rPr>
                <w:rFonts w:cs="华文仿宋"/>
                <w:b/>
                <w:sz w:val="21"/>
                <w:szCs w:val="21"/>
              </w:rPr>
              <w:t>赋分标准：</w:t>
            </w:r>
            <w:r>
              <w:rPr>
                <w:rFonts w:hint="eastAsia" w:cs="华文仿宋"/>
                <w:b/>
                <w:sz w:val="21"/>
                <w:szCs w:val="21"/>
              </w:rPr>
              <w:t>（满分3分</w:t>
            </w:r>
            <w:r>
              <w:rPr>
                <w:rFonts w:cs="华文仿宋"/>
                <w:b/>
                <w:sz w:val="21"/>
                <w:szCs w:val="21"/>
              </w:rPr>
              <w:t>）</w:t>
            </w:r>
          </w:p>
          <w:p>
            <w:pPr>
              <w:spacing w:line="320" w:lineRule="exact"/>
              <w:ind w:firstLine="420" w:firstLineChars="200"/>
              <w:jc w:val="both"/>
              <w:rPr>
                <w:rFonts w:cs="华文仿宋"/>
                <w:sz w:val="21"/>
                <w:szCs w:val="21"/>
              </w:rPr>
            </w:pPr>
            <w:r>
              <w:rPr>
                <w:rFonts w:hint="eastAsia" w:cs="华文仿宋"/>
                <w:sz w:val="21"/>
                <w:szCs w:val="21"/>
              </w:rPr>
              <w:t>①服务商拟投入的工程用具及设备，保洁设施设备、工具、消耗材料，安保用品等：</w:t>
            </w:r>
            <w:r>
              <w:rPr>
                <w:rFonts w:cs="华文仿宋"/>
                <w:sz w:val="21"/>
                <w:szCs w:val="21"/>
              </w:rPr>
              <w:t>每满足一项评审标准</w:t>
            </w:r>
            <w:r>
              <w:rPr>
                <w:rFonts w:hint="eastAsia" w:cs="华文仿宋"/>
                <w:sz w:val="21"/>
                <w:szCs w:val="21"/>
              </w:rPr>
              <w:t>得</w:t>
            </w:r>
            <w:r>
              <w:rPr>
                <w:rFonts w:cs="华文仿宋"/>
                <w:sz w:val="21"/>
                <w:szCs w:val="21"/>
              </w:rPr>
              <w:t>0.5</w:t>
            </w:r>
            <w:r>
              <w:rPr>
                <w:rFonts w:hint="eastAsia" w:cs="华文仿宋"/>
                <w:sz w:val="21"/>
                <w:szCs w:val="21"/>
              </w:rPr>
              <w:t>分</w:t>
            </w:r>
            <w:r>
              <w:rPr>
                <w:rFonts w:cs="华文仿宋"/>
                <w:sz w:val="21"/>
                <w:szCs w:val="21"/>
              </w:rPr>
              <w:t>，满分2</w:t>
            </w:r>
            <w:r>
              <w:rPr>
                <w:rFonts w:hint="eastAsia" w:cs="华文仿宋"/>
                <w:sz w:val="21"/>
                <w:szCs w:val="21"/>
              </w:rPr>
              <w:t>分</w:t>
            </w:r>
          </w:p>
          <w:p>
            <w:pPr>
              <w:spacing w:line="320" w:lineRule="exact"/>
              <w:ind w:firstLine="420" w:firstLineChars="200"/>
              <w:jc w:val="both"/>
              <w:rPr>
                <w:rFonts w:cs="华文仿宋"/>
                <w:sz w:val="21"/>
                <w:szCs w:val="21"/>
              </w:rPr>
            </w:pPr>
            <w:r>
              <w:rPr>
                <w:rFonts w:hint="eastAsia" w:cs="华文仿宋"/>
                <w:sz w:val="21"/>
                <w:szCs w:val="21"/>
              </w:rPr>
              <w:t>②服务商拟投入</w:t>
            </w:r>
            <w:r>
              <w:rPr>
                <w:rFonts w:cs="华文仿宋"/>
                <w:sz w:val="21"/>
                <w:szCs w:val="21"/>
              </w:rPr>
              <w:t>的</w:t>
            </w:r>
            <w:r>
              <w:rPr>
                <w:rFonts w:hint="eastAsia" w:cs="华文仿宋"/>
                <w:sz w:val="21"/>
                <w:szCs w:val="21"/>
              </w:rPr>
              <w:t>劳保用品、物业服务</w:t>
            </w:r>
            <w:r>
              <w:rPr>
                <w:rFonts w:cs="华文仿宋"/>
                <w:sz w:val="21"/>
                <w:szCs w:val="21"/>
              </w:rPr>
              <w:t>人员</w:t>
            </w:r>
            <w:r>
              <w:rPr>
                <w:rFonts w:hint="eastAsia" w:cs="华文仿宋"/>
                <w:sz w:val="21"/>
                <w:szCs w:val="21"/>
              </w:rPr>
              <w:t>服装、用具、办公设备：</w:t>
            </w:r>
            <w:r>
              <w:rPr>
                <w:rFonts w:cs="华文仿宋"/>
                <w:sz w:val="21"/>
                <w:szCs w:val="21"/>
              </w:rPr>
              <w:t>每满足一项评审标准</w:t>
            </w:r>
            <w:r>
              <w:rPr>
                <w:rFonts w:hint="eastAsia" w:cs="华文仿宋"/>
                <w:sz w:val="21"/>
                <w:szCs w:val="21"/>
              </w:rPr>
              <w:t>得</w:t>
            </w:r>
            <w:r>
              <w:rPr>
                <w:rFonts w:cs="华文仿宋"/>
                <w:sz w:val="21"/>
                <w:szCs w:val="21"/>
              </w:rPr>
              <w:t>0.5</w:t>
            </w:r>
            <w:r>
              <w:rPr>
                <w:rFonts w:hint="eastAsia" w:cs="华文仿宋"/>
                <w:sz w:val="21"/>
                <w:szCs w:val="21"/>
              </w:rPr>
              <w:t>分</w:t>
            </w:r>
            <w:r>
              <w:rPr>
                <w:rFonts w:cs="华文仿宋"/>
                <w:sz w:val="21"/>
                <w:szCs w:val="21"/>
              </w:rPr>
              <w:t>，满分1</w:t>
            </w:r>
            <w:r>
              <w:rPr>
                <w:rFonts w:hint="eastAsia" w:cs="华文仿宋"/>
                <w:sz w:val="21"/>
                <w:szCs w:val="21"/>
              </w:rPr>
              <w:t>分。</w:t>
            </w:r>
          </w:p>
          <w:p>
            <w:pPr>
              <w:spacing w:line="320" w:lineRule="exact"/>
              <w:ind w:firstLine="420" w:firstLineChars="200"/>
              <w:jc w:val="both"/>
              <w:rPr>
                <w:rFonts w:ascii="宋体" w:hAnsi="宋体" w:eastAsia="宋体" w:cs="Calibri Light"/>
                <w:bCs/>
                <w:sz w:val="21"/>
                <w:szCs w:val="21"/>
              </w:rPr>
            </w:pPr>
            <w:r>
              <w:rPr>
                <w:rFonts w:hint="eastAsia" w:cs="华文仿宋"/>
                <w:sz w:val="21"/>
                <w:szCs w:val="21"/>
              </w:rPr>
              <w:t>注：供应商须提供设备</w:t>
            </w:r>
            <w:r>
              <w:rPr>
                <w:rFonts w:cs="华文仿宋"/>
                <w:sz w:val="21"/>
                <w:szCs w:val="21"/>
              </w:rPr>
              <w:t>及</w:t>
            </w:r>
            <w:r>
              <w:rPr>
                <w:rFonts w:hint="eastAsia" w:cs="华文仿宋"/>
                <w:sz w:val="21"/>
                <w:szCs w:val="21"/>
              </w:rPr>
              <w:t>用具清单，至少包含名称、型号、用途、生产厂家、已服役年限，属于自购的附发票复印件，属于租借的附相关证明材料。</w:t>
            </w:r>
          </w:p>
        </w:tc>
        <w:tc>
          <w:tcPr>
            <w:tcW w:w="888" w:type="dxa"/>
            <w:vMerge w:val="continue"/>
            <w:shd w:val="clear" w:color="auto" w:fill="auto"/>
            <w:vAlign w:val="center"/>
          </w:tcPr>
          <w:p>
            <w:pPr>
              <w:spacing w:line="320" w:lineRule="exact"/>
              <w:ind w:firstLine="420" w:firstLineChars="200"/>
              <w:rPr>
                <w:rFonts w:ascii="Calibri" w:hAnsi="宋体" w:eastAsia="宋体"/>
                <w:bCs/>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097" w:hRule="atLeast"/>
        </w:trPr>
        <w:tc>
          <w:tcPr>
            <w:tcW w:w="735" w:type="dxa"/>
            <w:vMerge w:val="continue"/>
            <w:shd w:val="clear" w:color="auto" w:fill="auto"/>
            <w:vAlign w:val="center"/>
          </w:tcPr>
          <w:p>
            <w:pPr>
              <w:spacing w:line="320" w:lineRule="exact"/>
              <w:rPr>
                <w:rFonts w:ascii="Calibri" w:hAnsi="宋体" w:eastAsia="宋体"/>
                <w:bCs/>
                <w:color w:val="000000" w:themeColor="text1"/>
                <w:sz w:val="21"/>
                <w:szCs w:val="21"/>
                <w14:textFill>
                  <w14:solidFill>
                    <w14:schemeClr w14:val="tx1"/>
                  </w14:solidFill>
                </w14:textFill>
              </w:rPr>
            </w:pPr>
          </w:p>
        </w:tc>
        <w:tc>
          <w:tcPr>
            <w:tcW w:w="630" w:type="dxa"/>
            <w:vMerge w:val="continue"/>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p>
        </w:tc>
        <w:tc>
          <w:tcPr>
            <w:tcW w:w="945" w:type="dxa"/>
            <w:shd w:val="clear" w:color="auto" w:fill="auto"/>
            <w:vAlign w:val="center"/>
          </w:tcPr>
          <w:p>
            <w:pPr>
              <w:spacing w:line="320" w:lineRule="exact"/>
              <w:jc w:val="center"/>
              <w:rPr>
                <w:rFonts w:cs="华文仿宋"/>
                <w:bCs/>
                <w:sz w:val="21"/>
                <w:szCs w:val="21"/>
              </w:rPr>
            </w:pPr>
            <w:r>
              <w:rPr>
                <w:rFonts w:hint="eastAsia" w:cs="华文仿宋"/>
                <w:bCs/>
                <w:sz w:val="21"/>
                <w:szCs w:val="21"/>
              </w:rPr>
              <w:t>6</w:t>
            </w:r>
          </w:p>
        </w:tc>
        <w:tc>
          <w:tcPr>
            <w:tcW w:w="5869" w:type="dxa"/>
            <w:shd w:val="clear" w:color="auto" w:fill="auto"/>
            <w:vAlign w:val="center"/>
          </w:tcPr>
          <w:p>
            <w:pPr>
              <w:spacing w:line="320" w:lineRule="exact"/>
              <w:ind w:firstLine="420" w:firstLineChars="200"/>
              <w:jc w:val="both"/>
              <w:rPr>
                <w:rFonts w:cs="华文仿宋"/>
                <w:b/>
                <w:sz w:val="21"/>
                <w:szCs w:val="21"/>
              </w:rPr>
            </w:pPr>
            <w:r>
              <w:rPr>
                <w:rFonts w:hint="eastAsia" w:cs="华文仿宋"/>
                <w:b/>
                <w:sz w:val="21"/>
                <w:szCs w:val="21"/>
              </w:rPr>
              <w:t>培训考核方案：</w:t>
            </w:r>
          </w:p>
          <w:p>
            <w:pPr>
              <w:spacing w:line="320" w:lineRule="exact"/>
              <w:ind w:firstLine="420" w:firstLineChars="200"/>
              <w:jc w:val="both"/>
              <w:rPr>
                <w:rFonts w:cs="华文仿宋"/>
                <w:b/>
                <w:sz w:val="21"/>
                <w:szCs w:val="21"/>
              </w:rPr>
            </w:pPr>
            <w:r>
              <w:rPr>
                <w:rFonts w:hint="eastAsia" w:cs="华文仿宋"/>
                <w:b/>
                <w:sz w:val="21"/>
                <w:szCs w:val="21"/>
              </w:rPr>
              <w:t>1、评审内容：</w:t>
            </w:r>
          </w:p>
          <w:p>
            <w:pPr>
              <w:spacing w:line="320" w:lineRule="exact"/>
              <w:ind w:firstLine="420" w:firstLineChars="200"/>
              <w:jc w:val="both"/>
              <w:rPr>
                <w:rFonts w:cs="华文仿宋"/>
                <w:sz w:val="21"/>
                <w:szCs w:val="21"/>
              </w:rPr>
            </w:pPr>
            <w:r>
              <w:rPr>
                <w:rFonts w:hint="eastAsia" w:cs="华文仿宋"/>
                <w:sz w:val="21"/>
                <w:szCs w:val="21"/>
              </w:rPr>
              <w:t>根据本项目制定详细、可行的培训考核方案，保证上岗人员的专业素质、服务质量符合采购人要求，方案内容包括：</w:t>
            </w:r>
          </w:p>
          <w:p>
            <w:pPr>
              <w:spacing w:line="320" w:lineRule="exact"/>
              <w:ind w:firstLine="420" w:firstLineChars="200"/>
              <w:jc w:val="both"/>
              <w:rPr>
                <w:rFonts w:cs="华文仿宋"/>
                <w:sz w:val="21"/>
                <w:szCs w:val="21"/>
              </w:rPr>
            </w:pPr>
            <w:r>
              <w:rPr>
                <w:rFonts w:hint="eastAsia" w:cs="华文仿宋"/>
                <w:sz w:val="21"/>
                <w:szCs w:val="21"/>
              </w:rPr>
              <w:t>①培训师资</w:t>
            </w:r>
          </w:p>
          <w:p>
            <w:pPr>
              <w:spacing w:line="320" w:lineRule="exact"/>
              <w:ind w:firstLine="420" w:firstLineChars="200"/>
              <w:jc w:val="both"/>
              <w:rPr>
                <w:rFonts w:cs="华文仿宋"/>
                <w:sz w:val="21"/>
                <w:szCs w:val="21"/>
              </w:rPr>
            </w:pPr>
            <w:r>
              <w:rPr>
                <w:rFonts w:hint="eastAsia" w:cs="华文仿宋"/>
                <w:sz w:val="21"/>
                <w:szCs w:val="21"/>
              </w:rPr>
              <w:t>②针对一线员工的培训方案</w:t>
            </w:r>
          </w:p>
          <w:p>
            <w:pPr>
              <w:spacing w:line="320" w:lineRule="exact"/>
              <w:jc w:val="both"/>
              <w:rPr>
                <w:rFonts w:cs="华文仿宋"/>
                <w:sz w:val="21"/>
                <w:szCs w:val="21"/>
              </w:rPr>
            </w:pPr>
            <w:r>
              <w:rPr>
                <w:rFonts w:hint="eastAsia" w:cs="华文仿宋"/>
                <w:sz w:val="21"/>
                <w:szCs w:val="21"/>
              </w:rPr>
              <w:tab/>
            </w:r>
            <w:r>
              <w:rPr>
                <w:rFonts w:hint="eastAsia" w:cs="华文仿宋"/>
                <w:sz w:val="21"/>
                <w:szCs w:val="21"/>
              </w:rPr>
              <w:t>③针对管理岗的培训方案</w:t>
            </w:r>
          </w:p>
          <w:p>
            <w:pPr>
              <w:spacing w:line="320" w:lineRule="exact"/>
              <w:ind w:firstLine="420" w:firstLineChars="200"/>
              <w:jc w:val="both"/>
              <w:rPr>
                <w:rFonts w:cs="华文仿宋"/>
                <w:sz w:val="21"/>
                <w:szCs w:val="21"/>
              </w:rPr>
            </w:pPr>
            <w:r>
              <w:rPr>
                <w:rFonts w:hint="eastAsia" w:cs="华文仿宋"/>
                <w:sz w:val="21"/>
                <w:szCs w:val="21"/>
              </w:rPr>
              <w:t>④培训后的考核及奖惩措施</w:t>
            </w:r>
          </w:p>
          <w:p>
            <w:pPr>
              <w:spacing w:line="320" w:lineRule="exact"/>
              <w:ind w:firstLine="420" w:firstLineChars="200"/>
              <w:jc w:val="both"/>
              <w:rPr>
                <w:rFonts w:cs="华文仿宋"/>
                <w:b/>
                <w:sz w:val="21"/>
                <w:szCs w:val="21"/>
              </w:rPr>
            </w:pPr>
            <w:r>
              <w:rPr>
                <w:rFonts w:hint="eastAsia" w:cs="华文仿宋"/>
                <w:b/>
                <w:sz w:val="21"/>
                <w:szCs w:val="21"/>
              </w:rPr>
              <w:t>2、评审标准：</w:t>
            </w:r>
          </w:p>
          <w:p>
            <w:pPr>
              <w:spacing w:line="320" w:lineRule="exact"/>
              <w:ind w:firstLine="420" w:firstLineChars="200"/>
              <w:jc w:val="both"/>
              <w:rPr>
                <w:rFonts w:cs="华文仿宋"/>
                <w:sz w:val="21"/>
                <w:szCs w:val="21"/>
              </w:rPr>
            </w:pPr>
            <w:r>
              <w:rPr>
                <w:rFonts w:hint="eastAsia" w:cs="华文仿宋"/>
                <w:sz w:val="21"/>
                <w:szCs w:val="21"/>
              </w:rPr>
              <w:t>①完整性：方案全面，对招标文件中的各项要求有详细描述；</w:t>
            </w:r>
          </w:p>
          <w:p>
            <w:pPr>
              <w:spacing w:line="320" w:lineRule="exact"/>
              <w:ind w:firstLine="420" w:firstLineChars="200"/>
              <w:jc w:val="both"/>
              <w:rPr>
                <w:rFonts w:cs="华文仿宋"/>
                <w:sz w:val="21"/>
                <w:szCs w:val="21"/>
              </w:rPr>
            </w:pPr>
            <w:r>
              <w:rPr>
                <w:rFonts w:hint="eastAsia" w:cs="华文仿宋"/>
                <w:sz w:val="21"/>
                <w:szCs w:val="21"/>
              </w:rPr>
              <w:t>②可实施性：切合本项目实际情况，提出步骤清晰、合理的方案；</w:t>
            </w:r>
          </w:p>
          <w:p>
            <w:pPr>
              <w:spacing w:line="320" w:lineRule="exact"/>
              <w:ind w:firstLine="420" w:firstLineChars="200"/>
              <w:jc w:val="both"/>
              <w:rPr>
                <w:rFonts w:cs="华文仿宋"/>
                <w:sz w:val="21"/>
                <w:szCs w:val="21"/>
              </w:rPr>
            </w:pPr>
            <w:r>
              <w:rPr>
                <w:rFonts w:hint="eastAsia" w:cs="华文仿宋"/>
                <w:sz w:val="21"/>
                <w:szCs w:val="21"/>
              </w:rPr>
              <w:t>③针对性：方案能够紧扣本项目实际情况，内容科学合理。</w:t>
            </w:r>
          </w:p>
          <w:p>
            <w:pPr>
              <w:spacing w:line="320" w:lineRule="exact"/>
              <w:ind w:firstLine="420" w:firstLineChars="200"/>
              <w:jc w:val="both"/>
              <w:rPr>
                <w:rFonts w:cs="华文仿宋"/>
                <w:b/>
                <w:sz w:val="21"/>
                <w:szCs w:val="21"/>
              </w:rPr>
            </w:pPr>
            <w:r>
              <w:rPr>
                <w:rFonts w:hint="eastAsia" w:cs="华文仿宋"/>
                <w:b/>
                <w:sz w:val="21"/>
                <w:szCs w:val="21"/>
              </w:rPr>
              <w:t>3、赋分标准：</w:t>
            </w:r>
          </w:p>
          <w:p>
            <w:pPr>
              <w:spacing w:line="320" w:lineRule="exact"/>
              <w:ind w:firstLine="420" w:firstLineChars="200"/>
              <w:jc w:val="both"/>
              <w:rPr>
                <w:rFonts w:cs="华文仿宋"/>
                <w:sz w:val="21"/>
                <w:szCs w:val="21"/>
              </w:rPr>
            </w:pPr>
            <w:r>
              <w:rPr>
                <w:rFonts w:hint="eastAsia" w:cs="华文仿宋"/>
                <w:sz w:val="21"/>
                <w:szCs w:val="21"/>
              </w:rPr>
              <w:t>①培训师资：每完全满足一个评审标准得</w:t>
            </w:r>
            <w:r>
              <w:rPr>
                <w:rFonts w:cs="华文仿宋"/>
                <w:sz w:val="21"/>
                <w:szCs w:val="21"/>
              </w:rPr>
              <w:t>0.5</w:t>
            </w:r>
            <w:r>
              <w:rPr>
                <w:rFonts w:hint="eastAsia" w:cs="华文仿宋"/>
                <w:sz w:val="21"/>
                <w:szCs w:val="21"/>
              </w:rPr>
              <w:t>分，满分1.5分；</w:t>
            </w:r>
          </w:p>
          <w:p>
            <w:pPr>
              <w:spacing w:line="320" w:lineRule="exact"/>
              <w:ind w:firstLine="420" w:firstLineChars="200"/>
              <w:jc w:val="both"/>
              <w:rPr>
                <w:rFonts w:cs="华文仿宋"/>
                <w:sz w:val="21"/>
                <w:szCs w:val="21"/>
              </w:rPr>
            </w:pPr>
            <w:r>
              <w:rPr>
                <w:rFonts w:hint="eastAsia" w:cs="华文仿宋"/>
                <w:sz w:val="21"/>
                <w:szCs w:val="21"/>
              </w:rPr>
              <w:t>②针对一线员工的培训方案:每完全满足一个评审标准得</w:t>
            </w:r>
            <w:r>
              <w:rPr>
                <w:rFonts w:cs="华文仿宋"/>
                <w:sz w:val="21"/>
                <w:szCs w:val="21"/>
              </w:rPr>
              <w:t>0.5</w:t>
            </w:r>
            <w:r>
              <w:rPr>
                <w:rFonts w:hint="eastAsia" w:cs="华文仿宋"/>
                <w:sz w:val="21"/>
                <w:szCs w:val="21"/>
              </w:rPr>
              <w:t>分，满分1.5分；</w:t>
            </w:r>
          </w:p>
          <w:p>
            <w:pPr>
              <w:spacing w:line="320" w:lineRule="exact"/>
              <w:jc w:val="both"/>
              <w:rPr>
                <w:rFonts w:cs="华文仿宋"/>
                <w:sz w:val="21"/>
                <w:szCs w:val="21"/>
              </w:rPr>
            </w:pPr>
            <w:r>
              <w:rPr>
                <w:rFonts w:hint="eastAsia" w:cs="华文仿宋"/>
                <w:sz w:val="21"/>
                <w:szCs w:val="21"/>
              </w:rPr>
              <w:tab/>
            </w:r>
            <w:r>
              <w:rPr>
                <w:rFonts w:hint="eastAsia" w:cs="华文仿宋"/>
                <w:sz w:val="21"/>
                <w:szCs w:val="21"/>
              </w:rPr>
              <w:t>③针对管理岗的培训方案:每完全满足一个评审标准得</w:t>
            </w:r>
            <w:r>
              <w:rPr>
                <w:rFonts w:cs="华文仿宋"/>
                <w:sz w:val="21"/>
                <w:szCs w:val="21"/>
              </w:rPr>
              <w:t>0.5</w:t>
            </w:r>
            <w:r>
              <w:rPr>
                <w:rFonts w:hint="eastAsia" w:cs="华文仿宋"/>
                <w:sz w:val="21"/>
                <w:szCs w:val="21"/>
              </w:rPr>
              <w:t>分，满分1.5分；</w:t>
            </w:r>
          </w:p>
          <w:p>
            <w:pPr>
              <w:spacing w:line="320" w:lineRule="exact"/>
              <w:ind w:firstLine="420" w:firstLineChars="200"/>
              <w:jc w:val="both"/>
              <w:rPr>
                <w:rFonts w:cs="华文仿宋"/>
                <w:b/>
                <w:sz w:val="21"/>
                <w:szCs w:val="21"/>
              </w:rPr>
            </w:pPr>
            <w:r>
              <w:rPr>
                <w:rFonts w:hint="eastAsia" w:cs="华文仿宋"/>
                <w:sz w:val="21"/>
                <w:szCs w:val="21"/>
              </w:rPr>
              <w:t>④培训后的考核及奖惩措施:每完全满足一个评审标准得</w:t>
            </w:r>
            <w:r>
              <w:rPr>
                <w:rFonts w:cs="华文仿宋"/>
                <w:sz w:val="21"/>
                <w:szCs w:val="21"/>
              </w:rPr>
              <w:t>0.5</w:t>
            </w:r>
            <w:r>
              <w:rPr>
                <w:rFonts w:hint="eastAsia" w:cs="华文仿宋"/>
                <w:sz w:val="21"/>
                <w:szCs w:val="21"/>
              </w:rPr>
              <w:t>分，满分1.5分。</w:t>
            </w:r>
          </w:p>
        </w:tc>
        <w:tc>
          <w:tcPr>
            <w:tcW w:w="888" w:type="dxa"/>
            <w:vMerge w:val="continue"/>
            <w:shd w:val="clear" w:color="auto" w:fill="auto"/>
            <w:vAlign w:val="center"/>
          </w:tcPr>
          <w:p>
            <w:pPr>
              <w:spacing w:line="320" w:lineRule="exact"/>
              <w:ind w:firstLine="420" w:firstLineChars="200"/>
              <w:rPr>
                <w:rFonts w:ascii="Calibri" w:hAnsi="宋体" w:eastAsia="宋体"/>
                <w:bCs/>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288" w:hRule="atLeast"/>
        </w:trPr>
        <w:tc>
          <w:tcPr>
            <w:tcW w:w="735" w:type="dxa"/>
            <w:vMerge w:val="continue"/>
            <w:shd w:val="clear" w:color="auto" w:fill="auto"/>
            <w:vAlign w:val="center"/>
          </w:tcPr>
          <w:p>
            <w:pPr>
              <w:spacing w:line="320" w:lineRule="exact"/>
              <w:rPr>
                <w:rFonts w:ascii="Calibri" w:hAnsi="宋体" w:eastAsia="宋体"/>
                <w:bCs/>
                <w:color w:val="000000" w:themeColor="text1"/>
                <w:sz w:val="21"/>
                <w:szCs w:val="21"/>
                <w14:textFill>
                  <w14:solidFill>
                    <w14:schemeClr w14:val="tx1"/>
                  </w14:solidFill>
                </w14:textFill>
              </w:rPr>
            </w:pPr>
          </w:p>
        </w:tc>
        <w:tc>
          <w:tcPr>
            <w:tcW w:w="630" w:type="dxa"/>
            <w:vMerge w:val="continue"/>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p>
        </w:tc>
        <w:tc>
          <w:tcPr>
            <w:tcW w:w="945" w:type="dxa"/>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r>
              <w:rPr>
                <w:rFonts w:ascii="Calibri" w:hAnsi="宋体" w:eastAsia="宋体"/>
                <w:bCs/>
                <w:color w:val="000000" w:themeColor="text1"/>
                <w:sz w:val="21"/>
                <w:szCs w:val="21"/>
                <w14:textFill>
                  <w14:solidFill>
                    <w14:schemeClr w14:val="tx1"/>
                  </w14:solidFill>
                </w14:textFill>
              </w:rPr>
              <w:t>1</w:t>
            </w:r>
          </w:p>
        </w:tc>
        <w:tc>
          <w:tcPr>
            <w:tcW w:w="5869" w:type="dxa"/>
            <w:shd w:val="clear" w:color="auto" w:fill="auto"/>
            <w:vAlign w:val="center"/>
          </w:tcPr>
          <w:p>
            <w:pPr>
              <w:spacing w:line="320" w:lineRule="exact"/>
              <w:ind w:firstLine="420" w:firstLineChars="200"/>
              <w:jc w:val="both"/>
              <w:rPr>
                <w:rFonts w:ascii="宋体" w:hAnsi="宋体" w:eastAsia="宋体" w:cs="Calibri Light"/>
                <w:b/>
                <w:bCs/>
                <w:color w:val="000000"/>
                <w:sz w:val="21"/>
                <w:szCs w:val="21"/>
              </w:rPr>
            </w:pPr>
            <w:r>
              <w:rPr>
                <w:rFonts w:hint="eastAsia" w:ascii="宋体" w:hAnsi="宋体" w:eastAsia="宋体" w:cs="Calibri Light"/>
                <w:b/>
                <w:bCs/>
                <w:color w:val="000000"/>
                <w:sz w:val="21"/>
                <w:szCs w:val="21"/>
              </w:rPr>
              <w:t>特色化</w:t>
            </w:r>
            <w:r>
              <w:rPr>
                <w:rFonts w:ascii="宋体" w:hAnsi="宋体" w:eastAsia="宋体" w:cs="Calibri Light"/>
                <w:b/>
                <w:bCs/>
                <w:color w:val="000000"/>
                <w:sz w:val="21"/>
                <w:szCs w:val="21"/>
              </w:rPr>
              <w:t>服务方案</w:t>
            </w:r>
            <w:r>
              <w:rPr>
                <w:rFonts w:hint="eastAsia" w:ascii="宋体" w:hAnsi="宋体" w:eastAsia="宋体" w:cs="Calibri Light"/>
                <w:b/>
                <w:bCs/>
                <w:color w:val="000000"/>
                <w:sz w:val="21"/>
                <w:szCs w:val="21"/>
              </w:rPr>
              <w:t>：</w:t>
            </w:r>
          </w:p>
          <w:p>
            <w:pPr>
              <w:spacing w:line="320" w:lineRule="exact"/>
              <w:ind w:firstLine="420" w:firstLineChars="200"/>
              <w:jc w:val="both"/>
              <w:rPr>
                <w:rFonts w:ascii="Calibri" w:hAnsi="宋体" w:eastAsia="宋体"/>
                <w:bCs/>
                <w:sz w:val="21"/>
                <w:szCs w:val="21"/>
              </w:rPr>
            </w:pPr>
            <w:r>
              <w:rPr>
                <w:rFonts w:hint="eastAsia" w:cs="华文仿宋"/>
                <w:sz w:val="21"/>
                <w:szCs w:val="21"/>
              </w:rPr>
              <w:t>提供具有针对性、提升性的服务，有助于提升整体服务水平，并且适用于采购单位情况，服务内容详细，便于实施，得</w:t>
            </w:r>
            <w:r>
              <w:rPr>
                <w:rFonts w:cs="华文仿宋"/>
                <w:sz w:val="21"/>
                <w:szCs w:val="21"/>
              </w:rPr>
              <w:t>1</w:t>
            </w:r>
            <w:r>
              <w:rPr>
                <w:rFonts w:hint="eastAsia" w:cs="华文仿宋"/>
                <w:sz w:val="21"/>
                <w:szCs w:val="21"/>
              </w:rPr>
              <w:t>分；无针对本项目的特色，或无增值服务，不得分。</w:t>
            </w:r>
          </w:p>
        </w:tc>
        <w:tc>
          <w:tcPr>
            <w:tcW w:w="888" w:type="dxa"/>
            <w:vMerge w:val="continue"/>
            <w:shd w:val="clear" w:color="auto" w:fill="auto"/>
            <w:vAlign w:val="center"/>
          </w:tcPr>
          <w:p>
            <w:pPr>
              <w:spacing w:line="320" w:lineRule="exact"/>
              <w:ind w:firstLine="420" w:firstLineChars="200"/>
              <w:rPr>
                <w:rFonts w:ascii="Calibri" w:hAnsi="宋体" w:eastAsia="宋体"/>
                <w:bCs/>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138" w:hRule="atLeast"/>
        </w:trPr>
        <w:tc>
          <w:tcPr>
            <w:tcW w:w="735" w:type="dxa"/>
            <w:vMerge w:val="continue"/>
            <w:shd w:val="clear" w:color="auto" w:fill="auto"/>
            <w:vAlign w:val="center"/>
          </w:tcPr>
          <w:p>
            <w:pPr>
              <w:spacing w:line="320" w:lineRule="exact"/>
              <w:rPr>
                <w:rFonts w:ascii="Calibri" w:hAnsi="宋体" w:eastAsia="宋体"/>
                <w:bCs/>
                <w:color w:val="000000" w:themeColor="text1"/>
                <w:sz w:val="21"/>
                <w:szCs w:val="21"/>
                <w14:textFill>
                  <w14:solidFill>
                    <w14:schemeClr w14:val="tx1"/>
                  </w14:solidFill>
                </w14:textFill>
              </w:rPr>
            </w:pPr>
          </w:p>
        </w:tc>
        <w:tc>
          <w:tcPr>
            <w:tcW w:w="630" w:type="dxa"/>
            <w:vMerge w:val="continue"/>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p>
        </w:tc>
        <w:tc>
          <w:tcPr>
            <w:tcW w:w="945" w:type="dxa"/>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r>
              <w:rPr>
                <w:rFonts w:ascii="Calibri" w:hAnsi="宋体" w:eastAsia="宋体"/>
                <w:bCs/>
                <w:color w:val="000000" w:themeColor="text1"/>
                <w:sz w:val="21"/>
                <w:szCs w:val="21"/>
                <w14:textFill>
                  <w14:solidFill>
                    <w14:schemeClr w14:val="tx1"/>
                  </w14:solidFill>
                </w14:textFill>
              </w:rPr>
              <w:t>8</w:t>
            </w:r>
          </w:p>
        </w:tc>
        <w:tc>
          <w:tcPr>
            <w:tcW w:w="5869" w:type="dxa"/>
            <w:shd w:val="clear" w:color="auto" w:fill="auto"/>
            <w:vAlign w:val="center"/>
          </w:tcPr>
          <w:p>
            <w:pPr>
              <w:spacing w:line="320" w:lineRule="exact"/>
              <w:ind w:firstLine="420" w:firstLineChars="200"/>
              <w:jc w:val="both"/>
              <w:rPr>
                <w:rFonts w:ascii="宋体" w:hAnsi="宋体" w:eastAsia="宋体" w:cs="Calibri Light"/>
                <w:b/>
                <w:bCs/>
                <w:color w:val="000000"/>
                <w:sz w:val="21"/>
                <w:szCs w:val="21"/>
              </w:rPr>
            </w:pPr>
            <w:r>
              <w:rPr>
                <w:rFonts w:hint="eastAsia" w:ascii="宋体" w:hAnsi="宋体" w:eastAsia="宋体" w:cs="Calibri Light"/>
                <w:b/>
                <w:bCs/>
                <w:color w:val="000000"/>
                <w:sz w:val="21"/>
                <w:szCs w:val="21"/>
              </w:rPr>
              <w:t>后勤</w:t>
            </w:r>
            <w:r>
              <w:rPr>
                <w:rFonts w:ascii="宋体" w:hAnsi="宋体" w:eastAsia="宋体" w:cs="Calibri Light"/>
                <w:b/>
                <w:bCs/>
                <w:color w:val="000000"/>
                <w:sz w:val="21"/>
                <w:szCs w:val="21"/>
              </w:rPr>
              <w:t>信息化服务平台</w:t>
            </w:r>
            <w:r>
              <w:rPr>
                <w:rFonts w:hint="eastAsia" w:ascii="宋体" w:hAnsi="宋体" w:eastAsia="宋体" w:cs="Calibri Light"/>
                <w:b/>
                <w:bCs/>
                <w:color w:val="000000"/>
                <w:sz w:val="21"/>
                <w:szCs w:val="21"/>
              </w:rPr>
              <w:t>：</w:t>
            </w:r>
          </w:p>
          <w:p>
            <w:pPr>
              <w:spacing w:line="320" w:lineRule="exact"/>
              <w:ind w:firstLine="420" w:firstLineChars="200"/>
              <w:jc w:val="both"/>
              <w:rPr>
                <w:rFonts w:cs="华文仿宋"/>
                <w:b/>
                <w:sz w:val="21"/>
                <w:szCs w:val="21"/>
              </w:rPr>
            </w:pPr>
            <w:r>
              <w:rPr>
                <w:rFonts w:hint="eastAsia" w:cs="华文仿宋"/>
                <w:b/>
                <w:sz w:val="21"/>
                <w:szCs w:val="21"/>
              </w:rPr>
              <w:t>1、评审内容：</w:t>
            </w:r>
          </w:p>
          <w:p>
            <w:pPr>
              <w:spacing w:line="320" w:lineRule="exact"/>
              <w:ind w:firstLine="420" w:firstLineChars="200"/>
              <w:jc w:val="both"/>
              <w:rPr>
                <w:rFonts w:cs="华文仿宋"/>
                <w:sz w:val="21"/>
                <w:szCs w:val="21"/>
              </w:rPr>
            </w:pPr>
            <w:r>
              <w:rPr>
                <w:rFonts w:hint="eastAsia" w:cs="华文仿宋"/>
                <w:sz w:val="21"/>
                <w:szCs w:val="21"/>
              </w:rPr>
              <w:t>①智慧化医废收集系统；</w:t>
            </w:r>
          </w:p>
          <w:p>
            <w:pPr>
              <w:spacing w:line="320" w:lineRule="exact"/>
              <w:ind w:firstLine="420" w:firstLineChars="200"/>
              <w:jc w:val="both"/>
              <w:rPr>
                <w:rFonts w:cs="华文仿宋"/>
                <w:sz w:val="21"/>
                <w:szCs w:val="21"/>
              </w:rPr>
            </w:pPr>
            <w:r>
              <w:rPr>
                <w:rFonts w:hint="eastAsia" w:cs="华文仿宋"/>
                <w:sz w:val="21"/>
                <w:szCs w:val="21"/>
              </w:rPr>
              <w:t>②员工管理功能、工作区域信息管理功能；</w:t>
            </w:r>
          </w:p>
          <w:p>
            <w:pPr>
              <w:spacing w:line="320" w:lineRule="exact"/>
              <w:ind w:firstLine="420" w:firstLineChars="200"/>
              <w:jc w:val="both"/>
              <w:rPr>
                <w:rFonts w:cs="华文仿宋"/>
                <w:sz w:val="21"/>
                <w:szCs w:val="21"/>
              </w:rPr>
            </w:pPr>
            <w:r>
              <w:rPr>
                <w:rFonts w:hint="eastAsia" w:cs="华文仿宋"/>
                <w:sz w:val="21"/>
                <w:szCs w:val="21"/>
              </w:rPr>
              <w:t>③质量检查功能、远程监管功能；</w:t>
            </w:r>
          </w:p>
          <w:p>
            <w:pPr>
              <w:spacing w:line="320" w:lineRule="exact"/>
              <w:ind w:firstLine="420" w:firstLineChars="200"/>
              <w:jc w:val="both"/>
              <w:rPr>
                <w:rFonts w:cs="华文仿宋"/>
                <w:sz w:val="21"/>
                <w:szCs w:val="21"/>
              </w:rPr>
            </w:pPr>
            <w:r>
              <w:rPr>
                <w:rFonts w:hint="eastAsia" w:cs="华文仿宋"/>
                <w:sz w:val="21"/>
                <w:szCs w:val="21"/>
              </w:rPr>
              <w:t>④提供根据我院现状的后勤信息化服务平台实施方案；</w:t>
            </w:r>
          </w:p>
          <w:p>
            <w:pPr>
              <w:spacing w:line="320" w:lineRule="exact"/>
              <w:ind w:firstLine="420" w:firstLineChars="200"/>
              <w:jc w:val="both"/>
              <w:rPr>
                <w:rFonts w:cs="华文仿宋"/>
                <w:b/>
                <w:sz w:val="21"/>
                <w:szCs w:val="21"/>
              </w:rPr>
            </w:pPr>
            <w:r>
              <w:rPr>
                <w:rFonts w:hint="eastAsia" w:cs="华文仿宋"/>
                <w:b/>
                <w:sz w:val="21"/>
                <w:szCs w:val="21"/>
              </w:rPr>
              <w:t>2、评审标准：</w:t>
            </w:r>
          </w:p>
          <w:p>
            <w:pPr>
              <w:spacing w:line="320" w:lineRule="exact"/>
              <w:ind w:firstLine="420" w:firstLineChars="200"/>
              <w:jc w:val="both"/>
              <w:rPr>
                <w:rFonts w:cs="华文仿宋"/>
                <w:b/>
                <w:sz w:val="21"/>
                <w:szCs w:val="21"/>
              </w:rPr>
            </w:pPr>
            <w:r>
              <w:rPr>
                <w:rFonts w:hint="eastAsia" w:cs="华文仿宋"/>
                <w:sz w:val="21"/>
                <w:szCs w:val="21"/>
              </w:rPr>
              <w:t>（1）智慧化医废收集系统、（2）员工管理功能、工作区域信息管理功能、（3）质量检查功能、远程监管功能：</w:t>
            </w:r>
          </w:p>
          <w:p>
            <w:pPr>
              <w:spacing w:line="320" w:lineRule="exact"/>
              <w:ind w:firstLine="420" w:firstLineChars="200"/>
              <w:jc w:val="both"/>
              <w:rPr>
                <w:rFonts w:cs="华文仿宋"/>
                <w:sz w:val="21"/>
                <w:szCs w:val="21"/>
              </w:rPr>
            </w:pPr>
            <w:r>
              <w:rPr>
                <w:rFonts w:hint="eastAsia" w:cs="华文仿宋"/>
                <w:sz w:val="21"/>
                <w:szCs w:val="21"/>
              </w:rPr>
              <w:t>①完整性：功能全面，各类情况考虑较为周全，对招标文件中的各项要求有详细描述及说明；</w:t>
            </w:r>
          </w:p>
          <w:p>
            <w:pPr>
              <w:spacing w:line="320" w:lineRule="exact"/>
              <w:ind w:firstLine="420" w:firstLineChars="200"/>
              <w:jc w:val="both"/>
              <w:rPr>
                <w:rFonts w:cs="华文仿宋"/>
                <w:sz w:val="21"/>
                <w:szCs w:val="21"/>
              </w:rPr>
            </w:pPr>
            <w:r>
              <w:rPr>
                <w:rFonts w:hint="eastAsia" w:cs="华文仿宋"/>
                <w:sz w:val="21"/>
                <w:szCs w:val="21"/>
              </w:rPr>
              <w:t>②可实施性：功能科学合理，切合本项目实际情况；</w:t>
            </w:r>
          </w:p>
          <w:p>
            <w:pPr>
              <w:spacing w:line="320" w:lineRule="exact"/>
              <w:ind w:firstLine="420" w:firstLineChars="200"/>
              <w:jc w:val="both"/>
              <w:rPr>
                <w:rFonts w:cs="华文仿宋"/>
                <w:sz w:val="21"/>
                <w:szCs w:val="21"/>
              </w:rPr>
            </w:pPr>
            <w:r>
              <w:rPr>
                <w:rFonts w:hint="eastAsia" w:cs="华文仿宋"/>
                <w:sz w:val="21"/>
                <w:szCs w:val="21"/>
              </w:rPr>
              <w:t>③针对性：功能能够紧扣项目实际的问题或需求，能够有效地满足项目目标。</w:t>
            </w:r>
          </w:p>
          <w:p>
            <w:pPr>
              <w:spacing w:line="320" w:lineRule="exact"/>
              <w:ind w:firstLine="420" w:firstLineChars="200"/>
              <w:jc w:val="both"/>
              <w:rPr>
                <w:rFonts w:cs="华文仿宋"/>
                <w:b/>
                <w:sz w:val="21"/>
                <w:szCs w:val="21"/>
              </w:rPr>
            </w:pPr>
            <w:r>
              <w:rPr>
                <w:rFonts w:hint="eastAsia" w:cs="华文仿宋"/>
                <w:sz w:val="21"/>
                <w:szCs w:val="21"/>
              </w:rPr>
              <w:t>（</w:t>
            </w:r>
            <w:r>
              <w:rPr>
                <w:rFonts w:cs="华文仿宋"/>
                <w:sz w:val="21"/>
                <w:szCs w:val="21"/>
              </w:rPr>
              <w:t>4</w:t>
            </w:r>
            <w:r>
              <w:rPr>
                <w:rFonts w:hint="eastAsia" w:cs="华文仿宋"/>
                <w:sz w:val="21"/>
                <w:szCs w:val="21"/>
              </w:rPr>
              <w:t>）提供根据我院现状的后勤信息化服务平台实施方案：</w:t>
            </w:r>
          </w:p>
          <w:p>
            <w:pPr>
              <w:spacing w:line="320" w:lineRule="exact"/>
              <w:ind w:firstLine="420" w:firstLineChars="200"/>
              <w:jc w:val="both"/>
              <w:rPr>
                <w:rFonts w:cs="华文仿宋"/>
                <w:sz w:val="21"/>
                <w:szCs w:val="21"/>
              </w:rPr>
            </w:pPr>
            <w:r>
              <w:rPr>
                <w:rFonts w:hint="eastAsia" w:cs="华文仿宋"/>
                <w:sz w:val="21"/>
                <w:szCs w:val="21"/>
              </w:rPr>
              <w:t>①完整性：方案全面，各类情况考虑较为周全，对招标文件的各项要求有详细描述及说明；</w:t>
            </w:r>
          </w:p>
          <w:p>
            <w:pPr>
              <w:spacing w:line="320" w:lineRule="exact"/>
              <w:ind w:firstLine="420" w:firstLineChars="200"/>
              <w:jc w:val="both"/>
              <w:rPr>
                <w:rFonts w:cs="华文仿宋"/>
                <w:sz w:val="21"/>
                <w:szCs w:val="21"/>
              </w:rPr>
            </w:pPr>
            <w:r>
              <w:rPr>
                <w:rFonts w:hint="eastAsia" w:cs="华文仿宋"/>
                <w:sz w:val="21"/>
                <w:szCs w:val="21"/>
              </w:rPr>
              <w:t>②可实施性：方案科学合理，切合本项目实际情况；</w:t>
            </w:r>
          </w:p>
          <w:p>
            <w:pPr>
              <w:spacing w:line="320" w:lineRule="exact"/>
              <w:ind w:firstLine="420" w:firstLineChars="200"/>
              <w:jc w:val="both"/>
              <w:rPr>
                <w:rFonts w:cs="华文仿宋"/>
                <w:sz w:val="21"/>
                <w:szCs w:val="21"/>
              </w:rPr>
            </w:pPr>
            <w:r>
              <w:rPr>
                <w:rFonts w:hint="eastAsia" w:cs="华文仿宋"/>
                <w:sz w:val="21"/>
                <w:szCs w:val="21"/>
              </w:rPr>
              <w:t>③针对性：方案能够紧扣项目实际的问题或需求，能够有效地满足项目目标。</w:t>
            </w:r>
          </w:p>
          <w:p>
            <w:pPr>
              <w:spacing w:line="320" w:lineRule="exact"/>
              <w:ind w:firstLine="420" w:firstLineChars="200"/>
              <w:jc w:val="both"/>
              <w:rPr>
                <w:rFonts w:cs="华文仿宋"/>
                <w:b/>
                <w:sz w:val="21"/>
                <w:szCs w:val="21"/>
              </w:rPr>
            </w:pPr>
            <w:r>
              <w:rPr>
                <w:rFonts w:hint="eastAsia" w:cs="华文仿宋"/>
                <w:b/>
                <w:sz w:val="21"/>
                <w:szCs w:val="21"/>
              </w:rPr>
              <w:t>3、赋分标准（满分6分）</w:t>
            </w:r>
            <w:r>
              <w:rPr>
                <w:rFonts w:cs="华文仿宋"/>
                <w:b/>
                <w:sz w:val="21"/>
                <w:szCs w:val="21"/>
              </w:rPr>
              <w:t>：</w:t>
            </w:r>
          </w:p>
          <w:p>
            <w:pPr>
              <w:spacing w:line="320" w:lineRule="exact"/>
              <w:ind w:firstLine="420" w:firstLineChars="200"/>
              <w:jc w:val="both"/>
              <w:rPr>
                <w:rFonts w:cs="华文仿宋"/>
                <w:sz w:val="21"/>
                <w:szCs w:val="21"/>
              </w:rPr>
            </w:pPr>
            <w:r>
              <w:rPr>
                <w:rFonts w:hint="eastAsia" w:cs="华文仿宋"/>
                <w:sz w:val="21"/>
                <w:szCs w:val="21"/>
              </w:rPr>
              <w:t>①智慧化医废收集系统：每完全满足一个评审标准得0.5分，满分1.5分；</w:t>
            </w:r>
          </w:p>
          <w:p>
            <w:pPr>
              <w:spacing w:line="320" w:lineRule="exact"/>
              <w:ind w:firstLine="420" w:firstLineChars="200"/>
              <w:jc w:val="both"/>
              <w:rPr>
                <w:rFonts w:cs="华文仿宋"/>
                <w:sz w:val="21"/>
                <w:szCs w:val="21"/>
              </w:rPr>
            </w:pPr>
            <w:r>
              <w:rPr>
                <w:rFonts w:hint="eastAsia" w:cs="华文仿宋"/>
                <w:sz w:val="21"/>
                <w:szCs w:val="21"/>
              </w:rPr>
              <w:t>②员工管理功能、工作区域信息管理功能：每完全满足一个评审标准得0.5分，满分1.5分；</w:t>
            </w:r>
          </w:p>
          <w:p>
            <w:pPr>
              <w:spacing w:line="320" w:lineRule="exact"/>
              <w:ind w:firstLine="420" w:firstLineChars="200"/>
              <w:jc w:val="both"/>
              <w:rPr>
                <w:rFonts w:cs="华文仿宋"/>
                <w:sz w:val="21"/>
                <w:szCs w:val="21"/>
              </w:rPr>
            </w:pPr>
            <w:r>
              <w:rPr>
                <w:rFonts w:hint="eastAsia" w:cs="华文仿宋"/>
                <w:sz w:val="21"/>
                <w:szCs w:val="21"/>
              </w:rPr>
              <w:t>③质量检查功能、远程监管功能：每完全满足一个评审标准得0.5分，满分1.5分；</w:t>
            </w:r>
          </w:p>
          <w:p>
            <w:pPr>
              <w:spacing w:line="320" w:lineRule="exact"/>
              <w:ind w:firstLine="420" w:firstLineChars="200"/>
              <w:jc w:val="both"/>
              <w:rPr>
                <w:rFonts w:cs="华文仿宋"/>
                <w:sz w:val="21"/>
                <w:szCs w:val="21"/>
              </w:rPr>
            </w:pPr>
            <w:r>
              <w:rPr>
                <w:rFonts w:hint="eastAsia" w:cs="华文仿宋"/>
                <w:sz w:val="21"/>
                <w:szCs w:val="21"/>
              </w:rPr>
              <w:t>④提供根据我院现状的后勤信息化服务平台实施方案：每完全满足一个评审标准得0.5分，满分1.5分。</w:t>
            </w:r>
          </w:p>
          <w:p>
            <w:pPr>
              <w:spacing w:line="320" w:lineRule="exact"/>
              <w:ind w:firstLine="420" w:firstLineChars="200"/>
              <w:jc w:val="both"/>
              <w:rPr>
                <w:rFonts w:cs="华文仿宋"/>
                <w:b/>
                <w:sz w:val="21"/>
                <w:szCs w:val="21"/>
              </w:rPr>
            </w:pPr>
            <w:r>
              <w:rPr>
                <w:rFonts w:hint="eastAsia" w:cs="华文仿宋"/>
                <w:b/>
                <w:sz w:val="21"/>
                <w:szCs w:val="21"/>
              </w:rPr>
              <w:t>4、后勤信息化服务平台使用证明（</w:t>
            </w:r>
            <w:r>
              <w:rPr>
                <w:rFonts w:cs="华文仿宋"/>
                <w:b/>
                <w:sz w:val="21"/>
                <w:szCs w:val="21"/>
              </w:rPr>
              <w:t>满分</w:t>
            </w:r>
            <w:r>
              <w:rPr>
                <w:rFonts w:hint="eastAsia" w:cs="华文仿宋"/>
                <w:b/>
                <w:sz w:val="21"/>
                <w:szCs w:val="21"/>
              </w:rPr>
              <w:t>2分</w:t>
            </w:r>
            <w:r>
              <w:rPr>
                <w:rFonts w:cs="华文仿宋"/>
                <w:b/>
                <w:sz w:val="21"/>
                <w:szCs w:val="21"/>
              </w:rPr>
              <w:t>）</w:t>
            </w:r>
            <w:r>
              <w:rPr>
                <w:rFonts w:hint="eastAsia" w:cs="华文仿宋"/>
                <w:b/>
                <w:sz w:val="21"/>
                <w:szCs w:val="21"/>
              </w:rPr>
              <w:t>：</w:t>
            </w:r>
          </w:p>
          <w:p>
            <w:pPr>
              <w:spacing w:line="320" w:lineRule="exact"/>
              <w:ind w:firstLine="420" w:firstLineChars="200"/>
              <w:jc w:val="both"/>
              <w:rPr>
                <w:rFonts w:cs="华文仿宋"/>
                <w:sz w:val="21"/>
                <w:szCs w:val="21"/>
              </w:rPr>
            </w:pPr>
            <w:r>
              <w:rPr>
                <w:rFonts w:hint="eastAsia" w:cs="华文仿宋"/>
                <w:sz w:val="21"/>
                <w:szCs w:val="21"/>
              </w:rPr>
              <w:t xml:space="preserve">提供 </w:t>
            </w:r>
            <w:r>
              <w:rPr>
                <w:rFonts w:hint="eastAsia" w:ascii="宋体" w:hAnsi="宋体" w:eastAsia="宋体" w:cs="宋体"/>
                <w:sz w:val="21"/>
                <w:szCs w:val="21"/>
                <w:lang w:bidi="ar"/>
              </w:rPr>
              <w:t>自</w:t>
            </w:r>
            <w:r>
              <w:rPr>
                <w:rFonts w:ascii="Calibri" w:hAnsi="Calibri" w:eastAsia="宋体" w:cs="Calibri"/>
                <w:sz w:val="21"/>
                <w:szCs w:val="21"/>
                <w:lang w:bidi="ar"/>
              </w:rPr>
              <w:t>2020</w:t>
            </w:r>
            <w:r>
              <w:rPr>
                <w:rFonts w:hint="eastAsia" w:ascii="宋体" w:hAnsi="宋体" w:eastAsia="宋体" w:cs="宋体"/>
                <w:sz w:val="21"/>
                <w:szCs w:val="21"/>
                <w:lang w:bidi="ar"/>
              </w:rPr>
              <w:t>年</w:t>
            </w:r>
            <w:r>
              <w:rPr>
                <w:rFonts w:ascii="Calibri" w:hAnsi="Calibri" w:eastAsia="宋体" w:cs="Calibri"/>
                <w:sz w:val="21"/>
                <w:szCs w:val="21"/>
                <w:lang w:bidi="ar"/>
              </w:rPr>
              <w:t>1</w:t>
            </w:r>
            <w:r>
              <w:rPr>
                <w:rFonts w:hint="eastAsia" w:ascii="宋体" w:hAnsi="宋体" w:eastAsia="宋体" w:cs="宋体"/>
                <w:sz w:val="21"/>
                <w:szCs w:val="21"/>
                <w:lang w:bidi="ar"/>
              </w:rPr>
              <w:t>月</w:t>
            </w:r>
            <w:r>
              <w:rPr>
                <w:rFonts w:ascii="Calibri" w:hAnsi="Calibri" w:eastAsia="宋体" w:cs="Calibri"/>
                <w:sz w:val="21"/>
                <w:szCs w:val="21"/>
                <w:lang w:bidi="ar"/>
              </w:rPr>
              <w:t>1</w:t>
            </w:r>
            <w:r>
              <w:rPr>
                <w:rFonts w:hint="eastAsia" w:ascii="宋体" w:hAnsi="宋体" w:eastAsia="宋体" w:cs="宋体"/>
                <w:sz w:val="21"/>
                <w:szCs w:val="21"/>
                <w:lang w:bidi="ar"/>
              </w:rPr>
              <w:t>日（以合同签署日期为准）以来，</w:t>
            </w:r>
            <w:r>
              <w:rPr>
                <w:rFonts w:hint="eastAsia" w:cs="华文仿宋"/>
                <w:sz w:val="21"/>
                <w:szCs w:val="21"/>
              </w:rPr>
              <w:t>类似项目后勤信息化服务平台使用证明（证明内容包含系统截图及中标通知书、合同及合同期限内合同甲方任意一次的付款凭证的扫描件，合同扫描件至少应包括合同首页、合同金额所在页、服务内容页、签字盖章页，并加盖公章，否则不予认可。）</w:t>
            </w:r>
            <w:r>
              <w:rPr>
                <w:rFonts w:cs="华文仿宋"/>
                <w:sz w:val="21"/>
                <w:szCs w:val="21"/>
              </w:rPr>
              <w:t>，</w:t>
            </w:r>
            <w:r>
              <w:rPr>
                <w:rFonts w:hint="eastAsia" w:cs="华文仿宋"/>
                <w:sz w:val="21"/>
                <w:szCs w:val="21"/>
              </w:rPr>
              <w:t>不提供或缺漏项本项不得分。每提供一份得 0.5 分，满分 2 分。</w:t>
            </w:r>
          </w:p>
        </w:tc>
        <w:tc>
          <w:tcPr>
            <w:tcW w:w="888" w:type="dxa"/>
            <w:vMerge w:val="continue"/>
            <w:shd w:val="clear" w:color="auto" w:fill="auto"/>
            <w:vAlign w:val="center"/>
          </w:tcPr>
          <w:p>
            <w:pPr>
              <w:spacing w:line="320" w:lineRule="exact"/>
              <w:ind w:firstLine="420" w:firstLineChars="200"/>
              <w:rPr>
                <w:rFonts w:ascii="Calibri" w:hAnsi="宋体" w:eastAsia="宋体"/>
                <w:bCs/>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c>
          <w:tcPr>
            <w:tcW w:w="735" w:type="dxa"/>
            <w:vMerge w:val="continue"/>
            <w:shd w:val="clear" w:color="auto" w:fill="auto"/>
            <w:vAlign w:val="center"/>
          </w:tcPr>
          <w:p>
            <w:pPr>
              <w:spacing w:line="320" w:lineRule="exact"/>
              <w:rPr>
                <w:rFonts w:ascii="Calibri" w:hAnsi="宋体" w:eastAsia="宋体"/>
                <w:bCs/>
                <w:color w:val="000000" w:themeColor="text1"/>
                <w:sz w:val="21"/>
                <w:szCs w:val="21"/>
                <w14:textFill>
                  <w14:solidFill>
                    <w14:schemeClr w14:val="tx1"/>
                  </w14:solidFill>
                </w14:textFill>
              </w:rPr>
            </w:pPr>
          </w:p>
        </w:tc>
        <w:tc>
          <w:tcPr>
            <w:tcW w:w="630" w:type="dxa"/>
            <w:vMerge w:val="continue"/>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p>
        </w:tc>
        <w:tc>
          <w:tcPr>
            <w:tcW w:w="945" w:type="dxa"/>
            <w:shd w:val="clear" w:color="auto" w:fill="auto"/>
            <w:vAlign w:val="center"/>
          </w:tcPr>
          <w:p>
            <w:pPr>
              <w:spacing w:line="320" w:lineRule="exact"/>
              <w:jc w:val="center"/>
              <w:rPr>
                <w:rFonts w:ascii="Calibri" w:hAnsi="宋体" w:eastAsia="宋体"/>
                <w:bCs/>
                <w:color w:val="000000" w:themeColor="text1"/>
                <w:sz w:val="21"/>
                <w:szCs w:val="21"/>
                <w14:textFill>
                  <w14:solidFill>
                    <w14:schemeClr w14:val="tx1"/>
                  </w14:solidFill>
                </w14:textFill>
              </w:rPr>
            </w:pPr>
            <w:r>
              <w:rPr>
                <w:rFonts w:ascii="Calibri" w:hAnsi="宋体" w:eastAsia="宋体"/>
                <w:bCs/>
                <w:color w:val="000000" w:themeColor="text1"/>
                <w:sz w:val="21"/>
                <w:szCs w:val="21"/>
                <w14:textFill>
                  <w14:solidFill>
                    <w14:schemeClr w14:val="tx1"/>
                  </w14:solidFill>
                </w14:textFill>
              </w:rPr>
              <w:t>20</w:t>
            </w:r>
          </w:p>
        </w:tc>
        <w:tc>
          <w:tcPr>
            <w:tcW w:w="5869" w:type="dxa"/>
            <w:shd w:val="clear" w:color="auto" w:fill="auto"/>
            <w:vAlign w:val="center"/>
          </w:tcPr>
          <w:p>
            <w:pPr>
              <w:spacing w:line="320" w:lineRule="exact"/>
              <w:ind w:firstLine="420" w:firstLineChars="200"/>
              <w:jc w:val="both"/>
              <w:rPr>
                <w:rFonts w:ascii="Calibri" w:hAnsi="宋体" w:eastAsia="宋体"/>
                <w:b/>
                <w:bCs/>
                <w:sz w:val="21"/>
                <w:szCs w:val="21"/>
              </w:rPr>
            </w:pPr>
            <w:r>
              <w:rPr>
                <w:rFonts w:hint="eastAsia" w:ascii="Calibri" w:hAnsi="宋体" w:eastAsia="宋体"/>
                <w:b/>
                <w:bCs/>
                <w:sz w:val="21"/>
                <w:szCs w:val="21"/>
              </w:rPr>
              <w:t>业绩要求</w:t>
            </w:r>
            <w:r>
              <w:rPr>
                <w:rFonts w:ascii="Calibri" w:hAnsi="宋体" w:eastAsia="宋体"/>
                <w:b/>
                <w:bCs/>
                <w:sz w:val="21"/>
                <w:szCs w:val="21"/>
              </w:rPr>
              <w:t>：</w:t>
            </w:r>
          </w:p>
          <w:p>
            <w:pPr>
              <w:spacing w:line="320" w:lineRule="exact"/>
              <w:ind w:firstLine="420" w:firstLineChars="200"/>
              <w:jc w:val="both"/>
              <w:rPr>
                <w:rFonts w:ascii="Calibri" w:hAnsi="宋体" w:eastAsia="宋体"/>
                <w:color w:val="000000" w:themeColor="text1"/>
                <w:sz w:val="21"/>
                <w:szCs w:val="21"/>
                <w14:textFill>
                  <w14:solidFill>
                    <w14:schemeClr w14:val="tx1"/>
                  </w14:solidFill>
                </w14:textFill>
              </w:rPr>
            </w:pPr>
            <w:r>
              <w:rPr>
                <w:rFonts w:hint="eastAsia" w:ascii="Calibri" w:hAnsi="宋体" w:eastAsia="宋体"/>
                <w:color w:val="000000" w:themeColor="text1"/>
                <w:sz w:val="21"/>
                <w:szCs w:val="21"/>
                <w14:textFill>
                  <w14:solidFill>
                    <w14:schemeClr w14:val="tx1"/>
                  </w14:solidFill>
                </w14:textFill>
              </w:rPr>
              <w:t>一</w:t>
            </w:r>
            <w:r>
              <w:rPr>
                <w:rFonts w:ascii="Calibri" w:hAnsi="宋体" w:eastAsia="宋体"/>
                <w:color w:val="000000" w:themeColor="text1"/>
                <w:sz w:val="21"/>
                <w:szCs w:val="21"/>
                <w14:textFill>
                  <w14:solidFill>
                    <w14:schemeClr w14:val="tx1"/>
                  </w14:solidFill>
                </w14:textFill>
              </w:rPr>
              <w:t>、</w:t>
            </w:r>
            <w:r>
              <w:rPr>
                <w:rFonts w:hint="eastAsia" w:ascii="Calibri" w:hAnsi="宋体" w:eastAsia="宋体"/>
                <w:color w:val="000000" w:themeColor="text1"/>
                <w:sz w:val="21"/>
                <w:szCs w:val="21"/>
                <w14:textFill>
                  <w14:solidFill>
                    <w14:schemeClr w14:val="tx1"/>
                  </w14:solidFill>
                </w14:textFill>
              </w:rPr>
              <w:t xml:space="preserve">提供自2020年1月1日（以合同签署日期为准）以来，同类项目（非住宅、商业）业绩证明文件（即中标通知书和合同及合同期限内合同甲方任意一次的付款凭证的扫描件），三者同时出具方为有效。  </w:t>
            </w:r>
            <w:r>
              <w:rPr>
                <w:rFonts w:ascii="Calibri" w:hAnsi="宋体" w:eastAsia="宋体"/>
                <w:color w:val="000000" w:themeColor="text1"/>
                <w:sz w:val="21"/>
                <w:szCs w:val="21"/>
                <w14:textFill>
                  <w14:solidFill>
                    <w14:schemeClr w14:val="tx1"/>
                  </w14:solidFill>
                </w14:textFill>
              </w:rPr>
              <w:t xml:space="preserve">                                          </w:t>
            </w:r>
          </w:p>
          <w:p>
            <w:pPr>
              <w:spacing w:line="320" w:lineRule="exact"/>
              <w:ind w:firstLine="420" w:firstLineChars="200"/>
              <w:jc w:val="both"/>
              <w:rPr>
                <w:rFonts w:ascii="宋体" w:hAnsi="宋体" w:eastAsia="宋体" w:cs="Calibri Light"/>
                <w:b/>
                <w:bCs/>
                <w:color w:val="000000"/>
                <w:sz w:val="21"/>
                <w:szCs w:val="21"/>
              </w:rPr>
            </w:pPr>
            <w:r>
              <w:rPr>
                <w:rFonts w:hint="eastAsia" w:ascii="宋体" w:hAnsi="宋体" w:eastAsia="宋体" w:cs="Calibri Light"/>
                <w:b/>
                <w:bCs/>
                <w:color w:val="000000"/>
                <w:sz w:val="21"/>
                <w:szCs w:val="21"/>
              </w:rPr>
              <w:t>注</w:t>
            </w:r>
            <w:r>
              <w:rPr>
                <w:rFonts w:ascii="宋体" w:hAnsi="宋体" w:eastAsia="宋体" w:cs="Calibri Light"/>
                <w:b/>
                <w:bCs/>
                <w:color w:val="000000"/>
                <w:sz w:val="21"/>
                <w:szCs w:val="21"/>
              </w:rPr>
              <w:t>：</w:t>
            </w:r>
          </w:p>
          <w:p>
            <w:pPr>
              <w:spacing w:line="320" w:lineRule="exact"/>
              <w:ind w:firstLine="420" w:firstLineChars="200"/>
              <w:jc w:val="both"/>
              <w:rPr>
                <w:rFonts w:ascii="宋体" w:hAnsi="宋体" w:eastAsia="宋体" w:cs="Calibri Light"/>
                <w:bCs/>
                <w:color w:val="000000"/>
                <w:sz w:val="21"/>
                <w:szCs w:val="21"/>
              </w:rPr>
            </w:pPr>
            <w:r>
              <w:rPr>
                <w:rFonts w:ascii="宋体" w:hAnsi="宋体" w:eastAsia="宋体" w:cs="Calibri Light"/>
                <w:bCs/>
                <w:color w:val="000000"/>
                <w:sz w:val="21"/>
                <w:szCs w:val="21"/>
              </w:rPr>
              <w:t>1</w:t>
            </w:r>
            <w:r>
              <w:rPr>
                <w:rFonts w:hint="eastAsia" w:ascii="宋体" w:hAnsi="宋体" w:eastAsia="宋体" w:cs="Calibri Light"/>
                <w:bCs/>
                <w:color w:val="000000"/>
                <w:sz w:val="21"/>
                <w:szCs w:val="21"/>
              </w:rPr>
              <w:t>、不同赋分标准中，所有合同不可重复计算。</w:t>
            </w:r>
          </w:p>
          <w:p>
            <w:pPr>
              <w:spacing w:line="320" w:lineRule="exact"/>
              <w:ind w:firstLine="420" w:firstLineChars="200"/>
              <w:jc w:val="both"/>
              <w:rPr>
                <w:rFonts w:ascii="宋体" w:hAnsi="宋体" w:eastAsia="宋体" w:cs="Calibri Light"/>
                <w:bCs/>
                <w:color w:val="000000"/>
                <w:sz w:val="21"/>
                <w:szCs w:val="21"/>
              </w:rPr>
            </w:pPr>
            <w:r>
              <w:rPr>
                <w:rFonts w:hint="eastAsia" w:ascii="宋体" w:hAnsi="宋体" w:eastAsia="宋体" w:cs="Calibri Light"/>
                <w:bCs/>
                <w:color w:val="000000"/>
                <w:sz w:val="21"/>
                <w:szCs w:val="21"/>
              </w:rPr>
              <w:t>2、合同扫描件至少应包括合同首页、合同金额所在页、服务内容页、签字盖章页，并加盖公章，否则不予认可，不计分。</w:t>
            </w:r>
          </w:p>
          <w:p>
            <w:pPr>
              <w:spacing w:line="320" w:lineRule="exact"/>
              <w:ind w:firstLine="420" w:firstLineChars="200"/>
              <w:jc w:val="both"/>
              <w:rPr>
                <w:rFonts w:ascii="宋体" w:hAnsi="宋体" w:eastAsia="宋体" w:cs="Calibri Light"/>
                <w:bCs/>
                <w:color w:val="000000"/>
                <w:sz w:val="21"/>
                <w:szCs w:val="21"/>
              </w:rPr>
            </w:pPr>
            <w:r>
              <w:rPr>
                <w:rFonts w:hint="eastAsia" w:ascii="宋体" w:hAnsi="宋体" w:eastAsia="宋体" w:cs="Calibri Light"/>
                <w:bCs/>
                <w:color w:val="000000"/>
                <w:sz w:val="21"/>
                <w:szCs w:val="21"/>
              </w:rPr>
              <w:t>3、连续服务是指，在合同执行过程中，中断服务的时间不得超过三个月。</w:t>
            </w:r>
          </w:p>
          <w:p>
            <w:pPr>
              <w:spacing w:line="320" w:lineRule="exact"/>
              <w:ind w:firstLine="420" w:firstLineChars="200"/>
              <w:jc w:val="both"/>
              <w:rPr>
                <w:rFonts w:ascii="宋体" w:hAnsi="宋体" w:eastAsia="宋体" w:cs="Calibri Light"/>
                <w:b/>
                <w:bCs/>
                <w:color w:val="000000"/>
                <w:sz w:val="21"/>
                <w:szCs w:val="21"/>
              </w:rPr>
            </w:pPr>
            <w:r>
              <w:rPr>
                <w:rFonts w:hint="eastAsia" w:ascii="宋体" w:hAnsi="宋体" w:eastAsia="宋体" w:cs="Calibri Light"/>
                <w:b/>
                <w:bCs/>
                <w:color w:val="000000"/>
                <w:sz w:val="21"/>
                <w:szCs w:val="21"/>
              </w:rPr>
              <w:t>二</w:t>
            </w:r>
            <w:r>
              <w:rPr>
                <w:rFonts w:ascii="宋体" w:hAnsi="宋体" w:eastAsia="宋体" w:cs="Calibri Light"/>
                <w:b/>
                <w:bCs/>
                <w:color w:val="000000"/>
                <w:sz w:val="21"/>
                <w:szCs w:val="21"/>
              </w:rPr>
              <w:t>、赋分标准</w:t>
            </w:r>
            <w:r>
              <w:rPr>
                <w:rFonts w:hint="eastAsia" w:ascii="宋体" w:hAnsi="宋体" w:eastAsia="宋体" w:cs="Calibri Light"/>
                <w:b/>
                <w:bCs/>
                <w:color w:val="000000"/>
                <w:sz w:val="21"/>
                <w:szCs w:val="21"/>
              </w:rPr>
              <w:t>（</w:t>
            </w:r>
            <w:r>
              <w:rPr>
                <w:rFonts w:ascii="宋体" w:hAnsi="宋体" w:eastAsia="宋体" w:cs="Calibri Light"/>
                <w:b/>
                <w:bCs/>
                <w:color w:val="000000"/>
                <w:sz w:val="21"/>
                <w:szCs w:val="21"/>
              </w:rPr>
              <w:t>满分</w:t>
            </w:r>
            <w:r>
              <w:rPr>
                <w:rFonts w:hint="eastAsia" w:ascii="宋体" w:hAnsi="宋体" w:eastAsia="宋体" w:cs="Calibri Light"/>
                <w:b/>
                <w:bCs/>
                <w:color w:val="000000"/>
                <w:sz w:val="21"/>
                <w:szCs w:val="21"/>
              </w:rPr>
              <w:t>20分</w:t>
            </w:r>
            <w:r>
              <w:rPr>
                <w:rFonts w:ascii="宋体" w:hAnsi="宋体" w:eastAsia="宋体" w:cs="Calibri Light"/>
                <w:b/>
                <w:bCs/>
                <w:color w:val="000000"/>
                <w:sz w:val="21"/>
                <w:szCs w:val="21"/>
              </w:rPr>
              <w:t>）</w:t>
            </w:r>
            <w:r>
              <w:rPr>
                <w:rFonts w:hint="eastAsia" w:ascii="宋体" w:hAnsi="宋体" w:eastAsia="宋体" w:cs="Calibri Light"/>
                <w:b/>
                <w:bCs/>
                <w:color w:val="000000"/>
                <w:sz w:val="21"/>
                <w:szCs w:val="21"/>
              </w:rPr>
              <w:t>：</w:t>
            </w:r>
          </w:p>
          <w:p>
            <w:pPr>
              <w:spacing w:line="320" w:lineRule="exact"/>
              <w:ind w:firstLine="420" w:firstLineChars="200"/>
              <w:jc w:val="both"/>
              <w:rPr>
                <w:rFonts w:ascii="Calibri" w:hAnsi="宋体" w:eastAsia="宋体"/>
                <w:color w:val="000000" w:themeColor="text1"/>
                <w:sz w:val="21"/>
                <w:szCs w:val="21"/>
                <w14:textFill>
                  <w14:solidFill>
                    <w14:schemeClr w14:val="tx1"/>
                  </w14:solidFill>
                </w14:textFill>
              </w:rPr>
            </w:pPr>
            <w:r>
              <w:rPr>
                <w:rFonts w:hint="eastAsia" w:ascii="Calibri" w:hAnsi="宋体" w:eastAsia="宋体"/>
                <w:color w:val="000000" w:themeColor="text1"/>
                <w:sz w:val="21"/>
                <w:szCs w:val="21"/>
                <w14:textFill>
                  <w14:solidFill>
                    <w14:schemeClr w14:val="tx1"/>
                  </w14:solidFill>
                </w14:textFill>
              </w:rPr>
              <w:t>1、连续服务满1年的业绩，至少包含（①环境保洁服务（需包含医疗废弃物处理）；②工程设施设备日常维护；③中央运送；④秩序维护）的任意两项服务，每提供一个得1分，最高得6分；</w:t>
            </w:r>
            <w:r>
              <w:rPr>
                <w:rFonts w:hint="eastAsia" w:ascii="Calibri" w:hAnsi="宋体" w:eastAsia="宋体"/>
                <w:color w:val="000000" w:themeColor="text1"/>
                <w:sz w:val="21"/>
                <w:szCs w:val="21"/>
                <w14:textFill>
                  <w14:solidFill>
                    <w14:schemeClr w14:val="tx1"/>
                  </w14:solidFill>
                </w14:textFill>
              </w:rPr>
              <w:tab/>
            </w:r>
          </w:p>
          <w:p>
            <w:pPr>
              <w:spacing w:line="320" w:lineRule="exact"/>
              <w:ind w:firstLine="420" w:firstLineChars="200"/>
              <w:jc w:val="both"/>
              <w:rPr>
                <w:rFonts w:ascii="Calibri" w:hAnsi="宋体" w:eastAsia="宋体"/>
                <w:color w:val="000000" w:themeColor="text1"/>
                <w:sz w:val="21"/>
                <w:szCs w:val="21"/>
                <w14:textFill>
                  <w14:solidFill>
                    <w14:schemeClr w14:val="tx1"/>
                  </w14:solidFill>
                </w14:textFill>
              </w:rPr>
            </w:pPr>
            <w:r>
              <w:rPr>
                <w:rFonts w:hint="eastAsia" w:ascii="Calibri" w:hAnsi="宋体" w:eastAsia="宋体"/>
                <w:color w:val="000000" w:themeColor="text1"/>
                <w:sz w:val="21"/>
                <w:szCs w:val="21"/>
                <w14:textFill>
                  <w14:solidFill>
                    <w14:schemeClr w14:val="tx1"/>
                  </w14:solidFill>
                </w14:textFill>
              </w:rPr>
              <w:t>2、连续服务满1年以上3年以内（不含1年，含3年）的业绩，至少包含（①环境保洁服务（需包含医疗废弃物处理）；②工程设施设备日常维护；③中央运送；④秩序维护）的任意三项服务，每个得1.5分，最高得6分；</w:t>
            </w:r>
            <w:r>
              <w:rPr>
                <w:rFonts w:hint="eastAsia" w:ascii="Calibri" w:hAnsi="宋体" w:eastAsia="宋体"/>
                <w:color w:val="000000" w:themeColor="text1"/>
                <w:sz w:val="21"/>
                <w:szCs w:val="21"/>
                <w14:textFill>
                  <w14:solidFill>
                    <w14:schemeClr w14:val="tx1"/>
                  </w14:solidFill>
                </w14:textFill>
              </w:rPr>
              <w:tab/>
            </w:r>
          </w:p>
          <w:p>
            <w:pPr>
              <w:spacing w:line="320" w:lineRule="exact"/>
              <w:ind w:firstLine="420" w:firstLineChars="200"/>
              <w:jc w:val="both"/>
              <w:rPr>
                <w:rFonts w:ascii="Calibri" w:hAnsi="宋体" w:eastAsia="宋体"/>
                <w:color w:val="000000" w:themeColor="text1"/>
                <w:sz w:val="21"/>
                <w:szCs w:val="21"/>
                <w14:textFill>
                  <w14:solidFill>
                    <w14:schemeClr w14:val="tx1"/>
                  </w14:solidFill>
                </w14:textFill>
              </w:rPr>
            </w:pPr>
            <w:r>
              <w:rPr>
                <w:rFonts w:hint="eastAsia" w:ascii="Calibri" w:hAnsi="宋体" w:eastAsia="宋体"/>
                <w:color w:val="000000" w:themeColor="text1"/>
                <w:sz w:val="21"/>
                <w:szCs w:val="21"/>
                <w14:textFill>
                  <w14:solidFill>
                    <w14:schemeClr w14:val="tx1"/>
                  </w14:solidFill>
                </w14:textFill>
              </w:rPr>
              <w:t>3、连续服务满3年以上的业绩，至少包含（①环境保洁服务（需包含医疗废弃物处理）；②工程设施设备日常维护；③中央运送；④秩序维护）的任意三项服务，每个得2分，最高得6分；</w:t>
            </w:r>
            <w:r>
              <w:rPr>
                <w:rFonts w:hint="eastAsia" w:ascii="Calibri" w:hAnsi="宋体" w:eastAsia="宋体"/>
                <w:color w:val="000000" w:themeColor="text1"/>
                <w:sz w:val="21"/>
                <w:szCs w:val="21"/>
                <w14:textFill>
                  <w14:solidFill>
                    <w14:schemeClr w14:val="tx1"/>
                  </w14:solidFill>
                </w14:textFill>
              </w:rPr>
              <w:tab/>
            </w:r>
          </w:p>
          <w:p>
            <w:pPr>
              <w:spacing w:line="320" w:lineRule="exact"/>
              <w:ind w:firstLine="420" w:firstLineChars="200"/>
              <w:jc w:val="both"/>
              <w:rPr>
                <w:rFonts w:ascii="宋体" w:hAnsi="宋体" w:eastAsia="宋体" w:cs="Calibri Light"/>
                <w:b/>
                <w:bCs/>
                <w:color w:val="000000"/>
                <w:sz w:val="21"/>
                <w:szCs w:val="21"/>
              </w:rPr>
            </w:pPr>
            <w:r>
              <w:rPr>
                <w:rFonts w:hint="eastAsia" w:ascii="Calibri" w:hAnsi="宋体" w:eastAsia="宋体"/>
                <w:color w:val="000000" w:themeColor="text1"/>
                <w:sz w:val="21"/>
                <w:szCs w:val="21"/>
                <w14:textFill>
                  <w14:solidFill>
                    <w14:schemeClr w14:val="tx1"/>
                  </w14:solidFill>
                </w14:textFill>
              </w:rPr>
              <w:t>4、提供符合上述业绩，甲方出具的项目综合评价书面证明（综合评价为满意或优秀或合格或验收合格证明并附签字盖章），每个得1分，满分2分。</w:t>
            </w:r>
          </w:p>
        </w:tc>
        <w:tc>
          <w:tcPr>
            <w:tcW w:w="888" w:type="dxa"/>
            <w:vMerge w:val="continue"/>
            <w:shd w:val="clear" w:color="auto" w:fill="auto"/>
            <w:vAlign w:val="center"/>
          </w:tcPr>
          <w:p>
            <w:pPr>
              <w:spacing w:line="320" w:lineRule="exact"/>
              <w:ind w:firstLine="420" w:firstLineChars="200"/>
              <w:rPr>
                <w:rFonts w:ascii="Calibri" w:hAnsi="宋体" w:eastAsia="宋体"/>
                <w:bCs/>
                <w:color w:val="000000" w:themeColor="text1"/>
                <w:sz w:val="21"/>
                <w:szCs w:val="21"/>
                <w14:textFill>
                  <w14:solidFill>
                    <w14:schemeClr w14:val="tx1"/>
                  </w14:solidFill>
                </w14:textFill>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292" w:hRule="atLeast"/>
        </w:trPr>
        <w:tc>
          <w:tcPr>
            <w:tcW w:w="735" w:type="dxa"/>
            <w:shd w:val="clear" w:color="auto" w:fill="auto"/>
            <w:vAlign w:val="center"/>
          </w:tcPr>
          <w:p>
            <w:pPr>
              <w:spacing w:line="320" w:lineRule="exact"/>
              <w:rPr>
                <w:rFonts w:ascii="Calibri" w:hAnsi="宋体" w:eastAsia="宋体"/>
                <w:color w:val="000000" w:themeColor="text1"/>
                <w:sz w:val="21"/>
                <w:szCs w:val="21"/>
                <w14:textFill>
                  <w14:solidFill>
                    <w14:schemeClr w14:val="tx1"/>
                  </w14:solidFill>
                </w14:textFill>
              </w:rPr>
            </w:pPr>
            <w:r>
              <w:rPr>
                <w:rFonts w:ascii="Calibri" w:hAnsi="宋体" w:eastAsia="宋体"/>
                <w:color w:val="000000" w:themeColor="text1"/>
                <w:sz w:val="21"/>
                <w:szCs w:val="21"/>
                <w14:textFill>
                  <w14:solidFill>
                    <w14:schemeClr w14:val="tx1"/>
                  </w14:solidFill>
                </w14:textFill>
              </w:rPr>
              <w:t>说明</w:t>
            </w:r>
          </w:p>
        </w:tc>
        <w:tc>
          <w:tcPr>
            <w:tcW w:w="8332" w:type="dxa"/>
            <w:gridSpan w:val="4"/>
            <w:shd w:val="clear" w:color="auto" w:fill="auto"/>
            <w:vAlign w:val="center"/>
          </w:tcPr>
          <w:p>
            <w:pPr>
              <w:spacing w:line="320" w:lineRule="exact"/>
              <w:ind w:firstLine="420"/>
              <w:jc w:val="both"/>
              <w:rPr>
                <w:rFonts w:ascii="Calibri" w:hAnsi="宋体" w:eastAsia="宋体" w:cs="Calibri Light"/>
                <w:kern w:val="2"/>
                <w:sz w:val="21"/>
                <w:szCs w:val="21"/>
              </w:rPr>
            </w:pPr>
            <w:r>
              <w:rPr>
                <w:rFonts w:ascii="Calibri" w:hAnsi="宋体" w:eastAsia="宋体" w:cs="Calibri Light"/>
                <w:kern w:val="2"/>
                <w:sz w:val="21"/>
                <w:szCs w:val="21"/>
              </w:rPr>
              <w:t>1、评标委员会成员必须按照本评审要素据实打分，各类数字计算均按“四舍五入”保留小数点后两位；</w:t>
            </w:r>
          </w:p>
          <w:p>
            <w:pPr>
              <w:spacing w:line="320" w:lineRule="exact"/>
              <w:ind w:firstLine="420" w:firstLineChars="200"/>
              <w:jc w:val="both"/>
              <w:rPr>
                <w:rFonts w:ascii="Calibri" w:hAnsi="宋体" w:eastAsia="宋体" w:cs="Calibri Light"/>
                <w:kern w:val="2"/>
                <w:sz w:val="21"/>
                <w:szCs w:val="21"/>
              </w:rPr>
            </w:pPr>
            <w:r>
              <w:rPr>
                <w:rFonts w:ascii="Calibri" w:hAnsi="宋体" w:eastAsia="宋体" w:cs="Calibri Light"/>
                <w:kern w:val="2"/>
                <w:sz w:val="21"/>
                <w:szCs w:val="21"/>
              </w:rPr>
              <w:t>2、对小型和微型企业提供服务的报价给予10%的价格扣除，用扣除后的价格参与评审；未提供中小企业声明函的不享受价格折扣。</w:t>
            </w:r>
          </w:p>
        </w:tc>
      </w:tr>
    </w:tbl>
    <w:p>
      <w:pPr>
        <w:pStyle w:val="83"/>
        <w:ind w:firstLine="482"/>
        <w:rPr>
          <w:b/>
        </w:rPr>
      </w:pPr>
    </w:p>
    <w:p>
      <w:pPr>
        <w:pStyle w:val="83"/>
        <w:ind w:firstLine="482"/>
        <w:rPr>
          <w:b/>
        </w:rPr>
      </w:pPr>
      <w:r>
        <w:rPr>
          <w:b/>
        </w:rPr>
        <w:t>5</w:t>
      </w:r>
      <w:r>
        <w:rPr>
          <w:rFonts w:hint="eastAsia"/>
          <w:b/>
          <w:color w:val="auto"/>
        </w:rPr>
        <w:t>．</w:t>
      </w:r>
      <w:r>
        <w:rPr>
          <w:b/>
        </w:rPr>
        <w:t>推荐中标候选人</w:t>
      </w:r>
    </w:p>
    <w:p>
      <w:pPr>
        <w:pStyle w:val="83"/>
        <w:ind w:firstLine="480"/>
        <w:rPr>
          <w:rFonts w:hAnsi="华文仿宋"/>
        </w:rPr>
      </w:pPr>
      <w:r>
        <w:rPr>
          <w:rFonts w:hint="eastAsia" w:hAnsi="华文仿宋"/>
        </w:rPr>
        <w:t>（1）采用最低评标价法的，评标结果按投标报价由低到高顺序排列。投标报价相同的并列。投标文件满足招标文件全部实质性要求且投标报价最低的投标供应商为排名第一的中标候选人。</w:t>
      </w:r>
    </w:p>
    <w:p>
      <w:pPr>
        <w:pStyle w:val="83"/>
        <w:ind w:firstLine="480"/>
        <w:rPr>
          <w:rFonts w:hAnsi="华文仿宋"/>
        </w:rPr>
      </w:pPr>
      <w:r>
        <w:rPr>
          <w:rFonts w:hint="eastAsia" w:hAnsi="华文仿宋"/>
        </w:rPr>
        <w:t>（2）采用综合评分法的，评标结果按评审后得分由高到低顺序排列。得分相同的，按投标报价由低到高顺序排列。得分且投标报价相同的并列。投标文件满足招标文件全部实质性要求，且按照评审因素的量化指标评审得分最高的供应商为排名第一的中标候选人。</w:t>
      </w:r>
    </w:p>
    <w:p>
      <w:pPr>
        <w:pStyle w:val="83"/>
        <w:ind w:firstLine="482"/>
        <w:rPr>
          <w:b/>
        </w:rPr>
      </w:pPr>
      <w:r>
        <w:rPr>
          <w:b/>
        </w:rPr>
        <w:t>6</w:t>
      </w:r>
      <w:r>
        <w:rPr>
          <w:rFonts w:hint="eastAsia"/>
          <w:b/>
          <w:color w:val="auto"/>
        </w:rPr>
        <w:t>．</w:t>
      </w:r>
      <w:r>
        <w:rPr>
          <w:b/>
        </w:rPr>
        <w:t>编写评审报告</w:t>
      </w:r>
    </w:p>
    <w:p>
      <w:pPr>
        <w:pStyle w:val="83"/>
        <w:ind w:firstLine="480"/>
        <w:rPr>
          <w:rFonts w:hAnsi="华文仿宋"/>
        </w:rPr>
      </w:pPr>
      <w:r>
        <w:rPr>
          <w:rFonts w:hint="eastAsia" w:hAnsi="华文仿宋"/>
        </w:rPr>
        <w:t>评审报告是评标委员会根据全体评标成员签字的原始评标记录和评标结果编写的报告。</w:t>
      </w:r>
    </w:p>
    <w:p>
      <w:pPr>
        <w:pStyle w:val="83"/>
        <w:ind w:firstLine="480"/>
        <w:rPr>
          <w:rFonts w:hAnsi="华文仿宋"/>
        </w:rPr>
      </w:pPr>
      <w:r>
        <w:rPr>
          <w:rFonts w:hint="eastAsia" w:hAnsi="华文仿宋"/>
        </w:rPr>
        <w:t>评标委员会成员应当在评标报告中签字确认，对评标过程和结果有不同意见的，应当在评标报告中写明并说明理由。签字但未写明不同意见或者未说明理由的，视同无意见。拒不签字又未另行书面说明其不同意见和理由的，视同同意评标结果。</w:t>
      </w:r>
    </w:p>
    <w:p>
      <w:pPr>
        <w:pStyle w:val="4"/>
        <w:ind w:firstLine="482"/>
      </w:pPr>
      <w:r>
        <w:t>（四）</w:t>
      </w:r>
      <w:r>
        <w:rPr>
          <w:rFonts w:hint="eastAsia"/>
        </w:rPr>
        <w:t>评标争议处理规则</w:t>
      </w:r>
    </w:p>
    <w:p>
      <w:pPr>
        <w:pStyle w:val="83"/>
        <w:ind w:firstLine="480"/>
      </w:pPr>
      <w:r>
        <w:rPr>
          <w:rFonts w:hint="eastAsia"/>
        </w:rPr>
        <w:t>评标委员会在评审过程中，对于符合性审查、对投标文件做无效投标处理及其他需要共同认定的事项存在争议的，应当以少数服从多数的原则做出结论，但不得违背法律法规和招标文件规定。持不同意见的评标委员会成员应当在评标报告上签署不同意见及理由，否则视为同意评标报告。持不同意见的评标委员会成员认为认定过程和结果不符合法律法规或者招标文件规定的，应当及时向采购人或本采购代理机构书面反映。采购人或采购代理机构收到书面反映后，应当书面报告同级政府采购监管部门依法处理。</w:t>
      </w:r>
    </w:p>
    <w:p>
      <w:pPr>
        <w:pStyle w:val="4"/>
        <w:ind w:firstLine="482"/>
      </w:pPr>
      <w:r>
        <w:t>（五）评审现场人员的保密责任</w:t>
      </w:r>
    </w:p>
    <w:p>
      <w:pPr>
        <w:pStyle w:val="83"/>
        <w:ind w:firstLine="480"/>
      </w:pPr>
      <w:r>
        <w:t>在采购结果确定前，采购人、采购代理机构对评审委员会名单负有保密责任。评审委员会成员、采购人和集中采购代理机构工作人员、相关监督人员等与评审工作有关的人员，对评审情况以及在评审过程中获悉的国家秘密、商业秘密负有保密责任。</w:t>
      </w:r>
    </w:p>
    <w:p>
      <w:pPr>
        <w:pStyle w:val="4"/>
        <w:ind w:firstLine="482"/>
      </w:pPr>
      <w:r>
        <w:t>（六）出现下列情形时，视同供应商串通投标，其投标无效：</w:t>
      </w:r>
    </w:p>
    <w:p>
      <w:pPr>
        <w:pStyle w:val="83"/>
        <w:ind w:firstLine="480"/>
      </w:pPr>
      <w:r>
        <w:t>1</w:t>
      </w:r>
      <w:r>
        <w:rPr>
          <w:rFonts w:hint="eastAsia"/>
          <w:color w:val="auto"/>
        </w:rPr>
        <w:t>．</w:t>
      </w:r>
      <w:r>
        <w:t>不同供应商的投标文件由同一单位或者个人编制；</w:t>
      </w:r>
    </w:p>
    <w:p>
      <w:pPr>
        <w:pStyle w:val="83"/>
        <w:ind w:firstLine="480"/>
      </w:pPr>
      <w:r>
        <w:t>2</w:t>
      </w:r>
      <w:r>
        <w:rPr>
          <w:rFonts w:hint="eastAsia"/>
          <w:color w:val="auto"/>
        </w:rPr>
        <w:t>．</w:t>
      </w:r>
      <w:r>
        <w:t>不同供应商委托同一单位或者个人办理投标事宜；</w:t>
      </w:r>
    </w:p>
    <w:p>
      <w:pPr>
        <w:pStyle w:val="83"/>
        <w:ind w:firstLine="480"/>
      </w:pPr>
      <w:r>
        <w:t>3</w:t>
      </w:r>
      <w:r>
        <w:rPr>
          <w:rFonts w:hint="eastAsia"/>
          <w:color w:val="auto"/>
        </w:rPr>
        <w:t>．</w:t>
      </w:r>
      <w:r>
        <w:t>不同供应商的投标文件载明的项目管理成员或者联系人员为同一人；</w:t>
      </w:r>
    </w:p>
    <w:p>
      <w:pPr>
        <w:pStyle w:val="83"/>
        <w:ind w:firstLine="480"/>
        <w:rPr>
          <w:strike/>
        </w:rPr>
      </w:pPr>
      <w:r>
        <w:t>4</w:t>
      </w:r>
      <w:r>
        <w:rPr>
          <w:rFonts w:hint="eastAsia"/>
          <w:color w:val="auto"/>
        </w:rPr>
        <w:t>．</w:t>
      </w:r>
      <w:r>
        <w:t>不同供应商的投标文件异常一致或者投标报价呈规律性差异。</w:t>
      </w:r>
    </w:p>
    <w:p>
      <w:pPr>
        <w:pStyle w:val="3"/>
      </w:pPr>
      <w:r>
        <w:t>九、合同签订、履行及验收</w:t>
      </w:r>
    </w:p>
    <w:p>
      <w:pPr>
        <w:pStyle w:val="83"/>
        <w:ind w:firstLine="480"/>
      </w:pPr>
      <w:r>
        <w:t>招标文件、投标文件、澄清、补充合同等为政府采购合同的组成部分，具有同等法律效力。</w:t>
      </w:r>
    </w:p>
    <w:p>
      <w:pPr>
        <w:pStyle w:val="4"/>
        <w:ind w:firstLine="482"/>
      </w:pPr>
      <w:r>
        <w:t>（一）签订政府采购合同</w:t>
      </w:r>
    </w:p>
    <w:p>
      <w:pPr>
        <w:pStyle w:val="83"/>
        <w:ind w:firstLine="480"/>
      </w:pPr>
      <w:r>
        <w:rPr>
          <w:rFonts w:hint="eastAsia"/>
        </w:rPr>
        <w:t>1</w:t>
      </w:r>
      <w:r>
        <w:rPr>
          <w:rFonts w:hint="eastAsia"/>
          <w:color w:val="auto"/>
        </w:rPr>
        <w:t>．</w:t>
      </w:r>
      <w:r>
        <w:t>自中标通知书发出之日起30日内，采购人与中标供应商应按招标文件和中标供应商投标文件的约定，签订书面合同。</w:t>
      </w:r>
    </w:p>
    <w:p>
      <w:pPr>
        <w:pStyle w:val="83"/>
        <w:ind w:firstLine="480"/>
      </w:pPr>
      <w:r>
        <w:rPr>
          <w:rFonts w:hint="eastAsia"/>
        </w:rPr>
        <w:t>2</w:t>
      </w:r>
      <w:r>
        <w:rPr>
          <w:rFonts w:hint="eastAsia"/>
          <w:color w:val="auto"/>
        </w:rPr>
        <w:t>．</w:t>
      </w:r>
      <w:r>
        <w:t>中标供应商拒绝与采购人签订合同的，采购人可以按照《政府采购法实施条例》第四十九条规定，确定下一候选人为中标供应商，也可以重新开展政府采购活动。</w:t>
      </w:r>
    </w:p>
    <w:p>
      <w:pPr>
        <w:pStyle w:val="83"/>
        <w:ind w:firstLine="480"/>
      </w:pPr>
      <w:r>
        <w:rPr>
          <w:rFonts w:hint="eastAsia"/>
        </w:rPr>
        <w:t>3</w:t>
      </w:r>
      <w:r>
        <w:rPr>
          <w:rFonts w:hint="eastAsia"/>
          <w:color w:val="auto"/>
        </w:rPr>
        <w:t>．</w:t>
      </w:r>
      <w:r>
        <w:rPr>
          <w:rFonts w:hint="eastAsia"/>
        </w:rPr>
        <w:t>采购人不得向中标供应商提出任何不合理 的要求，作为签订合同的条件，不得与中标供应商私下订立背离合同实质性内容的任何协议，所签订的合同不得对招标文件和中标供应商投标文件作实质性修改。</w:t>
      </w:r>
    </w:p>
    <w:p>
      <w:pPr>
        <w:pStyle w:val="83"/>
        <w:ind w:firstLine="480"/>
      </w:pPr>
      <w:r>
        <w:rPr>
          <w:rFonts w:hint="eastAsia"/>
        </w:rPr>
        <w:t>4</w:t>
      </w:r>
      <w:r>
        <w:rPr>
          <w:rFonts w:hint="eastAsia"/>
          <w:color w:val="auto"/>
        </w:rPr>
        <w:t>．</w:t>
      </w:r>
      <w:r>
        <w:rPr>
          <w:rFonts w:hint="eastAsia"/>
        </w:rPr>
        <w:t>质疑或者投诉事项可能影响中标结果的，采购人应当暂停签订合同，已经签订合同的，应当中止履行合同。</w:t>
      </w:r>
    </w:p>
    <w:p>
      <w:pPr>
        <w:pStyle w:val="4"/>
        <w:ind w:firstLine="482"/>
      </w:pPr>
      <w:r>
        <w:t>（二）合同公示</w:t>
      </w:r>
    </w:p>
    <w:p>
      <w:pPr>
        <w:pStyle w:val="83"/>
        <w:ind w:firstLine="480"/>
      </w:pPr>
      <w:r>
        <w:rPr>
          <w:rFonts w:hint="eastAsia"/>
        </w:rPr>
        <w:t>采购人应当自政府采购合同签订之日起2个工作日内，在【陕西省政府采购网】（</w:t>
      </w:r>
      <w:r>
        <w:fldChar w:fldCharType="begin"/>
      </w:r>
      <w:r>
        <w:instrText xml:space="preserve"> HYPERLINK "http://www.ccgp-shaanxi.gov.cn/" </w:instrText>
      </w:r>
      <w:r>
        <w:fldChar w:fldCharType="separate"/>
      </w:r>
      <w:r>
        <w:rPr>
          <w:rStyle w:val="33"/>
        </w:rPr>
        <w:t>http://www.ccgp-shaanxi.gov.cn/</w:t>
      </w:r>
      <w:r>
        <w:rPr>
          <w:rStyle w:val="33"/>
        </w:rPr>
        <w:fldChar w:fldCharType="end"/>
      </w:r>
      <w:r>
        <w:rPr>
          <w:rFonts w:hint="eastAsia"/>
        </w:rPr>
        <w:t>）对合同进行公示，但政府采购合同中涉及国家秘密、商业秘密的内容除外。</w:t>
      </w:r>
    </w:p>
    <w:p>
      <w:pPr>
        <w:pStyle w:val="4"/>
        <w:ind w:firstLine="482"/>
      </w:pPr>
      <w:r>
        <w:t>（三）合同履行</w:t>
      </w:r>
    </w:p>
    <w:p>
      <w:pPr>
        <w:pStyle w:val="83"/>
        <w:ind w:firstLine="480"/>
      </w:pPr>
      <w:r>
        <w:rPr>
          <w:rFonts w:hint="eastAsia"/>
        </w:rPr>
        <w:t>1</w:t>
      </w:r>
      <w:r>
        <w:rPr>
          <w:rFonts w:hint="eastAsia"/>
          <w:color w:val="auto"/>
        </w:rPr>
        <w:t>．</w:t>
      </w:r>
      <w:r>
        <w:rPr>
          <w:rFonts w:hint="eastAsia"/>
        </w:rPr>
        <w:t>合同一经签订，双方应严格履行合同规定的义务。</w:t>
      </w:r>
    </w:p>
    <w:p>
      <w:pPr>
        <w:pStyle w:val="83"/>
        <w:ind w:firstLine="480"/>
      </w:pPr>
      <w:r>
        <w:rPr>
          <w:rFonts w:hint="eastAsia"/>
        </w:rPr>
        <w:t>2</w:t>
      </w:r>
      <w:r>
        <w:rPr>
          <w:rFonts w:hint="eastAsia"/>
          <w:color w:val="auto"/>
        </w:rPr>
        <w:t>．</w:t>
      </w:r>
      <w:r>
        <w:rPr>
          <w:rFonts w:hint="eastAsia"/>
        </w:rPr>
        <w:t>在合同履行过程中，如发生合同纠纷，合同双方应按照《中华人民共和国民法典》及合同条款的有关规定进行处理。</w:t>
      </w:r>
    </w:p>
    <w:p>
      <w:pPr>
        <w:pStyle w:val="4"/>
        <w:ind w:firstLine="482"/>
      </w:pPr>
      <w:r>
        <w:t>（四）验收或考核</w:t>
      </w:r>
    </w:p>
    <w:p>
      <w:pPr>
        <w:pStyle w:val="83"/>
        <w:ind w:firstLine="480"/>
      </w:pPr>
      <w:r>
        <w:rPr>
          <w:rFonts w:hint="eastAsia"/>
        </w:rPr>
        <w:t>1</w:t>
      </w:r>
      <w:r>
        <w:rPr>
          <w:rFonts w:hint="eastAsia"/>
          <w:color w:val="auto"/>
        </w:rPr>
        <w:t>．</w:t>
      </w:r>
      <w:r>
        <w:rPr>
          <w:rFonts w:hint="eastAsia"/>
        </w:rPr>
        <w:t>采购人严格按照国家相关法律法规的要求及招标文件的要求组织验收或考核。</w:t>
      </w:r>
    </w:p>
    <w:p>
      <w:pPr>
        <w:pStyle w:val="83"/>
        <w:ind w:firstLine="480"/>
      </w:pPr>
      <w:r>
        <w:rPr>
          <w:rFonts w:hint="eastAsia"/>
        </w:rPr>
        <w:t>2</w:t>
      </w:r>
      <w:r>
        <w:rPr>
          <w:rFonts w:hint="eastAsia"/>
          <w:color w:val="auto"/>
        </w:rPr>
        <w:t>．</w:t>
      </w:r>
      <w:r>
        <w:rPr>
          <w:rFonts w:hint="eastAsia"/>
        </w:rPr>
        <w:t>采购人按《关于促进政府采购公平竞争优化营商环境的通知》（财库〔2019〕38号）、《保障中小企业款项支付条例》（国务院令第728号）等规定及采购合同的约定支付合同款项。</w:t>
      </w:r>
    </w:p>
    <w:p>
      <w:pPr>
        <w:pStyle w:val="3"/>
      </w:pPr>
      <w:r>
        <w:t>八、中标</w:t>
      </w:r>
    </w:p>
    <w:p>
      <w:pPr>
        <w:pStyle w:val="83"/>
        <w:ind w:firstLine="480"/>
      </w:pPr>
      <w:r>
        <w:rPr>
          <w:rFonts w:hint="eastAsia"/>
        </w:rPr>
        <w:t>1</w:t>
      </w:r>
      <w:r>
        <w:rPr>
          <w:rFonts w:hint="eastAsia"/>
          <w:color w:val="auto"/>
        </w:rPr>
        <w:t>．</w:t>
      </w:r>
      <w:r>
        <w:t>采购代理机构在评标工作结束后2个工作日内将评审报告送采购人。</w:t>
      </w:r>
    </w:p>
    <w:p>
      <w:pPr>
        <w:pStyle w:val="83"/>
        <w:ind w:firstLine="480"/>
      </w:pPr>
      <w:r>
        <w:rPr>
          <w:rFonts w:hint="eastAsia"/>
        </w:rPr>
        <w:t>2</w:t>
      </w:r>
      <w:r>
        <w:rPr>
          <w:rFonts w:hint="eastAsia"/>
          <w:color w:val="auto"/>
        </w:rPr>
        <w:t>．</w:t>
      </w:r>
      <w:r>
        <w:rPr>
          <w:rFonts w:hint="eastAsia"/>
        </w:rPr>
        <w:t>采购人应当自收到评标报告之日起５个工作日内，在评标报告确定的中标候选人名单中按顺序确定中标人。中标候选人并列的，由采购人或者采购人委托评标委员会按照招标文件规定的方式确定中标人；招标文件未规定的，采取随机抽取的方式确定。采购人在收到评标报告5个工作日内未按评标报告推荐的中标候选人顺序确定中标人，又不能说明合法理由的，视同按评标报告推荐的顺序确定排名第一的中标候选人为中标人。</w:t>
      </w:r>
    </w:p>
    <w:p>
      <w:pPr>
        <w:pStyle w:val="83"/>
        <w:ind w:firstLine="480"/>
      </w:pPr>
      <w:r>
        <w:rPr>
          <w:rFonts w:hint="eastAsia"/>
        </w:rPr>
        <w:t>3</w:t>
      </w:r>
      <w:r>
        <w:rPr>
          <w:rFonts w:hint="eastAsia"/>
          <w:color w:val="auto"/>
        </w:rPr>
        <w:t>．</w:t>
      </w:r>
      <w:r>
        <w:t>采购代理机构将在中标供应商确定之日起2个工作日内，在【</w:t>
      </w:r>
      <w:r>
        <w:rPr>
          <w:color w:val="7030A0"/>
        </w:rPr>
        <w:t>陕西省政府采购网</w:t>
      </w:r>
      <w:r>
        <w:rPr>
          <w:rStyle w:val="33"/>
          <w:color w:val="auto"/>
        </w:rPr>
        <w:t>】</w:t>
      </w:r>
      <w:r>
        <w:t>（</w:t>
      </w:r>
      <w:r>
        <w:fldChar w:fldCharType="begin"/>
      </w:r>
      <w:r>
        <w:instrText xml:space="preserve"> HYPERLINK "http://www.ccgp-shaanxi.gov.cn/" </w:instrText>
      </w:r>
      <w:r>
        <w:fldChar w:fldCharType="separate"/>
      </w:r>
      <w:r>
        <w:rPr>
          <w:rStyle w:val="33"/>
          <w:color w:val="0070C0"/>
        </w:rPr>
        <w:t>http://www.ccgp-shaanxi.gov.cn</w:t>
      </w:r>
      <w:r>
        <w:rPr>
          <w:rStyle w:val="33"/>
          <w:rFonts w:hint="eastAsia"/>
          <w:color w:val="0070C0"/>
        </w:rPr>
        <w:t>/</w:t>
      </w:r>
      <w:r>
        <w:rPr>
          <w:rStyle w:val="33"/>
          <w:rFonts w:hint="eastAsia"/>
          <w:color w:val="0070C0"/>
        </w:rPr>
        <w:fldChar w:fldCharType="end"/>
      </w:r>
      <w:r>
        <w:t>）上公布中标结果。中标公告期限为1个工作日。</w:t>
      </w:r>
    </w:p>
    <w:p>
      <w:pPr>
        <w:pStyle w:val="83"/>
        <w:ind w:firstLine="480"/>
      </w:pPr>
      <w:r>
        <w:rPr>
          <w:rFonts w:hint="eastAsia"/>
        </w:rPr>
        <w:t>4</w:t>
      </w:r>
      <w:r>
        <w:rPr>
          <w:rFonts w:hint="eastAsia"/>
          <w:color w:val="auto"/>
        </w:rPr>
        <w:t>．</w:t>
      </w:r>
      <w:r>
        <w:rPr>
          <w:rFonts w:hint="eastAsia"/>
        </w:rPr>
        <w:t>在公告中标结果的同时，采购代理机构将向中标供应商发出《中标通知书》，</w:t>
      </w:r>
      <w:r>
        <w:rPr>
          <w:rFonts w:hint="eastAsia"/>
          <w:color w:val="C00000"/>
        </w:rPr>
        <w:t>中标供应商在领取中标通知书时提供一正两副纸质投标文件用于备案</w:t>
      </w:r>
      <w:r>
        <w:rPr>
          <w:rFonts w:hint="eastAsia"/>
        </w:rPr>
        <w:t>。</w:t>
      </w:r>
    </w:p>
    <w:p>
      <w:pPr>
        <w:pStyle w:val="83"/>
        <w:ind w:firstLine="480"/>
      </w:pPr>
      <w:r>
        <w:rPr>
          <w:rFonts w:hint="eastAsia"/>
        </w:rPr>
        <w:t>5</w:t>
      </w:r>
      <w:r>
        <w:rPr>
          <w:rFonts w:hint="eastAsia"/>
          <w:color w:val="auto"/>
        </w:rPr>
        <w:t>．</w:t>
      </w:r>
      <w:r>
        <w:rPr>
          <w:rFonts w:hint="eastAsia"/>
        </w:rPr>
        <w:t>采用综合评分法评审的，供应商可登录【</w:t>
      </w:r>
      <w:r>
        <w:rPr>
          <w:rFonts w:hint="eastAsia"/>
          <w:color w:val="7030A0"/>
        </w:rPr>
        <w:t>全国公共资源交易中心（陕西省</w:t>
      </w:r>
      <w:r>
        <w:rPr>
          <w:color w:val="7030A0"/>
        </w:rPr>
        <w:t>·</w:t>
      </w:r>
      <w:r>
        <w:rPr>
          <w:rFonts w:hint="eastAsia"/>
          <w:color w:val="7030A0"/>
        </w:rPr>
        <w:t>西安市）</w:t>
      </w:r>
      <w:r>
        <w:rPr>
          <w:rFonts w:hint="eastAsia"/>
        </w:rPr>
        <w:t>】网站〖首页</w:t>
      </w:r>
      <w:r>
        <w:t>·</w:t>
      </w:r>
      <w:r>
        <w:rPr>
          <w:rFonts w:hint="eastAsia"/>
        </w:rPr>
        <w:t>〉电子交易平台</w:t>
      </w:r>
      <w:r>
        <w:t>·</w:t>
      </w:r>
      <w:r>
        <w:rPr>
          <w:rFonts w:eastAsiaTheme="majorEastAsia"/>
        </w:rPr>
        <w:t>〉</w:t>
      </w:r>
      <w:r>
        <w:rPr>
          <w:rFonts w:hint="eastAsia"/>
        </w:rPr>
        <w:t>企业端〗，登录后切换到〖我的项目〗模块，依次点选〖项目流程</w:t>
      </w:r>
      <w:r>
        <w:t>·</w:t>
      </w:r>
      <w:r>
        <w:rPr>
          <w:rFonts w:eastAsiaTheme="majorEastAsia"/>
        </w:rPr>
        <w:t>〉</w:t>
      </w:r>
      <w:r>
        <w:rPr>
          <w:rFonts w:hint="eastAsia"/>
        </w:rPr>
        <w:t>项目管理</w:t>
      </w:r>
      <w:r>
        <w:t>·</w:t>
      </w:r>
      <w:r>
        <w:rPr>
          <w:rFonts w:hint="eastAsia"/>
        </w:rPr>
        <w:t>〉评标结果查看〗，查看本单位的最终得分与排序。</w:t>
      </w:r>
    </w:p>
    <w:p>
      <w:pPr>
        <w:pStyle w:val="83"/>
        <w:ind w:firstLine="480"/>
      </w:pPr>
      <w:r>
        <w:rPr>
          <w:rFonts w:hint="eastAsia"/>
        </w:rPr>
        <w:t>6</w:t>
      </w:r>
      <w:r>
        <w:rPr>
          <w:rFonts w:hint="eastAsia"/>
          <w:color w:val="auto"/>
        </w:rPr>
        <w:t>．</w:t>
      </w:r>
      <w:r>
        <w:rPr>
          <w:rFonts w:hint="eastAsia"/>
        </w:rPr>
        <w:t>采购代理机构按照相关规定将评审报告送同级政府采购监管部门备案。</w:t>
      </w:r>
    </w:p>
    <w:p>
      <w:pPr>
        <w:pStyle w:val="3"/>
      </w:pPr>
      <w:r>
        <w:t>十、其他</w:t>
      </w:r>
    </w:p>
    <w:p>
      <w:pPr>
        <w:pStyle w:val="83"/>
        <w:ind w:firstLine="480"/>
      </w:pPr>
      <w:r>
        <w:rPr>
          <w:rFonts w:hint="eastAsia"/>
        </w:rPr>
        <w:t>1</w:t>
      </w:r>
      <w:r>
        <w:rPr>
          <w:rFonts w:hint="eastAsia"/>
          <w:color w:val="auto"/>
        </w:rPr>
        <w:t>．</w:t>
      </w:r>
      <w:r>
        <w:rPr>
          <w:rFonts w:hint="eastAsia"/>
        </w:rPr>
        <w:t>除</w:t>
      </w:r>
      <w:r>
        <w:rPr>
          <w:rFonts w:hint="eastAsia"/>
          <w:color w:val="auto"/>
        </w:rPr>
        <w:t>分值汇总计算错误、分项评分超出评分标准范围、客观分评分不一致、经评标委员会一致认定评分畸高、畸低</w:t>
      </w:r>
      <w:r>
        <w:rPr>
          <w:rFonts w:hint="eastAsia"/>
        </w:rPr>
        <w:t>的情形外，采购人或者采购代理机构不得以任何理由组织重新评审。采购人、采购代理机构发现评审委员会未按照招标文件规定的评审标准进行评审的，应当重新开展采购活动，并同时书面报告本级财政部门。</w:t>
      </w:r>
    </w:p>
    <w:p>
      <w:pPr>
        <w:pStyle w:val="83"/>
        <w:ind w:firstLine="480"/>
        <w:rPr>
          <w:color w:val="auto"/>
        </w:rPr>
      </w:pPr>
      <w:r>
        <w:rPr>
          <w:rFonts w:hint="eastAsia"/>
        </w:rPr>
        <w:t>2</w:t>
      </w:r>
      <w:r>
        <w:rPr>
          <w:rFonts w:hint="eastAsia"/>
          <w:color w:val="auto"/>
        </w:rPr>
        <w:t>．</w:t>
      </w:r>
      <w:r>
        <w:t>评标委员会发现招标文件存在歧义、重大缺陷导致评标工作无法进行，或者招标文件内容违反国家有关强制性规定的，应当停止评标工作，与采购人或者采购代理机构沟通并作书面记录。采购人或者采购代理机构确认后，应当修改招标文件，重新组织采购活动。</w:t>
      </w:r>
    </w:p>
    <w:p>
      <w:pPr>
        <w:pStyle w:val="83"/>
        <w:ind w:firstLine="480"/>
      </w:pPr>
      <w:r>
        <w:t>3</w:t>
      </w:r>
      <w:r>
        <w:rPr>
          <w:rFonts w:hint="eastAsia"/>
          <w:color w:val="auto"/>
        </w:rPr>
        <w:t>．</w:t>
      </w:r>
      <w:r>
        <w:t>根据《政府采购法》第三十六条规定，在招标采购中，出现下列情形之一的，本项目按废标处理：</w:t>
      </w:r>
    </w:p>
    <w:p>
      <w:pPr>
        <w:pStyle w:val="83"/>
        <w:ind w:firstLine="480"/>
      </w:pPr>
      <w:r>
        <w:t>（</w:t>
      </w:r>
      <w:r>
        <w:rPr>
          <w:rFonts w:hint="eastAsia"/>
        </w:rPr>
        <w:t>1</w:t>
      </w:r>
      <w:r>
        <w:t>）出现影响采购公正的违法、违规行为的；</w:t>
      </w:r>
    </w:p>
    <w:p>
      <w:pPr>
        <w:pStyle w:val="83"/>
        <w:ind w:firstLine="480"/>
      </w:pPr>
      <w:r>
        <w:t>（</w:t>
      </w:r>
      <w:r>
        <w:rPr>
          <w:rFonts w:hint="eastAsia"/>
        </w:rPr>
        <w:t>2</w:t>
      </w:r>
      <w:r>
        <w:t>）供应商的报价均超过了采购预算，采购人不能支付的；</w:t>
      </w:r>
    </w:p>
    <w:p>
      <w:pPr>
        <w:pStyle w:val="83"/>
        <w:ind w:firstLine="480"/>
      </w:pPr>
      <w:r>
        <w:t>（</w:t>
      </w:r>
      <w:r>
        <w:rPr>
          <w:rFonts w:hint="eastAsia"/>
        </w:rPr>
        <w:t>3</w:t>
      </w:r>
      <w:r>
        <w:t>）因重大变故，采购任务取消的。</w:t>
      </w:r>
    </w:p>
    <w:p>
      <w:pPr>
        <w:pStyle w:val="83"/>
        <w:ind w:firstLine="480"/>
      </w:pPr>
      <w:r>
        <w:t>废标后，除采购任务取消外，本项目将重新组织招标。</w:t>
      </w:r>
    </w:p>
    <w:p>
      <w:pPr>
        <w:pStyle w:val="83"/>
        <w:ind w:firstLine="480"/>
      </w:pPr>
      <w:r>
        <w:t>4</w:t>
      </w:r>
      <w:r>
        <w:rPr>
          <w:rFonts w:hint="eastAsia"/>
          <w:color w:val="auto"/>
        </w:rPr>
        <w:t>．</w:t>
      </w:r>
      <w:r>
        <w:rPr>
          <w:rFonts w:hint="eastAsia"/>
        </w:rPr>
        <w:t>在采购活动中因重大变故，采购任务取消的，采购人或者采购代理机构应当终止采购活动，通知所有参加采购活动的供应商，并将项目实施情况和采购任务取消原因报送本级财政部门。</w:t>
      </w:r>
    </w:p>
    <w:p>
      <w:pPr>
        <w:pStyle w:val="83"/>
        <w:ind w:firstLine="480"/>
      </w:pPr>
      <w:r>
        <w:t>5</w:t>
      </w:r>
      <w:r>
        <w:rPr>
          <w:rFonts w:hint="eastAsia"/>
        </w:rPr>
        <w:t>．</w:t>
      </w:r>
      <w:r>
        <w:rPr>
          <w:rFonts w:hint="eastAsia"/>
          <w:color w:val="auto"/>
        </w:rPr>
        <w:t>重新组织招标过程中</w:t>
      </w:r>
      <w:r>
        <w:t>，当再次出现有效供应商不足3家时，本项目将依据西安市财政局《关于进一步规范市级预算单位变更政府采购方式审批管理的通知》（市财发〔2017〕186号）的有关规定，按政府采购监管部门事前批准的采购方式继续进行。</w:t>
      </w:r>
    </w:p>
    <w:p>
      <w:pPr>
        <w:pStyle w:val="83"/>
        <w:ind w:firstLine="480"/>
        <w:sectPr>
          <w:footerReference r:id="rId11" w:type="default"/>
          <w:footerReference r:id="rId12" w:type="even"/>
          <w:pgSz w:w="11906" w:h="16838"/>
          <w:pgMar w:top="1418" w:right="1418" w:bottom="1418" w:left="1418" w:header="851" w:footer="992" w:gutter="0"/>
          <w:cols w:space="425" w:num="1"/>
          <w:docGrid w:type="linesAndChars" w:linePitch="460" w:charSpace="0"/>
        </w:sectPr>
      </w:pPr>
      <w:r>
        <w:t>6</w:t>
      </w:r>
      <w:r>
        <w:rPr>
          <w:rFonts w:hint="eastAsia"/>
          <w:color w:val="auto"/>
        </w:rPr>
        <w:t>．</w:t>
      </w:r>
      <w:r>
        <w:t>招标文件未明确的其他事项，按《政府采购法》及其相关法律法规执行。</w:t>
      </w:r>
    </w:p>
    <w:p>
      <w:pPr>
        <w:pStyle w:val="2"/>
        <w:spacing w:before="230" w:after="230"/>
      </w:pPr>
      <w:bookmarkStart w:id="13" w:name="_Toc100219614"/>
      <w:bookmarkStart w:id="14" w:name="_Toc190678197"/>
      <w:r>
        <w:rPr>
          <w:rFonts w:hint="eastAsia"/>
        </w:rPr>
        <w:t xml:space="preserve"> </w:t>
      </w:r>
      <w:bookmarkStart w:id="15" w:name="_Toc194075974"/>
      <w:r>
        <w:rPr>
          <w:rFonts w:hint="eastAsia"/>
        </w:rPr>
        <w:t>第三章　招标内容及要求</w:t>
      </w:r>
      <w:bookmarkEnd w:id="13"/>
      <w:bookmarkEnd w:id="14"/>
      <w:bookmarkEnd w:id="15"/>
    </w:p>
    <w:p>
      <w:pPr>
        <w:jc w:val="center"/>
        <w:rPr>
          <w:color w:val="C00000"/>
        </w:rPr>
      </w:pPr>
      <w:r>
        <w:rPr>
          <w:color w:val="C00000"/>
        </w:rPr>
        <w:t>（标注</w:t>
      </w:r>
      <w:r>
        <w:rPr>
          <w:rFonts w:ascii="Segoe UI Symbol" w:hAnsi="Segoe UI Symbol" w:cs="Segoe UI Symbol"/>
          <w:color w:val="C00000"/>
        </w:rPr>
        <w:t>★的为实质性条款</w:t>
      </w:r>
      <w:r>
        <w:rPr>
          <w:color w:val="C00000"/>
        </w:rPr>
        <w:t>）</w:t>
      </w:r>
    </w:p>
    <w:p>
      <w:pPr>
        <w:pStyle w:val="3"/>
        <w:jc w:val="both"/>
      </w:pPr>
      <w:r>
        <w:rPr>
          <w:rFonts w:hint="eastAsia"/>
        </w:rPr>
        <w:t>一、项目概况</w:t>
      </w:r>
    </w:p>
    <w:p>
      <w:pPr>
        <w:pStyle w:val="83"/>
        <w:ind w:firstLine="480"/>
      </w:pPr>
      <w:r>
        <w:rPr>
          <w:rFonts w:hint="eastAsia"/>
        </w:rPr>
        <w:t>西安市中医医院（南院区）按照国家三级甲等综合中医医院标准建设，座落于西安市长安区韦曲街办的水磨村，占地约120.7亩，于2020年9月动工，2021年9月成功封顶。医院拟定床位700张，总建筑面积约139,133平方米，其中地面建筑面积为87,470平方米，地下建筑面积为51,663平方米，由医疗综合楼、感染楼、煎药中心、液氧站、污水处理站及垃圾站五大独立建筑构成。</w:t>
      </w:r>
    </w:p>
    <w:p>
      <w:pPr>
        <w:pStyle w:val="3"/>
        <w:jc w:val="both"/>
      </w:pPr>
      <w:r>
        <w:rPr>
          <w:rFonts w:hint="eastAsia"/>
        </w:rPr>
        <w:t>二、服务内容</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西安市中医医院南院区后勤服务项目包含环境保洁服务、中央运送服务、设施设备运行及维护服务、秩序维护服务以及四个模块相关信息化的一站式服务中心等其他临床</w:t>
      </w:r>
      <w:r>
        <w:rPr>
          <w:rFonts w:ascii="Calibri" w:hAnsi="Calibri" w:eastAsia="宋体" w:cstheme="minorHAnsi"/>
          <w:color w:val="000000"/>
          <w:kern w:val="24"/>
        </w:rPr>
        <w:t>支持服务</w:t>
      </w:r>
      <w:r>
        <w:rPr>
          <w:rFonts w:hint="eastAsia" w:ascii="Calibri" w:hAnsi="Calibri" w:eastAsia="宋体" w:cstheme="minorHAnsi"/>
          <w:color w:val="000000"/>
          <w:kern w:val="24"/>
        </w:rPr>
        <w:t>。</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环境保洁服务包含院区所有建筑体及大环境公共区域的日常清洁保洁、特殊清洁、外墙清洗、绿化管理及医疗废物处理、生活垃圾分类处理等服务。</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中央运送服务包含常规标本药品、特殊检验标本、血气、特殊病患的转运陪检及多院区间药物配送等工作。</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秩序维护服务包含常规服务、车场管理、控制管理服务、应急处置服务及消防安全检查维护等服务。</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工程设施设备日常运行及维护维修服务包含电梯系统、高低压配电系统、医用气体系统、暖通系统、电气设施、照明系统、供排水系统、污水处理系统、弱电系统、公共设施维护、会议室系统管理及其他配合院方的巡查检修等服务。</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信息化服务至少应包含环境保洁服务信息管理、医疗废弃物信息管理、中央运送服务信息模块、院内秩序维护服务信息模块、工程设施设备日常运行及维护维修服务信息模块、院区空间管理等一站式系统管理。</w:t>
      </w:r>
    </w:p>
    <w:p>
      <w:pPr>
        <w:pStyle w:val="3"/>
        <w:jc w:val="both"/>
      </w:pPr>
      <w:r>
        <w:rPr>
          <w:rFonts w:hint="eastAsia"/>
        </w:rPr>
        <w:t>三、服务要求</w:t>
      </w:r>
    </w:p>
    <w:p>
      <w:pPr>
        <w:pStyle w:val="4"/>
        <w:spacing w:before="0" w:after="0"/>
        <w:ind w:firstLine="480" w:firstLineChars="200"/>
        <w:jc w:val="both"/>
      </w:pPr>
      <w:r>
        <w:rPr>
          <w:rFonts w:hint="eastAsia"/>
        </w:rPr>
        <w:t>（</w:t>
      </w:r>
      <w:r>
        <w:t>一）服务总体要求</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1、投标人需秉承安全管理理念，始终保持“安全第一”的高度责任感和使命感，制定详细合理的后勤保障服务方案。</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2、投标人提供本次服务所使用的电脑、考勤设备及打印机等办公设备，自行准备保洁洗涤设备及生活垃圾垃圾袋，员工所需物资（工服、头花、手套等），提供所有服务项目所需的工具设及维修耗材（若涉及设施设备更换、新增需申报采购人，经采购人审批后执行）。</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3、投标人根据医院院感管理要求，协助各病区收集医疗废弃物，负责与医废回收人员办理交接手续，不得任意遗弃或以其他方式造成医疗废物为流失。其他废旧物资根据医院规定，由采购人统一组织人员回收。</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4、投标人需展现构建信息化管理平台的专业能力，此平台应全面覆盖保洁、运送、秩序维护及设备设施管理的信息化解决方案。投标人必须保证能有效录入设备运行状态、设施维修历史、预防性维护规划、备件与物料管理细节及人员配置信息至该平台，并维持这些信息的实时更新状态，并需拥有将平台与医院当前管理系统无缝整合的技术实力。此外，投标人应明确，其提供的系统将充分满足采购方对一院三区综合管理的特定需求，并开放其他院区使用。</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5、投标人在物业管理工作中，需完善节能管理制度节约用水、用电、用气，加强维护和巡查，减少不必要的能源消耗。</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6、投标人需具有质量管理、环境管理、职业健康安全管理等要求。</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7、采购人提供本次服务所使用的办公用房、库房、公用水电费用，并提供各类垃圾桶，防尘垫、防滑垫及黄色医疗废弃物垃圾袋。</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8、保密及安全要求</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8.1严格遵守国家和采购方的保密法律法规和规章制度，履行保密义务。</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8.2不以任何方式泄露或传播涉及采购方保密安全的相关信息，未经采购方审查批准，不得擅自在互联网、通讯媒体等发表涉及采购方的相关内容或资讯。</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8.3相关信息、资料的保密期限按采购方相关规定执行。</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8.4安全无小事，中标方必须严格执行国家、行业以及院方的各项安全规范、制度及要求。</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8.5中标方在服务期间人员、设备出现的安全问题由中标方负责。</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8.6中标方在服务过程中出现的安全问题给院方造成的不良后果由中标方负责。</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8.7中标方负责其雇佣、派遣人员的各项管理工作，严格执行合同内的管理规范和工作流程，所有员工必须遵守采购方的规章制度安全要求，服从采购方的工作安排和管理，做好工作人员的安全教育及安全防范措施。</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8.8如中标方工作人员在工作期间违反相关规定、擅离职守或违反操作规程等产生的责任事故，由中标方负责处理并承担全部责任，并承担因中标方管理不善导致的相关管理责任。</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8.9违反上述承诺，采购方可直接与中标方解除合同，且中标方需承担一切法律责任，接受按国家和采购方规定作出的相关处罚。</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9、因本院区为新建院区，本次服务范围包含前期开荒服务及开荒费用。</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10、中标方应配合院方完成其他临时性服务。</w:t>
      </w:r>
    </w:p>
    <w:p>
      <w:pPr>
        <w:pStyle w:val="4"/>
        <w:spacing w:before="0" w:after="0"/>
        <w:ind w:firstLine="480" w:firstLineChars="200"/>
        <w:jc w:val="both"/>
      </w:pPr>
      <w:r>
        <w:rPr>
          <w:rFonts w:hint="eastAsia"/>
        </w:rPr>
        <w:t>（二</w:t>
      </w:r>
      <w:r>
        <w:t>）</w:t>
      </w:r>
      <w:r>
        <w:rPr>
          <w:rFonts w:hint="eastAsia"/>
        </w:rPr>
        <w:t>环境保洁服务</w:t>
      </w:r>
    </w:p>
    <w:p>
      <w:pPr>
        <w:ind w:firstLine="480" w:firstLineChars="200"/>
        <w:jc w:val="both"/>
        <w:rPr>
          <w:rFonts w:ascii="宋体" w:hAnsi="宋体" w:eastAsia="宋体" w:cs="宋体"/>
          <w:b/>
        </w:rPr>
      </w:pPr>
      <w:r>
        <w:rPr>
          <w:rFonts w:hint="eastAsia" w:ascii="宋体" w:hAnsi="宋体" w:eastAsia="宋体" w:cs="宋体"/>
          <w:b/>
        </w:rPr>
        <w:t xml:space="preserve">1．卫生保洁服务内容及要求 </w:t>
      </w:r>
    </w:p>
    <w:p>
      <w:pPr>
        <w:ind w:firstLine="480" w:firstLineChars="200"/>
        <w:jc w:val="both"/>
        <w:rPr>
          <w:rFonts w:ascii="宋体" w:hAnsi="宋体" w:eastAsia="宋体" w:cs="宋体"/>
          <w:b/>
        </w:rPr>
      </w:pPr>
      <w:r>
        <w:rPr>
          <w:rFonts w:hint="eastAsia" w:ascii="宋体" w:hAnsi="宋体" w:eastAsia="宋体" w:cs="宋体"/>
          <w:b/>
        </w:rPr>
        <w:t xml:space="preserve">1.1服务内容 </w:t>
      </w:r>
    </w:p>
    <w:p>
      <w:pPr>
        <w:ind w:firstLine="480" w:firstLineChars="200"/>
        <w:jc w:val="both"/>
        <w:rPr>
          <w:rFonts w:ascii="宋体" w:hAnsi="宋体" w:eastAsia="宋体" w:cs="宋体"/>
        </w:rPr>
      </w:pPr>
      <w:r>
        <w:rPr>
          <w:rFonts w:hint="eastAsia" w:ascii="宋体" w:hAnsi="宋体" w:eastAsia="宋体" w:cs="宋体"/>
        </w:rPr>
        <w:t>服务范围内所有区域部位和设施设备等的全天候、全方位、全覆盖的清洁消毒、生活垃圾分类处置、控烟禁烟、小广告清理、厕所革命、死角清理、突击保障、废弃口罩收集等，包含但不限于以下内容：</w:t>
      </w:r>
    </w:p>
    <w:p>
      <w:pPr>
        <w:ind w:firstLine="480" w:firstLineChars="200"/>
        <w:jc w:val="both"/>
        <w:rPr>
          <w:rFonts w:ascii="宋体" w:hAnsi="宋体" w:eastAsia="宋体" w:cs="宋体"/>
        </w:rPr>
      </w:pPr>
      <w:r>
        <w:rPr>
          <w:rFonts w:hint="eastAsia" w:ascii="宋体" w:hAnsi="宋体" w:eastAsia="宋体" w:cs="宋体"/>
        </w:rPr>
        <w:t>1.1.1保洁人员应组建公共卫生清洁班，每天打扫公共部分做到杂物、废弃物立即清理。</w:t>
      </w:r>
    </w:p>
    <w:p>
      <w:pPr>
        <w:ind w:firstLine="480" w:firstLineChars="200"/>
        <w:jc w:val="both"/>
        <w:rPr>
          <w:rFonts w:ascii="宋体" w:hAnsi="宋体" w:eastAsia="宋体" w:cs="宋体"/>
        </w:rPr>
      </w:pPr>
      <w:r>
        <w:rPr>
          <w:rFonts w:hint="eastAsia" w:ascii="宋体" w:hAnsi="宋体" w:eastAsia="宋体" w:cs="宋体"/>
        </w:rPr>
        <w:t>1.1.2楼（区域）内垃圾实行袋装化，在各楼层公共部位设立公共垃圾箱，在露天公共部位设立杂物箱，由清洁工清运、处理。</w:t>
      </w:r>
    </w:p>
    <w:p>
      <w:pPr>
        <w:ind w:firstLine="480" w:firstLineChars="200"/>
        <w:jc w:val="both"/>
        <w:rPr>
          <w:rFonts w:ascii="宋体" w:hAnsi="宋体" w:eastAsia="宋体" w:cs="宋体"/>
        </w:rPr>
      </w:pPr>
      <w:r>
        <w:rPr>
          <w:rFonts w:hint="eastAsia" w:ascii="宋体" w:hAnsi="宋体" w:eastAsia="宋体" w:cs="宋体"/>
        </w:rPr>
        <w:t>1.1.3对病房、诊室、医护办公室区域的地面、卫生间、墙面、门窗、通风天棚、雨棚等区域进行卫生保洁。对病房、治疗室、诊室、医护办公室内各类设备设施（含病房床、床栏、床头柜、陪伴椅、设备带、电视机、衣柜、办公桌椅、文件柜、电话、微波炉、门把、扶手、诊室读片灯）医疗设施进行卫生保洁，不含重要医疗设备。</w:t>
      </w:r>
    </w:p>
    <w:p>
      <w:pPr>
        <w:ind w:firstLine="480" w:firstLineChars="200"/>
        <w:jc w:val="both"/>
        <w:rPr>
          <w:rFonts w:ascii="宋体" w:hAnsi="宋体" w:eastAsia="宋体" w:cs="宋体"/>
        </w:rPr>
      </w:pPr>
      <w:r>
        <w:rPr>
          <w:rFonts w:hint="eastAsia" w:ascii="宋体" w:hAnsi="宋体" w:eastAsia="宋体" w:cs="宋体"/>
        </w:rPr>
        <w:t>1.1.4室内塑胶（橡胶）地板打蜡和石材地板定期抛光、喷磨保养，室内木地板、地毯定期清洁保养，公共区域塑胶（橡胶）地板打蜡和石材地板定期抛光、喷磨保养。</w:t>
      </w:r>
    </w:p>
    <w:p>
      <w:pPr>
        <w:ind w:firstLine="480" w:firstLineChars="200"/>
        <w:jc w:val="both"/>
        <w:rPr>
          <w:rFonts w:ascii="宋体" w:hAnsi="宋体" w:eastAsia="宋体" w:cs="宋体"/>
        </w:rPr>
      </w:pPr>
      <w:r>
        <w:rPr>
          <w:rFonts w:hint="eastAsia" w:ascii="宋体" w:hAnsi="宋体" w:eastAsia="宋体" w:cs="宋体"/>
        </w:rPr>
        <w:t>1.1.5及时清扫大区域地面积水、垃圾、烟头，使地面保持干净、无杂物、无积水。</w:t>
      </w:r>
    </w:p>
    <w:p>
      <w:pPr>
        <w:ind w:firstLine="480" w:firstLineChars="200"/>
        <w:jc w:val="both"/>
        <w:rPr>
          <w:rFonts w:ascii="宋体" w:hAnsi="宋体" w:eastAsia="宋体" w:cs="宋体"/>
        </w:rPr>
      </w:pPr>
      <w:r>
        <w:rPr>
          <w:rFonts w:hint="eastAsia" w:ascii="宋体" w:hAnsi="宋体" w:eastAsia="宋体" w:cs="宋体"/>
        </w:rPr>
        <w:t>1.1.6对各类标识标牌、消防栓、宣传栏进行保洁，及时清除过期海报、小广告等。</w:t>
      </w:r>
    </w:p>
    <w:p>
      <w:pPr>
        <w:ind w:firstLine="480" w:firstLineChars="200"/>
        <w:jc w:val="both"/>
        <w:rPr>
          <w:rFonts w:ascii="宋体" w:hAnsi="宋体" w:eastAsia="宋体" w:cs="宋体"/>
        </w:rPr>
      </w:pPr>
      <w:r>
        <w:rPr>
          <w:rFonts w:hint="eastAsia" w:ascii="宋体" w:hAnsi="宋体" w:eastAsia="宋体" w:cs="宋体"/>
        </w:rPr>
        <w:t>1.1.7垃圾池的清洗，绿化带的卫生、保洁。</w:t>
      </w:r>
    </w:p>
    <w:p>
      <w:pPr>
        <w:ind w:firstLine="480" w:firstLineChars="200"/>
        <w:jc w:val="both"/>
        <w:rPr>
          <w:rFonts w:ascii="宋体" w:hAnsi="宋体" w:eastAsia="宋体" w:cs="宋体"/>
        </w:rPr>
      </w:pPr>
      <w:r>
        <w:rPr>
          <w:rFonts w:hint="eastAsia" w:ascii="宋体" w:hAnsi="宋体" w:eastAsia="宋体" w:cs="宋体"/>
        </w:rPr>
        <w:t>1.1.8所有天花、顶灯高处物品的高处除尘保洁。</w:t>
      </w:r>
    </w:p>
    <w:p>
      <w:pPr>
        <w:ind w:firstLine="480" w:firstLineChars="200"/>
        <w:jc w:val="both"/>
        <w:rPr>
          <w:rFonts w:ascii="宋体" w:hAnsi="宋体" w:eastAsia="宋体" w:cs="宋体"/>
        </w:rPr>
      </w:pPr>
      <w:r>
        <w:rPr>
          <w:rFonts w:hint="eastAsia" w:ascii="宋体" w:hAnsi="宋体" w:eastAsia="宋体" w:cs="宋体"/>
        </w:rPr>
        <w:t>1.1.9医院所有灯具、玻璃、不锈钢、墙面、中央空调的回风口滤网清洗的除尘保洁。</w:t>
      </w:r>
    </w:p>
    <w:p>
      <w:pPr>
        <w:ind w:firstLine="480" w:firstLineChars="200"/>
        <w:jc w:val="both"/>
        <w:rPr>
          <w:rFonts w:ascii="宋体" w:hAnsi="宋体" w:eastAsia="宋体" w:cs="宋体"/>
        </w:rPr>
      </w:pPr>
      <w:r>
        <w:rPr>
          <w:rFonts w:hint="eastAsia" w:ascii="宋体" w:hAnsi="宋体" w:eastAsia="宋体" w:cs="宋体"/>
        </w:rPr>
        <w:t xml:space="preserve">1.1.10保持楼宇外1米内清洁，离地面约2米以下的外墙清洗，年度外墙清洗由投标方外委第三方进行，及特殊情况的卫生保洁任务等。 </w:t>
      </w:r>
    </w:p>
    <w:p>
      <w:pPr>
        <w:ind w:firstLine="480" w:firstLineChars="200"/>
        <w:jc w:val="both"/>
        <w:rPr>
          <w:rFonts w:ascii="宋体" w:hAnsi="宋体" w:eastAsia="宋体" w:cs="宋体"/>
          <w:b/>
        </w:rPr>
      </w:pPr>
      <w:r>
        <w:rPr>
          <w:rFonts w:hint="eastAsia" w:ascii="宋体" w:hAnsi="宋体" w:eastAsia="宋体" w:cs="宋体"/>
          <w:b/>
        </w:rPr>
        <w:t xml:space="preserve">1.2服务频次 </w:t>
      </w:r>
    </w:p>
    <w:p>
      <w:pPr>
        <w:ind w:firstLine="480" w:firstLineChars="200"/>
        <w:jc w:val="both"/>
        <w:rPr>
          <w:rFonts w:ascii="宋体" w:hAnsi="宋体" w:eastAsia="宋体" w:cs="宋体"/>
        </w:rPr>
      </w:pPr>
      <w:r>
        <w:rPr>
          <w:rFonts w:hint="eastAsia" w:ascii="宋体" w:hAnsi="宋体" w:eastAsia="宋体" w:cs="宋体"/>
        </w:rPr>
        <w:t>1.2.1病区病房：地面清洁和收生活垃圾（每天—3次）；门把手、照明开关、床摇手、床扶手、餐板、床头柜及储物柜外表面和设备带（每1-2天1次）；出院床（终末消毒1，包含病人用开水瓶、床头柜、储物柜表面等擦拭消毒）；天花清扫、门面、标识标牌、床架、椅子及储物柜内部、窗框、低墙面（每周清洁1次）；高墙面污渍清除、灯具、风口表面及滤网、玻璃、高窗框及轨道（每3—45天清洁1次，随季节变化调整清洁频率）。</w:t>
      </w:r>
    </w:p>
    <w:p>
      <w:pPr>
        <w:ind w:firstLine="480" w:firstLineChars="200"/>
        <w:jc w:val="both"/>
        <w:rPr>
          <w:rFonts w:ascii="宋体" w:hAnsi="宋体" w:eastAsia="宋体" w:cs="宋体"/>
        </w:rPr>
      </w:pPr>
      <w:r>
        <w:rPr>
          <w:rFonts w:hint="eastAsia" w:ascii="宋体" w:hAnsi="宋体" w:eastAsia="宋体" w:cs="宋体"/>
        </w:rPr>
        <w:t>1.2.2病区治疗室：治疗柜、药品柜外表面（每天2一3次）；其他区域清洁内容、频率与病房清洁相同。</w:t>
      </w:r>
    </w:p>
    <w:p>
      <w:pPr>
        <w:ind w:firstLine="480" w:firstLineChars="200"/>
        <w:jc w:val="both"/>
        <w:rPr>
          <w:rFonts w:ascii="宋体" w:hAnsi="宋体" w:eastAsia="宋体" w:cs="宋体"/>
        </w:rPr>
      </w:pPr>
      <w:r>
        <w:rPr>
          <w:rFonts w:hint="eastAsia" w:ascii="宋体" w:hAnsi="宋体" w:eastAsia="宋体" w:cs="宋体"/>
        </w:rPr>
        <w:t>1.2.3病区办公用房：地面清洁和收集生活垃圾（每天—2次）；其他区域清洁内容、频率与病房清洁相同。</w:t>
      </w:r>
    </w:p>
    <w:p>
      <w:pPr>
        <w:ind w:firstLine="480" w:firstLineChars="200"/>
        <w:jc w:val="both"/>
        <w:rPr>
          <w:rFonts w:ascii="宋体" w:hAnsi="宋体" w:eastAsia="宋体" w:cs="宋体"/>
        </w:rPr>
      </w:pPr>
      <w:r>
        <w:rPr>
          <w:rFonts w:hint="eastAsia" w:ascii="宋体" w:hAnsi="宋体" w:eastAsia="宋体" w:cs="宋体"/>
        </w:rPr>
        <w:t>1.2.4病区公共区域：地面清洁、电梯轿厢和收集生活垃圾（每天2次）；其他区域清洁内容、频率与病房清洁相同。</w:t>
      </w:r>
    </w:p>
    <w:p>
      <w:pPr>
        <w:ind w:firstLine="480" w:firstLineChars="200"/>
        <w:jc w:val="both"/>
        <w:rPr>
          <w:rFonts w:ascii="宋体" w:hAnsi="宋体" w:eastAsia="宋体" w:cs="宋体"/>
        </w:rPr>
      </w:pPr>
      <w:r>
        <w:rPr>
          <w:rFonts w:hint="eastAsia" w:ascii="宋体" w:hAnsi="宋体" w:eastAsia="宋体" w:cs="宋体"/>
        </w:rPr>
        <w:t>1.2.5病区公共卫生间：地面清洁和收生活垃圾（每天—3次）；门把手、镜面/玻璃、水龙头、洗手池、便池/马桶等洁具（每天1次）；其他区域清洁内容、频率与病房清洁相同。</w:t>
      </w:r>
    </w:p>
    <w:p>
      <w:pPr>
        <w:ind w:firstLine="480" w:firstLineChars="200"/>
        <w:jc w:val="both"/>
        <w:rPr>
          <w:rFonts w:ascii="宋体" w:hAnsi="宋体" w:eastAsia="宋体" w:cs="宋体"/>
        </w:rPr>
      </w:pPr>
      <w:r>
        <w:rPr>
          <w:rFonts w:hint="eastAsia" w:ascii="宋体" w:hAnsi="宋体" w:eastAsia="宋体" w:cs="宋体"/>
        </w:rPr>
        <w:t>1.2.6ICU、透析中心、抢救室等特殊科室：保洁范围同病区，清洁频次、消毒规范按现有院感和各科室要求。</w:t>
      </w:r>
    </w:p>
    <w:p>
      <w:pPr>
        <w:ind w:firstLine="480" w:firstLineChars="200"/>
        <w:jc w:val="both"/>
        <w:rPr>
          <w:rFonts w:ascii="宋体" w:hAnsi="宋体" w:eastAsia="宋体" w:cs="宋体"/>
        </w:rPr>
      </w:pPr>
      <w:r>
        <w:rPr>
          <w:rFonts w:hint="eastAsia" w:ascii="宋体" w:hAnsi="宋体" w:eastAsia="宋体" w:cs="宋体"/>
        </w:rPr>
        <w:t>1.2.7手术室：保洁范围同病区，清洁频次按现有院感和各科室要求。</w:t>
      </w:r>
    </w:p>
    <w:p>
      <w:pPr>
        <w:ind w:firstLine="480" w:firstLineChars="200"/>
        <w:jc w:val="both"/>
        <w:rPr>
          <w:rFonts w:ascii="宋体" w:hAnsi="宋体" w:eastAsia="宋体" w:cs="宋体"/>
        </w:rPr>
      </w:pPr>
      <w:r>
        <w:rPr>
          <w:rFonts w:hint="eastAsia" w:ascii="宋体" w:hAnsi="宋体" w:eastAsia="宋体" w:cs="宋体"/>
        </w:rPr>
        <w:t>1.2.8门诊、医技科室：保洁范围同病区，清洁频次、消毒规范按现有院感和各科室要求；卫生间每小时不低于一次巡回清洁，重点部位派人驻守清洁。</w:t>
      </w:r>
    </w:p>
    <w:p>
      <w:pPr>
        <w:ind w:firstLine="480" w:firstLineChars="200"/>
        <w:jc w:val="both"/>
        <w:rPr>
          <w:rFonts w:ascii="宋体" w:hAnsi="宋体" w:eastAsia="宋体" w:cs="宋体"/>
        </w:rPr>
      </w:pPr>
      <w:r>
        <w:rPr>
          <w:rFonts w:hint="eastAsia" w:ascii="宋体" w:hAnsi="宋体" w:eastAsia="宋体" w:cs="宋体"/>
        </w:rPr>
        <w:t>1.2.9办公区：保洁内容、频次和病区公共区域相同。</w:t>
      </w:r>
    </w:p>
    <w:p>
      <w:pPr>
        <w:ind w:firstLine="480" w:firstLineChars="200"/>
        <w:jc w:val="both"/>
        <w:rPr>
          <w:rFonts w:ascii="宋体" w:hAnsi="宋体" w:eastAsia="宋体" w:cs="宋体"/>
        </w:rPr>
      </w:pPr>
      <w:r>
        <w:rPr>
          <w:rFonts w:hint="eastAsia" w:ascii="宋体" w:hAnsi="宋体" w:eastAsia="宋体" w:cs="宋体"/>
        </w:rPr>
        <w:t>1.2.10全院外围：垃圾暂存点垃圾收集每天两次，楼道、楼梯、扶手清洁每天1次；道路清扫、绿化带捡拾生活垃圾及垃圾桶清洁（每天1一2次）、标志标牌抹尘和栏杆座椅清洁、天台清扫（每周1次）、玻璃幕墙及重点区域定期刷洗（每月1一2次）、排水沟沉沙井清洁（每1-3月1次，雨季需每月两次以上）。</w:t>
      </w:r>
    </w:p>
    <w:p>
      <w:pPr>
        <w:ind w:firstLine="480" w:firstLineChars="200"/>
        <w:jc w:val="both"/>
        <w:rPr>
          <w:rFonts w:ascii="宋体" w:hAnsi="宋体" w:eastAsia="宋体" w:cs="宋体"/>
        </w:rPr>
      </w:pPr>
      <w:r>
        <w:rPr>
          <w:rFonts w:hint="eastAsia" w:ascii="宋体" w:hAnsi="宋体" w:eastAsia="宋体" w:cs="宋体"/>
        </w:rPr>
        <w:t>1.2.11垃圾收集、转运：负责门急诊、检查科室、ICU、手术室、公共区域的医疗和生活垃圾收集、住院部病房及公区的生活垃圾收集；医疗、生活垃圾院内点到点转运。</w:t>
      </w:r>
    </w:p>
    <w:p>
      <w:pPr>
        <w:ind w:firstLine="480" w:firstLineChars="200"/>
        <w:jc w:val="both"/>
        <w:rPr>
          <w:rFonts w:ascii="宋体" w:hAnsi="宋体" w:eastAsia="宋体" w:cs="宋体"/>
        </w:rPr>
      </w:pPr>
      <w:r>
        <w:rPr>
          <w:rFonts w:hint="eastAsia" w:ascii="宋体" w:hAnsi="宋体" w:eastAsia="宋体" w:cs="宋体"/>
        </w:rPr>
        <w:t xml:space="preserve">1.2.12院内专项清洁计划：室内PVC/橡胶地面落蜡每年1次、抛光每周2次；公区PVC/橡胶地面落蜡半年1次、抛光每周2次；洗地每天1次（大厅2次）；大理石、花岗岩、玻化砖每周保养（晶化处理）1次、洗地每天1次；木地板每周保养1次；地毯3-6月清洗1次；电梯不锈钢每天清洁1次（污梯每日需消毒清洁1次）；垃圾转运每天2次（特殊场所、特殊需求视情况进行调整）。 </w:t>
      </w:r>
    </w:p>
    <w:p>
      <w:pPr>
        <w:ind w:firstLine="480" w:firstLineChars="200"/>
        <w:jc w:val="both"/>
        <w:rPr>
          <w:rFonts w:ascii="宋体" w:hAnsi="宋体" w:eastAsia="宋体" w:cs="宋体"/>
          <w:b/>
        </w:rPr>
      </w:pPr>
      <w:r>
        <w:rPr>
          <w:rFonts w:hint="eastAsia" w:ascii="宋体" w:hAnsi="宋体" w:eastAsia="宋体" w:cs="宋体"/>
          <w:b/>
        </w:rPr>
        <w:t>1.</w:t>
      </w:r>
      <w:r>
        <w:rPr>
          <w:rFonts w:ascii="宋体" w:hAnsi="宋体" w:eastAsia="宋体" w:cs="宋体"/>
          <w:b/>
        </w:rPr>
        <w:t>3</w:t>
      </w:r>
      <w:r>
        <w:rPr>
          <w:rFonts w:hint="eastAsia" w:ascii="宋体" w:hAnsi="宋体" w:eastAsia="宋体" w:cs="宋体"/>
          <w:b/>
        </w:rPr>
        <w:t>服务标准</w:t>
      </w:r>
    </w:p>
    <w:p>
      <w:pPr>
        <w:ind w:firstLine="480" w:firstLineChars="200"/>
        <w:jc w:val="both"/>
        <w:rPr>
          <w:rFonts w:ascii="宋体" w:hAnsi="宋体" w:eastAsia="宋体" w:cs="宋体"/>
        </w:rPr>
      </w:pPr>
      <w:r>
        <w:rPr>
          <w:rFonts w:hint="eastAsia" w:ascii="宋体" w:hAnsi="宋体" w:eastAsia="宋体" w:cs="宋体"/>
        </w:rPr>
        <w:t>1.3.1院内公共区域及设施：大厅、走廊、房门、通道地面、宣传栏、装饰物、楼道等区域、干净，无尘土、污渍、烟头、纸屑、油迹及垃圾，扶手无尘土；墙面光洁、玻璃明亮、无污渍、无蜘蛛网及其他粘附杂物；隔板无尘土，污迹；天花板、空调风口外表面、灯具、指示牌、外露管道等顶部设施无积尘、无蜘蛛网；院区环境道路无明显浮尘、烟头、果皮、纸屑；花基、花坛无烟头等生活垃圾；道路无杂物、积水、泥沙；垃圾桶、果皮箱：表面光亮无污迹、油迹、异味、周边无积水。</w:t>
      </w:r>
    </w:p>
    <w:p>
      <w:pPr>
        <w:ind w:firstLine="480" w:firstLineChars="200"/>
        <w:jc w:val="both"/>
        <w:rPr>
          <w:rFonts w:ascii="宋体" w:hAnsi="宋体" w:eastAsia="宋体" w:cs="宋体"/>
        </w:rPr>
      </w:pPr>
      <w:r>
        <w:rPr>
          <w:rFonts w:hint="eastAsia" w:ascii="宋体" w:hAnsi="宋体" w:eastAsia="宋体" w:cs="宋体"/>
        </w:rPr>
        <w:t>1.3.2电梯及电梯厅：电梯轿厢四壁光洁明亮，操作面板无污迹、无灰尘、无印迹，地面干净，空气清新、无异味；电梯凹槽内无垃圾无杂物，按钮表面干净无印迹；扶梯踏步表面干净，扶手表面干净无灰尘、污渍，玻璃表面干净透光性好，不锈钢光亮无尘；梳齿板内无杂物污渍；厅内地面干净有光泽。</w:t>
      </w:r>
    </w:p>
    <w:p>
      <w:pPr>
        <w:ind w:firstLine="480" w:firstLineChars="200"/>
        <w:jc w:val="both"/>
        <w:rPr>
          <w:rFonts w:ascii="宋体" w:hAnsi="宋体" w:eastAsia="宋体" w:cs="宋体"/>
        </w:rPr>
      </w:pPr>
      <w:r>
        <w:rPr>
          <w:rFonts w:hint="eastAsia" w:ascii="宋体" w:hAnsi="宋体" w:eastAsia="宋体" w:cs="宋体"/>
        </w:rPr>
        <w:t>1.3.3卫生间：洗手池台面无水迹、无尘土、无污物；洗手池瓷壁无污垢，无痰迹及头发等不洁物；水龙头无印迹、污垢、光亮、洁净；镜面无水迹、尘土、污迹；小便池无尿圬（黄迹）、无污物、喷水嘴应洁净；大便池内外洁净、无污垢黄迹；手纸架无手印、光亮、洁净；纸篓污物量不超过桶体3/4，内外表干净，无积水，无异味。</w:t>
      </w:r>
    </w:p>
    <w:p>
      <w:pPr>
        <w:ind w:firstLine="480" w:firstLineChars="200"/>
        <w:jc w:val="both"/>
        <w:rPr>
          <w:rFonts w:ascii="宋体" w:hAnsi="宋体" w:eastAsia="宋体" w:cs="宋体"/>
        </w:rPr>
      </w:pPr>
      <w:r>
        <w:rPr>
          <w:rFonts w:hint="eastAsia" w:ascii="宋体" w:hAnsi="宋体" w:eastAsia="宋体" w:cs="宋体"/>
        </w:rPr>
        <w:t>1.3.4医护办公室、学术厅、会议室、院内公共区域、诊室、病房、治疗室、公共过道、卫生间楼梯间、电梯等候厅地面、墙面光亮、无尘无烟蒂纸屑；垃圾桶每日清洗保持整洁；办公用品、办公家具（含桌、椅、凳、床、柜、架、电视机、医用治疗车）无尘；分诊台、护士站台、候诊椅洁净无尘，候诊室及一切陈列设施无灰尘。</w:t>
      </w:r>
    </w:p>
    <w:p>
      <w:pPr>
        <w:ind w:firstLine="480" w:firstLineChars="200"/>
        <w:jc w:val="both"/>
        <w:rPr>
          <w:rFonts w:ascii="宋体" w:hAnsi="宋体" w:eastAsia="宋体" w:cs="宋体"/>
        </w:rPr>
      </w:pPr>
      <w:r>
        <w:rPr>
          <w:rFonts w:hint="eastAsia" w:ascii="宋体" w:hAnsi="宋体" w:eastAsia="宋体" w:cs="宋体"/>
        </w:rPr>
        <w:t>1.3.5病房保洁标准 地面：洁净、光亮、无尘土、痰迹、碎纸、烟头及垃圾杂物；踢脚：目视无尘、无污物；墙面：无手印、污迹、无灰尘、定期清洁；窗户：明亮、无积灰。玻璃幕墙、门、窗、镜面、围栏无污迹、无水迹；天花板：无蜘蛛网、无积灰；床、床头柜、床架：无尘土、无积灰。清洁用抹布一床单元一巾；灯具：无厚积尘土。灯具内无昆虫，灯盖、灯柱、灯罩明亮有光泽；标识牌：光亮、干净、无污渍；木（塑）质器材：木（塑）物件表面光洁、无污迹，现本色。</w:t>
      </w:r>
    </w:p>
    <w:p>
      <w:pPr>
        <w:ind w:firstLine="480" w:firstLineChars="200"/>
        <w:jc w:val="both"/>
        <w:rPr>
          <w:rFonts w:ascii="宋体" w:hAnsi="宋体" w:eastAsia="宋体" w:cs="宋体"/>
        </w:rPr>
      </w:pPr>
      <w:r>
        <w:rPr>
          <w:rFonts w:hint="eastAsia" w:ascii="宋体" w:hAnsi="宋体" w:eastAsia="宋体" w:cs="宋体"/>
        </w:rPr>
        <w:t>1.3.6院落、道路保洁标准：院落整洁、卫生、无杂物；人行道、走道等地带无垃圾、烟头、杂物；定期清理屋顶杂物，保持屋顶排水畅通；定期清理全院排水沟和吐水口，保持沟内无杂物，排水畅通。</w:t>
      </w:r>
    </w:p>
    <w:p>
      <w:pPr>
        <w:ind w:firstLine="480" w:firstLineChars="200"/>
        <w:jc w:val="both"/>
        <w:rPr>
          <w:rFonts w:ascii="宋体" w:hAnsi="宋体" w:eastAsia="宋体" w:cs="宋体"/>
        </w:rPr>
      </w:pPr>
      <w:r>
        <w:rPr>
          <w:rFonts w:hint="eastAsia" w:ascii="宋体" w:hAnsi="宋体" w:eastAsia="宋体" w:cs="宋体"/>
        </w:rPr>
        <w:t>1.3.7投标人需对保洁服务的设施（PVC、风口、玻璃、不锈钢、墙面、灯具）进行数据统计和分类后制定周/月/季度/年度保洁保养计划，并指定由保洁人员专职负责执行这些计划。</w:t>
      </w:r>
    </w:p>
    <w:p>
      <w:pPr>
        <w:ind w:firstLine="480" w:firstLineChars="200"/>
        <w:jc w:val="both"/>
        <w:rPr>
          <w:rFonts w:ascii="宋体" w:hAnsi="宋体" w:eastAsia="宋体" w:cs="宋体"/>
        </w:rPr>
      </w:pPr>
      <w:r>
        <w:rPr>
          <w:rFonts w:hint="eastAsia" w:ascii="宋体" w:hAnsi="宋体" w:eastAsia="宋体" w:cs="宋体"/>
        </w:rPr>
        <w:t>1.3.8墙面清洁：使用专业工具每月一次对通道及室内墙面进行彻底的清洁，保证墙面干净。</w:t>
      </w:r>
    </w:p>
    <w:p>
      <w:pPr>
        <w:ind w:firstLine="480" w:firstLineChars="200"/>
        <w:jc w:val="both"/>
        <w:rPr>
          <w:rFonts w:ascii="宋体" w:hAnsi="宋体" w:eastAsia="宋体" w:cs="宋体"/>
        </w:rPr>
      </w:pPr>
      <w:r>
        <w:rPr>
          <w:rFonts w:hint="eastAsia" w:ascii="宋体" w:hAnsi="宋体" w:eastAsia="宋体" w:cs="宋体"/>
        </w:rPr>
        <w:t>1.3.9灯具、风口、天花的清洁：每年5月至10月每月一次风口保洁，其他月份每季度一次对灯具、风口、天花进行彻底的清洁，保持其干净。</w:t>
      </w:r>
    </w:p>
    <w:p>
      <w:pPr>
        <w:ind w:firstLine="480" w:firstLineChars="200"/>
        <w:jc w:val="both"/>
        <w:rPr>
          <w:rFonts w:ascii="宋体" w:hAnsi="宋体" w:eastAsia="宋体" w:cs="宋体"/>
        </w:rPr>
      </w:pPr>
      <w:r>
        <w:rPr>
          <w:rFonts w:hint="eastAsia" w:ascii="宋体" w:hAnsi="宋体" w:eastAsia="宋体" w:cs="宋体"/>
        </w:rPr>
        <w:t>1.3.10玻璃清洁：使用专业玻璃清洁工具、药剂，对门厅玻璃每天一次，病房及其他区域每月一次的频率进行玻璃清洁，保证玻璃洁净、透亮。</w:t>
      </w:r>
    </w:p>
    <w:p>
      <w:pPr>
        <w:ind w:firstLine="480" w:firstLineChars="200"/>
        <w:jc w:val="both"/>
        <w:rPr>
          <w:rFonts w:ascii="宋体" w:hAnsi="宋体" w:eastAsia="宋体" w:cs="宋体"/>
        </w:rPr>
      </w:pPr>
      <w:r>
        <w:rPr>
          <w:rFonts w:hint="eastAsia" w:ascii="宋体" w:hAnsi="宋体" w:eastAsia="宋体" w:cs="宋体"/>
        </w:rPr>
        <w:t>1.3.11院内建筑物外墙清洗1次/年。</w:t>
      </w:r>
    </w:p>
    <w:p>
      <w:pPr>
        <w:ind w:firstLine="480" w:firstLineChars="200"/>
        <w:jc w:val="both"/>
        <w:rPr>
          <w:rFonts w:ascii="宋体" w:hAnsi="宋体" w:eastAsia="宋体" w:cs="宋体"/>
        </w:rPr>
      </w:pPr>
      <w:r>
        <w:rPr>
          <w:rFonts w:hint="eastAsia" w:ascii="宋体" w:hAnsi="宋体" w:eastAsia="宋体" w:cs="宋体"/>
        </w:rPr>
        <w:t>1.3.12根据医院 6S 管理要求，确保服务标准不低于国家和行业相关规范，定人、定岗、定时、定责、定标、定罚服务方案详尽明确，定人定岗定责明细表、按时按质按量进度表、合规达标整改巡查表健全完善。</w:t>
      </w:r>
    </w:p>
    <w:p>
      <w:pPr>
        <w:ind w:firstLine="480" w:firstLineChars="200"/>
        <w:jc w:val="both"/>
        <w:rPr>
          <w:rFonts w:ascii="宋体" w:hAnsi="宋体" w:eastAsia="宋体" w:cs="宋体"/>
        </w:rPr>
      </w:pPr>
      <w:r>
        <w:rPr>
          <w:rFonts w:hint="eastAsia" w:ascii="宋体" w:hAnsi="宋体" w:eastAsia="宋体" w:cs="宋体"/>
        </w:rPr>
        <w:t>1.3.13配备清洁消毒器具耗材和卫生保洁设施设备(含地巾和抹布等)，满足与该项目同等级医院物业服务需求且经采购单位审核确认备案，不仅限于一次性投入，还包括其用完耗尽和破损陈旧后的免费更新，确保其美观、整洁、可用，并按 6S 规范做到分色分区、定位定置安全暂存管理和分类分批、集中统一清洗消毒干燥，指示说明标识和操作维保记录完备准确，足额配备服务人员劳保防护用品。</w:t>
      </w:r>
    </w:p>
    <w:p>
      <w:pPr>
        <w:ind w:firstLine="480" w:firstLineChars="200"/>
        <w:jc w:val="both"/>
        <w:rPr>
          <w:rFonts w:ascii="宋体" w:hAnsi="宋体" w:eastAsia="宋体" w:cs="宋体"/>
        </w:rPr>
      </w:pPr>
      <w:r>
        <w:rPr>
          <w:rFonts w:hint="eastAsia" w:ascii="宋体" w:hAnsi="宋体" w:eastAsia="宋体" w:cs="宋体"/>
        </w:rPr>
        <w:t>1.3.14污物间、布草间、物料间、工具间、洗涤间、卫生间、开水间、配餐间等各工作部位和管理区域安全、清洁、有序、协调并确保无任何与服务无关物品，采用 6S 管理工具进行现场管理。</w:t>
      </w:r>
    </w:p>
    <w:p>
      <w:pPr>
        <w:ind w:firstLine="480" w:firstLineChars="200"/>
        <w:jc w:val="both"/>
        <w:rPr>
          <w:rFonts w:ascii="宋体" w:hAnsi="宋体" w:eastAsia="宋体" w:cs="宋体"/>
        </w:rPr>
      </w:pPr>
      <w:r>
        <w:rPr>
          <w:rFonts w:hint="eastAsia" w:ascii="宋体" w:hAnsi="宋体" w:eastAsia="宋体" w:cs="宋体"/>
        </w:rPr>
        <w:t xml:space="preserve">1.3.15制定标准化工作手册（包含管理制度、工作流程、作业标准等）在指定位置公示岗位信息，服务功能、定位定置、区域划分和安全警示等分色标识完好、美观、协调并符合标准和规范的规定和要求。 </w:t>
      </w:r>
    </w:p>
    <w:p>
      <w:pPr>
        <w:ind w:firstLine="480" w:firstLineChars="200"/>
        <w:jc w:val="both"/>
        <w:rPr>
          <w:rFonts w:ascii="宋体" w:hAnsi="宋体" w:eastAsia="宋体" w:cs="宋体"/>
        </w:rPr>
      </w:pPr>
      <w:r>
        <w:rPr>
          <w:rFonts w:hint="eastAsia" w:ascii="宋体" w:hAnsi="宋体" w:eastAsia="宋体" w:cs="宋体"/>
        </w:rPr>
        <w:t xml:space="preserve">1.3.16定时定点和流动保洁相结合，依据《医疗机构环境表面清洁与消毒管理规定》（WS/T 512-2016）等配套规章制度，实施驻守保洁消毒、专项保洁消毒。 </w:t>
      </w:r>
    </w:p>
    <w:p>
      <w:pPr>
        <w:ind w:firstLine="480" w:firstLineChars="200"/>
        <w:jc w:val="both"/>
        <w:rPr>
          <w:rFonts w:ascii="宋体" w:hAnsi="宋体" w:eastAsia="宋体" w:cs="宋体"/>
        </w:rPr>
      </w:pPr>
      <w:r>
        <w:rPr>
          <w:rFonts w:hint="eastAsia" w:ascii="宋体" w:hAnsi="宋体" w:eastAsia="宋体" w:cs="宋体"/>
        </w:rPr>
        <w:t xml:space="preserve">1.3.17驻守保洁消毒：日常保洁（循环即时）、巡视保洁（巡回实时）、终末消毒（据实及时）、周期保洁（按约）、突击拓荒（按需）、死角清理、大扫除、烟头小广告清理等，按规范和标准开展感控重点科室、区域、环节的清理清洗和物表消毒，按时完成环境消杀和卫生防疫工作，符合院感防控规定要求。  </w:t>
      </w:r>
    </w:p>
    <w:p>
      <w:pPr>
        <w:ind w:firstLine="480" w:firstLineChars="200"/>
        <w:jc w:val="both"/>
        <w:rPr>
          <w:rFonts w:ascii="宋体" w:hAnsi="宋体" w:eastAsia="宋体" w:cs="宋体"/>
        </w:rPr>
      </w:pPr>
      <w:r>
        <w:rPr>
          <w:rFonts w:hint="eastAsia" w:ascii="宋体" w:hAnsi="宋体" w:eastAsia="宋体" w:cs="宋体"/>
        </w:rPr>
        <w:t>1.3.18集中洗涤模式，对全院布草的上收下送工作，与清洗单位交接，服务科室的被服更换。并建立集中清洗中心，配置专业洗涤设备，由专人负责地巾、小方巾的收集发放，运送及清洗、消毒。</w:t>
      </w:r>
    </w:p>
    <w:p>
      <w:pPr>
        <w:ind w:firstLine="480" w:firstLineChars="200"/>
        <w:jc w:val="both"/>
        <w:rPr>
          <w:rFonts w:ascii="宋体" w:hAnsi="宋体" w:eastAsia="宋体" w:cs="宋体"/>
        </w:rPr>
      </w:pPr>
      <w:r>
        <w:rPr>
          <w:rFonts w:hint="eastAsia" w:ascii="宋体" w:hAnsi="宋体" w:eastAsia="宋体" w:cs="宋体"/>
        </w:rPr>
        <w:t>1.3.19内镜洗消人员需按照科室要求进行服务，并经过科室内镜清洗消毒专业培训考核合格后上岗。</w:t>
      </w:r>
    </w:p>
    <w:p>
      <w:pPr>
        <w:ind w:firstLine="480" w:firstLineChars="200"/>
        <w:jc w:val="both"/>
        <w:rPr>
          <w:rFonts w:ascii="宋体" w:hAnsi="宋体" w:eastAsia="宋体" w:cs="宋体"/>
        </w:rPr>
      </w:pPr>
      <w:r>
        <w:rPr>
          <w:rFonts w:hint="eastAsia" w:ascii="宋体" w:hAnsi="宋体" w:eastAsia="宋体" w:cs="宋体"/>
        </w:rPr>
        <w:t xml:space="preserve">1.3.20对室内共用部位、共用设施和室外公共部位、公用设施进行预防性、日常性、定期性、纠正性清洁和保养，并负责对其水、电、门窗、空调等进行管理，计算机等特殊办公设备、微波炉等生活辅助设备、消防监控等特种安全设备和各种医疗设备在医院相关工作人员指导下进行特殊保洁，不直接面对患者服务的专用部位根据医院部门科室需求进行定时保洁。 </w:t>
      </w:r>
    </w:p>
    <w:p>
      <w:pPr>
        <w:ind w:firstLine="480" w:firstLineChars="200"/>
        <w:jc w:val="both"/>
        <w:rPr>
          <w:rFonts w:ascii="宋体" w:hAnsi="宋体" w:eastAsia="宋体" w:cs="宋体"/>
        </w:rPr>
      </w:pPr>
      <w:r>
        <w:rPr>
          <w:rFonts w:hint="eastAsia" w:ascii="宋体" w:hAnsi="宋体" w:eastAsia="宋体" w:cs="宋体"/>
        </w:rPr>
        <w:t>1.3.21按照国家厕所革命要求，做到卫生间及时清洁，保持 24 小时清洁、干燥、防滑、无异味，保洁消毒流程、标准、质量、责任人及联系方式对外公示、接受监督。</w:t>
      </w:r>
    </w:p>
    <w:p>
      <w:pPr>
        <w:ind w:firstLine="480" w:firstLineChars="200"/>
        <w:jc w:val="both"/>
        <w:rPr>
          <w:rFonts w:ascii="宋体" w:hAnsi="宋体" w:eastAsia="宋体" w:cs="宋体"/>
        </w:rPr>
      </w:pPr>
      <w:r>
        <w:rPr>
          <w:rFonts w:hint="eastAsia" w:ascii="宋体" w:hAnsi="宋体" w:eastAsia="宋体" w:cs="宋体"/>
        </w:rPr>
        <w:t xml:space="preserve">1.3.22严格按照《西安市城市环境卫生管理条例》《西安市生活垃圾管理条例》等配套法律法规，开展生活垃圾的收集、转运、暂存、清运、交接等分类处置以及生活垃圾站的日常管理工作，所有生活垃圾自生活垃圾站转交具备资质的处置单位。 </w:t>
      </w:r>
    </w:p>
    <w:p>
      <w:pPr>
        <w:ind w:firstLine="480" w:firstLineChars="200"/>
        <w:jc w:val="both"/>
        <w:rPr>
          <w:rFonts w:ascii="宋体" w:hAnsi="宋体" w:eastAsia="宋体" w:cs="宋体"/>
        </w:rPr>
      </w:pPr>
      <w:r>
        <w:rPr>
          <w:rFonts w:hint="eastAsia" w:ascii="宋体" w:hAnsi="宋体" w:eastAsia="宋体" w:cs="宋体"/>
        </w:rPr>
        <w:t>1.3.23按既定路线错峰实行每日3清、定点收集，乘专用电梯按规定路线进行密闭转运，每日6次完成设施和设备清洁消毒并留存工作记录，体现分类投放、分类收集、分类运输、分类处理原则。</w:t>
      </w:r>
    </w:p>
    <w:p>
      <w:pPr>
        <w:ind w:firstLine="480" w:firstLineChars="200"/>
        <w:jc w:val="both"/>
        <w:rPr>
          <w:rFonts w:ascii="宋体" w:hAnsi="宋体" w:eastAsia="宋体" w:cs="宋体"/>
          <w:b/>
        </w:rPr>
      </w:pPr>
      <w:r>
        <w:rPr>
          <w:rFonts w:hint="eastAsia" w:ascii="宋体" w:hAnsi="宋体" w:eastAsia="宋体" w:cs="宋体"/>
        </w:rPr>
        <w:t xml:space="preserve">1.3.24异常天气（含日常）采取保护和防滑措施，及时清扫积水，做好除冰防水防冻防滑，由于物业管理不到位导致安全事故，由物业公司承担。 </w:t>
      </w:r>
      <w:r>
        <w:rPr>
          <w:rFonts w:hint="eastAsia" w:ascii="宋体" w:hAnsi="宋体" w:eastAsia="宋体" w:cs="宋体"/>
          <w:b/>
        </w:rPr>
        <w:t xml:space="preserve"> </w:t>
      </w:r>
    </w:p>
    <w:p>
      <w:pPr>
        <w:ind w:firstLine="480" w:firstLineChars="200"/>
        <w:jc w:val="both"/>
        <w:rPr>
          <w:rFonts w:ascii="宋体" w:hAnsi="宋体" w:eastAsia="宋体" w:cs="宋体"/>
          <w:b/>
        </w:rPr>
      </w:pPr>
      <w:r>
        <w:rPr>
          <w:rFonts w:hint="eastAsia" w:ascii="宋体" w:hAnsi="宋体" w:eastAsia="宋体" w:cs="宋体"/>
          <w:b/>
        </w:rPr>
        <w:t>2．消毒及感染管理服务内容及要求</w:t>
      </w:r>
    </w:p>
    <w:p>
      <w:pPr>
        <w:ind w:firstLine="480" w:firstLineChars="200"/>
        <w:jc w:val="both"/>
        <w:rPr>
          <w:rFonts w:ascii="宋体" w:hAnsi="宋体" w:eastAsia="宋体" w:cs="宋体"/>
        </w:rPr>
      </w:pPr>
      <w:r>
        <w:rPr>
          <w:rFonts w:hint="eastAsia" w:ascii="宋体" w:hAnsi="宋体" w:eastAsia="宋体" w:cs="宋体"/>
        </w:rPr>
        <w:t>2.1做好各楼层每日清洁消毒及专项保洁计划，做到保洁、消毒全覆盖；卫生间清洁、干燥、无异味。做好各项消毒记录。</w:t>
      </w:r>
    </w:p>
    <w:p>
      <w:pPr>
        <w:ind w:firstLine="480" w:firstLineChars="200"/>
        <w:jc w:val="both"/>
        <w:rPr>
          <w:rFonts w:ascii="宋体" w:hAnsi="宋体" w:eastAsia="宋体" w:cs="宋体"/>
        </w:rPr>
      </w:pPr>
      <w:r>
        <w:rPr>
          <w:rFonts w:hint="eastAsia" w:ascii="宋体" w:hAnsi="宋体" w:eastAsia="宋体" w:cs="宋体"/>
        </w:rPr>
        <w:t>2.2环境物体表面清洁消毒达到环境卫生检测要求。</w:t>
      </w:r>
    </w:p>
    <w:p>
      <w:pPr>
        <w:ind w:firstLine="480" w:firstLineChars="200"/>
        <w:jc w:val="both"/>
        <w:rPr>
          <w:rFonts w:ascii="宋体" w:hAnsi="宋体" w:eastAsia="宋体" w:cs="宋体"/>
        </w:rPr>
      </w:pPr>
      <w:r>
        <w:rPr>
          <w:rFonts w:hint="eastAsia" w:ascii="宋体" w:hAnsi="宋体" w:eastAsia="宋体" w:cs="宋体"/>
        </w:rPr>
        <w:t>2.3为避免尘土飞扬，地面干拖应使用尘推加牵尘剂的方法进行处理。</w:t>
      </w:r>
    </w:p>
    <w:p>
      <w:pPr>
        <w:ind w:firstLine="480" w:firstLineChars="200"/>
        <w:jc w:val="both"/>
        <w:rPr>
          <w:rFonts w:ascii="宋体" w:hAnsi="宋体" w:eastAsia="宋体" w:cs="宋体"/>
        </w:rPr>
      </w:pPr>
      <w:r>
        <w:rPr>
          <w:rFonts w:hint="eastAsia" w:ascii="宋体" w:hAnsi="宋体" w:eastAsia="宋体" w:cs="宋体"/>
        </w:rPr>
        <w:t>2.4对湿拖把头、尘推头、抹布进行洗涤和烘干，防止交叉感染。</w:t>
      </w:r>
    </w:p>
    <w:p>
      <w:pPr>
        <w:ind w:firstLine="480" w:firstLineChars="200"/>
        <w:jc w:val="both"/>
        <w:rPr>
          <w:rFonts w:ascii="宋体" w:hAnsi="宋体" w:eastAsia="宋体" w:cs="宋体"/>
        </w:rPr>
      </w:pPr>
      <w:r>
        <w:rPr>
          <w:rFonts w:hint="eastAsia" w:ascii="宋体" w:hAnsi="宋体" w:eastAsia="宋体" w:cs="宋体"/>
        </w:rPr>
        <w:t>2.5不同区域使用相对应的清洁工具，按要求对集中存放的清洁用具用颜色、字标方式进行严格的分类摆放，防止交叉感染。</w:t>
      </w:r>
    </w:p>
    <w:p>
      <w:pPr>
        <w:ind w:firstLine="480" w:firstLineChars="200"/>
        <w:jc w:val="both"/>
        <w:rPr>
          <w:rFonts w:ascii="宋体" w:hAnsi="宋体" w:eastAsia="宋体" w:cs="宋体"/>
        </w:rPr>
      </w:pPr>
      <w:r>
        <w:rPr>
          <w:rFonts w:hint="eastAsia" w:ascii="宋体" w:hAnsi="宋体" w:eastAsia="宋体" w:cs="宋体"/>
        </w:rPr>
        <w:t>2.6投标人用于保洁、医疗废物回收的各项消耗品应是通过国家卫健委或国家有关部门准予生产使用的产品，并符合采购人感染控制的要求。</w:t>
      </w:r>
    </w:p>
    <w:p>
      <w:pPr>
        <w:ind w:firstLine="480" w:firstLineChars="200"/>
        <w:jc w:val="both"/>
        <w:rPr>
          <w:rFonts w:ascii="宋体" w:hAnsi="宋体" w:eastAsia="宋体" w:cs="宋体"/>
        </w:rPr>
      </w:pPr>
      <w:r>
        <w:rPr>
          <w:rFonts w:hint="eastAsia" w:ascii="宋体" w:hAnsi="宋体" w:eastAsia="宋体" w:cs="宋体"/>
        </w:rPr>
        <w:t>2.6对医疗废物、医疗废液做好暂存点及集中存放点的清洗、消毒工作及记录。</w:t>
      </w:r>
    </w:p>
    <w:p>
      <w:pPr>
        <w:ind w:firstLine="480" w:firstLineChars="200"/>
        <w:jc w:val="both"/>
        <w:rPr>
          <w:rFonts w:ascii="宋体" w:hAnsi="宋体" w:eastAsia="宋体" w:cs="宋体"/>
        </w:rPr>
      </w:pPr>
      <w:r>
        <w:rPr>
          <w:rFonts w:hint="eastAsia" w:ascii="宋体" w:hAnsi="宋体" w:eastAsia="宋体" w:cs="宋体"/>
        </w:rPr>
        <w:t>2.8达到国家卫生城市对医院卫生保洁、感染控制的考核标准。</w:t>
      </w:r>
    </w:p>
    <w:p>
      <w:pPr>
        <w:ind w:firstLine="480" w:firstLineChars="200"/>
        <w:jc w:val="both"/>
        <w:rPr>
          <w:rFonts w:ascii="宋体" w:hAnsi="宋体" w:eastAsia="宋体" w:cs="宋体"/>
        </w:rPr>
      </w:pPr>
      <w:r>
        <w:rPr>
          <w:rFonts w:hint="eastAsia" w:ascii="宋体" w:hAnsi="宋体" w:eastAsia="宋体" w:cs="宋体"/>
        </w:rPr>
        <w:t>2.9达到《三级综合医院评审标准实施细则》中对医院感染管理和环境管理的要求</w:t>
      </w:r>
    </w:p>
    <w:p>
      <w:pPr>
        <w:ind w:firstLine="480" w:firstLineChars="200"/>
        <w:jc w:val="both"/>
        <w:rPr>
          <w:rFonts w:ascii="宋体" w:hAnsi="宋体" w:eastAsia="宋体" w:cs="宋体"/>
          <w:b/>
        </w:rPr>
      </w:pPr>
      <w:r>
        <w:rPr>
          <w:rFonts w:ascii="宋体" w:hAnsi="宋体" w:eastAsia="宋体" w:cs="宋体"/>
          <w:b/>
        </w:rPr>
        <w:t>3</w:t>
      </w:r>
      <w:r>
        <w:rPr>
          <w:rFonts w:hint="eastAsia" w:ascii="宋体" w:hAnsi="宋体" w:eastAsia="宋体" w:cs="宋体"/>
          <w:b/>
        </w:rPr>
        <w:t xml:space="preserve">.绿化养护服务内容 </w:t>
      </w:r>
    </w:p>
    <w:p>
      <w:pPr>
        <w:ind w:firstLine="480" w:firstLineChars="200"/>
        <w:jc w:val="both"/>
        <w:rPr>
          <w:rFonts w:ascii="宋体" w:hAnsi="宋体" w:eastAsia="宋体" w:cs="宋体"/>
          <w:b/>
        </w:rPr>
      </w:pPr>
      <w:r>
        <w:rPr>
          <w:rFonts w:ascii="宋体" w:hAnsi="宋体" w:eastAsia="宋体" w:cs="宋体"/>
          <w:b/>
        </w:rPr>
        <w:t>3.1</w:t>
      </w:r>
      <w:r>
        <w:rPr>
          <w:rFonts w:hint="eastAsia" w:ascii="宋体" w:hAnsi="宋体" w:eastAsia="宋体" w:cs="宋体"/>
          <w:b/>
        </w:rPr>
        <w:t>服务</w:t>
      </w:r>
      <w:r>
        <w:rPr>
          <w:rFonts w:ascii="宋体" w:hAnsi="宋体" w:eastAsia="宋体" w:cs="宋体"/>
          <w:b/>
        </w:rPr>
        <w:t>内容</w:t>
      </w:r>
    </w:p>
    <w:p>
      <w:pPr>
        <w:ind w:firstLine="480" w:firstLineChars="200"/>
        <w:jc w:val="both"/>
        <w:rPr>
          <w:rFonts w:ascii="宋体" w:hAnsi="宋体" w:eastAsia="宋体" w:cs="宋体"/>
        </w:rPr>
      </w:pPr>
      <w:r>
        <w:rPr>
          <w:rFonts w:hint="eastAsia" w:ascii="宋体" w:hAnsi="宋体" w:eastAsia="宋体" w:cs="宋体"/>
        </w:rPr>
        <w:t xml:space="preserve">服务范围内所有花草树木等的修剪造型、浇水施肥、中耕培土、除草围挡、扶正加固、抗旱防冻、防风排涝、病虫害防治、移栽补栽等，以及雕塑布景、小品喷泉、休闲设施等的维护。 </w:t>
      </w:r>
    </w:p>
    <w:p>
      <w:pPr>
        <w:ind w:firstLine="480" w:firstLineChars="200"/>
        <w:jc w:val="both"/>
        <w:rPr>
          <w:rFonts w:ascii="宋体" w:hAnsi="宋体" w:eastAsia="宋体" w:cs="宋体"/>
        </w:rPr>
      </w:pPr>
      <w:r>
        <w:rPr>
          <w:rFonts w:hint="eastAsia" w:ascii="宋体" w:hAnsi="宋体" w:eastAsia="宋体" w:cs="宋体"/>
        </w:rPr>
        <w:t>3.1.1整理理杂草、杂物，每年初全面松土一次、四月及十一月全面清理枯枝杂叶一次；每年三月及十一月全面清理枯枝杂叶，其它时间针对 特殊情况局部处理。年初三月四月全面松土，其它时间做植物维护如浇水、移栽等工作处理。</w:t>
      </w:r>
    </w:p>
    <w:p>
      <w:pPr>
        <w:ind w:firstLine="480" w:firstLineChars="200"/>
        <w:jc w:val="both"/>
        <w:rPr>
          <w:rFonts w:ascii="宋体" w:hAnsi="宋体" w:eastAsia="宋体" w:cs="宋体"/>
        </w:rPr>
      </w:pPr>
      <w:r>
        <w:rPr>
          <w:rFonts w:hint="eastAsia" w:ascii="宋体" w:hAnsi="宋体" w:eastAsia="宋体" w:cs="宋体"/>
        </w:rPr>
        <w:t>3.1.2修剪枝叶，每年三月四月全面修剪一次，年 底对花木及盆栽植物进行防寒处理；三四月安排全面修剪枯枝及不规整的植物，其它时间 针对植物的生长进行局部处理。十二月对树花，盆栽 植物树木等进行防寒处理，（罩防寒袋，刷防寒石水）。</w:t>
      </w:r>
    </w:p>
    <w:p>
      <w:pPr>
        <w:ind w:firstLine="480" w:firstLineChars="200"/>
        <w:jc w:val="both"/>
        <w:rPr>
          <w:rFonts w:ascii="宋体" w:hAnsi="宋体" w:eastAsia="宋体" w:cs="宋体"/>
        </w:rPr>
      </w:pPr>
      <w:r>
        <w:rPr>
          <w:rFonts w:hint="eastAsia" w:ascii="宋体" w:hAnsi="宋体" w:eastAsia="宋体" w:cs="宋体"/>
        </w:rPr>
        <w:t>3.1.3绿植施肥，春季松完土以后全面施肥一次， 补栽补种时局部施肥，冬季补施肥一次，确保冬季的养分；三四月松完土以后全面施肥，对补栽补种的部分增加，其它时间维护，根据土壤情况灵活处理。</w:t>
      </w:r>
    </w:p>
    <w:p>
      <w:pPr>
        <w:ind w:firstLine="480" w:firstLineChars="200"/>
        <w:jc w:val="both"/>
        <w:rPr>
          <w:rFonts w:ascii="宋体" w:hAnsi="宋体" w:eastAsia="宋体" w:cs="宋体"/>
        </w:rPr>
      </w:pPr>
      <w:r>
        <w:rPr>
          <w:rFonts w:hint="eastAsia" w:ascii="宋体" w:hAnsi="宋体" w:eastAsia="宋体" w:cs="宋体"/>
        </w:rPr>
        <w:t>3.1.4喷洒农药，每年三月全面喷洒一次、其它根 据植物的生长情况针对性的处理；根据天气及病虫害情况对绿植喷洒不同的农药。</w:t>
      </w:r>
    </w:p>
    <w:p>
      <w:pPr>
        <w:ind w:firstLine="480" w:firstLineChars="200"/>
        <w:jc w:val="both"/>
        <w:rPr>
          <w:rFonts w:ascii="宋体" w:hAnsi="宋体" w:eastAsia="宋体" w:cs="宋体"/>
        </w:rPr>
      </w:pPr>
      <w:r>
        <w:rPr>
          <w:rFonts w:hint="eastAsia" w:ascii="宋体" w:hAnsi="宋体" w:eastAsia="宋体" w:cs="宋体"/>
        </w:rPr>
        <w:t>3.1.5绿化浇水，每月不少于 4 次，根据天气情况晴天每天对绿植全面进行浇水。</w:t>
      </w:r>
    </w:p>
    <w:p>
      <w:pPr>
        <w:ind w:firstLine="480" w:firstLineChars="200"/>
        <w:jc w:val="both"/>
        <w:rPr>
          <w:rFonts w:ascii="宋体" w:hAnsi="宋体" w:eastAsia="宋体" w:cs="宋体"/>
        </w:rPr>
      </w:pPr>
      <w:r>
        <w:rPr>
          <w:rFonts w:hint="eastAsia" w:ascii="宋体" w:hAnsi="宋体" w:eastAsia="宋体" w:cs="宋体"/>
        </w:rPr>
        <w:t>3.1.6室内盆栽维护，每月不少于 4 次，要求浇水及维护。</w:t>
      </w:r>
    </w:p>
    <w:p>
      <w:pPr>
        <w:ind w:firstLine="480" w:firstLineChars="200"/>
        <w:jc w:val="both"/>
        <w:rPr>
          <w:rFonts w:ascii="宋体" w:hAnsi="宋体" w:eastAsia="宋体" w:cs="宋体"/>
        </w:rPr>
      </w:pPr>
      <w:r>
        <w:rPr>
          <w:rFonts w:hint="eastAsia" w:ascii="宋体" w:hAnsi="宋体" w:eastAsia="宋体" w:cs="宋体"/>
        </w:rPr>
        <w:t>3.1.7应急处理，有被外部损坏临时安排处理的方案；有苗木缺失需补栽的方案；出现植物枯萎状况要及时查出原因并报告和处理的方案，及其他情况相关预案。</w:t>
      </w:r>
    </w:p>
    <w:p>
      <w:pPr>
        <w:ind w:firstLine="480" w:firstLineChars="200"/>
        <w:jc w:val="both"/>
        <w:rPr>
          <w:rFonts w:ascii="宋体" w:hAnsi="宋体" w:eastAsia="宋体" w:cs="宋体"/>
          <w:b/>
        </w:rPr>
      </w:pPr>
      <w:r>
        <w:rPr>
          <w:rFonts w:ascii="宋体" w:hAnsi="宋体" w:eastAsia="宋体" w:cs="宋体"/>
          <w:b/>
        </w:rPr>
        <w:t>3</w:t>
      </w:r>
      <w:r>
        <w:rPr>
          <w:rFonts w:hint="eastAsia" w:ascii="宋体" w:hAnsi="宋体" w:eastAsia="宋体" w:cs="宋体"/>
          <w:b/>
        </w:rPr>
        <w:t xml:space="preserve">.2服务标准 </w:t>
      </w:r>
    </w:p>
    <w:p>
      <w:pPr>
        <w:ind w:firstLine="480" w:firstLineChars="200"/>
        <w:jc w:val="both"/>
        <w:rPr>
          <w:rFonts w:ascii="宋体" w:hAnsi="宋体" w:eastAsia="宋体" w:cs="宋体"/>
        </w:rPr>
      </w:pPr>
      <w:r>
        <w:rPr>
          <w:rFonts w:hint="eastAsia" w:ascii="宋体" w:hAnsi="宋体" w:eastAsia="宋体" w:cs="宋体"/>
        </w:rPr>
        <w:t xml:space="preserve">3.2.1遵守国家和医院相关绿化规范和操作规程，实时卫生管理。提供除苗木外的所有必备耗材工具和设施设备等。 </w:t>
      </w:r>
    </w:p>
    <w:p>
      <w:pPr>
        <w:ind w:firstLine="480" w:firstLineChars="200"/>
        <w:jc w:val="both"/>
        <w:rPr>
          <w:rFonts w:ascii="宋体" w:hAnsi="宋体" w:eastAsia="宋体" w:cs="宋体"/>
        </w:rPr>
      </w:pPr>
      <w:r>
        <w:rPr>
          <w:rFonts w:hint="eastAsia" w:ascii="宋体" w:hAnsi="宋体" w:eastAsia="宋体" w:cs="宋体"/>
        </w:rPr>
        <w:t>3.2.2在服务过程中，因服务人员引发的各类安全事故（如树枝砸车伤人等情况）由物业公司承担全部责任和赔偿。大型树木每年定期修剪，保持树木的整洁美观。</w:t>
      </w:r>
    </w:p>
    <w:p>
      <w:pPr>
        <w:ind w:firstLine="480" w:firstLineChars="200"/>
        <w:jc w:val="both"/>
        <w:rPr>
          <w:rFonts w:ascii="宋体" w:hAnsi="宋体" w:eastAsia="宋体" w:cs="宋体"/>
          <w:b/>
        </w:rPr>
      </w:pPr>
      <w:r>
        <w:rPr>
          <w:rFonts w:ascii="宋体" w:hAnsi="宋体" w:eastAsia="宋体" w:cs="宋体"/>
          <w:b/>
        </w:rPr>
        <w:t>4</w:t>
      </w:r>
      <w:r>
        <w:rPr>
          <w:rFonts w:hint="eastAsia" w:ascii="宋体" w:hAnsi="宋体" w:eastAsia="宋体" w:cs="宋体"/>
          <w:b/>
        </w:rPr>
        <w:t>．生活垃圾及医疗废弃物处置服务内容及要求</w:t>
      </w:r>
    </w:p>
    <w:p>
      <w:pPr>
        <w:ind w:firstLine="480" w:firstLineChars="200"/>
        <w:jc w:val="both"/>
        <w:rPr>
          <w:rFonts w:ascii="宋体" w:hAnsi="宋体" w:eastAsia="宋体" w:cs="宋体"/>
          <w:b/>
        </w:rPr>
      </w:pPr>
      <w:r>
        <w:rPr>
          <w:rFonts w:ascii="宋体" w:hAnsi="宋体" w:eastAsia="宋体" w:cs="宋体"/>
          <w:b/>
        </w:rPr>
        <w:t>4</w:t>
      </w:r>
      <w:r>
        <w:rPr>
          <w:rFonts w:hint="eastAsia" w:ascii="宋体" w:hAnsi="宋体" w:eastAsia="宋体" w:cs="宋体"/>
          <w:b/>
        </w:rPr>
        <w:t>.1服务内容</w:t>
      </w:r>
    </w:p>
    <w:p>
      <w:pPr>
        <w:ind w:firstLine="480" w:firstLineChars="200"/>
        <w:jc w:val="both"/>
        <w:rPr>
          <w:rFonts w:ascii="宋体" w:hAnsi="宋体" w:eastAsia="宋体" w:cs="宋体"/>
        </w:rPr>
      </w:pPr>
      <w:r>
        <w:rPr>
          <w:rFonts w:hint="eastAsia" w:ascii="宋体" w:hAnsi="宋体" w:eastAsia="宋体" w:cs="宋体"/>
        </w:rPr>
        <w:t xml:space="preserve">服务范围内所有区域产生的生活垃圾及医疗废物的收集、转运、暂存、交接登记等。 </w:t>
      </w:r>
    </w:p>
    <w:p>
      <w:pPr>
        <w:ind w:firstLine="480" w:firstLineChars="200"/>
        <w:jc w:val="both"/>
        <w:rPr>
          <w:rFonts w:ascii="宋体" w:hAnsi="宋体" w:eastAsia="宋体" w:cs="宋体"/>
          <w:b/>
        </w:rPr>
      </w:pPr>
      <w:r>
        <w:rPr>
          <w:rFonts w:ascii="宋体" w:hAnsi="宋体" w:eastAsia="宋体" w:cs="宋体"/>
          <w:b/>
        </w:rPr>
        <w:t>4</w:t>
      </w:r>
      <w:r>
        <w:rPr>
          <w:rFonts w:hint="eastAsia" w:ascii="宋体" w:hAnsi="宋体" w:eastAsia="宋体" w:cs="宋体"/>
          <w:b/>
        </w:rPr>
        <w:t xml:space="preserve">.2服务标准 </w:t>
      </w:r>
    </w:p>
    <w:p>
      <w:pPr>
        <w:ind w:firstLine="480" w:firstLineChars="200"/>
        <w:jc w:val="both"/>
        <w:rPr>
          <w:rFonts w:ascii="宋体" w:hAnsi="宋体" w:eastAsia="宋体" w:cs="宋体"/>
        </w:rPr>
      </w:pPr>
      <w:r>
        <w:rPr>
          <w:rFonts w:hint="eastAsia" w:ascii="宋体" w:hAnsi="宋体" w:eastAsia="宋体" w:cs="宋体"/>
        </w:rPr>
        <w:t xml:space="preserve">4.2.1按照国家《医疗废物管理条例》等配套法律法规，在医院护理部、感染管理办公室、等相关部门专业监管指导下开展处置工作，按既定路线错峰实行每日两清、巡回分类收集机制和套袋装桶、加盖密闭转运暂存方式，各交接登记环节相关记录保存3年，传染病疫情等公共卫生事件期间相关处置工作遵照国家最新规定开展。 </w:t>
      </w:r>
    </w:p>
    <w:p>
      <w:pPr>
        <w:ind w:firstLine="480" w:firstLineChars="200"/>
        <w:jc w:val="both"/>
        <w:rPr>
          <w:rFonts w:ascii="宋体" w:hAnsi="宋体" w:eastAsia="宋体" w:cs="宋体"/>
        </w:rPr>
      </w:pPr>
      <w:r>
        <w:rPr>
          <w:rFonts w:hint="eastAsia" w:ascii="宋体" w:hAnsi="宋体" w:eastAsia="宋体" w:cs="宋体"/>
        </w:rPr>
        <w:t>4.2.2提供周转箱、回收车等所有必备器具和设备，使用信息化智能平台（软硬件物联网并负责安全、维保和更新）建立一站式分类收集、转运暂存、交接登记数据调度中心并可追踪、可查询、可汇总，确保源头数据与出院数据一致，所有医疗废物自医疗废物暂存处转交具备资质的处置单位。</w:t>
      </w:r>
    </w:p>
    <w:p>
      <w:pPr>
        <w:ind w:firstLine="480" w:firstLineChars="200"/>
        <w:jc w:val="both"/>
        <w:rPr>
          <w:rFonts w:ascii="宋体" w:hAnsi="宋体" w:eastAsia="宋体" w:cs="宋体"/>
        </w:rPr>
      </w:pPr>
      <w:r>
        <w:rPr>
          <w:rFonts w:hint="eastAsia" w:ascii="宋体" w:hAnsi="宋体" w:eastAsia="宋体" w:cs="宋体"/>
        </w:rPr>
        <w:t xml:space="preserve">4.2.3各部位收集暂存点医废容器或包装定置定位、有序摆放、规范监管，盛装量达容量3/4 时立即清理消杀并套黄色专用垃圾袋，所有医废容器或包装加盖密闭、美观整洁、整齐放置，各类医疗废物分类收集、装袋入桶、封口贴签，所用收集、转运、暂存器具即时完成清洁消毒。医废暂存处封闭加锁管理，规范张贴醒目标识，安全防护措施完备，每日 6 次完成设施和设备清洁消毒并留存工作记录，内外设施和环境管理规范、有序、整洁。医废处置全环节不得破坏公共设施和绿化环境，不得影响工作秩序和环境卫生，确保不落地、不洒漏、不遗失、无污染。 </w:t>
      </w:r>
    </w:p>
    <w:p>
      <w:pPr>
        <w:ind w:firstLine="480" w:firstLineChars="200"/>
        <w:jc w:val="both"/>
        <w:rPr>
          <w:rFonts w:ascii="宋体" w:hAnsi="宋体" w:eastAsia="宋体" w:cs="宋体"/>
        </w:rPr>
      </w:pPr>
      <w:r>
        <w:rPr>
          <w:rFonts w:hint="eastAsia" w:ascii="宋体" w:hAnsi="宋体" w:eastAsia="宋体" w:cs="宋体"/>
        </w:rPr>
        <w:t xml:space="preserve">4.2.4制定完备有效的应急预案，每月组织相关人员开展专项培训，每年完成 2 次应急演练并形成评估报告，妥善完成医疗废物流失、泄露、扩散和失窃等意外突发事故发生时的应急处置工作，服务人员须按规范和标准做好手卫生、自我防护和健康体检（每年2次并接种疫苗）。毒、麻、精、放和易制毒类高危药品的各材质瓶（袋）类包装物按规范和标准处理后再归入医废处置。 </w:t>
      </w:r>
    </w:p>
    <w:p>
      <w:pPr>
        <w:ind w:firstLine="480" w:firstLineChars="200"/>
        <w:jc w:val="both"/>
        <w:rPr>
          <w:rFonts w:ascii="宋体" w:hAnsi="宋体" w:eastAsia="宋体" w:cs="宋体"/>
        </w:rPr>
      </w:pPr>
      <w:r>
        <w:rPr>
          <w:rFonts w:hint="eastAsia" w:ascii="宋体" w:hAnsi="宋体" w:eastAsia="宋体" w:cs="宋体"/>
        </w:rPr>
        <w:t>4.2.5利用信息化方式体现全程管控、集中处置、强化监管、分工负责原则，及时清运率为100%，数据一致率为100%，档案完整率为100%，设施器具即时消杀率为100%，满意度为 100%，安全率100%，应急演练率为 100%，事故量为0，投诉量为0，严禁混运混存生活垃圾、可回收物、建筑垃圾和其他有害垃圾，严禁在医废暂存处存放其他无关物品和其他单位医疗废物，严禁任意抛弃室外无人监管，严禁在医废暂存处外的任何部位集中暂存医疗废物，严禁盗窃和倒卖医疗废物，严禁私自处置医疗废物，任何非法、违法和违规、违约等行为造成的一切损失由物业公司承担，并承担所有的行政责任和民事、刑事法律责任。</w:t>
      </w:r>
    </w:p>
    <w:p>
      <w:pPr>
        <w:pStyle w:val="4"/>
        <w:spacing w:before="0" w:after="0"/>
        <w:ind w:firstLine="480" w:firstLineChars="200"/>
        <w:jc w:val="both"/>
      </w:pPr>
      <w:r>
        <w:rPr>
          <w:rFonts w:hint="eastAsia"/>
        </w:rPr>
        <w:t>（三</w:t>
      </w:r>
      <w:r>
        <w:t>）</w:t>
      </w:r>
      <w:r>
        <w:rPr>
          <w:rFonts w:hint="eastAsia" w:ascii="宋体" w:hAnsi="宋体" w:cs="宋体"/>
          <w:szCs w:val="24"/>
        </w:rPr>
        <w:t>中央运送服务内容及要求</w:t>
      </w:r>
    </w:p>
    <w:p>
      <w:pPr>
        <w:ind w:firstLine="480" w:firstLineChars="200"/>
        <w:jc w:val="both"/>
        <w:rPr>
          <w:rFonts w:ascii="宋体" w:hAnsi="宋体" w:eastAsia="宋体" w:cs="宋体"/>
          <w:b/>
        </w:rPr>
      </w:pPr>
      <w:r>
        <w:rPr>
          <w:rFonts w:hint="eastAsia" w:ascii="宋体" w:hAnsi="宋体" w:eastAsia="宋体" w:cs="宋体"/>
          <w:b/>
        </w:rPr>
        <w:t>1、服务内容</w:t>
      </w:r>
    </w:p>
    <w:p>
      <w:pPr>
        <w:ind w:firstLine="480" w:firstLineChars="200"/>
        <w:jc w:val="both"/>
        <w:rPr>
          <w:rFonts w:ascii="宋体" w:hAnsi="宋体" w:eastAsia="宋体" w:cs="宋体"/>
        </w:rPr>
      </w:pPr>
      <w:r>
        <w:rPr>
          <w:rFonts w:hint="eastAsia" w:ascii="宋体" w:hAnsi="宋体" w:eastAsia="宋体" w:cs="宋体"/>
        </w:rPr>
        <w:t>服务内容包括各类常规、临时、急用的标本（如血、尿、大便、体液、组织等）、药品（如中草药、西成药、袋煎药、大液体等）、办公用品、器械耗材、被服敷料（包含手术室和供应室）、化学试剂、消毒物品、周转床、检验报告、医疗文书、住院患者等的循环运送、计划运送、预约运送、即时运送、驻守运送、多院区间的转运等。</w:t>
      </w:r>
    </w:p>
    <w:p>
      <w:pPr>
        <w:ind w:firstLine="480" w:firstLineChars="200"/>
        <w:jc w:val="both"/>
        <w:rPr>
          <w:rFonts w:ascii="宋体" w:hAnsi="宋体" w:eastAsia="宋体" w:cs="宋体"/>
        </w:rPr>
      </w:pPr>
      <w:r>
        <w:rPr>
          <w:rFonts w:hint="eastAsia" w:ascii="宋体" w:hAnsi="宋体" w:eastAsia="宋体" w:cs="宋体"/>
        </w:rPr>
        <w:t>1.1 24小时运送调度中心：创建院内24小时调度服务中心，区分医用及患用两条热线服务，调度系统可实现与招标人医用系统端口对接。</w:t>
      </w:r>
    </w:p>
    <w:p>
      <w:pPr>
        <w:ind w:firstLine="480" w:firstLineChars="200"/>
        <w:jc w:val="both"/>
        <w:rPr>
          <w:rFonts w:ascii="宋体" w:hAnsi="宋体" w:eastAsia="宋体" w:cs="宋体"/>
        </w:rPr>
      </w:pPr>
      <w:r>
        <w:rPr>
          <w:rFonts w:hint="eastAsia" w:ascii="宋体" w:hAnsi="宋体" w:eastAsia="宋体" w:cs="宋体"/>
        </w:rPr>
        <w:t>1.2病人运送：专注于院内病患运送，包含病患转床或转科、带领住院患者做各项检查、运送手术患者、救护车随车担架服务等。</w:t>
      </w:r>
    </w:p>
    <w:p>
      <w:pPr>
        <w:ind w:firstLine="480" w:firstLineChars="200"/>
        <w:jc w:val="both"/>
        <w:rPr>
          <w:rFonts w:ascii="宋体" w:hAnsi="宋体" w:eastAsia="宋体" w:cs="宋体"/>
        </w:rPr>
      </w:pPr>
      <w:r>
        <w:rPr>
          <w:rFonts w:hint="eastAsia" w:ascii="宋体" w:hAnsi="宋体" w:eastAsia="宋体" w:cs="宋体"/>
        </w:rPr>
        <w:t>1.3物品运送：帮助院内各项标本、血气运送，收送医技科室纸质检查结果、收送会诊预约单、午间、夜间药品运送、收送消毒包等。</w:t>
      </w:r>
    </w:p>
    <w:p>
      <w:pPr>
        <w:ind w:firstLine="480" w:firstLineChars="200"/>
        <w:jc w:val="both"/>
        <w:rPr>
          <w:rFonts w:ascii="宋体" w:hAnsi="宋体" w:eastAsia="宋体" w:cs="宋体"/>
        </w:rPr>
      </w:pPr>
      <w:r>
        <w:rPr>
          <w:rFonts w:hint="eastAsia" w:ascii="宋体" w:hAnsi="宋体" w:eastAsia="宋体" w:cs="宋体"/>
        </w:rPr>
        <w:t xml:space="preserve">1.4辅助医疗服务：协助完成辅助医疗服务，及其他临时运送任务，主要包括（但不仅限于）：院外义诊会场布置、院外宣传现场布置、小型物品搬运等。 </w:t>
      </w:r>
    </w:p>
    <w:p>
      <w:pPr>
        <w:ind w:firstLine="480" w:firstLineChars="200"/>
        <w:jc w:val="both"/>
        <w:rPr>
          <w:rFonts w:ascii="宋体" w:hAnsi="宋体" w:eastAsia="宋体" w:cs="宋体"/>
          <w:b/>
        </w:rPr>
      </w:pPr>
      <w:r>
        <w:rPr>
          <w:rFonts w:hint="eastAsia" w:ascii="宋体" w:hAnsi="宋体" w:eastAsia="宋体" w:cs="宋体"/>
          <w:b/>
        </w:rPr>
        <w:t>2、服务标准</w:t>
      </w:r>
    </w:p>
    <w:p>
      <w:pPr>
        <w:ind w:firstLine="480" w:firstLineChars="200"/>
        <w:jc w:val="both"/>
        <w:rPr>
          <w:rFonts w:ascii="宋体" w:hAnsi="宋体" w:eastAsia="宋体" w:cs="宋体"/>
        </w:rPr>
      </w:pPr>
      <w:r>
        <w:rPr>
          <w:rFonts w:hint="eastAsia" w:ascii="宋体" w:hAnsi="宋体" w:eastAsia="宋体" w:cs="宋体"/>
        </w:rPr>
        <w:t>2.1运送调度中心24小时为临床服务：中标方应配备相应的信息化系统及配套的通讯设施并保证通讯畅通；每月统计运送项目及综合分析统计数据，并向分管部门上报相关信息；临床医技、普通科室固定循环应当不少于 5 次/天；手术室、ICU、血液透析室、急诊科、消毒供应室、检验科等重点科室派专人驻守。及时响应临床医技科室需求，原则上应在25分钟内到达现场，急查急送要求15分钟内到达；接收、运送住院患者各类常规血、便标本，常规标本在60分钟内送达检验科；接收、运送住院患者各类急查标本，在科室提出需求30分钟内送达目的地；术中冰冻标本运送：在接到通知后15分钟内送达病理科。</w:t>
      </w:r>
    </w:p>
    <w:p>
      <w:pPr>
        <w:ind w:firstLine="480" w:firstLineChars="200"/>
        <w:jc w:val="both"/>
        <w:rPr>
          <w:rFonts w:ascii="宋体" w:hAnsi="宋体" w:eastAsia="宋体" w:cs="宋体"/>
        </w:rPr>
      </w:pPr>
      <w:r>
        <w:rPr>
          <w:rFonts w:hint="eastAsia" w:ascii="宋体" w:hAnsi="宋体" w:eastAsia="宋体" w:cs="宋体"/>
        </w:rPr>
        <w:t>2.2负责患者的转院、转床、转科的运送服务；按规范负责全院手术患者的接送服务；负责住院及危重患者各种陪检，主要包括（但不仅限于）CT、MRI、DR、B超、介入检查及治疗、内窥镜、肺功能检查、妇科检查及治疗、神经电生理检查、心电图、放疗检查及治疗等检查项目，急重患者无医务人员陪同不得运送；急诊科设置24小时驻守服务，介入室根据手术计划安排接送手术病患（每日病人运送结束时间以手术结束时间为准）。</w:t>
      </w:r>
    </w:p>
    <w:p>
      <w:pPr>
        <w:ind w:firstLine="480" w:firstLineChars="200"/>
        <w:jc w:val="both"/>
        <w:rPr>
          <w:rFonts w:ascii="宋体" w:hAnsi="宋体" w:eastAsia="宋体" w:cs="宋体"/>
        </w:rPr>
      </w:pPr>
      <w:r>
        <w:rPr>
          <w:rFonts w:hint="eastAsia" w:ascii="宋体" w:hAnsi="宋体" w:eastAsia="宋体" w:cs="宋体"/>
        </w:rPr>
        <w:t xml:space="preserve">2.3物品运送：运送内容主要包括（但不仅限于）：收送各种标本、手术通知单、会诊单；收送检查预约单并预约，取各种检查结果；协助领取办公用品、物资、医用耗材、一次用品的领取和送达，除毒麻药品、输血标本外的消毒用品、洗涤用品等领取和送达；空血袋封装后送输血科回收；设备借用、送修及取还；消毒供应室：负责全院器械、手术室包、灭菌包、消毒物品的下收下送，一次性用品的领取和送达，手术室布类包的分类折叠。 </w:t>
      </w:r>
    </w:p>
    <w:p>
      <w:pPr>
        <w:ind w:firstLine="480" w:firstLineChars="200"/>
        <w:jc w:val="both"/>
        <w:rPr>
          <w:rFonts w:ascii="宋体" w:hAnsi="宋体" w:eastAsia="宋体" w:cs="宋体"/>
        </w:rPr>
      </w:pPr>
      <w:r>
        <w:rPr>
          <w:rFonts w:hint="eastAsia" w:ascii="宋体" w:hAnsi="宋体" w:eastAsia="宋体" w:cs="宋体"/>
        </w:rPr>
        <w:t xml:space="preserve">2.4 ICU 驻守服务：协助护士完成生活护理，标本运送，药品运送（不含毒麻药品/贵重药品）等。 </w:t>
      </w:r>
    </w:p>
    <w:p>
      <w:pPr>
        <w:ind w:firstLine="480" w:firstLineChars="200"/>
        <w:jc w:val="both"/>
        <w:rPr>
          <w:rFonts w:ascii="宋体" w:hAnsi="宋体" w:eastAsia="宋体" w:cs="宋体"/>
        </w:rPr>
      </w:pPr>
      <w:r>
        <w:rPr>
          <w:rFonts w:hint="eastAsia" w:ascii="宋体" w:hAnsi="宋体" w:eastAsia="宋体" w:cs="宋体"/>
        </w:rPr>
        <w:t xml:space="preserve">2.5手术室驻守服务：术中/术后标本送病理科，负责物资领取，报表等送相关科室，仪器设备送修/检等。  </w:t>
      </w:r>
    </w:p>
    <w:p>
      <w:pPr>
        <w:ind w:firstLine="480" w:firstLineChars="200"/>
        <w:jc w:val="both"/>
        <w:rPr>
          <w:rFonts w:ascii="宋体" w:hAnsi="宋体" w:eastAsia="宋体" w:cs="宋体"/>
        </w:rPr>
      </w:pPr>
      <w:r>
        <w:rPr>
          <w:rFonts w:hint="eastAsia" w:ascii="宋体" w:hAnsi="宋体" w:eastAsia="宋体" w:cs="宋体"/>
        </w:rPr>
        <w:t xml:space="preserve">2.6药房：中午、夜间（12:00-14:00  18:00-8:00）药品运送，处方片剂药、针剂、口服药等送达各病区并完成数量清点及书面交接手续，如无特殊原因应在1小时内送至目的科室。 </w:t>
      </w:r>
    </w:p>
    <w:p>
      <w:pPr>
        <w:ind w:firstLine="480" w:firstLineChars="200"/>
        <w:jc w:val="both"/>
        <w:rPr>
          <w:rFonts w:ascii="宋体" w:hAnsi="宋体" w:eastAsia="宋体" w:cs="宋体"/>
        </w:rPr>
      </w:pPr>
      <w:r>
        <w:rPr>
          <w:rFonts w:hint="eastAsia" w:ascii="宋体" w:hAnsi="宋体" w:eastAsia="宋体" w:cs="宋体"/>
        </w:rPr>
        <w:t>2.7检验科及病理科：负责标本前置处理、高压处理废弃标本（特殊岗位），协助领取物资等。</w:t>
      </w:r>
    </w:p>
    <w:p>
      <w:pPr>
        <w:ind w:firstLine="480" w:firstLineChars="200"/>
        <w:jc w:val="both"/>
        <w:rPr>
          <w:rFonts w:ascii="宋体" w:hAnsi="宋体" w:eastAsia="宋体" w:cs="宋体"/>
        </w:rPr>
      </w:pPr>
      <w:r>
        <w:rPr>
          <w:rFonts w:hint="eastAsia" w:ascii="宋体" w:hAnsi="宋体" w:eastAsia="宋体" w:cs="宋体"/>
        </w:rPr>
        <w:t xml:space="preserve">2.8遵守国家和医院相关运送规范和操作规程，执行 24 小时服务制度、限时完成制度、防护保全制度、消毒隔离制度、核验查对制度、分类标识制度、隐私保密制度等。 </w:t>
      </w:r>
    </w:p>
    <w:p>
      <w:pPr>
        <w:ind w:firstLine="480" w:firstLineChars="200"/>
        <w:jc w:val="both"/>
        <w:rPr>
          <w:rFonts w:ascii="宋体" w:hAnsi="宋体" w:eastAsia="宋体" w:cs="宋体"/>
        </w:rPr>
      </w:pPr>
      <w:r>
        <w:rPr>
          <w:rFonts w:hint="eastAsia" w:ascii="宋体" w:hAnsi="宋体" w:eastAsia="宋体" w:cs="宋体"/>
        </w:rPr>
        <w:t xml:space="preserve">2.9提供电话、对讲机、运送车、周转箱等所有必备工具和设备并确保清洁、完好、安全，使用信息化智能平台（软硬件物联网并负责安全、维保和更新）建立一站式申请、接单、交接、回访数据调度中心并可追踪、可查询、可汇总，员工管理施行抢单积分制绩效激励机制。 </w:t>
      </w:r>
    </w:p>
    <w:p>
      <w:pPr>
        <w:ind w:firstLine="480" w:firstLineChars="200"/>
        <w:jc w:val="both"/>
        <w:rPr>
          <w:rFonts w:ascii="宋体" w:hAnsi="宋体" w:eastAsia="宋体" w:cs="宋体"/>
        </w:rPr>
      </w:pPr>
      <w:r>
        <w:rPr>
          <w:rFonts w:hint="eastAsia" w:ascii="宋体" w:hAnsi="宋体" w:eastAsia="宋体" w:cs="宋体"/>
        </w:rPr>
        <w:t xml:space="preserve">2.10 10分钟内现场到达准时率为100%，限时完成及时率为100% 每项不同），准确率为100%，安全率为100%，满意度为100%，事故量为 0，投诉量为 0。 </w:t>
      </w:r>
    </w:p>
    <w:p>
      <w:pPr>
        <w:ind w:firstLine="480" w:firstLineChars="200"/>
        <w:jc w:val="both"/>
        <w:rPr>
          <w:rFonts w:ascii="宋体" w:hAnsi="宋体" w:eastAsia="宋体" w:cs="宋体"/>
        </w:rPr>
      </w:pPr>
      <w:r>
        <w:rPr>
          <w:rFonts w:hint="eastAsia" w:ascii="宋体" w:hAnsi="宋体" w:eastAsia="宋体" w:cs="宋体"/>
        </w:rPr>
        <w:t xml:space="preserve">2.11 服务人员须按规范和标准做好手卫生、自我防护和健康体检（每年 2 次并接种疫苗），在医院有关部门和人员专业指导下开展服务，因服务人员工作失误和瑕疵造成的任何损失和差错由物业公司承担赔偿。  </w:t>
      </w:r>
    </w:p>
    <w:p>
      <w:pPr>
        <w:ind w:firstLine="480" w:firstLineChars="200"/>
        <w:jc w:val="both"/>
        <w:rPr>
          <w:rFonts w:ascii="宋体" w:hAnsi="宋体" w:eastAsia="宋体" w:cs="宋体"/>
        </w:rPr>
      </w:pPr>
      <w:r>
        <w:rPr>
          <w:rFonts w:hint="eastAsia" w:ascii="宋体" w:hAnsi="宋体" w:eastAsia="宋体" w:cs="宋体"/>
        </w:rPr>
        <w:t xml:space="preserve">2.12 服务人员须按规范和标准做好手卫生、自我防护和健康体检。 </w:t>
      </w:r>
    </w:p>
    <w:p>
      <w:pPr>
        <w:ind w:firstLine="480" w:firstLineChars="200"/>
        <w:jc w:val="both"/>
        <w:rPr>
          <w:rFonts w:ascii="宋体" w:hAnsi="宋体" w:eastAsia="宋体" w:cs="宋体"/>
        </w:rPr>
      </w:pPr>
      <w:r>
        <w:rPr>
          <w:rFonts w:hint="eastAsia" w:ascii="宋体" w:hAnsi="宋体" w:eastAsia="宋体" w:cs="宋体"/>
        </w:rPr>
        <w:t>2.13 患者运送工作要求：</w:t>
      </w:r>
    </w:p>
    <w:p>
      <w:pPr>
        <w:ind w:firstLine="480" w:firstLineChars="200"/>
        <w:jc w:val="both"/>
        <w:rPr>
          <w:rFonts w:ascii="宋体" w:hAnsi="宋体" w:eastAsia="宋体" w:cs="宋体"/>
        </w:rPr>
      </w:pPr>
      <w:r>
        <w:rPr>
          <w:rFonts w:hint="eastAsia" w:ascii="宋体" w:hAnsi="宋体" w:eastAsia="宋体" w:cs="宋体"/>
        </w:rPr>
        <w:t>2.13.1陪检员需礼貌待患，语言文明，周到服务；</w:t>
      </w:r>
    </w:p>
    <w:p>
      <w:pPr>
        <w:ind w:firstLine="480" w:firstLineChars="200"/>
        <w:jc w:val="both"/>
        <w:rPr>
          <w:rFonts w:ascii="宋体" w:hAnsi="宋体" w:eastAsia="宋体" w:cs="宋体"/>
        </w:rPr>
      </w:pPr>
      <w:r>
        <w:rPr>
          <w:rFonts w:hint="eastAsia" w:ascii="宋体" w:hAnsi="宋体" w:eastAsia="宋体" w:cs="宋体"/>
        </w:rPr>
        <w:t>2.13.2遵守医院的各项规章制度，准确无误的完成各项取送检工作；</w:t>
      </w:r>
    </w:p>
    <w:p>
      <w:pPr>
        <w:ind w:firstLine="480" w:firstLineChars="200"/>
        <w:jc w:val="both"/>
        <w:rPr>
          <w:rFonts w:ascii="宋体" w:hAnsi="宋体" w:eastAsia="宋体" w:cs="宋体"/>
        </w:rPr>
      </w:pPr>
      <w:r>
        <w:rPr>
          <w:rFonts w:hint="eastAsia" w:ascii="宋体" w:hAnsi="宋体" w:eastAsia="宋体" w:cs="宋体"/>
        </w:rPr>
        <w:t>2.13.3每日按时到各病房取检查单；</w:t>
      </w:r>
    </w:p>
    <w:p>
      <w:pPr>
        <w:ind w:firstLine="480" w:firstLineChars="200"/>
        <w:jc w:val="both"/>
        <w:rPr>
          <w:rFonts w:ascii="宋体" w:hAnsi="宋体" w:eastAsia="宋体" w:cs="宋体"/>
        </w:rPr>
      </w:pPr>
      <w:r>
        <w:rPr>
          <w:rFonts w:hint="eastAsia" w:ascii="宋体" w:hAnsi="宋体" w:eastAsia="宋体" w:cs="宋体"/>
        </w:rPr>
        <w:t>2.13.4将已预约的各种检查的注意事项、检查时间通知患者，并引领有特殊需求患者（已预约）做相关检查。</w:t>
      </w:r>
    </w:p>
    <w:p>
      <w:pPr>
        <w:ind w:firstLine="480" w:firstLineChars="200"/>
        <w:jc w:val="both"/>
        <w:rPr>
          <w:rFonts w:ascii="宋体" w:hAnsi="宋体" w:eastAsia="宋体" w:cs="宋体"/>
        </w:rPr>
      </w:pPr>
      <w:r>
        <w:rPr>
          <w:rFonts w:hint="eastAsia" w:ascii="宋体" w:hAnsi="宋体" w:eastAsia="宋体" w:cs="宋体"/>
        </w:rPr>
        <w:t>2.13.5陪检员应熟悉各病房及相关辅助科室的方位，掌握患者所检查项目的程序及注意事项，并耐心详细向患者解释检查要求，并得到患者配合；</w:t>
      </w:r>
    </w:p>
    <w:p>
      <w:pPr>
        <w:ind w:firstLine="480" w:firstLineChars="200"/>
        <w:jc w:val="both"/>
        <w:rPr>
          <w:rFonts w:ascii="宋体" w:hAnsi="宋体" w:eastAsia="宋体" w:cs="宋体"/>
        </w:rPr>
      </w:pPr>
      <w:r>
        <w:rPr>
          <w:rFonts w:hint="eastAsia" w:ascii="宋体" w:hAnsi="宋体" w:eastAsia="宋体" w:cs="宋体"/>
        </w:rPr>
        <w:t>2.13.6陪检员要处理好与相关检查科室及各病房的关系，如有问题及时反映；</w:t>
      </w:r>
    </w:p>
    <w:p>
      <w:pPr>
        <w:ind w:firstLine="480" w:firstLineChars="200"/>
        <w:jc w:val="both"/>
        <w:rPr>
          <w:rFonts w:ascii="宋体" w:hAnsi="宋体" w:eastAsia="宋体" w:cs="宋体"/>
        </w:rPr>
      </w:pPr>
      <w:r>
        <w:rPr>
          <w:rFonts w:hint="eastAsia" w:ascii="宋体" w:hAnsi="宋体" w:eastAsia="宋体" w:cs="宋体"/>
        </w:rPr>
        <w:t>2.13.7陪检员要对病房患者执行医嘱后的检查单进行认真核对，做详细记录，做到准确无误；</w:t>
      </w:r>
    </w:p>
    <w:p>
      <w:pPr>
        <w:ind w:firstLine="480" w:firstLineChars="200"/>
        <w:jc w:val="both"/>
        <w:rPr>
          <w:rFonts w:ascii="宋体" w:hAnsi="宋体" w:eastAsia="宋体" w:cs="宋体"/>
        </w:rPr>
      </w:pPr>
      <w:r>
        <w:rPr>
          <w:rFonts w:hint="eastAsia" w:ascii="宋体" w:hAnsi="宋体" w:eastAsia="宋体" w:cs="宋体"/>
        </w:rPr>
        <w:t>2.13.8陪检员要事先征求患者意见，尽量将患者引领至检查地点，无法送至检查地点的必须告知清楚检查科室的具体位置，无家属的陪同到目的地，重患必须有家属或医护人员共同陪同。对预约过的检查单及时进行查对是否完成。</w:t>
      </w:r>
    </w:p>
    <w:p>
      <w:pPr>
        <w:ind w:firstLine="480" w:firstLineChars="200"/>
        <w:jc w:val="both"/>
        <w:rPr>
          <w:rFonts w:ascii="宋体" w:hAnsi="宋体" w:eastAsia="宋体" w:cs="宋体"/>
        </w:rPr>
      </w:pPr>
      <w:r>
        <w:rPr>
          <w:rFonts w:hint="eastAsia" w:ascii="宋体" w:hAnsi="宋体" w:eastAsia="宋体" w:cs="宋体"/>
        </w:rPr>
        <w:t>2.14 重点科室运送驻守工作要求：</w:t>
      </w:r>
    </w:p>
    <w:p>
      <w:pPr>
        <w:ind w:firstLine="480" w:firstLineChars="200"/>
        <w:jc w:val="both"/>
        <w:rPr>
          <w:rFonts w:ascii="宋体" w:hAnsi="宋体" w:eastAsia="宋体" w:cs="宋体"/>
        </w:rPr>
      </w:pPr>
      <w:r>
        <w:rPr>
          <w:rFonts w:hint="eastAsia" w:ascii="宋体" w:hAnsi="宋体" w:eastAsia="宋体" w:cs="宋体"/>
        </w:rPr>
        <w:t>主要负责为重点科室患者、医护人员更换及保管被服，清洗、浸泡扫床毛巾，送修各种仪器等。手术室、苏醒室接送患者，及配备、清洗手术物品等工作。做好术间开台前、术中及终末的清扫及消毒处理等工作。</w:t>
      </w:r>
    </w:p>
    <w:p>
      <w:pPr>
        <w:ind w:firstLine="480" w:firstLineChars="200"/>
        <w:jc w:val="both"/>
        <w:rPr>
          <w:rFonts w:ascii="宋体" w:hAnsi="宋体" w:eastAsia="宋体" w:cs="宋体"/>
        </w:rPr>
      </w:pPr>
      <w:r>
        <w:rPr>
          <w:rFonts w:hint="eastAsia" w:ascii="宋体" w:hAnsi="宋体" w:eastAsia="宋体" w:cs="宋体"/>
        </w:rPr>
        <w:t>2.15重点科室驻守人员工作要求</w:t>
      </w:r>
    </w:p>
    <w:p>
      <w:pPr>
        <w:ind w:firstLine="480" w:firstLineChars="200"/>
        <w:jc w:val="both"/>
        <w:rPr>
          <w:rFonts w:ascii="宋体" w:hAnsi="宋体" w:eastAsia="宋体" w:cs="宋体"/>
        </w:rPr>
      </w:pPr>
      <w:r>
        <w:rPr>
          <w:rFonts w:hint="eastAsia" w:ascii="宋体" w:hAnsi="宋体" w:eastAsia="宋体" w:cs="宋体"/>
        </w:rPr>
        <w:t>2.15.1驻守人员需服从护士长的工作安排，不得违反医院及科室的有关规定；</w:t>
      </w:r>
    </w:p>
    <w:p>
      <w:pPr>
        <w:ind w:firstLine="480" w:firstLineChars="200"/>
        <w:jc w:val="both"/>
        <w:rPr>
          <w:rFonts w:ascii="宋体" w:hAnsi="宋体" w:eastAsia="宋体" w:cs="宋体"/>
        </w:rPr>
      </w:pPr>
      <w:r>
        <w:rPr>
          <w:rFonts w:hint="eastAsia" w:ascii="宋体" w:hAnsi="宋体" w:eastAsia="宋体" w:cs="宋体"/>
        </w:rPr>
        <w:t>2.15.2安全接送手术患者；</w:t>
      </w:r>
    </w:p>
    <w:p>
      <w:pPr>
        <w:ind w:firstLine="480" w:firstLineChars="200"/>
        <w:jc w:val="both"/>
        <w:rPr>
          <w:rFonts w:ascii="宋体" w:hAnsi="宋体" w:eastAsia="宋体" w:cs="宋体"/>
        </w:rPr>
      </w:pPr>
      <w:r>
        <w:rPr>
          <w:rFonts w:hint="eastAsia" w:ascii="宋体" w:hAnsi="宋体" w:eastAsia="宋体" w:cs="宋体"/>
        </w:rPr>
        <w:t>2.15.3做好手术室门卫工作，并发放手术相关物品、区域卫生、进入人员管理等工作；</w:t>
      </w:r>
    </w:p>
    <w:p>
      <w:pPr>
        <w:ind w:firstLine="480" w:firstLineChars="200"/>
        <w:jc w:val="both"/>
        <w:rPr>
          <w:rFonts w:ascii="宋体" w:hAnsi="宋体" w:eastAsia="宋体" w:cs="宋体"/>
        </w:rPr>
      </w:pPr>
      <w:r>
        <w:rPr>
          <w:rFonts w:hint="eastAsia" w:ascii="宋体" w:hAnsi="宋体" w:eastAsia="宋体" w:cs="宋体"/>
        </w:rPr>
        <w:t>2.15.4为手术患者传递血、送冰冻病理标本等；</w:t>
      </w:r>
    </w:p>
    <w:p>
      <w:pPr>
        <w:ind w:firstLine="480" w:firstLineChars="200"/>
        <w:jc w:val="both"/>
        <w:rPr>
          <w:rFonts w:ascii="宋体" w:hAnsi="宋体" w:eastAsia="宋体" w:cs="宋体"/>
        </w:rPr>
      </w:pPr>
      <w:r>
        <w:rPr>
          <w:rFonts w:hint="eastAsia" w:ascii="宋体" w:hAnsi="宋体" w:eastAsia="宋体" w:cs="宋体"/>
        </w:rPr>
        <w:t>2.15.5做好术间开台前、术中及终末的清扫及消毒处理，遵照医院要求做好消毒隔离工作。</w:t>
      </w:r>
    </w:p>
    <w:p>
      <w:pPr>
        <w:pStyle w:val="4"/>
        <w:spacing w:before="0" w:after="0"/>
        <w:ind w:firstLine="482"/>
        <w:rPr>
          <w:rFonts w:ascii="宋体" w:hAnsi="宋体" w:cs="宋体"/>
          <w:iCs/>
          <w:szCs w:val="24"/>
        </w:rPr>
      </w:pPr>
      <w:r>
        <w:rPr>
          <w:rFonts w:hint="eastAsia"/>
        </w:rPr>
        <w:t>（四</w:t>
      </w:r>
      <w:r>
        <w:t>）</w:t>
      </w:r>
      <w:r>
        <w:rPr>
          <w:rFonts w:hint="eastAsia" w:ascii="宋体" w:hAnsi="宋体" w:cs="宋体"/>
          <w:iCs/>
          <w:szCs w:val="24"/>
        </w:rPr>
        <w:t>秩序维护服务内容及要求</w:t>
      </w:r>
    </w:p>
    <w:p>
      <w:pPr>
        <w:ind w:firstLine="480" w:firstLineChars="200"/>
        <w:jc w:val="both"/>
        <w:rPr>
          <w:rFonts w:ascii="宋体" w:hAnsi="宋体" w:eastAsia="宋体" w:cs="宋体"/>
          <w:b/>
        </w:rPr>
      </w:pPr>
      <w:r>
        <w:rPr>
          <w:rFonts w:hint="eastAsia" w:ascii="宋体" w:hAnsi="宋体" w:eastAsia="宋体" w:cs="宋体"/>
          <w:b/>
        </w:rPr>
        <w:t>1.秩序维护服务内容</w:t>
      </w:r>
    </w:p>
    <w:p>
      <w:pPr>
        <w:ind w:firstLine="480" w:firstLineChars="200"/>
        <w:jc w:val="both"/>
        <w:rPr>
          <w:rFonts w:ascii="宋体" w:hAnsi="宋体" w:eastAsia="宋体" w:cs="宋体"/>
        </w:rPr>
      </w:pPr>
      <w:r>
        <w:rPr>
          <w:rFonts w:hint="eastAsia" w:ascii="宋体" w:hAnsi="宋体" w:eastAsia="宋体" w:cs="宋体"/>
        </w:rPr>
        <w:t>1.1常规服务：专注于对人的服务和对物的管理，包括大堂门卫、秩序维护、巡逻检查、中控值守、车场管理、工作交接等。</w:t>
      </w:r>
    </w:p>
    <w:p>
      <w:pPr>
        <w:ind w:firstLine="480" w:firstLineChars="200"/>
        <w:jc w:val="both"/>
        <w:rPr>
          <w:rFonts w:ascii="宋体" w:hAnsi="宋体" w:eastAsia="宋体" w:cs="宋体"/>
        </w:rPr>
      </w:pPr>
      <w:r>
        <w:rPr>
          <w:rFonts w:hint="eastAsia" w:ascii="宋体" w:hAnsi="宋体" w:eastAsia="宋体" w:cs="宋体"/>
        </w:rPr>
        <w:t>1.2控制管理：专注于人防、物防、技防的科学应用和有机结合，有效管控安全风险、及时消除安全隐患，致力于安全绩效最大化，包括出入控制、施工现场管控、化学危险品管控、安全隐患排除等。</w:t>
      </w:r>
    </w:p>
    <w:p>
      <w:pPr>
        <w:ind w:firstLine="480" w:firstLineChars="200"/>
        <w:jc w:val="both"/>
        <w:rPr>
          <w:rFonts w:ascii="宋体" w:hAnsi="宋体" w:eastAsia="宋体" w:cs="宋体"/>
        </w:rPr>
      </w:pPr>
      <w:r>
        <w:rPr>
          <w:rFonts w:hint="eastAsia" w:ascii="宋体" w:hAnsi="宋体" w:eastAsia="宋体" w:cs="宋体"/>
        </w:rPr>
        <w:t>1.3应急处置：事前有预案、事中有作为、事后有改进，包括极端天气、洪水等自然灾害应急处置，火灾、爆炸等突发事件应急处置，医闹、自杀等应急处置。</w:t>
      </w:r>
    </w:p>
    <w:p>
      <w:pPr>
        <w:ind w:firstLine="480" w:firstLineChars="200"/>
        <w:jc w:val="both"/>
        <w:rPr>
          <w:rFonts w:ascii="宋体" w:hAnsi="宋体" w:eastAsia="宋体" w:cs="宋体"/>
        </w:rPr>
      </w:pPr>
      <w:r>
        <w:rPr>
          <w:rFonts w:hint="eastAsia" w:ascii="宋体" w:hAnsi="宋体" w:eastAsia="宋体" w:cs="宋体"/>
        </w:rPr>
        <w:t>1.4检查维护：保障消防安全/生命安全相关设备和系统的安全运行，以及各类消防/安全器材的日常检查和维护。包括消防设备/系统的安全运行及自检，消防器材的日常检查/维护及安全隐患排除、钥匙管理等。</w:t>
      </w:r>
    </w:p>
    <w:p>
      <w:pPr>
        <w:ind w:firstLine="480" w:firstLineChars="200"/>
        <w:jc w:val="both"/>
        <w:rPr>
          <w:rFonts w:ascii="宋体" w:hAnsi="宋体" w:eastAsia="宋体" w:cs="宋体"/>
        </w:rPr>
      </w:pPr>
      <w:r>
        <w:rPr>
          <w:rFonts w:hint="eastAsia" w:ascii="宋体" w:hAnsi="宋体" w:eastAsia="宋体" w:cs="宋体"/>
        </w:rPr>
        <w:t>1.5自觉遵守国家法律法规和医院的规章制度，严格执勤，恪尽职守，积极维护门诊、住院楼、辅助楼、人员密集场所、重点部位等医院业务工作范围各区域的安全秩序、保障现场安全，并协助做好各服务窗口分流引导相关工作。</w:t>
      </w:r>
    </w:p>
    <w:p>
      <w:pPr>
        <w:ind w:firstLine="480" w:firstLineChars="200"/>
        <w:jc w:val="both"/>
        <w:rPr>
          <w:rFonts w:ascii="宋体" w:hAnsi="宋体" w:eastAsia="宋体" w:cs="宋体"/>
        </w:rPr>
      </w:pPr>
      <w:r>
        <w:rPr>
          <w:rFonts w:hint="eastAsia" w:ascii="宋体" w:hAnsi="宋体" w:eastAsia="宋体" w:cs="宋体"/>
        </w:rPr>
        <w:t>1.6秩序维护人员上岗执勤时，须着装整齐，仪表庄重，依法文明执勤，不得敞开外衣，卷起裤脚、衣袖，领带必须结正，确保通讯畅通，及时联动协作。</w:t>
      </w:r>
    </w:p>
    <w:p>
      <w:pPr>
        <w:ind w:firstLine="480" w:firstLineChars="200"/>
        <w:jc w:val="both"/>
        <w:rPr>
          <w:rFonts w:ascii="宋体" w:hAnsi="宋体" w:eastAsia="宋体" w:cs="宋体"/>
        </w:rPr>
      </w:pPr>
      <w:r>
        <w:rPr>
          <w:rFonts w:hint="eastAsia" w:ascii="宋体" w:hAnsi="宋体" w:eastAsia="宋体" w:cs="宋体"/>
        </w:rPr>
        <w:t>1.7服从领导、听从指挥、团结同事、互帮互助，对院区内医托、涉医贩子、偷盗、碰瓷及诈骗等违法行为进行防范制止，协助公安机关进行调查、打击，对进场人员要进行逐人安检，每个主入口配备防爆装备（防爆头盔、防刺服、防爆盾牌、防割手套、防暴钢叉、抓捕器、强光手电、橡胶辊），安保人员熟练操作安检机，按时按质完成各项工作任务。</w:t>
      </w:r>
    </w:p>
    <w:p>
      <w:pPr>
        <w:ind w:firstLine="480" w:firstLineChars="200"/>
        <w:jc w:val="both"/>
        <w:rPr>
          <w:rFonts w:ascii="宋体" w:hAnsi="宋体" w:eastAsia="宋体" w:cs="宋体"/>
        </w:rPr>
      </w:pPr>
      <w:r>
        <w:rPr>
          <w:rFonts w:hint="eastAsia" w:ascii="宋体" w:hAnsi="宋体" w:eastAsia="宋体" w:cs="宋体"/>
        </w:rPr>
        <w:t>1.8熟悉掌握医院各科室的分布状况与治安情况及医院的环境、道路、电器设备和安防消防设施的位置、使用、检查等情况，善于和及时地发现治安、消防等安全隐患，做好消防、治安日常安全巡逻。</w:t>
      </w:r>
    </w:p>
    <w:p>
      <w:pPr>
        <w:ind w:firstLine="480" w:firstLineChars="200"/>
        <w:jc w:val="both"/>
        <w:rPr>
          <w:rFonts w:ascii="宋体" w:hAnsi="宋体" w:eastAsia="宋体" w:cs="宋体"/>
        </w:rPr>
      </w:pPr>
      <w:r>
        <w:rPr>
          <w:rFonts w:hint="eastAsia" w:ascii="宋体" w:hAnsi="宋体" w:eastAsia="宋体" w:cs="宋体"/>
        </w:rPr>
        <w:t xml:space="preserve">1.9严格执行值班登记制度。值班登记由当班人员负责记录。主要记载上级指示、交办的事项及值班期间发生和处理的问题，记录必须清晰、准确，不得随意涂改，由值班人员签字，并妥善保管。 </w:t>
      </w:r>
    </w:p>
    <w:p>
      <w:pPr>
        <w:ind w:firstLine="480" w:firstLineChars="200"/>
        <w:jc w:val="both"/>
        <w:rPr>
          <w:rFonts w:ascii="宋体" w:hAnsi="宋体" w:eastAsia="宋体" w:cs="宋体"/>
        </w:rPr>
      </w:pPr>
      <w:r>
        <w:rPr>
          <w:rFonts w:hint="eastAsia" w:ascii="宋体" w:hAnsi="宋体" w:eastAsia="宋体" w:cs="宋体"/>
        </w:rPr>
        <w:t xml:space="preserve">1.10严格遵守交接班制度，按规定的时间交接班。交班人员应告知本班发生的事件情况和处理结果，并交待需要继续办理的事项。接班者未到或未办理交接班手续，当班者不能离开。遇有特殊情况不能按时下班的须服从统一安排。 </w:t>
      </w:r>
    </w:p>
    <w:p>
      <w:pPr>
        <w:ind w:firstLine="480" w:firstLineChars="200"/>
        <w:jc w:val="both"/>
        <w:rPr>
          <w:rFonts w:ascii="宋体" w:hAnsi="宋体" w:eastAsia="宋体" w:cs="宋体"/>
        </w:rPr>
      </w:pPr>
      <w:r>
        <w:rPr>
          <w:rFonts w:hint="eastAsia" w:ascii="宋体" w:hAnsi="宋体" w:eastAsia="宋体" w:cs="宋体"/>
        </w:rPr>
        <w:t>1.11严格执行巡逻制度。秩序维护人员应流动巡视，加强对医院重点科室和重要岗位的安全护卫、巡查。日间每2小时一次，夜间不低于两次对全院区进行治安、防火安全巡查，提醒病人或家属保管好钱物和手机等贵重物品，收集登记遗失财物品并积极找寻失主，发现隐患及可疑人员及时处理、汇报，做好巡查记录。巡逻时须两人以上成行，提高警惕，保护自身安全。</w:t>
      </w:r>
    </w:p>
    <w:p>
      <w:pPr>
        <w:ind w:firstLine="480" w:firstLineChars="200"/>
        <w:jc w:val="both"/>
        <w:rPr>
          <w:rFonts w:ascii="宋体" w:hAnsi="宋体" w:eastAsia="宋体" w:cs="宋体"/>
        </w:rPr>
      </w:pPr>
      <w:r>
        <w:rPr>
          <w:rFonts w:hint="eastAsia" w:ascii="宋体" w:hAnsi="宋体" w:eastAsia="宋体" w:cs="宋体"/>
        </w:rPr>
        <w:t>1.12巡逻各区域时要及时发现处理各种治安、消防隐患，特别是要对各类安全设施设备是否完好在位、安全通道是否畅通等进行查验，防止火灾事故和各类治安案件的发生。遇火灾、自然灾害事故等公共安全突发事件，须履职进行抢救和疏导，控制事态发展并及时向上级报告，做好现场保护。在医院发生医患纠纷时，须立即履职介入，制止施暴行为，防范事态扩大，协作积极处置，维护工作人员人身财产安全和正常工作秩序。</w:t>
      </w:r>
    </w:p>
    <w:p>
      <w:pPr>
        <w:ind w:firstLine="480" w:firstLineChars="200"/>
        <w:jc w:val="both"/>
        <w:rPr>
          <w:rFonts w:ascii="宋体" w:hAnsi="宋体" w:eastAsia="宋体" w:cs="宋体"/>
        </w:rPr>
      </w:pPr>
      <w:r>
        <w:rPr>
          <w:rFonts w:hint="eastAsia" w:ascii="宋体" w:hAnsi="宋体" w:eastAsia="宋体" w:cs="宋体"/>
        </w:rPr>
        <w:t>1.13车场管理包含停车位的规划和管理，拥堵时的车辆引导及车辆安全防护措施，熟悉机械车位的管理以及操作，能够熟练操作机械车位，操作人员必须具有特种设备安全管理和作业人员证（项目代号A）配备移车器、锁车器、巡逻车。</w:t>
      </w:r>
    </w:p>
    <w:p>
      <w:pPr>
        <w:ind w:firstLine="480" w:firstLineChars="200"/>
        <w:jc w:val="both"/>
        <w:rPr>
          <w:rFonts w:ascii="宋体" w:hAnsi="宋体" w:eastAsia="宋体" w:cs="宋体"/>
        </w:rPr>
      </w:pPr>
      <w:r>
        <w:rPr>
          <w:rFonts w:hint="eastAsia" w:ascii="宋体" w:hAnsi="宋体" w:eastAsia="宋体" w:cs="宋体"/>
        </w:rPr>
        <w:t>1.14按要求完成其他临时性和指令性任务。</w:t>
      </w:r>
    </w:p>
    <w:p>
      <w:pPr>
        <w:ind w:firstLine="480" w:firstLineChars="200"/>
        <w:jc w:val="both"/>
        <w:rPr>
          <w:rFonts w:ascii="宋体" w:hAnsi="宋体" w:eastAsia="宋体" w:cs="宋体"/>
          <w:b/>
        </w:rPr>
      </w:pPr>
      <w:r>
        <w:rPr>
          <w:rFonts w:hint="eastAsia" w:ascii="宋体" w:hAnsi="宋体" w:eastAsia="宋体" w:cs="宋体"/>
          <w:b/>
        </w:rPr>
        <w:t>2.消防服务内容</w:t>
      </w:r>
    </w:p>
    <w:p>
      <w:pPr>
        <w:ind w:firstLine="480" w:firstLineChars="200"/>
        <w:jc w:val="both"/>
        <w:rPr>
          <w:rFonts w:ascii="宋体" w:hAnsi="宋体" w:eastAsia="宋体" w:cs="宋体"/>
        </w:rPr>
      </w:pPr>
      <w:r>
        <w:rPr>
          <w:rFonts w:hint="eastAsia" w:ascii="宋体" w:hAnsi="宋体" w:eastAsia="宋体" w:cs="宋体"/>
        </w:rPr>
        <w:t>2.1落实24小时全院区消防巡查，巡查各类消防设施设备是否完好在位、消防通道是否畅通，有无违规用电用油用火情况，巡查记录必须由医院各科室当班人员签字确认，异常情况当即处理并上报。进行医院范围内火灾的发现、报警、初起火灾的救援等工作。</w:t>
      </w:r>
    </w:p>
    <w:p>
      <w:pPr>
        <w:ind w:firstLine="480" w:firstLineChars="200"/>
        <w:jc w:val="both"/>
        <w:rPr>
          <w:rFonts w:ascii="宋体" w:hAnsi="宋体" w:eastAsia="宋体" w:cs="宋体"/>
        </w:rPr>
      </w:pPr>
      <w:r>
        <w:rPr>
          <w:rFonts w:hint="eastAsia" w:ascii="宋体" w:hAnsi="宋体" w:eastAsia="宋体" w:cs="宋体"/>
        </w:rPr>
        <w:t>2.2负责监视消防控制室内各种消防设备的运行状态，不得擅离职守，做好消防设施检查、操作等工作。熟悉本系统所采用消防设施系统基本原理、功能和监视控制系统的基本原理、功能，熟练掌握操作技术，协助技术人员进行修理、维护，不得擅自拆卸、挪用或停用，保障设备正常运行。</w:t>
      </w:r>
    </w:p>
    <w:p>
      <w:pPr>
        <w:ind w:firstLine="480" w:firstLineChars="200"/>
        <w:jc w:val="both"/>
        <w:rPr>
          <w:rFonts w:ascii="宋体" w:hAnsi="宋体" w:eastAsia="宋体" w:cs="宋体"/>
        </w:rPr>
      </w:pPr>
      <w:r>
        <w:rPr>
          <w:rFonts w:hint="eastAsia" w:ascii="宋体" w:hAnsi="宋体" w:eastAsia="宋体" w:cs="宋体"/>
        </w:rPr>
        <w:t>2.3严格履职禁止非监控室人员进入监控室，严禁违规触动、使用监控系统，监控室人员有权制止违规行为，特殊情况应及时向上级领导报告，听从安排。</w:t>
      </w:r>
    </w:p>
    <w:p>
      <w:pPr>
        <w:ind w:firstLine="480" w:firstLineChars="200"/>
        <w:jc w:val="both"/>
        <w:rPr>
          <w:rFonts w:ascii="宋体" w:hAnsi="宋体" w:eastAsia="宋体" w:cs="宋体"/>
        </w:rPr>
      </w:pPr>
      <w:r>
        <w:rPr>
          <w:rFonts w:hint="eastAsia" w:ascii="宋体" w:hAnsi="宋体" w:eastAsia="宋体" w:cs="宋体"/>
        </w:rPr>
        <w:t>2.4发生火灾时要立即确认，确认后须立即确认火灾报警联动控制开关处于自动状态，同时拨打“119”火警电话报警，立即发起启动内部灭火和应急疏散预案，并应同时报告单位负责人，并密切监控消防设备设施运行状态，及时准确掌握现场状况并作出相应措施。</w:t>
      </w:r>
    </w:p>
    <w:p>
      <w:pPr>
        <w:ind w:firstLine="480" w:firstLineChars="200"/>
        <w:jc w:val="both"/>
        <w:rPr>
          <w:rFonts w:ascii="宋体" w:hAnsi="宋体" w:eastAsia="宋体" w:cs="宋体"/>
        </w:rPr>
      </w:pPr>
      <w:r>
        <w:rPr>
          <w:rFonts w:hint="eastAsia" w:ascii="宋体" w:hAnsi="宋体" w:eastAsia="宋体" w:cs="宋体"/>
        </w:rPr>
        <w:t>2.5对消防控制室设备及通讯器材要按要求进行常态化检查，定期对各系统功能进行检查、试验，以确保消防设施各系统运行状况良好。做好交接班工作，认真填写值班记录及系统运行登记表、控制器日检登记表和交接班表等工作记录。</w:t>
      </w:r>
    </w:p>
    <w:p>
      <w:pPr>
        <w:ind w:firstLine="480" w:firstLineChars="200"/>
        <w:jc w:val="both"/>
        <w:rPr>
          <w:rFonts w:ascii="宋体" w:hAnsi="宋体" w:eastAsia="宋体" w:cs="宋体"/>
        </w:rPr>
      </w:pPr>
      <w:r>
        <w:rPr>
          <w:rFonts w:hint="eastAsia" w:ascii="宋体" w:hAnsi="宋体" w:eastAsia="宋体" w:cs="宋体"/>
        </w:rPr>
        <w:t>2.6宣传贯彻国家法律、法规，遵守医院相关管理制度，以高度的责任感完成各项技术工作和日常工作。</w:t>
      </w:r>
    </w:p>
    <w:p>
      <w:pPr>
        <w:ind w:firstLine="480" w:firstLineChars="200"/>
        <w:jc w:val="both"/>
        <w:rPr>
          <w:rFonts w:ascii="宋体" w:hAnsi="宋体" w:eastAsia="宋体" w:cs="宋体"/>
        </w:rPr>
      </w:pPr>
      <w:r>
        <w:rPr>
          <w:rFonts w:hint="eastAsia" w:ascii="宋体" w:hAnsi="宋体" w:eastAsia="宋体" w:cs="宋体"/>
        </w:rPr>
        <w:t>2.7积极参加消防专业培训演练，不断提高业务素质。</w:t>
      </w:r>
    </w:p>
    <w:p>
      <w:pPr>
        <w:ind w:firstLine="480" w:firstLineChars="200"/>
        <w:jc w:val="both"/>
        <w:rPr>
          <w:rFonts w:ascii="宋体" w:hAnsi="宋体" w:eastAsia="宋体" w:cs="宋体"/>
        </w:rPr>
      </w:pPr>
      <w:r>
        <w:rPr>
          <w:rFonts w:hint="eastAsia" w:ascii="宋体" w:hAnsi="宋体" w:eastAsia="宋体" w:cs="宋体"/>
        </w:rPr>
        <w:t>2.8每年定期对全院人员进行消防培训以及消防演练。</w:t>
      </w:r>
    </w:p>
    <w:p>
      <w:pPr>
        <w:ind w:firstLine="480" w:firstLineChars="200"/>
        <w:jc w:val="both"/>
        <w:rPr>
          <w:rFonts w:ascii="宋体" w:hAnsi="宋体" w:eastAsia="宋体" w:cs="宋体"/>
        </w:rPr>
      </w:pPr>
      <w:r>
        <w:rPr>
          <w:rFonts w:hint="eastAsia" w:ascii="宋体" w:hAnsi="宋体" w:eastAsia="宋体" w:cs="宋体"/>
        </w:rPr>
        <w:t>2.9按要求完成其他临时性和指令性任务。</w:t>
      </w:r>
    </w:p>
    <w:p>
      <w:pPr>
        <w:ind w:firstLine="480" w:firstLineChars="200"/>
        <w:jc w:val="both"/>
        <w:rPr>
          <w:rFonts w:ascii="宋体" w:hAnsi="宋体" w:eastAsia="宋体" w:cs="宋体"/>
          <w:b/>
        </w:rPr>
      </w:pPr>
      <w:r>
        <w:rPr>
          <w:rFonts w:hint="eastAsia" w:ascii="宋体" w:hAnsi="宋体" w:eastAsia="宋体" w:cs="宋体"/>
          <w:b/>
        </w:rPr>
        <w:t>3.服务要求</w:t>
      </w:r>
    </w:p>
    <w:p>
      <w:pPr>
        <w:ind w:firstLine="480" w:firstLineChars="200"/>
        <w:jc w:val="both"/>
        <w:rPr>
          <w:rFonts w:ascii="宋体" w:hAnsi="宋体" w:eastAsia="宋体" w:cs="宋体"/>
        </w:rPr>
      </w:pPr>
      <w:r>
        <w:rPr>
          <w:rFonts w:hint="eastAsia" w:ascii="宋体" w:hAnsi="宋体" w:eastAsia="宋体" w:cs="宋体"/>
        </w:rPr>
        <w:t>3.1投标人工作应在招标人或医院的领导及监管部门的指导下，按照招标人和监管部门的要求，认真组织、严密实施安全保卫工作。当行政主管部门正式发文对秩序维护、消防、治安、安检等工作提出新增要求与任务，投标投标人须无条件服从，并不得以此为由要求增加费用。</w:t>
      </w:r>
    </w:p>
    <w:p>
      <w:pPr>
        <w:ind w:firstLine="480" w:firstLineChars="200"/>
        <w:jc w:val="both"/>
        <w:rPr>
          <w:rFonts w:ascii="宋体" w:hAnsi="宋体" w:eastAsia="宋体" w:cs="宋体"/>
        </w:rPr>
      </w:pPr>
      <w:r>
        <w:rPr>
          <w:rFonts w:hint="eastAsia" w:ascii="宋体" w:hAnsi="宋体" w:eastAsia="宋体" w:cs="宋体"/>
        </w:rPr>
        <w:t>3.2投标人须严格遵守相关法律法规，并遵守招标人或医院的各项管理制度，包括合同执行期内国家最新发布的法律法规、行业标准和医院最新建立的制度。</w:t>
      </w:r>
    </w:p>
    <w:p>
      <w:pPr>
        <w:ind w:firstLine="480" w:firstLineChars="200"/>
        <w:jc w:val="both"/>
        <w:rPr>
          <w:rFonts w:ascii="宋体" w:hAnsi="宋体" w:eastAsia="宋体" w:cs="宋体"/>
        </w:rPr>
      </w:pPr>
      <w:r>
        <w:rPr>
          <w:rFonts w:hint="eastAsia" w:ascii="宋体" w:hAnsi="宋体" w:eastAsia="宋体" w:cs="宋体"/>
        </w:rPr>
        <w:t>3.3投标人须成立专门的管理机构，配属专职管理人员（管理人员按照医院要求进行配置）负责对接本项目管理部门，履行相关安全保卫职责，做好秩序维护队伍日常管理工作，并编制本项目组织架构图示及工作职责报医院备案。各管理人员根据医院要求,全权负责本项目或对应片区内的一切秩序维护事务，工作时间以外需保持通讯方式畅通，节假日安排相应值班人员，遇有突发事件及时到场处置。</w:t>
      </w:r>
    </w:p>
    <w:p>
      <w:pPr>
        <w:ind w:firstLine="480" w:firstLineChars="200"/>
        <w:jc w:val="both"/>
        <w:rPr>
          <w:rFonts w:ascii="宋体" w:hAnsi="宋体" w:eastAsia="宋体" w:cs="宋体"/>
        </w:rPr>
      </w:pPr>
      <w:r>
        <w:rPr>
          <w:rFonts w:hint="eastAsia" w:ascii="宋体" w:hAnsi="宋体" w:eastAsia="宋体" w:cs="宋体"/>
        </w:rPr>
        <w:t>3.4投标人须建立完善、全面、实用的培训教材，并按要求定期组织培训。</w:t>
      </w:r>
    </w:p>
    <w:p>
      <w:pPr>
        <w:ind w:firstLine="480" w:firstLineChars="200"/>
        <w:jc w:val="both"/>
        <w:rPr>
          <w:rFonts w:ascii="宋体" w:hAnsi="宋体" w:eastAsia="宋体" w:cs="宋体"/>
        </w:rPr>
      </w:pPr>
      <w:r>
        <w:rPr>
          <w:rFonts w:hint="eastAsia" w:ascii="宋体" w:hAnsi="宋体" w:eastAsia="宋体" w:cs="宋体"/>
        </w:rPr>
        <w:t>3.5投标人须保证秩序维护服装统一，着规范制式并符合医院实际需求的服装上岗。</w:t>
      </w:r>
    </w:p>
    <w:p>
      <w:pPr>
        <w:ind w:firstLine="480" w:firstLineChars="200"/>
        <w:jc w:val="both"/>
        <w:rPr>
          <w:rFonts w:ascii="宋体" w:hAnsi="宋体" w:eastAsia="宋体" w:cs="宋体"/>
        </w:rPr>
      </w:pPr>
      <w:r>
        <w:rPr>
          <w:rFonts w:hint="eastAsia" w:ascii="宋体" w:hAnsi="宋体" w:eastAsia="宋体" w:cs="宋体"/>
        </w:rPr>
        <w:t>3.6投标人须主动配合在医院管辖区域内开展法律法规、治安综治等宣传活动，医院有权要求投标投标人组织每年度不低于3次消防、治安综治等宣传活动，所有费用由投标投标人承担。</w:t>
      </w:r>
    </w:p>
    <w:p>
      <w:pPr>
        <w:ind w:firstLine="480" w:firstLineChars="200"/>
        <w:jc w:val="both"/>
        <w:rPr>
          <w:rFonts w:ascii="宋体" w:hAnsi="宋体" w:eastAsia="宋体" w:cs="宋体"/>
        </w:rPr>
      </w:pPr>
      <w:r>
        <w:rPr>
          <w:rFonts w:hint="eastAsia" w:ascii="宋体" w:hAnsi="宋体" w:eastAsia="宋体" w:cs="宋体"/>
        </w:rPr>
        <w:t>3.7每班设置一个班长岗位，并保证班长工休或因工离开时，有其他同等或高于其职位的人员代行职责,整体人数不得因人员休假而少于岗位实际需求。秩序维护人员不能到岗的，由投标投标人安排其他同岗位人员代替。因身体条件、岗位能力不符合岗位要求的秩序维护人员，医院有权要求退回，是否返岗由医院讨论决定，投标投标人须无条件配合并指派胜任人员顶替。</w:t>
      </w:r>
    </w:p>
    <w:p>
      <w:pPr>
        <w:ind w:firstLine="480" w:firstLineChars="200"/>
        <w:jc w:val="both"/>
        <w:rPr>
          <w:rFonts w:ascii="宋体" w:hAnsi="宋体" w:eastAsia="宋体" w:cs="宋体"/>
        </w:rPr>
      </w:pPr>
      <w:r>
        <w:rPr>
          <w:rFonts w:hint="eastAsia" w:ascii="宋体" w:hAnsi="宋体" w:eastAsia="宋体" w:cs="宋体"/>
        </w:rPr>
        <w:t>3.8所有法定节假日、重大事件及自然灾害等因素均不能作为中断服务的理由。</w:t>
      </w:r>
    </w:p>
    <w:p>
      <w:pPr>
        <w:ind w:firstLine="480" w:firstLineChars="200"/>
        <w:jc w:val="both"/>
        <w:rPr>
          <w:rFonts w:ascii="宋体" w:hAnsi="宋体" w:eastAsia="宋体" w:cs="宋体"/>
        </w:rPr>
      </w:pPr>
      <w:r>
        <w:rPr>
          <w:rFonts w:hint="eastAsia" w:ascii="宋体" w:hAnsi="宋体" w:eastAsia="宋体" w:cs="宋体"/>
        </w:rPr>
        <w:t>3.9医院需增加或减少秩序维护人数、调整工作岗位、调整工作内容时，医院以书面形式通知投标投标人，如事态紧迫，医院可事前进行电话或邮件通知，事后补齐书面文件，投标投标人须无条件配合。</w:t>
      </w:r>
    </w:p>
    <w:p>
      <w:pPr>
        <w:ind w:firstLine="480" w:firstLineChars="200"/>
        <w:jc w:val="both"/>
        <w:rPr>
          <w:rFonts w:ascii="宋体" w:hAnsi="宋体" w:eastAsia="宋体" w:cs="宋体"/>
        </w:rPr>
      </w:pPr>
      <w:r>
        <w:rPr>
          <w:rFonts w:hint="eastAsia" w:ascii="宋体" w:hAnsi="宋体" w:eastAsia="宋体" w:cs="宋体"/>
        </w:rPr>
        <w:t>3.10秩序维护服务管理人员调整前，投标投标人须通知医院，经医院同意后进行岗位调整。</w:t>
      </w:r>
    </w:p>
    <w:p>
      <w:pPr>
        <w:ind w:firstLine="480" w:firstLineChars="200"/>
        <w:jc w:val="both"/>
        <w:rPr>
          <w:rFonts w:ascii="宋体" w:hAnsi="宋体" w:eastAsia="宋体" w:cs="宋体"/>
        </w:rPr>
      </w:pPr>
      <w:r>
        <w:rPr>
          <w:rFonts w:hint="eastAsia" w:ascii="宋体" w:hAnsi="宋体" w:eastAsia="宋体" w:cs="宋体"/>
        </w:rPr>
        <w:t>3.11投标人须根据医院要求建立专项的秩序维护考核和激励机制，并报医院主管部门备案。秩序维护人员每月考核情况须报医院主管部门确认后方能执行。</w:t>
      </w:r>
    </w:p>
    <w:p>
      <w:pPr>
        <w:ind w:firstLine="480" w:firstLineChars="200"/>
        <w:jc w:val="both"/>
        <w:rPr>
          <w:rFonts w:ascii="宋体" w:hAnsi="宋体" w:eastAsia="宋体" w:cs="宋体"/>
        </w:rPr>
      </w:pPr>
      <w:r>
        <w:rPr>
          <w:rFonts w:hint="eastAsia" w:ascii="宋体" w:hAnsi="宋体" w:eastAsia="宋体" w:cs="宋体"/>
        </w:rPr>
        <w:t>3.12投标人应对新招聘秩序维护人员进行三级安全教育，不合格者不予上岗。</w:t>
      </w:r>
    </w:p>
    <w:p>
      <w:pPr>
        <w:ind w:firstLine="480" w:firstLineChars="200"/>
        <w:jc w:val="both"/>
        <w:rPr>
          <w:rFonts w:ascii="宋体" w:hAnsi="宋体" w:eastAsia="宋体" w:cs="宋体"/>
        </w:rPr>
      </w:pPr>
      <w:r>
        <w:rPr>
          <w:rFonts w:hint="eastAsia" w:ascii="宋体" w:hAnsi="宋体" w:eastAsia="宋体" w:cs="宋体"/>
        </w:rPr>
        <w:t>3.13投标人应按要求按需组织秩序维护人员常态培训演练，每月至少组织1次班组长会议；每季度不少于1次对秩序维护人员开展消防、治安法律法规、规章制度、专业技术知识、专业技能、专项应急预案等各类培训；每半年不少于1次应急演练，并留存会议记录、培训记录和演练记录向医院备案。</w:t>
      </w:r>
    </w:p>
    <w:p>
      <w:pPr>
        <w:ind w:firstLine="480" w:firstLineChars="200"/>
        <w:jc w:val="both"/>
        <w:rPr>
          <w:rFonts w:ascii="宋体" w:hAnsi="宋体" w:eastAsia="宋体" w:cs="宋体"/>
        </w:rPr>
      </w:pPr>
      <w:r>
        <w:rPr>
          <w:rFonts w:hint="eastAsia" w:ascii="宋体" w:hAnsi="宋体" w:eastAsia="宋体" w:cs="宋体"/>
        </w:rPr>
        <w:t>3.14投标人须服从医院管理，根据医院需求或紧急情况，派秩序维护人员跨院区提供秩序维护、安检服务。</w:t>
      </w:r>
    </w:p>
    <w:p>
      <w:pPr>
        <w:ind w:firstLine="480" w:firstLineChars="200"/>
        <w:jc w:val="both"/>
        <w:rPr>
          <w:rFonts w:ascii="宋体" w:hAnsi="宋体" w:eastAsia="宋体" w:cs="宋体"/>
        </w:rPr>
      </w:pPr>
      <w:r>
        <w:rPr>
          <w:rFonts w:hint="eastAsia" w:ascii="宋体" w:hAnsi="宋体" w:eastAsia="宋体" w:cs="宋体"/>
        </w:rPr>
        <w:t>3.15投标人须及时响应医院各类应急指令，按要求组织人员及物资到达指定地点参与应急处置，未按时响应或造成医院工作被动的，医院将依据相关制度扣款。</w:t>
      </w:r>
    </w:p>
    <w:p>
      <w:pPr>
        <w:ind w:firstLine="480" w:firstLineChars="200"/>
        <w:jc w:val="both"/>
        <w:rPr>
          <w:rFonts w:ascii="宋体" w:hAnsi="宋体" w:eastAsia="宋体" w:cs="宋体"/>
        </w:rPr>
      </w:pPr>
      <w:r>
        <w:rPr>
          <w:rFonts w:hint="eastAsia" w:ascii="宋体" w:hAnsi="宋体" w:eastAsia="宋体" w:cs="宋体"/>
        </w:rPr>
        <w:t>3.16投标人须根据本项目特点详细制订工作筹备及秩序维护接防方案，包括但不限于管理架构、人员筹备、物资筹备、岗位实习、现场踏勘、入场组织等内容。</w:t>
      </w:r>
    </w:p>
    <w:p>
      <w:pPr>
        <w:ind w:firstLine="480" w:firstLineChars="200"/>
        <w:jc w:val="both"/>
        <w:rPr>
          <w:rFonts w:ascii="宋体" w:hAnsi="宋体" w:eastAsia="宋体" w:cs="宋体"/>
        </w:rPr>
      </w:pPr>
      <w:r>
        <w:rPr>
          <w:rFonts w:hint="eastAsia" w:ascii="宋体" w:hAnsi="宋体" w:eastAsia="宋体" w:cs="宋体"/>
        </w:rPr>
        <w:t>3.17如果有医院向投标人提供的设备、设施、装备器材及工具仅限于用以投标人提供本项目服务，其所有权归招标人，发生损坏、遗失等情况时投标人应及时进行维修、补充、更换。</w:t>
      </w:r>
    </w:p>
    <w:p>
      <w:pPr>
        <w:ind w:firstLine="480" w:firstLineChars="200"/>
        <w:jc w:val="both"/>
        <w:rPr>
          <w:rFonts w:ascii="宋体" w:hAnsi="宋体" w:eastAsia="宋体" w:cs="宋体"/>
        </w:rPr>
      </w:pPr>
      <w:r>
        <w:rPr>
          <w:rFonts w:hint="eastAsia" w:ascii="宋体" w:hAnsi="宋体" w:eastAsia="宋体" w:cs="宋体"/>
        </w:rPr>
        <w:t>3.18投标人在接受医院设备、设施、装备器材及工器具时应向医院提交接收清单，双方在归还、安置或处理后对该清单进行调整及确认。</w:t>
      </w:r>
    </w:p>
    <w:p>
      <w:pPr>
        <w:ind w:firstLine="480" w:firstLineChars="200"/>
        <w:jc w:val="both"/>
        <w:rPr>
          <w:rFonts w:ascii="宋体" w:hAnsi="宋体" w:eastAsia="宋体" w:cs="宋体"/>
        </w:rPr>
      </w:pPr>
      <w:r>
        <w:rPr>
          <w:rFonts w:hint="eastAsia" w:ascii="宋体" w:hAnsi="宋体" w:eastAsia="宋体" w:cs="宋体"/>
        </w:rPr>
        <w:t>3.19在合同期限内，投标人应始终保证其团队服务人员的稳定和充足，并确保团队服务人员具有相应的专业资质和相应的从业经验。</w:t>
      </w:r>
    </w:p>
    <w:p>
      <w:pPr>
        <w:ind w:firstLine="480" w:firstLineChars="200"/>
        <w:jc w:val="both"/>
        <w:rPr>
          <w:rFonts w:ascii="宋体" w:hAnsi="宋体" w:eastAsia="宋体" w:cs="宋体"/>
        </w:rPr>
      </w:pPr>
      <w:r>
        <w:rPr>
          <w:rFonts w:hint="eastAsia" w:ascii="宋体" w:hAnsi="宋体" w:eastAsia="宋体" w:cs="宋体"/>
        </w:rPr>
        <w:t>3.20投标人应定期对所招聘的人员进行必要的背景调查，思想摸排等动态管理，确保秩序维护人员素质达标及队伍稳定。</w:t>
      </w:r>
    </w:p>
    <w:p>
      <w:pPr>
        <w:ind w:firstLine="480" w:firstLineChars="200"/>
        <w:jc w:val="both"/>
        <w:rPr>
          <w:rFonts w:ascii="宋体" w:hAnsi="宋体" w:eastAsia="宋体" w:cs="宋体"/>
        </w:rPr>
      </w:pPr>
      <w:r>
        <w:rPr>
          <w:rFonts w:hint="eastAsia" w:ascii="宋体" w:hAnsi="宋体" w:eastAsia="宋体" w:cs="宋体"/>
        </w:rPr>
        <w:t>3.21投标人与其聘用人员发生的任何纠纷，均由投标人负责调解与处理，医院不承担责任。</w:t>
      </w:r>
    </w:p>
    <w:p>
      <w:pPr>
        <w:ind w:firstLine="480" w:firstLineChars="200"/>
        <w:jc w:val="both"/>
        <w:rPr>
          <w:rFonts w:ascii="宋体" w:hAnsi="宋体" w:eastAsia="宋体" w:cs="宋体"/>
        </w:rPr>
      </w:pPr>
      <w:r>
        <w:rPr>
          <w:rFonts w:hint="eastAsia" w:ascii="宋体" w:hAnsi="宋体" w:eastAsia="宋体" w:cs="宋体"/>
        </w:rPr>
        <w:t>3.21投标人应为该项目提供秩序维护服务实际所需的各类秩序维护器材（盾牌、防暴头盔、防刺服、腰叉、脚叉等）和所有秩序维护人员单人装备（秩序维护服装、秩序维护腰带、防割手套、伸缩棍、手电筒等）、对讲机、取证记录仪，通过医院验收后方可投入使用，未经医院验收严禁投入使用，投标人应按配置要求保持装备使用状态良好，医院对要求更换的装备，投标人应无条件按照医院要求进行更换。</w:t>
      </w:r>
    </w:p>
    <w:p>
      <w:pPr>
        <w:ind w:firstLine="480" w:firstLineChars="200"/>
        <w:jc w:val="both"/>
        <w:rPr>
          <w:rFonts w:ascii="宋体" w:hAnsi="宋体" w:eastAsia="宋体" w:cs="宋体"/>
        </w:rPr>
      </w:pPr>
      <w:r>
        <w:rPr>
          <w:rFonts w:hint="eastAsia" w:ascii="宋体" w:hAnsi="宋体" w:eastAsia="宋体" w:cs="宋体"/>
        </w:rPr>
        <w:t>3.23投标人应按本项目情况从秩序维护勤务角度，详细设计和制订医院秩序维护勤务方案、人员备勤措施、突发事件处置等方案。</w:t>
      </w:r>
    </w:p>
    <w:p>
      <w:pPr>
        <w:ind w:firstLine="480" w:firstLineChars="200"/>
        <w:jc w:val="both"/>
        <w:rPr>
          <w:rFonts w:ascii="宋体" w:hAnsi="宋体" w:eastAsia="宋体" w:cs="宋体"/>
        </w:rPr>
      </w:pPr>
      <w:r>
        <w:rPr>
          <w:rFonts w:hint="eastAsia" w:ascii="宋体" w:hAnsi="宋体" w:eastAsia="宋体" w:cs="宋体"/>
        </w:rPr>
        <w:t>3.24整体人员平均年龄55岁以下，主体以男性为主不低于总人数的80%，中共党员、大专以上学历者、有从军、从警、消防工作经历者优先，条件优秀者可适当放宽。</w:t>
      </w:r>
    </w:p>
    <w:p>
      <w:pPr>
        <w:ind w:firstLine="480" w:firstLineChars="200"/>
        <w:jc w:val="both"/>
        <w:rPr>
          <w:rFonts w:ascii="宋体" w:hAnsi="宋体" w:eastAsia="宋体" w:cs="宋体"/>
        </w:rPr>
      </w:pPr>
      <w:r>
        <w:rPr>
          <w:rFonts w:hint="eastAsia" w:ascii="宋体" w:hAnsi="宋体" w:eastAsia="宋体" w:cs="宋体"/>
        </w:rPr>
        <w:t>3.25秩序维护人员应合理设定男女比例，原则上重要区域和夜班岗位秩序维护人员应为男性，女性秩序维护队员岗位由医院根据实际指定。</w:t>
      </w:r>
    </w:p>
    <w:p>
      <w:pPr>
        <w:ind w:firstLine="480" w:firstLineChars="200"/>
        <w:jc w:val="both"/>
        <w:rPr>
          <w:rFonts w:ascii="宋体" w:hAnsi="宋体" w:eastAsia="宋体" w:cs="宋体"/>
        </w:rPr>
      </w:pPr>
      <w:r>
        <w:rPr>
          <w:rFonts w:hint="eastAsia" w:ascii="宋体" w:hAnsi="宋体" w:eastAsia="宋体" w:cs="宋体"/>
        </w:rPr>
        <w:t>3.26身体健康、躯体匀称、五官端正、视力（矫正视力）1.0 以上、无纹身。</w:t>
      </w:r>
    </w:p>
    <w:p>
      <w:pPr>
        <w:ind w:firstLine="480" w:firstLineChars="200"/>
        <w:jc w:val="both"/>
        <w:rPr>
          <w:rFonts w:ascii="宋体" w:hAnsi="宋体" w:eastAsia="宋体" w:cs="宋体"/>
        </w:rPr>
      </w:pPr>
      <w:r>
        <w:rPr>
          <w:rFonts w:hint="eastAsia" w:ascii="宋体" w:hAnsi="宋体" w:eastAsia="宋体" w:cs="宋体"/>
        </w:rPr>
        <w:t>3.27遵纪守法，品行良好，服从管理，无刑事处罚、劳动教养、行政拘留、强制戒毒等违法犯罪和违纪记录。</w:t>
      </w:r>
    </w:p>
    <w:p>
      <w:pPr>
        <w:ind w:firstLine="480" w:firstLineChars="200"/>
        <w:jc w:val="both"/>
        <w:rPr>
          <w:rFonts w:ascii="宋体" w:hAnsi="宋体" w:eastAsia="宋体" w:cs="宋体"/>
        </w:rPr>
      </w:pPr>
      <w:r>
        <w:rPr>
          <w:rFonts w:hint="eastAsia" w:ascii="宋体" w:hAnsi="宋体" w:eastAsia="宋体" w:cs="宋体"/>
        </w:rPr>
        <w:t>3.28监控室/消防值守人员须具备消防等履职所需相关专业知识，具有较好的履职身体素质和流畅的语言表达能力。</w:t>
      </w:r>
    </w:p>
    <w:p>
      <w:pPr>
        <w:ind w:firstLine="480" w:firstLineChars="200"/>
        <w:jc w:val="both"/>
        <w:rPr>
          <w:rFonts w:ascii="宋体" w:hAnsi="宋体" w:eastAsia="宋体" w:cs="宋体"/>
        </w:rPr>
      </w:pPr>
      <w:r>
        <w:rPr>
          <w:rFonts w:hint="eastAsia" w:ascii="宋体" w:hAnsi="宋体" w:eastAsia="宋体" w:cs="宋体"/>
        </w:rPr>
        <w:t>3.29门岗、停车场管理、楼宇巡查人员须具备安防等履职所需相关专业知识，具有较好的履职身体素质和流畅的语言表达能力。</w:t>
      </w:r>
    </w:p>
    <w:p>
      <w:pPr>
        <w:ind w:firstLine="480" w:firstLineChars="200"/>
        <w:jc w:val="both"/>
        <w:rPr>
          <w:rFonts w:ascii="宋体" w:hAnsi="宋体" w:eastAsia="宋体" w:cs="宋体"/>
        </w:rPr>
      </w:pPr>
      <w:r>
        <w:rPr>
          <w:rFonts w:hint="eastAsia" w:ascii="宋体" w:hAnsi="宋体" w:eastAsia="宋体" w:cs="宋体"/>
        </w:rPr>
        <w:t>3.30人员不符合医院需求的，医院有权要求更换，投标投标人须无条件响应。</w:t>
      </w:r>
    </w:p>
    <w:p>
      <w:pPr>
        <w:pStyle w:val="4"/>
        <w:spacing w:before="0" w:after="0"/>
        <w:ind w:firstLine="482"/>
        <w:rPr>
          <w:rFonts w:ascii="宋体" w:hAnsi="宋体" w:cs="宋体"/>
          <w:iCs/>
          <w:szCs w:val="24"/>
        </w:rPr>
      </w:pPr>
      <w:r>
        <w:rPr>
          <w:rFonts w:hint="eastAsia"/>
        </w:rPr>
        <w:t>（五</w:t>
      </w:r>
      <w:r>
        <w:t>）</w:t>
      </w:r>
      <w:r>
        <w:rPr>
          <w:rFonts w:hint="eastAsia" w:ascii="宋体" w:hAnsi="宋体" w:cs="宋体"/>
          <w:szCs w:val="24"/>
        </w:rPr>
        <w:t>工程设施设备日常运行及维护维修服务内容及要求</w:t>
      </w:r>
    </w:p>
    <w:p>
      <w:pPr>
        <w:ind w:firstLine="480" w:firstLineChars="200"/>
        <w:jc w:val="both"/>
        <w:rPr>
          <w:rFonts w:ascii="宋体" w:hAnsi="宋体" w:eastAsia="宋体" w:cs="宋体"/>
          <w:b/>
        </w:rPr>
      </w:pPr>
      <w:r>
        <w:rPr>
          <w:rFonts w:hint="eastAsia" w:ascii="宋体" w:hAnsi="宋体" w:eastAsia="宋体" w:cs="宋体"/>
          <w:b/>
        </w:rPr>
        <w:t xml:space="preserve">1.服务内容 </w:t>
      </w:r>
    </w:p>
    <w:p>
      <w:pPr>
        <w:ind w:firstLine="480" w:firstLineChars="200"/>
        <w:jc w:val="both"/>
        <w:rPr>
          <w:rFonts w:ascii="宋体" w:hAnsi="宋体" w:eastAsia="宋体" w:cs="宋体"/>
        </w:rPr>
      </w:pPr>
      <w:r>
        <w:rPr>
          <w:rFonts w:hint="eastAsia" w:ascii="宋体" w:hAnsi="宋体" w:eastAsia="宋体" w:cs="宋体"/>
        </w:rPr>
        <w:t>1.1服务范围包含电梯系统、高低压配电系统、医用气体系统、暖通系统、电气设施、照明系统、供排水系统、污水处理系统、弱电系统、公共设施维护及其他配合院方的巡查检修、机房值守（包括水泵房、配电室、氧气站等）和防汛抢险等服务。日常综合维保巡检设备包含电气系统（变压器、高低压开关柜等）、给水系统（生活水箱、水泵等）、锅炉热水系统（热水箱、热循环泵等），等除医疗设备外的所有的运行设施设备的维修维护维保服务。</w:t>
      </w:r>
    </w:p>
    <w:p>
      <w:pPr>
        <w:ind w:firstLine="480" w:firstLineChars="200"/>
        <w:jc w:val="both"/>
        <w:rPr>
          <w:rFonts w:ascii="宋体" w:hAnsi="宋体" w:eastAsia="宋体" w:cs="宋体"/>
          <w:lang w:val="zh-CN"/>
        </w:rPr>
      </w:pPr>
      <w:r>
        <w:rPr>
          <w:rFonts w:hint="eastAsia" w:ascii="宋体" w:hAnsi="宋体" w:eastAsia="宋体" w:cs="宋体"/>
        </w:rPr>
        <w:t>1.2</w:t>
      </w:r>
      <w:r>
        <w:rPr>
          <w:rFonts w:hint="eastAsia" w:ascii="宋体" w:hAnsi="宋体" w:eastAsia="宋体" w:cs="宋体"/>
          <w:lang w:val="zh-CN"/>
        </w:rPr>
        <w:t>电梯系统</w:t>
      </w:r>
    </w:p>
    <w:p>
      <w:pPr>
        <w:numPr>
          <w:ilvl w:val="255"/>
          <w:numId w:val="0"/>
        </w:numPr>
        <w:ind w:firstLine="480" w:firstLineChars="200"/>
        <w:jc w:val="both"/>
        <w:rPr>
          <w:rFonts w:ascii="宋体" w:hAnsi="宋体" w:eastAsia="宋体" w:cs="宋体"/>
          <w:lang w:val="zh-CN"/>
        </w:rPr>
      </w:pPr>
      <w:r>
        <w:rPr>
          <w:rFonts w:hint="eastAsia" w:ascii="宋体" w:hAnsi="宋体" w:eastAsia="宋体" w:cs="宋体"/>
        </w:rPr>
        <w:t>1.2.1</w:t>
      </w:r>
      <w:r>
        <w:rPr>
          <w:rFonts w:hint="eastAsia" w:ascii="宋体" w:hAnsi="宋体" w:eastAsia="宋体" w:cs="宋体"/>
          <w:lang w:val="zh-CN"/>
        </w:rPr>
        <w:t>对电梯机房及轿厢进行巡回检查，对发现的问题进行记录并报维保单位进行维修。负责电梯所有维修及零配件的更换。</w:t>
      </w:r>
    </w:p>
    <w:p>
      <w:pPr>
        <w:numPr>
          <w:ilvl w:val="255"/>
          <w:numId w:val="0"/>
        </w:numPr>
        <w:ind w:firstLine="480" w:firstLineChars="200"/>
        <w:jc w:val="both"/>
        <w:rPr>
          <w:rFonts w:ascii="宋体" w:hAnsi="宋体" w:eastAsia="宋体" w:cs="宋体"/>
          <w:lang w:val="zh-CN"/>
        </w:rPr>
      </w:pPr>
      <w:r>
        <w:rPr>
          <w:rFonts w:hint="eastAsia" w:ascii="宋体" w:hAnsi="宋体" w:eastAsia="宋体" w:cs="宋体"/>
        </w:rPr>
        <w:t>1.2.2</w:t>
      </w:r>
      <w:r>
        <w:rPr>
          <w:rFonts w:hint="eastAsia" w:ascii="宋体" w:hAnsi="宋体" w:eastAsia="宋体" w:cs="宋体"/>
          <w:lang w:val="zh-CN"/>
        </w:rPr>
        <w:t>配合并监督电梯专业维保单位进行每月2次的维护保养及季度、年度检查。</w:t>
      </w:r>
    </w:p>
    <w:p>
      <w:pPr>
        <w:numPr>
          <w:ilvl w:val="255"/>
          <w:numId w:val="0"/>
        </w:numPr>
        <w:ind w:firstLine="480" w:firstLineChars="200"/>
        <w:jc w:val="both"/>
        <w:rPr>
          <w:rFonts w:ascii="宋体" w:hAnsi="宋体" w:eastAsia="宋体" w:cs="宋体"/>
          <w:lang w:val="zh-CN"/>
        </w:rPr>
      </w:pPr>
      <w:r>
        <w:rPr>
          <w:rFonts w:hint="eastAsia" w:ascii="宋体" w:hAnsi="宋体" w:eastAsia="宋体" w:cs="宋体"/>
        </w:rPr>
        <w:t>1.2.3</w:t>
      </w:r>
      <w:r>
        <w:rPr>
          <w:rFonts w:hint="eastAsia" w:ascii="宋体" w:hAnsi="宋体" w:eastAsia="宋体" w:cs="宋体"/>
          <w:lang w:val="zh-CN"/>
        </w:rPr>
        <w:t>配合检测机构对电梯进行年度检验，</w:t>
      </w:r>
      <w:r>
        <w:rPr>
          <w:rFonts w:hint="eastAsia" w:ascii="宋体" w:hAnsi="宋体" w:eastAsia="宋体" w:cs="宋体"/>
        </w:rPr>
        <w:t>代缴</w:t>
      </w:r>
      <w:r>
        <w:rPr>
          <w:rFonts w:hint="eastAsia" w:ascii="宋体" w:hAnsi="宋体" w:eastAsia="宋体" w:cs="宋体"/>
          <w:lang w:val="zh-CN"/>
        </w:rPr>
        <w:t>检测费费用。</w:t>
      </w:r>
    </w:p>
    <w:p>
      <w:pPr>
        <w:numPr>
          <w:ilvl w:val="255"/>
          <w:numId w:val="0"/>
        </w:numPr>
        <w:ind w:firstLine="480" w:firstLineChars="200"/>
        <w:jc w:val="both"/>
        <w:rPr>
          <w:rFonts w:ascii="宋体" w:hAnsi="宋体" w:eastAsia="宋体" w:cs="宋体"/>
          <w:lang w:val="zh-CN"/>
        </w:rPr>
      </w:pPr>
      <w:r>
        <w:rPr>
          <w:rFonts w:hint="eastAsia" w:ascii="宋体" w:hAnsi="宋体" w:eastAsia="宋体" w:cs="宋体"/>
        </w:rPr>
        <w:t>1.2.4</w:t>
      </w:r>
      <w:r>
        <w:rPr>
          <w:rFonts w:hint="eastAsia" w:ascii="宋体" w:hAnsi="宋体" w:eastAsia="宋体" w:cs="宋体"/>
          <w:lang w:val="zh-CN"/>
        </w:rPr>
        <w:t>负责电梯系统的技术资料和图纸的收集及保管。</w:t>
      </w:r>
    </w:p>
    <w:p>
      <w:pPr>
        <w:ind w:firstLine="480" w:firstLineChars="200"/>
        <w:jc w:val="both"/>
        <w:rPr>
          <w:rFonts w:ascii="宋体" w:hAnsi="宋体" w:eastAsia="宋体" w:cs="宋体"/>
          <w:lang w:val="zh-CN"/>
        </w:rPr>
      </w:pPr>
      <w:r>
        <w:rPr>
          <w:rFonts w:hint="eastAsia" w:ascii="宋体" w:hAnsi="宋体" w:eastAsia="宋体" w:cs="宋体"/>
        </w:rPr>
        <w:t>1.2.5</w:t>
      </w:r>
      <w:r>
        <w:rPr>
          <w:rFonts w:hint="eastAsia" w:ascii="宋体" w:hAnsi="宋体" w:eastAsia="宋体" w:cs="宋体"/>
          <w:lang w:val="zh-CN"/>
        </w:rPr>
        <w:t>建立健全电梯安全管理制度及应急预案，保管电梯运行的日常记录。</w:t>
      </w:r>
    </w:p>
    <w:p>
      <w:pPr>
        <w:numPr>
          <w:ilvl w:val="255"/>
          <w:numId w:val="0"/>
        </w:numPr>
        <w:ind w:firstLine="480" w:firstLineChars="200"/>
        <w:jc w:val="both"/>
        <w:rPr>
          <w:rFonts w:ascii="宋体" w:hAnsi="宋体" w:eastAsia="宋体" w:cs="宋体"/>
        </w:rPr>
      </w:pPr>
      <w:r>
        <w:rPr>
          <w:rFonts w:hint="eastAsia" w:ascii="宋体" w:hAnsi="宋体" w:eastAsia="宋体" w:cs="宋体"/>
        </w:rPr>
        <w:t>1.3变配电系统</w:t>
      </w:r>
    </w:p>
    <w:p>
      <w:pPr>
        <w:numPr>
          <w:ilvl w:val="255"/>
          <w:numId w:val="0"/>
        </w:numPr>
        <w:ind w:firstLine="480" w:firstLineChars="200"/>
        <w:jc w:val="both"/>
        <w:rPr>
          <w:rFonts w:ascii="宋体" w:hAnsi="宋体" w:eastAsia="宋体" w:cs="宋体"/>
        </w:rPr>
      </w:pPr>
      <w:r>
        <w:rPr>
          <w:rFonts w:hint="eastAsia" w:ascii="宋体" w:hAnsi="宋体" w:eastAsia="宋体" w:cs="宋体"/>
        </w:rPr>
        <w:t>1.3.1根据国家规范及相关规定配置配电房值班人员。</w:t>
      </w:r>
    </w:p>
    <w:p>
      <w:pPr>
        <w:numPr>
          <w:ilvl w:val="255"/>
          <w:numId w:val="0"/>
        </w:numPr>
        <w:ind w:firstLine="480" w:firstLineChars="200"/>
        <w:jc w:val="both"/>
        <w:rPr>
          <w:rFonts w:ascii="宋体" w:hAnsi="宋体" w:eastAsia="宋体" w:cs="宋体"/>
        </w:rPr>
      </w:pPr>
      <w:r>
        <w:rPr>
          <w:rFonts w:hint="eastAsia" w:ascii="宋体" w:hAnsi="宋体" w:eastAsia="宋体" w:cs="宋体"/>
        </w:rPr>
        <w:t>1.3.2按照巡回检查制度对中压、低压设备及应急发电机每3小时1次进行检查，记录设备的运行情况。</w:t>
      </w:r>
    </w:p>
    <w:p>
      <w:pPr>
        <w:numPr>
          <w:ilvl w:val="255"/>
          <w:numId w:val="0"/>
        </w:numPr>
        <w:ind w:firstLine="480" w:firstLineChars="200"/>
        <w:jc w:val="both"/>
        <w:rPr>
          <w:rFonts w:ascii="宋体" w:hAnsi="宋体" w:eastAsia="宋体" w:cs="宋体"/>
        </w:rPr>
      </w:pPr>
      <w:r>
        <w:rPr>
          <w:rFonts w:hint="eastAsia" w:ascii="宋体" w:hAnsi="宋体" w:eastAsia="宋体" w:cs="宋体"/>
        </w:rPr>
        <w:t>1.3.3按照设备维护检查制度对配电设备进行日常维护维修，保证设备的安全运行。</w:t>
      </w:r>
    </w:p>
    <w:p>
      <w:pPr>
        <w:numPr>
          <w:ilvl w:val="255"/>
          <w:numId w:val="0"/>
        </w:numPr>
        <w:ind w:firstLine="480" w:firstLineChars="200"/>
        <w:jc w:val="both"/>
        <w:rPr>
          <w:rFonts w:ascii="宋体" w:hAnsi="宋体" w:eastAsia="宋体" w:cs="宋体"/>
        </w:rPr>
      </w:pPr>
      <w:r>
        <w:rPr>
          <w:rFonts w:hint="eastAsia" w:ascii="宋体" w:hAnsi="宋体" w:eastAsia="宋体" w:cs="宋体"/>
        </w:rPr>
        <w:t>1.3.4保持配电房和发电机房设备的清洁有序，保管好各类配电工具。</w:t>
      </w:r>
    </w:p>
    <w:p>
      <w:pPr>
        <w:numPr>
          <w:ilvl w:val="255"/>
          <w:numId w:val="0"/>
        </w:numPr>
        <w:ind w:firstLine="480" w:firstLineChars="200"/>
        <w:jc w:val="both"/>
        <w:rPr>
          <w:rFonts w:ascii="宋体" w:hAnsi="宋体" w:eastAsia="宋体" w:cs="宋体"/>
        </w:rPr>
      </w:pPr>
      <w:r>
        <w:rPr>
          <w:rFonts w:hint="eastAsia" w:ascii="宋体" w:hAnsi="宋体" w:eastAsia="宋体" w:cs="宋体"/>
        </w:rPr>
        <w:t>1.3.5配合进行中压设备、绝缘毯、电力工具的安全检测工作，并保管好各类检测报告。</w:t>
      </w:r>
    </w:p>
    <w:p>
      <w:pPr>
        <w:numPr>
          <w:ilvl w:val="255"/>
          <w:numId w:val="0"/>
        </w:numPr>
        <w:ind w:firstLine="480" w:firstLineChars="200"/>
        <w:jc w:val="both"/>
        <w:rPr>
          <w:rFonts w:ascii="宋体" w:hAnsi="宋体" w:eastAsia="宋体" w:cs="宋体"/>
        </w:rPr>
      </w:pPr>
      <w:r>
        <w:rPr>
          <w:rFonts w:hint="eastAsia" w:ascii="宋体" w:hAnsi="宋体" w:eastAsia="宋体" w:cs="宋体"/>
        </w:rPr>
        <w:t>1.3.6配合监督专业外包单位的月度、年度维护保养工作，并对维修质量负责。</w:t>
      </w:r>
    </w:p>
    <w:p>
      <w:pPr>
        <w:numPr>
          <w:ilvl w:val="255"/>
          <w:numId w:val="0"/>
        </w:numPr>
        <w:ind w:firstLine="480" w:firstLineChars="200"/>
        <w:jc w:val="both"/>
        <w:rPr>
          <w:rFonts w:ascii="宋体" w:hAnsi="宋体" w:eastAsia="宋体" w:cs="宋体"/>
        </w:rPr>
      </w:pPr>
      <w:r>
        <w:rPr>
          <w:rFonts w:hint="eastAsia" w:ascii="宋体" w:hAnsi="宋体" w:eastAsia="宋体" w:cs="宋体"/>
        </w:rPr>
        <w:t>1.3.8负责不间断电源的日常维护。</w:t>
      </w:r>
    </w:p>
    <w:p>
      <w:pPr>
        <w:numPr>
          <w:ilvl w:val="255"/>
          <w:numId w:val="0"/>
        </w:numPr>
        <w:ind w:firstLine="480" w:firstLineChars="200"/>
        <w:jc w:val="both"/>
        <w:rPr>
          <w:rFonts w:ascii="宋体" w:hAnsi="宋体" w:eastAsia="宋体" w:cs="宋体"/>
        </w:rPr>
      </w:pPr>
      <w:r>
        <w:rPr>
          <w:rFonts w:hint="eastAsia" w:ascii="宋体" w:hAnsi="宋体" w:eastAsia="宋体" w:cs="宋体"/>
        </w:rPr>
        <w:t>1.3.9负责变配电系统的技术资料和图纸的收集及保管。</w:t>
      </w:r>
    </w:p>
    <w:p>
      <w:pPr>
        <w:ind w:firstLine="480" w:firstLineChars="200"/>
        <w:jc w:val="both"/>
        <w:rPr>
          <w:rFonts w:ascii="宋体" w:hAnsi="宋体" w:eastAsia="宋体" w:cs="宋体"/>
        </w:rPr>
      </w:pPr>
      <w:r>
        <w:rPr>
          <w:rFonts w:hint="eastAsia" w:ascii="宋体" w:hAnsi="宋体" w:eastAsia="宋体" w:cs="宋体"/>
        </w:rPr>
        <w:t>1.3.10建立健全配电房的安全管理制度及应急预案，保管配电房的运行记录。</w:t>
      </w:r>
    </w:p>
    <w:p>
      <w:pPr>
        <w:ind w:firstLine="480" w:firstLineChars="200"/>
        <w:jc w:val="both"/>
        <w:rPr>
          <w:rFonts w:ascii="宋体" w:hAnsi="宋体" w:eastAsia="宋体" w:cs="宋体"/>
        </w:rPr>
      </w:pPr>
      <w:r>
        <w:rPr>
          <w:rFonts w:hint="eastAsia" w:ascii="宋体" w:hAnsi="宋体" w:eastAsia="宋体" w:cs="宋体"/>
        </w:rPr>
        <w:t>1.3医用气体系统</w:t>
      </w:r>
    </w:p>
    <w:p>
      <w:pPr>
        <w:ind w:firstLine="480" w:firstLineChars="200"/>
        <w:jc w:val="both"/>
        <w:rPr>
          <w:rFonts w:ascii="宋体" w:hAnsi="宋体" w:eastAsia="宋体" w:cs="宋体"/>
        </w:rPr>
      </w:pPr>
      <w:r>
        <w:rPr>
          <w:rFonts w:hint="eastAsia" w:ascii="宋体" w:hAnsi="宋体" w:eastAsia="宋体" w:cs="宋体"/>
        </w:rPr>
        <w:t>1.3</w:t>
      </w:r>
      <w:r>
        <w:rPr>
          <w:rFonts w:ascii="宋体" w:hAnsi="宋体" w:eastAsia="宋体" w:cs="宋体"/>
        </w:rPr>
        <w:t>.1</w:t>
      </w:r>
      <w:r>
        <w:rPr>
          <w:rFonts w:hint="eastAsia" w:ascii="宋体" w:hAnsi="宋体" w:eastAsia="宋体" w:cs="宋体"/>
        </w:rPr>
        <w:t>医用压缩空气系统及负压吸引系统的日常运行与维护及一般性维修。不包括医用压缩空气系统及负压吸引系统的大型改造、维修、维保、压力表和安全阀的校验等由专业公司负责；医用压缩空气系统及负压吸引系统的管道和末端设备由后勤保障科负责；空压机、真空泵、冷干机、精密过滤器的维修及专业保养。</w:t>
      </w:r>
    </w:p>
    <w:p>
      <w:pPr>
        <w:numPr>
          <w:ilvl w:val="255"/>
          <w:numId w:val="0"/>
        </w:numPr>
        <w:ind w:firstLine="480" w:firstLineChars="200"/>
        <w:jc w:val="both"/>
        <w:rPr>
          <w:rFonts w:ascii="宋体" w:hAnsi="宋体" w:eastAsia="宋体" w:cs="宋体"/>
        </w:rPr>
      </w:pPr>
      <w:r>
        <w:rPr>
          <w:rFonts w:hint="eastAsia" w:ascii="宋体" w:hAnsi="宋体" w:eastAsia="宋体" w:cs="宋体"/>
        </w:rPr>
        <w:t>1.3</w:t>
      </w:r>
      <w:r>
        <w:rPr>
          <w:rFonts w:ascii="宋体" w:hAnsi="宋体" w:eastAsia="宋体" w:cs="宋体"/>
        </w:rPr>
        <w:t>.2</w:t>
      </w:r>
      <w:r>
        <w:rPr>
          <w:rFonts w:hint="eastAsia" w:ascii="宋体" w:hAnsi="宋体" w:eastAsia="宋体" w:cs="宋体"/>
        </w:rPr>
        <w:t>按照国家规定配置医用气体操作员，并取得资格证书后上岗。</w:t>
      </w:r>
    </w:p>
    <w:p>
      <w:pPr>
        <w:numPr>
          <w:ilvl w:val="255"/>
          <w:numId w:val="0"/>
        </w:numPr>
        <w:ind w:firstLine="480" w:firstLineChars="200"/>
        <w:jc w:val="both"/>
        <w:rPr>
          <w:rFonts w:ascii="宋体" w:hAnsi="宋体" w:eastAsia="宋体" w:cs="宋体"/>
        </w:rPr>
      </w:pPr>
      <w:r>
        <w:rPr>
          <w:rFonts w:hint="eastAsia" w:ascii="宋体" w:hAnsi="宋体" w:eastAsia="宋体" w:cs="宋体"/>
        </w:rPr>
        <w:t>1.3</w:t>
      </w:r>
      <w:r>
        <w:rPr>
          <w:rFonts w:ascii="宋体" w:hAnsi="宋体" w:eastAsia="宋体" w:cs="宋体"/>
        </w:rPr>
        <w:t>.3</w:t>
      </w:r>
      <w:r>
        <w:rPr>
          <w:rFonts w:hint="eastAsia" w:ascii="宋体" w:hAnsi="宋体" w:eastAsia="宋体" w:cs="宋体"/>
        </w:rPr>
        <w:t>及时处理液氧站、空压机、负压机、汇流排、设备带、呼叫系统发生的各类故障。</w:t>
      </w:r>
    </w:p>
    <w:p>
      <w:pPr>
        <w:numPr>
          <w:ilvl w:val="255"/>
          <w:numId w:val="0"/>
        </w:numPr>
        <w:ind w:firstLine="480" w:firstLineChars="200"/>
        <w:jc w:val="both"/>
        <w:rPr>
          <w:rFonts w:ascii="宋体" w:hAnsi="宋体" w:eastAsia="宋体" w:cs="宋体"/>
        </w:rPr>
      </w:pPr>
      <w:r>
        <w:rPr>
          <w:rFonts w:hint="eastAsia" w:ascii="宋体" w:hAnsi="宋体" w:eastAsia="宋体" w:cs="宋体"/>
        </w:rPr>
        <w:t>1.3</w:t>
      </w:r>
      <w:r>
        <w:rPr>
          <w:rFonts w:ascii="宋体" w:hAnsi="宋体" w:eastAsia="宋体" w:cs="宋体"/>
        </w:rPr>
        <w:t>.4</w:t>
      </w:r>
      <w:r>
        <w:rPr>
          <w:rFonts w:hint="eastAsia" w:ascii="宋体" w:hAnsi="宋体" w:eastAsia="宋体" w:cs="宋体"/>
        </w:rPr>
        <w:t>负责液氧、氧气钢瓶、二氧化碳钢瓶等医用气体的申请、接收、保管、配送、回收等工作。</w:t>
      </w:r>
    </w:p>
    <w:p>
      <w:pPr>
        <w:numPr>
          <w:ilvl w:val="255"/>
          <w:numId w:val="0"/>
        </w:numPr>
        <w:ind w:firstLine="480" w:firstLineChars="200"/>
        <w:jc w:val="both"/>
        <w:rPr>
          <w:rFonts w:ascii="宋体" w:hAnsi="宋体" w:eastAsia="宋体" w:cs="宋体"/>
        </w:rPr>
      </w:pPr>
      <w:r>
        <w:rPr>
          <w:rFonts w:hint="eastAsia" w:ascii="宋体" w:hAnsi="宋体" w:eastAsia="宋体" w:cs="宋体"/>
        </w:rPr>
        <w:t>1.3</w:t>
      </w:r>
      <w:r>
        <w:rPr>
          <w:rFonts w:ascii="宋体" w:hAnsi="宋体" w:eastAsia="宋体" w:cs="宋体"/>
        </w:rPr>
        <w:t>.5</w:t>
      </w:r>
      <w:r>
        <w:rPr>
          <w:rFonts w:hint="eastAsia" w:ascii="宋体" w:hAnsi="宋体" w:eastAsia="宋体" w:cs="宋体"/>
        </w:rPr>
        <w:t>配合进行液氧罐、储气罐、压力表、安全阀的定期检验工作。</w:t>
      </w:r>
    </w:p>
    <w:p>
      <w:pPr>
        <w:numPr>
          <w:ilvl w:val="255"/>
          <w:numId w:val="0"/>
        </w:numPr>
        <w:ind w:firstLine="480" w:firstLineChars="200"/>
        <w:jc w:val="both"/>
        <w:rPr>
          <w:rFonts w:ascii="宋体" w:hAnsi="宋体" w:eastAsia="宋体" w:cs="宋体"/>
        </w:rPr>
      </w:pPr>
      <w:r>
        <w:rPr>
          <w:rFonts w:hint="eastAsia" w:ascii="宋体" w:hAnsi="宋体" w:eastAsia="宋体" w:cs="宋体"/>
        </w:rPr>
        <w:t>1.3</w:t>
      </w:r>
      <w:r>
        <w:rPr>
          <w:rFonts w:ascii="宋体" w:hAnsi="宋体" w:eastAsia="宋体" w:cs="宋体"/>
        </w:rPr>
        <w:t>.6</w:t>
      </w:r>
      <w:r>
        <w:rPr>
          <w:rFonts w:hint="eastAsia" w:ascii="宋体" w:hAnsi="宋体" w:eastAsia="宋体" w:cs="宋体"/>
        </w:rPr>
        <w:t>配合监督专业维保单位进行的月度、年度维护保养。</w:t>
      </w:r>
    </w:p>
    <w:p>
      <w:pPr>
        <w:numPr>
          <w:ilvl w:val="255"/>
          <w:numId w:val="0"/>
        </w:numPr>
        <w:ind w:firstLine="480" w:firstLineChars="200"/>
        <w:jc w:val="both"/>
        <w:rPr>
          <w:rFonts w:ascii="宋体" w:hAnsi="宋体" w:eastAsia="宋体" w:cs="宋体"/>
        </w:rPr>
      </w:pPr>
      <w:r>
        <w:rPr>
          <w:rFonts w:hint="eastAsia" w:ascii="宋体" w:hAnsi="宋体" w:eastAsia="宋体" w:cs="宋体"/>
        </w:rPr>
        <w:t>1.3</w:t>
      </w:r>
      <w:r>
        <w:rPr>
          <w:rFonts w:ascii="宋体" w:hAnsi="宋体" w:eastAsia="宋体" w:cs="宋体"/>
        </w:rPr>
        <w:t>.7</w:t>
      </w:r>
      <w:r>
        <w:rPr>
          <w:rFonts w:hint="eastAsia" w:ascii="宋体" w:hAnsi="宋体" w:eastAsia="宋体" w:cs="宋体"/>
        </w:rPr>
        <w:t>负责医用气体系统的技术资料和图纸的收集及保管。</w:t>
      </w:r>
    </w:p>
    <w:p>
      <w:pPr>
        <w:ind w:firstLine="480" w:firstLineChars="200"/>
        <w:jc w:val="both"/>
        <w:rPr>
          <w:rFonts w:ascii="宋体" w:hAnsi="宋体" w:eastAsia="宋体" w:cs="宋体"/>
        </w:rPr>
      </w:pPr>
      <w:r>
        <w:rPr>
          <w:rFonts w:hint="eastAsia" w:ascii="宋体" w:hAnsi="宋体" w:eastAsia="宋体" w:cs="宋体"/>
        </w:rPr>
        <w:t>1.3</w:t>
      </w:r>
      <w:r>
        <w:rPr>
          <w:rFonts w:ascii="宋体" w:hAnsi="宋体" w:eastAsia="宋体" w:cs="宋体"/>
        </w:rPr>
        <w:t>.8</w:t>
      </w:r>
      <w:r>
        <w:rPr>
          <w:rFonts w:hint="eastAsia" w:ascii="宋体" w:hAnsi="宋体" w:eastAsia="宋体" w:cs="宋体"/>
        </w:rPr>
        <w:t>建立健全医用气体系统的安全管理制度及应急预案，保管好各类记录。</w:t>
      </w:r>
    </w:p>
    <w:p>
      <w:p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4</w:t>
      </w:r>
      <w:r>
        <w:rPr>
          <w:rFonts w:hint="eastAsia" w:ascii="宋体" w:hAnsi="宋体" w:eastAsia="宋体" w:cs="宋体"/>
        </w:rPr>
        <w:t>暖通系统</w:t>
      </w:r>
    </w:p>
    <w:p>
      <w:pPr>
        <w:numPr>
          <w:ilvl w:val="255"/>
          <w:numId w:val="0"/>
        </w:numPr>
        <w:ind w:firstLine="480" w:firstLineChars="200"/>
        <w:jc w:val="both"/>
        <w:rPr>
          <w:rFonts w:ascii="宋体" w:hAnsi="宋体" w:eastAsia="宋体" w:cs="宋体"/>
        </w:rPr>
      </w:pPr>
      <w:r>
        <w:rPr>
          <w:rFonts w:hint="eastAsia" w:ascii="宋体" w:hAnsi="宋体" w:eastAsia="宋体" w:cs="宋体"/>
        </w:rPr>
        <w:t>1.4</w:t>
      </w:r>
      <w:r>
        <w:rPr>
          <w:rFonts w:ascii="宋体" w:hAnsi="宋体" w:eastAsia="宋体" w:cs="宋体"/>
        </w:rPr>
        <w:t>.</w:t>
      </w:r>
      <w:r>
        <w:rPr>
          <w:rFonts w:hint="eastAsia" w:ascii="宋体" w:hAnsi="宋体" w:eastAsia="宋体" w:cs="宋体"/>
        </w:rPr>
        <w:t>1暖通人员应持证上岗，并经岗前培训后方可从事本职工作。</w:t>
      </w:r>
    </w:p>
    <w:p>
      <w:pPr>
        <w:numPr>
          <w:ilvl w:val="255"/>
          <w:numId w:val="0"/>
        </w:numPr>
        <w:ind w:firstLine="480" w:firstLineChars="200"/>
        <w:jc w:val="both"/>
        <w:rPr>
          <w:rFonts w:ascii="宋体" w:hAnsi="宋体" w:eastAsia="宋体" w:cs="宋体"/>
        </w:rPr>
      </w:pPr>
      <w:r>
        <w:rPr>
          <w:rFonts w:hint="eastAsia" w:ascii="宋体" w:hAnsi="宋体" w:eastAsia="宋体" w:cs="宋体"/>
        </w:rPr>
        <w:t>1.4</w:t>
      </w:r>
      <w:r>
        <w:rPr>
          <w:rFonts w:ascii="宋体" w:hAnsi="宋体" w:eastAsia="宋体" w:cs="宋体"/>
        </w:rPr>
        <w:t>.</w:t>
      </w:r>
      <w:r>
        <w:rPr>
          <w:rFonts w:hint="eastAsia" w:ascii="宋体" w:hAnsi="宋体" w:eastAsia="宋体" w:cs="宋体"/>
        </w:rPr>
        <w:t>2每4小时对中央空调机房的空调主机、冷温水泵、冷却水泵、冷却水塔及其附属设施进行巡回检查，并准确记录。</w:t>
      </w:r>
    </w:p>
    <w:p>
      <w:pPr>
        <w:numPr>
          <w:ilvl w:val="255"/>
          <w:numId w:val="0"/>
        </w:numPr>
        <w:ind w:firstLine="480" w:firstLineChars="200"/>
        <w:jc w:val="both"/>
        <w:rPr>
          <w:rFonts w:ascii="宋体" w:hAnsi="宋体" w:eastAsia="宋体" w:cs="宋体"/>
        </w:rPr>
      </w:pPr>
      <w:r>
        <w:rPr>
          <w:rFonts w:hint="eastAsia" w:ascii="宋体" w:hAnsi="宋体" w:eastAsia="宋体" w:cs="宋体"/>
        </w:rPr>
        <w:t>1.4</w:t>
      </w:r>
      <w:r>
        <w:rPr>
          <w:rFonts w:ascii="宋体" w:hAnsi="宋体" w:eastAsia="宋体" w:cs="宋体"/>
        </w:rPr>
        <w:t>.</w:t>
      </w:r>
      <w:r>
        <w:rPr>
          <w:rFonts w:hint="eastAsia" w:ascii="宋体" w:hAnsi="宋体" w:eastAsia="宋体" w:cs="宋体"/>
        </w:rPr>
        <w:t>3负责对净化系统的日常维护及定期滤网清洗、更换工作。</w:t>
      </w:r>
    </w:p>
    <w:p>
      <w:pPr>
        <w:numPr>
          <w:ilvl w:val="255"/>
          <w:numId w:val="0"/>
        </w:numPr>
        <w:ind w:firstLine="480" w:firstLineChars="200"/>
        <w:jc w:val="both"/>
        <w:rPr>
          <w:rFonts w:ascii="宋体" w:hAnsi="宋体" w:eastAsia="宋体" w:cs="宋体"/>
        </w:rPr>
      </w:pPr>
      <w:r>
        <w:rPr>
          <w:rFonts w:hint="eastAsia" w:ascii="宋体" w:hAnsi="宋体" w:eastAsia="宋体" w:cs="宋体"/>
        </w:rPr>
        <w:t>1.4</w:t>
      </w:r>
      <w:r>
        <w:rPr>
          <w:rFonts w:ascii="宋体" w:hAnsi="宋体" w:eastAsia="宋体" w:cs="宋体"/>
        </w:rPr>
        <w:t>.</w:t>
      </w:r>
      <w:r>
        <w:rPr>
          <w:rFonts w:hint="eastAsia" w:ascii="宋体" w:hAnsi="宋体" w:eastAsia="宋体" w:cs="宋体"/>
        </w:rPr>
        <w:t>4对热泵机组、水泵、新风机等进行定期检查。</w:t>
      </w:r>
    </w:p>
    <w:p>
      <w:pPr>
        <w:numPr>
          <w:ilvl w:val="255"/>
          <w:numId w:val="0"/>
        </w:numPr>
        <w:ind w:firstLine="480" w:firstLineChars="200"/>
        <w:jc w:val="both"/>
        <w:rPr>
          <w:rFonts w:ascii="宋体" w:hAnsi="宋体" w:eastAsia="宋体" w:cs="宋体"/>
        </w:rPr>
      </w:pPr>
      <w:r>
        <w:rPr>
          <w:rFonts w:hint="eastAsia" w:ascii="宋体" w:hAnsi="宋体" w:eastAsia="宋体" w:cs="宋体"/>
        </w:rPr>
        <w:t>1.4</w:t>
      </w:r>
      <w:r>
        <w:rPr>
          <w:rFonts w:ascii="宋体" w:hAnsi="宋体" w:eastAsia="宋体" w:cs="宋体"/>
        </w:rPr>
        <w:t>.</w:t>
      </w:r>
      <w:r>
        <w:rPr>
          <w:rFonts w:hint="eastAsia" w:ascii="宋体" w:hAnsi="宋体" w:eastAsia="宋体" w:cs="宋体"/>
        </w:rPr>
        <w:t>5对风机盘管、新风机等空调系统的报修及故障进行处理。</w:t>
      </w:r>
    </w:p>
    <w:p>
      <w:pPr>
        <w:numPr>
          <w:ilvl w:val="255"/>
          <w:numId w:val="0"/>
        </w:numPr>
        <w:ind w:firstLine="480" w:firstLineChars="200"/>
        <w:jc w:val="both"/>
        <w:rPr>
          <w:rFonts w:ascii="宋体" w:hAnsi="宋体" w:eastAsia="宋体" w:cs="宋体"/>
        </w:rPr>
      </w:pPr>
      <w:r>
        <w:rPr>
          <w:rFonts w:hint="eastAsia" w:ascii="宋体" w:hAnsi="宋体" w:eastAsia="宋体" w:cs="宋体"/>
        </w:rPr>
        <w:t>1.4</w:t>
      </w:r>
      <w:r>
        <w:rPr>
          <w:rFonts w:ascii="宋体" w:hAnsi="宋体" w:eastAsia="宋体" w:cs="宋体"/>
        </w:rPr>
        <w:t>.</w:t>
      </w:r>
      <w:r>
        <w:rPr>
          <w:rFonts w:hint="eastAsia" w:ascii="宋体" w:hAnsi="宋体" w:eastAsia="宋体" w:cs="宋体"/>
        </w:rPr>
        <w:t>6配合监督空调专业外包公司进行的维护保养作业，并对维修质量和结果负责。</w:t>
      </w:r>
    </w:p>
    <w:p>
      <w:pPr>
        <w:numPr>
          <w:ilvl w:val="255"/>
          <w:numId w:val="0"/>
        </w:numPr>
        <w:ind w:firstLine="480" w:firstLineChars="200"/>
        <w:jc w:val="both"/>
        <w:rPr>
          <w:rFonts w:ascii="宋体" w:hAnsi="宋体" w:eastAsia="宋体" w:cs="宋体"/>
        </w:rPr>
      </w:pPr>
      <w:r>
        <w:rPr>
          <w:rFonts w:hint="eastAsia" w:ascii="宋体" w:hAnsi="宋体" w:eastAsia="宋体" w:cs="宋体"/>
        </w:rPr>
        <w:t>1.4</w:t>
      </w:r>
      <w:r>
        <w:rPr>
          <w:rFonts w:ascii="宋体" w:hAnsi="宋体" w:eastAsia="宋体" w:cs="宋体"/>
        </w:rPr>
        <w:t>.</w:t>
      </w:r>
      <w:r>
        <w:rPr>
          <w:rFonts w:hint="eastAsia" w:ascii="宋体" w:hAnsi="宋体" w:eastAsia="宋体" w:cs="宋体"/>
        </w:rPr>
        <w:t>7每年配合完成专业公司对通风系统的清洗消毒工作。</w:t>
      </w:r>
    </w:p>
    <w:p>
      <w:pPr>
        <w:numPr>
          <w:ilvl w:val="255"/>
          <w:numId w:val="0"/>
        </w:numPr>
        <w:ind w:firstLine="480" w:firstLineChars="200"/>
        <w:jc w:val="both"/>
        <w:rPr>
          <w:rFonts w:ascii="宋体" w:hAnsi="宋体" w:eastAsia="宋体" w:cs="宋体"/>
        </w:rPr>
      </w:pPr>
      <w:r>
        <w:rPr>
          <w:rFonts w:hint="eastAsia" w:ascii="宋体" w:hAnsi="宋体" w:eastAsia="宋体" w:cs="宋体"/>
        </w:rPr>
        <w:t>1.4</w:t>
      </w:r>
      <w:r>
        <w:rPr>
          <w:rFonts w:ascii="宋体" w:hAnsi="宋体" w:eastAsia="宋体" w:cs="宋体"/>
        </w:rPr>
        <w:t>.</w:t>
      </w:r>
      <w:r>
        <w:rPr>
          <w:rFonts w:hint="eastAsia" w:ascii="宋体" w:hAnsi="宋体" w:eastAsia="宋体" w:cs="宋体"/>
        </w:rPr>
        <w:t>8负责收集保管医院暖通系统的技术资料和图纸。</w:t>
      </w:r>
    </w:p>
    <w:p>
      <w:pPr>
        <w:ind w:firstLine="480" w:firstLineChars="200"/>
        <w:jc w:val="both"/>
        <w:rPr>
          <w:rFonts w:ascii="宋体" w:hAnsi="宋体" w:eastAsia="宋体" w:cs="宋体"/>
        </w:rPr>
      </w:pPr>
      <w:r>
        <w:rPr>
          <w:rFonts w:hint="eastAsia" w:ascii="宋体" w:hAnsi="宋体" w:eastAsia="宋体" w:cs="宋体"/>
        </w:rPr>
        <w:t>1.4</w:t>
      </w:r>
      <w:r>
        <w:rPr>
          <w:rFonts w:ascii="宋体" w:hAnsi="宋体" w:eastAsia="宋体" w:cs="宋体"/>
        </w:rPr>
        <w:t>.</w:t>
      </w:r>
      <w:r>
        <w:rPr>
          <w:rFonts w:hint="eastAsia" w:ascii="宋体" w:hAnsi="宋体" w:eastAsia="宋体" w:cs="宋体"/>
        </w:rPr>
        <w:t>9建立暖通系统的各项安全管理制度及应急预案，建立空调卫生管理制度，妥善保存各类记录档案。</w:t>
      </w:r>
    </w:p>
    <w:p>
      <w:p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5</w:t>
      </w:r>
      <w:r>
        <w:rPr>
          <w:rFonts w:hint="eastAsia" w:ascii="宋体" w:hAnsi="宋体" w:eastAsia="宋体" w:cs="宋体"/>
        </w:rPr>
        <w:t>电气设施类</w:t>
      </w:r>
    </w:p>
    <w:p>
      <w:p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5.1</w:t>
      </w:r>
      <w:r>
        <w:rPr>
          <w:rFonts w:hint="eastAsia" w:ascii="宋体" w:hAnsi="宋体" w:eastAsia="宋体" w:cs="宋体"/>
        </w:rPr>
        <w:t>室内照明灯具日光灯、格栅灯、筒灯、吸顶灯、床头灯、射灯、脚灯、楼道声控灯、防爆灯、电梯轿厢灯、灭蚊灯、宣传栏灯、部门指示灯、区域指示牌灯、坡道灯、应急灯的维修与更换。</w:t>
      </w:r>
    </w:p>
    <w:p>
      <w:p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5.2</w:t>
      </w:r>
      <w:r>
        <w:rPr>
          <w:rFonts w:hint="eastAsia" w:ascii="宋体" w:hAnsi="宋体" w:eastAsia="宋体" w:cs="宋体"/>
        </w:rPr>
        <w:t>室外照明灯具如路灯、草坪灯、景观灯、门灯等的维修与更换。</w:t>
      </w:r>
    </w:p>
    <w:p>
      <w:p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5.3</w:t>
      </w:r>
      <w:r>
        <w:rPr>
          <w:rFonts w:hint="eastAsia" w:ascii="宋体" w:hAnsi="宋体" w:eastAsia="宋体" w:cs="宋体"/>
        </w:rPr>
        <w:t>医院开关插座类如墙插、地插、拖线板、照明开关、紫外线灯开关、排风扇开关等的维修与更换。</w:t>
      </w:r>
    </w:p>
    <w:p>
      <w:p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5.4</w:t>
      </w:r>
      <w:r>
        <w:rPr>
          <w:rFonts w:hint="eastAsia" w:ascii="宋体" w:hAnsi="宋体" w:eastAsia="宋体" w:cs="宋体"/>
        </w:rPr>
        <w:t>配电箱及电气元件的维护保养及更换。</w:t>
      </w:r>
    </w:p>
    <w:p>
      <w:p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5.5</w:t>
      </w:r>
      <w:r>
        <w:rPr>
          <w:rFonts w:hint="eastAsia" w:ascii="宋体" w:hAnsi="宋体" w:eastAsia="宋体" w:cs="宋体"/>
        </w:rPr>
        <w:t>为降低能耗对部分电路进行优化，对部分灯具进行更换。</w:t>
      </w:r>
    </w:p>
    <w:p>
      <w:p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6</w:t>
      </w:r>
      <w:r>
        <w:rPr>
          <w:rFonts w:hint="eastAsia" w:ascii="宋体" w:hAnsi="宋体" w:eastAsia="宋体" w:cs="宋体"/>
        </w:rPr>
        <w:t>供排水系统</w:t>
      </w:r>
    </w:p>
    <w:p>
      <w:pPr>
        <w:numPr>
          <w:ilvl w:val="255"/>
          <w:numId w:val="0"/>
        </w:num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6.1</w:t>
      </w:r>
      <w:r>
        <w:rPr>
          <w:rFonts w:hint="eastAsia" w:ascii="宋体" w:hAnsi="宋体" w:eastAsia="宋体" w:cs="宋体"/>
        </w:rPr>
        <w:t>各供水泵及管路系统的日常检查。</w:t>
      </w:r>
    </w:p>
    <w:p>
      <w:pPr>
        <w:numPr>
          <w:ilvl w:val="255"/>
          <w:numId w:val="0"/>
        </w:num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6.2</w:t>
      </w:r>
      <w:r>
        <w:rPr>
          <w:rFonts w:hint="eastAsia" w:ascii="宋体" w:hAnsi="宋体" w:eastAsia="宋体" w:cs="宋体"/>
        </w:rPr>
        <w:t>供水泵轴承、机械密封、叶轮等维修更换，膨胀接头的维护更换。</w:t>
      </w:r>
    </w:p>
    <w:p>
      <w:pPr>
        <w:numPr>
          <w:ilvl w:val="255"/>
          <w:numId w:val="0"/>
        </w:num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6.3</w:t>
      </w:r>
      <w:r>
        <w:rPr>
          <w:rFonts w:hint="eastAsia" w:ascii="宋体" w:hAnsi="宋体" w:eastAsia="宋体" w:cs="宋体"/>
        </w:rPr>
        <w:t>各类热交换器的清洗维护。</w:t>
      </w:r>
    </w:p>
    <w:p>
      <w:pPr>
        <w:numPr>
          <w:ilvl w:val="255"/>
          <w:numId w:val="0"/>
        </w:num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6.4</w:t>
      </w:r>
      <w:r>
        <w:rPr>
          <w:rFonts w:hint="eastAsia" w:ascii="宋体" w:hAnsi="宋体" w:eastAsia="宋体" w:cs="宋体"/>
        </w:rPr>
        <w:t>各类水龙头如台盆龙头、拖把斗龙头、消毒池龙头、配餐室内龙头、浴室龙头、大便池龙头、灶台龙头、花洒龙头、延时龙头、洗衣机龙头的维修更换。</w:t>
      </w:r>
    </w:p>
    <w:p>
      <w:pPr>
        <w:numPr>
          <w:ilvl w:val="255"/>
          <w:numId w:val="0"/>
        </w:num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6.5</w:t>
      </w:r>
      <w:r>
        <w:rPr>
          <w:rFonts w:hint="eastAsia" w:ascii="宋体" w:hAnsi="宋体" w:eastAsia="宋体" w:cs="宋体"/>
        </w:rPr>
        <w:t>排水设施如坐便器、蹲坑、小便池、地漏、金属软管、台盆下水管、屋顶虹吸管、浴室下水、集水井排水及院内雨水井、污水井的维修与疏通。</w:t>
      </w:r>
    </w:p>
    <w:p>
      <w:pPr>
        <w:numPr>
          <w:ilvl w:val="255"/>
          <w:numId w:val="0"/>
        </w:num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6.6</w:t>
      </w:r>
      <w:r>
        <w:rPr>
          <w:rFonts w:hint="eastAsia" w:ascii="宋体" w:hAnsi="宋体" w:eastAsia="宋体" w:cs="宋体"/>
        </w:rPr>
        <w:t>各类阀件如止回阀、截止阀、闸阀、角阀等维修更换。</w:t>
      </w:r>
    </w:p>
    <w:p>
      <w:pPr>
        <w:numPr>
          <w:ilvl w:val="255"/>
          <w:numId w:val="0"/>
        </w:num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6.7</w:t>
      </w:r>
      <w:r>
        <w:rPr>
          <w:rFonts w:hint="eastAsia" w:ascii="宋体" w:hAnsi="宋体" w:eastAsia="宋体" w:cs="宋体"/>
        </w:rPr>
        <w:t>生活水箱的日常检查，配合进行清洗与检测和二次供水的送检。</w:t>
      </w:r>
    </w:p>
    <w:p>
      <w:p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6.8</w:t>
      </w:r>
      <w:r>
        <w:rPr>
          <w:rFonts w:hint="eastAsia" w:ascii="宋体" w:hAnsi="宋体" w:eastAsia="宋体" w:cs="宋体"/>
        </w:rPr>
        <w:t>水泵房的日常检查及安全管理。</w:t>
      </w:r>
    </w:p>
    <w:p>
      <w:pPr>
        <w:numPr>
          <w:ilvl w:val="255"/>
          <w:numId w:val="0"/>
        </w:num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7</w:t>
      </w:r>
      <w:r>
        <w:rPr>
          <w:rFonts w:hint="eastAsia" w:ascii="宋体" w:hAnsi="宋体" w:eastAsia="宋体" w:cs="宋体"/>
        </w:rPr>
        <w:t>污水处理系统</w:t>
      </w:r>
    </w:p>
    <w:p>
      <w:pPr>
        <w:numPr>
          <w:ilvl w:val="255"/>
          <w:numId w:val="0"/>
        </w:num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7.1</w:t>
      </w:r>
      <w:r>
        <w:rPr>
          <w:rFonts w:hint="eastAsia" w:ascii="宋体" w:hAnsi="宋体" w:eastAsia="宋体" w:cs="宋体"/>
        </w:rPr>
        <w:t>包括医院所有污水处理装置和设备的日常运行维修、维护。严格执行排污许可证检测内容。</w:t>
      </w:r>
    </w:p>
    <w:p>
      <w:pPr>
        <w:numPr>
          <w:ilvl w:val="255"/>
          <w:numId w:val="0"/>
        </w:num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7.2</w:t>
      </w:r>
      <w:r>
        <w:rPr>
          <w:rFonts w:hint="eastAsia" w:ascii="宋体" w:hAnsi="宋体" w:eastAsia="宋体" w:cs="宋体"/>
        </w:rPr>
        <w:t>负责污水处理系统日常操作并记录、送检测试及监测部门沟通。负责在线监测日常管理及信息上传、排污许可证变更等相关工作。</w:t>
      </w:r>
    </w:p>
    <w:p>
      <w:pPr>
        <w:numPr>
          <w:ilvl w:val="255"/>
          <w:numId w:val="0"/>
        </w:num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7.3</w:t>
      </w:r>
      <w:r>
        <w:rPr>
          <w:rFonts w:hint="eastAsia" w:ascii="宋体" w:hAnsi="宋体" w:eastAsia="宋体" w:cs="宋体"/>
        </w:rPr>
        <w:t>做好污水处理系统的清淤工作并与医疗废物处理公司进行交接登记工作。</w:t>
      </w:r>
    </w:p>
    <w:p>
      <w:pPr>
        <w:numPr>
          <w:ilvl w:val="255"/>
          <w:numId w:val="0"/>
        </w:num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7.4</w:t>
      </w:r>
      <w:r>
        <w:rPr>
          <w:rFonts w:hint="eastAsia" w:ascii="宋体" w:hAnsi="宋体" w:eastAsia="宋体" w:cs="宋体"/>
        </w:rPr>
        <w:t>负责污水处理系统的技术资料和图纸的收集及保管。</w:t>
      </w:r>
    </w:p>
    <w:p>
      <w:pPr>
        <w:numPr>
          <w:ilvl w:val="255"/>
          <w:numId w:val="0"/>
        </w:num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7.5</w:t>
      </w:r>
      <w:r>
        <w:rPr>
          <w:rFonts w:hint="eastAsia" w:ascii="宋体" w:hAnsi="宋体" w:eastAsia="宋体" w:cs="宋体"/>
        </w:rPr>
        <w:t>建立健全污水处理系统的安全管理制度及应急预案，保管好各类记录。</w:t>
      </w:r>
    </w:p>
    <w:p>
      <w:p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7.6</w:t>
      </w:r>
      <w:r>
        <w:rPr>
          <w:rFonts w:hint="eastAsia" w:ascii="宋体" w:hAnsi="宋体" w:eastAsia="宋体" w:cs="宋体"/>
        </w:rPr>
        <w:t>负责水监测送检工作</w:t>
      </w:r>
      <w:r>
        <w:rPr>
          <w:rFonts w:ascii="宋体" w:hAnsi="宋体" w:eastAsia="宋体" w:cs="宋体"/>
        </w:rPr>
        <w:t>,</w:t>
      </w:r>
      <w:r>
        <w:rPr>
          <w:rFonts w:hint="eastAsia" w:ascii="宋体" w:hAnsi="宋体" w:eastAsia="宋体" w:cs="宋体"/>
        </w:rPr>
        <w:t>应对和处理各项检查</w:t>
      </w:r>
    </w:p>
    <w:p>
      <w:pPr>
        <w:numPr>
          <w:ilvl w:val="255"/>
          <w:numId w:val="0"/>
        </w:num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8</w:t>
      </w:r>
      <w:r>
        <w:rPr>
          <w:rFonts w:hint="eastAsia" w:ascii="宋体" w:hAnsi="宋体" w:eastAsia="宋体" w:cs="宋体"/>
        </w:rPr>
        <w:t>弱电系统</w:t>
      </w:r>
    </w:p>
    <w:p>
      <w:pPr>
        <w:numPr>
          <w:ilvl w:val="255"/>
          <w:numId w:val="0"/>
        </w:num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8.1</w:t>
      </w:r>
      <w:r>
        <w:rPr>
          <w:rFonts w:hint="eastAsia" w:ascii="宋体" w:hAnsi="宋体" w:eastAsia="宋体" w:cs="宋体"/>
        </w:rPr>
        <w:t>院内电话设备的安装、移机、接线及电话故障维修或网络面板的维修。</w:t>
      </w:r>
    </w:p>
    <w:p>
      <w:pPr>
        <w:numPr>
          <w:ilvl w:val="255"/>
          <w:numId w:val="0"/>
        </w:num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8.2</w:t>
      </w:r>
      <w:r>
        <w:rPr>
          <w:rFonts w:hint="eastAsia" w:ascii="宋体" w:hAnsi="宋体" w:eastAsia="宋体" w:cs="宋体"/>
        </w:rPr>
        <w:t>会议音响、投影设备、广播、电视机及其他弱电设备的维护。</w:t>
      </w:r>
    </w:p>
    <w:p>
      <w:pPr>
        <w:numPr>
          <w:ilvl w:val="255"/>
          <w:numId w:val="0"/>
        </w:num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8.3</w:t>
      </w:r>
      <w:r>
        <w:rPr>
          <w:rFonts w:hint="eastAsia" w:ascii="宋体" w:hAnsi="宋体" w:eastAsia="宋体" w:cs="宋体"/>
        </w:rPr>
        <w:t>病区病房呼叫系统的日常维护。</w:t>
      </w:r>
    </w:p>
    <w:p>
      <w:pPr>
        <w:numPr>
          <w:ilvl w:val="255"/>
          <w:numId w:val="0"/>
        </w:num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8.4</w:t>
      </w:r>
      <w:r>
        <w:rPr>
          <w:rFonts w:hint="eastAsia" w:ascii="宋体" w:hAnsi="宋体" w:eastAsia="宋体" w:cs="宋体"/>
        </w:rPr>
        <w:t>各区域弱电间的日常巡检及记录。</w:t>
      </w:r>
    </w:p>
    <w:p>
      <w:pPr>
        <w:numPr>
          <w:ilvl w:val="255"/>
          <w:numId w:val="0"/>
        </w:num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8.5</w:t>
      </w:r>
      <w:r>
        <w:rPr>
          <w:rFonts w:hint="eastAsia" w:ascii="宋体" w:hAnsi="宋体" w:eastAsia="宋体" w:cs="宋体"/>
        </w:rPr>
        <w:t>停车收费管理系统的日常维修。</w:t>
      </w:r>
    </w:p>
    <w:p>
      <w:p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8.6</w:t>
      </w:r>
      <w:r>
        <w:rPr>
          <w:rFonts w:hint="eastAsia" w:ascii="宋体" w:hAnsi="宋体" w:eastAsia="宋体" w:cs="宋体"/>
        </w:rPr>
        <w:t>各药房、收费、门诊大厅等各区域的LED电子屏幕的日常维护。</w:t>
      </w:r>
    </w:p>
    <w:p>
      <w:p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9</w:t>
      </w:r>
      <w:r>
        <w:rPr>
          <w:rFonts w:hint="eastAsia" w:ascii="宋体" w:hAnsi="宋体" w:eastAsia="宋体" w:cs="宋体"/>
        </w:rPr>
        <w:t>公共设施维修</w:t>
      </w:r>
    </w:p>
    <w:p>
      <w:pPr>
        <w:numPr>
          <w:ilvl w:val="255"/>
          <w:numId w:val="0"/>
        </w:num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9</w:t>
      </w:r>
      <w:r>
        <w:rPr>
          <w:rFonts w:hint="eastAsia" w:ascii="宋体" w:hAnsi="宋体" w:eastAsia="宋体" w:cs="宋体"/>
        </w:rPr>
        <w:t>.1防火门、通道门、病房门、办公室门、橱柜门、写字台柜门、文件柜门及门设施附属物如铰链、把手、锁具的维护、维修与更换。</w:t>
      </w:r>
    </w:p>
    <w:p>
      <w:pPr>
        <w:numPr>
          <w:ilvl w:val="255"/>
          <w:numId w:val="0"/>
        </w:num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9</w:t>
      </w:r>
      <w:r>
        <w:rPr>
          <w:rFonts w:hint="eastAsia" w:ascii="宋体" w:hAnsi="宋体" w:eastAsia="宋体" w:cs="宋体"/>
        </w:rPr>
        <w:t>.2各类推窗、移窗及窗类附属设施窗如铰链、把手、锁具的维护、维修与更换。</w:t>
      </w:r>
    </w:p>
    <w:p>
      <w:pPr>
        <w:numPr>
          <w:ilvl w:val="255"/>
          <w:numId w:val="0"/>
        </w:num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9</w:t>
      </w:r>
      <w:r>
        <w:rPr>
          <w:rFonts w:hint="eastAsia" w:ascii="宋体" w:hAnsi="宋体" w:eastAsia="宋体" w:cs="宋体"/>
        </w:rPr>
        <w:t>.3各类病床及值班室设施及附件维护、维修与更换。</w:t>
      </w:r>
    </w:p>
    <w:p>
      <w:pPr>
        <w:numPr>
          <w:ilvl w:val="255"/>
          <w:numId w:val="0"/>
        </w:num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9</w:t>
      </w:r>
      <w:r>
        <w:rPr>
          <w:rFonts w:hint="eastAsia" w:ascii="宋体" w:hAnsi="宋体" w:eastAsia="宋体" w:cs="宋体"/>
        </w:rPr>
        <w:t>.4隔离板、盐水架、壁柜、隔帘等维修更换及安装排勾、衣钩及装挂物品等工作。</w:t>
      </w:r>
    </w:p>
    <w:p>
      <w:p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9</w:t>
      </w:r>
      <w:r>
        <w:rPr>
          <w:rFonts w:hint="eastAsia" w:ascii="宋体" w:hAnsi="宋体" w:eastAsia="宋体" w:cs="宋体"/>
        </w:rPr>
        <w:t>.5室内墙面顶面污染、小面积裂纹、小面积涂料损坏、小部分油漆涂料进行修补，室内吊顶的局部整修。</w:t>
      </w:r>
    </w:p>
    <w:p>
      <w:p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10</w:t>
      </w:r>
      <w:r>
        <w:rPr>
          <w:rFonts w:hint="eastAsia" w:ascii="宋体" w:hAnsi="宋体" w:eastAsia="宋体" w:cs="宋体"/>
        </w:rPr>
        <w:t>其他服务</w:t>
      </w:r>
    </w:p>
    <w:p>
      <w:pPr>
        <w:numPr>
          <w:ilvl w:val="255"/>
          <w:numId w:val="0"/>
        </w:numPr>
        <w:ind w:firstLine="480" w:firstLineChars="200"/>
        <w:jc w:val="both"/>
        <w:rPr>
          <w:rFonts w:ascii="宋体" w:hAnsi="宋体" w:eastAsia="宋体" w:cs="宋体"/>
          <w:lang w:val="zh-CN"/>
        </w:rPr>
      </w:pPr>
      <w:r>
        <w:rPr>
          <w:rFonts w:hint="eastAsia" w:ascii="宋体" w:hAnsi="宋体" w:eastAsia="宋体" w:cs="宋体"/>
        </w:rPr>
        <w:t>1.</w:t>
      </w:r>
      <w:r>
        <w:rPr>
          <w:rFonts w:ascii="宋体" w:hAnsi="宋体" w:eastAsia="宋体" w:cs="宋体"/>
        </w:rPr>
        <w:t>10</w:t>
      </w:r>
      <w:r>
        <w:rPr>
          <w:rFonts w:hint="eastAsia" w:ascii="宋体" w:hAnsi="宋体" w:eastAsia="宋体" w:cs="宋体"/>
        </w:rPr>
        <w:t>.1</w:t>
      </w:r>
      <w:r>
        <w:rPr>
          <w:rFonts w:hint="eastAsia" w:ascii="宋体" w:hAnsi="宋体" w:eastAsia="宋体" w:cs="宋体"/>
          <w:lang w:val="zh-CN"/>
        </w:rPr>
        <w:t>配合相关科室对责任区内的各种设备设施进行调整、巡检，并做好相关记录。</w:t>
      </w:r>
    </w:p>
    <w:p>
      <w:pPr>
        <w:numPr>
          <w:ilvl w:val="255"/>
          <w:numId w:val="0"/>
        </w:numPr>
        <w:ind w:firstLine="480" w:firstLineChars="200"/>
        <w:jc w:val="both"/>
        <w:rPr>
          <w:rFonts w:ascii="宋体" w:hAnsi="宋体" w:eastAsia="宋体" w:cs="宋体"/>
          <w:lang w:val="zh-CN"/>
        </w:rPr>
      </w:pPr>
      <w:r>
        <w:rPr>
          <w:rFonts w:hint="eastAsia" w:ascii="宋体" w:hAnsi="宋体" w:eastAsia="宋体" w:cs="宋体"/>
        </w:rPr>
        <w:t>1.</w:t>
      </w:r>
      <w:r>
        <w:rPr>
          <w:rFonts w:ascii="宋体" w:hAnsi="宋体" w:eastAsia="宋体" w:cs="宋体"/>
        </w:rPr>
        <w:t>10</w:t>
      </w:r>
      <w:r>
        <w:rPr>
          <w:rFonts w:hint="eastAsia" w:ascii="宋体" w:hAnsi="宋体" w:eastAsia="宋体" w:cs="宋体"/>
        </w:rPr>
        <w:t>.2</w:t>
      </w:r>
      <w:r>
        <w:rPr>
          <w:rFonts w:hint="eastAsia" w:ascii="宋体" w:hAnsi="宋体" w:eastAsia="宋体" w:cs="宋体"/>
          <w:lang w:val="zh-CN"/>
        </w:rPr>
        <w:t>每月巡查一次给排水竖井、配电竖井、配电间及设备层、地沟的管线、电缆沟的电缆，并做好配电箱的除尘及室内卫生，并做好相关记录。</w:t>
      </w:r>
    </w:p>
    <w:p>
      <w:pPr>
        <w:numPr>
          <w:ilvl w:val="255"/>
          <w:numId w:val="0"/>
        </w:numPr>
        <w:ind w:firstLine="480" w:firstLineChars="200"/>
        <w:jc w:val="both"/>
        <w:rPr>
          <w:rFonts w:ascii="宋体" w:hAnsi="宋体" w:eastAsia="宋体" w:cs="宋体"/>
          <w:lang w:val="zh-CN"/>
        </w:rPr>
      </w:pPr>
      <w:r>
        <w:rPr>
          <w:rFonts w:hint="eastAsia" w:ascii="宋体" w:hAnsi="宋体" w:eastAsia="宋体" w:cs="宋体"/>
        </w:rPr>
        <w:t>1.</w:t>
      </w:r>
      <w:r>
        <w:rPr>
          <w:rFonts w:ascii="宋体" w:hAnsi="宋体" w:eastAsia="宋体" w:cs="宋体"/>
        </w:rPr>
        <w:t>10</w:t>
      </w:r>
      <w:r>
        <w:rPr>
          <w:rFonts w:hint="eastAsia" w:ascii="宋体" w:hAnsi="宋体" w:eastAsia="宋体" w:cs="宋体"/>
        </w:rPr>
        <w:t>.3</w:t>
      </w:r>
      <w:r>
        <w:rPr>
          <w:rFonts w:hint="eastAsia" w:ascii="宋体" w:hAnsi="宋体" w:eastAsia="宋体" w:cs="宋体"/>
          <w:lang w:val="zh-CN"/>
        </w:rPr>
        <w:t>对各种未签维保协议的设备，进行日常巡视，并做好相关记录。</w:t>
      </w:r>
    </w:p>
    <w:p>
      <w:pPr>
        <w:numPr>
          <w:ilvl w:val="255"/>
          <w:numId w:val="0"/>
        </w:numPr>
        <w:ind w:firstLine="480" w:firstLineChars="200"/>
        <w:jc w:val="both"/>
        <w:rPr>
          <w:rFonts w:ascii="宋体" w:hAnsi="宋体" w:eastAsia="宋体" w:cs="宋体"/>
          <w:lang w:val="zh-CN"/>
        </w:rPr>
      </w:pPr>
      <w:r>
        <w:rPr>
          <w:rFonts w:hint="eastAsia" w:ascii="宋体" w:hAnsi="宋体" w:eastAsia="宋体" w:cs="宋体"/>
        </w:rPr>
        <w:t>1.</w:t>
      </w:r>
      <w:r>
        <w:rPr>
          <w:rFonts w:ascii="宋体" w:hAnsi="宋体" w:eastAsia="宋体" w:cs="宋体"/>
        </w:rPr>
        <w:t>10</w:t>
      </w:r>
      <w:r>
        <w:rPr>
          <w:rFonts w:hint="eastAsia" w:ascii="宋体" w:hAnsi="宋体" w:eastAsia="宋体" w:cs="宋体"/>
        </w:rPr>
        <w:t>.4</w:t>
      </w:r>
      <w:r>
        <w:rPr>
          <w:rFonts w:hint="eastAsia" w:ascii="宋体" w:hAnsi="宋体" w:eastAsia="宋体" w:cs="宋体"/>
          <w:lang w:val="zh-CN"/>
        </w:rPr>
        <w:t>对所有设备出现故障时进行必要的应急检查、处理，并做好相关记录。</w:t>
      </w:r>
    </w:p>
    <w:p>
      <w:pPr>
        <w:numPr>
          <w:ilvl w:val="255"/>
          <w:numId w:val="0"/>
        </w:numPr>
        <w:ind w:firstLine="480" w:firstLineChars="200"/>
        <w:jc w:val="both"/>
        <w:rPr>
          <w:rFonts w:ascii="宋体" w:hAnsi="宋体" w:eastAsia="宋体" w:cs="宋体"/>
          <w:lang w:val="zh-CN"/>
        </w:rPr>
      </w:pPr>
      <w:r>
        <w:rPr>
          <w:rFonts w:hint="eastAsia" w:ascii="宋体" w:hAnsi="宋体" w:eastAsia="宋体" w:cs="宋体"/>
        </w:rPr>
        <w:t>1.</w:t>
      </w:r>
      <w:r>
        <w:rPr>
          <w:rFonts w:ascii="宋体" w:hAnsi="宋体" w:eastAsia="宋体" w:cs="宋体"/>
        </w:rPr>
        <w:t>10</w:t>
      </w:r>
      <w:r>
        <w:rPr>
          <w:rFonts w:hint="eastAsia" w:ascii="宋体" w:hAnsi="宋体" w:eastAsia="宋体" w:cs="宋体"/>
        </w:rPr>
        <w:t>.5</w:t>
      </w:r>
      <w:r>
        <w:rPr>
          <w:rFonts w:hint="eastAsia" w:ascii="宋体" w:hAnsi="宋体" w:eastAsia="宋体" w:cs="宋体"/>
          <w:lang w:val="zh-CN"/>
        </w:rPr>
        <w:t>负责公共区域的空调启停，照明、门窗的开关工作（以节能为目的），日常期间做好巡查及节能工作。</w:t>
      </w:r>
    </w:p>
    <w:p>
      <w:pPr>
        <w:numPr>
          <w:ilvl w:val="255"/>
          <w:numId w:val="0"/>
        </w:numPr>
        <w:ind w:firstLine="480" w:firstLineChars="200"/>
        <w:jc w:val="both"/>
        <w:rPr>
          <w:rFonts w:ascii="宋体" w:hAnsi="宋体" w:eastAsia="宋体" w:cs="宋体"/>
          <w:lang w:val="zh-CN"/>
        </w:rPr>
      </w:pPr>
      <w:r>
        <w:rPr>
          <w:rFonts w:hint="eastAsia" w:ascii="宋体" w:hAnsi="宋体" w:eastAsia="宋体" w:cs="宋体"/>
        </w:rPr>
        <w:t>1.</w:t>
      </w:r>
      <w:r>
        <w:rPr>
          <w:rFonts w:ascii="宋体" w:hAnsi="宋体" w:eastAsia="宋体" w:cs="宋体"/>
        </w:rPr>
        <w:t>10</w:t>
      </w:r>
      <w:r>
        <w:rPr>
          <w:rFonts w:hint="eastAsia" w:ascii="宋体" w:hAnsi="宋体" w:eastAsia="宋体" w:cs="宋体"/>
        </w:rPr>
        <w:t>.6</w:t>
      </w:r>
      <w:r>
        <w:rPr>
          <w:rFonts w:hint="eastAsia" w:ascii="宋体" w:hAnsi="宋体" w:eastAsia="宋体" w:cs="宋体"/>
          <w:lang w:val="zh-CN"/>
        </w:rPr>
        <w:t>负责发放停电、停水、停气等影响采购人工作方面的各种通知，并做好相关记录。</w:t>
      </w:r>
    </w:p>
    <w:p>
      <w:pPr>
        <w:numPr>
          <w:ilvl w:val="255"/>
          <w:numId w:val="0"/>
        </w:numPr>
        <w:ind w:firstLine="480" w:firstLineChars="200"/>
        <w:jc w:val="both"/>
        <w:rPr>
          <w:rFonts w:ascii="宋体" w:hAnsi="宋体" w:eastAsia="宋体" w:cs="宋体"/>
          <w:lang w:val="zh-CN"/>
        </w:rPr>
      </w:pPr>
      <w:r>
        <w:rPr>
          <w:rFonts w:hint="eastAsia" w:ascii="宋体" w:hAnsi="宋体" w:eastAsia="宋体" w:cs="宋体"/>
        </w:rPr>
        <w:t>1.</w:t>
      </w:r>
      <w:r>
        <w:rPr>
          <w:rFonts w:ascii="宋体" w:hAnsi="宋体" w:eastAsia="宋体" w:cs="宋体"/>
        </w:rPr>
        <w:t>10</w:t>
      </w:r>
      <w:r>
        <w:rPr>
          <w:rFonts w:hint="eastAsia" w:ascii="宋体" w:hAnsi="宋体" w:eastAsia="宋体" w:cs="宋体"/>
        </w:rPr>
        <w:t>.7</w:t>
      </w:r>
      <w:r>
        <w:rPr>
          <w:rFonts w:hint="eastAsia" w:ascii="宋体" w:hAnsi="宋体" w:eastAsia="宋体" w:cs="宋体"/>
          <w:lang w:val="zh-CN"/>
        </w:rPr>
        <w:t>负责每月医院内查水、气、电表工作，并做好相关记录上报院方。</w:t>
      </w:r>
    </w:p>
    <w:p>
      <w:pPr>
        <w:numPr>
          <w:ilvl w:val="255"/>
          <w:numId w:val="0"/>
        </w:numPr>
        <w:ind w:firstLine="480" w:firstLineChars="200"/>
        <w:jc w:val="both"/>
        <w:rPr>
          <w:rFonts w:ascii="宋体" w:hAnsi="宋体" w:eastAsia="宋体" w:cs="宋体"/>
          <w:lang w:val="zh-CN"/>
        </w:rPr>
      </w:pPr>
      <w:r>
        <w:rPr>
          <w:rFonts w:hint="eastAsia" w:ascii="宋体" w:hAnsi="宋体" w:eastAsia="宋体" w:cs="宋体"/>
        </w:rPr>
        <w:t>1.</w:t>
      </w:r>
      <w:r>
        <w:rPr>
          <w:rFonts w:ascii="宋体" w:hAnsi="宋体" w:eastAsia="宋体" w:cs="宋体"/>
        </w:rPr>
        <w:t>10</w:t>
      </w:r>
      <w:r>
        <w:rPr>
          <w:rFonts w:hint="eastAsia" w:ascii="宋体" w:hAnsi="宋体" w:eastAsia="宋体" w:cs="宋体"/>
        </w:rPr>
        <w:t>.8</w:t>
      </w:r>
      <w:r>
        <w:rPr>
          <w:rFonts w:hint="eastAsia" w:ascii="宋体" w:hAnsi="宋体" w:eastAsia="宋体" w:cs="宋体"/>
          <w:lang w:val="zh-CN"/>
        </w:rPr>
        <w:t>负责维护保养包括家用电器类、日常用具类及一些未详但属于总务部门管辖的物业和设施的安装及改装工作。</w:t>
      </w:r>
    </w:p>
    <w:p>
      <w:pPr>
        <w:numPr>
          <w:ilvl w:val="255"/>
          <w:numId w:val="0"/>
        </w:numPr>
        <w:ind w:firstLine="480" w:firstLineChars="200"/>
        <w:jc w:val="both"/>
        <w:rPr>
          <w:rFonts w:ascii="宋体" w:hAnsi="宋体" w:eastAsia="宋体" w:cs="宋体"/>
          <w:lang w:val="zh-CN"/>
        </w:rPr>
      </w:pPr>
      <w:r>
        <w:rPr>
          <w:rFonts w:hint="eastAsia" w:ascii="宋体" w:hAnsi="宋体" w:eastAsia="宋体" w:cs="宋体"/>
        </w:rPr>
        <w:t>1.</w:t>
      </w:r>
      <w:r>
        <w:rPr>
          <w:rFonts w:ascii="宋体" w:hAnsi="宋体" w:eastAsia="宋体" w:cs="宋体"/>
        </w:rPr>
        <w:t>10</w:t>
      </w:r>
      <w:r>
        <w:rPr>
          <w:rFonts w:hint="eastAsia" w:ascii="宋体" w:hAnsi="宋体" w:eastAsia="宋体" w:cs="宋体"/>
        </w:rPr>
        <w:t>.9</w:t>
      </w:r>
      <w:r>
        <w:rPr>
          <w:rFonts w:hint="eastAsia" w:ascii="宋体" w:hAnsi="宋体" w:eastAsia="宋体" w:cs="宋体"/>
          <w:lang w:val="zh-CN"/>
        </w:rPr>
        <w:t>其他弱电设备发生故障、报警或安全隐患时，及时通知相关科室去现场处理，对事故处理有原始记录、处理过程、最终结果。</w:t>
      </w:r>
    </w:p>
    <w:p>
      <w:pPr>
        <w:ind w:firstLine="480" w:firstLineChars="200"/>
        <w:jc w:val="both"/>
        <w:rPr>
          <w:rFonts w:ascii="宋体" w:hAnsi="宋体" w:eastAsia="宋体" w:cs="宋体"/>
        </w:rPr>
      </w:pPr>
      <w:r>
        <w:rPr>
          <w:rFonts w:hint="eastAsia" w:ascii="宋体" w:hAnsi="宋体" w:eastAsia="宋体" w:cs="宋体"/>
        </w:rPr>
        <w:t>1.</w:t>
      </w:r>
      <w:r>
        <w:rPr>
          <w:rFonts w:ascii="宋体" w:hAnsi="宋体" w:eastAsia="宋体" w:cs="宋体"/>
        </w:rPr>
        <w:t>10</w:t>
      </w:r>
      <w:r>
        <w:rPr>
          <w:rFonts w:hint="eastAsia" w:ascii="宋体" w:hAnsi="宋体" w:eastAsia="宋体" w:cs="宋体"/>
        </w:rPr>
        <w:t>.10</w:t>
      </w:r>
      <w:r>
        <w:rPr>
          <w:rFonts w:hint="eastAsia" w:ascii="宋体" w:hAnsi="宋体" w:eastAsia="宋体" w:cs="宋体"/>
          <w:lang w:val="zh-CN"/>
        </w:rPr>
        <w:t>对大型设备维保、各种改建工程等，由</w:t>
      </w:r>
      <w:r>
        <w:rPr>
          <w:rFonts w:hint="eastAsia" w:ascii="宋体" w:hAnsi="宋体" w:eastAsia="宋体" w:cs="宋体"/>
        </w:rPr>
        <w:t>投标方</w:t>
      </w:r>
      <w:r>
        <w:rPr>
          <w:rFonts w:hint="eastAsia" w:ascii="宋体" w:hAnsi="宋体" w:eastAsia="宋体" w:cs="宋体"/>
          <w:lang w:val="zh-CN"/>
        </w:rPr>
        <w:t>协助提供方案、进行预算和推荐合格供应商，并对实施进行监督，协助验收。</w:t>
      </w:r>
    </w:p>
    <w:p>
      <w:pPr>
        <w:ind w:firstLine="480" w:firstLineChars="200"/>
        <w:jc w:val="both"/>
        <w:rPr>
          <w:rFonts w:ascii="宋体" w:hAnsi="宋体" w:eastAsia="宋体" w:cs="宋体"/>
        </w:rPr>
      </w:pPr>
      <w:r>
        <w:rPr>
          <w:rFonts w:hint="eastAsia" w:ascii="宋体" w:hAnsi="宋体" w:eastAsia="宋体" w:cs="宋体"/>
        </w:rPr>
        <w:t>1.1</w:t>
      </w:r>
      <w:r>
        <w:rPr>
          <w:rFonts w:ascii="宋体" w:hAnsi="宋体" w:eastAsia="宋体" w:cs="宋体"/>
        </w:rPr>
        <w:t>1</w:t>
      </w:r>
      <w:r>
        <w:rPr>
          <w:rFonts w:hint="eastAsia" w:ascii="宋体" w:hAnsi="宋体" w:eastAsia="宋体" w:cs="宋体"/>
        </w:rPr>
        <w:t>定期参加科室组织的各类应急演练，熟练掌握班组相关设施设备（如：发电机组、供水系统、配电系统等）的操作、维护、保养能力。</w:t>
      </w:r>
    </w:p>
    <w:p>
      <w:pPr>
        <w:ind w:firstLine="480" w:firstLineChars="200"/>
        <w:jc w:val="both"/>
        <w:rPr>
          <w:rFonts w:ascii="宋体" w:hAnsi="宋体" w:eastAsia="宋体" w:cs="宋体"/>
          <w:b/>
        </w:rPr>
      </w:pPr>
      <w:r>
        <w:rPr>
          <w:rFonts w:hint="eastAsia" w:ascii="宋体" w:hAnsi="宋体" w:eastAsia="宋体" w:cs="宋体"/>
          <w:b/>
        </w:rPr>
        <w:t>2．需外委相关第三方完成的服务</w:t>
      </w:r>
    </w:p>
    <w:p>
      <w:pPr>
        <w:ind w:firstLine="480" w:firstLineChars="200"/>
        <w:jc w:val="both"/>
        <w:rPr>
          <w:rFonts w:ascii="宋体" w:hAnsi="宋体" w:eastAsia="宋体" w:cs="宋体"/>
        </w:rPr>
      </w:pPr>
      <w:r>
        <w:rPr>
          <w:rFonts w:hint="eastAsia" w:ascii="宋体" w:hAnsi="宋体" w:eastAsia="宋体" w:cs="宋体"/>
        </w:rPr>
        <w:t>2.1高低压设备专业年度检测；</w:t>
      </w:r>
    </w:p>
    <w:p>
      <w:pPr>
        <w:ind w:firstLine="480" w:firstLineChars="200"/>
        <w:jc w:val="both"/>
        <w:rPr>
          <w:rFonts w:ascii="宋体" w:hAnsi="宋体" w:eastAsia="宋体" w:cs="宋体"/>
        </w:rPr>
      </w:pPr>
      <w:r>
        <w:rPr>
          <w:rFonts w:hint="eastAsia" w:ascii="宋体" w:hAnsi="宋体" w:eastAsia="宋体" w:cs="宋体"/>
        </w:rPr>
        <w:t>2.2建筑物防雷接地以及压力容器、仪表等国家规定的各项年检按照当地政府要求标准执行；</w:t>
      </w:r>
    </w:p>
    <w:p>
      <w:pPr>
        <w:ind w:firstLine="480" w:firstLineChars="200"/>
        <w:jc w:val="both"/>
        <w:rPr>
          <w:rFonts w:ascii="宋体" w:hAnsi="宋体" w:eastAsia="宋体" w:cs="宋体"/>
        </w:rPr>
      </w:pPr>
      <w:r>
        <w:rPr>
          <w:rFonts w:hint="eastAsia" w:ascii="宋体" w:hAnsi="宋体" w:eastAsia="宋体" w:cs="宋体"/>
        </w:rPr>
        <w:t>2.3中央空调风管、水系统、生活水箱等设施的清洗按照当地政府要求标准执行</w:t>
      </w:r>
    </w:p>
    <w:p>
      <w:pPr>
        <w:ind w:firstLine="480" w:firstLineChars="200"/>
        <w:jc w:val="both"/>
        <w:rPr>
          <w:rFonts w:ascii="宋体" w:hAnsi="宋体" w:eastAsia="宋体" w:cs="宋体"/>
        </w:rPr>
      </w:pPr>
      <w:r>
        <w:rPr>
          <w:rFonts w:hint="eastAsia" w:ascii="宋体" w:hAnsi="宋体" w:eastAsia="宋体" w:cs="宋体"/>
        </w:rPr>
        <w:t>2.4所有电梯设备的年检及维修，需按照相应行业/国家规定执行。</w:t>
      </w:r>
    </w:p>
    <w:p>
      <w:pPr>
        <w:ind w:firstLine="480" w:firstLineChars="200"/>
        <w:jc w:val="both"/>
        <w:rPr>
          <w:rFonts w:ascii="宋体" w:hAnsi="宋体" w:eastAsia="宋体" w:cs="宋体"/>
        </w:rPr>
      </w:pPr>
      <w:r>
        <w:rPr>
          <w:rFonts w:hint="eastAsia" w:ascii="宋体" w:hAnsi="宋体" w:eastAsia="宋体" w:cs="宋体"/>
        </w:rPr>
        <w:t>2.5其他非医疗设备的所有第三方检测/维保费用均由投标人负责。</w:t>
      </w:r>
    </w:p>
    <w:p>
      <w:pPr>
        <w:ind w:firstLine="480" w:firstLineChars="200"/>
        <w:jc w:val="both"/>
        <w:rPr>
          <w:rFonts w:ascii="宋体" w:hAnsi="宋体" w:eastAsia="宋体" w:cs="宋体"/>
          <w:b/>
        </w:rPr>
      </w:pPr>
      <w:r>
        <w:rPr>
          <w:rFonts w:hint="eastAsia" w:ascii="宋体" w:hAnsi="宋体" w:eastAsia="宋体" w:cs="宋体"/>
          <w:b/>
        </w:rPr>
        <w:t>以上内容由投标人统一对接管理，招标人不再额外付费，因此产生的所有费用包含在本次招标服务费内。</w:t>
      </w:r>
    </w:p>
    <w:p>
      <w:pPr>
        <w:ind w:firstLine="480" w:firstLineChars="200"/>
        <w:jc w:val="both"/>
        <w:rPr>
          <w:rFonts w:ascii="宋体" w:hAnsi="宋体" w:eastAsia="宋体" w:cs="宋体"/>
          <w:b/>
        </w:rPr>
      </w:pPr>
      <w:r>
        <w:rPr>
          <w:rFonts w:hint="eastAsia" w:ascii="宋体" w:hAnsi="宋体" w:eastAsia="宋体" w:cs="宋体"/>
          <w:b/>
        </w:rPr>
        <w:t xml:space="preserve">3．服务标准 </w:t>
      </w:r>
    </w:p>
    <w:p>
      <w:pPr>
        <w:ind w:firstLine="480" w:firstLineChars="200"/>
        <w:jc w:val="both"/>
        <w:rPr>
          <w:rFonts w:ascii="宋体" w:hAnsi="宋体" w:eastAsia="宋体" w:cs="宋体"/>
        </w:rPr>
      </w:pPr>
      <w:r>
        <w:rPr>
          <w:rFonts w:hint="eastAsia" w:ascii="宋体" w:hAnsi="宋体" w:eastAsia="宋体" w:cs="宋体"/>
        </w:rPr>
        <w:t xml:space="preserve">3.1遵守国家和医院相关维修规范和操作规程，执行24小时值班制度、日常巡查制度、限时完工制度、应急抢修制度、应急保障制度以及安全文明、绿色环保、低碳节能施工制度等，达到工完、料尽、场地清，破损备件和建筑垃圾专项处置，确保设备设施完好、可用、美观，维修间和库房内外设施和环境管理规范、有序、整洁。 </w:t>
      </w:r>
    </w:p>
    <w:p>
      <w:pPr>
        <w:ind w:firstLine="480" w:firstLineChars="200"/>
        <w:jc w:val="both"/>
        <w:rPr>
          <w:rFonts w:ascii="宋体" w:hAnsi="宋体" w:eastAsia="宋体" w:cs="宋体"/>
        </w:rPr>
      </w:pPr>
      <w:r>
        <w:rPr>
          <w:rFonts w:hint="eastAsia" w:ascii="宋体" w:hAnsi="宋体" w:eastAsia="宋体" w:cs="宋体"/>
        </w:rPr>
        <w:t xml:space="preserve">3.2紧急维修15 分钟内到达现场，当日报修当日完成，特殊情况当日完成不了的报管理部门备案。遇有停电、爆管等影响医疗安全的突发情况，应在接到通知后5分钟内到达现场，处理故障，保证医院生产安全。因服务人员操作不当引发的安全责任由物业公司承担。 </w:t>
      </w:r>
    </w:p>
    <w:p>
      <w:pPr>
        <w:ind w:firstLine="480" w:firstLineChars="200"/>
        <w:jc w:val="both"/>
        <w:rPr>
          <w:rFonts w:ascii="宋体" w:hAnsi="宋体" w:eastAsia="宋体" w:cs="宋体"/>
        </w:rPr>
      </w:pPr>
      <w:r>
        <w:rPr>
          <w:rFonts w:hint="eastAsia" w:ascii="宋体" w:hAnsi="宋体" w:eastAsia="宋体" w:cs="宋体"/>
        </w:rPr>
        <w:t>3.3维修人员实行片区责任制，执行主动服务巡检模式，工作完成后应填写维修单，由相关科室负责人签字确认。</w:t>
      </w:r>
    </w:p>
    <w:p>
      <w:pPr>
        <w:ind w:firstLine="480" w:firstLineChars="200"/>
        <w:jc w:val="both"/>
        <w:rPr>
          <w:rFonts w:ascii="宋体" w:hAnsi="宋体" w:eastAsia="宋体" w:cs="宋体"/>
        </w:rPr>
      </w:pPr>
      <w:r>
        <w:rPr>
          <w:rFonts w:hint="eastAsia" w:ascii="宋体" w:hAnsi="宋体" w:eastAsia="宋体" w:cs="宋体"/>
        </w:rPr>
        <w:t>3.4接到报修通知后维修人员应在15分钟内到达现场。积极参加科室组织的专业技术培训（每年不少于10课时），努力提高维修技术能力，熟练掌握院区内水电汽设备及有关水电汽方面的设备日常操作、维修及保养办法。</w:t>
      </w:r>
    </w:p>
    <w:p>
      <w:pPr>
        <w:ind w:firstLine="480" w:firstLineChars="200"/>
        <w:jc w:val="both"/>
        <w:rPr>
          <w:rFonts w:ascii="宋体" w:hAnsi="宋体" w:eastAsia="宋体" w:cs="宋体"/>
        </w:rPr>
      </w:pPr>
      <w:r>
        <w:rPr>
          <w:rFonts w:hint="eastAsia" w:ascii="宋体" w:hAnsi="宋体" w:eastAsia="宋体" w:cs="宋体"/>
        </w:rPr>
        <w:t>3.5高低压配电值守</w:t>
      </w:r>
    </w:p>
    <w:p>
      <w:pPr>
        <w:ind w:firstLine="480" w:firstLineChars="200"/>
        <w:jc w:val="both"/>
        <w:rPr>
          <w:rFonts w:ascii="宋体" w:hAnsi="宋体" w:eastAsia="宋体" w:cs="宋体"/>
        </w:rPr>
      </w:pPr>
      <w:r>
        <w:rPr>
          <w:rFonts w:hint="eastAsia" w:ascii="宋体" w:hAnsi="宋体" w:eastAsia="宋体" w:cs="宋体"/>
        </w:rPr>
        <w:t>3.5.1负责全院高低压配电房（含发电机组）日常运行、维护管理，配置具备有效高低压相关资格证书的员工，严格执行操作票管理，设置保障等级及供电范围标识，建立设备台账，建立和健全配电房、发电房等区域的管理制度、操作流程及值班岗位编制岗位责任制及电工值班制度。根据用电特点，设置专责电工轮流值班，值班电工每班进行定期巡视。值班岗位要求一天二十四小时都保证有人坚守。值班岗位编制应做好日常设备运行维护、运行操作、缺陷处理、事故处理等工作，并按时巡视检查设备、抄录表计、结算电量、按时报送电量、负荷，按规范建立各项工作记录。</w:t>
      </w:r>
    </w:p>
    <w:p>
      <w:pPr>
        <w:ind w:firstLine="480" w:firstLineChars="200"/>
        <w:jc w:val="both"/>
        <w:rPr>
          <w:rFonts w:ascii="宋体" w:hAnsi="宋体" w:eastAsia="宋体" w:cs="宋体"/>
        </w:rPr>
      </w:pPr>
      <w:r>
        <w:rPr>
          <w:rFonts w:hint="eastAsia" w:ascii="宋体" w:hAnsi="宋体" w:eastAsia="宋体" w:cs="宋体"/>
        </w:rPr>
        <w:t>3.5.2制定配电房、发电房等区域的应急预案，建立重要供电保障开关电柜清单，定期组织技术/安全培训，熟悉重要区域供电主备供配置范围及控制方式，熟练掌握发电机应急供电保障范围，每半年组织一次应急安全演练。交接班期间如发生事故，应共同将事故处理完善，或告一段落后，方得进行正常的交接班工作。当事故发生时，应根据具体情况采取措施进行处理和防止事故扩大，并将事故及处理经过详细记录好，及时向上级和供电部门报告。</w:t>
      </w:r>
    </w:p>
    <w:p>
      <w:pPr>
        <w:ind w:firstLine="480" w:firstLineChars="200"/>
        <w:jc w:val="both"/>
        <w:rPr>
          <w:rFonts w:ascii="宋体" w:hAnsi="宋体" w:eastAsia="宋体" w:cs="宋体"/>
        </w:rPr>
      </w:pPr>
      <w:r>
        <w:rPr>
          <w:rFonts w:hint="eastAsia" w:ascii="宋体" w:hAnsi="宋体" w:eastAsia="宋体" w:cs="宋体"/>
        </w:rPr>
        <w:t>3.5.3必须按照西安市供电局的相关规定设置高压岗位，高压相关操作必须符合相应的规范。</w:t>
      </w:r>
    </w:p>
    <w:p>
      <w:pPr>
        <w:ind w:firstLine="480" w:firstLineChars="200"/>
        <w:jc w:val="both"/>
        <w:rPr>
          <w:rFonts w:ascii="宋体" w:hAnsi="宋体" w:eastAsia="宋体" w:cs="宋体"/>
        </w:rPr>
      </w:pPr>
      <w:r>
        <w:rPr>
          <w:rFonts w:hint="eastAsia" w:ascii="宋体" w:hAnsi="宋体" w:eastAsia="宋体" w:cs="宋体"/>
        </w:rPr>
        <w:t>3.5.4配合的第三方“高压供配电设施年度维保商”按计划进行维修保养，并监督、评价其完成合同约定服务情况，做好书面汇报。</w:t>
      </w:r>
    </w:p>
    <w:p>
      <w:pPr>
        <w:ind w:firstLine="480" w:firstLineChars="200"/>
        <w:jc w:val="both"/>
        <w:rPr>
          <w:rFonts w:ascii="宋体" w:hAnsi="宋体" w:eastAsia="宋体" w:cs="宋体"/>
        </w:rPr>
      </w:pPr>
      <w:r>
        <w:rPr>
          <w:rFonts w:hint="eastAsia" w:ascii="宋体" w:hAnsi="宋体" w:eastAsia="宋体" w:cs="宋体"/>
        </w:rPr>
        <w:t>3.5.5负责按照医院相关管理制度、要求及合同约定完成周期性的各类巡查工作，高低压配电房及楼栋配电房2小时一次，层间配电房每周一次（重要开关需强化巡检、维护力度），有完整记录及巡查评估结果，改善措施有效落实。</w:t>
      </w:r>
    </w:p>
    <w:p>
      <w:pPr>
        <w:ind w:firstLine="480" w:firstLineChars="200"/>
        <w:jc w:val="both"/>
        <w:rPr>
          <w:rFonts w:ascii="宋体" w:hAnsi="宋体" w:eastAsia="宋体" w:cs="宋体"/>
        </w:rPr>
      </w:pPr>
      <w:r>
        <w:rPr>
          <w:rFonts w:hint="eastAsia" w:ascii="宋体" w:hAnsi="宋体" w:eastAsia="宋体" w:cs="宋体"/>
        </w:rPr>
        <w:t>3.5.6负责全部照明灯具、插座、线路、及各配电箱的运行、维护保养、增减、维修（每周至少巡查一次配电竖井、配电间等并测试其间断路器、母线、电缆及接线头温度（需乙方配备热成像设备），安全工具按规范进行效验，按时对发电机组进行维护（每月不少于2次试运行），并对测试结果作出分析判断及时上报。</w:t>
      </w:r>
    </w:p>
    <w:p>
      <w:pPr>
        <w:ind w:firstLine="480" w:firstLineChars="200"/>
        <w:jc w:val="both"/>
        <w:rPr>
          <w:rFonts w:ascii="宋体" w:hAnsi="宋体" w:eastAsia="宋体" w:cs="宋体"/>
        </w:rPr>
      </w:pPr>
      <w:r>
        <w:rPr>
          <w:rFonts w:hint="eastAsia" w:ascii="宋体" w:hAnsi="宋体" w:eastAsia="宋体" w:cs="宋体"/>
        </w:rPr>
        <w:t>3.5.7负责医院设备带用电系统的运行与维护，与专业维保公司配合维修供电。</w:t>
      </w:r>
    </w:p>
    <w:p>
      <w:pPr>
        <w:ind w:firstLine="480" w:firstLineChars="200"/>
        <w:jc w:val="both"/>
        <w:rPr>
          <w:rFonts w:ascii="宋体" w:hAnsi="宋体" w:eastAsia="宋体" w:cs="宋体"/>
        </w:rPr>
      </w:pPr>
      <w:r>
        <w:rPr>
          <w:rFonts w:hint="eastAsia" w:ascii="宋体" w:hAnsi="宋体" w:eastAsia="宋体" w:cs="宋体"/>
        </w:rPr>
        <w:t>3.5.8配合医院进行避雷检测等工作。</w:t>
      </w:r>
    </w:p>
    <w:p>
      <w:pPr>
        <w:pStyle w:val="4"/>
        <w:spacing w:before="0" w:after="0"/>
        <w:ind w:firstLine="482"/>
      </w:pPr>
      <w:r>
        <w:rPr>
          <w:rFonts w:hint="eastAsia"/>
        </w:rPr>
        <w:t>（六）信息化服务内容及要求</w:t>
      </w:r>
    </w:p>
    <w:p>
      <w:pPr>
        <w:ind w:firstLine="480" w:firstLineChars="200"/>
        <w:jc w:val="both"/>
        <w:rPr>
          <w:b/>
        </w:rPr>
      </w:pPr>
      <w:r>
        <w:rPr>
          <w:rFonts w:hint="eastAsia"/>
          <w:b/>
        </w:rPr>
        <w:t>1．服务背景</w:t>
      </w:r>
    </w:p>
    <w:p>
      <w:pPr>
        <w:ind w:firstLine="480" w:firstLineChars="200"/>
        <w:jc w:val="both"/>
      </w:pPr>
      <w:r>
        <w:rPr>
          <w:rFonts w:hint="eastAsia"/>
        </w:rPr>
        <w:t>本项目为了实现后勤服务数据化管理，提高效率，降低使用成本，有效监 管各项目的服务质量，中标方应投入一站式信息化管理系统，至少包含环境保洁服务信息模块（医疗废弃物信息管理、与环境相关智慧管理模块）设施设备运行与维护信息模块、院内秩序维护服务信息模块、中央运送服务信息模块，并实现一院三区的管理（覆盖其他两个院区使用），同时确保数据留存本地化，在服务期满后能够顺利移交给后续服务商。</w:t>
      </w:r>
    </w:p>
    <w:p>
      <w:pPr>
        <w:ind w:firstLine="480" w:firstLineChars="200"/>
        <w:jc w:val="both"/>
        <w:rPr>
          <w:rFonts w:ascii="宋体" w:hAnsi="宋体" w:eastAsia="宋体" w:cs="宋体"/>
          <w:b/>
        </w:rPr>
      </w:pPr>
      <w:r>
        <w:rPr>
          <w:rFonts w:hint="eastAsia" w:ascii="宋体" w:hAnsi="宋体" w:eastAsia="宋体" w:cs="宋体"/>
          <w:b/>
        </w:rPr>
        <w:t>2．信息化管理模块和功能实现要求</w:t>
      </w:r>
    </w:p>
    <w:p>
      <w:pPr>
        <w:ind w:firstLine="480" w:firstLineChars="200"/>
        <w:rPr>
          <w:rFonts w:ascii="宋体" w:hAnsi="宋体" w:eastAsia="宋体" w:cs="宋体"/>
        </w:rPr>
      </w:pPr>
      <w:r>
        <w:rPr>
          <w:rFonts w:hint="eastAsia" w:ascii="宋体" w:hAnsi="宋体" w:eastAsia="宋体" w:cs="宋体"/>
        </w:rPr>
        <w:t>2.1环境保洁服务信息模块要求：能实现网格化电子化对病房保洁服务质量实时检查并通过屏幕报表可视化。</w:t>
      </w:r>
    </w:p>
    <w:p>
      <w:pPr>
        <w:ind w:firstLine="480" w:firstLineChars="200"/>
        <w:rPr>
          <w:rFonts w:ascii="宋体" w:hAnsi="宋体" w:eastAsia="宋体" w:cs="宋体"/>
        </w:rPr>
      </w:pPr>
      <w:r>
        <w:rPr>
          <w:rFonts w:hint="eastAsia" w:ascii="宋体" w:hAnsi="宋体" w:eastAsia="宋体" w:cs="宋体"/>
        </w:rPr>
        <w:t>2.2医疗废弃物信息管理模块：系统可实现实时</w:t>
      </w:r>
      <w:r>
        <w:rPr>
          <w:rFonts w:hint="eastAsia" w:ascii="宋体" w:hAnsi="宋体" w:eastAsia="宋体" w:cs="宋体"/>
          <w:lang w:val="zh-CN"/>
        </w:rPr>
        <w:t>称重</w:t>
      </w:r>
      <w:r>
        <w:rPr>
          <w:rFonts w:hint="eastAsia" w:ascii="宋体" w:hAnsi="宋体" w:eastAsia="宋体" w:cs="宋体"/>
        </w:rPr>
        <w:t>记量</w:t>
      </w:r>
      <w:r>
        <w:rPr>
          <w:rFonts w:hint="eastAsia" w:ascii="宋体" w:hAnsi="宋体" w:eastAsia="宋体" w:cs="宋体"/>
          <w:lang w:val="zh-CN"/>
        </w:rPr>
        <w:t>、</w:t>
      </w:r>
      <w:r>
        <w:rPr>
          <w:rFonts w:hint="eastAsia" w:ascii="宋体" w:hAnsi="宋体" w:eastAsia="宋体" w:cs="宋体"/>
        </w:rPr>
        <w:t>查询等功能，并可为招标方开放端口，后续也可实现与陕西省医疗废弃物管理平台对接。</w:t>
      </w:r>
    </w:p>
    <w:p>
      <w:pPr>
        <w:ind w:firstLine="480" w:firstLineChars="200"/>
        <w:rPr>
          <w:rFonts w:ascii="宋体" w:hAnsi="宋体" w:eastAsia="宋体" w:cs="宋体"/>
        </w:rPr>
      </w:pPr>
      <w:r>
        <w:rPr>
          <w:rFonts w:hint="eastAsia" w:ascii="宋体" w:hAnsi="宋体" w:eastAsia="宋体" w:cs="宋体"/>
        </w:rPr>
        <w:t>2.3设施设备运行与维护信息模块：可对医院进行全方位空间管理，对所有设施设备进行信息编制实现线上数据管理，所有维修及巡查信息有据可依。</w:t>
      </w:r>
    </w:p>
    <w:p>
      <w:pPr>
        <w:ind w:firstLine="480" w:firstLineChars="200"/>
        <w:rPr>
          <w:rFonts w:ascii="宋体" w:hAnsi="宋体" w:eastAsia="宋体" w:cs="宋体"/>
        </w:rPr>
      </w:pPr>
      <w:r>
        <w:rPr>
          <w:rFonts w:hint="eastAsia" w:ascii="宋体" w:hAnsi="宋体" w:eastAsia="宋体" w:cs="宋体"/>
        </w:rPr>
        <w:t>2.4秩序维护电子巡更信息模块：实现无纸化电子巡更，智能扫码定位，巡检记录实时更新、自动上传、数据与招标方实时共享。</w:t>
      </w:r>
    </w:p>
    <w:p>
      <w:pPr>
        <w:ind w:firstLine="480" w:firstLineChars="200"/>
        <w:rPr>
          <w:rFonts w:ascii="宋体" w:hAnsi="宋体" w:eastAsia="宋体" w:cs="宋体"/>
        </w:rPr>
      </w:pPr>
      <w:r>
        <w:rPr>
          <w:rFonts w:hint="eastAsia" w:ascii="宋体" w:hAnsi="宋体" w:eastAsia="宋体" w:cs="宋体"/>
        </w:rPr>
        <w:t>2.5中央运送服务信息模块要求：能实现运送员工运送过程定位及时效追踪，实现医护对运送工作一键式服务需求，实现运送病人及标本全过程闭环管理。</w:t>
      </w:r>
    </w:p>
    <w:p>
      <w:pPr>
        <w:numPr>
          <w:ilvl w:val="255"/>
          <w:numId w:val="0"/>
        </w:numPr>
        <w:ind w:firstLine="480" w:firstLineChars="200"/>
        <w:jc w:val="both"/>
        <w:rPr>
          <w:rFonts w:ascii="宋体" w:hAnsi="宋体" w:eastAsia="宋体" w:cs="宋体"/>
        </w:rPr>
      </w:pPr>
      <w:r>
        <w:rPr>
          <w:rFonts w:hint="eastAsia" w:ascii="宋体" w:hAnsi="宋体" w:eastAsia="宋体" w:cs="宋体"/>
        </w:rPr>
        <w:t>以上信息模块需互通互联，并对医院进行数据开放，所有信息化数据资料归属权属于院方，中标方须妥善保存，在未取得院方许可的情况下不得外传。</w:t>
      </w:r>
    </w:p>
    <w:p>
      <w:pPr>
        <w:numPr>
          <w:ilvl w:val="255"/>
          <w:numId w:val="0"/>
        </w:numPr>
        <w:ind w:firstLine="480" w:firstLineChars="200"/>
        <w:jc w:val="both"/>
        <w:rPr>
          <w:rFonts w:ascii="宋体" w:hAnsi="宋体" w:eastAsia="宋体" w:cs="宋体"/>
          <w:b/>
        </w:rPr>
      </w:pPr>
      <w:r>
        <w:rPr>
          <w:rFonts w:hint="eastAsia" w:ascii="宋体" w:hAnsi="宋体" w:eastAsia="宋体" w:cs="宋体"/>
          <w:b/>
        </w:rPr>
        <w:t>3．对信息化系统投入使用的时间要求</w:t>
      </w:r>
    </w:p>
    <w:tbl>
      <w:tblPr>
        <w:tblStyle w:val="103"/>
        <w:tblW w:w="7803" w:type="dxa"/>
        <w:tblInd w:w="0"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4543"/>
        <w:gridCol w:w="3260"/>
      </w:tblGrid>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70" w:hRule="atLeast"/>
        </w:trPr>
        <w:tc>
          <w:tcPr>
            <w:tcW w:w="4543" w:type="dxa"/>
            <w:vAlign w:val="center"/>
          </w:tcPr>
          <w:p>
            <w:pPr>
              <w:pStyle w:val="104"/>
              <w:spacing w:before="123"/>
              <w:ind w:left="1795"/>
              <w:rPr>
                <w:sz w:val="24"/>
                <w:szCs w:val="24"/>
              </w:rPr>
            </w:pPr>
            <w:r>
              <w:rPr>
                <w:rFonts w:hint="eastAsia"/>
                <w:spacing w:val="-3"/>
                <w:sz w:val="24"/>
                <w:szCs w:val="24"/>
              </w:rPr>
              <w:t>系统名称</w:t>
            </w:r>
          </w:p>
        </w:tc>
        <w:tc>
          <w:tcPr>
            <w:tcW w:w="3260" w:type="dxa"/>
            <w:vAlign w:val="center"/>
          </w:tcPr>
          <w:p>
            <w:pPr>
              <w:pStyle w:val="104"/>
              <w:spacing w:before="124"/>
              <w:ind w:left="795"/>
              <w:rPr>
                <w:sz w:val="24"/>
                <w:szCs w:val="24"/>
              </w:rPr>
            </w:pPr>
            <w:r>
              <w:rPr>
                <w:rFonts w:hint="eastAsia"/>
                <w:spacing w:val="-2"/>
                <w:sz w:val="24"/>
                <w:szCs w:val="24"/>
              </w:rPr>
              <w:t>投入项目时间段</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3" w:hRule="atLeast"/>
        </w:trPr>
        <w:tc>
          <w:tcPr>
            <w:tcW w:w="4543" w:type="dxa"/>
            <w:vAlign w:val="center"/>
          </w:tcPr>
          <w:p>
            <w:pPr>
              <w:pStyle w:val="104"/>
              <w:spacing w:before="118"/>
              <w:jc w:val="center"/>
              <w:rPr>
                <w:sz w:val="24"/>
                <w:szCs w:val="24"/>
                <w:lang w:eastAsia="zh-CN"/>
              </w:rPr>
            </w:pPr>
            <w:r>
              <w:rPr>
                <w:rFonts w:hint="eastAsia"/>
                <w:spacing w:val="-1"/>
                <w:sz w:val="24"/>
                <w:szCs w:val="24"/>
                <w:lang w:eastAsia="zh-CN"/>
              </w:rPr>
              <w:t>环境保洁服务信息模块</w:t>
            </w:r>
          </w:p>
        </w:tc>
        <w:tc>
          <w:tcPr>
            <w:tcW w:w="3260" w:type="dxa"/>
            <w:vAlign w:val="center"/>
          </w:tcPr>
          <w:p>
            <w:pPr>
              <w:pStyle w:val="104"/>
              <w:spacing w:before="118"/>
              <w:ind w:left="556"/>
              <w:rPr>
                <w:sz w:val="24"/>
                <w:szCs w:val="24"/>
              </w:rPr>
            </w:pPr>
            <w:r>
              <w:rPr>
                <w:rFonts w:hint="eastAsia"/>
                <w:spacing w:val="-4"/>
                <w:sz w:val="24"/>
                <w:szCs w:val="24"/>
              </w:rPr>
              <w:t>正式入场后</w:t>
            </w:r>
            <w:r>
              <w:rPr>
                <w:rFonts w:hint="eastAsia"/>
                <w:spacing w:val="-43"/>
                <w:sz w:val="24"/>
                <w:szCs w:val="24"/>
              </w:rPr>
              <w:t xml:space="preserve"> </w:t>
            </w:r>
            <w:r>
              <w:rPr>
                <w:rFonts w:hint="eastAsia"/>
                <w:spacing w:val="-43"/>
                <w:sz w:val="24"/>
                <w:szCs w:val="24"/>
                <w:lang w:eastAsia="zh-CN"/>
              </w:rPr>
              <w:t>2</w:t>
            </w:r>
            <w:r>
              <w:rPr>
                <w:rFonts w:hint="eastAsia"/>
                <w:spacing w:val="-4"/>
                <w:sz w:val="24"/>
                <w:szCs w:val="24"/>
              </w:rPr>
              <w:t>个月内</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3" w:hRule="atLeast"/>
        </w:trPr>
        <w:tc>
          <w:tcPr>
            <w:tcW w:w="4543" w:type="dxa"/>
            <w:vAlign w:val="center"/>
          </w:tcPr>
          <w:p>
            <w:pPr>
              <w:pStyle w:val="104"/>
              <w:spacing w:before="121"/>
              <w:jc w:val="center"/>
              <w:rPr>
                <w:sz w:val="24"/>
                <w:szCs w:val="24"/>
              </w:rPr>
            </w:pPr>
            <w:r>
              <w:rPr>
                <w:rFonts w:hint="eastAsia"/>
                <w:spacing w:val="-1"/>
                <w:sz w:val="24"/>
                <w:szCs w:val="24"/>
                <w:lang w:eastAsia="zh-CN"/>
              </w:rPr>
              <w:t>医疗废弃物</w:t>
            </w:r>
            <w:r>
              <w:rPr>
                <w:rFonts w:hint="eastAsia"/>
                <w:spacing w:val="-1"/>
                <w:sz w:val="24"/>
                <w:szCs w:val="24"/>
              </w:rPr>
              <w:t>信息模块</w:t>
            </w:r>
          </w:p>
        </w:tc>
        <w:tc>
          <w:tcPr>
            <w:tcW w:w="3260" w:type="dxa"/>
            <w:vAlign w:val="center"/>
          </w:tcPr>
          <w:p>
            <w:pPr>
              <w:pStyle w:val="104"/>
              <w:spacing w:before="121"/>
              <w:ind w:left="556"/>
              <w:rPr>
                <w:sz w:val="24"/>
                <w:szCs w:val="24"/>
              </w:rPr>
            </w:pPr>
            <w:r>
              <w:rPr>
                <w:rFonts w:hint="eastAsia"/>
                <w:spacing w:val="-4"/>
                <w:sz w:val="24"/>
                <w:szCs w:val="24"/>
              </w:rPr>
              <w:t>正式入场后</w:t>
            </w:r>
            <w:r>
              <w:rPr>
                <w:rFonts w:hint="eastAsia"/>
                <w:spacing w:val="-43"/>
                <w:sz w:val="24"/>
                <w:szCs w:val="24"/>
              </w:rPr>
              <w:t xml:space="preserve"> </w:t>
            </w:r>
            <w:r>
              <w:rPr>
                <w:rFonts w:hint="eastAsia"/>
                <w:spacing w:val="-43"/>
                <w:sz w:val="24"/>
                <w:szCs w:val="24"/>
                <w:lang w:eastAsia="zh-CN"/>
              </w:rPr>
              <w:t>1</w:t>
            </w:r>
            <w:r>
              <w:rPr>
                <w:rFonts w:hint="eastAsia"/>
                <w:spacing w:val="-4"/>
                <w:sz w:val="24"/>
                <w:szCs w:val="24"/>
              </w:rPr>
              <w:t>个月内</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3" w:hRule="atLeast"/>
        </w:trPr>
        <w:tc>
          <w:tcPr>
            <w:tcW w:w="4543" w:type="dxa"/>
            <w:vAlign w:val="center"/>
          </w:tcPr>
          <w:p>
            <w:pPr>
              <w:pStyle w:val="104"/>
              <w:spacing w:before="108"/>
              <w:jc w:val="center"/>
              <w:rPr>
                <w:sz w:val="24"/>
                <w:szCs w:val="24"/>
                <w:lang w:eastAsia="zh-CN"/>
              </w:rPr>
            </w:pPr>
            <w:r>
              <w:rPr>
                <w:rFonts w:hint="eastAsia"/>
                <w:spacing w:val="-1"/>
                <w:sz w:val="24"/>
                <w:szCs w:val="24"/>
                <w:lang w:eastAsia="zh-CN"/>
              </w:rPr>
              <w:t>其他环境质量管理模块</w:t>
            </w:r>
          </w:p>
        </w:tc>
        <w:tc>
          <w:tcPr>
            <w:tcW w:w="3260" w:type="dxa"/>
            <w:vAlign w:val="center"/>
          </w:tcPr>
          <w:p>
            <w:pPr>
              <w:pStyle w:val="104"/>
              <w:spacing w:before="108"/>
              <w:ind w:left="556"/>
              <w:rPr>
                <w:sz w:val="24"/>
                <w:szCs w:val="24"/>
              </w:rPr>
            </w:pPr>
            <w:r>
              <w:rPr>
                <w:rFonts w:hint="eastAsia"/>
                <w:spacing w:val="-4"/>
                <w:sz w:val="24"/>
                <w:szCs w:val="24"/>
              </w:rPr>
              <w:t>正式入场后</w:t>
            </w:r>
            <w:r>
              <w:rPr>
                <w:rFonts w:hint="eastAsia"/>
                <w:spacing w:val="-43"/>
                <w:sz w:val="24"/>
                <w:szCs w:val="24"/>
              </w:rPr>
              <w:t xml:space="preserve"> </w:t>
            </w:r>
            <w:r>
              <w:rPr>
                <w:rFonts w:hint="eastAsia"/>
                <w:spacing w:val="-4"/>
                <w:sz w:val="24"/>
                <w:szCs w:val="24"/>
              </w:rPr>
              <w:t>2</w:t>
            </w:r>
            <w:r>
              <w:rPr>
                <w:rFonts w:hint="eastAsia"/>
                <w:spacing w:val="-51"/>
                <w:sz w:val="24"/>
                <w:szCs w:val="24"/>
              </w:rPr>
              <w:t xml:space="preserve"> </w:t>
            </w:r>
            <w:r>
              <w:rPr>
                <w:rFonts w:hint="eastAsia"/>
                <w:spacing w:val="-4"/>
                <w:sz w:val="24"/>
                <w:szCs w:val="24"/>
              </w:rPr>
              <w:t>个月内</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63" w:hRule="atLeast"/>
        </w:trPr>
        <w:tc>
          <w:tcPr>
            <w:tcW w:w="4543" w:type="dxa"/>
            <w:vAlign w:val="center"/>
          </w:tcPr>
          <w:p>
            <w:pPr>
              <w:pStyle w:val="104"/>
              <w:spacing w:before="111"/>
              <w:jc w:val="center"/>
              <w:rPr>
                <w:sz w:val="24"/>
                <w:szCs w:val="24"/>
                <w:lang w:eastAsia="zh-CN"/>
              </w:rPr>
            </w:pPr>
            <w:r>
              <w:rPr>
                <w:rFonts w:hint="eastAsia"/>
                <w:sz w:val="24"/>
                <w:szCs w:val="24"/>
                <w:lang w:eastAsia="zh-CN"/>
              </w:rPr>
              <w:t>设施设备运行与维护信息模块</w:t>
            </w:r>
          </w:p>
        </w:tc>
        <w:tc>
          <w:tcPr>
            <w:tcW w:w="3260" w:type="dxa"/>
            <w:vAlign w:val="center"/>
          </w:tcPr>
          <w:p>
            <w:pPr>
              <w:pStyle w:val="104"/>
              <w:spacing w:before="111"/>
              <w:ind w:firstLine="696" w:firstLineChars="300"/>
              <w:rPr>
                <w:sz w:val="24"/>
                <w:szCs w:val="24"/>
              </w:rPr>
            </w:pPr>
            <w:r>
              <w:rPr>
                <w:rFonts w:hint="eastAsia"/>
                <w:spacing w:val="-4"/>
                <w:sz w:val="24"/>
                <w:szCs w:val="24"/>
              </w:rPr>
              <w:t>正式入场后</w:t>
            </w:r>
            <w:r>
              <w:rPr>
                <w:rFonts w:hint="eastAsia"/>
                <w:spacing w:val="-43"/>
                <w:sz w:val="24"/>
                <w:szCs w:val="24"/>
              </w:rPr>
              <w:t xml:space="preserve"> </w:t>
            </w:r>
            <w:r>
              <w:rPr>
                <w:rFonts w:hint="eastAsia"/>
                <w:spacing w:val="-43"/>
                <w:sz w:val="24"/>
                <w:szCs w:val="24"/>
                <w:lang w:eastAsia="zh-CN"/>
              </w:rPr>
              <w:t>2</w:t>
            </w:r>
            <w:r>
              <w:rPr>
                <w:rFonts w:hint="eastAsia"/>
                <w:spacing w:val="-4"/>
                <w:sz w:val="24"/>
                <w:szCs w:val="24"/>
              </w:rPr>
              <w:t>个月内</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5" w:hRule="atLeast"/>
        </w:trPr>
        <w:tc>
          <w:tcPr>
            <w:tcW w:w="4543" w:type="dxa"/>
            <w:vAlign w:val="center"/>
          </w:tcPr>
          <w:p>
            <w:pPr>
              <w:pStyle w:val="104"/>
              <w:spacing w:before="113"/>
              <w:jc w:val="center"/>
              <w:rPr>
                <w:sz w:val="24"/>
                <w:szCs w:val="24"/>
                <w:lang w:eastAsia="zh-CN"/>
              </w:rPr>
            </w:pPr>
            <w:r>
              <w:rPr>
                <w:rFonts w:hint="eastAsia"/>
                <w:sz w:val="24"/>
                <w:szCs w:val="24"/>
                <w:lang w:eastAsia="zh-CN"/>
              </w:rPr>
              <w:t>秩序维护电子巡更信息模块</w:t>
            </w:r>
          </w:p>
        </w:tc>
        <w:tc>
          <w:tcPr>
            <w:tcW w:w="3260" w:type="dxa"/>
            <w:vAlign w:val="center"/>
          </w:tcPr>
          <w:p>
            <w:pPr>
              <w:pStyle w:val="104"/>
              <w:spacing w:before="113"/>
              <w:ind w:firstLine="696" w:firstLineChars="300"/>
              <w:rPr>
                <w:sz w:val="24"/>
                <w:szCs w:val="24"/>
              </w:rPr>
            </w:pPr>
            <w:r>
              <w:rPr>
                <w:rFonts w:hint="eastAsia"/>
                <w:spacing w:val="-4"/>
                <w:sz w:val="24"/>
                <w:szCs w:val="24"/>
              </w:rPr>
              <w:t>正式入场后</w:t>
            </w:r>
            <w:r>
              <w:rPr>
                <w:rFonts w:hint="eastAsia"/>
                <w:spacing w:val="-43"/>
                <w:sz w:val="24"/>
                <w:szCs w:val="24"/>
              </w:rPr>
              <w:t xml:space="preserve"> </w:t>
            </w:r>
            <w:r>
              <w:rPr>
                <w:rFonts w:hint="eastAsia"/>
                <w:spacing w:val="-43"/>
                <w:sz w:val="24"/>
                <w:szCs w:val="24"/>
                <w:lang w:eastAsia="zh-CN"/>
              </w:rPr>
              <w:t>2</w:t>
            </w:r>
            <w:r>
              <w:rPr>
                <w:rFonts w:hint="eastAsia"/>
                <w:spacing w:val="-4"/>
                <w:sz w:val="24"/>
                <w:szCs w:val="24"/>
              </w:rPr>
              <w:t>个月内</w:t>
            </w:r>
          </w:p>
        </w:tc>
      </w:tr>
      <w:tr>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55" w:hRule="atLeast"/>
        </w:trPr>
        <w:tc>
          <w:tcPr>
            <w:tcW w:w="4543" w:type="dxa"/>
            <w:vAlign w:val="center"/>
          </w:tcPr>
          <w:p>
            <w:pPr>
              <w:pStyle w:val="104"/>
              <w:spacing w:before="113"/>
              <w:jc w:val="center"/>
              <w:rPr>
                <w:sz w:val="24"/>
                <w:szCs w:val="24"/>
                <w:lang w:eastAsia="zh-CN"/>
              </w:rPr>
            </w:pPr>
            <w:r>
              <w:rPr>
                <w:rFonts w:hint="eastAsia"/>
                <w:spacing w:val="-3"/>
                <w:sz w:val="24"/>
                <w:szCs w:val="24"/>
                <w:lang w:eastAsia="zh-CN"/>
              </w:rPr>
              <w:t>中央运送服务信息模块</w:t>
            </w:r>
          </w:p>
        </w:tc>
        <w:tc>
          <w:tcPr>
            <w:tcW w:w="3260" w:type="dxa"/>
            <w:vAlign w:val="center"/>
          </w:tcPr>
          <w:p>
            <w:pPr>
              <w:pStyle w:val="104"/>
              <w:spacing w:before="113"/>
              <w:ind w:firstLine="696" w:firstLineChars="300"/>
              <w:rPr>
                <w:sz w:val="24"/>
                <w:szCs w:val="24"/>
              </w:rPr>
            </w:pPr>
            <w:r>
              <w:rPr>
                <w:rFonts w:hint="eastAsia"/>
                <w:spacing w:val="-4"/>
                <w:sz w:val="24"/>
                <w:szCs w:val="24"/>
              </w:rPr>
              <w:t>正式入场后</w:t>
            </w:r>
            <w:r>
              <w:rPr>
                <w:rFonts w:hint="eastAsia"/>
                <w:spacing w:val="-43"/>
                <w:sz w:val="24"/>
                <w:szCs w:val="24"/>
              </w:rPr>
              <w:t xml:space="preserve"> </w:t>
            </w:r>
            <w:r>
              <w:rPr>
                <w:rFonts w:hint="eastAsia"/>
                <w:spacing w:val="-4"/>
                <w:sz w:val="24"/>
                <w:szCs w:val="24"/>
              </w:rPr>
              <w:t>2</w:t>
            </w:r>
            <w:r>
              <w:rPr>
                <w:rFonts w:hint="eastAsia"/>
                <w:spacing w:val="-51"/>
                <w:sz w:val="24"/>
                <w:szCs w:val="24"/>
              </w:rPr>
              <w:t xml:space="preserve"> </w:t>
            </w:r>
            <w:r>
              <w:rPr>
                <w:rFonts w:hint="eastAsia"/>
                <w:spacing w:val="-4"/>
                <w:sz w:val="24"/>
                <w:szCs w:val="24"/>
              </w:rPr>
              <w:t>个月内</w:t>
            </w:r>
          </w:p>
        </w:tc>
      </w:tr>
    </w:tbl>
    <w:p>
      <w:pPr>
        <w:pStyle w:val="3"/>
        <w:jc w:val="both"/>
      </w:pPr>
      <w:r>
        <w:rPr>
          <w:rFonts w:hint="eastAsia"/>
        </w:rPr>
        <w:t>四、项目服务人员</w:t>
      </w:r>
      <w:r>
        <w:t>及设备配置需求</w:t>
      </w:r>
    </w:p>
    <w:p>
      <w:pPr>
        <w:pStyle w:val="4"/>
      </w:pPr>
      <w:r>
        <w:rPr>
          <w:rFonts w:hint="eastAsia"/>
        </w:rPr>
        <w:t>（一）人员配置要求</w:t>
      </w:r>
    </w:p>
    <w:p>
      <w:pPr>
        <w:ind w:firstLine="480" w:firstLineChars="200"/>
        <w:jc w:val="both"/>
        <w:rPr>
          <w:rFonts w:ascii="宋体" w:hAnsi="宋体" w:eastAsia="宋体" w:cs="宋体"/>
          <w:b/>
        </w:rPr>
      </w:pPr>
      <w:r>
        <w:rPr>
          <w:rFonts w:hint="eastAsia" w:ascii="宋体" w:hAnsi="宋体" w:eastAsia="宋体" w:cs="宋体"/>
          <w:b/>
        </w:rPr>
        <w:t>1.总体要求</w:t>
      </w:r>
    </w:p>
    <w:p>
      <w:pPr>
        <w:ind w:firstLine="480" w:firstLineChars="200"/>
        <w:jc w:val="both"/>
        <w:rPr>
          <w:rFonts w:ascii="宋体" w:hAnsi="宋体" w:eastAsia="宋体" w:cs="宋体"/>
        </w:rPr>
      </w:pPr>
      <w:r>
        <w:rPr>
          <w:rFonts w:hint="eastAsia" w:ascii="宋体" w:hAnsi="宋体" w:eastAsia="宋体" w:cs="宋体"/>
        </w:rPr>
        <w:t>1.1 投标人根据岗位配置内容增补人员，最低在岗人员不可少于197人，且服务人员工资不得低于西安市市职工最低工资标准。</w:t>
      </w:r>
    </w:p>
    <w:p>
      <w:pPr>
        <w:ind w:firstLine="480" w:firstLineChars="200"/>
        <w:jc w:val="both"/>
        <w:rPr>
          <w:rFonts w:ascii="宋体" w:hAnsi="宋体" w:eastAsia="宋体" w:cs="宋体"/>
        </w:rPr>
      </w:pPr>
      <w:r>
        <w:rPr>
          <w:rFonts w:hint="eastAsia" w:ascii="宋体" w:hAnsi="宋体" w:eastAsia="宋体" w:cs="宋体"/>
        </w:rPr>
        <w:t xml:space="preserve">1.2特殊岗位服务人员年龄、性别、学历、资质、工作经历、素质能力和工作时间满足科室具体工作需求和规律，符合院感防控规范和标准，履行限定辅助职能，在医院有关部门和人员专业指导下开展服务。  </w:t>
      </w:r>
    </w:p>
    <w:p>
      <w:pPr>
        <w:ind w:firstLine="480" w:firstLineChars="200"/>
        <w:jc w:val="both"/>
        <w:rPr>
          <w:rFonts w:ascii="宋体" w:hAnsi="宋体" w:eastAsia="宋体" w:cs="宋体"/>
        </w:rPr>
      </w:pPr>
      <w:r>
        <w:rPr>
          <w:rFonts w:hint="eastAsia" w:ascii="宋体" w:hAnsi="宋体" w:eastAsia="宋体" w:cs="宋体"/>
        </w:rPr>
        <w:t>1.3采购人对物业管理服务的重要岗位的设置、人员录用与管理，重要的管理决策有直接参与权和审批权。</w:t>
      </w:r>
    </w:p>
    <w:p>
      <w:pPr>
        <w:ind w:firstLine="480" w:firstLineChars="200"/>
        <w:jc w:val="both"/>
        <w:rPr>
          <w:rFonts w:ascii="宋体" w:hAnsi="宋体" w:eastAsia="宋体" w:cs="宋体"/>
        </w:rPr>
      </w:pPr>
      <w:r>
        <w:rPr>
          <w:rFonts w:hint="eastAsia" w:ascii="宋体" w:hAnsi="宋体" w:eastAsia="宋体" w:cs="宋体"/>
        </w:rPr>
        <w:t>1.4处理特殊事件和紧急、突发事故时，采购人对供应商的工作人员有直接指挥权，供应商的工作人员应当服从采购人的指挥。</w:t>
      </w:r>
    </w:p>
    <w:p>
      <w:pPr>
        <w:ind w:firstLine="480" w:firstLineChars="200"/>
        <w:jc w:val="both"/>
        <w:rPr>
          <w:rFonts w:ascii="宋体" w:hAnsi="宋体" w:eastAsia="宋体" w:cs="宋体"/>
        </w:rPr>
      </w:pPr>
      <w:r>
        <w:rPr>
          <w:rFonts w:hint="eastAsia" w:ascii="宋体" w:hAnsi="宋体" w:eastAsia="宋体" w:cs="宋体"/>
        </w:rPr>
        <w:t>1.5投标人负责为派驻员工提供按国家劳动法规规定的各种薪酬待遇和福利，包括全体驻场人员按岗位要求统一着装；供应商负责培训、考核、升降、调配、进出等人事管理事宜，并对其工作时的行为和劳动安全负责。</w:t>
      </w:r>
    </w:p>
    <w:p>
      <w:pPr>
        <w:ind w:firstLine="480" w:firstLineChars="200"/>
        <w:jc w:val="both"/>
        <w:rPr>
          <w:rFonts w:ascii="宋体" w:hAnsi="宋体" w:eastAsia="宋体" w:cs="宋体"/>
        </w:rPr>
      </w:pPr>
      <w:r>
        <w:rPr>
          <w:rFonts w:hint="eastAsia" w:ascii="宋体" w:hAnsi="宋体" w:eastAsia="宋体" w:cs="宋体"/>
        </w:rPr>
        <w:t>1.6投标人应加强员工劳动管理，完善岗位责任制和相关绩效考核，在保证物管达标前提下，保持员工队伍的相对稳定，避免因频繁换人导致的工作延续衔接不到位等内耗现象。遇员工辞职、离职等情况时，供应商应保证有新人及时接替工作，不允许岗位空置或同一时段一人身兼多岗位。</w:t>
      </w:r>
    </w:p>
    <w:p>
      <w:pPr>
        <w:ind w:firstLine="480" w:firstLineChars="200"/>
        <w:jc w:val="both"/>
        <w:rPr>
          <w:rFonts w:ascii="宋体" w:hAnsi="宋体" w:eastAsia="宋体" w:cs="宋体"/>
          <w:b/>
        </w:rPr>
      </w:pPr>
      <w:r>
        <w:rPr>
          <w:rFonts w:ascii="宋体" w:hAnsi="宋体" w:eastAsia="宋体" w:cs="宋体"/>
          <w:b/>
        </w:rPr>
        <w:t>2</w:t>
      </w:r>
      <w:r>
        <w:rPr>
          <w:rFonts w:hint="eastAsia" w:ascii="宋体" w:hAnsi="宋体" w:eastAsia="宋体" w:cs="宋体"/>
          <w:b/>
        </w:rPr>
        <w:t>.人员配置详情</w:t>
      </w:r>
    </w:p>
    <w:tbl>
      <w:tblPr>
        <w:tblStyle w:val="26"/>
        <w:tblW w:w="4996" w:type="pct"/>
        <w:jc w:val="center"/>
        <w:tblLayout w:type="autofit"/>
        <w:tblCellMar>
          <w:top w:w="0" w:type="dxa"/>
          <w:left w:w="108" w:type="dxa"/>
          <w:bottom w:w="0" w:type="dxa"/>
          <w:right w:w="108" w:type="dxa"/>
        </w:tblCellMar>
      </w:tblPr>
      <w:tblGrid>
        <w:gridCol w:w="756"/>
        <w:gridCol w:w="2553"/>
        <w:gridCol w:w="797"/>
        <w:gridCol w:w="4947"/>
      </w:tblGrid>
      <w:tr>
        <w:tblPrEx>
          <w:tblCellMar>
            <w:top w:w="0" w:type="dxa"/>
            <w:left w:w="108" w:type="dxa"/>
            <w:bottom w:w="0" w:type="dxa"/>
            <w:right w:w="108" w:type="dxa"/>
          </w:tblCellMar>
        </w:tblPrEx>
        <w:trPr>
          <w:trHeight w:val="336" w:hRule="atLeast"/>
          <w:jc w:val="center"/>
        </w:trPr>
        <w:tc>
          <w:tcPr>
            <w:tcW w:w="418" w:type="pct"/>
            <w:tcBorders>
              <w:top w:val="single" w:color="000000" w:sz="4" w:space="0"/>
              <w:left w:val="single" w:color="000000" w:sz="4" w:space="0"/>
              <w:bottom w:val="single" w:color="000000" w:sz="4" w:space="0"/>
              <w:right w:val="single" w:color="000000" w:sz="4" w:space="0"/>
            </w:tcBorders>
            <w:shd w:val="clear" w:color="auto" w:fill="F1F1F1"/>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序号</w:t>
            </w:r>
          </w:p>
        </w:tc>
        <w:tc>
          <w:tcPr>
            <w:tcW w:w="1410" w:type="pct"/>
            <w:tcBorders>
              <w:top w:val="single" w:color="000000" w:sz="4" w:space="0"/>
              <w:left w:val="single" w:color="000000" w:sz="4" w:space="0"/>
              <w:bottom w:val="single" w:color="000000" w:sz="4" w:space="0"/>
              <w:right w:val="single" w:color="000000" w:sz="4" w:space="0"/>
            </w:tcBorders>
            <w:shd w:val="clear" w:color="auto" w:fill="F1F1F1"/>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岗位</w:t>
            </w:r>
          </w:p>
        </w:tc>
        <w:tc>
          <w:tcPr>
            <w:tcW w:w="440" w:type="pct"/>
            <w:tcBorders>
              <w:top w:val="single" w:color="000000" w:sz="4" w:space="0"/>
              <w:left w:val="single" w:color="000000" w:sz="4" w:space="0"/>
              <w:bottom w:val="single" w:color="000000" w:sz="4" w:space="0"/>
              <w:right w:val="single" w:color="000000" w:sz="4" w:space="0"/>
            </w:tcBorders>
            <w:shd w:val="clear" w:color="auto" w:fill="F1F1F1"/>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人数</w:t>
            </w:r>
          </w:p>
        </w:tc>
        <w:tc>
          <w:tcPr>
            <w:tcW w:w="2732" w:type="pct"/>
            <w:tcBorders>
              <w:top w:val="single" w:color="000000" w:sz="4" w:space="0"/>
              <w:left w:val="single" w:color="000000" w:sz="4" w:space="0"/>
              <w:bottom w:val="single" w:color="000000" w:sz="4" w:space="0"/>
              <w:right w:val="single" w:color="000000" w:sz="4" w:space="0"/>
            </w:tcBorders>
            <w:shd w:val="clear" w:color="auto" w:fill="F1F1F1"/>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备注</w:t>
            </w:r>
          </w:p>
        </w:tc>
      </w:tr>
      <w:tr>
        <w:tblPrEx>
          <w:tblCellMar>
            <w:top w:w="0" w:type="dxa"/>
            <w:left w:w="108" w:type="dxa"/>
            <w:bottom w:w="0" w:type="dxa"/>
            <w:right w:w="108" w:type="dxa"/>
          </w:tblCellMar>
        </w:tblPrEx>
        <w:trPr>
          <w:trHeight w:val="336" w:hRule="atLeast"/>
          <w:jc w:val="center"/>
        </w:trPr>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141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项目经理</w:t>
            </w:r>
          </w:p>
        </w:tc>
        <w:tc>
          <w:tcPr>
            <w:tcW w:w="44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273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负责项目全面统筹管理工作</w:t>
            </w:r>
          </w:p>
        </w:tc>
      </w:tr>
      <w:tr>
        <w:tblPrEx>
          <w:tblCellMar>
            <w:top w:w="0" w:type="dxa"/>
            <w:left w:w="108" w:type="dxa"/>
            <w:bottom w:w="0" w:type="dxa"/>
            <w:right w:w="108" w:type="dxa"/>
          </w:tblCellMar>
        </w:tblPrEx>
        <w:trPr>
          <w:trHeight w:val="336" w:hRule="atLeast"/>
          <w:jc w:val="center"/>
        </w:trPr>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141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环境保洁主管</w:t>
            </w:r>
          </w:p>
        </w:tc>
        <w:tc>
          <w:tcPr>
            <w:tcW w:w="44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273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负责环境保洁项目的全面工作</w:t>
            </w:r>
          </w:p>
        </w:tc>
      </w:tr>
      <w:tr>
        <w:tblPrEx>
          <w:tblCellMar>
            <w:top w:w="0" w:type="dxa"/>
            <w:left w:w="108" w:type="dxa"/>
            <w:bottom w:w="0" w:type="dxa"/>
            <w:right w:w="108" w:type="dxa"/>
          </w:tblCellMar>
        </w:tblPrEx>
        <w:trPr>
          <w:trHeight w:val="336" w:hRule="atLeast"/>
          <w:jc w:val="center"/>
        </w:trPr>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141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环境保洁助理</w:t>
            </w:r>
          </w:p>
        </w:tc>
        <w:tc>
          <w:tcPr>
            <w:tcW w:w="44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73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协助环境经理完成各个模块的辅助管理工作</w:t>
            </w:r>
          </w:p>
        </w:tc>
      </w:tr>
      <w:tr>
        <w:tblPrEx>
          <w:tblCellMar>
            <w:top w:w="0" w:type="dxa"/>
            <w:left w:w="108" w:type="dxa"/>
            <w:bottom w:w="0" w:type="dxa"/>
            <w:right w:w="108" w:type="dxa"/>
          </w:tblCellMar>
        </w:tblPrEx>
        <w:trPr>
          <w:trHeight w:val="336" w:hRule="atLeast"/>
          <w:jc w:val="center"/>
        </w:trPr>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w:t>
            </w:r>
          </w:p>
        </w:tc>
        <w:tc>
          <w:tcPr>
            <w:tcW w:w="141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olor w:val="000000"/>
                <w:sz w:val="21"/>
                <w:szCs w:val="21"/>
              </w:rPr>
              <w:t>环境保洁员</w:t>
            </w:r>
          </w:p>
        </w:tc>
        <w:tc>
          <w:tcPr>
            <w:tcW w:w="44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olor w:val="000000" w:themeColor="text1"/>
                <w:sz w:val="21"/>
                <w:szCs w:val="21"/>
                <w14:textFill>
                  <w14:solidFill>
                    <w14:schemeClr w14:val="tx1"/>
                  </w14:solidFill>
                </w14:textFill>
              </w:rPr>
              <w:t>102</w:t>
            </w:r>
          </w:p>
        </w:tc>
        <w:tc>
          <w:tcPr>
            <w:tcW w:w="273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olor w:val="000000"/>
                <w:sz w:val="21"/>
                <w:szCs w:val="21"/>
              </w:rPr>
              <w:t>负责院内日常环境卫生及绿化养护工作</w:t>
            </w:r>
          </w:p>
        </w:tc>
      </w:tr>
      <w:tr>
        <w:tblPrEx>
          <w:tblCellMar>
            <w:top w:w="0" w:type="dxa"/>
            <w:left w:w="108" w:type="dxa"/>
            <w:bottom w:w="0" w:type="dxa"/>
            <w:right w:w="108" w:type="dxa"/>
          </w:tblCellMar>
        </w:tblPrEx>
        <w:trPr>
          <w:trHeight w:val="336" w:hRule="atLeast"/>
          <w:jc w:val="center"/>
        </w:trPr>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w:t>
            </w:r>
          </w:p>
        </w:tc>
        <w:tc>
          <w:tcPr>
            <w:tcW w:w="141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olor w:val="000000"/>
                <w:sz w:val="21"/>
                <w:szCs w:val="21"/>
              </w:rPr>
              <w:t>中央运送主管</w:t>
            </w:r>
          </w:p>
        </w:tc>
        <w:tc>
          <w:tcPr>
            <w:tcW w:w="44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olor w:val="000000"/>
                <w:sz w:val="21"/>
                <w:szCs w:val="21"/>
              </w:rPr>
              <w:t>1</w:t>
            </w:r>
          </w:p>
        </w:tc>
        <w:tc>
          <w:tcPr>
            <w:tcW w:w="273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olor w:val="000000"/>
                <w:sz w:val="21"/>
                <w:szCs w:val="21"/>
              </w:rPr>
              <w:t>负责中央运送项目的全面工作</w:t>
            </w:r>
          </w:p>
        </w:tc>
      </w:tr>
      <w:tr>
        <w:tblPrEx>
          <w:tblCellMar>
            <w:top w:w="0" w:type="dxa"/>
            <w:left w:w="108" w:type="dxa"/>
            <w:bottom w:w="0" w:type="dxa"/>
            <w:right w:w="108" w:type="dxa"/>
          </w:tblCellMar>
        </w:tblPrEx>
        <w:trPr>
          <w:trHeight w:val="336" w:hRule="atLeast"/>
          <w:jc w:val="center"/>
        </w:trPr>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w:t>
            </w:r>
          </w:p>
        </w:tc>
        <w:tc>
          <w:tcPr>
            <w:tcW w:w="141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olor w:val="000000"/>
                <w:sz w:val="21"/>
                <w:szCs w:val="21"/>
              </w:rPr>
              <w:t>中央运送员</w:t>
            </w:r>
          </w:p>
        </w:tc>
        <w:tc>
          <w:tcPr>
            <w:tcW w:w="44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olor w:val="000000"/>
                <w:sz w:val="21"/>
                <w:szCs w:val="21"/>
              </w:rPr>
              <w:t>28</w:t>
            </w:r>
          </w:p>
        </w:tc>
        <w:tc>
          <w:tcPr>
            <w:tcW w:w="273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olor w:val="000000"/>
                <w:sz w:val="21"/>
                <w:szCs w:val="21"/>
              </w:rPr>
              <w:t>负责院内标本、病人运送等与运送相关的其他工作</w:t>
            </w:r>
          </w:p>
        </w:tc>
      </w:tr>
      <w:tr>
        <w:tblPrEx>
          <w:tblCellMar>
            <w:top w:w="0" w:type="dxa"/>
            <w:left w:w="108" w:type="dxa"/>
            <w:bottom w:w="0" w:type="dxa"/>
            <w:right w:w="108" w:type="dxa"/>
          </w:tblCellMar>
        </w:tblPrEx>
        <w:trPr>
          <w:trHeight w:val="336" w:hRule="atLeast"/>
          <w:jc w:val="center"/>
        </w:trPr>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olor w:val="000000"/>
                <w:sz w:val="21"/>
                <w:szCs w:val="21"/>
              </w:rPr>
              <w:t>秩序维护主管</w:t>
            </w:r>
          </w:p>
        </w:tc>
        <w:tc>
          <w:tcPr>
            <w:tcW w:w="44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olor w:val="000000"/>
                <w:sz w:val="21"/>
                <w:szCs w:val="21"/>
              </w:rPr>
              <w:t>2</w:t>
            </w:r>
          </w:p>
        </w:tc>
        <w:tc>
          <w:tcPr>
            <w:tcW w:w="273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olor w:val="000000"/>
                <w:sz w:val="21"/>
                <w:szCs w:val="21"/>
              </w:rPr>
              <w:t>负责秩序维护项目的全面工作</w:t>
            </w:r>
          </w:p>
        </w:tc>
      </w:tr>
      <w:tr>
        <w:tblPrEx>
          <w:tblCellMar>
            <w:top w:w="0" w:type="dxa"/>
            <w:left w:w="108" w:type="dxa"/>
            <w:bottom w:w="0" w:type="dxa"/>
            <w:right w:w="108" w:type="dxa"/>
          </w:tblCellMar>
        </w:tblPrEx>
        <w:trPr>
          <w:trHeight w:val="336" w:hRule="atLeast"/>
          <w:jc w:val="center"/>
        </w:trPr>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141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olor w:val="000000"/>
                <w:sz w:val="21"/>
                <w:szCs w:val="21"/>
              </w:rPr>
              <w:t>秩序维护员</w:t>
            </w:r>
          </w:p>
        </w:tc>
        <w:tc>
          <w:tcPr>
            <w:tcW w:w="44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olor w:val="000000"/>
                <w:sz w:val="21"/>
                <w:szCs w:val="21"/>
              </w:rPr>
              <w:t>32</w:t>
            </w:r>
          </w:p>
        </w:tc>
        <w:tc>
          <w:tcPr>
            <w:tcW w:w="273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olor w:val="000000"/>
                <w:sz w:val="21"/>
                <w:szCs w:val="21"/>
              </w:rPr>
              <w:t>负责院内秩序、车场及安全事故维护等相关工作</w:t>
            </w:r>
          </w:p>
        </w:tc>
      </w:tr>
      <w:tr>
        <w:tblPrEx>
          <w:tblCellMar>
            <w:top w:w="0" w:type="dxa"/>
            <w:left w:w="108" w:type="dxa"/>
            <w:bottom w:w="0" w:type="dxa"/>
            <w:right w:w="108" w:type="dxa"/>
          </w:tblCellMar>
        </w:tblPrEx>
        <w:trPr>
          <w:trHeight w:val="336" w:hRule="atLeast"/>
          <w:jc w:val="center"/>
        </w:trPr>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9</w:t>
            </w:r>
          </w:p>
        </w:tc>
        <w:tc>
          <w:tcPr>
            <w:tcW w:w="141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olor w:val="000000"/>
                <w:sz w:val="21"/>
                <w:szCs w:val="21"/>
              </w:rPr>
              <w:t>工程设施主管</w:t>
            </w:r>
          </w:p>
        </w:tc>
        <w:tc>
          <w:tcPr>
            <w:tcW w:w="44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olor w:val="000000"/>
                <w:sz w:val="21"/>
                <w:szCs w:val="21"/>
              </w:rPr>
              <w:t>2</w:t>
            </w:r>
          </w:p>
        </w:tc>
        <w:tc>
          <w:tcPr>
            <w:tcW w:w="273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olor w:val="000000"/>
                <w:sz w:val="21"/>
                <w:szCs w:val="21"/>
              </w:rPr>
              <w:t>负责工程设施管理项目的全面工作</w:t>
            </w:r>
          </w:p>
        </w:tc>
      </w:tr>
      <w:tr>
        <w:tblPrEx>
          <w:tblCellMar>
            <w:top w:w="0" w:type="dxa"/>
            <w:left w:w="108" w:type="dxa"/>
            <w:bottom w:w="0" w:type="dxa"/>
            <w:right w:w="108" w:type="dxa"/>
          </w:tblCellMar>
        </w:tblPrEx>
        <w:trPr>
          <w:trHeight w:val="336" w:hRule="atLeast"/>
          <w:jc w:val="center"/>
        </w:trPr>
        <w:tc>
          <w:tcPr>
            <w:tcW w:w="41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w:t>
            </w:r>
          </w:p>
        </w:tc>
        <w:tc>
          <w:tcPr>
            <w:tcW w:w="141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olor w:val="000000"/>
                <w:sz w:val="21"/>
                <w:szCs w:val="21"/>
              </w:rPr>
              <w:t>工程设施管理员</w:t>
            </w:r>
          </w:p>
        </w:tc>
        <w:tc>
          <w:tcPr>
            <w:tcW w:w="440"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olor w:val="000000"/>
                <w:sz w:val="21"/>
                <w:szCs w:val="21"/>
              </w:rPr>
              <w:t>26</w:t>
            </w:r>
          </w:p>
        </w:tc>
        <w:tc>
          <w:tcPr>
            <w:tcW w:w="273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olor w:val="000000"/>
                <w:sz w:val="21"/>
                <w:szCs w:val="21"/>
              </w:rPr>
              <w:t>负责院内工程设施设备的维修维护工作</w:t>
            </w:r>
          </w:p>
        </w:tc>
      </w:tr>
      <w:tr>
        <w:tblPrEx>
          <w:tblCellMar>
            <w:top w:w="0" w:type="dxa"/>
            <w:left w:w="108" w:type="dxa"/>
            <w:bottom w:w="0" w:type="dxa"/>
            <w:right w:w="108" w:type="dxa"/>
          </w:tblCellMar>
        </w:tblPrEx>
        <w:trPr>
          <w:trHeight w:val="336" w:hRule="atLeast"/>
          <w:jc w:val="center"/>
        </w:trPr>
        <w:tc>
          <w:tcPr>
            <w:tcW w:w="1828"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合计</w:t>
            </w:r>
          </w:p>
        </w:tc>
        <w:tc>
          <w:tcPr>
            <w:tcW w:w="3172"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197人</w:t>
            </w:r>
          </w:p>
        </w:tc>
      </w:tr>
    </w:tbl>
    <w:p>
      <w:pPr>
        <w:ind w:firstLine="480" w:firstLineChars="200"/>
        <w:jc w:val="both"/>
        <w:rPr>
          <w:rFonts w:ascii="宋体" w:hAnsi="宋体" w:eastAsia="宋体" w:cs="宋体"/>
          <w:b/>
        </w:rPr>
      </w:pPr>
      <w:r>
        <w:rPr>
          <w:rFonts w:hint="eastAsia" w:ascii="宋体" w:hAnsi="宋体" w:eastAsia="宋体" w:cs="宋体"/>
          <w:iCs/>
        </w:rPr>
        <w:t>★</w:t>
      </w:r>
      <w:r>
        <w:rPr>
          <w:rFonts w:hint="eastAsia" w:ascii="宋体" w:hAnsi="宋体" w:eastAsia="宋体" w:cs="宋体"/>
          <w:b/>
        </w:rPr>
        <w:t>注：人员配置不少于19</w:t>
      </w:r>
      <w:r>
        <w:rPr>
          <w:rFonts w:ascii="宋体" w:hAnsi="宋体" w:eastAsia="宋体" w:cs="宋体"/>
          <w:b/>
        </w:rPr>
        <w:t>7</w:t>
      </w:r>
      <w:r>
        <w:rPr>
          <w:rFonts w:hint="eastAsia" w:ascii="宋体" w:hAnsi="宋体" w:eastAsia="宋体" w:cs="宋体"/>
          <w:b/>
        </w:rPr>
        <w:t>人（需提供承诺）</w:t>
      </w:r>
    </w:p>
    <w:p>
      <w:pPr>
        <w:ind w:firstLine="480" w:firstLineChars="200"/>
        <w:jc w:val="both"/>
        <w:rPr>
          <w:rFonts w:ascii="宋体" w:hAnsi="宋体" w:eastAsia="宋体" w:cs="宋体"/>
          <w:b/>
          <w:iCs/>
        </w:rPr>
      </w:pPr>
      <w:r>
        <w:rPr>
          <w:rFonts w:hint="eastAsia" w:ascii="宋体" w:hAnsi="宋体" w:eastAsia="宋体" w:cs="宋体"/>
          <w:b/>
          <w:iCs/>
        </w:rPr>
        <w:t>3.重点人员配置要求</w:t>
      </w:r>
    </w:p>
    <w:p>
      <w:pPr>
        <w:ind w:firstLine="480" w:firstLineChars="200"/>
        <w:jc w:val="both"/>
        <w:rPr>
          <w:rFonts w:ascii="宋体" w:hAnsi="宋体" w:eastAsia="宋体" w:cs="宋体"/>
          <w:iCs/>
        </w:rPr>
      </w:pPr>
      <w:r>
        <w:rPr>
          <w:rFonts w:hint="eastAsia" w:ascii="宋体" w:hAnsi="宋体" w:eastAsia="宋体" w:cs="宋体"/>
          <w:iCs/>
        </w:rPr>
        <w:t>3.1对项目经理要求：具有大专及以上学历，年龄在50岁及以下，具有五年以上工作经验，有丰富医疗领域物业管理论和实践经验，综合管理、协调能力较强。须提供学历证书扫描件及学信网查询报告、身份证扫描件，工作履历证明并加盖服务单位公章（证明包含姓名、工作起止时间、工作岗位等信息）。</w:t>
      </w:r>
    </w:p>
    <w:p>
      <w:pPr>
        <w:ind w:firstLine="480" w:firstLineChars="200"/>
        <w:jc w:val="both"/>
        <w:rPr>
          <w:rFonts w:ascii="宋体" w:hAnsi="宋体" w:eastAsia="宋体" w:cs="宋体"/>
          <w:iCs/>
        </w:rPr>
      </w:pPr>
      <w:r>
        <w:rPr>
          <w:rFonts w:hint="eastAsia" w:ascii="宋体" w:hAnsi="宋体" w:eastAsia="宋体" w:cs="宋体"/>
          <w:iCs/>
        </w:rPr>
        <w:t>3.2对工程设施主管要求：基于工程管理特殊性，年龄在50岁及以下，本科及以上的电气类专业（不限于电气工程及其自动化、电气工程与智能控制）具有五年以上工作管理。须提供学历证书扫描件及学信网查询报告、身份证扫描件，工作履历证明并加盖服务单位公章（证明包含姓名、工作起止时间、工作岗位等信息）。</w:t>
      </w:r>
    </w:p>
    <w:p>
      <w:pPr>
        <w:ind w:firstLine="480" w:firstLineChars="200"/>
        <w:jc w:val="both"/>
        <w:rPr>
          <w:rFonts w:ascii="宋体" w:hAnsi="宋体" w:eastAsia="宋体" w:cs="宋体"/>
          <w:iCs/>
        </w:rPr>
      </w:pPr>
      <w:r>
        <w:rPr>
          <w:rFonts w:hint="eastAsia" w:ascii="宋体" w:hAnsi="宋体" w:eastAsia="宋体" w:cs="宋体"/>
          <w:iCs/>
        </w:rPr>
        <w:t>★3.3工程设施管理员要求（投标文件</w:t>
      </w:r>
      <w:r>
        <w:rPr>
          <w:rFonts w:ascii="宋体" w:hAnsi="宋体" w:eastAsia="宋体" w:cs="宋体"/>
          <w:iCs/>
        </w:rPr>
        <w:t>中</w:t>
      </w:r>
      <w:r>
        <w:rPr>
          <w:rFonts w:hint="eastAsia" w:ascii="宋体" w:hAnsi="宋体" w:eastAsia="宋体" w:cs="宋体"/>
          <w:iCs/>
        </w:rPr>
        <w:t>须提供以下</w:t>
      </w:r>
      <w:r>
        <w:rPr>
          <w:rFonts w:ascii="宋体" w:hAnsi="宋体" w:eastAsia="宋体" w:cs="宋体"/>
          <w:iCs/>
        </w:rPr>
        <w:t>人员</w:t>
      </w:r>
      <w:r>
        <w:rPr>
          <w:rFonts w:hint="eastAsia" w:ascii="宋体" w:hAnsi="宋体" w:eastAsia="宋体" w:cs="宋体"/>
          <w:iCs/>
        </w:rPr>
        <w:t>相应操作证书扫描件）：</w:t>
      </w:r>
    </w:p>
    <w:p>
      <w:pPr>
        <w:ind w:firstLine="480" w:firstLineChars="200"/>
        <w:jc w:val="both"/>
        <w:rPr>
          <w:rFonts w:ascii="宋体" w:hAnsi="宋体" w:eastAsia="宋体" w:cs="宋体"/>
          <w:iCs/>
        </w:rPr>
      </w:pPr>
      <w:r>
        <w:rPr>
          <w:rFonts w:hint="eastAsia" w:ascii="宋体" w:hAnsi="宋体" w:eastAsia="宋体" w:cs="宋体"/>
          <w:iCs/>
        </w:rPr>
        <w:t>①高压电工：至少6人，需提供特种作业操作证(应急管理部门颁发的：高压电工作业证）。</w:t>
      </w:r>
    </w:p>
    <w:p>
      <w:pPr>
        <w:ind w:firstLine="480" w:firstLineChars="200"/>
        <w:jc w:val="both"/>
        <w:rPr>
          <w:rFonts w:ascii="宋体" w:hAnsi="宋体" w:eastAsia="宋体" w:cs="宋体"/>
          <w:iCs/>
        </w:rPr>
      </w:pPr>
      <w:r>
        <w:rPr>
          <w:rFonts w:hint="eastAsia" w:ascii="宋体" w:hAnsi="宋体" w:eastAsia="宋体" w:cs="宋体"/>
          <w:iCs/>
        </w:rPr>
        <w:t>②低压压电工至少4人，需提供特种作业操作证（应急管理部门颁发的：低压电工作业证)，根据国家相关规定，电工维修作业必须执行双人作业制度。</w:t>
      </w:r>
    </w:p>
    <w:p>
      <w:pPr>
        <w:ind w:firstLine="480" w:firstLineChars="200"/>
        <w:jc w:val="both"/>
        <w:rPr>
          <w:rFonts w:ascii="宋体" w:hAnsi="宋体" w:eastAsia="宋体" w:cs="宋体"/>
          <w:iCs/>
        </w:rPr>
      </w:pPr>
      <w:r>
        <w:rPr>
          <w:rFonts w:hint="eastAsia" w:ascii="宋体" w:hAnsi="宋体" w:eastAsia="宋体" w:cs="宋体"/>
          <w:iCs/>
        </w:rPr>
        <w:t>③空调维修工：至少3人，需提供特种作业操作证(应急管理部门颁发的：制冷与空调设备运行操作作业证)。</w:t>
      </w:r>
    </w:p>
    <w:p>
      <w:pPr>
        <w:ind w:firstLine="480" w:firstLineChars="200"/>
        <w:jc w:val="both"/>
        <w:rPr>
          <w:rFonts w:ascii="宋体" w:hAnsi="宋体" w:eastAsia="宋体" w:cs="宋体"/>
          <w:iCs/>
        </w:rPr>
      </w:pPr>
      <w:r>
        <w:rPr>
          <w:rFonts w:hint="eastAsia" w:ascii="宋体" w:hAnsi="宋体" w:eastAsia="宋体" w:cs="宋体"/>
          <w:iCs/>
        </w:rPr>
        <w:t>④医用气体管理：至少3人，需提供特种设备安全管理和</w:t>
      </w:r>
      <w:r>
        <w:rPr>
          <w:rFonts w:ascii="宋体" w:hAnsi="宋体" w:eastAsia="宋体" w:cs="宋体"/>
          <w:iCs/>
        </w:rPr>
        <w:t>操作员</w:t>
      </w:r>
      <w:r>
        <w:rPr>
          <w:rFonts w:hint="eastAsia" w:ascii="宋体" w:hAnsi="宋体" w:eastAsia="宋体" w:cs="宋体"/>
          <w:iCs/>
        </w:rPr>
        <w:t>证（市场监督管理部门颁发的：压力容器作业证（R1））。</w:t>
      </w:r>
    </w:p>
    <w:p>
      <w:pPr>
        <w:ind w:firstLine="480" w:firstLineChars="200"/>
        <w:jc w:val="both"/>
        <w:rPr>
          <w:rFonts w:ascii="宋体" w:hAnsi="宋体" w:eastAsia="宋体" w:cs="宋体"/>
          <w:iCs/>
        </w:rPr>
      </w:pPr>
      <w:r>
        <w:rPr>
          <w:rFonts w:hint="eastAsia" w:ascii="宋体" w:hAnsi="宋体" w:eastAsia="宋体" w:cs="宋体"/>
          <w:iCs/>
        </w:rPr>
        <w:t>⑤电梯管理：至少3人，需提供特种设备安全管理和</w:t>
      </w:r>
      <w:r>
        <w:rPr>
          <w:rFonts w:ascii="宋体" w:hAnsi="宋体" w:eastAsia="宋体" w:cs="宋体"/>
          <w:iCs/>
        </w:rPr>
        <w:t>操作员</w:t>
      </w:r>
      <w:r>
        <w:rPr>
          <w:rFonts w:hint="eastAsia" w:ascii="宋体" w:hAnsi="宋体" w:eastAsia="宋体" w:cs="宋体"/>
          <w:iCs/>
        </w:rPr>
        <w:t>证（市场监督管理部门颁发的：特种设备安全管理证（A））。</w:t>
      </w:r>
    </w:p>
    <w:p>
      <w:pPr>
        <w:ind w:firstLine="480" w:firstLineChars="200"/>
        <w:jc w:val="both"/>
        <w:rPr>
          <w:rFonts w:ascii="宋体" w:hAnsi="宋体" w:eastAsia="宋体" w:cs="宋体"/>
          <w:iCs/>
        </w:rPr>
      </w:pPr>
      <w:r>
        <w:rPr>
          <w:rFonts w:hint="eastAsia" w:ascii="宋体" w:hAnsi="宋体" w:eastAsia="宋体" w:cs="宋体"/>
          <w:iCs/>
        </w:rPr>
        <w:t>★3.4对秩序维护服务人员要求：</w:t>
      </w:r>
    </w:p>
    <w:p>
      <w:pPr>
        <w:ind w:firstLine="480" w:firstLineChars="200"/>
        <w:jc w:val="both"/>
        <w:rPr>
          <w:rFonts w:ascii="宋体" w:hAnsi="宋体" w:eastAsia="宋体" w:cs="宋体"/>
          <w:iCs/>
        </w:rPr>
      </w:pPr>
      <w:r>
        <w:rPr>
          <w:rFonts w:hint="eastAsia" w:ascii="宋体" w:hAnsi="宋体" w:eastAsia="宋体" w:cs="宋体"/>
          <w:iCs/>
        </w:rPr>
        <w:t>①投标供应商需在</w:t>
      </w:r>
      <w:r>
        <w:rPr>
          <w:rFonts w:ascii="宋体" w:hAnsi="宋体" w:eastAsia="宋体" w:cs="宋体"/>
          <w:iCs/>
        </w:rPr>
        <w:t>投标文件中</w:t>
      </w:r>
      <w:r>
        <w:rPr>
          <w:rFonts w:hint="eastAsia" w:ascii="宋体" w:hAnsi="宋体" w:eastAsia="宋体" w:cs="宋体"/>
          <w:iCs/>
        </w:rPr>
        <w:t>承诺：若中标后，在</w:t>
      </w:r>
      <w:r>
        <w:rPr>
          <w:rFonts w:ascii="宋体" w:hAnsi="宋体" w:eastAsia="宋体" w:cs="宋体"/>
          <w:iCs/>
        </w:rPr>
        <w:t>上岗前</w:t>
      </w:r>
      <w:r>
        <w:rPr>
          <w:rFonts w:hint="eastAsia" w:ascii="宋体" w:hAnsi="宋体" w:eastAsia="宋体" w:cs="宋体"/>
          <w:iCs/>
        </w:rPr>
        <w:t>所有秩序维护员及秩序</w:t>
      </w:r>
      <w:r>
        <w:rPr>
          <w:rFonts w:ascii="宋体" w:hAnsi="宋体" w:eastAsia="宋体" w:cs="宋体"/>
          <w:iCs/>
        </w:rPr>
        <w:t>维护主管</w:t>
      </w:r>
      <w:r>
        <w:rPr>
          <w:rFonts w:hint="eastAsia" w:ascii="宋体" w:hAnsi="宋体" w:eastAsia="宋体" w:cs="宋体"/>
          <w:iCs/>
        </w:rPr>
        <w:t>都须具备公安部门颁发的保安员证书。</w:t>
      </w:r>
    </w:p>
    <w:p>
      <w:pPr>
        <w:ind w:firstLine="480" w:firstLineChars="200"/>
        <w:jc w:val="both"/>
        <w:rPr>
          <w:rFonts w:cs="宋体" w:asciiTheme="minorEastAsia" w:hAnsiTheme="minorEastAsia"/>
          <w:spacing w:val="-1"/>
          <w:szCs w:val="21"/>
        </w:rPr>
      </w:pPr>
      <w:r>
        <w:rPr>
          <w:rFonts w:hint="eastAsia" w:ascii="宋体" w:hAnsi="宋体" w:eastAsia="宋体" w:cs="宋体"/>
          <w:iCs/>
        </w:rPr>
        <w:t>②监控室/消防值守人员：至少6人需持有</w:t>
      </w:r>
      <w:r>
        <w:rPr>
          <w:rFonts w:hint="eastAsia" w:cs="宋体" w:asciiTheme="minorEastAsia" w:hAnsiTheme="minorEastAsia"/>
          <w:spacing w:val="-1"/>
          <w:szCs w:val="21"/>
        </w:rPr>
        <w:t>建（构）筑物消防员四级及以上证书</w:t>
      </w:r>
      <w:r>
        <w:rPr>
          <w:rFonts w:cs="宋体" w:asciiTheme="minorEastAsia" w:hAnsiTheme="minorEastAsia"/>
          <w:spacing w:val="-1"/>
          <w:szCs w:val="21"/>
        </w:rPr>
        <w:t>或</w:t>
      </w:r>
      <w:r>
        <w:rPr>
          <w:rFonts w:hint="eastAsia" w:ascii="宋体" w:hAnsi="宋体" w:eastAsia="宋体" w:cs="宋体"/>
          <w:iCs/>
        </w:rPr>
        <w:t>消防行业技能鉴定机构颁发的消防设施操作员中级（四级）及以上证书，</w:t>
      </w:r>
      <w:r>
        <w:rPr>
          <w:rFonts w:ascii="宋体" w:hAnsi="宋体" w:eastAsia="宋体" w:cs="宋体"/>
          <w:iCs/>
        </w:rPr>
        <w:t>并在投标文件中提供证书</w:t>
      </w:r>
      <w:r>
        <w:rPr>
          <w:rFonts w:hint="eastAsia" w:ascii="宋体" w:hAnsi="宋体" w:eastAsia="宋体" w:cs="宋体"/>
          <w:iCs/>
        </w:rPr>
        <w:t>的</w:t>
      </w:r>
      <w:r>
        <w:rPr>
          <w:rFonts w:ascii="宋体" w:hAnsi="宋体" w:eastAsia="宋体" w:cs="宋体"/>
          <w:iCs/>
        </w:rPr>
        <w:t>扫描件</w:t>
      </w:r>
      <w:r>
        <w:rPr>
          <w:rFonts w:hint="eastAsia" w:ascii="宋体" w:hAnsi="宋体" w:eastAsia="宋体" w:cs="宋体"/>
          <w:iCs/>
        </w:rPr>
        <w:t>。</w:t>
      </w:r>
    </w:p>
    <w:p>
      <w:pPr>
        <w:pStyle w:val="4"/>
      </w:pPr>
      <w:r>
        <w:rPr>
          <w:rFonts w:hint="eastAsia"/>
        </w:rPr>
        <w:t>（二）各项目岗位</w:t>
      </w:r>
      <w:r>
        <w:t>配置</w:t>
      </w:r>
    </w:p>
    <w:p>
      <w:pPr>
        <w:ind w:firstLine="480" w:firstLineChars="200"/>
        <w:jc w:val="both"/>
        <w:rPr>
          <w:rFonts w:ascii="宋体" w:hAnsi="宋体" w:eastAsia="宋体" w:cs="宋体"/>
          <w:b/>
        </w:rPr>
      </w:pPr>
      <w:r>
        <w:rPr>
          <w:rFonts w:hint="eastAsia" w:ascii="宋体" w:hAnsi="宋体" w:eastAsia="宋体" w:cs="宋体"/>
          <w:b/>
        </w:rPr>
        <w:t>1、环境保洁服务岗位配置</w:t>
      </w:r>
    </w:p>
    <w:p>
      <w:pPr>
        <w:ind w:firstLine="480" w:firstLineChars="200"/>
        <w:jc w:val="both"/>
        <w:rPr>
          <w:rFonts w:ascii="宋体" w:hAnsi="宋体" w:eastAsia="宋体" w:cs="宋体"/>
        </w:rPr>
      </w:pPr>
      <w:r>
        <w:rPr>
          <w:rFonts w:hint="eastAsia" w:ascii="宋体" w:hAnsi="宋体" w:eastAsia="宋体" w:cs="宋体"/>
        </w:rPr>
        <w:t>投标人在本项目投入的保洁人员无男女比例要求，身体健康，平均年龄不超过60周岁，高处作业保洁年龄不得超过50岁，五官端正，肢体健全。</w:t>
      </w:r>
    </w:p>
    <w:tbl>
      <w:tblPr>
        <w:tblStyle w:val="26"/>
        <w:tblW w:w="8897" w:type="dxa"/>
        <w:jc w:val="center"/>
        <w:tblLayout w:type="fixed"/>
        <w:tblCellMar>
          <w:top w:w="0" w:type="dxa"/>
          <w:left w:w="108" w:type="dxa"/>
          <w:bottom w:w="0" w:type="dxa"/>
          <w:right w:w="108" w:type="dxa"/>
        </w:tblCellMar>
      </w:tblPr>
      <w:tblGrid>
        <w:gridCol w:w="1129"/>
        <w:gridCol w:w="1106"/>
        <w:gridCol w:w="1021"/>
        <w:gridCol w:w="1247"/>
        <w:gridCol w:w="1418"/>
        <w:gridCol w:w="1417"/>
        <w:gridCol w:w="1559"/>
      </w:tblGrid>
      <w:tr>
        <w:tblPrEx>
          <w:tblCellMar>
            <w:top w:w="0" w:type="dxa"/>
            <w:left w:w="108" w:type="dxa"/>
            <w:bottom w:w="0" w:type="dxa"/>
            <w:right w:w="108" w:type="dxa"/>
          </w:tblCellMar>
        </w:tblPrEx>
        <w:trPr>
          <w:trHeight w:val="567" w:hRule="atLeast"/>
          <w:jc w:val="center"/>
        </w:trPr>
        <w:tc>
          <w:tcPr>
            <w:tcW w:w="1129"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建筑</w:t>
            </w:r>
          </w:p>
        </w:tc>
        <w:tc>
          <w:tcPr>
            <w:tcW w:w="1106"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楼层</w:t>
            </w:r>
          </w:p>
        </w:tc>
        <w:tc>
          <w:tcPr>
            <w:tcW w:w="1021"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岗位数</w:t>
            </w:r>
          </w:p>
        </w:tc>
        <w:tc>
          <w:tcPr>
            <w:tcW w:w="1247"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每天设岗小时数</w:t>
            </w:r>
          </w:p>
        </w:tc>
        <w:tc>
          <w:tcPr>
            <w:tcW w:w="1418"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b/>
                <w:bCs/>
                <w:color w:val="000000"/>
                <w:sz w:val="21"/>
                <w:szCs w:val="21"/>
                <w:lang w:bidi="ar"/>
              </w:rPr>
            </w:pPr>
            <w:r>
              <w:rPr>
                <w:rFonts w:hint="eastAsia" w:ascii="宋体" w:hAnsi="宋体" w:eastAsia="宋体" w:cs="宋体"/>
                <w:b/>
                <w:bCs/>
                <w:color w:val="000000"/>
                <w:sz w:val="21"/>
                <w:szCs w:val="21"/>
                <w:lang w:bidi="ar"/>
              </w:rPr>
              <w:t>每周设岗</w:t>
            </w:r>
          </w:p>
          <w:p>
            <w:pPr>
              <w:kinsoku w:val="0"/>
              <w:overflowPunct w:val="0"/>
              <w:autoSpaceDE w:val="0"/>
              <w:autoSpaceDN w:val="0"/>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天数</w:t>
            </w:r>
          </w:p>
        </w:tc>
        <w:tc>
          <w:tcPr>
            <w:tcW w:w="1417"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b/>
                <w:bCs/>
                <w:color w:val="000000"/>
                <w:sz w:val="21"/>
                <w:szCs w:val="21"/>
                <w:lang w:bidi="ar"/>
              </w:rPr>
            </w:pPr>
            <w:r>
              <w:rPr>
                <w:rFonts w:hint="eastAsia" w:ascii="宋体" w:hAnsi="宋体" w:eastAsia="宋体" w:cs="宋体"/>
                <w:b/>
                <w:bCs/>
                <w:color w:val="000000"/>
                <w:sz w:val="21"/>
                <w:szCs w:val="21"/>
                <w:lang w:bidi="ar"/>
              </w:rPr>
              <w:t>每周完成</w:t>
            </w:r>
          </w:p>
          <w:p>
            <w:pPr>
              <w:kinsoku w:val="0"/>
              <w:overflowPunct w:val="0"/>
              <w:autoSpaceDE w:val="0"/>
              <w:autoSpaceDN w:val="0"/>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服务小时数</w:t>
            </w:r>
          </w:p>
        </w:tc>
        <w:tc>
          <w:tcPr>
            <w:tcW w:w="1559"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排班</w:t>
            </w:r>
          </w:p>
        </w:tc>
      </w:tr>
      <w:tr>
        <w:tblPrEx>
          <w:tblCellMar>
            <w:top w:w="0" w:type="dxa"/>
            <w:left w:w="108" w:type="dxa"/>
            <w:bottom w:w="0" w:type="dxa"/>
            <w:right w:w="108" w:type="dxa"/>
          </w:tblCellMar>
        </w:tblPrEx>
        <w:trPr>
          <w:trHeight w:val="460"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021"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24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rPr>
                <w:rFonts w:ascii="宋体" w:hAnsi="宋体" w:eastAsia="宋体" w:cs="宋体"/>
                <w:b/>
                <w:bCs/>
                <w:color w:val="000000"/>
                <w:sz w:val="21"/>
                <w:szCs w:val="21"/>
              </w:rPr>
            </w:pPr>
          </w:p>
        </w:tc>
        <w:tc>
          <w:tcPr>
            <w:tcW w:w="1418"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rPr>
                <w:rFonts w:ascii="宋体" w:hAnsi="宋体" w:eastAsia="宋体" w:cs="宋体"/>
                <w:b/>
                <w:bCs/>
                <w:color w:val="000000"/>
                <w:sz w:val="21"/>
                <w:szCs w:val="21"/>
              </w:rPr>
            </w:pPr>
          </w:p>
        </w:tc>
        <w:tc>
          <w:tcPr>
            <w:tcW w:w="1417"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rPr>
                <w:rFonts w:ascii="宋体" w:hAnsi="宋体" w:eastAsia="宋体" w:cs="宋体"/>
                <w:b/>
                <w:bCs/>
                <w:color w:val="000000"/>
                <w:sz w:val="21"/>
                <w:szCs w:val="21"/>
              </w:rPr>
            </w:pPr>
          </w:p>
        </w:tc>
        <w:tc>
          <w:tcPr>
            <w:tcW w:w="155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r>
      <w:tr>
        <w:tblPrEx>
          <w:tblCellMar>
            <w:top w:w="0" w:type="dxa"/>
            <w:left w:w="108" w:type="dxa"/>
            <w:bottom w:w="0" w:type="dxa"/>
            <w:right w:w="108" w:type="dxa"/>
          </w:tblCellMar>
        </w:tblPrEx>
        <w:trPr>
          <w:trHeight w:val="624" w:hRule="atLeast"/>
          <w:jc w:val="center"/>
        </w:trPr>
        <w:tc>
          <w:tcPr>
            <w:tcW w:w="1129"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感染楼</w:t>
            </w: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56</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56</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56</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煎药楼</w:t>
            </w: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56</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56</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56</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东门诊</w:t>
            </w: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16</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112</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16</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112</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16</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112</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16</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112</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16</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112</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56</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西门诊</w:t>
            </w: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16</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112</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16</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112</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16</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112</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16</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112</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16</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112</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56</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restart"/>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东医技</w:t>
            </w: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24</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168</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24</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168</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24</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168</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16</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112</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西医技</w:t>
            </w: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24</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168</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24</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168</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40</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280</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24</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168</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56</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东住院</w:t>
            </w: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84</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84</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84</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84</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9F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84</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84</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84</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84</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13F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84</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西住院</w:t>
            </w: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84</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84</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84</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84</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9F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84</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84</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84</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84</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13F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84</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restart"/>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地下室</w:t>
            </w: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负1F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16</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112</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负2F</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56</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restart"/>
            <w:tcBorders>
              <w:top w:val="single" w:color="000000" w:sz="4" w:space="0"/>
              <w:left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全院</w:t>
            </w: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专项一</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40</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280</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left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专项二</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32</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224</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left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外围</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40</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280</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left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绿化</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24</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168</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left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医疗垃圾</w:t>
            </w:r>
          </w:p>
        </w:tc>
        <w:tc>
          <w:tcPr>
            <w:tcW w:w="10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32</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224</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left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生活垃圾</w:t>
            </w:r>
          </w:p>
        </w:tc>
        <w:tc>
          <w:tcPr>
            <w:tcW w:w="10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16</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112</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left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洗地机</w:t>
            </w:r>
          </w:p>
        </w:tc>
        <w:tc>
          <w:tcPr>
            <w:tcW w:w="10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24</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168</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left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洗衣房</w:t>
            </w:r>
          </w:p>
        </w:tc>
        <w:tc>
          <w:tcPr>
            <w:tcW w:w="10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48</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left w:val="single" w:color="000000" w:sz="4" w:space="0"/>
              <w:right w:val="single" w:color="000000" w:sz="4" w:space="0"/>
            </w:tcBorders>
            <w:shd w:val="clear" w:color="auto" w:fill="auto"/>
            <w:vAlign w:val="center"/>
          </w:tcPr>
          <w:p>
            <w:pPr>
              <w:kinsoku w:val="0"/>
              <w:overflowPunct w:val="0"/>
              <w:autoSpaceDE w:val="0"/>
              <w:autoSpaceDN w:val="0"/>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布类收发</w:t>
            </w:r>
          </w:p>
        </w:tc>
        <w:tc>
          <w:tcPr>
            <w:tcW w:w="10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24</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144</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left w:val="single" w:color="000000" w:sz="4" w:space="0"/>
              <w:bottom w:val="single" w:color="000000" w:sz="4" w:space="0"/>
              <w:right w:val="single" w:color="000000" w:sz="4" w:space="0"/>
            </w:tcBorders>
            <w:shd w:val="clear" w:color="auto" w:fill="auto"/>
            <w:vAlign w:val="center"/>
          </w:tcPr>
          <w:p>
            <w:pPr>
              <w:kinsoku w:val="0"/>
              <w:overflowPunct w:val="0"/>
              <w:autoSpaceDE w:val="0"/>
              <w:autoSpaceDN w:val="0"/>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lang w:bidi="ar"/>
              </w:rPr>
            </w:pPr>
            <w:r>
              <w:rPr>
                <w:rFonts w:hint="eastAsia" w:ascii="宋体" w:hAnsi="宋体" w:eastAsia="宋体" w:cs="宋体"/>
                <w:color w:val="000000"/>
                <w:sz w:val="21"/>
                <w:szCs w:val="21"/>
                <w:lang w:bidi="ar"/>
              </w:rPr>
              <w:t>内镜中心洗镜工</w:t>
            </w:r>
          </w:p>
        </w:tc>
        <w:tc>
          <w:tcPr>
            <w:tcW w:w="10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lang w:bidi="ar"/>
              </w:rPr>
            </w:pPr>
            <w:r>
              <w:rPr>
                <w:rFonts w:hint="eastAsia" w:ascii="宋体" w:hAnsi="宋体" w:eastAsia="宋体" w:cs="宋体"/>
                <w:color w:val="000000"/>
                <w:sz w:val="21"/>
                <w:szCs w:val="21"/>
                <w:lang w:bidi="ar"/>
              </w:rPr>
              <w:t>1</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lang w:bidi="ar"/>
              </w:rPr>
            </w:pPr>
            <w:r>
              <w:rPr>
                <w:rFonts w:hint="eastAsia" w:ascii="宋体" w:hAnsi="宋体" w:eastAsia="宋体" w:cs="宋体"/>
                <w:color w:val="000000"/>
                <w:sz w:val="21"/>
                <w:szCs w:val="21"/>
                <w:lang w:bidi="ar"/>
              </w:rPr>
              <w:t>8</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lang w:bidi="ar"/>
              </w:rPr>
            </w:pPr>
            <w:r>
              <w:rPr>
                <w:rFonts w:hint="eastAsia" w:ascii="宋体" w:hAnsi="宋体" w:eastAsia="宋体" w:cs="宋体"/>
                <w:color w:val="000000"/>
                <w:sz w:val="21"/>
                <w:szCs w:val="21"/>
                <w:lang w:bidi="ar"/>
              </w:rPr>
              <w:t>6</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lang w:bidi="ar"/>
              </w:rPr>
            </w:pPr>
            <w:r>
              <w:rPr>
                <w:rFonts w:hint="eastAsia" w:ascii="宋体" w:hAnsi="宋体" w:eastAsia="宋体" w:cs="宋体"/>
                <w:color w:val="000000"/>
                <w:sz w:val="21"/>
                <w:szCs w:val="21"/>
                <w:lang w:bidi="ar"/>
              </w:rPr>
              <w:t>48</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lang w:bidi="ar"/>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restart"/>
            <w:tcBorders>
              <w:top w:val="single" w:color="000000" w:sz="4" w:space="0"/>
              <w:left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管理</w:t>
            </w: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库管</w:t>
            </w:r>
          </w:p>
        </w:tc>
        <w:tc>
          <w:tcPr>
            <w:tcW w:w="10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56</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06:30-11:00  13:30-17:00</w:t>
            </w:r>
          </w:p>
        </w:tc>
      </w:tr>
      <w:tr>
        <w:tblPrEx>
          <w:tblCellMar>
            <w:top w:w="0" w:type="dxa"/>
            <w:left w:w="108" w:type="dxa"/>
            <w:bottom w:w="0" w:type="dxa"/>
            <w:right w:w="108" w:type="dxa"/>
          </w:tblCellMar>
        </w:tblPrEx>
        <w:trPr>
          <w:trHeight w:val="624" w:hRule="atLeast"/>
          <w:jc w:val="center"/>
        </w:trPr>
        <w:tc>
          <w:tcPr>
            <w:tcW w:w="1129" w:type="dxa"/>
            <w:vMerge w:val="continue"/>
            <w:tcBorders>
              <w:left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文员</w:t>
            </w:r>
          </w:p>
        </w:tc>
        <w:tc>
          <w:tcPr>
            <w:tcW w:w="1021"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124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w:t>
            </w:r>
          </w:p>
        </w:tc>
        <w:tc>
          <w:tcPr>
            <w:tcW w:w="141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40</w:t>
            </w:r>
          </w:p>
        </w:tc>
        <w:tc>
          <w:tcPr>
            <w:tcW w:w="1559" w:type="dxa"/>
            <w:tcBorders>
              <w:top w:val="single" w:color="000000" w:sz="4" w:space="0"/>
              <w:left w:val="single" w:color="000000" w:sz="4" w:space="0"/>
              <w:bottom w:val="single" w:color="000000" w:sz="4" w:space="0"/>
              <w:right w:val="single" w:color="000000" w:sz="4" w:space="0"/>
            </w:tcBorders>
            <w:shd w:val="clear" w:color="auto" w:fill="auto"/>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07:30-12:00 14:00-17:30</w:t>
            </w:r>
          </w:p>
        </w:tc>
      </w:tr>
      <w:tr>
        <w:tblPrEx>
          <w:tblCellMar>
            <w:top w:w="0" w:type="dxa"/>
            <w:left w:w="108" w:type="dxa"/>
            <w:bottom w:w="0" w:type="dxa"/>
            <w:right w:w="108" w:type="dxa"/>
          </w:tblCellMar>
        </w:tblPrEx>
        <w:trPr>
          <w:trHeight w:val="624" w:hRule="atLeast"/>
          <w:jc w:val="center"/>
        </w:trPr>
        <w:tc>
          <w:tcPr>
            <w:tcW w:w="1129" w:type="dxa"/>
            <w:vMerge w:val="continue"/>
            <w:tcBorders>
              <w:left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环境保洁助理</w:t>
            </w:r>
          </w:p>
        </w:tc>
        <w:tc>
          <w:tcPr>
            <w:tcW w:w="1021"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rPr>
              <w:t>2</w:t>
            </w:r>
          </w:p>
        </w:tc>
        <w:tc>
          <w:tcPr>
            <w:tcW w:w="124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1418"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417"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112</w:t>
            </w:r>
          </w:p>
        </w:tc>
        <w:tc>
          <w:tcPr>
            <w:tcW w:w="1559" w:type="dxa"/>
            <w:tcBorders>
              <w:top w:val="single" w:color="000000" w:sz="4" w:space="0"/>
              <w:left w:val="single" w:color="000000" w:sz="4" w:space="0"/>
              <w:bottom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07:30-12:00 14:00-17:30</w:t>
            </w:r>
          </w:p>
        </w:tc>
      </w:tr>
      <w:tr>
        <w:tblPrEx>
          <w:tblCellMar>
            <w:top w:w="0" w:type="dxa"/>
            <w:left w:w="108" w:type="dxa"/>
            <w:bottom w:w="0" w:type="dxa"/>
            <w:right w:w="108" w:type="dxa"/>
          </w:tblCellMar>
        </w:tblPrEx>
        <w:trPr>
          <w:trHeight w:val="999" w:hRule="atLeast"/>
          <w:jc w:val="center"/>
        </w:trPr>
        <w:tc>
          <w:tcPr>
            <w:tcW w:w="1129" w:type="dxa"/>
            <w:vMerge w:val="continue"/>
            <w:tcBorders>
              <w:left w:val="single" w:color="000000" w:sz="4" w:space="0"/>
              <w:right w:val="single" w:color="000000" w:sz="4" w:space="0"/>
            </w:tcBorders>
            <w:shd w:val="clear" w:color="auto" w:fill="FFFFFF"/>
            <w:noWrap/>
            <w:vAlign w:val="center"/>
          </w:tcPr>
          <w:p>
            <w:pPr>
              <w:kinsoku w:val="0"/>
              <w:overflowPunct w:val="0"/>
              <w:autoSpaceDE w:val="0"/>
              <w:autoSpaceDN w:val="0"/>
              <w:jc w:val="center"/>
              <w:rPr>
                <w:rFonts w:ascii="宋体" w:hAnsi="宋体" w:eastAsia="宋体" w:cs="宋体"/>
                <w:b/>
                <w:bCs/>
                <w:color w:val="000000"/>
                <w:sz w:val="21"/>
                <w:szCs w:val="21"/>
              </w:rPr>
            </w:pPr>
          </w:p>
        </w:tc>
        <w:tc>
          <w:tcPr>
            <w:tcW w:w="1106" w:type="dxa"/>
            <w:tcBorders>
              <w:top w:val="single" w:color="000000" w:sz="4" w:space="0"/>
              <w:left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环境保洁主管</w:t>
            </w:r>
          </w:p>
        </w:tc>
        <w:tc>
          <w:tcPr>
            <w:tcW w:w="1021" w:type="dxa"/>
            <w:tcBorders>
              <w:top w:val="single" w:color="000000" w:sz="4" w:space="0"/>
              <w:left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rPr>
              <w:t>1</w:t>
            </w:r>
          </w:p>
        </w:tc>
        <w:tc>
          <w:tcPr>
            <w:tcW w:w="1247" w:type="dxa"/>
            <w:tcBorders>
              <w:top w:val="single" w:color="000000" w:sz="4" w:space="0"/>
              <w:left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rPr>
              <w:t>8</w:t>
            </w:r>
          </w:p>
        </w:tc>
        <w:tc>
          <w:tcPr>
            <w:tcW w:w="1418" w:type="dxa"/>
            <w:tcBorders>
              <w:top w:val="single" w:color="000000" w:sz="4" w:space="0"/>
              <w:left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rPr>
              <w:t>5</w:t>
            </w:r>
          </w:p>
        </w:tc>
        <w:tc>
          <w:tcPr>
            <w:tcW w:w="1417" w:type="dxa"/>
            <w:tcBorders>
              <w:top w:val="single" w:color="000000" w:sz="4" w:space="0"/>
              <w:left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rPr>
              <w:t>40</w:t>
            </w:r>
          </w:p>
        </w:tc>
        <w:tc>
          <w:tcPr>
            <w:tcW w:w="1559" w:type="dxa"/>
            <w:tcBorders>
              <w:top w:val="single" w:color="000000" w:sz="4" w:space="0"/>
              <w:left w:val="single" w:color="000000" w:sz="4" w:space="0"/>
              <w:right w:val="single" w:color="000000" w:sz="4" w:space="0"/>
            </w:tcBorders>
            <w:shd w:val="clear" w:color="auto" w:fill="FFFFFF"/>
            <w:vAlign w:val="center"/>
          </w:tcPr>
          <w:p>
            <w:pPr>
              <w:kinsoku w:val="0"/>
              <w:overflowPunct w:val="0"/>
              <w:autoSpaceDE w:val="0"/>
              <w:autoSpaceDN w:val="0"/>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07:30-12:00 14:00-17:30</w:t>
            </w:r>
          </w:p>
        </w:tc>
      </w:tr>
      <w:tr>
        <w:tblPrEx>
          <w:tblCellMar>
            <w:top w:w="0" w:type="dxa"/>
            <w:left w:w="108" w:type="dxa"/>
            <w:bottom w:w="0" w:type="dxa"/>
            <w:right w:w="108" w:type="dxa"/>
          </w:tblCellMar>
        </w:tblPrEx>
        <w:trPr>
          <w:trHeight w:val="624" w:hRule="atLeast"/>
          <w:jc w:val="center"/>
        </w:trPr>
        <w:tc>
          <w:tcPr>
            <w:tcW w:w="2235" w:type="dxa"/>
            <w:gridSpan w:val="2"/>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合计岗位</w:t>
            </w:r>
          </w:p>
        </w:tc>
        <w:tc>
          <w:tcPr>
            <w:tcW w:w="1021" w:type="dxa"/>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b/>
                <w:bCs/>
                <w:i/>
                <w:iCs/>
                <w:color w:val="000000"/>
                <w:sz w:val="21"/>
                <w:szCs w:val="21"/>
                <w:u w:val="single"/>
              </w:rPr>
            </w:pPr>
            <w:r>
              <w:rPr>
                <w:rFonts w:ascii="宋体" w:hAnsi="宋体" w:eastAsia="宋体" w:cs="宋体"/>
                <w:b/>
                <w:bCs/>
                <w:color w:val="000000"/>
                <w:sz w:val="21"/>
                <w:szCs w:val="21"/>
              </w:rPr>
              <w:t>119</w:t>
            </w:r>
          </w:p>
        </w:tc>
        <w:tc>
          <w:tcPr>
            <w:tcW w:w="5641" w:type="dxa"/>
            <w:gridSpan w:val="4"/>
            <w:tcBorders>
              <w:top w:val="single" w:color="000000" w:sz="4" w:space="0"/>
              <w:left w:val="single" w:color="000000" w:sz="4" w:space="0"/>
              <w:bottom w:val="single" w:color="000000" w:sz="4" w:space="0"/>
              <w:right w:val="single" w:color="000000" w:sz="4" w:space="0"/>
            </w:tcBorders>
            <w:shd w:val="clear" w:color="auto" w:fill="FFFFFF"/>
            <w:noWrap/>
            <w:vAlign w:val="center"/>
          </w:tcPr>
          <w:p>
            <w:pPr>
              <w:kinsoku w:val="0"/>
              <w:overflowPunct w:val="0"/>
              <w:autoSpaceDE w:val="0"/>
              <w:autoSpaceDN w:val="0"/>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根据环境保洁服务的机动性，投标人可对人员配置情况进行优化最低合计不少于105人</w:t>
            </w:r>
          </w:p>
        </w:tc>
      </w:tr>
    </w:tbl>
    <w:p>
      <w:pPr>
        <w:ind w:firstLine="480" w:firstLineChars="200"/>
        <w:rPr>
          <w:rFonts w:ascii="宋体" w:hAnsi="宋体" w:eastAsia="宋体" w:cs="宋体"/>
          <w:b/>
        </w:rPr>
      </w:pPr>
    </w:p>
    <w:p>
      <w:pPr>
        <w:rPr>
          <w:rFonts w:ascii="宋体" w:hAnsi="宋体" w:eastAsia="宋体" w:cs="宋体"/>
          <w:b/>
        </w:rPr>
      </w:pPr>
      <w:r>
        <w:rPr>
          <w:rFonts w:ascii="宋体" w:hAnsi="宋体" w:eastAsia="宋体" w:cs="宋体"/>
          <w:b/>
        </w:rPr>
        <w:br w:type="page"/>
      </w:r>
    </w:p>
    <w:p>
      <w:pPr>
        <w:ind w:firstLine="480" w:firstLineChars="200"/>
        <w:rPr>
          <w:rFonts w:ascii="宋体" w:hAnsi="宋体" w:eastAsia="宋体" w:cs="宋体"/>
          <w:b/>
        </w:rPr>
      </w:pPr>
      <w:r>
        <w:rPr>
          <w:rFonts w:hint="eastAsia" w:ascii="宋体" w:hAnsi="宋体" w:eastAsia="宋体" w:cs="宋体"/>
          <w:b/>
        </w:rPr>
        <w:t>2、中央运送服务岗位配置</w:t>
      </w:r>
    </w:p>
    <w:p>
      <w:pPr>
        <w:spacing w:line="400" w:lineRule="exact"/>
        <w:ind w:firstLine="480" w:firstLineChars="200"/>
        <w:jc w:val="both"/>
        <w:rPr>
          <w:rFonts w:ascii="宋体" w:hAnsi="宋体" w:eastAsia="宋体" w:cs="宋体"/>
        </w:rPr>
      </w:pPr>
      <w:r>
        <w:rPr>
          <w:rFonts w:hint="eastAsia" w:ascii="宋体" w:hAnsi="宋体" w:eastAsia="宋体" w:cs="宋体"/>
        </w:rPr>
        <w:t>投标人在本项目投入的设施设备运行与维护人员平均年龄不超过50周岁，身体健康责任心强，可掌握基本信息化设备操作。</w:t>
      </w:r>
    </w:p>
    <w:tbl>
      <w:tblPr>
        <w:tblStyle w:val="26"/>
        <w:tblW w:w="9328" w:type="dxa"/>
        <w:tblInd w:w="-175" w:type="dxa"/>
        <w:tblLayout w:type="fixed"/>
        <w:tblCellMar>
          <w:top w:w="0" w:type="dxa"/>
          <w:left w:w="108" w:type="dxa"/>
          <w:bottom w:w="0" w:type="dxa"/>
          <w:right w:w="108" w:type="dxa"/>
        </w:tblCellMar>
      </w:tblPr>
      <w:tblGrid>
        <w:gridCol w:w="567"/>
        <w:gridCol w:w="1276"/>
        <w:gridCol w:w="992"/>
        <w:gridCol w:w="1276"/>
        <w:gridCol w:w="1134"/>
        <w:gridCol w:w="1276"/>
        <w:gridCol w:w="2807"/>
      </w:tblGrid>
      <w:tr>
        <w:tblPrEx>
          <w:tblCellMar>
            <w:top w:w="0" w:type="dxa"/>
            <w:left w:w="108" w:type="dxa"/>
            <w:bottom w:w="0" w:type="dxa"/>
            <w:right w:w="108" w:type="dxa"/>
          </w:tblCellMar>
        </w:tblPrEx>
        <w:trPr>
          <w:trHeight w:val="453" w:hRule="atLeast"/>
        </w:trPr>
        <w:tc>
          <w:tcPr>
            <w:tcW w:w="9328" w:type="dxa"/>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西安市中医医院（南院区）医院中央运送岗位配置表</w:t>
            </w:r>
          </w:p>
        </w:tc>
      </w:tr>
      <w:tr>
        <w:tblPrEx>
          <w:tblCellMar>
            <w:top w:w="0" w:type="dxa"/>
            <w:left w:w="108" w:type="dxa"/>
            <w:bottom w:w="0" w:type="dxa"/>
            <w:right w:w="108" w:type="dxa"/>
          </w:tblCellMar>
        </w:tblPrEx>
        <w:trPr>
          <w:trHeight w:val="920" w:hRule="atLeast"/>
        </w:trPr>
        <w:tc>
          <w:tcPr>
            <w:tcW w:w="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序号</w:t>
            </w: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岗位名称</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岗位数</w:t>
            </w:r>
          </w:p>
        </w:tc>
        <w:tc>
          <w:tcPr>
            <w:tcW w:w="127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每天设岗小时数</w:t>
            </w:r>
          </w:p>
        </w:tc>
        <w:tc>
          <w:tcPr>
            <w:tcW w:w="113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每周设岗天数</w:t>
            </w:r>
          </w:p>
        </w:tc>
        <w:tc>
          <w:tcPr>
            <w:tcW w:w="1276"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每周完成服务小时数</w:t>
            </w:r>
          </w:p>
        </w:tc>
        <w:tc>
          <w:tcPr>
            <w:tcW w:w="28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备注</w:t>
            </w:r>
          </w:p>
        </w:tc>
      </w:tr>
      <w:tr>
        <w:tblPrEx>
          <w:tblCellMar>
            <w:top w:w="0" w:type="dxa"/>
            <w:left w:w="108" w:type="dxa"/>
            <w:bottom w:w="0" w:type="dxa"/>
            <w:right w:w="108" w:type="dxa"/>
          </w:tblCellMar>
        </w:tblPrEx>
        <w:trPr>
          <w:trHeight w:val="723" w:hRule="atLeast"/>
        </w:trPr>
        <w:tc>
          <w:tcPr>
            <w:tcW w:w="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陪检</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11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392</w:t>
            </w:r>
          </w:p>
        </w:tc>
        <w:tc>
          <w:tcPr>
            <w:tcW w:w="2807"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手术病人运送，班内需平车、轮椅推送住院病人陪检</w:t>
            </w:r>
          </w:p>
        </w:tc>
      </w:tr>
      <w:tr>
        <w:tblPrEx>
          <w:tblCellMar>
            <w:top w:w="0" w:type="dxa"/>
            <w:left w:w="108" w:type="dxa"/>
            <w:bottom w:w="0" w:type="dxa"/>
            <w:right w:w="108" w:type="dxa"/>
          </w:tblCellMar>
        </w:tblPrEx>
        <w:trPr>
          <w:trHeight w:val="90" w:hRule="atLeast"/>
        </w:trPr>
        <w:tc>
          <w:tcPr>
            <w:tcW w:w="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即时</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w:t>
            </w: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11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224</w:t>
            </w:r>
          </w:p>
        </w:tc>
        <w:tc>
          <w:tcPr>
            <w:tcW w:w="2807"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急用及抢救用药取药、大输液运送、协助科室领取日用品消毒液等</w:t>
            </w:r>
          </w:p>
        </w:tc>
      </w:tr>
      <w:tr>
        <w:tblPrEx>
          <w:tblCellMar>
            <w:top w:w="0" w:type="dxa"/>
            <w:left w:w="108" w:type="dxa"/>
            <w:bottom w:w="0" w:type="dxa"/>
            <w:right w:w="108" w:type="dxa"/>
          </w:tblCellMar>
        </w:tblPrEx>
        <w:trPr>
          <w:trHeight w:val="620" w:hRule="atLeast"/>
        </w:trPr>
        <w:tc>
          <w:tcPr>
            <w:tcW w:w="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循环</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w:t>
            </w: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11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224</w:t>
            </w:r>
          </w:p>
        </w:tc>
        <w:tc>
          <w:tcPr>
            <w:tcW w:w="2807"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负责全院住院病房常规各类标本、报告单运送</w:t>
            </w:r>
          </w:p>
        </w:tc>
      </w:tr>
      <w:tr>
        <w:tblPrEx>
          <w:tblCellMar>
            <w:top w:w="0" w:type="dxa"/>
            <w:left w:w="108" w:type="dxa"/>
            <w:bottom w:w="0" w:type="dxa"/>
            <w:right w:w="108" w:type="dxa"/>
          </w:tblCellMar>
        </w:tblPrEx>
        <w:trPr>
          <w:trHeight w:val="1520" w:hRule="atLeast"/>
        </w:trPr>
        <w:tc>
          <w:tcPr>
            <w:tcW w:w="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w:t>
            </w: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司梯员</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11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393</w:t>
            </w:r>
          </w:p>
        </w:tc>
        <w:tc>
          <w:tcPr>
            <w:tcW w:w="2807"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东西住院各2岗、门诊东西厅各1岗，扶梯1，手术梯1个岗，除手术梯外均为梯外疏导服务，手术梯提供专梯服务。</w:t>
            </w:r>
          </w:p>
        </w:tc>
      </w:tr>
      <w:tr>
        <w:tblPrEx>
          <w:tblCellMar>
            <w:top w:w="0" w:type="dxa"/>
            <w:left w:w="108" w:type="dxa"/>
            <w:bottom w:w="0" w:type="dxa"/>
            <w:right w:w="108" w:type="dxa"/>
          </w:tblCellMar>
        </w:tblPrEx>
        <w:trPr>
          <w:trHeight w:val="620" w:hRule="atLeast"/>
        </w:trPr>
        <w:tc>
          <w:tcPr>
            <w:tcW w:w="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w:t>
            </w: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一站式服务中心调度员</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11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168</w:t>
            </w:r>
          </w:p>
        </w:tc>
        <w:tc>
          <w:tcPr>
            <w:tcW w:w="2807"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负责全院后勤一站式服务中心需求工作调度　</w:t>
            </w:r>
          </w:p>
        </w:tc>
      </w:tr>
      <w:tr>
        <w:tblPrEx>
          <w:tblCellMar>
            <w:top w:w="0" w:type="dxa"/>
            <w:left w:w="108" w:type="dxa"/>
            <w:bottom w:w="0" w:type="dxa"/>
            <w:right w:w="108" w:type="dxa"/>
          </w:tblCellMar>
        </w:tblPrEx>
        <w:trPr>
          <w:trHeight w:val="336" w:hRule="atLeast"/>
        </w:trPr>
        <w:tc>
          <w:tcPr>
            <w:tcW w:w="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w:t>
            </w: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中央运送主管</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113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w:t>
            </w: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40</w:t>
            </w:r>
          </w:p>
        </w:tc>
        <w:tc>
          <w:tcPr>
            <w:tcW w:w="2807"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　</w:t>
            </w:r>
          </w:p>
        </w:tc>
      </w:tr>
      <w:tr>
        <w:tblPrEx>
          <w:tblCellMar>
            <w:top w:w="0" w:type="dxa"/>
            <w:left w:w="108" w:type="dxa"/>
            <w:bottom w:w="0" w:type="dxa"/>
            <w:right w:w="108" w:type="dxa"/>
          </w:tblCellMar>
        </w:tblPrEx>
        <w:trPr>
          <w:trHeight w:val="336" w:hRule="atLeast"/>
        </w:trPr>
        <w:tc>
          <w:tcPr>
            <w:tcW w:w="56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7</w:t>
            </w:r>
          </w:p>
        </w:tc>
        <w:tc>
          <w:tcPr>
            <w:tcW w:w="12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合计岗位</w:t>
            </w:r>
          </w:p>
        </w:tc>
        <w:tc>
          <w:tcPr>
            <w:tcW w:w="99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iCs/>
                <w:color w:val="000000"/>
                <w:sz w:val="21"/>
                <w:szCs w:val="21"/>
              </w:rPr>
            </w:pPr>
            <w:r>
              <w:rPr>
                <w:rFonts w:hint="eastAsia" w:ascii="宋体" w:hAnsi="宋体" w:eastAsia="宋体" w:cs="宋体"/>
                <w:b/>
                <w:bCs/>
                <w:iCs/>
                <w:color w:val="000000"/>
                <w:sz w:val="21"/>
                <w:szCs w:val="21"/>
                <w:lang w:bidi="ar"/>
              </w:rPr>
              <w:t>26</w:t>
            </w:r>
          </w:p>
        </w:tc>
        <w:tc>
          <w:tcPr>
            <w:tcW w:w="6493" w:type="dxa"/>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合计不少于29人</w:t>
            </w:r>
          </w:p>
        </w:tc>
      </w:tr>
    </w:tbl>
    <w:p>
      <w:pPr>
        <w:ind w:firstLine="480" w:firstLineChars="200"/>
        <w:rPr>
          <w:rFonts w:ascii="宋体" w:hAnsi="宋体" w:eastAsia="宋体" w:cs="宋体"/>
          <w:b/>
        </w:rPr>
      </w:pPr>
    </w:p>
    <w:p>
      <w:pPr>
        <w:rPr>
          <w:rFonts w:ascii="宋体" w:hAnsi="宋体" w:eastAsia="宋体" w:cs="宋体"/>
          <w:b/>
        </w:rPr>
      </w:pPr>
      <w:r>
        <w:rPr>
          <w:rFonts w:ascii="宋体" w:hAnsi="宋体" w:eastAsia="宋体" w:cs="宋体"/>
          <w:b/>
        </w:rPr>
        <w:br w:type="page"/>
      </w:r>
    </w:p>
    <w:p>
      <w:pPr>
        <w:ind w:firstLine="480" w:firstLineChars="200"/>
        <w:rPr>
          <w:rFonts w:ascii="宋体" w:hAnsi="宋体" w:eastAsia="宋体" w:cs="宋体"/>
          <w:b/>
        </w:rPr>
      </w:pPr>
      <w:r>
        <w:rPr>
          <w:rFonts w:hint="eastAsia" w:ascii="宋体" w:hAnsi="宋体" w:eastAsia="宋体" w:cs="宋体"/>
          <w:b/>
        </w:rPr>
        <w:t>3、秩序维护服务岗位配置</w:t>
      </w:r>
    </w:p>
    <w:p>
      <w:pPr>
        <w:spacing w:line="400" w:lineRule="exact"/>
        <w:ind w:firstLine="480" w:firstLineChars="200"/>
        <w:jc w:val="both"/>
        <w:rPr>
          <w:rFonts w:ascii="宋体" w:hAnsi="宋体" w:eastAsia="宋体" w:cs="宋体"/>
        </w:rPr>
      </w:pPr>
      <w:r>
        <w:rPr>
          <w:rFonts w:hint="eastAsia" w:ascii="宋体" w:hAnsi="宋体" w:eastAsia="宋体" w:cs="宋体"/>
        </w:rPr>
        <w:t>投标人在本项目投入的秩序维护人员平均年龄不超过55周岁，身体健康，责任心强，熟练秩序维护工作的业务和技能。</w:t>
      </w:r>
    </w:p>
    <w:tbl>
      <w:tblPr>
        <w:tblStyle w:val="26"/>
        <w:tblW w:w="5163" w:type="pct"/>
        <w:tblInd w:w="0" w:type="dxa"/>
        <w:tblLayout w:type="fixed"/>
        <w:tblCellMar>
          <w:top w:w="0" w:type="dxa"/>
          <w:left w:w="108" w:type="dxa"/>
          <w:bottom w:w="0" w:type="dxa"/>
          <w:right w:w="108" w:type="dxa"/>
        </w:tblCellMar>
      </w:tblPr>
      <w:tblGrid>
        <w:gridCol w:w="656"/>
        <w:gridCol w:w="2825"/>
        <w:gridCol w:w="821"/>
        <w:gridCol w:w="1472"/>
        <w:gridCol w:w="1012"/>
        <w:gridCol w:w="1559"/>
        <w:gridCol w:w="1010"/>
      </w:tblGrid>
      <w:tr>
        <w:tblPrEx>
          <w:tblCellMar>
            <w:top w:w="0" w:type="dxa"/>
            <w:left w:w="108" w:type="dxa"/>
            <w:bottom w:w="0" w:type="dxa"/>
            <w:right w:w="108" w:type="dxa"/>
          </w:tblCellMar>
        </w:tblPrEx>
        <w:trPr>
          <w:trHeight w:val="23" w:hRule="atLeast"/>
        </w:trPr>
        <w:tc>
          <w:tcPr>
            <w:tcW w:w="5000" w:type="pct"/>
            <w:gridSpan w:val="7"/>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lang w:bidi="ar"/>
              </w:rPr>
            </w:pPr>
            <w:r>
              <w:rPr>
                <w:rFonts w:hint="eastAsia" w:ascii="宋体" w:hAnsi="宋体" w:eastAsia="宋体" w:cs="宋体"/>
                <w:b/>
                <w:bCs/>
                <w:color w:val="000000"/>
                <w:sz w:val="21"/>
                <w:szCs w:val="21"/>
                <w:lang w:bidi="ar"/>
              </w:rPr>
              <w:t>西安市中医医院（南院区）医院秩序维护岗位配置表</w:t>
            </w:r>
          </w:p>
        </w:tc>
      </w:tr>
      <w:tr>
        <w:tblPrEx>
          <w:tblCellMar>
            <w:top w:w="0" w:type="dxa"/>
            <w:left w:w="108" w:type="dxa"/>
            <w:bottom w:w="0" w:type="dxa"/>
            <w:right w:w="108" w:type="dxa"/>
          </w:tblCellMar>
        </w:tblPrEx>
        <w:trPr>
          <w:trHeight w:val="23" w:hRule="atLeast"/>
        </w:trPr>
        <w:tc>
          <w:tcPr>
            <w:tcW w:w="3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序号</w:t>
            </w:r>
          </w:p>
        </w:tc>
        <w:tc>
          <w:tcPr>
            <w:tcW w:w="15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岗位名称</w:t>
            </w:r>
          </w:p>
        </w:tc>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岗位</w:t>
            </w:r>
          </w:p>
        </w:tc>
        <w:tc>
          <w:tcPr>
            <w:tcW w:w="787"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color w:val="000000"/>
                <w:sz w:val="21"/>
                <w:szCs w:val="21"/>
                <w:lang w:bidi="ar"/>
              </w:rPr>
            </w:pPr>
            <w:r>
              <w:rPr>
                <w:rFonts w:hint="eastAsia" w:ascii="宋体" w:hAnsi="宋体" w:eastAsia="宋体" w:cs="宋体"/>
                <w:b/>
                <w:bCs/>
                <w:color w:val="000000"/>
                <w:sz w:val="21"/>
                <w:szCs w:val="21"/>
                <w:lang w:bidi="ar"/>
              </w:rPr>
              <w:t>每天设岗</w:t>
            </w:r>
          </w:p>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小时</w:t>
            </w:r>
          </w:p>
        </w:tc>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每轴设岗天数</w:t>
            </w:r>
          </w:p>
        </w:tc>
        <w:tc>
          <w:tcPr>
            <w:tcW w:w="833"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每周完成服务所需工时</w:t>
            </w:r>
          </w:p>
        </w:tc>
        <w:tc>
          <w:tcPr>
            <w:tcW w:w="54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color w:val="000000"/>
                <w:sz w:val="21"/>
                <w:szCs w:val="21"/>
                <w:lang w:bidi="ar"/>
              </w:rPr>
            </w:pPr>
            <w:r>
              <w:rPr>
                <w:rFonts w:hint="eastAsia" w:ascii="宋体" w:hAnsi="宋体" w:eastAsia="宋体" w:cs="宋体"/>
                <w:b/>
                <w:bCs/>
                <w:color w:val="000000"/>
                <w:sz w:val="21"/>
                <w:szCs w:val="21"/>
                <w:lang w:bidi="ar"/>
              </w:rPr>
              <w:t>备注</w:t>
            </w:r>
          </w:p>
        </w:tc>
      </w:tr>
      <w:tr>
        <w:tblPrEx>
          <w:tblCellMar>
            <w:top w:w="0" w:type="dxa"/>
            <w:left w:w="108" w:type="dxa"/>
            <w:bottom w:w="0" w:type="dxa"/>
            <w:right w:w="108" w:type="dxa"/>
          </w:tblCellMar>
        </w:tblPrEx>
        <w:trPr>
          <w:trHeight w:val="23" w:hRule="atLeast"/>
        </w:trPr>
        <w:tc>
          <w:tcPr>
            <w:tcW w:w="3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15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门岗值守管理1</w:t>
            </w:r>
          </w:p>
        </w:tc>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rPr>
              <w:t>2</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24</w:t>
            </w:r>
          </w:p>
        </w:tc>
        <w:tc>
          <w:tcPr>
            <w:tcW w:w="5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rPr>
              <w:t>336</w:t>
            </w:r>
          </w:p>
        </w:tc>
        <w:tc>
          <w:tcPr>
            <w:tcW w:w="5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lang w:bidi="ar"/>
              </w:rPr>
            </w:pPr>
          </w:p>
        </w:tc>
      </w:tr>
      <w:tr>
        <w:tblPrEx>
          <w:tblCellMar>
            <w:top w:w="0" w:type="dxa"/>
            <w:left w:w="108" w:type="dxa"/>
            <w:bottom w:w="0" w:type="dxa"/>
            <w:right w:w="108" w:type="dxa"/>
          </w:tblCellMar>
        </w:tblPrEx>
        <w:trPr>
          <w:trHeight w:val="23" w:hRule="atLeast"/>
        </w:trPr>
        <w:tc>
          <w:tcPr>
            <w:tcW w:w="3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15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门岗值守管理2</w:t>
            </w:r>
          </w:p>
        </w:tc>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rPr>
              <w:t>1</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lang w:bidi="ar"/>
              </w:rPr>
            </w:pPr>
            <w:r>
              <w:rPr>
                <w:rFonts w:hint="eastAsia" w:ascii="宋体" w:hAnsi="宋体" w:eastAsia="宋体" w:cs="宋体"/>
                <w:color w:val="000000"/>
                <w:sz w:val="21"/>
                <w:szCs w:val="21"/>
                <w:lang w:bidi="ar"/>
              </w:rPr>
              <w:t>8</w:t>
            </w:r>
          </w:p>
        </w:tc>
        <w:tc>
          <w:tcPr>
            <w:tcW w:w="5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rPr>
              <w:t>56</w:t>
            </w:r>
          </w:p>
        </w:tc>
        <w:tc>
          <w:tcPr>
            <w:tcW w:w="5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lang w:bidi="ar"/>
              </w:rPr>
            </w:pPr>
          </w:p>
        </w:tc>
      </w:tr>
      <w:tr>
        <w:tblPrEx>
          <w:tblCellMar>
            <w:top w:w="0" w:type="dxa"/>
            <w:left w:w="108" w:type="dxa"/>
            <w:bottom w:w="0" w:type="dxa"/>
            <w:right w:w="108" w:type="dxa"/>
          </w:tblCellMar>
        </w:tblPrEx>
        <w:trPr>
          <w:trHeight w:val="23" w:hRule="atLeast"/>
        </w:trPr>
        <w:tc>
          <w:tcPr>
            <w:tcW w:w="3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15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停车场管理1</w:t>
            </w:r>
          </w:p>
        </w:tc>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lang w:bidi="ar"/>
              </w:rPr>
            </w:pPr>
            <w:r>
              <w:rPr>
                <w:rFonts w:hint="eastAsia" w:ascii="宋体" w:hAnsi="宋体" w:eastAsia="宋体" w:cs="宋体"/>
                <w:color w:val="000000"/>
                <w:sz w:val="21"/>
                <w:szCs w:val="21"/>
                <w:lang w:bidi="ar"/>
              </w:rPr>
              <w:t>2</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lang w:bidi="ar"/>
              </w:rPr>
            </w:pPr>
            <w:r>
              <w:rPr>
                <w:rFonts w:hint="eastAsia" w:ascii="宋体" w:hAnsi="宋体" w:eastAsia="宋体" w:cs="宋体"/>
                <w:color w:val="000000"/>
                <w:sz w:val="21"/>
                <w:szCs w:val="21"/>
                <w:lang w:bidi="ar"/>
              </w:rPr>
              <w:t>8</w:t>
            </w:r>
          </w:p>
        </w:tc>
        <w:tc>
          <w:tcPr>
            <w:tcW w:w="5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lang w:bidi="ar"/>
              </w:rPr>
            </w:pPr>
            <w:r>
              <w:rPr>
                <w:rFonts w:hint="eastAsia" w:ascii="宋体" w:hAnsi="宋体" w:eastAsia="宋体" w:cs="宋体"/>
                <w:color w:val="000000"/>
                <w:sz w:val="21"/>
                <w:szCs w:val="21"/>
                <w:lang w:bidi="ar"/>
              </w:rPr>
              <w:t>112</w:t>
            </w:r>
          </w:p>
        </w:tc>
        <w:tc>
          <w:tcPr>
            <w:tcW w:w="5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lang w:bidi="ar"/>
              </w:rPr>
            </w:pPr>
          </w:p>
        </w:tc>
      </w:tr>
      <w:tr>
        <w:tblPrEx>
          <w:tblCellMar>
            <w:top w:w="0" w:type="dxa"/>
            <w:left w:w="108" w:type="dxa"/>
            <w:bottom w:w="0" w:type="dxa"/>
            <w:right w:w="108" w:type="dxa"/>
          </w:tblCellMar>
        </w:tblPrEx>
        <w:trPr>
          <w:trHeight w:val="23" w:hRule="atLeast"/>
        </w:trPr>
        <w:tc>
          <w:tcPr>
            <w:tcW w:w="3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w:t>
            </w:r>
          </w:p>
        </w:tc>
        <w:tc>
          <w:tcPr>
            <w:tcW w:w="15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停车场管理2</w:t>
            </w:r>
          </w:p>
        </w:tc>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lang w:bidi="ar"/>
              </w:rPr>
            </w:pPr>
            <w:r>
              <w:rPr>
                <w:rFonts w:hint="eastAsia" w:ascii="宋体" w:hAnsi="宋体" w:eastAsia="宋体" w:cs="宋体"/>
                <w:color w:val="000000"/>
                <w:sz w:val="21"/>
                <w:szCs w:val="21"/>
                <w:lang w:bidi="ar"/>
              </w:rPr>
              <w:t>1</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lang w:bidi="ar"/>
              </w:rPr>
            </w:pPr>
            <w:r>
              <w:rPr>
                <w:rFonts w:hint="eastAsia" w:ascii="宋体" w:hAnsi="宋体" w:eastAsia="宋体" w:cs="宋体"/>
                <w:color w:val="000000"/>
                <w:sz w:val="21"/>
                <w:szCs w:val="21"/>
                <w:lang w:bidi="ar"/>
              </w:rPr>
              <w:t>24</w:t>
            </w:r>
          </w:p>
        </w:tc>
        <w:tc>
          <w:tcPr>
            <w:tcW w:w="5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rPr>
              <w:t>7</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lang w:bidi="ar"/>
              </w:rPr>
            </w:pPr>
            <w:r>
              <w:rPr>
                <w:rFonts w:hint="eastAsia" w:ascii="宋体" w:hAnsi="宋体" w:eastAsia="宋体" w:cs="宋体"/>
                <w:color w:val="000000"/>
                <w:sz w:val="21"/>
                <w:szCs w:val="21"/>
                <w:lang w:bidi="ar"/>
              </w:rPr>
              <w:t>168</w:t>
            </w:r>
          </w:p>
        </w:tc>
        <w:tc>
          <w:tcPr>
            <w:tcW w:w="5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p>
        </w:tc>
      </w:tr>
      <w:tr>
        <w:tblPrEx>
          <w:tblCellMar>
            <w:top w:w="0" w:type="dxa"/>
            <w:left w:w="108" w:type="dxa"/>
            <w:bottom w:w="0" w:type="dxa"/>
            <w:right w:w="108" w:type="dxa"/>
          </w:tblCellMar>
        </w:tblPrEx>
        <w:trPr>
          <w:trHeight w:val="23" w:hRule="atLeast"/>
        </w:trPr>
        <w:tc>
          <w:tcPr>
            <w:tcW w:w="3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lang w:bidi="ar"/>
              </w:rPr>
            </w:pPr>
            <w:r>
              <w:rPr>
                <w:rFonts w:hint="eastAsia" w:ascii="宋体" w:hAnsi="宋体" w:eastAsia="宋体" w:cs="宋体"/>
                <w:color w:val="000000"/>
                <w:sz w:val="21"/>
                <w:szCs w:val="21"/>
                <w:lang w:bidi="ar"/>
              </w:rPr>
              <w:t>5</w:t>
            </w:r>
          </w:p>
        </w:tc>
        <w:tc>
          <w:tcPr>
            <w:tcW w:w="15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lang w:bidi="ar"/>
              </w:rPr>
            </w:pPr>
            <w:r>
              <w:rPr>
                <w:rFonts w:hint="eastAsia" w:ascii="宋体" w:hAnsi="宋体" w:eastAsia="宋体" w:cs="宋体"/>
                <w:color w:val="000000"/>
                <w:sz w:val="21"/>
                <w:szCs w:val="21"/>
                <w:lang w:bidi="ar"/>
              </w:rPr>
              <w:t>楼宇巡岗检查</w:t>
            </w:r>
          </w:p>
        </w:tc>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rPr>
              <w:t>8</w:t>
            </w:r>
          </w:p>
        </w:tc>
        <w:tc>
          <w:tcPr>
            <w:tcW w:w="5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color w:val="000000"/>
                <w:sz w:val="21"/>
                <w:szCs w:val="21"/>
              </w:rPr>
              <w:t>7</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672</w:t>
            </w:r>
          </w:p>
        </w:tc>
        <w:tc>
          <w:tcPr>
            <w:tcW w:w="5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lang w:bidi="ar"/>
              </w:rPr>
            </w:pPr>
          </w:p>
        </w:tc>
      </w:tr>
      <w:tr>
        <w:tblPrEx>
          <w:tblCellMar>
            <w:top w:w="0" w:type="dxa"/>
            <w:left w:w="108" w:type="dxa"/>
            <w:bottom w:w="0" w:type="dxa"/>
            <w:right w:w="108" w:type="dxa"/>
          </w:tblCellMar>
        </w:tblPrEx>
        <w:trPr>
          <w:trHeight w:val="23" w:hRule="atLeast"/>
        </w:trPr>
        <w:tc>
          <w:tcPr>
            <w:tcW w:w="3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lang w:bidi="ar"/>
              </w:rPr>
            </w:pPr>
            <w:r>
              <w:rPr>
                <w:rFonts w:hint="eastAsia" w:ascii="宋体" w:hAnsi="宋体" w:eastAsia="宋体" w:cs="宋体"/>
                <w:color w:val="000000"/>
                <w:sz w:val="21"/>
                <w:szCs w:val="21"/>
                <w:lang w:bidi="ar"/>
              </w:rPr>
              <w:t>6</w:t>
            </w:r>
          </w:p>
        </w:tc>
        <w:tc>
          <w:tcPr>
            <w:tcW w:w="15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监控室/消防值守</w:t>
            </w:r>
          </w:p>
        </w:tc>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rPr>
              <w:t>3</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rPr>
              <w:t>24</w:t>
            </w:r>
          </w:p>
        </w:tc>
        <w:tc>
          <w:tcPr>
            <w:tcW w:w="5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lang w:bidi="ar"/>
              </w:rPr>
            </w:pPr>
            <w:r>
              <w:rPr>
                <w:rFonts w:hint="eastAsia" w:ascii="宋体" w:hAnsi="宋体" w:eastAsia="宋体" w:cs="宋体"/>
                <w:color w:val="000000"/>
                <w:sz w:val="21"/>
                <w:szCs w:val="21"/>
                <w:lang w:bidi="ar"/>
              </w:rPr>
              <w:t>7</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rPr>
              <w:t>504</w:t>
            </w:r>
          </w:p>
        </w:tc>
        <w:tc>
          <w:tcPr>
            <w:tcW w:w="5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lang w:bidi="ar"/>
              </w:rPr>
            </w:pPr>
          </w:p>
        </w:tc>
      </w:tr>
      <w:tr>
        <w:tblPrEx>
          <w:tblCellMar>
            <w:top w:w="0" w:type="dxa"/>
            <w:left w:w="108" w:type="dxa"/>
            <w:bottom w:w="0" w:type="dxa"/>
            <w:right w:w="108" w:type="dxa"/>
          </w:tblCellMar>
        </w:tblPrEx>
        <w:trPr>
          <w:trHeight w:val="23" w:hRule="atLeast"/>
        </w:trPr>
        <w:tc>
          <w:tcPr>
            <w:tcW w:w="3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lang w:bidi="ar"/>
              </w:rPr>
            </w:pPr>
            <w:r>
              <w:rPr>
                <w:rFonts w:hint="eastAsia" w:ascii="宋体" w:hAnsi="宋体" w:eastAsia="宋体" w:cs="宋体"/>
                <w:color w:val="000000"/>
                <w:sz w:val="21"/>
                <w:szCs w:val="21"/>
                <w:lang w:bidi="ar"/>
              </w:rPr>
              <w:t>7</w:t>
            </w:r>
          </w:p>
        </w:tc>
        <w:tc>
          <w:tcPr>
            <w:tcW w:w="15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秩序维护主管</w:t>
            </w:r>
          </w:p>
        </w:tc>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rPr>
              <w:t>2</w:t>
            </w:r>
          </w:p>
        </w:tc>
        <w:tc>
          <w:tcPr>
            <w:tcW w:w="787"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rPr>
              <w:t>8</w:t>
            </w:r>
          </w:p>
        </w:tc>
        <w:tc>
          <w:tcPr>
            <w:tcW w:w="5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lang w:bidi="ar"/>
              </w:rPr>
            </w:pPr>
            <w:r>
              <w:rPr>
                <w:rFonts w:hint="eastAsia" w:ascii="宋体" w:hAnsi="宋体" w:eastAsia="宋体" w:cs="宋体"/>
                <w:color w:val="000000"/>
                <w:sz w:val="21"/>
                <w:szCs w:val="21"/>
                <w:lang w:bidi="ar"/>
              </w:rPr>
              <w:t>5</w:t>
            </w:r>
          </w:p>
        </w:tc>
        <w:tc>
          <w:tcPr>
            <w:tcW w:w="83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rPr>
              <w:t>40</w:t>
            </w:r>
          </w:p>
        </w:tc>
        <w:tc>
          <w:tcPr>
            <w:tcW w:w="54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lang w:bidi="ar"/>
              </w:rPr>
            </w:pPr>
          </w:p>
        </w:tc>
      </w:tr>
      <w:tr>
        <w:tblPrEx>
          <w:tblCellMar>
            <w:top w:w="0" w:type="dxa"/>
            <w:left w:w="108" w:type="dxa"/>
            <w:bottom w:w="0" w:type="dxa"/>
            <w:right w:w="108" w:type="dxa"/>
          </w:tblCellMar>
        </w:tblPrEx>
        <w:trPr>
          <w:trHeight w:val="23" w:hRule="atLeast"/>
        </w:trPr>
        <w:tc>
          <w:tcPr>
            <w:tcW w:w="35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lang w:bidi="ar"/>
              </w:rPr>
            </w:pPr>
            <w:r>
              <w:rPr>
                <w:rFonts w:hint="eastAsia" w:ascii="宋体" w:hAnsi="宋体" w:eastAsia="宋体" w:cs="宋体"/>
                <w:color w:val="000000"/>
                <w:sz w:val="21"/>
                <w:szCs w:val="21"/>
                <w:lang w:bidi="ar"/>
              </w:rPr>
              <w:t>8</w:t>
            </w:r>
          </w:p>
        </w:tc>
        <w:tc>
          <w:tcPr>
            <w:tcW w:w="1510"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lang w:bidi="ar"/>
              </w:rPr>
            </w:pPr>
            <w:r>
              <w:rPr>
                <w:rFonts w:hint="eastAsia" w:ascii="宋体" w:hAnsi="宋体" w:eastAsia="宋体" w:cs="宋体"/>
                <w:b/>
                <w:bCs/>
                <w:color w:val="000000"/>
                <w:sz w:val="21"/>
                <w:szCs w:val="21"/>
                <w:lang w:bidi="ar"/>
              </w:rPr>
              <w:t>合计岗位</w:t>
            </w:r>
          </w:p>
        </w:tc>
        <w:tc>
          <w:tcPr>
            <w:tcW w:w="439"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i/>
                <w:iCs/>
                <w:color w:val="000000"/>
                <w:sz w:val="21"/>
                <w:szCs w:val="21"/>
                <w:u w:val="single"/>
              </w:rPr>
            </w:pPr>
            <w:r>
              <w:rPr>
                <w:rFonts w:ascii="宋体" w:hAnsi="宋体" w:eastAsia="宋体" w:cs="宋体"/>
                <w:b/>
                <w:bCs/>
                <w:color w:val="000000"/>
                <w:sz w:val="21"/>
                <w:szCs w:val="21"/>
              </w:rPr>
              <w:t>23</w:t>
            </w:r>
          </w:p>
        </w:tc>
        <w:tc>
          <w:tcPr>
            <w:tcW w:w="2702"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lang w:bidi="ar"/>
              </w:rPr>
            </w:pPr>
            <w:r>
              <w:rPr>
                <w:rFonts w:hint="eastAsia" w:ascii="宋体" w:hAnsi="宋体" w:eastAsia="宋体" w:cs="宋体"/>
                <w:b/>
                <w:bCs/>
                <w:color w:val="000000"/>
                <w:sz w:val="21"/>
                <w:szCs w:val="21"/>
                <w:lang w:bidi="ar"/>
              </w:rPr>
              <w:t>合计不少于34人</w:t>
            </w:r>
          </w:p>
        </w:tc>
      </w:tr>
    </w:tbl>
    <w:p>
      <w:pPr>
        <w:ind w:firstLine="480" w:firstLineChars="200"/>
        <w:rPr>
          <w:rFonts w:ascii="宋体" w:hAnsi="宋体" w:eastAsia="宋体" w:cs="宋体"/>
          <w:b/>
        </w:rPr>
      </w:pPr>
    </w:p>
    <w:p>
      <w:pPr>
        <w:rPr>
          <w:rFonts w:ascii="宋体" w:hAnsi="宋体" w:eastAsia="宋体" w:cs="宋体"/>
          <w:b/>
        </w:rPr>
      </w:pPr>
      <w:r>
        <w:rPr>
          <w:rFonts w:ascii="宋体" w:hAnsi="宋体" w:eastAsia="宋体" w:cs="宋体"/>
          <w:b/>
        </w:rPr>
        <w:br w:type="page"/>
      </w:r>
    </w:p>
    <w:p>
      <w:pPr>
        <w:ind w:firstLine="480" w:firstLineChars="200"/>
        <w:rPr>
          <w:rFonts w:ascii="宋体" w:hAnsi="宋体" w:eastAsia="宋体" w:cs="宋体"/>
          <w:b/>
        </w:rPr>
      </w:pPr>
      <w:r>
        <w:rPr>
          <w:rFonts w:hint="eastAsia" w:ascii="宋体" w:hAnsi="宋体" w:eastAsia="宋体" w:cs="宋体"/>
          <w:b/>
        </w:rPr>
        <w:t>4、工程设施设备日常运行及维护维修服务岗位配置</w:t>
      </w:r>
    </w:p>
    <w:p>
      <w:pPr>
        <w:spacing w:line="400" w:lineRule="exact"/>
        <w:ind w:firstLine="480" w:firstLineChars="200"/>
        <w:jc w:val="both"/>
        <w:rPr>
          <w:rFonts w:ascii="宋体" w:hAnsi="宋体" w:eastAsia="宋体" w:cs="宋体"/>
        </w:rPr>
      </w:pPr>
      <w:r>
        <w:rPr>
          <w:rFonts w:hint="eastAsia" w:ascii="宋体" w:hAnsi="宋体" w:eastAsia="宋体" w:cs="宋体"/>
        </w:rPr>
        <w:t>投标人在本项目投入的设施设备运行与维护人员平均年龄不超过55周岁，身体健康，责任心强，相关岗位需持证上岗。</w:t>
      </w:r>
    </w:p>
    <w:tbl>
      <w:tblPr>
        <w:tblStyle w:val="26"/>
        <w:tblW w:w="9120" w:type="dxa"/>
        <w:tblInd w:w="0" w:type="dxa"/>
        <w:tblLayout w:type="fixed"/>
        <w:tblCellMar>
          <w:top w:w="0" w:type="dxa"/>
          <w:left w:w="108" w:type="dxa"/>
          <w:bottom w:w="0" w:type="dxa"/>
          <w:right w:w="108" w:type="dxa"/>
        </w:tblCellMar>
      </w:tblPr>
      <w:tblGrid>
        <w:gridCol w:w="1215"/>
        <w:gridCol w:w="1899"/>
        <w:gridCol w:w="858"/>
        <w:gridCol w:w="756"/>
        <w:gridCol w:w="1000"/>
        <w:gridCol w:w="3392"/>
      </w:tblGrid>
      <w:tr>
        <w:tblPrEx>
          <w:tblCellMar>
            <w:top w:w="0" w:type="dxa"/>
            <w:left w:w="108" w:type="dxa"/>
            <w:bottom w:w="0" w:type="dxa"/>
            <w:right w:w="108" w:type="dxa"/>
          </w:tblCellMar>
        </w:tblPrEx>
        <w:trPr>
          <w:trHeight w:val="620" w:hRule="atLeast"/>
        </w:trPr>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jc w:val="center"/>
              <w:textAlignment w:val="top"/>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岗位名称</w:t>
            </w:r>
          </w:p>
        </w:tc>
        <w:tc>
          <w:tcPr>
            <w:tcW w:w="1899"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jc w:val="center"/>
              <w:textAlignment w:val="top"/>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区域范围</w:t>
            </w:r>
          </w:p>
        </w:tc>
        <w:tc>
          <w:tcPr>
            <w:tcW w:w="858"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jc w:val="center"/>
              <w:textAlignment w:val="top"/>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岗位数</w:t>
            </w:r>
          </w:p>
        </w:tc>
        <w:tc>
          <w:tcPr>
            <w:tcW w:w="756"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jc w:val="center"/>
              <w:textAlignment w:val="top"/>
              <w:rPr>
                <w:rFonts w:ascii="宋体" w:hAnsi="宋体" w:eastAsia="宋体" w:cs="宋体"/>
                <w:b/>
                <w:bCs/>
                <w:color w:val="000000"/>
                <w:sz w:val="21"/>
                <w:szCs w:val="21"/>
              </w:rPr>
            </w:pPr>
            <w:r>
              <w:rPr>
                <w:rFonts w:hint="eastAsia" w:ascii="宋体" w:hAnsi="宋体" w:eastAsia="宋体" w:cs="宋体"/>
                <w:b/>
                <w:bCs/>
                <w:color w:val="000000"/>
                <w:sz w:val="21"/>
                <w:szCs w:val="21"/>
                <w:lang w:bidi="ar"/>
              </w:rPr>
              <w:t>每周天数</w:t>
            </w:r>
          </w:p>
        </w:tc>
        <w:tc>
          <w:tcPr>
            <w:tcW w:w="1000"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jc w:val="center"/>
              <w:textAlignment w:val="top"/>
              <w:rPr>
                <w:rFonts w:ascii="宋体" w:hAnsi="宋体" w:eastAsia="宋体" w:cs="宋体"/>
                <w:b/>
                <w:bCs/>
                <w:color w:val="000000"/>
                <w:sz w:val="21"/>
                <w:szCs w:val="21"/>
              </w:rPr>
            </w:pPr>
            <w:r>
              <w:rPr>
                <w:rFonts w:hint="eastAsia" w:ascii="宋体" w:hAnsi="宋体" w:eastAsia="宋体" w:cs="宋体"/>
                <w:b/>
                <w:bCs/>
                <w:color w:val="000000"/>
                <w:sz w:val="21"/>
                <w:szCs w:val="21"/>
                <w:lang w:bidi="ar"/>
              </w:rPr>
              <w:t>每天小时数</w:t>
            </w:r>
          </w:p>
        </w:tc>
        <w:tc>
          <w:tcPr>
            <w:tcW w:w="3392"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jc w:val="center"/>
              <w:textAlignment w:val="top"/>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备注</w:t>
            </w:r>
          </w:p>
        </w:tc>
      </w:tr>
      <w:tr>
        <w:tblPrEx>
          <w:tblCellMar>
            <w:top w:w="0" w:type="dxa"/>
            <w:left w:w="108" w:type="dxa"/>
            <w:bottom w:w="0" w:type="dxa"/>
            <w:right w:w="108" w:type="dxa"/>
          </w:tblCellMar>
        </w:tblPrEx>
        <w:trPr>
          <w:trHeight w:val="1520" w:hRule="atLeast"/>
        </w:trPr>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高压电工</w:t>
            </w:r>
          </w:p>
        </w:tc>
        <w:tc>
          <w:tcPr>
            <w:tcW w:w="1899"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高低压配电</w:t>
            </w:r>
          </w:p>
        </w:tc>
        <w:tc>
          <w:tcPr>
            <w:tcW w:w="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24</w:t>
            </w:r>
          </w:p>
        </w:tc>
        <w:tc>
          <w:tcPr>
            <w:tcW w:w="3392"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负责配电所24小时高低压配电系统运行与维护、配合日常电气维修，兼顾夜间综合维修值班，并负责楼层配电间等的日常运行与维护工作。</w:t>
            </w:r>
          </w:p>
        </w:tc>
      </w:tr>
      <w:tr>
        <w:tblPrEx>
          <w:tblCellMar>
            <w:top w:w="0" w:type="dxa"/>
            <w:left w:w="108" w:type="dxa"/>
            <w:bottom w:w="0" w:type="dxa"/>
            <w:right w:w="108" w:type="dxa"/>
          </w:tblCellMar>
        </w:tblPrEx>
        <w:trPr>
          <w:trHeight w:val="920" w:hRule="atLeast"/>
        </w:trPr>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普通电工</w:t>
            </w:r>
          </w:p>
        </w:tc>
        <w:tc>
          <w:tcPr>
            <w:tcW w:w="1899"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综合维修</w:t>
            </w:r>
          </w:p>
        </w:tc>
        <w:tc>
          <w:tcPr>
            <w:tcW w:w="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4</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6</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3392"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配合综合维修对全院电气设施的日常维护及配合综合维修及高压电工的日常动力维护</w:t>
            </w:r>
          </w:p>
        </w:tc>
      </w:tr>
      <w:tr>
        <w:tblPrEx>
          <w:tblCellMar>
            <w:top w:w="0" w:type="dxa"/>
            <w:left w:w="108" w:type="dxa"/>
            <w:bottom w:w="0" w:type="dxa"/>
            <w:right w:w="108" w:type="dxa"/>
          </w:tblCellMar>
        </w:tblPrEx>
        <w:trPr>
          <w:trHeight w:val="920" w:hRule="atLeast"/>
        </w:trPr>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弱电工</w:t>
            </w:r>
          </w:p>
        </w:tc>
        <w:tc>
          <w:tcPr>
            <w:tcW w:w="1899"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BA系统和节能管理系统</w:t>
            </w:r>
          </w:p>
        </w:tc>
        <w:tc>
          <w:tcPr>
            <w:tcW w:w="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6</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3392"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负责项目非医疗弱电系统、综合布线系统BA系统及节能管理系统运行与维护</w:t>
            </w:r>
          </w:p>
        </w:tc>
      </w:tr>
      <w:tr>
        <w:tblPrEx>
          <w:tblCellMar>
            <w:top w:w="0" w:type="dxa"/>
            <w:left w:w="108" w:type="dxa"/>
            <w:bottom w:w="0" w:type="dxa"/>
            <w:right w:w="108" w:type="dxa"/>
          </w:tblCellMar>
        </w:tblPrEx>
        <w:trPr>
          <w:trHeight w:val="1840" w:hRule="atLeast"/>
        </w:trPr>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lang w:bidi="ar"/>
              </w:rPr>
            </w:pPr>
            <w:r>
              <w:rPr>
                <w:rFonts w:hint="eastAsia" w:ascii="宋体" w:hAnsi="宋体" w:eastAsia="宋体" w:cs="宋体"/>
                <w:color w:val="000000"/>
                <w:sz w:val="21"/>
                <w:szCs w:val="21"/>
                <w:lang w:bidi="ar"/>
              </w:rPr>
              <w:t>空调</w:t>
            </w:r>
          </w:p>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维修工</w:t>
            </w:r>
          </w:p>
        </w:tc>
        <w:tc>
          <w:tcPr>
            <w:tcW w:w="1899"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中央空调/热力站及楼层新风机组运行与维护末端盘管风机、分体空调的运行与维护</w:t>
            </w:r>
          </w:p>
        </w:tc>
        <w:tc>
          <w:tcPr>
            <w:tcW w:w="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24</w:t>
            </w:r>
          </w:p>
        </w:tc>
        <w:tc>
          <w:tcPr>
            <w:tcW w:w="3392"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中央空调系统运行与热力站维护24小时值班，兼顾VRV空调系统、净化空调的巡视；负责日间多联机组及末端风机盘管、分体空调等的运行维护与日常维修。</w:t>
            </w:r>
          </w:p>
        </w:tc>
      </w:tr>
      <w:tr>
        <w:tblPrEx>
          <w:tblCellMar>
            <w:top w:w="0" w:type="dxa"/>
            <w:left w:w="108" w:type="dxa"/>
            <w:bottom w:w="0" w:type="dxa"/>
            <w:right w:w="108" w:type="dxa"/>
          </w:tblCellMar>
        </w:tblPrEx>
        <w:trPr>
          <w:trHeight w:val="1220" w:hRule="atLeast"/>
        </w:trPr>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lang w:bidi="ar"/>
              </w:rPr>
            </w:pPr>
            <w:r>
              <w:rPr>
                <w:rFonts w:hint="eastAsia" w:ascii="宋体" w:hAnsi="宋体" w:eastAsia="宋体" w:cs="宋体"/>
                <w:color w:val="000000"/>
                <w:sz w:val="21"/>
                <w:szCs w:val="21"/>
                <w:lang w:bidi="ar"/>
              </w:rPr>
              <w:t>管道工</w:t>
            </w:r>
          </w:p>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（污水处理）</w:t>
            </w:r>
          </w:p>
        </w:tc>
        <w:tc>
          <w:tcPr>
            <w:tcW w:w="1899"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污水处理/氧气站/压缩空气/负压吸引等系统设施维护</w:t>
            </w:r>
          </w:p>
        </w:tc>
        <w:tc>
          <w:tcPr>
            <w:tcW w:w="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24</w:t>
            </w:r>
          </w:p>
        </w:tc>
        <w:tc>
          <w:tcPr>
            <w:tcW w:w="3392"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负责污水处理站/氧气站的运行与维护，兼顾污水处理站加药、日常化验及氧气站设施的维护</w:t>
            </w:r>
          </w:p>
        </w:tc>
      </w:tr>
      <w:tr>
        <w:tblPrEx>
          <w:tblCellMar>
            <w:top w:w="0" w:type="dxa"/>
            <w:left w:w="108" w:type="dxa"/>
            <w:bottom w:w="0" w:type="dxa"/>
            <w:right w:w="108" w:type="dxa"/>
          </w:tblCellMar>
        </w:tblPrEx>
        <w:trPr>
          <w:trHeight w:val="1220" w:hRule="atLeast"/>
        </w:trPr>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lang w:bidi="ar"/>
              </w:rPr>
            </w:pPr>
            <w:r>
              <w:rPr>
                <w:rFonts w:hint="eastAsia" w:ascii="宋体" w:hAnsi="宋体" w:eastAsia="宋体" w:cs="宋体"/>
                <w:color w:val="000000"/>
                <w:sz w:val="21"/>
                <w:szCs w:val="21"/>
                <w:lang w:bidi="ar"/>
              </w:rPr>
              <w:t>综合</w:t>
            </w:r>
          </w:p>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维修工</w:t>
            </w:r>
          </w:p>
        </w:tc>
        <w:tc>
          <w:tcPr>
            <w:tcW w:w="1899"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日间综合维修，设备巡检/项目巡检</w:t>
            </w:r>
          </w:p>
        </w:tc>
        <w:tc>
          <w:tcPr>
            <w:tcW w:w="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6</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3392"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负责地面、墙壁、天花的翻新及修补；负责病床、办公家具、门窗等的维修；负责机房地面、管道、设备的刷漆</w:t>
            </w:r>
          </w:p>
        </w:tc>
      </w:tr>
      <w:tr>
        <w:tblPrEx>
          <w:tblCellMar>
            <w:top w:w="0" w:type="dxa"/>
            <w:left w:w="108" w:type="dxa"/>
            <w:bottom w:w="0" w:type="dxa"/>
            <w:right w:w="108" w:type="dxa"/>
          </w:tblCellMar>
        </w:tblPrEx>
        <w:trPr>
          <w:trHeight w:val="920" w:hRule="atLeast"/>
        </w:trPr>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工程调度</w:t>
            </w:r>
          </w:p>
        </w:tc>
        <w:tc>
          <w:tcPr>
            <w:tcW w:w="1899"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调度派工、进度跟进。</w:t>
            </w:r>
          </w:p>
        </w:tc>
        <w:tc>
          <w:tcPr>
            <w:tcW w:w="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5</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3392"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负责电话报修的接听、记录、网上报修系统的录入、出单、临时仓库管理。</w:t>
            </w:r>
          </w:p>
        </w:tc>
      </w:tr>
      <w:tr>
        <w:tblPrEx>
          <w:tblCellMar>
            <w:top w:w="0" w:type="dxa"/>
            <w:left w:w="108" w:type="dxa"/>
            <w:bottom w:w="0" w:type="dxa"/>
            <w:right w:w="108" w:type="dxa"/>
          </w:tblCellMar>
        </w:tblPrEx>
        <w:trPr>
          <w:trHeight w:val="1520" w:hRule="atLeast"/>
        </w:trPr>
        <w:tc>
          <w:tcPr>
            <w:tcW w:w="1215"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工程主管</w:t>
            </w:r>
          </w:p>
        </w:tc>
        <w:tc>
          <w:tcPr>
            <w:tcW w:w="1899"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部门管理</w:t>
            </w:r>
          </w:p>
        </w:tc>
        <w:tc>
          <w:tcPr>
            <w:tcW w:w="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75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5</w:t>
            </w:r>
          </w:p>
        </w:tc>
        <w:tc>
          <w:tcPr>
            <w:tcW w:w="100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3392" w:type="dxa"/>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对项目进行全面管理，包括维护保养计划、改造项目方案、实施；应急管理；运行管理；人员管理与培训；月度及年度报告等</w:t>
            </w:r>
          </w:p>
        </w:tc>
      </w:tr>
      <w:tr>
        <w:tblPrEx>
          <w:tblCellMar>
            <w:top w:w="0" w:type="dxa"/>
            <w:left w:w="108" w:type="dxa"/>
            <w:bottom w:w="0" w:type="dxa"/>
            <w:right w:w="108" w:type="dxa"/>
          </w:tblCellMar>
        </w:tblPrEx>
        <w:trPr>
          <w:trHeight w:val="90" w:hRule="atLeast"/>
        </w:trPr>
        <w:tc>
          <w:tcPr>
            <w:tcW w:w="3114"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合计岗位</w:t>
            </w:r>
          </w:p>
        </w:tc>
        <w:tc>
          <w:tcPr>
            <w:tcW w:w="85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tabs>
                <w:tab w:val="left" w:pos="105"/>
              </w:tabs>
              <w:kinsoku w:val="0"/>
              <w:overflowPunct w:val="0"/>
              <w:autoSpaceDE w:val="0"/>
              <w:autoSpaceDN w:val="0"/>
              <w:jc w:val="center"/>
              <w:textAlignment w:val="top"/>
              <w:rPr>
                <w:rFonts w:ascii="宋体" w:hAnsi="宋体" w:eastAsia="宋体" w:cs="宋体"/>
                <w:b/>
                <w:bCs/>
                <w:i/>
                <w:iCs/>
                <w:color w:val="000000"/>
                <w:sz w:val="21"/>
                <w:szCs w:val="21"/>
                <w:u w:val="single"/>
              </w:rPr>
            </w:pPr>
            <w:r>
              <w:rPr>
                <w:rFonts w:hint="eastAsia" w:ascii="宋体" w:hAnsi="宋体" w:eastAsia="宋体" w:cs="宋体"/>
                <w:b/>
                <w:bCs/>
                <w:color w:val="000000"/>
                <w:sz w:val="21"/>
                <w:szCs w:val="21"/>
                <w:lang w:bidi="ar"/>
              </w:rPr>
              <w:t>18</w:t>
            </w:r>
          </w:p>
        </w:tc>
        <w:tc>
          <w:tcPr>
            <w:tcW w:w="5148"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tabs>
                <w:tab w:val="left" w:pos="105"/>
              </w:tabs>
              <w:kinsoku w:val="0"/>
              <w:overflowPunct w:val="0"/>
              <w:autoSpaceDE w:val="0"/>
              <w:autoSpaceDN w:val="0"/>
              <w:jc w:val="center"/>
              <w:textAlignment w:val="top"/>
              <w:rPr>
                <w:rFonts w:ascii="宋体" w:hAnsi="宋体" w:eastAsia="宋体" w:cs="宋体"/>
                <w:b/>
                <w:bCs/>
                <w:color w:val="000000"/>
                <w:sz w:val="21"/>
                <w:szCs w:val="21"/>
                <w:lang w:bidi="ar"/>
              </w:rPr>
            </w:pPr>
            <w:r>
              <w:rPr>
                <w:rFonts w:hint="eastAsia" w:ascii="宋体" w:hAnsi="宋体" w:eastAsia="宋体" w:cs="宋体"/>
                <w:b/>
                <w:bCs/>
                <w:color w:val="000000"/>
                <w:sz w:val="21"/>
                <w:szCs w:val="21"/>
                <w:lang w:bidi="ar"/>
              </w:rPr>
              <w:t>合计不少于28人</w:t>
            </w:r>
          </w:p>
        </w:tc>
      </w:tr>
    </w:tbl>
    <w:p>
      <w:pPr>
        <w:rPr>
          <w:rFonts w:ascii="Calibri Light" w:hAnsi="Calibri Light" w:eastAsia="宋体"/>
          <w:b/>
          <w:bCs/>
          <w:kern w:val="30"/>
          <w:szCs w:val="26"/>
        </w:rPr>
      </w:pPr>
      <w:r>
        <w:br w:type="page"/>
      </w:r>
    </w:p>
    <w:p>
      <w:pPr>
        <w:pStyle w:val="4"/>
      </w:pPr>
      <w:r>
        <w:rPr>
          <w:rFonts w:hint="eastAsia"/>
        </w:rPr>
        <w:t>（三）设备配置需求</w:t>
      </w:r>
    </w:p>
    <w:p>
      <w:pPr>
        <w:pStyle w:val="83"/>
        <w:ind w:firstLine="480"/>
        <w:rPr>
          <w:rFonts w:hAnsi="华文仿宋"/>
        </w:rPr>
      </w:pPr>
      <w:r>
        <w:rPr>
          <w:rFonts w:hint="eastAsia" w:hAnsi="华文仿宋"/>
        </w:rPr>
        <w:t>本次服务中涉及所需工具及耗材由投标人负责提供，所需费用均列入投标报价内，若漏报视为让利，采购人不予承担。（应包含并不仅仅限于下列设备，具体设备数量需符合项目实际运作）</w:t>
      </w:r>
    </w:p>
    <w:tbl>
      <w:tblPr>
        <w:tblStyle w:val="26"/>
        <w:tblW w:w="5029" w:type="pct"/>
        <w:tblInd w:w="0" w:type="dxa"/>
        <w:tblLayout w:type="fixed"/>
        <w:tblCellMar>
          <w:top w:w="0" w:type="dxa"/>
          <w:left w:w="108" w:type="dxa"/>
          <w:bottom w:w="0" w:type="dxa"/>
          <w:right w:w="108" w:type="dxa"/>
        </w:tblCellMar>
      </w:tblPr>
      <w:tblGrid>
        <w:gridCol w:w="576"/>
        <w:gridCol w:w="725"/>
        <w:gridCol w:w="2453"/>
        <w:gridCol w:w="722"/>
        <w:gridCol w:w="4637"/>
      </w:tblGrid>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序号</w:t>
            </w:r>
          </w:p>
        </w:tc>
        <w:tc>
          <w:tcPr>
            <w:tcW w:w="3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设备类型</w:t>
            </w: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设备名称</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数量</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技术参数</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398"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环境保洁</w:t>
            </w:r>
          </w:p>
        </w:tc>
        <w:tc>
          <w:tcPr>
            <w:tcW w:w="1345" w:type="pct"/>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高压清洗机</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知名品牌</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后推式洗地机</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知名品牌</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小型洗地机</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知名品牌</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水洗机/洗衣机</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40公斤级以上，知名品牌</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烘干机</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40公斤级以上，知名品牌</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石面处理机</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知名品牌</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三速吹风机</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知名品牌</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多用途推车</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知名品牌</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9</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清洁手推车</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按需</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知名品牌</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大功率吸尘吸水机</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知名品牌</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防滑警示牌</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按需</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知名品牌</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FFFFFF"/>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活动式围障</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按需</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知名品牌</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13</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榨水车</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知名品牌</w:t>
            </w:r>
          </w:p>
        </w:tc>
      </w:tr>
      <w:tr>
        <w:tblPrEx>
          <w:tblCellMar>
            <w:top w:w="0" w:type="dxa"/>
            <w:left w:w="108" w:type="dxa"/>
            <w:bottom w:w="0" w:type="dxa"/>
            <w:right w:w="108" w:type="dxa"/>
          </w:tblCellMar>
        </w:tblPrEx>
        <w:trPr>
          <w:trHeight w:val="640"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14</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扶梯清洗机</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工作宽度：43厘米；速度：150转/分钟；功率消耗：1100瓦；电压：220伏；噪音：60分贝以下</w:t>
            </w:r>
          </w:p>
        </w:tc>
      </w:tr>
      <w:tr>
        <w:tblPrEx>
          <w:tblCellMar>
            <w:top w:w="0" w:type="dxa"/>
            <w:left w:w="108" w:type="dxa"/>
            <w:bottom w:w="0" w:type="dxa"/>
            <w:right w:w="108" w:type="dxa"/>
          </w:tblCellMar>
        </w:tblPrEx>
        <w:trPr>
          <w:trHeight w:val="640"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除雪机</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大功率；滚刷不低于直径：50CM；清洁不低于宽度：150CM；油箱不低于容积：6.5L</w:t>
            </w:r>
          </w:p>
        </w:tc>
      </w:tr>
      <w:tr>
        <w:tblPrEx>
          <w:tblCellMar>
            <w:top w:w="0" w:type="dxa"/>
            <w:left w:w="108" w:type="dxa"/>
            <w:bottom w:w="0" w:type="dxa"/>
            <w:right w:w="108" w:type="dxa"/>
          </w:tblCellMar>
        </w:tblPrEx>
        <w:trPr>
          <w:trHeight w:val="640"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lang w:bidi="ar"/>
              </w:rPr>
            </w:pPr>
            <w:r>
              <w:rPr>
                <w:rFonts w:hint="eastAsia" w:ascii="宋体" w:hAnsi="宋体" w:eastAsia="宋体" w:cs="宋体"/>
                <w:color w:val="000000"/>
                <w:sz w:val="21"/>
                <w:szCs w:val="21"/>
                <w:lang w:bidi="ar"/>
              </w:rPr>
              <w:t>16</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lang w:bidi="ar"/>
              </w:rPr>
            </w:pPr>
            <w:r>
              <w:rPr>
                <w:rFonts w:hint="eastAsia" w:ascii="宋体" w:hAnsi="宋体" w:eastAsia="宋体" w:cs="宋体"/>
                <w:color w:val="000000"/>
                <w:sz w:val="21"/>
                <w:szCs w:val="21"/>
                <w:lang w:bidi="ar"/>
              </w:rPr>
              <w:t>洒水车</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lang w:bidi="ar"/>
              </w:rPr>
            </w:pPr>
            <w:r>
              <w:rPr>
                <w:rFonts w:hint="eastAsia" w:ascii="宋体" w:hAnsi="宋体" w:eastAsia="宋体" w:cs="宋体"/>
                <w:color w:val="000000"/>
                <w:sz w:val="21"/>
                <w:szCs w:val="21"/>
                <w:lang w:bidi="ar"/>
              </w:rPr>
              <w:t>1</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lang w:bidi="ar"/>
              </w:rPr>
            </w:pPr>
            <w:r>
              <w:rPr>
                <w:rFonts w:hint="eastAsia" w:ascii="宋体" w:hAnsi="宋体" w:eastAsia="宋体" w:cs="宋体"/>
                <w:color w:val="000000"/>
                <w:sz w:val="21"/>
                <w:szCs w:val="21"/>
                <w:lang w:bidi="ar"/>
              </w:rPr>
              <w:t>满足医院内道路洒水需求</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17</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智能医废收集车</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智能设备可实现数据记录上传、打印</w:t>
            </w:r>
          </w:p>
        </w:tc>
      </w:tr>
      <w:tr>
        <w:tblPrEx>
          <w:tblCellMar>
            <w:top w:w="0" w:type="dxa"/>
            <w:left w:w="108" w:type="dxa"/>
            <w:bottom w:w="0" w:type="dxa"/>
            <w:right w:w="108" w:type="dxa"/>
          </w:tblCellMar>
        </w:tblPrEx>
        <w:trPr>
          <w:trHeight w:val="640"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18</w:t>
            </w:r>
          </w:p>
        </w:tc>
        <w:tc>
          <w:tcPr>
            <w:tcW w:w="398"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绿化服务</w:t>
            </w:r>
          </w:p>
        </w:tc>
        <w:tc>
          <w:tcPr>
            <w:tcW w:w="1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剪刀（手剪）、高枝剪</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按需</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适用于修剪小枝条、花朵和细小植物，参照博世/BOSCH、牧田/MAKITA、科麦斯/KOMAX等品牌</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19</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修枝锯</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按需</w:t>
            </w:r>
          </w:p>
        </w:tc>
        <w:tc>
          <w:tcPr>
            <w:tcW w:w="25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用于锯断直径较大的树枝</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20</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锄头、铲子</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按需</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用于除草和翻土，有的锄头带有尖端，方便切割土块</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21</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割草机</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按需</w:t>
            </w:r>
          </w:p>
        </w:tc>
        <w:tc>
          <w:tcPr>
            <w:tcW w:w="25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用于修剪大片草坪，有手推式和自走式等</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22</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灌溉工具、施肥工具</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按需</w:t>
            </w:r>
          </w:p>
        </w:tc>
        <w:tc>
          <w:tcPr>
            <w:tcW w:w="25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如水管、喷头施肥器、土壤测试仪等</w:t>
            </w:r>
          </w:p>
        </w:tc>
      </w:tr>
      <w:tr>
        <w:tblPrEx>
          <w:tblCellMar>
            <w:top w:w="0" w:type="dxa"/>
            <w:left w:w="108" w:type="dxa"/>
            <w:bottom w:w="0" w:type="dxa"/>
            <w:right w:w="108" w:type="dxa"/>
          </w:tblCellMar>
        </w:tblPrEx>
        <w:trPr>
          <w:trHeight w:val="640"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23</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手套和安全工具</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按需</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进行园林修剪工作时，合适的手套和安全装备可以保护双手和身体免受伤害。</w:t>
            </w:r>
          </w:p>
        </w:tc>
      </w:tr>
      <w:tr>
        <w:tblPrEx>
          <w:tblCellMar>
            <w:top w:w="0" w:type="dxa"/>
            <w:left w:w="108" w:type="dxa"/>
            <w:bottom w:w="0" w:type="dxa"/>
            <w:right w:w="108" w:type="dxa"/>
          </w:tblCellMar>
        </w:tblPrEx>
        <w:trPr>
          <w:trHeight w:val="1260"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24</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相关药剂</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按需</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星阔(恶阔净)、星助、蚜虱拦殆(瑞刺)、御葆(优乐净)、御翠、御锈、麦盛、镢茅、速生根、傻根、暖冬(防冻液)、蒸腾抑制剂、(广菌灵)御卫、御康、御丰、御胶、狂杀蚧、搜介、坪绿美、瑞满、瑞鞘等相关药剂</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25</w:t>
            </w:r>
          </w:p>
        </w:tc>
        <w:tc>
          <w:tcPr>
            <w:tcW w:w="398"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中央运送</w:t>
            </w:r>
          </w:p>
        </w:tc>
        <w:tc>
          <w:tcPr>
            <w:tcW w:w="1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标本箱</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标本运送</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26</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手持通讯设备</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可对标本进行扫码上传平台，可扫定位码，可实时通讯</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27</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遮光厢式货车</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可实现南北院区间的药品运送</w:t>
            </w:r>
          </w:p>
        </w:tc>
      </w:tr>
      <w:tr>
        <w:tblPrEx>
          <w:tblCellMar>
            <w:top w:w="0" w:type="dxa"/>
            <w:left w:w="108" w:type="dxa"/>
            <w:bottom w:w="0" w:type="dxa"/>
            <w:right w:w="108" w:type="dxa"/>
          </w:tblCellMar>
        </w:tblPrEx>
        <w:trPr>
          <w:trHeight w:val="940"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28</w:t>
            </w:r>
          </w:p>
        </w:tc>
        <w:tc>
          <w:tcPr>
            <w:tcW w:w="398"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秩序维护</w:t>
            </w: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微型消防专用柜</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符合现场物品配置要求；柜内物品包括但不限于：消防服套装6套、应急照明4个、消防包6套、消防斧2把、灭火球5个、防烟面具8套；</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29</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对讲机</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18</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工作频率800MHZ</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30</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巡逻车</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电瓶驾驶式，满足现场转运使用需求。</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31</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防刺服</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8套</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符合《GA68-2019警用防刺服》中防刺服的有关规定产品</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32</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防爆头盔</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8个</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符合《GA294-2012防暴头盔》中防暴头盔的有关规定盘品</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33</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防刺手套</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8副</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防割级别：5级；耐磨级别：3级；</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34</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警用甩棍</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8个</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按压弹射型，304不锈钢材质，重量不低于350g。</w:t>
            </w:r>
          </w:p>
        </w:tc>
      </w:tr>
      <w:tr>
        <w:tblPrEx>
          <w:tblCellMar>
            <w:top w:w="0" w:type="dxa"/>
            <w:left w:w="108" w:type="dxa"/>
            <w:bottom w:w="0" w:type="dxa"/>
            <w:right w:w="108" w:type="dxa"/>
          </w:tblCellMar>
        </w:tblPrEx>
        <w:trPr>
          <w:trHeight w:val="640"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35</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警用防爆盾牌（小）</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8个</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符合《GA422-2019防暴盾牌》中防暴盾牌的有关规定产品</w:t>
            </w:r>
          </w:p>
        </w:tc>
      </w:tr>
      <w:tr>
        <w:tblPrEx>
          <w:tblCellMar>
            <w:top w:w="0" w:type="dxa"/>
            <w:left w:w="108" w:type="dxa"/>
            <w:bottom w:w="0" w:type="dxa"/>
            <w:right w:w="108" w:type="dxa"/>
          </w:tblCellMar>
        </w:tblPrEx>
        <w:trPr>
          <w:trHeight w:val="640"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36</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警用金属防爆盾牌（大）</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6个</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符合《GA422-2019警用防暴盾牌》中防暴盾牌的有关规定产品</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37</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警用钢叉</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8个</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抗压100kg以上，304不锈钢材质，厚度不低于1.2MM。</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38</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警用防爆长棍</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8个</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优质PC材质，长度不低于160CM。重量1kg以上</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39</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警用肩灯</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8个</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电池500MAH以上，LED，防水性能收到：IPX4</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40</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防爆围栏</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1组</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放置监控室内。</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41</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强光手电</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10个</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铝合金材质，射程150米以上，电量28000MAH</w:t>
            </w:r>
          </w:p>
        </w:tc>
      </w:tr>
      <w:tr>
        <w:tblPrEx>
          <w:tblCellMar>
            <w:top w:w="0" w:type="dxa"/>
            <w:left w:w="108" w:type="dxa"/>
            <w:bottom w:w="0" w:type="dxa"/>
            <w:right w:w="108" w:type="dxa"/>
          </w:tblCellMar>
        </w:tblPrEx>
        <w:trPr>
          <w:trHeight w:val="640"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42</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警用装备器材架</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4组</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门诊、急诊、住院部入口处、监控室（安检机位置）需要各放置一套（包括两个钢叉、两个大盾牌、两个头盔、警棍）</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43</w:t>
            </w:r>
          </w:p>
        </w:tc>
        <w:tc>
          <w:tcPr>
            <w:tcW w:w="398"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设施设备</w:t>
            </w: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木/塑料锯</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标准锯 Criterion</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44</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电工刀</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45</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工艺刀</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9mm</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46</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通用剪</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254mm/10in</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47</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铜棒</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250X40</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48</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撬棒</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1100X25</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49</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圆头锤</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 0Z/2309</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50</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铜和皮革锤</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3.5 Ib</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51</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套筒扳手</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32件Pieces</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52</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L形六角扳手套件</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公制Metric</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53</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磷化可调节扳手</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4in</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54</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8in</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55</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12in</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56</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组合套件扳手</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公制14（10-32）</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57</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小型组合套件扳手</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公制10（4-11）</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58</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绝缘螺丝刀</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No.1x100mm</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59</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No.2x125mm</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60</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绝缘螺丝（平头）</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3.0x100mm</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61</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4.0x120mm</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62</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螺丝刀</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No.1x75mm</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63</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No.2x100mm</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64</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No.2x200mm</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65</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螺丝（平头）</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3.5x75mm</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66</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4.0x100mm</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67</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5.5x200mm</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68</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针形锉刀套件</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69</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锉刀套件</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70</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卡簧钳</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外直形</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71</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外弯形</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72</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内直形</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73</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内弯形</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74</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绝缘尖嘴钳</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127mm</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75</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绝缘钢丝钳</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180mm</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76</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剥线钳</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 in 1 七合一</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77</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电工剪</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78</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钢结构弓锯</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79</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延长卷线轴</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220V.25M</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80</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380V.25M</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81</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充电手灯</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82</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备用电池</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83</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电池手电筒</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橡胶</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84</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管子钳</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200mm</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85</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250mm</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86</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450mm</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87</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铜榔头</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3.5 lb</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88</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电烙铁</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800 W</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89</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拉拔器</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O:120 H:60</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90</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O:150 H:80</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91</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O:200 H:140</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92</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麻花钻头</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4 - 12 mm</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93</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绝缘压接工具</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94</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游标卡尺</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95</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绳子</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96</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刷子</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97</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细铜刷</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98</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拖线板</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99</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飞扳</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271B</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100</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油壶</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200ml;400ml</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101</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合金钢冷凿套件</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102</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工具包</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4.9kg</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103</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卷尺</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5m</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104</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塞尺</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105</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葫芦</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1.0吨</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106</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2.0吨</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107</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钢丝绳</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0.—2.0吨</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108</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U形卸扣</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M6-M16</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109</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耳环螺栓</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M6-M20</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110</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弯管机</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微型</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111</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电笔</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AC220V</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112</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快作用切管刀</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113</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喷枪</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114</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活动梯子</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6级</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115</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绝缘螺丝刀</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套件10 kv</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116</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多用途冲击钻头</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11件套pieces,—13mm</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117</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拔钉羊角锤</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20 oz</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118</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台钳</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119</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砂轮</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120</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手枪疏通机</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121</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管道疏通机</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122</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角磨机</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123</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电焊机</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250V</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124</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380V</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125</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空调、焊工工具</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126</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木工工具</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127</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泥水匠工具</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128</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油漆工工具</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129</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测温仪</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130</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万用表</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131</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兆欧表</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132</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钳型表</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133</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热风枪</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134</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电钻</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135</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牛油枪</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KH-1100</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136</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四轮小推车</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137</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噪声计</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138</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风速仪</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139</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静电电压测试仪</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FMX-003</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140</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表面电阻测试仪</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141</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照度计</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142</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两速双向冲击钻</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240V</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143</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工具箱</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144</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工具柜</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145</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工作台</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2542" w:type="pct"/>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146</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货架</w:t>
            </w:r>
          </w:p>
        </w:tc>
        <w:tc>
          <w:tcPr>
            <w:tcW w:w="39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147</w:t>
            </w:r>
          </w:p>
        </w:tc>
        <w:tc>
          <w:tcPr>
            <w:tcW w:w="398"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办公设备</w:t>
            </w:r>
          </w:p>
        </w:tc>
        <w:tc>
          <w:tcPr>
            <w:tcW w:w="1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办公电脑</w:t>
            </w:r>
          </w:p>
        </w:tc>
        <w:tc>
          <w:tcPr>
            <w:tcW w:w="39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若干</w:t>
            </w:r>
          </w:p>
        </w:tc>
        <w:tc>
          <w:tcPr>
            <w:tcW w:w="2542" w:type="pct"/>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投标人办公使用</w:t>
            </w: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148</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展示大屏幕</w:t>
            </w:r>
          </w:p>
        </w:tc>
        <w:tc>
          <w:tcPr>
            <w:tcW w:w="39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254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trPr>
        <w:tc>
          <w:tcPr>
            <w:tcW w:w="31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149</w:t>
            </w:r>
          </w:p>
        </w:tc>
        <w:tc>
          <w:tcPr>
            <w:tcW w:w="398"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rPr>
                <w:rFonts w:ascii="宋体" w:hAnsi="宋体" w:eastAsia="宋体" w:cs="宋体"/>
                <w:color w:val="000000"/>
                <w:sz w:val="21"/>
                <w:szCs w:val="21"/>
              </w:rPr>
            </w:pPr>
          </w:p>
        </w:tc>
        <w:tc>
          <w:tcPr>
            <w:tcW w:w="134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打印机</w:t>
            </w:r>
          </w:p>
        </w:tc>
        <w:tc>
          <w:tcPr>
            <w:tcW w:w="39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2542" w:type="pct"/>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rPr>
                <w:rFonts w:ascii="宋体" w:hAnsi="宋体" w:eastAsia="宋体" w:cs="宋体"/>
                <w:color w:val="000000"/>
                <w:sz w:val="21"/>
                <w:szCs w:val="21"/>
              </w:rPr>
            </w:pPr>
          </w:p>
        </w:tc>
      </w:tr>
    </w:tbl>
    <w:p>
      <w:pPr>
        <w:pStyle w:val="3"/>
        <w:jc w:val="both"/>
      </w:pPr>
      <w:r>
        <w:rPr>
          <w:rFonts w:hint="eastAsia"/>
        </w:rPr>
        <w:t>五、重大活动和</w:t>
      </w:r>
      <w:r>
        <w:t>突发应急事件处理</w:t>
      </w:r>
      <w:r>
        <w:rPr>
          <w:rFonts w:hint="eastAsia"/>
        </w:rPr>
        <w:t>方案</w:t>
      </w:r>
    </w:p>
    <w:p>
      <w:pPr>
        <w:ind w:firstLine="480" w:firstLineChars="200"/>
        <w:jc w:val="both"/>
        <w:rPr>
          <w:rFonts w:ascii="宋体" w:hAnsi="宋体" w:eastAsia="宋体" w:cs="宋体"/>
        </w:rPr>
      </w:pPr>
      <w:r>
        <w:rPr>
          <w:rFonts w:hint="eastAsia" w:ascii="宋体" w:hAnsi="宋体" w:eastAsia="宋体" w:cs="宋体"/>
        </w:rPr>
        <w:t>1、提供医院各类重大活动（如学术交流会议、手术演示会议、年终总结会议等）的支撑和保障措施方案。</w:t>
      </w:r>
    </w:p>
    <w:p>
      <w:pPr>
        <w:ind w:firstLine="480" w:firstLineChars="200"/>
        <w:jc w:val="both"/>
        <w:rPr>
          <w:rFonts w:ascii="宋体" w:hAnsi="宋体" w:eastAsia="宋体" w:cs="宋体"/>
        </w:rPr>
      </w:pPr>
      <w:r>
        <w:rPr>
          <w:rFonts w:hint="eastAsia" w:ascii="宋体" w:hAnsi="宋体" w:eastAsia="宋体" w:cs="宋体"/>
        </w:rPr>
        <w:t>2、提供发生突发应急事件（如大面积停水、大面积停电、公共卫生事件等）作为物业服务公司的处理措施和方案。</w:t>
      </w:r>
    </w:p>
    <w:p>
      <w:pPr>
        <w:pStyle w:val="3"/>
      </w:pPr>
      <w:r>
        <w:rPr>
          <w:rFonts w:hint="eastAsia"/>
        </w:rPr>
        <w:t>六、一站式服务中心内容及要求</w:t>
      </w:r>
    </w:p>
    <w:p>
      <w:pPr>
        <w:ind w:firstLine="480" w:firstLineChars="200"/>
        <w:jc w:val="both"/>
        <w:rPr>
          <w:rFonts w:ascii="宋体" w:hAnsi="宋体" w:eastAsia="宋体" w:cs="宋体"/>
        </w:rPr>
      </w:pPr>
      <w:r>
        <w:rPr>
          <w:rFonts w:hint="eastAsia" w:ascii="宋体" w:hAnsi="宋体" w:eastAsia="宋体" w:cs="宋体"/>
        </w:rPr>
        <w:t>1、一站式服务中心人员负责全年全天候24小时值守，负责本项目所有服务需求电话接听、指令的收集、调度、协调、反馈，并对派出去的工作任务进行实时跟踪以确保工作任务及时完成。</w:t>
      </w:r>
    </w:p>
    <w:p>
      <w:pPr>
        <w:ind w:firstLine="480" w:firstLineChars="200"/>
        <w:jc w:val="both"/>
        <w:rPr>
          <w:rFonts w:ascii="宋体" w:hAnsi="宋体" w:eastAsia="宋体" w:cs="宋体"/>
        </w:rPr>
      </w:pPr>
      <w:r>
        <w:rPr>
          <w:rFonts w:hint="eastAsia" w:ascii="宋体" w:hAnsi="宋体" w:eastAsia="宋体" w:cs="宋体"/>
        </w:rPr>
        <w:t>2、每月、季度、年对工作信息进行分类汇总分析，提出存在问题的整改改进措施，并形成书面报告提交医院监管科室。</w:t>
      </w:r>
    </w:p>
    <w:p>
      <w:pPr>
        <w:ind w:firstLine="480" w:firstLineChars="200"/>
        <w:jc w:val="both"/>
        <w:rPr>
          <w:rFonts w:ascii="宋体" w:hAnsi="宋体" w:eastAsia="宋体" w:cs="宋体"/>
        </w:rPr>
      </w:pPr>
      <w:r>
        <w:rPr>
          <w:rFonts w:hint="eastAsia" w:ascii="宋体" w:hAnsi="宋体" w:eastAsia="宋体" w:cs="宋体"/>
        </w:rPr>
        <w:t>3、一站式服务中心应自行配置所有能满足工作需要的物资和人员。包括但不限于具备信息管理系统的电脑/手机等终端、固定电话、显示屏、装饰装修、门牌标识、办公家具设备、工作人员等。</w:t>
      </w:r>
    </w:p>
    <w:p>
      <w:pPr>
        <w:ind w:firstLine="480" w:firstLineChars="200"/>
        <w:jc w:val="both"/>
        <w:rPr>
          <w:rFonts w:ascii="宋体" w:hAnsi="宋体" w:eastAsia="宋体" w:cs="宋体"/>
        </w:rPr>
      </w:pPr>
      <w:r>
        <w:rPr>
          <w:rFonts w:hint="eastAsia" w:ascii="宋体" w:hAnsi="宋体" w:eastAsia="宋体" w:cs="宋体"/>
        </w:rPr>
        <w:t>4、中标方投入一站式信息化管理系统，包括环境保洁服务信息模块（医疗废弃物信息管理、与环境相关智慧管理模块）设施设备运行与维护信息模块、院内秩序维护服务信息模块、中央运送服务信息模块，并实现一院三区的管理（覆盖其他两个院区使用），同时确保数据留存本地化，在服务期满后能够顺利移交给后续服务商。</w:t>
      </w:r>
    </w:p>
    <w:p>
      <w:pPr>
        <w:ind w:firstLine="480" w:firstLineChars="200"/>
        <w:jc w:val="both"/>
        <w:rPr>
          <w:rFonts w:ascii="宋体" w:hAnsi="宋体" w:eastAsia="宋体" w:cs="宋体"/>
        </w:rPr>
      </w:pPr>
      <w:r>
        <w:rPr>
          <w:rFonts w:hint="eastAsia" w:ascii="宋体" w:hAnsi="宋体" w:eastAsia="宋体" w:cs="宋体"/>
        </w:rPr>
        <w:t>5、在服务期限内，因物业人员引发的各类安全事故由物业公司承担全部责任和赔偿。</w:t>
      </w:r>
    </w:p>
    <w:p>
      <w:pPr>
        <w:pStyle w:val="3"/>
      </w:pPr>
      <w:r>
        <w:rPr>
          <w:rFonts w:hint="eastAsia"/>
        </w:rPr>
        <w:t>七、考核</w:t>
      </w:r>
      <w:r>
        <w:t>要求</w:t>
      </w:r>
    </w:p>
    <w:p>
      <w:pPr>
        <w:pStyle w:val="4"/>
        <w:rPr>
          <w:rFonts w:asciiTheme="minorHAnsi" w:hAnsiTheme="minorHAnsi" w:eastAsiaTheme="minorEastAsia"/>
          <w:szCs w:val="24"/>
        </w:rPr>
      </w:pPr>
      <w:r>
        <w:rPr>
          <w:rFonts w:hint="eastAsia"/>
        </w:rPr>
        <w:t>（一）环境维护服务考核标准</w:t>
      </w:r>
    </w:p>
    <w:tbl>
      <w:tblPr>
        <w:tblStyle w:val="26"/>
        <w:tblW w:w="4982" w:type="pct"/>
        <w:jc w:val="center"/>
        <w:tblLayout w:type="autofit"/>
        <w:tblCellMar>
          <w:top w:w="0" w:type="dxa"/>
          <w:left w:w="108" w:type="dxa"/>
          <w:bottom w:w="0" w:type="dxa"/>
          <w:right w:w="108" w:type="dxa"/>
        </w:tblCellMar>
      </w:tblPr>
      <w:tblGrid>
        <w:gridCol w:w="624"/>
        <w:gridCol w:w="923"/>
        <w:gridCol w:w="4510"/>
        <w:gridCol w:w="2970"/>
      </w:tblGrid>
      <w:tr>
        <w:tblPrEx>
          <w:tblCellMar>
            <w:top w:w="0" w:type="dxa"/>
            <w:left w:w="108" w:type="dxa"/>
            <w:bottom w:w="0" w:type="dxa"/>
            <w:right w:w="108" w:type="dxa"/>
          </w:tblCellMar>
        </w:tblPrEx>
        <w:trPr>
          <w:trHeight w:val="336" w:hRule="atLeast"/>
          <w:jc w:val="center"/>
        </w:trPr>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color w:val="000000"/>
                <w:sz w:val="21"/>
                <w:szCs w:val="21"/>
              </w:rPr>
            </w:pPr>
            <w:bookmarkStart w:id="16" w:name="_Toc320645896"/>
            <w:r>
              <w:rPr>
                <w:rFonts w:hint="eastAsia" w:ascii="宋体" w:hAnsi="宋体" w:eastAsia="宋体" w:cs="宋体"/>
                <w:b/>
                <w:bCs/>
                <w:color w:val="000000"/>
                <w:sz w:val="21"/>
                <w:szCs w:val="21"/>
                <w:lang w:bidi="ar"/>
              </w:rPr>
              <w:t>序号</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分值</w:t>
            </w: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考核内容</w:t>
            </w:r>
          </w:p>
        </w:tc>
        <w:tc>
          <w:tcPr>
            <w:tcW w:w="16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评分标准</w:t>
            </w:r>
          </w:p>
        </w:tc>
      </w:tr>
      <w:tr>
        <w:tblPrEx>
          <w:tblCellMar>
            <w:top w:w="0" w:type="dxa"/>
            <w:left w:w="108" w:type="dxa"/>
            <w:bottom w:w="0" w:type="dxa"/>
            <w:right w:w="108" w:type="dxa"/>
          </w:tblCellMar>
        </w:tblPrEx>
        <w:trPr>
          <w:trHeight w:val="640" w:hRule="atLeast"/>
          <w:jc w:val="center"/>
        </w:trPr>
        <w:tc>
          <w:tcPr>
            <w:tcW w:w="34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5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Style w:val="107"/>
                <w:rFonts w:hint="default" w:ascii="宋体" w:hAnsi="宋体" w:eastAsia="宋体" w:cs="宋体"/>
                <w:lang w:bidi="ar"/>
              </w:rPr>
              <w:t>5分</w:t>
            </w: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1、保洁人员足额，执行保洁时间到位。</w:t>
            </w:r>
          </w:p>
        </w:tc>
        <w:tc>
          <w:tcPr>
            <w:tcW w:w="1645"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1、不足额一人扣1分，在规定时间内无人保洁，一次扣1分。</w:t>
            </w:r>
          </w:p>
        </w:tc>
      </w:tr>
      <w:tr>
        <w:tblPrEx>
          <w:tblCellMar>
            <w:top w:w="0" w:type="dxa"/>
            <w:left w:w="108" w:type="dxa"/>
            <w:bottom w:w="0" w:type="dxa"/>
            <w:right w:w="108" w:type="dxa"/>
          </w:tblCellMar>
        </w:tblPrEx>
        <w:trPr>
          <w:trHeight w:val="640" w:hRule="atLeast"/>
          <w:jc w:val="center"/>
        </w:trPr>
        <w:tc>
          <w:tcPr>
            <w:tcW w:w="34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5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2、在规定服务时间内全体保洁人员着装统一，佩戴胸卡，按切实可行的计划流程进行保洁。</w:t>
            </w:r>
          </w:p>
        </w:tc>
        <w:tc>
          <w:tcPr>
            <w:tcW w:w="1645"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2、未按规定着装、佩戴胸卡，一次扣0.5分。</w:t>
            </w:r>
          </w:p>
        </w:tc>
      </w:tr>
      <w:tr>
        <w:tblPrEx>
          <w:tblCellMar>
            <w:top w:w="0" w:type="dxa"/>
            <w:left w:w="108" w:type="dxa"/>
            <w:bottom w:w="0" w:type="dxa"/>
            <w:right w:w="108" w:type="dxa"/>
          </w:tblCellMar>
        </w:tblPrEx>
        <w:trPr>
          <w:trHeight w:val="940" w:hRule="atLeast"/>
          <w:jc w:val="center"/>
        </w:trPr>
        <w:tc>
          <w:tcPr>
            <w:tcW w:w="34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5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3、保洁工作有计划流程，保洁设备、工具、用品、药剂齐全。公司根据医院工作性质制定工作流程。</w:t>
            </w:r>
          </w:p>
        </w:tc>
        <w:tc>
          <w:tcPr>
            <w:tcW w:w="1645"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3、院方人员检查发现或保洁员反映设备不足一次扣0.5分，未制定工作流程扣1分，未按流程工作一次扣0.5分</w:t>
            </w:r>
          </w:p>
        </w:tc>
      </w:tr>
      <w:tr>
        <w:tblPrEx>
          <w:tblCellMar>
            <w:top w:w="0" w:type="dxa"/>
            <w:left w:w="108" w:type="dxa"/>
            <w:bottom w:w="0" w:type="dxa"/>
            <w:right w:w="108" w:type="dxa"/>
          </w:tblCellMar>
        </w:tblPrEx>
        <w:trPr>
          <w:trHeight w:val="640" w:hRule="atLeast"/>
          <w:jc w:val="center"/>
        </w:trPr>
        <w:tc>
          <w:tcPr>
            <w:tcW w:w="34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5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Style w:val="107"/>
                <w:rFonts w:hint="default" w:ascii="宋体" w:hAnsi="宋体" w:eastAsia="宋体" w:cs="宋体"/>
                <w:lang w:bidi="ar"/>
              </w:rPr>
              <w:t>5分</w:t>
            </w: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4、每天按时完成并认真做好床单元日常卫生，并随时做好环境保洁；管辖区内无卫生死角。</w:t>
            </w:r>
          </w:p>
        </w:tc>
        <w:tc>
          <w:tcPr>
            <w:tcW w:w="164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未完成终末消毒，一次扣2分，其它酌情扣分。</w:t>
            </w:r>
          </w:p>
        </w:tc>
      </w:tr>
      <w:tr>
        <w:tblPrEx>
          <w:tblCellMar>
            <w:top w:w="0" w:type="dxa"/>
            <w:left w:w="108" w:type="dxa"/>
            <w:bottom w:w="0" w:type="dxa"/>
            <w:right w:w="108" w:type="dxa"/>
          </w:tblCellMar>
        </w:tblPrEx>
        <w:trPr>
          <w:trHeight w:val="640" w:hRule="atLeast"/>
          <w:jc w:val="center"/>
        </w:trPr>
        <w:tc>
          <w:tcPr>
            <w:tcW w:w="34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5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5、床单元卫生应使用有效含氯效消毒剂消毒后的毛巾擦拭。做到一床一巾再消毒。</w:t>
            </w:r>
          </w:p>
        </w:tc>
        <w:tc>
          <w:tcPr>
            <w:tcW w:w="16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640" w:hRule="atLeast"/>
          <w:jc w:val="center"/>
        </w:trPr>
        <w:tc>
          <w:tcPr>
            <w:tcW w:w="34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5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6、对出院、转科病人及时完成终末消毒，抹布、拖帕专区专用，用后消毒，分区晾晒；处置间清洁整洁、无积水、无杂物废物堆砌。</w:t>
            </w:r>
          </w:p>
        </w:tc>
        <w:tc>
          <w:tcPr>
            <w:tcW w:w="16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1260" w:hRule="atLeast"/>
          <w:jc w:val="center"/>
        </w:trPr>
        <w:tc>
          <w:tcPr>
            <w:tcW w:w="346"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511"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Style w:val="107"/>
                <w:rFonts w:hint="default" w:ascii="宋体" w:hAnsi="宋体" w:eastAsia="宋体" w:cs="宋体"/>
                <w:lang w:bidi="ar"/>
              </w:rPr>
              <w:t>2分</w:t>
            </w: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textAlignment w:val="center"/>
              <w:rPr>
                <w:rFonts w:ascii="宋体" w:hAnsi="宋体" w:eastAsia="宋体" w:cs="宋体"/>
                <w:color w:val="000000"/>
                <w:sz w:val="21"/>
                <w:szCs w:val="21"/>
              </w:rPr>
            </w:pPr>
            <w:r>
              <w:rPr>
                <w:rStyle w:val="107"/>
                <w:rFonts w:hint="default" w:ascii="宋体" w:hAnsi="宋体" w:eastAsia="宋体" w:cs="宋体"/>
                <w:lang w:bidi="ar"/>
              </w:rPr>
              <w:t>7、按要求做好个人防护。清洁消毒时戴防水手套，必要时戴防水袖套、面罩、眼罩。医废暂存地工人工作时应穿防水靴、戴橡胶手套、口罩、帽子。医废回收交接应包括临床科室与保洁员之间，保洁员与医废暂存地之间的交接及记录。</w:t>
            </w:r>
          </w:p>
        </w:tc>
        <w:tc>
          <w:tcPr>
            <w:tcW w:w="1645" w:type="pct"/>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没按要求做到扣1分。</w:t>
            </w:r>
          </w:p>
        </w:tc>
      </w:tr>
      <w:tr>
        <w:tblPrEx>
          <w:tblCellMar>
            <w:top w:w="0" w:type="dxa"/>
            <w:left w:w="108" w:type="dxa"/>
            <w:bottom w:w="0" w:type="dxa"/>
            <w:right w:w="108" w:type="dxa"/>
          </w:tblCellMar>
        </w:tblPrEx>
        <w:trPr>
          <w:trHeight w:val="336" w:hRule="atLeast"/>
          <w:jc w:val="center"/>
        </w:trPr>
        <w:tc>
          <w:tcPr>
            <w:tcW w:w="346"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511"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运送医疗垃圾时不得外撒、外溢。</w:t>
            </w:r>
          </w:p>
        </w:tc>
        <w:tc>
          <w:tcPr>
            <w:tcW w:w="1645" w:type="pct"/>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940" w:hRule="atLeast"/>
          <w:jc w:val="center"/>
        </w:trPr>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Style w:val="107"/>
                <w:rFonts w:hint="default" w:ascii="宋体" w:hAnsi="宋体" w:eastAsia="宋体" w:cs="宋体"/>
                <w:lang w:bidi="ar"/>
              </w:rPr>
              <w:t>6分</w:t>
            </w: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1、地面、走廊、过道、楼梯、阳台整洁、无脏杂物、无污迹；楼内大厅整洁、光亮、无浮尘、无水迹、无污迹。每年两次的地面养护打蜡（地胶根据清洁需要打蜡）。</w:t>
            </w:r>
          </w:p>
        </w:tc>
        <w:tc>
          <w:tcPr>
            <w:tcW w:w="1645"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该区域有烟蒂、纸屑、有呕吐物等脏物，15分钟内无人打扫，一次扣0.5分</w:t>
            </w:r>
          </w:p>
        </w:tc>
      </w:tr>
      <w:tr>
        <w:tblPrEx>
          <w:tblCellMar>
            <w:top w:w="0" w:type="dxa"/>
            <w:left w:w="108" w:type="dxa"/>
            <w:bottom w:w="0" w:type="dxa"/>
            <w:right w:w="108" w:type="dxa"/>
          </w:tblCellMar>
        </w:tblPrEx>
        <w:trPr>
          <w:trHeight w:val="1260" w:hRule="atLeast"/>
          <w:jc w:val="center"/>
        </w:trPr>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lang w:bidi="ar"/>
              </w:rPr>
            </w:pPr>
            <w:r>
              <w:rPr>
                <w:rFonts w:hint="eastAsia" w:ascii="宋体" w:hAnsi="宋体" w:eastAsia="宋体" w:cs="宋体"/>
                <w:color w:val="000000"/>
                <w:sz w:val="21"/>
                <w:szCs w:val="21"/>
                <w:lang w:bidi="ar"/>
              </w:rPr>
              <w:t>5</w:t>
            </w:r>
          </w:p>
          <w:p>
            <w:pPr>
              <w:jc w:val="center"/>
              <w:textAlignment w:val="center"/>
              <w:rPr>
                <w:rFonts w:ascii="宋体" w:hAnsi="宋体" w:eastAsia="宋体" w:cs="宋体"/>
                <w:color w:val="000000"/>
                <w:sz w:val="21"/>
                <w:szCs w:val="21"/>
                <w:lang w:bidi="ar"/>
              </w:rPr>
            </w:pP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Style w:val="107"/>
                <w:rFonts w:hint="default" w:ascii="宋体" w:hAnsi="宋体" w:eastAsia="宋体" w:cs="宋体"/>
                <w:lang w:bidi="ar"/>
              </w:rPr>
              <w:t>4分</w:t>
            </w: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textAlignment w:val="center"/>
              <w:rPr>
                <w:rFonts w:ascii="宋体" w:hAnsi="宋体" w:eastAsia="宋体" w:cs="宋体"/>
                <w:color w:val="000000"/>
                <w:sz w:val="21"/>
                <w:szCs w:val="21"/>
              </w:rPr>
            </w:pPr>
            <w:r>
              <w:rPr>
                <w:rStyle w:val="107"/>
                <w:rFonts w:hint="default" w:ascii="宋体" w:hAnsi="宋体" w:eastAsia="宋体" w:cs="宋体"/>
                <w:lang w:bidi="ar"/>
              </w:rPr>
              <w:t>2、门窗、窗（窗帘由甲方洗涤，乙方负责拆装）、台干净、整洁、无灰尘、无污迹；各玻璃幕、玻璃间格、各种柱身、扶手、栏杆（含木质、金属、不锈钢）、内玻璃窗、镜面等明净、光亮、无积尘、无污迹、无斑点、金属、不锈钢按规定时间上保护剂。</w:t>
            </w:r>
          </w:p>
        </w:tc>
        <w:tc>
          <w:tcPr>
            <w:tcW w:w="1645"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有明显灰尘、污物、脏物，一次扣0.5分</w:t>
            </w:r>
          </w:p>
        </w:tc>
      </w:tr>
      <w:tr>
        <w:tblPrEx>
          <w:tblCellMar>
            <w:top w:w="0" w:type="dxa"/>
            <w:left w:w="108" w:type="dxa"/>
            <w:bottom w:w="0" w:type="dxa"/>
            <w:right w:w="108" w:type="dxa"/>
          </w:tblCellMar>
        </w:tblPrEx>
        <w:trPr>
          <w:trHeight w:val="449" w:hRule="atLeast"/>
          <w:jc w:val="center"/>
        </w:trPr>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Style w:val="107"/>
                <w:rFonts w:hint="default" w:ascii="宋体" w:hAnsi="宋体" w:eastAsia="宋体" w:cs="宋体"/>
                <w:lang w:bidi="ar"/>
              </w:rPr>
              <w:t>4分</w:t>
            </w: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textAlignment w:val="center"/>
              <w:rPr>
                <w:rFonts w:ascii="宋体" w:hAnsi="宋体" w:eastAsia="宋体" w:cs="宋体"/>
                <w:color w:val="000000"/>
                <w:sz w:val="21"/>
                <w:szCs w:val="21"/>
              </w:rPr>
            </w:pPr>
            <w:r>
              <w:rPr>
                <w:rStyle w:val="107"/>
                <w:rFonts w:hint="default" w:ascii="宋体" w:hAnsi="宋体" w:eastAsia="宋体" w:cs="宋体"/>
                <w:lang w:bidi="ar"/>
              </w:rPr>
              <w:t>3、各种室内装饰物、墙上装饰物和各类设施表面（如灯饰、警铃、监视器、火灾报警控制器、风口、指示灯、开关盒、消防栓箱、各种告示牌、指示牌等）干净、无灰尘、无污迹、无蜘蛛网。</w:t>
            </w:r>
          </w:p>
        </w:tc>
        <w:tc>
          <w:tcPr>
            <w:tcW w:w="1645"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有明显灰尘、污物、蜘蛛等脏物，一次扣0.5分</w:t>
            </w:r>
          </w:p>
        </w:tc>
      </w:tr>
      <w:tr>
        <w:tblPrEx>
          <w:tblCellMar>
            <w:top w:w="0" w:type="dxa"/>
            <w:left w:w="108" w:type="dxa"/>
            <w:bottom w:w="0" w:type="dxa"/>
            <w:right w:w="108" w:type="dxa"/>
          </w:tblCellMar>
        </w:tblPrEx>
        <w:trPr>
          <w:trHeight w:val="940" w:hRule="atLeast"/>
          <w:jc w:val="center"/>
        </w:trPr>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Style w:val="107"/>
                <w:rFonts w:hint="default" w:ascii="宋体" w:hAnsi="宋体" w:eastAsia="宋体" w:cs="宋体"/>
                <w:lang w:bidi="ar"/>
              </w:rPr>
              <w:t>7分</w:t>
            </w: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textAlignment w:val="center"/>
              <w:rPr>
                <w:rFonts w:ascii="宋体" w:hAnsi="宋体" w:eastAsia="宋体" w:cs="宋体"/>
                <w:color w:val="000000"/>
                <w:sz w:val="21"/>
                <w:szCs w:val="21"/>
              </w:rPr>
            </w:pPr>
            <w:r>
              <w:rPr>
                <w:rStyle w:val="107"/>
                <w:rFonts w:hint="default" w:ascii="宋体" w:hAnsi="宋体" w:eastAsia="宋体" w:cs="宋体"/>
                <w:lang w:bidi="ar"/>
              </w:rPr>
              <w:t>4、病房地面、床、柜、电视等各类家具、用品干净整洁、无尘、无水；垃圾篮清倒及时，及时更换塑料袋。垃圾桶配置合理，清倒及时、外表干净、无积垢、无臭味；病房门把每日进行消毒。</w:t>
            </w:r>
          </w:p>
        </w:tc>
        <w:tc>
          <w:tcPr>
            <w:tcW w:w="1645"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床等生活用品有灰尘、地面积水20分内无人打扫，垃圾桶配置不足，垃圾桶未按规定时间清洁并积垢，一次扣0.5分，</w:t>
            </w:r>
          </w:p>
        </w:tc>
      </w:tr>
      <w:tr>
        <w:tblPrEx>
          <w:tblCellMar>
            <w:top w:w="0" w:type="dxa"/>
            <w:left w:w="108" w:type="dxa"/>
            <w:bottom w:w="0" w:type="dxa"/>
            <w:right w:w="108" w:type="dxa"/>
          </w:tblCellMar>
        </w:tblPrEx>
        <w:trPr>
          <w:trHeight w:val="940" w:hRule="atLeast"/>
          <w:jc w:val="center"/>
        </w:trPr>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Style w:val="107"/>
                <w:rFonts w:hint="default" w:ascii="宋体" w:hAnsi="宋体" w:eastAsia="宋体" w:cs="宋体"/>
                <w:lang w:bidi="ar"/>
              </w:rPr>
              <w:t>6分</w:t>
            </w: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textAlignment w:val="center"/>
              <w:rPr>
                <w:rFonts w:ascii="宋体" w:hAnsi="宋体" w:eastAsia="宋体" w:cs="宋体"/>
                <w:color w:val="000000"/>
                <w:sz w:val="21"/>
                <w:szCs w:val="21"/>
              </w:rPr>
            </w:pPr>
            <w:r>
              <w:rPr>
                <w:rStyle w:val="107"/>
                <w:rFonts w:hint="default" w:ascii="宋体" w:hAnsi="宋体" w:eastAsia="宋体" w:cs="宋体"/>
                <w:lang w:bidi="ar"/>
              </w:rPr>
              <w:t>5、诊室、检查室、办公室、会议室的办公家具、桌椅等整洁、无浮尘、无污迹，茶杯清洗、消毒到位，纸篓清倒、抹净及时，办公、会议用具、用品和各种设施表面干净、无灰尘、无污迹。</w:t>
            </w:r>
          </w:p>
        </w:tc>
        <w:tc>
          <w:tcPr>
            <w:tcW w:w="1645"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办公家具等有灰尘、纸篓未及时清倒一次扣0.5</w:t>
            </w:r>
          </w:p>
        </w:tc>
      </w:tr>
      <w:tr>
        <w:tblPrEx>
          <w:tblCellMar>
            <w:top w:w="0" w:type="dxa"/>
            <w:left w:w="108" w:type="dxa"/>
            <w:bottom w:w="0" w:type="dxa"/>
            <w:right w:w="108" w:type="dxa"/>
          </w:tblCellMar>
        </w:tblPrEx>
        <w:trPr>
          <w:trHeight w:val="1880" w:hRule="atLeast"/>
          <w:jc w:val="center"/>
        </w:trPr>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9</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Style w:val="107"/>
                <w:rFonts w:hint="default" w:ascii="宋体" w:hAnsi="宋体" w:eastAsia="宋体" w:cs="宋体"/>
                <w:lang w:bidi="ar"/>
              </w:rPr>
              <w:t>8分</w:t>
            </w: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textAlignment w:val="center"/>
              <w:rPr>
                <w:rFonts w:ascii="宋体" w:hAnsi="宋体" w:eastAsia="宋体" w:cs="宋体"/>
                <w:color w:val="000000"/>
                <w:sz w:val="21"/>
                <w:szCs w:val="21"/>
              </w:rPr>
            </w:pPr>
            <w:r>
              <w:rPr>
                <w:rStyle w:val="107"/>
                <w:rFonts w:hint="default" w:ascii="宋体" w:hAnsi="宋体" w:eastAsia="宋体" w:cs="宋体"/>
                <w:lang w:bidi="ar"/>
              </w:rPr>
              <w:t>6、卫生间大小便池、坐便器、拖把池等内外光洁，无污垢、无积尘、无臭味；洗手盆、镜台、镜面内外光洁，无斑点、无积水、无积尘；地面、墙面光洁，无污迹、无脏杂物、无积水、无积尘、无蜘蛛网；门窗、窗台、内玻璃、天花板、隔板、照明灯具、开关盒、开水器、卷纸盒等干净、无灰尘、无污迹；厕纸篓、垃圾桶无陈积物、无臭味，外表干净。香球、卫生纸（行政办公区域）补充及时，地漏畅通。</w:t>
            </w:r>
          </w:p>
        </w:tc>
        <w:tc>
          <w:tcPr>
            <w:tcW w:w="1645"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卫生间未及时冲洗、有异味、有污垢、大小便池不光洁、洗手盆等有灰尘洗漱间地面有积水、有污垢、洗手池有剩菜剩饭等、地漏堵塞等，每样一次扣0.2分。</w:t>
            </w:r>
          </w:p>
        </w:tc>
      </w:tr>
      <w:tr>
        <w:tblPrEx>
          <w:tblCellMar>
            <w:top w:w="0" w:type="dxa"/>
            <w:left w:w="108" w:type="dxa"/>
            <w:bottom w:w="0" w:type="dxa"/>
            <w:right w:w="108" w:type="dxa"/>
          </w:tblCellMar>
        </w:tblPrEx>
        <w:trPr>
          <w:trHeight w:val="1260" w:hRule="atLeast"/>
          <w:jc w:val="center"/>
        </w:trPr>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Style w:val="107"/>
                <w:rFonts w:hint="default" w:ascii="宋体" w:hAnsi="宋体" w:eastAsia="宋体" w:cs="宋体"/>
                <w:lang w:bidi="ar"/>
              </w:rPr>
              <w:t>4分</w:t>
            </w: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textAlignment w:val="center"/>
              <w:rPr>
                <w:rFonts w:ascii="宋体" w:hAnsi="宋体" w:eastAsia="宋体" w:cs="宋体"/>
                <w:color w:val="000000"/>
                <w:sz w:val="21"/>
                <w:szCs w:val="21"/>
              </w:rPr>
            </w:pPr>
            <w:r>
              <w:rPr>
                <w:rStyle w:val="107"/>
                <w:rFonts w:hint="default" w:ascii="宋体" w:hAnsi="宋体" w:eastAsia="宋体" w:cs="宋体"/>
                <w:lang w:bidi="ar"/>
              </w:rPr>
              <w:t>7、电梯厅墙面、地面、门框、电梯指标牌表面干净，无油迹、无灰尘、无杂物；电梯内墙、地面、门、天花板、通风口、监视器、照明灯具、指标板等表面干净、无积尘、无污迹、无脏杂物；电梯厢壁、电梯门、框按规定时间上保护剂；地毯按规定更换；电梯按钮每日进行消毒。</w:t>
            </w:r>
          </w:p>
        </w:tc>
        <w:tc>
          <w:tcPr>
            <w:tcW w:w="1645"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电梯面积有烟蒂、纸屑、脚印、灰尘，电梯厢有灰尘、污迹，未按规定时间上保护剂、地毯每天未更换，一样一次扣0.2分</w:t>
            </w:r>
          </w:p>
        </w:tc>
      </w:tr>
      <w:tr>
        <w:tblPrEx>
          <w:tblCellMar>
            <w:top w:w="0" w:type="dxa"/>
            <w:left w:w="108" w:type="dxa"/>
            <w:bottom w:w="0" w:type="dxa"/>
            <w:right w:w="108" w:type="dxa"/>
          </w:tblCellMar>
        </w:tblPrEx>
        <w:trPr>
          <w:trHeight w:val="1880" w:hRule="atLeast"/>
          <w:jc w:val="center"/>
        </w:trPr>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Style w:val="107"/>
                <w:rFonts w:hint="default" w:ascii="宋体" w:hAnsi="宋体" w:eastAsia="宋体" w:cs="宋体"/>
                <w:lang w:bidi="ar"/>
              </w:rPr>
              <w:t>4分</w:t>
            </w: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textAlignment w:val="center"/>
              <w:rPr>
                <w:rFonts w:ascii="宋体" w:hAnsi="宋体" w:eastAsia="宋体" w:cs="宋体"/>
                <w:color w:val="000000"/>
                <w:sz w:val="21"/>
                <w:szCs w:val="21"/>
              </w:rPr>
            </w:pPr>
            <w:r>
              <w:rPr>
                <w:rStyle w:val="107"/>
                <w:rFonts w:hint="default" w:ascii="宋体" w:hAnsi="宋体" w:eastAsia="宋体" w:cs="宋体"/>
                <w:lang w:bidi="ar"/>
              </w:rPr>
              <w:t>8、室外场地、道路干净、无脏物、无垃圾、无沙土；绿化带无烟蒂、纸屑等；各类设施、各种宣传栏（牌）、告示牌、指示牌表面无积尘、无污迹、无蜘蛛网。排水沟畅通。天台无杂物、无垃圾，地漏畅通</w:t>
            </w:r>
          </w:p>
        </w:tc>
        <w:tc>
          <w:tcPr>
            <w:tcW w:w="16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textAlignment w:val="center"/>
              <w:rPr>
                <w:rFonts w:ascii="宋体" w:hAnsi="宋体" w:eastAsia="宋体" w:cs="宋体"/>
                <w:color w:val="000000"/>
                <w:sz w:val="21"/>
                <w:szCs w:val="21"/>
              </w:rPr>
            </w:pPr>
            <w:r>
              <w:rPr>
                <w:rStyle w:val="107"/>
                <w:rFonts w:hint="default" w:ascii="宋体" w:hAnsi="宋体" w:eastAsia="宋体" w:cs="宋体"/>
                <w:lang w:bidi="ar"/>
              </w:rPr>
              <w:t>室外道路有纸屑、烟蒂、呕吐等脏物，并且20分内未清扫，设施、各种宣传栏（牌）、告示牌、指示牌表面有积尘、有污迹、有蜘蛛网，一样一次扣0.5分。排水沟堵塞，雨棚有杂物、垃圾，一样一次扣0.2分</w:t>
            </w:r>
          </w:p>
        </w:tc>
      </w:tr>
      <w:tr>
        <w:tblPrEx>
          <w:tblCellMar>
            <w:top w:w="0" w:type="dxa"/>
            <w:left w:w="108" w:type="dxa"/>
            <w:bottom w:w="0" w:type="dxa"/>
            <w:right w:w="108" w:type="dxa"/>
          </w:tblCellMar>
        </w:tblPrEx>
        <w:trPr>
          <w:trHeight w:val="940" w:hRule="atLeast"/>
          <w:jc w:val="center"/>
        </w:trPr>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12</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Style w:val="107"/>
                <w:rFonts w:hint="default" w:ascii="宋体" w:hAnsi="宋体" w:eastAsia="宋体" w:cs="宋体"/>
                <w:lang w:bidi="ar"/>
              </w:rPr>
              <w:t>5分</w:t>
            </w: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10、吊顶、天窗、外墙、外玻璃按计划清洗并达到要求；镜面砖按规定时间处理保养，达到整洁光亮；地板按规定时间打蜡保养，达到整洁光亮并起到保护作用。</w:t>
            </w:r>
          </w:p>
        </w:tc>
        <w:tc>
          <w:tcPr>
            <w:tcW w:w="1645"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地面未在规定时间内进行打蜡一次扣0.5分</w:t>
            </w:r>
          </w:p>
        </w:tc>
      </w:tr>
      <w:tr>
        <w:tblPrEx>
          <w:tblCellMar>
            <w:top w:w="0" w:type="dxa"/>
            <w:left w:w="108" w:type="dxa"/>
            <w:bottom w:w="0" w:type="dxa"/>
            <w:right w:w="108" w:type="dxa"/>
          </w:tblCellMar>
        </w:tblPrEx>
        <w:trPr>
          <w:trHeight w:val="566" w:hRule="atLeast"/>
          <w:jc w:val="center"/>
        </w:trPr>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13</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Style w:val="107"/>
                <w:rFonts w:hint="default" w:ascii="宋体" w:hAnsi="宋体" w:eastAsia="宋体" w:cs="宋体"/>
                <w:lang w:bidi="ar"/>
              </w:rPr>
              <w:t>10分</w:t>
            </w: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11、医疗废物、生活垃圾分类收集、运输、储存、处理；容器、塑料袋配置合理，符合相关标准，要求，记录完善、规范。医疗垃圾的收送必须走指定通道，不得从病区穿过，不得走人行电梯不得外卖医疗废物。</w:t>
            </w:r>
          </w:p>
        </w:tc>
        <w:tc>
          <w:tcPr>
            <w:tcW w:w="16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textAlignment w:val="center"/>
              <w:rPr>
                <w:rFonts w:ascii="宋体" w:hAnsi="宋体" w:eastAsia="宋体" w:cs="宋体"/>
                <w:color w:val="000000"/>
                <w:sz w:val="21"/>
                <w:szCs w:val="21"/>
              </w:rPr>
            </w:pPr>
            <w:r>
              <w:rPr>
                <w:rStyle w:val="107"/>
                <w:rFonts w:hint="default" w:ascii="宋体" w:hAnsi="宋体" w:eastAsia="宋体" w:cs="宋体"/>
                <w:lang w:bidi="ar"/>
              </w:rPr>
              <w:t>医疗废物、生活垃圾未分类收集、运输、储存、处理；容器、塑料袋配置、记录不规范，一次扣—2分，发现外卖医疗废物按相关法律程序处理。</w:t>
            </w:r>
          </w:p>
        </w:tc>
      </w:tr>
      <w:tr>
        <w:tblPrEx>
          <w:tblCellMar>
            <w:top w:w="0" w:type="dxa"/>
            <w:left w:w="108" w:type="dxa"/>
            <w:bottom w:w="0" w:type="dxa"/>
            <w:right w:w="108" w:type="dxa"/>
          </w:tblCellMar>
        </w:tblPrEx>
        <w:trPr>
          <w:trHeight w:val="640" w:hRule="atLeast"/>
          <w:jc w:val="center"/>
        </w:trPr>
        <w:tc>
          <w:tcPr>
            <w:tcW w:w="346" w:type="pct"/>
            <w:tcBorders>
              <w:top w:val="single" w:color="000000" w:sz="4" w:space="0"/>
              <w:left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r>
              <w:rPr>
                <w:rFonts w:hint="eastAsia" w:ascii="宋体" w:hAnsi="宋体" w:eastAsia="宋体" w:cs="宋体"/>
                <w:color w:val="000000"/>
                <w:sz w:val="21"/>
                <w:szCs w:val="21"/>
              </w:rPr>
              <w:t>14</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Style w:val="107"/>
                <w:rFonts w:hint="default" w:ascii="宋体" w:hAnsi="宋体" w:eastAsia="宋体" w:cs="宋体"/>
                <w:lang w:bidi="ar"/>
              </w:rPr>
              <w:t>5分</w:t>
            </w: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textAlignment w:val="center"/>
              <w:rPr>
                <w:rFonts w:ascii="宋体" w:hAnsi="宋体" w:eastAsia="宋体" w:cs="宋体"/>
                <w:color w:val="000000"/>
                <w:sz w:val="21"/>
                <w:szCs w:val="21"/>
              </w:rPr>
            </w:pPr>
            <w:r>
              <w:rPr>
                <w:rStyle w:val="107"/>
                <w:rFonts w:hint="default" w:ascii="宋体" w:hAnsi="宋体" w:eastAsia="宋体" w:cs="宋体"/>
                <w:lang w:bidi="ar"/>
              </w:rPr>
              <w:t>12、定期进行消毒、消杀，药剂符合相关标准，记录完善、规范。工作现场所有消毒剂必须有批件，必须在有效期内使用。</w:t>
            </w:r>
          </w:p>
        </w:tc>
        <w:tc>
          <w:tcPr>
            <w:tcW w:w="1645"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未定期进行消毒、消杀，记录不完善、不规范，一次扣0.5分。发现一样无批件5分。</w:t>
            </w:r>
          </w:p>
        </w:tc>
      </w:tr>
      <w:tr>
        <w:tblPrEx>
          <w:tblCellMar>
            <w:top w:w="0" w:type="dxa"/>
            <w:left w:w="108" w:type="dxa"/>
            <w:bottom w:w="0" w:type="dxa"/>
            <w:right w:w="108" w:type="dxa"/>
          </w:tblCellMar>
        </w:tblPrEx>
        <w:trPr>
          <w:trHeight w:val="1390" w:hRule="atLeast"/>
          <w:jc w:val="center"/>
        </w:trPr>
        <w:tc>
          <w:tcPr>
            <w:tcW w:w="346" w:type="pct"/>
            <w:tcBorders>
              <w:left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15</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Style w:val="107"/>
                <w:rFonts w:hint="default" w:ascii="宋体" w:hAnsi="宋体" w:eastAsia="宋体" w:cs="宋体"/>
                <w:lang w:bidi="ar"/>
              </w:rPr>
              <w:t>5分</w:t>
            </w: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13、及时关闭用电器，用电设备、空调、新风开关，自来水、热水阀门。</w:t>
            </w:r>
          </w:p>
        </w:tc>
        <w:tc>
          <w:tcPr>
            <w:tcW w:w="1645" w:type="pct"/>
            <w:tcBorders>
              <w:top w:val="single" w:color="000000" w:sz="4" w:space="0"/>
              <w:left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未及时关灯、自来水、热水阀门一次扣0.2分。</w:t>
            </w:r>
            <w:r>
              <w:rPr>
                <w:rStyle w:val="107"/>
                <w:rFonts w:hint="default" w:ascii="宋体" w:hAnsi="宋体" w:eastAsia="宋体" w:cs="宋体"/>
                <w:lang w:bidi="ar"/>
              </w:rPr>
              <w:tab/>
            </w:r>
          </w:p>
        </w:tc>
      </w:tr>
      <w:tr>
        <w:tblPrEx>
          <w:tblCellMar>
            <w:top w:w="0" w:type="dxa"/>
            <w:left w:w="108" w:type="dxa"/>
            <w:bottom w:w="0" w:type="dxa"/>
            <w:right w:w="108" w:type="dxa"/>
          </w:tblCellMar>
        </w:tblPrEx>
        <w:trPr>
          <w:trHeight w:val="640" w:hRule="atLeast"/>
          <w:jc w:val="center"/>
        </w:trPr>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16</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Style w:val="107"/>
                <w:rFonts w:hint="default" w:ascii="宋体" w:hAnsi="宋体" w:eastAsia="宋体" w:cs="宋体"/>
                <w:lang w:bidi="ar"/>
              </w:rPr>
              <w:t>5分</w:t>
            </w: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1、保洁作业操作规程规范，药剂使用正确、到位，未造成客户损失。</w:t>
            </w:r>
          </w:p>
        </w:tc>
        <w:tc>
          <w:tcPr>
            <w:tcW w:w="1645"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未按操作规程操作，造成客户损失，一次扣0.2分。</w:t>
            </w:r>
          </w:p>
        </w:tc>
      </w:tr>
      <w:tr>
        <w:tblPrEx>
          <w:tblCellMar>
            <w:top w:w="0" w:type="dxa"/>
            <w:left w:w="108" w:type="dxa"/>
            <w:bottom w:w="0" w:type="dxa"/>
            <w:right w:w="108" w:type="dxa"/>
          </w:tblCellMar>
        </w:tblPrEx>
        <w:trPr>
          <w:trHeight w:val="336" w:hRule="atLeast"/>
          <w:jc w:val="center"/>
        </w:trPr>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17</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Style w:val="107"/>
                <w:rFonts w:hint="default" w:ascii="宋体" w:hAnsi="宋体" w:eastAsia="宋体" w:cs="宋体"/>
                <w:lang w:bidi="ar"/>
              </w:rPr>
              <w:t>5分</w:t>
            </w: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2、保洁作业安全措施到位，未发生任何事故。</w:t>
            </w:r>
          </w:p>
        </w:tc>
        <w:tc>
          <w:tcPr>
            <w:tcW w:w="1645"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保洁作业发生事故，一次扣1分。</w:t>
            </w:r>
          </w:p>
        </w:tc>
      </w:tr>
      <w:tr>
        <w:tblPrEx>
          <w:tblCellMar>
            <w:top w:w="0" w:type="dxa"/>
            <w:left w:w="108" w:type="dxa"/>
            <w:bottom w:w="0" w:type="dxa"/>
            <w:right w:w="108" w:type="dxa"/>
          </w:tblCellMar>
        </w:tblPrEx>
        <w:trPr>
          <w:trHeight w:val="1260" w:hRule="atLeast"/>
          <w:jc w:val="center"/>
        </w:trPr>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rPr>
              <w:t>18</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Style w:val="107"/>
                <w:rFonts w:hint="default" w:ascii="宋体" w:hAnsi="宋体" w:eastAsia="宋体" w:cs="宋体"/>
                <w:lang w:bidi="ar"/>
              </w:rPr>
              <w:t>5分</w:t>
            </w: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textAlignment w:val="center"/>
              <w:rPr>
                <w:rFonts w:ascii="宋体" w:hAnsi="宋体" w:eastAsia="宋体" w:cs="宋体"/>
                <w:color w:val="000000"/>
                <w:sz w:val="21"/>
                <w:szCs w:val="21"/>
              </w:rPr>
            </w:pPr>
            <w:r>
              <w:rPr>
                <w:rStyle w:val="107"/>
                <w:rFonts w:hint="default" w:ascii="宋体" w:hAnsi="宋体" w:eastAsia="宋体" w:cs="宋体"/>
                <w:lang w:bidi="ar"/>
              </w:rPr>
              <w:t>1、保洁人员教育、培训、管理到位，未损害客户利益，未造成不良影响。2、所有保洁员必须经过上岗培训，应掌握手卫生、床单元消毒、医疗废物处置等内容。医疗垃圾须加盖保存，装量不得超过3/4。运送车辆专车专用，有标识。</w:t>
            </w:r>
          </w:p>
        </w:tc>
        <w:tc>
          <w:tcPr>
            <w:tcW w:w="16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both"/>
              <w:textAlignment w:val="center"/>
              <w:rPr>
                <w:rFonts w:ascii="宋体" w:hAnsi="宋体" w:eastAsia="宋体" w:cs="宋体"/>
                <w:color w:val="000000"/>
                <w:sz w:val="21"/>
                <w:szCs w:val="21"/>
              </w:rPr>
            </w:pPr>
            <w:r>
              <w:rPr>
                <w:rStyle w:val="107"/>
                <w:rFonts w:hint="default" w:ascii="宋体" w:hAnsi="宋体" w:eastAsia="宋体" w:cs="宋体"/>
                <w:lang w:bidi="ar"/>
              </w:rPr>
              <w:t>保洁人员未经培训、作业中发生差错，损害客户利益，未造成不良影响，一样一次扣0.5分。</w:t>
            </w:r>
          </w:p>
        </w:tc>
      </w:tr>
      <w:tr>
        <w:tblPrEx>
          <w:tblCellMar>
            <w:top w:w="0" w:type="dxa"/>
            <w:left w:w="108" w:type="dxa"/>
            <w:bottom w:w="0" w:type="dxa"/>
            <w:right w:w="108" w:type="dxa"/>
          </w:tblCellMar>
        </w:tblPrEx>
        <w:trPr>
          <w:trHeight w:val="640" w:hRule="atLeast"/>
          <w:jc w:val="center"/>
        </w:trPr>
        <w:tc>
          <w:tcPr>
            <w:tcW w:w="346"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rPr>
              <w:t>19</w:t>
            </w:r>
          </w:p>
        </w:tc>
        <w:tc>
          <w:tcPr>
            <w:tcW w:w="511"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Style w:val="107"/>
                <w:rFonts w:hint="default" w:ascii="宋体" w:hAnsi="宋体" w:eastAsia="宋体" w:cs="宋体"/>
                <w:lang w:bidi="ar"/>
              </w:rPr>
              <w:t>5分</w:t>
            </w:r>
          </w:p>
        </w:tc>
        <w:tc>
          <w:tcPr>
            <w:tcW w:w="2498"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2、保洁人员遵章守纪，无盗窃等行为。</w:t>
            </w:r>
          </w:p>
        </w:tc>
        <w:tc>
          <w:tcPr>
            <w:tcW w:w="1645" w:type="pc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Style w:val="107"/>
                <w:rFonts w:hint="default" w:ascii="宋体" w:hAnsi="宋体" w:eastAsia="宋体" w:cs="宋体"/>
                <w:lang w:bidi="ar"/>
              </w:rPr>
              <w:t>保洁人员不遵章守纪，有盗窃等行为，一次扣2分。</w:t>
            </w:r>
          </w:p>
        </w:tc>
      </w:tr>
      <w:tr>
        <w:tblPrEx>
          <w:tblCellMar>
            <w:top w:w="0" w:type="dxa"/>
            <w:left w:w="108" w:type="dxa"/>
            <w:bottom w:w="0" w:type="dxa"/>
            <w:right w:w="108" w:type="dxa"/>
          </w:tblCellMar>
        </w:tblPrEx>
        <w:trPr>
          <w:trHeight w:val="640" w:hRule="atLeast"/>
          <w:jc w:val="center"/>
        </w:trPr>
        <w:tc>
          <w:tcPr>
            <w:tcW w:w="3355" w:type="pct"/>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Style w:val="107"/>
                <w:rFonts w:hint="default" w:ascii="宋体" w:hAnsi="宋体" w:eastAsia="宋体" w:cs="宋体"/>
                <w:lang w:bidi="ar"/>
              </w:rPr>
            </w:pPr>
            <w:r>
              <w:rPr>
                <w:rStyle w:val="107"/>
                <w:rFonts w:hint="default" w:ascii="宋体" w:hAnsi="宋体" w:eastAsia="宋体" w:cs="宋体"/>
                <w:lang w:bidi="ar"/>
              </w:rPr>
              <w:t>总分</w:t>
            </w:r>
          </w:p>
        </w:tc>
        <w:tc>
          <w:tcPr>
            <w:tcW w:w="1645" w:type="pc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Style w:val="107"/>
                <w:rFonts w:hint="default" w:ascii="宋体" w:hAnsi="宋体" w:eastAsia="宋体" w:cs="宋体"/>
                <w:lang w:bidi="ar"/>
              </w:rPr>
            </w:pPr>
            <w:r>
              <w:rPr>
                <w:rStyle w:val="107"/>
                <w:rFonts w:hint="default" w:ascii="宋体" w:hAnsi="宋体" w:eastAsia="宋体" w:cs="宋体"/>
                <w:lang w:bidi="ar"/>
              </w:rPr>
              <w:t>100</w:t>
            </w:r>
          </w:p>
        </w:tc>
      </w:tr>
      <w:bookmarkEnd w:id="16"/>
    </w:tbl>
    <w:p>
      <w:pPr>
        <w:rPr>
          <w:rFonts w:ascii="Calibri Light" w:hAnsi="Calibri Light" w:eastAsia="宋体"/>
          <w:b/>
          <w:bCs/>
          <w:kern w:val="30"/>
          <w:szCs w:val="26"/>
        </w:rPr>
      </w:pPr>
      <w:r>
        <w:br w:type="page"/>
      </w:r>
    </w:p>
    <w:p>
      <w:pPr>
        <w:pStyle w:val="4"/>
      </w:pPr>
      <w:r>
        <w:rPr>
          <w:rFonts w:hint="eastAsia"/>
        </w:rPr>
        <w:t>（二）中央运送服务考核标准</w:t>
      </w:r>
    </w:p>
    <w:tbl>
      <w:tblPr>
        <w:tblStyle w:val="103"/>
        <w:tblW w:w="925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620"/>
        <w:gridCol w:w="924"/>
        <w:gridCol w:w="4658"/>
        <w:gridCol w:w="30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jc w:val="center"/>
        </w:trPr>
        <w:tc>
          <w:tcPr>
            <w:tcW w:w="620" w:type="dxa"/>
          </w:tcPr>
          <w:p>
            <w:pPr>
              <w:pStyle w:val="104"/>
              <w:spacing w:before="71" w:line="225" w:lineRule="auto"/>
              <w:jc w:val="center"/>
              <w:rPr>
                <w:sz w:val="21"/>
                <w:szCs w:val="21"/>
              </w:rPr>
            </w:pPr>
            <w:r>
              <w:rPr>
                <w:rFonts w:hint="eastAsia"/>
                <w:b/>
                <w:bCs/>
                <w:spacing w:val="6"/>
                <w:sz w:val="21"/>
                <w:szCs w:val="21"/>
              </w:rPr>
              <w:t>序号</w:t>
            </w:r>
          </w:p>
        </w:tc>
        <w:tc>
          <w:tcPr>
            <w:tcW w:w="924" w:type="dxa"/>
          </w:tcPr>
          <w:p>
            <w:pPr>
              <w:pStyle w:val="104"/>
              <w:spacing w:before="32" w:line="220" w:lineRule="auto"/>
              <w:jc w:val="center"/>
              <w:rPr>
                <w:sz w:val="21"/>
                <w:szCs w:val="21"/>
              </w:rPr>
            </w:pPr>
            <w:r>
              <w:rPr>
                <w:rFonts w:hint="eastAsia"/>
                <w:b/>
                <w:bCs/>
                <w:spacing w:val="9"/>
                <w:sz w:val="21"/>
                <w:szCs w:val="21"/>
              </w:rPr>
              <w:t>分值</w:t>
            </w:r>
          </w:p>
        </w:tc>
        <w:tc>
          <w:tcPr>
            <w:tcW w:w="4658" w:type="dxa"/>
          </w:tcPr>
          <w:p>
            <w:pPr>
              <w:pStyle w:val="104"/>
              <w:spacing w:before="72" w:line="224" w:lineRule="auto"/>
              <w:jc w:val="center"/>
              <w:rPr>
                <w:sz w:val="21"/>
                <w:szCs w:val="21"/>
              </w:rPr>
            </w:pPr>
            <w:r>
              <w:rPr>
                <w:rFonts w:hint="eastAsia"/>
                <w:b/>
                <w:bCs/>
                <w:spacing w:val="12"/>
                <w:sz w:val="21"/>
                <w:szCs w:val="21"/>
                <w:lang w:eastAsia="zh-CN"/>
              </w:rPr>
              <w:t>考核</w:t>
            </w:r>
            <w:r>
              <w:rPr>
                <w:rFonts w:hint="eastAsia"/>
                <w:b/>
                <w:bCs/>
                <w:spacing w:val="12"/>
                <w:sz w:val="21"/>
                <w:szCs w:val="21"/>
              </w:rPr>
              <w:t>内容</w:t>
            </w:r>
          </w:p>
        </w:tc>
        <w:tc>
          <w:tcPr>
            <w:tcW w:w="3048" w:type="dxa"/>
          </w:tcPr>
          <w:p>
            <w:pPr>
              <w:pStyle w:val="104"/>
              <w:spacing w:before="71" w:line="224" w:lineRule="auto"/>
              <w:jc w:val="center"/>
              <w:rPr>
                <w:sz w:val="21"/>
                <w:szCs w:val="21"/>
              </w:rPr>
            </w:pPr>
            <w:r>
              <w:rPr>
                <w:rFonts w:hint="eastAsia"/>
                <w:b/>
                <w:bCs/>
                <w:spacing w:val="12"/>
                <w:sz w:val="21"/>
                <w:szCs w:val="21"/>
              </w:rPr>
              <w:t>评分标准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243" w:hRule="atLeast"/>
          <w:jc w:val="center"/>
        </w:trPr>
        <w:tc>
          <w:tcPr>
            <w:tcW w:w="620" w:type="dxa"/>
            <w:vMerge w:val="restart"/>
          </w:tcPr>
          <w:p>
            <w:pPr>
              <w:spacing w:line="246" w:lineRule="auto"/>
              <w:jc w:val="center"/>
              <w:rPr>
                <w:rFonts w:ascii="宋体" w:hAnsi="宋体" w:eastAsia="宋体" w:cs="宋体"/>
                <w:sz w:val="21"/>
                <w:szCs w:val="21"/>
              </w:rPr>
            </w:pPr>
          </w:p>
          <w:p>
            <w:pPr>
              <w:spacing w:line="246" w:lineRule="auto"/>
              <w:jc w:val="center"/>
              <w:rPr>
                <w:rFonts w:ascii="宋体" w:hAnsi="宋体" w:eastAsia="宋体" w:cs="宋体"/>
                <w:sz w:val="21"/>
                <w:szCs w:val="21"/>
              </w:rPr>
            </w:pPr>
          </w:p>
          <w:p>
            <w:pPr>
              <w:spacing w:line="246" w:lineRule="auto"/>
              <w:jc w:val="center"/>
              <w:rPr>
                <w:rFonts w:ascii="宋体" w:hAnsi="宋体" w:eastAsia="宋体" w:cs="宋体"/>
                <w:sz w:val="21"/>
                <w:szCs w:val="21"/>
              </w:rPr>
            </w:pPr>
          </w:p>
          <w:p>
            <w:pPr>
              <w:spacing w:line="246" w:lineRule="auto"/>
              <w:jc w:val="center"/>
              <w:rPr>
                <w:rFonts w:ascii="宋体" w:hAnsi="宋体" w:eastAsia="宋体" w:cs="宋体"/>
                <w:sz w:val="21"/>
                <w:szCs w:val="21"/>
              </w:rPr>
            </w:pPr>
          </w:p>
          <w:p>
            <w:pPr>
              <w:pStyle w:val="104"/>
              <w:spacing w:before="72" w:line="185" w:lineRule="auto"/>
              <w:jc w:val="center"/>
              <w:rPr>
                <w:sz w:val="21"/>
                <w:szCs w:val="21"/>
                <w:lang w:eastAsia="zh-CN"/>
              </w:rPr>
            </w:pPr>
            <w:r>
              <w:rPr>
                <w:rFonts w:hint="eastAsia"/>
                <w:sz w:val="21"/>
                <w:szCs w:val="21"/>
                <w:lang w:eastAsia="zh-CN"/>
              </w:rPr>
              <w:t>1</w:t>
            </w:r>
          </w:p>
        </w:tc>
        <w:tc>
          <w:tcPr>
            <w:tcW w:w="924" w:type="dxa"/>
            <w:vMerge w:val="restart"/>
          </w:tcPr>
          <w:p>
            <w:pPr>
              <w:spacing w:line="253" w:lineRule="auto"/>
              <w:jc w:val="center"/>
              <w:rPr>
                <w:rFonts w:ascii="宋体" w:hAnsi="宋体" w:eastAsia="宋体" w:cs="宋体"/>
                <w:sz w:val="21"/>
                <w:szCs w:val="21"/>
              </w:rPr>
            </w:pPr>
          </w:p>
          <w:p>
            <w:pPr>
              <w:spacing w:line="254" w:lineRule="auto"/>
              <w:jc w:val="center"/>
              <w:rPr>
                <w:rFonts w:ascii="宋体" w:hAnsi="宋体" w:eastAsia="宋体" w:cs="宋体"/>
                <w:sz w:val="21"/>
                <w:szCs w:val="21"/>
              </w:rPr>
            </w:pPr>
          </w:p>
          <w:p>
            <w:pPr>
              <w:spacing w:line="254" w:lineRule="auto"/>
              <w:jc w:val="center"/>
              <w:rPr>
                <w:rFonts w:ascii="宋体" w:hAnsi="宋体" w:eastAsia="宋体" w:cs="宋体"/>
                <w:sz w:val="21"/>
                <w:szCs w:val="21"/>
              </w:rPr>
            </w:pPr>
          </w:p>
          <w:p>
            <w:pPr>
              <w:spacing w:line="254" w:lineRule="auto"/>
              <w:jc w:val="center"/>
              <w:rPr>
                <w:rFonts w:ascii="宋体" w:hAnsi="宋体" w:eastAsia="宋体" w:cs="宋体"/>
                <w:sz w:val="21"/>
                <w:szCs w:val="21"/>
              </w:rPr>
            </w:pPr>
          </w:p>
          <w:p>
            <w:pPr>
              <w:pStyle w:val="104"/>
              <w:spacing w:before="71" w:line="238" w:lineRule="auto"/>
              <w:ind w:right="217"/>
              <w:jc w:val="center"/>
              <w:rPr>
                <w:sz w:val="21"/>
                <w:szCs w:val="21"/>
              </w:rPr>
            </w:pPr>
            <w:r>
              <w:rPr>
                <w:rFonts w:hint="eastAsia"/>
                <w:spacing w:val="-5"/>
                <w:sz w:val="21"/>
                <w:szCs w:val="21"/>
              </w:rPr>
              <w:t>5</w:t>
            </w:r>
            <w:r>
              <w:rPr>
                <w:rFonts w:hint="eastAsia"/>
                <w:spacing w:val="-31"/>
                <w:sz w:val="21"/>
                <w:szCs w:val="21"/>
              </w:rPr>
              <w:t xml:space="preserve"> </w:t>
            </w:r>
            <w:r>
              <w:rPr>
                <w:rFonts w:hint="eastAsia"/>
                <w:spacing w:val="-5"/>
                <w:sz w:val="21"/>
                <w:szCs w:val="21"/>
              </w:rPr>
              <w:t>分</w:t>
            </w:r>
          </w:p>
        </w:tc>
        <w:tc>
          <w:tcPr>
            <w:tcW w:w="4658" w:type="dxa"/>
          </w:tcPr>
          <w:p>
            <w:pPr>
              <w:pStyle w:val="104"/>
              <w:spacing w:before="42" w:line="224" w:lineRule="auto"/>
              <w:ind w:left="122"/>
              <w:rPr>
                <w:sz w:val="21"/>
                <w:szCs w:val="21"/>
                <w:lang w:eastAsia="zh-CN"/>
              </w:rPr>
            </w:pPr>
            <w:r>
              <w:rPr>
                <w:rFonts w:hint="eastAsia"/>
                <w:sz w:val="21"/>
                <w:szCs w:val="21"/>
                <w:lang w:eastAsia="zh-CN"/>
              </w:rPr>
              <w:t>1、按合同约定合理配置各区域服务人员，</w:t>
            </w:r>
          </w:p>
          <w:p>
            <w:pPr>
              <w:pStyle w:val="104"/>
              <w:spacing w:before="47" w:line="245" w:lineRule="auto"/>
              <w:ind w:left="108" w:right="83"/>
              <w:rPr>
                <w:sz w:val="21"/>
                <w:szCs w:val="21"/>
                <w:lang w:eastAsia="zh-CN"/>
              </w:rPr>
            </w:pPr>
            <w:r>
              <w:rPr>
                <w:rFonts w:hint="eastAsia"/>
                <w:spacing w:val="2"/>
                <w:sz w:val="21"/>
                <w:szCs w:val="21"/>
                <w:lang w:eastAsia="zh-CN"/>
              </w:rPr>
              <w:t>不接受并岗工作；人员更换时需跟科室及</w:t>
            </w:r>
            <w:r>
              <w:rPr>
                <w:rFonts w:hint="eastAsia"/>
                <w:spacing w:val="1"/>
                <w:sz w:val="21"/>
                <w:szCs w:val="21"/>
                <w:lang w:eastAsia="zh-CN"/>
              </w:rPr>
              <w:t>总务科及时沟通，人员更换率控制在</w:t>
            </w:r>
            <w:r>
              <w:rPr>
                <w:rFonts w:hint="eastAsia"/>
                <w:spacing w:val="-38"/>
                <w:sz w:val="21"/>
                <w:szCs w:val="21"/>
                <w:lang w:eastAsia="zh-CN"/>
              </w:rPr>
              <w:t xml:space="preserve"> </w:t>
            </w:r>
            <w:r>
              <w:rPr>
                <w:rFonts w:hint="eastAsia"/>
                <w:spacing w:val="1"/>
                <w:sz w:val="21"/>
                <w:szCs w:val="21"/>
                <w:lang w:eastAsia="zh-CN"/>
              </w:rPr>
              <w:t>15%以</w:t>
            </w:r>
            <w:r>
              <w:rPr>
                <w:rFonts w:hint="eastAsia"/>
                <w:sz w:val="21"/>
                <w:szCs w:val="21"/>
                <w:lang w:eastAsia="zh-CN"/>
              </w:rPr>
              <w:t xml:space="preserve"> </w:t>
            </w:r>
            <w:r>
              <w:rPr>
                <w:rFonts w:hint="eastAsia"/>
                <w:spacing w:val="-9"/>
                <w:sz w:val="21"/>
                <w:szCs w:val="21"/>
                <w:lang w:eastAsia="zh-CN"/>
              </w:rPr>
              <w:t>内。</w:t>
            </w:r>
          </w:p>
        </w:tc>
        <w:tc>
          <w:tcPr>
            <w:tcW w:w="3048" w:type="dxa"/>
          </w:tcPr>
          <w:p>
            <w:pPr>
              <w:spacing w:line="284" w:lineRule="auto"/>
              <w:rPr>
                <w:rFonts w:ascii="宋体" w:hAnsi="宋体" w:eastAsia="宋体" w:cs="宋体"/>
                <w:sz w:val="21"/>
                <w:szCs w:val="21"/>
              </w:rPr>
            </w:pPr>
          </w:p>
          <w:p>
            <w:pPr>
              <w:pStyle w:val="104"/>
              <w:spacing w:before="71" w:line="245" w:lineRule="auto"/>
              <w:ind w:left="137" w:right="155" w:hanging="2"/>
              <w:rPr>
                <w:sz w:val="21"/>
                <w:szCs w:val="21"/>
                <w:lang w:eastAsia="zh-CN"/>
              </w:rPr>
            </w:pPr>
            <w:r>
              <w:rPr>
                <w:rFonts w:hint="eastAsia"/>
                <w:spacing w:val="-8"/>
                <w:sz w:val="21"/>
                <w:szCs w:val="21"/>
                <w:lang w:eastAsia="zh-CN"/>
              </w:rPr>
              <w:t>每违反</w:t>
            </w:r>
            <w:r>
              <w:rPr>
                <w:rFonts w:hint="eastAsia"/>
                <w:spacing w:val="-23"/>
                <w:sz w:val="21"/>
                <w:szCs w:val="21"/>
                <w:lang w:eastAsia="zh-CN"/>
              </w:rPr>
              <w:t xml:space="preserve"> </w:t>
            </w:r>
            <w:r>
              <w:rPr>
                <w:rFonts w:hint="eastAsia"/>
                <w:spacing w:val="-8"/>
                <w:sz w:val="21"/>
                <w:szCs w:val="21"/>
                <w:lang w:eastAsia="zh-CN"/>
              </w:rPr>
              <w:t>1</w:t>
            </w:r>
            <w:r>
              <w:rPr>
                <w:rFonts w:hint="eastAsia"/>
                <w:spacing w:val="-29"/>
                <w:sz w:val="21"/>
                <w:szCs w:val="21"/>
                <w:lang w:eastAsia="zh-CN"/>
              </w:rPr>
              <w:t xml:space="preserve"> </w:t>
            </w:r>
            <w:r>
              <w:rPr>
                <w:rFonts w:hint="eastAsia"/>
                <w:spacing w:val="-8"/>
                <w:sz w:val="21"/>
                <w:szCs w:val="21"/>
                <w:lang w:eastAsia="zh-CN"/>
              </w:rPr>
              <w:t>项扣</w:t>
            </w:r>
            <w:r>
              <w:rPr>
                <w:rFonts w:hint="eastAsia"/>
                <w:spacing w:val="-40"/>
                <w:sz w:val="21"/>
                <w:szCs w:val="21"/>
                <w:lang w:eastAsia="zh-CN"/>
              </w:rPr>
              <w:t xml:space="preserve"> </w:t>
            </w:r>
            <w:r>
              <w:rPr>
                <w:rFonts w:hint="eastAsia"/>
                <w:spacing w:val="-8"/>
                <w:sz w:val="21"/>
                <w:szCs w:val="21"/>
                <w:lang w:eastAsia="zh-CN"/>
              </w:rPr>
              <w:t>0.25</w:t>
            </w:r>
            <w:r>
              <w:rPr>
                <w:rFonts w:hint="eastAsia"/>
                <w:spacing w:val="-45"/>
                <w:sz w:val="21"/>
                <w:szCs w:val="21"/>
                <w:lang w:eastAsia="zh-CN"/>
              </w:rPr>
              <w:t xml:space="preserve"> </w:t>
            </w:r>
            <w:r>
              <w:rPr>
                <w:rFonts w:hint="eastAsia"/>
                <w:spacing w:val="-8"/>
                <w:sz w:val="21"/>
                <w:szCs w:val="21"/>
                <w:lang w:eastAsia="zh-CN"/>
              </w:rPr>
              <w:t>分，</w:t>
            </w:r>
            <w:r>
              <w:rPr>
                <w:rFonts w:hint="eastAsia"/>
                <w:sz w:val="21"/>
                <w:szCs w:val="21"/>
                <w:lang w:eastAsia="zh-CN"/>
              </w:rPr>
              <w:t xml:space="preserve"> </w:t>
            </w:r>
            <w:r>
              <w:rPr>
                <w:rFonts w:hint="eastAsia"/>
                <w:spacing w:val="-6"/>
                <w:sz w:val="21"/>
                <w:szCs w:val="21"/>
                <w:lang w:eastAsia="zh-CN"/>
              </w:rPr>
              <w:t>总分</w:t>
            </w:r>
            <w:r>
              <w:rPr>
                <w:rFonts w:hint="eastAsia"/>
                <w:spacing w:val="-25"/>
                <w:sz w:val="21"/>
                <w:szCs w:val="21"/>
                <w:lang w:eastAsia="zh-CN"/>
              </w:rPr>
              <w:t xml:space="preserve"> 2</w:t>
            </w:r>
            <w:r>
              <w:rPr>
                <w:rFonts w:hint="eastAsia"/>
                <w:spacing w:val="-6"/>
                <w:sz w:val="21"/>
                <w:szCs w:val="21"/>
                <w:lang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0" w:hRule="atLeast"/>
          <w:jc w:val="center"/>
        </w:trPr>
        <w:tc>
          <w:tcPr>
            <w:tcW w:w="620" w:type="dxa"/>
            <w:vMerge w:val="continue"/>
          </w:tcPr>
          <w:p>
            <w:pPr>
              <w:rPr>
                <w:rFonts w:ascii="宋体" w:hAnsi="宋体" w:eastAsia="宋体" w:cs="宋体"/>
                <w:sz w:val="21"/>
                <w:szCs w:val="21"/>
              </w:rPr>
            </w:pPr>
          </w:p>
        </w:tc>
        <w:tc>
          <w:tcPr>
            <w:tcW w:w="924" w:type="dxa"/>
            <w:vMerge w:val="continue"/>
          </w:tcPr>
          <w:p>
            <w:pPr>
              <w:rPr>
                <w:rFonts w:ascii="宋体" w:hAnsi="宋体" w:eastAsia="宋体" w:cs="宋体"/>
                <w:sz w:val="21"/>
                <w:szCs w:val="21"/>
              </w:rPr>
            </w:pPr>
          </w:p>
        </w:tc>
        <w:tc>
          <w:tcPr>
            <w:tcW w:w="4658" w:type="dxa"/>
          </w:tcPr>
          <w:p>
            <w:pPr>
              <w:pStyle w:val="104"/>
              <w:spacing w:before="71" w:line="224" w:lineRule="auto"/>
              <w:rPr>
                <w:sz w:val="21"/>
                <w:szCs w:val="21"/>
                <w:lang w:eastAsia="zh-CN"/>
              </w:rPr>
            </w:pPr>
            <w:r>
              <w:rPr>
                <w:rFonts w:hint="eastAsia"/>
                <w:sz w:val="21"/>
                <w:szCs w:val="21"/>
                <w:lang w:eastAsia="zh-CN"/>
              </w:rPr>
              <w:t>2、所有服务人员</w:t>
            </w:r>
            <w:r>
              <w:rPr>
                <w:rFonts w:hint="eastAsia"/>
                <w:spacing w:val="-12"/>
                <w:sz w:val="21"/>
                <w:szCs w:val="21"/>
                <w:lang w:eastAsia="zh-CN"/>
              </w:rPr>
              <w:t xml:space="preserve"> </w:t>
            </w:r>
            <w:r>
              <w:rPr>
                <w:rFonts w:hint="eastAsia"/>
                <w:sz w:val="21"/>
                <w:szCs w:val="21"/>
                <w:lang w:eastAsia="zh-CN"/>
              </w:rPr>
              <w:t>100%经过培训后上岗</w:t>
            </w:r>
          </w:p>
        </w:tc>
        <w:tc>
          <w:tcPr>
            <w:tcW w:w="3048" w:type="dxa"/>
          </w:tcPr>
          <w:p>
            <w:pPr>
              <w:pStyle w:val="104"/>
              <w:spacing w:before="49" w:line="243" w:lineRule="auto"/>
              <w:ind w:left="137" w:right="97" w:firstLine="3"/>
              <w:rPr>
                <w:sz w:val="21"/>
                <w:szCs w:val="21"/>
                <w:lang w:eastAsia="zh-CN"/>
              </w:rPr>
            </w:pPr>
            <w:r>
              <w:rPr>
                <w:rFonts w:hint="eastAsia"/>
                <w:spacing w:val="1"/>
                <w:sz w:val="21"/>
                <w:szCs w:val="21"/>
                <w:lang w:eastAsia="zh-CN"/>
              </w:rPr>
              <w:t>小于或等于</w:t>
            </w:r>
            <w:r>
              <w:rPr>
                <w:rFonts w:hint="eastAsia"/>
                <w:spacing w:val="-30"/>
                <w:sz w:val="21"/>
                <w:szCs w:val="21"/>
                <w:lang w:eastAsia="zh-CN"/>
              </w:rPr>
              <w:t xml:space="preserve"> </w:t>
            </w:r>
            <w:r>
              <w:rPr>
                <w:rFonts w:hint="eastAsia"/>
                <w:spacing w:val="1"/>
                <w:sz w:val="21"/>
                <w:szCs w:val="21"/>
                <w:lang w:eastAsia="zh-CN"/>
              </w:rPr>
              <w:t>95%时扣</w:t>
            </w:r>
            <w:r>
              <w:rPr>
                <w:rFonts w:hint="eastAsia"/>
                <w:spacing w:val="-54"/>
                <w:sz w:val="21"/>
                <w:szCs w:val="21"/>
                <w:lang w:eastAsia="zh-CN"/>
              </w:rPr>
              <w:t xml:space="preserve"> </w:t>
            </w:r>
            <w:r>
              <w:rPr>
                <w:rFonts w:hint="eastAsia"/>
                <w:spacing w:val="1"/>
                <w:sz w:val="21"/>
                <w:szCs w:val="21"/>
                <w:lang w:eastAsia="zh-CN"/>
              </w:rPr>
              <w:t>0.5</w:t>
            </w:r>
            <w:r>
              <w:rPr>
                <w:rFonts w:hint="eastAsia"/>
                <w:sz w:val="21"/>
                <w:szCs w:val="21"/>
                <w:lang w:eastAsia="zh-CN"/>
              </w:rPr>
              <w:t xml:space="preserve"> </w:t>
            </w:r>
            <w:r>
              <w:rPr>
                <w:rFonts w:hint="eastAsia"/>
                <w:spacing w:val="-5"/>
                <w:sz w:val="21"/>
                <w:szCs w:val="21"/>
                <w:lang w:eastAsia="zh-CN"/>
              </w:rPr>
              <w:t>分，小于</w:t>
            </w:r>
            <w:r>
              <w:rPr>
                <w:rFonts w:hint="eastAsia"/>
                <w:spacing w:val="-32"/>
                <w:sz w:val="21"/>
                <w:szCs w:val="21"/>
                <w:lang w:eastAsia="zh-CN"/>
              </w:rPr>
              <w:t xml:space="preserve"> </w:t>
            </w:r>
            <w:r>
              <w:rPr>
                <w:rFonts w:hint="eastAsia"/>
                <w:spacing w:val="-5"/>
                <w:sz w:val="21"/>
                <w:szCs w:val="21"/>
                <w:lang w:eastAsia="zh-CN"/>
              </w:rPr>
              <w:t>90%时扣</w:t>
            </w:r>
            <w:r>
              <w:rPr>
                <w:rFonts w:hint="eastAsia"/>
                <w:spacing w:val="-39"/>
                <w:sz w:val="21"/>
                <w:szCs w:val="21"/>
                <w:lang w:eastAsia="zh-CN"/>
              </w:rPr>
              <w:t xml:space="preserve"> </w:t>
            </w:r>
            <w:r>
              <w:rPr>
                <w:rFonts w:hint="eastAsia"/>
                <w:spacing w:val="-5"/>
                <w:sz w:val="21"/>
                <w:szCs w:val="21"/>
                <w:lang w:eastAsia="zh-CN"/>
              </w:rPr>
              <w:t>1</w:t>
            </w:r>
            <w:r>
              <w:rPr>
                <w:rFonts w:hint="eastAsia"/>
                <w:spacing w:val="-46"/>
                <w:sz w:val="21"/>
                <w:szCs w:val="21"/>
                <w:lang w:eastAsia="zh-CN"/>
              </w:rPr>
              <w:t xml:space="preserve"> </w:t>
            </w:r>
            <w:r>
              <w:rPr>
                <w:rFonts w:hint="eastAsia"/>
                <w:spacing w:val="-5"/>
                <w:sz w:val="21"/>
                <w:szCs w:val="21"/>
                <w:lang w:eastAsia="zh-CN"/>
              </w:rPr>
              <w:t>分，</w:t>
            </w:r>
            <w:r>
              <w:rPr>
                <w:rFonts w:hint="eastAsia"/>
                <w:sz w:val="21"/>
                <w:szCs w:val="21"/>
                <w:lang w:eastAsia="zh-CN"/>
              </w:rPr>
              <w:t xml:space="preserve"> </w:t>
            </w:r>
            <w:r>
              <w:rPr>
                <w:rFonts w:hint="eastAsia"/>
                <w:spacing w:val="-6"/>
                <w:sz w:val="21"/>
                <w:szCs w:val="21"/>
                <w:lang w:eastAsia="zh-CN"/>
              </w:rPr>
              <w:t>总分</w:t>
            </w:r>
            <w:r>
              <w:rPr>
                <w:rFonts w:hint="eastAsia"/>
                <w:spacing w:val="-25"/>
                <w:sz w:val="21"/>
                <w:szCs w:val="21"/>
                <w:lang w:eastAsia="zh-CN"/>
              </w:rPr>
              <w:t xml:space="preserve"> </w:t>
            </w:r>
            <w:r>
              <w:rPr>
                <w:rFonts w:hint="eastAsia"/>
                <w:spacing w:val="-6"/>
                <w:sz w:val="21"/>
                <w:szCs w:val="21"/>
                <w:lang w:eastAsia="zh-CN"/>
              </w:rPr>
              <w:t>1</w:t>
            </w:r>
            <w:r>
              <w:rPr>
                <w:rFonts w:hint="eastAsia"/>
                <w:spacing w:val="-32"/>
                <w:sz w:val="21"/>
                <w:szCs w:val="21"/>
                <w:lang w:eastAsia="zh-CN"/>
              </w:rPr>
              <w:t xml:space="preserve"> </w:t>
            </w:r>
            <w:r>
              <w:rPr>
                <w:rFonts w:hint="eastAsia"/>
                <w:spacing w:val="-6"/>
                <w:sz w:val="21"/>
                <w:szCs w:val="21"/>
                <w:lang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943" w:hRule="atLeast"/>
          <w:jc w:val="center"/>
        </w:trPr>
        <w:tc>
          <w:tcPr>
            <w:tcW w:w="620" w:type="dxa"/>
            <w:vMerge w:val="continue"/>
          </w:tcPr>
          <w:p>
            <w:pPr>
              <w:rPr>
                <w:rFonts w:ascii="宋体" w:hAnsi="宋体" w:eastAsia="宋体" w:cs="宋体"/>
                <w:sz w:val="21"/>
                <w:szCs w:val="21"/>
              </w:rPr>
            </w:pPr>
          </w:p>
        </w:tc>
        <w:tc>
          <w:tcPr>
            <w:tcW w:w="924" w:type="dxa"/>
            <w:vMerge w:val="continue"/>
          </w:tcPr>
          <w:p>
            <w:pPr>
              <w:rPr>
                <w:rFonts w:ascii="宋体" w:hAnsi="宋体" w:eastAsia="宋体" w:cs="宋体"/>
                <w:sz w:val="21"/>
                <w:szCs w:val="21"/>
              </w:rPr>
            </w:pPr>
          </w:p>
        </w:tc>
        <w:tc>
          <w:tcPr>
            <w:tcW w:w="4658" w:type="dxa"/>
          </w:tcPr>
          <w:p>
            <w:pPr>
              <w:pStyle w:val="104"/>
              <w:spacing w:before="52" w:line="244" w:lineRule="auto"/>
              <w:ind w:left="104" w:right="125"/>
              <w:rPr>
                <w:sz w:val="21"/>
                <w:szCs w:val="21"/>
                <w:lang w:eastAsia="zh-CN"/>
              </w:rPr>
            </w:pPr>
            <w:r>
              <w:rPr>
                <w:rFonts w:hint="eastAsia"/>
                <w:spacing w:val="2"/>
                <w:sz w:val="21"/>
                <w:szCs w:val="21"/>
                <w:lang w:eastAsia="zh-CN"/>
              </w:rPr>
              <w:t>3、制订符合西安市中医院的标准化工作流</w:t>
            </w:r>
            <w:r>
              <w:rPr>
                <w:rFonts w:hint="eastAsia"/>
                <w:spacing w:val="16"/>
                <w:sz w:val="21"/>
                <w:szCs w:val="21"/>
                <w:lang w:eastAsia="zh-CN"/>
              </w:rPr>
              <w:t xml:space="preserve"> </w:t>
            </w:r>
            <w:r>
              <w:rPr>
                <w:rFonts w:hint="eastAsia"/>
                <w:spacing w:val="1"/>
                <w:sz w:val="21"/>
                <w:szCs w:val="21"/>
                <w:lang w:eastAsia="zh-CN"/>
              </w:rPr>
              <w:t>程和管理计划，包括月度、年度、培训、</w:t>
            </w:r>
            <w:r>
              <w:rPr>
                <w:rFonts w:hint="eastAsia"/>
                <w:sz w:val="21"/>
                <w:szCs w:val="21"/>
                <w:lang w:eastAsia="zh-CN"/>
              </w:rPr>
              <w:t>绩效考核和质量控制。</w:t>
            </w:r>
          </w:p>
        </w:tc>
        <w:tc>
          <w:tcPr>
            <w:tcW w:w="3048" w:type="dxa"/>
          </w:tcPr>
          <w:p>
            <w:pPr>
              <w:pStyle w:val="104"/>
              <w:spacing w:before="217" w:line="238" w:lineRule="auto"/>
              <w:ind w:left="137" w:right="94" w:hanging="2"/>
              <w:rPr>
                <w:sz w:val="21"/>
                <w:szCs w:val="21"/>
                <w:lang w:eastAsia="zh-CN"/>
              </w:rPr>
            </w:pPr>
            <w:r>
              <w:rPr>
                <w:rFonts w:hint="eastAsia"/>
                <w:spacing w:val="-9"/>
                <w:sz w:val="21"/>
                <w:szCs w:val="21"/>
                <w:lang w:eastAsia="zh-CN"/>
              </w:rPr>
              <w:t>每缺</w:t>
            </w:r>
            <w:r>
              <w:rPr>
                <w:rFonts w:hint="eastAsia"/>
                <w:spacing w:val="-51"/>
                <w:sz w:val="21"/>
                <w:szCs w:val="21"/>
                <w:lang w:eastAsia="zh-CN"/>
              </w:rPr>
              <w:t xml:space="preserve"> </w:t>
            </w:r>
            <w:r>
              <w:rPr>
                <w:rFonts w:hint="eastAsia"/>
                <w:spacing w:val="-9"/>
                <w:sz w:val="21"/>
                <w:szCs w:val="21"/>
                <w:lang w:eastAsia="zh-CN"/>
              </w:rPr>
              <w:t>1</w:t>
            </w:r>
            <w:r>
              <w:rPr>
                <w:rFonts w:hint="eastAsia"/>
                <w:spacing w:val="-45"/>
                <w:sz w:val="21"/>
                <w:szCs w:val="21"/>
                <w:lang w:eastAsia="zh-CN"/>
              </w:rPr>
              <w:t xml:space="preserve"> </w:t>
            </w:r>
            <w:r>
              <w:rPr>
                <w:rFonts w:hint="eastAsia"/>
                <w:spacing w:val="-9"/>
                <w:sz w:val="21"/>
                <w:szCs w:val="21"/>
                <w:lang w:eastAsia="zh-CN"/>
              </w:rPr>
              <w:t>项，</w:t>
            </w:r>
            <w:r>
              <w:rPr>
                <w:rFonts w:hint="eastAsia"/>
                <w:spacing w:val="-32"/>
                <w:sz w:val="21"/>
                <w:szCs w:val="21"/>
                <w:lang w:eastAsia="zh-CN"/>
              </w:rPr>
              <w:t xml:space="preserve"> </w:t>
            </w:r>
            <w:r>
              <w:rPr>
                <w:rFonts w:hint="eastAsia"/>
                <w:spacing w:val="-9"/>
                <w:sz w:val="21"/>
                <w:szCs w:val="21"/>
                <w:lang w:eastAsia="zh-CN"/>
              </w:rPr>
              <w:t>扣0.2</w:t>
            </w:r>
            <w:r>
              <w:rPr>
                <w:rFonts w:hint="eastAsia"/>
                <w:spacing w:val="-45"/>
                <w:sz w:val="21"/>
                <w:szCs w:val="21"/>
                <w:lang w:eastAsia="zh-CN"/>
              </w:rPr>
              <w:t xml:space="preserve"> </w:t>
            </w:r>
            <w:r>
              <w:rPr>
                <w:rFonts w:hint="eastAsia"/>
                <w:spacing w:val="-9"/>
                <w:sz w:val="21"/>
                <w:szCs w:val="21"/>
                <w:lang w:eastAsia="zh-CN"/>
              </w:rPr>
              <w:t>分，总</w:t>
            </w:r>
            <w:r>
              <w:rPr>
                <w:rFonts w:hint="eastAsia"/>
                <w:sz w:val="21"/>
                <w:szCs w:val="21"/>
                <w:lang w:eastAsia="zh-CN"/>
              </w:rPr>
              <w:t xml:space="preserve"> </w:t>
            </w:r>
            <w:r>
              <w:rPr>
                <w:rFonts w:hint="eastAsia"/>
                <w:spacing w:val="-10"/>
                <w:sz w:val="21"/>
                <w:szCs w:val="21"/>
                <w:lang w:eastAsia="zh-CN"/>
              </w:rPr>
              <w:t>分</w:t>
            </w:r>
            <w:r>
              <w:rPr>
                <w:rFonts w:hint="eastAsia"/>
                <w:spacing w:val="-24"/>
                <w:sz w:val="21"/>
                <w:szCs w:val="21"/>
                <w:lang w:eastAsia="zh-CN"/>
              </w:rPr>
              <w:t xml:space="preserve"> </w:t>
            </w:r>
            <w:r>
              <w:rPr>
                <w:rFonts w:hint="eastAsia"/>
                <w:spacing w:val="-10"/>
                <w:sz w:val="21"/>
                <w:szCs w:val="21"/>
                <w:lang w:eastAsia="zh-CN"/>
              </w:rPr>
              <w:t>1</w:t>
            </w:r>
            <w:r>
              <w:rPr>
                <w:rFonts w:hint="eastAsia"/>
                <w:spacing w:val="-31"/>
                <w:sz w:val="21"/>
                <w:szCs w:val="21"/>
                <w:lang w:eastAsia="zh-CN"/>
              </w:rPr>
              <w:t xml:space="preserve"> </w:t>
            </w:r>
            <w:r>
              <w:rPr>
                <w:rFonts w:hint="eastAsia"/>
                <w:spacing w:val="-10"/>
                <w:sz w:val="21"/>
                <w:szCs w:val="21"/>
                <w:lang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9" w:hRule="atLeast"/>
          <w:jc w:val="center"/>
        </w:trPr>
        <w:tc>
          <w:tcPr>
            <w:tcW w:w="620" w:type="dxa"/>
            <w:vMerge w:val="continue"/>
          </w:tcPr>
          <w:p>
            <w:pPr>
              <w:rPr>
                <w:rFonts w:ascii="宋体" w:hAnsi="宋体" w:eastAsia="宋体" w:cs="宋体"/>
                <w:sz w:val="21"/>
                <w:szCs w:val="21"/>
              </w:rPr>
            </w:pPr>
          </w:p>
        </w:tc>
        <w:tc>
          <w:tcPr>
            <w:tcW w:w="924" w:type="dxa"/>
            <w:vMerge w:val="continue"/>
          </w:tcPr>
          <w:p>
            <w:pPr>
              <w:rPr>
                <w:rFonts w:ascii="宋体" w:hAnsi="宋体" w:eastAsia="宋体" w:cs="宋体"/>
                <w:sz w:val="21"/>
                <w:szCs w:val="21"/>
              </w:rPr>
            </w:pPr>
          </w:p>
        </w:tc>
        <w:tc>
          <w:tcPr>
            <w:tcW w:w="4658" w:type="dxa"/>
          </w:tcPr>
          <w:p>
            <w:pPr>
              <w:pStyle w:val="104"/>
              <w:spacing w:before="204" w:line="224" w:lineRule="auto"/>
              <w:ind w:left="110"/>
              <w:rPr>
                <w:sz w:val="21"/>
                <w:szCs w:val="21"/>
                <w:lang w:eastAsia="zh-CN"/>
              </w:rPr>
            </w:pPr>
            <w:r>
              <w:rPr>
                <w:rFonts w:hint="eastAsia"/>
                <w:spacing w:val="-1"/>
                <w:sz w:val="21"/>
                <w:szCs w:val="21"/>
                <w:lang w:eastAsia="zh-CN"/>
              </w:rPr>
              <w:t>4、每月</w:t>
            </w:r>
            <w:r>
              <w:rPr>
                <w:rFonts w:hint="eastAsia"/>
                <w:spacing w:val="-21"/>
                <w:sz w:val="21"/>
                <w:szCs w:val="21"/>
                <w:lang w:eastAsia="zh-CN"/>
              </w:rPr>
              <w:t xml:space="preserve"> </w:t>
            </w:r>
            <w:r>
              <w:rPr>
                <w:rFonts w:hint="eastAsia"/>
                <w:spacing w:val="-1"/>
                <w:sz w:val="21"/>
                <w:szCs w:val="21"/>
                <w:lang w:eastAsia="zh-CN"/>
              </w:rPr>
              <w:t>1</w:t>
            </w:r>
            <w:r>
              <w:rPr>
                <w:rFonts w:hint="eastAsia"/>
                <w:spacing w:val="-27"/>
                <w:sz w:val="21"/>
                <w:szCs w:val="21"/>
                <w:lang w:eastAsia="zh-CN"/>
              </w:rPr>
              <w:t xml:space="preserve"> </w:t>
            </w:r>
            <w:r>
              <w:rPr>
                <w:rFonts w:hint="eastAsia"/>
                <w:spacing w:val="-1"/>
                <w:sz w:val="21"/>
                <w:szCs w:val="21"/>
                <w:lang w:eastAsia="zh-CN"/>
              </w:rPr>
              <w:t>次患者及医护人员满意度调查</w:t>
            </w:r>
          </w:p>
        </w:tc>
        <w:tc>
          <w:tcPr>
            <w:tcW w:w="3048" w:type="dxa"/>
          </w:tcPr>
          <w:p>
            <w:pPr>
              <w:pStyle w:val="104"/>
              <w:spacing w:before="54" w:line="237" w:lineRule="auto"/>
              <w:ind w:left="137" w:right="82" w:hanging="2"/>
              <w:rPr>
                <w:sz w:val="21"/>
                <w:szCs w:val="21"/>
              </w:rPr>
            </w:pPr>
            <w:r>
              <w:rPr>
                <w:rFonts w:hint="eastAsia"/>
                <w:spacing w:val="-8"/>
                <w:sz w:val="21"/>
                <w:szCs w:val="21"/>
              </w:rPr>
              <w:t>缺</w:t>
            </w:r>
            <w:r>
              <w:rPr>
                <w:rFonts w:hint="eastAsia"/>
                <w:spacing w:val="-19"/>
                <w:sz w:val="21"/>
                <w:szCs w:val="21"/>
              </w:rPr>
              <w:t xml:space="preserve"> </w:t>
            </w:r>
            <w:r>
              <w:rPr>
                <w:rFonts w:hint="eastAsia"/>
                <w:spacing w:val="-8"/>
                <w:sz w:val="21"/>
                <w:szCs w:val="21"/>
              </w:rPr>
              <w:t>1</w:t>
            </w:r>
            <w:r>
              <w:rPr>
                <w:rFonts w:hint="eastAsia"/>
                <w:spacing w:val="-30"/>
                <w:sz w:val="21"/>
                <w:szCs w:val="21"/>
              </w:rPr>
              <w:t xml:space="preserve"> </w:t>
            </w:r>
            <w:r>
              <w:rPr>
                <w:rFonts w:hint="eastAsia"/>
                <w:spacing w:val="-8"/>
                <w:sz w:val="21"/>
                <w:szCs w:val="21"/>
              </w:rPr>
              <w:t>项扣</w:t>
            </w:r>
            <w:r>
              <w:rPr>
                <w:rFonts w:hint="eastAsia"/>
                <w:spacing w:val="-39"/>
                <w:sz w:val="21"/>
                <w:szCs w:val="21"/>
              </w:rPr>
              <w:t xml:space="preserve"> </w:t>
            </w:r>
            <w:r>
              <w:rPr>
                <w:rFonts w:hint="eastAsia"/>
                <w:spacing w:val="-8"/>
                <w:sz w:val="21"/>
                <w:szCs w:val="21"/>
              </w:rPr>
              <w:t>0.5</w:t>
            </w:r>
            <w:r>
              <w:rPr>
                <w:rFonts w:hint="eastAsia"/>
                <w:spacing w:val="-46"/>
                <w:sz w:val="21"/>
                <w:szCs w:val="21"/>
              </w:rPr>
              <w:t xml:space="preserve"> </w:t>
            </w:r>
            <w:r>
              <w:rPr>
                <w:rFonts w:hint="eastAsia"/>
                <w:spacing w:val="-8"/>
                <w:sz w:val="21"/>
                <w:szCs w:val="21"/>
              </w:rPr>
              <w:t>分，总分</w:t>
            </w:r>
            <w:r>
              <w:rPr>
                <w:rFonts w:hint="eastAsia"/>
                <w:spacing w:val="-40"/>
                <w:sz w:val="21"/>
                <w:szCs w:val="21"/>
              </w:rPr>
              <w:t xml:space="preserve"> </w:t>
            </w:r>
            <w:r>
              <w:rPr>
                <w:rFonts w:hint="eastAsia"/>
                <w:spacing w:val="-8"/>
                <w:sz w:val="21"/>
                <w:szCs w:val="21"/>
              </w:rPr>
              <w:t>1</w:t>
            </w:r>
            <w:r>
              <w:rPr>
                <w:rFonts w:hint="eastAsia"/>
                <w:sz w:val="21"/>
                <w:szCs w:val="21"/>
              </w:rPr>
              <w:t xml:space="preserve">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4" w:hRule="atLeast"/>
          <w:jc w:val="center"/>
        </w:trPr>
        <w:tc>
          <w:tcPr>
            <w:tcW w:w="620" w:type="dxa"/>
            <w:vMerge w:val="restart"/>
          </w:tcPr>
          <w:p>
            <w:pPr>
              <w:spacing w:line="270" w:lineRule="auto"/>
              <w:rPr>
                <w:rFonts w:ascii="宋体" w:hAnsi="宋体" w:eastAsia="宋体" w:cs="宋体"/>
                <w:sz w:val="21"/>
                <w:szCs w:val="21"/>
              </w:rPr>
            </w:pPr>
          </w:p>
          <w:p>
            <w:pPr>
              <w:spacing w:line="270" w:lineRule="auto"/>
              <w:rPr>
                <w:rFonts w:ascii="宋体" w:hAnsi="宋体" w:eastAsia="宋体" w:cs="宋体"/>
                <w:sz w:val="21"/>
                <w:szCs w:val="21"/>
              </w:rPr>
            </w:pPr>
          </w:p>
          <w:p>
            <w:pPr>
              <w:spacing w:line="270" w:lineRule="auto"/>
              <w:rPr>
                <w:rFonts w:ascii="宋体" w:hAnsi="宋体" w:eastAsia="宋体" w:cs="宋体"/>
                <w:sz w:val="21"/>
                <w:szCs w:val="21"/>
              </w:rPr>
            </w:pPr>
          </w:p>
          <w:p>
            <w:pPr>
              <w:spacing w:line="270" w:lineRule="auto"/>
              <w:rPr>
                <w:rFonts w:ascii="宋体" w:hAnsi="宋体" w:eastAsia="宋体" w:cs="宋体"/>
                <w:sz w:val="21"/>
                <w:szCs w:val="21"/>
              </w:rPr>
            </w:pPr>
          </w:p>
          <w:p>
            <w:pPr>
              <w:pStyle w:val="104"/>
              <w:spacing w:before="72" w:line="184" w:lineRule="auto"/>
              <w:jc w:val="center"/>
              <w:rPr>
                <w:sz w:val="21"/>
                <w:szCs w:val="21"/>
              </w:rPr>
            </w:pPr>
            <w:r>
              <w:rPr>
                <w:rFonts w:hint="eastAsia"/>
                <w:sz w:val="21"/>
                <w:szCs w:val="21"/>
              </w:rPr>
              <w:t>2</w:t>
            </w:r>
          </w:p>
        </w:tc>
        <w:tc>
          <w:tcPr>
            <w:tcW w:w="924" w:type="dxa"/>
            <w:vMerge w:val="restart"/>
          </w:tcPr>
          <w:p>
            <w:pPr>
              <w:spacing w:line="287" w:lineRule="auto"/>
              <w:rPr>
                <w:rFonts w:ascii="宋体" w:hAnsi="宋体" w:eastAsia="宋体" w:cs="宋体"/>
                <w:sz w:val="21"/>
                <w:szCs w:val="21"/>
              </w:rPr>
            </w:pPr>
          </w:p>
          <w:p>
            <w:pPr>
              <w:spacing w:line="287" w:lineRule="auto"/>
              <w:rPr>
                <w:rFonts w:ascii="宋体" w:hAnsi="宋体" w:eastAsia="宋体" w:cs="宋体"/>
                <w:sz w:val="21"/>
                <w:szCs w:val="21"/>
              </w:rPr>
            </w:pPr>
          </w:p>
          <w:p>
            <w:pPr>
              <w:spacing w:line="287" w:lineRule="auto"/>
              <w:rPr>
                <w:rFonts w:ascii="宋体" w:hAnsi="宋体" w:eastAsia="宋体" w:cs="宋体"/>
                <w:sz w:val="21"/>
                <w:szCs w:val="21"/>
              </w:rPr>
            </w:pPr>
          </w:p>
          <w:p>
            <w:pPr>
              <w:spacing w:line="288" w:lineRule="auto"/>
              <w:rPr>
                <w:rFonts w:ascii="宋体" w:hAnsi="宋体" w:eastAsia="宋体" w:cs="宋体"/>
                <w:sz w:val="21"/>
                <w:szCs w:val="21"/>
              </w:rPr>
            </w:pPr>
          </w:p>
          <w:p>
            <w:pPr>
              <w:pStyle w:val="104"/>
              <w:spacing w:before="71" w:line="244" w:lineRule="auto"/>
              <w:ind w:left="120" w:hanging="3"/>
              <w:jc w:val="center"/>
              <w:rPr>
                <w:sz w:val="21"/>
                <w:szCs w:val="21"/>
              </w:rPr>
            </w:pPr>
            <w:r>
              <w:rPr>
                <w:rFonts w:hint="eastAsia"/>
                <w:spacing w:val="-11"/>
                <w:sz w:val="21"/>
                <w:szCs w:val="21"/>
              </w:rPr>
              <w:t>5</w:t>
            </w:r>
            <w:r>
              <w:rPr>
                <w:rFonts w:hint="eastAsia"/>
                <w:spacing w:val="-44"/>
                <w:sz w:val="21"/>
                <w:szCs w:val="21"/>
              </w:rPr>
              <w:t xml:space="preserve"> </w:t>
            </w:r>
            <w:r>
              <w:rPr>
                <w:rFonts w:hint="eastAsia"/>
                <w:spacing w:val="-11"/>
                <w:sz w:val="21"/>
                <w:szCs w:val="21"/>
              </w:rPr>
              <w:t>分</w:t>
            </w:r>
          </w:p>
        </w:tc>
        <w:tc>
          <w:tcPr>
            <w:tcW w:w="4658" w:type="dxa"/>
          </w:tcPr>
          <w:p>
            <w:pPr>
              <w:pStyle w:val="104"/>
              <w:spacing w:before="55" w:line="230" w:lineRule="auto"/>
              <w:ind w:left="107" w:right="188"/>
              <w:rPr>
                <w:sz w:val="21"/>
                <w:szCs w:val="21"/>
                <w:lang w:eastAsia="zh-CN"/>
              </w:rPr>
            </w:pPr>
            <w:r>
              <w:rPr>
                <w:rFonts w:hint="eastAsia"/>
                <w:spacing w:val="-8"/>
                <w:sz w:val="21"/>
                <w:szCs w:val="21"/>
                <w:lang w:eastAsia="zh-CN"/>
              </w:rPr>
              <w:t>成立一站式服务中心24</w:t>
            </w:r>
            <w:r>
              <w:rPr>
                <w:rFonts w:hint="eastAsia"/>
                <w:spacing w:val="-42"/>
                <w:sz w:val="21"/>
                <w:szCs w:val="21"/>
                <w:lang w:eastAsia="zh-CN"/>
              </w:rPr>
              <w:t xml:space="preserve"> </w:t>
            </w:r>
            <w:r>
              <w:rPr>
                <w:rFonts w:hint="eastAsia"/>
                <w:spacing w:val="-8"/>
                <w:sz w:val="21"/>
                <w:szCs w:val="21"/>
                <w:lang w:eastAsia="zh-CN"/>
              </w:rPr>
              <w:t>小时实时监控员</w:t>
            </w:r>
            <w:r>
              <w:rPr>
                <w:rFonts w:hint="eastAsia"/>
                <w:spacing w:val="4"/>
                <w:sz w:val="21"/>
                <w:szCs w:val="21"/>
                <w:lang w:eastAsia="zh-CN"/>
              </w:rPr>
              <w:t>工作状态及运送服务质量</w:t>
            </w:r>
          </w:p>
        </w:tc>
        <w:tc>
          <w:tcPr>
            <w:tcW w:w="3048" w:type="dxa"/>
            <w:vMerge w:val="restart"/>
          </w:tcPr>
          <w:p>
            <w:pPr>
              <w:spacing w:line="286" w:lineRule="auto"/>
              <w:rPr>
                <w:rFonts w:ascii="宋体" w:hAnsi="宋体" w:eastAsia="宋体" w:cs="宋体"/>
                <w:sz w:val="21"/>
                <w:szCs w:val="21"/>
              </w:rPr>
            </w:pPr>
          </w:p>
          <w:p>
            <w:pPr>
              <w:spacing w:line="287" w:lineRule="auto"/>
              <w:rPr>
                <w:rFonts w:ascii="宋体" w:hAnsi="宋体" w:eastAsia="宋体" w:cs="宋体"/>
                <w:sz w:val="21"/>
                <w:szCs w:val="21"/>
              </w:rPr>
            </w:pPr>
          </w:p>
          <w:p>
            <w:pPr>
              <w:spacing w:line="287" w:lineRule="auto"/>
              <w:rPr>
                <w:rFonts w:ascii="宋体" w:hAnsi="宋体" w:eastAsia="宋体" w:cs="宋体"/>
                <w:sz w:val="21"/>
                <w:szCs w:val="21"/>
              </w:rPr>
            </w:pPr>
          </w:p>
          <w:p>
            <w:pPr>
              <w:spacing w:line="287" w:lineRule="auto"/>
              <w:rPr>
                <w:rFonts w:ascii="宋体" w:hAnsi="宋体" w:eastAsia="宋体" w:cs="宋体"/>
                <w:sz w:val="21"/>
                <w:szCs w:val="21"/>
              </w:rPr>
            </w:pPr>
          </w:p>
          <w:p>
            <w:pPr>
              <w:pStyle w:val="104"/>
              <w:spacing w:before="72" w:line="245" w:lineRule="auto"/>
              <w:ind w:left="137" w:right="82" w:hanging="2"/>
              <w:rPr>
                <w:sz w:val="21"/>
                <w:szCs w:val="21"/>
              </w:rPr>
            </w:pPr>
            <w:r>
              <w:rPr>
                <w:rFonts w:hint="eastAsia"/>
                <w:spacing w:val="-9"/>
                <w:sz w:val="21"/>
                <w:szCs w:val="21"/>
              </w:rPr>
              <w:t>每缺</w:t>
            </w:r>
            <w:r>
              <w:rPr>
                <w:rFonts w:hint="eastAsia"/>
                <w:spacing w:val="-18"/>
                <w:sz w:val="21"/>
                <w:szCs w:val="21"/>
              </w:rPr>
              <w:t xml:space="preserve"> </w:t>
            </w:r>
            <w:r>
              <w:rPr>
                <w:rFonts w:hint="eastAsia"/>
                <w:spacing w:val="-9"/>
                <w:sz w:val="21"/>
                <w:szCs w:val="21"/>
              </w:rPr>
              <w:t>1</w:t>
            </w:r>
            <w:r>
              <w:rPr>
                <w:rFonts w:hint="eastAsia"/>
                <w:spacing w:val="-30"/>
                <w:sz w:val="21"/>
                <w:szCs w:val="21"/>
              </w:rPr>
              <w:t xml:space="preserve"> </w:t>
            </w:r>
            <w:r>
              <w:rPr>
                <w:rFonts w:hint="eastAsia"/>
                <w:spacing w:val="-9"/>
                <w:sz w:val="21"/>
                <w:szCs w:val="21"/>
              </w:rPr>
              <w:t>项扣</w:t>
            </w:r>
            <w:r>
              <w:rPr>
                <w:rFonts w:hint="eastAsia"/>
                <w:spacing w:val="-25"/>
                <w:sz w:val="21"/>
                <w:szCs w:val="21"/>
              </w:rPr>
              <w:t xml:space="preserve"> </w:t>
            </w:r>
            <w:r>
              <w:rPr>
                <w:rFonts w:hint="eastAsia"/>
                <w:spacing w:val="-9"/>
                <w:sz w:val="21"/>
                <w:szCs w:val="21"/>
              </w:rPr>
              <w:t>1</w:t>
            </w:r>
            <w:r>
              <w:rPr>
                <w:rFonts w:hint="eastAsia"/>
                <w:spacing w:val="-46"/>
                <w:sz w:val="21"/>
                <w:szCs w:val="21"/>
              </w:rPr>
              <w:t xml:space="preserve"> </w:t>
            </w:r>
            <w:r>
              <w:rPr>
                <w:rFonts w:hint="eastAsia"/>
                <w:spacing w:val="-9"/>
                <w:sz w:val="21"/>
                <w:szCs w:val="21"/>
              </w:rPr>
              <w:t>分，总分</w:t>
            </w:r>
            <w:r>
              <w:rPr>
                <w:rFonts w:hint="eastAsia"/>
                <w:spacing w:val="-52"/>
                <w:sz w:val="21"/>
                <w:szCs w:val="21"/>
              </w:rPr>
              <w:t xml:space="preserve"> </w:t>
            </w:r>
            <w:r>
              <w:rPr>
                <w:rFonts w:hint="eastAsia"/>
                <w:spacing w:val="-9"/>
                <w:sz w:val="21"/>
                <w:szCs w:val="21"/>
              </w:rPr>
              <w:t>5</w:t>
            </w:r>
            <w:r>
              <w:rPr>
                <w:rFonts w:hint="eastAsia"/>
                <w:sz w:val="21"/>
                <w:szCs w:val="21"/>
              </w:rPr>
              <w:t xml:space="preserve"> 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jc w:val="center"/>
        </w:trPr>
        <w:tc>
          <w:tcPr>
            <w:tcW w:w="620" w:type="dxa"/>
            <w:vMerge w:val="continue"/>
          </w:tcPr>
          <w:p>
            <w:pPr>
              <w:rPr>
                <w:rFonts w:ascii="宋体" w:hAnsi="宋体" w:eastAsia="宋体" w:cs="宋体"/>
                <w:sz w:val="21"/>
                <w:szCs w:val="21"/>
              </w:rPr>
            </w:pPr>
          </w:p>
        </w:tc>
        <w:tc>
          <w:tcPr>
            <w:tcW w:w="924" w:type="dxa"/>
            <w:vMerge w:val="continue"/>
          </w:tcPr>
          <w:p>
            <w:pPr>
              <w:rPr>
                <w:rFonts w:ascii="宋体" w:hAnsi="宋体" w:eastAsia="宋体" w:cs="宋体"/>
                <w:sz w:val="21"/>
                <w:szCs w:val="21"/>
              </w:rPr>
            </w:pPr>
          </w:p>
        </w:tc>
        <w:tc>
          <w:tcPr>
            <w:tcW w:w="4658" w:type="dxa"/>
          </w:tcPr>
          <w:p>
            <w:pPr>
              <w:pStyle w:val="104"/>
              <w:spacing w:before="117" w:line="223" w:lineRule="auto"/>
              <w:ind w:left="105"/>
              <w:rPr>
                <w:sz w:val="21"/>
                <w:szCs w:val="21"/>
                <w:lang w:eastAsia="zh-CN"/>
              </w:rPr>
            </w:pPr>
            <w:r>
              <w:rPr>
                <w:rFonts w:hint="eastAsia"/>
                <w:spacing w:val="3"/>
                <w:sz w:val="21"/>
                <w:szCs w:val="21"/>
                <w:lang w:eastAsia="zh-CN"/>
              </w:rPr>
              <w:t>配备足够的手持机、大屏电视和服务器</w:t>
            </w:r>
          </w:p>
        </w:tc>
        <w:tc>
          <w:tcPr>
            <w:tcW w:w="3048" w:type="dxa"/>
            <w:vMerge w:val="continue"/>
          </w:tcPr>
          <w:p>
            <w:pPr>
              <w:rPr>
                <w:rFonts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8" w:hRule="atLeast"/>
          <w:jc w:val="center"/>
        </w:trPr>
        <w:tc>
          <w:tcPr>
            <w:tcW w:w="620" w:type="dxa"/>
            <w:vMerge w:val="continue"/>
          </w:tcPr>
          <w:p>
            <w:pPr>
              <w:rPr>
                <w:rFonts w:ascii="宋体" w:hAnsi="宋体" w:eastAsia="宋体" w:cs="宋体"/>
                <w:sz w:val="21"/>
                <w:szCs w:val="21"/>
              </w:rPr>
            </w:pPr>
          </w:p>
        </w:tc>
        <w:tc>
          <w:tcPr>
            <w:tcW w:w="924" w:type="dxa"/>
            <w:vMerge w:val="continue"/>
          </w:tcPr>
          <w:p>
            <w:pPr>
              <w:rPr>
                <w:rFonts w:ascii="宋体" w:hAnsi="宋体" w:eastAsia="宋体" w:cs="宋体"/>
                <w:sz w:val="21"/>
                <w:szCs w:val="21"/>
              </w:rPr>
            </w:pPr>
          </w:p>
        </w:tc>
        <w:tc>
          <w:tcPr>
            <w:tcW w:w="4658" w:type="dxa"/>
          </w:tcPr>
          <w:p>
            <w:pPr>
              <w:pStyle w:val="104"/>
              <w:spacing w:before="60" w:line="234" w:lineRule="auto"/>
              <w:ind w:left="109" w:right="245" w:hanging="4"/>
              <w:rPr>
                <w:sz w:val="21"/>
                <w:szCs w:val="21"/>
                <w:lang w:eastAsia="zh-CN"/>
              </w:rPr>
            </w:pPr>
            <w:r>
              <w:rPr>
                <w:rFonts w:hint="eastAsia"/>
                <w:spacing w:val="2"/>
                <w:sz w:val="21"/>
                <w:szCs w:val="21"/>
                <w:lang w:eastAsia="zh-CN"/>
              </w:rPr>
              <w:t>配备足够的标本运送小提篮，并每天清洁</w:t>
            </w:r>
            <w:r>
              <w:rPr>
                <w:rFonts w:hint="eastAsia"/>
                <w:spacing w:val="7"/>
                <w:sz w:val="21"/>
                <w:szCs w:val="21"/>
                <w:lang w:eastAsia="zh-CN"/>
              </w:rPr>
              <w:t xml:space="preserve"> </w:t>
            </w:r>
            <w:r>
              <w:rPr>
                <w:rFonts w:hint="eastAsia"/>
                <w:spacing w:val="-1"/>
                <w:sz w:val="21"/>
                <w:szCs w:val="21"/>
                <w:lang w:eastAsia="zh-CN"/>
              </w:rPr>
              <w:t>消毒</w:t>
            </w:r>
          </w:p>
        </w:tc>
        <w:tc>
          <w:tcPr>
            <w:tcW w:w="3048" w:type="dxa"/>
            <w:vMerge w:val="continue"/>
          </w:tcPr>
          <w:p>
            <w:pPr>
              <w:rPr>
                <w:rFonts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9" w:hRule="atLeast"/>
          <w:jc w:val="center"/>
        </w:trPr>
        <w:tc>
          <w:tcPr>
            <w:tcW w:w="620" w:type="dxa"/>
            <w:vMerge w:val="continue"/>
          </w:tcPr>
          <w:p>
            <w:pPr>
              <w:rPr>
                <w:rFonts w:ascii="宋体" w:hAnsi="宋体" w:eastAsia="宋体" w:cs="宋体"/>
                <w:sz w:val="21"/>
                <w:szCs w:val="21"/>
              </w:rPr>
            </w:pPr>
          </w:p>
        </w:tc>
        <w:tc>
          <w:tcPr>
            <w:tcW w:w="924" w:type="dxa"/>
            <w:vMerge w:val="continue"/>
          </w:tcPr>
          <w:p>
            <w:pPr>
              <w:rPr>
                <w:rFonts w:ascii="宋体" w:hAnsi="宋体" w:eastAsia="宋体" w:cs="宋体"/>
                <w:sz w:val="21"/>
                <w:szCs w:val="21"/>
              </w:rPr>
            </w:pPr>
          </w:p>
        </w:tc>
        <w:tc>
          <w:tcPr>
            <w:tcW w:w="4658" w:type="dxa"/>
          </w:tcPr>
          <w:p>
            <w:pPr>
              <w:pStyle w:val="104"/>
              <w:spacing w:before="61" w:line="234" w:lineRule="auto"/>
              <w:ind w:left="103" w:right="245" w:firstLine="6"/>
              <w:rPr>
                <w:sz w:val="21"/>
                <w:szCs w:val="21"/>
                <w:lang w:eastAsia="zh-CN"/>
              </w:rPr>
            </w:pPr>
            <w:r>
              <w:rPr>
                <w:rFonts w:hint="eastAsia"/>
                <w:spacing w:val="2"/>
                <w:sz w:val="21"/>
                <w:szCs w:val="21"/>
                <w:lang w:eastAsia="zh-CN"/>
              </w:rPr>
              <w:t xml:space="preserve">与医务科、护理部共同确认，建立分级运 </w:t>
            </w:r>
            <w:r>
              <w:rPr>
                <w:rFonts w:hint="eastAsia"/>
                <w:spacing w:val="4"/>
                <w:sz w:val="21"/>
                <w:szCs w:val="21"/>
                <w:lang w:eastAsia="zh-CN"/>
              </w:rPr>
              <w:t>送标准和制度并落实</w:t>
            </w:r>
          </w:p>
        </w:tc>
        <w:tc>
          <w:tcPr>
            <w:tcW w:w="3048" w:type="dxa"/>
            <w:vMerge w:val="continue"/>
          </w:tcPr>
          <w:p>
            <w:pPr>
              <w:rPr>
                <w:rFonts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8" w:hRule="atLeast"/>
          <w:jc w:val="center"/>
        </w:trPr>
        <w:tc>
          <w:tcPr>
            <w:tcW w:w="620" w:type="dxa"/>
            <w:vMerge w:val="continue"/>
          </w:tcPr>
          <w:p>
            <w:pPr>
              <w:rPr>
                <w:rFonts w:ascii="宋体" w:hAnsi="宋体" w:eastAsia="宋体" w:cs="宋体"/>
                <w:sz w:val="21"/>
                <w:szCs w:val="21"/>
              </w:rPr>
            </w:pPr>
          </w:p>
        </w:tc>
        <w:tc>
          <w:tcPr>
            <w:tcW w:w="924" w:type="dxa"/>
            <w:vMerge w:val="continue"/>
          </w:tcPr>
          <w:p>
            <w:pPr>
              <w:rPr>
                <w:rFonts w:ascii="宋体" w:hAnsi="宋体" w:eastAsia="宋体" w:cs="宋体"/>
                <w:sz w:val="21"/>
                <w:szCs w:val="21"/>
              </w:rPr>
            </w:pPr>
          </w:p>
        </w:tc>
        <w:tc>
          <w:tcPr>
            <w:tcW w:w="4658" w:type="dxa"/>
          </w:tcPr>
          <w:p>
            <w:pPr>
              <w:pStyle w:val="104"/>
              <w:spacing w:before="62" w:line="233" w:lineRule="auto"/>
              <w:ind w:left="105" w:right="296"/>
              <w:rPr>
                <w:sz w:val="21"/>
                <w:szCs w:val="21"/>
                <w:lang w:eastAsia="zh-CN"/>
              </w:rPr>
            </w:pPr>
            <w:r>
              <w:rPr>
                <w:rFonts w:hint="eastAsia"/>
                <w:spacing w:val="-1"/>
                <w:sz w:val="21"/>
                <w:szCs w:val="21"/>
                <w:lang w:eastAsia="zh-CN"/>
              </w:rPr>
              <w:t>根据科室特点，不断调整标准运送时间，</w:t>
            </w:r>
            <w:r>
              <w:rPr>
                <w:rFonts w:hint="eastAsia"/>
                <w:spacing w:val="10"/>
                <w:sz w:val="21"/>
                <w:szCs w:val="21"/>
                <w:lang w:eastAsia="zh-CN"/>
              </w:rPr>
              <w:t xml:space="preserve"> </w:t>
            </w:r>
            <w:r>
              <w:rPr>
                <w:rFonts w:hint="eastAsia"/>
                <w:spacing w:val="3"/>
                <w:sz w:val="21"/>
                <w:szCs w:val="21"/>
                <w:lang w:eastAsia="zh-CN"/>
              </w:rPr>
              <w:t>提升运送效率</w:t>
            </w:r>
          </w:p>
        </w:tc>
        <w:tc>
          <w:tcPr>
            <w:tcW w:w="3048" w:type="dxa"/>
            <w:vMerge w:val="continue"/>
          </w:tcPr>
          <w:p>
            <w:pPr>
              <w:rPr>
                <w:rFonts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9" w:hRule="atLeast"/>
          <w:jc w:val="center"/>
        </w:trPr>
        <w:tc>
          <w:tcPr>
            <w:tcW w:w="620" w:type="dxa"/>
            <w:vMerge w:val="restart"/>
          </w:tcPr>
          <w:p>
            <w:pPr>
              <w:spacing w:line="254" w:lineRule="auto"/>
              <w:rPr>
                <w:rFonts w:ascii="宋体" w:hAnsi="宋体" w:eastAsia="宋体" w:cs="宋体"/>
                <w:sz w:val="21"/>
                <w:szCs w:val="21"/>
              </w:rPr>
            </w:pPr>
          </w:p>
          <w:p>
            <w:pPr>
              <w:spacing w:line="255" w:lineRule="auto"/>
              <w:rPr>
                <w:rFonts w:ascii="宋体" w:hAnsi="宋体" w:eastAsia="宋体" w:cs="宋体"/>
                <w:sz w:val="21"/>
                <w:szCs w:val="21"/>
              </w:rPr>
            </w:pPr>
          </w:p>
          <w:p>
            <w:pPr>
              <w:pStyle w:val="104"/>
              <w:spacing w:before="72" w:line="184" w:lineRule="auto"/>
              <w:ind w:left="328"/>
              <w:rPr>
                <w:sz w:val="21"/>
                <w:szCs w:val="21"/>
                <w:lang w:eastAsia="zh-CN"/>
              </w:rPr>
            </w:pPr>
          </w:p>
          <w:p>
            <w:pPr>
              <w:pStyle w:val="104"/>
              <w:spacing w:before="72" w:line="184" w:lineRule="auto"/>
              <w:ind w:left="328"/>
              <w:rPr>
                <w:sz w:val="21"/>
                <w:szCs w:val="21"/>
                <w:lang w:eastAsia="zh-CN"/>
              </w:rPr>
            </w:pPr>
          </w:p>
          <w:p>
            <w:pPr>
              <w:pStyle w:val="104"/>
              <w:spacing w:before="72" w:line="184" w:lineRule="auto"/>
              <w:ind w:left="328"/>
              <w:rPr>
                <w:sz w:val="21"/>
                <w:szCs w:val="21"/>
                <w:lang w:eastAsia="zh-CN"/>
              </w:rPr>
            </w:pPr>
          </w:p>
          <w:p>
            <w:pPr>
              <w:pStyle w:val="104"/>
              <w:spacing w:before="72" w:line="184" w:lineRule="auto"/>
              <w:ind w:left="328"/>
              <w:rPr>
                <w:sz w:val="21"/>
                <w:szCs w:val="21"/>
              </w:rPr>
            </w:pPr>
            <w:r>
              <w:rPr>
                <w:rFonts w:hint="eastAsia"/>
                <w:sz w:val="21"/>
                <w:szCs w:val="21"/>
              </w:rPr>
              <w:t>3</w:t>
            </w:r>
          </w:p>
        </w:tc>
        <w:tc>
          <w:tcPr>
            <w:tcW w:w="924" w:type="dxa"/>
            <w:vMerge w:val="restart"/>
          </w:tcPr>
          <w:p>
            <w:pPr>
              <w:spacing w:line="306" w:lineRule="auto"/>
              <w:rPr>
                <w:rFonts w:ascii="宋体" w:hAnsi="宋体" w:eastAsia="宋体" w:cs="宋体"/>
                <w:sz w:val="21"/>
                <w:szCs w:val="21"/>
              </w:rPr>
            </w:pPr>
          </w:p>
          <w:p>
            <w:pPr>
              <w:spacing w:line="281" w:lineRule="auto"/>
              <w:jc w:val="center"/>
              <w:rPr>
                <w:rFonts w:ascii="宋体" w:hAnsi="宋体" w:eastAsia="宋体" w:cs="宋体"/>
                <w:sz w:val="21"/>
                <w:szCs w:val="21"/>
              </w:rPr>
            </w:pPr>
          </w:p>
          <w:p>
            <w:pPr>
              <w:spacing w:line="281" w:lineRule="auto"/>
              <w:jc w:val="center"/>
              <w:rPr>
                <w:rFonts w:ascii="宋体" w:hAnsi="宋体" w:eastAsia="宋体" w:cs="宋体"/>
                <w:sz w:val="21"/>
                <w:szCs w:val="21"/>
              </w:rPr>
            </w:pPr>
          </w:p>
          <w:p>
            <w:pPr>
              <w:spacing w:line="281" w:lineRule="auto"/>
              <w:jc w:val="center"/>
              <w:rPr>
                <w:rFonts w:ascii="宋体" w:hAnsi="宋体" w:eastAsia="宋体" w:cs="宋体"/>
                <w:sz w:val="21"/>
                <w:szCs w:val="21"/>
              </w:rPr>
            </w:pPr>
          </w:p>
          <w:p>
            <w:pPr>
              <w:spacing w:line="281" w:lineRule="auto"/>
              <w:jc w:val="center"/>
              <w:rPr>
                <w:rFonts w:ascii="宋体" w:hAnsi="宋体" w:eastAsia="宋体" w:cs="宋体"/>
                <w:sz w:val="21"/>
                <w:szCs w:val="21"/>
              </w:rPr>
            </w:pPr>
            <w:r>
              <w:rPr>
                <w:rFonts w:hint="eastAsia" w:ascii="宋体" w:hAnsi="宋体" w:eastAsia="宋体" w:cs="宋体"/>
                <w:sz w:val="21"/>
                <w:szCs w:val="21"/>
              </w:rPr>
              <w:t>10分</w:t>
            </w:r>
          </w:p>
        </w:tc>
        <w:tc>
          <w:tcPr>
            <w:tcW w:w="4658" w:type="dxa"/>
          </w:tcPr>
          <w:p>
            <w:pPr>
              <w:pStyle w:val="104"/>
              <w:spacing w:before="66" w:line="232" w:lineRule="auto"/>
              <w:ind w:left="103" w:right="128" w:firstLine="18"/>
              <w:rPr>
                <w:sz w:val="21"/>
                <w:szCs w:val="21"/>
                <w:lang w:eastAsia="zh-CN"/>
              </w:rPr>
            </w:pPr>
            <w:r>
              <w:rPr>
                <w:rFonts w:hint="eastAsia"/>
                <w:spacing w:val="1"/>
                <w:sz w:val="21"/>
                <w:szCs w:val="21"/>
                <w:lang w:eastAsia="zh-CN"/>
              </w:rPr>
              <w:t>1、常规标准运送：设立循环圈，每小时运</w:t>
            </w:r>
            <w:r>
              <w:rPr>
                <w:rFonts w:hint="eastAsia"/>
                <w:spacing w:val="3"/>
                <w:sz w:val="21"/>
                <w:szCs w:val="21"/>
                <w:lang w:eastAsia="zh-CN"/>
              </w:rPr>
              <w:t>送一次</w:t>
            </w:r>
          </w:p>
        </w:tc>
        <w:tc>
          <w:tcPr>
            <w:tcW w:w="3048" w:type="dxa"/>
            <w:vMerge w:val="restart"/>
          </w:tcPr>
          <w:p>
            <w:pPr>
              <w:spacing w:line="306" w:lineRule="auto"/>
              <w:rPr>
                <w:rFonts w:ascii="宋体" w:hAnsi="宋体" w:eastAsia="宋体" w:cs="宋体"/>
                <w:sz w:val="21"/>
                <w:szCs w:val="21"/>
              </w:rPr>
            </w:pPr>
          </w:p>
          <w:p>
            <w:pPr>
              <w:pStyle w:val="104"/>
              <w:spacing w:before="72" w:line="245" w:lineRule="auto"/>
              <w:ind w:left="137" w:right="82" w:hanging="2"/>
              <w:rPr>
                <w:spacing w:val="-6"/>
                <w:sz w:val="21"/>
                <w:szCs w:val="21"/>
                <w:lang w:eastAsia="zh-CN"/>
              </w:rPr>
            </w:pPr>
          </w:p>
          <w:p>
            <w:pPr>
              <w:pStyle w:val="104"/>
              <w:spacing w:before="72" w:line="245" w:lineRule="auto"/>
              <w:ind w:left="137" w:right="82" w:hanging="2"/>
              <w:rPr>
                <w:spacing w:val="-6"/>
                <w:sz w:val="21"/>
                <w:szCs w:val="21"/>
                <w:lang w:eastAsia="zh-CN"/>
              </w:rPr>
            </w:pPr>
          </w:p>
          <w:p>
            <w:pPr>
              <w:pStyle w:val="104"/>
              <w:spacing w:before="72" w:line="245" w:lineRule="auto"/>
              <w:ind w:left="137" w:right="82" w:hanging="2"/>
              <w:rPr>
                <w:spacing w:val="-6"/>
                <w:sz w:val="21"/>
                <w:szCs w:val="21"/>
                <w:lang w:eastAsia="zh-CN"/>
              </w:rPr>
            </w:pPr>
          </w:p>
          <w:p>
            <w:pPr>
              <w:pStyle w:val="104"/>
              <w:spacing w:before="72" w:line="245" w:lineRule="auto"/>
              <w:ind w:left="137" w:right="82" w:hanging="2"/>
              <w:rPr>
                <w:sz w:val="21"/>
                <w:szCs w:val="21"/>
                <w:lang w:eastAsia="zh-CN"/>
              </w:rPr>
            </w:pPr>
            <w:r>
              <w:rPr>
                <w:rFonts w:hint="eastAsia"/>
                <w:spacing w:val="-6"/>
                <w:sz w:val="21"/>
                <w:szCs w:val="21"/>
                <w:lang w:eastAsia="zh-CN"/>
              </w:rPr>
              <w:t>每发现</w:t>
            </w:r>
            <w:r>
              <w:rPr>
                <w:rFonts w:hint="eastAsia"/>
                <w:spacing w:val="-24"/>
                <w:sz w:val="21"/>
                <w:szCs w:val="21"/>
                <w:lang w:eastAsia="zh-CN"/>
              </w:rPr>
              <w:t xml:space="preserve"> </w:t>
            </w:r>
            <w:r>
              <w:rPr>
                <w:rFonts w:hint="eastAsia"/>
                <w:spacing w:val="-6"/>
                <w:sz w:val="21"/>
                <w:szCs w:val="21"/>
                <w:lang w:eastAsia="zh-CN"/>
              </w:rPr>
              <w:t>1</w:t>
            </w:r>
            <w:r>
              <w:rPr>
                <w:rFonts w:hint="eastAsia"/>
                <w:spacing w:val="-29"/>
                <w:sz w:val="21"/>
                <w:szCs w:val="21"/>
                <w:lang w:eastAsia="zh-CN"/>
              </w:rPr>
              <w:t xml:space="preserve"> </w:t>
            </w:r>
            <w:r>
              <w:rPr>
                <w:rFonts w:hint="eastAsia"/>
                <w:spacing w:val="-6"/>
                <w:sz w:val="21"/>
                <w:szCs w:val="21"/>
                <w:lang w:eastAsia="zh-CN"/>
              </w:rPr>
              <w:t>项不达标，扣</w:t>
            </w:r>
            <w:r>
              <w:rPr>
                <w:rFonts w:hint="eastAsia"/>
                <w:spacing w:val="-41"/>
                <w:sz w:val="21"/>
                <w:szCs w:val="21"/>
                <w:lang w:eastAsia="zh-CN"/>
              </w:rPr>
              <w:t xml:space="preserve"> </w:t>
            </w:r>
            <w:r>
              <w:rPr>
                <w:rFonts w:hint="eastAsia"/>
                <w:spacing w:val="-6"/>
                <w:sz w:val="21"/>
                <w:szCs w:val="21"/>
                <w:lang w:eastAsia="zh-CN"/>
              </w:rPr>
              <w:t>1</w:t>
            </w:r>
            <w:r>
              <w:rPr>
                <w:rFonts w:hint="eastAsia"/>
                <w:sz w:val="21"/>
                <w:szCs w:val="21"/>
                <w:lang w:eastAsia="zh-CN"/>
              </w:rPr>
              <w:t xml:space="preserve"> </w:t>
            </w:r>
            <w:r>
              <w:rPr>
                <w:rFonts w:hint="eastAsia"/>
                <w:spacing w:val="-1"/>
                <w:sz w:val="21"/>
                <w:szCs w:val="21"/>
                <w:lang w:eastAsia="zh-CN"/>
              </w:rPr>
              <w:t>分，总分</w:t>
            </w:r>
            <w:r>
              <w:rPr>
                <w:rFonts w:hint="eastAsia"/>
                <w:spacing w:val="-22"/>
                <w:sz w:val="21"/>
                <w:szCs w:val="21"/>
                <w:lang w:eastAsia="zh-CN"/>
              </w:rPr>
              <w:t xml:space="preserve"> </w:t>
            </w:r>
            <w:r>
              <w:rPr>
                <w:rFonts w:hint="eastAsia"/>
                <w:spacing w:val="-1"/>
                <w:sz w:val="21"/>
                <w:szCs w:val="21"/>
                <w:lang w:eastAsia="zh-CN"/>
              </w:rPr>
              <w:t>10</w:t>
            </w:r>
            <w:r>
              <w:rPr>
                <w:rFonts w:hint="eastAsia"/>
                <w:spacing w:val="-30"/>
                <w:sz w:val="21"/>
                <w:szCs w:val="21"/>
                <w:lang w:eastAsia="zh-CN"/>
              </w:rPr>
              <w:t xml:space="preserve"> </w:t>
            </w:r>
            <w:r>
              <w:rPr>
                <w:rFonts w:hint="eastAsia"/>
                <w:spacing w:val="-1"/>
                <w:sz w:val="21"/>
                <w:szCs w:val="21"/>
                <w:lang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51" w:hRule="atLeast"/>
          <w:jc w:val="center"/>
        </w:trPr>
        <w:tc>
          <w:tcPr>
            <w:tcW w:w="620" w:type="dxa"/>
            <w:vMerge w:val="continue"/>
          </w:tcPr>
          <w:p>
            <w:pPr>
              <w:rPr>
                <w:rFonts w:ascii="宋体" w:hAnsi="宋体" w:eastAsia="宋体" w:cs="宋体"/>
                <w:sz w:val="21"/>
                <w:szCs w:val="21"/>
              </w:rPr>
            </w:pPr>
          </w:p>
        </w:tc>
        <w:tc>
          <w:tcPr>
            <w:tcW w:w="924" w:type="dxa"/>
            <w:vMerge w:val="continue"/>
          </w:tcPr>
          <w:p>
            <w:pPr>
              <w:rPr>
                <w:rFonts w:ascii="宋体" w:hAnsi="宋体" w:eastAsia="宋体" w:cs="宋体"/>
                <w:sz w:val="21"/>
                <w:szCs w:val="21"/>
              </w:rPr>
            </w:pPr>
          </w:p>
        </w:tc>
        <w:tc>
          <w:tcPr>
            <w:tcW w:w="4658" w:type="dxa"/>
          </w:tcPr>
          <w:p>
            <w:pPr>
              <w:pStyle w:val="104"/>
              <w:spacing w:before="66" w:line="241" w:lineRule="auto"/>
              <w:ind w:left="108" w:right="125"/>
              <w:rPr>
                <w:sz w:val="21"/>
                <w:szCs w:val="21"/>
                <w:lang w:eastAsia="zh-CN"/>
              </w:rPr>
            </w:pPr>
            <w:r>
              <w:rPr>
                <w:rFonts w:hint="eastAsia"/>
                <w:spacing w:val="2"/>
                <w:sz w:val="21"/>
                <w:szCs w:val="21"/>
                <w:lang w:eastAsia="zh-CN"/>
              </w:rPr>
              <w:t>2、临时性紧急标本运送：根据医务科、护</w:t>
            </w:r>
            <w:r>
              <w:rPr>
                <w:rFonts w:hint="eastAsia"/>
                <w:spacing w:val="3"/>
                <w:sz w:val="21"/>
                <w:szCs w:val="21"/>
                <w:lang w:eastAsia="zh-CN"/>
              </w:rPr>
              <w:t>理部要求的标准时间进行运送</w:t>
            </w:r>
          </w:p>
        </w:tc>
        <w:tc>
          <w:tcPr>
            <w:tcW w:w="3048" w:type="dxa"/>
            <w:vMerge w:val="continue"/>
          </w:tcPr>
          <w:p>
            <w:pPr>
              <w:rPr>
                <w:rFonts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36" w:hRule="atLeast"/>
          <w:jc w:val="center"/>
        </w:trPr>
        <w:tc>
          <w:tcPr>
            <w:tcW w:w="620" w:type="dxa"/>
            <w:vMerge w:val="continue"/>
          </w:tcPr>
          <w:p>
            <w:pPr>
              <w:rPr>
                <w:rFonts w:ascii="宋体" w:hAnsi="宋体" w:eastAsia="宋体" w:cs="宋体"/>
                <w:sz w:val="21"/>
                <w:szCs w:val="21"/>
              </w:rPr>
            </w:pPr>
          </w:p>
        </w:tc>
        <w:tc>
          <w:tcPr>
            <w:tcW w:w="924" w:type="dxa"/>
            <w:vMerge w:val="continue"/>
          </w:tcPr>
          <w:p>
            <w:pPr>
              <w:rPr>
                <w:rFonts w:ascii="宋体" w:hAnsi="宋体" w:eastAsia="宋体" w:cs="宋体"/>
                <w:sz w:val="21"/>
                <w:szCs w:val="21"/>
              </w:rPr>
            </w:pPr>
          </w:p>
        </w:tc>
        <w:tc>
          <w:tcPr>
            <w:tcW w:w="4658" w:type="dxa"/>
          </w:tcPr>
          <w:p>
            <w:pPr>
              <w:pStyle w:val="104"/>
              <w:spacing w:before="46" w:line="243" w:lineRule="auto"/>
              <w:ind w:left="130" w:right="176" w:hanging="20"/>
              <w:rPr>
                <w:sz w:val="21"/>
                <w:szCs w:val="21"/>
                <w:lang w:eastAsia="zh-CN"/>
              </w:rPr>
            </w:pPr>
            <w:r>
              <w:rPr>
                <w:rFonts w:hint="eastAsia"/>
                <w:spacing w:val="-1"/>
                <w:sz w:val="21"/>
                <w:szCs w:val="21"/>
                <w:lang w:eastAsia="zh-CN"/>
              </w:rPr>
              <w:t>3、运送途中，尽量避开人群密集的地方，</w:t>
            </w:r>
            <w:r>
              <w:rPr>
                <w:rFonts w:hint="eastAsia"/>
                <w:spacing w:val="17"/>
                <w:sz w:val="21"/>
                <w:szCs w:val="21"/>
                <w:lang w:eastAsia="zh-CN"/>
              </w:rPr>
              <w:t xml:space="preserve"> </w:t>
            </w:r>
            <w:r>
              <w:rPr>
                <w:rFonts w:hint="eastAsia"/>
                <w:spacing w:val="1"/>
                <w:sz w:val="21"/>
                <w:szCs w:val="21"/>
                <w:lang w:eastAsia="zh-CN"/>
              </w:rPr>
              <w:t>以免发生碰撞，引起标本洒落或打烂</w:t>
            </w:r>
          </w:p>
        </w:tc>
        <w:tc>
          <w:tcPr>
            <w:tcW w:w="3048" w:type="dxa"/>
            <w:vMerge w:val="continue"/>
          </w:tcPr>
          <w:p>
            <w:pPr>
              <w:rPr>
                <w:rFonts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8" w:hRule="atLeast"/>
          <w:jc w:val="center"/>
        </w:trPr>
        <w:tc>
          <w:tcPr>
            <w:tcW w:w="620" w:type="dxa"/>
            <w:vMerge w:val="continue"/>
          </w:tcPr>
          <w:p>
            <w:pPr>
              <w:rPr>
                <w:rFonts w:ascii="宋体" w:hAnsi="宋体" w:eastAsia="宋体" w:cs="宋体"/>
                <w:sz w:val="21"/>
                <w:szCs w:val="21"/>
              </w:rPr>
            </w:pPr>
          </w:p>
        </w:tc>
        <w:tc>
          <w:tcPr>
            <w:tcW w:w="924" w:type="dxa"/>
            <w:vMerge w:val="continue"/>
          </w:tcPr>
          <w:p>
            <w:pPr>
              <w:rPr>
                <w:rFonts w:ascii="宋体" w:hAnsi="宋体" w:eastAsia="宋体" w:cs="宋体"/>
                <w:sz w:val="21"/>
                <w:szCs w:val="21"/>
              </w:rPr>
            </w:pPr>
          </w:p>
        </w:tc>
        <w:tc>
          <w:tcPr>
            <w:tcW w:w="4658" w:type="dxa"/>
          </w:tcPr>
          <w:p>
            <w:pPr>
              <w:pStyle w:val="104"/>
              <w:spacing w:before="41" w:line="242" w:lineRule="auto"/>
              <w:ind w:left="108" w:right="353" w:hanging="4"/>
              <w:rPr>
                <w:sz w:val="21"/>
                <w:szCs w:val="21"/>
                <w:lang w:eastAsia="zh-CN"/>
              </w:rPr>
            </w:pPr>
            <w:r>
              <w:rPr>
                <w:rFonts w:hint="eastAsia"/>
                <w:spacing w:val="-2"/>
                <w:sz w:val="21"/>
                <w:szCs w:val="21"/>
                <w:lang w:eastAsia="zh-CN"/>
              </w:rPr>
              <w:t>4、发生标本打洒时，</w:t>
            </w:r>
            <w:r>
              <w:rPr>
                <w:rFonts w:hint="eastAsia"/>
                <w:spacing w:val="-27"/>
                <w:sz w:val="21"/>
                <w:szCs w:val="21"/>
                <w:lang w:eastAsia="zh-CN"/>
              </w:rPr>
              <w:t xml:space="preserve"> </w:t>
            </w:r>
            <w:r>
              <w:rPr>
                <w:rFonts w:hint="eastAsia"/>
                <w:spacing w:val="-2"/>
                <w:sz w:val="21"/>
                <w:szCs w:val="21"/>
                <w:lang w:eastAsia="zh-CN"/>
              </w:rPr>
              <w:t>及时报告主管和科</w:t>
            </w:r>
            <w:r>
              <w:rPr>
                <w:rFonts w:hint="eastAsia"/>
                <w:sz w:val="21"/>
                <w:szCs w:val="21"/>
                <w:lang w:eastAsia="zh-CN"/>
              </w:rPr>
              <w:t xml:space="preserve"> </w:t>
            </w:r>
            <w:r>
              <w:rPr>
                <w:rFonts w:hint="eastAsia"/>
                <w:spacing w:val="3"/>
                <w:sz w:val="21"/>
                <w:szCs w:val="21"/>
                <w:lang w:eastAsia="zh-CN"/>
              </w:rPr>
              <w:t>室，不得擅自隐瞒或知情不报</w:t>
            </w:r>
          </w:p>
        </w:tc>
        <w:tc>
          <w:tcPr>
            <w:tcW w:w="3048" w:type="dxa"/>
            <w:vMerge w:val="continue"/>
          </w:tcPr>
          <w:p>
            <w:pPr>
              <w:rPr>
                <w:rFonts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8" w:hRule="atLeast"/>
          <w:jc w:val="center"/>
        </w:trPr>
        <w:tc>
          <w:tcPr>
            <w:tcW w:w="620" w:type="dxa"/>
            <w:vMerge w:val="continue"/>
          </w:tcPr>
          <w:p>
            <w:pPr>
              <w:rPr>
                <w:rFonts w:ascii="宋体" w:hAnsi="宋体" w:eastAsia="宋体" w:cs="宋体"/>
                <w:sz w:val="21"/>
                <w:szCs w:val="21"/>
              </w:rPr>
            </w:pPr>
          </w:p>
        </w:tc>
        <w:tc>
          <w:tcPr>
            <w:tcW w:w="924" w:type="dxa"/>
            <w:vMerge w:val="continue"/>
          </w:tcPr>
          <w:p>
            <w:pPr>
              <w:rPr>
                <w:rFonts w:ascii="宋体" w:hAnsi="宋体" w:eastAsia="宋体" w:cs="宋体"/>
                <w:sz w:val="21"/>
                <w:szCs w:val="21"/>
              </w:rPr>
            </w:pPr>
          </w:p>
        </w:tc>
        <w:tc>
          <w:tcPr>
            <w:tcW w:w="4658" w:type="dxa"/>
          </w:tcPr>
          <w:p>
            <w:pPr>
              <w:pStyle w:val="104"/>
              <w:spacing w:before="208" w:line="224" w:lineRule="auto"/>
              <w:ind w:left="110"/>
              <w:rPr>
                <w:sz w:val="21"/>
                <w:szCs w:val="21"/>
                <w:lang w:eastAsia="zh-CN"/>
              </w:rPr>
            </w:pPr>
            <w:r>
              <w:rPr>
                <w:rFonts w:hint="eastAsia"/>
                <w:spacing w:val="3"/>
                <w:sz w:val="21"/>
                <w:szCs w:val="21"/>
                <w:lang w:eastAsia="zh-CN"/>
              </w:rPr>
              <w:t>5、每次运送完毕及时洗手</w:t>
            </w:r>
          </w:p>
        </w:tc>
        <w:tc>
          <w:tcPr>
            <w:tcW w:w="3048" w:type="dxa"/>
            <w:vMerge w:val="continue"/>
          </w:tcPr>
          <w:p>
            <w:pPr>
              <w:rPr>
                <w:rFonts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28" w:hRule="atLeast"/>
          <w:jc w:val="center"/>
        </w:trPr>
        <w:tc>
          <w:tcPr>
            <w:tcW w:w="620" w:type="dxa"/>
            <w:vMerge w:val="restart"/>
          </w:tcPr>
          <w:p>
            <w:pPr>
              <w:spacing w:line="268" w:lineRule="auto"/>
              <w:rPr>
                <w:rFonts w:ascii="宋体" w:hAnsi="宋体" w:eastAsia="宋体" w:cs="宋体"/>
                <w:sz w:val="21"/>
                <w:szCs w:val="21"/>
              </w:rPr>
            </w:pPr>
          </w:p>
          <w:p>
            <w:pPr>
              <w:spacing w:line="268" w:lineRule="auto"/>
              <w:rPr>
                <w:rFonts w:ascii="宋体" w:hAnsi="宋体" w:eastAsia="宋体" w:cs="宋体"/>
                <w:sz w:val="21"/>
                <w:szCs w:val="21"/>
              </w:rPr>
            </w:pPr>
          </w:p>
          <w:p>
            <w:pPr>
              <w:spacing w:line="268" w:lineRule="auto"/>
              <w:rPr>
                <w:rFonts w:ascii="宋体" w:hAnsi="宋体" w:eastAsia="宋体" w:cs="宋体"/>
                <w:sz w:val="21"/>
                <w:szCs w:val="21"/>
              </w:rPr>
            </w:pPr>
          </w:p>
          <w:p>
            <w:pPr>
              <w:spacing w:line="268" w:lineRule="auto"/>
              <w:rPr>
                <w:rFonts w:ascii="宋体" w:hAnsi="宋体" w:eastAsia="宋体" w:cs="宋体"/>
                <w:sz w:val="21"/>
                <w:szCs w:val="21"/>
              </w:rPr>
            </w:pPr>
          </w:p>
          <w:p>
            <w:pPr>
              <w:spacing w:line="268" w:lineRule="auto"/>
              <w:rPr>
                <w:rFonts w:ascii="宋体" w:hAnsi="宋体" w:eastAsia="宋体" w:cs="宋体"/>
                <w:sz w:val="21"/>
                <w:szCs w:val="21"/>
              </w:rPr>
            </w:pPr>
          </w:p>
          <w:p>
            <w:pPr>
              <w:spacing w:line="268" w:lineRule="auto"/>
              <w:rPr>
                <w:rFonts w:ascii="宋体" w:hAnsi="宋体" w:eastAsia="宋体" w:cs="宋体"/>
                <w:sz w:val="21"/>
                <w:szCs w:val="21"/>
              </w:rPr>
            </w:pPr>
          </w:p>
          <w:p>
            <w:pPr>
              <w:pStyle w:val="104"/>
              <w:spacing w:before="72" w:line="184" w:lineRule="auto"/>
              <w:ind w:left="322"/>
              <w:rPr>
                <w:sz w:val="21"/>
                <w:szCs w:val="21"/>
              </w:rPr>
            </w:pPr>
            <w:r>
              <w:rPr>
                <w:rFonts w:hint="eastAsia"/>
                <w:sz w:val="21"/>
                <w:szCs w:val="21"/>
              </w:rPr>
              <w:t>4</w:t>
            </w:r>
          </w:p>
        </w:tc>
        <w:tc>
          <w:tcPr>
            <w:tcW w:w="924" w:type="dxa"/>
            <w:vMerge w:val="restart"/>
          </w:tcPr>
          <w:p>
            <w:pPr>
              <w:spacing w:line="281" w:lineRule="auto"/>
              <w:rPr>
                <w:rFonts w:ascii="宋体" w:hAnsi="宋体" w:eastAsia="宋体" w:cs="宋体"/>
                <w:sz w:val="21"/>
                <w:szCs w:val="21"/>
              </w:rPr>
            </w:pPr>
          </w:p>
          <w:p>
            <w:pPr>
              <w:spacing w:line="281" w:lineRule="auto"/>
              <w:rPr>
                <w:rFonts w:ascii="宋体" w:hAnsi="宋体" w:eastAsia="宋体" w:cs="宋体"/>
                <w:sz w:val="21"/>
                <w:szCs w:val="21"/>
              </w:rPr>
            </w:pPr>
          </w:p>
          <w:p>
            <w:pPr>
              <w:spacing w:line="281" w:lineRule="auto"/>
              <w:jc w:val="center"/>
              <w:rPr>
                <w:rFonts w:ascii="宋体" w:hAnsi="宋体" w:eastAsia="宋体" w:cs="宋体"/>
                <w:sz w:val="21"/>
                <w:szCs w:val="21"/>
              </w:rPr>
            </w:pPr>
          </w:p>
          <w:p>
            <w:pPr>
              <w:spacing w:line="281" w:lineRule="auto"/>
              <w:jc w:val="center"/>
              <w:rPr>
                <w:rFonts w:ascii="宋体" w:hAnsi="宋体" w:eastAsia="宋体" w:cs="宋体"/>
                <w:sz w:val="21"/>
                <w:szCs w:val="21"/>
              </w:rPr>
            </w:pPr>
          </w:p>
          <w:p>
            <w:pPr>
              <w:spacing w:line="282" w:lineRule="auto"/>
              <w:jc w:val="center"/>
              <w:rPr>
                <w:rFonts w:ascii="宋体" w:hAnsi="宋体" w:eastAsia="宋体" w:cs="宋体"/>
                <w:sz w:val="21"/>
                <w:szCs w:val="21"/>
              </w:rPr>
            </w:pPr>
          </w:p>
          <w:p>
            <w:pPr>
              <w:pStyle w:val="104"/>
              <w:spacing w:before="71" w:line="245" w:lineRule="auto"/>
              <w:ind w:left="117" w:right="70" w:hanging="2"/>
              <w:jc w:val="center"/>
              <w:rPr>
                <w:spacing w:val="3"/>
                <w:sz w:val="21"/>
                <w:szCs w:val="21"/>
              </w:rPr>
            </w:pPr>
          </w:p>
          <w:p>
            <w:pPr>
              <w:pStyle w:val="104"/>
              <w:spacing w:before="71" w:line="245" w:lineRule="auto"/>
              <w:ind w:left="117" w:right="70" w:hanging="2"/>
              <w:jc w:val="center"/>
              <w:rPr>
                <w:sz w:val="21"/>
                <w:szCs w:val="21"/>
                <w:lang w:eastAsia="zh-CN"/>
              </w:rPr>
            </w:pPr>
            <w:r>
              <w:rPr>
                <w:rFonts w:hint="eastAsia"/>
                <w:spacing w:val="3"/>
                <w:sz w:val="21"/>
                <w:szCs w:val="21"/>
              </w:rPr>
              <w:t>10</w:t>
            </w:r>
            <w:r>
              <w:rPr>
                <w:rFonts w:hint="eastAsia"/>
                <w:spacing w:val="3"/>
                <w:sz w:val="21"/>
                <w:szCs w:val="21"/>
                <w:lang w:eastAsia="zh-CN"/>
              </w:rPr>
              <w:t>分</w:t>
            </w:r>
          </w:p>
        </w:tc>
        <w:tc>
          <w:tcPr>
            <w:tcW w:w="4658" w:type="dxa"/>
          </w:tcPr>
          <w:p>
            <w:pPr>
              <w:pStyle w:val="104"/>
              <w:spacing w:before="46" w:line="244" w:lineRule="auto"/>
              <w:ind w:left="110" w:right="141" w:firstLine="12"/>
              <w:rPr>
                <w:sz w:val="21"/>
                <w:szCs w:val="21"/>
                <w:lang w:eastAsia="zh-CN"/>
              </w:rPr>
            </w:pPr>
            <w:r>
              <w:rPr>
                <w:rFonts w:hint="eastAsia"/>
                <w:spacing w:val="1"/>
                <w:sz w:val="21"/>
                <w:szCs w:val="21"/>
                <w:lang w:eastAsia="zh-CN"/>
              </w:rPr>
              <w:t xml:space="preserve">1、每次到科室开始病人送检前，主动跟护 </w:t>
            </w:r>
            <w:r>
              <w:rPr>
                <w:rFonts w:hint="eastAsia"/>
                <w:spacing w:val="2"/>
                <w:sz w:val="21"/>
                <w:szCs w:val="21"/>
                <w:lang w:eastAsia="zh-CN"/>
              </w:rPr>
              <w:t>士站打招呼，获得护士的允许后先登记、</w:t>
            </w:r>
          </w:p>
          <w:p>
            <w:pPr>
              <w:pStyle w:val="104"/>
              <w:spacing w:before="49" w:line="202" w:lineRule="auto"/>
              <w:ind w:left="107"/>
              <w:rPr>
                <w:sz w:val="21"/>
                <w:szCs w:val="21"/>
              </w:rPr>
            </w:pPr>
            <w:r>
              <w:rPr>
                <w:rFonts w:hint="eastAsia"/>
                <w:spacing w:val="1"/>
                <w:sz w:val="21"/>
                <w:szCs w:val="21"/>
              </w:rPr>
              <w:t>再运送</w:t>
            </w:r>
          </w:p>
        </w:tc>
        <w:tc>
          <w:tcPr>
            <w:tcW w:w="3048" w:type="dxa"/>
            <w:vMerge w:val="restart"/>
          </w:tcPr>
          <w:p>
            <w:pPr>
              <w:spacing w:line="281" w:lineRule="auto"/>
              <w:rPr>
                <w:rFonts w:ascii="宋体" w:hAnsi="宋体" w:eastAsia="宋体" w:cs="宋体"/>
                <w:sz w:val="21"/>
                <w:szCs w:val="21"/>
              </w:rPr>
            </w:pPr>
          </w:p>
          <w:p>
            <w:pPr>
              <w:spacing w:line="281" w:lineRule="auto"/>
              <w:rPr>
                <w:rFonts w:ascii="宋体" w:hAnsi="宋体" w:eastAsia="宋体" w:cs="宋体"/>
                <w:sz w:val="21"/>
                <w:szCs w:val="21"/>
              </w:rPr>
            </w:pPr>
          </w:p>
          <w:p>
            <w:pPr>
              <w:spacing w:line="281" w:lineRule="auto"/>
              <w:rPr>
                <w:rFonts w:ascii="宋体" w:hAnsi="宋体" w:eastAsia="宋体" w:cs="宋体"/>
                <w:sz w:val="21"/>
                <w:szCs w:val="21"/>
              </w:rPr>
            </w:pPr>
          </w:p>
          <w:p>
            <w:pPr>
              <w:spacing w:line="281" w:lineRule="auto"/>
              <w:rPr>
                <w:rFonts w:ascii="宋体" w:hAnsi="宋体" w:eastAsia="宋体" w:cs="宋体"/>
                <w:sz w:val="21"/>
                <w:szCs w:val="21"/>
              </w:rPr>
            </w:pPr>
          </w:p>
          <w:p>
            <w:pPr>
              <w:spacing w:line="282" w:lineRule="auto"/>
              <w:rPr>
                <w:rFonts w:ascii="宋体" w:hAnsi="宋体" w:eastAsia="宋体" w:cs="宋体"/>
                <w:sz w:val="21"/>
                <w:szCs w:val="21"/>
              </w:rPr>
            </w:pPr>
          </w:p>
          <w:p>
            <w:pPr>
              <w:pStyle w:val="104"/>
              <w:spacing w:before="71" w:line="245" w:lineRule="auto"/>
              <w:ind w:left="137" w:right="262" w:hanging="2"/>
              <w:rPr>
                <w:sz w:val="21"/>
                <w:szCs w:val="21"/>
                <w:lang w:eastAsia="zh-CN"/>
              </w:rPr>
            </w:pPr>
            <w:r>
              <w:rPr>
                <w:rFonts w:hint="eastAsia"/>
                <w:spacing w:val="-4"/>
                <w:sz w:val="21"/>
                <w:szCs w:val="21"/>
                <w:lang w:eastAsia="zh-CN"/>
              </w:rPr>
              <w:t>每发现</w:t>
            </w:r>
            <w:r>
              <w:rPr>
                <w:rFonts w:hint="eastAsia"/>
                <w:spacing w:val="-25"/>
                <w:sz w:val="21"/>
                <w:szCs w:val="21"/>
                <w:lang w:eastAsia="zh-CN"/>
              </w:rPr>
              <w:t xml:space="preserve"> </w:t>
            </w:r>
            <w:r>
              <w:rPr>
                <w:rFonts w:hint="eastAsia"/>
                <w:spacing w:val="-4"/>
                <w:sz w:val="21"/>
                <w:szCs w:val="21"/>
                <w:lang w:eastAsia="zh-CN"/>
              </w:rPr>
              <w:t>1</w:t>
            </w:r>
            <w:r>
              <w:rPr>
                <w:rFonts w:hint="eastAsia"/>
                <w:spacing w:val="-30"/>
                <w:sz w:val="21"/>
                <w:szCs w:val="21"/>
                <w:lang w:eastAsia="zh-CN"/>
              </w:rPr>
              <w:t xml:space="preserve"> </w:t>
            </w:r>
            <w:r>
              <w:rPr>
                <w:rFonts w:hint="eastAsia"/>
                <w:spacing w:val="-4"/>
                <w:sz w:val="21"/>
                <w:szCs w:val="21"/>
                <w:lang w:eastAsia="zh-CN"/>
              </w:rPr>
              <w:t>项不达标扣</w:t>
            </w:r>
            <w:r>
              <w:rPr>
                <w:rFonts w:hint="eastAsia"/>
                <w:spacing w:val="-25"/>
                <w:sz w:val="21"/>
                <w:szCs w:val="21"/>
                <w:lang w:eastAsia="zh-CN"/>
              </w:rPr>
              <w:t xml:space="preserve"> </w:t>
            </w:r>
            <w:r>
              <w:rPr>
                <w:rFonts w:hint="eastAsia"/>
                <w:spacing w:val="-4"/>
                <w:sz w:val="21"/>
                <w:szCs w:val="21"/>
                <w:lang w:eastAsia="zh-CN"/>
              </w:rPr>
              <w:t>1</w:t>
            </w:r>
            <w:r>
              <w:rPr>
                <w:rFonts w:hint="eastAsia"/>
                <w:sz w:val="21"/>
                <w:szCs w:val="21"/>
                <w:lang w:eastAsia="zh-CN"/>
              </w:rPr>
              <w:t xml:space="preserve"> </w:t>
            </w:r>
            <w:r>
              <w:rPr>
                <w:rFonts w:hint="eastAsia"/>
                <w:spacing w:val="-1"/>
                <w:sz w:val="21"/>
                <w:szCs w:val="21"/>
                <w:lang w:eastAsia="zh-CN"/>
              </w:rPr>
              <w:t>分，总分</w:t>
            </w:r>
            <w:r>
              <w:rPr>
                <w:rFonts w:hint="eastAsia"/>
                <w:spacing w:val="-33"/>
                <w:sz w:val="21"/>
                <w:szCs w:val="21"/>
                <w:lang w:eastAsia="zh-CN"/>
              </w:rPr>
              <w:t xml:space="preserve"> </w:t>
            </w:r>
            <w:r>
              <w:rPr>
                <w:rFonts w:hint="eastAsia"/>
                <w:spacing w:val="-1"/>
                <w:sz w:val="21"/>
                <w:szCs w:val="21"/>
                <w:lang w:eastAsia="zh-CN"/>
              </w:rPr>
              <w:t>5</w:t>
            </w:r>
            <w:r>
              <w:rPr>
                <w:rFonts w:hint="eastAsia"/>
                <w:spacing w:val="-31"/>
                <w:sz w:val="21"/>
                <w:szCs w:val="21"/>
                <w:lang w:eastAsia="zh-CN"/>
              </w:rPr>
              <w:t xml:space="preserve"> </w:t>
            </w:r>
            <w:r>
              <w:rPr>
                <w:rFonts w:hint="eastAsia"/>
                <w:spacing w:val="-1"/>
                <w:sz w:val="21"/>
                <w:szCs w:val="21"/>
                <w:lang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8" w:hRule="atLeast"/>
          <w:jc w:val="center"/>
        </w:trPr>
        <w:tc>
          <w:tcPr>
            <w:tcW w:w="620" w:type="dxa"/>
            <w:vMerge w:val="continue"/>
          </w:tcPr>
          <w:p>
            <w:pPr>
              <w:rPr>
                <w:rFonts w:ascii="宋体" w:hAnsi="宋体" w:eastAsia="宋体" w:cs="宋体"/>
                <w:sz w:val="21"/>
                <w:szCs w:val="21"/>
              </w:rPr>
            </w:pPr>
          </w:p>
        </w:tc>
        <w:tc>
          <w:tcPr>
            <w:tcW w:w="924" w:type="dxa"/>
            <w:vMerge w:val="continue"/>
          </w:tcPr>
          <w:p>
            <w:pPr>
              <w:rPr>
                <w:rFonts w:ascii="宋体" w:hAnsi="宋体" w:eastAsia="宋体" w:cs="宋体"/>
                <w:sz w:val="21"/>
                <w:szCs w:val="21"/>
              </w:rPr>
            </w:pPr>
          </w:p>
        </w:tc>
        <w:tc>
          <w:tcPr>
            <w:tcW w:w="4658" w:type="dxa"/>
          </w:tcPr>
          <w:p>
            <w:pPr>
              <w:pStyle w:val="104"/>
              <w:spacing w:before="65" w:line="232" w:lineRule="auto"/>
              <w:ind w:left="107" w:right="127"/>
              <w:rPr>
                <w:sz w:val="21"/>
                <w:szCs w:val="21"/>
                <w:lang w:eastAsia="zh-CN"/>
              </w:rPr>
            </w:pPr>
            <w:r>
              <w:rPr>
                <w:rFonts w:hint="eastAsia"/>
                <w:spacing w:val="2"/>
                <w:sz w:val="21"/>
                <w:szCs w:val="21"/>
                <w:lang w:eastAsia="zh-CN"/>
              </w:rPr>
              <w:t>2、按医护人员指导使用正确的工具运送病</w:t>
            </w:r>
            <w:r>
              <w:rPr>
                <w:rFonts w:hint="eastAsia"/>
                <w:spacing w:val="10"/>
                <w:sz w:val="21"/>
                <w:szCs w:val="21"/>
                <w:lang w:eastAsia="zh-CN"/>
              </w:rPr>
              <w:t xml:space="preserve"> </w:t>
            </w:r>
            <w:r>
              <w:rPr>
                <w:rFonts w:hint="eastAsia"/>
                <w:sz w:val="21"/>
                <w:szCs w:val="21"/>
                <w:lang w:eastAsia="zh-CN"/>
              </w:rPr>
              <w:t>人</w:t>
            </w:r>
          </w:p>
        </w:tc>
        <w:tc>
          <w:tcPr>
            <w:tcW w:w="3048" w:type="dxa"/>
            <w:vMerge w:val="continue"/>
          </w:tcPr>
          <w:p>
            <w:pPr>
              <w:rPr>
                <w:rFonts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28" w:hRule="atLeast"/>
          <w:jc w:val="center"/>
        </w:trPr>
        <w:tc>
          <w:tcPr>
            <w:tcW w:w="620" w:type="dxa"/>
            <w:vMerge w:val="continue"/>
          </w:tcPr>
          <w:p>
            <w:pPr>
              <w:rPr>
                <w:rFonts w:ascii="宋体" w:hAnsi="宋体" w:eastAsia="宋体" w:cs="宋体"/>
                <w:sz w:val="21"/>
                <w:szCs w:val="21"/>
              </w:rPr>
            </w:pPr>
          </w:p>
        </w:tc>
        <w:tc>
          <w:tcPr>
            <w:tcW w:w="924" w:type="dxa"/>
            <w:vMerge w:val="continue"/>
          </w:tcPr>
          <w:p>
            <w:pPr>
              <w:rPr>
                <w:rFonts w:ascii="宋体" w:hAnsi="宋体" w:eastAsia="宋体" w:cs="宋体"/>
                <w:sz w:val="21"/>
                <w:szCs w:val="21"/>
              </w:rPr>
            </w:pPr>
          </w:p>
        </w:tc>
        <w:tc>
          <w:tcPr>
            <w:tcW w:w="4658" w:type="dxa"/>
          </w:tcPr>
          <w:p>
            <w:pPr>
              <w:pStyle w:val="104"/>
              <w:spacing w:before="67" w:line="231" w:lineRule="auto"/>
              <w:ind w:left="105" w:right="136" w:firstLine="4"/>
              <w:rPr>
                <w:sz w:val="21"/>
                <w:szCs w:val="21"/>
                <w:lang w:eastAsia="zh-CN"/>
              </w:rPr>
            </w:pPr>
            <w:r>
              <w:rPr>
                <w:rFonts w:hint="eastAsia"/>
                <w:spacing w:val="-4"/>
                <w:sz w:val="21"/>
                <w:szCs w:val="21"/>
                <w:lang w:eastAsia="zh-CN"/>
              </w:rPr>
              <w:t>3、运送途中与病人保持友好沟通， 但不能</w:t>
            </w:r>
            <w:r>
              <w:rPr>
                <w:rFonts w:hint="eastAsia"/>
                <w:spacing w:val="8"/>
                <w:sz w:val="21"/>
                <w:szCs w:val="21"/>
                <w:lang w:eastAsia="zh-CN"/>
              </w:rPr>
              <w:t xml:space="preserve"> </w:t>
            </w:r>
            <w:r>
              <w:rPr>
                <w:rFonts w:hint="eastAsia"/>
                <w:spacing w:val="3"/>
                <w:sz w:val="21"/>
                <w:szCs w:val="21"/>
                <w:lang w:eastAsia="zh-CN"/>
              </w:rPr>
              <w:t>询问病人隐私，不泄露病人个人资料</w:t>
            </w:r>
          </w:p>
        </w:tc>
        <w:tc>
          <w:tcPr>
            <w:tcW w:w="3048" w:type="dxa"/>
            <w:vMerge w:val="continue"/>
          </w:tcPr>
          <w:p>
            <w:pPr>
              <w:rPr>
                <w:rFonts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jc w:val="center"/>
        </w:trPr>
        <w:tc>
          <w:tcPr>
            <w:tcW w:w="620" w:type="dxa"/>
            <w:vMerge w:val="continue"/>
          </w:tcPr>
          <w:p>
            <w:pPr>
              <w:rPr>
                <w:rFonts w:ascii="宋体" w:hAnsi="宋体" w:eastAsia="宋体" w:cs="宋体"/>
                <w:sz w:val="21"/>
                <w:szCs w:val="21"/>
              </w:rPr>
            </w:pPr>
          </w:p>
        </w:tc>
        <w:tc>
          <w:tcPr>
            <w:tcW w:w="924" w:type="dxa"/>
            <w:vMerge w:val="continue"/>
          </w:tcPr>
          <w:p>
            <w:pPr>
              <w:rPr>
                <w:rFonts w:ascii="宋体" w:hAnsi="宋体" w:eastAsia="宋体" w:cs="宋体"/>
                <w:sz w:val="21"/>
                <w:szCs w:val="21"/>
              </w:rPr>
            </w:pPr>
          </w:p>
        </w:tc>
        <w:tc>
          <w:tcPr>
            <w:tcW w:w="4658" w:type="dxa"/>
          </w:tcPr>
          <w:p>
            <w:pPr>
              <w:pStyle w:val="104"/>
              <w:spacing w:before="69" w:line="230" w:lineRule="auto"/>
              <w:ind w:left="104" w:right="134"/>
              <w:rPr>
                <w:sz w:val="21"/>
                <w:szCs w:val="21"/>
                <w:lang w:eastAsia="zh-CN"/>
              </w:rPr>
            </w:pPr>
            <w:r>
              <w:rPr>
                <w:rFonts w:hint="eastAsia"/>
                <w:spacing w:val="-6"/>
                <w:sz w:val="21"/>
                <w:szCs w:val="21"/>
                <w:lang w:eastAsia="zh-CN"/>
              </w:rPr>
              <w:t>4、病人送回病房后主动告知护士并做好</w:t>
            </w:r>
            <w:r>
              <w:rPr>
                <w:rFonts w:hint="eastAsia"/>
                <w:spacing w:val="1"/>
                <w:sz w:val="21"/>
                <w:szCs w:val="21"/>
                <w:lang w:eastAsia="zh-CN"/>
              </w:rPr>
              <w:t>记录</w:t>
            </w:r>
          </w:p>
        </w:tc>
        <w:tc>
          <w:tcPr>
            <w:tcW w:w="3048" w:type="dxa"/>
            <w:vMerge w:val="continue"/>
          </w:tcPr>
          <w:p>
            <w:pPr>
              <w:rPr>
                <w:rFonts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131" w:hRule="atLeast"/>
          <w:jc w:val="center"/>
        </w:trPr>
        <w:tc>
          <w:tcPr>
            <w:tcW w:w="620" w:type="dxa"/>
            <w:vMerge w:val="continue"/>
          </w:tcPr>
          <w:p>
            <w:pPr>
              <w:rPr>
                <w:rFonts w:ascii="宋体" w:hAnsi="宋体" w:eastAsia="宋体" w:cs="宋体"/>
                <w:sz w:val="21"/>
                <w:szCs w:val="21"/>
              </w:rPr>
            </w:pPr>
          </w:p>
        </w:tc>
        <w:tc>
          <w:tcPr>
            <w:tcW w:w="924" w:type="dxa"/>
            <w:vMerge w:val="continue"/>
          </w:tcPr>
          <w:p>
            <w:pPr>
              <w:rPr>
                <w:rFonts w:ascii="宋体" w:hAnsi="宋体" w:eastAsia="宋体" w:cs="宋体"/>
                <w:sz w:val="21"/>
                <w:szCs w:val="21"/>
              </w:rPr>
            </w:pPr>
          </w:p>
        </w:tc>
        <w:tc>
          <w:tcPr>
            <w:tcW w:w="4658" w:type="dxa"/>
          </w:tcPr>
          <w:p>
            <w:pPr>
              <w:pStyle w:val="104"/>
              <w:spacing w:before="221" w:line="224" w:lineRule="auto"/>
              <w:ind w:left="110"/>
              <w:rPr>
                <w:sz w:val="21"/>
                <w:szCs w:val="21"/>
                <w:lang w:eastAsia="zh-CN"/>
              </w:rPr>
            </w:pPr>
            <w:r>
              <w:rPr>
                <w:rFonts w:hint="eastAsia"/>
                <w:spacing w:val="2"/>
                <w:sz w:val="21"/>
                <w:szCs w:val="21"/>
                <w:lang w:eastAsia="zh-CN"/>
              </w:rPr>
              <w:t>5、每次运送完毕，工具请及时归位并洗手</w:t>
            </w:r>
          </w:p>
        </w:tc>
        <w:tc>
          <w:tcPr>
            <w:tcW w:w="3048" w:type="dxa"/>
            <w:vMerge w:val="continue"/>
          </w:tcPr>
          <w:p>
            <w:pPr>
              <w:rPr>
                <w:rFonts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jc w:val="center"/>
        </w:trPr>
        <w:tc>
          <w:tcPr>
            <w:tcW w:w="620" w:type="dxa"/>
            <w:vMerge w:val="restart"/>
          </w:tcPr>
          <w:p>
            <w:pPr>
              <w:spacing w:line="264" w:lineRule="auto"/>
              <w:rPr>
                <w:rFonts w:ascii="宋体" w:hAnsi="宋体" w:eastAsia="宋体" w:cs="宋体"/>
                <w:sz w:val="21"/>
                <w:szCs w:val="21"/>
              </w:rPr>
            </w:pPr>
          </w:p>
          <w:p>
            <w:pPr>
              <w:spacing w:line="265" w:lineRule="auto"/>
              <w:rPr>
                <w:rFonts w:ascii="宋体" w:hAnsi="宋体" w:eastAsia="宋体" w:cs="宋体"/>
                <w:sz w:val="21"/>
                <w:szCs w:val="21"/>
              </w:rPr>
            </w:pPr>
          </w:p>
          <w:p>
            <w:pPr>
              <w:spacing w:line="265" w:lineRule="auto"/>
              <w:rPr>
                <w:rFonts w:ascii="宋体" w:hAnsi="宋体" w:eastAsia="宋体" w:cs="宋体"/>
                <w:sz w:val="21"/>
                <w:szCs w:val="21"/>
              </w:rPr>
            </w:pPr>
          </w:p>
          <w:p>
            <w:pPr>
              <w:pStyle w:val="104"/>
              <w:spacing w:before="72" w:line="183" w:lineRule="auto"/>
              <w:ind w:left="328"/>
              <w:rPr>
                <w:sz w:val="21"/>
                <w:szCs w:val="21"/>
              </w:rPr>
            </w:pPr>
            <w:r>
              <w:rPr>
                <w:rFonts w:hint="eastAsia"/>
                <w:sz w:val="21"/>
                <w:szCs w:val="21"/>
              </w:rPr>
              <w:t>5</w:t>
            </w:r>
          </w:p>
        </w:tc>
        <w:tc>
          <w:tcPr>
            <w:tcW w:w="924" w:type="dxa"/>
            <w:vMerge w:val="restart"/>
          </w:tcPr>
          <w:p>
            <w:pPr>
              <w:spacing w:line="284" w:lineRule="auto"/>
              <w:rPr>
                <w:rFonts w:ascii="宋体" w:hAnsi="宋体" w:eastAsia="宋体" w:cs="宋体"/>
                <w:sz w:val="21"/>
                <w:szCs w:val="21"/>
              </w:rPr>
            </w:pPr>
          </w:p>
          <w:p>
            <w:pPr>
              <w:spacing w:line="285" w:lineRule="auto"/>
              <w:rPr>
                <w:rFonts w:ascii="宋体" w:hAnsi="宋体" w:eastAsia="宋体" w:cs="宋体"/>
                <w:sz w:val="21"/>
                <w:szCs w:val="21"/>
              </w:rPr>
            </w:pPr>
          </w:p>
          <w:p>
            <w:pPr>
              <w:spacing w:line="281" w:lineRule="auto"/>
              <w:jc w:val="both"/>
              <w:rPr>
                <w:rFonts w:ascii="宋体" w:hAnsi="宋体" w:eastAsia="宋体" w:cs="宋体"/>
                <w:sz w:val="21"/>
                <w:szCs w:val="21"/>
              </w:rPr>
            </w:pPr>
          </w:p>
          <w:p>
            <w:pPr>
              <w:spacing w:line="281" w:lineRule="auto"/>
              <w:jc w:val="center"/>
              <w:rPr>
                <w:rFonts w:ascii="宋体" w:hAnsi="宋体" w:eastAsia="宋体" w:cs="宋体"/>
                <w:sz w:val="21"/>
                <w:szCs w:val="21"/>
              </w:rPr>
            </w:pPr>
            <w:r>
              <w:rPr>
                <w:rFonts w:hint="eastAsia" w:ascii="宋体" w:hAnsi="宋体" w:eastAsia="宋体" w:cs="宋体"/>
                <w:sz w:val="21"/>
                <w:szCs w:val="21"/>
              </w:rPr>
              <w:t>10分</w:t>
            </w:r>
          </w:p>
        </w:tc>
        <w:tc>
          <w:tcPr>
            <w:tcW w:w="4658" w:type="dxa"/>
          </w:tcPr>
          <w:p>
            <w:pPr>
              <w:pStyle w:val="104"/>
              <w:spacing w:before="239" w:line="224" w:lineRule="auto"/>
              <w:ind w:left="122"/>
              <w:rPr>
                <w:sz w:val="21"/>
                <w:szCs w:val="21"/>
                <w:lang w:eastAsia="zh-CN"/>
              </w:rPr>
            </w:pPr>
            <w:r>
              <w:rPr>
                <w:rFonts w:hint="eastAsia"/>
                <w:spacing w:val="1"/>
                <w:sz w:val="21"/>
                <w:szCs w:val="21"/>
              </w:rPr>
              <w:t>1、运送准确率</w:t>
            </w:r>
            <w:r>
              <w:rPr>
                <w:rFonts w:hint="eastAsia"/>
                <w:spacing w:val="1"/>
                <w:sz w:val="21"/>
                <w:szCs w:val="21"/>
                <w:lang w:eastAsia="zh-CN"/>
              </w:rPr>
              <w:t>达标</w:t>
            </w:r>
          </w:p>
        </w:tc>
        <w:tc>
          <w:tcPr>
            <w:tcW w:w="3048" w:type="dxa"/>
            <w:vMerge w:val="restart"/>
          </w:tcPr>
          <w:p>
            <w:pPr>
              <w:spacing w:line="284" w:lineRule="auto"/>
              <w:rPr>
                <w:rFonts w:ascii="宋体" w:hAnsi="宋体" w:eastAsia="宋体" w:cs="宋体"/>
                <w:sz w:val="21"/>
                <w:szCs w:val="21"/>
              </w:rPr>
            </w:pPr>
          </w:p>
          <w:p>
            <w:pPr>
              <w:spacing w:line="284" w:lineRule="auto"/>
              <w:rPr>
                <w:rFonts w:ascii="宋体" w:hAnsi="宋体" w:eastAsia="宋体" w:cs="宋体"/>
                <w:sz w:val="21"/>
                <w:szCs w:val="21"/>
              </w:rPr>
            </w:pPr>
          </w:p>
          <w:p>
            <w:pPr>
              <w:spacing w:line="284" w:lineRule="auto"/>
              <w:rPr>
                <w:rFonts w:ascii="宋体" w:hAnsi="宋体" w:eastAsia="宋体" w:cs="宋体"/>
                <w:sz w:val="21"/>
                <w:szCs w:val="21"/>
              </w:rPr>
            </w:pPr>
          </w:p>
          <w:p>
            <w:pPr>
              <w:spacing w:line="285" w:lineRule="auto"/>
              <w:rPr>
                <w:rFonts w:ascii="宋体" w:hAnsi="宋体" w:eastAsia="宋体" w:cs="宋体"/>
                <w:sz w:val="21"/>
                <w:szCs w:val="21"/>
              </w:rPr>
            </w:pPr>
          </w:p>
          <w:p>
            <w:pPr>
              <w:pStyle w:val="104"/>
              <w:spacing w:before="72" w:line="244" w:lineRule="auto"/>
              <w:ind w:left="137" w:right="82" w:hanging="2"/>
              <w:rPr>
                <w:sz w:val="21"/>
                <w:szCs w:val="21"/>
                <w:lang w:eastAsia="zh-CN"/>
              </w:rPr>
            </w:pPr>
            <w:r>
              <w:rPr>
                <w:rFonts w:hint="eastAsia"/>
                <w:spacing w:val="-5"/>
                <w:sz w:val="21"/>
                <w:szCs w:val="21"/>
                <w:lang w:eastAsia="zh-CN"/>
              </w:rPr>
              <w:t>每发现</w:t>
            </w:r>
            <w:r>
              <w:rPr>
                <w:rFonts w:hint="eastAsia"/>
                <w:spacing w:val="-21"/>
                <w:sz w:val="21"/>
                <w:szCs w:val="21"/>
                <w:lang w:eastAsia="zh-CN"/>
              </w:rPr>
              <w:t xml:space="preserve"> </w:t>
            </w:r>
            <w:r>
              <w:rPr>
                <w:rFonts w:hint="eastAsia"/>
                <w:spacing w:val="-5"/>
                <w:sz w:val="21"/>
                <w:szCs w:val="21"/>
                <w:lang w:eastAsia="zh-CN"/>
              </w:rPr>
              <w:t>1</w:t>
            </w:r>
            <w:r>
              <w:rPr>
                <w:rFonts w:hint="eastAsia"/>
                <w:spacing w:val="-29"/>
                <w:sz w:val="21"/>
                <w:szCs w:val="21"/>
                <w:lang w:eastAsia="zh-CN"/>
              </w:rPr>
              <w:t xml:space="preserve"> </w:t>
            </w:r>
            <w:r>
              <w:rPr>
                <w:rFonts w:hint="eastAsia"/>
                <w:spacing w:val="-5"/>
                <w:sz w:val="21"/>
                <w:szCs w:val="21"/>
                <w:lang w:eastAsia="zh-CN"/>
              </w:rPr>
              <w:t>项未达到，扣</w:t>
            </w:r>
            <w:r>
              <w:rPr>
                <w:rFonts w:hint="eastAsia"/>
                <w:spacing w:val="-55"/>
                <w:sz w:val="21"/>
                <w:szCs w:val="21"/>
                <w:lang w:eastAsia="zh-CN"/>
              </w:rPr>
              <w:t xml:space="preserve"> </w:t>
            </w:r>
            <w:r>
              <w:rPr>
                <w:rFonts w:hint="eastAsia"/>
                <w:spacing w:val="-5"/>
                <w:sz w:val="21"/>
                <w:szCs w:val="21"/>
                <w:lang w:eastAsia="zh-CN"/>
              </w:rPr>
              <w:t>2</w:t>
            </w:r>
            <w:r>
              <w:rPr>
                <w:rFonts w:hint="eastAsia"/>
                <w:sz w:val="21"/>
                <w:szCs w:val="21"/>
                <w:lang w:eastAsia="zh-CN"/>
              </w:rPr>
              <w:t xml:space="preserve"> </w:t>
            </w:r>
            <w:r>
              <w:rPr>
                <w:rFonts w:hint="eastAsia"/>
                <w:spacing w:val="-14"/>
                <w:sz w:val="21"/>
                <w:szCs w:val="21"/>
                <w:lang w:eastAsia="zh-CN"/>
              </w:rPr>
              <w:t>分，</w:t>
            </w:r>
            <w:r>
              <w:rPr>
                <w:rFonts w:hint="eastAsia"/>
                <w:spacing w:val="-16"/>
                <w:sz w:val="21"/>
                <w:szCs w:val="21"/>
                <w:lang w:eastAsia="zh-CN"/>
              </w:rPr>
              <w:t xml:space="preserve"> </w:t>
            </w:r>
            <w:r>
              <w:rPr>
                <w:rFonts w:hint="eastAsia"/>
                <w:spacing w:val="-14"/>
                <w:sz w:val="21"/>
                <w:szCs w:val="21"/>
                <w:lang w:eastAsia="zh-CN"/>
              </w:rPr>
              <w:t>总分</w:t>
            </w:r>
            <w:r>
              <w:rPr>
                <w:rFonts w:hint="eastAsia"/>
                <w:spacing w:val="-25"/>
                <w:sz w:val="21"/>
                <w:szCs w:val="21"/>
                <w:lang w:eastAsia="zh-CN"/>
              </w:rPr>
              <w:t xml:space="preserve"> </w:t>
            </w:r>
            <w:r>
              <w:rPr>
                <w:rFonts w:hint="eastAsia"/>
                <w:spacing w:val="-14"/>
                <w:sz w:val="21"/>
                <w:szCs w:val="21"/>
                <w:lang w:eastAsia="zh-CN"/>
              </w:rPr>
              <w:t>10</w:t>
            </w:r>
            <w:r>
              <w:rPr>
                <w:rFonts w:hint="eastAsia"/>
                <w:spacing w:val="-30"/>
                <w:sz w:val="21"/>
                <w:szCs w:val="21"/>
                <w:lang w:eastAsia="zh-CN"/>
              </w:rPr>
              <w:t xml:space="preserve"> </w:t>
            </w:r>
            <w:r>
              <w:rPr>
                <w:rFonts w:hint="eastAsia"/>
                <w:spacing w:val="-14"/>
                <w:sz w:val="21"/>
                <w:szCs w:val="21"/>
                <w:lang w:eastAsia="zh-CN"/>
              </w:rPr>
              <w:t>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jc w:val="center"/>
        </w:trPr>
        <w:tc>
          <w:tcPr>
            <w:tcW w:w="620" w:type="dxa"/>
            <w:vMerge w:val="continue"/>
          </w:tcPr>
          <w:p>
            <w:pPr>
              <w:rPr>
                <w:rFonts w:ascii="宋体" w:hAnsi="宋体" w:eastAsia="宋体" w:cs="宋体"/>
                <w:sz w:val="21"/>
                <w:szCs w:val="21"/>
              </w:rPr>
            </w:pPr>
          </w:p>
        </w:tc>
        <w:tc>
          <w:tcPr>
            <w:tcW w:w="924" w:type="dxa"/>
            <w:vMerge w:val="continue"/>
          </w:tcPr>
          <w:p>
            <w:pPr>
              <w:rPr>
                <w:rFonts w:ascii="宋体" w:hAnsi="宋体" w:eastAsia="宋体" w:cs="宋体"/>
                <w:sz w:val="21"/>
                <w:szCs w:val="21"/>
              </w:rPr>
            </w:pPr>
          </w:p>
        </w:tc>
        <w:tc>
          <w:tcPr>
            <w:tcW w:w="4658" w:type="dxa"/>
          </w:tcPr>
          <w:p>
            <w:pPr>
              <w:pStyle w:val="104"/>
              <w:spacing w:before="211" w:line="224" w:lineRule="auto"/>
              <w:ind w:left="108"/>
              <w:rPr>
                <w:sz w:val="21"/>
                <w:szCs w:val="21"/>
              </w:rPr>
            </w:pPr>
            <w:r>
              <w:rPr>
                <w:rFonts w:hint="eastAsia"/>
                <w:spacing w:val="2"/>
                <w:sz w:val="21"/>
                <w:szCs w:val="21"/>
              </w:rPr>
              <w:t>2、运送及时率</w:t>
            </w:r>
            <w:r>
              <w:rPr>
                <w:rFonts w:hint="eastAsia"/>
                <w:spacing w:val="1"/>
                <w:sz w:val="21"/>
                <w:szCs w:val="21"/>
                <w:lang w:eastAsia="zh-CN"/>
              </w:rPr>
              <w:t>达标</w:t>
            </w:r>
          </w:p>
        </w:tc>
        <w:tc>
          <w:tcPr>
            <w:tcW w:w="3048" w:type="dxa"/>
            <w:vMerge w:val="continue"/>
          </w:tcPr>
          <w:p>
            <w:pPr>
              <w:rPr>
                <w:rFonts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jc w:val="center"/>
        </w:trPr>
        <w:tc>
          <w:tcPr>
            <w:tcW w:w="620" w:type="dxa"/>
            <w:vMerge w:val="continue"/>
          </w:tcPr>
          <w:p>
            <w:pPr>
              <w:rPr>
                <w:rFonts w:ascii="宋体" w:hAnsi="宋体" w:eastAsia="宋体" w:cs="宋体"/>
                <w:sz w:val="21"/>
                <w:szCs w:val="21"/>
              </w:rPr>
            </w:pPr>
          </w:p>
        </w:tc>
        <w:tc>
          <w:tcPr>
            <w:tcW w:w="924" w:type="dxa"/>
            <w:vMerge w:val="continue"/>
          </w:tcPr>
          <w:p>
            <w:pPr>
              <w:rPr>
                <w:rFonts w:ascii="宋体" w:hAnsi="宋体" w:eastAsia="宋体" w:cs="宋体"/>
                <w:sz w:val="21"/>
                <w:szCs w:val="21"/>
              </w:rPr>
            </w:pPr>
          </w:p>
        </w:tc>
        <w:tc>
          <w:tcPr>
            <w:tcW w:w="4658" w:type="dxa"/>
          </w:tcPr>
          <w:p>
            <w:pPr>
              <w:pStyle w:val="104"/>
              <w:spacing w:before="228" w:line="224" w:lineRule="auto"/>
              <w:ind w:left="110"/>
              <w:rPr>
                <w:sz w:val="21"/>
                <w:szCs w:val="21"/>
              </w:rPr>
            </w:pPr>
            <w:r>
              <w:rPr>
                <w:rFonts w:hint="eastAsia"/>
                <w:spacing w:val="2"/>
                <w:sz w:val="21"/>
                <w:szCs w:val="21"/>
              </w:rPr>
              <w:t>3、运送安全率</w:t>
            </w:r>
            <w:r>
              <w:rPr>
                <w:rFonts w:hint="eastAsia"/>
                <w:spacing w:val="1"/>
                <w:sz w:val="21"/>
                <w:szCs w:val="21"/>
                <w:lang w:eastAsia="zh-CN"/>
              </w:rPr>
              <w:t>达标</w:t>
            </w:r>
          </w:p>
        </w:tc>
        <w:tc>
          <w:tcPr>
            <w:tcW w:w="3048" w:type="dxa"/>
            <w:vMerge w:val="continue"/>
          </w:tcPr>
          <w:p>
            <w:pPr>
              <w:rPr>
                <w:rFonts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90" w:hRule="atLeast"/>
          <w:jc w:val="center"/>
        </w:trPr>
        <w:tc>
          <w:tcPr>
            <w:tcW w:w="620" w:type="dxa"/>
            <w:vMerge w:val="continue"/>
          </w:tcPr>
          <w:p>
            <w:pPr>
              <w:rPr>
                <w:rFonts w:ascii="宋体" w:hAnsi="宋体" w:eastAsia="宋体" w:cs="宋体"/>
                <w:sz w:val="21"/>
                <w:szCs w:val="21"/>
              </w:rPr>
            </w:pPr>
          </w:p>
        </w:tc>
        <w:tc>
          <w:tcPr>
            <w:tcW w:w="924" w:type="dxa"/>
            <w:vMerge w:val="continue"/>
          </w:tcPr>
          <w:p>
            <w:pPr>
              <w:rPr>
                <w:rFonts w:ascii="宋体" w:hAnsi="宋体" w:eastAsia="宋体" w:cs="宋体"/>
                <w:sz w:val="21"/>
                <w:szCs w:val="21"/>
              </w:rPr>
            </w:pPr>
          </w:p>
        </w:tc>
        <w:tc>
          <w:tcPr>
            <w:tcW w:w="4658" w:type="dxa"/>
          </w:tcPr>
          <w:p>
            <w:pPr>
              <w:pStyle w:val="104"/>
              <w:spacing w:before="156" w:line="224" w:lineRule="auto"/>
              <w:ind w:left="104"/>
              <w:rPr>
                <w:sz w:val="21"/>
                <w:szCs w:val="21"/>
              </w:rPr>
            </w:pPr>
            <w:r>
              <w:rPr>
                <w:rFonts w:hint="eastAsia"/>
                <w:spacing w:val="-1"/>
                <w:sz w:val="21"/>
                <w:szCs w:val="21"/>
              </w:rPr>
              <w:t>4、投诉处理达100%</w:t>
            </w:r>
          </w:p>
        </w:tc>
        <w:tc>
          <w:tcPr>
            <w:tcW w:w="3048" w:type="dxa"/>
            <w:vMerge w:val="continue"/>
          </w:tcPr>
          <w:p>
            <w:pPr>
              <w:rPr>
                <w:rFonts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11" w:hRule="atLeast"/>
          <w:jc w:val="center"/>
        </w:trPr>
        <w:tc>
          <w:tcPr>
            <w:tcW w:w="620" w:type="dxa"/>
            <w:vMerge w:val="continue"/>
          </w:tcPr>
          <w:p>
            <w:pPr>
              <w:rPr>
                <w:rFonts w:ascii="宋体" w:hAnsi="宋体" w:eastAsia="宋体" w:cs="宋体"/>
                <w:sz w:val="21"/>
                <w:szCs w:val="21"/>
              </w:rPr>
            </w:pPr>
          </w:p>
        </w:tc>
        <w:tc>
          <w:tcPr>
            <w:tcW w:w="924" w:type="dxa"/>
            <w:vMerge w:val="continue"/>
          </w:tcPr>
          <w:p>
            <w:pPr>
              <w:rPr>
                <w:rFonts w:ascii="宋体" w:hAnsi="宋体" w:eastAsia="宋体" w:cs="宋体"/>
                <w:sz w:val="21"/>
                <w:szCs w:val="21"/>
              </w:rPr>
            </w:pPr>
          </w:p>
        </w:tc>
        <w:tc>
          <w:tcPr>
            <w:tcW w:w="4658" w:type="dxa"/>
          </w:tcPr>
          <w:p>
            <w:pPr>
              <w:pStyle w:val="104"/>
              <w:spacing w:before="97" w:line="224" w:lineRule="auto"/>
              <w:ind w:left="110"/>
              <w:rPr>
                <w:sz w:val="21"/>
                <w:szCs w:val="21"/>
                <w:lang w:eastAsia="zh-CN"/>
              </w:rPr>
            </w:pPr>
            <w:r>
              <w:rPr>
                <w:rFonts w:hint="eastAsia"/>
                <w:spacing w:val="2"/>
                <w:sz w:val="21"/>
                <w:szCs w:val="21"/>
                <w:lang w:eastAsia="zh-CN"/>
              </w:rPr>
              <w:t>5、患者满意度达到</w:t>
            </w:r>
            <w:r>
              <w:rPr>
                <w:rFonts w:hint="eastAsia"/>
                <w:spacing w:val="-41"/>
                <w:sz w:val="21"/>
                <w:szCs w:val="21"/>
                <w:lang w:eastAsia="zh-CN"/>
              </w:rPr>
              <w:t xml:space="preserve"> </w:t>
            </w:r>
            <w:r>
              <w:rPr>
                <w:rFonts w:hint="eastAsia"/>
                <w:spacing w:val="2"/>
                <w:sz w:val="21"/>
                <w:szCs w:val="21"/>
                <w:lang w:eastAsia="zh-CN"/>
              </w:rPr>
              <w:t>90%及以上</w:t>
            </w:r>
          </w:p>
        </w:tc>
        <w:tc>
          <w:tcPr>
            <w:tcW w:w="3048" w:type="dxa"/>
            <w:vMerge w:val="continue"/>
          </w:tcPr>
          <w:p>
            <w:pPr>
              <w:rPr>
                <w:rFonts w:ascii="宋体" w:hAnsi="宋体" w:eastAsia="宋体" w:cs="宋体"/>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11" w:hRule="atLeast"/>
          <w:jc w:val="center"/>
        </w:trPr>
        <w:tc>
          <w:tcPr>
            <w:tcW w:w="6202" w:type="dxa"/>
            <w:gridSpan w:val="3"/>
          </w:tcPr>
          <w:p>
            <w:pPr>
              <w:pStyle w:val="104"/>
              <w:spacing w:before="97" w:line="224" w:lineRule="auto"/>
              <w:jc w:val="center"/>
              <w:rPr>
                <w:spacing w:val="2"/>
                <w:sz w:val="21"/>
                <w:szCs w:val="21"/>
                <w:lang w:eastAsia="zh-CN"/>
              </w:rPr>
            </w:pPr>
            <w:r>
              <w:rPr>
                <w:rFonts w:hint="eastAsia"/>
                <w:spacing w:val="2"/>
                <w:sz w:val="21"/>
                <w:szCs w:val="21"/>
                <w:lang w:eastAsia="zh-CN"/>
              </w:rPr>
              <w:t>总分</w:t>
            </w:r>
          </w:p>
        </w:tc>
        <w:tc>
          <w:tcPr>
            <w:tcW w:w="3048" w:type="dxa"/>
          </w:tcPr>
          <w:p>
            <w:pPr>
              <w:jc w:val="center"/>
              <w:rPr>
                <w:rFonts w:ascii="宋体" w:hAnsi="宋体" w:eastAsia="宋体" w:cs="宋体"/>
                <w:sz w:val="21"/>
                <w:szCs w:val="21"/>
              </w:rPr>
            </w:pPr>
            <w:r>
              <w:rPr>
                <w:rFonts w:hint="eastAsia" w:ascii="宋体" w:hAnsi="宋体" w:eastAsia="宋体" w:cs="宋体"/>
                <w:sz w:val="21"/>
                <w:szCs w:val="21"/>
              </w:rPr>
              <w:t>100</w:t>
            </w:r>
          </w:p>
        </w:tc>
      </w:tr>
    </w:tbl>
    <w:p>
      <w:pPr>
        <w:rPr>
          <w:rFonts w:ascii="Calibri Light" w:hAnsi="Calibri Light" w:eastAsia="宋体"/>
          <w:b/>
          <w:bCs/>
          <w:kern w:val="30"/>
          <w:szCs w:val="26"/>
        </w:rPr>
      </w:pPr>
      <w:r>
        <w:br w:type="page"/>
      </w:r>
    </w:p>
    <w:p>
      <w:pPr>
        <w:pStyle w:val="4"/>
      </w:pPr>
      <w:r>
        <w:rPr>
          <w:rFonts w:hint="eastAsia"/>
        </w:rPr>
        <w:t>（三）秩序维护服务考核标准</w:t>
      </w:r>
    </w:p>
    <w:tbl>
      <w:tblPr>
        <w:tblStyle w:val="26"/>
        <w:tblW w:w="9269" w:type="dxa"/>
        <w:jc w:val="center"/>
        <w:tblLayout w:type="fixed"/>
        <w:tblCellMar>
          <w:top w:w="0" w:type="dxa"/>
          <w:left w:w="108" w:type="dxa"/>
          <w:bottom w:w="0" w:type="dxa"/>
          <w:right w:w="108" w:type="dxa"/>
        </w:tblCellMar>
      </w:tblPr>
      <w:tblGrid>
        <w:gridCol w:w="648"/>
        <w:gridCol w:w="897"/>
        <w:gridCol w:w="4662"/>
        <w:gridCol w:w="3062"/>
      </w:tblGrid>
      <w:tr>
        <w:tblPrEx>
          <w:tblCellMar>
            <w:top w:w="0" w:type="dxa"/>
            <w:left w:w="108" w:type="dxa"/>
            <w:bottom w:w="0" w:type="dxa"/>
            <w:right w:w="108" w:type="dxa"/>
          </w:tblCellMar>
        </w:tblPrEx>
        <w:trPr>
          <w:trHeight w:val="336" w:hRule="atLeast"/>
          <w:jc w:val="center"/>
        </w:trPr>
        <w:tc>
          <w:tcPr>
            <w:tcW w:w="648"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序号</w:t>
            </w:r>
          </w:p>
        </w:tc>
        <w:tc>
          <w:tcPr>
            <w:tcW w:w="89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分值</w:t>
            </w:r>
          </w:p>
        </w:tc>
        <w:tc>
          <w:tcPr>
            <w:tcW w:w="46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考核内容</w:t>
            </w:r>
          </w:p>
        </w:tc>
        <w:tc>
          <w:tcPr>
            <w:tcW w:w="30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评分标准</w:t>
            </w:r>
          </w:p>
        </w:tc>
      </w:tr>
      <w:tr>
        <w:tblPrEx>
          <w:tblCellMar>
            <w:top w:w="0" w:type="dxa"/>
            <w:left w:w="108" w:type="dxa"/>
            <w:bottom w:w="0" w:type="dxa"/>
            <w:right w:w="108" w:type="dxa"/>
          </w:tblCellMar>
        </w:tblPrEx>
        <w:trPr>
          <w:trHeight w:val="640" w:hRule="atLeast"/>
          <w:jc w:val="center"/>
        </w:trPr>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8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10分</w:t>
            </w:r>
          </w:p>
        </w:tc>
        <w:tc>
          <w:tcPr>
            <w:tcW w:w="4662"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熟悉消防法律法规，消防安全制度，持证上岗，熟练操作设施设备。</w:t>
            </w:r>
          </w:p>
        </w:tc>
        <w:tc>
          <w:tcPr>
            <w:tcW w:w="3062"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每发现 1 项不达标，扣 1 分，总分 10 分</w:t>
            </w:r>
          </w:p>
        </w:tc>
      </w:tr>
      <w:tr>
        <w:tblPrEx>
          <w:tblCellMar>
            <w:top w:w="0" w:type="dxa"/>
            <w:left w:w="108" w:type="dxa"/>
            <w:bottom w:w="0" w:type="dxa"/>
            <w:right w:w="108" w:type="dxa"/>
          </w:tblCellMar>
        </w:tblPrEx>
        <w:trPr>
          <w:trHeight w:val="640" w:hRule="atLeast"/>
          <w:jc w:val="center"/>
        </w:trPr>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8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10分</w:t>
            </w:r>
          </w:p>
        </w:tc>
        <w:tc>
          <w:tcPr>
            <w:tcW w:w="4662"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规范各类表格登记，掌握消防误报、火警处置流程。</w:t>
            </w:r>
          </w:p>
        </w:tc>
        <w:tc>
          <w:tcPr>
            <w:tcW w:w="3062"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每违反 1 项扣 0.5 分， 总分 10分</w:t>
            </w:r>
          </w:p>
        </w:tc>
      </w:tr>
      <w:tr>
        <w:tblPrEx>
          <w:tblCellMar>
            <w:top w:w="0" w:type="dxa"/>
            <w:left w:w="108" w:type="dxa"/>
            <w:bottom w:w="0" w:type="dxa"/>
            <w:right w:w="108" w:type="dxa"/>
          </w:tblCellMar>
        </w:tblPrEx>
        <w:trPr>
          <w:trHeight w:val="640" w:hRule="atLeast"/>
          <w:jc w:val="center"/>
        </w:trPr>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8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10分</w:t>
            </w:r>
          </w:p>
        </w:tc>
        <w:tc>
          <w:tcPr>
            <w:tcW w:w="4662"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懂预防火灾措施、会报警、会扑救初起火灾、会组织人员疏散。</w:t>
            </w:r>
          </w:p>
        </w:tc>
        <w:tc>
          <w:tcPr>
            <w:tcW w:w="3062"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每发现 1 项不达标，扣 1 分，总分 10 分</w:t>
            </w:r>
          </w:p>
        </w:tc>
      </w:tr>
      <w:tr>
        <w:tblPrEx>
          <w:tblCellMar>
            <w:top w:w="0" w:type="dxa"/>
            <w:left w:w="108" w:type="dxa"/>
            <w:bottom w:w="0" w:type="dxa"/>
            <w:right w:w="108" w:type="dxa"/>
          </w:tblCellMar>
        </w:tblPrEx>
        <w:trPr>
          <w:trHeight w:val="209" w:hRule="atLeast"/>
          <w:jc w:val="center"/>
        </w:trPr>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w:t>
            </w:r>
          </w:p>
        </w:tc>
        <w:tc>
          <w:tcPr>
            <w:tcW w:w="8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10分</w:t>
            </w:r>
          </w:p>
        </w:tc>
        <w:tc>
          <w:tcPr>
            <w:tcW w:w="4662"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楼宇公共区域人员、物品管理</w:t>
            </w:r>
          </w:p>
        </w:tc>
        <w:tc>
          <w:tcPr>
            <w:tcW w:w="306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每发现 1 项不达标，扣 1 分</w:t>
            </w:r>
          </w:p>
        </w:tc>
      </w:tr>
      <w:tr>
        <w:tblPrEx>
          <w:tblCellMar>
            <w:top w:w="0" w:type="dxa"/>
            <w:left w:w="108" w:type="dxa"/>
            <w:bottom w:w="0" w:type="dxa"/>
            <w:right w:w="108" w:type="dxa"/>
          </w:tblCellMar>
        </w:tblPrEx>
        <w:trPr>
          <w:trHeight w:val="336" w:hRule="atLeast"/>
          <w:jc w:val="center"/>
        </w:trPr>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w:t>
            </w:r>
          </w:p>
        </w:tc>
        <w:tc>
          <w:tcPr>
            <w:tcW w:w="8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10分</w:t>
            </w:r>
          </w:p>
        </w:tc>
        <w:tc>
          <w:tcPr>
            <w:tcW w:w="4662"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消防设施设备的检查。</w:t>
            </w:r>
          </w:p>
        </w:tc>
        <w:tc>
          <w:tcPr>
            <w:tcW w:w="306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336" w:hRule="atLeast"/>
          <w:jc w:val="center"/>
        </w:trPr>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w:t>
            </w:r>
          </w:p>
        </w:tc>
        <w:tc>
          <w:tcPr>
            <w:tcW w:w="8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10分</w:t>
            </w:r>
          </w:p>
        </w:tc>
        <w:tc>
          <w:tcPr>
            <w:tcW w:w="4662"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及时发现处理各类违章。</w:t>
            </w:r>
          </w:p>
        </w:tc>
        <w:tc>
          <w:tcPr>
            <w:tcW w:w="306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940" w:hRule="atLeast"/>
          <w:jc w:val="center"/>
        </w:trPr>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8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10分</w:t>
            </w:r>
          </w:p>
        </w:tc>
        <w:tc>
          <w:tcPr>
            <w:tcW w:w="4662"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控制各类违禁物品的检查，对出入院内车辆进行有效的引导，与车辆指挥岗保持联动，确保院内通道畅通。</w:t>
            </w:r>
          </w:p>
        </w:tc>
        <w:tc>
          <w:tcPr>
            <w:tcW w:w="3062"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每违反 1 项扣 0.5 分， 总分 10分</w:t>
            </w:r>
          </w:p>
        </w:tc>
      </w:tr>
      <w:tr>
        <w:tblPrEx>
          <w:tblCellMar>
            <w:top w:w="0" w:type="dxa"/>
            <w:left w:w="108" w:type="dxa"/>
            <w:bottom w:w="0" w:type="dxa"/>
            <w:right w:w="108" w:type="dxa"/>
          </w:tblCellMar>
        </w:tblPrEx>
        <w:trPr>
          <w:trHeight w:val="640" w:hRule="atLeast"/>
          <w:jc w:val="center"/>
        </w:trPr>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8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10分</w:t>
            </w:r>
          </w:p>
        </w:tc>
        <w:tc>
          <w:tcPr>
            <w:tcW w:w="4662"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维护院内车辆停放秩序，及时与门岗联动，提高车场停车位的使用频率。</w:t>
            </w:r>
          </w:p>
        </w:tc>
        <w:tc>
          <w:tcPr>
            <w:tcW w:w="3062"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每违反 1 项扣 0.5 分， 总分 10分</w:t>
            </w:r>
          </w:p>
        </w:tc>
      </w:tr>
      <w:tr>
        <w:tblPrEx>
          <w:tblCellMar>
            <w:top w:w="0" w:type="dxa"/>
            <w:left w:w="108" w:type="dxa"/>
            <w:bottom w:w="0" w:type="dxa"/>
            <w:right w:w="108" w:type="dxa"/>
          </w:tblCellMar>
        </w:tblPrEx>
        <w:trPr>
          <w:trHeight w:val="940" w:hRule="atLeast"/>
          <w:jc w:val="center"/>
        </w:trPr>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9</w:t>
            </w:r>
          </w:p>
        </w:tc>
        <w:tc>
          <w:tcPr>
            <w:tcW w:w="8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10分</w:t>
            </w:r>
          </w:p>
        </w:tc>
        <w:tc>
          <w:tcPr>
            <w:tcW w:w="4662"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快速反应及时到场，做到文明执勤礼貌待人，跟进及处置各类突发事件，确保医护人员安全。</w:t>
            </w:r>
          </w:p>
        </w:tc>
        <w:tc>
          <w:tcPr>
            <w:tcW w:w="3062"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每违反 1 项扣 0.5 分， 总分 10分</w:t>
            </w:r>
          </w:p>
        </w:tc>
      </w:tr>
      <w:tr>
        <w:tblPrEx>
          <w:tblCellMar>
            <w:top w:w="0" w:type="dxa"/>
            <w:left w:w="108" w:type="dxa"/>
            <w:bottom w:w="0" w:type="dxa"/>
            <w:right w:w="108" w:type="dxa"/>
          </w:tblCellMar>
        </w:tblPrEx>
        <w:trPr>
          <w:trHeight w:val="940" w:hRule="atLeast"/>
          <w:jc w:val="center"/>
        </w:trPr>
        <w:tc>
          <w:tcPr>
            <w:tcW w:w="64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w:t>
            </w:r>
          </w:p>
        </w:tc>
        <w:tc>
          <w:tcPr>
            <w:tcW w:w="897"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10分</w:t>
            </w:r>
          </w:p>
        </w:tc>
        <w:tc>
          <w:tcPr>
            <w:tcW w:w="4662"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加强医院内部外围巡逻，处置医院各类突发事件，做好各项会议、检查接待工作。</w:t>
            </w:r>
          </w:p>
        </w:tc>
        <w:tc>
          <w:tcPr>
            <w:tcW w:w="3062"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每违反 1 项扣 0.5 分， 总分 10分</w:t>
            </w:r>
          </w:p>
        </w:tc>
      </w:tr>
      <w:tr>
        <w:tblPrEx>
          <w:tblCellMar>
            <w:top w:w="0" w:type="dxa"/>
            <w:left w:w="108" w:type="dxa"/>
            <w:bottom w:w="0" w:type="dxa"/>
            <w:right w:w="108" w:type="dxa"/>
          </w:tblCellMar>
        </w:tblPrEx>
        <w:trPr>
          <w:trHeight w:val="336" w:hRule="atLeast"/>
          <w:jc w:val="center"/>
        </w:trPr>
        <w:tc>
          <w:tcPr>
            <w:tcW w:w="620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总分</w:t>
            </w:r>
          </w:p>
        </w:tc>
        <w:tc>
          <w:tcPr>
            <w:tcW w:w="306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100</w:t>
            </w:r>
          </w:p>
        </w:tc>
      </w:tr>
    </w:tbl>
    <w:p>
      <w:pPr>
        <w:ind w:firstLine="480" w:firstLineChars="200"/>
        <w:jc w:val="both"/>
        <w:rPr>
          <w:rFonts w:ascii="宋体" w:hAnsi="宋体" w:eastAsia="宋体" w:cs="宋体"/>
        </w:rPr>
      </w:pPr>
    </w:p>
    <w:p>
      <w:pPr>
        <w:rPr>
          <w:rFonts w:ascii="宋体" w:hAnsi="宋体" w:eastAsia="宋体" w:cs="宋体"/>
        </w:rPr>
      </w:pPr>
      <w:r>
        <w:rPr>
          <w:rFonts w:ascii="宋体" w:hAnsi="宋体" w:eastAsia="宋体" w:cs="宋体"/>
        </w:rPr>
        <w:br w:type="page"/>
      </w:r>
    </w:p>
    <w:p>
      <w:pPr>
        <w:pStyle w:val="4"/>
      </w:pPr>
      <w:r>
        <w:rPr>
          <w:rFonts w:hint="eastAsia"/>
        </w:rPr>
        <w:t>（三）工程设施设备日常运行及维护维修服务考核标准</w:t>
      </w:r>
    </w:p>
    <w:tbl>
      <w:tblPr>
        <w:tblStyle w:val="26"/>
        <w:tblW w:w="9241" w:type="dxa"/>
        <w:jc w:val="center"/>
        <w:tblLayout w:type="autofit"/>
        <w:tblCellMar>
          <w:top w:w="0" w:type="dxa"/>
          <w:left w:w="108" w:type="dxa"/>
          <w:bottom w:w="0" w:type="dxa"/>
          <w:right w:w="108" w:type="dxa"/>
        </w:tblCellMar>
      </w:tblPr>
      <w:tblGrid>
        <w:gridCol w:w="634"/>
        <w:gridCol w:w="883"/>
        <w:gridCol w:w="4690"/>
        <w:gridCol w:w="3034"/>
      </w:tblGrid>
      <w:tr>
        <w:tblPrEx>
          <w:tblCellMar>
            <w:top w:w="0" w:type="dxa"/>
            <w:left w:w="108" w:type="dxa"/>
            <w:bottom w:w="0" w:type="dxa"/>
            <w:right w:w="108" w:type="dxa"/>
          </w:tblCellMar>
        </w:tblPrEx>
        <w:trPr>
          <w:trHeight w:val="336" w:hRule="atLeast"/>
          <w:jc w:val="center"/>
        </w:trPr>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序号</w:t>
            </w:r>
          </w:p>
        </w:tc>
        <w:tc>
          <w:tcPr>
            <w:tcW w:w="88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b/>
                <w:bCs/>
                <w:color w:val="000000"/>
                <w:sz w:val="21"/>
                <w:szCs w:val="21"/>
              </w:rPr>
            </w:pPr>
            <w:r>
              <w:rPr>
                <w:rFonts w:hint="eastAsia" w:ascii="宋体" w:hAnsi="宋体" w:eastAsia="宋体" w:cs="宋体"/>
                <w:b/>
                <w:bCs/>
                <w:color w:val="000000"/>
                <w:sz w:val="21"/>
                <w:szCs w:val="21"/>
                <w:lang w:bidi="ar"/>
              </w:rPr>
              <w:t>分值</w:t>
            </w:r>
          </w:p>
        </w:tc>
        <w:tc>
          <w:tcPr>
            <w:tcW w:w="4690" w:type="dxa"/>
            <w:tcBorders>
              <w:top w:val="single" w:color="000000" w:sz="4" w:space="0"/>
              <w:left w:val="single" w:color="000000" w:sz="4" w:space="0"/>
              <w:bottom w:val="single" w:color="000000" w:sz="4" w:space="0"/>
              <w:right w:val="single" w:color="000000" w:sz="4" w:space="0"/>
            </w:tcBorders>
            <w:shd w:val="clear" w:color="auto" w:fill="auto"/>
          </w:tcPr>
          <w:p>
            <w:pPr>
              <w:jc w:val="center"/>
              <w:textAlignment w:val="top"/>
              <w:rPr>
                <w:rFonts w:ascii="宋体" w:hAnsi="宋体" w:eastAsia="宋体" w:cs="宋体"/>
                <w:b/>
                <w:bCs/>
                <w:color w:val="000000"/>
                <w:sz w:val="21"/>
                <w:szCs w:val="21"/>
              </w:rPr>
            </w:pPr>
            <w:r>
              <w:rPr>
                <w:rFonts w:hint="eastAsia" w:ascii="宋体" w:hAnsi="宋体" w:eastAsia="宋体" w:cs="宋体"/>
                <w:b/>
                <w:bCs/>
                <w:color w:val="000000"/>
                <w:sz w:val="21"/>
                <w:szCs w:val="21"/>
                <w:lang w:bidi="ar"/>
              </w:rPr>
              <w:t>考核内容细则</w:t>
            </w:r>
          </w:p>
        </w:tc>
        <w:tc>
          <w:tcPr>
            <w:tcW w:w="3034" w:type="dxa"/>
            <w:tcBorders>
              <w:top w:val="single" w:color="000000" w:sz="4" w:space="0"/>
              <w:left w:val="single" w:color="000000" w:sz="4" w:space="0"/>
              <w:bottom w:val="single" w:color="000000" w:sz="4" w:space="0"/>
              <w:right w:val="single" w:color="000000" w:sz="4" w:space="0"/>
            </w:tcBorders>
            <w:shd w:val="clear" w:color="auto" w:fill="auto"/>
            <w:vAlign w:val="bottom"/>
          </w:tcPr>
          <w:p>
            <w:pPr>
              <w:jc w:val="center"/>
              <w:textAlignment w:val="bottom"/>
              <w:rPr>
                <w:rFonts w:ascii="宋体" w:hAnsi="宋体" w:eastAsia="宋体" w:cs="宋体"/>
                <w:b/>
                <w:bCs/>
                <w:color w:val="000000"/>
                <w:sz w:val="21"/>
                <w:szCs w:val="21"/>
              </w:rPr>
            </w:pPr>
            <w:r>
              <w:rPr>
                <w:rFonts w:hint="eastAsia" w:ascii="宋体" w:hAnsi="宋体" w:eastAsia="宋体" w:cs="宋体"/>
                <w:b/>
                <w:bCs/>
                <w:color w:val="000000"/>
                <w:sz w:val="21"/>
                <w:szCs w:val="21"/>
                <w:lang w:bidi="ar"/>
              </w:rPr>
              <w:t>评分标准</w:t>
            </w:r>
          </w:p>
        </w:tc>
      </w:tr>
      <w:tr>
        <w:tblPrEx>
          <w:tblCellMar>
            <w:top w:w="0" w:type="dxa"/>
            <w:left w:w="108" w:type="dxa"/>
            <w:bottom w:w="0" w:type="dxa"/>
            <w:right w:w="108" w:type="dxa"/>
          </w:tblCellMar>
        </w:tblPrEx>
        <w:trPr>
          <w:trHeight w:val="460" w:hRule="atLeast"/>
          <w:jc w:val="center"/>
        </w:trPr>
        <w:tc>
          <w:tcPr>
            <w:tcW w:w="63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w:t>
            </w:r>
          </w:p>
        </w:tc>
        <w:tc>
          <w:tcPr>
            <w:tcW w:w="88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10分</w:t>
            </w:r>
          </w:p>
        </w:tc>
        <w:tc>
          <w:tcPr>
            <w:tcW w:w="4690" w:type="dxa"/>
            <w:vMerge w:val="restart"/>
            <w:tcBorders>
              <w:top w:val="single" w:color="000000" w:sz="4" w:space="0"/>
              <w:left w:val="single" w:color="000000" w:sz="4" w:space="0"/>
              <w:bottom w:val="single" w:color="000000" w:sz="4" w:space="0"/>
              <w:right w:val="single" w:color="000000" w:sz="4" w:space="0"/>
            </w:tcBorders>
            <w:shd w:val="clear" w:color="auto" w:fill="auto"/>
          </w:tcPr>
          <w:p>
            <w:pPr>
              <w:jc w:val="both"/>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在合同界定范围内，因巡检不到位、操作不当、管理缺失等发生安全事故及为医院带来负面影响均视为考核不合格；考核不合格不得分</w:t>
            </w:r>
          </w:p>
        </w:tc>
        <w:tc>
          <w:tcPr>
            <w:tcW w:w="303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出现一例，该项不合格</w:t>
            </w:r>
          </w:p>
        </w:tc>
      </w:tr>
      <w:tr>
        <w:tblPrEx>
          <w:tblCellMar>
            <w:top w:w="0" w:type="dxa"/>
            <w:left w:w="108" w:type="dxa"/>
            <w:bottom w:w="0" w:type="dxa"/>
            <w:right w:w="108" w:type="dxa"/>
          </w:tblCellMar>
        </w:tblPrEx>
        <w:trPr>
          <w:trHeight w:val="460" w:hRule="atLeast"/>
          <w:jc w:val="center"/>
        </w:trPr>
        <w:tc>
          <w:tcPr>
            <w:tcW w:w="6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8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4690" w:type="dxa"/>
            <w:vMerge w:val="continue"/>
            <w:tcBorders>
              <w:top w:val="single" w:color="000000" w:sz="4" w:space="0"/>
              <w:left w:val="single" w:color="000000" w:sz="4" w:space="0"/>
              <w:bottom w:val="single" w:color="000000" w:sz="4" w:space="0"/>
              <w:right w:val="single" w:color="000000" w:sz="4" w:space="0"/>
            </w:tcBorders>
            <w:shd w:val="clear" w:color="auto" w:fill="auto"/>
          </w:tcPr>
          <w:p>
            <w:pPr>
              <w:jc w:val="both"/>
              <w:rPr>
                <w:rFonts w:ascii="宋体" w:hAnsi="宋体" w:eastAsia="宋体" w:cs="宋体"/>
                <w:color w:val="000000"/>
                <w:sz w:val="21"/>
                <w:szCs w:val="21"/>
              </w:rPr>
            </w:pPr>
          </w:p>
        </w:tc>
        <w:tc>
          <w:tcPr>
            <w:tcW w:w="30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460" w:hRule="atLeast"/>
          <w:jc w:val="center"/>
        </w:trPr>
        <w:tc>
          <w:tcPr>
            <w:tcW w:w="6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8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4690" w:type="dxa"/>
            <w:vMerge w:val="continue"/>
            <w:tcBorders>
              <w:top w:val="single" w:color="000000" w:sz="4" w:space="0"/>
              <w:left w:val="single" w:color="000000" w:sz="4" w:space="0"/>
              <w:bottom w:val="single" w:color="000000" w:sz="4" w:space="0"/>
              <w:right w:val="single" w:color="000000" w:sz="4" w:space="0"/>
            </w:tcBorders>
            <w:shd w:val="clear" w:color="auto" w:fill="auto"/>
          </w:tcPr>
          <w:p>
            <w:pPr>
              <w:jc w:val="both"/>
              <w:rPr>
                <w:rFonts w:ascii="宋体" w:hAnsi="宋体" w:eastAsia="宋体" w:cs="宋体"/>
                <w:color w:val="000000"/>
                <w:sz w:val="21"/>
                <w:szCs w:val="21"/>
              </w:rPr>
            </w:pPr>
          </w:p>
        </w:tc>
        <w:tc>
          <w:tcPr>
            <w:tcW w:w="30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460" w:hRule="atLeast"/>
          <w:jc w:val="center"/>
        </w:trPr>
        <w:tc>
          <w:tcPr>
            <w:tcW w:w="6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8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4690" w:type="dxa"/>
            <w:vMerge w:val="continue"/>
            <w:tcBorders>
              <w:top w:val="single" w:color="000000" w:sz="4" w:space="0"/>
              <w:left w:val="single" w:color="000000" w:sz="4" w:space="0"/>
              <w:bottom w:val="single" w:color="000000" w:sz="4" w:space="0"/>
              <w:right w:val="single" w:color="000000" w:sz="4" w:space="0"/>
            </w:tcBorders>
            <w:shd w:val="clear" w:color="auto" w:fill="auto"/>
          </w:tcPr>
          <w:p>
            <w:pPr>
              <w:jc w:val="both"/>
              <w:rPr>
                <w:rFonts w:ascii="宋体" w:hAnsi="宋体" w:eastAsia="宋体" w:cs="宋体"/>
                <w:color w:val="000000"/>
                <w:sz w:val="21"/>
                <w:szCs w:val="21"/>
              </w:rPr>
            </w:pPr>
          </w:p>
        </w:tc>
        <w:tc>
          <w:tcPr>
            <w:tcW w:w="30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2500" w:hRule="atLeast"/>
          <w:jc w:val="center"/>
        </w:trPr>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w:t>
            </w:r>
          </w:p>
        </w:tc>
        <w:tc>
          <w:tcPr>
            <w:tcW w:w="88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5分</w:t>
            </w:r>
          </w:p>
        </w:tc>
        <w:tc>
          <w:tcPr>
            <w:tcW w:w="4690" w:type="dxa"/>
            <w:tcBorders>
              <w:top w:val="single" w:color="000000" w:sz="4" w:space="0"/>
              <w:left w:val="single" w:color="000000" w:sz="4" w:space="0"/>
              <w:bottom w:val="single" w:color="000000" w:sz="4" w:space="0"/>
              <w:right w:val="single" w:color="000000" w:sz="4" w:space="0"/>
            </w:tcBorders>
            <w:shd w:val="clear" w:color="auto" w:fill="auto"/>
          </w:tcPr>
          <w:p>
            <w:pPr>
              <w:jc w:val="both"/>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每月能耗统计及分析报告须经理签字后报送后勤保障科，每日能耗异常值波动大于10%时，经理及主管须向后勤科报告并查明、分析原因；抽查原始数据与分析数据不符及分析原因不到位视为考核缺陷；因工程部管理疏漏造成的能源浪费致使当月人均能耗及万元收入能耗支出增幅超2%视为节能降耗工作考核不合格；考核不合格不得分，考核缺陷按1分/次进行扣分</w:t>
            </w:r>
          </w:p>
        </w:tc>
        <w:tc>
          <w:tcPr>
            <w:tcW w:w="3034"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考核不合格不得分，考核缺陷按1分/次进行扣分</w:t>
            </w:r>
          </w:p>
        </w:tc>
      </w:tr>
      <w:tr>
        <w:tblPrEx>
          <w:tblCellMar>
            <w:top w:w="0" w:type="dxa"/>
            <w:left w:w="108" w:type="dxa"/>
            <w:bottom w:w="0" w:type="dxa"/>
            <w:right w:w="108" w:type="dxa"/>
          </w:tblCellMar>
        </w:tblPrEx>
        <w:trPr>
          <w:trHeight w:val="2200" w:hRule="atLeast"/>
          <w:jc w:val="center"/>
        </w:trPr>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3</w:t>
            </w:r>
          </w:p>
        </w:tc>
        <w:tc>
          <w:tcPr>
            <w:tcW w:w="88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5分</w:t>
            </w:r>
          </w:p>
        </w:tc>
        <w:tc>
          <w:tcPr>
            <w:tcW w:w="4690" w:type="dxa"/>
            <w:tcBorders>
              <w:top w:val="single" w:color="000000" w:sz="4" w:space="0"/>
              <w:left w:val="single" w:color="000000" w:sz="4" w:space="0"/>
              <w:bottom w:val="single" w:color="000000" w:sz="4" w:space="0"/>
              <w:right w:val="single" w:color="000000" w:sz="4" w:space="0"/>
            </w:tcBorders>
            <w:shd w:val="clear" w:color="auto" w:fill="auto"/>
          </w:tcPr>
          <w:p>
            <w:pPr>
              <w:jc w:val="both"/>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每周一提交上周工作完成情况，特别注明设备缺陷是否消除，若未消除，说明原因；每月1日前提交月工作计划、总结，月计划需突出工作重点；总结内容包括上月工作计划完成情况、员工考核情况，保养计划完成情况、设备隐患（缺陷）记录、维修材料使用统计、自行安全检查计划及实施、整改情况等</w:t>
            </w:r>
          </w:p>
        </w:tc>
        <w:tc>
          <w:tcPr>
            <w:tcW w:w="3034"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考核缺陷按1分/次进行扣分</w:t>
            </w:r>
          </w:p>
        </w:tc>
      </w:tr>
      <w:tr>
        <w:tblPrEx>
          <w:tblCellMar>
            <w:top w:w="0" w:type="dxa"/>
            <w:left w:w="108" w:type="dxa"/>
            <w:bottom w:w="0" w:type="dxa"/>
            <w:right w:w="108" w:type="dxa"/>
          </w:tblCellMar>
        </w:tblPrEx>
        <w:trPr>
          <w:trHeight w:val="460" w:hRule="atLeast"/>
          <w:jc w:val="center"/>
        </w:trPr>
        <w:tc>
          <w:tcPr>
            <w:tcW w:w="63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w:t>
            </w:r>
          </w:p>
        </w:tc>
        <w:tc>
          <w:tcPr>
            <w:tcW w:w="88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5分</w:t>
            </w:r>
          </w:p>
        </w:tc>
        <w:tc>
          <w:tcPr>
            <w:tcW w:w="4690" w:type="dxa"/>
            <w:vMerge w:val="restart"/>
            <w:tcBorders>
              <w:top w:val="single" w:color="000000" w:sz="4" w:space="0"/>
              <w:left w:val="single" w:color="000000" w:sz="4" w:space="0"/>
              <w:bottom w:val="single" w:color="000000" w:sz="4" w:space="0"/>
              <w:right w:val="single" w:color="000000" w:sz="4" w:space="0"/>
            </w:tcBorders>
            <w:shd w:val="clear" w:color="auto" w:fill="auto"/>
          </w:tcPr>
          <w:p>
            <w:pPr>
              <w:jc w:val="both"/>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工作时间内统一着装，佩戴工作牌，严守工作岗位，人员配备足额、到位；按时到岗，不串岗、不进入与工作无关的部门</w:t>
            </w:r>
          </w:p>
        </w:tc>
        <w:tc>
          <w:tcPr>
            <w:tcW w:w="303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考核缺陷按1分/次进行扣分</w:t>
            </w:r>
          </w:p>
        </w:tc>
      </w:tr>
      <w:tr>
        <w:tblPrEx>
          <w:tblCellMar>
            <w:top w:w="0" w:type="dxa"/>
            <w:left w:w="108" w:type="dxa"/>
            <w:bottom w:w="0" w:type="dxa"/>
            <w:right w:w="108" w:type="dxa"/>
          </w:tblCellMar>
        </w:tblPrEx>
        <w:trPr>
          <w:trHeight w:val="460" w:hRule="atLeast"/>
          <w:jc w:val="center"/>
        </w:trPr>
        <w:tc>
          <w:tcPr>
            <w:tcW w:w="6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8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4690" w:type="dxa"/>
            <w:vMerge w:val="continue"/>
            <w:tcBorders>
              <w:top w:val="single" w:color="000000" w:sz="4" w:space="0"/>
              <w:left w:val="single" w:color="000000" w:sz="4" w:space="0"/>
              <w:bottom w:val="single" w:color="000000" w:sz="4" w:space="0"/>
              <w:right w:val="single" w:color="000000" w:sz="4" w:space="0"/>
            </w:tcBorders>
            <w:shd w:val="clear" w:color="auto" w:fill="auto"/>
          </w:tcPr>
          <w:p>
            <w:pPr>
              <w:jc w:val="both"/>
              <w:rPr>
                <w:rFonts w:ascii="宋体" w:hAnsi="宋体" w:eastAsia="宋体" w:cs="宋体"/>
                <w:color w:val="000000"/>
                <w:sz w:val="21"/>
                <w:szCs w:val="21"/>
              </w:rPr>
            </w:pPr>
          </w:p>
        </w:tc>
        <w:tc>
          <w:tcPr>
            <w:tcW w:w="30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460" w:hRule="atLeast"/>
          <w:jc w:val="center"/>
        </w:trPr>
        <w:tc>
          <w:tcPr>
            <w:tcW w:w="6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8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4690" w:type="dxa"/>
            <w:vMerge w:val="continue"/>
            <w:tcBorders>
              <w:top w:val="single" w:color="000000" w:sz="4" w:space="0"/>
              <w:left w:val="single" w:color="000000" w:sz="4" w:space="0"/>
              <w:bottom w:val="single" w:color="000000" w:sz="4" w:space="0"/>
              <w:right w:val="single" w:color="000000" w:sz="4" w:space="0"/>
            </w:tcBorders>
            <w:shd w:val="clear" w:color="auto" w:fill="auto"/>
          </w:tcPr>
          <w:p>
            <w:pPr>
              <w:jc w:val="both"/>
              <w:rPr>
                <w:rFonts w:ascii="宋体" w:hAnsi="宋体" w:eastAsia="宋体" w:cs="宋体"/>
                <w:color w:val="000000"/>
                <w:sz w:val="21"/>
                <w:szCs w:val="21"/>
              </w:rPr>
            </w:pPr>
          </w:p>
        </w:tc>
        <w:tc>
          <w:tcPr>
            <w:tcW w:w="30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640" w:hRule="atLeast"/>
          <w:jc w:val="center"/>
        </w:trPr>
        <w:tc>
          <w:tcPr>
            <w:tcW w:w="6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88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5分</w:t>
            </w:r>
          </w:p>
        </w:tc>
        <w:tc>
          <w:tcPr>
            <w:tcW w:w="4690" w:type="dxa"/>
            <w:tcBorders>
              <w:top w:val="single" w:color="000000" w:sz="4" w:space="0"/>
              <w:left w:val="single" w:color="000000" w:sz="4" w:space="0"/>
              <w:bottom w:val="single" w:color="000000" w:sz="4" w:space="0"/>
              <w:right w:val="single" w:color="000000" w:sz="4" w:space="0"/>
            </w:tcBorders>
            <w:shd w:val="clear" w:color="auto" w:fill="auto"/>
          </w:tcPr>
          <w:p>
            <w:pPr>
              <w:jc w:val="both"/>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安全检查、安全培训或技能培训每月不少于一次，提供相关资料备查</w:t>
            </w:r>
          </w:p>
        </w:tc>
        <w:tc>
          <w:tcPr>
            <w:tcW w:w="3034"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考核缺陷按1分/次进行扣分</w:t>
            </w:r>
          </w:p>
        </w:tc>
      </w:tr>
      <w:tr>
        <w:tblPrEx>
          <w:tblCellMar>
            <w:top w:w="0" w:type="dxa"/>
            <w:left w:w="108" w:type="dxa"/>
            <w:bottom w:w="0" w:type="dxa"/>
            <w:right w:w="108" w:type="dxa"/>
          </w:tblCellMar>
        </w:tblPrEx>
        <w:trPr>
          <w:trHeight w:val="640" w:hRule="atLeast"/>
          <w:jc w:val="center"/>
        </w:trPr>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w:t>
            </w:r>
          </w:p>
        </w:tc>
        <w:tc>
          <w:tcPr>
            <w:tcW w:w="88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5分</w:t>
            </w:r>
          </w:p>
        </w:tc>
        <w:tc>
          <w:tcPr>
            <w:tcW w:w="4690" w:type="dxa"/>
            <w:tcBorders>
              <w:top w:val="single" w:color="000000" w:sz="4" w:space="0"/>
              <w:left w:val="single" w:color="000000" w:sz="4" w:space="0"/>
              <w:bottom w:val="single" w:color="000000" w:sz="4" w:space="0"/>
              <w:right w:val="single" w:color="000000" w:sz="4" w:space="0"/>
            </w:tcBorders>
            <w:shd w:val="clear" w:color="auto" w:fill="auto"/>
          </w:tcPr>
          <w:p>
            <w:pPr>
              <w:jc w:val="both"/>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落实值班制度，做好值班记录，确保各项设备安全运行</w:t>
            </w:r>
          </w:p>
        </w:tc>
        <w:tc>
          <w:tcPr>
            <w:tcW w:w="3034" w:type="dxa"/>
            <w:tcBorders>
              <w:top w:val="single" w:color="000000" w:sz="4" w:space="0"/>
              <w:left w:val="single" w:color="000000" w:sz="4" w:space="0"/>
              <w:bottom w:val="single" w:color="000000" w:sz="4" w:space="0"/>
              <w:right w:val="single" w:color="000000" w:sz="4" w:space="0"/>
            </w:tcBorders>
            <w:shd w:val="clear" w:color="auto" w:fill="auto"/>
            <w:vAlign w:val="center"/>
          </w:tcPr>
          <w:p>
            <w:pP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考核缺陷按1分/次进行扣分</w:t>
            </w:r>
          </w:p>
        </w:tc>
      </w:tr>
      <w:tr>
        <w:tblPrEx>
          <w:tblCellMar>
            <w:top w:w="0" w:type="dxa"/>
            <w:left w:w="108" w:type="dxa"/>
            <w:bottom w:w="0" w:type="dxa"/>
            <w:right w:w="108" w:type="dxa"/>
          </w:tblCellMar>
        </w:tblPrEx>
        <w:trPr>
          <w:trHeight w:val="640" w:hRule="atLeast"/>
          <w:jc w:val="center"/>
        </w:trPr>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6</w:t>
            </w:r>
          </w:p>
        </w:tc>
        <w:tc>
          <w:tcPr>
            <w:tcW w:w="88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5分</w:t>
            </w:r>
          </w:p>
        </w:tc>
        <w:tc>
          <w:tcPr>
            <w:tcW w:w="4690" w:type="dxa"/>
            <w:tcBorders>
              <w:top w:val="single" w:color="000000" w:sz="4" w:space="0"/>
              <w:left w:val="single" w:color="000000" w:sz="4" w:space="0"/>
              <w:bottom w:val="single" w:color="000000" w:sz="4" w:space="0"/>
              <w:right w:val="single" w:color="000000" w:sz="4" w:space="0"/>
            </w:tcBorders>
            <w:shd w:val="clear" w:color="auto" w:fill="auto"/>
          </w:tcPr>
          <w:p>
            <w:pPr>
              <w:jc w:val="both"/>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能源管理到位，节约开支、减少浪费</w:t>
            </w:r>
          </w:p>
        </w:tc>
        <w:tc>
          <w:tcPr>
            <w:tcW w:w="3034" w:type="dxa"/>
            <w:tcBorders>
              <w:top w:val="single" w:color="000000" w:sz="4" w:space="0"/>
              <w:left w:val="single" w:color="000000" w:sz="4" w:space="0"/>
              <w:bottom w:val="single" w:color="000000" w:sz="4" w:space="0"/>
              <w:right w:val="single" w:color="000000" w:sz="4" w:space="0"/>
            </w:tcBorders>
            <w:shd w:val="clear" w:color="auto" w:fill="auto"/>
            <w:vAlign w:val="bottom"/>
          </w:tcPr>
          <w:p>
            <w:pPr>
              <w:textAlignment w:val="bottom"/>
              <w:rPr>
                <w:rFonts w:ascii="宋体" w:hAnsi="宋体" w:eastAsia="宋体" w:cs="宋体"/>
                <w:color w:val="000000"/>
                <w:sz w:val="21"/>
                <w:szCs w:val="21"/>
              </w:rPr>
            </w:pPr>
            <w:r>
              <w:rPr>
                <w:rFonts w:hint="eastAsia" w:ascii="宋体" w:hAnsi="宋体" w:eastAsia="宋体" w:cs="宋体"/>
                <w:color w:val="000000"/>
                <w:sz w:val="21"/>
                <w:szCs w:val="21"/>
                <w:lang w:bidi="ar"/>
              </w:rPr>
              <w:t>考核缺陷按1分/次进行扣分</w:t>
            </w:r>
          </w:p>
        </w:tc>
      </w:tr>
      <w:tr>
        <w:tblPrEx>
          <w:tblCellMar>
            <w:top w:w="0" w:type="dxa"/>
            <w:left w:w="108" w:type="dxa"/>
            <w:bottom w:w="0" w:type="dxa"/>
            <w:right w:w="108" w:type="dxa"/>
          </w:tblCellMar>
        </w:tblPrEx>
        <w:trPr>
          <w:trHeight w:val="460" w:hRule="atLeast"/>
          <w:jc w:val="center"/>
        </w:trPr>
        <w:tc>
          <w:tcPr>
            <w:tcW w:w="63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7</w:t>
            </w:r>
          </w:p>
        </w:tc>
        <w:tc>
          <w:tcPr>
            <w:tcW w:w="88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10分</w:t>
            </w:r>
          </w:p>
        </w:tc>
        <w:tc>
          <w:tcPr>
            <w:tcW w:w="4690" w:type="dxa"/>
            <w:vMerge w:val="restart"/>
            <w:tcBorders>
              <w:top w:val="single" w:color="000000" w:sz="4" w:space="0"/>
              <w:left w:val="single" w:color="000000" w:sz="4" w:space="0"/>
              <w:bottom w:val="single" w:color="000000" w:sz="4" w:space="0"/>
              <w:right w:val="single" w:color="000000" w:sz="4" w:space="0"/>
            </w:tcBorders>
            <w:shd w:val="clear" w:color="auto" w:fill="auto"/>
          </w:tcPr>
          <w:p>
            <w:pPr>
              <w:jc w:val="both"/>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掌握各类系统的性能和运行方式，熟悉各设备设施运行情况，发生一般性故障及时处理；接到报修，维修人员10分钟之内赶到现场处理，当天完成，并做好维护和应急抢修记录</w:t>
            </w:r>
          </w:p>
        </w:tc>
        <w:tc>
          <w:tcPr>
            <w:tcW w:w="3034" w:type="dxa"/>
            <w:vMerge w:val="restart"/>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ascii="宋体" w:hAnsi="宋体" w:eastAsia="宋体" w:cs="宋体"/>
                <w:color w:val="000000"/>
                <w:sz w:val="21"/>
                <w:szCs w:val="21"/>
              </w:rPr>
            </w:pPr>
            <w:r>
              <w:rPr>
                <w:rFonts w:hint="eastAsia" w:ascii="宋体" w:hAnsi="宋体" w:eastAsia="宋体" w:cs="宋体"/>
                <w:color w:val="000000"/>
                <w:sz w:val="21"/>
                <w:szCs w:val="21"/>
                <w:lang w:bidi="ar"/>
              </w:rPr>
              <w:t>考核缺陷按1分/次进行扣分</w:t>
            </w:r>
          </w:p>
        </w:tc>
      </w:tr>
      <w:tr>
        <w:tblPrEx>
          <w:tblCellMar>
            <w:top w:w="0" w:type="dxa"/>
            <w:left w:w="108" w:type="dxa"/>
            <w:bottom w:w="0" w:type="dxa"/>
            <w:right w:w="108" w:type="dxa"/>
          </w:tblCellMar>
        </w:tblPrEx>
        <w:trPr>
          <w:trHeight w:val="460" w:hRule="atLeast"/>
          <w:jc w:val="center"/>
        </w:trPr>
        <w:tc>
          <w:tcPr>
            <w:tcW w:w="6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8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4690" w:type="dxa"/>
            <w:vMerge w:val="continue"/>
            <w:tcBorders>
              <w:top w:val="single" w:color="000000" w:sz="4" w:space="0"/>
              <w:left w:val="single" w:color="000000" w:sz="4" w:space="0"/>
              <w:bottom w:val="single" w:color="000000" w:sz="4" w:space="0"/>
              <w:right w:val="single" w:color="000000" w:sz="4" w:space="0"/>
            </w:tcBorders>
            <w:shd w:val="clear" w:color="auto" w:fill="auto"/>
          </w:tcPr>
          <w:p>
            <w:pPr>
              <w:jc w:val="both"/>
              <w:rPr>
                <w:rFonts w:ascii="宋体" w:hAnsi="宋体" w:eastAsia="宋体" w:cs="宋体"/>
                <w:color w:val="000000"/>
                <w:sz w:val="21"/>
                <w:szCs w:val="21"/>
              </w:rPr>
            </w:pPr>
          </w:p>
        </w:tc>
        <w:tc>
          <w:tcPr>
            <w:tcW w:w="3034"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760" w:hRule="atLeast"/>
          <w:jc w:val="center"/>
        </w:trPr>
        <w:tc>
          <w:tcPr>
            <w:tcW w:w="6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8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4690" w:type="dxa"/>
            <w:vMerge w:val="continue"/>
            <w:tcBorders>
              <w:top w:val="single" w:color="000000" w:sz="4" w:space="0"/>
              <w:left w:val="single" w:color="000000" w:sz="4" w:space="0"/>
              <w:bottom w:val="single" w:color="000000" w:sz="4" w:space="0"/>
              <w:right w:val="single" w:color="000000" w:sz="4" w:space="0"/>
            </w:tcBorders>
            <w:shd w:val="clear" w:color="auto" w:fill="auto"/>
          </w:tcPr>
          <w:p>
            <w:pPr>
              <w:jc w:val="both"/>
              <w:rPr>
                <w:rFonts w:ascii="宋体" w:hAnsi="宋体" w:eastAsia="宋体" w:cs="宋体"/>
                <w:color w:val="000000"/>
                <w:sz w:val="21"/>
                <w:szCs w:val="21"/>
              </w:rPr>
            </w:pPr>
          </w:p>
        </w:tc>
        <w:tc>
          <w:tcPr>
            <w:tcW w:w="3034" w:type="dxa"/>
            <w:vMerge w:val="continue"/>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ascii="宋体" w:hAnsi="宋体" w:eastAsia="宋体" w:cs="宋体"/>
                <w:color w:val="000000"/>
                <w:sz w:val="21"/>
                <w:szCs w:val="21"/>
              </w:rPr>
            </w:pPr>
          </w:p>
        </w:tc>
      </w:tr>
      <w:tr>
        <w:tblPrEx>
          <w:tblCellMar>
            <w:top w:w="0" w:type="dxa"/>
            <w:left w:w="108" w:type="dxa"/>
            <w:bottom w:w="0" w:type="dxa"/>
            <w:right w:w="108" w:type="dxa"/>
          </w:tblCellMar>
        </w:tblPrEx>
        <w:trPr>
          <w:trHeight w:val="640" w:hRule="atLeast"/>
          <w:jc w:val="center"/>
        </w:trPr>
        <w:tc>
          <w:tcPr>
            <w:tcW w:w="6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88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10分</w:t>
            </w:r>
          </w:p>
        </w:tc>
        <w:tc>
          <w:tcPr>
            <w:tcW w:w="4690" w:type="dxa"/>
            <w:tcBorders>
              <w:top w:val="single" w:color="000000" w:sz="4" w:space="0"/>
              <w:left w:val="single" w:color="000000" w:sz="4" w:space="0"/>
              <w:bottom w:val="single" w:color="000000" w:sz="4" w:space="0"/>
              <w:right w:val="single" w:color="000000" w:sz="4" w:space="0"/>
            </w:tcBorders>
            <w:shd w:val="clear" w:color="auto" w:fill="auto"/>
          </w:tcPr>
          <w:p>
            <w:pPr>
              <w:jc w:val="both"/>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按操作规程实施操作，确保全系统正常安全运行，设备运行和维修、维护的备品备件到位。</w:t>
            </w:r>
          </w:p>
        </w:tc>
        <w:tc>
          <w:tcPr>
            <w:tcW w:w="3034" w:type="dxa"/>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ascii="宋体" w:hAnsi="宋体" w:eastAsia="宋体" w:cs="宋体"/>
                <w:color w:val="000000"/>
                <w:sz w:val="21"/>
                <w:szCs w:val="21"/>
              </w:rPr>
            </w:pPr>
            <w:r>
              <w:rPr>
                <w:rFonts w:hint="eastAsia" w:ascii="宋体" w:hAnsi="宋体" w:eastAsia="宋体" w:cs="宋体"/>
                <w:color w:val="000000"/>
                <w:sz w:val="21"/>
                <w:szCs w:val="21"/>
                <w:lang w:bidi="ar"/>
              </w:rPr>
              <w:t>考核缺陷按1分/次进行扣分</w:t>
            </w:r>
          </w:p>
        </w:tc>
      </w:tr>
      <w:tr>
        <w:tblPrEx>
          <w:tblCellMar>
            <w:top w:w="0" w:type="dxa"/>
            <w:left w:w="108" w:type="dxa"/>
            <w:bottom w:w="0" w:type="dxa"/>
            <w:right w:w="108" w:type="dxa"/>
          </w:tblCellMar>
        </w:tblPrEx>
        <w:trPr>
          <w:trHeight w:val="940" w:hRule="atLeast"/>
          <w:jc w:val="center"/>
        </w:trPr>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8</w:t>
            </w:r>
          </w:p>
        </w:tc>
        <w:tc>
          <w:tcPr>
            <w:tcW w:w="88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10分</w:t>
            </w:r>
          </w:p>
        </w:tc>
        <w:tc>
          <w:tcPr>
            <w:tcW w:w="4690" w:type="dxa"/>
            <w:tcBorders>
              <w:top w:val="single" w:color="000000" w:sz="4" w:space="0"/>
              <w:left w:val="single" w:color="000000" w:sz="4" w:space="0"/>
              <w:bottom w:val="single" w:color="000000" w:sz="4" w:space="0"/>
              <w:right w:val="single" w:color="000000" w:sz="4" w:space="0"/>
            </w:tcBorders>
            <w:shd w:val="clear" w:color="auto" w:fill="auto"/>
          </w:tcPr>
          <w:p>
            <w:pPr>
              <w:jc w:val="both"/>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按规定巡视检查各种设施、设备运行状况，按时认真做好各种运行记录及报表，保管好各种技术资料，做好保密工作</w:t>
            </w:r>
          </w:p>
        </w:tc>
        <w:tc>
          <w:tcPr>
            <w:tcW w:w="3034" w:type="dxa"/>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ascii="宋体" w:hAnsi="宋体" w:eastAsia="宋体" w:cs="宋体"/>
                <w:color w:val="000000"/>
                <w:sz w:val="21"/>
                <w:szCs w:val="21"/>
              </w:rPr>
            </w:pPr>
            <w:r>
              <w:rPr>
                <w:rFonts w:hint="eastAsia" w:ascii="宋体" w:hAnsi="宋体" w:eastAsia="宋体" w:cs="宋体"/>
                <w:color w:val="000000"/>
                <w:sz w:val="21"/>
                <w:szCs w:val="21"/>
                <w:lang w:bidi="ar"/>
              </w:rPr>
              <w:t>考核缺陷按1分/次进行扣分</w:t>
            </w:r>
          </w:p>
        </w:tc>
      </w:tr>
      <w:tr>
        <w:tblPrEx>
          <w:tblCellMar>
            <w:top w:w="0" w:type="dxa"/>
            <w:left w:w="108" w:type="dxa"/>
            <w:bottom w:w="0" w:type="dxa"/>
            <w:right w:w="108" w:type="dxa"/>
          </w:tblCellMar>
        </w:tblPrEx>
        <w:trPr>
          <w:trHeight w:val="336" w:hRule="atLeast"/>
          <w:jc w:val="center"/>
        </w:trPr>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9</w:t>
            </w:r>
          </w:p>
        </w:tc>
        <w:tc>
          <w:tcPr>
            <w:tcW w:w="88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10分</w:t>
            </w:r>
          </w:p>
        </w:tc>
        <w:tc>
          <w:tcPr>
            <w:tcW w:w="4690" w:type="dxa"/>
            <w:tcBorders>
              <w:top w:val="single" w:color="000000" w:sz="4" w:space="0"/>
              <w:left w:val="single" w:color="000000" w:sz="4" w:space="0"/>
              <w:bottom w:val="single" w:color="000000" w:sz="4" w:space="0"/>
              <w:right w:val="single" w:color="000000" w:sz="4" w:space="0"/>
            </w:tcBorders>
            <w:shd w:val="clear" w:color="auto" w:fill="auto"/>
          </w:tcPr>
          <w:p>
            <w:pPr>
              <w:jc w:val="both"/>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做好各机房和设施的卫生工作，达到整洁</w:t>
            </w:r>
          </w:p>
        </w:tc>
        <w:tc>
          <w:tcPr>
            <w:tcW w:w="3034" w:type="dxa"/>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ascii="宋体" w:hAnsi="宋体" w:eastAsia="宋体" w:cs="宋体"/>
                <w:color w:val="000000"/>
                <w:sz w:val="21"/>
                <w:szCs w:val="21"/>
              </w:rPr>
            </w:pPr>
            <w:r>
              <w:rPr>
                <w:rFonts w:hint="eastAsia" w:ascii="宋体" w:hAnsi="宋体" w:eastAsia="宋体" w:cs="宋体"/>
                <w:color w:val="000000"/>
                <w:sz w:val="21"/>
                <w:szCs w:val="21"/>
                <w:lang w:bidi="ar"/>
              </w:rPr>
              <w:t>考核缺陷按1分/次进行扣分</w:t>
            </w:r>
          </w:p>
        </w:tc>
      </w:tr>
      <w:tr>
        <w:tblPrEx>
          <w:tblCellMar>
            <w:top w:w="0" w:type="dxa"/>
            <w:left w:w="108" w:type="dxa"/>
            <w:bottom w:w="0" w:type="dxa"/>
            <w:right w:w="108" w:type="dxa"/>
          </w:tblCellMar>
        </w:tblPrEx>
        <w:trPr>
          <w:trHeight w:val="940" w:hRule="atLeast"/>
          <w:jc w:val="center"/>
        </w:trPr>
        <w:tc>
          <w:tcPr>
            <w:tcW w:w="634"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w:t>
            </w:r>
          </w:p>
        </w:tc>
        <w:tc>
          <w:tcPr>
            <w:tcW w:w="88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10分</w:t>
            </w:r>
          </w:p>
        </w:tc>
        <w:tc>
          <w:tcPr>
            <w:tcW w:w="4690" w:type="dxa"/>
            <w:tcBorders>
              <w:top w:val="single" w:color="000000" w:sz="4" w:space="0"/>
              <w:left w:val="single" w:color="000000" w:sz="4" w:space="0"/>
              <w:bottom w:val="single" w:color="000000" w:sz="4" w:space="0"/>
              <w:right w:val="single" w:color="000000" w:sz="4" w:space="0"/>
            </w:tcBorders>
            <w:shd w:val="clear" w:color="auto" w:fill="auto"/>
          </w:tcPr>
          <w:p>
            <w:pPr>
              <w:jc w:val="both"/>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做好各种设备常规保养，熟知设备运行参数，确保设备各类强检器具在有效期内运行，对即将到期的强检器具提前一月报检</w:t>
            </w:r>
          </w:p>
        </w:tc>
        <w:tc>
          <w:tcPr>
            <w:tcW w:w="3034" w:type="dxa"/>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ascii="宋体" w:hAnsi="宋体" w:eastAsia="宋体" w:cs="宋体"/>
                <w:color w:val="000000"/>
                <w:sz w:val="21"/>
                <w:szCs w:val="21"/>
              </w:rPr>
            </w:pPr>
            <w:r>
              <w:rPr>
                <w:rFonts w:hint="eastAsia" w:ascii="宋体" w:hAnsi="宋体" w:eastAsia="宋体" w:cs="宋体"/>
                <w:color w:val="000000"/>
                <w:sz w:val="21"/>
                <w:szCs w:val="21"/>
                <w:lang w:bidi="ar"/>
              </w:rPr>
              <w:t>考核缺陷按1分/次进行扣分</w:t>
            </w:r>
          </w:p>
        </w:tc>
      </w:tr>
      <w:tr>
        <w:tblPrEx>
          <w:tblCellMar>
            <w:top w:w="0" w:type="dxa"/>
            <w:left w:w="108" w:type="dxa"/>
            <w:bottom w:w="0" w:type="dxa"/>
            <w:right w:w="108" w:type="dxa"/>
          </w:tblCellMar>
        </w:tblPrEx>
        <w:trPr>
          <w:trHeight w:val="640" w:hRule="atLeast"/>
          <w:jc w:val="center"/>
        </w:trPr>
        <w:tc>
          <w:tcPr>
            <w:tcW w:w="6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88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2分</w:t>
            </w:r>
          </w:p>
        </w:tc>
        <w:tc>
          <w:tcPr>
            <w:tcW w:w="4690" w:type="dxa"/>
            <w:tcBorders>
              <w:top w:val="single" w:color="000000" w:sz="4" w:space="0"/>
              <w:left w:val="single" w:color="000000" w:sz="4" w:space="0"/>
              <w:bottom w:val="single" w:color="000000" w:sz="4" w:space="0"/>
              <w:right w:val="single" w:color="000000" w:sz="4" w:space="0"/>
            </w:tcBorders>
            <w:shd w:val="clear" w:color="auto" w:fill="auto"/>
          </w:tcPr>
          <w:p>
            <w:pPr>
              <w:jc w:val="both"/>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设施设备故障后保持与维保方的日常沟通联络衔接工作</w:t>
            </w:r>
          </w:p>
        </w:tc>
        <w:tc>
          <w:tcPr>
            <w:tcW w:w="3034" w:type="dxa"/>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ascii="宋体" w:hAnsi="宋体" w:eastAsia="宋体" w:cs="宋体"/>
                <w:color w:val="000000"/>
                <w:sz w:val="21"/>
                <w:szCs w:val="21"/>
              </w:rPr>
            </w:pPr>
            <w:r>
              <w:rPr>
                <w:rFonts w:hint="eastAsia" w:ascii="宋体" w:hAnsi="宋体" w:eastAsia="宋体" w:cs="宋体"/>
                <w:color w:val="000000"/>
                <w:sz w:val="21"/>
                <w:szCs w:val="21"/>
                <w:lang w:bidi="ar"/>
              </w:rPr>
              <w:t>考核缺陷按0.5分/次进行扣分</w:t>
            </w:r>
          </w:p>
        </w:tc>
      </w:tr>
      <w:tr>
        <w:tblPrEx>
          <w:tblCellMar>
            <w:top w:w="0" w:type="dxa"/>
            <w:left w:w="108" w:type="dxa"/>
            <w:bottom w:w="0" w:type="dxa"/>
            <w:right w:w="108" w:type="dxa"/>
          </w:tblCellMar>
        </w:tblPrEx>
        <w:trPr>
          <w:trHeight w:val="336" w:hRule="atLeast"/>
          <w:jc w:val="center"/>
        </w:trPr>
        <w:tc>
          <w:tcPr>
            <w:tcW w:w="6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88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2分</w:t>
            </w:r>
          </w:p>
        </w:tc>
        <w:tc>
          <w:tcPr>
            <w:tcW w:w="4690" w:type="dxa"/>
            <w:tcBorders>
              <w:top w:val="single" w:color="000000" w:sz="4" w:space="0"/>
              <w:left w:val="single" w:color="000000" w:sz="4" w:space="0"/>
              <w:bottom w:val="single" w:color="000000" w:sz="4" w:space="0"/>
              <w:right w:val="single" w:color="000000" w:sz="4" w:space="0"/>
            </w:tcBorders>
            <w:shd w:val="clear" w:color="auto" w:fill="auto"/>
          </w:tcPr>
          <w:p>
            <w:pPr>
              <w:jc w:val="both"/>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监督维保方按照合同约定履行各项服务</w:t>
            </w:r>
          </w:p>
        </w:tc>
        <w:tc>
          <w:tcPr>
            <w:tcW w:w="3034" w:type="dxa"/>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ascii="宋体" w:hAnsi="宋体" w:eastAsia="宋体" w:cs="宋体"/>
                <w:b/>
                <w:bCs/>
                <w:color w:val="000000"/>
                <w:sz w:val="21"/>
                <w:szCs w:val="21"/>
              </w:rPr>
            </w:pPr>
            <w:r>
              <w:rPr>
                <w:rFonts w:hint="eastAsia" w:ascii="宋体" w:hAnsi="宋体" w:eastAsia="宋体" w:cs="宋体"/>
                <w:color w:val="000000"/>
                <w:sz w:val="21"/>
                <w:szCs w:val="21"/>
                <w:lang w:bidi="ar"/>
              </w:rPr>
              <w:t>考核缺陷按0.5分/次进行扣分</w:t>
            </w:r>
          </w:p>
        </w:tc>
      </w:tr>
      <w:tr>
        <w:tblPrEx>
          <w:tblCellMar>
            <w:top w:w="0" w:type="dxa"/>
            <w:left w:w="108" w:type="dxa"/>
            <w:bottom w:w="0" w:type="dxa"/>
            <w:right w:w="108" w:type="dxa"/>
          </w:tblCellMar>
        </w:tblPrEx>
        <w:trPr>
          <w:trHeight w:val="640" w:hRule="atLeast"/>
          <w:jc w:val="center"/>
        </w:trPr>
        <w:tc>
          <w:tcPr>
            <w:tcW w:w="634"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ascii="宋体" w:hAnsi="宋体" w:eastAsia="宋体" w:cs="宋体"/>
                <w:color w:val="000000"/>
                <w:sz w:val="21"/>
                <w:szCs w:val="21"/>
              </w:rPr>
            </w:pPr>
          </w:p>
        </w:tc>
        <w:tc>
          <w:tcPr>
            <w:tcW w:w="88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2分</w:t>
            </w:r>
          </w:p>
        </w:tc>
        <w:tc>
          <w:tcPr>
            <w:tcW w:w="4690" w:type="dxa"/>
            <w:tcBorders>
              <w:top w:val="single" w:color="000000" w:sz="4" w:space="0"/>
              <w:left w:val="single" w:color="000000" w:sz="4" w:space="0"/>
              <w:bottom w:val="single" w:color="000000" w:sz="4" w:space="0"/>
              <w:right w:val="single" w:color="000000" w:sz="4" w:space="0"/>
            </w:tcBorders>
            <w:shd w:val="clear" w:color="auto" w:fill="auto"/>
          </w:tcPr>
          <w:p>
            <w:pPr>
              <w:jc w:val="both"/>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专业维修人员前来维护、维修时，派人现场陪同并确认需更换的配件及数量情况</w:t>
            </w:r>
          </w:p>
        </w:tc>
        <w:tc>
          <w:tcPr>
            <w:tcW w:w="3034" w:type="dxa"/>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ascii="宋体" w:hAnsi="宋体" w:eastAsia="宋体" w:cs="宋体"/>
                <w:b/>
                <w:bCs/>
                <w:color w:val="000000"/>
                <w:sz w:val="21"/>
                <w:szCs w:val="21"/>
              </w:rPr>
            </w:pPr>
            <w:r>
              <w:rPr>
                <w:rFonts w:hint="eastAsia" w:ascii="宋体" w:hAnsi="宋体" w:eastAsia="宋体" w:cs="宋体"/>
                <w:color w:val="000000"/>
                <w:sz w:val="21"/>
                <w:szCs w:val="21"/>
                <w:lang w:bidi="ar"/>
              </w:rPr>
              <w:t>考核缺陷按0.5分/次进行扣分</w:t>
            </w:r>
          </w:p>
        </w:tc>
      </w:tr>
      <w:tr>
        <w:tblPrEx>
          <w:tblCellMar>
            <w:top w:w="0" w:type="dxa"/>
            <w:left w:w="108" w:type="dxa"/>
            <w:bottom w:w="0" w:type="dxa"/>
            <w:right w:w="108" w:type="dxa"/>
          </w:tblCellMar>
        </w:tblPrEx>
        <w:trPr>
          <w:trHeight w:val="940" w:hRule="atLeast"/>
          <w:jc w:val="center"/>
        </w:trPr>
        <w:tc>
          <w:tcPr>
            <w:tcW w:w="634"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11</w:t>
            </w:r>
          </w:p>
        </w:tc>
        <w:tc>
          <w:tcPr>
            <w:tcW w:w="88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4分</w:t>
            </w:r>
          </w:p>
        </w:tc>
        <w:tc>
          <w:tcPr>
            <w:tcW w:w="4690" w:type="dxa"/>
            <w:tcBorders>
              <w:top w:val="single" w:color="000000" w:sz="4" w:space="0"/>
              <w:left w:val="single" w:color="000000" w:sz="4" w:space="0"/>
              <w:bottom w:val="single" w:color="000000" w:sz="4" w:space="0"/>
              <w:right w:val="single" w:color="000000" w:sz="4" w:space="0"/>
            </w:tcBorders>
            <w:shd w:val="clear" w:color="auto" w:fill="auto"/>
          </w:tcPr>
          <w:p>
            <w:pPr>
              <w:jc w:val="both"/>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对医院其他的第三方委托公司（工程维修、维保类）业务监督，须有全套的记录，包括报修、到场、作业内容、服务质量评价等</w:t>
            </w:r>
          </w:p>
        </w:tc>
        <w:tc>
          <w:tcPr>
            <w:tcW w:w="3034" w:type="dxa"/>
            <w:tcBorders>
              <w:top w:val="single" w:color="000000" w:sz="4" w:space="0"/>
              <w:left w:val="single" w:color="000000" w:sz="4" w:space="0"/>
              <w:bottom w:val="single" w:color="000000" w:sz="4" w:space="0"/>
              <w:right w:val="single" w:color="000000" w:sz="4" w:space="0"/>
            </w:tcBorders>
            <w:shd w:val="clear" w:color="auto" w:fill="auto"/>
            <w:vAlign w:val="bottom"/>
          </w:tcPr>
          <w:p>
            <w:pPr>
              <w:rPr>
                <w:rFonts w:ascii="宋体" w:hAnsi="宋体" w:eastAsia="宋体" w:cs="宋体"/>
                <w:color w:val="000000"/>
                <w:sz w:val="21"/>
                <w:szCs w:val="21"/>
              </w:rPr>
            </w:pPr>
            <w:r>
              <w:rPr>
                <w:rFonts w:hint="eastAsia" w:ascii="宋体" w:hAnsi="宋体" w:eastAsia="宋体" w:cs="宋体"/>
                <w:color w:val="000000"/>
                <w:sz w:val="21"/>
                <w:szCs w:val="21"/>
                <w:lang w:bidi="ar"/>
              </w:rPr>
              <w:t>考核缺陷按0.5分/次进行扣分</w:t>
            </w:r>
          </w:p>
        </w:tc>
      </w:tr>
      <w:tr>
        <w:tblPrEx>
          <w:tblCellMar>
            <w:top w:w="0" w:type="dxa"/>
            <w:left w:w="108" w:type="dxa"/>
            <w:bottom w:w="0" w:type="dxa"/>
            <w:right w:w="108" w:type="dxa"/>
          </w:tblCellMar>
        </w:tblPrEx>
        <w:trPr>
          <w:trHeight w:val="336" w:hRule="atLeast"/>
          <w:jc w:val="center"/>
        </w:trPr>
        <w:tc>
          <w:tcPr>
            <w:tcW w:w="6207"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textAlignment w:val="center"/>
              <w:rPr>
                <w:rFonts w:ascii="宋体" w:hAnsi="宋体" w:eastAsia="宋体" w:cs="宋体"/>
                <w:color w:val="000000"/>
                <w:sz w:val="21"/>
                <w:szCs w:val="21"/>
              </w:rPr>
            </w:pPr>
            <w:r>
              <w:rPr>
                <w:rFonts w:hint="eastAsia" w:ascii="宋体" w:hAnsi="宋体" w:eastAsia="宋体" w:cs="宋体"/>
                <w:color w:val="000000"/>
                <w:sz w:val="21"/>
                <w:szCs w:val="21"/>
                <w:lang w:bidi="ar"/>
              </w:rPr>
              <w:t>总分</w:t>
            </w:r>
          </w:p>
        </w:tc>
        <w:tc>
          <w:tcPr>
            <w:tcW w:w="3034" w:type="dxa"/>
            <w:tcBorders>
              <w:top w:val="single" w:color="000000" w:sz="4" w:space="0"/>
              <w:left w:val="single" w:color="000000" w:sz="4" w:space="0"/>
              <w:bottom w:val="single" w:color="000000" w:sz="4" w:space="0"/>
              <w:right w:val="single" w:color="000000" w:sz="4" w:space="0"/>
            </w:tcBorders>
            <w:shd w:val="clear" w:color="auto" w:fill="auto"/>
          </w:tcPr>
          <w:p>
            <w:pPr>
              <w:jc w:val="center"/>
              <w:textAlignment w:val="top"/>
              <w:rPr>
                <w:rFonts w:ascii="宋体" w:hAnsi="宋体" w:eastAsia="宋体" w:cs="宋体"/>
                <w:color w:val="000000"/>
                <w:sz w:val="21"/>
                <w:szCs w:val="21"/>
              </w:rPr>
            </w:pPr>
            <w:r>
              <w:rPr>
                <w:rFonts w:hint="eastAsia" w:ascii="宋体" w:hAnsi="宋体" w:eastAsia="宋体" w:cs="宋体"/>
                <w:color w:val="000000"/>
                <w:sz w:val="21"/>
                <w:szCs w:val="21"/>
                <w:lang w:bidi="ar"/>
              </w:rPr>
              <w:t>100</w:t>
            </w:r>
          </w:p>
        </w:tc>
      </w:tr>
    </w:tbl>
    <w:p>
      <w:pPr>
        <w:pStyle w:val="4"/>
        <w:numPr>
          <w:ilvl w:val="255"/>
          <w:numId w:val="0"/>
        </w:numPr>
      </w:pPr>
      <w:r>
        <w:rPr>
          <w:rFonts w:hint="eastAsia"/>
        </w:rPr>
        <w:t>（五）考核结果的运用</w:t>
      </w:r>
    </w:p>
    <w:p>
      <w:pPr>
        <w:numPr>
          <w:ilvl w:val="0"/>
          <w:numId w:val="5"/>
        </w:numPr>
        <w:ind w:firstLine="480" w:firstLineChars="200"/>
        <w:jc w:val="both"/>
        <w:rPr>
          <w:rFonts w:ascii="宋体" w:hAnsi="宋体" w:eastAsia="宋体" w:cs="宋体"/>
          <w:b/>
          <w:bCs/>
        </w:rPr>
      </w:pPr>
      <w:r>
        <w:rPr>
          <w:rFonts w:hint="eastAsia" w:ascii="宋体" w:hAnsi="宋体" w:eastAsia="宋体" w:cs="宋体"/>
          <w:b/>
          <w:bCs/>
        </w:rPr>
        <w:t>每月进行服务满意度考核，考核分为四项：</w:t>
      </w:r>
    </w:p>
    <w:p>
      <w:pPr>
        <w:numPr>
          <w:ilvl w:val="0"/>
          <w:numId w:val="6"/>
        </w:numPr>
        <w:ind w:firstLine="480" w:firstLineChars="200"/>
        <w:jc w:val="both"/>
        <w:rPr>
          <w:rFonts w:ascii="宋体" w:hAnsi="宋体" w:eastAsia="宋体" w:cs="宋体"/>
        </w:rPr>
      </w:pPr>
      <w:r>
        <w:rPr>
          <w:rFonts w:hint="eastAsia" w:ascii="宋体" w:hAnsi="宋体" w:eastAsia="宋体" w:cs="宋体"/>
        </w:rPr>
        <w:t>环境维护服务考核；</w:t>
      </w:r>
    </w:p>
    <w:p>
      <w:pPr>
        <w:numPr>
          <w:ilvl w:val="0"/>
          <w:numId w:val="6"/>
        </w:numPr>
        <w:ind w:firstLine="480" w:firstLineChars="200"/>
        <w:jc w:val="both"/>
        <w:rPr>
          <w:rFonts w:ascii="宋体" w:hAnsi="宋体" w:eastAsia="宋体" w:cs="宋体"/>
        </w:rPr>
      </w:pPr>
      <w:r>
        <w:rPr>
          <w:rFonts w:hint="eastAsia" w:ascii="宋体" w:hAnsi="宋体" w:eastAsia="宋体" w:cs="宋体"/>
        </w:rPr>
        <w:t>设施设备运行与维护服务考核；</w:t>
      </w:r>
    </w:p>
    <w:p>
      <w:pPr>
        <w:numPr>
          <w:ilvl w:val="0"/>
          <w:numId w:val="6"/>
        </w:numPr>
        <w:ind w:firstLine="480" w:firstLineChars="200"/>
        <w:jc w:val="both"/>
        <w:rPr>
          <w:rFonts w:ascii="宋体" w:hAnsi="宋体" w:eastAsia="宋体" w:cs="宋体"/>
        </w:rPr>
      </w:pPr>
      <w:r>
        <w:rPr>
          <w:rFonts w:hint="eastAsia" w:ascii="宋体" w:hAnsi="宋体" w:eastAsia="宋体" w:cs="宋体"/>
        </w:rPr>
        <w:t>秩序维护考核标准；</w:t>
      </w:r>
    </w:p>
    <w:p>
      <w:pPr>
        <w:numPr>
          <w:ilvl w:val="0"/>
          <w:numId w:val="6"/>
        </w:numPr>
        <w:ind w:firstLine="480" w:firstLineChars="200"/>
        <w:jc w:val="both"/>
        <w:rPr>
          <w:rFonts w:ascii="宋体" w:hAnsi="宋体" w:eastAsia="宋体" w:cs="宋体"/>
        </w:rPr>
      </w:pPr>
      <w:r>
        <w:rPr>
          <w:rFonts w:hint="eastAsia" w:ascii="宋体" w:hAnsi="宋体" w:eastAsia="宋体" w:cs="宋体"/>
        </w:rPr>
        <w:t>运送服务考核标准</w:t>
      </w:r>
    </w:p>
    <w:p>
      <w:pPr>
        <w:numPr>
          <w:ilvl w:val="0"/>
          <w:numId w:val="5"/>
        </w:numPr>
        <w:ind w:firstLine="480" w:firstLineChars="200"/>
        <w:jc w:val="both"/>
        <w:rPr>
          <w:rFonts w:ascii="宋体" w:hAnsi="宋体" w:eastAsia="宋体" w:cs="宋体"/>
          <w:b/>
          <w:bCs/>
        </w:rPr>
      </w:pPr>
      <w:r>
        <w:rPr>
          <w:rFonts w:hint="eastAsia" w:ascii="宋体" w:hAnsi="宋体" w:eastAsia="宋体" w:cs="宋体"/>
          <w:b/>
          <w:bCs/>
        </w:rPr>
        <w:t>若四项考核分数均≥90分为合格，足额拨付当月服务费；</w:t>
      </w:r>
    </w:p>
    <w:p>
      <w:pPr>
        <w:numPr>
          <w:ilvl w:val="0"/>
          <w:numId w:val="5"/>
        </w:numPr>
        <w:ind w:firstLine="480" w:firstLineChars="200"/>
        <w:jc w:val="both"/>
        <w:rPr>
          <w:rFonts w:ascii="宋体" w:hAnsi="宋体" w:eastAsia="宋体" w:cs="宋体"/>
          <w:b/>
          <w:bCs/>
        </w:rPr>
      </w:pPr>
      <w:r>
        <w:rPr>
          <w:rFonts w:hint="eastAsia" w:ascii="宋体" w:hAnsi="宋体" w:eastAsia="宋体" w:cs="宋体"/>
          <w:b/>
          <w:bCs/>
        </w:rPr>
        <w:t>若任意一项低于90分的，比照基准分（90分）每减少1分所对应的金额扣除相应的服务费，具体标准如下：</w:t>
      </w:r>
    </w:p>
    <w:p>
      <w:pPr>
        <w:numPr>
          <w:ilvl w:val="0"/>
          <w:numId w:val="7"/>
        </w:numPr>
        <w:ind w:firstLine="480" w:firstLineChars="200"/>
        <w:jc w:val="both"/>
        <w:rPr>
          <w:rFonts w:ascii="宋体" w:hAnsi="宋体" w:eastAsia="宋体" w:cs="宋体"/>
        </w:rPr>
      </w:pPr>
      <w:r>
        <w:rPr>
          <w:rFonts w:hint="eastAsia" w:ascii="宋体" w:hAnsi="宋体" w:eastAsia="宋体" w:cs="宋体"/>
        </w:rPr>
        <w:t xml:space="preserve">考核分数≥85 分，＜90 分，每减少一分扣除 1000 元； </w:t>
      </w:r>
    </w:p>
    <w:p>
      <w:pPr>
        <w:numPr>
          <w:ilvl w:val="0"/>
          <w:numId w:val="7"/>
        </w:numPr>
        <w:ind w:firstLine="480" w:firstLineChars="200"/>
        <w:jc w:val="both"/>
        <w:rPr>
          <w:rFonts w:ascii="宋体" w:hAnsi="宋体" w:eastAsia="宋体" w:cs="宋体"/>
        </w:rPr>
      </w:pPr>
      <w:r>
        <w:rPr>
          <w:rFonts w:hint="eastAsia" w:ascii="宋体" w:hAnsi="宋体" w:eastAsia="宋体" w:cs="宋体"/>
        </w:rPr>
        <w:t>考核分数＜85 分为不合格，每减少一分扣除1500元。</w:t>
      </w:r>
    </w:p>
    <w:p>
      <w:pPr>
        <w:numPr>
          <w:ilvl w:val="0"/>
          <w:numId w:val="5"/>
        </w:numPr>
        <w:ind w:firstLine="480" w:firstLineChars="200"/>
        <w:jc w:val="both"/>
        <w:rPr>
          <w:rFonts w:ascii="宋体" w:hAnsi="宋体" w:eastAsia="宋体" w:cs="宋体"/>
          <w:bCs/>
        </w:rPr>
      </w:pPr>
      <w:r>
        <w:rPr>
          <w:rFonts w:hint="eastAsia" w:ascii="宋体" w:hAnsi="宋体" w:eastAsia="宋体" w:cs="宋体"/>
          <w:bCs/>
        </w:rPr>
        <w:t>若投标人员工如有优秀表现，经采购人研究决定同意后，采购人可适当进行奖励。</w:t>
      </w:r>
    </w:p>
    <w:p>
      <w:pPr>
        <w:pStyle w:val="3"/>
      </w:pPr>
      <w:r>
        <w:rPr>
          <w:rFonts w:hint="eastAsia"/>
        </w:rPr>
        <w:t>八、商务要求</w:t>
      </w:r>
    </w:p>
    <w:p>
      <w:pPr>
        <w:ind w:firstLine="480" w:firstLineChars="200"/>
        <w:jc w:val="both"/>
        <w:rPr>
          <w:rFonts w:ascii="宋体" w:hAnsi="宋体" w:eastAsia="宋体" w:cs="宋体"/>
          <w:b/>
        </w:rPr>
      </w:pPr>
      <w:r>
        <w:rPr>
          <w:rFonts w:hint="eastAsia" w:ascii="宋体" w:hAnsi="宋体" w:eastAsia="宋体" w:cs="宋体"/>
          <w:b/>
        </w:rPr>
        <w:t>（一）服务期限</w:t>
      </w:r>
    </w:p>
    <w:p>
      <w:pPr>
        <w:ind w:firstLine="480" w:firstLineChars="200"/>
        <w:jc w:val="both"/>
        <w:rPr>
          <w:rFonts w:ascii="宋体" w:hAnsi="宋体" w:eastAsia="宋体" w:cs="宋体"/>
        </w:rPr>
      </w:pPr>
      <w:r>
        <w:rPr>
          <w:rFonts w:hint="eastAsia" w:ascii="宋体" w:hAnsi="宋体" w:eastAsia="宋体" w:cs="宋体"/>
        </w:rPr>
        <w:t>服务期为三年，合同一年</w:t>
      </w:r>
      <w:r>
        <w:rPr>
          <w:rFonts w:ascii="宋体" w:hAnsi="宋体" w:eastAsia="宋体" w:cs="宋体"/>
        </w:rPr>
        <w:t>一签，</w:t>
      </w:r>
      <w:r>
        <w:rPr>
          <w:rFonts w:hint="eastAsia" w:ascii="宋体" w:hAnsi="宋体" w:eastAsia="宋体" w:cs="宋体"/>
        </w:rPr>
        <w:t>年度考核合格后，可续签合同。</w:t>
      </w:r>
    </w:p>
    <w:p>
      <w:pPr>
        <w:ind w:left="480"/>
        <w:jc w:val="both"/>
        <w:rPr>
          <w:rFonts w:ascii="宋体" w:hAnsi="宋体" w:eastAsia="宋体" w:cs="宋体"/>
          <w:b/>
        </w:rPr>
      </w:pPr>
      <w:r>
        <w:rPr>
          <w:rFonts w:hint="eastAsia" w:ascii="宋体" w:hAnsi="宋体" w:eastAsia="宋体" w:cs="宋体"/>
          <w:b/>
        </w:rPr>
        <w:t>（</w:t>
      </w:r>
      <w:r>
        <w:rPr>
          <w:rFonts w:ascii="宋体" w:hAnsi="宋体" w:eastAsia="宋体" w:cs="宋体"/>
          <w:b/>
        </w:rPr>
        <w:t>二）</w:t>
      </w:r>
      <w:r>
        <w:rPr>
          <w:rFonts w:hint="eastAsia" w:ascii="宋体" w:hAnsi="宋体" w:eastAsia="宋体" w:cs="宋体"/>
          <w:b/>
        </w:rPr>
        <w:t>款项结算</w:t>
      </w:r>
    </w:p>
    <w:p>
      <w:pPr>
        <w:ind w:firstLine="480" w:firstLineChars="200"/>
        <w:jc w:val="both"/>
        <w:rPr>
          <w:rFonts w:ascii="宋体" w:hAnsi="宋体" w:eastAsia="宋体" w:cs="宋体"/>
        </w:rPr>
      </w:pPr>
      <w:r>
        <w:rPr>
          <w:rFonts w:hint="eastAsia" w:ascii="宋体" w:hAnsi="宋体" w:eastAsia="宋体" w:cs="宋体"/>
        </w:rPr>
        <w:t>1、因本院区为新建院区涉及科室搬迁病源逐步增长，实际结算由中标方实际中标价格为基准，以双方确认实际到岗人数核定应付金额，凭验收报告每月末上报费用发票，采购方对中标方考核结果予以支付实际金额。</w:t>
      </w:r>
    </w:p>
    <w:p>
      <w:pPr>
        <w:ind w:firstLine="480" w:firstLineChars="200"/>
        <w:jc w:val="both"/>
        <w:rPr>
          <w:rFonts w:ascii="宋体" w:hAnsi="宋体" w:eastAsia="宋体" w:cs="宋体"/>
        </w:rPr>
      </w:pPr>
      <w:r>
        <w:rPr>
          <w:rFonts w:hint="eastAsia" w:ascii="宋体" w:hAnsi="宋体" w:eastAsia="宋体" w:cs="宋体"/>
        </w:rPr>
        <w:t>2、付款方式：按月结算费用，转账支付，如有其他费用由中标方承担。</w:t>
      </w:r>
    </w:p>
    <w:p>
      <w:pPr>
        <w:ind w:firstLine="480" w:firstLineChars="200"/>
        <w:jc w:val="both"/>
        <w:rPr>
          <w:rFonts w:ascii="宋体" w:hAnsi="宋体" w:eastAsia="宋体" w:cs="宋体"/>
        </w:rPr>
      </w:pPr>
      <w:r>
        <w:rPr>
          <w:rFonts w:ascii="宋体" w:hAnsi="宋体" w:eastAsia="宋体" w:cs="宋体"/>
        </w:rPr>
        <w:t>3</w:t>
      </w:r>
      <w:r>
        <w:rPr>
          <w:rFonts w:hint="eastAsia" w:ascii="宋体" w:hAnsi="宋体" w:eastAsia="宋体" w:cs="宋体"/>
        </w:rPr>
        <w:t>、每月25日为上月服务费结算日，供应商在结算服务费时须出具上月的全部服务清单及等额发票，采购方核实后在</w:t>
      </w:r>
      <w:r>
        <w:rPr>
          <w:rFonts w:ascii="宋体" w:hAnsi="宋体" w:eastAsia="宋体" w:cs="宋体"/>
          <w:color w:val="000000" w:themeColor="text1"/>
          <w14:textFill>
            <w14:solidFill>
              <w14:schemeClr w14:val="tx1"/>
            </w14:solidFill>
          </w14:textFill>
        </w:rPr>
        <w:t>10</w:t>
      </w:r>
      <w:r>
        <w:rPr>
          <w:rFonts w:hint="eastAsia" w:ascii="宋体" w:hAnsi="宋体" w:eastAsia="宋体" w:cs="宋体"/>
          <w:color w:val="000000" w:themeColor="text1"/>
          <w14:textFill>
            <w14:solidFill>
              <w14:schemeClr w14:val="tx1"/>
            </w14:solidFill>
          </w14:textFill>
        </w:rPr>
        <w:t>个工作日</w:t>
      </w:r>
      <w:r>
        <w:rPr>
          <w:rFonts w:hint="eastAsia" w:ascii="宋体" w:hAnsi="宋体" w:eastAsia="宋体" w:cs="宋体"/>
        </w:rPr>
        <w:t>内将款项支付给供应商。供应商不提供等额发票的，采购方有权暂不付款。供应商提供等额发票后，采购方恢复付款，但付款从下月25日款项结算日起10个工作日内支付。</w:t>
      </w:r>
    </w:p>
    <w:p>
      <w:pPr>
        <w:ind w:firstLine="480" w:firstLineChars="200"/>
        <w:jc w:val="both"/>
        <w:rPr>
          <w:rFonts w:ascii="宋体" w:hAnsi="宋体" w:eastAsia="宋体" w:cs="宋体"/>
        </w:rPr>
      </w:pPr>
      <w:r>
        <w:rPr>
          <w:rFonts w:ascii="宋体" w:hAnsi="宋体" w:eastAsia="宋体" w:cs="宋体"/>
        </w:rPr>
        <w:t>4</w:t>
      </w:r>
      <w:r>
        <w:rPr>
          <w:rFonts w:hint="eastAsia" w:ascii="宋体" w:hAnsi="宋体" w:eastAsia="宋体" w:cs="宋体"/>
        </w:rPr>
        <w:t>、本项目中标价格为固定总价。</w:t>
      </w:r>
    </w:p>
    <w:p>
      <w:pPr>
        <w:pStyle w:val="3"/>
      </w:pPr>
      <w:r>
        <w:rPr>
          <w:rFonts w:hint="eastAsia"/>
        </w:rPr>
        <w:t>九、其他</w:t>
      </w:r>
    </w:p>
    <w:p>
      <w:pPr>
        <w:ind w:firstLine="480" w:firstLineChars="200"/>
        <w:jc w:val="both"/>
      </w:pPr>
      <w:r>
        <w:rPr>
          <w:rFonts w:hint="eastAsia"/>
        </w:rPr>
        <w:t xml:space="preserve">1、不得将本项目的任何服务进行整体转包和委托分包，不得将任何管理责任转让第三方。 </w:t>
      </w:r>
    </w:p>
    <w:p>
      <w:pPr>
        <w:ind w:firstLine="480" w:firstLineChars="200"/>
        <w:jc w:val="both"/>
      </w:pPr>
      <w:r>
        <w:rPr>
          <w:rFonts w:hint="eastAsia"/>
        </w:rPr>
        <w:t xml:space="preserve">2、中标方聘用员工签订劳动合同，员工与医院没有劳动雇佣关系，有关工资福利和所产生的一切纠纷由中标方负责。 </w:t>
      </w:r>
    </w:p>
    <w:p>
      <w:pPr>
        <w:ind w:firstLine="480" w:firstLineChars="200"/>
        <w:jc w:val="both"/>
      </w:pPr>
      <w:r>
        <w:rPr>
          <w:rFonts w:hint="eastAsia"/>
        </w:rPr>
        <w:t xml:space="preserve">3、提供在服务范围内的装修、改造及长时间闲置而再次启用部位的拓荒保洁和重大活动和突击任务的临时保洁和服务保障。 </w:t>
      </w:r>
    </w:p>
    <w:p>
      <w:pPr>
        <w:ind w:firstLine="480" w:firstLineChars="200"/>
        <w:jc w:val="both"/>
      </w:pPr>
      <w:r>
        <w:rPr>
          <w:rFonts w:hint="eastAsia"/>
        </w:rPr>
        <w:t>4、如物业公司或者服务人员提供服务的区域、区域用途、所管理的部门、设备或工作任务的总量以任何方式出现增加、减少或变更的情况，则合同金额也要作相应的增加或者减少，经双方确认后据实进行合同变更。</w:t>
      </w:r>
      <w:r>
        <w:rPr>
          <w:rFonts w:hAnsi="华文仿宋"/>
          <w:b/>
        </w:rPr>
        <w:br w:type="page"/>
      </w:r>
    </w:p>
    <w:p>
      <w:pPr>
        <w:pStyle w:val="2"/>
        <w:spacing w:before="230" w:after="230"/>
      </w:pPr>
      <w:bookmarkStart w:id="17" w:name="_Toc190678198"/>
      <w:bookmarkStart w:id="18" w:name="_Toc194075975"/>
      <w:r>
        <w:rPr>
          <w:rFonts w:hint="eastAsia"/>
        </w:rPr>
        <w:t>第四章　合同文本</w:t>
      </w:r>
      <w:bookmarkEnd w:id="17"/>
      <w:bookmarkEnd w:id="18"/>
    </w:p>
    <w:p>
      <w:pPr>
        <w:spacing w:before="230" w:beforeLines="50"/>
        <w:ind w:firstLine="480" w:firstLineChars="200"/>
        <w:jc w:val="both"/>
        <w:rPr>
          <w:b/>
        </w:rPr>
      </w:pPr>
      <w:r>
        <w:rPr>
          <w:b/>
        </w:rPr>
        <w:t>甲方（采购人）：</w:t>
      </w:r>
      <w:r>
        <w:rPr>
          <w:b/>
          <w:color w:val="C00000"/>
          <w:u w:val="single"/>
        </w:rPr>
        <w:t>西安市中医医院</w:t>
      </w:r>
    </w:p>
    <w:p>
      <w:pPr>
        <w:ind w:firstLine="480" w:firstLineChars="200"/>
        <w:jc w:val="both"/>
        <w:rPr>
          <w:b/>
        </w:rPr>
      </w:pPr>
      <w:r>
        <w:rPr>
          <w:b/>
        </w:rPr>
        <w:t>乙方（中标供应商）：</w:t>
      </w:r>
      <w:r>
        <w:rPr>
          <w:color w:val="C00000"/>
        </w:rPr>
        <w:t>_________________</w:t>
      </w:r>
    </w:p>
    <w:p>
      <w:pPr>
        <w:jc w:val="both"/>
        <w:rPr>
          <w:rFonts w:cs="Calibri Light"/>
          <w:b/>
        </w:rPr>
      </w:pPr>
      <w:r>
        <w:rPr>
          <w:rFonts w:cs="Calibri Light"/>
          <w:b/>
        </w:rPr>
        <w:t>一、</w:t>
      </w:r>
      <w:r>
        <w:rPr>
          <w:rFonts w:hint="eastAsia" w:cs="Calibri Light"/>
          <w:b/>
        </w:rPr>
        <w:t>服务</w:t>
      </w:r>
      <w:r>
        <w:rPr>
          <w:rFonts w:cs="Calibri Light"/>
          <w:b/>
        </w:rPr>
        <w:t>条件：</w:t>
      </w:r>
    </w:p>
    <w:p>
      <w:pPr>
        <w:pStyle w:val="42"/>
        <w:wordWrap/>
        <w:spacing w:line="240" w:lineRule="auto"/>
        <w:ind w:firstLine="480" w:firstLineChars="200"/>
        <w:jc w:val="both"/>
        <w:rPr>
          <w:rFonts w:asciiTheme="minorHAnsi" w:hAnsiTheme="minorHAnsi" w:eastAsiaTheme="minorEastAsia"/>
          <w:sz w:val="24"/>
          <w:szCs w:val="24"/>
        </w:rPr>
      </w:pPr>
      <w:r>
        <w:rPr>
          <w:rFonts w:hint="eastAsia" w:asciiTheme="minorHAnsi" w:hAnsiTheme="minorHAnsi" w:eastAsiaTheme="minorEastAsia"/>
          <w:sz w:val="24"/>
          <w:szCs w:val="24"/>
        </w:rPr>
        <w:t>（一）采购标的及数量：西安市中医医院物业服务。</w:t>
      </w:r>
    </w:p>
    <w:p>
      <w:pPr>
        <w:ind w:firstLine="480" w:firstLineChars="200"/>
        <w:jc w:val="both"/>
        <w:rPr>
          <w:rFonts w:ascii="宋体" w:hAnsi="宋体" w:eastAsia="宋体" w:cs="宋体"/>
        </w:rPr>
      </w:pPr>
      <w:r>
        <w:rPr>
          <w:rFonts w:hint="eastAsia"/>
        </w:rPr>
        <w:t>（二）服务期：</w:t>
      </w:r>
      <w:r>
        <w:rPr>
          <w:rFonts w:hint="eastAsia" w:ascii="宋体" w:hAnsi="宋体" w:eastAsia="宋体" w:cs="宋体"/>
        </w:rPr>
        <w:t>服务期为三年，合同一年</w:t>
      </w:r>
      <w:r>
        <w:rPr>
          <w:rFonts w:ascii="宋体" w:hAnsi="宋体" w:eastAsia="宋体" w:cs="宋体"/>
        </w:rPr>
        <w:t>一签，</w:t>
      </w:r>
      <w:r>
        <w:rPr>
          <w:rFonts w:hint="eastAsia" w:ascii="宋体" w:hAnsi="宋体" w:eastAsia="宋体" w:cs="宋体"/>
        </w:rPr>
        <w:t>年度考核合格后，可续签合同。</w:t>
      </w:r>
    </w:p>
    <w:p>
      <w:pPr>
        <w:pStyle w:val="42"/>
        <w:wordWrap/>
        <w:spacing w:line="240" w:lineRule="auto"/>
        <w:ind w:firstLine="480" w:firstLineChars="200"/>
        <w:jc w:val="both"/>
        <w:rPr>
          <w:rFonts w:asciiTheme="minorHAnsi" w:hAnsiTheme="minorHAnsi" w:eastAsiaTheme="minorEastAsia"/>
          <w:sz w:val="24"/>
          <w:szCs w:val="24"/>
        </w:rPr>
      </w:pPr>
      <w:r>
        <w:rPr>
          <w:rFonts w:hint="eastAsia" w:asciiTheme="minorHAnsi" w:hAnsiTheme="minorHAnsi" w:eastAsiaTheme="minorEastAsia"/>
          <w:sz w:val="24"/>
          <w:szCs w:val="24"/>
        </w:rPr>
        <w:t>（三）服务地点：甲方指定地点。</w:t>
      </w:r>
    </w:p>
    <w:p>
      <w:pPr>
        <w:jc w:val="both"/>
        <w:rPr>
          <w:rFonts w:cs="Calibri Light"/>
          <w:b/>
        </w:rPr>
      </w:pPr>
      <w:r>
        <w:rPr>
          <w:rFonts w:cs="Calibri Light"/>
          <w:b/>
        </w:rPr>
        <w:t>二、合同价款</w:t>
      </w:r>
    </w:p>
    <w:p>
      <w:pPr>
        <w:ind w:firstLine="480" w:firstLineChars="200"/>
        <w:jc w:val="both"/>
      </w:pPr>
      <w:r>
        <w:t>（一）本合同项下总价款为人民币_________元（小写，精确到小数点后两位），即__________（大写）。合同履行期间，合同总价固定不变，不受市场价格变化因素的影响。</w:t>
      </w:r>
    </w:p>
    <w:p>
      <w:pPr>
        <w:ind w:firstLine="480" w:firstLineChars="200"/>
        <w:jc w:val="both"/>
      </w:pPr>
      <w:r>
        <w:t>（二）</w:t>
      </w:r>
      <w:r>
        <w:rPr>
          <w:rFonts w:hint="eastAsia"/>
        </w:rPr>
        <w:t>合同总价：包括在服务期内物业服务、管理内容、耗材（包含洗涤液、生活垃圾袋等所有消耗品）、通讯、服装、办公设备、各种税费、人工、法定节假日加班费、保险、劳保、维护、利润、税金、 日常用品、人员体检、政策性文件规定及合同包含的所有风险、责任等各项应有费用。系固定不变价格，不受市场价格变化因素的影响。</w:t>
      </w:r>
    </w:p>
    <w:p>
      <w:pPr>
        <w:jc w:val="both"/>
        <w:rPr>
          <w:rFonts w:cs="Calibri Light"/>
          <w:b/>
        </w:rPr>
      </w:pPr>
      <w:r>
        <w:rPr>
          <w:rFonts w:cs="Calibri Light"/>
          <w:b/>
        </w:rPr>
        <w:t>三、款项结算</w:t>
      </w:r>
    </w:p>
    <w:p>
      <w:pPr>
        <w:pStyle w:val="42"/>
        <w:wordWrap/>
        <w:spacing w:line="240" w:lineRule="auto"/>
        <w:ind w:firstLine="480" w:firstLineChars="200"/>
        <w:jc w:val="both"/>
        <w:rPr>
          <w:rFonts w:asciiTheme="minorHAnsi" w:hAnsiTheme="minorHAnsi" w:eastAsiaTheme="minorEastAsia"/>
          <w:sz w:val="24"/>
          <w:szCs w:val="24"/>
        </w:rPr>
      </w:pPr>
      <w:r>
        <w:rPr>
          <w:rFonts w:asciiTheme="minorHAnsi" w:hAnsiTheme="minorHAnsi" w:eastAsiaTheme="minorEastAsia"/>
          <w:sz w:val="24"/>
          <w:szCs w:val="24"/>
        </w:rPr>
        <w:t>（一）付款进度：</w:t>
      </w:r>
    </w:p>
    <w:p>
      <w:pPr>
        <w:pStyle w:val="42"/>
        <w:wordWrap/>
        <w:spacing w:line="240" w:lineRule="auto"/>
        <w:ind w:firstLine="480" w:firstLineChars="200"/>
        <w:jc w:val="both"/>
        <w:rPr>
          <w:rFonts w:asciiTheme="minorHAnsi" w:hAnsiTheme="minorHAnsi" w:eastAsiaTheme="minorEastAsia"/>
          <w:sz w:val="24"/>
          <w:szCs w:val="24"/>
        </w:rPr>
      </w:pPr>
      <w:r>
        <w:rPr>
          <w:rFonts w:hint="eastAsia" w:asciiTheme="minorHAnsi" w:hAnsiTheme="minorHAnsi" w:eastAsiaTheme="minorEastAsia"/>
          <w:sz w:val="24"/>
          <w:szCs w:val="24"/>
        </w:rPr>
        <w:t>每月25日为上月服务费结算日。乙方应在结算服务费时出具上月的全部服务清单（包括岗位名称、实际到岗人数、时长等服务明细），甲方每月对乙方服务情况进行考核（考核标准详见第三章）。双方按照考核情况、乙方实际到岗人数计算服务费，甲乙双方对服务费金额确认无误后，乙方开具等额发票，甲方收到后在10个工作日内将服务费支付给乙方。乙方不提供等额发票的，甲方有权暂不付款，且不承担违约责任。乙方提供等额发票后，甲方恢复付款，但付款从下月25日服务款结算日起10个工作日内支付。如甲乙双方对实际到岗人数或考核结果有异议的，该期服务费暂不支付，待甲乙双方确定无误后，甲方继续付款，但付款从下月25日服务款结算日起10个工作日内支付。因存在异议导致延期付款的，甲方不承担逾期付款违约责任。</w:t>
      </w:r>
    </w:p>
    <w:p>
      <w:pPr>
        <w:pStyle w:val="42"/>
        <w:wordWrap/>
        <w:spacing w:line="240" w:lineRule="auto"/>
        <w:ind w:firstLine="480" w:firstLineChars="200"/>
        <w:jc w:val="both"/>
        <w:rPr>
          <w:rFonts w:asciiTheme="minorHAnsi" w:hAnsiTheme="minorHAnsi" w:eastAsiaTheme="minorEastAsia"/>
          <w:sz w:val="24"/>
          <w:szCs w:val="24"/>
        </w:rPr>
      </w:pPr>
      <w:r>
        <w:rPr>
          <w:rFonts w:asciiTheme="minorHAnsi" w:hAnsiTheme="minorHAnsi" w:eastAsiaTheme="minorEastAsia"/>
          <w:sz w:val="24"/>
          <w:szCs w:val="24"/>
        </w:rPr>
        <w:t>（二）支付方式：银行转账。</w:t>
      </w:r>
    </w:p>
    <w:p>
      <w:pPr>
        <w:jc w:val="both"/>
        <w:rPr>
          <w:rFonts w:cs="Calibri Light"/>
          <w:b/>
        </w:rPr>
      </w:pPr>
      <w:r>
        <w:rPr>
          <w:rFonts w:cs="Calibri Light"/>
          <w:b/>
        </w:rPr>
        <w:t>四、双方的权利和义务</w:t>
      </w:r>
    </w:p>
    <w:p>
      <w:pPr>
        <w:pStyle w:val="42"/>
        <w:wordWrap/>
        <w:spacing w:line="240" w:lineRule="auto"/>
        <w:ind w:firstLine="480" w:firstLineChars="200"/>
        <w:jc w:val="both"/>
        <w:rPr>
          <w:rFonts w:asciiTheme="minorHAnsi" w:hAnsiTheme="minorHAnsi" w:eastAsiaTheme="minorEastAsia"/>
          <w:b/>
          <w:sz w:val="24"/>
          <w:szCs w:val="24"/>
        </w:rPr>
      </w:pPr>
      <w:r>
        <w:rPr>
          <w:rFonts w:asciiTheme="minorHAnsi" w:hAnsiTheme="minorHAnsi" w:eastAsiaTheme="minorEastAsia"/>
          <w:b/>
          <w:sz w:val="24"/>
          <w:szCs w:val="24"/>
        </w:rPr>
        <w:t>（一）甲方的权利和义务</w:t>
      </w:r>
    </w:p>
    <w:p>
      <w:pPr>
        <w:pStyle w:val="42"/>
        <w:widowControl w:val="0"/>
        <w:wordWrap/>
        <w:spacing w:line="240" w:lineRule="auto"/>
        <w:ind w:firstLine="480" w:firstLineChars="200"/>
        <w:jc w:val="both"/>
        <w:rPr>
          <w:rFonts w:asciiTheme="minorHAnsi" w:hAnsiTheme="minorHAnsi" w:eastAsiaTheme="minorEastAsia"/>
          <w:sz w:val="24"/>
          <w:szCs w:val="24"/>
        </w:rPr>
      </w:pPr>
      <w:r>
        <w:rPr>
          <w:rFonts w:hint="eastAsia" w:asciiTheme="minorHAnsi" w:hAnsiTheme="minorHAnsi" w:eastAsiaTheme="minorEastAsia"/>
          <w:sz w:val="24"/>
          <w:szCs w:val="24"/>
        </w:rPr>
        <w:t>1、甲方有权对乙方人员的工作情况及纪律作风监督检查，明确员工职责范围，对工作中不负责任、违反管理规定的人员，有权提出辞退要求，情况属实，乙方应无条件予以执行。</w:t>
      </w:r>
    </w:p>
    <w:p>
      <w:pPr>
        <w:pStyle w:val="42"/>
        <w:widowControl w:val="0"/>
        <w:wordWrap/>
        <w:spacing w:line="240" w:lineRule="auto"/>
        <w:ind w:firstLine="480" w:firstLineChars="200"/>
        <w:jc w:val="both"/>
        <w:rPr>
          <w:rFonts w:asciiTheme="minorHAnsi" w:hAnsiTheme="minorHAnsi" w:eastAsiaTheme="minorEastAsia"/>
          <w:sz w:val="24"/>
          <w:szCs w:val="24"/>
        </w:rPr>
      </w:pPr>
      <w:r>
        <w:rPr>
          <w:rFonts w:hint="eastAsia" w:asciiTheme="minorHAnsi" w:hAnsiTheme="minorHAnsi" w:eastAsiaTheme="minorEastAsia"/>
          <w:sz w:val="24"/>
          <w:szCs w:val="24"/>
        </w:rPr>
        <w:t>2、甲方不得指派服务人员从事与物业服务无关的事情。</w:t>
      </w:r>
    </w:p>
    <w:p>
      <w:pPr>
        <w:pStyle w:val="42"/>
        <w:widowControl w:val="0"/>
        <w:wordWrap/>
        <w:spacing w:line="240" w:lineRule="auto"/>
        <w:ind w:firstLine="480" w:firstLineChars="200"/>
        <w:jc w:val="both"/>
        <w:rPr>
          <w:rFonts w:asciiTheme="minorHAnsi" w:hAnsiTheme="minorHAnsi" w:eastAsiaTheme="minorEastAsia"/>
          <w:sz w:val="24"/>
          <w:szCs w:val="24"/>
        </w:rPr>
      </w:pPr>
      <w:r>
        <w:rPr>
          <w:rFonts w:hint="eastAsia" w:asciiTheme="minorHAnsi" w:hAnsiTheme="minorHAnsi" w:eastAsiaTheme="minorEastAsia"/>
          <w:sz w:val="24"/>
          <w:szCs w:val="24"/>
        </w:rPr>
        <w:t>3、甲方应按时付给乙方服务费用。</w:t>
      </w:r>
    </w:p>
    <w:p>
      <w:pPr>
        <w:pStyle w:val="42"/>
        <w:widowControl w:val="0"/>
        <w:wordWrap/>
        <w:spacing w:line="240" w:lineRule="auto"/>
        <w:ind w:firstLine="480" w:firstLineChars="200"/>
        <w:jc w:val="both"/>
        <w:rPr>
          <w:rFonts w:asciiTheme="minorHAnsi" w:hAnsiTheme="minorHAnsi" w:eastAsiaTheme="minorEastAsia"/>
          <w:b/>
          <w:sz w:val="24"/>
          <w:szCs w:val="24"/>
        </w:rPr>
      </w:pPr>
      <w:r>
        <w:rPr>
          <w:rFonts w:asciiTheme="minorHAnsi" w:hAnsiTheme="minorHAnsi" w:eastAsiaTheme="minorEastAsia"/>
          <w:b/>
          <w:sz w:val="24"/>
          <w:szCs w:val="24"/>
        </w:rPr>
        <w:t>（二）乙方的权利和义务</w:t>
      </w:r>
    </w:p>
    <w:p>
      <w:pPr>
        <w:ind w:firstLine="480" w:firstLineChars="200"/>
        <w:jc w:val="both"/>
        <w:rPr>
          <w:rFonts w:ascii="宋体" w:hAnsi="宋体" w:eastAsia="宋体" w:cs="宋体"/>
        </w:rPr>
      </w:pPr>
      <w:r>
        <w:rPr>
          <w:rFonts w:hint="eastAsia" w:ascii="宋体" w:hAnsi="宋体" w:eastAsia="宋体" w:cs="宋体"/>
        </w:rPr>
        <w:t>1、按合同要求给甲方派出合格的服务人员，依据岗位职责结合甲方交予的任务执行服务工作；遵守甲方制定的各项规章制度，为甲方提供保障服务。</w:t>
      </w:r>
    </w:p>
    <w:p>
      <w:pPr>
        <w:ind w:firstLine="480" w:firstLineChars="200"/>
        <w:jc w:val="both"/>
        <w:rPr>
          <w:rFonts w:ascii="宋体" w:hAnsi="宋体" w:eastAsia="宋体" w:cs="宋体"/>
        </w:rPr>
      </w:pPr>
      <w:r>
        <w:rPr>
          <w:rFonts w:hint="eastAsia" w:ascii="宋体" w:hAnsi="宋体" w:eastAsia="宋体" w:cs="宋体"/>
        </w:rPr>
        <w:t>2、乙方人员在上岗期间要着装整洁、仪表端庄，坚守岗位、遵守纪律、认真负责。</w:t>
      </w:r>
    </w:p>
    <w:p>
      <w:pPr>
        <w:ind w:firstLine="480" w:firstLineChars="200"/>
        <w:jc w:val="both"/>
        <w:rPr>
          <w:rFonts w:ascii="宋体" w:hAnsi="宋体" w:eastAsia="宋体" w:cs="宋体"/>
        </w:rPr>
      </w:pPr>
      <w:r>
        <w:rPr>
          <w:rFonts w:hint="eastAsia" w:ascii="宋体" w:hAnsi="宋体" w:eastAsia="宋体" w:cs="宋体"/>
        </w:rPr>
        <w:t>3、乙方定期征求甲方的意见，以便及时沟通并做好服务工作。</w:t>
      </w:r>
    </w:p>
    <w:p>
      <w:pPr>
        <w:ind w:firstLine="480" w:firstLineChars="200"/>
        <w:jc w:val="both"/>
        <w:rPr>
          <w:rFonts w:ascii="宋体" w:hAnsi="宋体" w:eastAsia="宋体" w:cs="宋体"/>
        </w:rPr>
      </w:pPr>
      <w:r>
        <w:rPr>
          <w:rFonts w:hint="eastAsia" w:ascii="宋体" w:hAnsi="宋体" w:eastAsia="宋体" w:cs="宋体"/>
        </w:rPr>
        <w:t>4、乙方人员因工作失职或疏忽直接造成损失，由乙方处理并承担相关责任。</w:t>
      </w:r>
    </w:p>
    <w:p>
      <w:pPr>
        <w:ind w:firstLine="480" w:firstLineChars="200"/>
        <w:jc w:val="both"/>
        <w:rPr>
          <w:rFonts w:ascii="宋体" w:hAnsi="宋体" w:eastAsia="宋体" w:cs="宋体"/>
        </w:rPr>
      </w:pPr>
      <w:r>
        <w:rPr>
          <w:rFonts w:hint="eastAsia" w:ascii="宋体" w:hAnsi="宋体" w:eastAsia="宋体" w:cs="宋体"/>
        </w:rPr>
        <w:t>5、乙方负责现场人员的日常管理和业务培训。</w:t>
      </w:r>
    </w:p>
    <w:p>
      <w:pPr>
        <w:ind w:firstLine="480" w:firstLineChars="200"/>
        <w:jc w:val="both"/>
        <w:rPr>
          <w:rFonts w:ascii="宋体" w:hAnsi="宋体" w:eastAsia="宋体" w:cs="宋体"/>
        </w:rPr>
      </w:pPr>
      <w:r>
        <w:rPr>
          <w:rFonts w:hint="eastAsia" w:ascii="宋体" w:hAnsi="宋体" w:eastAsia="宋体" w:cs="宋体"/>
        </w:rPr>
        <w:t>6、因医院南院区为新建院区，涉及科室搬迁，病源逐步增长，甲方实际需要的岗位人数以甲方当月实际需求为准，乙方按甲方要求提供服务人员。</w:t>
      </w:r>
    </w:p>
    <w:p>
      <w:pPr>
        <w:jc w:val="both"/>
        <w:rPr>
          <w:rFonts w:cs="Calibri Light"/>
          <w:b/>
        </w:rPr>
      </w:pPr>
      <w:r>
        <w:rPr>
          <w:rFonts w:cs="Calibri Light"/>
          <w:b/>
        </w:rPr>
        <w:t>五、</w:t>
      </w:r>
      <w:r>
        <w:rPr>
          <w:rFonts w:hint="eastAsia" w:cs="Calibri Light"/>
          <w:b/>
        </w:rPr>
        <w:t>质量</w:t>
      </w:r>
      <w:r>
        <w:rPr>
          <w:rFonts w:cs="Calibri Light"/>
          <w:b/>
        </w:rPr>
        <w:t>保证</w:t>
      </w:r>
    </w:p>
    <w:p>
      <w:pPr>
        <w:pStyle w:val="42"/>
        <w:wordWrap/>
        <w:spacing w:line="240" w:lineRule="auto"/>
        <w:ind w:firstLine="480" w:firstLineChars="200"/>
        <w:jc w:val="both"/>
        <w:rPr>
          <w:rFonts w:asciiTheme="minorHAnsi" w:hAnsiTheme="minorHAnsi" w:eastAsiaTheme="minorEastAsia"/>
          <w:sz w:val="24"/>
          <w:szCs w:val="24"/>
        </w:rPr>
      </w:pPr>
      <w:r>
        <w:rPr>
          <w:rFonts w:hint="eastAsia" w:asciiTheme="minorHAnsi" w:hAnsiTheme="minorHAnsi" w:eastAsiaTheme="minorEastAsia"/>
          <w:sz w:val="24"/>
          <w:szCs w:val="24"/>
        </w:rPr>
        <w:t>（一）乙方应提供详细的服务标准和服务承诺，服务标准应当符合国家、行业和地方相关物业服务标准。</w:t>
      </w:r>
    </w:p>
    <w:p>
      <w:pPr>
        <w:pStyle w:val="42"/>
        <w:wordWrap/>
        <w:spacing w:line="240" w:lineRule="auto"/>
        <w:ind w:firstLine="480" w:firstLineChars="200"/>
        <w:jc w:val="both"/>
        <w:rPr>
          <w:rFonts w:asciiTheme="minorHAnsi" w:hAnsiTheme="minorHAnsi" w:eastAsiaTheme="minorEastAsia"/>
          <w:sz w:val="24"/>
          <w:szCs w:val="24"/>
        </w:rPr>
      </w:pPr>
      <w:r>
        <w:rPr>
          <w:rFonts w:hint="eastAsia" w:asciiTheme="minorHAnsi" w:hAnsiTheme="minorHAnsi" w:eastAsiaTheme="minorEastAsia"/>
          <w:sz w:val="24"/>
          <w:szCs w:val="24"/>
        </w:rPr>
        <w:t>（二）在服务期限内，遵循零干扰服务。乙方不得干扰或阻碍甲方对该办公区域和公共区域的正常使用。</w:t>
      </w:r>
    </w:p>
    <w:p>
      <w:pPr>
        <w:pStyle w:val="42"/>
        <w:wordWrap/>
        <w:spacing w:line="240" w:lineRule="auto"/>
        <w:ind w:firstLine="480" w:firstLineChars="200"/>
        <w:jc w:val="both"/>
        <w:rPr>
          <w:rFonts w:asciiTheme="minorHAnsi" w:hAnsiTheme="minorHAnsi" w:eastAsiaTheme="minorEastAsia"/>
          <w:sz w:val="24"/>
          <w:szCs w:val="24"/>
        </w:rPr>
      </w:pPr>
      <w:r>
        <w:rPr>
          <w:rFonts w:hint="eastAsia" w:asciiTheme="minorHAnsi" w:hAnsiTheme="minorHAnsi" w:eastAsiaTheme="minorEastAsia"/>
          <w:sz w:val="24"/>
          <w:szCs w:val="24"/>
        </w:rPr>
        <w:t>（三）乙方在提供物业服务时因维修、养护、管理不当或未尽义务，导致甲方或第三方人身损害或财产损失的，应承担全部责任和费用。</w:t>
      </w:r>
    </w:p>
    <w:p>
      <w:pPr>
        <w:pStyle w:val="42"/>
        <w:wordWrap/>
        <w:spacing w:line="240" w:lineRule="auto"/>
        <w:ind w:firstLine="480" w:firstLineChars="200"/>
        <w:jc w:val="both"/>
        <w:rPr>
          <w:rFonts w:asciiTheme="minorHAnsi" w:hAnsiTheme="minorHAnsi" w:eastAsiaTheme="minorEastAsia"/>
          <w:sz w:val="24"/>
          <w:szCs w:val="24"/>
        </w:rPr>
      </w:pPr>
      <w:r>
        <w:rPr>
          <w:rFonts w:hint="eastAsia" w:asciiTheme="minorHAnsi" w:hAnsiTheme="minorHAnsi" w:eastAsiaTheme="minorEastAsia"/>
          <w:sz w:val="24"/>
          <w:szCs w:val="24"/>
        </w:rPr>
        <w:t>（四）乙方应严格履行投标文件中的承诺，不得随意减少，投标文件为本合同组成内容的一部分，同样具备合同效力。</w:t>
      </w:r>
    </w:p>
    <w:p>
      <w:pPr>
        <w:jc w:val="both"/>
        <w:rPr>
          <w:rFonts w:cs="Calibri Light"/>
          <w:b/>
        </w:rPr>
      </w:pPr>
      <w:r>
        <w:rPr>
          <w:rFonts w:cs="Calibri Light"/>
          <w:b/>
        </w:rPr>
        <w:t>六、验收</w:t>
      </w:r>
    </w:p>
    <w:p>
      <w:pPr>
        <w:pStyle w:val="42"/>
        <w:wordWrap/>
        <w:spacing w:line="240" w:lineRule="auto"/>
        <w:ind w:firstLine="480" w:firstLineChars="200"/>
        <w:jc w:val="both"/>
        <w:rPr>
          <w:rFonts w:asciiTheme="minorHAnsi" w:hAnsiTheme="minorHAnsi" w:eastAsiaTheme="minorEastAsia"/>
          <w:sz w:val="24"/>
          <w:szCs w:val="24"/>
        </w:rPr>
      </w:pPr>
      <w:r>
        <w:rPr>
          <w:rFonts w:hint="eastAsia" w:asciiTheme="minorHAnsi" w:hAnsiTheme="minorHAnsi" w:eastAsiaTheme="minorEastAsia"/>
          <w:sz w:val="24"/>
          <w:szCs w:val="24"/>
        </w:rPr>
        <w:t>（一）服务期满后，甲方根据招标文件和投标文件及相关文件，进行验收，确认服务标准和服务方式是否达到采购要求，验收合格后，填写政府采购项目验收单（一式伍份）作为对项目的最终认可。</w:t>
      </w:r>
    </w:p>
    <w:p>
      <w:pPr>
        <w:pStyle w:val="42"/>
        <w:wordWrap/>
        <w:spacing w:line="240" w:lineRule="auto"/>
        <w:ind w:firstLine="480" w:firstLineChars="200"/>
        <w:jc w:val="both"/>
        <w:rPr>
          <w:rFonts w:asciiTheme="minorHAnsi" w:hAnsiTheme="minorHAnsi" w:eastAsiaTheme="minorEastAsia"/>
          <w:sz w:val="24"/>
          <w:szCs w:val="24"/>
        </w:rPr>
      </w:pPr>
      <w:r>
        <w:rPr>
          <w:rFonts w:hint="eastAsia" w:asciiTheme="minorHAnsi" w:hAnsiTheme="minorHAnsi" w:eastAsiaTheme="minorEastAsia"/>
          <w:sz w:val="24"/>
          <w:szCs w:val="24"/>
        </w:rPr>
        <w:t>（二）验收依据：</w:t>
      </w:r>
    </w:p>
    <w:p>
      <w:pPr>
        <w:pStyle w:val="42"/>
        <w:wordWrap/>
        <w:spacing w:line="240" w:lineRule="auto"/>
        <w:ind w:firstLine="480" w:firstLineChars="200"/>
        <w:jc w:val="both"/>
        <w:rPr>
          <w:rFonts w:asciiTheme="minorHAnsi" w:hAnsiTheme="minorHAnsi" w:eastAsiaTheme="minorEastAsia"/>
          <w:sz w:val="24"/>
          <w:szCs w:val="24"/>
        </w:rPr>
      </w:pPr>
      <w:r>
        <w:rPr>
          <w:rFonts w:hint="eastAsia" w:asciiTheme="minorHAnsi" w:hAnsiTheme="minorHAnsi" w:eastAsiaTheme="minorEastAsia"/>
          <w:sz w:val="24"/>
          <w:szCs w:val="24"/>
        </w:rPr>
        <w:t>1、招标文件、投标文件、澄清表（函）；</w:t>
      </w:r>
    </w:p>
    <w:p>
      <w:pPr>
        <w:pStyle w:val="42"/>
        <w:wordWrap/>
        <w:spacing w:line="240" w:lineRule="auto"/>
        <w:ind w:firstLine="480" w:firstLineChars="200"/>
        <w:jc w:val="both"/>
        <w:rPr>
          <w:rFonts w:asciiTheme="minorHAnsi" w:hAnsiTheme="minorHAnsi" w:eastAsiaTheme="minorEastAsia"/>
          <w:sz w:val="24"/>
          <w:szCs w:val="24"/>
        </w:rPr>
      </w:pPr>
      <w:r>
        <w:rPr>
          <w:rFonts w:hint="eastAsia" w:asciiTheme="minorHAnsi" w:hAnsiTheme="minorHAnsi" w:eastAsiaTheme="minorEastAsia"/>
          <w:sz w:val="24"/>
          <w:szCs w:val="24"/>
        </w:rPr>
        <w:t>2、本合同及附件文本；</w:t>
      </w:r>
    </w:p>
    <w:p>
      <w:pPr>
        <w:pStyle w:val="42"/>
        <w:wordWrap/>
        <w:spacing w:line="240" w:lineRule="auto"/>
        <w:ind w:firstLine="480" w:firstLineChars="200"/>
        <w:jc w:val="both"/>
        <w:rPr>
          <w:rFonts w:asciiTheme="minorHAnsi" w:hAnsiTheme="minorHAnsi" w:eastAsiaTheme="minorEastAsia"/>
          <w:sz w:val="24"/>
          <w:szCs w:val="24"/>
        </w:rPr>
      </w:pPr>
      <w:r>
        <w:rPr>
          <w:rFonts w:hint="eastAsia" w:asciiTheme="minorHAnsi" w:hAnsiTheme="minorHAnsi" w:eastAsiaTheme="minorEastAsia"/>
          <w:sz w:val="24"/>
          <w:szCs w:val="24"/>
        </w:rPr>
        <w:t>3、合同签订时国家及行业现行的标准和技术规范。</w:t>
      </w:r>
    </w:p>
    <w:p>
      <w:pPr>
        <w:pStyle w:val="42"/>
        <w:wordWrap/>
        <w:spacing w:line="240" w:lineRule="auto"/>
        <w:ind w:firstLine="480" w:firstLineChars="200"/>
        <w:jc w:val="both"/>
        <w:rPr>
          <w:rFonts w:asciiTheme="minorHAnsi" w:hAnsiTheme="minorHAnsi" w:eastAsiaTheme="minorEastAsia"/>
          <w:sz w:val="24"/>
          <w:szCs w:val="24"/>
        </w:rPr>
      </w:pPr>
      <w:r>
        <w:rPr>
          <w:rFonts w:hint="eastAsia" w:asciiTheme="minorHAnsi" w:hAnsiTheme="minorHAnsi" w:eastAsiaTheme="minorEastAsia"/>
          <w:sz w:val="24"/>
          <w:szCs w:val="24"/>
        </w:rPr>
        <w:t>（三）乙方应向甲方提交项目实施过程中的所有资料，以便甲方日后管理和维护。</w:t>
      </w:r>
    </w:p>
    <w:p>
      <w:pPr>
        <w:jc w:val="both"/>
        <w:rPr>
          <w:rFonts w:cs="Calibri Light"/>
          <w:b/>
        </w:rPr>
      </w:pPr>
      <w:r>
        <w:rPr>
          <w:rFonts w:cs="Calibri Light"/>
          <w:b/>
        </w:rPr>
        <w:t>七、违约责任</w:t>
      </w:r>
    </w:p>
    <w:p>
      <w:pPr>
        <w:pStyle w:val="42"/>
        <w:ind w:firstLine="480" w:firstLineChars="200"/>
        <w:jc w:val="both"/>
        <w:rPr>
          <w:rFonts w:asciiTheme="minorHAnsi" w:hAnsiTheme="minorHAnsi" w:eastAsiaTheme="minorEastAsia"/>
          <w:sz w:val="24"/>
          <w:szCs w:val="24"/>
        </w:rPr>
      </w:pPr>
      <w:r>
        <w:rPr>
          <w:rFonts w:hint="eastAsia" w:asciiTheme="minorHAnsi" w:hAnsiTheme="minorHAnsi" w:eastAsiaTheme="minorEastAsia"/>
          <w:sz w:val="24"/>
          <w:szCs w:val="24"/>
        </w:rPr>
        <w:t>（一</w:t>
      </w:r>
      <w:r>
        <w:rPr>
          <w:rFonts w:asciiTheme="minorHAnsi" w:hAnsiTheme="minorHAnsi" w:eastAsiaTheme="minorEastAsia"/>
          <w:sz w:val="24"/>
          <w:szCs w:val="24"/>
        </w:rPr>
        <w:t>）</w:t>
      </w:r>
      <w:r>
        <w:rPr>
          <w:rFonts w:hint="eastAsia" w:asciiTheme="minorHAnsi" w:hAnsiTheme="minorHAnsi" w:eastAsiaTheme="minorEastAsia"/>
          <w:sz w:val="24"/>
          <w:szCs w:val="24"/>
        </w:rPr>
        <w:t>甲乙双方必须遵守本合同并执行合同中的各项规定，保证本合同的正常履行。</w:t>
      </w:r>
    </w:p>
    <w:p>
      <w:pPr>
        <w:pStyle w:val="42"/>
        <w:ind w:firstLine="480" w:firstLineChars="200"/>
        <w:jc w:val="both"/>
        <w:rPr>
          <w:rFonts w:asciiTheme="minorHAnsi" w:hAnsiTheme="minorHAnsi" w:eastAsiaTheme="minorEastAsia"/>
          <w:sz w:val="24"/>
          <w:szCs w:val="24"/>
        </w:rPr>
      </w:pPr>
      <w:r>
        <w:rPr>
          <w:rFonts w:hint="eastAsia" w:asciiTheme="minorHAnsi" w:hAnsiTheme="minorHAnsi" w:eastAsiaTheme="minorEastAsia"/>
          <w:sz w:val="24"/>
          <w:szCs w:val="24"/>
        </w:rPr>
        <w:t>（二</w:t>
      </w:r>
      <w:r>
        <w:rPr>
          <w:rFonts w:asciiTheme="minorHAnsi" w:hAnsiTheme="minorHAnsi" w:eastAsiaTheme="minorEastAsia"/>
          <w:sz w:val="24"/>
          <w:szCs w:val="24"/>
        </w:rPr>
        <w:t>）</w:t>
      </w:r>
      <w:r>
        <w:rPr>
          <w:rFonts w:hint="eastAsia" w:asciiTheme="minorHAnsi" w:hAnsiTheme="minorHAnsi" w:eastAsiaTheme="minorEastAsia"/>
          <w:sz w:val="24"/>
          <w:szCs w:val="24"/>
        </w:rPr>
        <w:t>由双方按《民法典》、《保安管理条例》中的相关原则经平等协商后补充。</w:t>
      </w:r>
    </w:p>
    <w:p>
      <w:pPr>
        <w:pStyle w:val="42"/>
        <w:spacing w:line="240" w:lineRule="auto"/>
        <w:ind w:firstLine="480" w:firstLineChars="200"/>
        <w:jc w:val="both"/>
        <w:rPr>
          <w:rFonts w:asciiTheme="minorHAnsi" w:hAnsiTheme="minorHAnsi" w:eastAsiaTheme="minorEastAsia"/>
          <w:sz w:val="24"/>
          <w:szCs w:val="24"/>
        </w:rPr>
      </w:pPr>
      <w:r>
        <w:rPr>
          <w:rFonts w:hint="eastAsia" w:asciiTheme="minorHAnsi" w:hAnsiTheme="minorHAnsi" w:eastAsiaTheme="minorEastAsia"/>
          <w:sz w:val="24"/>
          <w:szCs w:val="24"/>
        </w:rPr>
        <w:t>（三</w:t>
      </w:r>
      <w:r>
        <w:rPr>
          <w:rFonts w:asciiTheme="minorHAnsi" w:hAnsiTheme="minorHAnsi" w:eastAsiaTheme="minorEastAsia"/>
          <w:sz w:val="24"/>
          <w:szCs w:val="24"/>
        </w:rPr>
        <w:t>）</w:t>
      </w:r>
      <w:r>
        <w:rPr>
          <w:rFonts w:hint="eastAsia" w:asciiTheme="minorHAnsi" w:hAnsiTheme="minorHAnsi" w:eastAsiaTheme="minorEastAsia"/>
          <w:sz w:val="24"/>
          <w:szCs w:val="24"/>
        </w:rPr>
        <w:t>如因乙方工作人员在履行职务过程中的疏忽、失职、过错等故意或者过失原因给甲方造成损失或侵害，包括但不限于甲方本身的财产损失、由此而导致的甲方对任何第三方的法律责任等，乙方对此均应承担全部的赔偿责任。</w:t>
      </w:r>
    </w:p>
    <w:p>
      <w:pPr>
        <w:pStyle w:val="42"/>
        <w:spacing w:line="240" w:lineRule="auto"/>
        <w:ind w:firstLine="480" w:firstLineChars="200"/>
        <w:jc w:val="both"/>
        <w:rPr>
          <w:rFonts w:asciiTheme="minorHAnsi" w:hAnsiTheme="minorHAnsi" w:eastAsiaTheme="minorEastAsia"/>
          <w:sz w:val="24"/>
          <w:szCs w:val="24"/>
        </w:rPr>
      </w:pPr>
      <w:r>
        <w:rPr>
          <w:rFonts w:asciiTheme="minorHAnsi" w:hAnsiTheme="minorHAnsi" w:eastAsiaTheme="minorEastAsia"/>
          <w:sz w:val="24"/>
          <w:szCs w:val="24"/>
        </w:rPr>
        <w:t>（三）未按合同要求提供</w:t>
      </w:r>
      <w:r>
        <w:rPr>
          <w:rFonts w:hint="eastAsia" w:asciiTheme="minorHAnsi" w:hAnsiTheme="minorHAnsi" w:eastAsiaTheme="minorEastAsia"/>
          <w:sz w:val="24"/>
          <w:szCs w:val="24"/>
        </w:rPr>
        <w:t>服务</w:t>
      </w:r>
      <w:r>
        <w:rPr>
          <w:rFonts w:asciiTheme="minorHAnsi" w:hAnsiTheme="minorHAnsi" w:eastAsiaTheme="minorEastAsia"/>
          <w:sz w:val="24"/>
          <w:szCs w:val="24"/>
        </w:rPr>
        <w:t>或</w:t>
      </w:r>
      <w:r>
        <w:rPr>
          <w:rFonts w:hint="eastAsia" w:asciiTheme="minorHAnsi" w:hAnsiTheme="minorHAnsi" w:eastAsiaTheme="minorEastAsia"/>
          <w:sz w:val="24"/>
          <w:szCs w:val="24"/>
        </w:rPr>
        <w:t>服务</w:t>
      </w:r>
      <w:r>
        <w:rPr>
          <w:rFonts w:asciiTheme="minorHAnsi" w:hAnsiTheme="minorHAnsi" w:eastAsiaTheme="minorEastAsia"/>
          <w:sz w:val="24"/>
          <w:szCs w:val="24"/>
        </w:rPr>
        <w:t>质量不能满足合同要求，甲方应当将乙方违约的情况以及拟采取的措施以书面形式报政府采购监管部门，根据政府采购监管部门的处理意见，甲方有权依据《民法典》有关条款及合同约定终止合同，并要求乙方承担违约责任。同时，政府采购监管部门有权依据《政府采购法》及相关法律法规对乙方的违法行为进行相应的处罚。</w:t>
      </w:r>
    </w:p>
    <w:p>
      <w:pPr>
        <w:ind w:firstLine="480" w:firstLineChars="200"/>
        <w:jc w:val="both"/>
        <w:rPr>
          <w:rFonts w:cs="Calibri Light"/>
          <w:b/>
        </w:rPr>
      </w:pPr>
      <w:r>
        <w:rPr>
          <w:rFonts w:cs="Calibri Light"/>
          <w:b/>
        </w:rPr>
        <w:t>八、合同的变更和修改、中止和终止</w:t>
      </w:r>
    </w:p>
    <w:p>
      <w:pPr>
        <w:pStyle w:val="42"/>
        <w:wordWrap/>
        <w:spacing w:line="240" w:lineRule="auto"/>
        <w:ind w:firstLine="480" w:firstLineChars="200"/>
        <w:jc w:val="both"/>
        <w:rPr>
          <w:rFonts w:asciiTheme="minorHAnsi" w:hAnsiTheme="minorHAnsi" w:eastAsiaTheme="minorEastAsia"/>
          <w:sz w:val="24"/>
          <w:szCs w:val="24"/>
        </w:rPr>
      </w:pPr>
      <w:r>
        <w:rPr>
          <w:rFonts w:asciiTheme="minorHAnsi" w:hAnsiTheme="minorHAnsi" w:eastAsiaTheme="minorEastAsia"/>
          <w:sz w:val="24"/>
          <w:szCs w:val="24"/>
        </w:rPr>
        <w:t>（一）本合同一经生效，合同双方均不得擅自对本合同的内容（包括附件）作任何单方的修改。但任何一方均可以对合同内容以书面形式提出变更、修改、取消或补充的建议，经双方同意后，以补充协议方式由双方法定代表人或其授权代表签字后生效。</w:t>
      </w:r>
    </w:p>
    <w:p>
      <w:pPr>
        <w:pStyle w:val="42"/>
        <w:wordWrap/>
        <w:spacing w:line="240" w:lineRule="auto"/>
        <w:ind w:firstLine="480" w:firstLineChars="200"/>
        <w:jc w:val="both"/>
        <w:rPr>
          <w:rFonts w:asciiTheme="minorHAnsi" w:hAnsiTheme="minorHAnsi" w:eastAsiaTheme="minorEastAsia"/>
          <w:sz w:val="24"/>
          <w:szCs w:val="24"/>
        </w:rPr>
      </w:pPr>
      <w:r>
        <w:rPr>
          <w:rFonts w:asciiTheme="minorHAnsi" w:hAnsiTheme="minorHAnsi" w:eastAsiaTheme="minorEastAsia"/>
          <w:sz w:val="24"/>
          <w:szCs w:val="24"/>
        </w:rPr>
        <w:t>（二）甲方因乙方不履约或乙方其他原因而解除合同的，乙方须返还甲方全部费用、赔偿甲方由此产生的损失并承担其他相关责任，相应责任承担方式按照本合同第8条约定执行。</w:t>
      </w:r>
    </w:p>
    <w:p>
      <w:pPr>
        <w:pStyle w:val="42"/>
        <w:wordWrap/>
        <w:spacing w:line="240" w:lineRule="auto"/>
        <w:ind w:firstLine="480" w:firstLineChars="200"/>
        <w:jc w:val="both"/>
        <w:rPr>
          <w:rFonts w:asciiTheme="minorHAnsi" w:hAnsiTheme="minorHAnsi" w:eastAsiaTheme="minorEastAsia"/>
          <w:sz w:val="24"/>
          <w:szCs w:val="24"/>
        </w:rPr>
      </w:pPr>
      <w:r>
        <w:rPr>
          <w:rFonts w:asciiTheme="minorHAnsi" w:hAnsiTheme="minorHAnsi" w:eastAsiaTheme="minorEastAsia"/>
          <w:sz w:val="24"/>
          <w:szCs w:val="24"/>
        </w:rPr>
        <w:t>（三）乙方因甲方不履约或甲方其他原因而解除合同的，乙方不予返还甲方已付乙方已提供相应服务的费用款项，甲方赔偿乙方由此产生的损失并承担其他相关责任。</w:t>
      </w:r>
    </w:p>
    <w:p>
      <w:pPr>
        <w:ind w:firstLine="480" w:firstLineChars="200"/>
        <w:jc w:val="both"/>
        <w:rPr>
          <w:rFonts w:cs="Calibri Light"/>
          <w:b/>
        </w:rPr>
      </w:pPr>
      <w:r>
        <w:rPr>
          <w:rFonts w:cs="Calibri Light"/>
          <w:b/>
        </w:rPr>
        <w:t>九、保密条款</w:t>
      </w:r>
    </w:p>
    <w:p>
      <w:pPr>
        <w:pStyle w:val="42"/>
        <w:wordWrap/>
        <w:spacing w:line="240" w:lineRule="auto"/>
        <w:ind w:firstLine="480" w:firstLineChars="200"/>
        <w:jc w:val="both"/>
        <w:rPr>
          <w:rFonts w:asciiTheme="minorHAnsi" w:hAnsiTheme="minorHAnsi" w:eastAsiaTheme="minorEastAsia"/>
          <w:sz w:val="24"/>
          <w:szCs w:val="24"/>
        </w:rPr>
      </w:pPr>
      <w:r>
        <w:rPr>
          <w:rFonts w:asciiTheme="minorHAnsi" w:hAnsiTheme="minorHAnsi" w:eastAsiaTheme="minorEastAsia"/>
          <w:sz w:val="24"/>
          <w:szCs w:val="24"/>
        </w:rPr>
        <w:t>（一）乙方应遵守国家有关保密的法律法规和行业规定，并对甲方提供的资料负有保密义务。</w:t>
      </w:r>
    </w:p>
    <w:p>
      <w:pPr>
        <w:pStyle w:val="42"/>
        <w:wordWrap/>
        <w:spacing w:line="240" w:lineRule="auto"/>
        <w:ind w:firstLine="480" w:firstLineChars="200"/>
        <w:jc w:val="both"/>
        <w:rPr>
          <w:rFonts w:asciiTheme="minorHAnsi" w:hAnsiTheme="minorHAnsi" w:eastAsiaTheme="minorEastAsia"/>
          <w:sz w:val="24"/>
          <w:szCs w:val="24"/>
        </w:rPr>
      </w:pPr>
      <w:r>
        <w:rPr>
          <w:rFonts w:asciiTheme="minorHAnsi" w:hAnsiTheme="minorHAnsi" w:eastAsiaTheme="minorEastAsia"/>
          <w:sz w:val="24"/>
          <w:szCs w:val="24"/>
        </w:rPr>
        <w:t>（二）本条款为独立条款，本合同的无效、变更、解除和终止均不影响本条款的效力。</w:t>
      </w:r>
    </w:p>
    <w:p>
      <w:pPr>
        <w:ind w:firstLine="480" w:firstLineChars="200"/>
        <w:jc w:val="both"/>
        <w:rPr>
          <w:rFonts w:cs="Calibri Light"/>
          <w:b/>
        </w:rPr>
      </w:pPr>
      <w:r>
        <w:rPr>
          <w:rFonts w:cs="Calibri Light"/>
          <w:b/>
        </w:rPr>
        <w:t>十、争议解决</w:t>
      </w:r>
    </w:p>
    <w:p>
      <w:pPr>
        <w:pStyle w:val="42"/>
        <w:wordWrap/>
        <w:spacing w:line="240" w:lineRule="auto"/>
        <w:ind w:firstLine="480" w:firstLineChars="200"/>
        <w:jc w:val="both"/>
        <w:rPr>
          <w:rFonts w:asciiTheme="minorHAnsi" w:hAnsiTheme="minorHAnsi" w:eastAsiaTheme="minorEastAsia"/>
          <w:sz w:val="24"/>
          <w:szCs w:val="24"/>
        </w:rPr>
      </w:pPr>
      <w:r>
        <w:rPr>
          <w:rFonts w:asciiTheme="minorHAnsi" w:hAnsiTheme="minorHAnsi" w:eastAsiaTheme="minorEastAsia"/>
          <w:sz w:val="24"/>
          <w:szCs w:val="24"/>
        </w:rPr>
        <w:t>（一）本合同适用法律为中华人民共和国法律。</w:t>
      </w:r>
    </w:p>
    <w:p>
      <w:pPr>
        <w:ind w:firstLine="480" w:firstLineChars="200"/>
        <w:jc w:val="both"/>
      </w:pPr>
      <w:r>
        <w:t>（二）凡与本合同有关的一切争议，双方应通过友好协商解决。如协商后仍不能达成协议时，按下列第___种方式解决。</w:t>
      </w:r>
    </w:p>
    <w:p>
      <w:pPr>
        <w:ind w:firstLine="480" w:firstLineChars="200"/>
        <w:jc w:val="both"/>
      </w:pPr>
      <w:r>
        <w:t>1．提交西安仲裁委员会。</w:t>
      </w:r>
    </w:p>
    <w:p>
      <w:pPr>
        <w:pStyle w:val="42"/>
        <w:wordWrap/>
        <w:spacing w:line="240" w:lineRule="auto"/>
        <w:ind w:firstLine="480" w:firstLineChars="200"/>
        <w:jc w:val="both"/>
        <w:rPr>
          <w:rFonts w:asciiTheme="minorHAnsi" w:hAnsiTheme="minorHAnsi" w:eastAsiaTheme="minorEastAsia"/>
          <w:sz w:val="24"/>
          <w:szCs w:val="24"/>
        </w:rPr>
      </w:pPr>
      <w:r>
        <w:rPr>
          <w:rFonts w:asciiTheme="minorHAnsi" w:hAnsiTheme="minorHAnsi" w:eastAsiaTheme="minorEastAsia"/>
          <w:sz w:val="24"/>
          <w:szCs w:val="24"/>
        </w:rPr>
        <w:t>2．依法向甲方所在地有管辖权的人民法院提起诉讼。</w:t>
      </w:r>
    </w:p>
    <w:p>
      <w:pPr>
        <w:ind w:firstLine="480" w:firstLineChars="200"/>
        <w:jc w:val="both"/>
        <w:rPr>
          <w:rFonts w:cs="Calibri Light"/>
          <w:b/>
        </w:rPr>
      </w:pPr>
      <w:r>
        <w:rPr>
          <w:rFonts w:cs="Calibri Light"/>
          <w:b/>
        </w:rPr>
        <w:t>十一、不可抗力</w:t>
      </w:r>
    </w:p>
    <w:p>
      <w:pPr>
        <w:pStyle w:val="42"/>
        <w:wordWrap/>
        <w:spacing w:line="240" w:lineRule="auto"/>
        <w:ind w:firstLine="480" w:firstLineChars="200"/>
        <w:jc w:val="both"/>
        <w:rPr>
          <w:rFonts w:asciiTheme="minorHAnsi" w:hAnsiTheme="minorHAnsi" w:eastAsiaTheme="minorEastAsia"/>
          <w:sz w:val="24"/>
          <w:szCs w:val="24"/>
        </w:rPr>
      </w:pPr>
      <w:r>
        <w:rPr>
          <w:rFonts w:asciiTheme="minorHAnsi" w:hAnsiTheme="minorHAnsi" w:eastAsiaTheme="minorEastAsia"/>
          <w:sz w:val="24"/>
          <w:szCs w:val="24"/>
        </w:rPr>
        <w:t>（一）不可抗力是指合同签字后发生的非甲乙双方所能控制的、并非合同方过失的、无法中止的、不能预防的事件，包括战争、地震等重大自然灾害、重大公共卫生紧急事件、或者法律法规变动等。双方互不负违约责任。</w:t>
      </w:r>
    </w:p>
    <w:p>
      <w:pPr>
        <w:pStyle w:val="42"/>
        <w:wordWrap/>
        <w:spacing w:line="240" w:lineRule="auto"/>
        <w:ind w:firstLine="480" w:firstLineChars="200"/>
        <w:jc w:val="both"/>
        <w:rPr>
          <w:rFonts w:asciiTheme="minorHAnsi" w:hAnsiTheme="minorHAnsi" w:eastAsiaTheme="minorEastAsia"/>
          <w:sz w:val="24"/>
          <w:szCs w:val="24"/>
        </w:rPr>
      </w:pPr>
      <w:r>
        <w:rPr>
          <w:rFonts w:asciiTheme="minorHAnsi" w:hAnsiTheme="minorHAnsi" w:eastAsiaTheme="minorEastAsia"/>
          <w:sz w:val="24"/>
          <w:szCs w:val="24"/>
        </w:rPr>
        <w:t>（二）受到不可抗力影响的一方应在不可抗力事故发生后，五日内将所发生的不可抗力事件的情况书面通知另一方，并另一方尽快审阅确认，受影响的一方同时应尽量设法缩小这种影响和由此而引起的延误，一旦不可抗力的影响消除后，应将此情况立即通知对方。</w:t>
      </w:r>
    </w:p>
    <w:p>
      <w:pPr>
        <w:pStyle w:val="42"/>
        <w:wordWrap/>
        <w:spacing w:line="240" w:lineRule="auto"/>
        <w:ind w:firstLine="480" w:firstLineChars="200"/>
        <w:jc w:val="both"/>
        <w:rPr>
          <w:rFonts w:asciiTheme="minorHAnsi" w:hAnsiTheme="minorHAnsi" w:eastAsiaTheme="minorEastAsia"/>
          <w:sz w:val="24"/>
          <w:szCs w:val="24"/>
        </w:rPr>
      </w:pPr>
      <w:r>
        <w:rPr>
          <w:rFonts w:asciiTheme="minorHAnsi" w:hAnsiTheme="minorHAnsi" w:eastAsiaTheme="minorEastAsia"/>
          <w:sz w:val="24"/>
          <w:szCs w:val="24"/>
        </w:rPr>
        <w:t>（三）当不可抗力发生后，如果服务并未因此中断或受到影响的，则就本合同执行来说，视为不可抗力未发生。</w:t>
      </w:r>
    </w:p>
    <w:p>
      <w:pPr>
        <w:ind w:firstLine="480" w:firstLineChars="200"/>
        <w:jc w:val="both"/>
        <w:rPr>
          <w:rFonts w:cs="Calibri Light"/>
          <w:b/>
        </w:rPr>
      </w:pPr>
      <w:r>
        <w:rPr>
          <w:rFonts w:cs="Calibri Light"/>
          <w:b/>
        </w:rPr>
        <w:t>十二、合同生效及其他</w:t>
      </w:r>
    </w:p>
    <w:p>
      <w:pPr>
        <w:pStyle w:val="42"/>
        <w:wordWrap/>
        <w:spacing w:line="240" w:lineRule="auto"/>
        <w:ind w:firstLine="480" w:firstLineChars="200"/>
        <w:jc w:val="both"/>
        <w:rPr>
          <w:rFonts w:asciiTheme="minorHAnsi" w:hAnsiTheme="minorHAnsi" w:eastAsiaTheme="minorEastAsia"/>
          <w:sz w:val="24"/>
          <w:szCs w:val="24"/>
        </w:rPr>
      </w:pPr>
      <w:r>
        <w:rPr>
          <w:rFonts w:asciiTheme="minorHAnsi" w:hAnsiTheme="minorHAnsi" w:eastAsiaTheme="minorEastAsia"/>
          <w:sz w:val="24"/>
          <w:szCs w:val="24"/>
        </w:rPr>
        <w:t>（一）本合同自签订之日起生效。</w:t>
      </w:r>
    </w:p>
    <w:p>
      <w:pPr>
        <w:pStyle w:val="42"/>
        <w:wordWrap/>
        <w:spacing w:line="240" w:lineRule="auto"/>
        <w:ind w:firstLine="480" w:firstLineChars="200"/>
        <w:jc w:val="both"/>
        <w:rPr>
          <w:rFonts w:asciiTheme="minorHAnsi" w:hAnsiTheme="minorHAnsi" w:eastAsiaTheme="minorEastAsia"/>
          <w:sz w:val="24"/>
          <w:szCs w:val="24"/>
        </w:rPr>
      </w:pPr>
      <w:r>
        <w:rPr>
          <w:rFonts w:asciiTheme="minorHAnsi" w:hAnsiTheme="minorHAnsi" w:eastAsiaTheme="minorEastAsia"/>
          <w:sz w:val="24"/>
          <w:szCs w:val="24"/>
        </w:rPr>
        <w:t>（二）合同一式4份，甲方、乙方各执2份。</w:t>
      </w:r>
    </w:p>
    <w:p>
      <w:pPr>
        <w:pStyle w:val="42"/>
        <w:wordWrap/>
        <w:spacing w:line="240" w:lineRule="auto"/>
        <w:ind w:firstLine="480" w:firstLineChars="200"/>
        <w:jc w:val="both"/>
        <w:rPr>
          <w:rFonts w:asciiTheme="minorHAnsi" w:hAnsiTheme="minorHAnsi" w:eastAsiaTheme="minorEastAsia"/>
          <w:color w:val="7030A0"/>
          <w:sz w:val="24"/>
          <w:szCs w:val="24"/>
        </w:rPr>
      </w:pPr>
      <w:r>
        <w:rPr>
          <w:rFonts w:asciiTheme="minorHAnsi" w:hAnsiTheme="minorHAnsi" w:eastAsiaTheme="minorEastAsia"/>
          <w:sz w:val="24"/>
          <w:szCs w:val="24"/>
        </w:rPr>
        <w:t>（三）未尽事宜由双方在签订合同时具体明确或签订补充合同。</w:t>
      </w:r>
    </w:p>
    <w:p>
      <w:pPr>
        <w:ind w:firstLine="480" w:firstLineChars="200"/>
      </w:pPr>
      <w:r>
        <w:br w:type="page"/>
      </w:r>
    </w:p>
    <w:p>
      <w:pPr>
        <w:pStyle w:val="2"/>
        <w:spacing w:before="230" w:after="230"/>
      </w:pPr>
      <w:bookmarkStart w:id="19" w:name="_Toc100219616"/>
      <w:bookmarkStart w:id="20" w:name="_Toc190678199"/>
      <w:bookmarkStart w:id="21" w:name="_Toc194075976"/>
      <w:r>
        <w:rPr>
          <w:rFonts w:hint="eastAsia"/>
        </w:rPr>
        <w:t>第五章　投标文件构成及格式</w:t>
      </w:r>
      <w:bookmarkEnd w:id="19"/>
      <w:bookmarkEnd w:id="20"/>
      <w:bookmarkEnd w:id="21"/>
    </w:p>
    <w:p>
      <w:pPr>
        <w:ind w:firstLine="251" w:firstLineChars="70"/>
        <w:jc w:val="center"/>
        <w:rPr>
          <w:rFonts w:cstheme="minorHAnsi"/>
          <w:sz w:val="36"/>
          <w:szCs w:val="36"/>
        </w:rPr>
      </w:pPr>
    </w:p>
    <w:p>
      <w:pPr>
        <w:ind w:firstLine="251" w:firstLineChars="70"/>
        <w:jc w:val="center"/>
        <w:rPr>
          <w:rFonts w:cstheme="minorHAnsi"/>
          <w:sz w:val="36"/>
          <w:szCs w:val="36"/>
        </w:rPr>
      </w:pPr>
    </w:p>
    <w:p>
      <w:pPr>
        <w:ind w:firstLine="251" w:firstLineChars="70"/>
        <w:jc w:val="center"/>
        <w:rPr>
          <w:rFonts w:cstheme="minorHAnsi"/>
          <w:sz w:val="36"/>
          <w:szCs w:val="36"/>
        </w:rPr>
      </w:pPr>
    </w:p>
    <w:p>
      <w:pPr>
        <w:jc w:val="center"/>
        <w:rPr>
          <w:rFonts w:cstheme="minorHAnsi"/>
          <w:b/>
          <w:color w:val="C00000"/>
          <w:sz w:val="44"/>
          <w:szCs w:val="44"/>
        </w:rPr>
      </w:pPr>
      <w:r>
        <w:rPr>
          <w:rFonts w:hint="eastAsia" w:cstheme="minorHAnsi"/>
          <w:b/>
          <w:color w:val="C00000"/>
          <w:sz w:val="44"/>
          <w:szCs w:val="44"/>
        </w:rPr>
        <w:t>［</w:t>
      </w:r>
      <w:r>
        <w:rPr>
          <w:rFonts w:cstheme="minorHAnsi"/>
          <w:b/>
          <w:color w:val="C00000"/>
          <w:sz w:val="44"/>
          <w:szCs w:val="44"/>
        </w:rPr>
        <w:t>项目名称</w:t>
      </w:r>
      <w:r>
        <w:rPr>
          <w:rFonts w:hint="eastAsia" w:cstheme="minorHAnsi"/>
          <w:b/>
          <w:color w:val="C00000"/>
          <w:sz w:val="44"/>
          <w:szCs w:val="44"/>
        </w:rPr>
        <w:t>］</w:t>
      </w:r>
    </w:p>
    <w:p>
      <w:pPr>
        <w:jc w:val="center"/>
        <w:rPr>
          <w:rFonts w:ascii="华文中宋" w:hAnsi="华文中宋" w:eastAsia="华文中宋" w:cstheme="minorHAnsi"/>
          <w:sz w:val="96"/>
          <w:szCs w:val="96"/>
        </w:rPr>
      </w:pPr>
      <w:r>
        <w:rPr>
          <w:rFonts w:ascii="华文中宋" w:hAnsi="华文中宋" w:eastAsia="华文中宋" w:cstheme="minorHAnsi"/>
          <w:spacing w:val="323"/>
          <w:kern w:val="0"/>
          <w:sz w:val="96"/>
          <w:szCs w:val="96"/>
          <w:fitText w:val="5778" w:id="-1540037120"/>
        </w:rPr>
        <w:t>投标文</w:t>
      </w:r>
      <w:r>
        <w:rPr>
          <w:rFonts w:ascii="华文中宋" w:hAnsi="华文中宋" w:eastAsia="华文中宋" w:cstheme="minorHAnsi"/>
          <w:spacing w:val="0"/>
          <w:kern w:val="0"/>
          <w:sz w:val="96"/>
          <w:szCs w:val="96"/>
          <w:fitText w:val="5778" w:id="-1540037120"/>
        </w:rPr>
        <w:t>件</w:t>
      </w:r>
    </w:p>
    <w:p>
      <w:pPr>
        <w:jc w:val="center"/>
        <w:rPr>
          <w:rFonts w:cstheme="minorHAnsi"/>
          <w:sz w:val="36"/>
          <w:szCs w:val="36"/>
        </w:rPr>
      </w:pPr>
      <w:r>
        <w:rPr>
          <w:rFonts w:cstheme="minorHAnsi"/>
          <w:sz w:val="36"/>
          <w:szCs w:val="36"/>
        </w:rPr>
        <w:t>（</w:t>
      </w:r>
      <w:r>
        <w:rPr>
          <w:rFonts w:hint="eastAsia" w:cstheme="minorHAnsi"/>
          <w:b/>
          <w:color w:val="FF0000"/>
          <w:sz w:val="36"/>
          <w:szCs w:val="36"/>
        </w:rPr>
        <w:t>［项目编号］</w:t>
      </w:r>
      <w:r>
        <w:rPr>
          <w:rFonts w:cstheme="minorHAnsi"/>
          <w:sz w:val="36"/>
          <w:szCs w:val="36"/>
        </w:rPr>
        <w:t>）</w:t>
      </w:r>
    </w:p>
    <w:p>
      <w:pPr>
        <w:jc w:val="center"/>
        <w:rPr>
          <w:rFonts w:cstheme="minorHAnsi"/>
          <w:sz w:val="36"/>
          <w:szCs w:val="36"/>
        </w:rPr>
      </w:pPr>
    </w:p>
    <w:p>
      <w:pPr>
        <w:jc w:val="center"/>
        <w:rPr>
          <w:rFonts w:cstheme="minorHAnsi"/>
          <w:sz w:val="36"/>
          <w:szCs w:val="36"/>
        </w:rPr>
      </w:pPr>
    </w:p>
    <w:p>
      <w:pPr>
        <w:jc w:val="center"/>
        <w:rPr>
          <w:rFonts w:cstheme="minorHAnsi"/>
          <w:sz w:val="36"/>
        </w:rPr>
      </w:pPr>
    </w:p>
    <w:p>
      <w:pPr>
        <w:jc w:val="center"/>
        <w:rPr>
          <w:rFonts w:cstheme="minorHAnsi"/>
          <w:sz w:val="36"/>
        </w:rPr>
      </w:pPr>
    </w:p>
    <w:p>
      <w:pPr>
        <w:jc w:val="center"/>
        <w:rPr>
          <w:rFonts w:cstheme="minorHAnsi"/>
          <w:sz w:val="36"/>
        </w:rPr>
      </w:pPr>
    </w:p>
    <w:p>
      <w:pPr>
        <w:jc w:val="center"/>
        <w:rPr>
          <w:rFonts w:cstheme="minorHAnsi"/>
          <w:sz w:val="36"/>
        </w:rPr>
      </w:pPr>
    </w:p>
    <w:p>
      <w:pPr>
        <w:ind w:firstLine="1684" w:firstLineChars="468"/>
        <w:rPr>
          <w:rFonts w:cstheme="minorHAnsi"/>
          <w:sz w:val="36"/>
          <w:u w:val="single"/>
        </w:rPr>
      </w:pPr>
      <w:r>
        <w:rPr>
          <w:rFonts w:cstheme="minorHAnsi"/>
          <w:sz w:val="36"/>
        </w:rPr>
        <w:t>供应商：__________________</w:t>
      </w:r>
    </w:p>
    <w:p>
      <w:pPr>
        <w:ind w:firstLine="1684" w:firstLineChars="468"/>
        <w:rPr>
          <w:rFonts w:cstheme="minorHAnsi"/>
          <w:sz w:val="36"/>
          <w:u w:val="single"/>
        </w:rPr>
      </w:pPr>
      <w:r>
        <w:rPr>
          <w:rFonts w:cstheme="minorHAnsi"/>
          <w:sz w:val="36"/>
        </w:rPr>
        <w:t>时　间：__________________</w:t>
      </w:r>
    </w:p>
    <w:p>
      <w:pPr>
        <w:rPr>
          <w:rFonts w:cstheme="minorHAnsi"/>
          <w:sz w:val="36"/>
        </w:rPr>
      </w:pPr>
    </w:p>
    <w:p>
      <w:pPr>
        <w:rPr>
          <w:b/>
          <w:sz w:val="28"/>
          <w:szCs w:val="28"/>
          <w:u w:val="single"/>
        </w:rPr>
      </w:pPr>
      <w:r>
        <w:rPr>
          <w:rFonts w:hint="eastAsia"/>
          <w:b/>
          <w:sz w:val="28"/>
          <w:szCs w:val="28"/>
          <w:u w:val="single"/>
        </w:rPr>
        <w:t>提醒</w:t>
      </w:r>
      <w:r>
        <w:rPr>
          <w:b/>
          <w:sz w:val="28"/>
          <w:szCs w:val="28"/>
          <w:u w:val="single"/>
        </w:rPr>
        <w:t>：本章中</w:t>
      </w:r>
      <w:r>
        <w:rPr>
          <w:rFonts w:hint="eastAsia"/>
          <w:b/>
          <w:sz w:val="28"/>
          <w:szCs w:val="28"/>
          <w:u w:val="single"/>
        </w:rPr>
        <w:t>［项目名称］、［项目编号］等</w:t>
      </w:r>
      <w:r>
        <w:rPr>
          <w:b/>
          <w:sz w:val="28"/>
          <w:szCs w:val="28"/>
          <w:u w:val="single"/>
        </w:rPr>
        <w:t>内容供应商须</w:t>
      </w:r>
      <w:r>
        <w:rPr>
          <w:rFonts w:hint="eastAsia"/>
          <w:b/>
          <w:sz w:val="28"/>
          <w:szCs w:val="28"/>
          <w:u w:val="single"/>
        </w:rPr>
        <w:t>根据投标</w:t>
      </w:r>
      <w:r>
        <w:rPr>
          <w:b/>
          <w:sz w:val="28"/>
          <w:szCs w:val="28"/>
          <w:u w:val="single"/>
        </w:rPr>
        <w:t>邀请函自行</w:t>
      </w:r>
      <w:r>
        <w:rPr>
          <w:rFonts w:hint="eastAsia"/>
          <w:b/>
          <w:sz w:val="28"/>
          <w:szCs w:val="28"/>
          <w:u w:val="single"/>
        </w:rPr>
        <w:t>填写！</w:t>
      </w:r>
    </w:p>
    <w:p>
      <w:pPr>
        <w:rPr>
          <w:rFonts w:ascii="黑体" w:hAnsi="黑体" w:eastAsia="黑体"/>
          <w:sz w:val="36"/>
          <w:szCs w:val="36"/>
        </w:rPr>
      </w:pPr>
      <w:r>
        <w:rPr>
          <w:rFonts w:ascii="黑体" w:hAnsi="黑体" w:eastAsia="黑体"/>
          <w:sz w:val="36"/>
          <w:szCs w:val="36"/>
        </w:rPr>
        <w:br w:type="page"/>
      </w:r>
    </w:p>
    <w:p>
      <w:pPr>
        <w:jc w:val="center"/>
        <w:rPr>
          <w:rFonts w:asciiTheme="minorEastAsia" w:hAnsiTheme="minorEastAsia"/>
          <w:sz w:val="30"/>
          <w:szCs w:val="30"/>
        </w:rPr>
      </w:pPr>
      <w:r>
        <w:rPr>
          <w:rFonts w:ascii="黑体" w:hAnsi="黑体" w:eastAsia="黑体"/>
          <w:sz w:val="36"/>
          <w:szCs w:val="36"/>
        </w:rPr>
        <w:t>目</w:t>
      </w:r>
      <w:r>
        <w:rPr>
          <w:rFonts w:hint="eastAsia" w:ascii="黑体" w:hAnsi="黑体" w:eastAsia="黑体"/>
          <w:sz w:val="36"/>
          <w:szCs w:val="36"/>
        </w:rPr>
        <w:t>　　</w:t>
      </w:r>
      <w:r>
        <w:rPr>
          <w:rFonts w:ascii="黑体" w:hAnsi="黑体" w:eastAsia="黑体"/>
          <w:sz w:val="36"/>
          <w:szCs w:val="36"/>
        </w:rPr>
        <w:t>录</w:t>
      </w:r>
    </w:p>
    <w:p>
      <w:pPr>
        <w:jc w:val="center"/>
        <w:rPr>
          <w:rFonts w:asciiTheme="minorEastAsia" w:hAnsiTheme="minorEastAsia"/>
          <w:sz w:val="30"/>
          <w:szCs w:val="30"/>
        </w:rPr>
      </w:pPr>
    </w:p>
    <w:p>
      <w:pPr>
        <w:jc w:val="center"/>
        <w:rPr>
          <w:rFonts w:asciiTheme="minorEastAsia" w:hAnsiTheme="minorEastAsia"/>
          <w:sz w:val="30"/>
          <w:szCs w:val="30"/>
        </w:rPr>
      </w:pPr>
    </w:p>
    <w:p>
      <w:pPr>
        <w:tabs>
          <w:tab w:val="right" w:leader="hyphen" w:pos="8504"/>
        </w:tabs>
        <w:spacing w:line="360" w:lineRule="auto"/>
        <w:ind w:left="1880" w:leftChars="200" w:right="720" w:rightChars="300" w:hanging="1400" w:hangingChars="500"/>
        <w:rPr>
          <w:rFonts w:cstheme="minorHAnsi"/>
          <w:sz w:val="28"/>
          <w:szCs w:val="28"/>
        </w:rPr>
      </w:pPr>
      <w:r>
        <w:rPr>
          <w:rFonts w:cstheme="minorHAnsi"/>
          <w:sz w:val="28"/>
          <w:szCs w:val="28"/>
        </w:rPr>
        <w:t>第一部</w:t>
      </w:r>
      <w:r>
        <w:rPr>
          <w:rFonts w:hint="eastAsia" w:cstheme="minorHAnsi"/>
          <w:sz w:val="28"/>
          <w:szCs w:val="28"/>
        </w:rPr>
        <w:t>分　投</w:t>
      </w:r>
      <w:r>
        <w:rPr>
          <w:rFonts w:cstheme="minorHAnsi"/>
          <w:sz w:val="28"/>
          <w:szCs w:val="28"/>
        </w:rPr>
        <w:t>标函</w:t>
      </w:r>
      <w:r>
        <w:rPr>
          <w:rFonts w:cstheme="minorHAnsi"/>
          <w:sz w:val="28"/>
          <w:szCs w:val="28"/>
        </w:rPr>
        <w:tab/>
      </w:r>
      <w:r>
        <w:rPr>
          <w:rFonts w:cstheme="minorHAnsi"/>
          <w:sz w:val="28"/>
          <w:szCs w:val="28"/>
        </w:rPr>
        <w:t>X</w:t>
      </w:r>
    </w:p>
    <w:p>
      <w:pPr>
        <w:tabs>
          <w:tab w:val="right" w:leader="hyphen" w:pos="8504"/>
        </w:tabs>
        <w:spacing w:line="360" w:lineRule="auto"/>
        <w:ind w:left="1880" w:leftChars="200" w:right="720" w:rightChars="300" w:hanging="1400" w:hangingChars="500"/>
        <w:rPr>
          <w:rFonts w:cstheme="minorHAnsi"/>
          <w:sz w:val="28"/>
          <w:szCs w:val="28"/>
        </w:rPr>
      </w:pPr>
      <w:r>
        <w:rPr>
          <w:rFonts w:cstheme="minorHAnsi"/>
          <w:sz w:val="28"/>
          <w:szCs w:val="28"/>
        </w:rPr>
        <w:t>第二部</w:t>
      </w:r>
      <w:r>
        <w:rPr>
          <w:rFonts w:hint="eastAsia" w:cstheme="minorHAnsi"/>
          <w:sz w:val="28"/>
          <w:szCs w:val="28"/>
        </w:rPr>
        <w:t>分　开</w:t>
      </w:r>
      <w:r>
        <w:rPr>
          <w:rFonts w:cstheme="minorHAnsi"/>
          <w:sz w:val="28"/>
          <w:szCs w:val="28"/>
        </w:rPr>
        <w:t>标一览表</w:t>
      </w:r>
      <w:r>
        <w:rPr>
          <w:rFonts w:cstheme="minorHAnsi"/>
          <w:sz w:val="28"/>
          <w:szCs w:val="28"/>
        </w:rPr>
        <w:tab/>
      </w:r>
      <w:r>
        <w:rPr>
          <w:rFonts w:cstheme="minorHAnsi"/>
          <w:sz w:val="28"/>
          <w:szCs w:val="28"/>
        </w:rPr>
        <w:t>X</w:t>
      </w:r>
    </w:p>
    <w:p>
      <w:pPr>
        <w:tabs>
          <w:tab w:val="right" w:leader="hyphen" w:pos="8504"/>
        </w:tabs>
        <w:spacing w:line="360" w:lineRule="auto"/>
        <w:ind w:left="1880" w:leftChars="200" w:right="720" w:rightChars="300" w:hanging="1400" w:hangingChars="500"/>
        <w:rPr>
          <w:rFonts w:cstheme="minorHAnsi"/>
          <w:sz w:val="28"/>
          <w:szCs w:val="28"/>
        </w:rPr>
      </w:pPr>
      <w:r>
        <w:rPr>
          <w:rFonts w:cstheme="minorHAnsi"/>
          <w:sz w:val="28"/>
          <w:szCs w:val="28"/>
        </w:rPr>
        <w:t>第三部</w:t>
      </w:r>
      <w:r>
        <w:rPr>
          <w:rFonts w:hint="eastAsia" w:cstheme="minorHAnsi"/>
          <w:sz w:val="28"/>
          <w:szCs w:val="28"/>
        </w:rPr>
        <w:t>分　资</w:t>
      </w:r>
      <w:r>
        <w:rPr>
          <w:rFonts w:cstheme="minorHAnsi"/>
          <w:sz w:val="28"/>
          <w:szCs w:val="28"/>
        </w:rPr>
        <w:t>格证明文件</w:t>
      </w:r>
      <w:r>
        <w:rPr>
          <w:rFonts w:cstheme="minorHAnsi"/>
          <w:sz w:val="28"/>
          <w:szCs w:val="28"/>
        </w:rPr>
        <w:tab/>
      </w:r>
      <w:r>
        <w:rPr>
          <w:rFonts w:cstheme="minorHAnsi"/>
          <w:sz w:val="28"/>
          <w:szCs w:val="28"/>
        </w:rPr>
        <w:t>X</w:t>
      </w:r>
    </w:p>
    <w:p>
      <w:pPr>
        <w:tabs>
          <w:tab w:val="right" w:leader="hyphen" w:pos="8504"/>
        </w:tabs>
        <w:spacing w:line="360" w:lineRule="auto"/>
        <w:ind w:left="1880" w:leftChars="200" w:right="720" w:rightChars="300" w:hanging="1400" w:hangingChars="500"/>
        <w:rPr>
          <w:rFonts w:cstheme="minorHAnsi"/>
          <w:sz w:val="28"/>
          <w:szCs w:val="28"/>
        </w:rPr>
      </w:pPr>
      <w:r>
        <w:rPr>
          <w:rFonts w:cstheme="minorHAnsi"/>
          <w:sz w:val="28"/>
          <w:szCs w:val="28"/>
        </w:rPr>
        <w:t>第四部</w:t>
      </w:r>
      <w:r>
        <w:rPr>
          <w:rFonts w:hint="eastAsia" w:cstheme="minorHAnsi"/>
          <w:sz w:val="28"/>
          <w:szCs w:val="28"/>
        </w:rPr>
        <w:t>分　实质性条款响应</w:t>
      </w:r>
      <w:r>
        <w:rPr>
          <w:rFonts w:cstheme="minorHAnsi"/>
          <w:sz w:val="28"/>
          <w:szCs w:val="28"/>
        </w:rPr>
        <w:tab/>
      </w:r>
      <w:r>
        <w:rPr>
          <w:rFonts w:cstheme="minorHAnsi"/>
          <w:sz w:val="28"/>
          <w:szCs w:val="28"/>
        </w:rPr>
        <w:t>X</w:t>
      </w:r>
    </w:p>
    <w:p>
      <w:pPr>
        <w:tabs>
          <w:tab w:val="right" w:leader="hyphen" w:pos="8504"/>
        </w:tabs>
        <w:spacing w:line="360" w:lineRule="auto"/>
        <w:ind w:left="1880" w:leftChars="200" w:right="720" w:rightChars="300" w:hanging="1400" w:hangingChars="500"/>
        <w:rPr>
          <w:rFonts w:cstheme="minorHAnsi"/>
          <w:sz w:val="28"/>
          <w:szCs w:val="28"/>
        </w:rPr>
      </w:pPr>
      <w:r>
        <w:rPr>
          <w:rFonts w:cstheme="minorHAnsi"/>
          <w:sz w:val="28"/>
          <w:szCs w:val="28"/>
        </w:rPr>
        <w:t>第五部</w:t>
      </w:r>
      <w:r>
        <w:rPr>
          <w:rFonts w:hint="eastAsia" w:cstheme="minorHAnsi"/>
          <w:sz w:val="28"/>
          <w:szCs w:val="28"/>
        </w:rPr>
        <w:t>分　投标方案</w:t>
      </w:r>
      <w:r>
        <w:rPr>
          <w:rFonts w:cstheme="minorHAnsi"/>
          <w:sz w:val="28"/>
          <w:szCs w:val="28"/>
        </w:rPr>
        <w:tab/>
      </w:r>
      <w:r>
        <w:rPr>
          <w:rFonts w:cstheme="minorHAnsi"/>
          <w:sz w:val="28"/>
          <w:szCs w:val="28"/>
        </w:rPr>
        <w:t>X</w:t>
      </w:r>
    </w:p>
    <w:p>
      <w:pPr>
        <w:tabs>
          <w:tab w:val="right" w:leader="hyphen" w:pos="8504"/>
        </w:tabs>
        <w:spacing w:line="360" w:lineRule="auto"/>
        <w:ind w:left="1880" w:leftChars="200" w:right="720" w:rightChars="300" w:hanging="1400" w:hangingChars="500"/>
        <w:rPr>
          <w:rFonts w:cstheme="minorHAnsi"/>
          <w:sz w:val="28"/>
          <w:szCs w:val="28"/>
        </w:rPr>
      </w:pPr>
      <w:r>
        <w:rPr>
          <w:rFonts w:cstheme="minorHAnsi"/>
          <w:sz w:val="28"/>
          <w:szCs w:val="28"/>
        </w:rPr>
        <w:t>第六部</w:t>
      </w:r>
      <w:r>
        <w:rPr>
          <w:rFonts w:hint="eastAsia" w:cstheme="minorHAnsi"/>
          <w:sz w:val="28"/>
          <w:szCs w:val="28"/>
        </w:rPr>
        <w:t>分　供应商概况</w:t>
      </w:r>
      <w:r>
        <w:rPr>
          <w:rFonts w:cstheme="minorHAnsi"/>
          <w:sz w:val="28"/>
          <w:szCs w:val="28"/>
        </w:rPr>
        <w:tab/>
      </w:r>
      <w:r>
        <w:rPr>
          <w:rFonts w:cstheme="minorHAnsi"/>
          <w:sz w:val="28"/>
          <w:szCs w:val="28"/>
        </w:rPr>
        <w:t>X</w:t>
      </w:r>
    </w:p>
    <w:p>
      <w:pPr>
        <w:tabs>
          <w:tab w:val="right" w:leader="hyphen" w:pos="8504"/>
        </w:tabs>
        <w:spacing w:line="360" w:lineRule="auto"/>
        <w:rPr>
          <w:rFonts w:cstheme="minorHAnsi"/>
          <w:sz w:val="28"/>
          <w:szCs w:val="28"/>
        </w:rPr>
      </w:pPr>
    </w:p>
    <w:p>
      <w:pPr>
        <w:rPr>
          <w:rFonts w:cstheme="minorHAnsi"/>
          <w:sz w:val="36"/>
        </w:rPr>
        <w:sectPr>
          <w:footerReference r:id="rId13" w:type="default"/>
          <w:footerReference r:id="rId14" w:type="even"/>
          <w:pgSz w:w="11906" w:h="16838"/>
          <w:pgMar w:top="1418" w:right="1418" w:bottom="1418" w:left="1418" w:header="851" w:footer="992" w:gutter="0"/>
          <w:cols w:space="425" w:num="1"/>
          <w:docGrid w:type="linesAndChars" w:linePitch="460" w:charSpace="0"/>
        </w:sectPr>
      </w:pPr>
    </w:p>
    <w:p>
      <w:pPr>
        <w:keepNext/>
        <w:spacing w:before="230" w:beforeLines="50" w:after="230" w:afterLines="50"/>
        <w:jc w:val="center"/>
        <w:outlineLvl w:val="1"/>
        <w:rPr>
          <w:rFonts w:ascii="Calibri" w:hAnsi="Calibri" w:eastAsia="黑体"/>
          <w:kern w:val="32"/>
          <w:sz w:val="32"/>
        </w:rPr>
      </w:pPr>
      <w:r>
        <w:rPr>
          <w:rFonts w:hint="eastAsia" w:ascii="Calibri" w:hAnsi="Calibri" w:eastAsia="黑体"/>
          <w:kern w:val="32"/>
          <w:sz w:val="32"/>
        </w:rPr>
        <w:t>第一部分　投标函</w:t>
      </w:r>
    </w:p>
    <w:p>
      <w:pPr>
        <w:jc w:val="both"/>
        <w:rPr>
          <w:rFonts w:cstheme="minorHAnsi"/>
          <w:color w:val="000000"/>
        </w:rPr>
      </w:pPr>
      <w:r>
        <w:rPr>
          <w:rFonts w:hint="eastAsia"/>
        </w:rPr>
        <w:t>西安市市级单位政府采购中心</w:t>
      </w:r>
      <w:r>
        <w:rPr>
          <w:rFonts w:hint="eastAsia" w:cstheme="minorHAnsi"/>
          <w:color w:val="000000"/>
        </w:rPr>
        <w:t>：</w:t>
      </w:r>
    </w:p>
    <w:p>
      <w:pPr>
        <w:ind w:firstLine="567"/>
        <w:jc w:val="both"/>
        <w:rPr>
          <w:rFonts w:cstheme="minorHAnsi"/>
          <w:color w:val="000000"/>
        </w:rPr>
      </w:pPr>
      <w:r>
        <w:rPr>
          <w:rFonts w:cstheme="minorHAnsi"/>
          <w:color w:val="000000"/>
        </w:rPr>
        <w:t>我方收到贵中心发布的</w:t>
      </w:r>
      <w:r>
        <w:rPr>
          <w:rFonts w:cstheme="minorHAnsi"/>
          <w:color w:val="C00000"/>
        </w:rPr>
        <w:t>［</w:t>
      </w:r>
      <w:r>
        <w:rPr>
          <w:rFonts w:cstheme="minorHAnsi"/>
          <w:color w:val="C00000"/>
          <w:u w:val="single"/>
        </w:rPr>
        <w:t>项目名称</w:t>
      </w:r>
      <w:r>
        <w:rPr>
          <w:rFonts w:cstheme="minorHAnsi"/>
          <w:color w:val="C00000"/>
        </w:rPr>
        <w:t>］</w:t>
      </w:r>
      <w:r>
        <w:rPr>
          <w:rFonts w:cstheme="minorHAnsi"/>
          <w:color w:val="000000"/>
        </w:rPr>
        <w:t>（项目编号：</w:t>
      </w:r>
      <w:r>
        <w:rPr>
          <w:rFonts w:hint="eastAsia" w:cstheme="minorHAnsi"/>
          <w:color w:val="C00000"/>
        </w:rPr>
        <w:t>［项目编号］</w:t>
      </w:r>
      <w:r>
        <w:rPr>
          <w:rFonts w:cstheme="minorHAnsi"/>
          <w:color w:val="000000"/>
        </w:rPr>
        <w:t>）</w:t>
      </w:r>
      <w:r>
        <w:rPr>
          <w:rFonts w:hint="eastAsia" w:cstheme="minorHAnsi"/>
          <w:color w:val="000000"/>
        </w:rPr>
        <w:t>的招标文件</w:t>
      </w:r>
      <w:r>
        <w:rPr>
          <w:rFonts w:cstheme="minorHAnsi"/>
          <w:color w:val="000000"/>
        </w:rPr>
        <w:t>，经详细研究，我方决定参加该项目</w:t>
      </w:r>
      <w:r>
        <w:rPr>
          <w:rFonts w:cstheme="minorHAnsi"/>
        </w:rPr>
        <w:t>的采购</w:t>
      </w:r>
      <w:r>
        <w:rPr>
          <w:rFonts w:cstheme="minorHAnsi"/>
          <w:color w:val="000000"/>
        </w:rPr>
        <w:t>活动。</w:t>
      </w:r>
      <w:r>
        <w:rPr>
          <w:rFonts w:hint="eastAsia" w:cstheme="minorHAnsi"/>
          <w:color w:val="000000"/>
        </w:rPr>
        <w:t>为此，我方郑重声明以下诸点，并负法律责任。</w:t>
      </w:r>
    </w:p>
    <w:p>
      <w:pPr>
        <w:ind w:firstLine="567"/>
        <w:jc w:val="both"/>
        <w:rPr>
          <w:rFonts w:cstheme="minorHAnsi"/>
          <w:color w:val="000000"/>
        </w:rPr>
      </w:pPr>
      <w:r>
        <w:rPr>
          <w:rFonts w:hint="eastAsia" w:cstheme="minorHAnsi"/>
          <w:color w:val="000000"/>
        </w:rPr>
        <w:t>1．我方已详细阅读了招标文件，完全理解并同意招标文件的所有事项及内容。</w:t>
      </w:r>
    </w:p>
    <w:p>
      <w:pPr>
        <w:ind w:firstLine="567"/>
        <w:jc w:val="both"/>
        <w:rPr>
          <w:rFonts w:cstheme="minorHAnsi"/>
          <w:color w:val="000000"/>
        </w:rPr>
      </w:pPr>
      <w:r>
        <w:rPr>
          <w:rFonts w:hint="eastAsia" w:cstheme="minorHAnsi"/>
          <w:color w:val="000000"/>
        </w:rPr>
        <w:t>2．我方已悉知并及时关注了贵中心在陕西省政府采购网、全国公共资源交易平台（陕西省</w:t>
      </w:r>
      <w:r>
        <w:rPr>
          <w:rFonts w:cstheme="minorHAnsi"/>
          <w:color w:val="000000"/>
        </w:rPr>
        <w:t>·</w:t>
      </w:r>
      <w:r>
        <w:rPr>
          <w:rFonts w:hint="eastAsia" w:cstheme="minorHAnsi"/>
          <w:color w:val="000000"/>
        </w:rPr>
        <w:t>西安市）上发布的关于本项目的有关变更公告（包括但不限于对招标文件做出的修改或澄清、答疑纪要，以及项目暂停、重启、延期、终止等）。</w:t>
      </w:r>
    </w:p>
    <w:p>
      <w:pPr>
        <w:ind w:firstLine="567"/>
        <w:jc w:val="both"/>
        <w:rPr>
          <w:rFonts w:cstheme="minorHAnsi"/>
          <w:color w:val="000000"/>
        </w:rPr>
      </w:pPr>
      <w:r>
        <w:rPr>
          <w:rFonts w:hint="eastAsia" w:cstheme="minorHAnsi"/>
          <w:color w:val="000000"/>
        </w:rPr>
        <w:t>3．我方同意向贵中心提供与本次采购活动有关的全部证明材料，并保证所提交的证明材料真实、合法、有效。</w:t>
      </w:r>
    </w:p>
    <w:p>
      <w:pPr>
        <w:ind w:firstLine="567"/>
        <w:jc w:val="both"/>
        <w:rPr>
          <w:rFonts w:cstheme="minorHAnsi"/>
          <w:color w:val="000000"/>
        </w:rPr>
      </w:pPr>
      <w:r>
        <w:rPr>
          <w:rFonts w:hint="eastAsia" w:cstheme="minorHAnsi"/>
          <w:color w:val="000000"/>
        </w:rPr>
        <w:t>4．我方理解最低价不是中标的唯一条件，并尊重评标委员会的评审结果。</w:t>
      </w:r>
    </w:p>
    <w:p>
      <w:pPr>
        <w:ind w:firstLine="567"/>
        <w:jc w:val="both"/>
        <w:rPr>
          <w:rFonts w:cstheme="minorHAnsi"/>
          <w:color w:val="000000"/>
        </w:rPr>
      </w:pPr>
      <w:r>
        <w:rPr>
          <w:rFonts w:cstheme="minorHAnsi"/>
          <w:color w:val="000000"/>
        </w:rPr>
        <w:t>5</w:t>
      </w:r>
      <w:r>
        <w:rPr>
          <w:rFonts w:hint="eastAsia" w:cstheme="minorHAnsi"/>
          <w:color w:val="000000"/>
        </w:rPr>
        <w:t>．我方不存在与单位负责人为同一人或者存在直接控股、管理关系的其他供应商参与同一合同项下的政府采购活动的行为；</w:t>
      </w:r>
    </w:p>
    <w:p>
      <w:pPr>
        <w:ind w:firstLine="567"/>
        <w:jc w:val="both"/>
        <w:rPr>
          <w:rFonts w:cstheme="minorHAnsi"/>
          <w:color w:val="000000"/>
        </w:rPr>
      </w:pPr>
      <w:r>
        <w:rPr>
          <w:rFonts w:cstheme="minorHAnsi"/>
          <w:color w:val="000000"/>
        </w:rPr>
        <w:t>6</w:t>
      </w:r>
      <w:r>
        <w:rPr>
          <w:rFonts w:hint="eastAsia" w:cstheme="minorHAnsi"/>
          <w:color w:val="000000"/>
        </w:rPr>
        <w:t>．我方不属于为本采购项目提供整体设计、规范编制或者项目管理、监理、检测等服务的供应商；</w:t>
      </w:r>
    </w:p>
    <w:p>
      <w:pPr>
        <w:ind w:firstLine="567"/>
        <w:jc w:val="both"/>
        <w:rPr>
          <w:rFonts w:cstheme="minorHAnsi"/>
          <w:color w:val="000000"/>
        </w:rPr>
      </w:pPr>
      <w:r>
        <w:rPr>
          <w:rFonts w:cstheme="minorHAnsi"/>
          <w:color w:val="000000"/>
        </w:rPr>
        <w:t>7</w:t>
      </w:r>
      <w:r>
        <w:rPr>
          <w:rFonts w:hint="eastAsia" w:cstheme="minorHAnsi"/>
          <w:color w:val="000000"/>
        </w:rPr>
        <w:t>．我方投标文件在开标之日起</w:t>
      </w:r>
      <w:r>
        <w:rPr>
          <w:rFonts w:cstheme="minorHAnsi"/>
          <w:color w:val="C00000"/>
        </w:rPr>
        <w:t>［___］个日历日</w:t>
      </w:r>
      <w:r>
        <w:rPr>
          <w:rFonts w:hint="eastAsia" w:cstheme="minorHAnsi"/>
          <w:color w:val="000000"/>
        </w:rPr>
        <w:t>（应不少于90个日历日）内有效。</w:t>
      </w:r>
    </w:p>
    <w:p>
      <w:pPr>
        <w:ind w:firstLine="567"/>
        <w:jc w:val="both"/>
        <w:rPr>
          <w:rFonts w:cstheme="minorHAnsi"/>
          <w:color w:val="000000"/>
        </w:rPr>
      </w:pPr>
      <w:r>
        <w:rPr>
          <w:rFonts w:cstheme="minorHAnsi"/>
          <w:color w:val="000000"/>
        </w:rPr>
        <w:t>8</w:t>
      </w:r>
      <w:r>
        <w:rPr>
          <w:rFonts w:hint="eastAsia" w:cstheme="minorHAnsi"/>
          <w:color w:val="000000"/>
        </w:rPr>
        <w:t>．若我方中标，我方承诺：</w:t>
      </w:r>
    </w:p>
    <w:p>
      <w:pPr>
        <w:ind w:firstLine="567"/>
        <w:jc w:val="both"/>
        <w:rPr>
          <w:rFonts w:cstheme="minorHAnsi"/>
          <w:color w:val="000000"/>
        </w:rPr>
      </w:pPr>
      <w:r>
        <w:rPr>
          <w:rFonts w:hint="eastAsia" w:cstheme="minorHAnsi"/>
          <w:color w:val="000000"/>
        </w:rPr>
        <w:t>（1）将投标文件有效期延长至合同执行完毕；</w:t>
      </w:r>
    </w:p>
    <w:p>
      <w:pPr>
        <w:ind w:firstLine="567"/>
        <w:jc w:val="both"/>
        <w:rPr>
          <w:rFonts w:cstheme="minorHAnsi"/>
          <w:color w:val="000000"/>
        </w:rPr>
      </w:pPr>
      <w:r>
        <w:rPr>
          <w:rFonts w:hint="eastAsia" w:cstheme="minorHAnsi"/>
          <w:color w:val="000000"/>
        </w:rPr>
        <w:t>（2）收到中标通知书后提交纸质投标文件一正两副，并按时足额交纳履约保证金；</w:t>
      </w:r>
    </w:p>
    <w:p>
      <w:pPr>
        <w:ind w:firstLine="567"/>
        <w:jc w:val="both"/>
        <w:rPr>
          <w:rFonts w:cstheme="minorHAnsi"/>
          <w:color w:val="000000"/>
        </w:rPr>
      </w:pPr>
      <w:r>
        <w:rPr>
          <w:rFonts w:hint="eastAsia" w:cstheme="minorHAnsi"/>
          <w:color w:val="000000"/>
        </w:rPr>
        <w:t>（3）遵照招标文件中的要求，完成本项目的合同责任和义务。</w:t>
      </w:r>
    </w:p>
    <w:p>
      <w:pPr>
        <w:ind w:firstLine="567"/>
        <w:jc w:val="both"/>
        <w:rPr>
          <w:rFonts w:cstheme="minorHAnsi"/>
          <w:color w:val="000000"/>
        </w:rPr>
      </w:pPr>
      <w:r>
        <w:rPr>
          <w:rFonts w:cstheme="minorHAnsi"/>
          <w:color w:val="000000"/>
        </w:rPr>
        <w:t>9</w:t>
      </w:r>
      <w:r>
        <w:rPr>
          <w:rFonts w:hint="eastAsia" w:cstheme="minorHAnsi"/>
          <w:color w:val="000000"/>
        </w:rPr>
        <w:t>．所有关于此次采购活动的函电，请按下列方式联系：</w:t>
      </w:r>
    </w:p>
    <w:p>
      <w:pPr>
        <w:ind w:firstLine="567"/>
        <w:jc w:val="both"/>
        <w:rPr>
          <w:color w:val="000000"/>
        </w:rPr>
      </w:pPr>
      <w:r>
        <w:rPr>
          <w:color w:val="000000"/>
        </w:rPr>
        <w:t>（</w:t>
      </w:r>
      <w:r>
        <w:rPr>
          <w:rFonts w:hint="eastAsia"/>
          <w:color w:val="000000"/>
        </w:rPr>
        <w:t>1</w:t>
      </w:r>
      <w:r>
        <w:rPr>
          <w:color w:val="000000"/>
        </w:rPr>
        <w:t>）法定代表人（负责人）或授权代表：（</w:t>
      </w:r>
      <w:r>
        <w:rPr>
          <w:i/>
          <w:color w:val="7030A0"/>
        </w:rPr>
        <w:t>签字或盖章</w:t>
      </w:r>
      <w:r>
        <w:rPr>
          <w:color w:val="000000"/>
        </w:rPr>
        <w:t>）</w:t>
      </w:r>
    </w:p>
    <w:p>
      <w:pPr>
        <w:ind w:firstLine="567"/>
        <w:jc w:val="both"/>
        <w:rPr>
          <w:color w:val="000000"/>
        </w:rPr>
      </w:pPr>
      <w:r>
        <w:rPr>
          <w:rFonts w:hint="eastAsia"/>
          <w:color w:val="000000"/>
        </w:rPr>
        <w:t>（2）联系</w:t>
      </w:r>
      <w:r>
        <w:rPr>
          <w:color w:val="000000"/>
        </w:rPr>
        <w:t>电话：</w:t>
      </w:r>
    </w:p>
    <w:p>
      <w:pPr>
        <w:ind w:firstLine="567"/>
        <w:jc w:val="both"/>
        <w:rPr>
          <w:color w:val="000000"/>
        </w:rPr>
      </w:pPr>
      <w:r>
        <w:rPr>
          <w:color w:val="000000"/>
        </w:rPr>
        <w:t>（</w:t>
      </w:r>
      <w:r>
        <w:rPr>
          <w:rFonts w:hint="eastAsia"/>
          <w:color w:val="000000"/>
        </w:rPr>
        <w:t>3</w:t>
      </w:r>
      <w:r>
        <w:rPr>
          <w:color w:val="000000"/>
        </w:rPr>
        <w:t>）通讯地址：</w:t>
      </w:r>
    </w:p>
    <w:p>
      <w:pPr>
        <w:ind w:firstLine="567"/>
        <w:jc w:val="both"/>
        <w:rPr>
          <w:color w:val="000000"/>
        </w:rPr>
      </w:pPr>
      <w:r>
        <w:rPr>
          <w:color w:val="000000"/>
        </w:rPr>
        <w:t>（</w:t>
      </w:r>
      <w:r>
        <w:rPr>
          <w:rFonts w:hint="eastAsia"/>
          <w:color w:val="000000"/>
        </w:rPr>
        <w:t>4</w:t>
      </w:r>
      <w:r>
        <w:rPr>
          <w:color w:val="000000"/>
        </w:rPr>
        <w:t>）邮</w:t>
      </w:r>
      <w:r>
        <w:rPr>
          <w:rFonts w:hint="eastAsia"/>
          <w:color w:val="000000"/>
        </w:rPr>
        <w:t>　　</w:t>
      </w:r>
      <w:r>
        <w:rPr>
          <w:color w:val="000000"/>
        </w:rPr>
        <w:t>编：</w:t>
      </w:r>
    </w:p>
    <w:p>
      <w:pPr>
        <w:ind w:firstLine="567"/>
        <w:jc w:val="both"/>
      </w:pPr>
      <w:r>
        <w:t>（</w:t>
      </w:r>
      <w:r>
        <w:rPr>
          <w:rFonts w:hint="eastAsia"/>
        </w:rPr>
        <w:t>5</w:t>
      </w:r>
      <w:r>
        <w:t>）电子邮箱：</w:t>
      </w:r>
    </w:p>
    <w:p>
      <w:pPr>
        <w:ind w:firstLine="567"/>
        <w:jc w:val="both"/>
      </w:pPr>
      <w:r>
        <w:rPr>
          <w:rFonts w:ascii="Calibri" w:hAnsi="Calibri" w:eastAsia="宋体" w:cs="Calibri Light"/>
        </w:rPr>
        <w:t>供应商</w:t>
      </w:r>
      <w:r>
        <w:rPr>
          <w:color w:val="000000"/>
        </w:rPr>
        <w:t>：（</w:t>
      </w:r>
      <w:r>
        <w:rPr>
          <w:i/>
          <w:color w:val="7030A0"/>
        </w:rPr>
        <w:t>供应商全称并加盖公章</w:t>
      </w:r>
      <w:r>
        <w:rPr>
          <w:color w:val="000000"/>
        </w:rPr>
        <w:t>）</w:t>
      </w:r>
    </w:p>
    <w:p>
      <w:pPr>
        <w:ind w:firstLine="567"/>
        <w:jc w:val="both"/>
      </w:pPr>
      <w:r>
        <w:t>日</w:t>
      </w:r>
      <w:r>
        <w:rPr>
          <w:rFonts w:hint="eastAsia"/>
        </w:rPr>
        <w:t>　</w:t>
      </w:r>
      <w:r>
        <w:t>期：　　年　月　日</w:t>
      </w:r>
    </w:p>
    <w:p>
      <w:pPr>
        <w:ind w:firstLine="567"/>
        <w:jc w:val="both"/>
        <w:sectPr>
          <w:footerReference r:id="rId15" w:type="default"/>
          <w:footerReference r:id="rId16" w:type="even"/>
          <w:pgSz w:w="11906" w:h="16838"/>
          <w:pgMar w:top="1418" w:right="1418" w:bottom="1418" w:left="1418" w:header="851" w:footer="992" w:gutter="0"/>
          <w:cols w:space="425" w:num="1"/>
          <w:docGrid w:type="linesAndChars" w:linePitch="460" w:charSpace="0"/>
        </w:sectPr>
      </w:pPr>
    </w:p>
    <w:p>
      <w:pPr>
        <w:keepNext/>
        <w:spacing w:before="230" w:beforeLines="50" w:after="230" w:afterLines="50"/>
        <w:jc w:val="center"/>
        <w:outlineLvl w:val="1"/>
        <w:rPr>
          <w:rFonts w:ascii="Calibri" w:hAnsi="Calibri" w:eastAsia="黑体"/>
          <w:kern w:val="32"/>
          <w:sz w:val="32"/>
        </w:rPr>
      </w:pPr>
      <w:r>
        <w:rPr>
          <w:rFonts w:ascii="Calibri" w:hAnsi="Calibri" w:eastAsia="黑体"/>
          <w:kern w:val="32"/>
          <w:sz w:val="32"/>
        </w:rPr>
        <w:t>第二部分</w:t>
      </w:r>
      <w:r>
        <w:rPr>
          <w:rFonts w:hint="eastAsia" w:ascii="Calibri" w:hAnsi="Calibri" w:eastAsia="黑体"/>
          <w:kern w:val="32"/>
          <w:sz w:val="32"/>
        </w:rPr>
        <w:t>　</w:t>
      </w:r>
      <w:r>
        <w:rPr>
          <w:rFonts w:ascii="Calibri" w:hAnsi="Calibri" w:eastAsia="黑体"/>
          <w:kern w:val="32"/>
          <w:sz w:val="32"/>
        </w:rPr>
        <w:t>开标一览表</w:t>
      </w:r>
    </w:p>
    <w:p>
      <w:pPr>
        <w:jc w:val="center"/>
        <w:rPr>
          <w:kern w:val="24"/>
        </w:rPr>
      </w:pPr>
    </w:p>
    <w:tbl>
      <w:tblPr>
        <w:tblStyle w:val="26"/>
        <w:tblW w:w="1015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32"/>
        <w:gridCol w:w="2177"/>
        <w:gridCol w:w="2571"/>
        <w:gridCol w:w="257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0" w:hRule="atLeast"/>
          <w:jc w:val="center"/>
        </w:trPr>
        <w:tc>
          <w:tcPr>
            <w:tcW w:w="2832" w:type="dxa"/>
            <w:vMerge w:val="restart"/>
            <w:tcBorders>
              <w:top w:val="single" w:color="auto" w:sz="2" w:space="0"/>
              <w:left w:val="single" w:color="auto" w:sz="2" w:space="0"/>
              <w:bottom w:val="single" w:color="auto" w:sz="2" w:space="0"/>
              <w:right w:val="single" w:color="auto" w:sz="2" w:space="0"/>
              <w:tl2br w:val="single" w:color="auto" w:sz="2" w:space="0"/>
            </w:tcBorders>
          </w:tcPr>
          <w:p>
            <w:pPr>
              <w:spacing w:line="440" w:lineRule="exact"/>
              <w:ind w:right="280"/>
              <w:jc w:val="right"/>
              <w:rPr>
                <w:rFonts w:cstheme="minorHAnsi"/>
                <w:b/>
                <w:color w:val="000000"/>
              </w:rPr>
            </w:pPr>
            <w:r>
              <w:rPr>
                <w:rFonts w:cstheme="minorHAnsi"/>
                <w:b/>
                <w:color w:val="000000"/>
              </w:rPr>
              <w:t>报价内容</w:t>
            </w:r>
          </w:p>
          <w:p>
            <w:pPr>
              <w:rPr>
                <w:rFonts w:cstheme="minorHAnsi"/>
                <w:color w:val="000000"/>
              </w:rPr>
            </w:pPr>
          </w:p>
          <w:p>
            <w:pPr>
              <w:spacing w:line="440" w:lineRule="exact"/>
              <w:ind w:right="1540" w:firstLine="120" w:firstLineChars="50"/>
              <w:jc w:val="center"/>
              <w:rPr>
                <w:rFonts w:cstheme="minorHAnsi"/>
                <w:b/>
                <w:color w:val="000000"/>
              </w:rPr>
            </w:pPr>
            <w:r>
              <w:rPr>
                <w:rFonts w:hint="eastAsia" w:cstheme="minorHAnsi"/>
                <w:b/>
                <w:color w:val="000000"/>
              </w:rPr>
              <w:t>项目</w:t>
            </w:r>
            <w:r>
              <w:rPr>
                <w:rFonts w:cstheme="minorHAnsi"/>
                <w:b/>
                <w:color w:val="000000"/>
              </w:rPr>
              <w:t>及标段</w:t>
            </w:r>
          </w:p>
        </w:tc>
        <w:tc>
          <w:tcPr>
            <w:tcW w:w="2177" w:type="dxa"/>
            <w:tcBorders>
              <w:top w:val="single" w:color="auto" w:sz="2" w:space="0"/>
              <w:left w:val="single" w:color="auto" w:sz="2" w:space="0"/>
              <w:bottom w:val="single" w:color="auto" w:sz="2" w:space="0"/>
              <w:right w:val="single" w:color="auto" w:sz="2" w:space="0"/>
            </w:tcBorders>
            <w:shd w:val="clear" w:color="auto" w:fill="F1F1F1" w:themeFill="background1" w:themeFillShade="F2"/>
            <w:vAlign w:val="center"/>
          </w:tcPr>
          <w:p>
            <w:pPr>
              <w:jc w:val="center"/>
              <w:rPr>
                <w:rFonts w:cstheme="minorHAnsi"/>
                <w:b/>
              </w:rPr>
            </w:pPr>
            <w:r>
              <w:rPr>
                <w:rFonts w:cstheme="minorHAnsi"/>
                <w:b/>
              </w:rPr>
              <w:t>A</w:t>
            </w:r>
          </w:p>
        </w:tc>
        <w:tc>
          <w:tcPr>
            <w:tcW w:w="2571" w:type="dxa"/>
            <w:tcBorders>
              <w:top w:val="single" w:color="auto" w:sz="2" w:space="0"/>
              <w:left w:val="single" w:color="auto" w:sz="2" w:space="0"/>
              <w:bottom w:val="single" w:color="auto" w:sz="2" w:space="0"/>
              <w:right w:val="single" w:color="auto" w:sz="2" w:space="0"/>
            </w:tcBorders>
            <w:shd w:val="clear" w:color="auto" w:fill="F1F1F1" w:themeFill="background1" w:themeFillShade="F2"/>
          </w:tcPr>
          <w:p>
            <w:pPr>
              <w:jc w:val="center"/>
              <w:rPr>
                <w:rFonts w:cstheme="minorHAnsi"/>
                <w:b/>
              </w:rPr>
            </w:pPr>
            <w:r>
              <w:rPr>
                <w:rFonts w:hint="eastAsia" w:cstheme="minorHAnsi"/>
                <w:b/>
              </w:rPr>
              <w:t>B</w:t>
            </w:r>
          </w:p>
        </w:tc>
        <w:tc>
          <w:tcPr>
            <w:tcW w:w="2571" w:type="dxa"/>
            <w:tcBorders>
              <w:top w:val="single" w:color="auto" w:sz="2" w:space="0"/>
              <w:left w:val="single" w:color="auto" w:sz="2" w:space="0"/>
              <w:bottom w:val="single" w:color="auto" w:sz="2" w:space="0"/>
              <w:right w:val="single" w:color="auto" w:sz="2" w:space="0"/>
            </w:tcBorders>
            <w:shd w:val="clear" w:color="auto" w:fill="F1F1F1" w:themeFill="background1" w:themeFillShade="F2"/>
            <w:vAlign w:val="center"/>
          </w:tcPr>
          <w:p>
            <w:pPr>
              <w:jc w:val="center"/>
              <w:rPr>
                <w:rFonts w:cstheme="minorHAnsi"/>
                <w:b/>
              </w:rPr>
            </w:pPr>
            <w:r>
              <w:rPr>
                <w:rFonts w:cstheme="minorHAnsi"/>
                <w:b/>
              </w:rPr>
              <w:t>C</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 w:hRule="atLeast"/>
          <w:jc w:val="center"/>
        </w:trPr>
        <w:tc>
          <w:tcPr>
            <w:tcW w:w="2832" w:type="dxa"/>
            <w:vMerge w:val="continue"/>
            <w:tcBorders>
              <w:top w:val="single" w:color="auto" w:sz="2" w:space="0"/>
              <w:left w:val="single" w:color="auto" w:sz="2" w:space="0"/>
              <w:bottom w:val="single" w:color="auto" w:sz="2" w:space="0"/>
              <w:right w:val="single" w:color="auto" w:sz="2" w:space="0"/>
              <w:tl2br w:val="single" w:color="auto" w:sz="2" w:space="0"/>
            </w:tcBorders>
          </w:tcPr>
          <w:p>
            <w:pPr>
              <w:spacing w:line="440" w:lineRule="exact"/>
              <w:ind w:right="280"/>
              <w:jc w:val="right"/>
              <w:rPr>
                <w:rFonts w:cstheme="minorHAnsi"/>
                <w:b/>
                <w:color w:val="000000"/>
              </w:rPr>
            </w:pPr>
          </w:p>
        </w:tc>
        <w:tc>
          <w:tcPr>
            <w:tcW w:w="2177" w:type="dxa"/>
            <w:tcBorders>
              <w:top w:val="single" w:color="auto" w:sz="2" w:space="0"/>
              <w:left w:val="single" w:color="auto" w:sz="2" w:space="0"/>
              <w:bottom w:val="single" w:color="auto" w:sz="2" w:space="0"/>
              <w:right w:val="single" w:color="auto" w:sz="2" w:space="0"/>
            </w:tcBorders>
            <w:vAlign w:val="center"/>
          </w:tcPr>
          <w:p>
            <w:pPr>
              <w:spacing w:line="440" w:lineRule="exact"/>
              <w:jc w:val="center"/>
              <w:rPr>
                <w:b/>
              </w:rPr>
            </w:pPr>
            <w:r>
              <w:rPr>
                <w:rFonts w:hint="eastAsia"/>
                <w:b/>
              </w:rPr>
              <w:t>年度</w:t>
            </w:r>
            <w:r>
              <w:rPr>
                <w:b/>
              </w:rPr>
              <w:t>服务费（元）</w:t>
            </w:r>
          </w:p>
        </w:tc>
        <w:tc>
          <w:tcPr>
            <w:tcW w:w="2571" w:type="dxa"/>
            <w:tcBorders>
              <w:top w:val="single" w:color="auto" w:sz="2" w:space="0"/>
              <w:left w:val="single" w:color="auto" w:sz="2" w:space="0"/>
              <w:bottom w:val="single" w:color="auto" w:sz="2" w:space="0"/>
              <w:right w:val="single" w:color="auto" w:sz="2" w:space="0"/>
            </w:tcBorders>
            <w:vAlign w:val="center"/>
          </w:tcPr>
          <w:p>
            <w:pPr>
              <w:jc w:val="center"/>
              <w:rPr>
                <w:b/>
              </w:rPr>
            </w:pPr>
            <w:r>
              <w:rPr>
                <w:rFonts w:hint="eastAsia"/>
                <w:b/>
              </w:rPr>
              <w:t>合计</w:t>
            </w:r>
            <w:r>
              <w:rPr>
                <w:b/>
              </w:rPr>
              <w:t>（元）</w:t>
            </w:r>
          </w:p>
        </w:tc>
        <w:tc>
          <w:tcPr>
            <w:tcW w:w="2571" w:type="dxa"/>
            <w:tcBorders>
              <w:top w:val="single" w:color="auto" w:sz="2" w:space="0"/>
              <w:left w:val="single" w:color="auto" w:sz="2" w:space="0"/>
              <w:bottom w:val="single" w:color="auto" w:sz="2" w:space="0"/>
              <w:right w:val="single" w:color="auto" w:sz="2" w:space="0"/>
            </w:tcBorders>
            <w:vAlign w:val="center"/>
          </w:tcPr>
          <w:p>
            <w:pPr>
              <w:jc w:val="center"/>
              <w:rPr>
                <w:b/>
              </w:rPr>
            </w:pPr>
            <w:r>
              <w:rPr>
                <w:rFonts w:hint="eastAsia"/>
                <w:b/>
              </w:rPr>
              <w:t>服务</w:t>
            </w:r>
            <w:r>
              <w:rPr>
                <w:b/>
              </w:rPr>
              <w:t>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jc w:val="center"/>
        </w:trPr>
        <w:tc>
          <w:tcPr>
            <w:tcW w:w="2832" w:type="dxa"/>
            <w:tcBorders>
              <w:top w:val="single" w:color="auto" w:sz="2" w:space="0"/>
              <w:left w:val="single" w:color="auto" w:sz="2" w:space="0"/>
              <w:bottom w:val="single" w:color="auto" w:sz="2" w:space="0"/>
              <w:right w:val="single" w:color="auto" w:sz="2" w:space="0"/>
            </w:tcBorders>
            <w:vAlign w:val="center"/>
          </w:tcPr>
          <w:p>
            <w:pPr>
              <w:spacing w:line="440" w:lineRule="exact"/>
              <w:jc w:val="center"/>
              <w:rPr>
                <w:rFonts w:cstheme="minorHAnsi"/>
                <w:b/>
                <w:color w:val="000000"/>
              </w:rPr>
            </w:pPr>
            <w:r>
              <w:rPr>
                <w:rFonts w:cstheme="minorHAnsi"/>
                <w:color w:val="C00000"/>
              </w:rPr>
              <w:t>［</w:t>
            </w:r>
            <w:r>
              <w:rPr>
                <w:rFonts w:cstheme="minorHAnsi"/>
                <w:color w:val="C00000"/>
                <w:u w:val="single"/>
              </w:rPr>
              <w:t>项目名称</w:t>
            </w:r>
            <w:r>
              <w:rPr>
                <w:rFonts w:cstheme="minorHAnsi"/>
                <w:color w:val="C00000"/>
              </w:rPr>
              <w:t>］</w:t>
            </w:r>
          </w:p>
        </w:tc>
        <w:tc>
          <w:tcPr>
            <w:tcW w:w="2177" w:type="dxa"/>
            <w:tcBorders>
              <w:top w:val="single" w:color="auto" w:sz="2" w:space="0"/>
              <w:left w:val="single" w:color="auto" w:sz="2" w:space="0"/>
              <w:bottom w:val="single" w:color="auto" w:sz="2" w:space="0"/>
              <w:right w:val="single" w:color="auto" w:sz="2" w:space="0"/>
            </w:tcBorders>
            <w:vAlign w:val="center"/>
          </w:tcPr>
          <w:p>
            <w:pPr>
              <w:spacing w:line="440" w:lineRule="exact"/>
              <w:jc w:val="center"/>
              <w:rPr>
                <w:rFonts w:cstheme="minorHAnsi"/>
                <w:color w:val="000000"/>
              </w:rPr>
            </w:pPr>
          </w:p>
        </w:tc>
        <w:tc>
          <w:tcPr>
            <w:tcW w:w="2571" w:type="dxa"/>
            <w:tcBorders>
              <w:top w:val="single" w:color="auto" w:sz="2" w:space="0"/>
              <w:left w:val="single" w:color="auto" w:sz="2" w:space="0"/>
              <w:bottom w:val="single" w:color="auto" w:sz="2" w:space="0"/>
              <w:right w:val="single" w:color="auto" w:sz="2" w:space="0"/>
            </w:tcBorders>
          </w:tcPr>
          <w:p>
            <w:pPr>
              <w:spacing w:line="440" w:lineRule="exact"/>
              <w:jc w:val="center"/>
              <w:rPr>
                <w:rFonts w:cstheme="minorHAnsi"/>
                <w:color w:val="000000"/>
              </w:rPr>
            </w:pPr>
          </w:p>
        </w:tc>
        <w:tc>
          <w:tcPr>
            <w:tcW w:w="2571" w:type="dxa"/>
            <w:tcBorders>
              <w:top w:val="single" w:color="auto" w:sz="2" w:space="0"/>
              <w:left w:val="single" w:color="auto" w:sz="2" w:space="0"/>
              <w:bottom w:val="single" w:color="auto" w:sz="2" w:space="0"/>
              <w:right w:val="single" w:color="auto" w:sz="2" w:space="0"/>
            </w:tcBorders>
            <w:vAlign w:val="center"/>
          </w:tcPr>
          <w:p>
            <w:pPr>
              <w:spacing w:line="440" w:lineRule="exact"/>
              <w:jc w:val="center"/>
              <w:rPr>
                <w:rFonts w:cstheme="minorHAnsi"/>
                <w:color w:val="000000"/>
              </w:rPr>
            </w:pPr>
            <w:r>
              <w:rPr>
                <w:rFonts w:hint="eastAsia" w:cstheme="minorHAnsi"/>
                <w:color w:val="000000"/>
              </w:rPr>
              <w:t>三年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5" w:hRule="atLeast"/>
          <w:jc w:val="center"/>
        </w:trPr>
        <w:tc>
          <w:tcPr>
            <w:tcW w:w="2832" w:type="dxa"/>
            <w:tcBorders>
              <w:top w:val="single" w:color="auto" w:sz="2" w:space="0"/>
              <w:left w:val="single" w:color="auto" w:sz="2" w:space="0"/>
              <w:bottom w:val="single" w:color="auto" w:sz="2" w:space="0"/>
              <w:right w:val="single" w:color="auto" w:sz="2" w:space="0"/>
            </w:tcBorders>
            <w:vAlign w:val="center"/>
          </w:tcPr>
          <w:p>
            <w:pPr>
              <w:spacing w:line="440" w:lineRule="exact"/>
              <w:jc w:val="center"/>
              <w:rPr>
                <w:rFonts w:cstheme="minorHAnsi"/>
                <w:b/>
                <w:color w:val="000000"/>
              </w:rPr>
            </w:pPr>
            <w:r>
              <w:rPr>
                <w:rFonts w:cstheme="minorHAnsi"/>
                <w:b/>
                <w:color w:val="000000"/>
              </w:rPr>
              <w:t>合计（大写）</w:t>
            </w:r>
          </w:p>
        </w:tc>
        <w:tc>
          <w:tcPr>
            <w:tcW w:w="7319" w:type="dxa"/>
            <w:gridSpan w:val="3"/>
            <w:tcBorders>
              <w:top w:val="single" w:color="auto" w:sz="2" w:space="0"/>
              <w:left w:val="single" w:color="auto" w:sz="2" w:space="0"/>
              <w:bottom w:val="single" w:color="auto" w:sz="2" w:space="0"/>
              <w:right w:val="single" w:color="auto" w:sz="2" w:space="0"/>
            </w:tcBorders>
          </w:tcPr>
          <w:p>
            <w:pPr>
              <w:spacing w:line="440" w:lineRule="exact"/>
              <w:rPr>
                <w:rFonts w:cstheme="minorHAnsi"/>
                <w:color w:val="FF0000"/>
              </w:rPr>
            </w:pPr>
          </w:p>
        </w:tc>
      </w:tr>
    </w:tbl>
    <w:p>
      <w:r>
        <w:rPr>
          <w:rFonts w:cstheme="minorHAnsi"/>
          <w:color w:val="000000"/>
        </w:rPr>
        <w:t>供应商：（</w:t>
      </w:r>
      <w:r>
        <w:rPr>
          <w:rFonts w:cstheme="minorHAnsi"/>
          <w:i/>
          <w:color w:val="7030A0"/>
        </w:rPr>
        <w:t>供应商全称并加盖公章</w:t>
      </w:r>
      <w:r>
        <w:rPr>
          <w:rFonts w:cstheme="minorHAnsi"/>
          <w:color w:val="000000"/>
        </w:rPr>
        <w:t>）</w:t>
      </w:r>
    </w:p>
    <w:p>
      <w:pPr>
        <w:spacing w:before="230" w:beforeLines="50"/>
        <w:jc w:val="both"/>
        <w:rPr>
          <w:kern w:val="24"/>
        </w:rPr>
      </w:pPr>
    </w:p>
    <w:p>
      <w:pPr>
        <w:jc w:val="both"/>
        <w:rPr>
          <w:kern w:val="24"/>
        </w:rPr>
      </w:pPr>
      <w:r>
        <w:rPr>
          <w:kern w:val="24"/>
        </w:rPr>
        <w:t>〖注〗</w:t>
      </w:r>
      <w:r>
        <w:rPr>
          <w:rFonts w:hint="eastAsia"/>
          <w:kern w:val="24"/>
        </w:rPr>
        <w:t>：B=A×3</w:t>
      </w:r>
    </w:p>
    <w:p>
      <w:pPr>
        <w:ind w:firstLine="480" w:firstLineChars="200"/>
        <w:jc w:val="both"/>
        <w:rPr>
          <w:kern w:val="24"/>
        </w:rPr>
      </w:pPr>
      <w:r>
        <w:rPr>
          <w:kern w:val="24"/>
        </w:rPr>
        <w:t>以下情况按无效投标处理：</w:t>
      </w:r>
    </w:p>
    <w:p>
      <w:pPr>
        <w:ind w:firstLine="480" w:firstLineChars="200"/>
        <w:jc w:val="both"/>
        <w:rPr>
          <w:kern w:val="24"/>
        </w:rPr>
      </w:pPr>
      <w:r>
        <w:rPr>
          <w:kern w:val="24"/>
        </w:rPr>
        <w:t>1．A</w:t>
      </w:r>
      <w:r>
        <w:rPr>
          <w:rFonts w:hint="eastAsia"/>
          <w:kern w:val="24"/>
        </w:rPr>
        <w:t>、B</w:t>
      </w:r>
      <w:r>
        <w:rPr>
          <w:kern w:val="24"/>
        </w:rPr>
        <w:t>栏未按阿拉伯小写金额样式填写， C栏未填写</w:t>
      </w:r>
      <w:r>
        <w:rPr>
          <w:rFonts w:hint="eastAsia"/>
          <w:kern w:val="24"/>
        </w:rPr>
        <w:t>服务</w:t>
      </w:r>
      <w:r>
        <w:rPr>
          <w:kern w:val="24"/>
        </w:rPr>
        <w:t>期。</w:t>
      </w:r>
    </w:p>
    <w:p>
      <w:pPr>
        <w:ind w:firstLine="480" w:firstLineChars="200"/>
        <w:jc w:val="both"/>
        <w:rPr>
          <w:kern w:val="24"/>
        </w:rPr>
      </w:pPr>
      <w:r>
        <w:rPr>
          <w:kern w:val="24"/>
        </w:rPr>
        <w:t>2．“合计（大写）”栏未按银行大写金额样式进行填写，样式参考：壹、贰、叁、肆、伍、陆、柒、捌、玖、拾、佰、仟、万、亿、元（圆）、角、分、零、整（正）等。</w:t>
      </w:r>
    </w:p>
    <w:p>
      <w:pPr>
        <w:ind w:firstLine="480" w:firstLineChars="200"/>
        <w:jc w:val="both"/>
        <w:rPr>
          <w:kern w:val="24"/>
        </w:rPr>
      </w:pPr>
      <w:r>
        <w:rPr>
          <w:kern w:val="24"/>
        </w:rPr>
        <w:t>3．本表B栏“合计”值与“合计（大写）”值、</w:t>
      </w:r>
      <w:r>
        <w:rPr>
          <w:rFonts w:hint="eastAsia"/>
          <w:kern w:val="24"/>
        </w:rPr>
        <w:t>报价</w:t>
      </w:r>
      <w:r>
        <w:rPr>
          <w:kern w:val="24"/>
        </w:rPr>
        <w:t>明细表中的“合计”值不一致的。</w:t>
      </w:r>
    </w:p>
    <w:p>
      <w:pPr>
        <w:ind w:firstLine="480" w:firstLineChars="200"/>
        <w:jc w:val="both"/>
        <w:rPr>
          <w:kern w:val="24"/>
        </w:rPr>
      </w:pPr>
      <w:r>
        <w:rPr>
          <w:kern w:val="24"/>
        </w:rPr>
        <w:t>4．合计超过本</w:t>
      </w:r>
      <w:r>
        <w:rPr>
          <w:rFonts w:hint="eastAsia"/>
          <w:kern w:val="24"/>
        </w:rPr>
        <w:t>项目</w:t>
      </w:r>
      <w:r>
        <w:rPr>
          <w:kern w:val="24"/>
        </w:rPr>
        <w:t>预算的。</w:t>
      </w:r>
    </w:p>
    <w:p>
      <w:pPr>
        <w:ind w:firstLine="480" w:firstLineChars="200"/>
        <w:jc w:val="both"/>
        <w:rPr>
          <w:kern w:val="24"/>
        </w:rPr>
      </w:pPr>
    </w:p>
    <w:p>
      <w:pPr>
        <w:ind w:firstLine="480" w:firstLineChars="200"/>
        <w:jc w:val="both"/>
        <w:rPr>
          <w:b/>
          <w:kern w:val="24"/>
          <w:u w:val="single"/>
        </w:rPr>
      </w:pPr>
      <w:r>
        <w:rPr>
          <w:rFonts w:hint="eastAsia"/>
          <w:b/>
          <w:kern w:val="24"/>
          <w:u w:val="single"/>
        </w:rPr>
        <w:t>特别提醒：电子化开标一览表填写时，“投标报价”值须按</w:t>
      </w:r>
      <w:r>
        <w:rPr>
          <w:b/>
          <w:kern w:val="24"/>
          <w:u w:val="single"/>
        </w:rPr>
        <w:t>B</w:t>
      </w:r>
      <w:r>
        <w:rPr>
          <w:rFonts w:hint="eastAsia"/>
          <w:b/>
          <w:kern w:val="24"/>
          <w:u w:val="single"/>
        </w:rPr>
        <w:t>栏所填写值填写（仅填写数字，不填写单位），若不按照本规则填写，可能导致电子化系统无法识别报价，后果自负。</w:t>
      </w:r>
    </w:p>
    <w:p>
      <w:pPr>
        <w:pStyle w:val="42"/>
        <w:jc w:val="both"/>
        <w:rPr>
          <w:rFonts w:hAnsi="华文仿宋"/>
        </w:rPr>
      </w:pPr>
    </w:p>
    <w:p>
      <w:pPr>
        <w:pStyle w:val="42"/>
        <w:ind w:firstLine="560" w:firstLineChars="200"/>
        <w:jc w:val="both"/>
        <w:rPr>
          <w:rFonts w:hAnsi="华文仿宋"/>
        </w:rPr>
        <w:sectPr>
          <w:footerReference r:id="rId17" w:type="default"/>
          <w:footerReference r:id="rId18" w:type="even"/>
          <w:pgSz w:w="11906" w:h="16838"/>
          <w:pgMar w:top="1418" w:right="1418" w:bottom="1418" w:left="1418" w:header="851" w:footer="992" w:gutter="0"/>
          <w:cols w:space="425" w:num="1"/>
          <w:docGrid w:type="linesAndChars" w:linePitch="460" w:charSpace="0"/>
        </w:sectPr>
      </w:pPr>
    </w:p>
    <w:p>
      <w:pPr>
        <w:jc w:val="center"/>
        <w:outlineLvl w:val="2"/>
        <w:rPr>
          <w:rFonts w:ascii="黑体" w:hAnsi="黑体" w:eastAsia="黑体" w:cs="Calibri Light"/>
          <w:color w:val="1F4E79"/>
          <w:sz w:val="32"/>
          <w:szCs w:val="36"/>
        </w:rPr>
      </w:pPr>
      <w:r>
        <w:rPr>
          <w:rFonts w:hint="eastAsia" w:ascii="黑体" w:hAnsi="黑体" w:eastAsia="黑体" w:cs="Calibri Light"/>
          <w:color w:val="1F4E79"/>
          <w:sz w:val="32"/>
          <w:szCs w:val="36"/>
        </w:rPr>
        <w:t>报价明细</w:t>
      </w:r>
      <w:r>
        <w:rPr>
          <w:rFonts w:ascii="黑体" w:hAnsi="黑体" w:eastAsia="黑体" w:cs="Calibri Light"/>
          <w:color w:val="1F4E79"/>
          <w:sz w:val="32"/>
          <w:szCs w:val="36"/>
        </w:rPr>
        <w:t>表</w:t>
      </w:r>
    </w:p>
    <w:tbl>
      <w:tblPr>
        <w:tblStyle w:val="26"/>
        <w:tblW w:w="942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0" w:type="dxa"/>
          <w:bottom w:w="0" w:type="dxa"/>
          <w:right w:w="0" w:type="dxa"/>
        </w:tblCellMar>
      </w:tblPr>
      <w:tblGrid>
        <w:gridCol w:w="706"/>
        <w:gridCol w:w="1985"/>
        <w:gridCol w:w="3827"/>
        <w:gridCol w:w="992"/>
        <w:gridCol w:w="851"/>
        <w:gridCol w:w="1068"/>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690" w:hRule="atLeast"/>
          <w:jc w:val="center"/>
        </w:trPr>
        <w:tc>
          <w:tcPr>
            <w:tcW w:w="706" w:type="dxa"/>
            <w:shd w:val="clear" w:color="auto" w:fill="D8D8D8" w:themeFill="background1" w:themeFillShade="D9"/>
            <w:noWrap/>
            <w:tcMar>
              <w:top w:w="20" w:type="dxa"/>
              <w:left w:w="20" w:type="dxa"/>
              <w:bottom w:w="0" w:type="dxa"/>
              <w:right w:w="20" w:type="dxa"/>
            </w:tcMar>
            <w:vAlign w:val="center"/>
          </w:tcPr>
          <w:p>
            <w:pPr>
              <w:spacing w:line="320" w:lineRule="exact"/>
              <w:jc w:val="center"/>
              <w:rPr>
                <w:rFonts w:cs="Calibri Light"/>
                <w:b/>
                <w:color w:val="000000"/>
                <w:sz w:val="21"/>
                <w:szCs w:val="21"/>
              </w:rPr>
            </w:pPr>
            <w:r>
              <w:rPr>
                <w:rFonts w:cs="Calibri Light"/>
                <w:b/>
                <w:color w:val="000000"/>
                <w:sz w:val="21"/>
                <w:szCs w:val="21"/>
              </w:rPr>
              <w:t>序号</w:t>
            </w:r>
          </w:p>
        </w:tc>
        <w:tc>
          <w:tcPr>
            <w:tcW w:w="1985" w:type="dxa"/>
            <w:shd w:val="clear" w:color="auto" w:fill="D8D8D8" w:themeFill="background1" w:themeFillShade="D9"/>
            <w:noWrap/>
            <w:tcMar>
              <w:top w:w="20" w:type="dxa"/>
              <w:left w:w="20" w:type="dxa"/>
              <w:bottom w:w="0" w:type="dxa"/>
              <w:right w:w="20" w:type="dxa"/>
            </w:tcMar>
            <w:vAlign w:val="center"/>
          </w:tcPr>
          <w:p>
            <w:pPr>
              <w:spacing w:line="320" w:lineRule="exact"/>
              <w:jc w:val="center"/>
              <w:rPr>
                <w:rFonts w:cs="Calibri Light"/>
                <w:b/>
                <w:color w:val="000000"/>
                <w:sz w:val="21"/>
                <w:szCs w:val="21"/>
              </w:rPr>
            </w:pPr>
            <w:r>
              <w:rPr>
                <w:rFonts w:cs="Calibri Light"/>
                <w:b/>
                <w:color w:val="000000"/>
                <w:sz w:val="21"/>
                <w:szCs w:val="21"/>
              </w:rPr>
              <w:t>费用名称</w:t>
            </w:r>
          </w:p>
        </w:tc>
        <w:tc>
          <w:tcPr>
            <w:tcW w:w="3827" w:type="dxa"/>
            <w:shd w:val="clear" w:color="auto" w:fill="D8D8D8" w:themeFill="background1" w:themeFillShade="D9"/>
            <w:noWrap/>
            <w:tcMar>
              <w:top w:w="20" w:type="dxa"/>
              <w:left w:w="20" w:type="dxa"/>
              <w:bottom w:w="0" w:type="dxa"/>
              <w:right w:w="20" w:type="dxa"/>
            </w:tcMar>
            <w:vAlign w:val="center"/>
          </w:tcPr>
          <w:p>
            <w:pPr>
              <w:spacing w:line="320" w:lineRule="exact"/>
              <w:jc w:val="center"/>
              <w:rPr>
                <w:rFonts w:cs="Calibri Light"/>
                <w:b/>
                <w:color w:val="000000"/>
                <w:sz w:val="21"/>
                <w:szCs w:val="21"/>
              </w:rPr>
            </w:pPr>
            <w:r>
              <w:rPr>
                <w:rFonts w:cs="Calibri Light"/>
                <w:b/>
                <w:color w:val="000000"/>
                <w:sz w:val="21"/>
                <w:szCs w:val="21"/>
              </w:rPr>
              <w:t>费用描述</w:t>
            </w:r>
          </w:p>
        </w:tc>
        <w:tc>
          <w:tcPr>
            <w:tcW w:w="992" w:type="dxa"/>
            <w:shd w:val="clear" w:color="auto" w:fill="D8D8D8" w:themeFill="background1" w:themeFillShade="D9"/>
            <w:noWrap/>
            <w:tcMar>
              <w:top w:w="20" w:type="dxa"/>
              <w:left w:w="20" w:type="dxa"/>
              <w:bottom w:w="0" w:type="dxa"/>
              <w:right w:w="20" w:type="dxa"/>
            </w:tcMar>
            <w:vAlign w:val="center"/>
          </w:tcPr>
          <w:p>
            <w:pPr>
              <w:spacing w:line="320" w:lineRule="exact"/>
              <w:jc w:val="center"/>
              <w:rPr>
                <w:rFonts w:cs="Calibri Light"/>
                <w:b/>
                <w:color w:val="000000"/>
                <w:sz w:val="21"/>
                <w:szCs w:val="21"/>
              </w:rPr>
            </w:pPr>
            <w:r>
              <w:rPr>
                <w:rFonts w:cs="Calibri Light"/>
                <w:b/>
                <w:color w:val="000000"/>
                <w:sz w:val="21"/>
                <w:szCs w:val="21"/>
              </w:rPr>
              <w:t>数量</w:t>
            </w:r>
          </w:p>
        </w:tc>
        <w:tc>
          <w:tcPr>
            <w:tcW w:w="851" w:type="dxa"/>
            <w:shd w:val="clear" w:color="auto" w:fill="D8D8D8" w:themeFill="background1" w:themeFillShade="D9"/>
            <w:noWrap/>
            <w:tcMar>
              <w:top w:w="20" w:type="dxa"/>
              <w:left w:w="20" w:type="dxa"/>
              <w:bottom w:w="0" w:type="dxa"/>
              <w:right w:w="20" w:type="dxa"/>
            </w:tcMar>
            <w:vAlign w:val="center"/>
          </w:tcPr>
          <w:p>
            <w:pPr>
              <w:spacing w:line="320" w:lineRule="exact"/>
              <w:jc w:val="center"/>
              <w:rPr>
                <w:rFonts w:cs="Calibri Light"/>
                <w:b/>
                <w:color w:val="000000"/>
                <w:sz w:val="21"/>
                <w:szCs w:val="21"/>
              </w:rPr>
            </w:pPr>
            <w:r>
              <w:rPr>
                <w:rFonts w:cs="Calibri Light"/>
                <w:b/>
                <w:color w:val="000000"/>
                <w:sz w:val="21"/>
                <w:szCs w:val="21"/>
              </w:rPr>
              <w:t>单价</w:t>
            </w:r>
          </w:p>
        </w:tc>
        <w:tc>
          <w:tcPr>
            <w:tcW w:w="1068" w:type="dxa"/>
            <w:shd w:val="clear" w:color="auto" w:fill="D8D8D8" w:themeFill="background1" w:themeFillShade="D9"/>
            <w:vAlign w:val="center"/>
          </w:tcPr>
          <w:p>
            <w:pPr>
              <w:spacing w:line="320" w:lineRule="exact"/>
              <w:jc w:val="center"/>
              <w:rPr>
                <w:rFonts w:cs="Calibri Light"/>
                <w:b/>
                <w:color w:val="000000"/>
                <w:sz w:val="21"/>
                <w:szCs w:val="21"/>
              </w:rPr>
            </w:pPr>
            <w:r>
              <w:rPr>
                <w:rFonts w:cs="Calibri Light"/>
                <w:b/>
                <w:color w:val="000000"/>
                <w:sz w:val="21"/>
                <w:szCs w:val="21"/>
              </w:rPr>
              <w:t>总价</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67" w:hRule="atLeast"/>
          <w:jc w:val="center"/>
        </w:trPr>
        <w:tc>
          <w:tcPr>
            <w:tcW w:w="706"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1985"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3827"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992"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851"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1068" w:type="dxa"/>
            <w:vAlign w:val="center"/>
          </w:tcPr>
          <w:p>
            <w:pPr>
              <w:spacing w:line="440" w:lineRule="exact"/>
              <w:jc w:val="center"/>
              <w:rPr>
                <w:rFonts w:cs="Calibri Light"/>
                <w:b/>
                <w:bCs/>
                <w:color w:val="000000"/>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67" w:hRule="atLeast"/>
          <w:jc w:val="center"/>
        </w:trPr>
        <w:tc>
          <w:tcPr>
            <w:tcW w:w="706"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1985"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3827"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992"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851"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1068" w:type="dxa"/>
            <w:vAlign w:val="center"/>
          </w:tcPr>
          <w:p>
            <w:pPr>
              <w:spacing w:line="440" w:lineRule="exact"/>
              <w:jc w:val="center"/>
              <w:rPr>
                <w:rFonts w:cs="Calibri Light"/>
                <w:b/>
                <w:bCs/>
                <w:color w:val="000000"/>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67" w:hRule="atLeast"/>
          <w:jc w:val="center"/>
        </w:trPr>
        <w:tc>
          <w:tcPr>
            <w:tcW w:w="706"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1985"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3827"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992"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851"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1068" w:type="dxa"/>
            <w:vAlign w:val="center"/>
          </w:tcPr>
          <w:p>
            <w:pPr>
              <w:spacing w:line="440" w:lineRule="exact"/>
              <w:jc w:val="center"/>
              <w:rPr>
                <w:rFonts w:cs="Calibri Light"/>
                <w:b/>
                <w:bCs/>
                <w:color w:val="000000"/>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67" w:hRule="atLeast"/>
          <w:jc w:val="center"/>
        </w:trPr>
        <w:tc>
          <w:tcPr>
            <w:tcW w:w="706"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1985"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3827"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992"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851"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1068" w:type="dxa"/>
            <w:vAlign w:val="center"/>
          </w:tcPr>
          <w:p>
            <w:pPr>
              <w:spacing w:line="440" w:lineRule="exact"/>
              <w:jc w:val="center"/>
              <w:rPr>
                <w:rFonts w:cs="Calibri Light"/>
                <w:b/>
                <w:bCs/>
                <w:color w:val="000000"/>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67" w:hRule="atLeast"/>
          <w:jc w:val="center"/>
        </w:trPr>
        <w:tc>
          <w:tcPr>
            <w:tcW w:w="706"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1985"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3827"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992"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851"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1068" w:type="dxa"/>
            <w:vAlign w:val="center"/>
          </w:tcPr>
          <w:p>
            <w:pPr>
              <w:spacing w:line="440" w:lineRule="exact"/>
              <w:jc w:val="center"/>
              <w:rPr>
                <w:rFonts w:cs="Calibri Light"/>
                <w:b/>
                <w:bCs/>
                <w:color w:val="000000"/>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67" w:hRule="atLeast"/>
          <w:jc w:val="center"/>
        </w:trPr>
        <w:tc>
          <w:tcPr>
            <w:tcW w:w="706"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1985"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3827"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992"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851"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1068" w:type="dxa"/>
            <w:vAlign w:val="center"/>
          </w:tcPr>
          <w:p>
            <w:pPr>
              <w:spacing w:line="440" w:lineRule="exact"/>
              <w:jc w:val="center"/>
              <w:rPr>
                <w:rFonts w:cs="Calibri Light"/>
                <w:b/>
                <w:bCs/>
                <w:color w:val="000000"/>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67" w:hRule="atLeast"/>
          <w:jc w:val="center"/>
        </w:trPr>
        <w:tc>
          <w:tcPr>
            <w:tcW w:w="706"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1985"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3827"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992"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851"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1068" w:type="dxa"/>
            <w:vAlign w:val="center"/>
          </w:tcPr>
          <w:p>
            <w:pPr>
              <w:spacing w:line="440" w:lineRule="exact"/>
              <w:jc w:val="center"/>
              <w:rPr>
                <w:rFonts w:cs="Calibri Light"/>
                <w:b/>
                <w:bCs/>
                <w:color w:val="000000"/>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67" w:hRule="atLeast"/>
          <w:jc w:val="center"/>
        </w:trPr>
        <w:tc>
          <w:tcPr>
            <w:tcW w:w="706"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1985"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3827"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992"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851"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1068" w:type="dxa"/>
            <w:vAlign w:val="center"/>
          </w:tcPr>
          <w:p>
            <w:pPr>
              <w:spacing w:line="440" w:lineRule="exact"/>
              <w:jc w:val="center"/>
              <w:rPr>
                <w:rFonts w:cs="Calibri Light"/>
                <w:b/>
                <w:bCs/>
                <w:color w:val="000000"/>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67" w:hRule="atLeast"/>
          <w:jc w:val="center"/>
        </w:trPr>
        <w:tc>
          <w:tcPr>
            <w:tcW w:w="706"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1985"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3827"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992"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851"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1068" w:type="dxa"/>
            <w:vAlign w:val="center"/>
          </w:tcPr>
          <w:p>
            <w:pPr>
              <w:spacing w:line="440" w:lineRule="exact"/>
              <w:jc w:val="center"/>
              <w:rPr>
                <w:rFonts w:cs="Calibri Light"/>
                <w:b/>
                <w:bCs/>
                <w:color w:val="000000"/>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67" w:hRule="atLeast"/>
          <w:jc w:val="center"/>
        </w:trPr>
        <w:tc>
          <w:tcPr>
            <w:tcW w:w="706"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1985"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3827"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992"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851"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1068" w:type="dxa"/>
            <w:vAlign w:val="center"/>
          </w:tcPr>
          <w:p>
            <w:pPr>
              <w:spacing w:line="440" w:lineRule="exact"/>
              <w:jc w:val="center"/>
              <w:rPr>
                <w:rFonts w:cs="Calibri Light"/>
                <w:b/>
                <w:bCs/>
                <w:color w:val="000000"/>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67" w:hRule="atLeast"/>
          <w:jc w:val="center"/>
        </w:trPr>
        <w:tc>
          <w:tcPr>
            <w:tcW w:w="706"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1985"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3827"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992"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851" w:type="dxa"/>
            <w:noWrap/>
            <w:tcMar>
              <w:top w:w="20" w:type="dxa"/>
              <w:left w:w="20" w:type="dxa"/>
              <w:bottom w:w="0" w:type="dxa"/>
              <w:right w:w="20" w:type="dxa"/>
            </w:tcMar>
            <w:vAlign w:val="center"/>
          </w:tcPr>
          <w:p>
            <w:pPr>
              <w:spacing w:line="440" w:lineRule="exact"/>
              <w:jc w:val="center"/>
              <w:rPr>
                <w:rFonts w:cs="Calibri Light"/>
                <w:b/>
                <w:bCs/>
                <w:color w:val="000000"/>
                <w:sz w:val="21"/>
                <w:szCs w:val="21"/>
              </w:rPr>
            </w:pPr>
          </w:p>
        </w:tc>
        <w:tc>
          <w:tcPr>
            <w:tcW w:w="1068" w:type="dxa"/>
            <w:vAlign w:val="center"/>
          </w:tcPr>
          <w:p>
            <w:pPr>
              <w:spacing w:line="440" w:lineRule="exact"/>
              <w:jc w:val="center"/>
              <w:rPr>
                <w:rFonts w:cs="Calibri Light"/>
                <w:b/>
                <w:bCs/>
                <w:color w:val="000000"/>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0" w:type="dxa"/>
            <w:bottom w:w="0" w:type="dxa"/>
            <w:right w:w="0" w:type="dxa"/>
          </w:tblCellMar>
        </w:tblPrEx>
        <w:trPr>
          <w:trHeight w:val="567" w:hRule="atLeast"/>
          <w:jc w:val="center"/>
        </w:trPr>
        <w:tc>
          <w:tcPr>
            <w:tcW w:w="8361" w:type="dxa"/>
            <w:gridSpan w:val="5"/>
            <w:noWrap/>
            <w:tcMar>
              <w:top w:w="20" w:type="dxa"/>
              <w:left w:w="20" w:type="dxa"/>
              <w:bottom w:w="0" w:type="dxa"/>
              <w:right w:w="20" w:type="dxa"/>
            </w:tcMar>
            <w:vAlign w:val="center"/>
          </w:tcPr>
          <w:p>
            <w:pPr>
              <w:spacing w:line="440" w:lineRule="exact"/>
              <w:jc w:val="center"/>
              <w:rPr>
                <w:rFonts w:cs="Calibri Light"/>
                <w:b/>
                <w:bCs/>
                <w:color w:val="000000"/>
                <w:sz w:val="21"/>
                <w:szCs w:val="21"/>
              </w:rPr>
            </w:pPr>
            <w:r>
              <w:rPr>
                <w:rFonts w:cs="Calibri Light"/>
                <w:b/>
                <w:bCs/>
                <w:color w:val="000000"/>
                <w:sz w:val="21"/>
                <w:szCs w:val="21"/>
              </w:rPr>
              <w:t>合计</w:t>
            </w:r>
          </w:p>
        </w:tc>
        <w:tc>
          <w:tcPr>
            <w:tcW w:w="1068" w:type="dxa"/>
            <w:vAlign w:val="center"/>
          </w:tcPr>
          <w:p>
            <w:pPr>
              <w:spacing w:line="440" w:lineRule="exact"/>
              <w:jc w:val="center"/>
              <w:rPr>
                <w:rFonts w:cs="Calibri Light"/>
                <w:b/>
                <w:bCs/>
                <w:color w:val="000000"/>
                <w:sz w:val="21"/>
                <w:szCs w:val="21"/>
              </w:rPr>
            </w:pPr>
          </w:p>
        </w:tc>
      </w:tr>
    </w:tbl>
    <w:p>
      <w:pPr>
        <w:tabs>
          <w:tab w:val="right" w:pos="9070"/>
        </w:tabs>
        <w:spacing w:line="440" w:lineRule="exact"/>
        <w:jc w:val="both"/>
        <w:rPr>
          <w:rFonts w:cs="Calibri Light"/>
          <w:bCs/>
        </w:rPr>
      </w:pPr>
      <w:r>
        <w:rPr>
          <w:rFonts w:cs="Calibri Light"/>
          <w:bCs/>
        </w:rPr>
        <w:t>供应商：（</w:t>
      </w:r>
      <w:r>
        <w:rPr>
          <w:rFonts w:cs="Calibri Light"/>
          <w:bCs/>
          <w:i/>
          <w:color w:val="7030A0"/>
        </w:rPr>
        <w:t>供应商全称并加盖公章</w:t>
      </w:r>
      <w:r>
        <w:rPr>
          <w:rFonts w:cs="Calibri Light"/>
          <w:bCs/>
        </w:rPr>
        <w:t>）</w:t>
      </w:r>
    </w:p>
    <w:p>
      <w:pPr>
        <w:tabs>
          <w:tab w:val="right" w:pos="9070"/>
        </w:tabs>
        <w:spacing w:line="440" w:lineRule="exact"/>
        <w:jc w:val="both"/>
        <w:rPr>
          <w:rFonts w:cs="Calibri Light"/>
          <w:bCs/>
        </w:rPr>
      </w:pPr>
    </w:p>
    <w:p>
      <w:pPr>
        <w:wordWrap w:val="0"/>
        <w:spacing w:line="400" w:lineRule="exact"/>
        <w:jc w:val="both"/>
      </w:pPr>
      <w:r>
        <w:t>说明：</w:t>
      </w:r>
    </w:p>
    <w:p>
      <w:pPr>
        <w:ind w:firstLine="480" w:firstLineChars="200"/>
        <w:jc w:val="both"/>
      </w:pPr>
      <w:r>
        <w:t>1．此表各项费用由供应商自行列支，</w:t>
      </w:r>
      <w:r>
        <w:rPr>
          <w:rFonts w:hint="eastAsia"/>
        </w:rPr>
        <w:t xml:space="preserve"> “合计”值应与开标一览表中的“合计”值一致。</w:t>
      </w:r>
    </w:p>
    <w:p>
      <w:pPr>
        <w:tabs>
          <w:tab w:val="right" w:pos="9070"/>
        </w:tabs>
        <w:ind w:firstLine="480" w:firstLineChars="200"/>
      </w:pPr>
      <w:r>
        <w:t>2．表格空间不足时，可以自行扩展。</w:t>
      </w:r>
    </w:p>
    <w:p>
      <w:pPr>
        <w:jc w:val="both"/>
        <w:sectPr>
          <w:footerReference r:id="rId19" w:type="default"/>
          <w:footerReference r:id="rId20" w:type="even"/>
          <w:pgSz w:w="11906" w:h="16838"/>
          <w:pgMar w:top="1418" w:right="1418" w:bottom="1418" w:left="1418" w:header="851" w:footer="992" w:gutter="0"/>
          <w:cols w:space="425" w:num="1"/>
          <w:docGrid w:type="linesAndChars" w:linePitch="460" w:charSpace="0"/>
        </w:sectPr>
      </w:pPr>
    </w:p>
    <w:p>
      <w:pPr>
        <w:keepNext/>
        <w:spacing w:before="230" w:beforeLines="50" w:after="230" w:afterLines="50"/>
        <w:jc w:val="center"/>
        <w:outlineLvl w:val="1"/>
        <w:rPr>
          <w:rFonts w:ascii="Calibri" w:hAnsi="Calibri" w:eastAsia="黑体"/>
          <w:kern w:val="32"/>
          <w:sz w:val="32"/>
        </w:rPr>
      </w:pPr>
      <w:r>
        <w:rPr>
          <w:rFonts w:ascii="Calibri" w:hAnsi="Calibri" w:eastAsia="黑体"/>
          <w:kern w:val="32"/>
          <w:sz w:val="32"/>
        </w:rPr>
        <w:t>第三部分</w:t>
      </w:r>
      <w:r>
        <w:rPr>
          <w:rFonts w:hint="eastAsia" w:ascii="Calibri" w:hAnsi="Calibri" w:eastAsia="黑体"/>
          <w:kern w:val="32"/>
          <w:sz w:val="32"/>
        </w:rPr>
        <w:t>　</w:t>
      </w:r>
      <w:r>
        <w:rPr>
          <w:rFonts w:ascii="Calibri" w:hAnsi="Calibri" w:eastAsia="黑体"/>
          <w:kern w:val="32"/>
          <w:sz w:val="32"/>
        </w:rPr>
        <w:t>资格证明文件</w:t>
      </w:r>
    </w:p>
    <w:p>
      <w:pPr>
        <w:keepNext/>
        <w:spacing w:before="120" w:after="60"/>
        <w:outlineLvl w:val="2"/>
        <w:rPr>
          <w:rFonts w:ascii="Calibri" w:hAnsi="Calibri" w:eastAsia="黑体"/>
          <w:kern w:val="28"/>
          <w:sz w:val="28"/>
        </w:rPr>
      </w:pPr>
      <w:r>
        <w:rPr>
          <w:rFonts w:ascii="Calibri" w:hAnsi="Calibri" w:eastAsia="黑体"/>
          <w:kern w:val="28"/>
          <w:sz w:val="28"/>
        </w:rPr>
        <w:t>（一）基本资格条件</w:t>
      </w:r>
    </w:p>
    <w:p>
      <w:pPr>
        <w:keepNext/>
        <w:spacing w:before="120" w:after="60"/>
        <w:outlineLvl w:val="3"/>
        <w:rPr>
          <w:b/>
          <w:kern w:val="28"/>
        </w:rPr>
      </w:pPr>
      <w:r>
        <w:rPr>
          <w:b/>
          <w:kern w:val="28"/>
        </w:rPr>
        <w:t>1．有效的注册登记证明文件</w:t>
      </w:r>
    </w:p>
    <w:p>
      <w:pPr>
        <w:ind w:firstLine="480" w:firstLineChars="200"/>
        <w:jc w:val="both"/>
        <w:rPr>
          <w:rFonts w:cstheme="minorHAnsi"/>
          <w:color w:val="000000"/>
          <w:kern w:val="24"/>
        </w:rPr>
      </w:pPr>
    </w:p>
    <w:p>
      <w:pPr>
        <w:ind w:firstLine="480" w:firstLineChars="200"/>
        <w:jc w:val="both"/>
        <w:rPr>
          <w:rFonts w:cstheme="minorHAnsi"/>
          <w:color w:val="000000"/>
          <w:kern w:val="24"/>
        </w:rPr>
      </w:pPr>
    </w:p>
    <w:p>
      <w:pPr>
        <w:ind w:firstLine="480" w:firstLineChars="200"/>
        <w:jc w:val="both"/>
        <w:rPr>
          <w:rFonts w:cstheme="minorHAnsi"/>
          <w:color w:val="000000"/>
          <w:kern w:val="24"/>
        </w:rPr>
      </w:pPr>
    </w:p>
    <w:p>
      <w:pPr>
        <w:keepNext/>
        <w:spacing w:before="120" w:after="60"/>
        <w:outlineLvl w:val="3"/>
        <w:rPr>
          <w:b/>
          <w:kern w:val="28"/>
        </w:rPr>
      </w:pPr>
      <w:r>
        <w:rPr>
          <w:b/>
          <w:kern w:val="28"/>
        </w:rPr>
        <w:t>2．财务状况报告</w:t>
      </w:r>
    </w:p>
    <w:p>
      <w:pPr>
        <w:ind w:firstLine="480" w:firstLineChars="200"/>
        <w:jc w:val="both"/>
        <w:rPr>
          <w:rFonts w:cstheme="minorHAnsi"/>
          <w:i/>
          <w:color w:val="7030A0"/>
          <w:kern w:val="24"/>
        </w:rPr>
      </w:pPr>
      <w:r>
        <w:rPr>
          <w:rFonts w:cstheme="minorHAnsi"/>
          <w:i/>
          <w:color w:val="7030A0"/>
          <w:kern w:val="24"/>
        </w:rPr>
        <w:t>说明：两种形式任选一种，其中采用第二种形式的</w:t>
      </w:r>
      <w:r>
        <w:rPr>
          <w:rFonts w:hint="eastAsia" w:cstheme="minorHAnsi"/>
          <w:i/>
          <w:color w:val="7030A0"/>
          <w:kern w:val="24"/>
        </w:rPr>
        <w:t>供应商</w:t>
      </w:r>
      <w:r>
        <w:rPr>
          <w:rFonts w:cstheme="minorHAnsi"/>
          <w:i/>
          <w:color w:val="7030A0"/>
          <w:kern w:val="24"/>
        </w:rPr>
        <w:t>须按下方给定格式</w:t>
      </w:r>
      <w:r>
        <w:rPr>
          <w:rFonts w:hint="eastAsia" w:cstheme="minorHAnsi"/>
          <w:i/>
          <w:color w:val="7030A0"/>
          <w:kern w:val="24"/>
        </w:rPr>
        <w:t>自行</w:t>
      </w:r>
      <w:r>
        <w:rPr>
          <w:rFonts w:cstheme="minorHAnsi"/>
          <w:i/>
          <w:color w:val="7030A0"/>
          <w:kern w:val="24"/>
        </w:rPr>
        <w:t>填写基本存款账户信息。</w:t>
      </w:r>
    </w:p>
    <w:p>
      <w:pPr>
        <w:spacing w:before="230" w:beforeLines="50"/>
        <w:jc w:val="center"/>
        <w:rPr>
          <w:rFonts w:cs="Calibri Light"/>
          <w:b/>
          <w:color w:val="1F4E79"/>
          <w:sz w:val="28"/>
        </w:rPr>
      </w:pPr>
      <w:r>
        <w:rPr>
          <w:rFonts w:cs="Calibri Light"/>
          <w:b/>
          <w:color w:val="1F4E79"/>
          <w:sz w:val="28"/>
        </w:rPr>
        <w:t>『基本存款账户信息』</w:t>
      </w:r>
    </w:p>
    <w:p>
      <w:pPr>
        <w:ind w:firstLine="480" w:firstLineChars="200"/>
        <w:jc w:val="both"/>
        <w:rPr>
          <w:rFonts w:cstheme="minorHAnsi"/>
          <w:color w:val="000000"/>
          <w:kern w:val="24"/>
        </w:rPr>
      </w:pPr>
      <w:r>
        <w:rPr>
          <w:rFonts w:cstheme="minorHAnsi"/>
          <w:color w:val="000000"/>
          <w:kern w:val="24"/>
        </w:rPr>
        <w:t>账户名称：</w:t>
      </w:r>
    </w:p>
    <w:p>
      <w:pPr>
        <w:ind w:firstLine="480" w:firstLineChars="200"/>
        <w:jc w:val="both"/>
        <w:rPr>
          <w:rFonts w:cstheme="minorHAnsi"/>
          <w:color w:val="000000"/>
          <w:kern w:val="24"/>
        </w:rPr>
      </w:pPr>
      <w:r>
        <w:rPr>
          <w:rFonts w:cstheme="minorHAnsi"/>
          <w:color w:val="000000"/>
          <w:kern w:val="24"/>
        </w:rPr>
        <w:t>账户号码：</w:t>
      </w:r>
    </w:p>
    <w:p>
      <w:pPr>
        <w:ind w:firstLine="480" w:firstLineChars="200"/>
        <w:jc w:val="both"/>
        <w:rPr>
          <w:rFonts w:cstheme="minorHAnsi"/>
          <w:color w:val="000000"/>
          <w:kern w:val="24"/>
        </w:rPr>
      </w:pPr>
      <w:r>
        <w:rPr>
          <w:rFonts w:cstheme="minorHAnsi"/>
          <w:color w:val="000000"/>
          <w:kern w:val="24"/>
        </w:rPr>
        <w:t>开户银行：</w:t>
      </w:r>
    </w:p>
    <w:p>
      <w:pPr>
        <w:ind w:firstLine="480" w:firstLineChars="200"/>
        <w:jc w:val="both"/>
        <w:rPr>
          <w:rFonts w:cstheme="minorHAnsi"/>
          <w:color w:val="000000"/>
          <w:kern w:val="24"/>
        </w:rPr>
      </w:pPr>
      <w:r>
        <w:rPr>
          <w:rFonts w:cstheme="minorHAnsi"/>
          <w:color w:val="000000"/>
          <w:kern w:val="24"/>
        </w:rPr>
        <w:t>法定代表人</w:t>
      </w:r>
      <w:r>
        <w:rPr>
          <w:rFonts w:hint="eastAsia" w:cstheme="minorHAnsi"/>
          <w:color w:val="000000"/>
          <w:kern w:val="24"/>
        </w:rPr>
        <w:t>（或</w:t>
      </w:r>
      <w:r>
        <w:rPr>
          <w:rFonts w:cstheme="minorHAnsi"/>
          <w:color w:val="000000"/>
          <w:kern w:val="24"/>
        </w:rPr>
        <w:t>负责人</w:t>
      </w:r>
      <w:r>
        <w:rPr>
          <w:rFonts w:hint="eastAsia" w:cstheme="minorHAnsi"/>
          <w:color w:val="000000"/>
          <w:kern w:val="24"/>
        </w:rPr>
        <w:t>）</w:t>
      </w:r>
      <w:r>
        <w:rPr>
          <w:rFonts w:cstheme="minorHAnsi"/>
          <w:color w:val="000000"/>
          <w:kern w:val="24"/>
        </w:rPr>
        <w:t>：（</w:t>
      </w:r>
      <w:r>
        <w:rPr>
          <w:rFonts w:cstheme="minorHAnsi"/>
          <w:i/>
          <w:color w:val="7030A0"/>
          <w:kern w:val="24"/>
        </w:rPr>
        <w:t>签字或盖章</w:t>
      </w:r>
      <w:r>
        <w:rPr>
          <w:rFonts w:cstheme="minorHAnsi"/>
          <w:color w:val="000000"/>
          <w:kern w:val="24"/>
        </w:rPr>
        <w:t>）</w:t>
      </w:r>
    </w:p>
    <w:p>
      <w:pPr>
        <w:ind w:firstLine="480" w:firstLineChars="200"/>
        <w:jc w:val="both"/>
        <w:rPr>
          <w:rFonts w:cstheme="minorHAnsi"/>
          <w:color w:val="000000"/>
          <w:kern w:val="24"/>
        </w:rPr>
      </w:pPr>
      <w:r>
        <w:rPr>
          <w:rFonts w:cstheme="minorHAnsi"/>
          <w:color w:val="000000"/>
          <w:kern w:val="24"/>
        </w:rPr>
        <w:t>基本存款账户编号：（</w:t>
      </w:r>
      <w:r>
        <w:rPr>
          <w:rFonts w:cstheme="minorHAnsi"/>
          <w:i/>
          <w:color w:val="7030A0"/>
          <w:kern w:val="24"/>
        </w:rPr>
        <w:t>请向开户银行进行询问</w:t>
      </w:r>
      <w:r>
        <w:rPr>
          <w:rFonts w:cstheme="minorHAnsi"/>
          <w:color w:val="000000"/>
          <w:kern w:val="24"/>
        </w:rPr>
        <w:t>）</w:t>
      </w:r>
    </w:p>
    <w:p>
      <w:pPr>
        <w:ind w:firstLine="480" w:firstLineChars="200"/>
        <w:jc w:val="both"/>
        <w:rPr>
          <w:rFonts w:cstheme="minorHAnsi"/>
          <w:color w:val="000000"/>
          <w:kern w:val="24"/>
        </w:rPr>
      </w:pPr>
      <w:r>
        <w:rPr>
          <w:rFonts w:cstheme="minorHAnsi"/>
          <w:color w:val="000000"/>
          <w:kern w:val="24"/>
        </w:rPr>
        <w:t>供应商：（</w:t>
      </w:r>
      <w:r>
        <w:rPr>
          <w:rFonts w:cstheme="minorHAnsi"/>
          <w:i/>
          <w:color w:val="7030A0"/>
          <w:kern w:val="24"/>
        </w:rPr>
        <w:t>供应商全称并加盖公章</w:t>
      </w:r>
      <w:r>
        <w:rPr>
          <w:rFonts w:cstheme="minorHAnsi"/>
          <w:color w:val="000000"/>
          <w:kern w:val="24"/>
        </w:rPr>
        <w:t>）</w:t>
      </w:r>
    </w:p>
    <w:p>
      <w:pPr>
        <w:ind w:firstLine="480" w:firstLineChars="200"/>
        <w:jc w:val="both"/>
        <w:rPr>
          <w:rFonts w:cstheme="minorHAnsi"/>
          <w:color w:val="000000"/>
          <w:kern w:val="24"/>
        </w:rPr>
      </w:pPr>
      <w:r>
        <w:rPr>
          <w:rFonts w:cstheme="minorHAnsi"/>
          <w:color w:val="000000"/>
          <w:kern w:val="24"/>
        </w:rPr>
        <w:t>日期：　　年　月　日</w:t>
      </w:r>
    </w:p>
    <w:p>
      <w:pPr>
        <w:ind w:firstLine="480" w:firstLineChars="200"/>
        <w:jc w:val="both"/>
        <w:rPr>
          <w:rFonts w:cstheme="minorHAnsi"/>
          <w:color w:val="000000"/>
          <w:kern w:val="24"/>
        </w:rPr>
      </w:pPr>
    </w:p>
    <w:p>
      <w:pPr>
        <w:ind w:firstLine="480" w:firstLineChars="200"/>
        <w:jc w:val="both"/>
        <w:rPr>
          <w:rFonts w:cstheme="minorHAnsi"/>
          <w:color w:val="000000"/>
          <w:kern w:val="24"/>
        </w:rPr>
      </w:pPr>
    </w:p>
    <w:p>
      <w:pPr>
        <w:keepNext/>
        <w:spacing w:before="120" w:after="60"/>
        <w:outlineLvl w:val="3"/>
        <w:rPr>
          <w:b/>
          <w:kern w:val="28"/>
        </w:rPr>
      </w:pPr>
      <w:r>
        <w:rPr>
          <w:b/>
          <w:kern w:val="28"/>
        </w:rPr>
        <w:t>3．社会保障资金缴纳证明</w:t>
      </w:r>
    </w:p>
    <w:p>
      <w:pPr>
        <w:ind w:firstLine="480" w:firstLineChars="200"/>
        <w:jc w:val="both"/>
        <w:rPr>
          <w:rFonts w:cstheme="minorHAnsi"/>
          <w:color w:val="000000"/>
          <w:kern w:val="24"/>
        </w:rPr>
      </w:pPr>
    </w:p>
    <w:p>
      <w:pPr>
        <w:ind w:firstLine="480" w:firstLineChars="200"/>
        <w:jc w:val="both"/>
        <w:rPr>
          <w:rFonts w:cstheme="minorHAnsi"/>
          <w:color w:val="000000"/>
          <w:kern w:val="24"/>
        </w:rPr>
      </w:pPr>
    </w:p>
    <w:p>
      <w:pPr>
        <w:ind w:firstLine="480" w:firstLineChars="200"/>
        <w:jc w:val="both"/>
        <w:rPr>
          <w:rFonts w:cstheme="minorHAnsi"/>
          <w:color w:val="000000"/>
          <w:kern w:val="24"/>
        </w:rPr>
      </w:pPr>
    </w:p>
    <w:p>
      <w:pPr>
        <w:keepNext/>
        <w:spacing w:before="120" w:after="60"/>
        <w:outlineLvl w:val="3"/>
        <w:rPr>
          <w:b/>
          <w:kern w:val="28"/>
        </w:rPr>
      </w:pPr>
      <w:r>
        <w:rPr>
          <w:b/>
          <w:kern w:val="28"/>
        </w:rPr>
        <w:t>4．税收缴纳证明</w:t>
      </w:r>
    </w:p>
    <w:p>
      <w:pPr>
        <w:ind w:firstLine="480" w:firstLineChars="200"/>
        <w:jc w:val="both"/>
        <w:rPr>
          <w:rFonts w:cstheme="minorHAnsi"/>
          <w:color w:val="000000"/>
          <w:kern w:val="24"/>
        </w:rPr>
      </w:pPr>
    </w:p>
    <w:p>
      <w:pPr>
        <w:ind w:firstLine="480" w:firstLineChars="200"/>
        <w:jc w:val="both"/>
        <w:rPr>
          <w:rFonts w:cstheme="minorHAnsi"/>
          <w:color w:val="000000"/>
          <w:kern w:val="24"/>
        </w:rPr>
      </w:pPr>
    </w:p>
    <w:p>
      <w:pPr>
        <w:keepNext/>
        <w:spacing w:before="120" w:after="60"/>
        <w:outlineLvl w:val="3"/>
        <w:rPr>
          <w:b/>
          <w:kern w:val="28"/>
        </w:rPr>
      </w:pPr>
      <w:r>
        <w:rPr>
          <w:b/>
          <w:kern w:val="28"/>
        </w:rPr>
        <w:t>5．无重大违法记录声明</w:t>
      </w:r>
    </w:p>
    <w:p>
      <w:pPr>
        <w:ind w:firstLine="480" w:firstLineChars="200"/>
        <w:jc w:val="both"/>
        <w:rPr>
          <w:rFonts w:cstheme="minorHAnsi"/>
          <w:i/>
          <w:color w:val="7030A0"/>
          <w:kern w:val="24"/>
        </w:rPr>
      </w:pPr>
      <w:r>
        <w:rPr>
          <w:rFonts w:cstheme="minorHAnsi"/>
          <w:i/>
          <w:color w:val="7030A0"/>
          <w:kern w:val="24"/>
        </w:rPr>
        <w:t>说明：按下方给定格式进行填写</w:t>
      </w:r>
    </w:p>
    <w:p>
      <w:pPr>
        <w:ind w:firstLine="480" w:firstLineChars="200"/>
        <w:jc w:val="both"/>
        <w:rPr>
          <w:rFonts w:cstheme="minorHAnsi"/>
          <w:i/>
          <w:color w:val="7030A0"/>
          <w:kern w:val="24"/>
        </w:rPr>
      </w:pPr>
      <w:r>
        <w:rPr>
          <w:rFonts w:cstheme="minorHAnsi"/>
          <w:i/>
          <w:color w:val="7030A0"/>
          <w:kern w:val="24"/>
        </w:rPr>
        <w:t>（1）供应商可通过【信用中国】（www.creditchina.gov.cn）、【中国政府采购网】（www.ccgp.gov.cn）网站对自身信用记录进行自查。</w:t>
      </w:r>
    </w:p>
    <w:p>
      <w:pPr>
        <w:ind w:firstLine="480" w:firstLineChars="200"/>
        <w:jc w:val="both"/>
        <w:rPr>
          <w:rFonts w:cstheme="minorHAnsi"/>
          <w:i/>
          <w:color w:val="7030A0"/>
          <w:kern w:val="24"/>
        </w:rPr>
      </w:pPr>
      <w:r>
        <w:rPr>
          <w:rFonts w:cstheme="minorHAnsi"/>
          <w:i/>
          <w:color w:val="7030A0"/>
          <w:kern w:val="24"/>
        </w:rPr>
        <w:t>（2）供应商在参加政府采购活动前三年内因违法经营被禁止在一定期限内参加政府采购活动，期限届满的，可以参加政府采购活动，但应提供期限届满的证明材料。</w:t>
      </w:r>
    </w:p>
    <w:p>
      <w:pPr>
        <w:spacing w:before="230" w:beforeLines="50"/>
        <w:jc w:val="center"/>
        <w:rPr>
          <w:rFonts w:cs="Calibri Light"/>
          <w:b/>
          <w:color w:val="1F4E79"/>
          <w:sz w:val="28"/>
        </w:rPr>
      </w:pPr>
      <w:r>
        <w:rPr>
          <w:rFonts w:cs="Calibri Light"/>
          <w:b/>
          <w:color w:val="1F4E79"/>
          <w:sz w:val="28"/>
        </w:rPr>
        <w:t>『无重大违法记录声明』</w:t>
      </w:r>
    </w:p>
    <w:p>
      <w:pPr>
        <w:jc w:val="both"/>
        <w:rPr>
          <w:rFonts w:cstheme="minorHAnsi"/>
          <w:color w:val="000000"/>
          <w:kern w:val="24"/>
        </w:rPr>
      </w:pPr>
      <w:r>
        <w:rPr>
          <w:rFonts w:cstheme="minorHAnsi"/>
          <w:kern w:val="24"/>
        </w:rPr>
        <w:t>西安市市级单位政府采购中心</w:t>
      </w:r>
      <w:r>
        <w:rPr>
          <w:rFonts w:cstheme="minorHAnsi"/>
          <w:color w:val="000000"/>
          <w:kern w:val="24"/>
        </w:rPr>
        <w:t>：</w:t>
      </w:r>
    </w:p>
    <w:p>
      <w:pPr>
        <w:ind w:firstLine="480" w:firstLineChars="200"/>
        <w:jc w:val="both"/>
        <w:rPr>
          <w:rFonts w:cstheme="minorHAnsi"/>
          <w:color w:val="000000"/>
          <w:kern w:val="24"/>
        </w:rPr>
      </w:pPr>
      <w:r>
        <w:rPr>
          <w:rFonts w:cstheme="minorHAnsi"/>
          <w:color w:val="000000"/>
          <w:kern w:val="24"/>
        </w:rPr>
        <w:t>我方作为</w:t>
      </w:r>
      <w:r>
        <w:rPr>
          <w:rFonts w:cstheme="minorHAnsi"/>
          <w:color w:val="C00000"/>
        </w:rPr>
        <w:t>［</w:t>
      </w:r>
      <w:r>
        <w:rPr>
          <w:rFonts w:cstheme="minorHAnsi"/>
          <w:color w:val="C00000"/>
          <w:u w:val="single"/>
        </w:rPr>
        <w:t>项目名称</w:t>
      </w:r>
      <w:r>
        <w:rPr>
          <w:rFonts w:cstheme="minorHAnsi"/>
          <w:color w:val="C00000"/>
        </w:rPr>
        <w:t>］</w:t>
      </w:r>
      <w:r>
        <w:rPr>
          <w:rFonts w:cstheme="minorHAnsi"/>
          <w:color w:val="000000"/>
          <w:kern w:val="24"/>
        </w:rPr>
        <w:t>（项目编号：</w:t>
      </w:r>
      <w:r>
        <w:rPr>
          <w:rFonts w:hint="eastAsia" w:cstheme="minorHAnsi"/>
          <w:color w:val="C00000"/>
        </w:rPr>
        <w:t>［项目编号］</w:t>
      </w:r>
      <w:r>
        <w:rPr>
          <w:rFonts w:cstheme="minorHAnsi"/>
          <w:color w:val="000000"/>
          <w:kern w:val="24"/>
        </w:rPr>
        <w:t>）的投标供应商，在此郑重声明：</w:t>
      </w:r>
    </w:p>
    <w:p>
      <w:pPr>
        <w:ind w:firstLine="480" w:firstLineChars="200"/>
        <w:jc w:val="both"/>
        <w:rPr>
          <w:rFonts w:cstheme="minorHAnsi"/>
          <w:color w:val="000000"/>
          <w:kern w:val="24"/>
        </w:rPr>
      </w:pPr>
      <w:r>
        <w:rPr>
          <w:rFonts w:cstheme="minorHAnsi"/>
          <w:color w:val="000000"/>
          <w:kern w:val="24"/>
        </w:rPr>
        <w:t>1．在参加本次政府采购活动前3年内的经营活动中</w:t>
      </w:r>
      <w:r>
        <w:rPr>
          <w:rFonts w:cstheme="minorHAnsi"/>
          <w:color w:val="C00000"/>
          <w:kern w:val="24"/>
        </w:rPr>
        <w:t>［___］</w:t>
      </w:r>
      <w:r>
        <w:rPr>
          <w:rFonts w:cstheme="minorHAnsi"/>
          <w:color w:val="000000"/>
          <w:kern w:val="24"/>
        </w:rPr>
        <w:t>（填“没有”或“有”）重大违法记录。</w:t>
      </w:r>
    </w:p>
    <w:p>
      <w:pPr>
        <w:ind w:firstLine="480" w:firstLineChars="200"/>
        <w:jc w:val="both"/>
        <w:rPr>
          <w:rFonts w:cstheme="minorHAnsi"/>
          <w:color w:val="000000"/>
          <w:kern w:val="24"/>
        </w:rPr>
      </w:pPr>
      <w:r>
        <w:rPr>
          <w:rFonts w:cstheme="minorHAnsi"/>
          <w:color w:val="000000"/>
          <w:kern w:val="24"/>
        </w:rPr>
        <w:t>2．我方</w:t>
      </w:r>
      <w:r>
        <w:rPr>
          <w:rFonts w:cstheme="minorHAnsi"/>
          <w:color w:val="C00000"/>
          <w:kern w:val="24"/>
        </w:rPr>
        <w:t>［___］</w:t>
      </w:r>
      <w:r>
        <w:rPr>
          <w:rFonts w:cstheme="minorHAnsi"/>
          <w:color w:val="000000"/>
          <w:kern w:val="24"/>
        </w:rPr>
        <w:t>（填“未被列入”或“被列入”）失信被执行人名单。</w:t>
      </w:r>
    </w:p>
    <w:p>
      <w:pPr>
        <w:ind w:firstLine="480" w:firstLineChars="200"/>
        <w:jc w:val="both"/>
        <w:rPr>
          <w:rFonts w:cstheme="minorHAnsi"/>
          <w:color w:val="000000"/>
          <w:kern w:val="24"/>
        </w:rPr>
      </w:pPr>
      <w:r>
        <w:rPr>
          <w:rFonts w:cstheme="minorHAnsi"/>
          <w:color w:val="000000"/>
          <w:kern w:val="24"/>
        </w:rPr>
        <w:t>3．我方</w:t>
      </w:r>
      <w:r>
        <w:rPr>
          <w:rFonts w:cstheme="minorHAnsi"/>
          <w:color w:val="C00000"/>
          <w:kern w:val="24"/>
        </w:rPr>
        <w:t>［___］</w:t>
      </w:r>
      <w:r>
        <w:rPr>
          <w:rFonts w:cstheme="minorHAnsi"/>
          <w:color w:val="000000"/>
          <w:kern w:val="24"/>
        </w:rPr>
        <w:t>（填“未被列入”或“被列入”）重大税收违法案件当事人名单。</w:t>
      </w:r>
    </w:p>
    <w:p>
      <w:pPr>
        <w:ind w:firstLine="480" w:firstLineChars="200"/>
        <w:jc w:val="both"/>
        <w:rPr>
          <w:rFonts w:cstheme="minorHAnsi"/>
          <w:color w:val="000000"/>
          <w:kern w:val="24"/>
        </w:rPr>
      </w:pPr>
      <w:r>
        <w:rPr>
          <w:rFonts w:cstheme="minorHAnsi"/>
          <w:color w:val="000000"/>
          <w:kern w:val="24"/>
        </w:rPr>
        <w:t>4．我方</w:t>
      </w:r>
      <w:r>
        <w:rPr>
          <w:rFonts w:cstheme="minorHAnsi"/>
          <w:color w:val="C00000"/>
          <w:kern w:val="24"/>
        </w:rPr>
        <w:t>［___］</w:t>
      </w:r>
      <w:r>
        <w:rPr>
          <w:rFonts w:cstheme="minorHAnsi"/>
          <w:color w:val="000000"/>
          <w:kern w:val="24"/>
        </w:rPr>
        <w:t>（填“未被列入”或“被列入”）政府采购严重违法失信行为记录名单。</w:t>
      </w:r>
    </w:p>
    <w:p>
      <w:pPr>
        <w:ind w:firstLine="480" w:firstLineChars="200"/>
        <w:jc w:val="both"/>
        <w:rPr>
          <w:rFonts w:cstheme="minorHAnsi"/>
          <w:color w:val="000000"/>
          <w:kern w:val="24"/>
        </w:rPr>
      </w:pPr>
      <w:r>
        <w:rPr>
          <w:rFonts w:cstheme="minorHAnsi"/>
          <w:color w:val="000000"/>
          <w:kern w:val="24"/>
        </w:rPr>
        <w:t>如有不实，我方将无条件地退出本项目的采购活动，并遵照《政府采购法》有关“提供虚假材料的规定”接受处罚。</w:t>
      </w:r>
    </w:p>
    <w:p>
      <w:pPr>
        <w:ind w:firstLine="480" w:firstLineChars="200"/>
        <w:jc w:val="both"/>
        <w:rPr>
          <w:rFonts w:cstheme="minorHAnsi"/>
          <w:color w:val="000000"/>
          <w:kern w:val="24"/>
        </w:rPr>
      </w:pPr>
      <w:r>
        <w:rPr>
          <w:rFonts w:cstheme="minorHAnsi"/>
          <w:color w:val="000000"/>
          <w:kern w:val="24"/>
        </w:rPr>
        <w:t>特此声明。</w:t>
      </w:r>
    </w:p>
    <w:p>
      <w:pPr>
        <w:tabs>
          <w:tab w:val="center" w:pos="5812"/>
        </w:tabs>
        <w:jc w:val="both"/>
        <w:rPr>
          <w:rFonts w:cstheme="minorHAnsi"/>
          <w:color w:val="000000"/>
          <w:kern w:val="24"/>
        </w:rPr>
      </w:pPr>
      <w:r>
        <w:rPr>
          <w:rFonts w:cstheme="minorHAnsi"/>
          <w:color w:val="000000"/>
          <w:kern w:val="24"/>
        </w:rPr>
        <w:tab/>
      </w:r>
      <w:r>
        <w:rPr>
          <w:rFonts w:cstheme="minorHAnsi"/>
          <w:color w:val="000000"/>
          <w:kern w:val="24"/>
        </w:rPr>
        <w:t>供应商：（</w:t>
      </w:r>
      <w:r>
        <w:rPr>
          <w:rFonts w:cstheme="minorHAnsi"/>
          <w:i/>
          <w:color w:val="7030A0"/>
          <w:kern w:val="24"/>
        </w:rPr>
        <w:t>供应商全称并加盖公章</w:t>
      </w:r>
      <w:r>
        <w:rPr>
          <w:rFonts w:cstheme="minorHAnsi"/>
          <w:color w:val="000000"/>
          <w:kern w:val="24"/>
        </w:rPr>
        <w:t>）</w:t>
      </w:r>
    </w:p>
    <w:p>
      <w:pPr>
        <w:tabs>
          <w:tab w:val="center" w:pos="5812"/>
        </w:tabs>
        <w:jc w:val="both"/>
        <w:rPr>
          <w:rFonts w:cstheme="minorHAnsi"/>
          <w:color w:val="000000"/>
          <w:kern w:val="24"/>
        </w:rPr>
      </w:pPr>
      <w:r>
        <w:rPr>
          <w:rFonts w:cstheme="minorHAnsi"/>
          <w:color w:val="000000"/>
          <w:kern w:val="24"/>
        </w:rPr>
        <w:tab/>
      </w:r>
      <w:r>
        <w:rPr>
          <w:rFonts w:cstheme="minorHAnsi"/>
          <w:color w:val="000000"/>
          <w:kern w:val="24"/>
        </w:rPr>
        <w:t>日　期：　　年　月　日</w:t>
      </w:r>
    </w:p>
    <w:p>
      <w:pPr>
        <w:tabs>
          <w:tab w:val="center" w:pos="6663"/>
        </w:tabs>
        <w:spacing w:line="400" w:lineRule="exact"/>
        <w:rPr>
          <w:rFonts w:cs="Calibri Light"/>
        </w:rPr>
      </w:pPr>
      <w:r>
        <w:rPr>
          <w:rFonts w:cs="Calibri Light"/>
        </w:rPr>
        <w:br w:type="page"/>
      </w:r>
    </w:p>
    <w:p>
      <w:pPr>
        <w:keepNext/>
        <w:spacing w:before="120" w:after="60"/>
        <w:outlineLvl w:val="3"/>
        <w:rPr>
          <w:b/>
          <w:kern w:val="28"/>
        </w:rPr>
      </w:pPr>
      <w:r>
        <w:rPr>
          <w:b/>
          <w:kern w:val="28"/>
        </w:rPr>
        <w:t>6．法定代表人（负责人）委托授权书\身份证明</w:t>
      </w:r>
    </w:p>
    <w:p>
      <w:pPr>
        <w:rPr>
          <w:rFonts w:ascii="黑体" w:hAnsi="黑体" w:cstheme="minorHAnsi"/>
          <w:i/>
          <w:color w:val="7030A0"/>
        </w:rPr>
      </w:pPr>
      <w:r>
        <w:rPr>
          <w:rFonts w:ascii="黑体" w:hAnsi="黑体" w:cstheme="minorHAnsi"/>
          <w:i/>
          <w:color w:val="7030A0"/>
        </w:rPr>
        <w:t>说明：</w:t>
      </w:r>
      <w:r>
        <w:rPr>
          <w:rFonts w:hint="eastAsia" w:ascii="黑体" w:hAnsi="黑体" w:cstheme="minorHAnsi"/>
          <w:i/>
          <w:color w:val="7030A0"/>
        </w:rPr>
        <w:t>按下方给定格式进行填写</w:t>
      </w:r>
    </w:p>
    <w:p>
      <w:pPr>
        <w:ind w:firstLine="480" w:firstLineChars="200"/>
        <w:rPr>
          <w:rFonts w:ascii="Calibri" w:hAnsi="华文仿宋"/>
          <w:i/>
          <w:color w:val="7030A0"/>
        </w:rPr>
      </w:pPr>
      <w:r>
        <w:rPr>
          <w:rFonts w:hint="eastAsia" w:ascii="Calibri" w:hAnsi="华文仿宋"/>
          <w:i/>
          <w:color w:val="7030A0"/>
        </w:rPr>
        <w:t>（1）法定代表人（负责人）包括：①企业法人的法定代表人；②个人独资企业的投资人；③分支机构的负责人；④合伙企业的执行事务合伙人（委派代表）；⑤个体工商户业主；⑥农民专业合作社的法定代表人。</w:t>
      </w:r>
    </w:p>
    <w:p>
      <w:pPr>
        <w:ind w:firstLine="480" w:firstLineChars="200"/>
        <w:rPr>
          <w:rFonts w:ascii="黑体" w:hAnsi="黑体" w:cstheme="minorHAnsi"/>
          <w:b/>
          <w:i/>
        </w:rPr>
      </w:pPr>
      <w:r>
        <w:rPr>
          <w:rFonts w:ascii="Calibri" w:hAnsi="华文仿宋"/>
          <w:i/>
          <w:color w:val="7030A0"/>
        </w:rPr>
        <w:t>（</w:t>
      </w:r>
      <w:r>
        <w:rPr>
          <w:rFonts w:hint="eastAsia" w:ascii="Calibri" w:hAnsi="华文仿宋"/>
          <w:i/>
          <w:color w:val="7030A0"/>
        </w:rPr>
        <w:t>2</w:t>
      </w:r>
      <w:r>
        <w:rPr>
          <w:rFonts w:ascii="Calibri" w:hAnsi="华文仿宋"/>
          <w:i/>
          <w:color w:val="7030A0"/>
        </w:rPr>
        <w:t>）</w:t>
      </w:r>
      <w:r>
        <w:rPr>
          <w:rFonts w:hint="eastAsia" w:ascii="Calibri" w:hAnsi="华文仿宋"/>
          <w:i/>
          <w:color w:val="7030A0"/>
        </w:rPr>
        <w:t>委托授权书\</w:t>
      </w:r>
      <w:r>
        <w:rPr>
          <w:rFonts w:ascii="Calibri" w:hAnsi="华文仿宋"/>
          <w:i/>
          <w:color w:val="7030A0"/>
        </w:rPr>
        <w:t>身份证明</w:t>
      </w:r>
      <w:r>
        <w:rPr>
          <w:rFonts w:hint="eastAsia" w:ascii="Calibri" w:hAnsi="华文仿宋"/>
          <w:i/>
          <w:color w:val="7030A0"/>
        </w:rPr>
        <w:t>（</w:t>
      </w:r>
      <w:r>
        <w:rPr>
          <w:rFonts w:ascii="Calibri" w:hAnsi="华文仿宋"/>
          <w:i/>
          <w:color w:val="7030A0"/>
        </w:rPr>
        <w:t>二选一</w:t>
      </w:r>
      <w:r>
        <w:rPr>
          <w:rFonts w:hint="eastAsia" w:ascii="Calibri" w:hAnsi="华文仿宋"/>
          <w:i/>
          <w:color w:val="7030A0"/>
        </w:rPr>
        <w:t>）</w:t>
      </w:r>
      <w:r>
        <w:rPr>
          <w:rFonts w:ascii="Calibri" w:hAnsi="华文仿宋"/>
          <w:i/>
          <w:color w:val="7030A0"/>
        </w:rPr>
        <w:t>：</w:t>
      </w:r>
      <w:r>
        <w:rPr>
          <w:rFonts w:hint="eastAsia" w:ascii="Calibri" w:hAnsi="华文仿宋"/>
          <w:i/>
          <w:color w:val="7030A0"/>
        </w:rPr>
        <w:t>法定代表人（负责人）委托代理人参加投标时，仅须提供法定代表人（负责人）委托授权书；法定代表人（负责人）亲自参加投标时，仅须提供法定代表人（负责人）身份证明。</w:t>
      </w:r>
    </w:p>
    <w:p>
      <w:pPr>
        <w:spacing w:before="230" w:beforeLines="50"/>
        <w:jc w:val="center"/>
        <w:rPr>
          <w:rFonts w:cs="Calibri Light"/>
          <w:b/>
          <w:color w:val="1F4E79"/>
          <w:sz w:val="28"/>
        </w:rPr>
      </w:pPr>
      <w:r>
        <w:rPr>
          <w:rFonts w:cs="Calibri Light"/>
          <w:b/>
          <w:color w:val="1F4E79"/>
          <w:sz w:val="28"/>
        </w:rPr>
        <w:t>『法定代表人（负责人）身份证明』（格式）</w:t>
      </w:r>
    </w:p>
    <w:p>
      <w:r>
        <w:t>西安市市级单位政府采购中心</w:t>
      </w:r>
      <w:r>
        <w:rPr>
          <w:rFonts w:cstheme="minorHAnsi"/>
          <w:color w:val="000000"/>
        </w:rPr>
        <w:t>：</w:t>
      </w:r>
    </w:p>
    <w:p>
      <w:pPr>
        <w:spacing w:after="230" w:afterLines="50"/>
        <w:ind w:firstLine="480" w:firstLineChars="200"/>
      </w:pPr>
      <w:r>
        <w:rPr>
          <w:rFonts w:cstheme="minorHAnsi"/>
          <w:color w:val="C00000"/>
        </w:rPr>
        <w:t>［</w:t>
      </w:r>
      <w:r>
        <w:rPr>
          <w:rFonts w:cstheme="minorHAnsi"/>
          <w:color w:val="C00000"/>
          <w:u w:val="single"/>
        </w:rPr>
        <w:t>法定代表人（负责人）姓名</w:t>
      </w:r>
      <w:r>
        <w:rPr>
          <w:rFonts w:cstheme="minorHAnsi"/>
          <w:color w:val="C00000"/>
        </w:rPr>
        <w:t>］</w:t>
      </w:r>
      <w:r>
        <w:t>系</w:t>
      </w:r>
      <w:r>
        <w:rPr>
          <w:rFonts w:cstheme="minorHAnsi"/>
          <w:color w:val="C00000"/>
        </w:rPr>
        <w:t>［</w:t>
      </w:r>
      <w:r>
        <w:rPr>
          <w:rFonts w:cstheme="minorHAnsi"/>
          <w:color w:val="C00000"/>
          <w:u w:val="single"/>
        </w:rPr>
        <w:t>供应商全称</w:t>
      </w:r>
      <w:r>
        <w:rPr>
          <w:rFonts w:cstheme="minorHAnsi"/>
          <w:color w:val="C00000"/>
        </w:rPr>
        <w:t>］</w:t>
      </w:r>
      <w:r>
        <w:t>的法定代表人（负责人），特此证明。</w:t>
      </w:r>
    </w:p>
    <w:tbl>
      <w:tblPr>
        <w:tblStyle w:val="26"/>
        <w:tblW w:w="9057" w:type="dxa"/>
        <w:jc w:val="center"/>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Layout w:type="autofit"/>
        <w:tblCellMar>
          <w:top w:w="0" w:type="dxa"/>
          <w:left w:w="108" w:type="dxa"/>
          <w:bottom w:w="0" w:type="dxa"/>
          <w:right w:w="108" w:type="dxa"/>
        </w:tblCellMar>
      </w:tblPr>
      <w:tblGrid>
        <w:gridCol w:w="9057"/>
      </w:tblGrid>
      <w:tr>
        <w:tblPrEx>
          <w:tblBorders>
            <w:top w:val="single" w:color="auto" w:sz="12" w:space="0"/>
            <w:left w:val="single" w:color="auto" w:sz="12" w:space="0"/>
            <w:bottom w:val="single" w:color="auto" w:sz="12" w:space="0"/>
            <w:right w:val="single" w:color="auto" w:sz="12" w:space="0"/>
            <w:insideH w:val="none" w:color="auto" w:sz="0" w:space="0"/>
            <w:insideV w:val="none" w:color="auto" w:sz="0" w:space="0"/>
          </w:tblBorders>
          <w:tblCellMar>
            <w:top w:w="0" w:type="dxa"/>
            <w:left w:w="108" w:type="dxa"/>
            <w:bottom w:w="0" w:type="dxa"/>
            <w:right w:w="108" w:type="dxa"/>
          </w:tblCellMar>
        </w:tblPrEx>
        <w:trPr>
          <w:trHeight w:val="4077" w:hRule="atLeast"/>
          <w:jc w:val="center"/>
        </w:trPr>
        <w:tc>
          <w:tcPr>
            <w:tcW w:w="9057" w:type="dxa"/>
            <w:vAlign w:val="center"/>
          </w:tcPr>
          <w:p>
            <w:pPr>
              <w:spacing w:after="690" w:afterLines="150"/>
              <w:ind w:firstLine="15" w:firstLineChars="3"/>
              <w:jc w:val="center"/>
              <w:rPr>
                <w:rFonts w:ascii="黑体" w:hAnsi="黑体" w:eastAsia="黑体" w:cstheme="minorHAnsi"/>
                <w:color w:val="A6A6A6" w:themeColor="background1" w:themeShade="A6"/>
              </w:rPr>
            </w:pPr>
            <w:r>
              <w:rPr>
                <w:rFonts w:ascii="黑体" w:hAnsi="黑体" w:eastAsia="黑体" w:cstheme="minorHAnsi"/>
                <w:color w:val="A6A6A6" w:themeColor="background1" w:themeShade="A6"/>
                <w:sz w:val="52"/>
              </w:rPr>
              <w:t>法定代表人（负责人）</w:t>
            </w:r>
          </w:p>
          <w:p>
            <w:pPr>
              <w:ind w:firstLine="7" w:firstLineChars="3"/>
              <w:jc w:val="center"/>
              <w:rPr>
                <w:rFonts w:cstheme="minorHAnsi"/>
                <w:color w:val="000000"/>
              </w:rPr>
            </w:pPr>
            <w:r>
              <w:rPr>
                <w:rFonts w:cstheme="minorHAnsi"/>
                <w:color w:val="000000"/>
              </w:rPr>
              <w:t>身份证正反面（扫描件）</w:t>
            </w:r>
          </w:p>
          <w:p>
            <w:pPr>
              <w:ind w:firstLine="7" w:firstLineChars="3"/>
              <w:jc w:val="center"/>
              <w:rPr>
                <w:rFonts w:cstheme="minorHAnsi"/>
                <w:color w:val="000000"/>
              </w:rPr>
            </w:pPr>
            <w:r>
              <w:rPr>
                <w:rFonts w:cstheme="minorHAnsi"/>
                <w:color w:val="000000"/>
              </w:rPr>
              <w:t>或护照资料页（扫描件）</w:t>
            </w:r>
          </w:p>
        </w:tc>
      </w:tr>
    </w:tbl>
    <w:p>
      <w:pPr>
        <w:ind w:firstLine="480" w:firstLineChars="200"/>
        <w:rPr>
          <w:rFonts w:eastAsiaTheme="majorEastAsia" w:cstheme="minorHAnsi"/>
          <w:color w:val="000000"/>
        </w:rPr>
      </w:pPr>
      <w:r>
        <w:rPr>
          <w:rFonts w:eastAsiaTheme="majorEastAsia" w:cstheme="minorHAnsi"/>
          <w:color w:val="000000"/>
        </w:rPr>
        <w:t>供应商：（</w:t>
      </w:r>
      <w:r>
        <w:rPr>
          <w:rFonts w:eastAsiaTheme="majorEastAsia" w:cstheme="minorHAnsi"/>
          <w:i/>
          <w:color w:val="7030A0"/>
        </w:rPr>
        <w:t>供应商全称并加盖公章</w:t>
      </w:r>
      <w:r>
        <w:rPr>
          <w:rFonts w:eastAsiaTheme="majorEastAsia" w:cstheme="minorHAnsi"/>
          <w:color w:val="000000"/>
        </w:rPr>
        <w:t>）</w:t>
      </w:r>
    </w:p>
    <w:p>
      <w:pPr>
        <w:ind w:firstLine="480" w:firstLineChars="200"/>
        <w:rPr>
          <w:rFonts w:eastAsiaTheme="majorEastAsia" w:cstheme="minorHAnsi"/>
          <w:color w:val="000000"/>
        </w:rPr>
      </w:pPr>
      <w:r>
        <w:rPr>
          <w:rFonts w:eastAsiaTheme="majorEastAsia" w:cstheme="minorHAnsi"/>
          <w:color w:val="000000"/>
        </w:rPr>
        <w:t>日期：　　　年　月　日</w:t>
      </w:r>
    </w:p>
    <w:p>
      <w:pPr>
        <w:ind w:firstLine="480" w:firstLineChars="200"/>
        <w:rPr>
          <w:rFonts w:ascii="黑体" w:hAnsi="黑体" w:cstheme="minorHAnsi"/>
        </w:rPr>
      </w:pPr>
      <w:r>
        <w:rPr>
          <w:rFonts w:ascii="黑体" w:hAnsi="黑体" w:cstheme="minorHAnsi"/>
        </w:rPr>
        <w:br w:type="page"/>
      </w:r>
    </w:p>
    <w:p>
      <w:pPr>
        <w:spacing w:before="230" w:beforeLines="50"/>
        <w:jc w:val="center"/>
        <w:rPr>
          <w:rFonts w:cs="Calibri Light"/>
          <w:b/>
          <w:color w:val="1F4E79"/>
          <w:sz w:val="28"/>
          <w:szCs w:val="36"/>
        </w:rPr>
      </w:pPr>
      <w:r>
        <w:rPr>
          <w:rFonts w:cs="Calibri Light"/>
          <w:b/>
          <w:color w:val="1F4E79"/>
          <w:sz w:val="28"/>
          <w:szCs w:val="36"/>
        </w:rPr>
        <w:t>『法定代表人（负责人）委托授权书』（格式）</w:t>
      </w:r>
    </w:p>
    <w:p>
      <w:pPr>
        <w:jc w:val="both"/>
        <w:rPr>
          <w:rFonts w:ascii="Calibri" w:hAnsi="Calibri" w:eastAsia="宋体" w:cstheme="minorHAnsi"/>
          <w:color w:val="000000"/>
          <w:kern w:val="24"/>
        </w:rPr>
      </w:pPr>
      <w:r>
        <w:rPr>
          <w:rFonts w:hint="eastAsia" w:ascii="Calibri" w:hAnsi="Calibri" w:eastAsia="宋体" w:cstheme="minorHAnsi"/>
          <w:kern w:val="24"/>
        </w:rPr>
        <w:t>西安市市级单位政府采购中心</w:t>
      </w:r>
      <w:r>
        <w:rPr>
          <w:rFonts w:ascii="Calibri" w:hAnsi="Calibri" w:eastAsia="宋体" w:cstheme="minorHAnsi"/>
          <w:color w:val="000000"/>
          <w:kern w:val="24"/>
        </w:rPr>
        <w:t>：</w:t>
      </w:r>
    </w:p>
    <w:p>
      <w:pPr>
        <w:ind w:firstLine="480" w:firstLineChars="200"/>
        <w:jc w:val="both"/>
        <w:rPr>
          <w:rFonts w:cstheme="minorHAnsi"/>
          <w:color w:val="000000"/>
          <w:kern w:val="24"/>
        </w:rPr>
      </w:pPr>
      <w:r>
        <w:rPr>
          <w:rFonts w:cstheme="minorHAnsi"/>
          <w:color w:val="000000"/>
          <w:kern w:val="24"/>
        </w:rPr>
        <w:t>现委托</w:t>
      </w:r>
      <w:r>
        <w:rPr>
          <w:rFonts w:cstheme="minorHAnsi"/>
          <w:color w:val="C00000"/>
          <w:kern w:val="24"/>
        </w:rPr>
        <w:t>［授权代表</w:t>
      </w:r>
      <w:r>
        <w:rPr>
          <w:rFonts w:cstheme="minorHAnsi"/>
          <w:color w:val="C00000"/>
          <w:kern w:val="24"/>
          <w:u w:val="single"/>
        </w:rPr>
        <w:t>姓名</w:t>
      </w:r>
      <w:r>
        <w:rPr>
          <w:rFonts w:cstheme="minorHAnsi"/>
          <w:color w:val="C00000"/>
          <w:kern w:val="24"/>
        </w:rPr>
        <w:t>］</w:t>
      </w:r>
      <w:r>
        <w:rPr>
          <w:rFonts w:cstheme="minorHAnsi"/>
          <w:color w:val="000000"/>
          <w:kern w:val="24"/>
        </w:rPr>
        <w:t>代表我方参加贵中心组织的</w:t>
      </w:r>
      <w:r>
        <w:rPr>
          <w:rFonts w:cstheme="minorHAnsi"/>
          <w:color w:val="C00000"/>
        </w:rPr>
        <w:t>［</w:t>
      </w:r>
      <w:r>
        <w:rPr>
          <w:rFonts w:cstheme="minorHAnsi"/>
          <w:color w:val="C00000"/>
          <w:u w:val="single"/>
        </w:rPr>
        <w:t>项目名称</w:t>
      </w:r>
      <w:r>
        <w:rPr>
          <w:rFonts w:cstheme="minorHAnsi"/>
          <w:color w:val="C00000"/>
        </w:rPr>
        <w:t>］</w:t>
      </w:r>
      <w:r>
        <w:rPr>
          <w:rFonts w:cstheme="minorHAnsi"/>
          <w:color w:val="000000"/>
          <w:kern w:val="24"/>
        </w:rPr>
        <w:t>（项目编号：</w:t>
      </w:r>
      <w:r>
        <w:rPr>
          <w:rFonts w:hint="eastAsia" w:cstheme="minorHAnsi"/>
          <w:color w:val="C00000"/>
        </w:rPr>
        <w:t>［项目编号］）</w:t>
      </w:r>
      <w:r>
        <w:rPr>
          <w:rFonts w:cstheme="minorHAnsi"/>
        </w:rPr>
        <w:t>的</w:t>
      </w:r>
      <w:r>
        <w:rPr>
          <w:rFonts w:cstheme="minorHAnsi"/>
          <w:color w:val="000000"/>
          <w:kern w:val="24"/>
        </w:rPr>
        <w:t>政府采购活动，以我方名义签署、澄清、确认、递交、撤回、修改响应文件，签订合同和全权处理一切与之有关的事宜，其法律后果由我方承担。</w:t>
      </w:r>
    </w:p>
    <w:p>
      <w:pPr>
        <w:ind w:firstLine="480" w:firstLineChars="200"/>
        <w:jc w:val="both"/>
        <w:rPr>
          <w:rFonts w:ascii="Calibri" w:hAnsi="Calibri" w:eastAsia="宋体" w:cstheme="minorHAnsi"/>
          <w:color w:val="000000"/>
          <w:kern w:val="24"/>
        </w:rPr>
      </w:pPr>
      <w:r>
        <w:rPr>
          <w:rFonts w:cstheme="minorHAnsi"/>
          <w:color w:val="000000"/>
          <w:kern w:val="24"/>
        </w:rPr>
        <w:t>本授权有效期与响应文件有效期一致。授权代表无转委托权。</w:t>
      </w:r>
    </w:p>
    <w:p>
      <w:pPr>
        <w:tabs>
          <w:tab w:val="left" w:pos="5387"/>
        </w:tabs>
        <w:spacing w:before="230" w:beforeLines="50"/>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t>授权代表姓名：_________________________</w:t>
      </w:r>
      <w:r>
        <w:rPr>
          <w:rFonts w:ascii="Calibri" w:hAnsi="Calibri" w:eastAsia="宋体" w:cstheme="minorHAnsi"/>
          <w:color w:val="000000"/>
          <w:kern w:val="24"/>
        </w:rPr>
        <w:tab/>
      </w:r>
      <w:r>
        <w:rPr>
          <w:rFonts w:ascii="Calibri" w:hAnsi="Calibri" w:eastAsia="宋体" w:cstheme="minorHAnsi"/>
          <w:color w:val="000000"/>
          <w:kern w:val="24"/>
        </w:rPr>
        <w:t>联系电话：______________</w:t>
      </w:r>
    </w:p>
    <w:p>
      <w:pPr>
        <w:tabs>
          <w:tab w:val="left" w:pos="5387"/>
        </w:tabs>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t>身份证</w:t>
      </w:r>
      <w:r>
        <w:rPr>
          <w:rFonts w:hint="eastAsia" w:ascii="Calibri" w:hAnsi="Calibri" w:eastAsia="宋体" w:cstheme="minorHAnsi"/>
          <w:color w:val="000000"/>
          <w:kern w:val="24"/>
        </w:rPr>
        <w:t>（护照）</w:t>
      </w:r>
      <w:r>
        <w:rPr>
          <w:rFonts w:ascii="Calibri" w:hAnsi="Calibri" w:eastAsia="宋体" w:cstheme="minorHAnsi"/>
          <w:color w:val="000000"/>
          <w:kern w:val="24"/>
        </w:rPr>
        <w:t>号码：_________________</w:t>
      </w:r>
      <w:r>
        <w:rPr>
          <w:rFonts w:ascii="Calibri" w:hAnsi="Calibri" w:eastAsia="宋体" w:cstheme="minorHAnsi"/>
          <w:color w:val="000000"/>
          <w:kern w:val="24"/>
        </w:rPr>
        <w:tab/>
      </w:r>
      <w:r>
        <w:rPr>
          <w:rFonts w:ascii="Calibri" w:hAnsi="Calibri" w:eastAsia="宋体" w:cstheme="minorHAnsi"/>
          <w:color w:val="000000"/>
          <w:kern w:val="24"/>
        </w:rPr>
        <w:t>职务：__________________</w:t>
      </w:r>
    </w:p>
    <w:p>
      <w:pPr>
        <w:tabs>
          <w:tab w:val="left" w:pos="4395"/>
        </w:tabs>
        <w:spacing w:after="230" w:afterLines="50"/>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t>通讯地址：_______________________________________________________</w:t>
      </w:r>
    </w:p>
    <w:tbl>
      <w:tblPr>
        <w:tblStyle w:val="26"/>
        <w:tblW w:w="96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717"/>
        <w:gridCol w:w="236"/>
        <w:gridCol w:w="468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36" w:hRule="atLeast"/>
          <w:jc w:val="center"/>
        </w:trPr>
        <w:tc>
          <w:tcPr>
            <w:tcW w:w="4717" w:type="dxa"/>
            <w:tcBorders>
              <w:top w:val="single" w:color="auto" w:sz="12" w:space="0"/>
              <w:left w:val="single" w:color="auto" w:sz="12" w:space="0"/>
              <w:bottom w:val="dashSmallGap" w:color="auto" w:sz="4" w:space="0"/>
              <w:right w:val="single" w:color="auto" w:sz="12" w:space="0"/>
            </w:tcBorders>
            <w:vAlign w:val="bottom"/>
          </w:tcPr>
          <w:p>
            <w:pPr>
              <w:spacing w:after="690" w:afterLines="150"/>
              <w:ind w:firstLine="10" w:firstLineChars="3"/>
              <w:jc w:val="center"/>
              <w:rPr>
                <w:rFonts w:ascii="黑体" w:hAnsi="黑体" w:eastAsia="黑体" w:cstheme="minorHAnsi"/>
                <w:color w:val="A6A6A6" w:themeColor="background1" w:themeShade="A6"/>
                <w:sz w:val="12"/>
              </w:rPr>
            </w:pPr>
            <w:r>
              <w:rPr>
                <w:rFonts w:ascii="黑体" w:hAnsi="黑体" w:eastAsia="黑体" w:cstheme="minorHAnsi"/>
                <w:color w:val="A6A6A6" w:themeColor="background1" w:themeShade="A6"/>
                <w:sz w:val="36"/>
              </w:rPr>
              <w:t>法定代表人（负责人）</w:t>
            </w:r>
          </w:p>
          <w:p>
            <w:pPr>
              <w:ind w:firstLine="7" w:firstLineChars="3"/>
              <w:jc w:val="center"/>
              <w:rPr>
                <w:rFonts w:cstheme="minorHAnsi"/>
                <w:color w:val="000000"/>
              </w:rPr>
            </w:pPr>
            <w:r>
              <w:rPr>
                <w:rFonts w:cstheme="minorHAnsi"/>
                <w:color w:val="000000"/>
              </w:rPr>
              <w:t>身份证正反面（扫描件）</w:t>
            </w:r>
          </w:p>
        </w:tc>
        <w:tc>
          <w:tcPr>
            <w:tcW w:w="236" w:type="dxa"/>
            <w:tcBorders>
              <w:top w:val="nil"/>
              <w:left w:val="single" w:color="auto" w:sz="12" w:space="0"/>
              <w:bottom w:val="nil"/>
              <w:right w:val="single" w:color="auto" w:sz="12" w:space="0"/>
            </w:tcBorders>
          </w:tcPr>
          <w:p>
            <w:pPr>
              <w:jc w:val="center"/>
              <w:rPr>
                <w:rFonts w:cstheme="minorHAnsi"/>
                <w:color w:val="000000"/>
              </w:rPr>
            </w:pPr>
          </w:p>
        </w:tc>
        <w:tc>
          <w:tcPr>
            <w:tcW w:w="4686" w:type="dxa"/>
            <w:tcBorders>
              <w:top w:val="single" w:color="auto" w:sz="12" w:space="0"/>
              <w:left w:val="single" w:color="auto" w:sz="12" w:space="0"/>
              <w:bottom w:val="dashSmallGap" w:color="auto" w:sz="4" w:space="0"/>
              <w:right w:val="single" w:color="auto" w:sz="12" w:space="0"/>
            </w:tcBorders>
            <w:vAlign w:val="bottom"/>
          </w:tcPr>
          <w:p>
            <w:pPr>
              <w:spacing w:after="690" w:afterLines="150"/>
              <w:ind w:firstLine="10" w:firstLineChars="3"/>
              <w:jc w:val="center"/>
              <w:rPr>
                <w:rFonts w:ascii="黑体" w:hAnsi="黑体" w:eastAsia="黑体" w:cstheme="minorHAnsi"/>
                <w:color w:val="A6A6A6" w:themeColor="background1" w:themeShade="A6"/>
                <w:sz w:val="36"/>
                <w:szCs w:val="44"/>
              </w:rPr>
            </w:pPr>
            <w:r>
              <w:rPr>
                <w:rFonts w:ascii="黑体" w:hAnsi="黑体" w:eastAsia="黑体" w:cstheme="minorHAnsi"/>
                <w:color w:val="A6A6A6" w:themeColor="background1" w:themeShade="A6"/>
                <w:sz w:val="36"/>
                <w:szCs w:val="44"/>
              </w:rPr>
              <w:t>授权代表</w:t>
            </w:r>
          </w:p>
          <w:p>
            <w:pPr>
              <w:jc w:val="center"/>
              <w:rPr>
                <w:rFonts w:cstheme="minorHAnsi"/>
                <w:color w:val="000000"/>
              </w:rPr>
            </w:pPr>
            <w:r>
              <w:rPr>
                <w:rFonts w:cstheme="minorHAnsi"/>
                <w:color w:val="000000"/>
              </w:rPr>
              <w:t>身份证正反面（扫描件）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14" w:hRule="atLeast"/>
          <w:jc w:val="center"/>
        </w:trPr>
        <w:tc>
          <w:tcPr>
            <w:tcW w:w="4717" w:type="dxa"/>
            <w:tcBorders>
              <w:top w:val="dashSmallGap" w:color="auto" w:sz="4" w:space="0"/>
              <w:left w:val="single" w:color="auto" w:sz="12" w:space="0"/>
              <w:bottom w:val="single" w:color="auto" w:sz="12" w:space="0"/>
              <w:right w:val="single" w:color="auto" w:sz="12" w:space="0"/>
            </w:tcBorders>
          </w:tcPr>
          <w:p>
            <w:pPr>
              <w:jc w:val="center"/>
              <w:rPr>
                <w:rFonts w:cstheme="minorHAnsi"/>
                <w:color w:val="000000"/>
              </w:rPr>
            </w:pPr>
            <w:r>
              <w:rPr>
                <w:rFonts w:cstheme="minorHAnsi"/>
                <w:color w:val="000000"/>
              </w:rPr>
              <w:t>或护照资料页（扫描件）</w:t>
            </w:r>
          </w:p>
        </w:tc>
        <w:tc>
          <w:tcPr>
            <w:tcW w:w="236" w:type="dxa"/>
            <w:tcBorders>
              <w:top w:val="nil"/>
              <w:left w:val="single" w:color="auto" w:sz="12" w:space="0"/>
              <w:bottom w:val="nil"/>
              <w:right w:val="single" w:color="auto" w:sz="12" w:space="0"/>
            </w:tcBorders>
          </w:tcPr>
          <w:p>
            <w:pPr>
              <w:jc w:val="center"/>
              <w:rPr>
                <w:rFonts w:cstheme="minorHAnsi"/>
                <w:color w:val="000000"/>
              </w:rPr>
            </w:pPr>
          </w:p>
        </w:tc>
        <w:tc>
          <w:tcPr>
            <w:tcW w:w="4686" w:type="dxa"/>
            <w:tcBorders>
              <w:top w:val="dashSmallGap" w:color="auto" w:sz="4" w:space="0"/>
              <w:left w:val="single" w:color="auto" w:sz="12" w:space="0"/>
              <w:bottom w:val="single" w:color="auto" w:sz="12" w:space="0"/>
              <w:right w:val="single" w:color="auto" w:sz="12" w:space="0"/>
            </w:tcBorders>
          </w:tcPr>
          <w:p>
            <w:pPr>
              <w:jc w:val="center"/>
              <w:rPr>
                <w:rFonts w:cstheme="minorHAnsi"/>
                <w:color w:val="000000"/>
              </w:rPr>
            </w:pPr>
            <w:r>
              <w:rPr>
                <w:rFonts w:cstheme="minorHAnsi"/>
                <w:color w:val="000000"/>
              </w:rPr>
              <w:t>或护照资料页（扫描件）</w:t>
            </w:r>
          </w:p>
        </w:tc>
      </w:tr>
    </w:tbl>
    <w:p>
      <w:pPr>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t>法定代表人（负责人）：（</w:t>
      </w:r>
      <w:r>
        <w:rPr>
          <w:rFonts w:ascii="Calibri" w:hAnsi="Calibri" w:eastAsia="宋体" w:cstheme="minorHAnsi"/>
          <w:i/>
          <w:color w:val="7030A0"/>
          <w:kern w:val="24"/>
        </w:rPr>
        <w:t>签字或盖章</w:t>
      </w:r>
      <w:r>
        <w:rPr>
          <w:rFonts w:ascii="Calibri" w:hAnsi="Calibri" w:eastAsia="宋体" w:cstheme="minorHAnsi"/>
          <w:color w:val="000000"/>
          <w:kern w:val="24"/>
        </w:rPr>
        <w:t>）</w:t>
      </w:r>
    </w:p>
    <w:p>
      <w:pPr>
        <w:ind w:firstLine="480" w:firstLineChars="200"/>
        <w:jc w:val="both"/>
        <w:rPr>
          <w:rFonts w:ascii="Calibri" w:hAnsi="Calibri" w:eastAsiaTheme="majorEastAsia" w:cstheme="minorHAnsi"/>
          <w:color w:val="000000"/>
          <w:kern w:val="24"/>
        </w:rPr>
      </w:pPr>
      <w:r>
        <w:rPr>
          <w:rFonts w:hint="eastAsia" w:ascii="Calibri" w:hAnsi="Calibri" w:eastAsiaTheme="majorEastAsia" w:cstheme="minorHAnsi"/>
          <w:color w:val="000000"/>
          <w:kern w:val="24"/>
        </w:rPr>
        <w:t>供应商</w:t>
      </w:r>
      <w:r>
        <w:rPr>
          <w:rFonts w:ascii="Calibri" w:hAnsi="Calibri" w:eastAsiaTheme="majorEastAsia" w:cstheme="minorHAnsi"/>
          <w:color w:val="000000"/>
          <w:kern w:val="24"/>
        </w:rPr>
        <w:t>：（</w:t>
      </w:r>
      <w:r>
        <w:rPr>
          <w:rFonts w:hint="eastAsia" w:ascii="Calibri" w:hAnsi="Calibri" w:eastAsiaTheme="majorEastAsia" w:cstheme="minorHAnsi"/>
          <w:i/>
          <w:color w:val="7030A0"/>
          <w:kern w:val="24"/>
        </w:rPr>
        <w:t>供应商</w:t>
      </w:r>
      <w:r>
        <w:rPr>
          <w:rFonts w:ascii="Calibri" w:hAnsi="Calibri" w:eastAsiaTheme="majorEastAsia" w:cstheme="minorHAnsi"/>
          <w:i/>
          <w:color w:val="7030A0"/>
          <w:kern w:val="24"/>
        </w:rPr>
        <w:t>全称并加盖公章</w:t>
      </w:r>
      <w:r>
        <w:rPr>
          <w:rFonts w:ascii="Calibri" w:hAnsi="Calibri" w:eastAsiaTheme="majorEastAsia" w:cstheme="minorHAnsi"/>
          <w:color w:val="000000"/>
          <w:kern w:val="24"/>
        </w:rPr>
        <w:t>）</w:t>
      </w:r>
    </w:p>
    <w:p>
      <w:pPr>
        <w:ind w:firstLine="480" w:firstLineChars="200"/>
        <w:jc w:val="both"/>
        <w:rPr>
          <w:rFonts w:ascii="Calibri" w:hAnsi="Calibri" w:eastAsia="宋体" w:cstheme="minorHAnsi"/>
          <w:color w:val="000000"/>
          <w:kern w:val="24"/>
        </w:rPr>
      </w:pPr>
      <w:r>
        <w:rPr>
          <w:rFonts w:ascii="Calibri" w:hAnsi="Calibri" w:eastAsiaTheme="majorEastAsia" w:cstheme="minorHAnsi"/>
          <w:color w:val="000000"/>
          <w:kern w:val="24"/>
        </w:rPr>
        <w:t>授权日期：</w:t>
      </w:r>
      <w:r>
        <w:rPr>
          <w:rFonts w:ascii="Calibri" w:hAnsi="Calibri" w:eastAsia="宋体" w:cstheme="minorHAnsi"/>
          <w:color w:val="000000"/>
          <w:kern w:val="24"/>
        </w:rPr>
        <w:t>　　　年　月　日</w:t>
      </w:r>
    </w:p>
    <w:p>
      <w:pPr>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br w:type="page"/>
      </w:r>
    </w:p>
    <w:p>
      <w:pPr>
        <w:keepNext/>
        <w:spacing w:before="120" w:after="60"/>
        <w:outlineLvl w:val="2"/>
        <w:rPr>
          <w:rFonts w:ascii="黑体" w:hAnsi="黑体" w:eastAsia="黑体"/>
          <w:kern w:val="28"/>
          <w:sz w:val="28"/>
          <w:szCs w:val="28"/>
        </w:rPr>
      </w:pPr>
      <w:r>
        <w:rPr>
          <w:rFonts w:ascii="黑体" w:hAnsi="黑体" w:eastAsia="黑体"/>
          <w:kern w:val="28"/>
          <w:sz w:val="28"/>
          <w:szCs w:val="28"/>
        </w:rPr>
        <w:t>（</w:t>
      </w:r>
      <w:r>
        <w:rPr>
          <w:rFonts w:hint="eastAsia" w:ascii="黑体" w:hAnsi="黑体" w:eastAsia="黑体"/>
          <w:kern w:val="28"/>
          <w:sz w:val="28"/>
          <w:szCs w:val="28"/>
        </w:rPr>
        <w:t>二</w:t>
      </w:r>
      <w:r>
        <w:rPr>
          <w:rFonts w:ascii="黑体" w:hAnsi="黑体" w:eastAsia="黑体"/>
          <w:kern w:val="28"/>
          <w:sz w:val="28"/>
          <w:szCs w:val="28"/>
        </w:rPr>
        <w:t>）特定资格条件（如有）</w:t>
      </w:r>
    </w:p>
    <w:p>
      <w:pPr>
        <w:spacing w:line="440" w:lineRule="exact"/>
        <w:ind w:firstLine="480" w:firstLineChars="200"/>
        <w:jc w:val="both"/>
        <w:rPr>
          <w:rFonts w:cstheme="minorHAnsi"/>
          <w:color w:val="000000"/>
        </w:rPr>
      </w:pPr>
    </w:p>
    <w:p>
      <w:pPr>
        <w:jc w:val="both"/>
        <w:rPr>
          <w:rFonts w:ascii="Calibri" w:hAnsi="Calibri" w:eastAsia="黑体"/>
          <w:kern w:val="28"/>
          <w:sz w:val="28"/>
        </w:rPr>
      </w:pPr>
    </w:p>
    <w:p>
      <w:pPr>
        <w:jc w:val="both"/>
        <w:rPr>
          <w:rFonts w:ascii="Calibri" w:hAnsi="Calibri" w:eastAsia="黑体"/>
          <w:kern w:val="28"/>
          <w:sz w:val="28"/>
        </w:rPr>
        <w:sectPr>
          <w:footerReference r:id="rId21" w:type="default"/>
          <w:footerReference r:id="rId22" w:type="even"/>
          <w:pgSz w:w="11906" w:h="16838"/>
          <w:pgMar w:top="1418" w:right="1418" w:bottom="1418" w:left="1418" w:header="851" w:footer="992" w:gutter="0"/>
          <w:cols w:space="425" w:num="1"/>
          <w:docGrid w:type="linesAndChars" w:linePitch="460" w:charSpace="0"/>
        </w:sectPr>
      </w:pPr>
    </w:p>
    <w:p>
      <w:pPr>
        <w:keepNext/>
        <w:spacing w:before="230" w:beforeLines="50" w:after="230" w:afterLines="50"/>
        <w:jc w:val="center"/>
        <w:outlineLvl w:val="1"/>
        <w:rPr>
          <w:rFonts w:ascii="Calibri" w:hAnsi="Calibri" w:eastAsia="黑体" w:cstheme="majorBidi"/>
          <w:sz w:val="32"/>
        </w:rPr>
      </w:pPr>
      <w:r>
        <w:rPr>
          <w:rFonts w:ascii="Calibri" w:hAnsi="Calibri" w:eastAsia="黑体" w:cstheme="majorBidi"/>
          <w:sz w:val="32"/>
        </w:rPr>
        <w:t>第四部分</w:t>
      </w:r>
      <w:r>
        <w:rPr>
          <w:rFonts w:hint="eastAsia" w:ascii="Calibri" w:hAnsi="Calibri" w:eastAsia="黑体" w:cstheme="majorBidi"/>
          <w:sz w:val="32"/>
        </w:rPr>
        <w:t>　实质性条款</w:t>
      </w:r>
      <w:r>
        <w:rPr>
          <w:rFonts w:ascii="Calibri" w:hAnsi="Calibri" w:eastAsia="黑体" w:cstheme="majorBidi"/>
          <w:sz w:val="32"/>
        </w:rPr>
        <w:t>响应</w:t>
      </w:r>
    </w:p>
    <w:p>
      <w:pPr>
        <w:ind w:firstLine="480" w:firstLineChars="200"/>
        <w:jc w:val="both"/>
        <w:rPr>
          <w:rFonts w:ascii="Calibri" w:hAnsi="Calibri" w:eastAsia="宋体" w:cstheme="minorHAnsi"/>
          <w:i/>
          <w:color w:val="7030A0"/>
          <w:kern w:val="24"/>
        </w:rPr>
      </w:pPr>
      <w:r>
        <w:rPr>
          <w:rFonts w:ascii="Calibri" w:hAnsi="Calibri" w:eastAsia="宋体" w:cstheme="minorHAnsi"/>
          <w:i/>
          <w:color w:val="7030A0"/>
          <w:kern w:val="24"/>
        </w:rPr>
        <w:t>说明：对第三章“招标内容及要求”中</w:t>
      </w:r>
      <w:r>
        <w:rPr>
          <w:rFonts w:ascii="Calibri" w:hAnsi="Calibri" w:eastAsia="宋体" w:cstheme="minorHAnsi"/>
          <w:i/>
          <w:color w:val="C00000"/>
          <w:kern w:val="24"/>
          <w:u w:val="single"/>
        </w:rPr>
        <w:t>标注“</w:t>
      </w:r>
      <w:r>
        <w:rPr>
          <w:rFonts w:ascii="Segoe UI Symbol" w:hAnsi="Segoe UI Symbol" w:eastAsia="宋体" w:cs="Segoe UI Symbol"/>
          <w:i/>
          <w:color w:val="C00000"/>
          <w:kern w:val="24"/>
          <w:u w:val="single"/>
        </w:rPr>
        <w:t>★</w:t>
      </w:r>
      <w:r>
        <w:rPr>
          <w:rFonts w:ascii="Calibri" w:hAnsi="Calibri" w:eastAsia="宋体" w:cs="Calibri"/>
          <w:i/>
          <w:color w:val="C00000"/>
          <w:kern w:val="24"/>
          <w:u w:val="single"/>
        </w:rPr>
        <w:t>”</w:t>
      </w:r>
      <w:r>
        <w:rPr>
          <w:rFonts w:ascii="Calibri" w:hAnsi="Calibri" w:eastAsia="宋体" w:cstheme="minorHAnsi"/>
          <w:i/>
          <w:color w:val="C00000"/>
          <w:kern w:val="24"/>
          <w:u w:val="single"/>
        </w:rPr>
        <w:t>的各项实质性条款</w:t>
      </w:r>
      <w:r>
        <w:rPr>
          <w:rFonts w:ascii="Calibri" w:hAnsi="Calibri" w:eastAsia="宋体" w:cstheme="minorHAnsi"/>
          <w:i/>
          <w:color w:val="7030A0"/>
          <w:kern w:val="24"/>
        </w:rPr>
        <w:t>作出响应，若招标文件未设置实质性条款，则请忽略此表。</w:t>
      </w:r>
    </w:p>
    <w:tbl>
      <w:tblPr>
        <w:tblStyle w:val="26"/>
        <w:tblW w:w="0" w:type="auto"/>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autofit"/>
        <w:tblCellMar>
          <w:top w:w="0" w:type="dxa"/>
          <w:left w:w="108" w:type="dxa"/>
          <w:bottom w:w="0" w:type="dxa"/>
          <w:right w:w="108" w:type="dxa"/>
        </w:tblCellMar>
      </w:tblPr>
      <w:tblGrid>
        <w:gridCol w:w="853"/>
        <w:gridCol w:w="3283"/>
        <w:gridCol w:w="3276"/>
        <w:gridCol w:w="1458"/>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00" w:hRule="atLeast"/>
          <w:jc w:val="center"/>
        </w:trPr>
        <w:tc>
          <w:tcPr>
            <w:tcW w:w="853" w:type="dxa"/>
            <w:vMerge w:val="restart"/>
            <w:shd w:val="clear" w:color="auto" w:fill="F1F1F1" w:themeFill="background1" w:themeFillShade="F2"/>
            <w:vAlign w:val="center"/>
          </w:tcPr>
          <w:p>
            <w:pPr>
              <w:spacing w:line="320" w:lineRule="exact"/>
              <w:jc w:val="center"/>
              <w:rPr>
                <w:rFonts w:ascii="Calibri" w:hAnsi="宋体" w:eastAsia="宋体" w:cstheme="minorHAnsi"/>
                <w:b/>
                <w:sz w:val="21"/>
              </w:rPr>
            </w:pPr>
            <w:r>
              <w:rPr>
                <w:rFonts w:ascii="Calibri" w:hAnsi="宋体" w:eastAsia="宋体" w:cstheme="minorHAnsi"/>
                <w:b/>
                <w:sz w:val="21"/>
              </w:rPr>
              <w:t>序号</w:t>
            </w:r>
          </w:p>
        </w:tc>
        <w:tc>
          <w:tcPr>
            <w:tcW w:w="3283" w:type="dxa"/>
            <w:shd w:val="clear" w:color="auto" w:fill="F1F1F1" w:themeFill="background1" w:themeFillShade="F2"/>
            <w:vAlign w:val="center"/>
          </w:tcPr>
          <w:p>
            <w:pPr>
              <w:spacing w:line="320" w:lineRule="exact"/>
              <w:jc w:val="center"/>
              <w:rPr>
                <w:rFonts w:ascii="Calibri" w:hAnsi="宋体" w:eastAsia="宋体" w:cstheme="minorHAnsi"/>
                <w:b/>
                <w:sz w:val="21"/>
              </w:rPr>
            </w:pPr>
            <w:r>
              <w:rPr>
                <w:rFonts w:ascii="Calibri" w:hAnsi="宋体" w:eastAsia="宋体" w:cstheme="minorHAnsi"/>
                <w:b/>
                <w:sz w:val="21"/>
              </w:rPr>
              <w:t>招标文件</w:t>
            </w:r>
          </w:p>
        </w:tc>
        <w:tc>
          <w:tcPr>
            <w:tcW w:w="3276" w:type="dxa"/>
            <w:shd w:val="clear" w:color="auto" w:fill="F1F1F1" w:themeFill="background1" w:themeFillShade="F2"/>
            <w:vAlign w:val="center"/>
          </w:tcPr>
          <w:p>
            <w:pPr>
              <w:spacing w:line="320" w:lineRule="exact"/>
              <w:jc w:val="center"/>
              <w:rPr>
                <w:rFonts w:ascii="Calibri" w:hAnsi="宋体" w:eastAsia="宋体" w:cstheme="minorHAnsi"/>
                <w:b/>
                <w:sz w:val="21"/>
              </w:rPr>
            </w:pPr>
            <w:r>
              <w:rPr>
                <w:rFonts w:ascii="Calibri" w:hAnsi="宋体" w:eastAsia="宋体" w:cstheme="minorHAnsi"/>
                <w:b/>
                <w:sz w:val="21"/>
              </w:rPr>
              <w:t>投标文件</w:t>
            </w:r>
          </w:p>
        </w:tc>
        <w:tc>
          <w:tcPr>
            <w:tcW w:w="1458" w:type="dxa"/>
            <w:vMerge w:val="restart"/>
            <w:shd w:val="clear" w:color="auto" w:fill="F1F1F1" w:themeFill="background1" w:themeFillShade="F2"/>
            <w:vAlign w:val="center"/>
          </w:tcPr>
          <w:p>
            <w:pPr>
              <w:spacing w:line="320" w:lineRule="exact"/>
              <w:jc w:val="center"/>
              <w:rPr>
                <w:rFonts w:ascii="Calibri" w:hAnsi="宋体" w:eastAsia="宋体" w:cstheme="minorHAnsi"/>
                <w:b/>
                <w:sz w:val="21"/>
              </w:rPr>
            </w:pPr>
            <w:r>
              <w:rPr>
                <w:rFonts w:ascii="Calibri" w:hAnsi="宋体" w:eastAsia="宋体" w:cstheme="minorHAnsi"/>
                <w:b/>
                <w:sz w:val="21"/>
              </w:rPr>
              <w:t>响</w:t>
            </w:r>
            <w:r>
              <w:rPr>
                <w:rFonts w:ascii="Calibri" w:hAnsi="宋体" w:eastAsia="宋体" w:cstheme="minorHAnsi"/>
                <w:b/>
                <w:w w:val="1"/>
                <w:sz w:val="21"/>
              </w:rPr>
              <w:t xml:space="preserve"> </w:t>
            </w:r>
            <w:r>
              <w:rPr>
                <w:rFonts w:ascii="Calibri" w:hAnsi="宋体" w:eastAsia="宋体" w:cstheme="minorHAnsi"/>
                <w:b/>
                <w:sz w:val="21"/>
              </w:rPr>
              <w:t>应说明</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30" w:hRule="atLeast"/>
          <w:jc w:val="center"/>
        </w:trPr>
        <w:tc>
          <w:tcPr>
            <w:tcW w:w="853" w:type="dxa"/>
            <w:vMerge w:val="continue"/>
            <w:shd w:val="clear" w:color="auto" w:fill="F1F1F1" w:themeFill="background1" w:themeFillShade="F2"/>
            <w:vAlign w:val="center"/>
          </w:tcPr>
          <w:p>
            <w:pPr>
              <w:spacing w:line="320" w:lineRule="exact"/>
              <w:jc w:val="center"/>
              <w:rPr>
                <w:rFonts w:ascii="Calibri" w:hAnsi="宋体" w:eastAsia="宋体" w:cstheme="minorHAnsi"/>
                <w:b/>
                <w:sz w:val="21"/>
              </w:rPr>
            </w:pPr>
          </w:p>
        </w:tc>
        <w:tc>
          <w:tcPr>
            <w:tcW w:w="3283" w:type="dxa"/>
            <w:shd w:val="clear" w:color="auto" w:fill="F1F1F1" w:themeFill="background1" w:themeFillShade="F2"/>
            <w:vAlign w:val="center"/>
          </w:tcPr>
          <w:p>
            <w:pPr>
              <w:spacing w:line="320" w:lineRule="exact"/>
              <w:jc w:val="center"/>
              <w:rPr>
                <w:rFonts w:ascii="Calibri" w:hAnsi="宋体" w:eastAsia="宋体" w:cstheme="minorHAnsi"/>
                <w:b/>
                <w:sz w:val="21"/>
              </w:rPr>
            </w:pPr>
            <w:r>
              <w:rPr>
                <w:rFonts w:ascii="Calibri" w:hAnsi="宋体" w:eastAsia="宋体" w:cstheme="minorHAnsi"/>
                <w:b/>
                <w:sz w:val="21"/>
              </w:rPr>
              <w:t>实质性条款</w:t>
            </w:r>
          </w:p>
        </w:tc>
        <w:tc>
          <w:tcPr>
            <w:tcW w:w="3276" w:type="dxa"/>
            <w:shd w:val="clear" w:color="auto" w:fill="F1F1F1" w:themeFill="background1" w:themeFillShade="F2"/>
            <w:vAlign w:val="center"/>
          </w:tcPr>
          <w:p>
            <w:pPr>
              <w:spacing w:line="320" w:lineRule="exact"/>
              <w:jc w:val="center"/>
              <w:rPr>
                <w:rFonts w:ascii="Calibri" w:hAnsi="宋体" w:eastAsia="宋体" w:cstheme="minorHAnsi"/>
                <w:b/>
                <w:sz w:val="21"/>
              </w:rPr>
            </w:pPr>
            <w:r>
              <w:rPr>
                <w:rFonts w:ascii="Calibri" w:hAnsi="宋体" w:eastAsia="宋体" w:cstheme="minorHAnsi"/>
                <w:b/>
                <w:sz w:val="21"/>
              </w:rPr>
              <w:t>响</w:t>
            </w:r>
            <w:r>
              <w:rPr>
                <w:rFonts w:hint="eastAsia" w:ascii="Calibri" w:hAnsi="宋体" w:eastAsia="宋体" w:cstheme="minorHAnsi"/>
                <w:b/>
                <w:w w:val="1"/>
                <w:sz w:val="21"/>
              </w:rPr>
              <w:t xml:space="preserve"> </w:t>
            </w:r>
            <w:r>
              <w:rPr>
                <w:rFonts w:ascii="Calibri" w:hAnsi="宋体" w:eastAsia="宋体" w:cstheme="minorHAnsi"/>
                <w:b/>
                <w:sz w:val="21"/>
              </w:rPr>
              <w:t>应内容或索引</w:t>
            </w:r>
          </w:p>
        </w:tc>
        <w:tc>
          <w:tcPr>
            <w:tcW w:w="1458" w:type="dxa"/>
            <w:vMerge w:val="continue"/>
            <w:shd w:val="clear" w:color="auto" w:fill="F1F1F1" w:themeFill="background1" w:themeFillShade="F2"/>
            <w:vAlign w:val="center"/>
          </w:tcPr>
          <w:p>
            <w:pPr>
              <w:spacing w:line="320" w:lineRule="exact"/>
              <w:jc w:val="center"/>
              <w:rPr>
                <w:rFonts w:ascii="Calibri" w:hAnsi="宋体" w:eastAsia="宋体" w:cstheme="minorHAnsi"/>
                <w:b/>
                <w:sz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853" w:type="dxa"/>
            <w:shd w:val="clear" w:color="auto" w:fill="auto"/>
            <w:vAlign w:val="center"/>
          </w:tcPr>
          <w:p>
            <w:pPr>
              <w:spacing w:line="320" w:lineRule="exact"/>
              <w:jc w:val="center"/>
              <w:rPr>
                <w:rFonts w:eastAsia="宋体" w:asciiTheme="majorHAnsi" w:hAnsiTheme="majorHAnsi" w:cstheme="minorHAnsi"/>
                <w:sz w:val="21"/>
              </w:rPr>
            </w:pPr>
            <w:r>
              <w:rPr>
                <w:rFonts w:eastAsia="宋体" w:asciiTheme="majorHAnsi" w:hAnsiTheme="majorHAnsi" w:cstheme="minorHAnsi"/>
                <w:sz w:val="21"/>
              </w:rPr>
              <w:t>示例：</w:t>
            </w:r>
          </w:p>
        </w:tc>
        <w:tc>
          <w:tcPr>
            <w:tcW w:w="3283" w:type="dxa"/>
            <w:shd w:val="clear" w:color="auto" w:fill="auto"/>
            <w:vAlign w:val="center"/>
          </w:tcPr>
          <w:p>
            <w:pPr>
              <w:spacing w:line="320" w:lineRule="exact"/>
              <w:rPr>
                <w:rFonts w:eastAsia="宋体" w:asciiTheme="majorHAnsi" w:hAnsiTheme="majorHAnsi" w:cstheme="minorHAnsi"/>
                <w:sz w:val="21"/>
              </w:rPr>
            </w:pPr>
            <w:r>
              <w:rPr>
                <w:rFonts w:eastAsia="宋体" w:asciiTheme="majorHAnsi" w:hAnsiTheme="majorHAnsi" w:cstheme="minorHAnsi"/>
                <w:sz w:val="21"/>
              </w:rPr>
              <w:t>某单位购买扫描设备</w:t>
            </w:r>
          </w:p>
        </w:tc>
        <w:tc>
          <w:tcPr>
            <w:tcW w:w="3276" w:type="dxa"/>
            <w:shd w:val="clear" w:color="auto" w:fill="auto"/>
            <w:vAlign w:val="center"/>
          </w:tcPr>
          <w:p>
            <w:pPr>
              <w:spacing w:line="320" w:lineRule="exact"/>
              <w:rPr>
                <w:rFonts w:eastAsia="宋体" w:asciiTheme="majorHAnsi" w:hAnsiTheme="majorHAnsi" w:cstheme="minorHAnsi"/>
                <w:sz w:val="21"/>
              </w:rPr>
            </w:pPr>
          </w:p>
        </w:tc>
        <w:tc>
          <w:tcPr>
            <w:tcW w:w="1458" w:type="dxa"/>
            <w:shd w:val="clear" w:color="auto" w:fill="auto"/>
            <w:vAlign w:val="center"/>
          </w:tcPr>
          <w:p>
            <w:pPr>
              <w:spacing w:line="320" w:lineRule="exact"/>
              <w:jc w:val="center"/>
              <w:rPr>
                <w:rFonts w:eastAsia="宋体" w:asciiTheme="majorHAnsi" w:hAnsiTheme="majorHAnsi" w:cstheme="minorHAnsi"/>
                <w:sz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853" w:type="dxa"/>
            <w:shd w:val="clear" w:color="auto" w:fill="auto"/>
            <w:vAlign w:val="center"/>
          </w:tcPr>
          <w:p>
            <w:pPr>
              <w:spacing w:line="320" w:lineRule="exact"/>
              <w:jc w:val="center"/>
              <w:rPr>
                <w:rFonts w:eastAsia="宋体" w:asciiTheme="majorHAnsi" w:hAnsiTheme="majorHAnsi" w:cstheme="minorHAnsi"/>
                <w:sz w:val="21"/>
              </w:rPr>
            </w:pPr>
            <w:r>
              <w:rPr>
                <w:rFonts w:hint="eastAsia" w:eastAsia="宋体" w:asciiTheme="majorHAnsi" w:hAnsiTheme="majorHAnsi" w:cstheme="minorHAnsi"/>
                <w:sz w:val="21"/>
              </w:rPr>
              <w:t>1</w:t>
            </w:r>
          </w:p>
        </w:tc>
        <w:tc>
          <w:tcPr>
            <w:tcW w:w="3283" w:type="dxa"/>
            <w:shd w:val="clear" w:color="auto" w:fill="auto"/>
            <w:vAlign w:val="center"/>
          </w:tcPr>
          <w:p>
            <w:pPr>
              <w:spacing w:line="320" w:lineRule="exact"/>
              <w:rPr>
                <w:rFonts w:eastAsia="宋体" w:asciiTheme="majorHAnsi" w:hAnsiTheme="majorHAnsi" w:cstheme="minorHAnsi"/>
                <w:sz w:val="21"/>
              </w:rPr>
            </w:pPr>
            <w:r>
              <w:rPr>
                <w:rFonts w:ascii="Segoe UI Symbol" w:hAnsi="Segoe UI Symbol" w:eastAsia="宋体" w:cs="Segoe UI Symbol"/>
                <w:sz w:val="21"/>
              </w:rPr>
              <w:t>★</w:t>
            </w:r>
            <w:r>
              <w:rPr>
                <w:rFonts w:eastAsia="宋体" w:asciiTheme="majorHAnsi" w:hAnsiTheme="majorHAnsi" w:cstheme="minorHAnsi"/>
                <w:sz w:val="21"/>
              </w:rPr>
              <w:t>平均无故障时间：≥500小时</w:t>
            </w:r>
          </w:p>
        </w:tc>
        <w:tc>
          <w:tcPr>
            <w:tcW w:w="3276" w:type="dxa"/>
            <w:shd w:val="clear" w:color="auto" w:fill="auto"/>
            <w:vAlign w:val="center"/>
          </w:tcPr>
          <w:p>
            <w:pPr>
              <w:spacing w:line="320" w:lineRule="exact"/>
              <w:rPr>
                <w:rFonts w:eastAsia="宋体" w:asciiTheme="majorHAnsi" w:hAnsiTheme="majorHAnsi" w:cstheme="minorHAnsi"/>
                <w:sz w:val="21"/>
              </w:rPr>
            </w:pPr>
            <w:r>
              <w:rPr>
                <w:rFonts w:eastAsia="宋体" w:asciiTheme="majorHAnsi" w:hAnsiTheme="majorHAnsi" w:cstheme="minorHAnsi"/>
                <w:sz w:val="21"/>
              </w:rPr>
              <w:t>平均无故障时间：</w:t>
            </w:r>
            <w:r>
              <w:rPr>
                <w:rFonts w:hint="eastAsia" w:eastAsia="宋体" w:asciiTheme="majorHAnsi" w:hAnsiTheme="majorHAnsi" w:cstheme="minorHAnsi"/>
                <w:sz w:val="21"/>
              </w:rPr>
              <w:t>600小时</w:t>
            </w:r>
          </w:p>
        </w:tc>
        <w:tc>
          <w:tcPr>
            <w:tcW w:w="1458" w:type="dxa"/>
            <w:shd w:val="clear" w:color="auto" w:fill="auto"/>
            <w:vAlign w:val="center"/>
          </w:tcPr>
          <w:p>
            <w:pPr>
              <w:spacing w:line="320" w:lineRule="exact"/>
              <w:jc w:val="center"/>
              <w:rPr>
                <w:rFonts w:eastAsia="宋体" w:asciiTheme="majorHAnsi" w:hAnsiTheme="majorHAnsi" w:cstheme="minorHAnsi"/>
                <w:sz w:val="21"/>
              </w:rPr>
            </w:pPr>
            <w:r>
              <w:rPr>
                <w:rFonts w:eastAsia="宋体" w:asciiTheme="majorHAnsi" w:hAnsiTheme="majorHAnsi" w:cstheme="minorHAnsi"/>
                <w:sz w:val="21"/>
              </w:rPr>
              <w:t>优于</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853" w:type="dxa"/>
            <w:shd w:val="clear" w:color="auto" w:fill="auto"/>
            <w:vAlign w:val="center"/>
          </w:tcPr>
          <w:p>
            <w:pPr>
              <w:spacing w:line="320" w:lineRule="exact"/>
              <w:jc w:val="center"/>
              <w:rPr>
                <w:rFonts w:eastAsia="宋体" w:asciiTheme="majorHAnsi" w:hAnsiTheme="majorHAnsi" w:cstheme="minorHAnsi"/>
                <w:sz w:val="21"/>
              </w:rPr>
            </w:pPr>
            <w:r>
              <w:rPr>
                <w:rFonts w:hint="eastAsia" w:eastAsia="宋体" w:asciiTheme="majorHAnsi" w:hAnsiTheme="majorHAnsi" w:cstheme="minorHAnsi"/>
                <w:sz w:val="21"/>
              </w:rPr>
              <w:t>2</w:t>
            </w:r>
          </w:p>
        </w:tc>
        <w:tc>
          <w:tcPr>
            <w:tcW w:w="3283" w:type="dxa"/>
            <w:shd w:val="clear" w:color="auto" w:fill="auto"/>
            <w:vAlign w:val="center"/>
          </w:tcPr>
          <w:p>
            <w:pPr>
              <w:spacing w:line="320" w:lineRule="exact"/>
              <w:rPr>
                <w:rFonts w:eastAsia="宋体" w:asciiTheme="majorHAnsi" w:hAnsiTheme="majorHAnsi" w:cstheme="minorHAnsi"/>
                <w:sz w:val="21"/>
              </w:rPr>
            </w:pPr>
            <w:r>
              <w:rPr>
                <w:rFonts w:ascii="Segoe UI Symbol" w:hAnsi="Segoe UI Symbol" w:eastAsia="宋体" w:cs="Segoe UI Symbol"/>
                <w:sz w:val="21"/>
              </w:rPr>
              <w:t>★</w:t>
            </w:r>
            <w:r>
              <w:rPr>
                <w:rFonts w:eastAsia="宋体" w:asciiTheme="majorHAnsi" w:hAnsiTheme="majorHAnsi" w:cstheme="minorHAnsi"/>
                <w:sz w:val="21"/>
              </w:rPr>
              <w:t>扫描速度：每分钟</w:t>
            </w:r>
            <w:r>
              <w:rPr>
                <w:rFonts w:hint="eastAsia" w:eastAsia="宋体" w:asciiTheme="majorHAnsi" w:hAnsiTheme="majorHAnsi" w:cstheme="minorHAnsi"/>
                <w:sz w:val="21"/>
              </w:rPr>
              <w:t>25页以上</w:t>
            </w:r>
          </w:p>
        </w:tc>
        <w:tc>
          <w:tcPr>
            <w:tcW w:w="3276" w:type="dxa"/>
            <w:shd w:val="clear" w:color="auto" w:fill="auto"/>
            <w:vAlign w:val="center"/>
          </w:tcPr>
          <w:p>
            <w:pPr>
              <w:spacing w:line="320" w:lineRule="exact"/>
              <w:rPr>
                <w:rFonts w:eastAsia="宋体" w:asciiTheme="majorHAnsi" w:hAnsiTheme="majorHAnsi" w:cstheme="minorHAnsi"/>
                <w:sz w:val="21"/>
              </w:rPr>
            </w:pPr>
            <w:r>
              <w:rPr>
                <w:rFonts w:eastAsia="宋体" w:asciiTheme="majorHAnsi" w:hAnsiTheme="majorHAnsi" w:cstheme="minorHAnsi"/>
                <w:sz w:val="21"/>
              </w:rPr>
              <w:t>扫描速度：每分钟</w:t>
            </w:r>
            <w:r>
              <w:rPr>
                <w:rFonts w:hint="eastAsia" w:eastAsia="宋体" w:asciiTheme="majorHAnsi" w:hAnsiTheme="majorHAnsi" w:cstheme="minorHAnsi"/>
                <w:sz w:val="21"/>
              </w:rPr>
              <w:t>25页</w:t>
            </w:r>
          </w:p>
        </w:tc>
        <w:tc>
          <w:tcPr>
            <w:tcW w:w="1458" w:type="dxa"/>
            <w:shd w:val="clear" w:color="auto" w:fill="auto"/>
            <w:vAlign w:val="center"/>
          </w:tcPr>
          <w:p>
            <w:pPr>
              <w:spacing w:line="320" w:lineRule="exact"/>
              <w:jc w:val="center"/>
              <w:rPr>
                <w:rFonts w:eastAsia="宋体" w:asciiTheme="majorHAnsi" w:hAnsiTheme="majorHAnsi" w:cstheme="minorHAnsi"/>
                <w:sz w:val="21"/>
              </w:rPr>
            </w:pPr>
            <w:r>
              <w:rPr>
                <w:rFonts w:eastAsia="宋体" w:asciiTheme="majorHAnsi" w:hAnsiTheme="majorHAnsi" w:cstheme="minorHAnsi"/>
                <w:sz w:val="21"/>
              </w:rPr>
              <w:t>符合</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853" w:type="dxa"/>
            <w:shd w:val="clear" w:color="auto" w:fill="auto"/>
            <w:vAlign w:val="center"/>
          </w:tcPr>
          <w:p>
            <w:pPr>
              <w:spacing w:line="320" w:lineRule="exact"/>
              <w:jc w:val="center"/>
              <w:rPr>
                <w:rFonts w:eastAsia="宋体" w:asciiTheme="majorHAnsi" w:hAnsiTheme="majorHAnsi" w:cstheme="minorHAnsi"/>
                <w:sz w:val="21"/>
              </w:rPr>
            </w:pPr>
            <w:r>
              <w:rPr>
                <w:rFonts w:hint="eastAsia" w:eastAsia="宋体" w:asciiTheme="majorHAnsi" w:hAnsiTheme="majorHAnsi" w:cstheme="minorHAnsi"/>
                <w:sz w:val="21"/>
              </w:rPr>
              <w:t>3</w:t>
            </w:r>
          </w:p>
        </w:tc>
        <w:tc>
          <w:tcPr>
            <w:tcW w:w="3283" w:type="dxa"/>
            <w:shd w:val="clear" w:color="auto" w:fill="auto"/>
            <w:vAlign w:val="center"/>
          </w:tcPr>
          <w:p>
            <w:pPr>
              <w:spacing w:line="320" w:lineRule="exact"/>
              <w:rPr>
                <w:rFonts w:eastAsia="宋体" w:asciiTheme="majorHAnsi" w:hAnsiTheme="majorHAnsi" w:cstheme="minorHAnsi"/>
                <w:sz w:val="21"/>
              </w:rPr>
            </w:pPr>
            <w:r>
              <w:rPr>
                <w:rFonts w:ascii="Segoe UI Symbol" w:hAnsi="Segoe UI Symbol" w:eastAsia="宋体" w:cs="Segoe UI Symbol"/>
                <w:sz w:val="21"/>
              </w:rPr>
              <w:t>★</w:t>
            </w:r>
            <w:r>
              <w:rPr>
                <w:rFonts w:eastAsia="宋体" w:asciiTheme="majorHAnsi" w:hAnsiTheme="majorHAnsi" w:cstheme="minorHAnsi"/>
                <w:sz w:val="21"/>
              </w:rPr>
              <w:t>扫描方式：</w:t>
            </w:r>
            <w:r>
              <w:rPr>
                <w:rFonts w:hint="eastAsia" w:eastAsia="宋体" w:asciiTheme="majorHAnsi" w:hAnsiTheme="majorHAnsi" w:cstheme="minorHAnsi"/>
                <w:sz w:val="21"/>
              </w:rPr>
              <w:t>双面高速扫描</w:t>
            </w:r>
          </w:p>
        </w:tc>
        <w:tc>
          <w:tcPr>
            <w:tcW w:w="3276" w:type="dxa"/>
            <w:shd w:val="clear" w:color="auto" w:fill="auto"/>
            <w:vAlign w:val="center"/>
          </w:tcPr>
          <w:p>
            <w:pPr>
              <w:spacing w:line="320" w:lineRule="exact"/>
              <w:rPr>
                <w:rFonts w:eastAsia="宋体" w:asciiTheme="majorHAnsi" w:hAnsiTheme="majorHAnsi" w:cstheme="minorHAnsi"/>
                <w:sz w:val="21"/>
              </w:rPr>
            </w:pPr>
            <w:r>
              <w:rPr>
                <w:rFonts w:eastAsia="宋体" w:asciiTheme="majorHAnsi" w:hAnsiTheme="majorHAnsi" w:cstheme="minorHAnsi"/>
                <w:sz w:val="21"/>
              </w:rPr>
              <w:t>扫描方式：单面高速扫描</w:t>
            </w:r>
          </w:p>
        </w:tc>
        <w:tc>
          <w:tcPr>
            <w:tcW w:w="1458" w:type="dxa"/>
            <w:shd w:val="clear" w:color="auto" w:fill="auto"/>
            <w:vAlign w:val="center"/>
          </w:tcPr>
          <w:p>
            <w:pPr>
              <w:spacing w:line="320" w:lineRule="exact"/>
              <w:jc w:val="center"/>
              <w:rPr>
                <w:rFonts w:eastAsia="宋体" w:asciiTheme="majorHAnsi" w:hAnsiTheme="majorHAnsi" w:cstheme="minorHAnsi"/>
                <w:sz w:val="21"/>
              </w:rPr>
            </w:pPr>
            <w:r>
              <w:rPr>
                <w:rFonts w:eastAsia="宋体" w:asciiTheme="majorHAnsi" w:hAnsiTheme="majorHAnsi" w:cstheme="minorHAnsi"/>
                <w:sz w:val="21"/>
              </w:rPr>
              <w:t>负偏离</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853" w:type="dxa"/>
            <w:shd w:val="clear" w:color="auto" w:fill="auto"/>
            <w:vAlign w:val="center"/>
          </w:tcPr>
          <w:p>
            <w:pPr>
              <w:spacing w:line="320" w:lineRule="exact"/>
              <w:jc w:val="center"/>
              <w:rPr>
                <w:rFonts w:eastAsia="宋体" w:asciiTheme="majorHAnsi" w:hAnsiTheme="majorHAnsi" w:cstheme="minorHAnsi"/>
                <w:sz w:val="21"/>
              </w:rPr>
            </w:pPr>
            <w:r>
              <w:rPr>
                <w:rFonts w:eastAsia="宋体" w:asciiTheme="majorHAnsi" w:hAnsiTheme="majorHAnsi" w:cstheme="minorHAnsi"/>
                <w:sz w:val="21"/>
              </w:rPr>
              <w:t>…</w:t>
            </w:r>
          </w:p>
        </w:tc>
        <w:tc>
          <w:tcPr>
            <w:tcW w:w="3283" w:type="dxa"/>
            <w:shd w:val="clear" w:color="auto" w:fill="auto"/>
            <w:vAlign w:val="center"/>
          </w:tcPr>
          <w:p>
            <w:pPr>
              <w:spacing w:line="320" w:lineRule="exact"/>
              <w:rPr>
                <w:rFonts w:eastAsia="宋体" w:asciiTheme="majorHAnsi" w:hAnsiTheme="majorHAnsi" w:cstheme="minorHAnsi"/>
                <w:sz w:val="21"/>
              </w:rPr>
            </w:pPr>
          </w:p>
        </w:tc>
        <w:tc>
          <w:tcPr>
            <w:tcW w:w="3276" w:type="dxa"/>
            <w:shd w:val="clear" w:color="auto" w:fill="auto"/>
            <w:vAlign w:val="center"/>
          </w:tcPr>
          <w:p>
            <w:pPr>
              <w:spacing w:line="320" w:lineRule="exact"/>
              <w:rPr>
                <w:rFonts w:eastAsia="宋体" w:asciiTheme="majorHAnsi" w:hAnsiTheme="majorHAnsi" w:cstheme="minorHAnsi"/>
                <w:sz w:val="21"/>
              </w:rPr>
            </w:pPr>
          </w:p>
        </w:tc>
        <w:tc>
          <w:tcPr>
            <w:tcW w:w="1458" w:type="dxa"/>
            <w:shd w:val="clear" w:color="auto" w:fill="auto"/>
            <w:vAlign w:val="center"/>
          </w:tcPr>
          <w:p>
            <w:pPr>
              <w:spacing w:line="320" w:lineRule="exact"/>
              <w:jc w:val="center"/>
              <w:rPr>
                <w:rFonts w:eastAsia="宋体" w:asciiTheme="majorHAnsi" w:hAnsiTheme="majorHAnsi" w:cstheme="minorHAnsi"/>
                <w:sz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853" w:type="dxa"/>
            <w:shd w:val="clear" w:color="auto" w:fill="auto"/>
            <w:vAlign w:val="center"/>
          </w:tcPr>
          <w:p>
            <w:pPr>
              <w:spacing w:line="320" w:lineRule="exact"/>
              <w:jc w:val="center"/>
              <w:rPr>
                <w:rFonts w:eastAsia="宋体" w:asciiTheme="majorHAnsi" w:hAnsiTheme="majorHAnsi" w:cstheme="minorHAnsi"/>
                <w:sz w:val="21"/>
              </w:rPr>
            </w:pPr>
          </w:p>
        </w:tc>
        <w:tc>
          <w:tcPr>
            <w:tcW w:w="3283" w:type="dxa"/>
            <w:shd w:val="clear" w:color="auto" w:fill="auto"/>
            <w:vAlign w:val="center"/>
          </w:tcPr>
          <w:p>
            <w:pPr>
              <w:spacing w:line="320" w:lineRule="exact"/>
              <w:rPr>
                <w:rFonts w:eastAsia="宋体" w:asciiTheme="majorHAnsi" w:hAnsiTheme="majorHAnsi" w:cstheme="minorHAnsi"/>
                <w:sz w:val="21"/>
              </w:rPr>
            </w:pPr>
          </w:p>
        </w:tc>
        <w:tc>
          <w:tcPr>
            <w:tcW w:w="3276" w:type="dxa"/>
            <w:shd w:val="clear" w:color="auto" w:fill="auto"/>
            <w:vAlign w:val="center"/>
          </w:tcPr>
          <w:p>
            <w:pPr>
              <w:spacing w:line="320" w:lineRule="exact"/>
              <w:rPr>
                <w:rFonts w:eastAsia="宋体" w:asciiTheme="majorHAnsi" w:hAnsiTheme="majorHAnsi" w:cstheme="minorHAnsi"/>
                <w:sz w:val="21"/>
              </w:rPr>
            </w:pPr>
          </w:p>
        </w:tc>
        <w:tc>
          <w:tcPr>
            <w:tcW w:w="1458" w:type="dxa"/>
            <w:shd w:val="clear" w:color="auto" w:fill="auto"/>
            <w:vAlign w:val="center"/>
          </w:tcPr>
          <w:p>
            <w:pPr>
              <w:spacing w:line="320" w:lineRule="exact"/>
              <w:jc w:val="center"/>
              <w:rPr>
                <w:rFonts w:eastAsia="宋体" w:asciiTheme="majorHAnsi" w:hAnsiTheme="majorHAnsi" w:cstheme="minorHAnsi"/>
                <w:sz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853" w:type="dxa"/>
            <w:shd w:val="clear" w:color="auto" w:fill="auto"/>
            <w:vAlign w:val="center"/>
          </w:tcPr>
          <w:p>
            <w:pPr>
              <w:spacing w:line="320" w:lineRule="exact"/>
              <w:jc w:val="center"/>
              <w:rPr>
                <w:rFonts w:eastAsia="宋体" w:asciiTheme="majorHAnsi" w:hAnsiTheme="majorHAnsi" w:cstheme="minorHAnsi"/>
                <w:sz w:val="21"/>
              </w:rPr>
            </w:pPr>
          </w:p>
        </w:tc>
        <w:tc>
          <w:tcPr>
            <w:tcW w:w="3283" w:type="dxa"/>
            <w:shd w:val="clear" w:color="auto" w:fill="auto"/>
            <w:vAlign w:val="center"/>
          </w:tcPr>
          <w:p>
            <w:pPr>
              <w:spacing w:line="320" w:lineRule="exact"/>
              <w:rPr>
                <w:rFonts w:eastAsia="宋体" w:asciiTheme="majorHAnsi" w:hAnsiTheme="majorHAnsi" w:cstheme="minorHAnsi"/>
                <w:sz w:val="21"/>
              </w:rPr>
            </w:pPr>
          </w:p>
        </w:tc>
        <w:tc>
          <w:tcPr>
            <w:tcW w:w="3276" w:type="dxa"/>
            <w:shd w:val="clear" w:color="auto" w:fill="auto"/>
            <w:vAlign w:val="center"/>
          </w:tcPr>
          <w:p>
            <w:pPr>
              <w:spacing w:line="320" w:lineRule="exact"/>
              <w:rPr>
                <w:rFonts w:eastAsia="宋体" w:asciiTheme="majorHAnsi" w:hAnsiTheme="majorHAnsi" w:cstheme="minorHAnsi"/>
                <w:sz w:val="21"/>
              </w:rPr>
            </w:pPr>
          </w:p>
        </w:tc>
        <w:tc>
          <w:tcPr>
            <w:tcW w:w="1458" w:type="dxa"/>
            <w:shd w:val="clear" w:color="auto" w:fill="auto"/>
            <w:vAlign w:val="center"/>
          </w:tcPr>
          <w:p>
            <w:pPr>
              <w:spacing w:line="320" w:lineRule="exact"/>
              <w:jc w:val="center"/>
              <w:rPr>
                <w:rFonts w:eastAsia="宋体" w:asciiTheme="majorHAnsi" w:hAnsiTheme="majorHAnsi" w:cstheme="minorHAnsi"/>
                <w:sz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853" w:type="dxa"/>
            <w:shd w:val="clear" w:color="auto" w:fill="auto"/>
            <w:vAlign w:val="center"/>
          </w:tcPr>
          <w:p>
            <w:pPr>
              <w:spacing w:line="320" w:lineRule="exact"/>
              <w:jc w:val="center"/>
              <w:rPr>
                <w:rFonts w:eastAsia="宋体" w:asciiTheme="majorHAnsi" w:hAnsiTheme="majorHAnsi" w:cstheme="minorHAnsi"/>
                <w:sz w:val="21"/>
              </w:rPr>
            </w:pPr>
            <w:r>
              <w:rPr>
                <w:rFonts w:eastAsia="宋体" w:asciiTheme="majorHAnsi" w:hAnsiTheme="majorHAnsi" w:cstheme="minorHAnsi"/>
                <w:sz w:val="21"/>
              </w:rPr>
              <w:t>…</w:t>
            </w:r>
          </w:p>
        </w:tc>
        <w:tc>
          <w:tcPr>
            <w:tcW w:w="3283" w:type="dxa"/>
            <w:shd w:val="clear" w:color="auto" w:fill="auto"/>
            <w:vAlign w:val="center"/>
          </w:tcPr>
          <w:p>
            <w:pPr>
              <w:spacing w:line="320" w:lineRule="exact"/>
              <w:rPr>
                <w:rFonts w:eastAsia="宋体" w:asciiTheme="majorHAnsi" w:hAnsiTheme="majorHAnsi" w:cstheme="minorHAnsi"/>
                <w:sz w:val="21"/>
              </w:rPr>
            </w:pPr>
          </w:p>
        </w:tc>
        <w:tc>
          <w:tcPr>
            <w:tcW w:w="3276" w:type="dxa"/>
            <w:shd w:val="clear" w:color="auto" w:fill="auto"/>
            <w:vAlign w:val="center"/>
          </w:tcPr>
          <w:p>
            <w:pPr>
              <w:spacing w:line="320" w:lineRule="exact"/>
              <w:rPr>
                <w:rFonts w:eastAsia="宋体" w:asciiTheme="majorHAnsi" w:hAnsiTheme="majorHAnsi" w:cstheme="minorHAnsi"/>
                <w:sz w:val="21"/>
              </w:rPr>
            </w:pPr>
          </w:p>
        </w:tc>
        <w:tc>
          <w:tcPr>
            <w:tcW w:w="1458" w:type="dxa"/>
            <w:shd w:val="clear" w:color="auto" w:fill="auto"/>
            <w:vAlign w:val="center"/>
          </w:tcPr>
          <w:p>
            <w:pPr>
              <w:spacing w:line="320" w:lineRule="exact"/>
              <w:jc w:val="center"/>
              <w:rPr>
                <w:rFonts w:eastAsia="宋体" w:asciiTheme="majorHAnsi" w:hAnsiTheme="majorHAnsi" w:cstheme="minorHAnsi"/>
                <w:sz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853" w:type="dxa"/>
            <w:shd w:val="clear" w:color="auto" w:fill="auto"/>
            <w:vAlign w:val="center"/>
          </w:tcPr>
          <w:p>
            <w:pPr>
              <w:spacing w:line="320" w:lineRule="exact"/>
              <w:jc w:val="center"/>
              <w:rPr>
                <w:rFonts w:eastAsia="宋体" w:asciiTheme="majorHAnsi" w:hAnsiTheme="majorHAnsi" w:cstheme="minorHAnsi"/>
                <w:sz w:val="21"/>
              </w:rPr>
            </w:pPr>
          </w:p>
        </w:tc>
        <w:tc>
          <w:tcPr>
            <w:tcW w:w="3283" w:type="dxa"/>
            <w:shd w:val="clear" w:color="auto" w:fill="auto"/>
            <w:vAlign w:val="center"/>
          </w:tcPr>
          <w:p>
            <w:pPr>
              <w:spacing w:line="320" w:lineRule="exact"/>
              <w:rPr>
                <w:rFonts w:eastAsia="宋体" w:asciiTheme="majorHAnsi" w:hAnsiTheme="majorHAnsi" w:cstheme="minorHAnsi"/>
                <w:sz w:val="21"/>
              </w:rPr>
            </w:pPr>
          </w:p>
        </w:tc>
        <w:tc>
          <w:tcPr>
            <w:tcW w:w="3276" w:type="dxa"/>
            <w:shd w:val="clear" w:color="auto" w:fill="auto"/>
            <w:vAlign w:val="center"/>
          </w:tcPr>
          <w:p>
            <w:pPr>
              <w:spacing w:line="320" w:lineRule="exact"/>
              <w:rPr>
                <w:rFonts w:eastAsia="宋体" w:asciiTheme="majorHAnsi" w:hAnsiTheme="majorHAnsi" w:cstheme="minorHAnsi"/>
                <w:sz w:val="21"/>
              </w:rPr>
            </w:pPr>
          </w:p>
        </w:tc>
        <w:tc>
          <w:tcPr>
            <w:tcW w:w="1458" w:type="dxa"/>
            <w:shd w:val="clear" w:color="auto" w:fill="auto"/>
            <w:vAlign w:val="center"/>
          </w:tcPr>
          <w:p>
            <w:pPr>
              <w:spacing w:line="320" w:lineRule="exact"/>
              <w:jc w:val="center"/>
              <w:rPr>
                <w:rFonts w:eastAsia="宋体" w:asciiTheme="majorHAnsi" w:hAnsiTheme="majorHAnsi" w:cstheme="minorHAnsi"/>
                <w:sz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853" w:type="dxa"/>
            <w:shd w:val="clear" w:color="auto" w:fill="auto"/>
            <w:vAlign w:val="center"/>
          </w:tcPr>
          <w:p>
            <w:pPr>
              <w:spacing w:line="320" w:lineRule="exact"/>
              <w:jc w:val="center"/>
              <w:rPr>
                <w:rFonts w:eastAsia="宋体" w:asciiTheme="majorHAnsi" w:hAnsiTheme="majorHAnsi" w:cstheme="minorHAnsi"/>
                <w:sz w:val="21"/>
              </w:rPr>
            </w:pPr>
          </w:p>
        </w:tc>
        <w:tc>
          <w:tcPr>
            <w:tcW w:w="3283" w:type="dxa"/>
            <w:shd w:val="clear" w:color="auto" w:fill="auto"/>
            <w:vAlign w:val="center"/>
          </w:tcPr>
          <w:p>
            <w:pPr>
              <w:spacing w:line="320" w:lineRule="exact"/>
              <w:rPr>
                <w:rFonts w:eastAsia="宋体" w:asciiTheme="majorHAnsi" w:hAnsiTheme="majorHAnsi" w:cstheme="minorHAnsi"/>
                <w:sz w:val="21"/>
              </w:rPr>
            </w:pPr>
          </w:p>
        </w:tc>
        <w:tc>
          <w:tcPr>
            <w:tcW w:w="3276" w:type="dxa"/>
            <w:shd w:val="clear" w:color="auto" w:fill="auto"/>
            <w:vAlign w:val="center"/>
          </w:tcPr>
          <w:p>
            <w:pPr>
              <w:spacing w:line="320" w:lineRule="exact"/>
              <w:rPr>
                <w:rFonts w:eastAsia="宋体" w:asciiTheme="majorHAnsi" w:hAnsiTheme="majorHAnsi" w:cstheme="minorHAnsi"/>
                <w:sz w:val="21"/>
              </w:rPr>
            </w:pPr>
          </w:p>
        </w:tc>
        <w:tc>
          <w:tcPr>
            <w:tcW w:w="1458" w:type="dxa"/>
            <w:shd w:val="clear" w:color="auto" w:fill="auto"/>
            <w:vAlign w:val="center"/>
          </w:tcPr>
          <w:p>
            <w:pPr>
              <w:spacing w:line="320" w:lineRule="exact"/>
              <w:jc w:val="center"/>
              <w:rPr>
                <w:rFonts w:eastAsia="宋体" w:asciiTheme="majorHAnsi" w:hAnsiTheme="majorHAnsi" w:cstheme="minorHAnsi"/>
                <w:sz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853" w:type="dxa"/>
            <w:shd w:val="clear" w:color="auto" w:fill="auto"/>
            <w:vAlign w:val="center"/>
          </w:tcPr>
          <w:p>
            <w:pPr>
              <w:spacing w:line="320" w:lineRule="exact"/>
              <w:jc w:val="center"/>
              <w:rPr>
                <w:rFonts w:ascii="Calibri" w:hAnsi="宋体" w:eastAsia="宋体" w:cstheme="minorHAnsi"/>
                <w:sz w:val="21"/>
              </w:rPr>
            </w:pPr>
            <w:r>
              <w:rPr>
                <w:rFonts w:ascii="Calibri" w:hAnsi="宋体" w:eastAsia="宋体" w:cstheme="minorHAnsi"/>
                <w:sz w:val="21"/>
              </w:rPr>
              <w:t>备注</w:t>
            </w:r>
          </w:p>
        </w:tc>
        <w:tc>
          <w:tcPr>
            <w:tcW w:w="8017" w:type="dxa"/>
            <w:gridSpan w:val="3"/>
            <w:shd w:val="clear" w:color="auto" w:fill="auto"/>
            <w:vAlign w:val="center"/>
          </w:tcPr>
          <w:p>
            <w:pPr>
              <w:spacing w:line="320" w:lineRule="exact"/>
              <w:ind w:left="284" w:hanging="284"/>
              <w:jc w:val="both"/>
              <w:rPr>
                <w:rFonts w:ascii="Calibri" w:hAnsi="宋体" w:eastAsia="宋体" w:cstheme="minorHAnsi"/>
                <w:sz w:val="21"/>
              </w:rPr>
            </w:pPr>
            <w:r>
              <w:rPr>
                <w:rFonts w:ascii="Calibri" w:hAnsi="宋体" w:eastAsia="宋体" w:cstheme="minorHAnsi"/>
                <w:sz w:val="21"/>
              </w:rPr>
              <w:t>① 表格行数不够时，请自行扩展。</w:t>
            </w:r>
          </w:p>
          <w:p>
            <w:pPr>
              <w:spacing w:line="320" w:lineRule="exact"/>
              <w:ind w:left="284" w:hanging="284"/>
              <w:jc w:val="both"/>
              <w:rPr>
                <w:rFonts w:ascii="Calibri" w:hAnsi="宋体" w:eastAsia="宋体" w:cstheme="minorHAnsi"/>
                <w:sz w:val="21"/>
              </w:rPr>
            </w:pPr>
            <w:r>
              <w:rPr>
                <w:rFonts w:ascii="Calibri" w:hAnsi="宋体" w:eastAsia="宋体" w:cstheme="minorHAnsi"/>
                <w:sz w:val="21"/>
              </w:rPr>
              <w:t>② 因单元格空间有限，不足以容纳响</w:t>
            </w:r>
            <w:r>
              <w:rPr>
                <w:rFonts w:hint="eastAsia" w:ascii="Calibri" w:hAnsi="宋体" w:eastAsia="宋体" w:cstheme="minorHAnsi"/>
                <w:w w:val="1"/>
                <w:sz w:val="21"/>
              </w:rPr>
              <w:t xml:space="preserve"> </w:t>
            </w:r>
            <w:r>
              <w:rPr>
                <w:rFonts w:ascii="Calibri" w:hAnsi="宋体" w:eastAsia="宋体" w:cstheme="minorHAnsi"/>
                <w:sz w:val="21"/>
              </w:rPr>
              <w:t>应内容（如用于证明产品性能、</w:t>
            </w:r>
            <w:r>
              <w:rPr>
                <w:rFonts w:hint="eastAsia" w:ascii="Calibri" w:hAnsi="宋体" w:eastAsia="宋体" w:cstheme="minorHAnsi"/>
                <w:sz w:val="21"/>
              </w:rPr>
              <w:t>功能</w:t>
            </w:r>
            <w:r>
              <w:rPr>
                <w:rFonts w:ascii="Calibri" w:hAnsi="宋体" w:eastAsia="宋体" w:cstheme="minorHAnsi"/>
                <w:sz w:val="21"/>
              </w:rPr>
              <w:t>的图、表、认证证书、检测报告等）时，</w:t>
            </w:r>
            <w:r>
              <w:rPr>
                <w:rFonts w:hint="eastAsia" w:ascii="Calibri" w:hAnsi="宋体" w:eastAsia="宋体" w:cstheme="minorHAnsi"/>
                <w:sz w:val="21"/>
              </w:rPr>
              <w:t>允许在本表下方另附，但须在“响应内容或索引”中注明引用位置，如“见本表下方</w:t>
            </w:r>
            <w:r>
              <w:rPr>
                <w:rFonts w:hint="eastAsia" w:ascii="Calibri" w:hAnsi="宋体" w:eastAsia="宋体" w:cstheme="minorHAnsi"/>
                <w:i/>
                <w:sz w:val="21"/>
              </w:rPr>
              <w:t>4</w:t>
            </w:r>
            <w:r>
              <w:rPr>
                <w:rFonts w:ascii="Calibri" w:hAnsi="宋体" w:eastAsia="宋体" w:cstheme="minorHAnsi"/>
                <w:i/>
                <w:sz w:val="21"/>
              </w:rPr>
              <w:t>.1 表题</w:t>
            </w:r>
            <w:r>
              <w:rPr>
                <w:rFonts w:hint="eastAsia" w:ascii="Calibri" w:hAnsi="宋体" w:eastAsia="宋体" w:cstheme="minorHAnsi"/>
                <w:sz w:val="21"/>
              </w:rPr>
              <w:t>”或“见本表下方</w:t>
            </w:r>
            <w:r>
              <w:rPr>
                <w:rFonts w:hint="eastAsia" w:ascii="Calibri" w:hAnsi="宋体" w:eastAsia="宋体" w:cstheme="minorHAnsi"/>
                <w:i/>
                <w:sz w:val="21"/>
              </w:rPr>
              <w:t>4-</w:t>
            </w:r>
            <w:r>
              <w:rPr>
                <w:rFonts w:ascii="Calibri" w:hAnsi="宋体" w:eastAsia="宋体" w:cstheme="minorHAnsi"/>
                <w:i/>
                <w:sz w:val="21"/>
              </w:rPr>
              <w:t>1 图题</w:t>
            </w:r>
            <w:r>
              <w:rPr>
                <w:rFonts w:hint="eastAsia" w:ascii="Calibri" w:hAnsi="宋体" w:eastAsia="宋体" w:cstheme="minorHAnsi"/>
                <w:sz w:val="21"/>
              </w:rPr>
              <w:t>”（可自行编号，并确保上下文一致，因引用位置错误引起的不良后果由供应商自行承担）。</w:t>
            </w:r>
          </w:p>
          <w:p>
            <w:pPr>
              <w:spacing w:line="320" w:lineRule="exact"/>
              <w:ind w:left="284" w:hanging="284"/>
              <w:jc w:val="both"/>
              <w:rPr>
                <w:rFonts w:ascii="Calibri" w:hAnsi="宋体" w:eastAsia="宋体" w:cstheme="minorHAnsi"/>
                <w:sz w:val="21"/>
              </w:rPr>
            </w:pPr>
            <w:r>
              <w:rPr>
                <w:rFonts w:ascii="Calibri" w:hAnsi="宋体" w:eastAsia="宋体" w:cstheme="minorHAnsi"/>
                <w:sz w:val="21"/>
              </w:rPr>
              <w:t>③ “响</w:t>
            </w:r>
            <w:r>
              <w:rPr>
                <w:rFonts w:hint="eastAsia" w:ascii="Calibri" w:hAnsi="宋体" w:eastAsia="宋体" w:cstheme="minorHAnsi"/>
                <w:w w:val="1"/>
                <w:sz w:val="21"/>
              </w:rPr>
              <w:t xml:space="preserve"> </w:t>
            </w:r>
            <w:r>
              <w:rPr>
                <w:rFonts w:ascii="Calibri" w:hAnsi="宋体" w:eastAsia="宋体" w:cstheme="minorHAnsi"/>
                <w:sz w:val="21"/>
              </w:rPr>
              <w:t>应说明”应根据实际响</w:t>
            </w:r>
            <w:r>
              <w:rPr>
                <w:rFonts w:hint="eastAsia" w:ascii="Calibri" w:hAnsi="宋体" w:eastAsia="宋体" w:cstheme="minorHAnsi"/>
                <w:w w:val="1"/>
                <w:sz w:val="21"/>
              </w:rPr>
              <w:t xml:space="preserve"> </w:t>
            </w:r>
            <w:r>
              <w:rPr>
                <w:rFonts w:ascii="Calibri" w:hAnsi="宋体" w:eastAsia="宋体" w:cstheme="minorHAnsi"/>
                <w:sz w:val="21"/>
              </w:rPr>
              <w:t>应程度填写“优于”、“符合”、“负偏离”，</w:t>
            </w:r>
            <w:r>
              <w:rPr>
                <w:rFonts w:ascii="Calibri" w:hAnsi="宋体" w:eastAsia="宋体" w:cstheme="minorHAnsi"/>
                <w:color w:val="C00000"/>
                <w:sz w:val="21"/>
              </w:rPr>
              <w:t>对</w:t>
            </w:r>
            <w:r>
              <w:rPr>
                <w:rFonts w:hint="eastAsia" w:ascii="Calibri" w:hAnsi="宋体" w:eastAsia="宋体" w:cstheme="minorHAnsi"/>
                <w:color w:val="C00000"/>
                <w:sz w:val="21"/>
              </w:rPr>
              <w:t>实质性条款的响应出现负偏离的，按无效投标处理</w:t>
            </w:r>
            <w:r>
              <w:rPr>
                <w:rFonts w:hint="eastAsia" w:ascii="Calibri" w:hAnsi="宋体" w:eastAsia="宋体" w:cstheme="minorHAnsi"/>
                <w:sz w:val="21"/>
              </w:rPr>
              <w:t>。</w:t>
            </w:r>
          </w:p>
          <w:p>
            <w:pPr>
              <w:spacing w:line="320" w:lineRule="exact"/>
              <w:ind w:left="158" w:hanging="158"/>
              <w:jc w:val="both"/>
              <w:rPr>
                <w:rFonts w:ascii="Calibri" w:hAnsi="宋体" w:eastAsia="宋体" w:cstheme="minorHAnsi"/>
                <w:sz w:val="21"/>
              </w:rPr>
            </w:pPr>
            <w:r>
              <w:rPr>
                <w:rFonts w:hint="eastAsia" w:ascii="Calibri" w:hAnsi="宋体" w:eastAsia="宋体" w:cstheme="minorHAnsi"/>
                <w:sz w:val="21"/>
              </w:rPr>
              <w:t>④ 表格中“示例”部分仅供参考，供应商在响应时请自行清除。</w:t>
            </w:r>
          </w:p>
        </w:tc>
      </w:tr>
    </w:tbl>
    <w:p>
      <w:pPr>
        <w:tabs>
          <w:tab w:val="center" w:pos="4395"/>
        </w:tabs>
        <w:spacing w:before="230" w:beforeLines="50"/>
        <w:rPr>
          <w:rFonts w:cstheme="minorHAnsi"/>
          <w:b/>
          <w:color w:val="C00000"/>
        </w:rPr>
      </w:pPr>
      <w:r>
        <w:rPr>
          <w:rFonts w:cstheme="minorHAnsi"/>
          <w:b/>
          <w:color w:val="C00000"/>
        </w:rPr>
        <w:t>附：</w:t>
      </w:r>
      <w:r>
        <w:rPr>
          <w:rFonts w:cstheme="minorHAnsi"/>
          <w:b/>
          <w:color w:val="C00000"/>
        </w:rPr>
        <w:tab/>
      </w:r>
      <w:r>
        <w:rPr>
          <w:rFonts w:cstheme="minorHAnsi"/>
          <w:b/>
          <w:color w:val="C00000"/>
        </w:rPr>
        <w:t>实质性响应材料</w:t>
      </w:r>
    </w:p>
    <w:p>
      <w:pPr>
        <w:rPr>
          <w:rFonts w:cstheme="minorHAnsi"/>
        </w:rPr>
      </w:pPr>
    </w:p>
    <w:p>
      <w:pPr>
        <w:rPr>
          <w:rFonts w:cstheme="minorHAnsi"/>
        </w:rPr>
      </w:pPr>
    </w:p>
    <w:p>
      <w:pPr>
        <w:rPr>
          <w:rFonts w:cstheme="minorHAnsi"/>
        </w:rPr>
      </w:pPr>
    </w:p>
    <w:p>
      <w:pPr>
        <w:rPr>
          <w:rFonts w:cstheme="minorHAnsi"/>
        </w:rPr>
        <w:sectPr>
          <w:footerReference r:id="rId23" w:type="default"/>
          <w:footerReference r:id="rId24" w:type="even"/>
          <w:pgSz w:w="11906" w:h="16838"/>
          <w:pgMar w:top="1418" w:right="1418" w:bottom="1418" w:left="1418" w:header="851" w:footer="992" w:gutter="0"/>
          <w:cols w:space="425" w:num="1"/>
          <w:docGrid w:type="linesAndChars" w:linePitch="460" w:charSpace="0"/>
        </w:sectPr>
      </w:pPr>
    </w:p>
    <w:p>
      <w:pPr>
        <w:keepNext/>
        <w:spacing w:before="230" w:beforeLines="50" w:after="230" w:afterLines="50"/>
        <w:jc w:val="center"/>
        <w:outlineLvl w:val="1"/>
        <w:rPr>
          <w:rFonts w:ascii="Calibri" w:hAnsi="Calibri" w:eastAsia="黑体" w:cstheme="minorHAnsi"/>
          <w:kern w:val="32"/>
          <w:sz w:val="32"/>
        </w:rPr>
      </w:pPr>
      <w:r>
        <w:rPr>
          <w:rFonts w:ascii="Calibri" w:hAnsi="Calibri" w:eastAsia="黑体"/>
          <w:kern w:val="32"/>
          <w:sz w:val="32"/>
        </w:rPr>
        <w:t>第五部分</w:t>
      </w:r>
      <w:r>
        <w:rPr>
          <w:rFonts w:hint="eastAsia" w:ascii="Calibri" w:hAnsi="Calibri" w:eastAsia="黑体"/>
          <w:kern w:val="32"/>
          <w:sz w:val="32"/>
        </w:rPr>
        <w:t>　投标</w:t>
      </w:r>
      <w:r>
        <w:rPr>
          <w:rFonts w:ascii="Calibri" w:hAnsi="Calibri" w:eastAsia="黑体"/>
          <w:kern w:val="32"/>
          <w:sz w:val="32"/>
        </w:rPr>
        <w:t>方案</w:t>
      </w:r>
    </w:p>
    <w:p>
      <w:pPr>
        <w:outlineLvl w:val="2"/>
        <w:rPr>
          <w:rFonts w:asciiTheme="minorEastAsia" w:hAnsiTheme="minorEastAsia"/>
        </w:rPr>
      </w:pPr>
      <w:r>
        <w:rPr>
          <w:rFonts w:asciiTheme="minorEastAsia" w:hAnsiTheme="minorEastAsia"/>
        </w:rPr>
        <w:t>（一）技术（服务）条款响应（暗标盲评部分）</w:t>
      </w:r>
    </w:p>
    <w:p>
      <w:pPr>
        <w:ind w:firstLine="480" w:firstLineChars="200"/>
        <w:rPr>
          <w:rFonts w:asciiTheme="minorEastAsia" w:hAnsiTheme="minorEastAsia"/>
        </w:rPr>
      </w:pPr>
      <w:r>
        <w:rPr>
          <w:rFonts w:asciiTheme="minorEastAsia" w:hAnsiTheme="minorEastAsia"/>
        </w:rPr>
        <w:t>特别提醒：</w:t>
      </w:r>
    </w:p>
    <w:p>
      <w:pPr>
        <w:ind w:firstLine="480" w:firstLineChars="200"/>
        <w:rPr>
          <w:rFonts w:asciiTheme="minorEastAsia" w:hAnsiTheme="minorEastAsia"/>
        </w:rPr>
      </w:pPr>
      <w:r>
        <w:rPr>
          <w:rFonts w:hint="eastAsia" w:asciiTheme="minorEastAsia" w:hAnsiTheme="minorEastAsia"/>
        </w:rPr>
        <w:t>①请按照招标文件第二章“评审方法和程序”的“（二）评标形式”中的暗标盲评部分的响应要求进行编制，否则，其投标视为无效。</w:t>
      </w:r>
    </w:p>
    <w:p>
      <w:pPr>
        <w:ind w:firstLine="480" w:firstLineChars="200"/>
        <w:rPr>
          <w:rFonts w:asciiTheme="minorEastAsia" w:hAnsiTheme="minorEastAsia"/>
        </w:rPr>
      </w:pPr>
      <w:r>
        <w:rPr>
          <w:rFonts w:hint="eastAsia" w:asciiTheme="minorEastAsia" w:hAnsiTheme="minorEastAsia"/>
        </w:rPr>
        <w:t>②暗标盲评部分的响应内容必须在“（一）技术（</w:t>
      </w:r>
      <w:r>
        <w:rPr>
          <w:rFonts w:asciiTheme="minorEastAsia" w:hAnsiTheme="minorEastAsia"/>
        </w:rPr>
        <w:t>服务）</w:t>
      </w:r>
      <w:r>
        <w:rPr>
          <w:rFonts w:hint="eastAsia" w:asciiTheme="minorEastAsia" w:hAnsiTheme="minorEastAsia"/>
        </w:rPr>
        <w:t>条款响应”下完整体现，不允许引用其他响应部分的内容。</w:t>
      </w:r>
    </w:p>
    <w:p>
      <w:pPr>
        <w:jc w:val="center"/>
        <w:rPr>
          <w:rFonts w:asciiTheme="minorEastAsia" w:hAnsiTheme="minorEastAsia"/>
          <w:b/>
        </w:rPr>
      </w:pPr>
      <w:r>
        <w:rPr>
          <w:rFonts w:asciiTheme="minorEastAsia" w:hAnsiTheme="minorEastAsia"/>
          <w:b/>
        </w:rPr>
        <w:t>服务要求（非实质性）条款偏差表</w:t>
      </w:r>
    </w:p>
    <w:tbl>
      <w:tblPr>
        <w:tblStyle w:val="26"/>
        <w:tblW w:w="920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3"/>
        <w:gridCol w:w="3207"/>
        <w:gridCol w:w="3351"/>
        <w:gridCol w:w="179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3" w:type="dxa"/>
            <w:vMerge w:val="restart"/>
            <w:shd w:val="clear" w:color="auto" w:fill="auto"/>
            <w:vAlign w:val="center"/>
          </w:tcPr>
          <w:p>
            <w:pPr>
              <w:jc w:val="center"/>
              <w:rPr>
                <w:rFonts w:asciiTheme="minorEastAsia" w:hAnsiTheme="minorEastAsia"/>
              </w:rPr>
            </w:pPr>
            <w:r>
              <w:rPr>
                <w:rFonts w:asciiTheme="minorEastAsia" w:hAnsiTheme="minorEastAsia"/>
              </w:rPr>
              <w:t>序号</w:t>
            </w:r>
          </w:p>
        </w:tc>
        <w:tc>
          <w:tcPr>
            <w:tcW w:w="3207" w:type="dxa"/>
            <w:shd w:val="clear" w:color="auto" w:fill="auto"/>
            <w:vAlign w:val="center"/>
          </w:tcPr>
          <w:p>
            <w:pPr>
              <w:jc w:val="center"/>
              <w:rPr>
                <w:rFonts w:asciiTheme="minorEastAsia" w:hAnsiTheme="minorEastAsia"/>
              </w:rPr>
            </w:pPr>
            <w:r>
              <w:rPr>
                <w:rFonts w:asciiTheme="minorEastAsia" w:hAnsiTheme="minorEastAsia"/>
              </w:rPr>
              <w:t>招标文件</w:t>
            </w:r>
          </w:p>
        </w:tc>
        <w:tc>
          <w:tcPr>
            <w:tcW w:w="3351" w:type="dxa"/>
            <w:shd w:val="clear" w:color="auto" w:fill="auto"/>
            <w:vAlign w:val="center"/>
          </w:tcPr>
          <w:p>
            <w:pPr>
              <w:jc w:val="center"/>
              <w:rPr>
                <w:rFonts w:asciiTheme="minorEastAsia" w:hAnsiTheme="minorEastAsia"/>
              </w:rPr>
            </w:pPr>
            <w:r>
              <w:rPr>
                <w:rFonts w:asciiTheme="minorEastAsia" w:hAnsiTheme="minorEastAsia"/>
              </w:rPr>
              <w:t>投标文件</w:t>
            </w:r>
          </w:p>
        </w:tc>
        <w:tc>
          <w:tcPr>
            <w:tcW w:w="1798" w:type="dxa"/>
            <w:vMerge w:val="restart"/>
            <w:shd w:val="clear" w:color="auto" w:fill="auto"/>
            <w:vAlign w:val="center"/>
          </w:tcPr>
          <w:p>
            <w:pPr>
              <w:jc w:val="center"/>
              <w:rPr>
                <w:rFonts w:asciiTheme="minorEastAsia" w:hAnsiTheme="minorEastAsia"/>
              </w:rPr>
            </w:pPr>
            <w:r>
              <w:rPr>
                <w:rFonts w:asciiTheme="minorEastAsia" w:hAnsiTheme="minorEastAsia"/>
              </w:rPr>
              <w:t>响应说明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3" w:type="dxa"/>
            <w:vMerge w:val="continue"/>
            <w:shd w:val="clear" w:color="auto" w:fill="auto"/>
            <w:vAlign w:val="center"/>
          </w:tcPr>
          <w:p>
            <w:pPr>
              <w:rPr>
                <w:rFonts w:asciiTheme="minorEastAsia" w:hAnsiTheme="minorEastAsia"/>
              </w:rPr>
            </w:pPr>
          </w:p>
        </w:tc>
        <w:tc>
          <w:tcPr>
            <w:tcW w:w="3207" w:type="dxa"/>
            <w:shd w:val="clear" w:color="auto" w:fill="auto"/>
            <w:vAlign w:val="center"/>
          </w:tcPr>
          <w:p>
            <w:pPr>
              <w:jc w:val="center"/>
              <w:rPr>
                <w:rFonts w:asciiTheme="minorEastAsia" w:hAnsiTheme="minorEastAsia"/>
              </w:rPr>
            </w:pPr>
            <w:r>
              <w:rPr>
                <w:rFonts w:hint="eastAsia" w:asciiTheme="minorEastAsia" w:hAnsiTheme="minorEastAsia"/>
              </w:rPr>
              <w:t>服务</w:t>
            </w:r>
            <w:r>
              <w:rPr>
                <w:rFonts w:asciiTheme="minorEastAsia" w:hAnsiTheme="minorEastAsia"/>
              </w:rPr>
              <w:t>要求非实质性条款</w:t>
            </w:r>
          </w:p>
        </w:tc>
        <w:tc>
          <w:tcPr>
            <w:tcW w:w="3351" w:type="dxa"/>
            <w:shd w:val="clear" w:color="auto" w:fill="auto"/>
            <w:vAlign w:val="center"/>
          </w:tcPr>
          <w:p>
            <w:pPr>
              <w:jc w:val="center"/>
              <w:rPr>
                <w:rFonts w:asciiTheme="minorEastAsia" w:hAnsiTheme="minorEastAsia"/>
              </w:rPr>
            </w:pPr>
            <w:r>
              <w:rPr>
                <w:rFonts w:hint="eastAsia" w:asciiTheme="minorEastAsia" w:hAnsiTheme="minorEastAsia"/>
              </w:rPr>
              <w:t>服务</w:t>
            </w:r>
            <w:r>
              <w:rPr>
                <w:rFonts w:asciiTheme="minorEastAsia" w:hAnsiTheme="minorEastAsia"/>
              </w:rPr>
              <w:t>要求响应内容或索引</w:t>
            </w:r>
          </w:p>
        </w:tc>
        <w:tc>
          <w:tcPr>
            <w:tcW w:w="1798" w:type="dxa"/>
            <w:vMerge w:val="continue"/>
            <w:shd w:val="clear" w:color="auto" w:fill="auto"/>
            <w:vAlign w:val="center"/>
          </w:tcPr>
          <w:p>
            <w:pP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3" w:type="dxa"/>
            <w:shd w:val="clear" w:color="auto" w:fill="auto"/>
            <w:vAlign w:val="center"/>
          </w:tcPr>
          <w:p>
            <w:pPr>
              <w:jc w:val="center"/>
              <w:rPr>
                <w:rFonts w:asciiTheme="minorEastAsia" w:hAnsiTheme="minorEastAsia"/>
              </w:rPr>
            </w:pPr>
          </w:p>
        </w:tc>
        <w:tc>
          <w:tcPr>
            <w:tcW w:w="3207" w:type="dxa"/>
            <w:shd w:val="clear" w:color="auto" w:fill="auto"/>
            <w:vAlign w:val="center"/>
          </w:tcPr>
          <w:p>
            <w:pPr>
              <w:rPr>
                <w:rFonts w:asciiTheme="minorEastAsia" w:hAnsiTheme="minorEastAsia"/>
              </w:rPr>
            </w:pPr>
          </w:p>
        </w:tc>
        <w:tc>
          <w:tcPr>
            <w:tcW w:w="3351" w:type="dxa"/>
            <w:shd w:val="clear" w:color="auto" w:fill="auto"/>
            <w:vAlign w:val="center"/>
          </w:tcPr>
          <w:p>
            <w:pPr>
              <w:rPr>
                <w:rFonts w:asciiTheme="minorEastAsia" w:hAnsiTheme="minorEastAsia"/>
              </w:rPr>
            </w:pPr>
          </w:p>
        </w:tc>
        <w:tc>
          <w:tcPr>
            <w:tcW w:w="1798" w:type="dxa"/>
            <w:shd w:val="clear" w:color="auto" w:fill="auto"/>
            <w:vAlign w:val="center"/>
          </w:tcPr>
          <w:p>
            <w:pP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3" w:type="dxa"/>
            <w:shd w:val="clear" w:color="auto" w:fill="auto"/>
            <w:vAlign w:val="center"/>
          </w:tcPr>
          <w:p>
            <w:pPr>
              <w:jc w:val="center"/>
              <w:rPr>
                <w:rFonts w:asciiTheme="minorEastAsia" w:hAnsiTheme="minorEastAsia"/>
              </w:rPr>
            </w:pPr>
            <w:r>
              <w:rPr>
                <w:rFonts w:asciiTheme="minorEastAsia" w:hAnsiTheme="minorEastAsia"/>
              </w:rPr>
              <w:t>示例</w:t>
            </w:r>
          </w:p>
        </w:tc>
        <w:tc>
          <w:tcPr>
            <w:tcW w:w="3207" w:type="dxa"/>
            <w:shd w:val="clear" w:color="auto" w:fill="auto"/>
            <w:vAlign w:val="center"/>
          </w:tcPr>
          <w:p>
            <w:pPr>
              <w:rPr>
                <w:rFonts w:asciiTheme="minorEastAsia" w:hAnsiTheme="minorEastAsia"/>
              </w:rPr>
            </w:pPr>
            <w:r>
              <w:rPr>
                <w:rFonts w:asciiTheme="minorEastAsia" w:hAnsiTheme="minorEastAsia"/>
              </w:rPr>
              <w:t>黑色，打印量≥1500页</w:t>
            </w:r>
          </w:p>
        </w:tc>
        <w:tc>
          <w:tcPr>
            <w:tcW w:w="3351" w:type="dxa"/>
            <w:shd w:val="clear" w:color="auto" w:fill="auto"/>
            <w:vAlign w:val="center"/>
          </w:tcPr>
          <w:p>
            <w:pPr>
              <w:rPr>
                <w:rFonts w:asciiTheme="minorEastAsia" w:hAnsiTheme="minorEastAsia"/>
              </w:rPr>
            </w:pPr>
            <w:r>
              <w:rPr>
                <w:rFonts w:asciiTheme="minorEastAsia" w:hAnsiTheme="minorEastAsia"/>
              </w:rPr>
              <w:t>1、黑色，打印量1500页……</w:t>
            </w:r>
          </w:p>
          <w:p>
            <w:pPr>
              <w:rPr>
                <w:rFonts w:asciiTheme="minorEastAsia" w:hAnsiTheme="minorEastAsia"/>
              </w:rPr>
            </w:pPr>
            <w:r>
              <w:rPr>
                <w:rFonts w:asciiTheme="minorEastAsia" w:hAnsiTheme="minorEastAsia"/>
              </w:rPr>
              <w:t>2、产品描述、产品优势（若有）</w:t>
            </w:r>
          </w:p>
        </w:tc>
        <w:tc>
          <w:tcPr>
            <w:tcW w:w="1798" w:type="dxa"/>
            <w:shd w:val="clear" w:color="auto" w:fill="auto"/>
            <w:vAlign w:val="center"/>
          </w:tcPr>
          <w:p>
            <w:pPr>
              <w:jc w:val="center"/>
              <w:rPr>
                <w:rFonts w:asciiTheme="minorEastAsia" w:hAnsiTheme="minorEastAsia"/>
              </w:rPr>
            </w:pPr>
            <w:r>
              <w:rPr>
                <w:rFonts w:asciiTheme="minorEastAsia" w:hAnsiTheme="minorEastAsia"/>
              </w:rPr>
              <w:t>符合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3" w:type="dxa"/>
            <w:shd w:val="clear" w:color="auto" w:fill="auto"/>
            <w:vAlign w:val="center"/>
          </w:tcPr>
          <w:p>
            <w:pPr>
              <w:jc w:val="center"/>
              <w:rPr>
                <w:rFonts w:asciiTheme="minorEastAsia" w:hAnsiTheme="minorEastAsia"/>
              </w:rPr>
            </w:pPr>
          </w:p>
        </w:tc>
        <w:tc>
          <w:tcPr>
            <w:tcW w:w="3207" w:type="dxa"/>
            <w:shd w:val="clear" w:color="auto" w:fill="auto"/>
            <w:vAlign w:val="center"/>
          </w:tcPr>
          <w:p>
            <w:pPr>
              <w:rPr>
                <w:rFonts w:asciiTheme="minorEastAsia" w:hAnsiTheme="minorEastAsia"/>
              </w:rPr>
            </w:pPr>
          </w:p>
        </w:tc>
        <w:tc>
          <w:tcPr>
            <w:tcW w:w="3351" w:type="dxa"/>
            <w:shd w:val="clear" w:color="auto" w:fill="auto"/>
            <w:vAlign w:val="center"/>
          </w:tcPr>
          <w:p>
            <w:pPr>
              <w:rPr>
                <w:rFonts w:asciiTheme="minorEastAsia" w:hAnsiTheme="minorEastAsia"/>
              </w:rPr>
            </w:pPr>
          </w:p>
        </w:tc>
        <w:tc>
          <w:tcPr>
            <w:tcW w:w="1798" w:type="dxa"/>
            <w:shd w:val="clear" w:color="auto" w:fill="auto"/>
            <w:vAlign w:val="center"/>
          </w:tcPr>
          <w:p>
            <w:pP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3" w:type="dxa"/>
            <w:shd w:val="clear" w:color="auto" w:fill="auto"/>
            <w:vAlign w:val="center"/>
          </w:tcPr>
          <w:p>
            <w:pPr>
              <w:jc w:val="center"/>
              <w:rPr>
                <w:rFonts w:asciiTheme="minorEastAsia" w:hAnsiTheme="minorEastAsia"/>
              </w:rPr>
            </w:pPr>
          </w:p>
        </w:tc>
        <w:tc>
          <w:tcPr>
            <w:tcW w:w="3207" w:type="dxa"/>
            <w:shd w:val="clear" w:color="auto" w:fill="auto"/>
            <w:vAlign w:val="center"/>
          </w:tcPr>
          <w:p>
            <w:pPr>
              <w:rPr>
                <w:rFonts w:asciiTheme="minorEastAsia" w:hAnsiTheme="minorEastAsia"/>
              </w:rPr>
            </w:pPr>
          </w:p>
        </w:tc>
        <w:tc>
          <w:tcPr>
            <w:tcW w:w="3351" w:type="dxa"/>
            <w:shd w:val="clear" w:color="auto" w:fill="auto"/>
            <w:vAlign w:val="center"/>
          </w:tcPr>
          <w:p>
            <w:pPr>
              <w:rPr>
                <w:rFonts w:asciiTheme="minorEastAsia" w:hAnsiTheme="minorEastAsia"/>
              </w:rPr>
            </w:pPr>
          </w:p>
        </w:tc>
        <w:tc>
          <w:tcPr>
            <w:tcW w:w="1798" w:type="dxa"/>
            <w:shd w:val="clear" w:color="auto" w:fill="auto"/>
            <w:vAlign w:val="center"/>
          </w:tcPr>
          <w:p>
            <w:pP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3" w:type="dxa"/>
            <w:shd w:val="clear" w:color="auto" w:fill="auto"/>
            <w:vAlign w:val="center"/>
          </w:tcPr>
          <w:p>
            <w:pPr>
              <w:jc w:val="center"/>
              <w:rPr>
                <w:rFonts w:asciiTheme="minorEastAsia" w:hAnsiTheme="minorEastAsia"/>
              </w:rPr>
            </w:pPr>
          </w:p>
        </w:tc>
        <w:tc>
          <w:tcPr>
            <w:tcW w:w="3207" w:type="dxa"/>
            <w:shd w:val="clear" w:color="auto" w:fill="auto"/>
            <w:vAlign w:val="center"/>
          </w:tcPr>
          <w:p>
            <w:pPr>
              <w:rPr>
                <w:rFonts w:asciiTheme="minorEastAsia" w:hAnsiTheme="minorEastAsia"/>
              </w:rPr>
            </w:pPr>
          </w:p>
        </w:tc>
        <w:tc>
          <w:tcPr>
            <w:tcW w:w="3351" w:type="dxa"/>
            <w:shd w:val="clear" w:color="auto" w:fill="auto"/>
            <w:vAlign w:val="center"/>
          </w:tcPr>
          <w:p>
            <w:pPr>
              <w:rPr>
                <w:rFonts w:asciiTheme="minorEastAsia" w:hAnsiTheme="minorEastAsia"/>
              </w:rPr>
            </w:pPr>
          </w:p>
        </w:tc>
        <w:tc>
          <w:tcPr>
            <w:tcW w:w="1798" w:type="dxa"/>
            <w:shd w:val="clear" w:color="auto" w:fill="auto"/>
            <w:vAlign w:val="center"/>
          </w:tcPr>
          <w:p>
            <w:pP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3" w:type="dxa"/>
            <w:shd w:val="clear" w:color="auto" w:fill="auto"/>
            <w:vAlign w:val="center"/>
          </w:tcPr>
          <w:p>
            <w:pPr>
              <w:jc w:val="center"/>
              <w:rPr>
                <w:rFonts w:asciiTheme="minorEastAsia" w:hAnsiTheme="minorEastAsia"/>
              </w:rPr>
            </w:pPr>
          </w:p>
        </w:tc>
        <w:tc>
          <w:tcPr>
            <w:tcW w:w="3207" w:type="dxa"/>
            <w:shd w:val="clear" w:color="auto" w:fill="auto"/>
            <w:vAlign w:val="center"/>
          </w:tcPr>
          <w:p>
            <w:pPr>
              <w:rPr>
                <w:rFonts w:asciiTheme="minorEastAsia" w:hAnsiTheme="minorEastAsia"/>
              </w:rPr>
            </w:pPr>
          </w:p>
        </w:tc>
        <w:tc>
          <w:tcPr>
            <w:tcW w:w="3351" w:type="dxa"/>
            <w:shd w:val="clear" w:color="auto" w:fill="auto"/>
            <w:vAlign w:val="center"/>
          </w:tcPr>
          <w:p>
            <w:pPr>
              <w:rPr>
                <w:rFonts w:asciiTheme="minorEastAsia" w:hAnsiTheme="minorEastAsia"/>
              </w:rPr>
            </w:pPr>
          </w:p>
        </w:tc>
        <w:tc>
          <w:tcPr>
            <w:tcW w:w="1798" w:type="dxa"/>
            <w:shd w:val="clear" w:color="auto" w:fill="auto"/>
            <w:vAlign w:val="center"/>
          </w:tcPr>
          <w:p>
            <w:pP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3" w:type="dxa"/>
            <w:shd w:val="clear" w:color="auto" w:fill="auto"/>
            <w:vAlign w:val="center"/>
          </w:tcPr>
          <w:p>
            <w:pPr>
              <w:jc w:val="center"/>
              <w:rPr>
                <w:rFonts w:asciiTheme="minorEastAsia" w:hAnsiTheme="minorEastAsia"/>
              </w:rPr>
            </w:pPr>
          </w:p>
        </w:tc>
        <w:tc>
          <w:tcPr>
            <w:tcW w:w="3207" w:type="dxa"/>
            <w:shd w:val="clear" w:color="auto" w:fill="auto"/>
            <w:vAlign w:val="center"/>
          </w:tcPr>
          <w:p>
            <w:pPr>
              <w:rPr>
                <w:rFonts w:asciiTheme="minorEastAsia" w:hAnsiTheme="minorEastAsia"/>
              </w:rPr>
            </w:pPr>
          </w:p>
        </w:tc>
        <w:tc>
          <w:tcPr>
            <w:tcW w:w="3351" w:type="dxa"/>
            <w:shd w:val="clear" w:color="auto" w:fill="auto"/>
            <w:vAlign w:val="center"/>
          </w:tcPr>
          <w:p>
            <w:pPr>
              <w:rPr>
                <w:rFonts w:asciiTheme="minorEastAsia" w:hAnsiTheme="minorEastAsia"/>
              </w:rPr>
            </w:pPr>
          </w:p>
        </w:tc>
        <w:tc>
          <w:tcPr>
            <w:tcW w:w="1798" w:type="dxa"/>
            <w:shd w:val="clear" w:color="auto" w:fill="auto"/>
            <w:vAlign w:val="center"/>
          </w:tcPr>
          <w:p>
            <w:pPr>
              <w:rPr>
                <w:rFonts w:asciiTheme="minorEastAsia" w:hAnsiTheme="minorEastAsi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3" w:type="dxa"/>
            <w:shd w:val="clear" w:color="auto" w:fill="auto"/>
            <w:vAlign w:val="center"/>
          </w:tcPr>
          <w:p>
            <w:pPr>
              <w:rPr>
                <w:rFonts w:asciiTheme="minorEastAsia" w:hAnsiTheme="minorEastAsia"/>
              </w:rPr>
            </w:pPr>
            <w:r>
              <w:rPr>
                <w:rFonts w:asciiTheme="minorEastAsia" w:hAnsiTheme="minorEastAsia"/>
              </w:rPr>
              <w:t>备注</w:t>
            </w:r>
          </w:p>
        </w:tc>
        <w:tc>
          <w:tcPr>
            <w:tcW w:w="8356" w:type="dxa"/>
            <w:gridSpan w:val="3"/>
            <w:shd w:val="clear" w:color="auto" w:fill="auto"/>
            <w:vAlign w:val="center"/>
          </w:tcPr>
          <w:p>
            <w:pPr>
              <w:jc w:val="both"/>
              <w:rPr>
                <w:rFonts w:asciiTheme="minorEastAsia" w:hAnsiTheme="minorEastAsia"/>
              </w:rPr>
            </w:pPr>
            <w:r>
              <w:rPr>
                <w:rFonts w:asciiTheme="minorEastAsia" w:hAnsiTheme="minorEastAsia"/>
              </w:rPr>
              <w:t>① 只需对技术（服务）要求中的非实质性条款（未标注</w:t>
            </w:r>
            <w:r>
              <w:rPr>
                <w:rFonts w:cs="Segoe UI Symbol" w:asciiTheme="minorEastAsia" w:hAnsiTheme="minorEastAsia"/>
              </w:rPr>
              <w:t>★</w:t>
            </w:r>
            <w:r>
              <w:rPr>
                <w:rFonts w:asciiTheme="minorEastAsia" w:hAnsiTheme="minorEastAsia"/>
              </w:rPr>
              <w:t>的）作出响应。表格行数不够时，请自行扩展。</w:t>
            </w:r>
          </w:p>
          <w:p>
            <w:pPr>
              <w:jc w:val="both"/>
              <w:rPr>
                <w:rFonts w:asciiTheme="minorEastAsia" w:hAnsiTheme="minorEastAsia"/>
              </w:rPr>
            </w:pPr>
            <w:r>
              <w:rPr>
                <w:rFonts w:asciiTheme="minorEastAsia" w:hAnsiTheme="minorEastAsia"/>
              </w:rPr>
              <w:t>② 因单元格空间有限，不足以容纳响应内容时，允许在本表下方另附，但须在“响应内容或索引”中注明引用位置，如“见本表下方5.1.1 表题”或“见本表下方5-1-1 图题”（可自行编号，并确保上下文一致，因引用位置错误引起的不良后果由供应商自行承担）。</w:t>
            </w:r>
          </w:p>
          <w:p>
            <w:pPr>
              <w:jc w:val="both"/>
              <w:rPr>
                <w:rFonts w:asciiTheme="minorEastAsia" w:hAnsiTheme="minorEastAsia"/>
              </w:rPr>
            </w:pPr>
            <w:r>
              <w:rPr>
                <w:rFonts w:asciiTheme="minorEastAsia" w:hAnsiTheme="minorEastAsia"/>
              </w:rPr>
              <w:t>③ “响应说明”应根据实际响应程度填写“优于”、“符合”、“负偏离”。</w:t>
            </w:r>
          </w:p>
          <w:p>
            <w:pPr>
              <w:jc w:val="both"/>
              <w:rPr>
                <w:rFonts w:asciiTheme="minorEastAsia" w:hAnsiTheme="minorEastAsia"/>
              </w:rPr>
            </w:pPr>
            <w:r>
              <w:rPr>
                <w:rFonts w:asciiTheme="minorEastAsia" w:hAnsiTheme="minorEastAsia"/>
              </w:rPr>
              <w:t>④ 表格中“示例”部分仅供参考，供应商在响应时请自行清除。</w:t>
            </w:r>
          </w:p>
        </w:tc>
      </w:tr>
    </w:tbl>
    <w:p>
      <w:pPr>
        <w:ind w:firstLine="480" w:firstLineChars="200"/>
        <w:rPr>
          <w:rFonts w:asciiTheme="minorEastAsia" w:hAnsiTheme="minorEastAsia"/>
        </w:rPr>
      </w:pPr>
    </w:p>
    <w:p>
      <w:pPr>
        <w:rPr>
          <w:rFonts w:asciiTheme="minorEastAsia" w:hAnsiTheme="minorEastAsia"/>
        </w:rPr>
      </w:pPr>
    </w:p>
    <w:p>
      <w:pPr>
        <w:jc w:val="center"/>
        <w:rPr>
          <w:rFonts w:cstheme="minorHAnsi"/>
          <w:b/>
        </w:rPr>
      </w:pPr>
      <w:r>
        <w:rPr>
          <w:rFonts w:cstheme="minorHAnsi"/>
          <w:b/>
        </w:rPr>
        <w:t>1</w:t>
      </w:r>
      <w:r>
        <w:rPr>
          <w:rFonts w:hint="eastAsia" w:cstheme="minorHAnsi"/>
          <w:b/>
        </w:rPr>
        <w:t>.</w:t>
      </w:r>
      <w:r>
        <w:rPr>
          <w:rFonts w:hint="eastAsia" w:cstheme="minorHAnsi"/>
          <w:b/>
          <w:i/>
        </w:rPr>
        <w:t>技术（服务）非实质性条款响应方案</w:t>
      </w:r>
    </w:p>
    <w:p>
      <w:pPr>
        <w:rPr>
          <w:i/>
        </w:rPr>
      </w:pPr>
      <w:r>
        <w:rPr>
          <w:rFonts w:hint="eastAsia"/>
          <w:i/>
        </w:rPr>
        <w:t>供应商结合第三章《招标内容及要求》相关要求及第二章《评审要素及分值一览表》暗标部分中各评审要素逐项编写方案。</w:t>
      </w:r>
    </w:p>
    <w:p>
      <w:pPr>
        <w:rPr>
          <w:rFonts w:asciiTheme="minorEastAsia" w:hAnsiTheme="minorEastAsia"/>
        </w:rPr>
      </w:pPr>
    </w:p>
    <w:p>
      <w:pPr>
        <w:rPr>
          <w:rFonts w:asciiTheme="minorEastAsia" w:hAnsiTheme="minorEastAsia"/>
        </w:rPr>
      </w:pPr>
      <w:r>
        <w:rPr>
          <w:rFonts w:hint="eastAsia" w:asciiTheme="minorEastAsia" w:hAnsiTheme="minorEastAsia"/>
        </w:rPr>
        <w:t>1．总体服务方案</w:t>
      </w:r>
    </w:p>
    <w:p>
      <w:pPr>
        <w:rPr>
          <w:rFonts w:asciiTheme="minorEastAsia" w:hAnsiTheme="minorEastAsia"/>
        </w:rPr>
      </w:pPr>
    </w:p>
    <w:p>
      <w:pPr>
        <w:rPr>
          <w:rFonts w:asciiTheme="minorEastAsia" w:hAnsiTheme="minorEastAsia"/>
        </w:rPr>
      </w:pPr>
      <w:r>
        <w:rPr>
          <w:rFonts w:asciiTheme="minorEastAsia" w:hAnsiTheme="minorEastAsia"/>
        </w:rPr>
        <w:t>2</w:t>
      </w:r>
      <w:r>
        <w:rPr>
          <w:rFonts w:hint="eastAsia" w:asciiTheme="minorEastAsia" w:hAnsiTheme="minorEastAsia"/>
        </w:rPr>
        <w:t>．分项服务方案</w:t>
      </w:r>
    </w:p>
    <w:p>
      <w:pPr>
        <w:rPr>
          <w:rFonts w:asciiTheme="minorEastAsia" w:hAnsiTheme="minorEastAsia"/>
        </w:rPr>
      </w:pPr>
    </w:p>
    <w:p>
      <w:pPr>
        <w:rPr>
          <w:rFonts w:asciiTheme="minorEastAsia" w:hAnsiTheme="minorEastAsia"/>
        </w:rPr>
      </w:pPr>
      <w:r>
        <w:rPr>
          <w:rFonts w:hint="eastAsia" w:asciiTheme="minorEastAsia" w:hAnsiTheme="minorEastAsia"/>
        </w:rPr>
        <w:t>3.应急预案</w:t>
      </w:r>
    </w:p>
    <w:p>
      <w:pPr>
        <w:rPr>
          <w:rFonts w:cstheme="minorHAnsi"/>
          <w:b/>
          <w:sz w:val="28"/>
          <w:szCs w:val="28"/>
        </w:rPr>
      </w:pPr>
      <w:r>
        <w:rPr>
          <w:rFonts w:hint="eastAsia" w:cstheme="minorHAnsi"/>
          <w:b/>
          <w:sz w:val="28"/>
          <w:szCs w:val="28"/>
        </w:rPr>
        <w:t>……</w:t>
      </w:r>
      <w:r>
        <w:rPr>
          <w:rFonts w:cstheme="minorHAnsi"/>
          <w:b/>
          <w:sz w:val="28"/>
          <w:szCs w:val="28"/>
        </w:rPr>
        <w:br w:type="page"/>
      </w:r>
    </w:p>
    <w:p>
      <w:pPr>
        <w:keepNext/>
        <w:spacing w:before="120" w:after="60"/>
        <w:outlineLvl w:val="2"/>
        <w:rPr>
          <w:rFonts w:ascii="黑体" w:hAnsi="黑体" w:eastAsia="黑体"/>
          <w:kern w:val="28"/>
          <w:sz w:val="28"/>
          <w:szCs w:val="28"/>
        </w:rPr>
      </w:pPr>
      <w:r>
        <w:rPr>
          <w:rFonts w:ascii="黑体" w:hAnsi="黑体" w:eastAsia="黑体"/>
          <w:kern w:val="28"/>
          <w:sz w:val="28"/>
          <w:szCs w:val="28"/>
        </w:rPr>
        <w:t>（二）商务条款响应</w:t>
      </w:r>
    </w:p>
    <w:p>
      <w:pPr>
        <w:jc w:val="center"/>
        <w:rPr>
          <w:rFonts w:ascii="Calibri" w:hAnsi="Calibri" w:eastAsia="宋体" w:cstheme="minorHAnsi"/>
          <w:color w:val="000000"/>
          <w:kern w:val="24"/>
        </w:rPr>
      </w:pPr>
      <w:r>
        <w:rPr>
          <w:rFonts w:hint="eastAsia" w:ascii="Calibri" w:hAnsi="Calibri" w:eastAsia="宋体" w:cstheme="minorHAnsi"/>
          <w:color w:val="000000"/>
          <w:kern w:val="24"/>
        </w:rPr>
        <w:t>商务要求（非实质性）条款偏差表</w:t>
      </w:r>
    </w:p>
    <w:tbl>
      <w:tblPr>
        <w:tblStyle w:val="26"/>
        <w:tblW w:w="92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3"/>
        <w:gridCol w:w="3126"/>
        <w:gridCol w:w="3432"/>
        <w:gridCol w:w="182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3" w:type="dxa"/>
            <w:vMerge w:val="restart"/>
            <w:shd w:val="clear" w:color="auto" w:fill="F1F1F1" w:themeFill="background1" w:themeFillShade="F2"/>
            <w:vAlign w:val="center"/>
          </w:tcPr>
          <w:p>
            <w:pPr>
              <w:jc w:val="center"/>
              <w:rPr>
                <w:sz w:val="21"/>
                <w:szCs w:val="21"/>
              </w:rPr>
            </w:pPr>
            <w:r>
              <w:rPr>
                <w:sz w:val="21"/>
                <w:szCs w:val="21"/>
              </w:rPr>
              <w:t>序号</w:t>
            </w:r>
          </w:p>
        </w:tc>
        <w:tc>
          <w:tcPr>
            <w:tcW w:w="3126" w:type="dxa"/>
            <w:shd w:val="clear" w:color="auto" w:fill="F1F1F1" w:themeFill="background1" w:themeFillShade="F2"/>
            <w:vAlign w:val="center"/>
          </w:tcPr>
          <w:p>
            <w:pPr>
              <w:jc w:val="center"/>
              <w:rPr>
                <w:sz w:val="21"/>
                <w:szCs w:val="21"/>
              </w:rPr>
            </w:pPr>
            <w:r>
              <w:rPr>
                <w:rFonts w:hint="eastAsia"/>
                <w:sz w:val="21"/>
                <w:szCs w:val="21"/>
              </w:rPr>
              <w:t>招标</w:t>
            </w:r>
            <w:r>
              <w:rPr>
                <w:sz w:val="21"/>
                <w:szCs w:val="21"/>
              </w:rPr>
              <w:t>文件</w:t>
            </w:r>
          </w:p>
        </w:tc>
        <w:tc>
          <w:tcPr>
            <w:tcW w:w="3432" w:type="dxa"/>
            <w:shd w:val="clear" w:color="auto" w:fill="F1F1F1" w:themeFill="background1" w:themeFillShade="F2"/>
            <w:vAlign w:val="center"/>
          </w:tcPr>
          <w:p>
            <w:pPr>
              <w:jc w:val="center"/>
              <w:rPr>
                <w:sz w:val="21"/>
                <w:szCs w:val="21"/>
              </w:rPr>
            </w:pPr>
            <w:r>
              <w:rPr>
                <w:rFonts w:hint="eastAsia"/>
                <w:sz w:val="21"/>
                <w:szCs w:val="21"/>
              </w:rPr>
              <w:t>投标</w:t>
            </w:r>
            <w:r>
              <w:rPr>
                <w:sz w:val="21"/>
                <w:szCs w:val="21"/>
              </w:rPr>
              <w:t>文件</w:t>
            </w:r>
          </w:p>
        </w:tc>
        <w:tc>
          <w:tcPr>
            <w:tcW w:w="1823" w:type="dxa"/>
            <w:vMerge w:val="restart"/>
            <w:shd w:val="clear" w:color="auto" w:fill="F1F1F1" w:themeFill="background1" w:themeFillShade="F2"/>
            <w:vAlign w:val="center"/>
          </w:tcPr>
          <w:p>
            <w:pPr>
              <w:jc w:val="center"/>
              <w:rPr>
                <w:sz w:val="21"/>
                <w:szCs w:val="21"/>
              </w:rPr>
            </w:pPr>
            <w:r>
              <w:rPr>
                <w:sz w:val="21"/>
                <w:szCs w:val="21"/>
              </w:rPr>
              <w:t>响应说明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3" w:type="dxa"/>
            <w:vMerge w:val="continue"/>
            <w:shd w:val="clear" w:color="auto" w:fill="F1F1F1" w:themeFill="background1" w:themeFillShade="F2"/>
            <w:vAlign w:val="center"/>
          </w:tcPr>
          <w:p>
            <w:pPr>
              <w:jc w:val="center"/>
              <w:rPr>
                <w:sz w:val="21"/>
                <w:szCs w:val="21"/>
              </w:rPr>
            </w:pPr>
          </w:p>
        </w:tc>
        <w:tc>
          <w:tcPr>
            <w:tcW w:w="3126" w:type="dxa"/>
            <w:shd w:val="clear" w:color="auto" w:fill="F1F1F1" w:themeFill="background1" w:themeFillShade="F2"/>
            <w:vAlign w:val="center"/>
          </w:tcPr>
          <w:p>
            <w:pPr>
              <w:jc w:val="center"/>
              <w:rPr>
                <w:sz w:val="21"/>
                <w:szCs w:val="21"/>
              </w:rPr>
            </w:pPr>
            <w:r>
              <w:rPr>
                <w:rFonts w:hint="eastAsia"/>
                <w:sz w:val="21"/>
                <w:szCs w:val="21"/>
              </w:rPr>
              <w:t>商务要求</w:t>
            </w:r>
            <w:r>
              <w:rPr>
                <w:sz w:val="21"/>
                <w:szCs w:val="21"/>
              </w:rPr>
              <w:t>非实质性条款</w:t>
            </w:r>
          </w:p>
        </w:tc>
        <w:tc>
          <w:tcPr>
            <w:tcW w:w="3432" w:type="dxa"/>
            <w:shd w:val="clear" w:color="auto" w:fill="F1F1F1" w:themeFill="background1" w:themeFillShade="F2"/>
            <w:vAlign w:val="center"/>
          </w:tcPr>
          <w:p>
            <w:pPr>
              <w:jc w:val="center"/>
              <w:rPr>
                <w:sz w:val="21"/>
                <w:szCs w:val="21"/>
              </w:rPr>
            </w:pPr>
            <w:r>
              <w:rPr>
                <w:rFonts w:hint="eastAsia"/>
                <w:sz w:val="21"/>
                <w:szCs w:val="21"/>
              </w:rPr>
              <w:t>商务要求响应内容或索引</w:t>
            </w:r>
          </w:p>
        </w:tc>
        <w:tc>
          <w:tcPr>
            <w:tcW w:w="1823" w:type="dxa"/>
            <w:vMerge w:val="continue"/>
            <w:shd w:val="clear" w:color="auto" w:fill="F1F1F1" w:themeFill="background1" w:themeFillShade="F2"/>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3" w:type="dxa"/>
            <w:vAlign w:val="center"/>
          </w:tcPr>
          <w:p>
            <w:pPr>
              <w:rPr>
                <w:sz w:val="21"/>
                <w:szCs w:val="21"/>
              </w:rPr>
            </w:pPr>
          </w:p>
        </w:tc>
        <w:tc>
          <w:tcPr>
            <w:tcW w:w="3126" w:type="dxa"/>
            <w:vAlign w:val="center"/>
          </w:tcPr>
          <w:p>
            <w:pPr>
              <w:rPr>
                <w:sz w:val="21"/>
                <w:szCs w:val="21"/>
              </w:rPr>
            </w:pPr>
          </w:p>
        </w:tc>
        <w:tc>
          <w:tcPr>
            <w:tcW w:w="3432" w:type="dxa"/>
            <w:vAlign w:val="center"/>
          </w:tcPr>
          <w:p>
            <w:pPr>
              <w:rPr>
                <w:sz w:val="21"/>
                <w:szCs w:val="21"/>
              </w:rPr>
            </w:pPr>
          </w:p>
        </w:tc>
        <w:tc>
          <w:tcPr>
            <w:tcW w:w="1823"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3" w:type="dxa"/>
            <w:vAlign w:val="center"/>
          </w:tcPr>
          <w:p>
            <w:pPr>
              <w:rPr>
                <w:sz w:val="21"/>
                <w:szCs w:val="21"/>
              </w:rPr>
            </w:pPr>
          </w:p>
        </w:tc>
        <w:tc>
          <w:tcPr>
            <w:tcW w:w="3126" w:type="dxa"/>
            <w:vAlign w:val="center"/>
          </w:tcPr>
          <w:p>
            <w:pPr>
              <w:rPr>
                <w:sz w:val="21"/>
                <w:szCs w:val="21"/>
              </w:rPr>
            </w:pPr>
          </w:p>
        </w:tc>
        <w:tc>
          <w:tcPr>
            <w:tcW w:w="3432" w:type="dxa"/>
            <w:vAlign w:val="center"/>
          </w:tcPr>
          <w:p>
            <w:pPr>
              <w:rPr>
                <w:sz w:val="21"/>
                <w:szCs w:val="21"/>
              </w:rPr>
            </w:pPr>
          </w:p>
        </w:tc>
        <w:tc>
          <w:tcPr>
            <w:tcW w:w="1823"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3" w:type="dxa"/>
            <w:vAlign w:val="center"/>
          </w:tcPr>
          <w:p>
            <w:pPr>
              <w:rPr>
                <w:sz w:val="21"/>
                <w:szCs w:val="21"/>
              </w:rPr>
            </w:pPr>
          </w:p>
        </w:tc>
        <w:tc>
          <w:tcPr>
            <w:tcW w:w="3126" w:type="dxa"/>
            <w:vAlign w:val="center"/>
          </w:tcPr>
          <w:p>
            <w:pPr>
              <w:rPr>
                <w:sz w:val="21"/>
                <w:szCs w:val="21"/>
              </w:rPr>
            </w:pPr>
          </w:p>
        </w:tc>
        <w:tc>
          <w:tcPr>
            <w:tcW w:w="3432" w:type="dxa"/>
            <w:vAlign w:val="center"/>
          </w:tcPr>
          <w:p>
            <w:pPr>
              <w:rPr>
                <w:sz w:val="21"/>
                <w:szCs w:val="21"/>
              </w:rPr>
            </w:pPr>
          </w:p>
        </w:tc>
        <w:tc>
          <w:tcPr>
            <w:tcW w:w="1823"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3" w:type="dxa"/>
            <w:vAlign w:val="center"/>
          </w:tcPr>
          <w:p>
            <w:pPr>
              <w:rPr>
                <w:sz w:val="21"/>
                <w:szCs w:val="21"/>
              </w:rPr>
            </w:pPr>
          </w:p>
        </w:tc>
        <w:tc>
          <w:tcPr>
            <w:tcW w:w="3126" w:type="dxa"/>
            <w:vAlign w:val="center"/>
          </w:tcPr>
          <w:p>
            <w:pPr>
              <w:rPr>
                <w:sz w:val="21"/>
                <w:szCs w:val="21"/>
              </w:rPr>
            </w:pPr>
          </w:p>
        </w:tc>
        <w:tc>
          <w:tcPr>
            <w:tcW w:w="3432" w:type="dxa"/>
            <w:vAlign w:val="center"/>
          </w:tcPr>
          <w:p>
            <w:pPr>
              <w:rPr>
                <w:sz w:val="21"/>
                <w:szCs w:val="21"/>
              </w:rPr>
            </w:pPr>
          </w:p>
        </w:tc>
        <w:tc>
          <w:tcPr>
            <w:tcW w:w="1823"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3" w:type="dxa"/>
            <w:vAlign w:val="center"/>
          </w:tcPr>
          <w:p>
            <w:pPr>
              <w:rPr>
                <w:sz w:val="21"/>
                <w:szCs w:val="21"/>
              </w:rPr>
            </w:pPr>
          </w:p>
        </w:tc>
        <w:tc>
          <w:tcPr>
            <w:tcW w:w="3126" w:type="dxa"/>
            <w:vAlign w:val="center"/>
          </w:tcPr>
          <w:p>
            <w:pPr>
              <w:rPr>
                <w:sz w:val="21"/>
                <w:szCs w:val="21"/>
              </w:rPr>
            </w:pPr>
          </w:p>
        </w:tc>
        <w:tc>
          <w:tcPr>
            <w:tcW w:w="3432" w:type="dxa"/>
            <w:vAlign w:val="center"/>
          </w:tcPr>
          <w:p>
            <w:pPr>
              <w:rPr>
                <w:sz w:val="21"/>
                <w:szCs w:val="21"/>
              </w:rPr>
            </w:pPr>
          </w:p>
        </w:tc>
        <w:tc>
          <w:tcPr>
            <w:tcW w:w="1823"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3" w:type="dxa"/>
            <w:vAlign w:val="center"/>
          </w:tcPr>
          <w:p>
            <w:pPr>
              <w:rPr>
                <w:sz w:val="21"/>
                <w:szCs w:val="21"/>
              </w:rPr>
            </w:pPr>
          </w:p>
        </w:tc>
        <w:tc>
          <w:tcPr>
            <w:tcW w:w="3126" w:type="dxa"/>
            <w:vAlign w:val="center"/>
          </w:tcPr>
          <w:p>
            <w:pPr>
              <w:rPr>
                <w:sz w:val="21"/>
                <w:szCs w:val="21"/>
              </w:rPr>
            </w:pPr>
          </w:p>
        </w:tc>
        <w:tc>
          <w:tcPr>
            <w:tcW w:w="3432" w:type="dxa"/>
            <w:vAlign w:val="center"/>
          </w:tcPr>
          <w:p>
            <w:pPr>
              <w:rPr>
                <w:sz w:val="21"/>
                <w:szCs w:val="21"/>
              </w:rPr>
            </w:pPr>
          </w:p>
        </w:tc>
        <w:tc>
          <w:tcPr>
            <w:tcW w:w="1823"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3" w:type="dxa"/>
            <w:vAlign w:val="center"/>
          </w:tcPr>
          <w:p>
            <w:pPr>
              <w:rPr>
                <w:sz w:val="21"/>
                <w:szCs w:val="21"/>
              </w:rPr>
            </w:pPr>
          </w:p>
        </w:tc>
        <w:tc>
          <w:tcPr>
            <w:tcW w:w="3126" w:type="dxa"/>
            <w:vAlign w:val="center"/>
          </w:tcPr>
          <w:p>
            <w:pPr>
              <w:rPr>
                <w:sz w:val="21"/>
                <w:szCs w:val="21"/>
              </w:rPr>
            </w:pPr>
          </w:p>
        </w:tc>
        <w:tc>
          <w:tcPr>
            <w:tcW w:w="3432" w:type="dxa"/>
            <w:vAlign w:val="center"/>
          </w:tcPr>
          <w:p>
            <w:pPr>
              <w:rPr>
                <w:sz w:val="21"/>
                <w:szCs w:val="21"/>
              </w:rPr>
            </w:pPr>
          </w:p>
        </w:tc>
        <w:tc>
          <w:tcPr>
            <w:tcW w:w="1823" w:type="dxa"/>
            <w:vAlign w:val="center"/>
          </w:tcPr>
          <w:p>
            <w:pPr>
              <w:rPr>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853" w:type="dxa"/>
            <w:vAlign w:val="center"/>
          </w:tcPr>
          <w:p>
            <w:pPr>
              <w:rPr>
                <w:sz w:val="21"/>
                <w:szCs w:val="21"/>
              </w:rPr>
            </w:pPr>
            <w:r>
              <w:rPr>
                <w:sz w:val="21"/>
                <w:szCs w:val="21"/>
              </w:rPr>
              <w:t>备注</w:t>
            </w:r>
          </w:p>
        </w:tc>
        <w:tc>
          <w:tcPr>
            <w:tcW w:w="8381" w:type="dxa"/>
            <w:gridSpan w:val="3"/>
            <w:vAlign w:val="center"/>
          </w:tcPr>
          <w:p>
            <w:pPr>
              <w:jc w:val="both"/>
              <w:rPr>
                <w:rFonts w:asciiTheme="minorEastAsia" w:hAnsiTheme="minorEastAsia"/>
                <w:sz w:val="21"/>
                <w:szCs w:val="21"/>
              </w:rPr>
            </w:pPr>
            <w:r>
              <w:rPr>
                <w:rFonts w:asciiTheme="minorEastAsia" w:hAnsiTheme="minorEastAsia"/>
                <w:sz w:val="21"/>
                <w:szCs w:val="21"/>
              </w:rPr>
              <w:t xml:space="preserve">① </w:t>
            </w:r>
            <w:r>
              <w:rPr>
                <w:rFonts w:hint="eastAsia" w:asciiTheme="minorEastAsia" w:hAnsiTheme="minorEastAsia"/>
                <w:sz w:val="21"/>
                <w:szCs w:val="21"/>
              </w:rPr>
              <w:t>只需对第三章商务要求中的非实质性条款（未标注★的）作出响应。</w:t>
            </w:r>
            <w:r>
              <w:rPr>
                <w:rFonts w:asciiTheme="minorEastAsia" w:hAnsiTheme="minorEastAsia"/>
                <w:sz w:val="21"/>
                <w:szCs w:val="21"/>
              </w:rPr>
              <w:t>表格行数不够时，请自行扩展。</w:t>
            </w:r>
          </w:p>
          <w:p>
            <w:pPr>
              <w:jc w:val="both"/>
              <w:rPr>
                <w:rFonts w:asciiTheme="minorEastAsia" w:hAnsiTheme="minorEastAsia"/>
                <w:sz w:val="21"/>
                <w:szCs w:val="21"/>
              </w:rPr>
            </w:pPr>
            <w:r>
              <w:rPr>
                <w:rFonts w:asciiTheme="minorEastAsia" w:hAnsiTheme="minorEastAsia"/>
                <w:sz w:val="21"/>
                <w:szCs w:val="21"/>
              </w:rPr>
              <w:t>② 因单元格空间有限，不足以容纳响应内容时，</w:t>
            </w:r>
            <w:r>
              <w:rPr>
                <w:rFonts w:hint="eastAsia" w:asciiTheme="minorEastAsia" w:hAnsiTheme="minorEastAsia"/>
                <w:sz w:val="21"/>
                <w:szCs w:val="21"/>
              </w:rPr>
              <w:t>允许在本表下方另附，但须在“响应内容或索引”中注明引用位置，如“见本表下方</w:t>
            </w:r>
            <w:r>
              <w:rPr>
                <w:rFonts w:asciiTheme="minorEastAsia" w:hAnsiTheme="minorEastAsia"/>
                <w:sz w:val="21"/>
                <w:szCs w:val="21"/>
              </w:rPr>
              <w:t>5.2.1 表题</w:t>
            </w:r>
            <w:r>
              <w:rPr>
                <w:rFonts w:hint="eastAsia" w:asciiTheme="minorEastAsia" w:hAnsiTheme="minorEastAsia"/>
                <w:sz w:val="21"/>
                <w:szCs w:val="21"/>
              </w:rPr>
              <w:t>”或“见本表下方</w:t>
            </w:r>
            <w:r>
              <w:rPr>
                <w:rFonts w:asciiTheme="minorEastAsia" w:hAnsiTheme="minorEastAsia"/>
                <w:sz w:val="21"/>
                <w:szCs w:val="21"/>
              </w:rPr>
              <w:t>5</w:t>
            </w:r>
            <w:r>
              <w:rPr>
                <w:rFonts w:hint="eastAsia" w:asciiTheme="minorEastAsia" w:hAnsiTheme="minorEastAsia"/>
                <w:sz w:val="21"/>
                <w:szCs w:val="21"/>
              </w:rPr>
              <w:t>-</w:t>
            </w:r>
            <w:r>
              <w:rPr>
                <w:rFonts w:asciiTheme="minorEastAsia" w:hAnsiTheme="minorEastAsia"/>
                <w:sz w:val="21"/>
                <w:szCs w:val="21"/>
              </w:rPr>
              <w:t>2-1 图题</w:t>
            </w:r>
            <w:r>
              <w:rPr>
                <w:rFonts w:hint="eastAsia" w:asciiTheme="minorEastAsia" w:hAnsiTheme="minorEastAsia"/>
                <w:sz w:val="21"/>
                <w:szCs w:val="21"/>
              </w:rPr>
              <w:t>”（可自行编号，并确保上下文一致，因引用位置错误引起的不良后果由供应商自行承担）。</w:t>
            </w:r>
          </w:p>
          <w:p>
            <w:pPr>
              <w:jc w:val="both"/>
              <w:rPr>
                <w:rFonts w:asciiTheme="minorEastAsia" w:hAnsiTheme="minorEastAsia"/>
                <w:sz w:val="21"/>
                <w:szCs w:val="21"/>
              </w:rPr>
            </w:pPr>
            <w:r>
              <w:rPr>
                <w:rFonts w:asciiTheme="minorEastAsia" w:hAnsiTheme="minorEastAsia"/>
                <w:sz w:val="21"/>
                <w:szCs w:val="21"/>
              </w:rPr>
              <w:t>③ “响应说明”应根据实际响应程度填写“优于”、“符合”、“负偏离”</w:t>
            </w:r>
            <w:r>
              <w:rPr>
                <w:rFonts w:hint="eastAsia" w:asciiTheme="minorEastAsia" w:hAnsiTheme="minorEastAsia"/>
                <w:sz w:val="21"/>
                <w:szCs w:val="21"/>
              </w:rPr>
              <w:t>。</w:t>
            </w:r>
          </w:p>
          <w:p>
            <w:pPr>
              <w:jc w:val="both"/>
              <w:rPr>
                <w:sz w:val="21"/>
                <w:szCs w:val="21"/>
              </w:rPr>
            </w:pPr>
            <w:r>
              <w:rPr>
                <w:rFonts w:hint="eastAsia" w:asciiTheme="minorEastAsia" w:hAnsiTheme="minorEastAsia"/>
                <w:sz w:val="21"/>
                <w:szCs w:val="21"/>
              </w:rPr>
              <w:t>④ 表格中“示例”部分仅供参考，供应商在响应时请自行清除。</w:t>
            </w:r>
          </w:p>
        </w:tc>
      </w:tr>
    </w:tbl>
    <w:p>
      <w:pPr>
        <w:rPr>
          <w:rFonts w:asciiTheme="minorEastAsia" w:hAnsiTheme="minorEastAsia" w:cstheme="minorHAnsi"/>
          <w:b/>
          <w:color w:val="000000"/>
          <w:kern w:val="24"/>
        </w:rPr>
      </w:pPr>
    </w:p>
    <w:p>
      <w:pPr>
        <w:jc w:val="center"/>
        <w:rPr>
          <w:rFonts w:cstheme="minorHAnsi"/>
          <w:b/>
        </w:rPr>
      </w:pPr>
      <w:r>
        <w:rPr>
          <w:rFonts w:cstheme="minorHAnsi"/>
          <w:b/>
        </w:rPr>
        <w:t>2</w:t>
      </w:r>
      <w:r>
        <w:rPr>
          <w:rFonts w:hint="eastAsia" w:cstheme="minorHAnsi"/>
          <w:b/>
        </w:rPr>
        <w:t>.商务评审部分方案</w:t>
      </w:r>
    </w:p>
    <w:p>
      <w:pPr>
        <w:tabs>
          <w:tab w:val="center" w:pos="4395"/>
        </w:tabs>
        <w:rPr>
          <w:i/>
          <w:color w:val="C00000"/>
        </w:rPr>
      </w:pPr>
      <w:r>
        <w:rPr>
          <w:rFonts w:hint="eastAsia"/>
          <w:i/>
          <w:color w:val="C00000"/>
        </w:rPr>
        <w:t>供应商结合第三章《招标内容及要求》相关要求及第二章《评审要素及分值一览表》商务评审部分中各评审要素逐项编写方案。</w:t>
      </w:r>
    </w:p>
    <w:p>
      <w:pPr>
        <w:rPr>
          <w:rFonts w:asciiTheme="minorEastAsia" w:hAnsiTheme="minorEastAsia" w:cstheme="minorHAnsi"/>
          <w:b/>
          <w:color w:val="000000"/>
          <w:kern w:val="24"/>
        </w:rPr>
      </w:pPr>
    </w:p>
    <w:p>
      <w:pPr>
        <w:rPr>
          <w:rFonts w:asciiTheme="minorEastAsia" w:hAnsiTheme="minorEastAsia" w:cstheme="minorHAnsi"/>
          <w:b/>
          <w:color w:val="000000"/>
          <w:kern w:val="24"/>
        </w:rPr>
      </w:pPr>
      <w:r>
        <w:rPr>
          <w:rFonts w:asciiTheme="minorEastAsia" w:hAnsiTheme="minorEastAsia" w:cstheme="minorHAnsi"/>
          <w:b/>
          <w:color w:val="000000"/>
          <w:kern w:val="24"/>
        </w:rPr>
        <w:t>1</w:t>
      </w:r>
      <w:r>
        <w:rPr>
          <w:rFonts w:hint="eastAsia" w:asciiTheme="minorEastAsia" w:hAnsiTheme="minorEastAsia" w:cstheme="minorHAnsi"/>
          <w:b/>
          <w:color w:val="000000"/>
          <w:kern w:val="24"/>
        </w:rPr>
        <w:t>．人员配置情况</w:t>
      </w:r>
    </w:p>
    <w:tbl>
      <w:tblPr>
        <w:tblStyle w:val="26"/>
        <w:tblW w:w="918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34"/>
        <w:gridCol w:w="1273"/>
        <w:gridCol w:w="709"/>
        <w:gridCol w:w="709"/>
        <w:gridCol w:w="1701"/>
        <w:gridCol w:w="1417"/>
        <w:gridCol w:w="22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4" w:type="dxa"/>
            <w:tcBorders>
              <w:top w:val="single" w:color="auto" w:sz="2" w:space="0"/>
              <w:left w:val="single" w:color="auto" w:sz="2" w:space="0"/>
              <w:bottom w:val="single" w:color="auto" w:sz="2" w:space="0"/>
              <w:right w:val="single" w:color="auto" w:sz="6" w:space="0"/>
            </w:tcBorders>
            <w:shd w:val="clear" w:color="auto" w:fill="F1F1F1" w:themeFill="background1" w:themeFillShade="F2"/>
            <w:vAlign w:val="center"/>
          </w:tcPr>
          <w:p>
            <w:pPr>
              <w:jc w:val="center"/>
              <w:rPr>
                <w:rFonts w:asciiTheme="minorEastAsia" w:hAnsiTheme="minorEastAsia" w:cstheme="minorHAnsi"/>
                <w:b/>
                <w:color w:val="000000"/>
                <w:sz w:val="21"/>
                <w:szCs w:val="21"/>
              </w:rPr>
            </w:pPr>
            <w:r>
              <w:rPr>
                <w:rFonts w:hint="eastAsia" w:asciiTheme="minorEastAsia" w:hAnsiTheme="minorEastAsia" w:cstheme="minorHAnsi"/>
                <w:b/>
                <w:color w:val="000000"/>
                <w:sz w:val="21"/>
                <w:szCs w:val="21"/>
              </w:rPr>
              <w:t>岗位</w:t>
            </w:r>
          </w:p>
        </w:tc>
        <w:tc>
          <w:tcPr>
            <w:tcW w:w="1273" w:type="dxa"/>
            <w:tcBorders>
              <w:top w:val="single" w:color="auto" w:sz="2" w:space="0"/>
              <w:left w:val="single" w:color="auto" w:sz="6" w:space="0"/>
              <w:bottom w:val="single" w:color="auto" w:sz="2" w:space="0"/>
            </w:tcBorders>
            <w:shd w:val="clear" w:color="auto" w:fill="F1F1F1" w:themeFill="background1" w:themeFillShade="F2"/>
            <w:vAlign w:val="center"/>
          </w:tcPr>
          <w:p>
            <w:pPr>
              <w:jc w:val="center"/>
              <w:rPr>
                <w:rFonts w:asciiTheme="minorEastAsia" w:hAnsiTheme="minorEastAsia" w:cstheme="minorHAnsi"/>
                <w:b/>
                <w:color w:val="000000"/>
                <w:sz w:val="21"/>
                <w:szCs w:val="21"/>
              </w:rPr>
            </w:pPr>
            <w:r>
              <w:rPr>
                <w:rFonts w:asciiTheme="minorEastAsia" w:hAnsiTheme="minorEastAsia" w:cstheme="minorHAnsi"/>
                <w:b/>
                <w:color w:val="000000"/>
                <w:sz w:val="21"/>
                <w:szCs w:val="21"/>
              </w:rPr>
              <w:t>姓名</w:t>
            </w:r>
          </w:p>
        </w:tc>
        <w:tc>
          <w:tcPr>
            <w:tcW w:w="709" w:type="dxa"/>
            <w:tcBorders>
              <w:top w:val="single" w:color="auto" w:sz="2" w:space="0"/>
              <w:bottom w:val="single" w:color="auto" w:sz="2" w:space="0"/>
            </w:tcBorders>
            <w:shd w:val="clear" w:color="auto" w:fill="F1F1F1" w:themeFill="background1" w:themeFillShade="F2"/>
            <w:vAlign w:val="center"/>
          </w:tcPr>
          <w:p>
            <w:pPr>
              <w:jc w:val="center"/>
              <w:rPr>
                <w:rFonts w:asciiTheme="minorEastAsia" w:hAnsiTheme="minorEastAsia" w:cstheme="minorHAnsi"/>
                <w:b/>
                <w:color w:val="000000"/>
                <w:sz w:val="21"/>
                <w:szCs w:val="21"/>
              </w:rPr>
            </w:pPr>
            <w:r>
              <w:rPr>
                <w:rFonts w:asciiTheme="minorEastAsia" w:hAnsiTheme="minorEastAsia" w:cstheme="minorHAnsi"/>
                <w:b/>
                <w:color w:val="000000"/>
                <w:sz w:val="21"/>
                <w:szCs w:val="21"/>
              </w:rPr>
              <w:t>年龄</w:t>
            </w:r>
          </w:p>
        </w:tc>
        <w:tc>
          <w:tcPr>
            <w:tcW w:w="709" w:type="dxa"/>
            <w:tcBorders>
              <w:top w:val="single" w:color="auto" w:sz="2" w:space="0"/>
              <w:bottom w:val="single" w:color="auto" w:sz="2" w:space="0"/>
            </w:tcBorders>
            <w:shd w:val="clear" w:color="auto" w:fill="F1F1F1" w:themeFill="background1" w:themeFillShade="F2"/>
            <w:vAlign w:val="center"/>
          </w:tcPr>
          <w:p>
            <w:pPr>
              <w:jc w:val="center"/>
              <w:rPr>
                <w:rFonts w:asciiTheme="minorEastAsia" w:hAnsiTheme="minorEastAsia" w:cstheme="minorHAnsi"/>
                <w:b/>
                <w:color w:val="000000"/>
                <w:sz w:val="21"/>
                <w:szCs w:val="21"/>
              </w:rPr>
            </w:pPr>
            <w:r>
              <w:rPr>
                <w:rFonts w:asciiTheme="minorEastAsia" w:hAnsiTheme="minorEastAsia" w:cstheme="minorHAnsi"/>
                <w:b/>
                <w:color w:val="000000"/>
                <w:sz w:val="21"/>
                <w:szCs w:val="21"/>
              </w:rPr>
              <w:t>性别</w:t>
            </w:r>
          </w:p>
        </w:tc>
        <w:tc>
          <w:tcPr>
            <w:tcW w:w="1701" w:type="dxa"/>
            <w:tcBorders>
              <w:top w:val="single" w:color="auto" w:sz="2" w:space="0"/>
              <w:bottom w:val="single" w:color="auto" w:sz="2" w:space="0"/>
            </w:tcBorders>
            <w:shd w:val="clear" w:color="auto" w:fill="F1F1F1" w:themeFill="background1" w:themeFillShade="F2"/>
            <w:vAlign w:val="center"/>
          </w:tcPr>
          <w:p>
            <w:pPr>
              <w:jc w:val="center"/>
              <w:rPr>
                <w:rFonts w:asciiTheme="minorEastAsia" w:hAnsiTheme="minorEastAsia" w:cstheme="minorHAnsi"/>
                <w:b/>
                <w:color w:val="000000"/>
                <w:sz w:val="21"/>
                <w:szCs w:val="21"/>
              </w:rPr>
            </w:pPr>
            <w:r>
              <w:rPr>
                <w:rFonts w:asciiTheme="minorEastAsia" w:hAnsiTheme="minorEastAsia" w:cstheme="minorHAnsi"/>
                <w:b/>
                <w:color w:val="000000"/>
                <w:sz w:val="21"/>
                <w:szCs w:val="21"/>
              </w:rPr>
              <w:t>资格\学历\职称</w:t>
            </w:r>
          </w:p>
        </w:tc>
        <w:tc>
          <w:tcPr>
            <w:tcW w:w="1417" w:type="dxa"/>
            <w:tcBorders>
              <w:top w:val="single" w:color="auto" w:sz="2" w:space="0"/>
              <w:bottom w:val="single" w:color="auto" w:sz="2" w:space="0"/>
              <w:right w:val="single" w:color="auto" w:sz="2" w:space="0"/>
            </w:tcBorders>
            <w:shd w:val="clear" w:color="auto" w:fill="F1F1F1" w:themeFill="background1" w:themeFillShade="F2"/>
            <w:vAlign w:val="center"/>
          </w:tcPr>
          <w:p>
            <w:pPr>
              <w:jc w:val="center"/>
              <w:rPr>
                <w:rFonts w:asciiTheme="minorEastAsia" w:hAnsiTheme="minorEastAsia" w:cstheme="minorHAnsi"/>
                <w:b/>
                <w:color w:val="000000"/>
                <w:sz w:val="21"/>
                <w:szCs w:val="21"/>
              </w:rPr>
            </w:pPr>
            <w:r>
              <w:rPr>
                <w:rFonts w:asciiTheme="minorEastAsia" w:hAnsiTheme="minorEastAsia" w:cstheme="minorHAnsi"/>
                <w:b/>
                <w:color w:val="000000"/>
                <w:sz w:val="21"/>
                <w:szCs w:val="21"/>
              </w:rPr>
              <w:t>在本行业从业工作年限</w:t>
            </w:r>
          </w:p>
        </w:tc>
        <w:tc>
          <w:tcPr>
            <w:tcW w:w="2242" w:type="dxa"/>
            <w:tcBorders>
              <w:top w:val="single" w:color="auto" w:sz="2" w:space="0"/>
              <w:left w:val="single" w:color="auto" w:sz="2" w:space="0"/>
              <w:bottom w:val="single" w:color="auto" w:sz="2" w:space="0"/>
              <w:right w:val="single" w:color="auto" w:sz="2" w:space="0"/>
            </w:tcBorders>
            <w:shd w:val="clear" w:color="auto" w:fill="F1F1F1" w:themeFill="background1" w:themeFillShade="F2"/>
            <w:vAlign w:val="center"/>
          </w:tcPr>
          <w:p>
            <w:pPr>
              <w:jc w:val="center"/>
              <w:rPr>
                <w:rFonts w:asciiTheme="minorEastAsia" w:hAnsiTheme="minorEastAsia" w:cstheme="minorHAnsi"/>
                <w:b/>
                <w:color w:val="000000"/>
                <w:sz w:val="21"/>
                <w:szCs w:val="21"/>
              </w:rPr>
            </w:pPr>
            <w:r>
              <w:rPr>
                <w:rFonts w:asciiTheme="minorEastAsia" w:hAnsiTheme="minorEastAsia" w:cstheme="minorHAnsi"/>
                <w:b/>
                <w:color w:val="000000"/>
                <w:sz w:val="21"/>
                <w:szCs w:val="21"/>
              </w:rPr>
              <w:t>主要工作业绩和经历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4" w:type="dxa"/>
            <w:tcBorders>
              <w:top w:val="single" w:color="auto" w:sz="2" w:space="0"/>
              <w:left w:val="single" w:color="auto" w:sz="2" w:space="0"/>
              <w:bottom w:val="single" w:color="auto" w:sz="2" w:space="0"/>
              <w:right w:val="single" w:color="auto" w:sz="6" w:space="0"/>
            </w:tcBorders>
            <w:shd w:val="clear" w:color="auto" w:fill="auto"/>
            <w:vAlign w:val="center"/>
          </w:tcPr>
          <w:p>
            <w:pPr>
              <w:jc w:val="center"/>
              <w:rPr>
                <w:rFonts w:asciiTheme="minorEastAsia" w:hAnsiTheme="minorEastAsia" w:cstheme="minorHAnsi"/>
                <w:color w:val="000000"/>
                <w:sz w:val="21"/>
                <w:szCs w:val="21"/>
              </w:rPr>
            </w:pPr>
          </w:p>
        </w:tc>
        <w:tc>
          <w:tcPr>
            <w:tcW w:w="1273" w:type="dxa"/>
            <w:tcBorders>
              <w:top w:val="single" w:color="auto" w:sz="2" w:space="0"/>
              <w:left w:val="single" w:color="auto" w:sz="6"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709" w:type="dxa"/>
            <w:tcBorders>
              <w:top w:val="single" w:color="auto" w:sz="2"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709" w:type="dxa"/>
            <w:tcBorders>
              <w:top w:val="single" w:color="auto" w:sz="2"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1701" w:type="dxa"/>
            <w:tcBorders>
              <w:top w:val="single" w:color="auto" w:sz="2"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1417" w:type="dxa"/>
            <w:tcBorders>
              <w:top w:val="single" w:color="auto" w:sz="2" w:space="0"/>
              <w:bottom w:val="single" w:color="auto" w:sz="2" w:space="0"/>
              <w:right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2242" w:type="dxa"/>
            <w:tcBorders>
              <w:top w:val="single" w:color="auto" w:sz="2" w:space="0"/>
              <w:left w:val="single" w:color="auto" w:sz="2" w:space="0"/>
              <w:bottom w:val="single" w:color="auto" w:sz="2" w:space="0"/>
              <w:right w:val="single" w:color="auto" w:sz="2" w:space="0"/>
            </w:tcBorders>
            <w:shd w:val="clear" w:color="auto" w:fill="auto"/>
            <w:vAlign w:val="center"/>
          </w:tcPr>
          <w:p>
            <w:pPr>
              <w:jc w:val="center"/>
              <w:rPr>
                <w:rFonts w:asciiTheme="minorEastAsia" w:hAnsiTheme="minorEastAsia" w:cstheme="minorHAnsi"/>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4" w:type="dxa"/>
            <w:tcBorders>
              <w:top w:val="single" w:color="auto" w:sz="2" w:space="0"/>
              <w:left w:val="single" w:color="auto" w:sz="2" w:space="0"/>
              <w:bottom w:val="single" w:color="auto" w:sz="2" w:space="0"/>
              <w:right w:val="single" w:color="auto" w:sz="6" w:space="0"/>
            </w:tcBorders>
            <w:shd w:val="clear" w:color="auto" w:fill="auto"/>
            <w:vAlign w:val="center"/>
          </w:tcPr>
          <w:p>
            <w:pPr>
              <w:jc w:val="center"/>
              <w:rPr>
                <w:rFonts w:asciiTheme="minorEastAsia" w:hAnsiTheme="minorEastAsia" w:cstheme="minorHAnsi"/>
                <w:color w:val="000000"/>
                <w:sz w:val="21"/>
                <w:szCs w:val="21"/>
              </w:rPr>
            </w:pPr>
          </w:p>
        </w:tc>
        <w:tc>
          <w:tcPr>
            <w:tcW w:w="1273" w:type="dxa"/>
            <w:tcBorders>
              <w:top w:val="single" w:color="auto" w:sz="2" w:space="0"/>
              <w:left w:val="single" w:color="auto" w:sz="6"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709" w:type="dxa"/>
            <w:tcBorders>
              <w:top w:val="single" w:color="auto" w:sz="2"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709" w:type="dxa"/>
            <w:tcBorders>
              <w:top w:val="single" w:color="auto" w:sz="2"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1701" w:type="dxa"/>
            <w:tcBorders>
              <w:top w:val="single" w:color="auto" w:sz="2"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1417" w:type="dxa"/>
            <w:tcBorders>
              <w:top w:val="single" w:color="auto" w:sz="2" w:space="0"/>
              <w:bottom w:val="single" w:color="auto" w:sz="2" w:space="0"/>
              <w:right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2242" w:type="dxa"/>
            <w:tcBorders>
              <w:top w:val="single" w:color="auto" w:sz="2" w:space="0"/>
              <w:left w:val="single" w:color="auto" w:sz="2" w:space="0"/>
              <w:bottom w:val="single" w:color="auto" w:sz="2" w:space="0"/>
              <w:right w:val="single" w:color="auto" w:sz="2" w:space="0"/>
            </w:tcBorders>
            <w:shd w:val="clear" w:color="auto" w:fill="auto"/>
            <w:vAlign w:val="center"/>
          </w:tcPr>
          <w:p>
            <w:pPr>
              <w:jc w:val="center"/>
              <w:rPr>
                <w:rFonts w:asciiTheme="minorEastAsia" w:hAnsiTheme="minorEastAsia" w:cstheme="minorHAnsi"/>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4" w:type="dxa"/>
            <w:tcBorders>
              <w:top w:val="single" w:color="auto" w:sz="2" w:space="0"/>
              <w:left w:val="single" w:color="auto" w:sz="2" w:space="0"/>
              <w:bottom w:val="single" w:color="auto" w:sz="2" w:space="0"/>
              <w:right w:val="single" w:color="auto" w:sz="6" w:space="0"/>
            </w:tcBorders>
            <w:shd w:val="clear" w:color="auto" w:fill="auto"/>
            <w:vAlign w:val="center"/>
          </w:tcPr>
          <w:p>
            <w:pPr>
              <w:jc w:val="center"/>
              <w:rPr>
                <w:rFonts w:asciiTheme="minorEastAsia" w:hAnsiTheme="minorEastAsia" w:cstheme="minorHAnsi"/>
                <w:color w:val="000000"/>
                <w:sz w:val="21"/>
                <w:szCs w:val="21"/>
              </w:rPr>
            </w:pPr>
          </w:p>
        </w:tc>
        <w:tc>
          <w:tcPr>
            <w:tcW w:w="1273" w:type="dxa"/>
            <w:tcBorders>
              <w:top w:val="single" w:color="auto" w:sz="2" w:space="0"/>
              <w:left w:val="single" w:color="auto" w:sz="6"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709" w:type="dxa"/>
            <w:tcBorders>
              <w:top w:val="single" w:color="auto" w:sz="2"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709" w:type="dxa"/>
            <w:tcBorders>
              <w:top w:val="single" w:color="auto" w:sz="2"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1701" w:type="dxa"/>
            <w:tcBorders>
              <w:top w:val="single" w:color="auto" w:sz="2"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1417" w:type="dxa"/>
            <w:tcBorders>
              <w:top w:val="single" w:color="auto" w:sz="2" w:space="0"/>
              <w:bottom w:val="single" w:color="auto" w:sz="2" w:space="0"/>
              <w:right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2242" w:type="dxa"/>
            <w:tcBorders>
              <w:top w:val="single" w:color="auto" w:sz="2" w:space="0"/>
              <w:left w:val="single" w:color="auto" w:sz="2" w:space="0"/>
              <w:bottom w:val="single" w:color="auto" w:sz="2" w:space="0"/>
              <w:right w:val="single" w:color="auto" w:sz="2" w:space="0"/>
            </w:tcBorders>
            <w:shd w:val="clear" w:color="auto" w:fill="auto"/>
            <w:vAlign w:val="center"/>
          </w:tcPr>
          <w:p>
            <w:pPr>
              <w:jc w:val="center"/>
              <w:rPr>
                <w:rFonts w:asciiTheme="minorEastAsia" w:hAnsiTheme="minorEastAsia" w:cstheme="minorHAnsi"/>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4" w:type="dxa"/>
            <w:tcBorders>
              <w:top w:val="single" w:color="auto" w:sz="2" w:space="0"/>
              <w:left w:val="single" w:color="auto" w:sz="2" w:space="0"/>
              <w:bottom w:val="single" w:color="auto" w:sz="2" w:space="0"/>
              <w:right w:val="single" w:color="auto" w:sz="6" w:space="0"/>
            </w:tcBorders>
            <w:shd w:val="clear" w:color="auto" w:fill="auto"/>
            <w:vAlign w:val="center"/>
          </w:tcPr>
          <w:p>
            <w:pPr>
              <w:jc w:val="center"/>
              <w:rPr>
                <w:rFonts w:asciiTheme="minorEastAsia" w:hAnsiTheme="minorEastAsia" w:cstheme="minorHAnsi"/>
                <w:color w:val="000000"/>
                <w:sz w:val="21"/>
                <w:szCs w:val="21"/>
              </w:rPr>
            </w:pPr>
          </w:p>
        </w:tc>
        <w:tc>
          <w:tcPr>
            <w:tcW w:w="1273" w:type="dxa"/>
            <w:tcBorders>
              <w:top w:val="single" w:color="auto" w:sz="2" w:space="0"/>
              <w:left w:val="single" w:color="auto" w:sz="6"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709" w:type="dxa"/>
            <w:tcBorders>
              <w:top w:val="single" w:color="auto" w:sz="2"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709" w:type="dxa"/>
            <w:tcBorders>
              <w:top w:val="single" w:color="auto" w:sz="2"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1701" w:type="dxa"/>
            <w:tcBorders>
              <w:top w:val="single" w:color="auto" w:sz="2"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1417" w:type="dxa"/>
            <w:tcBorders>
              <w:top w:val="single" w:color="auto" w:sz="2" w:space="0"/>
              <w:bottom w:val="single" w:color="auto" w:sz="2" w:space="0"/>
              <w:right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2242" w:type="dxa"/>
            <w:tcBorders>
              <w:top w:val="single" w:color="auto" w:sz="2" w:space="0"/>
              <w:left w:val="single" w:color="auto" w:sz="2" w:space="0"/>
              <w:bottom w:val="single" w:color="auto" w:sz="2" w:space="0"/>
              <w:right w:val="single" w:color="auto" w:sz="2" w:space="0"/>
            </w:tcBorders>
            <w:shd w:val="clear" w:color="auto" w:fill="auto"/>
            <w:vAlign w:val="center"/>
          </w:tcPr>
          <w:p>
            <w:pPr>
              <w:jc w:val="center"/>
              <w:rPr>
                <w:rFonts w:asciiTheme="minorEastAsia" w:hAnsiTheme="minorEastAsia" w:cstheme="minorHAnsi"/>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4" w:type="dxa"/>
            <w:tcBorders>
              <w:top w:val="single" w:color="auto" w:sz="2" w:space="0"/>
              <w:left w:val="single" w:color="auto" w:sz="2" w:space="0"/>
              <w:bottom w:val="single" w:color="auto" w:sz="2" w:space="0"/>
              <w:right w:val="single" w:color="auto" w:sz="6" w:space="0"/>
            </w:tcBorders>
            <w:shd w:val="clear" w:color="auto" w:fill="auto"/>
            <w:vAlign w:val="center"/>
          </w:tcPr>
          <w:p>
            <w:pPr>
              <w:jc w:val="center"/>
              <w:rPr>
                <w:rFonts w:asciiTheme="minorEastAsia" w:hAnsiTheme="minorEastAsia" w:cstheme="minorHAnsi"/>
                <w:color w:val="000000"/>
                <w:sz w:val="21"/>
                <w:szCs w:val="21"/>
              </w:rPr>
            </w:pPr>
          </w:p>
        </w:tc>
        <w:tc>
          <w:tcPr>
            <w:tcW w:w="1273" w:type="dxa"/>
            <w:tcBorders>
              <w:top w:val="single" w:color="auto" w:sz="2" w:space="0"/>
              <w:left w:val="single" w:color="auto" w:sz="6"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709" w:type="dxa"/>
            <w:tcBorders>
              <w:top w:val="single" w:color="auto" w:sz="2"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709" w:type="dxa"/>
            <w:tcBorders>
              <w:top w:val="single" w:color="auto" w:sz="2"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1701" w:type="dxa"/>
            <w:tcBorders>
              <w:top w:val="single" w:color="auto" w:sz="2"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1417" w:type="dxa"/>
            <w:tcBorders>
              <w:top w:val="single" w:color="auto" w:sz="2" w:space="0"/>
              <w:bottom w:val="single" w:color="auto" w:sz="2" w:space="0"/>
              <w:right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2242" w:type="dxa"/>
            <w:tcBorders>
              <w:top w:val="single" w:color="auto" w:sz="2" w:space="0"/>
              <w:left w:val="single" w:color="auto" w:sz="2" w:space="0"/>
              <w:bottom w:val="single" w:color="auto" w:sz="2" w:space="0"/>
              <w:right w:val="single" w:color="auto" w:sz="2" w:space="0"/>
            </w:tcBorders>
            <w:shd w:val="clear" w:color="auto" w:fill="auto"/>
            <w:vAlign w:val="center"/>
          </w:tcPr>
          <w:p>
            <w:pPr>
              <w:jc w:val="center"/>
              <w:rPr>
                <w:rFonts w:asciiTheme="minorEastAsia" w:hAnsiTheme="minorEastAsia" w:cstheme="minorHAnsi"/>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4" w:type="dxa"/>
            <w:tcBorders>
              <w:top w:val="single" w:color="auto" w:sz="2" w:space="0"/>
              <w:left w:val="single" w:color="auto" w:sz="2" w:space="0"/>
              <w:bottom w:val="single" w:color="auto" w:sz="2" w:space="0"/>
              <w:right w:val="single" w:color="auto" w:sz="6" w:space="0"/>
            </w:tcBorders>
            <w:shd w:val="clear" w:color="auto" w:fill="auto"/>
            <w:vAlign w:val="center"/>
          </w:tcPr>
          <w:p>
            <w:pPr>
              <w:jc w:val="center"/>
              <w:rPr>
                <w:rFonts w:asciiTheme="minorEastAsia" w:hAnsiTheme="minorEastAsia" w:cstheme="minorHAnsi"/>
                <w:color w:val="000000"/>
                <w:sz w:val="21"/>
                <w:szCs w:val="21"/>
              </w:rPr>
            </w:pPr>
          </w:p>
        </w:tc>
        <w:tc>
          <w:tcPr>
            <w:tcW w:w="1273" w:type="dxa"/>
            <w:tcBorders>
              <w:top w:val="single" w:color="auto" w:sz="2" w:space="0"/>
              <w:left w:val="single" w:color="auto" w:sz="6"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709" w:type="dxa"/>
            <w:tcBorders>
              <w:top w:val="single" w:color="auto" w:sz="2"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709" w:type="dxa"/>
            <w:tcBorders>
              <w:top w:val="single" w:color="auto" w:sz="2"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1701" w:type="dxa"/>
            <w:tcBorders>
              <w:top w:val="single" w:color="auto" w:sz="2"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1417" w:type="dxa"/>
            <w:tcBorders>
              <w:top w:val="single" w:color="auto" w:sz="2" w:space="0"/>
              <w:bottom w:val="single" w:color="auto" w:sz="2" w:space="0"/>
              <w:right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2242" w:type="dxa"/>
            <w:tcBorders>
              <w:top w:val="single" w:color="auto" w:sz="2" w:space="0"/>
              <w:left w:val="single" w:color="auto" w:sz="2" w:space="0"/>
              <w:bottom w:val="single" w:color="auto" w:sz="2" w:space="0"/>
              <w:right w:val="single" w:color="auto" w:sz="2" w:space="0"/>
            </w:tcBorders>
            <w:shd w:val="clear" w:color="auto" w:fill="auto"/>
            <w:vAlign w:val="center"/>
          </w:tcPr>
          <w:p>
            <w:pPr>
              <w:jc w:val="center"/>
              <w:rPr>
                <w:rFonts w:asciiTheme="minorEastAsia" w:hAnsiTheme="minorEastAsia" w:cstheme="minorHAnsi"/>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4" w:type="dxa"/>
            <w:tcBorders>
              <w:top w:val="single" w:color="auto" w:sz="2" w:space="0"/>
              <w:left w:val="single" w:color="auto" w:sz="2" w:space="0"/>
              <w:bottom w:val="single" w:color="auto" w:sz="2" w:space="0"/>
              <w:right w:val="single" w:color="auto" w:sz="6" w:space="0"/>
            </w:tcBorders>
            <w:shd w:val="clear" w:color="auto" w:fill="auto"/>
            <w:vAlign w:val="center"/>
          </w:tcPr>
          <w:p>
            <w:pPr>
              <w:jc w:val="center"/>
              <w:rPr>
                <w:rFonts w:asciiTheme="minorEastAsia" w:hAnsiTheme="minorEastAsia" w:cstheme="minorHAnsi"/>
                <w:color w:val="000000"/>
                <w:sz w:val="21"/>
                <w:szCs w:val="21"/>
              </w:rPr>
            </w:pPr>
          </w:p>
        </w:tc>
        <w:tc>
          <w:tcPr>
            <w:tcW w:w="1273" w:type="dxa"/>
            <w:tcBorders>
              <w:top w:val="single" w:color="auto" w:sz="2" w:space="0"/>
              <w:left w:val="single" w:color="auto" w:sz="6"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709" w:type="dxa"/>
            <w:tcBorders>
              <w:top w:val="single" w:color="auto" w:sz="2"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709" w:type="dxa"/>
            <w:tcBorders>
              <w:top w:val="single" w:color="auto" w:sz="2"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1701" w:type="dxa"/>
            <w:tcBorders>
              <w:top w:val="single" w:color="auto" w:sz="2" w:space="0"/>
              <w:bottom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1417" w:type="dxa"/>
            <w:tcBorders>
              <w:top w:val="single" w:color="auto" w:sz="2" w:space="0"/>
              <w:bottom w:val="single" w:color="auto" w:sz="2" w:space="0"/>
              <w:right w:val="single" w:color="auto" w:sz="2" w:space="0"/>
            </w:tcBorders>
            <w:shd w:val="clear" w:color="auto" w:fill="auto"/>
            <w:vAlign w:val="center"/>
          </w:tcPr>
          <w:p>
            <w:pPr>
              <w:jc w:val="center"/>
              <w:rPr>
                <w:rFonts w:asciiTheme="minorEastAsia" w:hAnsiTheme="minorEastAsia" w:cstheme="minorHAnsi"/>
                <w:color w:val="000000"/>
                <w:sz w:val="21"/>
                <w:szCs w:val="21"/>
              </w:rPr>
            </w:pPr>
          </w:p>
        </w:tc>
        <w:tc>
          <w:tcPr>
            <w:tcW w:w="2242" w:type="dxa"/>
            <w:tcBorders>
              <w:top w:val="single" w:color="auto" w:sz="2" w:space="0"/>
              <w:left w:val="single" w:color="auto" w:sz="2" w:space="0"/>
              <w:bottom w:val="single" w:color="auto" w:sz="2" w:space="0"/>
              <w:right w:val="single" w:color="auto" w:sz="2" w:space="0"/>
            </w:tcBorders>
            <w:shd w:val="clear" w:color="auto" w:fill="auto"/>
            <w:vAlign w:val="center"/>
          </w:tcPr>
          <w:p>
            <w:pPr>
              <w:jc w:val="center"/>
              <w:rPr>
                <w:rFonts w:asciiTheme="minorEastAsia" w:hAnsiTheme="minorEastAsia" w:cstheme="minorHAnsi"/>
                <w:color w:val="00000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134" w:type="dxa"/>
            <w:tcBorders>
              <w:top w:val="single" w:color="auto" w:sz="2" w:space="0"/>
              <w:left w:val="single" w:color="auto" w:sz="2" w:space="0"/>
              <w:bottom w:val="single" w:color="auto" w:sz="2" w:space="0"/>
              <w:right w:val="single" w:color="auto" w:sz="6" w:space="0"/>
            </w:tcBorders>
            <w:shd w:val="clear" w:color="auto" w:fill="auto"/>
            <w:vAlign w:val="center"/>
          </w:tcPr>
          <w:p>
            <w:pPr>
              <w:jc w:val="center"/>
              <w:rPr>
                <w:rFonts w:asciiTheme="minorEastAsia" w:hAnsiTheme="minorEastAsia" w:cstheme="minorHAnsi"/>
                <w:color w:val="000000"/>
                <w:sz w:val="21"/>
                <w:szCs w:val="21"/>
              </w:rPr>
            </w:pPr>
            <w:r>
              <w:rPr>
                <w:rFonts w:asciiTheme="minorEastAsia" w:hAnsiTheme="minorEastAsia" w:cstheme="minorHAnsi"/>
                <w:color w:val="000000"/>
                <w:sz w:val="21"/>
                <w:szCs w:val="21"/>
              </w:rPr>
              <w:t>备注</w:t>
            </w:r>
          </w:p>
        </w:tc>
        <w:tc>
          <w:tcPr>
            <w:tcW w:w="8051" w:type="dxa"/>
            <w:gridSpan w:val="6"/>
            <w:tcBorders>
              <w:top w:val="single" w:color="auto" w:sz="2" w:space="0"/>
              <w:left w:val="single" w:color="auto" w:sz="6" w:space="0"/>
              <w:bottom w:val="single" w:color="auto" w:sz="2" w:space="0"/>
              <w:right w:val="single" w:color="auto" w:sz="2" w:space="0"/>
            </w:tcBorders>
            <w:shd w:val="clear" w:color="auto" w:fill="auto"/>
            <w:vAlign w:val="center"/>
          </w:tcPr>
          <w:p>
            <w:pPr>
              <w:ind w:left="158" w:hanging="157" w:hangingChars="75"/>
              <w:rPr>
                <w:rFonts w:asciiTheme="minorEastAsia" w:hAnsiTheme="minorEastAsia" w:cstheme="minorHAnsi"/>
                <w:color w:val="000000"/>
                <w:sz w:val="21"/>
                <w:szCs w:val="21"/>
              </w:rPr>
            </w:pPr>
            <w:r>
              <w:rPr>
                <w:rFonts w:asciiTheme="minorEastAsia" w:hAnsiTheme="minorEastAsia" w:cstheme="minorHAnsi"/>
                <w:color w:val="000000"/>
                <w:sz w:val="21"/>
                <w:szCs w:val="21"/>
              </w:rPr>
              <w:t>① 表格行数不足时请自行扩展。</w:t>
            </w:r>
          </w:p>
          <w:p>
            <w:pPr>
              <w:ind w:left="158" w:hanging="157" w:hangingChars="75"/>
              <w:rPr>
                <w:rFonts w:asciiTheme="minorEastAsia" w:hAnsiTheme="minorEastAsia" w:cstheme="minorHAnsi"/>
                <w:color w:val="000000"/>
                <w:sz w:val="21"/>
                <w:szCs w:val="21"/>
              </w:rPr>
            </w:pPr>
            <w:r>
              <w:rPr>
                <w:rFonts w:asciiTheme="minorEastAsia" w:hAnsiTheme="minorEastAsia" w:cstheme="minorHAnsi"/>
                <w:color w:val="000000"/>
                <w:sz w:val="21"/>
                <w:szCs w:val="21"/>
              </w:rPr>
              <w:t>② 招标文件对人员“资格\学历\职称”提出要求的，应在本表下方附相应的“资格证\学历证\职称证”等证明材料。</w:t>
            </w:r>
          </w:p>
        </w:tc>
      </w:tr>
    </w:tbl>
    <w:p>
      <w:pPr>
        <w:rPr>
          <w:rFonts w:asciiTheme="minorEastAsia" w:hAnsiTheme="minorEastAsia" w:cstheme="minorHAnsi"/>
          <w:color w:val="C00000"/>
          <w:kern w:val="24"/>
        </w:rPr>
      </w:pPr>
      <w:r>
        <w:rPr>
          <w:rFonts w:asciiTheme="minorEastAsia" w:hAnsiTheme="minorEastAsia" w:cstheme="minorHAnsi"/>
          <w:color w:val="C00000"/>
          <w:kern w:val="24"/>
        </w:rPr>
        <w:t>附：人员资格证</w:t>
      </w:r>
      <w:r>
        <w:rPr>
          <w:rFonts w:hint="eastAsia" w:asciiTheme="minorEastAsia" w:hAnsiTheme="minorEastAsia" w:cstheme="minorHAnsi"/>
          <w:color w:val="C00000"/>
          <w:kern w:val="24"/>
        </w:rPr>
        <w:t>\学历证\职称证等材料</w:t>
      </w:r>
    </w:p>
    <w:p>
      <w:pPr>
        <w:rPr>
          <w:rFonts w:asciiTheme="minorEastAsia" w:hAnsiTheme="minorEastAsia" w:cstheme="minorHAnsi"/>
          <w:b/>
          <w:color w:val="000000"/>
          <w:kern w:val="24"/>
        </w:rPr>
      </w:pPr>
    </w:p>
    <w:p>
      <w:pPr>
        <w:rPr>
          <w:rFonts w:asciiTheme="minorEastAsia" w:hAnsiTheme="minorEastAsia" w:cstheme="minorHAnsi"/>
          <w:b/>
          <w:color w:val="000000"/>
          <w:kern w:val="24"/>
        </w:rPr>
      </w:pPr>
      <w:r>
        <w:rPr>
          <w:rFonts w:asciiTheme="minorEastAsia" w:hAnsiTheme="minorEastAsia" w:cstheme="minorHAnsi"/>
          <w:b/>
          <w:color w:val="000000"/>
          <w:kern w:val="24"/>
        </w:rPr>
        <w:t>2</w:t>
      </w:r>
      <w:r>
        <w:rPr>
          <w:rFonts w:hint="eastAsia" w:asciiTheme="minorEastAsia" w:hAnsiTheme="minorEastAsia" w:cstheme="minorHAnsi"/>
          <w:b/>
          <w:color w:val="000000"/>
          <w:kern w:val="24"/>
        </w:rPr>
        <w:t>．管理制度</w:t>
      </w:r>
    </w:p>
    <w:p>
      <w:pPr>
        <w:rPr>
          <w:rFonts w:asciiTheme="minorEastAsia" w:hAnsiTheme="minorEastAsia" w:cstheme="minorHAnsi"/>
          <w:b/>
          <w:color w:val="000000"/>
          <w:kern w:val="24"/>
        </w:rPr>
      </w:pPr>
    </w:p>
    <w:p>
      <w:pPr>
        <w:rPr>
          <w:rFonts w:asciiTheme="minorEastAsia" w:hAnsiTheme="minorEastAsia" w:cstheme="minorHAnsi"/>
          <w:b/>
          <w:color w:val="000000"/>
          <w:kern w:val="24"/>
        </w:rPr>
      </w:pPr>
      <w:r>
        <w:rPr>
          <w:rFonts w:hint="eastAsia" w:asciiTheme="minorEastAsia" w:hAnsiTheme="minorEastAsia" w:cstheme="minorHAnsi"/>
          <w:b/>
          <w:color w:val="000000"/>
          <w:kern w:val="24"/>
        </w:rPr>
        <w:t>3.管理体系</w:t>
      </w:r>
      <w:r>
        <w:rPr>
          <w:rFonts w:asciiTheme="minorEastAsia" w:hAnsiTheme="minorEastAsia" w:cstheme="minorHAnsi"/>
          <w:b/>
          <w:color w:val="000000"/>
          <w:kern w:val="24"/>
        </w:rPr>
        <w:t>认证证书</w:t>
      </w:r>
    </w:p>
    <w:p>
      <w:pPr>
        <w:rPr>
          <w:rFonts w:asciiTheme="minorEastAsia" w:hAnsiTheme="minorEastAsia" w:cstheme="minorHAnsi"/>
          <w:b/>
          <w:color w:val="000000"/>
          <w:kern w:val="24"/>
        </w:rPr>
      </w:pPr>
    </w:p>
    <w:p>
      <w:pPr>
        <w:rPr>
          <w:rFonts w:asciiTheme="minorEastAsia" w:hAnsiTheme="minorEastAsia" w:cstheme="minorHAnsi"/>
          <w:b/>
          <w:color w:val="000000"/>
          <w:kern w:val="24"/>
        </w:rPr>
      </w:pPr>
      <w:r>
        <w:rPr>
          <w:rFonts w:asciiTheme="minorEastAsia" w:hAnsiTheme="minorEastAsia" w:cstheme="minorHAnsi"/>
          <w:b/>
          <w:color w:val="000000"/>
          <w:kern w:val="24"/>
        </w:rPr>
        <w:t>4</w:t>
      </w:r>
      <w:r>
        <w:rPr>
          <w:rFonts w:hint="eastAsia" w:asciiTheme="minorEastAsia" w:hAnsiTheme="minorEastAsia" w:cstheme="minorHAnsi"/>
          <w:b/>
          <w:color w:val="000000"/>
          <w:kern w:val="24"/>
        </w:rPr>
        <w:t>．物资装备及</w:t>
      </w:r>
      <w:r>
        <w:rPr>
          <w:rFonts w:asciiTheme="minorEastAsia" w:hAnsiTheme="minorEastAsia" w:cstheme="minorHAnsi"/>
          <w:b/>
          <w:color w:val="000000"/>
          <w:kern w:val="24"/>
        </w:rPr>
        <w:t>耗材配置</w:t>
      </w:r>
    </w:p>
    <w:tbl>
      <w:tblPr>
        <w:tblStyle w:val="26"/>
        <w:tblW w:w="9185"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273"/>
        <w:gridCol w:w="1576"/>
        <w:gridCol w:w="1417"/>
        <w:gridCol w:w="1701"/>
        <w:gridCol w:w="1426"/>
        <w:gridCol w:w="1792"/>
      </w:tblGrid>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1273" w:type="dxa"/>
            <w:shd w:val="clear" w:color="auto" w:fill="F1F1F1" w:themeFill="background1" w:themeFillShade="F2"/>
            <w:vAlign w:val="center"/>
          </w:tcPr>
          <w:p>
            <w:pPr>
              <w:jc w:val="center"/>
              <w:rPr>
                <w:rFonts w:asciiTheme="minorEastAsia" w:hAnsiTheme="minorEastAsia"/>
                <w:b/>
                <w:sz w:val="21"/>
                <w:szCs w:val="21"/>
              </w:rPr>
            </w:pPr>
            <w:r>
              <w:rPr>
                <w:rFonts w:asciiTheme="minorEastAsia" w:hAnsiTheme="minorEastAsia"/>
                <w:b/>
                <w:sz w:val="21"/>
                <w:szCs w:val="21"/>
              </w:rPr>
              <w:t>设备名称</w:t>
            </w:r>
          </w:p>
        </w:tc>
        <w:tc>
          <w:tcPr>
            <w:tcW w:w="1576" w:type="dxa"/>
            <w:shd w:val="clear" w:color="auto" w:fill="F1F1F1" w:themeFill="background1" w:themeFillShade="F2"/>
            <w:vAlign w:val="center"/>
          </w:tcPr>
          <w:p>
            <w:pPr>
              <w:jc w:val="center"/>
              <w:rPr>
                <w:rFonts w:asciiTheme="minorEastAsia" w:hAnsiTheme="minorEastAsia"/>
                <w:b/>
                <w:sz w:val="21"/>
                <w:szCs w:val="21"/>
              </w:rPr>
            </w:pPr>
            <w:r>
              <w:rPr>
                <w:rFonts w:asciiTheme="minorEastAsia" w:hAnsiTheme="minorEastAsia"/>
                <w:b/>
                <w:sz w:val="21"/>
                <w:szCs w:val="21"/>
              </w:rPr>
              <w:t>型号</w:t>
            </w:r>
          </w:p>
        </w:tc>
        <w:tc>
          <w:tcPr>
            <w:tcW w:w="1417" w:type="dxa"/>
            <w:shd w:val="clear" w:color="auto" w:fill="F1F1F1" w:themeFill="background1" w:themeFillShade="F2"/>
            <w:vAlign w:val="center"/>
          </w:tcPr>
          <w:p>
            <w:pPr>
              <w:jc w:val="center"/>
              <w:rPr>
                <w:rFonts w:asciiTheme="minorEastAsia" w:hAnsiTheme="minorEastAsia"/>
                <w:b/>
                <w:sz w:val="21"/>
                <w:szCs w:val="21"/>
              </w:rPr>
            </w:pPr>
            <w:r>
              <w:rPr>
                <w:rFonts w:asciiTheme="minorEastAsia" w:hAnsiTheme="minorEastAsia"/>
                <w:b/>
                <w:sz w:val="21"/>
                <w:szCs w:val="21"/>
              </w:rPr>
              <w:t>用途</w:t>
            </w:r>
          </w:p>
        </w:tc>
        <w:tc>
          <w:tcPr>
            <w:tcW w:w="1701" w:type="dxa"/>
            <w:shd w:val="clear" w:color="auto" w:fill="F1F1F1" w:themeFill="background1" w:themeFillShade="F2"/>
            <w:vAlign w:val="center"/>
          </w:tcPr>
          <w:p>
            <w:pPr>
              <w:jc w:val="center"/>
              <w:rPr>
                <w:rFonts w:asciiTheme="minorEastAsia" w:hAnsiTheme="minorEastAsia"/>
                <w:b/>
                <w:sz w:val="21"/>
                <w:szCs w:val="21"/>
              </w:rPr>
            </w:pPr>
            <w:r>
              <w:rPr>
                <w:rFonts w:asciiTheme="minorEastAsia" w:hAnsiTheme="minorEastAsia"/>
                <w:b/>
                <w:sz w:val="21"/>
                <w:szCs w:val="21"/>
              </w:rPr>
              <w:t>生产厂家</w:t>
            </w:r>
          </w:p>
        </w:tc>
        <w:tc>
          <w:tcPr>
            <w:tcW w:w="1426" w:type="dxa"/>
            <w:shd w:val="clear" w:color="auto" w:fill="F1F1F1" w:themeFill="background1" w:themeFillShade="F2"/>
            <w:vAlign w:val="center"/>
          </w:tcPr>
          <w:p>
            <w:pPr>
              <w:jc w:val="center"/>
              <w:rPr>
                <w:rFonts w:asciiTheme="minorEastAsia" w:hAnsiTheme="minorEastAsia"/>
                <w:b/>
                <w:sz w:val="21"/>
                <w:szCs w:val="21"/>
              </w:rPr>
            </w:pPr>
            <w:r>
              <w:rPr>
                <w:rFonts w:asciiTheme="minorEastAsia" w:hAnsiTheme="minorEastAsia"/>
                <w:b/>
                <w:sz w:val="21"/>
                <w:szCs w:val="21"/>
              </w:rPr>
              <w:t>已服役年限</w:t>
            </w:r>
          </w:p>
        </w:tc>
        <w:tc>
          <w:tcPr>
            <w:tcW w:w="1792" w:type="dxa"/>
            <w:shd w:val="clear" w:color="auto" w:fill="F1F1F1" w:themeFill="background1" w:themeFillShade="F2"/>
            <w:vAlign w:val="center"/>
          </w:tcPr>
          <w:p>
            <w:pPr>
              <w:jc w:val="center"/>
              <w:rPr>
                <w:rFonts w:asciiTheme="minorEastAsia" w:hAnsiTheme="minorEastAsia" w:cstheme="minorHAnsi"/>
                <w:b/>
                <w:color w:val="000000"/>
                <w:sz w:val="21"/>
                <w:szCs w:val="21"/>
              </w:rPr>
            </w:pPr>
            <w:r>
              <w:rPr>
                <w:rFonts w:asciiTheme="minorEastAsia" w:hAnsiTheme="minorEastAsia" w:cstheme="minorHAnsi"/>
                <w:b/>
                <w:color w:val="000000"/>
                <w:sz w:val="21"/>
                <w:szCs w:val="21"/>
              </w:rPr>
              <w:t>设备购买发票或租赁证明</w:t>
            </w: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1273" w:type="dxa"/>
            <w:shd w:val="clear" w:color="auto" w:fill="auto"/>
            <w:vAlign w:val="center"/>
          </w:tcPr>
          <w:p>
            <w:pPr>
              <w:rPr>
                <w:rFonts w:asciiTheme="minorEastAsia" w:hAnsiTheme="minorEastAsia"/>
                <w:sz w:val="21"/>
                <w:szCs w:val="21"/>
              </w:rPr>
            </w:pPr>
          </w:p>
        </w:tc>
        <w:tc>
          <w:tcPr>
            <w:tcW w:w="1576" w:type="dxa"/>
            <w:shd w:val="clear" w:color="auto" w:fill="auto"/>
            <w:vAlign w:val="center"/>
          </w:tcPr>
          <w:p>
            <w:pPr>
              <w:rPr>
                <w:rFonts w:asciiTheme="minorEastAsia" w:hAnsiTheme="minorEastAsia"/>
                <w:sz w:val="21"/>
                <w:szCs w:val="21"/>
              </w:rPr>
            </w:pPr>
          </w:p>
        </w:tc>
        <w:tc>
          <w:tcPr>
            <w:tcW w:w="1417" w:type="dxa"/>
            <w:shd w:val="clear" w:color="auto" w:fill="auto"/>
            <w:vAlign w:val="center"/>
          </w:tcPr>
          <w:p>
            <w:pPr>
              <w:rPr>
                <w:rFonts w:asciiTheme="minorEastAsia" w:hAnsiTheme="minorEastAsia"/>
                <w:sz w:val="21"/>
                <w:szCs w:val="21"/>
              </w:rPr>
            </w:pPr>
          </w:p>
        </w:tc>
        <w:tc>
          <w:tcPr>
            <w:tcW w:w="1701" w:type="dxa"/>
            <w:shd w:val="clear" w:color="auto" w:fill="auto"/>
            <w:vAlign w:val="center"/>
          </w:tcPr>
          <w:p>
            <w:pPr>
              <w:rPr>
                <w:rFonts w:asciiTheme="minorEastAsia" w:hAnsiTheme="minorEastAsia"/>
                <w:sz w:val="21"/>
                <w:szCs w:val="21"/>
              </w:rPr>
            </w:pPr>
          </w:p>
        </w:tc>
        <w:tc>
          <w:tcPr>
            <w:tcW w:w="1426" w:type="dxa"/>
            <w:shd w:val="clear" w:color="auto" w:fill="auto"/>
            <w:vAlign w:val="center"/>
          </w:tcPr>
          <w:p>
            <w:pPr>
              <w:rPr>
                <w:rFonts w:asciiTheme="minorEastAsia" w:hAnsiTheme="minorEastAsia"/>
                <w:sz w:val="21"/>
                <w:szCs w:val="21"/>
              </w:rPr>
            </w:pPr>
          </w:p>
        </w:tc>
        <w:tc>
          <w:tcPr>
            <w:tcW w:w="1792" w:type="dxa"/>
            <w:shd w:val="clear" w:color="auto" w:fill="auto"/>
            <w:vAlign w:val="center"/>
          </w:tcPr>
          <w:p>
            <w:pPr>
              <w:rPr>
                <w:rFonts w:asciiTheme="minorEastAsia" w:hAnsiTheme="minorEastAsia"/>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1273" w:type="dxa"/>
            <w:shd w:val="clear" w:color="auto" w:fill="auto"/>
            <w:vAlign w:val="center"/>
          </w:tcPr>
          <w:p>
            <w:pPr>
              <w:rPr>
                <w:rFonts w:asciiTheme="minorEastAsia" w:hAnsiTheme="minorEastAsia"/>
                <w:sz w:val="21"/>
                <w:szCs w:val="21"/>
              </w:rPr>
            </w:pPr>
          </w:p>
        </w:tc>
        <w:tc>
          <w:tcPr>
            <w:tcW w:w="1576" w:type="dxa"/>
            <w:shd w:val="clear" w:color="auto" w:fill="auto"/>
            <w:vAlign w:val="center"/>
          </w:tcPr>
          <w:p>
            <w:pPr>
              <w:rPr>
                <w:rFonts w:asciiTheme="minorEastAsia" w:hAnsiTheme="minorEastAsia"/>
                <w:sz w:val="21"/>
                <w:szCs w:val="21"/>
              </w:rPr>
            </w:pPr>
          </w:p>
        </w:tc>
        <w:tc>
          <w:tcPr>
            <w:tcW w:w="1417" w:type="dxa"/>
            <w:shd w:val="clear" w:color="auto" w:fill="auto"/>
            <w:vAlign w:val="center"/>
          </w:tcPr>
          <w:p>
            <w:pPr>
              <w:rPr>
                <w:rFonts w:asciiTheme="minorEastAsia" w:hAnsiTheme="minorEastAsia"/>
                <w:sz w:val="21"/>
                <w:szCs w:val="21"/>
              </w:rPr>
            </w:pPr>
          </w:p>
        </w:tc>
        <w:tc>
          <w:tcPr>
            <w:tcW w:w="1701" w:type="dxa"/>
            <w:shd w:val="clear" w:color="auto" w:fill="auto"/>
            <w:vAlign w:val="center"/>
          </w:tcPr>
          <w:p>
            <w:pPr>
              <w:rPr>
                <w:rFonts w:asciiTheme="minorEastAsia" w:hAnsiTheme="minorEastAsia"/>
                <w:sz w:val="21"/>
                <w:szCs w:val="21"/>
              </w:rPr>
            </w:pPr>
          </w:p>
        </w:tc>
        <w:tc>
          <w:tcPr>
            <w:tcW w:w="1426" w:type="dxa"/>
            <w:shd w:val="clear" w:color="auto" w:fill="auto"/>
            <w:vAlign w:val="center"/>
          </w:tcPr>
          <w:p>
            <w:pPr>
              <w:rPr>
                <w:rFonts w:asciiTheme="minorEastAsia" w:hAnsiTheme="minorEastAsia"/>
                <w:sz w:val="21"/>
                <w:szCs w:val="21"/>
              </w:rPr>
            </w:pPr>
          </w:p>
        </w:tc>
        <w:tc>
          <w:tcPr>
            <w:tcW w:w="1792" w:type="dxa"/>
            <w:shd w:val="clear" w:color="auto" w:fill="auto"/>
            <w:vAlign w:val="center"/>
          </w:tcPr>
          <w:p>
            <w:pPr>
              <w:rPr>
                <w:rFonts w:asciiTheme="minorEastAsia" w:hAnsiTheme="minorEastAsia"/>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1273" w:type="dxa"/>
            <w:shd w:val="clear" w:color="auto" w:fill="auto"/>
            <w:vAlign w:val="center"/>
          </w:tcPr>
          <w:p>
            <w:pPr>
              <w:rPr>
                <w:rFonts w:asciiTheme="minorEastAsia" w:hAnsiTheme="minorEastAsia"/>
                <w:sz w:val="21"/>
                <w:szCs w:val="21"/>
              </w:rPr>
            </w:pPr>
          </w:p>
        </w:tc>
        <w:tc>
          <w:tcPr>
            <w:tcW w:w="1576" w:type="dxa"/>
            <w:shd w:val="clear" w:color="auto" w:fill="auto"/>
            <w:vAlign w:val="center"/>
          </w:tcPr>
          <w:p>
            <w:pPr>
              <w:rPr>
                <w:rFonts w:asciiTheme="minorEastAsia" w:hAnsiTheme="minorEastAsia"/>
                <w:sz w:val="21"/>
                <w:szCs w:val="21"/>
              </w:rPr>
            </w:pPr>
          </w:p>
        </w:tc>
        <w:tc>
          <w:tcPr>
            <w:tcW w:w="1417" w:type="dxa"/>
            <w:shd w:val="clear" w:color="auto" w:fill="auto"/>
            <w:vAlign w:val="center"/>
          </w:tcPr>
          <w:p>
            <w:pPr>
              <w:rPr>
                <w:rFonts w:asciiTheme="minorEastAsia" w:hAnsiTheme="minorEastAsia"/>
                <w:sz w:val="21"/>
                <w:szCs w:val="21"/>
              </w:rPr>
            </w:pPr>
          </w:p>
        </w:tc>
        <w:tc>
          <w:tcPr>
            <w:tcW w:w="1701" w:type="dxa"/>
            <w:shd w:val="clear" w:color="auto" w:fill="auto"/>
            <w:vAlign w:val="center"/>
          </w:tcPr>
          <w:p>
            <w:pPr>
              <w:rPr>
                <w:rFonts w:asciiTheme="minorEastAsia" w:hAnsiTheme="minorEastAsia"/>
                <w:sz w:val="21"/>
                <w:szCs w:val="21"/>
              </w:rPr>
            </w:pPr>
          </w:p>
        </w:tc>
        <w:tc>
          <w:tcPr>
            <w:tcW w:w="1426" w:type="dxa"/>
            <w:shd w:val="clear" w:color="auto" w:fill="auto"/>
            <w:vAlign w:val="center"/>
          </w:tcPr>
          <w:p>
            <w:pPr>
              <w:rPr>
                <w:rFonts w:asciiTheme="minorEastAsia" w:hAnsiTheme="minorEastAsia"/>
                <w:sz w:val="21"/>
                <w:szCs w:val="21"/>
              </w:rPr>
            </w:pPr>
          </w:p>
        </w:tc>
        <w:tc>
          <w:tcPr>
            <w:tcW w:w="1792" w:type="dxa"/>
            <w:shd w:val="clear" w:color="auto" w:fill="auto"/>
            <w:vAlign w:val="center"/>
          </w:tcPr>
          <w:p>
            <w:pPr>
              <w:rPr>
                <w:rFonts w:asciiTheme="minorEastAsia" w:hAnsiTheme="minorEastAsia"/>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1273" w:type="dxa"/>
            <w:shd w:val="clear" w:color="auto" w:fill="auto"/>
            <w:vAlign w:val="center"/>
          </w:tcPr>
          <w:p>
            <w:pPr>
              <w:rPr>
                <w:rFonts w:asciiTheme="minorEastAsia" w:hAnsiTheme="minorEastAsia"/>
                <w:sz w:val="21"/>
                <w:szCs w:val="21"/>
              </w:rPr>
            </w:pPr>
          </w:p>
        </w:tc>
        <w:tc>
          <w:tcPr>
            <w:tcW w:w="1576" w:type="dxa"/>
            <w:shd w:val="clear" w:color="auto" w:fill="auto"/>
            <w:vAlign w:val="center"/>
          </w:tcPr>
          <w:p>
            <w:pPr>
              <w:rPr>
                <w:rFonts w:asciiTheme="minorEastAsia" w:hAnsiTheme="minorEastAsia"/>
                <w:sz w:val="21"/>
                <w:szCs w:val="21"/>
              </w:rPr>
            </w:pPr>
          </w:p>
        </w:tc>
        <w:tc>
          <w:tcPr>
            <w:tcW w:w="1417" w:type="dxa"/>
            <w:shd w:val="clear" w:color="auto" w:fill="auto"/>
            <w:vAlign w:val="center"/>
          </w:tcPr>
          <w:p>
            <w:pPr>
              <w:rPr>
                <w:rFonts w:asciiTheme="minorEastAsia" w:hAnsiTheme="minorEastAsia"/>
                <w:sz w:val="21"/>
                <w:szCs w:val="21"/>
              </w:rPr>
            </w:pPr>
          </w:p>
        </w:tc>
        <w:tc>
          <w:tcPr>
            <w:tcW w:w="1701" w:type="dxa"/>
            <w:shd w:val="clear" w:color="auto" w:fill="auto"/>
            <w:vAlign w:val="center"/>
          </w:tcPr>
          <w:p>
            <w:pPr>
              <w:rPr>
                <w:rFonts w:asciiTheme="minorEastAsia" w:hAnsiTheme="minorEastAsia"/>
                <w:sz w:val="21"/>
                <w:szCs w:val="21"/>
              </w:rPr>
            </w:pPr>
          </w:p>
        </w:tc>
        <w:tc>
          <w:tcPr>
            <w:tcW w:w="1426" w:type="dxa"/>
            <w:shd w:val="clear" w:color="auto" w:fill="auto"/>
            <w:vAlign w:val="center"/>
          </w:tcPr>
          <w:p>
            <w:pPr>
              <w:rPr>
                <w:rFonts w:asciiTheme="minorEastAsia" w:hAnsiTheme="minorEastAsia"/>
                <w:sz w:val="21"/>
                <w:szCs w:val="21"/>
              </w:rPr>
            </w:pPr>
          </w:p>
        </w:tc>
        <w:tc>
          <w:tcPr>
            <w:tcW w:w="1792" w:type="dxa"/>
            <w:shd w:val="clear" w:color="auto" w:fill="auto"/>
            <w:vAlign w:val="center"/>
          </w:tcPr>
          <w:p>
            <w:pPr>
              <w:rPr>
                <w:rFonts w:asciiTheme="minorEastAsia" w:hAnsiTheme="minorEastAsia"/>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1273" w:type="dxa"/>
            <w:shd w:val="clear" w:color="auto" w:fill="auto"/>
            <w:vAlign w:val="center"/>
          </w:tcPr>
          <w:p>
            <w:pPr>
              <w:rPr>
                <w:rFonts w:asciiTheme="minorEastAsia" w:hAnsiTheme="minorEastAsia"/>
                <w:sz w:val="21"/>
                <w:szCs w:val="21"/>
              </w:rPr>
            </w:pPr>
          </w:p>
        </w:tc>
        <w:tc>
          <w:tcPr>
            <w:tcW w:w="1576" w:type="dxa"/>
            <w:shd w:val="clear" w:color="auto" w:fill="auto"/>
            <w:vAlign w:val="center"/>
          </w:tcPr>
          <w:p>
            <w:pPr>
              <w:rPr>
                <w:rFonts w:asciiTheme="minorEastAsia" w:hAnsiTheme="minorEastAsia"/>
                <w:sz w:val="21"/>
                <w:szCs w:val="21"/>
              </w:rPr>
            </w:pPr>
          </w:p>
        </w:tc>
        <w:tc>
          <w:tcPr>
            <w:tcW w:w="1417" w:type="dxa"/>
            <w:shd w:val="clear" w:color="auto" w:fill="auto"/>
            <w:vAlign w:val="center"/>
          </w:tcPr>
          <w:p>
            <w:pPr>
              <w:rPr>
                <w:rFonts w:asciiTheme="minorEastAsia" w:hAnsiTheme="minorEastAsia"/>
                <w:sz w:val="21"/>
                <w:szCs w:val="21"/>
              </w:rPr>
            </w:pPr>
          </w:p>
        </w:tc>
        <w:tc>
          <w:tcPr>
            <w:tcW w:w="1701" w:type="dxa"/>
            <w:shd w:val="clear" w:color="auto" w:fill="auto"/>
            <w:vAlign w:val="center"/>
          </w:tcPr>
          <w:p>
            <w:pPr>
              <w:rPr>
                <w:rFonts w:asciiTheme="minorEastAsia" w:hAnsiTheme="minorEastAsia"/>
                <w:sz w:val="21"/>
                <w:szCs w:val="21"/>
              </w:rPr>
            </w:pPr>
          </w:p>
        </w:tc>
        <w:tc>
          <w:tcPr>
            <w:tcW w:w="1426" w:type="dxa"/>
            <w:shd w:val="clear" w:color="auto" w:fill="auto"/>
            <w:vAlign w:val="center"/>
          </w:tcPr>
          <w:p>
            <w:pPr>
              <w:rPr>
                <w:rFonts w:asciiTheme="minorEastAsia" w:hAnsiTheme="minorEastAsia"/>
                <w:sz w:val="21"/>
                <w:szCs w:val="21"/>
              </w:rPr>
            </w:pPr>
          </w:p>
        </w:tc>
        <w:tc>
          <w:tcPr>
            <w:tcW w:w="1792" w:type="dxa"/>
            <w:shd w:val="clear" w:color="auto" w:fill="auto"/>
            <w:vAlign w:val="center"/>
          </w:tcPr>
          <w:p>
            <w:pPr>
              <w:rPr>
                <w:rFonts w:asciiTheme="minorEastAsia" w:hAnsiTheme="minorEastAsia"/>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1273" w:type="dxa"/>
            <w:shd w:val="clear" w:color="auto" w:fill="auto"/>
            <w:vAlign w:val="center"/>
          </w:tcPr>
          <w:p>
            <w:pPr>
              <w:rPr>
                <w:rFonts w:asciiTheme="minorEastAsia" w:hAnsiTheme="minorEastAsia"/>
                <w:sz w:val="21"/>
                <w:szCs w:val="21"/>
              </w:rPr>
            </w:pPr>
          </w:p>
        </w:tc>
        <w:tc>
          <w:tcPr>
            <w:tcW w:w="1576" w:type="dxa"/>
            <w:shd w:val="clear" w:color="auto" w:fill="auto"/>
            <w:vAlign w:val="center"/>
          </w:tcPr>
          <w:p>
            <w:pPr>
              <w:rPr>
                <w:rFonts w:asciiTheme="minorEastAsia" w:hAnsiTheme="minorEastAsia"/>
                <w:sz w:val="21"/>
                <w:szCs w:val="21"/>
              </w:rPr>
            </w:pPr>
          </w:p>
        </w:tc>
        <w:tc>
          <w:tcPr>
            <w:tcW w:w="1417" w:type="dxa"/>
            <w:shd w:val="clear" w:color="auto" w:fill="auto"/>
            <w:vAlign w:val="center"/>
          </w:tcPr>
          <w:p>
            <w:pPr>
              <w:rPr>
                <w:rFonts w:asciiTheme="minorEastAsia" w:hAnsiTheme="minorEastAsia"/>
                <w:sz w:val="21"/>
                <w:szCs w:val="21"/>
              </w:rPr>
            </w:pPr>
          </w:p>
        </w:tc>
        <w:tc>
          <w:tcPr>
            <w:tcW w:w="1701" w:type="dxa"/>
            <w:shd w:val="clear" w:color="auto" w:fill="auto"/>
            <w:vAlign w:val="center"/>
          </w:tcPr>
          <w:p>
            <w:pPr>
              <w:rPr>
                <w:rFonts w:asciiTheme="minorEastAsia" w:hAnsiTheme="minorEastAsia"/>
                <w:sz w:val="21"/>
                <w:szCs w:val="21"/>
              </w:rPr>
            </w:pPr>
          </w:p>
        </w:tc>
        <w:tc>
          <w:tcPr>
            <w:tcW w:w="1426" w:type="dxa"/>
            <w:shd w:val="clear" w:color="auto" w:fill="auto"/>
            <w:vAlign w:val="center"/>
          </w:tcPr>
          <w:p>
            <w:pPr>
              <w:rPr>
                <w:rFonts w:asciiTheme="minorEastAsia" w:hAnsiTheme="minorEastAsia"/>
                <w:sz w:val="21"/>
                <w:szCs w:val="21"/>
              </w:rPr>
            </w:pPr>
          </w:p>
        </w:tc>
        <w:tc>
          <w:tcPr>
            <w:tcW w:w="1792" w:type="dxa"/>
            <w:shd w:val="clear" w:color="auto" w:fill="auto"/>
            <w:vAlign w:val="center"/>
          </w:tcPr>
          <w:p>
            <w:pPr>
              <w:rPr>
                <w:rFonts w:asciiTheme="minorEastAsia" w:hAnsiTheme="minorEastAsia"/>
                <w:sz w:val="21"/>
                <w:szCs w:val="21"/>
              </w:rPr>
            </w:pPr>
          </w:p>
        </w:tc>
      </w:tr>
      <w:tr>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1273" w:type="dxa"/>
            <w:shd w:val="clear" w:color="auto" w:fill="auto"/>
            <w:vAlign w:val="center"/>
          </w:tcPr>
          <w:p>
            <w:pPr>
              <w:jc w:val="center"/>
              <w:rPr>
                <w:rFonts w:asciiTheme="minorEastAsia" w:hAnsiTheme="minorEastAsia"/>
                <w:sz w:val="21"/>
                <w:szCs w:val="21"/>
              </w:rPr>
            </w:pPr>
            <w:r>
              <w:rPr>
                <w:rFonts w:asciiTheme="minorEastAsia" w:hAnsiTheme="minorEastAsia"/>
                <w:sz w:val="21"/>
                <w:szCs w:val="21"/>
              </w:rPr>
              <w:t>备注</w:t>
            </w:r>
          </w:p>
        </w:tc>
        <w:tc>
          <w:tcPr>
            <w:tcW w:w="7912" w:type="dxa"/>
            <w:gridSpan w:val="5"/>
            <w:shd w:val="clear" w:color="auto" w:fill="auto"/>
            <w:vAlign w:val="center"/>
          </w:tcPr>
          <w:p>
            <w:pPr>
              <w:jc w:val="both"/>
              <w:rPr>
                <w:rFonts w:asciiTheme="minorEastAsia" w:hAnsiTheme="minorEastAsia"/>
                <w:sz w:val="21"/>
                <w:szCs w:val="21"/>
              </w:rPr>
            </w:pPr>
            <w:r>
              <w:rPr>
                <w:rFonts w:asciiTheme="minorEastAsia" w:hAnsiTheme="minorEastAsia"/>
                <w:sz w:val="21"/>
                <w:szCs w:val="21"/>
              </w:rPr>
              <w:t>① 表格行数不足时请自行扩展。</w:t>
            </w:r>
          </w:p>
          <w:p>
            <w:pPr>
              <w:jc w:val="both"/>
              <w:rPr>
                <w:rFonts w:asciiTheme="minorEastAsia" w:hAnsiTheme="minorEastAsia"/>
                <w:sz w:val="21"/>
                <w:szCs w:val="21"/>
              </w:rPr>
            </w:pPr>
            <w:r>
              <w:rPr>
                <w:rFonts w:asciiTheme="minorEastAsia" w:hAnsiTheme="minorEastAsia"/>
                <w:sz w:val="21"/>
                <w:szCs w:val="21"/>
              </w:rPr>
              <w:t>② 因单元格空间有限，不足以容纳响应内容时，</w:t>
            </w:r>
            <w:r>
              <w:rPr>
                <w:rFonts w:hint="eastAsia" w:asciiTheme="minorEastAsia" w:hAnsiTheme="minorEastAsia"/>
                <w:sz w:val="21"/>
                <w:szCs w:val="21"/>
              </w:rPr>
              <w:t>允许在本表下方另附，但须在“响应内容或索引”中注明引用位置，如“见本表下方</w:t>
            </w:r>
            <w:r>
              <w:rPr>
                <w:rFonts w:asciiTheme="minorEastAsia" w:hAnsiTheme="minorEastAsia"/>
                <w:sz w:val="21"/>
                <w:szCs w:val="21"/>
              </w:rPr>
              <w:t>5.2.1 表题</w:t>
            </w:r>
            <w:r>
              <w:rPr>
                <w:rFonts w:hint="eastAsia" w:asciiTheme="minorEastAsia" w:hAnsiTheme="minorEastAsia"/>
                <w:sz w:val="21"/>
                <w:szCs w:val="21"/>
              </w:rPr>
              <w:t>”或“见本表下方</w:t>
            </w:r>
            <w:r>
              <w:rPr>
                <w:rFonts w:asciiTheme="minorEastAsia" w:hAnsiTheme="minorEastAsia"/>
                <w:sz w:val="21"/>
                <w:szCs w:val="21"/>
              </w:rPr>
              <w:t>5</w:t>
            </w:r>
            <w:r>
              <w:rPr>
                <w:rFonts w:hint="eastAsia" w:asciiTheme="minorEastAsia" w:hAnsiTheme="minorEastAsia"/>
                <w:sz w:val="21"/>
                <w:szCs w:val="21"/>
              </w:rPr>
              <w:t>-</w:t>
            </w:r>
            <w:r>
              <w:rPr>
                <w:rFonts w:asciiTheme="minorEastAsia" w:hAnsiTheme="minorEastAsia"/>
                <w:sz w:val="21"/>
                <w:szCs w:val="21"/>
              </w:rPr>
              <w:t>2-1 图题</w:t>
            </w:r>
            <w:r>
              <w:rPr>
                <w:rFonts w:hint="eastAsia" w:asciiTheme="minorEastAsia" w:hAnsiTheme="minorEastAsia"/>
                <w:sz w:val="21"/>
                <w:szCs w:val="21"/>
              </w:rPr>
              <w:t>”（可自行编号，并确保上下文一致，因引用位置错误引起的不良后果由供应商自行承担）。</w:t>
            </w:r>
          </w:p>
        </w:tc>
      </w:tr>
    </w:tbl>
    <w:p>
      <w:pPr>
        <w:rPr>
          <w:rFonts w:asciiTheme="minorEastAsia" w:hAnsiTheme="minorEastAsia" w:cstheme="minorHAnsi"/>
          <w:color w:val="C00000"/>
          <w:kern w:val="24"/>
        </w:rPr>
      </w:pPr>
      <w:r>
        <w:rPr>
          <w:rFonts w:asciiTheme="minorEastAsia" w:hAnsiTheme="minorEastAsia" w:cstheme="minorHAnsi"/>
          <w:color w:val="C00000"/>
          <w:kern w:val="24"/>
        </w:rPr>
        <w:t>附：</w:t>
      </w:r>
      <w:r>
        <w:rPr>
          <w:rFonts w:hint="eastAsia" w:asciiTheme="minorEastAsia" w:hAnsiTheme="minorEastAsia" w:cstheme="minorHAnsi"/>
          <w:color w:val="C00000"/>
          <w:kern w:val="24"/>
        </w:rPr>
        <w:t>设备购买发票或租赁证明</w:t>
      </w:r>
    </w:p>
    <w:p>
      <w:pPr>
        <w:rPr>
          <w:rFonts w:asciiTheme="minorEastAsia" w:hAnsiTheme="minorEastAsia" w:cstheme="minorHAnsi"/>
          <w:color w:val="C00000"/>
          <w:kern w:val="24"/>
        </w:rPr>
      </w:pPr>
    </w:p>
    <w:p>
      <w:pPr>
        <w:rPr>
          <w:rFonts w:asciiTheme="minorEastAsia" w:hAnsiTheme="minorEastAsia" w:cstheme="minorHAnsi"/>
          <w:b/>
          <w:color w:val="000000"/>
          <w:kern w:val="24"/>
        </w:rPr>
      </w:pPr>
      <w:r>
        <w:rPr>
          <w:rFonts w:asciiTheme="minorEastAsia" w:hAnsiTheme="minorEastAsia" w:cstheme="minorHAnsi"/>
          <w:b/>
          <w:color w:val="000000"/>
          <w:kern w:val="24"/>
        </w:rPr>
        <w:t>5</w:t>
      </w:r>
      <w:r>
        <w:rPr>
          <w:rFonts w:hint="eastAsia" w:asciiTheme="minorEastAsia" w:hAnsiTheme="minorEastAsia" w:cstheme="minorHAnsi"/>
          <w:b/>
          <w:color w:val="000000"/>
          <w:kern w:val="24"/>
        </w:rPr>
        <w:t>．培训考核方案</w:t>
      </w:r>
    </w:p>
    <w:p>
      <w:pPr>
        <w:rPr>
          <w:rFonts w:asciiTheme="minorEastAsia" w:hAnsiTheme="minorEastAsia" w:cstheme="minorHAnsi"/>
          <w:b/>
          <w:color w:val="000000"/>
          <w:kern w:val="24"/>
        </w:rPr>
      </w:pPr>
    </w:p>
    <w:p>
      <w:pPr>
        <w:rPr>
          <w:rFonts w:asciiTheme="minorEastAsia" w:hAnsiTheme="minorEastAsia" w:cstheme="minorHAnsi"/>
          <w:b/>
          <w:color w:val="000000"/>
          <w:kern w:val="24"/>
        </w:rPr>
      </w:pPr>
      <w:r>
        <w:rPr>
          <w:rFonts w:asciiTheme="minorEastAsia" w:hAnsiTheme="minorEastAsia" w:cstheme="minorHAnsi"/>
          <w:b/>
          <w:color w:val="000000"/>
          <w:kern w:val="24"/>
        </w:rPr>
        <w:t>6.</w:t>
      </w:r>
      <w:r>
        <w:rPr>
          <w:rFonts w:hint="eastAsia" w:asciiTheme="minorEastAsia" w:hAnsiTheme="minorEastAsia" w:cstheme="minorHAnsi"/>
          <w:b/>
          <w:color w:val="000000"/>
          <w:kern w:val="24"/>
        </w:rPr>
        <w:t>特色化服务方案</w:t>
      </w:r>
    </w:p>
    <w:p>
      <w:pPr>
        <w:rPr>
          <w:rFonts w:asciiTheme="minorEastAsia" w:hAnsiTheme="minorEastAsia" w:cstheme="minorHAnsi"/>
          <w:b/>
          <w:color w:val="000000"/>
          <w:kern w:val="24"/>
        </w:rPr>
      </w:pPr>
    </w:p>
    <w:p>
      <w:pPr>
        <w:rPr>
          <w:rFonts w:asciiTheme="minorEastAsia" w:hAnsiTheme="minorEastAsia" w:cstheme="minorHAnsi"/>
          <w:b/>
          <w:color w:val="000000"/>
          <w:kern w:val="24"/>
        </w:rPr>
      </w:pPr>
      <w:r>
        <w:rPr>
          <w:rFonts w:hint="eastAsia" w:asciiTheme="minorEastAsia" w:hAnsiTheme="minorEastAsia" w:cstheme="minorHAnsi"/>
          <w:b/>
          <w:color w:val="000000"/>
          <w:kern w:val="24"/>
        </w:rPr>
        <w:t>7.后勤</w:t>
      </w:r>
      <w:r>
        <w:rPr>
          <w:rFonts w:asciiTheme="minorEastAsia" w:hAnsiTheme="minorEastAsia" w:cstheme="minorHAnsi"/>
          <w:b/>
          <w:color w:val="000000"/>
          <w:kern w:val="24"/>
        </w:rPr>
        <w:t>信息化服务平台</w:t>
      </w:r>
    </w:p>
    <w:p>
      <w:pPr>
        <w:rPr>
          <w:rFonts w:asciiTheme="minorEastAsia" w:hAnsiTheme="minorEastAsia" w:cstheme="minorHAnsi"/>
          <w:b/>
          <w:color w:val="000000"/>
          <w:kern w:val="24"/>
        </w:rPr>
      </w:pPr>
    </w:p>
    <w:p>
      <w:pPr>
        <w:rPr>
          <w:rFonts w:asciiTheme="minorEastAsia" w:hAnsiTheme="minorEastAsia" w:cstheme="minorHAnsi"/>
          <w:b/>
          <w:color w:val="000000"/>
          <w:kern w:val="24"/>
        </w:rPr>
      </w:pPr>
      <w:r>
        <w:rPr>
          <w:rFonts w:asciiTheme="minorEastAsia" w:hAnsiTheme="minorEastAsia" w:cstheme="minorHAnsi"/>
          <w:b/>
          <w:color w:val="000000"/>
          <w:kern w:val="24"/>
        </w:rPr>
        <w:t>8.</w:t>
      </w:r>
      <w:r>
        <w:rPr>
          <w:rFonts w:hint="eastAsia" w:asciiTheme="minorEastAsia" w:hAnsiTheme="minorEastAsia" w:cstheme="minorHAnsi"/>
          <w:b/>
          <w:color w:val="000000"/>
          <w:kern w:val="24"/>
        </w:rPr>
        <w:t>业绩</w:t>
      </w:r>
    </w:p>
    <w:p>
      <w:pPr>
        <w:rPr>
          <w:rFonts w:asciiTheme="minorEastAsia" w:hAnsiTheme="minorEastAsia" w:cstheme="minorHAnsi"/>
          <w:b/>
          <w:color w:val="000000"/>
          <w:kern w:val="24"/>
        </w:rPr>
      </w:pPr>
    </w:p>
    <w:p>
      <w:pPr>
        <w:rPr>
          <w:rFonts w:ascii="黑体" w:hAnsi="黑体" w:eastAsia="黑体"/>
          <w:kern w:val="28"/>
          <w:sz w:val="28"/>
          <w:szCs w:val="28"/>
        </w:rPr>
      </w:pPr>
      <w:r>
        <w:rPr>
          <w:rFonts w:ascii="黑体" w:hAnsi="黑体" w:eastAsia="黑体"/>
          <w:kern w:val="28"/>
          <w:sz w:val="28"/>
          <w:szCs w:val="28"/>
        </w:rPr>
        <w:br w:type="page"/>
      </w:r>
    </w:p>
    <w:p>
      <w:pPr>
        <w:keepNext/>
        <w:spacing w:before="120" w:after="60"/>
        <w:outlineLvl w:val="2"/>
        <w:rPr>
          <w:rFonts w:ascii="黑体" w:hAnsi="黑体" w:eastAsia="黑体"/>
          <w:kern w:val="28"/>
          <w:sz w:val="28"/>
          <w:szCs w:val="28"/>
        </w:rPr>
      </w:pPr>
      <w:r>
        <w:rPr>
          <w:rFonts w:ascii="黑体" w:hAnsi="黑体" w:eastAsia="黑体"/>
          <w:kern w:val="28"/>
          <w:sz w:val="28"/>
          <w:szCs w:val="28"/>
        </w:rPr>
        <w:t>（三）合同条款响应</w:t>
      </w:r>
    </w:p>
    <w:tbl>
      <w:tblPr>
        <w:tblStyle w:val="26"/>
        <w:tblW w:w="9082" w:type="dxa"/>
        <w:jc w:val="center"/>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Layout w:type="autofit"/>
        <w:tblCellMar>
          <w:top w:w="0" w:type="dxa"/>
          <w:left w:w="108" w:type="dxa"/>
          <w:bottom w:w="0" w:type="dxa"/>
          <w:right w:w="108" w:type="dxa"/>
        </w:tblCellMar>
      </w:tblPr>
      <w:tblGrid>
        <w:gridCol w:w="803"/>
        <w:gridCol w:w="1361"/>
        <w:gridCol w:w="1758"/>
        <w:gridCol w:w="2070"/>
        <w:gridCol w:w="1701"/>
        <w:gridCol w:w="1389"/>
      </w:tblGrid>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CellMar>
            <w:top w:w="0" w:type="dxa"/>
            <w:left w:w="108" w:type="dxa"/>
            <w:bottom w:w="0" w:type="dxa"/>
            <w:right w:w="108" w:type="dxa"/>
          </w:tblCellMar>
        </w:tblPrEx>
        <w:trPr>
          <w:trHeight w:val="397" w:hRule="atLeast"/>
          <w:jc w:val="center"/>
        </w:trPr>
        <w:tc>
          <w:tcPr>
            <w:tcW w:w="9082" w:type="dxa"/>
            <w:gridSpan w:val="6"/>
            <w:tcBorders>
              <w:bottom w:val="single" w:color="auto" w:sz="4" w:space="0"/>
            </w:tcBorders>
            <w:shd w:val="clear" w:color="auto" w:fill="auto"/>
            <w:vAlign w:val="center"/>
          </w:tcPr>
          <w:p>
            <w:pPr>
              <w:jc w:val="both"/>
              <w:rPr>
                <w:rFonts w:asciiTheme="minorEastAsia" w:hAnsiTheme="minorEastAsia"/>
                <w:b/>
                <w:color w:val="000000"/>
                <w:sz w:val="21"/>
              </w:rPr>
            </w:pPr>
            <w:r>
              <w:rPr>
                <w:rFonts w:asciiTheme="minorEastAsia" w:hAnsiTheme="minorEastAsia"/>
                <w:b/>
                <w:color w:val="000000"/>
                <w:sz w:val="21"/>
              </w:rPr>
              <w:t>对本</w:t>
            </w:r>
            <w:r>
              <w:rPr>
                <w:rFonts w:hint="eastAsia" w:asciiTheme="minorEastAsia" w:hAnsiTheme="minorEastAsia"/>
                <w:b/>
                <w:color w:val="000000"/>
                <w:sz w:val="21"/>
              </w:rPr>
              <w:t>项目</w:t>
            </w:r>
            <w:r>
              <w:rPr>
                <w:rFonts w:asciiTheme="minorEastAsia" w:hAnsiTheme="minorEastAsia"/>
                <w:b/>
                <w:color w:val="000000"/>
                <w:sz w:val="21"/>
              </w:rPr>
              <w:t>合同条款的偏离情况（</w:t>
            </w:r>
            <w:r>
              <w:rPr>
                <w:rFonts w:asciiTheme="minorEastAsia" w:hAnsiTheme="minorEastAsia"/>
                <w:b/>
                <w:i/>
                <w:color w:val="7030A0"/>
                <w:sz w:val="21"/>
              </w:rPr>
              <w:t>请进行勾选</w:t>
            </w:r>
            <w:r>
              <w:rPr>
                <w:rFonts w:ascii="Segoe UI Symbol" w:hAnsi="Segoe UI Symbol"/>
                <w:i/>
                <w:color w:val="7030A0"/>
                <w:sz w:val="21"/>
              </w:rPr>
              <w:t>☑：</w:t>
            </w:r>
            <w:r>
              <w:rPr>
                <w:rFonts w:asciiTheme="minorEastAsia" w:hAnsiTheme="minorEastAsia"/>
                <w:b/>
                <w:i/>
                <w:color w:val="7030A0"/>
                <w:sz w:val="21"/>
              </w:rPr>
              <w:t>Alt+小键盘</w:t>
            </w:r>
            <w:r>
              <w:rPr>
                <w:rFonts w:hint="eastAsia" w:asciiTheme="minorEastAsia" w:hAnsiTheme="minorEastAsia"/>
                <w:b/>
                <w:i/>
                <w:color w:val="7030A0"/>
                <w:sz w:val="21"/>
              </w:rPr>
              <w:t>9745</w:t>
            </w:r>
            <w:r>
              <w:rPr>
                <w:rFonts w:asciiTheme="minorEastAsia" w:hAnsiTheme="minorEastAsia"/>
                <w:b/>
                <w:color w:val="000000"/>
                <w:sz w:val="21"/>
              </w:rPr>
              <w:t>）：</w:t>
            </w:r>
          </w:p>
          <w:p>
            <w:pPr>
              <w:jc w:val="both"/>
              <w:rPr>
                <w:rFonts w:asciiTheme="minorEastAsia" w:hAnsiTheme="minorEastAsia"/>
                <w:b/>
                <w:color w:val="000000"/>
                <w:sz w:val="21"/>
              </w:rPr>
            </w:pPr>
            <w:r>
              <w:rPr>
                <w:rFonts w:asciiTheme="minorEastAsia" w:hAnsiTheme="minorEastAsia"/>
                <w:b/>
                <w:color w:val="000000"/>
                <w:sz w:val="21"/>
              </w:rPr>
              <w:t>□无偏离</w:t>
            </w:r>
            <w:r>
              <w:rPr>
                <w:rFonts w:asciiTheme="minorEastAsia" w:hAnsiTheme="minorEastAsia"/>
                <w:color w:val="000000"/>
                <w:sz w:val="21"/>
              </w:rPr>
              <w:t>（</w:t>
            </w:r>
            <w:r>
              <w:rPr>
                <w:rFonts w:asciiTheme="minorEastAsia" w:hAnsiTheme="minorEastAsia"/>
                <w:color w:val="000000"/>
                <w:sz w:val="21"/>
                <w:szCs w:val="21"/>
              </w:rPr>
              <w:t>如无偏离，仅勾选无偏离即可</w:t>
            </w:r>
            <w:r>
              <w:rPr>
                <w:rFonts w:asciiTheme="minorEastAsia" w:hAnsiTheme="minorEastAsia"/>
                <w:color w:val="000000"/>
                <w:sz w:val="21"/>
              </w:rPr>
              <w:t>）</w:t>
            </w:r>
          </w:p>
          <w:p>
            <w:pPr>
              <w:jc w:val="both"/>
              <w:rPr>
                <w:rFonts w:asciiTheme="minorEastAsia" w:hAnsiTheme="minorEastAsia"/>
                <w:color w:val="000000"/>
                <w:sz w:val="21"/>
              </w:rPr>
            </w:pPr>
            <w:r>
              <w:rPr>
                <w:rFonts w:asciiTheme="minorEastAsia" w:hAnsiTheme="minorEastAsia"/>
                <w:b/>
                <w:color w:val="000000"/>
                <w:sz w:val="21"/>
              </w:rPr>
              <w:t>□有偏离</w:t>
            </w:r>
            <w:r>
              <w:rPr>
                <w:rFonts w:asciiTheme="minorEastAsia" w:hAnsiTheme="minorEastAsia"/>
                <w:color w:val="000000"/>
                <w:sz w:val="21"/>
              </w:rPr>
              <w:t>（</w:t>
            </w:r>
            <w:r>
              <w:rPr>
                <w:rFonts w:asciiTheme="minorEastAsia" w:hAnsiTheme="minorEastAsia"/>
                <w:color w:val="000000"/>
                <w:sz w:val="21"/>
                <w:szCs w:val="21"/>
              </w:rPr>
              <w:t>如有偏离，</w:t>
            </w:r>
            <w:r>
              <w:rPr>
                <w:rFonts w:asciiTheme="minorEastAsia" w:hAnsiTheme="minorEastAsia"/>
                <w:color w:val="000000"/>
                <w:sz w:val="21"/>
              </w:rPr>
              <w:t>则</w:t>
            </w:r>
            <w:r>
              <w:rPr>
                <w:rFonts w:hint="eastAsia" w:asciiTheme="minorEastAsia" w:hAnsiTheme="minorEastAsia"/>
                <w:color w:val="000000"/>
                <w:sz w:val="21"/>
              </w:rPr>
              <w:t>应</w:t>
            </w:r>
            <w:r>
              <w:rPr>
                <w:rFonts w:asciiTheme="minorEastAsia" w:hAnsiTheme="minorEastAsia"/>
                <w:color w:val="000000"/>
                <w:sz w:val="21"/>
              </w:rPr>
              <w:t>在本表中对偏离项逐一列明）</w:t>
            </w: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CellMar>
            <w:top w:w="0" w:type="dxa"/>
            <w:left w:w="108" w:type="dxa"/>
            <w:bottom w:w="0" w:type="dxa"/>
            <w:right w:w="108" w:type="dxa"/>
          </w:tblCellMar>
        </w:tblPrEx>
        <w:trPr>
          <w:trHeight w:val="397" w:hRule="atLeast"/>
          <w:jc w:val="center"/>
        </w:trPr>
        <w:tc>
          <w:tcPr>
            <w:tcW w:w="803" w:type="dxa"/>
            <w:tcBorders>
              <w:right w:val="single" w:color="auto" w:sz="4" w:space="0"/>
            </w:tcBorders>
            <w:shd w:val="clear" w:color="auto" w:fill="F1F1F1" w:themeFill="background1" w:themeFillShade="F2"/>
            <w:vAlign w:val="center"/>
          </w:tcPr>
          <w:p>
            <w:pPr>
              <w:jc w:val="both"/>
              <w:rPr>
                <w:rFonts w:asciiTheme="minorEastAsia" w:hAnsiTheme="minorEastAsia"/>
                <w:color w:val="000000"/>
                <w:sz w:val="21"/>
              </w:rPr>
            </w:pPr>
            <w:r>
              <w:rPr>
                <w:rFonts w:asciiTheme="minorEastAsia" w:hAnsiTheme="minorEastAsia"/>
                <w:color w:val="000000"/>
                <w:sz w:val="21"/>
              </w:rPr>
              <w:t>序号</w:t>
            </w:r>
          </w:p>
        </w:tc>
        <w:tc>
          <w:tcPr>
            <w:tcW w:w="1361" w:type="dxa"/>
            <w:tcBorders>
              <w:left w:val="single" w:color="auto" w:sz="4" w:space="0"/>
              <w:right w:val="single" w:color="auto" w:sz="4" w:space="0"/>
            </w:tcBorders>
            <w:shd w:val="clear" w:color="auto" w:fill="F1F1F1" w:themeFill="background1" w:themeFillShade="F2"/>
            <w:vAlign w:val="center"/>
          </w:tcPr>
          <w:p>
            <w:pPr>
              <w:jc w:val="both"/>
              <w:rPr>
                <w:rFonts w:asciiTheme="minorEastAsia" w:hAnsiTheme="minorEastAsia"/>
                <w:color w:val="000000"/>
                <w:sz w:val="21"/>
              </w:rPr>
            </w:pPr>
            <w:r>
              <w:rPr>
                <w:rFonts w:asciiTheme="minorEastAsia" w:hAnsiTheme="minorEastAsia"/>
                <w:color w:val="000000"/>
                <w:sz w:val="21"/>
              </w:rPr>
              <w:t>合同主条款</w:t>
            </w:r>
          </w:p>
        </w:tc>
        <w:tc>
          <w:tcPr>
            <w:tcW w:w="1758" w:type="dxa"/>
            <w:tcBorders>
              <w:left w:val="single" w:color="auto" w:sz="4" w:space="0"/>
              <w:right w:val="single" w:color="auto" w:sz="4" w:space="0"/>
            </w:tcBorders>
            <w:shd w:val="clear" w:color="auto" w:fill="F1F1F1" w:themeFill="background1" w:themeFillShade="F2"/>
            <w:vAlign w:val="center"/>
          </w:tcPr>
          <w:p>
            <w:pPr>
              <w:jc w:val="center"/>
              <w:rPr>
                <w:rFonts w:asciiTheme="minorEastAsia" w:hAnsiTheme="minorEastAsia"/>
                <w:color w:val="000000"/>
                <w:sz w:val="21"/>
              </w:rPr>
            </w:pPr>
            <w:r>
              <w:rPr>
                <w:rFonts w:asciiTheme="minorEastAsia" w:hAnsiTheme="minorEastAsia"/>
                <w:color w:val="000000"/>
                <w:sz w:val="21"/>
              </w:rPr>
              <w:t>合同条款明细</w:t>
            </w:r>
          </w:p>
        </w:tc>
        <w:tc>
          <w:tcPr>
            <w:tcW w:w="2070" w:type="dxa"/>
            <w:tcBorders>
              <w:left w:val="single" w:color="auto" w:sz="4" w:space="0"/>
              <w:right w:val="single" w:color="auto" w:sz="4" w:space="0"/>
            </w:tcBorders>
            <w:shd w:val="clear" w:color="auto" w:fill="F1F1F1" w:themeFill="background1" w:themeFillShade="F2"/>
            <w:vAlign w:val="center"/>
          </w:tcPr>
          <w:p>
            <w:pPr>
              <w:jc w:val="center"/>
              <w:rPr>
                <w:rFonts w:asciiTheme="minorEastAsia" w:hAnsiTheme="minorEastAsia"/>
                <w:color w:val="000000"/>
                <w:sz w:val="21"/>
              </w:rPr>
            </w:pPr>
            <w:r>
              <w:rPr>
                <w:rFonts w:asciiTheme="minorEastAsia" w:hAnsiTheme="minorEastAsia"/>
                <w:color w:val="000000"/>
                <w:sz w:val="21"/>
              </w:rPr>
              <w:t>投标文件响应内容</w:t>
            </w:r>
          </w:p>
        </w:tc>
        <w:tc>
          <w:tcPr>
            <w:tcW w:w="1701" w:type="dxa"/>
            <w:tcBorders>
              <w:left w:val="single" w:color="auto" w:sz="4" w:space="0"/>
              <w:right w:val="single" w:color="auto" w:sz="4" w:space="0"/>
            </w:tcBorders>
            <w:shd w:val="clear" w:color="auto" w:fill="F1F1F1" w:themeFill="background1" w:themeFillShade="F2"/>
            <w:vAlign w:val="center"/>
          </w:tcPr>
          <w:p>
            <w:pPr>
              <w:jc w:val="center"/>
              <w:rPr>
                <w:rFonts w:asciiTheme="minorEastAsia" w:hAnsiTheme="minorEastAsia"/>
                <w:color w:val="000000"/>
                <w:sz w:val="21"/>
              </w:rPr>
            </w:pPr>
            <w:r>
              <w:rPr>
                <w:rFonts w:asciiTheme="minorEastAsia" w:hAnsiTheme="minorEastAsia"/>
                <w:color w:val="000000"/>
                <w:sz w:val="21"/>
              </w:rPr>
              <w:t>偏离情况</w:t>
            </w:r>
          </w:p>
        </w:tc>
        <w:tc>
          <w:tcPr>
            <w:tcW w:w="1389" w:type="dxa"/>
            <w:tcBorders>
              <w:left w:val="single" w:color="auto" w:sz="4" w:space="0"/>
            </w:tcBorders>
            <w:shd w:val="clear" w:color="auto" w:fill="F1F1F1" w:themeFill="background1" w:themeFillShade="F2"/>
            <w:vAlign w:val="center"/>
          </w:tcPr>
          <w:p>
            <w:pPr>
              <w:jc w:val="center"/>
              <w:rPr>
                <w:rFonts w:asciiTheme="minorEastAsia" w:hAnsiTheme="minorEastAsia"/>
                <w:color w:val="000000"/>
                <w:sz w:val="21"/>
              </w:rPr>
            </w:pPr>
            <w:r>
              <w:rPr>
                <w:rFonts w:asciiTheme="minorEastAsia" w:hAnsiTheme="minorEastAsia"/>
                <w:color w:val="000000"/>
                <w:sz w:val="21"/>
              </w:rPr>
              <w:t>说明</w:t>
            </w: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CellMar>
            <w:top w:w="0" w:type="dxa"/>
            <w:left w:w="108" w:type="dxa"/>
            <w:bottom w:w="0" w:type="dxa"/>
            <w:right w:w="108" w:type="dxa"/>
          </w:tblCellMar>
        </w:tblPrEx>
        <w:trPr>
          <w:trHeight w:val="397" w:hRule="atLeast"/>
          <w:jc w:val="center"/>
        </w:trPr>
        <w:tc>
          <w:tcPr>
            <w:tcW w:w="803" w:type="dxa"/>
            <w:tcBorders>
              <w:right w:val="single" w:color="auto" w:sz="4" w:space="0"/>
            </w:tcBorders>
            <w:shd w:val="clear" w:color="auto" w:fill="auto"/>
            <w:vAlign w:val="center"/>
          </w:tcPr>
          <w:p>
            <w:pPr>
              <w:jc w:val="both"/>
              <w:rPr>
                <w:rFonts w:asciiTheme="minorEastAsia" w:hAnsiTheme="minorEastAsia"/>
                <w:color w:val="000000"/>
                <w:sz w:val="21"/>
              </w:rPr>
            </w:pPr>
          </w:p>
        </w:tc>
        <w:tc>
          <w:tcPr>
            <w:tcW w:w="1361" w:type="dxa"/>
            <w:tcBorders>
              <w:left w:val="single" w:color="auto" w:sz="4" w:space="0"/>
              <w:right w:val="single" w:color="auto" w:sz="4" w:space="0"/>
            </w:tcBorders>
            <w:shd w:val="clear" w:color="auto" w:fill="auto"/>
            <w:vAlign w:val="center"/>
          </w:tcPr>
          <w:p>
            <w:pPr>
              <w:jc w:val="both"/>
              <w:rPr>
                <w:rFonts w:asciiTheme="minorEastAsia" w:hAnsiTheme="minorEastAsia"/>
                <w:color w:val="000000"/>
                <w:sz w:val="21"/>
              </w:rPr>
            </w:pPr>
          </w:p>
        </w:tc>
        <w:tc>
          <w:tcPr>
            <w:tcW w:w="1758" w:type="dxa"/>
            <w:tcBorders>
              <w:left w:val="single" w:color="auto" w:sz="4" w:space="0"/>
              <w:right w:val="single" w:color="auto" w:sz="4" w:space="0"/>
            </w:tcBorders>
            <w:shd w:val="clear" w:color="auto" w:fill="auto"/>
            <w:vAlign w:val="center"/>
          </w:tcPr>
          <w:p>
            <w:pPr>
              <w:jc w:val="both"/>
              <w:rPr>
                <w:rFonts w:asciiTheme="minorEastAsia" w:hAnsiTheme="minorEastAsia"/>
                <w:color w:val="000000"/>
                <w:sz w:val="21"/>
              </w:rPr>
            </w:pPr>
          </w:p>
        </w:tc>
        <w:tc>
          <w:tcPr>
            <w:tcW w:w="2070" w:type="dxa"/>
            <w:tcBorders>
              <w:left w:val="single" w:color="auto" w:sz="4" w:space="0"/>
              <w:right w:val="single" w:color="auto" w:sz="4" w:space="0"/>
            </w:tcBorders>
            <w:shd w:val="clear" w:color="auto" w:fill="auto"/>
            <w:vAlign w:val="center"/>
          </w:tcPr>
          <w:p>
            <w:pPr>
              <w:jc w:val="both"/>
              <w:rPr>
                <w:rFonts w:asciiTheme="minorEastAsia" w:hAnsiTheme="minorEastAsia"/>
                <w:color w:val="000000"/>
                <w:sz w:val="21"/>
              </w:rPr>
            </w:pPr>
          </w:p>
        </w:tc>
        <w:tc>
          <w:tcPr>
            <w:tcW w:w="1701" w:type="dxa"/>
            <w:tcBorders>
              <w:left w:val="single" w:color="auto" w:sz="4" w:space="0"/>
              <w:right w:val="single" w:color="auto" w:sz="4" w:space="0"/>
            </w:tcBorders>
            <w:shd w:val="clear" w:color="auto" w:fill="auto"/>
            <w:vAlign w:val="center"/>
          </w:tcPr>
          <w:p>
            <w:pPr>
              <w:jc w:val="both"/>
              <w:rPr>
                <w:rFonts w:asciiTheme="minorEastAsia" w:hAnsiTheme="minorEastAsia"/>
                <w:color w:val="000000"/>
                <w:sz w:val="21"/>
              </w:rPr>
            </w:pPr>
          </w:p>
        </w:tc>
        <w:tc>
          <w:tcPr>
            <w:tcW w:w="1389" w:type="dxa"/>
            <w:tcBorders>
              <w:left w:val="single" w:color="auto" w:sz="4" w:space="0"/>
            </w:tcBorders>
            <w:shd w:val="clear" w:color="auto" w:fill="auto"/>
            <w:vAlign w:val="center"/>
          </w:tcPr>
          <w:p>
            <w:pPr>
              <w:jc w:val="both"/>
              <w:rPr>
                <w:rFonts w:asciiTheme="minorEastAsia" w:hAnsiTheme="minorEastAsia"/>
                <w:color w:val="000000"/>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CellMar>
            <w:top w:w="0" w:type="dxa"/>
            <w:left w:w="108" w:type="dxa"/>
            <w:bottom w:w="0" w:type="dxa"/>
            <w:right w:w="108" w:type="dxa"/>
          </w:tblCellMar>
        </w:tblPrEx>
        <w:trPr>
          <w:trHeight w:val="397" w:hRule="atLeast"/>
          <w:jc w:val="center"/>
        </w:trPr>
        <w:tc>
          <w:tcPr>
            <w:tcW w:w="803" w:type="dxa"/>
            <w:tcBorders>
              <w:right w:val="single" w:color="auto" w:sz="4" w:space="0"/>
            </w:tcBorders>
            <w:shd w:val="clear" w:color="auto" w:fill="auto"/>
            <w:vAlign w:val="center"/>
          </w:tcPr>
          <w:p>
            <w:pPr>
              <w:jc w:val="both"/>
              <w:rPr>
                <w:rFonts w:asciiTheme="minorEastAsia" w:hAnsiTheme="minorEastAsia"/>
                <w:color w:val="000000"/>
                <w:sz w:val="21"/>
              </w:rPr>
            </w:pPr>
          </w:p>
        </w:tc>
        <w:tc>
          <w:tcPr>
            <w:tcW w:w="1361" w:type="dxa"/>
            <w:tcBorders>
              <w:left w:val="single" w:color="auto" w:sz="4" w:space="0"/>
              <w:right w:val="single" w:color="auto" w:sz="4" w:space="0"/>
            </w:tcBorders>
            <w:shd w:val="clear" w:color="auto" w:fill="auto"/>
            <w:vAlign w:val="center"/>
          </w:tcPr>
          <w:p>
            <w:pPr>
              <w:jc w:val="both"/>
              <w:rPr>
                <w:rFonts w:asciiTheme="minorEastAsia" w:hAnsiTheme="minorEastAsia"/>
                <w:color w:val="000000"/>
                <w:sz w:val="21"/>
              </w:rPr>
            </w:pPr>
          </w:p>
        </w:tc>
        <w:tc>
          <w:tcPr>
            <w:tcW w:w="1758" w:type="dxa"/>
            <w:tcBorders>
              <w:left w:val="single" w:color="auto" w:sz="4" w:space="0"/>
              <w:right w:val="single" w:color="auto" w:sz="4" w:space="0"/>
            </w:tcBorders>
            <w:shd w:val="clear" w:color="auto" w:fill="auto"/>
            <w:vAlign w:val="center"/>
          </w:tcPr>
          <w:p>
            <w:pPr>
              <w:jc w:val="both"/>
              <w:rPr>
                <w:rFonts w:asciiTheme="minorEastAsia" w:hAnsiTheme="minorEastAsia"/>
                <w:color w:val="000000"/>
                <w:sz w:val="21"/>
              </w:rPr>
            </w:pPr>
          </w:p>
        </w:tc>
        <w:tc>
          <w:tcPr>
            <w:tcW w:w="2070" w:type="dxa"/>
            <w:tcBorders>
              <w:left w:val="single" w:color="auto" w:sz="4" w:space="0"/>
              <w:right w:val="single" w:color="auto" w:sz="4" w:space="0"/>
            </w:tcBorders>
            <w:shd w:val="clear" w:color="auto" w:fill="auto"/>
            <w:vAlign w:val="center"/>
          </w:tcPr>
          <w:p>
            <w:pPr>
              <w:jc w:val="both"/>
              <w:rPr>
                <w:rFonts w:asciiTheme="minorEastAsia" w:hAnsiTheme="minorEastAsia"/>
                <w:color w:val="000000"/>
                <w:sz w:val="21"/>
              </w:rPr>
            </w:pPr>
          </w:p>
        </w:tc>
        <w:tc>
          <w:tcPr>
            <w:tcW w:w="1701" w:type="dxa"/>
            <w:tcBorders>
              <w:left w:val="single" w:color="auto" w:sz="4" w:space="0"/>
              <w:right w:val="single" w:color="auto" w:sz="4" w:space="0"/>
            </w:tcBorders>
            <w:shd w:val="clear" w:color="auto" w:fill="auto"/>
            <w:vAlign w:val="center"/>
          </w:tcPr>
          <w:p>
            <w:pPr>
              <w:jc w:val="both"/>
              <w:rPr>
                <w:rFonts w:asciiTheme="minorEastAsia" w:hAnsiTheme="minorEastAsia"/>
                <w:color w:val="000000"/>
                <w:sz w:val="21"/>
              </w:rPr>
            </w:pPr>
          </w:p>
        </w:tc>
        <w:tc>
          <w:tcPr>
            <w:tcW w:w="1389" w:type="dxa"/>
            <w:tcBorders>
              <w:left w:val="single" w:color="auto" w:sz="4" w:space="0"/>
            </w:tcBorders>
            <w:shd w:val="clear" w:color="auto" w:fill="auto"/>
            <w:vAlign w:val="center"/>
          </w:tcPr>
          <w:p>
            <w:pPr>
              <w:jc w:val="both"/>
              <w:rPr>
                <w:rFonts w:asciiTheme="minorEastAsia" w:hAnsiTheme="minorEastAsia"/>
                <w:color w:val="000000"/>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CellMar>
            <w:top w:w="0" w:type="dxa"/>
            <w:left w:w="108" w:type="dxa"/>
            <w:bottom w:w="0" w:type="dxa"/>
            <w:right w:w="108" w:type="dxa"/>
          </w:tblCellMar>
        </w:tblPrEx>
        <w:trPr>
          <w:trHeight w:val="397" w:hRule="atLeast"/>
          <w:jc w:val="center"/>
        </w:trPr>
        <w:tc>
          <w:tcPr>
            <w:tcW w:w="803" w:type="dxa"/>
            <w:tcBorders>
              <w:right w:val="single" w:color="auto" w:sz="4" w:space="0"/>
            </w:tcBorders>
            <w:shd w:val="clear" w:color="auto" w:fill="auto"/>
            <w:vAlign w:val="center"/>
          </w:tcPr>
          <w:p>
            <w:pPr>
              <w:jc w:val="both"/>
              <w:rPr>
                <w:rFonts w:asciiTheme="minorEastAsia" w:hAnsiTheme="minorEastAsia"/>
                <w:color w:val="000000"/>
                <w:sz w:val="21"/>
              </w:rPr>
            </w:pPr>
          </w:p>
        </w:tc>
        <w:tc>
          <w:tcPr>
            <w:tcW w:w="1361" w:type="dxa"/>
            <w:tcBorders>
              <w:left w:val="single" w:color="auto" w:sz="4" w:space="0"/>
              <w:right w:val="single" w:color="auto" w:sz="4" w:space="0"/>
            </w:tcBorders>
            <w:shd w:val="clear" w:color="auto" w:fill="auto"/>
            <w:vAlign w:val="center"/>
          </w:tcPr>
          <w:p>
            <w:pPr>
              <w:jc w:val="both"/>
              <w:rPr>
                <w:rFonts w:asciiTheme="minorEastAsia" w:hAnsiTheme="minorEastAsia"/>
                <w:color w:val="000000"/>
                <w:sz w:val="21"/>
              </w:rPr>
            </w:pPr>
          </w:p>
        </w:tc>
        <w:tc>
          <w:tcPr>
            <w:tcW w:w="1758" w:type="dxa"/>
            <w:tcBorders>
              <w:left w:val="single" w:color="auto" w:sz="4" w:space="0"/>
              <w:right w:val="single" w:color="auto" w:sz="4" w:space="0"/>
            </w:tcBorders>
            <w:shd w:val="clear" w:color="auto" w:fill="auto"/>
            <w:vAlign w:val="center"/>
          </w:tcPr>
          <w:p>
            <w:pPr>
              <w:jc w:val="both"/>
              <w:rPr>
                <w:rFonts w:asciiTheme="minorEastAsia" w:hAnsiTheme="minorEastAsia"/>
                <w:color w:val="000000"/>
                <w:sz w:val="21"/>
              </w:rPr>
            </w:pPr>
          </w:p>
        </w:tc>
        <w:tc>
          <w:tcPr>
            <w:tcW w:w="2070" w:type="dxa"/>
            <w:tcBorders>
              <w:left w:val="single" w:color="auto" w:sz="4" w:space="0"/>
              <w:right w:val="single" w:color="auto" w:sz="4" w:space="0"/>
            </w:tcBorders>
            <w:shd w:val="clear" w:color="auto" w:fill="auto"/>
            <w:vAlign w:val="center"/>
          </w:tcPr>
          <w:p>
            <w:pPr>
              <w:jc w:val="both"/>
              <w:rPr>
                <w:rFonts w:asciiTheme="minorEastAsia" w:hAnsiTheme="minorEastAsia"/>
                <w:color w:val="000000"/>
                <w:sz w:val="21"/>
              </w:rPr>
            </w:pPr>
          </w:p>
        </w:tc>
        <w:tc>
          <w:tcPr>
            <w:tcW w:w="1701" w:type="dxa"/>
            <w:tcBorders>
              <w:left w:val="single" w:color="auto" w:sz="4" w:space="0"/>
              <w:right w:val="single" w:color="auto" w:sz="4" w:space="0"/>
            </w:tcBorders>
            <w:shd w:val="clear" w:color="auto" w:fill="auto"/>
            <w:vAlign w:val="center"/>
          </w:tcPr>
          <w:p>
            <w:pPr>
              <w:jc w:val="both"/>
              <w:rPr>
                <w:rFonts w:asciiTheme="minorEastAsia" w:hAnsiTheme="minorEastAsia"/>
                <w:color w:val="000000"/>
                <w:sz w:val="21"/>
              </w:rPr>
            </w:pPr>
          </w:p>
        </w:tc>
        <w:tc>
          <w:tcPr>
            <w:tcW w:w="1389" w:type="dxa"/>
            <w:tcBorders>
              <w:left w:val="single" w:color="auto" w:sz="4" w:space="0"/>
            </w:tcBorders>
            <w:shd w:val="clear" w:color="auto" w:fill="auto"/>
            <w:vAlign w:val="center"/>
          </w:tcPr>
          <w:p>
            <w:pPr>
              <w:jc w:val="both"/>
              <w:rPr>
                <w:rFonts w:asciiTheme="minorEastAsia" w:hAnsiTheme="minorEastAsia"/>
                <w:color w:val="000000"/>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CellMar>
            <w:top w:w="0" w:type="dxa"/>
            <w:left w:w="108" w:type="dxa"/>
            <w:bottom w:w="0" w:type="dxa"/>
            <w:right w:w="108" w:type="dxa"/>
          </w:tblCellMar>
        </w:tblPrEx>
        <w:trPr>
          <w:trHeight w:val="397" w:hRule="atLeast"/>
          <w:jc w:val="center"/>
        </w:trPr>
        <w:tc>
          <w:tcPr>
            <w:tcW w:w="803" w:type="dxa"/>
            <w:tcBorders>
              <w:right w:val="single" w:color="auto" w:sz="4" w:space="0"/>
            </w:tcBorders>
            <w:shd w:val="clear" w:color="auto" w:fill="auto"/>
            <w:vAlign w:val="center"/>
          </w:tcPr>
          <w:p>
            <w:pPr>
              <w:jc w:val="both"/>
              <w:rPr>
                <w:rFonts w:asciiTheme="minorEastAsia" w:hAnsiTheme="minorEastAsia"/>
                <w:color w:val="000000"/>
                <w:sz w:val="21"/>
              </w:rPr>
            </w:pPr>
          </w:p>
        </w:tc>
        <w:tc>
          <w:tcPr>
            <w:tcW w:w="1361" w:type="dxa"/>
            <w:tcBorders>
              <w:left w:val="single" w:color="auto" w:sz="4" w:space="0"/>
              <w:right w:val="single" w:color="auto" w:sz="4" w:space="0"/>
            </w:tcBorders>
            <w:shd w:val="clear" w:color="auto" w:fill="auto"/>
            <w:vAlign w:val="center"/>
          </w:tcPr>
          <w:p>
            <w:pPr>
              <w:jc w:val="both"/>
              <w:rPr>
                <w:rFonts w:asciiTheme="minorEastAsia" w:hAnsiTheme="minorEastAsia"/>
                <w:color w:val="000000"/>
                <w:sz w:val="21"/>
              </w:rPr>
            </w:pPr>
          </w:p>
        </w:tc>
        <w:tc>
          <w:tcPr>
            <w:tcW w:w="1758" w:type="dxa"/>
            <w:tcBorders>
              <w:left w:val="single" w:color="auto" w:sz="4" w:space="0"/>
              <w:right w:val="single" w:color="auto" w:sz="4" w:space="0"/>
            </w:tcBorders>
            <w:shd w:val="clear" w:color="auto" w:fill="auto"/>
            <w:vAlign w:val="center"/>
          </w:tcPr>
          <w:p>
            <w:pPr>
              <w:jc w:val="both"/>
              <w:rPr>
                <w:rFonts w:asciiTheme="minorEastAsia" w:hAnsiTheme="minorEastAsia"/>
                <w:color w:val="000000"/>
                <w:sz w:val="21"/>
              </w:rPr>
            </w:pPr>
          </w:p>
        </w:tc>
        <w:tc>
          <w:tcPr>
            <w:tcW w:w="2070" w:type="dxa"/>
            <w:tcBorders>
              <w:left w:val="single" w:color="auto" w:sz="4" w:space="0"/>
              <w:right w:val="single" w:color="auto" w:sz="4" w:space="0"/>
            </w:tcBorders>
            <w:shd w:val="clear" w:color="auto" w:fill="auto"/>
            <w:vAlign w:val="center"/>
          </w:tcPr>
          <w:p>
            <w:pPr>
              <w:jc w:val="both"/>
              <w:rPr>
                <w:rFonts w:asciiTheme="minorEastAsia" w:hAnsiTheme="minorEastAsia"/>
                <w:color w:val="000000"/>
                <w:sz w:val="21"/>
              </w:rPr>
            </w:pPr>
          </w:p>
        </w:tc>
        <w:tc>
          <w:tcPr>
            <w:tcW w:w="1701" w:type="dxa"/>
            <w:tcBorders>
              <w:left w:val="single" w:color="auto" w:sz="4" w:space="0"/>
              <w:right w:val="single" w:color="auto" w:sz="4" w:space="0"/>
            </w:tcBorders>
            <w:shd w:val="clear" w:color="auto" w:fill="auto"/>
            <w:vAlign w:val="center"/>
          </w:tcPr>
          <w:p>
            <w:pPr>
              <w:jc w:val="both"/>
              <w:rPr>
                <w:rFonts w:asciiTheme="minorEastAsia" w:hAnsiTheme="minorEastAsia"/>
                <w:color w:val="000000"/>
                <w:sz w:val="21"/>
              </w:rPr>
            </w:pPr>
          </w:p>
        </w:tc>
        <w:tc>
          <w:tcPr>
            <w:tcW w:w="1389" w:type="dxa"/>
            <w:tcBorders>
              <w:left w:val="single" w:color="auto" w:sz="4" w:space="0"/>
            </w:tcBorders>
            <w:shd w:val="clear" w:color="auto" w:fill="auto"/>
            <w:vAlign w:val="center"/>
          </w:tcPr>
          <w:p>
            <w:pPr>
              <w:jc w:val="both"/>
              <w:rPr>
                <w:rFonts w:asciiTheme="minorEastAsia" w:hAnsiTheme="minorEastAsia"/>
                <w:color w:val="000000"/>
                <w:sz w:val="21"/>
              </w:rPr>
            </w:pPr>
          </w:p>
        </w:tc>
      </w:tr>
      <w:tr>
        <w:tblPrEx>
          <w:tblBorders>
            <w:top w:val="single" w:color="auto" w:sz="4" w:space="0"/>
            <w:left w:val="single" w:color="auto" w:sz="4" w:space="0"/>
            <w:bottom w:val="single" w:color="auto" w:sz="4" w:space="0"/>
            <w:right w:val="single" w:color="auto" w:sz="4" w:space="0"/>
            <w:insideH w:val="single" w:color="auto" w:sz="4" w:space="0"/>
            <w:insideV w:val="none" w:color="auto" w:sz="0" w:space="0"/>
          </w:tblBorders>
          <w:tblCellMar>
            <w:top w:w="0" w:type="dxa"/>
            <w:left w:w="108" w:type="dxa"/>
            <w:bottom w:w="0" w:type="dxa"/>
            <w:right w:w="108" w:type="dxa"/>
          </w:tblCellMar>
        </w:tblPrEx>
        <w:trPr>
          <w:trHeight w:val="397" w:hRule="atLeast"/>
          <w:jc w:val="center"/>
        </w:trPr>
        <w:tc>
          <w:tcPr>
            <w:tcW w:w="803" w:type="dxa"/>
            <w:tcBorders>
              <w:right w:val="single" w:color="auto" w:sz="4" w:space="0"/>
            </w:tcBorders>
            <w:shd w:val="clear" w:color="auto" w:fill="auto"/>
            <w:vAlign w:val="center"/>
          </w:tcPr>
          <w:p>
            <w:pPr>
              <w:jc w:val="center"/>
              <w:rPr>
                <w:rFonts w:asciiTheme="minorEastAsia" w:hAnsiTheme="minorEastAsia"/>
                <w:color w:val="000000"/>
                <w:sz w:val="21"/>
              </w:rPr>
            </w:pPr>
            <w:r>
              <w:rPr>
                <w:rFonts w:asciiTheme="minorEastAsia" w:hAnsiTheme="minorEastAsia"/>
                <w:color w:val="000000"/>
                <w:sz w:val="21"/>
              </w:rPr>
              <w:t>备注</w:t>
            </w:r>
          </w:p>
        </w:tc>
        <w:tc>
          <w:tcPr>
            <w:tcW w:w="8279" w:type="dxa"/>
            <w:gridSpan w:val="5"/>
            <w:tcBorders>
              <w:left w:val="single" w:color="auto" w:sz="4" w:space="0"/>
            </w:tcBorders>
            <w:shd w:val="clear" w:color="auto" w:fill="auto"/>
            <w:vAlign w:val="center"/>
          </w:tcPr>
          <w:p>
            <w:pPr>
              <w:ind w:left="315" w:hanging="315" w:hangingChars="150"/>
              <w:jc w:val="both"/>
              <w:rPr>
                <w:rFonts w:asciiTheme="minorEastAsia" w:hAnsiTheme="minorEastAsia" w:cstheme="minorHAnsi"/>
                <w:sz w:val="21"/>
              </w:rPr>
            </w:pPr>
            <w:r>
              <w:rPr>
                <w:rFonts w:hint="eastAsia" w:asciiTheme="minorEastAsia" w:hAnsiTheme="minorEastAsia"/>
                <w:color w:val="000000"/>
                <w:sz w:val="21"/>
              </w:rPr>
              <w:t xml:space="preserve">① </w:t>
            </w:r>
            <w:r>
              <w:rPr>
                <w:rFonts w:asciiTheme="minorEastAsia" w:hAnsiTheme="minorEastAsia" w:cstheme="minorHAnsi"/>
                <w:sz w:val="21"/>
              </w:rPr>
              <w:t>表格行数不够时，请自行扩展。</w:t>
            </w:r>
          </w:p>
          <w:p>
            <w:pPr>
              <w:ind w:left="315" w:hanging="315" w:hangingChars="150"/>
              <w:jc w:val="both"/>
              <w:rPr>
                <w:rFonts w:asciiTheme="minorEastAsia" w:hAnsiTheme="minorEastAsia"/>
                <w:color w:val="000000"/>
                <w:sz w:val="21"/>
              </w:rPr>
            </w:pPr>
            <w:r>
              <w:rPr>
                <w:rFonts w:asciiTheme="minorEastAsia" w:hAnsiTheme="minorEastAsia" w:cstheme="minorHAnsi"/>
                <w:sz w:val="21"/>
              </w:rPr>
              <w:t xml:space="preserve">② </w:t>
            </w:r>
            <w:r>
              <w:rPr>
                <w:rFonts w:hint="eastAsia" w:asciiTheme="minorEastAsia" w:hAnsiTheme="minorEastAsia"/>
                <w:color w:val="000000"/>
                <w:sz w:val="21"/>
              </w:rPr>
              <w:t>对合同条款中的所有要求，除本表所列明的所有偏离外，均视作供应商已对之理解和响应。</w:t>
            </w:r>
          </w:p>
          <w:p>
            <w:pPr>
              <w:ind w:left="315" w:hanging="315" w:hangingChars="150"/>
              <w:jc w:val="both"/>
              <w:rPr>
                <w:rFonts w:asciiTheme="minorEastAsia" w:hAnsiTheme="minorEastAsia"/>
                <w:color w:val="000000"/>
                <w:sz w:val="21"/>
              </w:rPr>
            </w:pPr>
            <w:r>
              <w:rPr>
                <w:rFonts w:hint="eastAsia" w:asciiTheme="minorEastAsia" w:hAnsiTheme="minorEastAsia"/>
                <w:color w:val="000000"/>
                <w:sz w:val="21"/>
              </w:rPr>
              <w:t>③ “偏离情况”列应据实填写“正偏离”或“负偏离”。</w:t>
            </w:r>
          </w:p>
        </w:tc>
      </w:tr>
    </w:tbl>
    <w:p>
      <w:pPr>
        <w:rPr>
          <w:rFonts w:cstheme="minorHAnsi"/>
          <w:color w:val="1F4E79" w:themeColor="accent1" w:themeShade="80"/>
          <w:sz w:val="32"/>
          <w:szCs w:val="36"/>
        </w:rPr>
      </w:pPr>
      <w:r>
        <w:rPr>
          <w:rFonts w:cstheme="minorHAnsi"/>
          <w:color w:val="1F4E79" w:themeColor="accent1" w:themeShade="80"/>
          <w:sz w:val="32"/>
          <w:szCs w:val="36"/>
        </w:rPr>
        <w:br w:type="page"/>
      </w:r>
    </w:p>
    <w:p>
      <w:pPr>
        <w:keepNext/>
        <w:spacing w:before="120" w:after="60"/>
        <w:outlineLvl w:val="2"/>
        <w:rPr>
          <w:rFonts w:ascii="黑体" w:hAnsi="黑体" w:eastAsia="黑体"/>
          <w:kern w:val="28"/>
          <w:sz w:val="28"/>
          <w:szCs w:val="28"/>
        </w:rPr>
      </w:pPr>
      <w:r>
        <w:rPr>
          <w:rFonts w:ascii="黑体" w:hAnsi="黑体" w:eastAsia="黑体"/>
          <w:kern w:val="28"/>
          <w:sz w:val="28"/>
          <w:szCs w:val="28"/>
        </w:rPr>
        <w:t>（四）其他需要提供的资料</w:t>
      </w:r>
    </w:p>
    <w:p>
      <w:pPr>
        <w:rPr>
          <w:rFonts w:ascii="Calibri" w:hAnsi="华文仿宋"/>
          <w:b/>
        </w:rPr>
      </w:pPr>
    </w:p>
    <w:p>
      <w:pPr>
        <w:rPr>
          <w:rFonts w:cstheme="minorHAnsi"/>
        </w:rPr>
      </w:pPr>
    </w:p>
    <w:p>
      <w:pPr>
        <w:rPr>
          <w:rFonts w:cstheme="minorHAnsi"/>
        </w:rPr>
        <w:sectPr>
          <w:footerReference r:id="rId25" w:type="default"/>
          <w:footerReference r:id="rId26" w:type="even"/>
          <w:pgSz w:w="11906" w:h="16838"/>
          <w:pgMar w:top="1418" w:right="1418" w:bottom="1418" w:left="1418" w:header="851" w:footer="992" w:gutter="0"/>
          <w:cols w:space="425" w:num="1"/>
          <w:docGrid w:type="linesAndChars" w:linePitch="460" w:charSpace="0"/>
        </w:sectPr>
      </w:pPr>
    </w:p>
    <w:p>
      <w:pPr>
        <w:keepNext/>
        <w:spacing w:before="230" w:beforeLines="50" w:after="230" w:afterLines="50"/>
        <w:jc w:val="center"/>
        <w:outlineLvl w:val="1"/>
        <w:rPr>
          <w:rFonts w:ascii="Calibri" w:hAnsi="Calibri" w:eastAsia="黑体"/>
          <w:kern w:val="32"/>
          <w:sz w:val="32"/>
        </w:rPr>
      </w:pPr>
      <w:r>
        <w:rPr>
          <w:rFonts w:ascii="Calibri" w:hAnsi="Calibri" w:eastAsia="黑体"/>
          <w:kern w:val="32"/>
          <w:sz w:val="32"/>
        </w:rPr>
        <w:t>第六部分</w:t>
      </w:r>
      <w:r>
        <w:rPr>
          <w:rFonts w:hint="eastAsia" w:ascii="Calibri" w:hAnsi="Calibri" w:eastAsia="黑体"/>
          <w:kern w:val="32"/>
          <w:sz w:val="32"/>
        </w:rPr>
        <w:t>　</w:t>
      </w:r>
      <w:r>
        <w:rPr>
          <w:rFonts w:ascii="Calibri" w:hAnsi="Calibri" w:eastAsia="黑体"/>
          <w:kern w:val="32"/>
          <w:sz w:val="32"/>
        </w:rPr>
        <w:t>供应商概况</w:t>
      </w:r>
    </w:p>
    <w:p>
      <w:pPr>
        <w:keepNext/>
        <w:spacing w:before="120" w:after="60"/>
        <w:outlineLvl w:val="2"/>
        <w:rPr>
          <w:rFonts w:ascii="Calibri" w:hAnsi="Calibri" w:eastAsia="黑体"/>
          <w:kern w:val="28"/>
          <w:sz w:val="28"/>
        </w:rPr>
      </w:pPr>
      <w:r>
        <w:rPr>
          <w:rFonts w:ascii="Calibri" w:hAnsi="Calibri" w:eastAsia="黑体"/>
          <w:kern w:val="28"/>
          <w:sz w:val="28"/>
        </w:rPr>
        <w:t>（一）供应商基本信息</w:t>
      </w:r>
    </w:p>
    <w:tbl>
      <w:tblPr>
        <w:tblStyle w:val="26"/>
        <w:tblW w:w="9180"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1970"/>
        <w:gridCol w:w="1559"/>
        <w:gridCol w:w="1159"/>
        <w:gridCol w:w="1701"/>
        <w:gridCol w:w="1275"/>
        <w:gridCol w:w="1516"/>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9180" w:type="dxa"/>
            <w:gridSpan w:val="6"/>
            <w:shd w:val="clear" w:color="auto" w:fill="F1F1F1" w:themeFill="background1" w:themeFillShade="F2"/>
            <w:vAlign w:val="center"/>
          </w:tcPr>
          <w:p>
            <w:pPr>
              <w:autoSpaceDE w:val="0"/>
              <w:autoSpaceDN w:val="0"/>
              <w:adjustRightInd w:val="0"/>
              <w:spacing w:line="320" w:lineRule="exact"/>
              <w:jc w:val="center"/>
              <w:rPr>
                <w:rFonts w:cstheme="minorHAnsi"/>
                <w:b/>
                <w:sz w:val="21"/>
                <w:szCs w:val="21"/>
              </w:rPr>
            </w:pPr>
            <w:r>
              <w:rPr>
                <w:rFonts w:cstheme="minorHAnsi"/>
                <w:b/>
                <w:sz w:val="21"/>
                <w:szCs w:val="21"/>
              </w:rPr>
              <w:t>单位基本情况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1970" w:type="dxa"/>
            <w:shd w:val="clear" w:color="auto" w:fill="auto"/>
            <w:vAlign w:val="center"/>
          </w:tcPr>
          <w:p>
            <w:pPr>
              <w:autoSpaceDE w:val="0"/>
              <w:autoSpaceDN w:val="0"/>
              <w:adjustRightInd w:val="0"/>
              <w:spacing w:line="320" w:lineRule="exact"/>
              <w:jc w:val="center"/>
              <w:rPr>
                <w:rFonts w:cstheme="minorHAnsi"/>
                <w:sz w:val="21"/>
                <w:szCs w:val="21"/>
              </w:rPr>
            </w:pPr>
            <w:r>
              <w:rPr>
                <w:rFonts w:cstheme="minorHAnsi"/>
                <w:sz w:val="21"/>
                <w:szCs w:val="21"/>
              </w:rPr>
              <w:t>供应商全称</w:t>
            </w:r>
          </w:p>
        </w:tc>
        <w:tc>
          <w:tcPr>
            <w:tcW w:w="7210" w:type="dxa"/>
            <w:gridSpan w:val="5"/>
            <w:shd w:val="clear" w:color="auto" w:fill="auto"/>
            <w:vAlign w:val="center"/>
          </w:tcPr>
          <w:p>
            <w:pPr>
              <w:autoSpaceDE w:val="0"/>
              <w:autoSpaceDN w:val="0"/>
              <w:adjustRightInd w:val="0"/>
              <w:spacing w:line="320" w:lineRule="exact"/>
              <w:jc w:val="center"/>
              <w:rPr>
                <w:rFonts w:cstheme="minorHAnsi"/>
                <w:sz w:val="21"/>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1970" w:type="dxa"/>
            <w:shd w:val="clear" w:color="auto" w:fill="auto"/>
            <w:vAlign w:val="center"/>
          </w:tcPr>
          <w:p>
            <w:pPr>
              <w:autoSpaceDE w:val="0"/>
              <w:autoSpaceDN w:val="0"/>
              <w:adjustRightInd w:val="0"/>
              <w:spacing w:line="320" w:lineRule="exact"/>
              <w:jc w:val="center"/>
              <w:rPr>
                <w:rFonts w:cstheme="minorHAnsi"/>
                <w:sz w:val="21"/>
                <w:szCs w:val="21"/>
              </w:rPr>
            </w:pPr>
            <w:r>
              <w:rPr>
                <w:rFonts w:cstheme="minorHAnsi"/>
                <w:sz w:val="21"/>
                <w:szCs w:val="21"/>
              </w:rPr>
              <w:t>注册地址</w:t>
            </w:r>
          </w:p>
        </w:tc>
        <w:tc>
          <w:tcPr>
            <w:tcW w:w="2718" w:type="dxa"/>
            <w:gridSpan w:val="2"/>
            <w:shd w:val="clear" w:color="auto" w:fill="auto"/>
            <w:vAlign w:val="center"/>
          </w:tcPr>
          <w:p>
            <w:pPr>
              <w:autoSpaceDE w:val="0"/>
              <w:autoSpaceDN w:val="0"/>
              <w:adjustRightInd w:val="0"/>
              <w:spacing w:line="320" w:lineRule="exact"/>
              <w:jc w:val="center"/>
              <w:rPr>
                <w:rFonts w:cstheme="minorHAnsi"/>
                <w:sz w:val="21"/>
                <w:szCs w:val="21"/>
              </w:rPr>
            </w:pPr>
          </w:p>
        </w:tc>
        <w:tc>
          <w:tcPr>
            <w:tcW w:w="1701" w:type="dxa"/>
            <w:shd w:val="clear" w:color="auto" w:fill="auto"/>
            <w:vAlign w:val="center"/>
          </w:tcPr>
          <w:p>
            <w:pPr>
              <w:autoSpaceDE w:val="0"/>
              <w:autoSpaceDN w:val="0"/>
              <w:adjustRightInd w:val="0"/>
              <w:spacing w:line="320" w:lineRule="exact"/>
              <w:jc w:val="center"/>
              <w:rPr>
                <w:rFonts w:cstheme="minorHAnsi"/>
                <w:sz w:val="21"/>
                <w:szCs w:val="21"/>
              </w:rPr>
            </w:pPr>
            <w:r>
              <w:rPr>
                <w:rFonts w:cstheme="minorHAnsi"/>
                <w:sz w:val="21"/>
                <w:szCs w:val="21"/>
              </w:rPr>
              <w:t>成立时间</w:t>
            </w:r>
          </w:p>
        </w:tc>
        <w:tc>
          <w:tcPr>
            <w:tcW w:w="2791" w:type="dxa"/>
            <w:gridSpan w:val="2"/>
            <w:shd w:val="clear" w:color="auto" w:fill="auto"/>
            <w:vAlign w:val="center"/>
          </w:tcPr>
          <w:p>
            <w:pPr>
              <w:autoSpaceDE w:val="0"/>
              <w:autoSpaceDN w:val="0"/>
              <w:adjustRightInd w:val="0"/>
              <w:spacing w:line="320" w:lineRule="exact"/>
              <w:jc w:val="center"/>
              <w:rPr>
                <w:rFonts w:cstheme="minorHAnsi"/>
                <w:sz w:val="21"/>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1970" w:type="dxa"/>
            <w:shd w:val="clear" w:color="auto" w:fill="auto"/>
            <w:vAlign w:val="center"/>
          </w:tcPr>
          <w:p>
            <w:pPr>
              <w:autoSpaceDE w:val="0"/>
              <w:autoSpaceDN w:val="0"/>
              <w:adjustRightInd w:val="0"/>
              <w:spacing w:line="320" w:lineRule="exact"/>
              <w:jc w:val="center"/>
              <w:rPr>
                <w:rFonts w:cstheme="minorHAnsi"/>
                <w:sz w:val="21"/>
                <w:szCs w:val="21"/>
              </w:rPr>
            </w:pPr>
            <w:r>
              <w:rPr>
                <w:rFonts w:cstheme="minorHAnsi"/>
                <w:sz w:val="21"/>
                <w:szCs w:val="21"/>
              </w:rPr>
              <w:t>统一社会信用代码</w:t>
            </w:r>
          </w:p>
        </w:tc>
        <w:tc>
          <w:tcPr>
            <w:tcW w:w="2718" w:type="dxa"/>
            <w:gridSpan w:val="2"/>
            <w:shd w:val="clear" w:color="auto" w:fill="auto"/>
            <w:vAlign w:val="center"/>
          </w:tcPr>
          <w:p>
            <w:pPr>
              <w:autoSpaceDE w:val="0"/>
              <w:autoSpaceDN w:val="0"/>
              <w:adjustRightInd w:val="0"/>
              <w:spacing w:line="320" w:lineRule="exact"/>
              <w:jc w:val="center"/>
              <w:rPr>
                <w:rFonts w:cstheme="minorHAnsi"/>
                <w:sz w:val="21"/>
                <w:szCs w:val="21"/>
              </w:rPr>
            </w:pPr>
          </w:p>
        </w:tc>
        <w:tc>
          <w:tcPr>
            <w:tcW w:w="1701" w:type="dxa"/>
            <w:shd w:val="clear" w:color="auto" w:fill="auto"/>
            <w:vAlign w:val="center"/>
          </w:tcPr>
          <w:p>
            <w:pPr>
              <w:autoSpaceDE w:val="0"/>
              <w:autoSpaceDN w:val="0"/>
              <w:adjustRightInd w:val="0"/>
              <w:spacing w:line="320" w:lineRule="exact"/>
              <w:jc w:val="center"/>
              <w:rPr>
                <w:rFonts w:cstheme="minorHAnsi"/>
                <w:sz w:val="21"/>
                <w:szCs w:val="21"/>
              </w:rPr>
            </w:pPr>
            <w:r>
              <w:rPr>
                <w:rFonts w:cstheme="minorHAnsi"/>
                <w:sz w:val="21"/>
                <w:szCs w:val="21"/>
              </w:rPr>
              <w:t>单位性质</w:t>
            </w:r>
          </w:p>
        </w:tc>
        <w:tc>
          <w:tcPr>
            <w:tcW w:w="2791" w:type="dxa"/>
            <w:gridSpan w:val="2"/>
            <w:shd w:val="clear" w:color="auto" w:fill="auto"/>
            <w:vAlign w:val="center"/>
          </w:tcPr>
          <w:p>
            <w:pPr>
              <w:autoSpaceDE w:val="0"/>
              <w:autoSpaceDN w:val="0"/>
              <w:adjustRightInd w:val="0"/>
              <w:spacing w:line="320" w:lineRule="exact"/>
              <w:jc w:val="center"/>
              <w:rPr>
                <w:rFonts w:cstheme="minorHAnsi"/>
                <w:sz w:val="21"/>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1970" w:type="dxa"/>
            <w:shd w:val="clear" w:color="auto" w:fill="auto"/>
            <w:vAlign w:val="center"/>
          </w:tcPr>
          <w:p>
            <w:pPr>
              <w:autoSpaceDE w:val="0"/>
              <w:autoSpaceDN w:val="0"/>
              <w:adjustRightInd w:val="0"/>
              <w:spacing w:line="320" w:lineRule="exact"/>
              <w:jc w:val="center"/>
              <w:rPr>
                <w:rFonts w:cstheme="minorHAnsi"/>
                <w:sz w:val="21"/>
                <w:szCs w:val="21"/>
              </w:rPr>
            </w:pPr>
            <w:r>
              <w:rPr>
                <w:rFonts w:cstheme="minorHAnsi"/>
                <w:sz w:val="21"/>
                <w:szCs w:val="21"/>
              </w:rPr>
              <w:t>法定代表人</w:t>
            </w:r>
            <w:r>
              <w:rPr>
                <w:rFonts w:cstheme="minorHAnsi"/>
                <w:sz w:val="21"/>
                <w:szCs w:val="21"/>
              </w:rPr>
              <w:br w:type="textWrapping"/>
            </w:r>
            <w:r>
              <w:rPr>
                <w:rFonts w:cstheme="minorHAnsi"/>
                <w:sz w:val="21"/>
                <w:szCs w:val="21"/>
              </w:rPr>
              <w:t>（负责人）</w:t>
            </w:r>
          </w:p>
        </w:tc>
        <w:tc>
          <w:tcPr>
            <w:tcW w:w="2718" w:type="dxa"/>
            <w:gridSpan w:val="2"/>
            <w:shd w:val="clear" w:color="auto" w:fill="auto"/>
            <w:vAlign w:val="center"/>
          </w:tcPr>
          <w:p>
            <w:pPr>
              <w:autoSpaceDE w:val="0"/>
              <w:autoSpaceDN w:val="0"/>
              <w:adjustRightInd w:val="0"/>
              <w:spacing w:line="320" w:lineRule="exact"/>
              <w:jc w:val="center"/>
              <w:rPr>
                <w:rFonts w:cstheme="minorHAnsi"/>
                <w:sz w:val="21"/>
                <w:szCs w:val="21"/>
              </w:rPr>
            </w:pPr>
          </w:p>
        </w:tc>
        <w:tc>
          <w:tcPr>
            <w:tcW w:w="1701" w:type="dxa"/>
            <w:shd w:val="clear" w:color="auto" w:fill="auto"/>
            <w:vAlign w:val="center"/>
          </w:tcPr>
          <w:p>
            <w:pPr>
              <w:autoSpaceDE w:val="0"/>
              <w:autoSpaceDN w:val="0"/>
              <w:adjustRightInd w:val="0"/>
              <w:spacing w:line="320" w:lineRule="exact"/>
              <w:jc w:val="center"/>
              <w:rPr>
                <w:rFonts w:cstheme="minorHAnsi"/>
                <w:sz w:val="21"/>
                <w:szCs w:val="21"/>
              </w:rPr>
            </w:pPr>
            <w:r>
              <w:rPr>
                <w:rFonts w:cstheme="minorHAnsi"/>
                <w:sz w:val="21"/>
                <w:szCs w:val="21"/>
              </w:rPr>
              <w:t>所属行业</w:t>
            </w:r>
          </w:p>
        </w:tc>
        <w:tc>
          <w:tcPr>
            <w:tcW w:w="2791" w:type="dxa"/>
            <w:gridSpan w:val="2"/>
            <w:shd w:val="clear" w:color="auto" w:fill="auto"/>
            <w:vAlign w:val="center"/>
          </w:tcPr>
          <w:p>
            <w:pPr>
              <w:autoSpaceDE w:val="0"/>
              <w:autoSpaceDN w:val="0"/>
              <w:adjustRightInd w:val="0"/>
              <w:spacing w:line="320" w:lineRule="exact"/>
              <w:jc w:val="center"/>
              <w:rPr>
                <w:rFonts w:cstheme="minorHAnsi"/>
                <w:sz w:val="21"/>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1970" w:type="dxa"/>
            <w:shd w:val="clear" w:color="auto" w:fill="auto"/>
            <w:vAlign w:val="center"/>
          </w:tcPr>
          <w:p>
            <w:pPr>
              <w:autoSpaceDE w:val="0"/>
              <w:autoSpaceDN w:val="0"/>
              <w:adjustRightInd w:val="0"/>
              <w:spacing w:line="320" w:lineRule="exact"/>
              <w:jc w:val="center"/>
              <w:rPr>
                <w:rFonts w:cstheme="minorHAnsi"/>
                <w:sz w:val="21"/>
                <w:szCs w:val="21"/>
              </w:rPr>
            </w:pPr>
            <w:r>
              <w:rPr>
                <w:rFonts w:cstheme="minorHAnsi"/>
                <w:sz w:val="21"/>
                <w:szCs w:val="21"/>
              </w:rPr>
              <w:t>基本存款账户</w:t>
            </w:r>
            <w:r>
              <w:rPr>
                <w:rFonts w:cstheme="minorHAnsi"/>
                <w:sz w:val="21"/>
                <w:szCs w:val="21"/>
              </w:rPr>
              <w:br w:type="textWrapping"/>
            </w:r>
            <w:r>
              <w:rPr>
                <w:rFonts w:cstheme="minorHAnsi"/>
                <w:sz w:val="21"/>
                <w:szCs w:val="21"/>
              </w:rPr>
              <w:t>开户银行</w:t>
            </w:r>
          </w:p>
        </w:tc>
        <w:tc>
          <w:tcPr>
            <w:tcW w:w="2718" w:type="dxa"/>
            <w:gridSpan w:val="2"/>
            <w:shd w:val="clear" w:color="auto" w:fill="auto"/>
            <w:vAlign w:val="center"/>
          </w:tcPr>
          <w:p>
            <w:pPr>
              <w:autoSpaceDE w:val="0"/>
              <w:autoSpaceDN w:val="0"/>
              <w:adjustRightInd w:val="0"/>
              <w:spacing w:line="320" w:lineRule="exact"/>
              <w:jc w:val="center"/>
              <w:rPr>
                <w:rFonts w:cstheme="minorHAnsi"/>
                <w:sz w:val="21"/>
                <w:szCs w:val="21"/>
              </w:rPr>
            </w:pPr>
          </w:p>
        </w:tc>
        <w:tc>
          <w:tcPr>
            <w:tcW w:w="1701" w:type="dxa"/>
            <w:shd w:val="clear" w:color="auto" w:fill="auto"/>
            <w:vAlign w:val="center"/>
          </w:tcPr>
          <w:p>
            <w:pPr>
              <w:autoSpaceDE w:val="0"/>
              <w:autoSpaceDN w:val="0"/>
              <w:adjustRightInd w:val="0"/>
              <w:spacing w:line="320" w:lineRule="exact"/>
              <w:jc w:val="center"/>
              <w:rPr>
                <w:rFonts w:cstheme="minorHAnsi"/>
                <w:sz w:val="21"/>
                <w:szCs w:val="21"/>
              </w:rPr>
            </w:pPr>
            <w:r>
              <w:rPr>
                <w:rFonts w:cstheme="minorHAnsi"/>
                <w:sz w:val="21"/>
                <w:szCs w:val="21"/>
              </w:rPr>
              <w:t>基本存款</w:t>
            </w:r>
            <w:r>
              <w:rPr>
                <w:rFonts w:cstheme="minorHAnsi"/>
                <w:sz w:val="21"/>
                <w:szCs w:val="21"/>
              </w:rPr>
              <w:br w:type="textWrapping"/>
            </w:r>
            <w:r>
              <w:rPr>
                <w:rFonts w:cstheme="minorHAnsi"/>
                <w:sz w:val="21"/>
                <w:szCs w:val="21"/>
              </w:rPr>
              <w:t>账户账号</w:t>
            </w:r>
          </w:p>
        </w:tc>
        <w:tc>
          <w:tcPr>
            <w:tcW w:w="2791" w:type="dxa"/>
            <w:gridSpan w:val="2"/>
            <w:shd w:val="clear" w:color="auto" w:fill="auto"/>
            <w:vAlign w:val="center"/>
          </w:tcPr>
          <w:p>
            <w:pPr>
              <w:autoSpaceDE w:val="0"/>
              <w:autoSpaceDN w:val="0"/>
              <w:adjustRightInd w:val="0"/>
              <w:spacing w:line="320" w:lineRule="exact"/>
              <w:jc w:val="center"/>
              <w:rPr>
                <w:rFonts w:cstheme="minorHAnsi"/>
                <w:sz w:val="21"/>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1970" w:type="dxa"/>
            <w:shd w:val="clear" w:color="auto" w:fill="auto"/>
            <w:vAlign w:val="center"/>
          </w:tcPr>
          <w:p>
            <w:pPr>
              <w:autoSpaceDE w:val="0"/>
              <w:autoSpaceDN w:val="0"/>
              <w:adjustRightInd w:val="0"/>
              <w:spacing w:line="320" w:lineRule="exact"/>
              <w:jc w:val="center"/>
              <w:rPr>
                <w:rFonts w:cstheme="minorHAnsi"/>
                <w:sz w:val="21"/>
                <w:szCs w:val="21"/>
              </w:rPr>
            </w:pPr>
            <w:r>
              <w:rPr>
                <w:rFonts w:cstheme="minorHAnsi"/>
                <w:sz w:val="21"/>
                <w:szCs w:val="21"/>
              </w:rPr>
              <w:t>上年度营业收入*</w:t>
            </w:r>
          </w:p>
        </w:tc>
        <w:tc>
          <w:tcPr>
            <w:tcW w:w="2718" w:type="dxa"/>
            <w:gridSpan w:val="2"/>
            <w:shd w:val="clear" w:color="auto" w:fill="auto"/>
            <w:vAlign w:val="center"/>
          </w:tcPr>
          <w:p>
            <w:pPr>
              <w:autoSpaceDE w:val="0"/>
              <w:autoSpaceDN w:val="0"/>
              <w:adjustRightInd w:val="0"/>
              <w:spacing w:line="320" w:lineRule="exact"/>
              <w:jc w:val="center"/>
              <w:rPr>
                <w:rFonts w:cstheme="minorHAnsi"/>
                <w:sz w:val="21"/>
                <w:szCs w:val="21"/>
              </w:rPr>
            </w:pPr>
          </w:p>
        </w:tc>
        <w:tc>
          <w:tcPr>
            <w:tcW w:w="1701" w:type="dxa"/>
            <w:shd w:val="clear" w:color="auto" w:fill="auto"/>
            <w:vAlign w:val="center"/>
          </w:tcPr>
          <w:p>
            <w:pPr>
              <w:autoSpaceDE w:val="0"/>
              <w:autoSpaceDN w:val="0"/>
              <w:adjustRightInd w:val="0"/>
              <w:spacing w:line="320" w:lineRule="exact"/>
              <w:jc w:val="center"/>
              <w:rPr>
                <w:rFonts w:cstheme="minorHAnsi"/>
                <w:sz w:val="21"/>
                <w:szCs w:val="21"/>
              </w:rPr>
            </w:pPr>
            <w:r>
              <w:rPr>
                <w:rFonts w:cstheme="minorHAnsi"/>
                <w:sz w:val="21"/>
                <w:szCs w:val="21"/>
              </w:rPr>
              <w:t>资产总额</w:t>
            </w:r>
          </w:p>
        </w:tc>
        <w:tc>
          <w:tcPr>
            <w:tcW w:w="2791" w:type="dxa"/>
            <w:gridSpan w:val="2"/>
            <w:shd w:val="clear" w:color="auto" w:fill="auto"/>
            <w:vAlign w:val="center"/>
          </w:tcPr>
          <w:p>
            <w:pPr>
              <w:autoSpaceDE w:val="0"/>
              <w:autoSpaceDN w:val="0"/>
              <w:adjustRightInd w:val="0"/>
              <w:spacing w:line="320" w:lineRule="exact"/>
              <w:jc w:val="center"/>
              <w:rPr>
                <w:rFonts w:cstheme="minorHAnsi"/>
                <w:sz w:val="21"/>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1970" w:type="dxa"/>
            <w:shd w:val="clear" w:color="auto" w:fill="auto"/>
            <w:vAlign w:val="center"/>
          </w:tcPr>
          <w:p>
            <w:pPr>
              <w:autoSpaceDE w:val="0"/>
              <w:autoSpaceDN w:val="0"/>
              <w:adjustRightInd w:val="0"/>
              <w:spacing w:line="320" w:lineRule="exact"/>
              <w:jc w:val="center"/>
              <w:rPr>
                <w:rFonts w:cstheme="minorHAnsi"/>
                <w:sz w:val="21"/>
                <w:szCs w:val="21"/>
              </w:rPr>
            </w:pPr>
            <w:r>
              <w:rPr>
                <w:rFonts w:cstheme="minorHAnsi"/>
                <w:sz w:val="21"/>
                <w:szCs w:val="21"/>
              </w:rPr>
              <w:t>经营范围</w:t>
            </w:r>
          </w:p>
        </w:tc>
        <w:tc>
          <w:tcPr>
            <w:tcW w:w="7210" w:type="dxa"/>
            <w:gridSpan w:val="5"/>
            <w:shd w:val="clear" w:color="auto" w:fill="auto"/>
            <w:vAlign w:val="center"/>
          </w:tcPr>
          <w:p>
            <w:pPr>
              <w:autoSpaceDE w:val="0"/>
              <w:autoSpaceDN w:val="0"/>
              <w:adjustRightInd w:val="0"/>
              <w:spacing w:line="320" w:lineRule="exact"/>
              <w:jc w:val="center"/>
              <w:rPr>
                <w:rFonts w:cstheme="minorHAnsi"/>
                <w:sz w:val="21"/>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1970" w:type="dxa"/>
            <w:shd w:val="clear" w:color="auto" w:fill="F1F1F1" w:themeFill="background1" w:themeFillShade="F2"/>
            <w:vAlign w:val="center"/>
          </w:tcPr>
          <w:p>
            <w:pPr>
              <w:autoSpaceDE w:val="0"/>
              <w:autoSpaceDN w:val="0"/>
              <w:adjustRightInd w:val="0"/>
              <w:spacing w:line="320" w:lineRule="exact"/>
              <w:jc w:val="center"/>
              <w:rPr>
                <w:rFonts w:cstheme="minorHAnsi"/>
                <w:b/>
                <w:sz w:val="21"/>
                <w:szCs w:val="21"/>
              </w:rPr>
            </w:pPr>
            <w:r>
              <w:rPr>
                <w:rFonts w:cstheme="minorHAnsi"/>
                <w:b/>
                <w:sz w:val="21"/>
                <w:szCs w:val="21"/>
              </w:rPr>
              <w:t>资质证书名称</w:t>
            </w:r>
          </w:p>
        </w:tc>
        <w:tc>
          <w:tcPr>
            <w:tcW w:w="2718" w:type="dxa"/>
            <w:gridSpan w:val="2"/>
            <w:shd w:val="clear" w:color="auto" w:fill="F1F1F1" w:themeFill="background1" w:themeFillShade="F2"/>
            <w:vAlign w:val="center"/>
          </w:tcPr>
          <w:p>
            <w:pPr>
              <w:autoSpaceDE w:val="0"/>
              <w:autoSpaceDN w:val="0"/>
              <w:adjustRightInd w:val="0"/>
              <w:spacing w:line="320" w:lineRule="exact"/>
              <w:jc w:val="center"/>
              <w:rPr>
                <w:rFonts w:cstheme="minorHAnsi"/>
                <w:b/>
                <w:sz w:val="21"/>
                <w:szCs w:val="21"/>
              </w:rPr>
            </w:pPr>
            <w:r>
              <w:rPr>
                <w:rFonts w:cstheme="minorHAnsi"/>
                <w:b/>
                <w:sz w:val="21"/>
                <w:szCs w:val="21"/>
              </w:rPr>
              <w:t>证书号</w:t>
            </w:r>
          </w:p>
        </w:tc>
        <w:tc>
          <w:tcPr>
            <w:tcW w:w="1701" w:type="dxa"/>
            <w:shd w:val="clear" w:color="auto" w:fill="F1F1F1" w:themeFill="background1" w:themeFillShade="F2"/>
            <w:vAlign w:val="center"/>
          </w:tcPr>
          <w:p>
            <w:pPr>
              <w:autoSpaceDE w:val="0"/>
              <w:autoSpaceDN w:val="0"/>
              <w:adjustRightInd w:val="0"/>
              <w:spacing w:line="320" w:lineRule="exact"/>
              <w:jc w:val="center"/>
              <w:rPr>
                <w:rFonts w:cstheme="minorHAnsi"/>
                <w:b/>
                <w:sz w:val="21"/>
                <w:szCs w:val="21"/>
              </w:rPr>
            </w:pPr>
            <w:r>
              <w:rPr>
                <w:rFonts w:cstheme="minorHAnsi"/>
                <w:b/>
                <w:sz w:val="21"/>
                <w:szCs w:val="21"/>
              </w:rPr>
              <w:t>等级</w:t>
            </w:r>
          </w:p>
        </w:tc>
        <w:tc>
          <w:tcPr>
            <w:tcW w:w="2791" w:type="dxa"/>
            <w:gridSpan w:val="2"/>
            <w:shd w:val="clear" w:color="auto" w:fill="F1F1F1" w:themeFill="background1" w:themeFillShade="F2"/>
            <w:vAlign w:val="center"/>
          </w:tcPr>
          <w:p>
            <w:pPr>
              <w:autoSpaceDE w:val="0"/>
              <w:autoSpaceDN w:val="0"/>
              <w:adjustRightInd w:val="0"/>
              <w:spacing w:line="320" w:lineRule="exact"/>
              <w:jc w:val="center"/>
              <w:rPr>
                <w:rFonts w:cstheme="minorHAnsi"/>
                <w:b/>
                <w:sz w:val="21"/>
                <w:szCs w:val="21"/>
              </w:rPr>
            </w:pPr>
            <w:r>
              <w:rPr>
                <w:rFonts w:cstheme="minorHAnsi"/>
                <w:b/>
                <w:sz w:val="21"/>
                <w:szCs w:val="21"/>
              </w:rPr>
              <w:t>类型</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1970" w:type="dxa"/>
            <w:shd w:val="clear" w:color="auto" w:fill="auto"/>
            <w:vAlign w:val="center"/>
          </w:tcPr>
          <w:p>
            <w:pPr>
              <w:autoSpaceDE w:val="0"/>
              <w:autoSpaceDN w:val="0"/>
              <w:adjustRightInd w:val="0"/>
              <w:spacing w:line="320" w:lineRule="exact"/>
              <w:jc w:val="center"/>
              <w:rPr>
                <w:rFonts w:cstheme="minorHAnsi"/>
                <w:sz w:val="21"/>
                <w:szCs w:val="21"/>
              </w:rPr>
            </w:pPr>
          </w:p>
        </w:tc>
        <w:tc>
          <w:tcPr>
            <w:tcW w:w="2718" w:type="dxa"/>
            <w:gridSpan w:val="2"/>
            <w:shd w:val="clear" w:color="auto" w:fill="auto"/>
            <w:vAlign w:val="center"/>
          </w:tcPr>
          <w:p>
            <w:pPr>
              <w:autoSpaceDE w:val="0"/>
              <w:autoSpaceDN w:val="0"/>
              <w:adjustRightInd w:val="0"/>
              <w:spacing w:line="320" w:lineRule="exact"/>
              <w:jc w:val="center"/>
              <w:rPr>
                <w:rFonts w:cstheme="minorHAnsi"/>
                <w:sz w:val="21"/>
                <w:szCs w:val="21"/>
              </w:rPr>
            </w:pPr>
          </w:p>
        </w:tc>
        <w:tc>
          <w:tcPr>
            <w:tcW w:w="1701" w:type="dxa"/>
            <w:shd w:val="clear" w:color="auto" w:fill="auto"/>
            <w:vAlign w:val="center"/>
          </w:tcPr>
          <w:p>
            <w:pPr>
              <w:autoSpaceDE w:val="0"/>
              <w:autoSpaceDN w:val="0"/>
              <w:adjustRightInd w:val="0"/>
              <w:spacing w:line="320" w:lineRule="exact"/>
              <w:jc w:val="center"/>
              <w:rPr>
                <w:rFonts w:cstheme="minorHAnsi"/>
                <w:sz w:val="21"/>
                <w:szCs w:val="21"/>
              </w:rPr>
            </w:pPr>
          </w:p>
        </w:tc>
        <w:tc>
          <w:tcPr>
            <w:tcW w:w="2791" w:type="dxa"/>
            <w:gridSpan w:val="2"/>
            <w:shd w:val="clear" w:color="auto" w:fill="auto"/>
            <w:vAlign w:val="center"/>
          </w:tcPr>
          <w:p>
            <w:pPr>
              <w:autoSpaceDE w:val="0"/>
              <w:autoSpaceDN w:val="0"/>
              <w:adjustRightInd w:val="0"/>
              <w:spacing w:line="320" w:lineRule="exact"/>
              <w:jc w:val="center"/>
              <w:rPr>
                <w:rFonts w:cstheme="minorHAnsi"/>
                <w:sz w:val="21"/>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1970" w:type="dxa"/>
            <w:shd w:val="clear" w:color="auto" w:fill="auto"/>
            <w:vAlign w:val="center"/>
          </w:tcPr>
          <w:p>
            <w:pPr>
              <w:autoSpaceDE w:val="0"/>
              <w:autoSpaceDN w:val="0"/>
              <w:adjustRightInd w:val="0"/>
              <w:spacing w:line="320" w:lineRule="exact"/>
              <w:jc w:val="center"/>
              <w:rPr>
                <w:rFonts w:cstheme="minorHAnsi"/>
                <w:sz w:val="21"/>
                <w:szCs w:val="21"/>
              </w:rPr>
            </w:pPr>
          </w:p>
        </w:tc>
        <w:tc>
          <w:tcPr>
            <w:tcW w:w="2718" w:type="dxa"/>
            <w:gridSpan w:val="2"/>
            <w:shd w:val="clear" w:color="auto" w:fill="auto"/>
            <w:vAlign w:val="center"/>
          </w:tcPr>
          <w:p>
            <w:pPr>
              <w:autoSpaceDE w:val="0"/>
              <w:autoSpaceDN w:val="0"/>
              <w:adjustRightInd w:val="0"/>
              <w:spacing w:line="320" w:lineRule="exact"/>
              <w:jc w:val="center"/>
              <w:rPr>
                <w:rFonts w:cstheme="minorHAnsi"/>
                <w:sz w:val="21"/>
                <w:szCs w:val="21"/>
              </w:rPr>
            </w:pPr>
          </w:p>
        </w:tc>
        <w:tc>
          <w:tcPr>
            <w:tcW w:w="1701" w:type="dxa"/>
            <w:shd w:val="clear" w:color="auto" w:fill="auto"/>
            <w:vAlign w:val="center"/>
          </w:tcPr>
          <w:p>
            <w:pPr>
              <w:autoSpaceDE w:val="0"/>
              <w:autoSpaceDN w:val="0"/>
              <w:adjustRightInd w:val="0"/>
              <w:spacing w:line="320" w:lineRule="exact"/>
              <w:jc w:val="center"/>
              <w:rPr>
                <w:rFonts w:cstheme="minorHAnsi"/>
                <w:sz w:val="21"/>
                <w:szCs w:val="21"/>
              </w:rPr>
            </w:pPr>
          </w:p>
        </w:tc>
        <w:tc>
          <w:tcPr>
            <w:tcW w:w="2791" w:type="dxa"/>
            <w:gridSpan w:val="2"/>
            <w:shd w:val="clear" w:color="auto" w:fill="auto"/>
            <w:vAlign w:val="center"/>
          </w:tcPr>
          <w:p>
            <w:pPr>
              <w:autoSpaceDE w:val="0"/>
              <w:autoSpaceDN w:val="0"/>
              <w:adjustRightInd w:val="0"/>
              <w:spacing w:line="320" w:lineRule="exact"/>
              <w:jc w:val="center"/>
              <w:rPr>
                <w:rFonts w:cstheme="minorHAnsi"/>
                <w:sz w:val="21"/>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9180" w:type="dxa"/>
            <w:gridSpan w:val="6"/>
            <w:shd w:val="clear" w:color="auto" w:fill="F1F1F1" w:themeFill="background1" w:themeFillShade="F2"/>
            <w:vAlign w:val="center"/>
          </w:tcPr>
          <w:p>
            <w:pPr>
              <w:autoSpaceDE w:val="0"/>
              <w:autoSpaceDN w:val="0"/>
              <w:adjustRightInd w:val="0"/>
              <w:spacing w:line="320" w:lineRule="exact"/>
              <w:jc w:val="center"/>
              <w:rPr>
                <w:rFonts w:cstheme="minorHAnsi"/>
                <w:b/>
                <w:sz w:val="21"/>
                <w:szCs w:val="21"/>
              </w:rPr>
            </w:pPr>
            <w:r>
              <w:rPr>
                <w:rFonts w:cstheme="minorHAnsi"/>
                <w:b/>
                <w:sz w:val="21"/>
                <w:szCs w:val="21"/>
              </w:rPr>
              <w:t>从业人员情况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1970" w:type="dxa"/>
            <w:vMerge w:val="restart"/>
            <w:shd w:val="clear" w:color="auto" w:fill="auto"/>
            <w:vAlign w:val="center"/>
          </w:tcPr>
          <w:p>
            <w:pPr>
              <w:autoSpaceDE w:val="0"/>
              <w:autoSpaceDN w:val="0"/>
              <w:adjustRightInd w:val="0"/>
              <w:spacing w:line="320" w:lineRule="exact"/>
              <w:jc w:val="center"/>
              <w:rPr>
                <w:rFonts w:cstheme="minorHAnsi"/>
                <w:sz w:val="21"/>
                <w:szCs w:val="21"/>
              </w:rPr>
            </w:pPr>
            <w:r>
              <w:rPr>
                <w:rFonts w:cstheme="minorHAnsi"/>
                <w:sz w:val="21"/>
                <w:szCs w:val="21"/>
              </w:rPr>
              <w:t>从业人员总数</w:t>
            </w:r>
          </w:p>
        </w:tc>
        <w:tc>
          <w:tcPr>
            <w:tcW w:w="1559" w:type="dxa"/>
            <w:vMerge w:val="restart"/>
            <w:shd w:val="clear" w:color="auto" w:fill="auto"/>
            <w:vAlign w:val="center"/>
          </w:tcPr>
          <w:p>
            <w:pPr>
              <w:autoSpaceDE w:val="0"/>
              <w:autoSpaceDN w:val="0"/>
              <w:adjustRightInd w:val="0"/>
              <w:spacing w:line="320" w:lineRule="exact"/>
              <w:jc w:val="center"/>
              <w:rPr>
                <w:rFonts w:cstheme="minorHAnsi"/>
                <w:sz w:val="21"/>
                <w:szCs w:val="21"/>
              </w:rPr>
            </w:pPr>
            <w:r>
              <w:rPr>
                <w:rFonts w:hint="eastAsia" w:cstheme="minorHAnsi"/>
                <w:sz w:val="21"/>
                <w:szCs w:val="21"/>
              </w:rPr>
              <w:t>　　（人）</w:t>
            </w:r>
          </w:p>
        </w:tc>
        <w:tc>
          <w:tcPr>
            <w:tcW w:w="1159" w:type="dxa"/>
            <w:shd w:val="clear" w:color="auto" w:fill="auto"/>
            <w:vAlign w:val="center"/>
          </w:tcPr>
          <w:p>
            <w:pPr>
              <w:autoSpaceDE w:val="0"/>
              <w:autoSpaceDN w:val="0"/>
              <w:adjustRightInd w:val="0"/>
              <w:spacing w:line="320" w:lineRule="exact"/>
              <w:jc w:val="center"/>
              <w:rPr>
                <w:rFonts w:cstheme="minorHAnsi"/>
                <w:sz w:val="21"/>
                <w:szCs w:val="21"/>
              </w:rPr>
            </w:pPr>
            <w:r>
              <w:rPr>
                <w:rFonts w:cstheme="minorHAnsi"/>
                <w:sz w:val="21"/>
                <w:szCs w:val="21"/>
              </w:rPr>
              <w:t>管理人员</w:t>
            </w:r>
          </w:p>
        </w:tc>
        <w:tc>
          <w:tcPr>
            <w:tcW w:w="1701" w:type="dxa"/>
            <w:shd w:val="clear" w:color="auto" w:fill="auto"/>
            <w:vAlign w:val="center"/>
          </w:tcPr>
          <w:p>
            <w:pPr>
              <w:autoSpaceDE w:val="0"/>
              <w:autoSpaceDN w:val="0"/>
              <w:adjustRightInd w:val="0"/>
              <w:spacing w:line="320" w:lineRule="exact"/>
              <w:jc w:val="center"/>
              <w:rPr>
                <w:rFonts w:cstheme="minorHAnsi"/>
                <w:sz w:val="21"/>
                <w:szCs w:val="21"/>
              </w:rPr>
            </w:pPr>
            <w:r>
              <w:rPr>
                <w:rFonts w:hint="eastAsia" w:cstheme="minorHAnsi"/>
                <w:sz w:val="21"/>
                <w:szCs w:val="21"/>
              </w:rPr>
              <w:t>　　（人）</w:t>
            </w:r>
          </w:p>
        </w:tc>
        <w:tc>
          <w:tcPr>
            <w:tcW w:w="1275" w:type="dxa"/>
            <w:shd w:val="clear" w:color="auto" w:fill="auto"/>
            <w:vAlign w:val="center"/>
          </w:tcPr>
          <w:p>
            <w:pPr>
              <w:autoSpaceDE w:val="0"/>
              <w:autoSpaceDN w:val="0"/>
              <w:adjustRightInd w:val="0"/>
              <w:spacing w:line="320" w:lineRule="exact"/>
              <w:jc w:val="center"/>
              <w:rPr>
                <w:rFonts w:cstheme="minorHAnsi"/>
                <w:sz w:val="21"/>
                <w:szCs w:val="21"/>
              </w:rPr>
            </w:pPr>
            <w:r>
              <w:rPr>
                <w:rFonts w:cstheme="minorHAnsi"/>
                <w:sz w:val="21"/>
                <w:szCs w:val="21"/>
              </w:rPr>
              <w:t>专业技术</w:t>
            </w:r>
          </w:p>
        </w:tc>
        <w:tc>
          <w:tcPr>
            <w:tcW w:w="1516" w:type="dxa"/>
            <w:shd w:val="clear" w:color="auto" w:fill="auto"/>
            <w:vAlign w:val="center"/>
          </w:tcPr>
          <w:p>
            <w:pPr>
              <w:autoSpaceDE w:val="0"/>
              <w:autoSpaceDN w:val="0"/>
              <w:adjustRightInd w:val="0"/>
              <w:spacing w:line="320" w:lineRule="exact"/>
              <w:jc w:val="center"/>
              <w:rPr>
                <w:rFonts w:cstheme="minorHAnsi"/>
                <w:bCs/>
                <w:sz w:val="21"/>
                <w:szCs w:val="21"/>
              </w:rPr>
            </w:pPr>
            <w:r>
              <w:rPr>
                <w:rFonts w:hint="eastAsia" w:cstheme="minorHAnsi"/>
                <w:sz w:val="21"/>
                <w:szCs w:val="21"/>
              </w:rPr>
              <w:t>　　（人）</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1970" w:type="dxa"/>
            <w:vMerge w:val="continue"/>
            <w:shd w:val="clear" w:color="auto" w:fill="auto"/>
            <w:vAlign w:val="center"/>
          </w:tcPr>
          <w:p>
            <w:pPr>
              <w:autoSpaceDE w:val="0"/>
              <w:autoSpaceDN w:val="0"/>
              <w:adjustRightInd w:val="0"/>
              <w:spacing w:line="320" w:lineRule="exact"/>
              <w:jc w:val="center"/>
              <w:rPr>
                <w:rFonts w:cstheme="minorHAnsi"/>
                <w:sz w:val="21"/>
                <w:szCs w:val="21"/>
              </w:rPr>
            </w:pPr>
          </w:p>
        </w:tc>
        <w:tc>
          <w:tcPr>
            <w:tcW w:w="1559" w:type="dxa"/>
            <w:vMerge w:val="continue"/>
            <w:shd w:val="clear" w:color="auto" w:fill="auto"/>
            <w:vAlign w:val="center"/>
          </w:tcPr>
          <w:p>
            <w:pPr>
              <w:autoSpaceDE w:val="0"/>
              <w:autoSpaceDN w:val="0"/>
              <w:adjustRightInd w:val="0"/>
              <w:spacing w:line="320" w:lineRule="exact"/>
              <w:jc w:val="center"/>
              <w:rPr>
                <w:rFonts w:cstheme="minorHAnsi"/>
                <w:sz w:val="21"/>
                <w:szCs w:val="21"/>
              </w:rPr>
            </w:pPr>
          </w:p>
        </w:tc>
        <w:tc>
          <w:tcPr>
            <w:tcW w:w="1159" w:type="dxa"/>
            <w:shd w:val="clear" w:color="auto" w:fill="auto"/>
            <w:vAlign w:val="center"/>
          </w:tcPr>
          <w:p>
            <w:pPr>
              <w:autoSpaceDE w:val="0"/>
              <w:autoSpaceDN w:val="0"/>
              <w:adjustRightInd w:val="0"/>
              <w:spacing w:line="320" w:lineRule="exact"/>
              <w:jc w:val="center"/>
              <w:rPr>
                <w:rFonts w:cstheme="minorHAnsi"/>
                <w:sz w:val="21"/>
                <w:szCs w:val="21"/>
              </w:rPr>
            </w:pPr>
            <w:r>
              <w:rPr>
                <w:rFonts w:cstheme="minorHAnsi"/>
                <w:sz w:val="21"/>
                <w:szCs w:val="21"/>
              </w:rPr>
              <w:t>残疾人</w:t>
            </w:r>
          </w:p>
        </w:tc>
        <w:tc>
          <w:tcPr>
            <w:tcW w:w="1701" w:type="dxa"/>
            <w:shd w:val="clear" w:color="auto" w:fill="auto"/>
            <w:vAlign w:val="center"/>
          </w:tcPr>
          <w:p>
            <w:pPr>
              <w:autoSpaceDE w:val="0"/>
              <w:autoSpaceDN w:val="0"/>
              <w:adjustRightInd w:val="0"/>
              <w:spacing w:line="320" w:lineRule="exact"/>
              <w:jc w:val="center"/>
              <w:rPr>
                <w:rFonts w:cstheme="minorHAnsi"/>
                <w:sz w:val="21"/>
                <w:szCs w:val="21"/>
              </w:rPr>
            </w:pPr>
            <w:r>
              <w:rPr>
                <w:rFonts w:hint="eastAsia" w:cstheme="minorHAnsi"/>
                <w:sz w:val="21"/>
                <w:szCs w:val="21"/>
              </w:rPr>
              <w:t>　　（人）</w:t>
            </w:r>
          </w:p>
        </w:tc>
        <w:tc>
          <w:tcPr>
            <w:tcW w:w="1275" w:type="dxa"/>
            <w:shd w:val="clear" w:color="auto" w:fill="auto"/>
            <w:vAlign w:val="center"/>
          </w:tcPr>
          <w:p>
            <w:pPr>
              <w:autoSpaceDE w:val="0"/>
              <w:autoSpaceDN w:val="0"/>
              <w:adjustRightInd w:val="0"/>
              <w:spacing w:line="320" w:lineRule="exact"/>
              <w:jc w:val="center"/>
              <w:rPr>
                <w:rFonts w:cstheme="minorHAnsi"/>
                <w:sz w:val="21"/>
                <w:szCs w:val="21"/>
              </w:rPr>
            </w:pPr>
            <w:r>
              <w:rPr>
                <w:rFonts w:cstheme="minorHAnsi"/>
                <w:sz w:val="21"/>
                <w:szCs w:val="21"/>
              </w:rPr>
              <w:t>少数民族</w:t>
            </w:r>
          </w:p>
        </w:tc>
        <w:tc>
          <w:tcPr>
            <w:tcW w:w="1516" w:type="dxa"/>
            <w:shd w:val="clear" w:color="auto" w:fill="auto"/>
            <w:vAlign w:val="center"/>
          </w:tcPr>
          <w:p>
            <w:pPr>
              <w:autoSpaceDE w:val="0"/>
              <w:autoSpaceDN w:val="0"/>
              <w:adjustRightInd w:val="0"/>
              <w:spacing w:line="320" w:lineRule="exact"/>
              <w:jc w:val="center"/>
              <w:rPr>
                <w:rFonts w:cstheme="minorHAnsi"/>
                <w:bCs/>
                <w:sz w:val="21"/>
                <w:szCs w:val="21"/>
              </w:rPr>
            </w:pPr>
            <w:r>
              <w:rPr>
                <w:rFonts w:hint="eastAsia" w:cstheme="minorHAnsi"/>
                <w:sz w:val="21"/>
                <w:szCs w:val="21"/>
              </w:rPr>
              <w:t>　　（人）</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9180" w:type="dxa"/>
            <w:gridSpan w:val="6"/>
            <w:shd w:val="clear" w:color="auto" w:fill="F1F1F1" w:themeFill="background1" w:themeFillShade="F2"/>
            <w:vAlign w:val="center"/>
          </w:tcPr>
          <w:p>
            <w:pPr>
              <w:autoSpaceDE w:val="0"/>
              <w:autoSpaceDN w:val="0"/>
              <w:adjustRightInd w:val="0"/>
              <w:spacing w:line="320" w:lineRule="exact"/>
              <w:jc w:val="center"/>
              <w:rPr>
                <w:rFonts w:cstheme="minorHAnsi"/>
                <w:b/>
                <w:sz w:val="21"/>
                <w:szCs w:val="21"/>
              </w:rPr>
            </w:pPr>
            <w:r>
              <w:rPr>
                <w:rFonts w:cstheme="minorHAnsi"/>
                <w:b/>
                <w:sz w:val="21"/>
                <w:szCs w:val="21"/>
              </w:rPr>
              <w:t>存在直接控股、管理关系的相关供应商</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1970" w:type="dxa"/>
            <w:shd w:val="clear" w:color="auto" w:fill="auto"/>
            <w:vAlign w:val="center"/>
          </w:tcPr>
          <w:p>
            <w:pPr>
              <w:autoSpaceDE w:val="0"/>
              <w:autoSpaceDN w:val="0"/>
              <w:adjustRightInd w:val="0"/>
              <w:spacing w:line="320" w:lineRule="exact"/>
              <w:jc w:val="center"/>
              <w:rPr>
                <w:rFonts w:cstheme="minorHAnsi"/>
                <w:sz w:val="21"/>
                <w:szCs w:val="21"/>
              </w:rPr>
            </w:pPr>
            <w:r>
              <w:rPr>
                <w:rFonts w:cstheme="minorHAnsi"/>
                <w:bCs/>
                <w:sz w:val="21"/>
                <w:szCs w:val="21"/>
              </w:rPr>
              <w:t>关系</w:t>
            </w:r>
          </w:p>
        </w:tc>
        <w:tc>
          <w:tcPr>
            <w:tcW w:w="7210" w:type="dxa"/>
            <w:gridSpan w:val="5"/>
            <w:shd w:val="clear" w:color="auto" w:fill="auto"/>
            <w:vAlign w:val="center"/>
          </w:tcPr>
          <w:p>
            <w:pPr>
              <w:autoSpaceDE w:val="0"/>
              <w:autoSpaceDN w:val="0"/>
              <w:adjustRightInd w:val="0"/>
              <w:spacing w:line="320" w:lineRule="exact"/>
              <w:jc w:val="center"/>
              <w:rPr>
                <w:rFonts w:cstheme="minorHAnsi"/>
                <w:bCs/>
                <w:sz w:val="21"/>
                <w:szCs w:val="21"/>
              </w:rPr>
            </w:pPr>
            <w:r>
              <w:rPr>
                <w:rFonts w:cstheme="minorHAnsi"/>
                <w:bCs/>
                <w:sz w:val="21"/>
                <w:szCs w:val="21"/>
              </w:rPr>
              <w:t>供应商名称</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1970" w:type="dxa"/>
            <w:shd w:val="clear" w:color="auto" w:fill="auto"/>
            <w:vAlign w:val="center"/>
          </w:tcPr>
          <w:p>
            <w:pPr>
              <w:autoSpaceDE w:val="0"/>
              <w:autoSpaceDN w:val="0"/>
              <w:adjustRightInd w:val="0"/>
              <w:spacing w:line="320" w:lineRule="exact"/>
              <w:jc w:val="center"/>
              <w:rPr>
                <w:rFonts w:cstheme="minorHAnsi"/>
                <w:sz w:val="21"/>
                <w:szCs w:val="21"/>
              </w:rPr>
            </w:pPr>
          </w:p>
        </w:tc>
        <w:tc>
          <w:tcPr>
            <w:tcW w:w="7210" w:type="dxa"/>
            <w:gridSpan w:val="5"/>
            <w:shd w:val="clear" w:color="auto" w:fill="auto"/>
            <w:vAlign w:val="center"/>
          </w:tcPr>
          <w:p>
            <w:pPr>
              <w:autoSpaceDE w:val="0"/>
              <w:autoSpaceDN w:val="0"/>
              <w:adjustRightInd w:val="0"/>
              <w:spacing w:line="320" w:lineRule="exact"/>
              <w:rPr>
                <w:rFonts w:cstheme="minorHAnsi"/>
                <w:bCs/>
                <w:sz w:val="21"/>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1970" w:type="dxa"/>
            <w:shd w:val="clear" w:color="auto" w:fill="auto"/>
            <w:vAlign w:val="center"/>
          </w:tcPr>
          <w:p>
            <w:pPr>
              <w:autoSpaceDE w:val="0"/>
              <w:autoSpaceDN w:val="0"/>
              <w:adjustRightInd w:val="0"/>
              <w:spacing w:line="320" w:lineRule="exact"/>
              <w:jc w:val="center"/>
              <w:rPr>
                <w:rFonts w:cstheme="minorHAnsi"/>
                <w:sz w:val="21"/>
                <w:szCs w:val="21"/>
              </w:rPr>
            </w:pPr>
          </w:p>
        </w:tc>
        <w:tc>
          <w:tcPr>
            <w:tcW w:w="7210" w:type="dxa"/>
            <w:gridSpan w:val="5"/>
            <w:shd w:val="clear" w:color="auto" w:fill="auto"/>
            <w:vAlign w:val="center"/>
          </w:tcPr>
          <w:p>
            <w:pPr>
              <w:autoSpaceDE w:val="0"/>
              <w:autoSpaceDN w:val="0"/>
              <w:adjustRightInd w:val="0"/>
              <w:spacing w:line="320" w:lineRule="exact"/>
              <w:rPr>
                <w:rFonts w:cstheme="minorHAnsi"/>
                <w:bCs/>
                <w:sz w:val="21"/>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1970" w:type="dxa"/>
            <w:shd w:val="clear" w:color="auto" w:fill="auto"/>
            <w:vAlign w:val="center"/>
          </w:tcPr>
          <w:p>
            <w:pPr>
              <w:autoSpaceDE w:val="0"/>
              <w:autoSpaceDN w:val="0"/>
              <w:adjustRightInd w:val="0"/>
              <w:spacing w:line="320" w:lineRule="exact"/>
              <w:jc w:val="center"/>
              <w:rPr>
                <w:rFonts w:cstheme="minorHAnsi"/>
                <w:sz w:val="21"/>
                <w:szCs w:val="21"/>
              </w:rPr>
            </w:pPr>
            <w:r>
              <w:rPr>
                <w:rFonts w:cstheme="minorHAnsi"/>
                <w:sz w:val="21"/>
                <w:szCs w:val="21"/>
              </w:rPr>
              <w:t>说明</w:t>
            </w:r>
          </w:p>
        </w:tc>
        <w:tc>
          <w:tcPr>
            <w:tcW w:w="7210" w:type="dxa"/>
            <w:gridSpan w:val="5"/>
            <w:shd w:val="clear" w:color="auto" w:fill="auto"/>
            <w:vAlign w:val="center"/>
          </w:tcPr>
          <w:p>
            <w:pPr>
              <w:spacing w:line="320" w:lineRule="exact"/>
              <w:ind w:left="284" w:hanging="284"/>
              <w:rPr>
                <w:rFonts w:asciiTheme="minorEastAsia" w:hAnsiTheme="minorEastAsia" w:cstheme="minorHAnsi"/>
                <w:color w:val="000000"/>
                <w:sz w:val="21"/>
                <w:szCs w:val="21"/>
              </w:rPr>
            </w:pPr>
            <w:r>
              <w:rPr>
                <w:rFonts w:asciiTheme="minorEastAsia" w:hAnsiTheme="minorEastAsia" w:cstheme="minorHAnsi"/>
                <w:color w:val="000000"/>
                <w:sz w:val="21"/>
                <w:szCs w:val="21"/>
              </w:rPr>
              <w:t>① 成立时间至提交投标文件截止时间不足一年的可不填写</w:t>
            </w:r>
            <w:r>
              <w:rPr>
                <w:rFonts w:hint="eastAsia" w:asciiTheme="minorEastAsia" w:hAnsiTheme="minorEastAsia" w:cstheme="minorHAnsi"/>
                <w:color w:val="000000"/>
                <w:sz w:val="21"/>
                <w:szCs w:val="21"/>
              </w:rPr>
              <w:t>“上年度营业收入”；</w:t>
            </w:r>
          </w:p>
          <w:p>
            <w:pPr>
              <w:spacing w:line="320" w:lineRule="exact"/>
              <w:ind w:left="284" w:hanging="284"/>
              <w:rPr>
                <w:rFonts w:asciiTheme="minorEastAsia" w:hAnsiTheme="minorEastAsia" w:cstheme="minorHAnsi"/>
                <w:color w:val="000000"/>
                <w:sz w:val="21"/>
                <w:szCs w:val="21"/>
              </w:rPr>
            </w:pPr>
            <w:r>
              <w:rPr>
                <w:rFonts w:hint="eastAsia" w:asciiTheme="minorEastAsia" w:hAnsiTheme="minorEastAsia" w:cstheme="minorHAnsi"/>
                <w:color w:val="000000"/>
                <w:sz w:val="21"/>
                <w:szCs w:val="21"/>
              </w:rPr>
              <w:t xml:space="preserve">② </w:t>
            </w:r>
            <w:r>
              <w:rPr>
                <w:rFonts w:asciiTheme="minorEastAsia" w:hAnsiTheme="minorEastAsia" w:cstheme="minorHAnsi"/>
                <w:color w:val="000000"/>
                <w:sz w:val="21"/>
                <w:szCs w:val="21"/>
              </w:rPr>
              <w:t>招标文件接受联合体的，联合体各方均应提供；</w:t>
            </w:r>
          </w:p>
          <w:p>
            <w:pPr>
              <w:spacing w:line="320" w:lineRule="exact"/>
              <w:ind w:left="284" w:hanging="284"/>
              <w:rPr>
                <w:rFonts w:cstheme="minorHAnsi"/>
                <w:sz w:val="21"/>
                <w:szCs w:val="21"/>
              </w:rPr>
            </w:pPr>
            <w:r>
              <w:rPr>
                <w:rFonts w:asciiTheme="minorEastAsia" w:hAnsiTheme="minorEastAsia" w:cstheme="minorHAnsi"/>
                <w:color w:val="000000"/>
                <w:sz w:val="21"/>
                <w:szCs w:val="21"/>
              </w:rPr>
              <w:t>③ 表格空间不足时，请自行扩展。</w:t>
            </w:r>
          </w:p>
        </w:tc>
      </w:tr>
    </w:tbl>
    <w:p>
      <w:pPr>
        <w:rPr>
          <w:rFonts w:ascii="Calibri Light" w:hAnsi="Calibri Light" w:eastAsia="华文仿宋" w:cs="Calibri Light"/>
          <w:color w:val="000000"/>
          <w:sz w:val="28"/>
          <w:szCs w:val="28"/>
        </w:rPr>
      </w:pPr>
      <w:r>
        <w:rPr>
          <w:rFonts w:ascii="Calibri Light" w:hAnsi="Calibri Light" w:eastAsia="华文仿宋" w:cs="Calibri Light"/>
          <w:color w:val="000000"/>
          <w:sz w:val="28"/>
          <w:szCs w:val="28"/>
        </w:rPr>
        <w:br w:type="page"/>
      </w:r>
    </w:p>
    <w:p>
      <w:pPr>
        <w:keepNext/>
        <w:spacing w:before="120" w:after="60"/>
        <w:outlineLvl w:val="2"/>
        <w:rPr>
          <w:rFonts w:ascii="Calibri" w:hAnsi="Calibri" w:eastAsia="黑体"/>
          <w:kern w:val="28"/>
          <w:sz w:val="28"/>
        </w:rPr>
      </w:pPr>
      <w:r>
        <w:rPr>
          <w:rFonts w:ascii="Calibri" w:hAnsi="Calibri" w:eastAsia="黑体"/>
          <w:kern w:val="28"/>
          <w:sz w:val="28"/>
        </w:rPr>
        <w:t>（</w:t>
      </w:r>
      <w:r>
        <w:rPr>
          <w:rFonts w:hint="eastAsia" w:ascii="Calibri" w:hAnsi="Calibri" w:eastAsia="黑体"/>
          <w:kern w:val="28"/>
          <w:sz w:val="28"/>
        </w:rPr>
        <w:t>二</w:t>
      </w:r>
      <w:r>
        <w:rPr>
          <w:rFonts w:ascii="Calibri" w:hAnsi="Calibri" w:eastAsia="黑体"/>
          <w:kern w:val="28"/>
          <w:sz w:val="28"/>
        </w:rPr>
        <w:t>）供应商参加政府采购活动承诺书</w:t>
      </w:r>
    </w:p>
    <w:p>
      <w:pPr>
        <w:pStyle w:val="83"/>
        <w:ind w:firstLine="480"/>
        <w:rPr>
          <w:i/>
          <w:color w:val="7030A0"/>
        </w:rPr>
      </w:pPr>
      <w:r>
        <w:rPr>
          <w:i/>
          <w:color w:val="7030A0"/>
        </w:rPr>
        <w:t>未签署下列承诺书的，将被视为无效投标，其责任由供应商自行承担。</w:t>
      </w:r>
    </w:p>
    <w:p>
      <w:pPr>
        <w:spacing w:line="480" w:lineRule="exact"/>
        <w:rPr>
          <w:rFonts w:ascii="黑体" w:hAnsi="黑体" w:cstheme="minorHAnsi"/>
          <w:b/>
        </w:rPr>
      </w:pPr>
      <w:r>
        <w:rPr>
          <w:rFonts w:ascii="黑体" w:hAnsi="黑体" w:cstheme="minorHAnsi"/>
          <w:b/>
        </w:rPr>
        <w:t>1</w:t>
      </w:r>
      <w:r>
        <w:rPr>
          <w:rFonts w:hint="eastAsia" w:ascii="黑体" w:hAnsi="黑体" w:cstheme="minorHAnsi"/>
          <w:b/>
        </w:rPr>
        <w:t>．</w:t>
      </w:r>
      <w:r>
        <w:rPr>
          <w:rFonts w:ascii="黑体" w:hAnsi="黑体" w:cstheme="minorHAnsi"/>
          <w:b/>
        </w:rPr>
        <w:t>质量安全责任承诺书</w:t>
      </w:r>
    </w:p>
    <w:p>
      <w:pPr>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t>为保证本采购项目顺利进行，作为参与本次采购活动的供应商，现郑重承诺：</w:t>
      </w:r>
    </w:p>
    <w:p>
      <w:pPr>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t>（</w:t>
      </w:r>
      <w:r>
        <w:rPr>
          <w:rFonts w:hint="eastAsia" w:ascii="Calibri" w:hAnsi="Calibri" w:eastAsia="宋体" w:cstheme="minorHAnsi"/>
          <w:color w:val="000000"/>
          <w:kern w:val="24"/>
        </w:rPr>
        <w:t>1</w:t>
      </w:r>
      <w:r>
        <w:rPr>
          <w:rFonts w:ascii="Calibri" w:hAnsi="Calibri" w:eastAsia="宋体" w:cstheme="minorHAnsi"/>
          <w:color w:val="000000"/>
          <w:kern w:val="24"/>
        </w:rPr>
        <w:t>）我方所投产品的生产（包括设计、制造、安装、改造、维修等）、投入使用的材料等均完全符合国家现行质量、安全、环保标准和要求。</w:t>
      </w:r>
    </w:p>
    <w:p>
      <w:pPr>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t>（</w:t>
      </w:r>
      <w:r>
        <w:rPr>
          <w:rFonts w:hint="eastAsia" w:ascii="Calibri" w:hAnsi="Calibri" w:eastAsia="宋体" w:cstheme="minorHAnsi"/>
          <w:color w:val="000000"/>
          <w:kern w:val="24"/>
        </w:rPr>
        <w:t>2</w:t>
      </w:r>
      <w:r>
        <w:rPr>
          <w:rFonts w:ascii="Calibri" w:hAnsi="Calibri" w:eastAsia="宋体" w:cstheme="minorHAnsi"/>
          <w:color w:val="000000"/>
          <w:kern w:val="24"/>
        </w:rPr>
        <w:t>）我方将严格按照国家现行相关储存、运输、安装调试技术标准及规范、服务标准及规范、施工标准及规范，在规定的时限内，保质、保量完成项目全部内容，并向采购人交付合格产品。</w:t>
      </w:r>
    </w:p>
    <w:p>
      <w:pPr>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t>（</w:t>
      </w:r>
      <w:r>
        <w:rPr>
          <w:rFonts w:hint="eastAsia" w:ascii="Calibri" w:hAnsi="Calibri" w:eastAsia="宋体" w:cstheme="minorHAnsi"/>
          <w:color w:val="000000"/>
          <w:kern w:val="24"/>
        </w:rPr>
        <w:t>3</w:t>
      </w:r>
      <w:r>
        <w:rPr>
          <w:rFonts w:ascii="Calibri" w:hAnsi="Calibri" w:eastAsia="宋体" w:cstheme="minorHAnsi"/>
          <w:color w:val="000000"/>
          <w:kern w:val="24"/>
        </w:rPr>
        <w:t>）对于因产品生产质量以及储存、运输、安装调试、服务、施工等过程中产生的任何安全事故，我方承担全部责任。</w:t>
      </w:r>
    </w:p>
    <w:p>
      <w:pPr>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t>（</w:t>
      </w:r>
      <w:r>
        <w:rPr>
          <w:rFonts w:hint="eastAsia" w:ascii="Calibri" w:hAnsi="Calibri" w:eastAsia="宋体" w:cstheme="minorHAnsi"/>
          <w:color w:val="000000"/>
          <w:kern w:val="24"/>
        </w:rPr>
        <w:t>4</w:t>
      </w:r>
      <w:r>
        <w:rPr>
          <w:rFonts w:ascii="Calibri" w:hAnsi="Calibri" w:eastAsia="宋体" w:cstheme="minorHAnsi"/>
          <w:color w:val="000000"/>
          <w:kern w:val="24"/>
        </w:rPr>
        <w:t>）我方提供的货物、工程、服务等符合现行的国家、行业、地区、企业标准及要求，标准不一致的，以更为严格的为准，我方对提供的货物、工程、服务等的质量、安全、环保等承担全部责任。</w:t>
      </w:r>
    </w:p>
    <w:p>
      <w:pPr>
        <w:ind w:firstLine="480" w:firstLineChars="200"/>
        <w:jc w:val="both"/>
        <w:rPr>
          <w:rFonts w:ascii="Calibri" w:hAnsi="Calibri" w:eastAsia="宋体" w:cstheme="minorHAnsi"/>
          <w:color w:val="000000"/>
          <w:kern w:val="24"/>
        </w:rPr>
      </w:pPr>
      <w:r>
        <w:rPr>
          <w:rFonts w:hint="eastAsia" w:ascii="Calibri" w:hAnsi="Calibri" w:eastAsia="宋体" w:cstheme="minorHAnsi"/>
          <w:color w:val="000000"/>
          <w:kern w:val="24"/>
        </w:rPr>
        <w:t>（5）若我方所投</w:t>
      </w:r>
      <w:r>
        <w:rPr>
          <w:rFonts w:ascii="Calibri" w:hAnsi="Calibri" w:eastAsia="宋体" w:cstheme="minorHAnsi"/>
          <w:color w:val="000000"/>
          <w:kern w:val="24"/>
        </w:rPr>
        <w:t>产品</w:t>
      </w:r>
      <w:r>
        <w:rPr>
          <w:rFonts w:hint="eastAsia" w:ascii="Calibri" w:hAnsi="Calibri" w:eastAsia="宋体" w:cstheme="minorHAnsi"/>
          <w:color w:val="000000"/>
          <w:kern w:val="24"/>
        </w:rPr>
        <w:t>或原材料</w:t>
      </w:r>
      <w:r>
        <w:rPr>
          <w:rFonts w:ascii="Calibri" w:hAnsi="Calibri" w:eastAsia="宋体" w:cstheme="minorHAnsi"/>
          <w:color w:val="000000"/>
          <w:kern w:val="24"/>
        </w:rPr>
        <w:t>属于</w:t>
      </w:r>
      <w:r>
        <w:rPr>
          <w:rFonts w:hint="eastAsia" w:ascii="Calibri" w:hAnsi="Calibri" w:eastAsia="宋体" w:cstheme="minorHAnsi"/>
          <w:color w:val="000000"/>
          <w:kern w:val="24"/>
        </w:rPr>
        <w:t>强制性产品认证目录内</w:t>
      </w:r>
      <w:r>
        <w:rPr>
          <w:rFonts w:ascii="Calibri" w:hAnsi="Calibri" w:eastAsia="宋体" w:cstheme="minorHAnsi"/>
          <w:color w:val="000000"/>
          <w:kern w:val="24"/>
        </w:rPr>
        <w:t>品目</w:t>
      </w:r>
      <w:r>
        <w:rPr>
          <w:rFonts w:hint="eastAsia" w:ascii="Calibri" w:hAnsi="Calibri" w:eastAsia="宋体" w:cstheme="minorHAnsi"/>
          <w:color w:val="000000"/>
          <w:kern w:val="24"/>
        </w:rPr>
        <w:t>，我方承诺该产品或</w:t>
      </w:r>
      <w:r>
        <w:rPr>
          <w:rFonts w:ascii="Calibri" w:hAnsi="Calibri" w:eastAsia="宋体" w:cstheme="minorHAnsi"/>
          <w:color w:val="000000"/>
          <w:kern w:val="24"/>
        </w:rPr>
        <w:t>原材料</w:t>
      </w:r>
      <w:r>
        <w:rPr>
          <w:rFonts w:hint="eastAsia" w:ascii="Calibri" w:hAnsi="Calibri" w:eastAsia="宋体" w:cstheme="minorHAnsi"/>
          <w:color w:val="000000"/>
          <w:kern w:val="24"/>
        </w:rPr>
        <w:t>满足国家强制性产品认证要求，具备“中国国家强制性产品认证证书”。</w:t>
      </w:r>
    </w:p>
    <w:p>
      <w:pPr>
        <w:ind w:firstLine="480" w:firstLineChars="200"/>
        <w:jc w:val="both"/>
        <w:rPr>
          <w:rFonts w:ascii="Calibri" w:hAnsi="Calibri" w:eastAsia="宋体" w:cstheme="minorHAnsi"/>
          <w:color w:val="000000"/>
          <w:kern w:val="24"/>
        </w:rPr>
      </w:pPr>
    </w:p>
    <w:p>
      <w:pPr>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t>供应商：（</w:t>
      </w:r>
      <w:r>
        <w:rPr>
          <w:rFonts w:ascii="Calibri" w:hAnsi="Calibri" w:eastAsia="宋体" w:cstheme="minorHAnsi"/>
          <w:i/>
          <w:color w:val="7030A0"/>
          <w:kern w:val="24"/>
        </w:rPr>
        <w:t>供应商全称并加盖公章</w:t>
      </w:r>
      <w:r>
        <w:rPr>
          <w:rFonts w:ascii="Calibri" w:hAnsi="Calibri" w:eastAsia="宋体" w:cstheme="minorHAnsi"/>
          <w:color w:val="000000"/>
          <w:kern w:val="24"/>
        </w:rPr>
        <w:t>）</w:t>
      </w:r>
    </w:p>
    <w:p>
      <w:pPr>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t>日</w:t>
      </w:r>
      <w:r>
        <w:rPr>
          <w:rFonts w:hint="eastAsia" w:ascii="Calibri" w:hAnsi="Calibri" w:eastAsia="宋体" w:cstheme="minorHAnsi"/>
          <w:color w:val="000000"/>
          <w:kern w:val="24"/>
        </w:rPr>
        <w:t>　</w:t>
      </w:r>
      <w:r>
        <w:rPr>
          <w:rFonts w:ascii="Calibri" w:hAnsi="Calibri" w:eastAsia="宋体" w:cstheme="minorHAnsi"/>
          <w:color w:val="000000"/>
          <w:kern w:val="24"/>
        </w:rPr>
        <w:t>期：　　年　月　日</w:t>
      </w:r>
    </w:p>
    <w:p>
      <w:pPr>
        <w:ind w:firstLine="480" w:firstLineChars="200"/>
        <w:jc w:val="both"/>
        <w:rPr>
          <w:rFonts w:ascii="Calibri" w:hAnsi="Calibri" w:eastAsia="宋体" w:cstheme="minorHAnsi"/>
          <w:color w:val="000000"/>
          <w:kern w:val="24"/>
        </w:rPr>
      </w:pPr>
    </w:p>
    <w:p>
      <w:pPr>
        <w:spacing w:line="480" w:lineRule="exact"/>
        <w:rPr>
          <w:rFonts w:ascii="黑体" w:hAnsi="黑体" w:cstheme="minorHAnsi"/>
          <w:b/>
        </w:rPr>
      </w:pPr>
      <w:r>
        <w:rPr>
          <w:rFonts w:ascii="黑体" w:hAnsi="黑体" w:cstheme="minorHAnsi"/>
          <w:b/>
        </w:rPr>
        <w:t>2</w:t>
      </w:r>
      <w:r>
        <w:rPr>
          <w:rFonts w:hint="eastAsia" w:ascii="黑体" w:hAnsi="黑体" w:eastAsia="黑体" w:cs="黑体"/>
          <w:b/>
        </w:rPr>
        <w:t>．</w:t>
      </w:r>
      <w:r>
        <w:rPr>
          <w:rFonts w:ascii="黑体" w:hAnsi="黑体" w:cstheme="minorHAnsi"/>
          <w:b/>
        </w:rPr>
        <w:t>参加政府采购活动行为自律承诺书</w:t>
      </w:r>
    </w:p>
    <w:p>
      <w:pPr>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t>作为参加本次政府采购项目的供应商，我方郑重承诺在参与政府采购活动中遵纪守法、公平竞争、诚实守信，如有违反愿承担一切责任及后果：</w:t>
      </w:r>
    </w:p>
    <w:p>
      <w:pPr>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t>（</w:t>
      </w:r>
      <w:r>
        <w:rPr>
          <w:rFonts w:hint="eastAsia" w:ascii="Calibri" w:hAnsi="Calibri" w:eastAsia="宋体" w:cstheme="minorHAnsi"/>
          <w:color w:val="000000"/>
          <w:kern w:val="24"/>
        </w:rPr>
        <w:t>1</w:t>
      </w:r>
      <w:r>
        <w:rPr>
          <w:rFonts w:ascii="Calibri" w:hAnsi="Calibri" w:eastAsia="宋体" w:cstheme="minorHAnsi"/>
          <w:color w:val="000000"/>
          <w:kern w:val="24"/>
        </w:rPr>
        <w:t>）不与采购人、采购代理机构、政府采购评审专家恶意串通，不向其行贿或提供其他不正当利益；</w:t>
      </w:r>
    </w:p>
    <w:p>
      <w:pPr>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t>（</w:t>
      </w:r>
      <w:r>
        <w:rPr>
          <w:rFonts w:hint="eastAsia" w:ascii="Calibri" w:hAnsi="Calibri" w:eastAsia="宋体" w:cstheme="minorHAnsi"/>
          <w:color w:val="000000"/>
          <w:kern w:val="24"/>
        </w:rPr>
        <w:t>2</w:t>
      </w:r>
      <w:r>
        <w:rPr>
          <w:rFonts w:ascii="Calibri" w:hAnsi="Calibri" w:eastAsia="宋体" w:cstheme="minorHAnsi"/>
          <w:color w:val="000000"/>
          <w:kern w:val="24"/>
        </w:rPr>
        <w:t>）不与其他供应商恶意串通，采取“围标、串标、陪标”等商业欺诈手段谋取中</w:t>
      </w:r>
      <w:r>
        <w:rPr>
          <w:rFonts w:ascii="Calibri" w:hAnsi="Calibri" w:eastAsia="宋体" w:cstheme="minorHAnsi"/>
          <w:color w:val="000000"/>
          <w:w w:val="1"/>
          <w:kern w:val="24"/>
        </w:rPr>
        <w:t xml:space="preserve"> </w:t>
      </w:r>
      <w:r>
        <w:rPr>
          <w:rFonts w:ascii="Calibri" w:hAnsi="Calibri" w:eastAsia="宋体" w:cstheme="minorHAnsi"/>
          <w:color w:val="000000"/>
          <w:kern w:val="24"/>
        </w:rPr>
        <w:t>标、成</w:t>
      </w:r>
      <w:r>
        <w:rPr>
          <w:rFonts w:ascii="Calibri" w:hAnsi="Calibri" w:eastAsia="宋体" w:cstheme="minorHAnsi"/>
          <w:color w:val="000000"/>
          <w:w w:val="1"/>
          <w:kern w:val="24"/>
        </w:rPr>
        <w:t xml:space="preserve"> </w:t>
      </w:r>
      <w:r>
        <w:rPr>
          <w:rFonts w:ascii="Calibri" w:hAnsi="Calibri" w:eastAsia="宋体" w:cstheme="minorHAnsi"/>
          <w:color w:val="000000"/>
          <w:kern w:val="24"/>
        </w:rPr>
        <w:t>交；</w:t>
      </w:r>
    </w:p>
    <w:p>
      <w:pPr>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t>（</w:t>
      </w:r>
      <w:r>
        <w:rPr>
          <w:rFonts w:hint="eastAsia" w:ascii="Calibri" w:hAnsi="Calibri" w:eastAsia="宋体" w:cstheme="minorHAnsi"/>
          <w:color w:val="000000"/>
          <w:kern w:val="24"/>
        </w:rPr>
        <w:t>3</w:t>
      </w:r>
      <w:r>
        <w:rPr>
          <w:rFonts w:ascii="Calibri" w:hAnsi="Calibri" w:eastAsia="宋体" w:cstheme="minorHAnsi"/>
          <w:color w:val="000000"/>
          <w:kern w:val="24"/>
        </w:rPr>
        <w:t>）不提供虚假或无效证明文件（包括但不限于资格证明文件、合同及验收文件、检验检测报告、从业人员资格证书、机构或所投产品的各类认证证书等）或虚假材料谋取中</w:t>
      </w:r>
      <w:r>
        <w:rPr>
          <w:rFonts w:ascii="Calibri" w:hAnsi="Calibri" w:eastAsia="宋体" w:cstheme="minorHAnsi"/>
          <w:color w:val="000000"/>
          <w:w w:val="1"/>
          <w:kern w:val="24"/>
        </w:rPr>
        <w:t xml:space="preserve"> </w:t>
      </w:r>
      <w:r>
        <w:rPr>
          <w:rFonts w:ascii="Calibri" w:hAnsi="Calibri" w:eastAsia="宋体" w:cstheme="minorHAnsi"/>
          <w:color w:val="000000"/>
          <w:kern w:val="24"/>
        </w:rPr>
        <w:t>标、成</w:t>
      </w:r>
      <w:r>
        <w:rPr>
          <w:rFonts w:ascii="Calibri" w:hAnsi="Calibri" w:eastAsia="宋体" w:cstheme="minorHAnsi"/>
          <w:color w:val="000000"/>
          <w:w w:val="1"/>
          <w:kern w:val="24"/>
        </w:rPr>
        <w:t xml:space="preserve"> </w:t>
      </w:r>
      <w:r>
        <w:rPr>
          <w:rFonts w:ascii="Calibri" w:hAnsi="Calibri" w:eastAsia="宋体" w:cstheme="minorHAnsi"/>
          <w:color w:val="000000"/>
          <w:kern w:val="24"/>
        </w:rPr>
        <w:t>交；</w:t>
      </w:r>
    </w:p>
    <w:p>
      <w:pPr>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t>（</w:t>
      </w:r>
      <w:r>
        <w:rPr>
          <w:rFonts w:hint="eastAsia" w:ascii="Calibri" w:hAnsi="Calibri" w:eastAsia="宋体" w:cstheme="minorHAnsi"/>
          <w:color w:val="000000"/>
          <w:kern w:val="24"/>
        </w:rPr>
        <w:t>4</w:t>
      </w:r>
      <w:r>
        <w:rPr>
          <w:rFonts w:ascii="Calibri" w:hAnsi="Calibri" w:eastAsia="宋体" w:cstheme="minorHAnsi"/>
          <w:color w:val="000000"/>
          <w:kern w:val="24"/>
        </w:rPr>
        <w:t>）不采取不正当手段诋毁、排挤其他供应商；</w:t>
      </w:r>
    </w:p>
    <w:p>
      <w:pPr>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t>（</w:t>
      </w:r>
      <w:r>
        <w:rPr>
          <w:rFonts w:hint="eastAsia" w:ascii="Calibri" w:hAnsi="Calibri" w:eastAsia="宋体" w:cstheme="minorHAnsi"/>
          <w:color w:val="000000"/>
          <w:kern w:val="24"/>
        </w:rPr>
        <w:t>5</w:t>
      </w:r>
      <w:r>
        <w:rPr>
          <w:rFonts w:ascii="Calibri" w:hAnsi="Calibri" w:eastAsia="宋体" w:cstheme="minorHAnsi"/>
          <w:color w:val="000000"/>
          <w:kern w:val="24"/>
        </w:rPr>
        <w:t>）不以不正当理由拒不与采购人签订政府采购合同，或逾期签订政府采购合同，或不按照采购文件确定的事项签订政府采购合同；</w:t>
      </w:r>
    </w:p>
    <w:p>
      <w:pPr>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t>（</w:t>
      </w:r>
      <w:r>
        <w:rPr>
          <w:rFonts w:hint="eastAsia" w:ascii="Calibri" w:hAnsi="Calibri" w:eastAsia="宋体" w:cstheme="minorHAnsi"/>
          <w:color w:val="000000"/>
          <w:kern w:val="24"/>
        </w:rPr>
        <w:t>6</w:t>
      </w:r>
      <w:r>
        <w:rPr>
          <w:rFonts w:ascii="Calibri" w:hAnsi="Calibri" w:eastAsia="宋体" w:cstheme="minorHAnsi"/>
          <w:color w:val="000000"/>
          <w:kern w:val="24"/>
        </w:rPr>
        <w:t>）不以不正当理由拒绝履行合同义务，不会擅自变更、中止或者终止政府采购合同或将政府采购合同转包；</w:t>
      </w:r>
    </w:p>
    <w:p>
      <w:pPr>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t>（</w:t>
      </w:r>
      <w:r>
        <w:rPr>
          <w:rFonts w:hint="eastAsia" w:ascii="Calibri" w:hAnsi="Calibri" w:eastAsia="宋体" w:cstheme="minorHAnsi"/>
          <w:color w:val="000000"/>
          <w:kern w:val="24"/>
        </w:rPr>
        <w:t>7</w:t>
      </w:r>
      <w:r>
        <w:rPr>
          <w:rFonts w:ascii="Calibri" w:hAnsi="Calibri" w:eastAsia="宋体" w:cstheme="minorHAnsi"/>
          <w:color w:val="000000"/>
          <w:kern w:val="24"/>
        </w:rPr>
        <w:t>）不在提供商品、服务或工程施工过程中提供假冒伪劣产品，损害采购人的合法权益或公共利益；</w:t>
      </w:r>
    </w:p>
    <w:p>
      <w:pPr>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t>（</w:t>
      </w:r>
      <w:r>
        <w:rPr>
          <w:rFonts w:hint="eastAsia" w:ascii="Calibri" w:hAnsi="Calibri" w:eastAsia="宋体" w:cstheme="minorHAnsi"/>
          <w:color w:val="000000"/>
          <w:kern w:val="24"/>
        </w:rPr>
        <w:t>8</w:t>
      </w:r>
      <w:r>
        <w:rPr>
          <w:rFonts w:ascii="Calibri" w:hAnsi="Calibri" w:eastAsia="宋体" w:cstheme="minorHAnsi"/>
          <w:color w:val="000000"/>
          <w:kern w:val="24"/>
        </w:rPr>
        <w:t>）不采取捏造事实、提供虚假材料或者以非法手段取得证明材料进行质疑和投诉；</w:t>
      </w:r>
    </w:p>
    <w:p>
      <w:pPr>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t>（</w:t>
      </w:r>
      <w:r>
        <w:rPr>
          <w:rFonts w:hint="eastAsia" w:ascii="Calibri" w:hAnsi="Calibri" w:eastAsia="宋体" w:cstheme="minorHAnsi"/>
          <w:color w:val="000000"/>
          <w:kern w:val="24"/>
        </w:rPr>
        <w:t>9</w:t>
      </w:r>
      <w:r>
        <w:rPr>
          <w:rFonts w:ascii="Calibri" w:hAnsi="Calibri" w:eastAsia="宋体" w:cstheme="minorHAnsi"/>
          <w:color w:val="000000"/>
          <w:kern w:val="24"/>
        </w:rPr>
        <w:t>）不发生其他有悖于政府采购公开、公平、公正和诚信原则的行为。</w:t>
      </w:r>
    </w:p>
    <w:p>
      <w:pPr>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t>（</w:t>
      </w:r>
      <w:r>
        <w:rPr>
          <w:rFonts w:hint="eastAsia" w:ascii="Calibri" w:hAnsi="Calibri" w:eastAsia="宋体" w:cstheme="minorHAnsi"/>
          <w:color w:val="000000"/>
          <w:kern w:val="24"/>
        </w:rPr>
        <w:t>10</w:t>
      </w:r>
      <w:r>
        <w:rPr>
          <w:rFonts w:ascii="Calibri" w:hAnsi="Calibri" w:eastAsia="宋体" w:cstheme="minorHAnsi"/>
          <w:color w:val="000000"/>
          <w:kern w:val="24"/>
        </w:rPr>
        <w:t>）尊重和接受政府采购监督管理部门的监督和采购人、采购代理机构的政府采购工作要求，愿意承担因违约行为给采购人造成的损失。</w:t>
      </w:r>
    </w:p>
    <w:p>
      <w:pPr>
        <w:ind w:firstLine="480" w:firstLineChars="200"/>
        <w:jc w:val="both"/>
        <w:rPr>
          <w:rFonts w:ascii="Calibri" w:hAnsi="Calibri" w:eastAsia="宋体" w:cstheme="minorHAnsi"/>
          <w:color w:val="000000"/>
          <w:kern w:val="24"/>
        </w:rPr>
      </w:pPr>
    </w:p>
    <w:p>
      <w:pPr>
        <w:ind w:firstLine="480" w:firstLineChars="200"/>
        <w:jc w:val="both"/>
        <w:rPr>
          <w:rFonts w:ascii="Calibri" w:hAnsi="Calibri" w:eastAsia="宋体" w:cstheme="minorHAnsi"/>
          <w:color w:val="000000"/>
          <w:kern w:val="24"/>
        </w:rPr>
      </w:pPr>
      <w:r>
        <w:rPr>
          <w:rFonts w:ascii="Calibri" w:hAnsi="Calibri" w:eastAsia="宋体" w:cstheme="minorHAnsi"/>
          <w:color w:val="000000"/>
          <w:kern w:val="24"/>
        </w:rPr>
        <w:t>供应商：（</w:t>
      </w:r>
      <w:r>
        <w:rPr>
          <w:rFonts w:ascii="Calibri" w:hAnsi="Calibri" w:eastAsia="宋体" w:cstheme="minorHAnsi"/>
          <w:i/>
          <w:color w:val="C00000"/>
          <w:kern w:val="24"/>
        </w:rPr>
        <w:t>供应商全称并加盖公章</w:t>
      </w:r>
      <w:r>
        <w:rPr>
          <w:rFonts w:ascii="Calibri" w:hAnsi="Calibri" w:eastAsia="宋体" w:cstheme="minorHAnsi"/>
          <w:color w:val="000000"/>
          <w:kern w:val="24"/>
        </w:rPr>
        <w:t>）</w:t>
      </w:r>
    </w:p>
    <w:p>
      <w:pPr>
        <w:ind w:firstLine="480" w:firstLineChars="200"/>
        <w:jc w:val="both"/>
        <w:rPr>
          <w:rFonts w:ascii="Calibri Light" w:hAnsi="Calibri Light" w:eastAsia="华文仿宋" w:cs="Calibri Light"/>
          <w:color w:val="000000"/>
          <w:sz w:val="28"/>
          <w:szCs w:val="28"/>
        </w:rPr>
      </w:pPr>
      <w:r>
        <w:rPr>
          <w:rFonts w:ascii="Calibri" w:hAnsi="Calibri" w:eastAsia="宋体" w:cstheme="minorHAnsi"/>
          <w:color w:val="000000"/>
          <w:kern w:val="24"/>
        </w:rPr>
        <w:t>日</w:t>
      </w:r>
      <w:r>
        <w:rPr>
          <w:rFonts w:hint="eastAsia" w:ascii="Calibri" w:hAnsi="Calibri" w:eastAsia="宋体" w:cstheme="minorHAnsi"/>
          <w:color w:val="000000"/>
          <w:kern w:val="24"/>
        </w:rPr>
        <w:t>　</w:t>
      </w:r>
      <w:r>
        <w:rPr>
          <w:rFonts w:ascii="Calibri" w:hAnsi="Calibri" w:eastAsia="宋体" w:cstheme="minorHAnsi"/>
          <w:color w:val="000000"/>
          <w:kern w:val="24"/>
        </w:rPr>
        <w:t>期：　　年　月　日</w:t>
      </w:r>
    </w:p>
    <w:p>
      <w:pPr>
        <w:rPr>
          <w:rFonts w:ascii="Calibri Light" w:hAnsi="Calibri Light" w:eastAsia="华文仿宋" w:cs="Calibri Light"/>
          <w:color w:val="000000"/>
          <w:sz w:val="28"/>
          <w:szCs w:val="28"/>
        </w:rPr>
      </w:pPr>
    </w:p>
    <w:p>
      <w:pPr>
        <w:rPr>
          <w:rFonts w:ascii="黑体" w:hAnsi="黑体" w:cstheme="minorHAnsi"/>
          <w:b/>
        </w:rPr>
      </w:pPr>
      <w:r>
        <w:rPr>
          <w:rFonts w:ascii="黑体" w:hAnsi="黑体" w:cstheme="minorHAnsi"/>
          <w:b/>
        </w:rPr>
        <w:br w:type="page"/>
      </w:r>
    </w:p>
    <w:p>
      <w:pPr>
        <w:spacing w:line="480" w:lineRule="exact"/>
        <w:rPr>
          <w:rFonts w:ascii="黑体" w:hAnsi="黑体" w:cstheme="minorHAnsi"/>
          <w:b/>
        </w:rPr>
      </w:pPr>
      <w:r>
        <w:rPr>
          <w:rFonts w:ascii="黑体" w:hAnsi="黑体" w:cstheme="minorHAnsi"/>
          <w:b/>
        </w:rPr>
        <w:t>3</w:t>
      </w:r>
      <w:r>
        <w:rPr>
          <w:rFonts w:hint="eastAsia" w:ascii="黑体" w:hAnsi="黑体" w:eastAsia="黑体" w:cs="黑体"/>
          <w:b/>
        </w:rPr>
        <w:t>．</w:t>
      </w:r>
      <w:r>
        <w:rPr>
          <w:rFonts w:ascii="黑体" w:hAnsi="黑体" w:cstheme="minorHAnsi"/>
          <w:b/>
        </w:rPr>
        <w:t xml:space="preserve"> </w:t>
      </w:r>
      <w:r>
        <w:rPr>
          <w:rFonts w:hint="eastAsia" w:ascii="华文仿宋" w:hAnsi="华文仿宋"/>
          <w:b/>
        </w:rPr>
        <w:t>投标服务商</w:t>
      </w:r>
      <w:r>
        <w:rPr>
          <w:rFonts w:ascii="华文仿宋" w:hAnsi="华文仿宋"/>
          <w:b/>
        </w:rPr>
        <w:t>须</w:t>
      </w:r>
      <w:r>
        <w:rPr>
          <w:rFonts w:hint="eastAsia" w:ascii="华文仿宋" w:hAnsi="华文仿宋"/>
          <w:b/>
        </w:rPr>
        <w:t>按以下格式</w:t>
      </w:r>
      <w:r>
        <w:rPr>
          <w:rFonts w:ascii="华文仿宋" w:hAnsi="华文仿宋"/>
          <w:b/>
        </w:rPr>
        <w:t xml:space="preserve">提供承诺： </w:t>
      </w:r>
    </w:p>
    <w:p>
      <w:pPr>
        <w:spacing w:line="400" w:lineRule="exact"/>
        <w:ind w:firstLine="480" w:firstLineChars="200"/>
        <w:jc w:val="both"/>
        <w:rPr>
          <w:rFonts w:ascii="华文仿宋" w:hAnsi="华文仿宋"/>
          <w:b/>
        </w:rPr>
      </w:pPr>
    </w:p>
    <w:p>
      <w:pPr>
        <w:pStyle w:val="83"/>
        <w:ind w:firstLine="562"/>
        <w:jc w:val="center"/>
        <w:rPr>
          <w:b/>
          <w:sz w:val="28"/>
          <w:szCs w:val="28"/>
        </w:rPr>
      </w:pPr>
      <w:r>
        <w:rPr>
          <w:rFonts w:hint="eastAsia"/>
          <w:b/>
          <w:sz w:val="28"/>
          <w:szCs w:val="28"/>
        </w:rPr>
        <w:t>关于非西安市中医医院职工及其亲属投资开办或控股的企业书面声明</w:t>
      </w:r>
    </w:p>
    <w:p>
      <w:pPr>
        <w:widowControl w:val="0"/>
        <w:wordWrap w:val="0"/>
        <w:rPr>
          <w:rFonts w:ascii="仿宋" w:hAnsi="仿宋" w:eastAsia="仿宋" w:cs="仿宋"/>
          <w:spacing w:val="4"/>
        </w:rPr>
      </w:pPr>
    </w:p>
    <w:p>
      <w:pPr>
        <w:widowControl w:val="0"/>
        <w:wordWrap w:val="0"/>
        <w:rPr>
          <w:rFonts w:ascii="仿宋" w:hAnsi="仿宋" w:eastAsia="仿宋" w:cs="仿宋"/>
          <w:spacing w:val="4"/>
        </w:rPr>
      </w:pPr>
      <w:r>
        <w:rPr>
          <w:rFonts w:hint="eastAsia" w:ascii="仿宋" w:hAnsi="仿宋" w:eastAsia="仿宋" w:cs="仿宋"/>
          <w:spacing w:val="4"/>
        </w:rPr>
        <w:t>西安市中医医院：</w:t>
      </w:r>
    </w:p>
    <w:p>
      <w:pPr>
        <w:widowControl w:val="0"/>
        <w:wordWrap w:val="0"/>
        <w:ind w:firstLine="496" w:firstLineChars="200"/>
        <w:rPr>
          <w:rFonts w:ascii="仿宋" w:hAnsi="仿宋" w:eastAsia="仿宋" w:cs="仿宋"/>
          <w:spacing w:val="4"/>
        </w:rPr>
      </w:pPr>
      <w:r>
        <w:rPr>
          <w:rFonts w:hint="eastAsia" w:ascii="仿宋" w:hAnsi="仿宋" w:eastAsia="仿宋" w:cs="仿宋"/>
          <w:spacing w:val="4"/>
        </w:rPr>
        <w:t>我单位参与</w:t>
      </w:r>
      <w:r>
        <w:rPr>
          <w:rFonts w:hint="eastAsia" w:ascii="仿宋" w:hAnsi="仿宋" w:eastAsia="仿宋" w:cs="仿宋"/>
          <w:spacing w:val="4"/>
          <w:u w:val="single"/>
        </w:rPr>
        <w:t xml:space="preserve">                </w:t>
      </w:r>
      <w:r>
        <w:rPr>
          <w:rFonts w:hint="eastAsia" w:ascii="仿宋" w:hAnsi="仿宋" w:eastAsia="仿宋" w:cs="仿宋"/>
          <w:spacing w:val="4"/>
        </w:rPr>
        <w:t>组织的</w:t>
      </w:r>
      <w:r>
        <w:rPr>
          <w:rFonts w:hint="eastAsia" w:ascii="仿宋" w:hAnsi="仿宋" w:eastAsia="仿宋" w:cs="仿宋"/>
          <w:shd w:val="clear" w:color="auto" w:fill="FFFFFF"/>
        </w:rPr>
        <w:t>项目名称</w:t>
      </w:r>
      <w:r>
        <w:rPr>
          <w:rFonts w:hint="eastAsia" w:ascii="仿宋" w:hAnsi="仿宋" w:eastAsia="仿宋" w:cs="仿宋"/>
          <w:u w:val="single"/>
          <w:shd w:val="clear" w:color="auto" w:fill="FFFFFF"/>
        </w:rPr>
        <w:t xml:space="preserve">             </w:t>
      </w:r>
      <w:r>
        <w:rPr>
          <w:rFonts w:hint="eastAsia" w:ascii="仿宋" w:hAnsi="仿宋" w:eastAsia="仿宋" w:cs="仿宋"/>
          <w:shd w:val="clear" w:color="auto" w:fill="FFFFFF"/>
        </w:rPr>
        <w:t>（项目编号：</w:t>
      </w:r>
      <w:r>
        <w:rPr>
          <w:rFonts w:hint="eastAsia" w:ascii="仿宋" w:hAnsi="仿宋" w:eastAsia="仿宋" w:cs="仿宋"/>
          <w:i/>
          <w:iCs/>
          <w:u w:val="single"/>
          <w:shd w:val="clear" w:color="auto" w:fill="FFFFFF"/>
        </w:rPr>
        <w:t xml:space="preserve">          </w:t>
      </w:r>
      <w:r>
        <w:rPr>
          <w:rFonts w:hint="eastAsia" w:ascii="仿宋" w:hAnsi="仿宋" w:eastAsia="仿宋" w:cs="仿宋"/>
          <w:shd w:val="clear" w:color="auto" w:fill="FFFFFF"/>
        </w:rPr>
        <w:t>）</w:t>
      </w:r>
      <w:r>
        <w:rPr>
          <w:rFonts w:hint="eastAsia" w:ascii="仿宋" w:hAnsi="仿宋" w:eastAsia="仿宋" w:cs="仿宋"/>
          <w:spacing w:val="4"/>
        </w:rPr>
        <w:t>，我单位郑重声明：我方非西安市中医医院职工及其亲属投资开办或控股的企业，如有虚假，承担相应责任。</w:t>
      </w:r>
    </w:p>
    <w:p>
      <w:pPr>
        <w:widowControl w:val="0"/>
        <w:wordWrap w:val="0"/>
        <w:ind w:firstLine="124" w:firstLineChars="50"/>
        <w:rPr>
          <w:rFonts w:ascii="仿宋" w:hAnsi="仿宋" w:eastAsia="仿宋" w:cs="仿宋"/>
          <w:spacing w:val="4"/>
        </w:rPr>
      </w:pPr>
    </w:p>
    <w:p>
      <w:pPr>
        <w:widowControl w:val="0"/>
        <w:wordWrap w:val="0"/>
        <w:ind w:firstLine="124" w:firstLineChars="50"/>
        <w:rPr>
          <w:rFonts w:ascii="仿宋" w:hAnsi="仿宋" w:eastAsia="仿宋" w:cs="仿宋"/>
          <w:spacing w:val="4"/>
        </w:rPr>
      </w:pPr>
      <w:r>
        <w:rPr>
          <w:rFonts w:hint="eastAsia" w:ascii="仿宋" w:hAnsi="仿宋" w:eastAsia="仿宋" w:cs="仿宋"/>
          <w:spacing w:val="4"/>
        </w:rPr>
        <w:t>特此声明！</w:t>
      </w:r>
    </w:p>
    <w:p>
      <w:pPr>
        <w:widowControl w:val="0"/>
        <w:wordWrap w:val="0"/>
        <w:rPr>
          <w:rFonts w:ascii="仿宋" w:hAnsi="仿宋" w:eastAsia="仿宋" w:cs="仿宋"/>
          <w:spacing w:val="4"/>
        </w:rPr>
      </w:pPr>
      <w:r>
        <w:rPr>
          <w:rFonts w:hint="eastAsia" w:ascii="仿宋" w:hAnsi="仿宋" w:eastAsia="仿宋" w:cs="仿宋"/>
          <w:spacing w:val="4"/>
        </w:rPr>
        <w:t>（备注：投标人未提供或提供虚假声明，都将作为无效投标处理。）</w:t>
      </w:r>
    </w:p>
    <w:tbl>
      <w:tblPr>
        <w:tblStyle w:val="26"/>
        <w:tblW w:w="5670" w:type="dxa"/>
        <w:tblInd w:w="3147" w:type="dxa"/>
        <w:tblLayout w:type="fixed"/>
        <w:tblCellMar>
          <w:top w:w="0" w:type="dxa"/>
          <w:left w:w="108" w:type="dxa"/>
          <w:bottom w:w="0" w:type="dxa"/>
          <w:right w:w="108" w:type="dxa"/>
        </w:tblCellMar>
      </w:tblPr>
      <w:tblGrid>
        <w:gridCol w:w="2268"/>
        <w:gridCol w:w="287"/>
        <w:gridCol w:w="3115"/>
      </w:tblGrid>
      <w:tr>
        <w:tblPrEx>
          <w:tblCellMar>
            <w:top w:w="0" w:type="dxa"/>
            <w:left w:w="108" w:type="dxa"/>
            <w:bottom w:w="0" w:type="dxa"/>
            <w:right w:w="108" w:type="dxa"/>
          </w:tblCellMar>
        </w:tblPrEx>
        <w:trPr>
          <w:trHeight w:val="680" w:hRule="atLeast"/>
        </w:trPr>
        <w:tc>
          <w:tcPr>
            <w:tcW w:w="2268" w:type="dxa"/>
            <w:vAlign w:val="bottom"/>
          </w:tcPr>
          <w:p>
            <w:pPr>
              <w:widowControl w:val="0"/>
              <w:spacing w:after="120" w:line="360" w:lineRule="auto"/>
              <w:jc w:val="distribute"/>
              <w:rPr>
                <w:rFonts w:ascii="仿宋" w:hAnsi="仿宋" w:eastAsia="仿宋" w:cs="仿宋"/>
                <w:color w:val="000000"/>
                <w:kern w:val="2"/>
              </w:rPr>
            </w:pPr>
          </w:p>
          <w:p>
            <w:pPr>
              <w:widowControl w:val="0"/>
              <w:spacing w:after="120" w:line="360" w:lineRule="auto"/>
              <w:jc w:val="distribute"/>
              <w:rPr>
                <w:rFonts w:ascii="仿宋" w:hAnsi="仿宋" w:eastAsia="仿宋" w:cs="仿宋"/>
                <w:color w:val="000000"/>
                <w:kern w:val="2"/>
              </w:rPr>
            </w:pPr>
            <w:r>
              <w:rPr>
                <w:rFonts w:hint="eastAsia" w:ascii="仿宋" w:hAnsi="仿宋" w:eastAsia="仿宋" w:cs="仿宋"/>
                <w:color w:val="000000"/>
                <w:kern w:val="2"/>
              </w:rPr>
              <w:t>法定代表人或被授权代表签字或盖章</w:t>
            </w:r>
          </w:p>
        </w:tc>
        <w:tc>
          <w:tcPr>
            <w:tcW w:w="287" w:type="dxa"/>
            <w:vAlign w:val="bottom"/>
          </w:tcPr>
          <w:p>
            <w:pPr>
              <w:widowControl w:val="0"/>
              <w:spacing w:after="120" w:line="360" w:lineRule="auto"/>
              <w:rPr>
                <w:rFonts w:ascii="仿宋" w:hAnsi="仿宋" w:eastAsia="仿宋" w:cs="仿宋"/>
                <w:color w:val="000000"/>
                <w:kern w:val="2"/>
              </w:rPr>
            </w:pPr>
            <w:r>
              <w:rPr>
                <w:rFonts w:hint="eastAsia" w:ascii="仿宋" w:hAnsi="仿宋" w:eastAsia="仿宋" w:cs="仿宋"/>
                <w:color w:val="000000"/>
                <w:kern w:val="2"/>
              </w:rPr>
              <w:t>：</w:t>
            </w:r>
          </w:p>
        </w:tc>
        <w:tc>
          <w:tcPr>
            <w:tcW w:w="3115" w:type="dxa"/>
            <w:vAlign w:val="bottom"/>
          </w:tcPr>
          <w:p>
            <w:pPr>
              <w:widowControl w:val="0"/>
              <w:spacing w:after="120" w:line="360" w:lineRule="auto"/>
              <w:jc w:val="both"/>
              <w:rPr>
                <w:rFonts w:ascii="仿宋" w:hAnsi="仿宋" w:eastAsia="仿宋" w:cs="仿宋"/>
                <w:color w:val="000000"/>
                <w:kern w:val="2"/>
                <w:u w:val="single"/>
              </w:rPr>
            </w:pPr>
            <w:r>
              <w:rPr>
                <w:rFonts w:hint="eastAsia" w:ascii="仿宋" w:hAnsi="仿宋" w:eastAsia="仿宋" w:cs="仿宋"/>
                <w:color w:val="000000"/>
                <w:kern w:val="2"/>
                <w:u w:val="single"/>
              </w:rPr>
              <w:t xml:space="preserve">                       </w:t>
            </w:r>
          </w:p>
        </w:tc>
      </w:tr>
      <w:tr>
        <w:tblPrEx>
          <w:tblCellMar>
            <w:top w:w="0" w:type="dxa"/>
            <w:left w:w="108" w:type="dxa"/>
            <w:bottom w:w="0" w:type="dxa"/>
            <w:right w:w="108" w:type="dxa"/>
          </w:tblCellMar>
        </w:tblPrEx>
        <w:trPr>
          <w:trHeight w:val="680" w:hRule="atLeast"/>
        </w:trPr>
        <w:tc>
          <w:tcPr>
            <w:tcW w:w="2268" w:type="dxa"/>
            <w:vAlign w:val="bottom"/>
          </w:tcPr>
          <w:p>
            <w:pPr>
              <w:widowControl w:val="0"/>
              <w:spacing w:after="120" w:line="360" w:lineRule="auto"/>
              <w:jc w:val="distribute"/>
              <w:rPr>
                <w:rFonts w:ascii="仿宋" w:hAnsi="仿宋" w:eastAsia="仿宋" w:cs="仿宋"/>
                <w:color w:val="000000"/>
                <w:kern w:val="2"/>
              </w:rPr>
            </w:pPr>
            <w:r>
              <w:rPr>
                <w:rFonts w:hint="eastAsia" w:ascii="仿宋" w:hAnsi="仿宋" w:eastAsia="仿宋" w:cs="仿宋"/>
                <w:color w:val="000000"/>
                <w:kern w:val="2"/>
              </w:rPr>
              <w:t>供应商</w:t>
            </w:r>
          </w:p>
        </w:tc>
        <w:tc>
          <w:tcPr>
            <w:tcW w:w="287" w:type="dxa"/>
            <w:vAlign w:val="bottom"/>
          </w:tcPr>
          <w:p>
            <w:pPr>
              <w:widowControl w:val="0"/>
              <w:spacing w:after="120" w:line="360" w:lineRule="auto"/>
              <w:rPr>
                <w:rFonts w:ascii="仿宋" w:hAnsi="仿宋" w:eastAsia="仿宋" w:cs="仿宋"/>
                <w:color w:val="000000"/>
                <w:kern w:val="2"/>
              </w:rPr>
            </w:pPr>
            <w:r>
              <w:rPr>
                <w:rFonts w:hint="eastAsia" w:ascii="仿宋" w:hAnsi="仿宋" w:eastAsia="仿宋" w:cs="仿宋"/>
                <w:color w:val="000000"/>
                <w:kern w:val="2"/>
              </w:rPr>
              <w:t>：</w:t>
            </w:r>
          </w:p>
        </w:tc>
        <w:tc>
          <w:tcPr>
            <w:tcW w:w="3115" w:type="dxa"/>
            <w:vAlign w:val="bottom"/>
          </w:tcPr>
          <w:p>
            <w:pPr>
              <w:widowControl w:val="0"/>
              <w:spacing w:after="120" w:line="360" w:lineRule="auto"/>
              <w:jc w:val="both"/>
              <w:rPr>
                <w:rFonts w:ascii="仿宋" w:hAnsi="仿宋" w:eastAsia="仿宋" w:cs="仿宋"/>
                <w:color w:val="000000"/>
                <w:kern w:val="2"/>
                <w:u w:val="single"/>
              </w:rPr>
            </w:pPr>
            <w:r>
              <w:rPr>
                <w:rFonts w:hint="eastAsia" w:ascii="仿宋" w:hAnsi="仿宋" w:eastAsia="仿宋" w:cs="仿宋"/>
                <w:color w:val="000000"/>
                <w:kern w:val="2"/>
                <w:u w:val="single"/>
              </w:rPr>
              <w:t xml:space="preserve">                       </w:t>
            </w:r>
          </w:p>
        </w:tc>
      </w:tr>
      <w:tr>
        <w:tblPrEx>
          <w:tblCellMar>
            <w:top w:w="0" w:type="dxa"/>
            <w:left w:w="108" w:type="dxa"/>
            <w:bottom w:w="0" w:type="dxa"/>
            <w:right w:w="108" w:type="dxa"/>
          </w:tblCellMar>
        </w:tblPrEx>
        <w:trPr>
          <w:trHeight w:val="680" w:hRule="atLeast"/>
        </w:trPr>
        <w:tc>
          <w:tcPr>
            <w:tcW w:w="2268" w:type="dxa"/>
            <w:vAlign w:val="bottom"/>
          </w:tcPr>
          <w:p>
            <w:pPr>
              <w:widowControl w:val="0"/>
              <w:spacing w:after="120" w:line="360" w:lineRule="auto"/>
              <w:jc w:val="distribute"/>
              <w:rPr>
                <w:rFonts w:ascii="仿宋" w:hAnsi="仿宋" w:eastAsia="仿宋" w:cs="仿宋"/>
                <w:color w:val="000000"/>
                <w:kern w:val="2"/>
              </w:rPr>
            </w:pPr>
            <w:r>
              <w:rPr>
                <w:rFonts w:hint="eastAsia" w:ascii="仿宋" w:hAnsi="仿宋" w:eastAsia="仿宋" w:cs="仿宋"/>
                <w:color w:val="000000"/>
                <w:kern w:val="2"/>
              </w:rPr>
              <w:t>日期</w:t>
            </w:r>
          </w:p>
        </w:tc>
        <w:tc>
          <w:tcPr>
            <w:tcW w:w="287" w:type="dxa"/>
            <w:vAlign w:val="bottom"/>
          </w:tcPr>
          <w:p>
            <w:pPr>
              <w:widowControl w:val="0"/>
              <w:spacing w:after="120" w:line="360" w:lineRule="auto"/>
              <w:rPr>
                <w:rFonts w:ascii="仿宋" w:hAnsi="仿宋" w:eastAsia="仿宋" w:cs="仿宋"/>
                <w:color w:val="000000"/>
                <w:kern w:val="2"/>
              </w:rPr>
            </w:pPr>
            <w:r>
              <w:rPr>
                <w:rFonts w:hint="eastAsia" w:ascii="仿宋" w:hAnsi="仿宋" w:eastAsia="仿宋" w:cs="仿宋"/>
                <w:color w:val="000000"/>
                <w:kern w:val="2"/>
              </w:rPr>
              <w:t>：</w:t>
            </w:r>
          </w:p>
        </w:tc>
        <w:tc>
          <w:tcPr>
            <w:tcW w:w="3115" w:type="dxa"/>
            <w:vAlign w:val="bottom"/>
          </w:tcPr>
          <w:p>
            <w:pPr>
              <w:widowControl w:val="0"/>
              <w:spacing w:after="120" w:line="360" w:lineRule="auto"/>
              <w:jc w:val="both"/>
              <w:rPr>
                <w:rFonts w:ascii="仿宋" w:hAnsi="仿宋" w:eastAsia="仿宋" w:cs="仿宋"/>
                <w:color w:val="000000"/>
                <w:kern w:val="2"/>
                <w:u w:val="single"/>
              </w:rPr>
            </w:pPr>
            <w:r>
              <w:rPr>
                <w:rFonts w:hint="eastAsia" w:ascii="仿宋" w:hAnsi="仿宋" w:eastAsia="仿宋" w:cs="仿宋"/>
                <w:color w:val="000000"/>
                <w:kern w:val="2"/>
                <w:u w:val="single"/>
              </w:rPr>
              <w:t xml:space="preserve">                       </w:t>
            </w:r>
          </w:p>
        </w:tc>
      </w:tr>
    </w:tbl>
    <w:p>
      <w:pPr>
        <w:rPr>
          <w:rFonts w:ascii="Calibri Light" w:hAnsi="Calibri Light" w:eastAsia="华文仿宋" w:cs="Calibri Light"/>
          <w:color w:val="000000"/>
          <w:sz w:val="28"/>
          <w:szCs w:val="28"/>
        </w:rPr>
        <w:sectPr>
          <w:footerReference r:id="rId27" w:type="default"/>
          <w:footerReference r:id="rId28" w:type="even"/>
          <w:pgSz w:w="11906" w:h="16838"/>
          <w:pgMar w:top="1418" w:right="1418" w:bottom="1418" w:left="1418" w:header="851" w:footer="992" w:gutter="0"/>
          <w:cols w:space="425" w:num="1"/>
          <w:docGrid w:type="linesAndChars" w:linePitch="460" w:charSpace="0"/>
        </w:sectPr>
      </w:pPr>
    </w:p>
    <w:p>
      <w:pPr>
        <w:keepNext/>
        <w:spacing w:before="120" w:after="60"/>
        <w:jc w:val="both"/>
        <w:outlineLvl w:val="2"/>
        <w:rPr>
          <w:rFonts w:ascii="Calibri" w:hAnsi="Calibri" w:eastAsia="黑体"/>
          <w:kern w:val="28"/>
          <w:sz w:val="28"/>
        </w:rPr>
      </w:pPr>
      <w:r>
        <w:rPr>
          <w:rFonts w:ascii="Calibri" w:hAnsi="Calibri" w:eastAsia="黑体"/>
          <w:kern w:val="28"/>
          <w:sz w:val="28"/>
        </w:rPr>
        <w:t>（</w:t>
      </w:r>
      <w:r>
        <w:rPr>
          <w:rFonts w:hint="eastAsia" w:ascii="Calibri" w:hAnsi="Calibri" w:eastAsia="黑体"/>
          <w:kern w:val="28"/>
          <w:sz w:val="28"/>
        </w:rPr>
        <w:t>三</w:t>
      </w:r>
      <w:r>
        <w:rPr>
          <w:rFonts w:ascii="Calibri" w:hAnsi="Calibri" w:eastAsia="黑体"/>
          <w:kern w:val="28"/>
          <w:sz w:val="28"/>
        </w:rPr>
        <w:t>）享受</w:t>
      </w:r>
      <w:r>
        <w:rPr>
          <w:rFonts w:hint="eastAsia" w:ascii="Calibri" w:hAnsi="Calibri" w:eastAsia="黑体"/>
          <w:kern w:val="28"/>
          <w:sz w:val="28"/>
        </w:rPr>
        <w:t>政府采购优惠政策需要提供的资料</w:t>
      </w:r>
    </w:p>
    <w:p>
      <w:pPr>
        <w:ind w:firstLine="480" w:firstLineChars="200"/>
        <w:jc w:val="both"/>
        <w:rPr>
          <w:color w:val="C00000"/>
        </w:rPr>
      </w:pPr>
      <w:r>
        <w:rPr>
          <w:rFonts w:hint="eastAsia"/>
        </w:rPr>
        <w:t>供应商为中小企业或残疾人福利性单位的，按下文给定格式填写声明函（给定格式）；供应商为监狱企业的，提供由省级以上监狱管理局、戒毒管理局（含新疆生产建设兵团）出具的属于监狱企业的证明函（格式不限）。</w:t>
      </w:r>
      <w:r>
        <w:rPr>
          <w:rFonts w:hint="eastAsia"/>
          <w:color w:val="C00000"/>
        </w:rPr>
        <w:t>未按要求提供的，将不享受招标文件</w:t>
      </w:r>
      <w:r>
        <w:rPr>
          <w:color w:val="C00000"/>
        </w:rPr>
        <w:t>规定的</w:t>
      </w:r>
      <w:r>
        <w:rPr>
          <w:rFonts w:hint="eastAsia"/>
          <w:color w:val="C00000"/>
        </w:rPr>
        <w:t>价格扣除，但不影响投标文件的有效性。</w:t>
      </w:r>
    </w:p>
    <w:p>
      <w:pPr>
        <w:ind w:firstLine="480" w:firstLineChars="200"/>
        <w:jc w:val="both"/>
      </w:pPr>
      <w:r>
        <w:rPr>
          <w:rFonts w:hint="eastAsia"/>
        </w:rPr>
        <w:t>中标供应商享受了政府采购优惠政策的，将随中标结果公开其声明函\证明函，接受社会监督。</w:t>
      </w:r>
    </w:p>
    <w:p>
      <w:pPr>
        <w:keepNext/>
        <w:spacing w:before="120" w:after="60"/>
        <w:jc w:val="both"/>
        <w:outlineLvl w:val="3"/>
        <w:rPr>
          <w:rFonts w:ascii="Calibri" w:hAnsi="Calibri" w:eastAsia="黑体"/>
          <w:kern w:val="28"/>
          <w:sz w:val="28"/>
        </w:rPr>
      </w:pPr>
      <w:r>
        <w:rPr>
          <w:rFonts w:hint="eastAsia" w:ascii="Calibri" w:hAnsi="Calibri" w:eastAsia="黑体"/>
          <w:kern w:val="28"/>
          <w:sz w:val="28"/>
        </w:rPr>
        <w:t>1．中小企业声明函</w:t>
      </w:r>
    </w:p>
    <w:p>
      <w:pPr>
        <w:pStyle w:val="42"/>
        <w:wordWrap/>
        <w:spacing w:line="240" w:lineRule="auto"/>
        <w:ind w:firstLine="480" w:firstLineChars="200"/>
        <w:jc w:val="both"/>
        <w:rPr>
          <w:rFonts w:ascii="Calibri" w:hAnsi="Calibri" w:eastAsia="宋体"/>
          <w:i/>
          <w:color w:val="7030A0"/>
          <w:sz w:val="24"/>
          <w:szCs w:val="24"/>
        </w:rPr>
      </w:pPr>
      <w:r>
        <w:rPr>
          <w:rFonts w:hint="eastAsia" w:ascii="Calibri" w:hAnsi="Calibri" w:eastAsia="宋体"/>
          <w:i/>
          <w:color w:val="7030A0"/>
          <w:sz w:val="24"/>
          <w:szCs w:val="24"/>
        </w:rPr>
        <w:t>说明：</w:t>
      </w:r>
    </w:p>
    <w:p>
      <w:pPr>
        <w:pStyle w:val="42"/>
        <w:wordWrap/>
        <w:spacing w:line="240" w:lineRule="auto"/>
        <w:ind w:firstLine="480" w:firstLineChars="200"/>
        <w:jc w:val="both"/>
        <w:rPr>
          <w:rFonts w:asciiTheme="minorEastAsia" w:hAnsiTheme="minorEastAsia" w:eastAsiaTheme="minorEastAsia"/>
          <w:color w:val="7030A0"/>
          <w:sz w:val="24"/>
          <w:szCs w:val="24"/>
        </w:rPr>
      </w:pPr>
      <w:r>
        <w:rPr>
          <w:rFonts w:asciiTheme="minorEastAsia" w:hAnsiTheme="minorEastAsia" w:eastAsiaTheme="minorEastAsia"/>
          <w:color w:val="7030A0"/>
          <w:sz w:val="24"/>
          <w:szCs w:val="24"/>
        </w:rPr>
        <w:t xml:space="preserve">① </w:t>
      </w:r>
      <w:r>
        <w:rPr>
          <w:rFonts w:hint="eastAsia" w:asciiTheme="minorEastAsia" w:hAnsiTheme="minorEastAsia" w:eastAsiaTheme="minorEastAsia"/>
          <w:i/>
          <w:color w:val="7030A0"/>
          <w:sz w:val="24"/>
          <w:szCs w:val="24"/>
        </w:rPr>
        <w:t>声明函中的中小企业指的是货物制造商、工程承建商或服务承接商。特别地，对于货物类项目，供应商希望获得政府采购优惠政策支持的，应从制造商处获得充分、准确的信息。</w:t>
      </w:r>
    </w:p>
    <w:p>
      <w:pPr>
        <w:pStyle w:val="42"/>
        <w:wordWrap/>
        <w:spacing w:line="240" w:lineRule="auto"/>
        <w:ind w:firstLine="480" w:firstLineChars="200"/>
        <w:jc w:val="both"/>
        <w:rPr>
          <w:rFonts w:asciiTheme="minorEastAsia" w:hAnsiTheme="minorEastAsia" w:eastAsiaTheme="minorEastAsia"/>
          <w:color w:val="7030A0"/>
          <w:sz w:val="24"/>
          <w:szCs w:val="24"/>
        </w:rPr>
      </w:pPr>
      <w:r>
        <w:rPr>
          <w:rFonts w:asciiTheme="minorEastAsia" w:hAnsiTheme="minorEastAsia" w:eastAsiaTheme="minorEastAsia"/>
          <w:color w:val="7030A0"/>
          <w:sz w:val="24"/>
          <w:szCs w:val="24"/>
        </w:rPr>
        <w:t xml:space="preserve">② </w:t>
      </w:r>
      <w:r>
        <w:rPr>
          <w:rFonts w:asciiTheme="minorEastAsia" w:hAnsiTheme="minorEastAsia" w:eastAsiaTheme="minorEastAsia"/>
          <w:i/>
          <w:color w:val="7030A0"/>
          <w:sz w:val="24"/>
          <w:szCs w:val="24"/>
        </w:rPr>
        <w:t>声明函中“从业人员”、“营业收入”、“资产总额”填报上一年度数据，无上一年度数据的新成立企业可不填报。</w:t>
      </w:r>
    </w:p>
    <w:p>
      <w:pPr>
        <w:pStyle w:val="42"/>
        <w:wordWrap/>
        <w:spacing w:line="240" w:lineRule="auto"/>
        <w:ind w:firstLine="480" w:firstLineChars="200"/>
        <w:jc w:val="both"/>
      </w:pPr>
      <w:r>
        <w:rPr>
          <w:rFonts w:asciiTheme="minorEastAsia" w:hAnsiTheme="minorEastAsia" w:eastAsiaTheme="minorEastAsia"/>
          <w:color w:val="7030A0"/>
          <w:sz w:val="24"/>
          <w:szCs w:val="24"/>
        </w:rPr>
        <w:t xml:space="preserve">③ </w:t>
      </w:r>
      <w:r>
        <w:rPr>
          <w:rFonts w:asciiTheme="minorHAnsi" w:hAnsiTheme="minorHAnsi" w:eastAsiaTheme="minorEastAsia"/>
          <w:i/>
          <w:color w:val="7030A0"/>
          <w:sz w:val="24"/>
          <w:szCs w:val="24"/>
        </w:rPr>
        <w:t>本项目采购标的对应的中小企业划分标准所属行业：见第二章「前附表」。</w:t>
      </w:r>
    </w:p>
    <w:p>
      <w:pPr>
        <w:tabs>
          <w:tab w:val="left" w:pos="5670"/>
        </w:tabs>
        <w:ind w:firstLine="480" w:firstLineChars="200"/>
        <w:jc w:val="both"/>
        <w:rPr>
          <w:rFonts w:cstheme="minorHAnsi"/>
          <w:b/>
          <w:color w:val="C00000"/>
        </w:rPr>
      </w:pPr>
    </w:p>
    <w:p>
      <w:pPr>
        <w:tabs>
          <w:tab w:val="left" w:pos="5670"/>
        </w:tabs>
        <w:jc w:val="center"/>
        <w:rPr>
          <w:rFonts w:cs="Calibri Light"/>
          <w:b/>
          <w:color w:val="1F4E79"/>
          <w:sz w:val="28"/>
          <w:szCs w:val="36"/>
        </w:rPr>
      </w:pPr>
      <w:r>
        <w:rPr>
          <w:rFonts w:cs="Calibri Light"/>
          <w:b/>
          <w:color w:val="1F4E79"/>
          <w:sz w:val="28"/>
          <w:szCs w:val="36"/>
        </w:rPr>
        <w:t>『中小企业声明函』（服务类格式）</w:t>
      </w:r>
    </w:p>
    <w:p>
      <w:pPr>
        <w:pStyle w:val="42"/>
        <w:wordWrap/>
        <w:spacing w:line="240" w:lineRule="auto"/>
        <w:ind w:firstLine="480" w:firstLineChars="200"/>
        <w:jc w:val="both"/>
        <w:rPr>
          <w:rFonts w:asciiTheme="minorHAnsi" w:hAnsiTheme="minorHAnsi" w:eastAsiaTheme="minorEastAsia"/>
          <w:sz w:val="24"/>
          <w:szCs w:val="24"/>
        </w:rPr>
      </w:pPr>
      <w:r>
        <w:rPr>
          <w:rFonts w:asciiTheme="minorHAnsi" w:hAnsiTheme="minorHAnsi" w:eastAsiaTheme="minorEastAsia"/>
          <w:sz w:val="24"/>
          <w:szCs w:val="24"/>
        </w:rPr>
        <w:t>本公司（联合体）郑重声明，根据《政府采购促进中小企业发展管理办法》（财库〔2020〕46号）的规定，本公司（联合体）参加</w:t>
      </w:r>
      <w:r>
        <w:rPr>
          <w:rFonts w:hint="eastAsia" w:asciiTheme="minorHAnsi" w:hAnsiTheme="minorHAnsi" w:eastAsiaTheme="minorEastAsia" w:cstheme="minorHAnsi"/>
          <w:color w:val="C00000"/>
          <w:sz w:val="24"/>
          <w:szCs w:val="24"/>
        </w:rPr>
        <w:t>［项目名称］</w:t>
      </w:r>
      <w:r>
        <w:rPr>
          <w:rFonts w:asciiTheme="minorHAnsi" w:hAnsiTheme="minorHAnsi" w:eastAsiaTheme="minorEastAsia" w:cstheme="minorHAnsi"/>
          <w:sz w:val="24"/>
          <w:szCs w:val="24"/>
        </w:rPr>
        <w:t>（项目编号：</w:t>
      </w:r>
      <w:r>
        <w:rPr>
          <w:rFonts w:hint="eastAsia" w:asciiTheme="minorHAnsi" w:hAnsiTheme="minorHAnsi" w:eastAsiaTheme="minorEastAsia" w:cstheme="minorHAnsi"/>
          <w:color w:val="C00000"/>
          <w:sz w:val="24"/>
          <w:szCs w:val="24"/>
        </w:rPr>
        <w:t>［项目编号］</w:t>
      </w:r>
      <w:r>
        <w:rPr>
          <w:rFonts w:asciiTheme="minorHAnsi" w:hAnsiTheme="minorHAnsi" w:eastAsiaTheme="minorEastAsia" w:cstheme="minorHAnsi"/>
          <w:sz w:val="24"/>
          <w:szCs w:val="24"/>
        </w:rPr>
        <w:t>）</w:t>
      </w:r>
      <w:r>
        <w:rPr>
          <w:rFonts w:asciiTheme="minorHAnsi" w:hAnsiTheme="minorHAnsi" w:eastAsiaTheme="minorEastAsia"/>
          <w:sz w:val="24"/>
          <w:szCs w:val="24"/>
        </w:rPr>
        <w:t>的采购活动，服务全部由符合政策要求的中小企业承接。相关企业（含联合体中的中小企业、签订分包意向协议的中小企业）的具体情况如下：</w:t>
      </w:r>
    </w:p>
    <w:p>
      <w:pPr>
        <w:pStyle w:val="42"/>
        <w:wordWrap/>
        <w:spacing w:line="240" w:lineRule="auto"/>
        <w:ind w:firstLine="480" w:firstLineChars="200"/>
        <w:jc w:val="both"/>
        <w:rPr>
          <w:rFonts w:asciiTheme="minorHAnsi" w:hAnsiTheme="minorHAnsi" w:eastAsiaTheme="minorEastAsia"/>
          <w:sz w:val="24"/>
          <w:szCs w:val="24"/>
          <w:u w:color="000000" w:themeColor="text1"/>
        </w:rPr>
      </w:pPr>
      <w:r>
        <w:rPr>
          <w:rFonts w:asciiTheme="minorHAnsi" w:hAnsiTheme="minorHAnsi" w:eastAsiaTheme="minorEastAsia" w:cstheme="minorHAnsi"/>
          <w:kern w:val="24"/>
          <w:sz w:val="24"/>
          <w:szCs w:val="24"/>
        </w:rPr>
        <w:t>（1）</w:t>
      </w:r>
      <w:r>
        <w:rPr>
          <w:rFonts w:asciiTheme="minorHAnsi" w:hAnsiTheme="minorHAnsi" w:eastAsiaTheme="minorEastAsia" w:cstheme="minorHAnsi"/>
          <w:color w:val="C00000"/>
          <w:kern w:val="24"/>
          <w:sz w:val="24"/>
          <w:szCs w:val="24"/>
        </w:rPr>
        <w:t>［</w:t>
      </w:r>
      <w:r>
        <w:rPr>
          <w:rFonts w:asciiTheme="minorHAnsi" w:hAnsiTheme="minorHAnsi" w:eastAsiaTheme="minorEastAsia" w:cstheme="minorHAnsi"/>
          <w:color w:val="C00000"/>
          <w:kern w:val="24"/>
          <w:sz w:val="24"/>
          <w:szCs w:val="24"/>
          <w:u w:val="single" w:color="C00000"/>
        </w:rPr>
        <w:t>标的名称</w:t>
      </w:r>
      <w:r>
        <w:rPr>
          <w:rFonts w:asciiTheme="minorHAnsi" w:hAnsiTheme="minorHAnsi" w:eastAsiaTheme="minorEastAsia" w:cstheme="minorHAnsi"/>
          <w:color w:val="C00000"/>
          <w:kern w:val="24"/>
          <w:sz w:val="24"/>
          <w:szCs w:val="24"/>
        </w:rPr>
        <w:t>］</w:t>
      </w:r>
      <w:r>
        <w:rPr>
          <w:rFonts w:asciiTheme="minorHAnsi" w:hAnsiTheme="minorHAnsi" w:eastAsiaTheme="minorEastAsia"/>
          <w:sz w:val="24"/>
          <w:szCs w:val="24"/>
          <w:u w:color="000000" w:themeColor="text1"/>
        </w:rPr>
        <w:t>，属于</w:t>
      </w:r>
      <w:r>
        <w:rPr>
          <w:rFonts w:asciiTheme="minorHAnsi" w:hAnsiTheme="minorHAnsi" w:eastAsiaTheme="minorEastAsia" w:cstheme="minorHAnsi"/>
          <w:color w:val="C00000"/>
          <w:kern w:val="24"/>
          <w:sz w:val="24"/>
          <w:szCs w:val="24"/>
        </w:rPr>
        <w:t>［</w:t>
      </w:r>
      <w:r>
        <w:rPr>
          <w:rFonts w:asciiTheme="minorHAnsi" w:hAnsiTheme="minorHAnsi" w:eastAsiaTheme="minorEastAsia" w:cstheme="minorHAnsi"/>
          <w:color w:val="C00000"/>
          <w:kern w:val="24"/>
          <w:sz w:val="24"/>
          <w:szCs w:val="24"/>
          <w:u w:val="single" w:color="C00000"/>
        </w:rPr>
        <w:t>采购文件中明确的所属行业</w:t>
      </w:r>
      <w:r>
        <w:rPr>
          <w:rFonts w:asciiTheme="minorHAnsi" w:hAnsiTheme="minorHAnsi" w:eastAsiaTheme="minorEastAsia" w:cstheme="minorHAnsi"/>
          <w:color w:val="C00000"/>
          <w:kern w:val="24"/>
          <w:sz w:val="24"/>
          <w:szCs w:val="24"/>
        </w:rPr>
        <w:t>］</w:t>
      </w:r>
      <w:r>
        <w:rPr>
          <w:rFonts w:asciiTheme="minorHAnsi" w:hAnsiTheme="minorHAnsi" w:eastAsiaTheme="minorEastAsia"/>
          <w:sz w:val="24"/>
          <w:szCs w:val="24"/>
          <w:u w:color="000000" w:themeColor="text1"/>
        </w:rPr>
        <w:t>；承接企业为</w:t>
      </w:r>
      <w:r>
        <w:rPr>
          <w:rFonts w:asciiTheme="minorHAnsi" w:hAnsiTheme="minorHAnsi" w:eastAsiaTheme="minorEastAsia" w:cstheme="minorHAnsi"/>
          <w:color w:val="C00000"/>
          <w:kern w:val="24"/>
          <w:sz w:val="24"/>
          <w:szCs w:val="24"/>
        </w:rPr>
        <w:t>［</w:t>
      </w:r>
      <w:r>
        <w:rPr>
          <w:rFonts w:asciiTheme="minorHAnsi" w:hAnsiTheme="minorHAnsi" w:eastAsiaTheme="minorEastAsia" w:cstheme="minorHAnsi"/>
          <w:color w:val="C00000"/>
          <w:kern w:val="24"/>
          <w:sz w:val="24"/>
          <w:szCs w:val="24"/>
          <w:u w:val="single" w:color="C00000"/>
        </w:rPr>
        <w:t>企业名称</w:t>
      </w:r>
      <w:r>
        <w:rPr>
          <w:rFonts w:asciiTheme="minorHAnsi" w:hAnsiTheme="minorHAnsi" w:eastAsiaTheme="minorEastAsia" w:cstheme="minorHAnsi"/>
          <w:color w:val="C00000"/>
          <w:kern w:val="24"/>
          <w:sz w:val="24"/>
          <w:szCs w:val="24"/>
        </w:rPr>
        <w:t>］</w:t>
      </w:r>
      <w:r>
        <w:rPr>
          <w:rFonts w:asciiTheme="minorHAnsi" w:hAnsiTheme="minorHAnsi" w:eastAsiaTheme="minorEastAsia"/>
          <w:sz w:val="24"/>
          <w:szCs w:val="24"/>
          <w:u w:color="000000" w:themeColor="text1"/>
        </w:rPr>
        <w:t>，从业人员</w:t>
      </w:r>
      <w:r>
        <w:rPr>
          <w:rFonts w:asciiTheme="minorHAnsi" w:hAnsiTheme="minorHAnsi" w:eastAsiaTheme="minorEastAsia" w:cstheme="minorHAnsi"/>
          <w:color w:val="C00000"/>
          <w:sz w:val="24"/>
          <w:szCs w:val="24"/>
        </w:rPr>
        <w:t>［___］</w:t>
      </w:r>
      <w:r>
        <w:rPr>
          <w:rFonts w:asciiTheme="minorHAnsi" w:hAnsiTheme="minorHAnsi" w:eastAsiaTheme="minorEastAsia"/>
          <w:sz w:val="24"/>
          <w:szCs w:val="24"/>
          <w:u w:color="000000" w:themeColor="text1"/>
        </w:rPr>
        <w:t>人，营业收入为</w:t>
      </w:r>
      <w:r>
        <w:rPr>
          <w:rFonts w:asciiTheme="minorHAnsi" w:hAnsiTheme="minorHAnsi" w:eastAsiaTheme="minorEastAsia" w:cstheme="minorHAnsi"/>
          <w:color w:val="C00000"/>
          <w:sz w:val="24"/>
          <w:szCs w:val="24"/>
        </w:rPr>
        <w:t>［___］</w:t>
      </w:r>
      <w:r>
        <w:rPr>
          <w:rFonts w:asciiTheme="minorHAnsi" w:hAnsiTheme="minorHAnsi" w:eastAsiaTheme="minorEastAsia"/>
          <w:sz w:val="24"/>
          <w:szCs w:val="24"/>
          <w:u w:color="000000" w:themeColor="text1"/>
        </w:rPr>
        <w:t>万元，资产总额为</w:t>
      </w:r>
      <w:r>
        <w:rPr>
          <w:rFonts w:asciiTheme="minorHAnsi" w:hAnsiTheme="minorHAnsi" w:eastAsiaTheme="minorEastAsia" w:cstheme="minorHAnsi"/>
          <w:color w:val="C00000"/>
          <w:sz w:val="24"/>
          <w:szCs w:val="24"/>
        </w:rPr>
        <w:t>［___］</w:t>
      </w:r>
      <w:r>
        <w:rPr>
          <w:rFonts w:asciiTheme="minorHAnsi" w:hAnsiTheme="minorHAnsi" w:eastAsiaTheme="minorEastAsia"/>
          <w:sz w:val="24"/>
          <w:szCs w:val="24"/>
          <w:u w:color="000000" w:themeColor="text1"/>
        </w:rPr>
        <w:t>万元，属于</w:t>
      </w:r>
      <w:r>
        <w:rPr>
          <w:rFonts w:asciiTheme="minorHAnsi" w:hAnsiTheme="minorHAnsi" w:eastAsiaTheme="minorEastAsia" w:cstheme="minorHAnsi"/>
          <w:color w:val="C00000"/>
          <w:sz w:val="24"/>
          <w:szCs w:val="24"/>
        </w:rPr>
        <w:t>［___</w:t>
      </w:r>
      <w:r>
        <w:rPr>
          <w:rFonts w:asciiTheme="minorHAnsi" w:hAnsiTheme="minorHAnsi" w:eastAsiaTheme="minorEastAsia" w:cstheme="minorHAnsi"/>
          <w:color w:val="C00000"/>
          <w:sz w:val="24"/>
          <w:szCs w:val="24"/>
          <w:u w:val="single"/>
        </w:rPr>
        <w:t>企业</w:t>
      </w:r>
      <w:r>
        <w:rPr>
          <w:rFonts w:asciiTheme="minorHAnsi" w:hAnsiTheme="minorHAnsi" w:eastAsiaTheme="minorEastAsia" w:cstheme="minorHAnsi"/>
          <w:color w:val="C00000"/>
          <w:sz w:val="24"/>
          <w:szCs w:val="24"/>
        </w:rPr>
        <w:t>］</w:t>
      </w:r>
      <w:r>
        <w:rPr>
          <w:rFonts w:asciiTheme="minorHAnsi" w:hAnsiTheme="minorHAnsi" w:eastAsiaTheme="minorEastAsia"/>
          <w:sz w:val="24"/>
          <w:szCs w:val="24"/>
          <w:u w:color="000000" w:themeColor="text1"/>
        </w:rPr>
        <w:t>（</w:t>
      </w:r>
      <w:r>
        <w:rPr>
          <w:rFonts w:asciiTheme="minorHAnsi" w:hAnsiTheme="minorHAnsi" w:eastAsiaTheme="minorEastAsia"/>
          <w:i/>
          <w:color w:val="7030A0"/>
          <w:sz w:val="24"/>
          <w:szCs w:val="24"/>
          <w:u w:color="000000" w:themeColor="text1"/>
        </w:rPr>
        <w:t>选填中型企业、小型企业、微型企业</w:t>
      </w:r>
      <w:r>
        <w:rPr>
          <w:rFonts w:asciiTheme="minorHAnsi" w:hAnsiTheme="minorHAnsi" w:eastAsiaTheme="minorEastAsia"/>
          <w:sz w:val="24"/>
          <w:szCs w:val="24"/>
          <w:u w:color="000000" w:themeColor="text1"/>
        </w:rPr>
        <w:t>）；</w:t>
      </w:r>
    </w:p>
    <w:p>
      <w:pPr>
        <w:pStyle w:val="42"/>
        <w:wordWrap/>
        <w:spacing w:line="240" w:lineRule="auto"/>
        <w:ind w:firstLine="480" w:firstLineChars="200"/>
        <w:jc w:val="both"/>
        <w:rPr>
          <w:rFonts w:asciiTheme="minorHAnsi" w:hAnsiTheme="minorHAnsi" w:eastAsiaTheme="minorEastAsia"/>
          <w:sz w:val="24"/>
          <w:szCs w:val="24"/>
          <w:u w:color="000000" w:themeColor="text1"/>
        </w:rPr>
      </w:pPr>
      <w:r>
        <w:rPr>
          <w:rFonts w:asciiTheme="minorHAnsi" w:hAnsiTheme="minorHAnsi" w:eastAsiaTheme="minorEastAsia"/>
          <w:sz w:val="24"/>
          <w:szCs w:val="24"/>
          <w:u w:color="000000" w:themeColor="text1"/>
        </w:rPr>
        <w:t>（2）</w:t>
      </w:r>
      <w:r>
        <w:rPr>
          <w:rFonts w:asciiTheme="minorHAnsi" w:hAnsiTheme="minorHAnsi" w:eastAsiaTheme="minorEastAsia" w:cstheme="minorHAnsi"/>
          <w:color w:val="C00000"/>
          <w:kern w:val="24"/>
          <w:sz w:val="24"/>
          <w:szCs w:val="24"/>
        </w:rPr>
        <w:t>［</w:t>
      </w:r>
      <w:r>
        <w:rPr>
          <w:rFonts w:asciiTheme="minorHAnsi" w:hAnsiTheme="minorHAnsi" w:eastAsiaTheme="minorEastAsia" w:cstheme="minorHAnsi"/>
          <w:color w:val="C00000"/>
          <w:kern w:val="24"/>
          <w:sz w:val="24"/>
          <w:szCs w:val="24"/>
          <w:u w:val="single" w:color="C00000"/>
        </w:rPr>
        <w:t>标的名称</w:t>
      </w:r>
      <w:r>
        <w:rPr>
          <w:rFonts w:asciiTheme="minorHAnsi" w:hAnsiTheme="minorHAnsi" w:eastAsiaTheme="minorEastAsia" w:cstheme="minorHAnsi"/>
          <w:color w:val="C00000"/>
          <w:kern w:val="24"/>
          <w:sz w:val="24"/>
          <w:szCs w:val="24"/>
        </w:rPr>
        <w:t>］</w:t>
      </w:r>
      <w:r>
        <w:rPr>
          <w:rFonts w:asciiTheme="minorHAnsi" w:hAnsiTheme="minorHAnsi" w:eastAsiaTheme="minorEastAsia"/>
          <w:sz w:val="24"/>
          <w:szCs w:val="24"/>
          <w:u w:color="000000" w:themeColor="text1"/>
        </w:rPr>
        <w:t>，属于</w:t>
      </w:r>
      <w:r>
        <w:rPr>
          <w:rFonts w:asciiTheme="minorHAnsi" w:hAnsiTheme="minorHAnsi" w:eastAsiaTheme="minorEastAsia" w:cstheme="minorHAnsi"/>
          <w:color w:val="C00000"/>
          <w:kern w:val="24"/>
          <w:sz w:val="24"/>
          <w:szCs w:val="24"/>
        </w:rPr>
        <w:t>［</w:t>
      </w:r>
      <w:r>
        <w:rPr>
          <w:rFonts w:asciiTheme="minorHAnsi" w:hAnsiTheme="minorHAnsi" w:eastAsiaTheme="minorEastAsia" w:cstheme="minorHAnsi"/>
          <w:color w:val="C00000"/>
          <w:kern w:val="24"/>
          <w:sz w:val="24"/>
          <w:szCs w:val="24"/>
          <w:u w:val="single" w:color="C00000"/>
        </w:rPr>
        <w:t>采购文件中明确的所属行业</w:t>
      </w:r>
      <w:r>
        <w:rPr>
          <w:rFonts w:asciiTheme="minorHAnsi" w:hAnsiTheme="minorHAnsi" w:eastAsiaTheme="minorEastAsia" w:cstheme="minorHAnsi"/>
          <w:color w:val="C00000"/>
          <w:kern w:val="24"/>
          <w:sz w:val="24"/>
          <w:szCs w:val="24"/>
        </w:rPr>
        <w:t>］</w:t>
      </w:r>
      <w:r>
        <w:rPr>
          <w:rFonts w:asciiTheme="minorHAnsi" w:hAnsiTheme="minorHAnsi" w:eastAsiaTheme="minorEastAsia"/>
          <w:sz w:val="24"/>
          <w:szCs w:val="24"/>
          <w:u w:color="000000" w:themeColor="text1"/>
        </w:rPr>
        <w:t>；承接企业为</w:t>
      </w:r>
      <w:r>
        <w:rPr>
          <w:rFonts w:asciiTheme="minorHAnsi" w:hAnsiTheme="minorHAnsi" w:eastAsiaTheme="minorEastAsia" w:cstheme="minorHAnsi"/>
          <w:color w:val="C00000"/>
          <w:kern w:val="24"/>
          <w:sz w:val="24"/>
          <w:szCs w:val="24"/>
        </w:rPr>
        <w:t>［</w:t>
      </w:r>
      <w:r>
        <w:rPr>
          <w:rFonts w:asciiTheme="minorHAnsi" w:hAnsiTheme="minorHAnsi" w:eastAsiaTheme="minorEastAsia" w:cstheme="minorHAnsi"/>
          <w:color w:val="C00000"/>
          <w:kern w:val="24"/>
          <w:sz w:val="24"/>
          <w:szCs w:val="24"/>
          <w:u w:val="single" w:color="C00000"/>
        </w:rPr>
        <w:t>企业名称</w:t>
      </w:r>
      <w:r>
        <w:rPr>
          <w:rFonts w:asciiTheme="minorHAnsi" w:hAnsiTheme="minorHAnsi" w:eastAsiaTheme="minorEastAsia" w:cstheme="minorHAnsi"/>
          <w:color w:val="C00000"/>
          <w:kern w:val="24"/>
          <w:sz w:val="24"/>
          <w:szCs w:val="24"/>
        </w:rPr>
        <w:t>］</w:t>
      </w:r>
      <w:r>
        <w:rPr>
          <w:rFonts w:asciiTheme="minorHAnsi" w:hAnsiTheme="minorHAnsi" w:eastAsiaTheme="minorEastAsia"/>
          <w:sz w:val="24"/>
          <w:szCs w:val="24"/>
          <w:u w:color="000000" w:themeColor="text1"/>
        </w:rPr>
        <w:t>，从业人员</w:t>
      </w:r>
      <w:r>
        <w:rPr>
          <w:rFonts w:asciiTheme="minorHAnsi" w:hAnsiTheme="minorHAnsi" w:eastAsiaTheme="minorEastAsia" w:cstheme="minorHAnsi"/>
          <w:color w:val="C00000"/>
          <w:sz w:val="24"/>
          <w:szCs w:val="24"/>
        </w:rPr>
        <w:t>［___］</w:t>
      </w:r>
      <w:r>
        <w:rPr>
          <w:rFonts w:asciiTheme="minorHAnsi" w:hAnsiTheme="minorHAnsi" w:eastAsiaTheme="minorEastAsia"/>
          <w:sz w:val="24"/>
          <w:szCs w:val="24"/>
          <w:u w:color="000000" w:themeColor="text1"/>
        </w:rPr>
        <w:t>人，营业收入为</w:t>
      </w:r>
      <w:r>
        <w:rPr>
          <w:rFonts w:asciiTheme="minorHAnsi" w:hAnsiTheme="minorHAnsi" w:eastAsiaTheme="minorEastAsia" w:cstheme="minorHAnsi"/>
          <w:color w:val="C00000"/>
          <w:sz w:val="24"/>
          <w:szCs w:val="24"/>
        </w:rPr>
        <w:t>［___］</w:t>
      </w:r>
      <w:r>
        <w:rPr>
          <w:rFonts w:asciiTheme="minorHAnsi" w:hAnsiTheme="minorHAnsi" w:eastAsiaTheme="minorEastAsia"/>
          <w:sz w:val="24"/>
          <w:szCs w:val="24"/>
          <w:u w:color="000000" w:themeColor="text1"/>
        </w:rPr>
        <w:t>万元，资产总额为</w:t>
      </w:r>
      <w:r>
        <w:rPr>
          <w:rFonts w:asciiTheme="minorHAnsi" w:hAnsiTheme="minorHAnsi" w:eastAsiaTheme="minorEastAsia" w:cstheme="minorHAnsi"/>
          <w:color w:val="C00000"/>
          <w:sz w:val="24"/>
          <w:szCs w:val="24"/>
        </w:rPr>
        <w:t>［___］</w:t>
      </w:r>
      <w:r>
        <w:rPr>
          <w:rFonts w:asciiTheme="minorHAnsi" w:hAnsiTheme="minorHAnsi" w:eastAsiaTheme="minorEastAsia"/>
          <w:sz w:val="24"/>
          <w:szCs w:val="24"/>
          <w:u w:color="000000" w:themeColor="text1"/>
        </w:rPr>
        <w:t>万元，属于</w:t>
      </w:r>
      <w:r>
        <w:rPr>
          <w:rFonts w:asciiTheme="minorHAnsi" w:hAnsiTheme="minorHAnsi" w:eastAsiaTheme="minorEastAsia" w:cstheme="minorHAnsi"/>
          <w:color w:val="C00000"/>
          <w:sz w:val="24"/>
          <w:szCs w:val="24"/>
        </w:rPr>
        <w:t>［___</w:t>
      </w:r>
      <w:r>
        <w:rPr>
          <w:rFonts w:asciiTheme="minorHAnsi" w:hAnsiTheme="minorHAnsi" w:eastAsiaTheme="minorEastAsia" w:cstheme="minorHAnsi"/>
          <w:color w:val="C00000"/>
          <w:sz w:val="24"/>
          <w:szCs w:val="24"/>
          <w:u w:val="single"/>
        </w:rPr>
        <w:t>企业</w:t>
      </w:r>
      <w:r>
        <w:rPr>
          <w:rFonts w:asciiTheme="minorHAnsi" w:hAnsiTheme="minorHAnsi" w:eastAsiaTheme="minorEastAsia" w:cstheme="minorHAnsi"/>
          <w:color w:val="C00000"/>
          <w:sz w:val="24"/>
          <w:szCs w:val="24"/>
        </w:rPr>
        <w:t>］</w:t>
      </w:r>
      <w:r>
        <w:rPr>
          <w:rFonts w:asciiTheme="minorHAnsi" w:hAnsiTheme="minorHAnsi" w:eastAsiaTheme="minorEastAsia"/>
          <w:sz w:val="24"/>
          <w:szCs w:val="24"/>
          <w:u w:color="000000" w:themeColor="text1"/>
        </w:rPr>
        <w:t>（</w:t>
      </w:r>
      <w:r>
        <w:rPr>
          <w:rFonts w:asciiTheme="minorHAnsi" w:hAnsiTheme="minorHAnsi" w:eastAsiaTheme="minorEastAsia"/>
          <w:i/>
          <w:color w:val="7030A0"/>
          <w:sz w:val="24"/>
          <w:szCs w:val="24"/>
          <w:u w:color="000000" w:themeColor="text1"/>
        </w:rPr>
        <w:t>选填中型企业、小型企业、微型企业</w:t>
      </w:r>
      <w:r>
        <w:rPr>
          <w:rFonts w:asciiTheme="minorHAnsi" w:hAnsiTheme="minorHAnsi" w:eastAsiaTheme="minorEastAsia"/>
          <w:sz w:val="24"/>
          <w:szCs w:val="24"/>
          <w:u w:color="000000" w:themeColor="text1"/>
        </w:rPr>
        <w:t>）；</w:t>
      </w:r>
    </w:p>
    <w:p>
      <w:pPr>
        <w:pStyle w:val="42"/>
        <w:wordWrap/>
        <w:spacing w:line="240" w:lineRule="auto"/>
        <w:ind w:firstLine="480" w:firstLineChars="200"/>
        <w:jc w:val="both"/>
        <w:rPr>
          <w:rFonts w:asciiTheme="minorHAnsi" w:hAnsiTheme="minorHAnsi" w:eastAsiaTheme="minorEastAsia"/>
          <w:sz w:val="24"/>
          <w:szCs w:val="24"/>
        </w:rPr>
      </w:pPr>
      <w:r>
        <w:rPr>
          <w:rFonts w:asciiTheme="minorHAnsi" w:hAnsiTheme="minorHAnsi" w:eastAsiaTheme="minorEastAsia"/>
          <w:sz w:val="24"/>
          <w:szCs w:val="24"/>
        </w:rPr>
        <w:t>……</w:t>
      </w:r>
    </w:p>
    <w:p>
      <w:pPr>
        <w:ind w:firstLine="480" w:firstLineChars="200"/>
        <w:jc w:val="both"/>
      </w:pPr>
      <w:r>
        <w:t>以上企业，不属于大企业的分支机构，不存在控股股东为大企业的情形，也不存在与大企业的负责人为同一人的情形。</w:t>
      </w:r>
    </w:p>
    <w:p>
      <w:pPr>
        <w:ind w:firstLine="480" w:firstLineChars="200"/>
        <w:jc w:val="both"/>
      </w:pPr>
      <w:r>
        <w:t>本企业对上述声明内容的真实性负责。如有虚假，将依法承担相应责任。</w:t>
      </w:r>
    </w:p>
    <w:p>
      <w:pPr>
        <w:ind w:firstLine="480" w:firstLineChars="200"/>
        <w:jc w:val="both"/>
      </w:pPr>
    </w:p>
    <w:p>
      <w:pPr>
        <w:tabs>
          <w:tab w:val="left" w:pos="5670"/>
        </w:tabs>
        <w:ind w:firstLine="480" w:firstLineChars="200"/>
        <w:jc w:val="both"/>
        <w:rPr>
          <w:rFonts w:cs="Calibri Light"/>
          <w:color w:val="000000"/>
        </w:rPr>
      </w:pPr>
      <w:r>
        <w:rPr>
          <w:color w:val="000000"/>
        </w:rPr>
        <w:t>供应商：（</w:t>
      </w:r>
      <w:r>
        <w:rPr>
          <w:i/>
          <w:color w:val="7030A0"/>
        </w:rPr>
        <w:t>供应商全称并加盖公章</w:t>
      </w:r>
      <w:r>
        <w:rPr>
          <w:color w:val="000000"/>
        </w:rPr>
        <w:t>）</w:t>
      </w:r>
    </w:p>
    <w:p>
      <w:pPr>
        <w:tabs>
          <w:tab w:val="left" w:pos="5670"/>
        </w:tabs>
        <w:ind w:firstLine="480" w:firstLineChars="200"/>
        <w:jc w:val="both"/>
        <w:rPr>
          <w:rFonts w:cs="Calibri Light"/>
          <w:color w:val="000000"/>
        </w:rPr>
      </w:pPr>
      <w:r>
        <w:rPr>
          <w:rFonts w:cs="Calibri Light"/>
          <w:color w:val="000000"/>
        </w:rPr>
        <w:t>日　期：　　年　月　日</w:t>
      </w:r>
    </w:p>
    <w:p>
      <w:pPr>
        <w:tabs>
          <w:tab w:val="left" w:pos="5670"/>
        </w:tabs>
        <w:ind w:firstLine="480" w:firstLineChars="200"/>
        <w:jc w:val="both"/>
        <w:rPr>
          <w:rFonts w:cs="Calibri Light"/>
          <w:color w:val="000000"/>
        </w:rPr>
      </w:pPr>
    </w:p>
    <w:p>
      <w:pPr>
        <w:tabs>
          <w:tab w:val="left" w:pos="5670"/>
        </w:tabs>
        <w:ind w:firstLine="480" w:firstLineChars="200"/>
        <w:jc w:val="both"/>
        <w:rPr>
          <w:rFonts w:cs="Calibri Light"/>
          <w:color w:val="000000"/>
        </w:rPr>
      </w:pPr>
    </w:p>
    <w:p>
      <w:pPr>
        <w:keepNext/>
        <w:spacing w:before="120" w:after="60"/>
        <w:jc w:val="both"/>
        <w:outlineLvl w:val="3"/>
        <w:rPr>
          <w:rFonts w:ascii="Calibri" w:hAnsi="Calibri" w:eastAsia="黑体"/>
          <w:kern w:val="28"/>
          <w:sz w:val="28"/>
        </w:rPr>
      </w:pPr>
      <w:r>
        <w:rPr>
          <w:rFonts w:hint="eastAsia" w:ascii="Calibri" w:hAnsi="Calibri" w:eastAsia="黑体"/>
          <w:kern w:val="28"/>
          <w:sz w:val="28"/>
        </w:rPr>
        <w:t>2．残疾人福利性单位声明函</w:t>
      </w:r>
    </w:p>
    <w:p>
      <w:pPr>
        <w:tabs>
          <w:tab w:val="left" w:pos="5670"/>
        </w:tabs>
        <w:ind w:firstLine="480" w:firstLineChars="200"/>
        <w:jc w:val="both"/>
        <w:rPr>
          <w:rFonts w:ascii="黑体" w:hAnsi="黑体" w:eastAsia="黑体" w:cs="Calibri Light"/>
          <w:i/>
          <w:color w:val="1F4E79"/>
          <w:sz w:val="28"/>
          <w:szCs w:val="36"/>
        </w:rPr>
      </w:pPr>
      <w:r>
        <w:rPr>
          <w:rFonts w:cstheme="minorHAnsi"/>
          <w:i/>
          <w:color w:val="7030A0"/>
        </w:rPr>
        <w:t>说明：供应商在填报前请认真阅读《财政部、民政部、中国残疾人联合会关于促进残疾人就业政府采购政策的通知》</w:t>
      </w:r>
      <w:r>
        <w:rPr>
          <w:rFonts w:hint="eastAsia"/>
          <w:i/>
          <w:color w:val="7030A0"/>
        </w:rPr>
        <w:t>（财库〔2017〕141号）</w:t>
      </w:r>
      <w:r>
        <w:rPr>
          <w:rFonts w:cstheme="minorHAnsi"/>
          <w:i/>
          <w:color w:val="7030A0"/>
        </w:rPr>
        <w:t>。</w:t>
      </w:r>
    </w:p>
    <w:p>
      <w:pPr>
        <w:jc w:val="center"/>
        <w:rPr>
          <w:rFonts w:cs="Calibri Light"/>
          <w:b/>
          <w:color w:val="1F4E79"/>
          <w:sz w:val="28"/>
          <w:szCs w:val="36"/>
        </w:rPr>
      </w:pPr>
      <w:r>
        <w:rPr>
          <w:rFonts w:cs="Calibri Light"/>
          <w:b/>
          <w:color w:val="1F4E79"/>
          <w:sz w:val="28"/>
          <w:szCs w:val="36"/>
        </w:rPr>
        <w:t>『残疾人福利性单位声明函』（格式）</w:t>
      </w:r>
    </w:p>
    <w:p>
      <w:pPr>
        <w:ind w:firstLine="480" w:firstLineChars="200"/>
        <w:jc w:val="both"/>
        <w:rPr>
          <w:rFonts w:cstheme="minorHAnsi"/>
          <w:color w:val="000000"/>
        </w:rPr>
      </w:pPr>
      <w:r>
        <w:rPr>
          <w:rFonts w:cstheme="minorHAnsi"/>
          <w:color w:val="000000"/>
        </w:rPr>
        <w:t>本单位郑重声明，根据《财政部 民政部 中国残疾人联合会关于促进残疾人就业政府采购政策的通知》（财库〔2017〕141号）的规定，本单位为符合条件的残疾人福利性单位，且本单位参加</w:t>
      </w:r>
      <w:r>
        <w:rPr>
          <w:rFonts w:cstheme="minorHAnsi"/>
          <w:color w:val="C00000"/>
        </w:rPr>
        <w:t>［</w:t>
      </w:r>
      <w:r>
        <w:rPr>
          <w:rFonts w:cstheme="minorHAnsi"/>
          <w:color w:val="C00000"/>
          <w:u w:val="single"/>
        </w:rPr>
        <w:t>项目名称</w:t>
      </w:r>
      <w:r>
        <w:rPr>
          <w:rFonts w:cstheme="minorHAnsi"/>
          <w:color w:val="C00000"/>
        </w:rPr>
        <w:t>］</w:t>
      </w:r>
      <w:r>
        <w:rPr>
          <w:rFonts w:cstheme="minorHAnsi"/>
        </w:rPr>
        <w:t>（项目编号：</w:t>
      </w:r>
      <w:r>
        <w:rPr>
          <w:rFonts w:cstheme="minorHAnsi"/>
          <w:color w:val="C00000"/>
        </w:rPr>
        <w:t>［</w:t>
      </w:r>
      <w:r>
        <w:rPr>
          <w:rFonts w:cstheme="minorHAnsi"/>
          <w:color w:val="C00000"/>
          <w:u w:val="single"/>
        </w:rPr>
        <w:t>项目编号</w:t>
      </w:r>
      <w:r>
        <w:rPr>
          <w:rFonts w:cstheme="minorHAnsi"/>
          <w:color w:val="C00000"/>
        </w:rPr>
        <w:t>］</w:t>
      </w:r>
      <w:r>
        <w:rPr>
          <w:rFonts w:cstheme="minorHAnsi"/>
        </w:rPr>
        <w:t>）</w:t>
      </w:r>
      <w:r>
        <w:rPr>
          <w:rFonts w:cstheme="minorHAnsi"/>
          <w:color w:val="000000"/>
        </w:rPr>
        <w:t>的采购活动提供本单位制造的货物（由本单位承担工程/提供服务），或者提供其他残疾人福利性单位制造的货物（不包括使用非残疾人福利性单位注册商标的货物）。</w:t>
      </w:r>
    </w:p>
    <w:p>
      <w:pPr>
        <w:ind w:firstLine="480" w:firstLineChars="200"/>
        <w:jc w:val="both"/>
        <w:rPr>
          <w:rFonts w:cstheme="minorHAnsi"/>
          <w:color w:val="000000"/>
        </w:rPr>
      </w:pPr>
      <w:r>
        <w:rPr>
          <w:rFonts w:cstheme="minorHAnsi"/>
          <w:color w:val="000000"/>
        </w:rPr>
        <w:t>本单位对上述声明的真实性负责。如有虚假，将依法承担相应责任。</w:t>
      </w:r>
    </w:p>
    <w:p>
      <w:pPr>
        <w:ind w:firstLine="480" w:firstLineChars="200"/>
        <w:jc w:val="both"/>
        <w:rPr>
          <w:rFonts w:cstheme="minorHAnsi"/>
          <w:color w:val="000000"/>
        </w:rPr>
      </w:pPr>
    </w:p>
    <w:p>
      <w:pPr>
        <w:ind w:firstLine="480" w:firstLineChars="200"/>
        <w:jc w:val="both"/>
        <w:rPr>
          <w:rFonts w:cstheme="minorHAnsi"/>
        </w:rPr>
      </w:pPr>
      <w:r>
        <w:rPr>
          <w:rFonts w:cstheme="minorHAnsi"/>
          <w:color w:val="000000"/>
        </w:rPr>
        <w:t>供应商：（</w:t>
      </w:r>
      <w:r>
        <w:rPr>
          <w:rFonts w:cstheme="minorHAnsi"/>
          <w:i/>
          <w:color w:val="7030A0"/>
        </w:rPr>
        <w:t>供应商全称并加盖公章</w:t>
      </w:r>
      <w:r>
        <w:rPr>
          <w:rFonts w:cstheme="minorHAnsi"/>
          <w:color w:val="000000"/>
        </w:rPr>
        <w:t>）</w:t>
      </w:r>
    </w:p>
    <w:p>
      <w:pPr>
        <w:tabs>
          <w:tab w:val="left" w:pos="5670"/>
        </w:tabs>
        <w:ind w:firstLine="480" w:firstLineChars="200"/>
        <w:jc w:val="both"/>
        <w:rPr>
          <w:rFonts w:cstheme="minorHAnsi"/>
          <w:color w:val="000000"/>
        </w:rPr>
      </w:pPr>
      <w:r>
        <w:rPr>
          <w:rFonts w:cstheme="minorHAnsi"/>
          <w:color w:val="000000"/>
        </w:rPr>
        <w:t>日　期：　　年　月　日</w:t>
      </w:r>
    </w:p>
    <w:p>
      <w:pPr>
        <w:tabs>
          <w:tab w:val="left" w:pos="5670"/>
        </w:tabs>
        <w:jc w:val="both"/>
        <w:rPr>
          <w:rFonts w:cstheme="minorHAnsi"/>
          <w:color w:val="000000"/>
        </w:rPr>
      </w:pPr>
    </w:p>
    <w:p>
      <w:pPr>
        <w:keepNext/>
        <w:spacing w:before="120" w:after="60"/>
        <w:jc w:val="both"/>
        <w:outlineLvl w:val="3"/>
        <w:rPr>
          <w:rFonts w:cstheme="minorHAnsi"/>
          <w:color w:val="000000"/>
        </w:rPr>
      </w:pPr>
      <w:r>
        <w:rPr>
          <w:rFonts w:hint="eastAsia" w:ascii="Calibri" w:hAnsi="Calibri" w:eastAsia="黑体"/>
          <w:kern w:val="28"/>
          <w:sz w:val="28"/>
        </w:rPr>
        <w:t>3．监狱企业证明函</w:t>
      </w:r>
    </w:p>
    <w:p>
      <w:pPr>
        <w:ind w:firstLine="480" w:firstLineChars="200"/>
        <w:rPr>
          <w:rFonts w:ascii="黑体" w:hAnsi="黑体" w:eastAsia="黑体" w:cs="Calibri Light"/>
          <w:i/>
          <w:color w:val="1F4E79"/>
          <w:sz w:val="28"/>
          <w:szCs w:val="36"/>
        </w:rPr>
      </w:pPr>
      <w:r>
        <w:rPr>
          <w:rFonts w:cstheme="minorHAnsi"/>
          <w:i/>
          <w:color w:val="7030A0"/>
        </w:rPr>
        <w:t>说明：供应商在填报前请认真阅读</w:t>
      </w:r>
      <w:r>
        <w:rPr>
          <w:rFonts w:hint="eastAsia"/>
          <w:i/>
          <w:color w:val="7030A0"/>
        </w:rPr>
        <w:t>《关于政府采购支持监狱企业发展有关问题的通知》（财库〔2014〕68号）。</w:t>
      </w:r>
    </w:p>
    <w:p>
      <w:pPr>
        <w:jc w:val="center"/>
        <w:rPr>
          <w:rFonts w:cs="Calibri Light"/>
          <w:b/>
          <w:color w:val="1F4E79"/>
          <w:sz w:val="28"/>
          <w:szCs w:val="36"/>
        </w:rPr>
      </w:pPr>
      <w:r>
        <w:rPr>
          <w:rFonts w:cs="Calibri Light"/>
          <w:b/>
          <w:color w:val="1F4E79"/>
          <w:sz w:val="28"/>
          <w:szCs w:val="36"/>
        </w:rPr>
        <w:t>『监狱企业证明函』</w:t>
      </w:r>
    </w:p>
    <w:p>
      <w:pPr>
        <w:ind w:firstLine="480" w:firstLineChars="200"/>
        <w:jc w:val="both"/>
        <w:rPr>
          <w:rFonts w:cstheme="minorHAnsi"/>
          <w:color w:val="000000"/>
        </w:rPr>
      </w:pPr>
      <w:r>
        <w:rPr>
          <w:rFonts w:cstheme="minorHAnsi"/>
          <w:color w:val="000000"/>
        </w:rPr>
        <w:t>根据财政部、司法部《关于政府采购支持监狱企业发展有关问题的通知》（财库〔2014〕68号）的规定，</w:t>
      </w:r>
      <w:r>
        <w:rPr>
          <w:rFonts w:cstheme="minorHAnsi"/>
          <w:color w:val="C00000"/>
        </w:rPr>
        <w:t>监狱企业</w:t>
      </w:r>
      <w:r>
        <w:rPr>
          <w:rFonts w:cstheme="minorHAnsi"/>
          <w:color w:val="000000"/>
        </w:rPr>
        <w:t>是指由司法部认定的为罪犯、戒毒人员提供生产项目和劳动对象，且全部产权属于司法部监狱管理局、戒毒管理局、直属煤矿管理局，各省、自治区、直辖市监狱管理局、戒毒管理局，各地（设区的市）监狱、强制隔离戒毒所、戒毒康复所，以及新疆生产建设兵团监狱管理局、戒毒管理局的企业。</w:t>
      </w:r>
    </w:p>
    <w:p>
      <w:pPr>
        <w:ind w:firstLine="480" w:firstLineChars="200"/>
        <w:jc w:val="both"/>
        <w:rPr>
          <w:rFonts w:ascii="Calibri" w:hAnsi="Calibri" w:eastAsia="宋体" w:cstheme="minorHAnsi"/>
          <w:color w:val="000000"/>
          <w:kern w:val="24"/>
        </w:rPr>
      </w:pPr>
      <w:r>
        <w:rPr>
          <w:rFonts w:cstheme="minorHAnsi"/>
          <w:color w:val="000000"/>
        </w:rPr>
        <w:t>监狱企业参加政府采购活动时，应当提供由省级以上监狱管理局、戒毒管理局（含新疆生产建设兵团）出具的属于监狱企业的证明文件。</w:t>
      </w:r>
    </w:p>
    <w:sectPr>
      <w:footerReference r:id="rId29" w:type="default"/>
      <w:footerReference r:id="rId30" w:type="even"/>
      <w:pgSz w:w="11906" w:h="16838"/>
      <w:pgMar w:top="1418" w:right="1418" w:bottom="1418" w:left="1418" w:header="851" w:footer="992" w:gutter="0"/>
      <w:cols w:space="425" w:num="1"/>
      <w:docGrid w:type="linesAndChars" w:linePitch="4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libri Light">
    <w:panose1 w:val="020F0302020204030204"/>
    <w:charset w:val="00"/>
    <w:family w:val="swiss"/>
    <w:pitch w:val="default"/>
    <w:sig w:usb0="A00002EF" w:usb1="4000207B" w:usb2="00000000" w:usb3="00000000" w:csb0="2000019F" w:csb1="00000000"/>
  </w:font>
  <w:font w:name="华文中宋">
    <w:panose1 w:val="02010600040101010101"/>
    <w:charset w:val="86"/>
    <w:family w:val="auto"/>
    <w:pitch w:val="default"/>
    <w:sig w:usb0="00000287" w:usb1="080F0000" w:usb2="00000000" w:usb3="00000000" w:csb0="0004009F" w:csb1="DFD70000"/>
  </w:font>
  <w:font w:name="华文仿宋">
    <w:panose1 w:val="02010600040101010101"/>
    <w:charset w:val="86"/>
    <w:family w:val="auto"/>
    <w:pitch w:val="default"/>
    <w:sig w:usb0="00000287" w:usb1="080F0000" w:usb2="00000000" w:usb3="00000000" w:csb0="0004009F" w:csb1="DFD70000"/>
  </w:font>
  <w:font w:name="Courier New">
    <w:panose1 w:val="02070309020205020404"/>
    <w:charset w:val="00"/>
    <w:family w:val="modern"/>
    <w:pitch w:val="default"/>
    <w:sig w:usb0="E0002AFF" w:usb1="C0007843" w:usb2="00000009" w:usb3="00000000" w:csb0="400001FF" w:csb1="FFFF0000"/>
  </w:font>
  <w:font w:name="hakuyoxingshu7000">
    <w:altName w:val="宋体"/>
    <w:panose1 w:val="00000000000000000000"/>
    <w:charset w:val="86"/>
    <w:family w:val="auto"/>
    <w:pitch w:val="default"/>
    <w:sig w:usb0="00000000" w:usb1="00000000" w:usb2="0000003F" w:usb3="00000000" w:csb0="603F00FF" w:csb1="FFFF0000"/>
  </w:font>
  <w:font w:name="Tahoma">
    <w:panose1 w:val="020B0604030504040204"/>
    <w:charset w:val="00"/>
    <w:family w:val="swiss"/>
    <w:pitch w:val="default"/>
    <w:sig w:usb0="E1002EFF" w:usb1="C000605B" w:usb2="00000029" w:usb3="00000000" w:csb0="200101FF" w:csb1="20280000"/>
  </w:font>
  <w:font w:name="MS Gothic">
    <w:panose1 w:val="020B0609070205080204"/>
    <w:charset w:val="80"/>
    <w:family w:val="modern"/>
    <w:pitch w:val="default"/>
    <w:sig w:usb0="E00002FF" w:usb1="6AC7FDFB" w:usb2="00000012" w:usb3="00000000" w:csb0="4002009F" w:csb1="DFD70000"/>
  </w:font>
  <w:font w:name="Segoe UI Symbol">
    <w:panose1 w:val="020B0502040204020203"/>
    <w:charset w:val="00"/>
    <w:family w:val="swiss"/>
    <w:pitch w:val="default"/>
    <w:sig w:usb0="8000006F" w:usb1="1200FBEF" w:usb2="0064C000" w:usb3="00000002" w:csb0="00000001" w:csb1="4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lear" w:pos="4153"/>
        <w:tab w:val="clear" w:pos="8306"/>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lear" w:pos="4153"/>
        <w:tab w:val="clear" w:pos="8306"/>
      </w:tabs>
      <w:jc w:val="center"/>
      <w:rPr>
        <w:rFonts w:ascii="宋体" w:hAnsi="宋体" w:eastAsia="宋体"/>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535"/>
        <w:tab w:val="right" w:pos="9070"/>
        <w:tab w:val="clear" w:pos="4153"/>
        <w:tab w:val="clear" w:pos="8306"/>
      </w:tabs>
      <w:rPr>
        <w:rFonts w:ascii="宋体" w:hAnsi="宋体" w:eastAsia="宋体"/>
      </w:rPr>
    </w:pPr>
    <w:r>
      <w:rPr>
        <w:rFonts w:ascii="宋体" w:hAnsi="宋体" w:eastAsia="宋体"/>
      </w:rPr>
      <w:tab/>
    </w:r>
    <w:r>
      <w:rPr>
        <w:rFonts w:ascii="宋体" w:hAnsi="宋体" w:eastAsia="宋体"/>
      </w:rPr>
      <w:t>第</w:t>
    </w:r>
    <w:r>
      <w:rPr>
        <w:rFonts w:ascii="宋体" w:hAnsi="宋体" w:eastAsia="宋体"/>
      </w:rPr>
      <w:fldChar w:fldCharType="begin"/>
    </w:r>
    <w:r>
      <w:rPr>
        <w:rFonts w:ascii="宋体" w:hAnsi="宋体" w:eastAsia="宋体"/>
      </w:rPr>
      <w:instrText xml:space="preserve"> PAGE  \* MERGEFORMAT </w:instrText>
    </w:r>
    <w:r>
      <w:rPr>
        <w:rFonts w:ascii="宋体" w:hAnsi="宋体" w:eastAsia="宋体"/>
      </w:rPr>
      <w:fldChar w:fldCharType="separate"/>
    </w:r>
    <w:r>
      <w:rPr>
        <w:rFonts w:ascii="宋体" w:hAnsi="宋体" w:eastAsia="宋体"/>
      </w:rPr>
      <w:t>3</w:t>
    </w:r>
    <w:r>
      <w:rPr>
        <w:rFonts w:ascii="宋体" w:hAnsi="宋体" w:eastAsia="宋体"/>
      </w:rPr>
      <w:fldChar w:fldCharType="end"/>
    </w:r>
    <w:r>
      <w:rPr>
        <w:rFonts w:ascii="宋体" w:hAnsi="宋体" w:eastAsia="宋体"/>
      </w:rPr>
      <w:t>页　共</w:t>
    </w:r>
    <w:r>
      <w:rPr>
        <w:rFonts w:ascii="宋体" w:hAnsi="宋体" w:eastAsia="宋体"/>
      </w:rPr>
      <w:fldChar w:fldCharType="begin"/>
    </w:r>
    <w:r>
      <w:rPr>
        <w:rFonts w:ascii="宋体" w:hAnsi="宋体" w:eastAsia="宋体"/>
      </w:rPr>
      <w:instrText xml:space="preserve"> =</w:instrText>
    </w:r>
    <w:r>
      <w:rPr>
        <w:rFonts w:ascii="宋体" w:hAnsi="宋体" w:eastAsia="宋体"/>
      </w:rPr>
      <w:fldChar w:fldCharType="begin"/>
    </w:r>
    <w:r>
      <w:rPr>
        <w:rFonts w:ascii="宋体" w:hAnsi="宋体" w:eastAsia="宋体"/>
      </w:rPr>
      <w:instrText xml:space="preserve"> NUMPAGES  \* MERGEFORMAT </w:instrText>
    </w:r>
    <w:r>
      <w:rPr>
        <w:rFonts w:ascii="宋体" w:hAnsi="宋体" w:eastAsia="宋体"/>
      </w:rPr>
      <w:fldChar w:fldCharType="separate"/>
    </w:r>
    <w:r>
      <w:rPr>
        <w:rFonts w:ascii="宋体" w:hAnsi="宋体" w:eastAsia="宋体"/>
      </w:rPr>
      <w:instrText xml:space="preserve">118</w:instrText>
    </w:r>
    <w:r>
      <w:rPr>
        <w:rFonts w:ascii="宋体" w:hAnsi="宋体" w:eastAsia="宋体"/>
      </w:rPr>
      <w:fldChar w:fldCharType="end"/>
    </w:r>
    <w:r>
      <w:rPr>
        <w:rFonts w:ascii="宋体" w:hAnsi="宋体" w:eastAsia="宋体"/>
      </w:rPr>
      <w:instrText xml:space="preserve">-2 \* MERGEFORMAT </w:instrText>
    </w:r>
    <w:r>
      <w:rPr>
        <w:rFonts w:ascii="宋体" w:hAnsi="宋体" w:eastAsia="宋体"/>
      </w:rPr>
      <w:fldChar w:fldCharType="separate"/>
    </w:r>
    <w:r>
      <w:rPr>
        <w:rFonts w:ascii="宋体" w:hAnsi="宋体" w:eastAsia="宋体"/>
      </w:rPr>
      <w:t>116</w:t>
    </w:r>
    <w:r>
      <w:rPr>
        <w:rFonts w:ascii="宋体" w:hAnsi="宋体" w:eastAsia="宋体"/>
      </w:rPr>
      <w:fldChar w:fldCharType="end"/>
    </w:r>
    <w:r>
      <w:rPr>
        <w:rFonts w:ascii="宋体" w:hAnsi="宋体" w:eastAsia="宋体"/>
      </w:rPr>
      <w:t>页</w:t>
    </w:r>
    <w:r>
      <w:rPr>
        <w:rFonts w:ascii="宋体" w:hAnsi="宋体" w:eastAsia="宋体"/>
      </w:rPr>
      <w:tab/>
    </w:r>
    <w:r>
      <w:rPr>
        <w:rFonts w:ascii="宋体" w:hAnsi="宋体" w:eastAsia="宋体"/>
      </w:rPr>
      <w:t>西安市市级单位政府采购中心</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535"/>
        <w:tab w:val="right" w:pos="9070"/>
        <w:tab w:val="clear" w:pos="4153"/>
        <w:tab w:val="clear" w:pos="8306"/>
      </w:tabs>
      <w:rPr>
        <w:rFonts w:ascii="宋体" w:hAnsi="宋体" w:eastAsia="宋体"/>
      </w:rPr>
    </w:pPr>
    <w:r>
      <w:rPr>
        <w:rFonts w:hint="eastAsia" w:ascii="宋体" w:hAnsi="宋体" w:eastAsia="宋体"/>
      </w:rPr>
      <w:t>西安市市级单位政府采购中心</w:t>
    </w:r>
    <w:r>
      <w:rPr>
        <w:rFonts w:ascii="宋体" w:hAnsi="宋体" w:eastAsia="宋体"/>
      </w:rPr>
      <w:tab/>
    </w:r>
    <w:r>
      <w:rPr>
        <w:rFonts w:ascii="宋体" w:hAnsi="宋体" w:eastAsia="宋体"/>
      </w:rPr>
      <w:t>第</w:t>
    </w:r>
    <w:r>
      <w:rPr>
        <w:rFonts w:ascii="宋体" w:hAnsi="宋体" w:eastAsia="宋体"/>
      </w:rPr>
      <w:fldChar w:fldCharType="begin"/>
    </w:r>
    <w:r>
      <w:rPr>
        <w:rFonts w:ascii="宋体" w:hAnsi="宋体" w:eastAsia="宋体"/>
      </w:rPr>
      <w:instrText xml:space="preserve"> PAGE  \* MERGEFORMAT </w:instrText>
    </w:r>
    <w:r>
      <w:rPr>
        <w:rFonts w:ascii="宋体" w:hAnsi="宋体" w:eastAsia="宋体"/>
      </w:rPr>
      <w:fldChar w:fldCharType="separate"/>
    </w:r>
    <w:r>
      <w:rPr>
        <w:rFonts w:ascii="宋体" w:hAnsi="宋体" w:eastAsia="宋体"/>
      </w:rPr>
      <w:t>2</w:t>
    </w:r>
    <w:r>
      <w:rPr>
        <w:rFonts w:ascii="宋体" w:hAnsi="宋体" w:eastAsia="宋体"/>
      </w:rPr>
      <w:fldChar w:fldCharType="end"/>
    </w:r>
    <w:r>
      <w:rPr>
        <w:rFonts w:ascii="宋体" w:hAnsi="宋体" w:eastAsia="宋体"/>
      </w:rPr>
      <w:t>页　共</w:t>
    </w:r>
    <w:r>
      <w:rPr>
        <w:rFonts w:ascii="宋体" w:hAnsi="宋体" w:eastAsia="宋体"/>
      </w:rPr>
      <w:fldChar w:fldCharType="begin"/>
    </w:r>
    <w:r>
      <w:rPr>
        <w:rFonts w:ascii="宋体" w:hAnsi="宋体" w:eastAsia="宋体"/>
      </w:rPr>
      <w:instrText xml:space="preserve"> =</w:instrText>
    </w:r>
    <w:r>
      <w:rPr>
        <w:rFonts w:ascii="宋体" w:hAnsi="宋体" w:eastAsia="宋体"/>
      </w:rPr>
      <w:fldChar w:fldCharType="begin"/>
    </w:r>
    <w:r>
      <w:rPr>
        <w:rFonts w:ascii="宋体" w:hAnsi="宋体" w:eastAsia="宋体"/>
      </w:rPr>
      <w:instrText xml:space="preserve"> NUMPAGES  \* MERGEFORMAT </w:instrText>
    </w:r>
    <w:r>
      <w:rPr>
        <w:rFonts w:ascii="宋体" w:hAnsi="宋体" w:eastAsia="宋体"/>
      </w:rPr>
      <w:fldChar w:fldCharType="separate"/>
    </w:r>
    <w:r>
      <w:rPr>
        <w:rFonts w:ascii="宋体" w:hAnsi="宋体" w:eastAsia="宋体"/>
      </w:rPr>
      <w:instrText xml:space="preserve">118</w:instrText>
    </w:r>
    <w:r>
      <w:rPr>
        <w:rFonts w:ascii="宋体" w:hAnsi="宋体" w:eastAsia="宋体"/>
      </w:rPr>
      <w:fldChar w:fldCharType="end"/>
    </w:r>
    <w:r>
      <w:rPr>
        <w:rFonts w:ascii="宋体" w:hAnsi="宋体" w:eastAsia="宋体"/>
      </w:rPr>
      <w:instrText xml:space="preserve">-2 \* MERGEFORMAT </w:instrText>
    </w:r>
    <w:r>
      <w:rPr>
        <w:rFonts w:ascii="宋体" w:hAnsi="宋体" w:eastAsia="宋体"/>
      </w:rPr>
      <w:fldChar w:fldCharType="separate"/>
    </w:r>
    <w:r>
      <w:rPr>
        <w:rFonts w:ascii="宋体" w:hAnsi="宋体" w:eastAsia="宋体"/>
      </w:rPr>
      <w:t>116</w:t>
    </w:r>
    <w:r>
      <w:rPr>
        <w:rFonts w:ascii="宋体" w:hAnsi="宋体" w:eastAsia="宋体"/>
      </w:rPr>
      <w:fldChar w:fldCharType="end"/>
    </w:r>
    <w:r>
      <w:rPr>
        <w:rFonts w:ascii="宋体" w:hAnsi="宋体" w:eastAsia="宋体"/>
      </w:rPr>
      <w:t>页</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535"/>
        <w:tab w:val="right" w:pos="9070"/>
        <w:tab w:val="clear" w:pos="4153"/>
        <w:tab w:val="clear" w:pos="8306"/>
      </w:tabs>
      <w:rPr>
        <w:rFonts w:ascii="宋体" w:hAnsi="宋体" w:eastAsia="宋体"/>
      </w:rPr>
    </w:pPr>
    <w:r>
      <w:rPr>
        <w:rFonts w:ascii="宋体" w:hAnsi="宋体" w:eastAsia="宋体"/>
      </w:rPr>
      <w:tab/>
    </w:r>
    <w:r>
      <w:rPr>
        <w:rFonts w:ascii="宋体" w:hAnsi="宋体" w:eastAsia="宋体"/>
      </w:rPr>
      <w:t>第</w:t>
    </w:r>
    <w:r>
      <w:rPr>
        <w:rFonts w:ascii="宋体" w:hAnsi="宋体" w:eastAsia="宋体"/>
      </w:rPr>
      <w:fldChar w:fldCharType="begin"/>
    </w:r>
    <w:r>
      <w:rPr>
        <w:rFonts w:ascii="宋体" w:hAnsi="宋体" w:eastAsia="宋体"/>
      </w:rPr>
      <w:instrText xml:space="preserve"> PAGE  \* MERGEFORMAT </w:instrText>
    </w:r>
    <w:r>
      <w:rPr>
        <w:rFonts w:ascii="宋体" w:hAnsi="宋体" w:eastAsia="宋体"/>
      </w:rPr>
      <w:fldChar w:fldCharType="separate"/>
    </w:r>
    <w:r>
      <w:rPr>
        <w:rFonts w:ascii="宋体" w:hAnsi="宋体" w:eastAsia="宋体"/>
      </w:rPr>
      <w:t>19</w:t>
    </w:r>
    <w:r>
      <w:rPr>
        <w:rFonts w:ascii="宋体" w:hAnsi="宋体" w:eastAsia="宋体"/>
      </w:rPr>
      <w:fldChar w:fldCharType="end"/>
    </w:r>
    <w:r>
      <w:rPr>
        <w:rFonts w:ascii="宋体" w:hAnsi="宋体" w:eastAsia="宋体"/>
      </w:rPr>
      <w:t>页　共</w:t>
    </w:r>
    <w:r>
      <w:rPr>
        <w:rFonts w:ascii="宋体" w:hAnsi="宋体" w:eastAsia="宋体"/>
      </w:rPr>
      <w:fldChar w:fldCharType="begin"/>
    </w:r>
    <w:r>
      <w:rPr>
        <w:rFonts w:ascii="宋体" w:hAnsi="宋体" w:eastAsia="宋体"/>
      </w:rPr>
      <w:instrText xml:space="preserve"> =</w:instrText>
    </w:r>
    <w:r>
      <w:rPr>
        <w:rFonts w:ascii="宋体" w:hAnsi="宋体" w:eastAsia="宋体"/>
      </w:rPr>
      <w:fldChar w:fldCharType="begin"/>
    </w:r>
    <w:r>
      <w:rPr>
        <w:rFonts w:ascii="宋体" w:hAnsi="宋体" w:eastAsia="宋体"/>
      </w:rPr>
      <w:instrText xml:space="preserve"> NUMPAGES  \* MERGEFORMAT </w:instrText>
    </w:r>
    <w:r>
      <w:rPr>
        <w:rFonts w:ascii="宋体" w:hAnsi="宋体" w:eastAsia="宋体"/>
      </w:rPr>
      <w:fldChar w:fldCharType="separate"/>
    </w:r>
    <w:r>
      <w:rPr>
        <w:rFonts w:ascii="宋体" w:hAnsi="宋体" w:eastAsia="宋体"/>
      </w:rPr>
      <w:instrText xml:space="preserve">118</w:instrText>
    </w:r>
    <w:r>
      <w:rPr>
        <w:rFonts w:ascii="宋体" w:hAnsi="宋体" w:eastAsia="宋体"/>
      </w:rPr>
      <w:fldChar w:fldCharType="end"/>
    </w:r>
    <w:r>
      <w:rPr>
        <w:rFonts w:ascii="宋体" w:hAnsi="宋体" w:eastAsia="宋体"/>
      </w:rPr>
      <w:instrText xml:space="preserve">-2 \* MERGEFORMAT </w:instrText>
    </w:r>
    <w:r>
      <w:rPr>
        <w:rFonts w:ascii="宋体" w:hAnsi="宋体" w:eastAsia="宋体"/>
      </w:rPr>
      <w:fldChar w:fldCharType="separate"/>
    </w:r>
    <w:r>
      <w:rPr>
        <w:rFonts w:ascii="宋体" w:hAnsi="宋体" w:eastAsia="宋体"/>
      </w:rPr>
      <w:t>116</w:t>
    </w:r>
    <w:r>
      <w:rPr>
        <w:rFonts w:ascii="宋体" w:hAnsi="宋体" w:eastAsia="宋体"/>
      </w:rPr>
      <w:fldChar w:fldCharType="end"/>
    </w:r>
    <w:r>
      <w:rPr>
        <w:rFonts w:ascii="宋体" w:hAnsi="宋体" w:eastAsia="宋体"/>
      </w:rPr>
      <w:t>页</w:t>
    </w:r>
    <w:r>
      <w:rPr>
        <w:rFonts w:ascii="宋体" w:hAnsi="宋体" w:eastAsia="宋体"/>
      </w:rPr>
      <w:tab/>
    </w:r>
    <w:r>
      <w:rPr>
        <w:rFonts w:ascii="宋体" w:hAnsi="宋体" w:eastAsia="宋体"/>
      </w:rPr>
      <w:t>西安市市级单位政府采购中心</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535"/>
        <w:tab w:val="right" w:pos="9070"/>
        <w:tab w:val="clear" w:pos="4153"/>
        <w:tab w:val="clear" w:pos="8306"/>
      </w:tabs>
      <w:rPr>
        <w:rFonts w:ascii="宋体" w:hAnsi="宋体" w:eastAsia="宋体"/>
      </w:rPr>
    </w:pPr>
    <w:r>
      <w:rPr>
        <w:rFonts w:hint="eastAsia" w:ascii="宋体" w:hAnsi="宋体" w:eastAsia="宋体"/>
      </w:rPr>
      <w:t>西安市市级单位政府采购中心</w:t>
    </w:r>
    <w:r>
      <w:rPr>
        <w:rFonts w:ascii="宋体" w:hAnsi="宋体" w:eastAsia="宋体"/>
      </w:rPr>
      <w:tab/>
    </w:r>
    <w:r>
      <w:rPr>
        <w:rFonts w:ascii="宋体" w:hAnsi="宋体" w:eastAsia="宋体"/>
      </w:rPr>
      <w:t>第</w:t>
    </w:r>
    <w:r>
      <w:rPr>
        <w:rFonts w:ascii="宋体" w:hAnsi="宋体" w:eastAsia="宋体"/>
      </w:rPr>
      <w:fldChar w:fldCharType="begin"/>
    </w:r>
    <w:r>
      <w:rPr>
        <w:rFonts w:ascii="宋体" w:hAnsi="宋体" w:eastAsia="宋体"/>
      </w:rPr>
      <w:instrText xml:space="preserve"> PAGE  \* MERGEFORMAT </w:instrText>
    </w:r>
    <w:r>
      <w:rPr>
        <w:rFonts w:ascii="宋体" w:hAnsi="宋体" w:eastAsia="宋体"/>
      </w:rPr>
      <w:fldChar w:fldCharType="separate"/>
    </w:r>
    <w:r>
      <w:rPr>
        <w:rFonts w:ascii="宋体" w:hAnsi="宋体" w:eastAsia="宋体"/>
      </w:rPr>
      <w:t>18</w:t>
    </w:r>
    <w:r>
      <w:rPr>
        <w:rFonts w:ascii="宋体" w:hAnsi="宋体" w:eastAsia="宋体"/>
      </w:rPr>
      <w:fldChar w:fldCharType="end"/>
    </w:r>
    <w:r>
      <w:rPr>
        <w:rFonts w:ascii="宋体" w:hAnsi="宋体" w:eastAsia="宋体"/>
      </w:rPr>
      <w:t>页　共</w:t>
    </w:r>
    <w:r>
      <w:rPr>
        <w:rFonts w:ascii="宋体" w:hAnsi="宋体" w:eastAsia="宋体"/>
      </w:rPr>
      <w:fldChar w:fldCharType="begin"/>
    </w:r>
    <w:r>
      <w:rPr>
        <w:rFonts w:ascii="宋体" w:hAnsi="宋体" w:eastAsia="宋体"/>
      </w:rPr>
      <w:instrText xml:space="preserve"> =</w:instrText>
    </w:r>
    <w:r>
      <w:rPr>
        <w:rFonts w:ascii="宋体" w:hAnsi="宋体" w:eastAsia="宋体"/>
      </w:rPr>
      <w:fldChar w:fldCharType="begin"/>
    </w:r>
    <w:r>
      <w:rPr>
        <w:rFonts w:ascii="宋体" w:hAnsi="宋体" w:eastAsia="宋体"/>
      </w:rPr>
      <w:instrText xml:space="preserve"> NUMPAGES  \* MERGEFORMAT </w:instrText>
    </w:r>
    <w:r>
      <w:rPr>
        <w:rFonts w:ascii="宋体" w:hAnsi="宋体" w:eastAsia="宋体"/>
      </w:rPr>
      <w:fldChar w:fldCharType="separate"/>
    </w:r>
    <w:r>
      <w:rPr>
        <w:rFonts w:ascii="宋体" w:hAnsi="宋体" w:eastAsia="宋体"/>
      </w:rPr>
      <w:instrText xml:space="preserve">118</w:instrText>
    </w:r>
    <w:r>
      <w:rPr>
        <w:rFonts w:ascii="宋体" w:hAnsi="宋体" w:eastAsia="宋体"/>
      </w:rPr>
      <w:fldChar w:fldCharType="end"/>
    </w:r>
    <w:r>
      <w:rPr>
        <w:rFonts w:ascii="宋体" w:hAnsi="宋体" w:eastAsia="宋体"/>
      </w:rPr>
      <w:instrText xml:space="preserve">-2 \* MERGEFORMAT </w:instrText>
    </w:r>
    <w:r>
      <w:rPr>
        <w:rFonts w:ascii="宋体" w:hAnsi="宋体" w:eastAsia="宋体"/>
      </w:rPr>
      <w:fldChar w:fldCharType="separate"/>
    </w:r>
    <w:r>
      <w:rPr>
        <w:rFonts w:ascii="宋体" w:hAnsi="宋体" w:eastAsia="宋体"/>
      </w:rPr>
      <w:t>116</w:t>
    </w:r>
    <w:r>
      <w:rPr>
        <w:rFonts w:ascii="宋体" w:hAnsi="宋体" w:eastAsia="宋体"/>
      </w:rPr>
      <w:fldChar w:fldCharType="end"/>
    </w:r>
    <w:r>
      <w:rPr>
        <w:rFonts w:ascii="宋体" w:hAnsi="宋体" w:eastAsia="宋体"/>
      </w:rPr>
      <w:t>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535"/>
        <w:tab w:val="right" w:pos="9070"/>
        <w:tab w:val="clear" w:pos="4153"/>
        <w:tab w:val="clear" w:pos="8306"/>
      </w:tabs>
      <w:rPr>
        <w:rFonts w:ascii="宋体" w:hAnsi="宋体" w:eastAsia="宋体"/>
      </w:rPr>
    </w:pPr>
    <w:r>
      <w:rPr>
        <w:rFonts w:ascii="宋体" w:hAnsi="宋体" w:eastAsia="宋体"/>
      </w:rPr>
      <w:tab/>
    </w:r>
    <w:r>
      <w:rPr>
        <w:rFonts w:ascii="宋体" w:hAnsi="宋体" w:eastAsia="宋体"/>
      </w:rPr>
      <w:t>第</w:t>
    </w:r>
    <w:r>
      <w:rPr>
        <w:rFonts w:ascii="宋体" w:hAnsi="宋体" w:eastAsia="宋体"/>
      </w:rPr>
      <w:fldChar w:fldCharType="begin"/>
    </w:r>
    <w:r>
      <w:rPr>
        <w:rFonts w:ascii="宋体" w:hAnsi="宋体" w:eastAsia="宋体"/>
      </w:rPr>
      <w:instrText xml:space="preserve"> PAGE  \* MERGEFORMAT </w:instrText>
    </w:r>
    <w:r>
      <w:rPr>
        <w:rFonts w:ascii="宋体" w:hAnsi="宋体" w:eastAsia="宋体"/>
      </w:rPr>
      <w:fldChar w:fldCharType="separate"/>
    </w:r>
    <w:r>
      <w:rPr>
        <w:rFonts w:ascii="宋体" w:hAnsi="宋体" w:eastAsia="宋体"/>
      </w:rPr>
      <w:t>93</w:t>
    </w:r>
    <w:r>
      <w:rPr>
        <w:rFonts w:ascii="宋体" w:hAnsi="宋体" w:eastAsia="宋体"/>
      </w:rPr>
      <w:fldChar w:fldCharType="end"/>
    </w:r>
    <w:r>
      <w:rPr>
        <w:rFonts w:ascii="宋体" w:hAnsi="宋体" w:eastAsia="宋体"/>
      </w:rPr>
      <w:t>页　共</w:t>
    </w:r>
    <w:r>
      <w:rPr>
        <w:rFonts w:ascii="宋体" w:hAnsi="宋体" w:eastAsia="宋体"/>
      </w:rPr>
      <w:fldChar w:fldCharType="begin"/>
    </w:r>
    <w:r>
      <w:rPr>
        <w:rFonts w:ascii="宋体" w:hAnsi="宋体" w:eastAsia="宋体"/>
      </w:rPr>
      <w:instrText xml:space="preserve"> =</w:instrText>
    </w:r>
    <w:r>
      <w:rPr>
        <w:rFonts w:ascii="宋体" w:hAnsi="宋体" w:eastAsia="宋体"/>
      </w:rPr>
      <w:fldChar w:fldCharType="begin"/>
    </w:r>
    <w:r>
      <w:rPr>
        <w:rFonts w:ascii="宋体" w:hAnsi="宋体" w:eastAsia="宋体"/>
      </w:rPr>
      <w:instrText xml:space="preserve"> NUMPAGES  \* MERGEFORMAT </w:instrText>
    </w:r>
    <w:r>
      <w:rPr>
        <w:rFonts w:ascii="宋体" w:hAnsi="宋体" w:eastAsia="宋体"/>
      </w:rPr>
      <w:fldChar w:fldCharType="separate"/>
    </w:r>
    <w:r>
      <w:rPr>
        <w:rFonts w:ascii="宋体" w:hAnsi="宋体" w:eastAsia="宋体"/>
      </w:rPr>
      <w:instrText xml:space="preserve">118</w:instrText>
    </w:r>
    <w:r>
      <w:rPr>
        <w:rFonts w:ascii="宋体" w:hAnsi="宋体" w:eastAsia="宋体"/>
      </w:rPr>
      <w:fldChar w:fldCharType="end"/>
    </w:r>
    <w:r>
      <w:rPr>
        <w:rFonts w:ascii="宋体" w:hAnsi="宋体" w:eastAsia="宋体"/>
      </w:rPr>
      <w:instrText xml:space="preserve">-2 \* MERGEFORMAT </w:instrText>
    </w:r>
    <w:r>
      <w:rPr>
        <w:rFonts w:ascii="宋体" w:hAnsi="宋体" w:eastAsia="宋体"/>
      </w:rPr>
      <w:fldChar w:fldCharType="separate"/>
    </w:r>
    <w:r>
      <w:rPr>
        <w:rFonts w:ascii="宋体" w:hAnsi="宋体" w:eastAsia="宋体"/>
      </w:rPr>
      <w:t>116</w:t>
    </w:r>
    <w:r>
      <w:rPr>
        <w:rFonts w:ascii="宋体" w:hAnsi="宋体" w:eastAsia="宋体"/>
      </w:rPr>
      <w:fldChar w:fldCharType="end"/>
    </w:r>
    <w:r>
      <w:rPr>
        <w:rFonts w:ascii="宋体" w:hAnsi="宋体" w:eastAsia="宋体"/>
      </w:rPr>
      <w:t>页</w:t>
    </w:r>
    <w:r>
      <w:rPr>
        <w:rFonts w:ascii="宋体" w:hAnsi="宋体" w:eastAsia="宋体"/>
      </w:rPr>
      <w:tab/>
    </w:r>
    <w:r>
      <w:rPr>
        <w:rFonts w:ascii="宋体" w:hAnsi="宋体" w:eastAsia="宋体"/>
      </w:rPr>
      <w:t>西安市市级单位政府采购中心</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535"/>
        <w:tab w:val="right" w:pos="9070"/>
        <w:tab w:val="clear" w:pos="4153"/>
        <w:tab w:val="clear" w:pos="8306"/>
      </w:tabs>
      <w:rPr>
        <w:rFonts w:ascii="宋体" w:hAnsi="宋体" w:eastAsia="宋体"/>
      </w:rPr>
    </w:pPr>
    <w:r>
      <w:rPr>
        <w:rFonts w:hint="eastAsia" w:ascii="宋体" w:hAnsi="宋体" w:eastAsia="宋体"/>
      </w:rPr>
      <w:t>西安市市级单位政府采购中心</w:t>
    </w:r>
    <w:r>
      <w:rPr>
        <w:rFonts w:ascii="宋体" w:hAnsi="宋体" w:eastAsia="宋体"/>
      </w:rPr>
      <w:tab/>
    </w:r>
    <w:r>
      <w:rPr>
        <w:rFonts w:ascii="宋体" w:hAnsi="宋体" w:eastAsia="宋体"/>
      </w:rPr>
      <w:t>第</w:t>
    </w:r>
    <w:r>
      <w:rPr>
        <w:rFonts w:ascii="宋体" w:hAnsi="宋体" w:eastAsia="宋体"/>
      </w:rPr>
      <w:fldChar w:fldCharType="begin"/>
    </w:r>
    <w:r>
      <w:rPr>
        <w:rFonts w:ascii="宋体" w:hAnsi="宋体" w:eastAsia="宋体"/>
      </w:rPr>
      <w:instrText xml:space="preserve"> PAGE  \* MERGEFORMAT </w:instrText>
    </w:r>
    <w:r>
      <w:rPr>
        <w:rFonts w:ascii="宋体" w:hAnsi="宋体" w:eastAsia="宋体"/>
      </w:rPr>
      <w:fldChar w:fldCharType="separate"/>
    </w:r>
    <w:r>
      <w:rPr>
        <w:rFonts w:ascii="宋体" w:hAnsi="宋体" w:eastAsia="宋体"/>
      </w:rPr>
      <w:t>92</w:t>
    </w:r>
    <w:r>
      <w:rPr>
        <w:rFonts w:ascii="宋体" w:hAnsi="宋体" w:eastAsia="宋体"/>
      </w:rPr>
      <w:fldChar w:fldCharType="end"/>
    </w:r>
    <w:r>
      <w:rPr>
        <w:rFonts w:ascii="宋体" w:hAnsi="宋体" w:eastAsia="宋体"/>
      </w:rPr>
      <w:t>页　共</w:t>
    </w:r>
    <w:r>
      <w:rPr>
        <w:rFonts w:ascii="宋体" w:hAnsi="宋体" w:eastAsia="宋体"/>
      </w:rPr>
      <w:fldChar w:fldCharType="begin"/>
    </w:r>
    <w:r>
      <w:rPr>
        <w:rFonts w:ascii="宋体" w:hAnsi="宋体" w:eastAsia="宋体"/>
      </w:rPr>
      <w:instrText xml:space="preserve"> =</w:instrText>
    </w:r>
    <w:r>
      <w:rPr>
        <w:rFonts w:ascii="宋体" w:hAnsi="宋体" w:eastAsia="宋体"/>
      </w:rPr>
      <w:fldChar w:fldCharType="begin"/>
    </w:r>
    <w:r>
      <w:rPr>
        <w:rFonts w:ascii="宋体" w:hAnsi="宋体" w:eastAsia="宋体"/>
      </w:rPr>
      <w:instrText xml:space="preserve"> NUMPAGES  \* MERGEFORMAT </w:instrText>
    </w:r>
    <w:r>
      <w:rPr>
        <w:rFonts w:ascii="宋体" w:hAnsi="宋体" w:eastAsia="宋体"/>
      </w:rPr>
      <w:fldChar w:fldCharType="separate"/>
    </w:r>
    <w:r>
      <w:rPr>
        <w:rFonts w:ascii="宋体" w:hAnsi="宋体" w:eastAsia="宋体"/>
      </w:rPr>
      <w:instrText xml:space="preserve">118</w:instrText>
    </w:r>
    <w:r>
      <w:rPr>
        <w:rFonts w:ascii="宋体" w:hAnsi="宋体" w:eastAsia="宋体"/>
      </w:rPr>
      <w:fldChar w:fldCharType="end"/>
    </w:r>
    <w:r>
      <w:rPr>
        <w:rFonts w:ascii="宋体" w:hAnsi="宋体" w:eastAsia="宋体"/>
      </w:rPr>
      <w:instrText xml:space="preserve">-2 \* MERGEFORMAT </w:instrText>
    </w:r>
    <w:r>
      <w:rPr>
        <w:rFonts w:ascii="宋体" w:hAnsi="宋体" w:eastAsia="宋体"/>
      </w:rPr>
      <w:fldChar w:fldCharType="separate"/>
    </w:r>
    <w:r>
      <w:rPr>
        <w:rFonts w:ascii="宋体" w:hAnsi="宋体" w:eastAsia="宋体"/>
      </w:rPr>
      <w:t>116</w:t>
    </w:r>
    <w:r>
      <w:rPr>
        <w:rFonts w:ascii="宋体" w:hAnsi="宋体" w:eastAsia="宋体"/>
      </w:rPr>
      <w:fldChar w:fldCharType="end"/>
    </w:r>
    <w:r>
      <w:rPr>
        <w:rFonts w:ascii="宋体" w:hAnsi="宋体" w:eastAsia="宋体"/>
      </w:rPr>
      <w:t>页</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535"/>
        <w:tab w:val="right" w:pos="9070"/>
        <w:tab w:val="clear" w:pos="4153"/>
        <w:tab w:val="clear" w:pos="8306"/>
      </w:tabs>
      <w:rPr>
        <w:rFonts w:ascii="宋体" w:hAnsi="宋体" w:eastAsia="宋体"/>
      </w:rPr>
    </w:pPr>
    <w:r>
      <w:rPr>
        <w:rFonts w:ascii="宋体" w:hAnsi="宋体" w:eastAsia="宋体"/>
      </w:rPr>
      <w:tab/>
    </w:r>
    <w:r>
      <w:rPr>
        <w:rFonts w:ascii="宋体" w:hAnsi="宋体" w:eastAsia="宋体"/>
      </w:rPr>
      <w:t>第</w:t>
    </w:r>
    <w:r>
      <w:rPr>
        <w:rFonts w:ascii="宋体" w:hAnsi="宋体" w:eastAsia="宋体"/>
      </w:rPr>
      <w:fldChar w:fldCharType="begin"/>
    </w:r>
    <w:r>
      <w:rPr>
        <w:rFonts w:ascii="宋体" w:hAnsi="宋体" w:eastAsia="宋体"/>
      </w:rPr>
      <w:instrText xml:space="preserve"> PAGE  \* MERGEFORMAT </w:instrText>
    </w:r>
    <w:r>
      <w:rPr>
        <w:rFonts w:ascii="宋体" w:hAnsi="宋体" w:eastAsia="宋体"/>
      </w:rPr>
      <w:fldChar w:fldCharType="separate"/>
    </w:r>
    <w:r>
      <w:rPr>
        <w:rFonts w:ascii="宋体" w:hAnsi="宋体" w:eastAsia="宋体"/>
      </w:rPr>
      <w:t>93</w:t>
    </w:r>
    <w:r>
      <w:rPr>
        <w:rFonts w:ascii="宋体" w:hAnsi="宋体" w:eastAsia="宋体"/>
      </w:rPr>
      <w:fldChar w:fldCharType="end"/>
    </w:r>
    <w:r>
      <w:rPr>
        <w:rFonts w:ascii="宋体" w:hAnsi="宋体" w:eastAsia="宋体"/>
      </w:rPr>
      <w:t>页　共</w:t>
    </w:r>
    <w:r>
      <w:rPr>
        <w:rFonts w:ascii="宋体" w:hAnsi="宋体" w:eastAsia="宋体"/>
      </w:rPr>
      <w:fldChar w:fldCharType="begin"/>
    </w:r>
    <w:r>
      <w:rPr>
        <w:rFonts w:ascii="宋体" w:hAnsi="宋体" w:eastAsia="宋体"/>
      </w:rPr>
      <w:instrText xml:space="preserve"> =</w:instrText>
    </w:r>
    <w:r>
      <w:rPr>
        <w:rFonts w:ascii="宋体" w:hAnsi="宋体" w:eastAsia="宋体"/>
      </w:rPr>
      <w:fldChar w:fldCharType="begin"/>
    </w:r>
    <w:r>
      <w:rPr>
        <w:rFonts w:ascii="宋体" w:hAnsi="宋体" w:eastAsia="宋体"/>
      </w:rPr>
      <w:instrText xml:space="preserve"> NUMPAGES  \* MERGEFORMAT </w:instrText>
    </w:r>
    <w:r>
      <w:rPr>
        <w:rFonts w:ascii="宋体" w:hAnsi="宋体" w:eastAsia="宋体"/>
      </w:rPr>
      <w:fldChar w:fldCharType="separate"/>
    </w:r>
    <w:r>
      <w:rPr>
        <w:rFonts w:ascii="宋体" w:hAnsi="宋体" w:eastAsia="宋体"/>
      </w:rPr>
      <w:instrText xml:space="preserve">118</w:instrText>
    </w:r>
    <w:r>
      <w:rPr>
        <w:rFonts w:ascii="宋体" w:hAnsi="宋体" w:eastAsia="宋体"/>
      </w:rPr>
      <w:fldChar w:fldCharType="end"/>
    </w:r>
    <w:r>
      <w:rPr>
        <w:rFonts w:ascii="宋体" w:hAnsi="宋体" w:eastAsia="宋体"/>
      </w:rPr>
      <w:instrText xml:space="preserve">-2 \* MERGEFORMAT </w:instrText>
    </w:r>
    <w:r>
      <w:rPr>
        <w:rFonts w:ascii="宋体" w:hAnsi="宋体" w:eastAsia="宋体"/>
      </w:rPr>
      <w:fldChar w:fldCharType="separate"/>
    </w:r>
    <w:r>
      <w:rPr>
        <w:rFonts w:ascii="宋体" w:hAnsi="宋体" w:eastAsia="宋体"/>
      </w:rPr>
      <w:t>116</w:t>
    </w:r>
    <w:r>
      <w:rPr>
        <w:rFonts w:ascii="宋体" w:hAnsi="宋体" w:eastAsia="宋体"/>
      </w:rPr>
      <w:fldChar w:fldCharType="end"/>
    </w:r>
    <w:r>
      <w:rPr>
        <w:rFonts w:ascii="宋体" w:hAnsi="宋体" w:eastAsia="宋体"/>
      </w:rPr>
      <w:t>页</w:t>
    </w:r>
    <w:r>
      <w:rPr>
        <w:rFonts w:ascii="宋体" w:hAnsi="宋体" w:eastAsia="宋体"/>
      </w:rPr>
      <w:tab/>
    </w:r>
    <w:r>
      <w:rPr>
        <w:rFonts w:ascii="宋体" w:hAnsi="宋体" w:eastAsia="宋体"/>
      </w:rPr>
      <w:t>西安市市级单位政府采购中心</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535"/>
        <w:tab w:val="right" w:pos="9070"/>
        <w:tab w:val="clear" w:pos="4153"/>
        <w:tab w:val="clear" w:pos="8306"/>
      </w:tabs>
      <w:rPr>
        <w:rFonts w:ascii="宋体" w:hAnsi="宋体" w:eastAsia="宋体"/>
      </w:rPr>
    </w:pPr>
    <w:r>
      <w:rPr>
        <w:rFonts w:hint="eastAsia" w:ascii="宋体" w:hAnsi="宋体" w:eastAsia="宋体"/>
      </w:rPr>
      <w:t>西安市市级单位政府采购中心</w:t>
    </w:r>
    <w:r>
      <w:rPr>
        <w:rFonts w:ascii="宋体" w:hAnsi="宋体" w:eastAsia="宋体"/>
      </w:rPr>
      <w:tab/>
    </w:r>
    <w:r>
      <w:rPr>
        <w:rFonts w:ascii="宋体" w:hAnsi="宋体" w:eastAsia="宋体"/>
      </w:rPr>
      <w:t>第</w:t>
    </w:r>
    <w:r>
      <w:rPr>
        <w:rFonts w:ascii="宋体" w:hAnsi="宋体" w:eastAsia="宋体"/>
      </w:rPr>
      <w:fldChar w:fldCharType="begin"/>
    </w:r>
    <w:r>
      <w:rPr>
        <w:rFonts w:ascii="宋体" w:hAnsi="宋体" w:eastAsia="宋体"/>
      </w:rPr>
      <w:instrText xml:space="preserve"> PAGE  \* MERGEFORMAT </w:instrText>
    </w:r>
    <w:r>
      <w:rPr>
        <w:rFonts w:ascii="宋体" w:hAnsi="宋体" w:eastAsia="宋体"/>
      </w:rPr>
      <w:fldChar w:fldCharType="separate"/>
    </w:r>
    <w:r>
      <w:rPr>
        <w:rFonts w:ascii="宋体" w:hAnsi="宋体" w:eastAsia="宋体"/>
      </w:rPr>
      <w:t>94</w:t>
    </w:r>
    <w:r>
      <w:rPr>
        <w:rFonts w:ascii="宋体" w:hAnsi="宋体" w:eastAsia="宋体"/>
      </w:rPr>
      <w:fldChar w:fldCharType="end"/>
    </w:r>
    <w:r>
      <w:rPr>
        <w:rFonts w:ascii="宋体" w:hAnsi="宋体" w:eastAsia="宋体"/>
      </w:rPr>
      <w:t>页　共</w:t>
    </w:r>
    <w:r>
      <w:rPr>
        <w:rFonts w:ascii="宋体" w:hAnsi="宋体" w:eastAsia="宋体"/>
      </w:rPr>
      <w:fldChar w:fldCharType="begin"/>
    </w:r>
    <w:r>
      <w:rPr>
        <w:rFonts w:ascii="宋体" w:hAnsi="宋体" w:eastAsia="宋体"/>
      </w:rPr>
      <w:instrText xml:space="preserve"> =</w:instrText>
    </w:r>
    <w:r>
      <w:rPr>
        <w:rFonts w:ascii="宋体" w:hAnsi="宋体" w:eastAsia="宋体"/>
      </w:rPr>
      <w:fldChar w:fldCharType="begin"/>
    </w:r>
    <w:r>
      <w:rPr>
        <w:rFonts w:ascii="宋体" w:hAnsi="宋体" w:eastAsia="宋体"/>
      </w:rPr>
      <w:instrText xml:space="preserve"> NUMPAGES  \* MERGEFORMAT </w:instrText>
    </w:r>
    <w:r>
      <w:rPr>
        <w:rFonts w:ascii="宋体" w:hAnsi="宋体" w:eastAsia="宋体"/>
      </w:rPr>
      <w:fldChar w:fldCharType="separate"/>
    </w:r>
    <w:r>
      <w:rPr>
        <w:rFonts w:ascii="宋体" w:hAnsi="宋体" w:eastAsia="宋体"/>
      </w:rPr>
      <w:instrText xml:space="preserve">118</w:instrText>
    </w:r>
    <w:r>
      <w:rPr>
        <w:rFonts w:ascii="宋体" w:hAnsi="宋体" w:eastAsia="宋体"/>
      </w:rPr>
      <w:fldChar w:fldCharType="end"/>
    </w:r>
    <w:r>
      <w:rPr>
        <w:rFonts w:ascii="宋体" w:hAnsi="宋体" w:eastAsia="宋体"/>
      </w:rPr>
      <w:instrText xml:space="preserve">-2 \* MERGEFORMAT </w:instrText>
    </w:r>
    <w:r>
      <w:rPr>
        <w:rFonts w:ascii="宋体" w:hAnsi="宋体" w:eastAsia="宋体"/>
      </w:rPr>
      <w:fldChar w:fldCharType="separate"/>
    </w:r>
    <w:r>
      <w:rPr>
        <w:rFonts w:ascii="宋体" w:hAnsi="宋体" w:eastAsia="宋体"/>
      </w:rPr>
      <w:t>116</w:t>
    </w:r>
    <w:r>
      <w:rPr>
        <w:rFonts w:ascii="宋体" w:hAnsi="宋体" w:eastAsia="宋体"/>
      </w:rPr>
      <w:fldChar w:fldCharType="end"/>
    </w:r>
    <w:r>
      <w:rPr>
        <w:rFonts w:ascii="宋体" w:hAnsi="宋体" w:eastAsia="宋体"/>
      </w:rPr>
      <w:t>页</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535"/>
        <w:tab w:val="right" w:pos="9070"/>
        <w:tab w:val="clear" w:pos="4153"/>
        <w:tab w:val="clear" w:pos="8306"/>
      </w:tabs>
      <w:rPr>
        <w:rFonts w:ascii="宋体" w:hAnsi="宋体" w:eastAsia="宋体"/>
      </w:rPr>
    </w:pPr>
    <w:r>
      <w:rPr>
        <w:rFonts w:ascii="宋体" w:hAnsi="宋体" w:eastAsia="宋体"/>
      </w:rPr>
      <w:tab/>
    </w:r>
    <w:r>
      <w:rPr>
        <w:rFonts w:ascii="宋体" w:hAnsi="宋体" w:eastAsia="宋体"/>
      </w:rPr>
      <w:t>第</w:t>
    </w:r>
    <w:r>
      <w:rPr>
        <w:rFonts w:ascii="宋体" w:hAnsi="宋体" w:eastAsia="宋体"/>
      </w:rPr>
      <w:fldChar w:fldCharType="begin"/>
    </w:r>
    <w:r>
      <w:rPr>
        <w:rFonts w:ascii="宋体" w:hAnsi="宋体" w:eastAsia="宋体"/>
      </w:rPr>
      <w:instrText xml:space="preserve"> PAGE  \* MERGEFORMAT </w:instrText>
    </w:r>
    <w:r>
      <w:rPr>
        <w:rFonts w:ascii="宋体" w:hAnsi="宋体" w:eastAsia="宋体"/>
      </w:rPr>
      <w:fldChar w:fldCharType="separate"/>
    </w:r>
    <w:r>
      <w:rPr>
        <w:rFonts w:ascii="宋体" w:hAnsi="宋体" w:eastAsia="宋体"/>
      </w:rPr>
      <w:t>95</w:t>
    </w:r>
    <w:r>
      <w:rPr>
        <w:rFonts w:ascii="宋体" w:hAnsi="宋体" w:eastAsia="宋体"/>
      </w:rPr>
      <w:fldChar w:fldCharType="end"/>
    </w:r>
    <w:r>
      <w:rPr>
        <w:rFonts w:ascii="宋体" w:hAnsi="宋体" w:eastAsia="宋体"/>
      </w:rPr>
      <w:t>页　共</w:t>
    </w:r>
    <w:r>
      <w:rPr>
        <w:rFonts w:ascii="宋体" w:hAnsi="宋体" w:eastAsia="宋体"/>
      </w:rPr>
      <w:fldChar w:fldCharType="begin"/>
    </w:r>
    <w:r>
      <w:rPr>
        <w:rFonts w:ascii="宋体" w:hAnsi="宋体" w:eastAsia="宋体"/>
      </w:rPr>
      <w:instrText xml:space="preserve"> =</w:instrText>
    </w:r>
    <w:r>
      <w:rPr>
        <w:rFonts w:ascii="宋体" w:hAnsi="宋体" w:eastAsia="宋体"/>
      </w:rPr>
      <w:fldChar w:fldCharType="begin"/>
    </w:r>
    <w:r>
      <w:rPr>
        <w:rFonts w:ascii="宋体" w:hAnsi="宋体" w:eastAsia="宋体"/>
      </w:rPr>
      <w:instrText xml:space="preserve"> NUMPAGES  \* MERGEFORMAT </w:instrText>
    </w:r>
    <w:r>
      <w:rPr>
        <w:rFonts w:ascii="宋体" w:hAnsi="宋体" w:eastAsia="宋体"/>
      </w:rPr>
      <w:fldChar w:fldCharType="separate"/>
    </w:r>
    <w:r>
      <w:rPr>
        <w:rFonts w:ascii="宋体" w:hAnsi="宋体" w:eastAsia="宋体"/>
      </w:rPr>
      <w:instrText xml:space="preserve">118</w:instrText>
    </w:r>
    <w:r>
      <w:rPr>
        <w:rFonts w:ascii="宋体" w:hAnsi="宋体" w:eastAsia="宋体"/>
      </w:rPr>
      <w:fldChar w:fldCharType="end"/>
    </w:r>
    <w:r>
      <w:rPr>
        <w:rFonts w:ascii="宋体" w:hAnsi="宋体" w:eastAsia="宋体"/>
      </w:rPr>
      <w:instrText xml:space="preserve">-2 \* MERGEFORMAT </w:instrText>
    </w:r>
    <w:r>
      <w:rPr>
        <w:rFonts w:ascii="宋体" w:hAnsi="宋体" w:eastAsia="宋体"/>
      </w:rPr>
      <w:fldChar w:fldCharType="separate"/>
    </w:r>
    <w:r>
      <w:rPr>
        <w:rFonts w:ascii="宋体" w:hAnsi="宋体" w:eastAsia="宋体"/>
      </w:rPr>
      <w:t>116</w:t>
    </w:r>
    <w:r>
      <w:rPr>
        <w:rFonts w:ascii="宋体" w:hAnsi="宋体" w:eastAsia="宋体"/>
      </w:rPr>
      <w:fldChar w:fldCharType="end"/>
    </w:r>
    <w:r>
      <w:rPr>
        <w:rFonts w:ascii="宋体" w:hAnsi="宋体" w:eastAsia="宋体"/>
      </w:rPr>
      <w:t>页</w:t>
    </w:r>
    <w:r>
      <w:rPr>
        <w:rFonts w:ascii="宋体" w:hAnsi="宋体" w:eastAsia="宋体"/>
      </w:rPr>
      <w:tab/>
    </w:r>
    <w:r>
      <w:rPr>
        <w:rFonts w:ascii="宋体" w:hAnsi="宋体" w:eastAsia="宋体"/>
      </w:rPr>
      <w:t>西安市市级单位政府采购中心</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535"/>
        <w:tab w:val="right" w:pos="9070"/>
        <w:tab w:val="clear" w:pos="4153"/>
        <w:tab w:val="clear" w:pos="8306"/>
      </w:tabs>
      <w:rPr>
        <w:rFonts w:ascii="宋体" w:hAnsi="宋体" w:eastAsia="宋体"/>
      </w:rPr>
    </w:pPr>
    <w:r>
      <w:rPr>
        <w:rFonts w:hint="eastAsia" w:ascii="宋体" w:hAnsi="宋体" w:eastAsia="宋体"/>
      </w:rPr>
      <w:t>西安市市级单位政府采购中心</w:t>
    </w:r>
    <w:r>
      <w:rPr>
        <w:rFonts w:ascii="宋体" w:hAnsi="宋体" w:eastAsia="宋体"/>
      </w:rPr>
      <w:tab/>
    </w:r>
    <w:r>
      <w:rPr>
        <w:rFonts w:ascii="宋体" w:hAnsi="宋体" w:eastAsia="宋体"/>
      </w:rPr>
      <w:t>第</w:t>
    </w:r>
    <w:r>
      <w:rPr>
        <w:rFonts w:ascii="宋体" w:hAnsi="宋体" w:eastAsia="宋体"/>
      </w:rPr>
      <w:fldChar w:fldCharType="begin"/>
    </w:r>
    <w:r>
      <w:rPr>
        <w:rFonts w:ascii="宋体" w:hAnsi="宋体" w:eastAsia="宋体"/>
      </w:rPr>
      <w:instrText xml:space="preserve"> PAGE  \* MERGEFORMAT </w:instrText>
    </w:r>
    <w:r>
      <w:rPr>
        <w:rFonts w:ascii="宋体" w:hAnsi="宋体" w:eastAsia="宋体"/>
      </w:rPr>
      <w:fldChar w:fldCharType="separate"/>
    </w:r>
    <w:r>
      <w:rPr>
        <w:rFonts w:ascii="宋体" w:hAnsi="宋体" w:eastAsia="宋体"/>
      </w:rPr>
      <w:t>94</w:t>
    </w:r>
    <w:r>
      <w:rPr>
        <w:rFonts w:ascii="宋体" w:hAnsi="宋体" w:eastAsia="宋体"/>
      </w:rPr>
      <w:fldChar w:fldCharType="end"/>
    </w:r>
    <w:r>
      <w:rPr>
        <w:rFonts w:ascii="宋体" w:hAnsi="宋体" w:eastAsia="宋体"/>
      </w:rPr>
      <w:t>页　共</w:t>
    </w:r>
    <w:r>
      <w:rPr>
        <w:rFonts w:ascii="宋体" w:hAnsi="宋体" w:eastAsia="宋体"/>
      </w:rPr>
      <w:fldChar w:fldCharType="begin"/>
    </w:r>
    <w:r>
      <w:rPr>
        <w:rFonts w:ascii="宋体" w:hAnsi="宋体" w:eastAsia="宋体"/>
      </w:rPr>
      <w:instrText xml:space="preserve"> =</w:instrText>
    </w:r>
    <w:r>
      <w:rPr>
        <w:rFonts w:ascii="宋体" w:hAnsi="宋体" w:eastAsia="宋体"/>
      </w:rPr>
      <w:fldChar w:fldCharType="begin"/>
    </w:r>
    <w:r>
      <w:rPr>
        <w:rFonts w:ascii="宋体" w:hAnsi="宋体" w:eastAsia="宋体"/>
      </w:rPr>
      <w:instrText xml:space="preserve"> NUMPAGES  \* MERGEFORMAT </w:instrText>
    </w:r>
    <w:r>
      <w:rPr>
        <w:rFonts w:ascii="宋体" w:hAnsi="宋体" w:eastAsia="宋体"/>
      </w:rPr>
      <w:fldChar w:fldCharType="separate"/>
    </w:r>
    <w:r>
      <w:rPr>
        <w:rFonts w:ascii="宋体" w:hAnsi="宋体" w:eastAsia="宋体"/>
      </w:rPr>
      <w:instrText xml:space="preserve">118</w:instrText>
    </w:r>
    <w:r>
      <w:rPr>
        <w:rFonts w:ascii="宋体" w:hAnsi="宋体" w:eastAsia="宋体"/>
      </w:rPr>
      <w:fldChar w:fldCharType="end"/>
    </w:r>
    <w:r>
      <w:rPr>
        <w:rFonts w:ascii="宋体" w:hAnsi="宋体" w:eastAsia="宋体"/>
      </w:rPr>
      <w:instrText xml:space="preserve">-2 \* MERGEFORMAT </w:instrText>
    </w:r>
    <w:r>
      <w:rPr>
        <w:rFonts w:ascii="宋体" w:hAnsi="宋体" w:eastAsia="宋体"/>
      </w:rPr>
      <w:fldChar w:fldCharType="separate"/>
    </w:r>
    <w:r>
      <w:rPr>
        <w:rFonts w:ascii="宋体" w:hAnsi="宋体" w:eastAsia="宋体"/>
      </w:rPr>
      <w:t>116</w:t>
    </w:r>
    <w:r>
      <w:rPr>
        <w:rFonts w:ascii="宋体" w:hAnsi="宋体" w:eastAsia="宋体"/>
      </w:rPr>
      <w:fldChar w:fldCharType="end"/>
    </w:r>
    <w:r>
      <w:rPr>
        <w:rFonts w:ascii="宋体" w:hAnsi="宋体" w:eastAsia="宋体"/>
      </w:rPr>
      <w:t>页</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535"/>
        <w:tab w:val="right" w:pos="9070"/>
        <w:tab w:val="clear" w:pos="4153"/>
        <w:tab w:val="clear" w:pos="8306"/>
      </w:tabs>
      <w:rPr>
        <w:rFonts w:ascii="宋体" w:hAnsi="宋体" w:eastAsia="宋体"/>
      </w:rPr>
    </w:pPr>
    <w:r>
      <w:rPr>
        <w:rFonts w:ascii="宋体" w:hAnsi="宋体" w:eastAsia="宋体"/>
      </w:rPr>
      <w:tab/>
    </w:r>
    <w:r>
      <w:rPr>
        <w:rFonts w:ascii="宋体" w:hAnsi="宋体" w:eastAsia="宋体"/>
      </w:rPr>
      <w:t>第</w:t>
    </w:r>
    <w:r>
      <w:rPr>
        <w:rFonts w:ascii="宋体" w:hAnsi="宋体" w:eastAsia="宋体"/>
      </w:rPr>
      <w:fldChar w:fldCharType="begin"/>
    </w:r>
    <w:r>
      <w:rPr>
        <w:rFonts w:ascii="宋体" w:hAnsi="宋体" w:eastAsia="宋体"/>
      </w:rPr>
      <w:instrText xml:space="preserve"> PAGE  \* MERGEFORMAT </w:instrText>
    </w:r>
    <w:r>
      <w:rPr>
        <w:rFonts w:ascii="宋体" w:hAnsi="宋体" w:eastAsia="宋体"/>
      </w:rPr>
      <w:fldChar w:fldCharType="separate"/>
    </w:r>
    <w:r>
      <w:rPr>
        <w:rFonts w:ascii="宋体" w:hAnsi="宋体" w:eastAsia="宋体"/>
      </w:rPr>
      <w:t>95</w:t>
    </w:r>
    <w:r>
      <w:rPr>
        <w:rFonts w:ascii="宋体" w:hAnsi="宋体" w:eastAsia="宋体"/>
      </w:rPr>
      <w:fldChar w:fldCharType="end"/>
    </w:r>
    <w:r>
      <w:rPr>
        <w:rFonts w:ascii="宋体" w:hAnsi="宋体" w:eastAsia="宋体"/>
      </w:rPr>
      <w:t>页　共</w:t>
    </w:r>
    <w:r>
      <w:rPr>
        <w:rFonts w:ascii="宋体" w:hAnsi="宋体" w:eastAsia="宋体"/>
      </w:rPr>
      <w:fldChar w:fldCharType="begin"/>
    </w:r>
    <w:r>
      <w:rPr>
        <w:rFonts w:ascii="宋体" w:hAnsi="宋体" w:eastAsia="宋体"/>
      </w:rPr>
      <w:instrText xml:space="preserve"> =</w:instrText>
    </w:r>
    <w:r>
      <w:rPr>
        <w:rFonts w:ascii="宋体" w:hAnsi="宋体" w:eastAsia="宋体"/>
      </w:rPr>
      <w:fldChar w:fldCharType="begin"/>
    </w:r>
    <w:r>
      <w:rPr>
        <w:rFonts w:ascii="宋体" w:hAnsi="宋体" w:eastAsia="宋体"/>
      </w:rPr>
      <w:instrText xml:space="preserve"> NUMPAGES  \* MERGEFORMAT </w:instrText>
    </w:r>
    <w:r>
      <w:rPr>
        <w:rFonts w:ascii="宋体" w:hAnsi="宋体" w:eastAsia="宋体"/>
      </w:rPr>
      <w:fldChar w:fldCharType="separate"/>
    </w:r>
    <w:r>
      <w:rPr>
        <w:rFonts w:ascii="宋体" w:hAnsi="宋体" w:eastAsia="宋体"/>
      </w:rPr>
      <w:instrText xml:space="preserve">118</w:instrText>
    </w:r>
    <w:r>
      <w:rPr>
        <w:rFonts w:ascii="宋体" w:hAnsi="宋体" w:eastAsia="宋体"/>
      </w:rPr>
      <w:fldChar w:fldCharType="end"/>
    </w:r>
    <w:r>
      <w:rPr>
        <w:rFonts w:ascii="宋体" w:hAnsi="宋体" w:eastAsia="宋体"/>
      </w:rPr>
      <w:instrText xml:space="preserve">-2 \* MERGEFORMAT </w:instrText>
    </w:r>
    <w:r>
      <w:rPr>
        <w:rFonts w:ascii="宋体" w:hAnsi="宋体" w:eastAsia="宋体"/>
      </w:rPr>
      <w:fldChar w:fldCharType="separate"/>
    </w:r>
    <w:r>
      <w:rPr>
        <w:rFonts w:ascii="宋体" w:hAnsi="宋体" w:eastAsia="宋体"/>
      </w:rPr>
      <w:t>116</w:t>
    </w:r>
    <w:r>
      <w:rPr>
        <w:rFonts w:ascii="宋体" w:hAnsi="宋体" w:eastAsia="宋体"/>
      </w:rPr>
      <w:fldChar w:fldCharType="end"/>
    </w:r>
    <w:r>
      <w:rPr>
        <w:rFonts w:ascii="宋体" w:hAnsi="宋体" w:eastAsia="宋体"/>
      </w:rPr>
      <w:t>页</w:t>
    </w:r>
    <w:r>
      <w:rPr>
        <w:rFonts w:ascii="宋体" w:hAnsi="宋体" w:eastAsia="宋体"/>
      </w:rPr>
      <w:tab/>
    </w:r>
    <w:r>
      <w:rPr>
        <w:rFonts w:ascii="宋体" w:hAnsi="宋体" w:eastAsia="宋体"/>
      </w:rPr>
      <w:t>西安市市级单位政府采购中心</w:t>
    </w: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535"/>
        <w:tab w:val="right" w:pos="9070"/>
        <w:tab w:val="clear" w:pos="4153"/>
        <w:tab w:val="clear" w:pos="8306"/>
      </w:tabs>
      <w:rPr>
        <w:rFonts w:ascii="宋体" w:hAnsi="宋体" w:eastAsia="宋体"/>
      </w:rPr>
    </w:pPr>
    <w:r>
      <w:rPr>
        <w:rFonts w:hint="eastAsia" w:ascii="宋体" w:hAnsi="宋体" w:eastAsia="宋体"/>
      </w:rPr>
      <w:t>西安市市级单位政府采购中心</w:t>
    </w:r>
    <w:r>
      <w:rPr>
        <w:rFonts w:ascii="宋体" w:hAnsi="宋体" w:eastAsia="宋体"/>
      </w:rPr>
      <w:tab/>
    </w:r>
    <w:r>
      <w:rPr>
        <w:rFonts w:ascii="宋体" w:hAnsi="宋体" w:eastAsia="宋体"/>
      </w:rPr>
      <w:t>第</w:t>
    </w:r>
    <w:r>
      <w:rPr>
        <w:rFonts w:ascii="宋体" w:hAnsi="宋体" w:eastAsia="宋体"/>
      </w:rPr>
      <w:fldChar w:fldCharType="begin"/>
    </w:r>
    <w:r>
      <w:rPr>
        <w:rFonts w:ascii="宋体" w:hAnsi="宋体" w:eastAsia="宋体"/>
      </w:rPr>
      <w:instrText xml:space="preserve"> PAGE  \* MERGEFORMAT </w:instrText>
    </w:r>
    <w:r>
      <w:rPr>
        <w:rFonts w:ascii="宋体" w:hAnsi="宋体" w:eastAsia="宋体"/>
      </w:rPr>
      <w:fldChar w:fldCharType="separate"/>
    </w:r>
    <w:r>
      <w:rPr>
        <w:rFonts w:ascii="宋体" w:hAnsi="宋体" w:eastAsia="宋体"/>
      </w:rPr>
      <w:t>96</w:t>
    </w:r>
    <w:r>
      <w:rPr>
        <w:rFonts w:ascii="宋体" w:hAnsi="宋体" w:eastAsia="宋体"/>
      </w:rPr>
      <w:fldChar w:fldCharType="end"/>
    </w:r>
    <w:r>
      <w:rPr>
        <w:rFonts w:ascii="宋体" w:hAnsi="宋体" w:eastAsia="宋体"/>
      </w:rPr>
      <w:t>页　共</w:t>
    </w:r>
    <w:r>
      <w:rPr>
        <w:rFonts w:ascii="宋体" w:hAnsi="宋体" w:eastAsia="宋体"/>
      </w:rPr>
      <w:fldChar w:fldCharType="begin"/>
    </w:r>
    <w:r>
      <w:rPr>
        <w:rFonts w:ascii="宋体" w:hAnsi="宋体" w:eastAsia="宋体"/>
      </w:rPr>
      <w:instrText xml:space="preserve"> =</w:instrText>
    </w:r>
    <w:r>
      <w:rPr>
        <w:rFonts w:ascii="宋体" w:hAnsi="宋体" w:eastAsia="宋体"/>
      </w:rPr>
      <w:fldChar w:fldCharType="begin"/>
    </w:r>
    <w:r>
      <w:rPr>
        <w:rFonts w:ascii="宋体" w:hAnsi="宋体" w:eastAsia="宋体"/>
      </w:rPr>
      <w:instrText xml:space="preserve"> NUMPAGES  \* MERGEFORMAT </w:instrText>
    </w:r>
    <w:r>
      <w:rPr>
        <w:rFonts w:ascii="宋体" w:hAnsi="宋体" w:eastAsia="宋体"/>
      </w:rPr>
      <w:fldChar w:fldCharType="separate"/>
    </w:r>
    <w:r>
      <w:rPr>
        <w:rFonts w:ascii="宋体" w:hAnsi="宋体" w:eastAsia="宋体"/>
      </w:rPr>
      <w:instrText xml:space="preserve">118</w:instrText>
    </w:r>
    <w:r>
      <w:rPr>
        <w:rFonts w:ascii="宋体" w:hAnsi="宋体" w:eastAsia="宋体"/>
      </w:rPr>
      <w:fldChar w:fldCharType="end"/>
    </w:r>
    <w:r>
      <w:rPr>
        <w:rFonts w:ascii="宋体" w:hAnsi="宋体" w:eastAsia="宋体"/>
      </w:rPr>
      <w:instrText xml:space="preserve">-2 \* MERGEFORMAT </w:instrText>
    </w:r>
    <w:r>
      <w:rPr>
        <w:rFonts w:ascii="宋体" w:hAnsi="宋体" w:eastAsia="宋体"/>
      </w:rPr>
      <w:fldChar w:fldCharType="separate"/>
    </w:r>
    <w:r>
      <w:rPr>
        <w:rFonts w:ascii="宋体" w:hAnsi="宋体" w:eastAsia="宋体"/>
      </w:rPr>
      <w:t>116</w:t>
    </w:r>
    <w:r>
      <w:rPr>
        <w:rFonts w:ascii="宋体" w:hAnsi="宋体" w:eastAsia="宋体"/>
      </w:rPr>
      <w:fldChar w:fldCharType="end"/>
    </w:r>
    <w:r>
      <w:rPr>
        <w:rFonts w:ascii="宋体" w:hAnsi="宋体" w:eastAsia="宋体"/>
      </w:rPr>
      <w:t>页</w:t>
    </w:r>
  </w:p>
</w:ftr>
</file>

<file path=word/footer1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535"/>
        <w:tab w:val="right" w:pos="9070"/>
        <w:tab w:val="clear" w:pos="4153"/>
        <w:tab w:val="clear" w:pos="8306"/>
      </w:tabs>
      <w:rPr>
        <w:rFonts w:ascii="宋体" w:hAnsi="宋体" w:eastAsia="宋体"/>
      </w:rPr>
    </w:pPr>
    <w:r>
      <w:rPr>
        <w:rFonts w:ascii="宋体" w:hAnsi="宋体" w:eastAsia="宋体"/>
      </w:rPr>
      <w:tab/>
    </w:r>
    <w:r>
      <w:rPr>
        <w:rFonts w:ascii="宋体" w:hAnsi="宋体" w:eastAsia="宋体"/>
      </w:rPr>
      <w:t>第</w:t>
    </w:r>
    <w:r>
      <w:rPr>
        <w:rFonts w:ascii="宋体" w:hAnsi="宋体" w:eastAsia="宋体"/>
      </w:rPr>
      <w:fldChar w:fldCharType="begin"/>
    </w:r>
    <w:r>
      <w:rPr>
        <w:rFonts w:ascii="宋体" w:hAnsi="宋体" w:eastAsia="宋体"/>
      </w:rPr>
      <w:instrText xml:space="preserve"> PAGE  \* MERGEFORMAT </w:instrText>
    </w:r>
    <w:r>
      <w:rPr>
        <w:rFonts w:ascii="宋体" w:hAnsi="宋体" w:eastAsia="宋体"/>
      </w:rPr>
      <w:fldChar w:fldCharType="separate"/>
    </w:r>
    <w:r>
      <w:rPr>
        <w:rFonts w:ascii="宋体" w:hAnsi="宋体" w:eastAsia="宋体"/>
      </w:rPr>
      <w:t>101</w:t>
    </w:r>
    <w:r>
      <w:rPr>
        <w:rFonts w:ascii="宋体" w:hAnsi="宋体" w:eastAsia="宋体"/>
      </w:rPr>
      <w:fldChar w:fldCharType="end"/>
    </w:r>
    <w:r>
      <w:rPr>
        <w:rFonts w:ascii="宋体" w:hAnsi="宋体" w:eastAsia="宋体"/>
      </w:rPr>
      <w:t>页　共</w:t>
    </w:r>
    <w:r>
      <w:rPr>
        <w:rFonts w:ascii="宋体" w:hAnsi="宋体" w:eastAsia="宋体"/>
      </w:rPr>
      <w:fldChar w:fldCharType="begin"/>
    </w:r>
    <w:r>
      <w:rPr>
        <w:rFonts w:ascii="宋体" w:hAnsi="宋体" w:eastAsia="宋体"/>
      </w:rPr>
      <w:instrText xml:space="preserve"> =</w:instrText>
    </w:r>
    <w:r>
      <w:rPr>
        <w:rFonts w:ascii="宋体" w:hAnsi="宋体" w:eastAsia="宋体"/>
      </w:rPr>
      <w:fldChar w:fldCharType="begin"/>
    </w:r>
    <w:r>
      <w:rPr>
        <w:rFonts w:ascii="宋体" w:hAnsi="宋体" w:eastAsia="宋体"/>
      </w:rPr>
      <w:instrText xml:space="preserve"> NUMPAGES  \* MERGEFORMAT </w:instrText>
    </w:r>
    <w:r>
      <w:rPr>
        <w:rFonts w:ascii="宋体" w:hAnsi="宋体" w:eastAsia="宋体"/>
      </w:rPr>
      <w:fldChar w:fldCharType="separate"/>
    </w:r>
    <w:r>
      <w:rPr>
        <w:rFonts w:ascii="宋体" w:hAnsi="宋体" w:eastAsia="宋体"/>
      </w:rPr>
      <w:instrText xml:space="preserve">118</w:instrText>
    </w:r>
    <w:r>
      <w:rPr>
        <w:rFonts w:ascii="宋体" w:hAnsi="宋体" w:eastAsia="宋体"/>
      </w:rPr>
      <w:fldChar w:fldCharType="end"/>
    </w:r>
    <w:r>
      <w:rPr>
        <w:rFonts w:ascii="宋体" w:hAnsi="宋体" w:eastAsia="宋体"/>
      </w:rPr>
      <w:instrText xml:space="preserve">-2 \* MERGEFORMAT </w:instrText>
    </w:r>
    <w:r>
      <w:rPr>
        <w:rFonts w:ascii="宋体" w:hAnsi="宋体" w:eastAsia="宋体"/>
      </w:rPr>
      <w:fldChar w:fldCharType="separate"/>
    </w:r>
    <w:r>
      <w:rPr>
        <w:rFonts w:ascii="宋体" w:hAnsi="宋体" w:eastAsia="宋体"/>
      </w:rPr>
      <w:t>116</w:t>
    </w:r>
    <w:r>
      <w:rPr>
        <w:rFonts w:ascii="宋体" w:hAnsi="宋体" w:eastAsia="宋体"/>
      </w:rPr>
      <w:fldChar w:fldCharType="end"/>
    </w:r>
    <w:r>
      <w:rPr>
        <w:rFonts w:ascii="宋体" w:hAnsi="宋体" w:eastAsia="宋体"/>
      </w:rPr>
      <w:t>页</w:t>
    </w:r>
    <w:r>
      <w:rPr>
        <w:rFonts w:ascii="宋体" w:hAnsi="宋体" w:eastAsia="宋体"/>
      </w:rPr>
      <w:tab/>
    </w:r>
    <w:r>
      <w:rPr>
        <w:rFonts w:ascii="宋体" w:hAnsi="宋体" w:eastAsia="宋体"/>
      </w:rPr>
      <w:t>西安市市级单位政府采购中心</w:t>
    </w:r>
  </w:p>
</w:ftr>
</file>

<file path=word/footer1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535"/>
        <w:tab w:val="right" w:pos="9070"/>
        <w:tab w:val="clear" w:pos="4153"/>
        <w:tab w:val="clear" w:pos="8306"/>
      </w:tabs>
      <w:rPr>
        <w:rFonts w:ascii="宋体" w:hAnsi="宋体" w:eastAsia="宋体"/>
      </w:rPr>
    </w:pPr>
    <w:r>
      <w:rPr>
        <w:rFonts w:hint="eastAsia" w:ascii="宋体" w:hAnsi="宋体" w:eastAsia="宋体"/>
      </w:rPr>
      <w:t>西安市市级单位政府采购中心</w:t>
    </w:r>
    <w:r>
      <w:rPr>
        <w:rFonts w:ascii="宋体" w:hAnsi="宋体" w:eastAsia="宋体"/>
      </w:rPr>
      <w:tab/>
    </w:r>
    <w:r>
      <w:rPr>
        <w:rFonts w:ascii="宋体" w:hAnsi="宋体" w:eastAsia="宋体"/>
      </w:rPr>
      <w:t>第</w:t>
    </w:r>
    <w:r>
      <w:rPr>
        <w:rFonts w:ascii="宋体" w:hAnsi="宋体" w:eastAsia="宋体"/>
      </w:rPr>
      <w:fldChar w:fldCharType="begin"/>
    </w:r>
    <w:r>
      <w:rPr>
        <w:rFonts w:ascii="宋体" w:hAnsi="宋体" w:eastAsia="宋体"/>
      </w:rPr>
      <w:instrText xml:space="preserve"> PAGE  \* MERGEFORMAT </w:instrText>
    </w:r>
    <w:r>
      <w:rPr>
        <w:rFonts w:ascii="宋体" w:hAnsi="宋体" w:eastAsia="宋体"/>
      </w:rPr>
      <w:fldChar w:fldCharType="separate"/>
    </w:r>
    <w:r>
      <w:rPr>
        <w:rFonts w:ascii="宋体" w:hAnsi="宋体" w:eastAsia="宋体"/>
      </w:rPr>
      <w:t>100</w:t>
    </w:r>
    <w:r>
      <w:rPr>
        <w:rFonts w:ascii="宋体" w:hAnsi="宋体" w:eastAsia="宋体"/>
      </w:rPr>
      <w:fldChar w:fldCharType="end"/>
    </w:r>
    <w:r>
      <w:rPr>
        <w:rFonts w:ascii="宋体" w:hAnsi="宋体" w:eastAsia="宋体"/>
      </w:rPr>
      <w:t>页　共</w:t>
    </w:r>
    <w:r>
      <w:rPr>
        <w:rFonts w:ascii="宋体" w:hAnsi="宋体" w:eastAsia="宋体"/>
      </w:rPr>
      <w:fldChar w:fldCharType="begin"/>
    </w:r>
    <w:r>
      <w:rPr>
        <w:rFonts w:ascii="宋体" w:hAnsi="宋体" w:eastAsia="宋体"/>
      </w:rPr>
      <w:instrText xml:space="preserve"> =</w:instrText>
    </w:r>
    <w:r>
      <w:rPr>
        <w:rFonts w:ascii="宋体" w:hAnsi="宋体" w:eastAsia="宋体"/>
      </w:rPr>
      <w:fldChar w:fldCharType="begin"/>
    </w:r>
    <w:r>
      <w:rPr>
        <w:rFonts w:ascii="宋体" w:hAnsi="宋体" w:eastAsia="宋体"/>
      </w:rPr>
      <w:instrText xml:space="preserve"> NUMPAGES  \* MERGEFORMAT </w:instrText>
    </w:r>
    <w:r>
      <w:rPr>
        <w:rFonts w:ascii="宋体" w:hAnsi="宋体" w:eastAsia="宋体"/>
      </w:rPr>
      <w:fldChar w:fldCharType="separate"/>
    </w:r>
    <w:r>
      <w:rPr>
        <w:rFonts w:ascii="宋体" w:hAnsi="宋体" w:eastAsia="宋体"/>
      </w:rPr>
      <w:instrText xml:space="preserve">118</w:instrText>
    </w:r>
    <w:r>
      <w:rPr>
        <w:rFonts w:ascii="宋体" w:hAnsi="宋体" w:eastAsia="宋体"/>
      </w:rPr>
      <w:fldChar w:fldCharType="end"/>
    </w:r>
    <w:r>
      <w:rPr>
        <w:rFonts w:ascii="宋体" w:hAnsi="宋体" w:eastAsia="宋体"/>
      </w:rPr>
      <w:instrText xml:space="preserve">-2 \* MERGEFORMAT </w:instrText>
    </w:r>
    <w:r>
      <w:rPr>
        <w:rFonts w:ascii="宋体" w:hAnsi="宋体" w:eastAsia="宋体"/>
      </w:rPr>
      <w:fldChar w:fldCharType="separate"/>
    </w:r>
    <w:r>
      <w:rPr>
        <w:rFonts w:ascii="宋体" w:hAnsi="宋体" w:eastAsia="宋体"/>
      </w:rPr>
      <w:t>116</w:t>
    </w:r>
    <w:r>
      <w:rPr>
        <w:rFonts w:ascii="宋体" w:hAnsi="宋体" w:eastAsia="宋体"/>
      </w:rPr>
      <w:fldChar w:fldCharType="end"/>
    </w:r>
    <w:r>
      <w:rPr>
        <w:rFonts w:ascii="宋体" w:hAnsi="宋体" w:eastAsia="宋体"/>
      </w:rPr>
      <w:t>页</w:t>
    </w:r>
  </w:p>
</w:ftr>
</file>

<file path=word/footer1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535"/>
        <w:tab w:val="right" w:pos="9070"/>
        <w:tab w:val="clear" w:pos="4153"/>
        <w:tab w:val="clear" w:pos="8306"/>
      </w:tabs>
      <w:rPr>
        <w:rFonts w:ascii="宋体" w:hAnsi="宋体" w:eastAsia="宋体"/>
      </w:rPr>
    </w:pPr>
    <w:r>
      <w:rPr>
        <w:rFonts w:ascii="宋体" w:hAnsi="宋体" w:eastAsia="宋体"/>
      </w:rPr>
      <w:tab/>
    </w:r>
    <w:r>
      <w:rPr>
        <w:rFonts w:ascii="宋体" w:hAnsi="宋体" w:eastAsia="宋体"/>
      </w:rPr>
      <w:t>第</w:t>
    </w:r>
    <w:r>
      <w:rPr>
        <w:rFonts w:ascii="宋体" w:hAnsi="宋体" w:eastAsia="宋体"/>
      </w:rPr>
      <w:fldChar w:fldCharType="begin"/>
    </w:r>
    <w:r>
      <w:rPr>
        <w:rFonts w:ascii="宋体" w:hAnsi="宋体" w:eastAsia="宋体"/>
      </w:rPr>
      <w:instrText xml:space="preserve"> PAGE  \* MERGEFORMAT </w:instrText>
    </w:r>
    <w:r>
      <w:rPr>
        <w:rFonts w:ascii="宋体" w:hAnsi="宋体" w:eastAsia="宋体"/>
      </w:rPr>
      <w:fldChar w:fldCharType="separate"/>
    </w:r>
    <w:r>
      <w:rPr>
        <w:rFonts w:ascii="宋体" w:hAnsi="宋体" w:eastAsia="宋体"/>
      </w:rPr>
      <w:t>101</w:t>
    </w:r>
    <w:r>
      <w:rPr>
        <w:rFonts w:ascii="宋体" w:hAnsi="宋体" w:eastAsia="宋体"/>
      </w:rPr>
      <w:fldChar w:fldCharType="end"/>
    </w:r>
    <w:r>
      <w:rPr>
        <w:rFonts w:ascii="宋体" w:hAnsi="宋体" w:eastAsia="宋体"/>
      </w:rPr>
      <w:t>页　共</w:t>
    </w:r>
    <w:r>
      <w:rPr>
        <w:rFonts w:ascii="宋体" w:hAnsi="宋体" w:eastAsia="宋体"/>
      </w:rPr>
      <w:fldChar w:fldCharType="begin"/>
    </w:r>
    <w:r>
      <w:rPr>
        <w:rFonts w:ascii="宋体" w:hAnsi="宋体" w:eastAsia="宋体"/>
      </w:rPr>
      <w:instrText xml:space="preserve"> =</w:instrText>
    </w:r>
    <w:r>
      <w:rPr>
        <w:rFonts w:ascii="宋体" w:hAnsi="宋体" w:eastAsia="宋体"/>
      </w:rPr>
      <w:fldChar w:fldCharType="begin"/>
    </w:r>
    <w:r>
      <w:rPr>
        <w:rFonts w:ascii="宋体" w:hAnsi="宋体" w:eastAsia="宋体"/>
      </w:rPr>
      <w:instrText xml:space="preserve"> NUMPAGES  \* MERGEFORMAT </w:instrText>
    </w:r>
    <w:r>
      <w:rPr>
        <w:rFonts w:ascii="宋体" w:hAnsi="宋体" w:eastAsia="宋体"/>
      </w:rPr>
      <w:fldChar w:fldCharType="separate"/>
    </w:r>
    <w:r>
      <w:rPr>
        <w:rFonts w:ascii="宋体" w:hAnsi="宋体" w:eastAsia="宋体"/>
      </w:rPr>
      <w:instrText xml:space="preserve">118</w:instrText>
    </w:r>
    <w:r>
      <w:rPr>
        <w:rFonts w:ascii="宋体" w:hAnsi="宋体" w:eastAsia="宋体"/>
      </w:rPr>
      <w:fldChar w:fldCharType="end"/>
    </w:r>
    <w:r>
      <w:rPr>
        <w:rFonts w:ascii="宋体" w:hAnsi="宋体" w:eastAsia="宋体"/>
      </w:rPr>
      <w:instrText xml:space="preserve">-2 \* MERGEFORMAT </w:instrText>
    </w:r>
    <w:r>
      <w:rPr>
        <w:rFonts w:ascii="宋体" w:hAnsi="宋体" w:eastAsia="宋体"/>
      </w:rPr>
      <w:fldChar w:fldCharType="separate"/>
    </w:r>
    <w:r>
      <w:rPr>
        <w:rFonts w:ascii="宋体" w:hAnsi="宋体" w:eastAsia="宋体"/>
      </w:rPr>
      <w:t>116</w:t>
    </w:r>
    <w:r>
      <w:rPr>
        <w:rFonts w:ascii="宋体" w:hAnsi="宋体" w:eastAsia="宋体"/>
      </w:rPr>
      <w:fldChar w:fldCharType="end"/>
    </w:r>
    <w:r>
      <w:rPr>
        <w:rFonts w:ascii="宋体" w:hAnsi="宋体" w:eastAsia="宋体"/>
      </w:rPr>
      <w:t>页</w:t>
    </w:r>
    <w:r>
      <w:rPr>
        <w:rFonts w:ascii="宋体" w:hAnsi="宋体" w:eastAsia="宋体"/>
      </w:rPr>
      <w:tab/>
    </w:r>
    <w:r>
      <w:rPr>
        <w:rFonts w:ascii="宋体" w:hAnsi="宋体" w:eastAsia="宋体"/>
      </w:rPr>
      <w:t>西安市市级单位政府采购中心</w:t>
    </w:r>
  </w:p>
</w:ftr>
</file>

<file path=word/footer1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535"/>
        <w:tab w:val="right" w:pos="9070"/>
        <w:tab w:val="clear" w:pos="4153"/>
        <w:tab w:val="clear" w:pos="8306"/>
      </w:tabs>
      <w:rPr>
        <w:rFonts w:ascii="宋体" w:hAnsi="宋体" w:eastAsia="宋体"/>
      </w:rPr>
    </w:pPr>
    <w:r>
      <w:rPr>
        <w:rFonts w:hint="eastAsia" w:ascii="宋体" w:hAnsi="宋体" w:eastAsia="宋体"/>
      </w:rPr>
      <w:t>西安市市级单位政府采购中心</w:t>
    </w:r>
    <w:r>
      <w:rPr>
        <w:rFonts w:ascii="宋体" w:hAnsi="宋体" w:eastAsia="宋体"/>
      </w:rPr>
      <w:tab/>
    </w:r>
    <w:r>
      <w:rPr>
        <w:rFonts w:ascii="宋体" w:hAnsi="宋体" w:eastAsia="宋体"/>
      </w:rPr>
      <w:t>第</w:t>
    </w:r>
    <w:r>
      <w:rPr>
        <w:rFonts w:ascii="宋体" w:hAnsi="宋体" w:eastAsia="宋体"/>
      </w:rPr>
      <w:fldChar w:fldCharType="begin"/>
    </w:r>
    <w:r>
      <w:rPr>
        <w:rFonts w:ascii="宋体" w:hAnsi="宋体" w:eastAsia="宋体"/>
      </w:rPr>
      <w:instrText xml:space="preserve"> PAGE  \* MERGEFORMAT </w:instrText>
    </w:r>
    <w:r>
      <w:rPr>
        <w:rFonts w:ascii="宋体" w:hAnsi="宋体" w:eastAsia="宋体"/>
      </w:rPr>
      <w:fldChar w:fldCharType="separate"/>
    </w:r>
    <w:r>
      <w:rPr>
        <w:rFonts w:ascii="宋体" w:hAnsi="宋体" w:eastAsia="宋体"/>
      </w:rPr>
      <w:t>102</w:t>
    </w:r>
    <w:r>
      <w:rPr>
        <w:rFonts w:ascii="宋体" w:hAnsi="宋体" w:eastAsia="宋体"/>
      </w:rPr>
      <w:fldChar w:fldCharType="end"/>
    </w:r>
    <w:r>
      <w:rPr>
        <w:rFonts w:ascii="宋体" w:hAnsi="宋体" w:eastAsia="宋体"/>
      </w:rPr>
      <w:t>页　共</w:t>
    </w:r>
    <w:r>
      <w:rPr>
        <w:rFonts w:ascii="宋体" w:hAnsi="宋体" w:eastAsia="宋体"/>
      </w:rPr>
      <w:fldChar w:fldCharType="begin"/>
    </w:r>
    <w:r>
      <w:rPr>
        <w:rFonts w:ascii="宋体" w:hAnsi="宋体" w:eastAsia="宋体"/>
      </w:rPr>
      <w:instrText xml:space="preserve"> =</w:instrText>
    </w:r>
    <w:r>
      <w:rPr>
        <w:rFonts w:ascii="宋体" w:hAnsi="宋体" w:eastAsia="宋体"/>
      </w:rPr>
      <w:fldChar w:fldCharType="begin"/>
    </w:r>
    <w:r>
      <w:rPr>
        <w:rFonts w:ascii="宋体" w:hAnsi="宋体" w:eastAsia="宋体"/>
      </w:rPr>
      <w:instrText xml:space="preserve"> NUMPAGES  \* MERGEFORMAT </w:instrText>
    </w:r>
    <w:r>
      <w:rPr>
        <w:rFonts w:ascii="宋体" w:hAnsi="宋体" w:eastAsia="宋体"/>
      </w:rPr>
      <w:fldChar w:fldCharType="separate"/>
    </w:r>
    <w:r>
      <w:rPr>
        <w:rFonts w:ascii="宋体" w:hAnsi="宋体" w:eastAsia="宋体"/>
      </w:rPr>
      <w:instrText xml:space="preserve">118</w:instrText>
    </w:r>
    <w:r>
      <w:rPr>
        <w:rFonts w:ascii="宋体" w:hAnsi="宋体" w:eastAsia="宋体"/>
      </w:rPr>
      <w:fldChar w:fldCharType="end"/>
    </w:r>
    <w:r>
      <w:rPr>
        <w:rFonts w:ascii="宋体" w:hAnsi="宋体" w:eastAsia="宋体"/>
      </w:rPr>
      <w:instrText xml:space="preserve">-2 \* MERGEFORMAT </w:instrText>
    </w:r>
    <w:r>
      <w:rPr>
        <w:rFonts w:ascii="宋体" w:hAnsi="宋体" w:eastAsia="宋体"/>
      </w:rPr>
      <w:fldChar w:fldCharType="separate"/>
    </w:r>
    <w:r>
      <w:rPr>
        <w:rFonts w:ascii="宋体" w:hAnsi="宋体" w:eastAsia="宋体"/>
      </w:rPr>
      <w:t>116</w:t>
    </w:r>
    <w:r>
      <w:rPr>
        <w:rFonts w:ascii="宋体" w:hAnsi="宋体" w:eastAsia="宋体"/>
      </w:rPr>
      <w:fldChar w:fldCharType="end"/>
    </w:r>
    <w:r>
      <w:rPr>
        <w:rFonts w:ascii="宋体" w:hAnsi="宋体" w:eastAsia="宋体"/>
      </w:rPr>
      <w:t>页</w:t>
    </w:r>
  </w:p>
</w:ftr>
</file>

<file path=word/footer1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535"/>
        <w:tab w:val="right" w:pos="9070"/>
        <w:tab w:val="clear" w:pos="4153"/>
        <w:tab w:val="clear" w:pos="8306"/>
      </w:tabs>
      <w:rPr>
        <w:rFonts w:ascii="宋体" w:hAnsi="宋体" w:eastAsia="宋体"/>
      </w:rPr>
    </w:pPr>
    <w:r>
      <w:rPr>
        <w:rFonts w:ascii="宋体" w:hAnsi="宋体" w:eastAsia="宋体"/>
      </w:rPr>
      <w:tab/>
    </w:r>
    <w:r>
      <w:rPr>
        <w:rFonts w:ascii="宋体" w:hAnsi="宋体" w:eastAsia="宋体"/>
      </w:rPr>
      <w:t>第</w:t>
    </w:r>
    <w:r>
      <w:rPr>
        <w:rFonts w:ascii="宋体" w:hAnsi="宋体" w:eastAsia="宋体"/>
      </w:rPr>
      <w:fldChar w:fldCharType="begin"/>
    </w:r>
    <w:r>
      <w:rPr>
        <w:rFonts w:ascii="宋体" w:hAnsi="宋体" w:eastAsia="宋体"/>
      </w:rPr>
      <w:instrText xml:space="preserve"> PAGE  \* MERGEFORMAT </w:instrText>
    </w:r>
    <w:r>
      <w:rPr>
        <w:rFonts w:ascii="宋体" w:hAnsi="宋体" w:eastAsia="宋体"/>
      </w:rPr>
      <w:fldChar w:fldCharType="separate"/>
    </w:r>
    <w:r>
      <w:rPr>
        <w:rFonts w:ascii="宋体" w:hAnsi="宋体" w:eastAsia="宋体"/>
      </w:rPr>
      <w:t>109</w:t>
    </w:r>
    <w:r>
      <w:rPr>
        <w:rFonts w:ascii="宋体" w:hAnsi="宋体" w:eastAsia="宋体"/>
      </w:rPr>
      <w:fldChar w:fldCharType="end"/>
    </w:r>
    <w:r>
      <w:rPr>
        <w:rFonts w:ascii="宋体" w:hAnsi="宋体" w:eastAsia="宋体"/>
      </w:rPr>
      <w:t>页　共</w:t>
    </w:r>
    <w:r>
      <w:rPr>
        <w:rFonts w:ascii="宋体" w:hAnsi="宋体" w:eastAsia="宋体"/>
      </w:rPr>
      <w:fldChar w:fldCharType="begin"/>
    </w:r>
    <w:r>
      <w:rPr>
        <w:rFonts w:ascii="宋体" w:hAnsi="宋体" w:eastAsia="宋体"/>
      </w:rPr>
      <w:instrText xml:space="preserve"> =</w:instrText>
    </w:r>
    <w:r>
      <w:rPr>
        <w:rFonts w:ascii="宋体" w:hAnsi="宋体" w:eastAsia="宋体"/>
      </w:rPr>
      <w:fldChar w:fldCharType="begin"/>
    </w:r>
    <w:r>
      <w:rPr>
        <w:rFonts w:ascii="宋体" w:hAnsi="宋体" w:eastAsia="宋体"/>
      </w:rPr>
      <w:instrText xml:space="preserve"> NUMPAGES  \* MERGEFORMAT </w:instrText>
    </w:r>
    <w:r>
      <w:rPr>
        <w:rFonts w:ascii="宋体" w:hAnsi="宋体" w:eastAsia="宋体"/>
      </w:rPr>
      <w:fldChar w:fldCharType="separate"/>
    </w:r>
    <w:r>
      <w:rPr>
        <w:rFonts w:ascii="宋体" w:hAnsi="宋体" w:eastAsia="宋体"/>
      </w:rPr>
      <w:instrText xml:space="preserve">118</w:instrText>
    </w:r>
    <w:r>
      <w:rPr>
        <w:rFonts w:ascii="宋体" w:hAnsi="宋体" w:eastAsia="宋体"/>
      </w:rPr>
      <w:fldChar w:fldCharType="end"/>
    </w:r>
    <w:r>
      <w:rPr>
        <w:rFonts w:ascii="宋体" w:hAnsi="宋体" w:eastAsia="宋体"/>
      </w:rPr>
      <w:instrText xml:space="preserve">-2 \* MERGEFORMAT </w:instrText>
    </w:r>
    <w:r>
      <w:rPr>
        <w:rFonts w:ascii="宋体" w:hAnsi="宋体" w:eastAsia="宋体"/>
      </w:rPr>
      <w:fldChar w:fldCharType="separate"/>
    </w:r>
    <w:r>
      <w:rPr>
        <w:rFonts w:ascii="宋体" w:hAnsi="宋体" w:eastAsia="宋体"/>
      </w:rPr>
      <w:t>116</w:t>
    </w:r>
    <w:r>
      <w:rPr>
        <w:rFonts w:ascii="宋体" w:hAnsi="宋体" w:eastAsia="宋体"/>
      </w:rPr>
      <w:fldChar w:fldCharType="end"/>
    </w:r>
    <w:r>
      <w:rPr>
        <w:rFonts w:ascii="宋体" w:hAnsi="宋体" w:eastAsia="宋体"/>
      </w:rPr>
      <w:t>页</w:t>
    </w:r>
    <w:r>
      <w:rPr>
        <w:rFonts w:ascii="宋体" w:hAnsi="宋体" w:eastAsia="宋体"/>
      </w:rPr>
      <w:tab/>
    </w:r>
    <w:r>
      <w:rPr>
        <w:rFonts w:ascii="宋体" w:hAnsi="宋体" w:eastAsia="宋体"/>
      </w:rPr>
      <w:t>西安市市级单位政府采购中心</w:t>
    </w:r>
  </w:p>
</w:ftr>
</file>

<file path=word/footer2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535"/>
        <w:tab w:val="right" w:pos="9070"/>
        <w:tab w:val="clear" w:pos="4153"/>
        <w:tab w:val="clear" w:pos="8306"/>
      </w:tabs>
      <w:rPr>
        <w:rFonts w:ascii="宋体" w:hAnsi="宋体" w:eastAsia="宋体"/>
      </w:rPr>
    </w:pPr>
    <w:r>
      <w:rPr>
        <w:rFonts w:hint="eastAsia" w:ascii="宋体" w:hAnsi="宋体" w:eastAsia="宋体"/>
      </w:rPr>
      <w:t>西安市市级单位政府采购中心</w:t>
    </w:r>
    <w:r>
      <w:rPr>
        <w:rFonts w:ascii="宋体" w:hAnsi="宋体" w:eastAsia="宋体"/>
      </w:rPr>
      <w:tab/>
    </w:r>
    <w:r>
      <w:rPr>
        <w:rFonts w:ascii="宋体" w:hAnsi="宋体" w:eastAsia="宋体"/>
      </w:rPr>
      <w:t>第</w:t>
    </w:r>
    <w:r>
      <w:rPr>
        <w:rFonts w:ascii="宋体" w:hAnsi="宋体" w:eastAsia="宋体"/>
      </w:rPr>
      <w:fldChar w:fldCharType="begin"/>
    </w:r>
    <w:r>
      <w:rPr>
        <w:rFonts w:ascii="宋体" w:hAnsi="宋体" w:eastAsia="宋体"/>
      </w:rPr>
      <w:instrText xml:space="preserve"> PAGE  \* MERGEFORMAT </w:instrText>
    </w:r>
    <w:r>
      <w:rPr>
        <w:rFonts w:ascii="宋体" w:hAnsi="宋体" w:eastAsia="宋体"/>
      </w:rPr>
      <w:fldChar w:fldCharType="separate"/>
    </w:r>
    <w:r>
      <w:rPr>
        <w:rFonts w:ascii="宋体" w:hAnsi="宋体" w:eastAsia="宋体"/>
      </w:rPr>
      <w:t>108</w:t>
    </w:r>
    <w:r>
      <w:rPr>
        <w:rFonts w:ascii="宋体" w:hAnsi="宋体" w:eastAsia="宋体"/>
      </w:rPr>
      <w:fldChar w:fldCharType="end"/>
    </w:r>
    <w:r>
      <w:rPr>
        <w:rFonts w:ascii="宋体" w:hAnsi="宋体" w:eastAsia="宋体"/>
      </w:rPr>
      <w:t>页　共</w:t>
    </w:r>
    <w:r>
      <w:rPr>
        <w:rFonts w:ascii="宋体" w:hAnsi="宋体" w:eastAsia="宋体"/>
      </w:rPr>
      <w:fldChar w:fldCharType="begin"/>
    </w:r>
    <w:r>
      <w:rPr>
        <w:rFonts w:ascii="宋体" w:hAnsi="宋体" w:eastAsia="宋体"/>
      </w:rPr>
      <w:instrText xml:space="preserve"> =</w:instrText>
    </w:r>
    <w:r>
      <w:rPr>
        <w:rFonts w:ascii="宋体" w:hAnsi="宋体" w:eastAsia="宋体"/>
      </w:rPr>
      <w:fldChar w:fldCharType="begin"/>
    </w:r>
    <w:r>
      <w:rPr>
        <w:rFonts w:ascii="宋体" w:hAnsi="宋体" w:eastAsia="宋体"/>
      </w:rPr>
      <w:instrText xml:space="preserve"> NUMPAGES  \* MERGEFORMAT </w:instrText>
    </w:r>
    <w:r>
      <w:rPr>
        <w:rFonts w:ascii="宋体" w:hAnsi="宋体" w:eastAsia="宋体"/>
      </w:rPr>
      <w:fldChar w:fldCharType="separate"/>
    </w:r>
    <w:r>
      <w:rPr>
        <w:rFonts w:ascii="宋体" w:hAnsi="宋体" w:eastAsia="宋体"/>
      </w:rPr>
      <w:instrText xml:space="preserve">118</w:instrText>
    </w:r>
    <w:r>
      <w:rPr>
        <w:rFonts w:ascii="宋体" w:hAnsi="宋体" w:eastAsia="宋体"/>
      </w:rPr>
      <w:fldChar w:fldCharType="end"/>
    </w:r>
    <w:r>
      <w:rPr>
        <w:rFonts w:ascii="宋体" w:hAnsi="宋体" w:eastAsia="宋体"/>
      </w:rPr>
      <w:instrText xml:space="preserve">-2 \* MERGEFORMAT </w:instrText>
    </w:r>
    <w:r>
      <w:rPr>
        <w:rFonts w:ascii="宋体" w:hAnsi="宋体" w:eastAsia="宋体"/>
      </w:rPr>
      <w:fldChar w:fldCharType="separate"/>
    </w:r>
    <w:r>
      <w:rPr>
        <w:rFonts w:ascii="宋体" w:hAnsi="宋体" w:eastAsia="宋体"/>
      </w:rPr>
      <w:t>116</w:t>
    </w:r>
    <w:r>
      <w:rPr>
        <w:rFonts w:ascii="宋体" w:hAnsi="宋体" w:eastAsia="宋体"/>
      </w:rPr>
      <w:fldChar w:fldCharType="end"/>
    </w:r>
    <w:r>
      <w:rPr>
        <w:rFonts w:ascii="宋体" w:hAnsi="宋体" w:eastAsia="宋体"/>
      </w:rPr>
      <w:t>页</w:t>
    </w:r>
  </w:p>
</w:ftr>
</file>

<file path=word/footer2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535"/>
        <w:tab w:val="right" w:pos="9070"/>
        <w:tab w:val="clear" w:pos="4153"/>
        <w:tab w:val="clear" w:pos="8306"/>
      </w:tabs>
      <w:rPr>
        <w:rFonts w:ascii="宋体" w:hAnsi="宋体" w:eastAsia="宋体"/>
      </w:rPr>
    </w:pPr>
    <w:r>
      <w:rPr>
        <w:rFonts w:ascii="宋体" w:hAnsi="宋体" w:eastAsia="宋体"/>
      </w:rPr>
      <w:tab/>
    </w:r>
    <w:r>
      <w:rPr>
        <w:rFonts w:ascii="宋体" w:hAnsi="宋体" w:eastAsia="宋体"/>
      </w:rPr>
      <w:t>第</w:t>
    </w:r>
    <w:r>
      <w:rPr>
        <w:rFonts w:ascii="宋体" w:hAnsi="宋体" w:eastAsia="宋体"/>
      </w:rPr>
      <w:fldChar w:fldCharType="begin"/>
    </w:r>
    <w:r>
      <w:rPr>
        <w:rFonts w:ascii="宋体" w:hAnsi="宋体" w:eastAsia="宋体"/>
      </w:rPr>
      <w:instrText xml:space="preserve"> PAGE  \* MERGEFORMAT </w:instrText>
    </w:r>
    <w:r>
      <w:rPr>
        <w:rFonts w:ascii="宋体" w:hAnsi="宋体" w:eastAsia="宋体"/>
      </w:rPr>
      <w:fldChar w:fldCharType="separate"/>
    </w:r>
    <w:r>
      <w:rPr>
        <w:rFonts w:ascii="宋体" w:hAnsi="宋体" w:eastAsia="宋体"/>
      </w:rPr>
      <w:t>113</w:t>
    </w:r>
    <w:r>
      <w:rPr>
        <w:rFonts w:ascii="宋体" w:hAnsi="宋体" w:eastAsia="宋体"/>
      </w:rPr>
      <w:fldChar w:fldCharType="end"/>
    </w:r>
    <w:r>
      <w:rPr>
        <w:rFonts w:ascii="宋体" w:hAnsi="宋体" w:eastAsia="宋体"/>
      </w:rPr>
      <w:t>页　共</w:t>
    </w:r>
    <w:r>
      <w:rPr>
        <w:rFonts w:ascii="宋体" w:hAnsi="宋体" w:eastAsia="宋体"/>
      </w:rPr>
      <w:fldChar w:fldCharType="begin"/>
    </w:r>
    <w:r>
      <w:rPr>
        <w:rFonts w:ascii="宋体" w:hAnsi="宋体" w:eastAsia="宋体"/>
      </w:rPr>
      <w:instrText xml:space="preserve"> =</w:instrText>
    </w:r>
    <w:r>
      <w:rPr>
        <w:rFonts w:ascii="宋体" w:hAnsi="宋体" w:eastAsia="宋体"/>
      </w:rPr>
      <w:fldChar w:fldCharType="begin"/>
    </w:r>
    <w:r>
      <w:rPr>
        <w:rFonts w:ascii="宋体" w:hAnsi="宋体" w:eastAsia="宋体"/>
      </w:rPr>
      <w:instrText xml:space="preserve"> NUMPAGES  \* MERGEFORMAT </w:instrText>
    </w:r>
    <w:r>
      <w:rPr>
        <w:rFonts w:ascii="宋体" w:hAnsi="宋体" w:eastAsia="宋体"/>
      </w:rPr>
      <w:fldChar w:fldCharType="separate"/>
    </w:r>
    <w:r>
      <w:rPr>
        <w:rFonts w:ascii="宋体" w:hAnsi="宋体" w:eastAsia="宋体"/>
      </w:rPr>
      <w:instrText xml:space="preserve">118</w:instrText>
    </w:r>
    <w:r>
      <w:rPr>
        <w:rFonts w:ascii="宋体" w:hAnsi="宋体" w:eastAsia="宋体"/>
      </w:rPr>
      <w:fldChar w:fldCharType="end"/>
    </w:r>
    <w:r>
      <w:rPr>
        <w:rFonts w:ascii="宋体" w:hAnsi="宋体" w:eastAsia="宋体"/>
      </w:rPr>
      <w:instrText xml:space="preserve">-2 \* MERGEFORMAT </w:instrText>
    </w:r>
    <w:r>
      <w:rPr>
        <w:rFonts w:ascii="宋体" w:hAnsi="宋体" w:eastAsia="宋体"/>
      </w:rPr>
      <w:fldChar w:fldCharType="separate"/>
    </w:r>
    <w:r>
      <w:rPr>
        <w:rFonts w:ascii="宋体" w:hAnsi="宋体" w:eastAsia="宋体"/>
      </w:rPr>
      <w:t>116</w:t>
    </w:r>
    <w:r>
      <w:rPr>
        <w:rFonts w:ascii="宋体" w:hAnsi="宋体" w:eastAsia="宋体"/>
      </w:rPr>
      <w:fldChar w:fldCharType="end"/>
    </w:r>
    <w:r>
      <w:rPr>
        <w:rFonts w:ascii="宋体" w:hAnsi="宋体" w:eastAsia="宋体"/>
      </w:rPr>
      <w:t>页</w:t>
    </w:r>
    <w:r>
      <w:rPr>
        <w:rFonts w:ascii="宋体" w:hAnsi="宋体" w:eastAsia="宋体"/>
      </w:rPr>
      <w:tab/>
    </w:r>
    <w:r>
      <w:rPr>
        <w:rFonts w:ascii="宋体" w:hAnsi="宋体" w:eastAsia="宋体"/>
      </w:rPr>
      <w:t>西安市市级单位政府采购中心</w:t>
    </w:r>
  </w:p>
</w:ftr>
</file>

<file path=word/footer2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535"/>
        <w:tab w:val="right" w:pos="9070"/>
        <w:tab w:val="clear" w:pos="4153"/>
        <w:tab w:val="clear" w:pos="8306"/>
      </w:tabs>
      <w:rPr>
        <w:rFonts w:ascii="宋体" w:hAnsi="宋体" w:eastAsia="宋体"/>
      </w:rPr>
    </w:pPr>
    <w:r>
      <w:rPr>
        <w:rFonts w:hint="eastAsia" w:ascii="宋体" w:hAnsi="宋体" w:eastAsia="宋体"/>
      </w:rPr>
      <w:t>西安市市级单位政府采购中心</w:t>
    </w:r>
    <w:r>
      <w:rPr>
        <w:rFonts w:ascii="宋体" w:hAnsi="宋体" w:eastAsia="宋体"/>
      </w:rPr>
      <w:tab/>
    </w:r>
    <w:r>
      <w:rPr>
        <w:rFonts w:ascii="宋体" w:hAnsi="宋体" w:eastAsia="宋体"/>
      </w:rPr>
      <w:t>第</w:t>
    </w:r>
    <w:r>
      <w:rPr>
        <w:rFonts w:ascii="宋体" w:hAnsi="宋体" w:eastAsia="宋体"/>
      </w:rPr>
      <w:fldChar w:fldCharType="begin"/>
    </w:r>
    <w:r>
      <w:rPr>
        <w:rFonts w:ascii="宋体" w:hAnsi="宋体" w:eastAsia="宋体"/>
      </w:rPr>
      <w:instrText xml:space="preserve"> PAGE  \* MERGEFORMAT </w:instrText>
    </w:r>
    <w:r>
      <w:rPr>
        <w:rFonts w:ascii="宋体" w:hAnsi="宋体" w:eastAsia="宋体"/>
      </w:rPr>
      <w:fldChar w:fldCharType="separate"/>
    </w:r>
    <w:r>
      <w:rPr>
        <w:rFonts w:ascii="宋体" w:hAnsi="宋体" w:eastAsia="宋体"/>
      </w:rPr>
      <w:t>112</w:t>
    </w:r>
    <w:r>
      <w:rPr>
        <w:rFonts w:ascii="宋体" w:hAnsi="宋体" w:eastAsia="宋体"/>
      </w:rPr>
      <w:fldChar w:fldCharType="end"/>
    </w:r>
    <w:r>
      <w:rPr>
        <w:rFonts w:ascii="宋体" w:hAnsi="宋体" w:eastAsia="宋体"/>
      </w:rPr>
      <w:t>页　共</w:t>
    </w:r>
    <w:r>
      <w:rPr>
        <w:rFonts w:ascii="宋体" w:hAnsi="宋体" w:eastAsia="宋体"/>
      </w:rPr>
      <w:fldChar w:fldCharType="begin"/>
    </w:r>
    <w:r>
      <w:rPr>
        <w:rFonts w:ascii="宋体" w:hAnsi="宋体" w:eastAsia="宋体"/>
      </w:rPr>
      <w:instrText xml:space="preserve"> =</w:instrText>
    </w:r>
    <w:r>
      <w:rPr>
        <w:rFonts w:ascii="宋体" w:hAnsi="宋体" w:eastAsia="宋体"/>
      </w:rPr>
      <w:fldChar w:fldCharType="begin"/>
    </w:r>
    <w:r>
      <w:rPr>
        <w:rFonts w:ascii="宋体" w:hAnsi="宋体" w:eastAsia="宋体"/>
      </w:rPr>
      <w:instrText xml:space="preserve"> NUMPAGES  \* MERGEFORMAT </w:instrText>
    </w:r>
    <w:r>
      <w:rPr>
        <w:rFonts w:ascii="宋体" w:hAnsi="宋体" w:eastAsia="宋体"/>
      </w:rPr>
      <w:fldChar w:fldCharType="separate"/>
    </w:r>
    <w:r>
      <w:rPr>
        <w:rFonts w:ascii="宋体" w:hAnsi="宋体" w:eastAsia="宋体"/>
      </w:rPr>
      <w:instrText xml:space="preserve">118</w:instrText>
    </w:r>
    <w:r>
      <w:rPr>
        <w:rFonts w:ascii="宋体" w:hAnsi="宋体" w:eastAsia="宋体"/>
      </w:rPr>
      <w:fldChar w:fldCharType="end"/>
    </w:r>
    <w:r>
      <w:rPr>
        <w:rFonts w:ascii="宋体" w:hAnsi="宋体" w:eastAsia="宋体"/>
      </w:rPr>
      <w:instrText xml:space="preserve">-2 \* MERGEFORMAT </w:instrText>
    </w:r>
    <w:r>
      <w:rPr>
        <w:rFonts w:ascii="宋体" w:hAnsi="宋体" w:eastAsia="宋体"/>
      </w:rPr>
      <w:fldChar w:fldCharType="separate"/>
    </w:r>
    <w:r>
      <w:rPr>
        <w:rFonts w:ascii="宋体" w:hAnsi="宋体" w:eastAsia="宋体"/>
      </w:rPr>
      <w:t>116</w:t>
    </w:r>
    <w:r>
      <w:rPr>
        <w:rFonts w:ascii="宋体" w:hAnsi="宋体" w:eastAsia="宋体"/>
      </w:rPr>
      <w:fldChar w:fldCharType="end"/>
    </w:r>
    <w:r>
      <w:rPr>
        <w:rFonts w:ascii="宋体" w:hAnsi="宋体" w:eastAsia="宋体"/>
      </w:rPr>
      <w:t>页</w:t>
    </w:r>
  </w:p>
</w:ftr>
</file>

<file path=word/footer2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535"/>
        <w:tab w:val="right" w:pos="9070"/>
        <w:tab w:val="clear" w:pos="4153"/>
        <w:tab w:val="clear" w:pos="8306"/>
      </w:tabs>
      <w:rPr>
        <w:rFonts w:ascii="宋体" w:hAnsi="宋体" w:eastAsia="宋体"/>
      </w:rPr>
    </w:pPr>
    <w:r>
      <w:rPr>
        <w:rFonts w:ascii="宋体" w:hAnsi="宋体" w:eastAsia="宋体"/>
      </w:rPr>
      <w:tab/>
    </w:r>
    <w:r>
      <w:rPr>
        <w:rFonts w:ascii="宋体" w:hAnsi="宋体" w:eastAsia="宋体"/>
      </w:rPr>
      <w:t>第</w:t>
    </w:r>
    <w:r>
      <w:rPr>
        <w:rFonts w:ascii="宋体" w:hAnsi="宋体" w:eastAsia="宋体"/>
      </w:rPr>
      <w:fldChar w:fldCharType="begin"/>
    </w:r>
    <w:r>
      <w:rPr>
        <w:rFonts w:ascii="宋体" w:hAnsi="宋体" w:eastAsia="宋体"/>
      </w:rPr>
      <w:instrText xml:space="preserve"> PAGE  \* MERGEFORMAT </w:instrText>
    </w:r>
    <w:r>
      <w:rPr>
        <w:rFonts w:ascii="宋体" w:hAnsi="宋体" w:eastAsia="宋体"/>
      </w:rPr>
      <w:fldChar w:fldCharType="separate"/>
    </w:r>
    <w:r>
      <w:rPr>
        <w:rFonts w:ascii="宋体" w:hAnsi="宋体" w:eastAsia="宋体"/>
      </w:rPr>
      <w:t>115</w:t>
    </w:r>
    <w:r>
      <w:rPr>
        <w:rFonts w:ascii="宋体" w:hAnsi="宋体" w:eastAsia="宋体"/>
      </w:rPr>
      <w:fldChar w:fldCharType="end"/>
    </w:r>
    <w:r>
      <w:rPr>
        <w:rFonts w:ascii="宋体" w:hAnsi="宋体" w:eastAsia="宋体"/>
      </w:rPr>
      <w:t>页　共</w:t>
    </w:r>
    <w:r>
      <w:rPr>
        <w:rFonts w:ascii="宋体" w:hAnsi="宋体" w:eastAsia="宋体"/>
      </w:rPr>
      <w:fldChar w:fldCharType="begin"/>
    </w:r>
    <w:r>
      <w:rPr>
        <w:rFonts w:ascii="宋体" w:hAnsi="宋体" w:eastAsia="宋体"/>
      </w:rPr>
      <w:instrText xml:space="preserve"> =</w:instrText>
    </w:r>
    <w:r>
      <w:rPr>
        <w:rFonts w:ascii="宋体" w:hAnsi="宋体" w:eastAsia="宋体"/>
      </w:rPr>
      <w:fldChar w:fldCharType="begin"/>
    </w:r>
    <w:r>
      <w:rPr>
        <w:rFonts w:ascii="宋体" w:hAnsi="宋体" w:eastAsia="宋体"/>
      </w:rPr>
      <w:instrText xml:space="preserve"> NUMPAGES  \* MERGEFORMAT </w:instrText>
    </w:r>
    <w:r>
      <w:rPr>
        <w:rFonts w:ascii="宋体" w:hAnsi="宋体" w:eastAsia="宋体"/>
      </w:rPr>
      <w:fldChar w:fldCharType="separate"/>
    </w:r>
    <w:r>
      <w:rPr>
        <w:rFonts w:ascii="宋体" w:hAnsi="宋体" w:eastAsia="宋体"/>
      </w:rPr>
      <w:instrText xml:space="preserve">118</w:instrText>
    </w:r>
    <w:r>
      <w:rPr>
        <w:rFonts w:ascii="宋体" w:hAnsi="宋体" w:eastAsia="宋体"/>
      </w:rPr>
      <w:fldChar w:fldCharType="end"/>
    </w:r>
    <w:r>
      <w:rPr>
        <w:rFonts w:ascii="宋体" w:hAnsi="宋体" w:eastAsia="宋体"/>
      </w:rPr>
      <w:instrText xml:space="preserve">-2 \* MERGEFORMAT </w:instrText>
    </w:r>
    <w:r>
      <w:rPr>
        <w:rFonts w:ascii="宋体" w:hAnsi="宋体" w:eastAsia="宋体"/>
      </w:rPr>
      <w:fldChar w:fldCharType="separate"/>
    </w:r>
    <w:r>
      <w:rPr>
        <w:rFonts w:ascii="宋体" w:hAnsi="宋体" w:eastAsia="宋体"/>
      </w:rPr>
      <w:t>116</w:t>
    </w:r>
    <w:r>
      <w:rPr>
        <w:rFonts w:ascii="宋体" w:hAnsi="宋体" w:eastAsia="宋体"/>
      </w:rPr>
      <w:fldChar w:fldCharType="end"/>
    </w:r>
    <w:r>
      <w:rPr>
        <w:rFonts w:ascii="宋体" w:hAnsi="宋体" w:eastAsia="宋体"/>
      </w:rPr>
      <w:t>页</w:t>
    </w:r>
    <w:r>
      <w:rPr>
        <w:rFonts w:ascii="宋体" w:hAnsi="宋体" w:eastAsia="宋体"/>
      </w:rPr>
      <w:tab/>
    </w:r>
    <w:r>
      <w:rPr>
        <w:rFonts w:ascii="宋体" w:hAnsi="宋体" w:eastAsia="宋体"/>
      </w:rPr>
      <w:t>西安市市级单位政府采购中心</w:t>
    </w:r>
  </w:p>
</w:ftr>
</file>

<file path=word/footer2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8"/>
      <w:tabs>
        <w:tab w:val="center" w:pos="4535"/>
        <w:tab w:val="right" w:pos="9070"/>
        <w:tab w:val="clear" w:pos="4153"/>
        <w:tab w:val="clear" w:pos="8306"/>
      </w:tabs>
      <w:rPr>
        <w:rFonts w:ascii="宋体" w:hAnsi="宋体" w:eastAsia="宋体"/>
      </w:rPr>
    </w:pPr>
    <w:r>
      <w:rPr>
        <w:rFonts w:hint="eastAsia" w:ascii="宋体" w:hAnsi="宋体" w:eastAsia="宋体"/>
      </w:rPr>
      <w:t>西安市市级单位政府采购中心</w:t>
    </w:r>
    <w:r>
      <w:rPr>
        <w:rFonts w:ascii="宋体" w:hAnsi="宋体" w:eastAsia="宋体"/>
      </w:rPr>
      <w:tab/>
    </w:r>
    <w:r>
      <w:rPr>
        <w:rFonts w:ascii="宋体" w:hAnsi="宋体" w:eastAsia="宋体"/>
      </w:rPr>
      <w:t>第</w:t>
    </w:r>
    <w:r>
      <w:rPr>
        <w:rFonts w:ascii="宋体" w:hAnsi="宋体" w:eastAsia="宋体"/>
      </w:rPr>
      <w:fldChar w:fldCharType="begin"/>
    </w:r>
    <w:r>
      <w:rPr>
        <w:rFonts w:ascii="宋体" w:hAnsi="宋体" w:eastAsia="宋体"/>
      </w:rPr>
      <w:instrText xml:space="preserve"> PAGE  \* MERGEFORMAT </w:instrText>
    </w:r>
    <w:r>
      <w:rPr>
        <w:rFonts w:ascii="宋体" w:hAnsi="宋体" w:eastAsia="宋体"/>
      </w:rPr>
      <w:fldChar w:fldCharType="separate"/>
    </w:r>
    <w:r>
      <w:rPr>
        <w:rFonts w:ascii="宋体" w:hAnsi="宋体" w:eastAsia="宋体"/>
      </w:rPr>
      <w:t>116</w:t>
    </w:r>
    <w:r>
      <w:rPr>
        <w:rFonts w:ascii="宋体" w:hAnsi="宋体" w:eastAsia="宋体"/>
      </w:rPr>
      <w:fldChar w:fldCharType="end"/>
    </w:r>
    <w:r>
      <w:rPr>
        <w:rFonts w:ascii="宋体" w:hAnsi="宋体" w:eastAsia="宋体"/>
      </w:rPr>
      <w:t>页　共</w:t>
    </w:r>
    <w:r>
      <w:rPr>
        <w:rFonts w:ascii="宋体" w:hAnsi="宋体" w:eastAsia="宋体"/>
      </w:rPr>
      <w:fldChar w:fldCharType="begin"/>
    </w:r>
    <w:r>
      <w:rPr>
        <w:rFonts w:ascii="宋体" w:hAnsi="宋体" w:eastAsia="宋体"/>
      </w:rPr>
      <w:instrText xml:space="preserve"> =</w:instrText>
    </w:r>
    <w:r>
      <w:rPr>
        <w:rFonts w:ascii="宋体" w:hAnsi="宋体" w:eastAsia="宋体"/>
      </w:rPr>
      <w:fldChar w:fldCharType="begin"/>
    </w:r>
    <w:r>
      <w:rPr>
        <w:rFonts w:ascii="宋体" w:hAnsi="宋体" w:eastAsia="宋体"/>
      </w:rPr>
      <w:instrText xml:space="preserve"> NUMPAGES  \* MERGEFORMAT </w:instrText>
    </w:r>
    <w:r>
      <w:rPr>
        <w:rFonts w:ascii="宋体" w:hAnsi="宋体" w:eastAsia="宋体"/>
      </w:rPr>
      <w:fldChar w:fldCharType="separate"/>
    </w:r>
    <w:r>
      <w:rPr>
        <w:rFonts w:ascii="宋体" w:hAnsi="宋体" w:eastAsia="宋体"/>
      </w:rPr>
      <w:instrText xml:space="preserve">118</w:instrText>
    </w:r>
    <w:r>
      <w:rPr>
        <w:rFonts w:ascii="宋体" w:hAnsi="宋体" w:eastAsia="宋体"/>
      </w:rPr>
      <w:fldChar w:fldCharType="end"/>
    </w:r>
    <w:r>
      <w:rPr>
        <w:rFonts w:ascii="宋体" w:hAnsi="宋体" w:eastAsia="宋体"/>
      </w:rPr>
      <w:instrText xml:space="preserve">-2 \* MERGEFORMAT </w:instrText>
    </w:r>
    <w:r>
      <w:rPr>
        <w:rFonts w:ascii="宋体" w:hAnsi="宋体" w:eastAsia="宋体"/>
      </w:rPr>
      <w:fldChar w:fldCharType="separate"/>
    </w:r>
    <w:r>
      <w:rPr>
        <w:rFonts w:ascii="宋体" w:hAnsi="宋体" w:eastAsia="宋体"/>
      </w:rPr>
      <w:t>116</w:t>
    </w:r>
    <w:r>
      <w:rPr>
        <w:rFonts w:ascii="宋体" w:hAnsi="宋体" w:eastAsia="宋体"/>
      </w:rPr>
      <w:fldChar w:fldCharType="end"/>
    </w:r>
    <w:r>
      <w:rPr>
        <w:rFonts w:ascii="宋体" w:hAnsi="宋体" w:eastAsia="宋体"/>
      </w:rPr>
      <w:t>页</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none" w:color="auto" w:sz="0" w:space="0"/>
      </w:pBdr>
      <w:tabs>
        <w:tab w:val="clear" w:pos="4153"/>
        <w:tab w:val="clear" w:pos="8306"/>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single" w:color="auto" w:sz="4" w:space="1"/>
      </w:pBdr>
      <w:tabs>
        <w:tab w:val="clear" w:pos="4153"/>
        <w:tab w:val="clear" w:pos="8306"/>
      </w:tabs>
      <w:jc w:val="left"/>
      <w:rPr>
        <w:rFonts w:ascii="宋体" w:hAnsi="宋体" w:eastAsia="宋体"/>
      </w:rPr>
    </w:pPr>
    <w:r>
      <w:rPr>
        <w:rFonts w:hint="eastAsia" w:ascii="宋体" w:hAnsi="宋体" w:eastAsia="宋体"/>
      </w:rPr>
      <w:t>西安市中医医院南院区后勤社会化托管服务项目</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single" w:color="auto" w:sz="4" w:space="1"/>
      </w:pBdr>
      <w:tabs>
        <w:tab w:val="clear" w:pos="4153"/>
        <w:tab w:val="clear" w:pos="8306"/>
      </w:tabs>
      <w:jc w:val="right"/>
      <w:rPr>
        <w:rFonts w:ascii="宋体" w:hAnsi="宋体" w:eastAsia="宋体"/>
      </w:rPr>
    </w:pPr>
    <w:r>
      <w:rPr>
        <w:rFonts w:hint="eastAsia" w:ascii="宋体" w:hAnsi="宋体" w:eastAsia="宋体"/>
      </w:rPr>
      <w:t>西安市中医医院南院区后勤社会化托管服务项目</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9"/>
      <w:pBdr>
        <w:bottom w:val="single" w:color="auto" w:sz="4" w:space="1"/>
      </w:pBdr>
      <w:tabs>
        <w:tab w:val="clear" w:pos="4153"/>
        <w:tab w:val="clear" w:pos="8306"/>
      </w:tabs>
      <w:jc w:val="left"/>
      <w:rPr>
        <w:rFonts w:ascii="宋体" w:hAnsi="宋体" w:eastAsia="宋体"/>
      </w:rPr>
    </w:pPr>
    <w:r>
      <w:rPr>
        <w:rFonts w:hint="eastAsia" w:ascii="宋体" w:hAnsi="宋体" w:eastAsia="宋体"/>
      </w:rPr>
      <w:t>西安市中医医院南院区后勤社会化托管服务项目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75C8A39"/>
    <w:multiLevelType w:val="singleLevel"/>
    <w:tmpl w:val="975C8A39"/>
    <w:lvl w:ilvl="0" w:tentative="0">
      <w:start w:val="1"/>
      <w:numFmt w:val="decimal"/>
      <w:suff w:val="nothing"/>
      <w:lvlText w:val="%1．"/>
      <w:lvlJc w:val="left"/>
      <w:pPr>
        <w:ind w:left="0" w:firstLine="400"/>
      </w:pPr>
      <w:rPr>
        <w:rFonts w:hint="default"/>
      </w:rPr>
    </w:lvl>
  </w:abstractNum>
  <w:abstractNum w:abstractNumId="1">
    <w:nsid w:val="FFEA3623"/>
    <w:multiLevelType w:val="singleLevel"/>
    <w:tmpl w:val="FFEA3623"/>
    <w:lvl w:ilvl="0" w:tentative="0">
      <w:start w:val="1"/>
      <w:numFmt w:val="decimalEnclosedCircleChinese"/>
      <w:suff w:val="nothing"/>
      <w:lvlText w:val="%1　"/>
      <w:lvlJc w:val="left"/>
      <w:pPr>
        <w:ind w:left="0" w:firstLine="400"/>
      </w:pPr>
      <w:rPr>
        <w:rFonts w:hint="eastAsia"/>
      </w:rPr>
    </w:lvl>
  </w:abstractNum>
  <w:abstractNum w:abstractNumId="2">
    <w:nsid w:val="3F402DFD"/>
    <w:multiLevelType w:val="multilevel"/>
    <w:tmpl w:val="3F402DFD"/>
    <w:lvl w:ilvl="0" w:tentative="0">
      <w:start w:val="1"/>
      <w:numFmt w:val="decimal"/>
      <w:lvlText w:val="%1"/>
      <w:lvlJc w:val="center"/>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50AC295F"/>
    <w:multiLevelType w:val="multilevel"/>
    <w:tmpl w:val="50AC295F"/>
    <w:lvl w:ilvl="0" w:tentative="0">
      <w:start w:val="1"/>
      <w:numFmt w:val="none"/>
      <w:pStyle w:val="100"/>
      <w:suff w:val="nothing"/>
      <w:lvlText w:val=""/>
      <w:lvlJc w:val="center"/>
      <w:pPr>
        <w:ind w:left="0" w:firstLine="0"/>
      </w:pPr>
      <w:rPr>
        <w:rFonts w:hint="default" w:ascii="Calibri" w:hAnsi="Calibri" w:eastAsia="黑体"/>
        <w:b w:val="0"/>
        <w:i w:val="0"/>
        <w:caps w:val="0"/>
        <w:strike w:val="0"/>
        <w:dstrike w:val="0"/>
        <w:snapToGrid/>
        <w:vanish w:val="0"/>
        <w:spacing w:val="0"/>
        <w:w w:val="100"/>
        <w:kern w:val="44"/>
        <w:position w:val="0"/>
        <w:sz w:val="32"/>
        <w:vertAlign w:val="baseline"/>
        <w14:cntxtalts w14:val="0"/>
      </w:rPr>
    </w:lvl>
    <w:lvl w:ilvl="1" w:tentative="0">
      <w:start w:val="1"/>
      <w:numFmt w:val="decimal"/>
      <w:lvlText w:val="%1.%2"/>
      <w:lvlJc w:val="left"/>
      <w:pPr>
        <w:ind w:left="576" w:hanging="576"/>
      </w:pPr>
      <w:rPr>
        <w:rFonts w:hint="eastAsia"/>
      </w:rPr>
    </w:lvl>
    <w:lvl w:ilvl="2" w:tentative="0">
      <w:start w:val="1"/>
      <w:numFmt w:val="decimal"/>
      <w:lvlText w:val="%1.%2.%3"/>
      <w:lvlJc w:val="left"/>
      <w:pPr>
        <w:ind w:left="720" w:hanging="720"/>
      </w:pPr>
      <w:rPr>
        <w:rFonts w:hint="eastAsia"/>
      </w:rPr>
    </w:lvl>
    <w:lvl w:ilvl="3" w:tentative="0">
      <w:start w:val="1"/>
      <w:numFmt w:val="decimal"/>
      <w:lvlText w:val="%1.%2.%3.%4"/>
      <w:lvlJc w:val="left"/>
      <w:pPr>
        <w:ind w:left="864" w:hanging="864"/>
      </w:pPr>
      <w:rPr>
        <w:rFonts w:hint="eastAsia"/>
      </w:rPr>
    </w:lvl>
    <w:lvl w:ilvl="4" w:tentative="0">
      <w:start w:val="1"/>
      <w:numFmt w:val="decimal"/>
      <w:lvlText w:val="%1.%2.%3.%4.%5"/>
      <w:lvlJc w:val="left"/>
      <w:pPr>
        <w:ind w:left="1008" w:hanging="1008"/>
      </w:pPr>
      <w:rPr>
        <w:rFonts w:hint="eastAsia"/>
      </w:rPr>
    </w:lvl>
    <w:lvl w:ilvl="5" w:tentative="0">
      <w:start w:val="1"/>
      <w:numFmt w:val="decimal"/>
      <w:lvlText w:val="%1.%2.%3.%4.%5.%6"/>
      <w:lvlJc w:val="left"/>
      <w:pPr>
        <w:ind w:left="1152" w:hanging="1152"/>
      </w:pPr>
      <w:rPr>
        <w:rFonts w:hint="eastAsia"/>
      </w:rPr>
    </w:lvl>
    <w:lvl w:ilvl="6" w:tentative="0">
      <w:start w:val="1"/>
      <w:numFmt w:val="decimal"/>
      <w:lvlText w:val="%1.%2.%3.%4.%5.%6.%7"/>
      <w:lvlJc w:val="left"/>
      <w:pPr>
        <w:ind w:left="1296" w:hanging="1296"/>
      </w:pPr>
      <w:rPr>
        <w:rFonts w:hint="eastAsia"/>
      </w:rPr>
    </w:lvl>
    <w:lvl w:ilvl="7" w:tentative="0">
      <w:start w:val="1"/>
      <w:numFmt w:val="decimal"/>
      <w:lvlText w:val="%1.%2.%3.%4.%5.%6.%7.%8"/>
      <w:lvlJc w:val="left"/>
      <w:pPr>
        <w:ind w:left="1440" w:hanging="1440"/>
      </w:pPr>
      <w:rPr>
        <w:rFonts w:hint="eastAsia"/>
      </w:rPr>
    </w:lvl>
    <w:lvl w:ilvl="8" w:tentative="0">
      <w:start w:val="1"/>
      <w:numFmt w:val="decimal"/>
      <w:lvlText w:val="%1.%2.%3.%4.%5.%6.%7.%8.%9"/>
      <w:lvlJc w:val="left"/>
      <w:pPr>
        <w:ind w:left="1584" w:hanging="1584"/>
      </w:pPr>
      <w:rPr>
        <w:rFonts w:hint="eastAsia"/>
      </w:rPr>
    </w:lvl>
  </w:abstractNum>
  <w:abstractNum w:abstractNumId="4">
    <w:nsid w:val="6D4132C2"/>
    <w:multiLevelType w:val="multilevel"/>
    <w:tmpl w:val="6D4132C2"/>
    <w:lvl w:ilvl="0" w:tentative="0">
      <w:start w:val="1"/>
      <w:numFmt w:val="none"/>
      <w:pStyle w:val="2"/>
      <w:suff w:val="nothing"/>
      <w:lvlText w:val=""/>
      <w:lvlJc w:val="center"/>
      <w:pPr>
        <w:ind w:left="0" w:firstLine="0"/>
      </w:pPr>
      <w:rPr>
        <w:rFonts w:hint="default" w:ascii="Calibri" w:hAnsi="Calibri" w:eastAsia="黑体"/>
        <w:b w:val="0"/>
        <w:i w:val="0"/>
        <w:caps w:val="0"/>
        <w:strike w:val="0"/>
        <w:dstrike w:val="0"/>
        <w:snapToGrid/>
        <w:vanish w:val="0"/>
        <w:spacing w:val="0"/>
        <w:w w:val="100"/>
        <w:kern w:val="44"/>
        <w:position w:val="0"/>
        <w:sz w:val="32"/>
        <w:vertAlign w:val="baseline"/>
        <w14:cntxtalts w14:val="0"/>
      </w:rPr>
    </w:lvl>
    <w:lvl w:ilvl="1" w:tentative="0">
      <w:start w:val="1"/>
      <w:numFmt w:val="none"/>
      <w:pStyle w:val="3"/>
      <w:suff w:val="nothing"/>
      <w:lvlText w:val=""/>
      <w:lvlJc w:val="left"/>
      <w:pPr>
        <w:ind w:left="0" w:firstLine="0"/>
      </w:pPr>
      <w:rPr>
        <w:rFonts w:hint="default" w:ascii="Calibri" w:hAnsi="Calibri" w:eastAsia="黑体"/>
        <w:b w:val="0"/>
        <w:i w:val="0"/>
        <w:caps w:val="0"/>
        <w:strike w:val="0"/>
        <w:dstrike w:val="0"/>
        <w:snapToGrid/>
        <w:vanish w:val="0"/>
        <w:spacing w:val="0"/>
        <w:w w:val="100"/>
        <w:kern w:val="32"/>
        <w:position w:val="0"/>
        <w:sz w:val="32"/>
        <w:vertAlign w:val="baseline"/>
        <w14:cntxtalts w14:val="0"/>
      </w:rPr>
    </w:lvl>
    <w:lvl w:ilvl="2" w:tentative="0">
      <w:start w:val="1"/>
      <w:numFmt w:val="none"/>
      <w:pStyle w:val="4"/>
      <w:suff w:val="nothing"/>
      <w:lvlText w:val=""/>
      <w:lvlJc w:val="left"/>
      <w:pPr>
        <w:ind w:left="0" w:firstLine="289"/>
      </w:pPr>
      <w:rPr>
        <w:rFonts w:hint="default" w:ascii="Calibri Light" w:hAnsi="Calibri Light" w:eastAsia="宋体"/>
        <w:b/>
        <w:i w:val="0"/>
        <w:caps w:val="0"/>
        <w:strike w:val="0"/>
        <w:dstrike w:val="0"/>
        <w:snapToGrid/>
        <w:vanish w:val="0"/>
        <w:spacing w:val="0"/>
        <w:w w:val="100"/>
        <w:kern w:val="30"/>
        <w:position w:val="0"/>
        <w:sz w:val="30"/>
        <w:vertAlign w:val="baseline"/>
        <w14:cntxtalts w14:val="0"/>
      </w:rPr>
    </w:lvl>
    <w:lvl w:ilvl="3" w:tentative="0">
      <w:start w:val="1"/>
      <w:numFmt w:val="decimal"/>
      <w:pStyle w:val="5"/>
      <w:lvlText w:val="%1.%2.%3.%4"/>
      <w:lvlJc w:val="left"/>
      <w:pPr>
        <w:ind w:left="864" w:hanging="864"/>
      </w:pPr>
      <w:rPr>
        <w:rFonts w:hint="eastAsia"/>
      </w:rPr>
    </w:lvl>
    <w:lvl w:ilvl="4" w:tentative="0">
      <w:start w:val="1"/>
      <w:numFmt w:val="decimal"/>
      <w:pStyle w:val="6"/>
      <w:lvlText w:val="%1.%2.%3.%4.%5"/>
      <w:lvlJc w:val="left"/>
      <w:pPr>
        <w:ind w:left="1008" w:hanging="1008"/>
      </w:pPr>
      <w:rPr>
        <w:rFonts w:hint="eastAsia"/>
      </w:rPr>
    </w:lvl>
    <w:lvl w:ilvl="5" w:tentative="0">
      <w:start w:val="1"/>
      <w:numFmt w:val="decimal"/>
      <w:pStyle w:val="7"/>
      <w:lvlText w:val="%1.%2.%3.%4.%5.%6"/>
      <w:lvlJc w:val="left"/>
      <w:pPr>
        <w:ind w:left="1152" w:hanging="1152"/>
      </w:pPr>
      <w:rPr>
        <w:rFonts w:hint="eastAsia"/>
      </w:rPr>
    </w:lvl>
    <w:lvl w:ilvl="6" w:tentative="0">
      <w:start w:val="1"/>
      <w:numFmt w:val="decimal"/>
      <w:pStyle w:val="8"/>
      <w:lvlText w:val="%1.%2.%3.%4.%5.%6.%7"/>
      <w:lvlJc w:val="left"/>
      <w:pPr>
        <w:ind w:left="1296" w:hanging="1296"/>
      </w:pPr>
      <w:rPr>
        <w:rFonts w:hint="eastAsia"/>
      </w:rPr>
    </w:lvl>
    <w:lvl w:ilvl="7" w:tentative="0">
      <w:start w:val="1"/>
      <w:numFmt w:val="decimal"/>
      <w:pStyle w:val="9"/>
      <w:lvlText w:val="%1.%2.%3.%4.%5.%6.%7.%8"/>
      <w:lvlJc w:val="left"/>
      <w:pPr>
        <w:ind w:left="1440" w:hanging="1440"/>
      </w:pPr>
      <w:rPr>
        <w:rFonts w:hint="eastAsia"/>
      </w:rPr>
    </w:lvl>
    <w:lvl w:ilvl="8" w:tentative="0">
      <w:start w:val="1"/>
      <w:numFmt w:val="decimal"/>
      <w:pStyle w:val="10"/>
      <w:lvlText w:val="%1.%2.%3.%4.%5.%6.%7.%8.%9"/>
      <w:lvlJc w:val="left"/>
      <w:pPr>
        <w:ind w:left="1584" w:hanging="1584"/>
      </w:pPr>
      <w:rPr>
        <w:rFonts w:hint="eastAsia"/>
      </w:rPr>
    </w:lvl>
  </w:abstractNum>
  <w:abstractNum w:abstractNumId="5">
    <w:nsid w:val="6EFC7929"/>
    <w:multiLevelType w:val="multilevel"/>
    <w:tmpl w:val="6EFC7929"/>
    <w:lvl w:ilvl="0" w:tentative="0">
      <w:start w:val="1"/>
      <w:numFmt w:val="decimal"/>
      <w:pStyle w:val="105"/>
      <w:lvlText w:val="%1)"/>
      <w:lvlJc w:val="left"/>
      <w:pPr>
        <w:ind w:left="660" w:hanging="420"/>
      </w:pPr>
      <w:rPr>
        <w:rFonts w:hint="eastAsia"/>
      </w:rPr>
    </w:lvl>
    <w:lvl w:ilvl="1" w:tentative="0">
      <w:start w:val="1"/>
      <w:numFmt w:val="lowerLetter"/>
      <w:lvlText w:val="%2)"/>
      <w:lvlJc w:val="left"/>
      <w:pPr>
        <w:ind w:left="1080" w:hanging="420"/>
      </w:pPr>
    </w:lvl>
    <w:lvl w:ilvl="2" w:tentative="0">
      <w:start w:val="1"/>
      <w:numFmt w:val="lowerRoman"/>
      <w:lvlText w:val="%3."/>
      <w:lvlJc w:val="right"/>
      <w:pPr>
        <w:ind w:left="1500" w:hanging="420"/>
      </w:pPr>
    </w:lvl>
    <w:lvl w:ilvl="3" w:tentative="0">
      <w:start w:val="1"/>
      <w:numFmt w:val="decimal"/>
      <w:lvlText w:val="%4."/>
      <w:lvlJc w:val="left"/>
      <w:pPr>
        <w:ind w:left="1920" w:hanging="420"/>
      </w:pPr>
    </w:lvl>
    <w:lvl w:ilvl="4" w:tentative="0">
      <w:start w:val="1"/>
      <w:numFmt w:val="lowerLetter"/>
      <w:lvlText w:val="%5)"/>
      <w:lvlJc w:val="left"/>
      <w:pPr>
        <w:ind w:left="2340" w:hanging="420"/>
      </w:pPr>
    </w:lvl>
    <w:lvl w:ilvl="5" w:tentative="0">
      <w:start w:val="1"/>
      <w:numFmt w:val="lowerRoman"/>
      <w:lvlText w:val="%6."/>
      <w:lvlJc w:val="right"/>
      <w:pPr>
        <w:ind w:left="2760" w:hanging="420"/>
      </w:pPr>
    </w:lvl>
    <w:lvl w:ilvl="6" w:tentative="0">
      <w:start w:val="1"/>
      <w:numFmt w:val="decimal"/>
      <w:lvlText w:val="%7."/>
      <w:lvlJc w:val="left"/>
      <w:pPr>
        <w:ind w:left="3180" w:hanging="420"/>
      </w:pPr>
    </w:lvl>
    <w:lvl w:ilvl="7" w:tentative="0">
      <w:start w:val="1"/>
      <w:numFmt w:val="lowerLetter"/>
      <w:lvlText w:val="%8)"/>
      <w:lvlJc w:val="left"/>
      <w:pPr>
        <w:ind w:left="3600" w:hanging="420"/>
      </w:pPr>
    </w:lvl>
    <w:lvl w:ilvl="8" w:tentative="0">
      <w:start w:val="1"/>
      <w:numFmt w:val="lowerRoman"/>
      <w:lvlText w:val="%9."/>
      <w:lvlJc w:val="right"/>
      <w:pPr>
        <w:ind w:left="4020" w:hanging="420"/>
      </w:pPr>
    </w:lvl>
  </w:abstractNum>
  <w:abstractNum w:abstractNumId="6">
    <w:nsid w:val="7DFE404B"/>
    <w:multiLevelType w:val="singleLevel"/>
    <w:tmpl w:val="7DFE404B"/>
    <w:lvl w:ilvl="0" w:tentative="0">
      <w:start w:val="1"/>
      <w:numFmt w:val="decimalEnclosedCircleChinese"/>
      <w:suff w:val="nothing"/>
      <w:lvlText w:val="%1　"/>
      <w:lvlJc w:val="left"/>
      <w:pPr>
        <w:ind w:left="0" w:firstLine="400"/>
      </w:pPr>
      <w:rPr>
        <w:rFonts w:hint="eastAsia"/>
      </w:rPr>
    </w:lvl>
  </w:abstractNum>
  <w:num w:numId="1">
    <w:abstractNumId w:val="4"/>
  </w:num>
  <w:num w:numId="2">
    <w:abstractNumId w:val="3"/>
  </w:num>
  <w:num w:numId="3">
    <w:abstractNumId w:val="5"/>
  </w:num>
  <w:num w:numId="4">
    <w:abstractNumId w:val="2"/>
  </w:num>
  <w:num w:numId="5">
    <w:abstractNumId w:val="0"/>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hideSpellingErrors/>
  <w:attachedTemplate r:id="rId1"/>
  <w:documentProtection w:enforcement="0"/>
  <w:defaultTabStop w:val="420"/>
  <w:evenAndOddHeaders w:val="1"/>
  <w:drawingGridHorizontalSpacing w:val="120"/>
  <w:drawingGridVerticalSpacing w:val="23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772D"/>
    <w:rsid w:val="0000159C"/>
    <w:rsid w:val="000019FA"/>
    <w:rsid w:val="000023C4"/>
    <w:rsid w:val="00002BB3"/>
    <w:rsid w:val="00003B6F"/>
    <w:rsid w:val="00003F53"/>
    <w:rsid w:val="0000473B"/>
    <w:rsid w:val="00004F9A"/>
    <w:rsid w:val="00005E26"/>
    <w:rsid w:val="00006A52"/>
    <w:rsid w:val="0000732D"/>
    <w:rsid w:val="00010FED"/>
    <w:rsid w:val="00012137"/>
    <w:rsid w:val="00012844"/>
    <w:rsid w:val="00012F9B"/>
    <w:rsid w:val="0001350D"/>
    <w:rsid w:val="00013929"/>
    <w:rsid w:val="00014DAF"/>
    <w:rsid w:val="00015802"/>
    <w:rsid w:val="00016042"/>
    <w:rsid w:val="000162A2"/>
    <w:rsid w:val="00017463"/>
    <w:rsid w:val="00020E4A"/>
    <w:rsid w:val="00021AF9"/>
    <w:rsid w:val="0002264A"/>
    <w:rsid w:val="00022A4E"/>
    <w:rsid w:val="00022F41"/>
    <w:rsid w:val="00023261"/>
    <w:rsid w:val="000234CF"/>
    <w:rsid w:val="000235C8"/>
    <w:rsid w:val="00023E4D"/>
    <w:rsid w:val="00024A81"/>
    <w:rsid w:val="000251DF"/>
    <w:rsid w:val="00026284"/>
    <w:rsid w:val="0002669B"/>
    <w:rsid w:val="00027B08"/>
    <w:rsid w:val="00027E6B"/>
    <w:rsid w:val="000307EC"/>
    <w:rsid w:val="0003251F"/>
    <w:rsid w:val="00032BB4"/>
    <w:rsid w:val="00032CC1"/>
    <w:rsid w:val="00033096"/>
    <w:rsid w:val="00033377"/>
    <w:rsid w:val="00033B5A"/>
    <w:rsid w:val="00035CCD"/>
    <w:rsid w:val="000378D7"/>
    <w:rsid w:val="00037B29"/>
    <w:rsid w:val="00037F2F"/>
    <w:rsid w:val="00037FD3"/>
    <w:rsid w:val="000403A2"/>
    <w:rsid w:val="0004041F"/>
    <w:rsid w:val="00040799"/>
    <w:rsid w:val="00040973"/>
    <w:rsid w:val="000434BD"/>
    <w:rsid w:val="0004367E"/>
    <w:rsid w:val="00043830"/>
    <w:rsid w:val="000440AF"/>
    <w:rsid w:val="00044F32"/>
    <w:rsid w:val="00047455"/>
    <w:rsid w:val="00051EF3"/>
    <w:rsid w:val="00052177"/>
    <w:rsid w:val="0005253E"/>
    <w:rsid w:val="00053E27"/>
    <w:rsid w:val="000543B4"/>
    <w:rsid w:val="00054879"/>
    <w:rsid w:val="000556F1"/>
    <w:rsid w:val="00055F81"/>
    <w:rsid w:val="0005692F"/>
    <w:rsid w:val="000570B9"/>
    <w:rsid w:val="00061066"/>
    <w:rsid w:val="00061A13"/>
    <w:rsid w:val="0006226C"/>
    <w:rsid w:val="00062828"/>
    <w:rsid w:val="00062D84"/>
    <w:rsid w:val="00063A03"/>
    <w:rsid w:val="00063EEF"/>
    <w:rsid w:val="00064071"/>
    <w:rsid w:val="00064386"/>
    <w:rsid w:val="00067A39"/>
    <w:rsid w:val="00067D44"/>
    <w:rsid w:val="0007053B"/>
    <w:rsid w:val="00070AA6"/>
    <w:rsid w:val="00072084"/>
    <w:rsid w:val="00073A16"/>
    <w:rsid w:val="00074562"/>
    <w:rsid w:val="0007534F"/>
    <w:rsid w:val="000770B7"/>
    <w:rsid w:val="00077B80"/>
    <w:rsid w:val="00077C27"/>
    <w:rsid w:val="000815B4"/>
    <w:rsid w:val="00084264"/>
    <w:rsid w:val="00084335"/>
    <w:rsid w:val="000857F2"/>
    <w:rsid w:val="00085999"/>
    <w:rsid w:val="0008603F"/>
    <w:rsid w:val="00086D2C"/>
    <w:rsid w:val="00090002"/>
    <w:rsid w:val="00090278"/>
    <w:rsid w:val="000906B5"/>
    <w:rsid w:val="000911CC"/>
    <w:rsid w:val="00092417"/>
    <w:rsid w:val="00093AD5"/>
    <w:rsid w:val="00094667"/>
    <w:rsid w:val="000951C6"/>
    <w:rsid w:val="000952F2"/>
    <w:rsid w:val="00095A8D"/>
    <w:rsid w:val="00096428"/>
    <w:rsid w:val="00096A52"/>
    <w:rsid w:val="00097CDB"/>
    <w:rsid w:val="000A0237"/>
    <w:rsid w:val="000A0EFD"/>
    <w:rsid w:val="000A159C"/>
    <w:rsid w:val="000A1B38"/>
    <w:rsid w:val="000A1F6A"/>
    <w:rsid w:val="000A2583"/>
    <w:rsid w:val="000A2B11"/>
    <w:rsid w:val="000A429E"/>
    <w:rsid w:val="000A5415"/>
    <w:rsid w:val="000A7A6A"/>
    <w:rsid w:val="000B003E"/>
    <w:rsid w:val="000B129A"/>
    <w:rsid w:val="000B4360"/>
    <w:rsid w:val="000B5741"/>
    <w:rsid w:val="000B5ACF"/>
    <w:rsid w:val="000B5DE5"/>
    <w:rsid w:val="000B6858"/>
    <w:rsid w:val="000B7806"/>
    <w:rsid w:val="000B7B93"/>
    <w:rsid w:val="000C048C"/>
    <w:rsid w:val="000C078B"/>
    <w:rsid w:val="000C21A4"/>
    <w:rsid w:val="000C22A9"/>
    <w:rsid w:val="000C3ADC"/>
    <w:rsid w:val="000C4C29"/>
    <w:rsid w:val="000C538D"/>
    <w:rsid w:val="000C59A5"/>
    <w:rsid w:val="000C774E"/>
    <w:rsid w:val="000D0AF3"/>
    <w:rsid w:val="000D0DE1"/>
    <w:rsid w:val="000D1277"/>
    <w:rsid w:val="000D12BE"/>
    <w:rsid w:val="000D159C"/>
    <w:rsid w:val="000D4097"/>
    <w:rsid w:val="000D5A0E"/>
    <w:rsid w:val="000D7EAE"/>
    <w:rsid w:val="000E023C"/>
    <w:rsid w:val="000E1433"/>
    <w:rsid w:val="000E17C6"/>
    <w:rsid w:val="000E3C31"/>
    <w:rsid w:val="000E3FB5"/>
    <w:rsid w:val="000E49C1"/>
    <w:rsid w:val="000E5C68"/>
    <w:rsid w:val="000E5DED"/>
    <w:rsid w:val="000E6AE7"/>
    <w:rsid w:val="000F0C8A"/>
    <w:rsid w:val="000F1A9A"/>
    <w:rsid w:val="000F2036"/>
    <w:rsid w:val="000F27AD"/>
    <w:rsid w:val="000F2BEC"/>
    <w:rsid w:val="000F35AB"/>
    <w:rsid w:val="000F3645"/>
    <w:rsid w:val="000F476D"/>
    <w:rsid w:val="000F499A"/>
    <w:rsid w:val="000F4ECB"/>
    <w:rsid w:val="000F4FAD"/>
    <w:rsid w:val="000F5422"/>
    <w:rsid w:val="000F56A5"/>
    <w:rsid w:val="000F66FE"/>
    <w:rsid w:val="000F6831"/>
    <w:rsid w:val="000F6A10"/>
    <w:rsid w:val="000F735B"/>
    <w:rsid w:val="000F7883"/>
    <w:rsid w:val="000F7C85"/>
    <w:rsid w:val="000F7D8E"/>
    <w:rsid w:val="000F7DA6"/>
    <w:rsid w:val="00100C1B"/>
    <w:rsid w:val="00102167"/>
    <w:rsid w:val="00103379"/>
    <w:rsid w:val="001039E8"/>
    <w:rsid w:val="00103D6B"/>
    <w:rsid w:val="00104D98"/>
    <w:rsid w:val="001059A0"/>
    <w:rsid w:val="00106530"/>
    <w:rsid w:val="001067F9"/>
    <w:rsid w:val="0010742F"/>
    <w:rsid w:val="00107B8A"/>
    <w:rsid w:val="00107BFB"/>
    <w:rsid w:val="001101BD"/>
    <w:rsid w:val="0011093D"/>
    <w:rsid w:val="00110A87"/>
    <w:rsid w:val="001118A7"/>
    <w:rsid w:val="00111F0F"/>
    <w:rsid w:val="00112C4F"/>
    <w:rsid w:val="001131D6"/>
    <w:rsid w:val="00113B9B"/>
    <w:rsid w:val="0012085C"/>
    <w:rsid w:val="00121279"/>
    <w:rsid w:val="00121FC0"/>
    <w:rsid w:val="001221AC"/>
    <w:rsid w:val="00122A12"/>
    <w:rsid w:val="00122BAC"/>
    <w:rsid w:val="00122D76"/>
    <w:rsid w:val="001232DE"/>
    <w:rsid w:val="001232E1"/>
    <w:rsid w:val="001240BB"/>
    <w:rsid w:val="001257D4"/>
    <w:rsid w:val="00127CCB"/>
    <w:rsid w:val="0013005B"/>
    <w:rsid w:val="0013015E"/>
    <w:rsid w:val="0013081C"/>
    <w:rsid w:val="001315EA"/>
    <w:rsid w:val="00131904"/>
    <w:rsid w:val="0013342E"/>
    <w:rsid w:val="001338D9"/>
    <w:rsid w:val="00133ADB"/>
    <w:rsid w:val="00134EE2"/>
    <w:rsid w:val="001351E3"/>
    <w:rsid w:val="00135AA2"/>
    <w:rsid w:val="00136D4A"/>
    <w:rsid w:val="0013712F"/>
    <w:rsid w:val="00137CD5"/>
    <w:rsid w:val="00137E7B"/>
    <w:rsid w:val="00140177"/>
    <w:rsid w:val="00140FE0"/>
    <w:rsid w:val="0014110E"/>
    <w:rsid w:val="00142244"/>
    <w:rsid w:val="001454AD"/>
    <w:rsid w:val="001455F6"/>
    <w:rsid w:val="001456C7"/>
    <w:rsid w:val="00145925"/>
    <w:rsid w:val="00145DA0"/>
    <w:rsid w:val="00152476"/>
    <w:rsid w:val="001534EC"/>
    <w:rsid w:val="0015361E"/>
    <w:rsid w:val="00155B9F"/>
    <w:rsid w:val="00156862"/>
    <w:rsid w:val="00156ED5"/>
    <w:rsid w:val="0015782A"/>
    <w:rsid w:val="00157FB1"/>
    <w:rsid w:val="00160A34"/>
    <w:rsid w:val="00162008"/>
    <w:rsid w:val="00162710"/>
    <w:rsid w:val="001630D0"/>
    <w:rsid w:val="00163F04"/>
    <w:rsid w:val="00164101"/>
    <w:rsid w:val="00164EE1"/>
    <w:rsid w:val="001664B2"/>
    <w:rsid w:val="00166804"/>
    <w:rsid w:val="001668AF"/>
    <w:rsid w:val="00166FD9"/>
    <w:rsid w:val="00167ECE"/>
    <w:rsid w:val="0017054A"/>
    <w:rsid w:val="00171A61"/>
    <w:rsid w:val="00172DAF"/>
    <w:rsid w:val="00173749"/>
    <w:rsid w:val="00173A35"/>
    <w:rsid w:val="0017410F"/>
    <w:rsid w:val="00174285"/>
    <w:rsid w:val="00175756"/>
    <w:rsid w:val="00176CF3"/>
    <w:rsid w:val="00176F0E"/>
    <w:rsid w:val="00182728"/>
    <w:rsid w:val="00182C33"/>
    <w:rsid w:val="0018316D"/>
    <w:rsid w:val="0018493A"/>
    <w:rsid w:val="00184A1D"/>
    <w:rsid w:val="00184DE0"/>
    <w:rsid w:val="00184F72"/>
    <w:rsid w:val="00187440"/>
    <w:rsid w:val="00187846"/>
    <w:rsid w:val="00191413"/>
    <w:rsid w:val="00191693"/>
    <w:rsid w:val="00191834"/>
    <w:rsid w:val="00191A7E"/>
    <w:rsid w:val="00191D5F"/>
    <w:rsid w:val="00191DD9"/>
    <w:rsid w:val="001925F4"/>
    <w:rsid w:val="00192E10"/>
    <w:rsid w:val="00193B5F"/>
    <w:rsid w:val="001947E8"/>
    <w:rsid w:val="00194890"/>
    <w:rsid w:val="0019564E"/>
    <w:rsid w:val="00195BFF"/>
    <w:rsid w:val="00196A1C"/>
    <w:rsid w:val="00196DD9"/>
    <w:rsid w:val="00197160"/>
    <w:rsid w:val="00197C5C"/>
    <w:rsid w:val="001A0376"/>
    <w:rsid w:val="001A0C97"/>
    <w:rsid w:val="001A127F"/>
    <w:rsid w:val="001A2103"/>
    <w:rsid w:val="001A5309"/>
    <w:rsid w:val="001A5764"/>
    <w:rsid w:val="001B0699"/>
    <w:rsid w:val="001B0C7B"/>
    <w:rsid w:val="001B2019"/>
    <w:rsid w:val="001B49FD"/>
    <w:rsid w:val="001B5302"/>
    <w:rsid w:val="001B6115"/>
    <w:rsid w:val="001C0A0A"/>
    <w:rsid w:val="001C0BA3"/>
    <w:rsid w:val="001C0BBD"/>
    <w:rsid w:val="001C1076"/>
    <w:rsid w:val="001C25ED"/>
    <w:rsid w:val="001C4AFC"/>
    <w:rsid w:val="001C5BE5"/>
    <w:rsid w:val="001C607B"/>
    <w:rsid w:val="001C732E"/>
    <w:rsid w:val="001D1423"/>
    <w:rsid w:val="001D1BCB"/>
    <w:rsid w:val="001D22C0"/>
    <w:rsid w:val="001D22E7"/>
    <w:rsid w:val="001D2CE5"/>
    <w:rsid w:val="001D3803"/>
    <w:rsid w:val="001D4171"/>
    <w:rsid w:val="001D4442"/>
    <w:rsid w:val="001D576E"/>
    <w:rsid w:val="001D59E2"/>
    <w:rsid w:val="001D70BC"/>
    <w:rsid w:val="001D75CD"/>
    <w:rsid w:val="001D7E0C"/>
    <w:rsid w:val="001E0376"/>
    <w:rsid w:val="001E0C4B"/>
    <w:rsid w:val="001E1BA4"/>
    <w:rsid w:val="001E1DFE"/>
    <w:rsid w:val="001E2BB9"/>
    <w:rsid w:val="001E35E0"/>
    <w:rsid w:val="001E568C"/>
    <w:rsid w:val="001E6560"/>
    <w:rsid w:val="001E6A70"/>
    <w:rsid w:val="001E7761"/>
    <w:rsid w:val="001E790E"/>
    <w:rsid w:val="001F0A60"/>
    <w:rsid w:val="001F2059"/>
    <w:rsid w:val="001F23C9"/>
    <w:rsid w:val="001F2A6A"/>
    <w:rsid w:val="001F4827"/>
    <w:rsid w:val="001F49A1"/>
    <w:rsid w:val="001F4ACC"/>
    <w:rsid w:val="001F4E4E"/>
    <w:rsid w:val="001F7532"/>
    <w:rsid w:val="001F779A"/>
    <w:rsid w:val="001F7B5A"/>
    <w:rsid w:val="00200E55"/>
    <w:rsid w:val="00201795"/>
    <w:rsid w:val="002017D8"/>
    <w:rsid w:val="002027F6"/>
    <w:rsid w:val="0020345A"/>
    <w:rsid w:val="002039B1"/>
    <w:rsid w:val="0020498C"/>
    <w:rsid w:val="002051A7"/>
    <w:rsid w:val="00207790"/>
    <w:rsid w:val="00210476"/>
    <w:rsid w:val="00210CFC"/>
    <w:rsid w:val="00210FBE"/>
    <w:rsid w:val="002111A6"/>
    <w:rsid w:val="00212328"/>
    <w:rsid w:val="002125C8"/>
    <w:rsid w:val="00213205"/>
    <w:rsid w:val="002137AF"/>
    <w:rsid w:val="002162DB"/>
    <w:rsid w:val="002174B0"/>
    <w:rsid w:val="002201A0"/>
    <w:rsid w:val="00220787"/>
    <w:rsid w:val="002209DE"/>
    <w:rsid w:val="00221727"/>
    <w:rsid w:val="00223AA8"/>
    <w:rsid w:val="00223E30"/>
    <w:rsid w:val="00223EFE"/>
    <w:rsid w:val="0022403B"/>
    <w:rsid w:val="00224257"/>
    <w:rsid w:val="00224D12"/>
    <w:rsid w:val="00226069"/>
    <w:rsid w:val="00226A70"/>
    <w:rsid w:val="0023021B"/>
    <w:rsid w:val="0023070C"/>
    <w:rsid w:val="00230C6A"/>
    <w:rsid w:val="00232797"/>
    <w:rsid w:val="00233D53"/>
    <w:rsid w:val="002345B9"/>
    <w:rsid w:val="00235ECB"/>
    <w:rsid w:val="002378CD"/>
    <w:rsid w:val="00237A3F"/>
    <w:rsid w:val="00237A4A"/>
    <w:rsid w:val="00237C8C"/>
    <w:rsid w:val="00240CD3"/>
    <w:rsid w:val="0024210D"/>
    <w:rsid w:val="00244C29"/>
    <w:rsid w:val="00244DB8"/>
    <w:rsid w:val="00244FE4"/>
    <w:rsid w:val="00246EAC"/>
    <w:rsid w:val="00247B11"/>
    <w:rsid w:val="00250468"/>
    <w:rsid w:val="00250A0D"/>
    <w:rsid w:val="00250B6E"/>
    <w:rsid w:val="002512DB"/>
    <w:rsid w:val="002519B6"/>
    <w:rsid w:val="00252050"/>
    <w:rsid w:val="00253B74"/>
    <w:rsid w:val="00254492"/>
    <w:rsid w:val="002547E0"/>
    <w:rsid w:val="00255DBC"/>
    <w:rsid w:val="00256535"/>
    <w:rsid w:val="00256AC1"/>
    <w:rsid w:val="0025777A"/>
    <w:rsid w:val="00257B25"/>
    <w:rsid w:val="00260306"/>
    <w:rsid w:val="002604AB"/>
    <w:rsid w:val="0026129D"/>
    <w:rsid w:val="00261898"/>
    <w:rsid w:val="002621C5"/>
    <w:rsid w:val="00264014"/>
    <w:rsid w:val="0026501F"/>
    <w:rsid w:val="00266600"/>
    <w:rsid w:val="00266611"/>
    <w:rsid w:val="00267AE5"/>
    <w:rsid w:val="00267C8A"/>
    <w:rsid w:val="00267FDD"/>
    <w:rsid w:val="00271136"/>
    <w:rsid w:val="00271ED3"/>
    <w:rsid w:val="00272146"/>
    <w:rsid w:val="002721CB"/>
    <w:rsid w:val="00272337"/>
    <w:rsid w:val="002724F0"/>
    <w:rsid w:val="00272E7E"/>
    <w:rsid w:val="00273219"/>
    <w:rsid w:val="00273A93"/>
    <w:rsid w:val="00273F51"/>
    <w:rsid w:val="002742EA"/>
    <w:rsid w:val="0027449B"/>
    <w:rsid w:val="00274AFC"/>
    <w:rsid w:val="00275284"/>
    <w:rsid w:val="00275C8F"/>
    <w:rsid w:val="00276641"/>
    <w:rsid w:val="00276659"/>
    <w:rsid w:val="00276C8A"/>
    <w:rsid w:val="002771C6"/>
    <w:rsid w:val="0028033D"/>
    <w:rsid w:val="0028114A"/>
    <w:rsid w:val="00282837"/>
    <w:rsid w:val="00282CF7"/>
    <w:rsid w:val="00283DD5"/>
    <w:rsid w:val="002848E9"/>
    <w:rsid w:val="00286D05"/>
    <w:rsid w:val="00291777"/>
    <w:rsid w:val="0029384E"/>
    <w:rsid w:val="00294428"/>
    <w:rsid w:val="002961E2"/>
    <w:rsid w:val="00296372"/>
    <w:rsid w:val="00297703"/>
    <w:rsid w:val="00297866"/>
    <w:rsid w:val="002A26D5"/>
    <w:rsid w:val="002A3B25"/>
    <w:rsid w:val="002A4387"/>
    <w:rsid w:val="002A595D"/>
    <w:rsid w:val="002A62BF"/>
    <w:rsid w:val="002A6815"/>
    <w:rsid w:val="002A6BFB"/>
    <w:rsid w:val="002A703D"/>
    <w:rsid w:val="002A7B39"/>
    <w:rsid w:val="002A7BB1"/>
    <w:rsid w:val="002A7FF7"/>
    <w:rsid w:val="002B009B"/>
    <w:rsid w:val="002B0F05"/>
    <w:rsid w:val="002B104D"/>
    <w:rsid w:val="002B12E1"/>
    <w:rsid w:val="002B35C4"/>
    <w:rsid w:val="002B36C2"/>
    <w:rsid w:val="002B59BE"/>
    <w:rsid w:val="002B5B32"/>
    <w:rsid w:val="002B60BE"/>
    <w:rsid w:val="002B65AB"/>
    <w:rsid w:val="002B696D"/>
    <w:rsid w:val="002B69BA"/>
    <w:rsid w:val="002C03FE"/>
    <w:rsid w:val="002C05A3"/>
    <w:rsid w:val="002C4511"/>
    <w:rsid w:val="002C45C3"/>
    <w:rsid w:val="002C48EC"/>
    <w:rsid w:val="002C4DAE"/>
    <w:rsid w:val="002C6442"/>
    <w:rsid w:val="002C6F4A"/>
    <w:rsid w:val="002C71A3"/>
    <w:rsid w:val="002D0B71"/>
    <w:rsid w:val="002D123E"/>
    <w:rsid w:val="002D2B5F"/>
    <w:rsid w:val="002D327B"/>
    <w:rsid w:val="002D406B"/>
    <w:rsid w:val="002D41DD"/>
    <w:rsid w:val="002D5205"/>
    <w:rsid w:val="002D65D4"/>
    <w:rsid w:val="002D7418"/>
    <w:rsid w:val="002E1283"/>
    <w:rsid w:val="002E1660"/>
    <w:rsid w:val="002E2150"/>
    <w:rsid w:val="002E2F31"/>
    <w:rsid w:val="002E379C"/>
    <w:rsid w:val="002E43F6"/>
    <w:rsid w:val="002E44F8"/>
    <w:rsid w:val="002E47D3"/>
    <w:rsid w:val="002E4813"/>
    <w:rsid w:val="002E4D7B"/>
    <w:rsid w:val="002E7C3E"/>
    <w:rsid w:val="002F074B"/>
    <w:rsid w:val="002F1C19"/>
    <w:rsid w:val="002F1C7D"/>
    <w:rsid w:val="002F1EC9"/>
    <w:rsid w:val="002F2502"/>
    <w:rsid w:val="002F25EC"/>
    <w:rsid w:val="002F2A10"/>
    <w:rsid w:val="002F2EAB"/>
    <w:rsid w:val="002F30DD"/>
    <w:rsid w:val="002F3224"/>
    <w:rsid w:val="002F3350"/>
    <w:rsid w:val="002F7D7D"/>
    <w:rsid w:val="00300067"/>
    <w:rsid w:val="00300B27"/>
    <w:rsid w:val="0030123B"/>
    <w:rsid w:val="00301E0D"/>
    <w:rsid w:val="00301FAE"/>
    <w:rsid w:val="003024CF"/>
    <w:rsid w:val="00302E0F"/>
    <w:rsid w:val="00304831"/>
    <w:rsid w:val="003061B0"/>
    <w:rsid w:val="00306470"/>
    <w:rsid w:val="00311862"/>
    <w:rsid w:val="0031576C"/>
    <w:rsid w:val="0031590A"/>
    <w:rsid w:val="00316961"/>
    <w:rsid w:val="00316D60"/>
    <w:rsid w:val="003172BB"/>
    <w:rsid w:val="00317F17"/>
    <w:rsid w:val="0032080F"/>
    <w:rsid w:val="003216C3"/>
    <w:rsid w:val="0032203C"/>
    <w:rsid w:val="00322208"/>
    <w:rsid w:val="00322600"/>
    <w:rsid w:val="00322DE0"/>
    <w:rsid w:val="003231CF"/>
    <w:rsid w:val="00323283"/>
    <w:rsid w:val="003245F8"/>
    <w:rsid w:val="00325D47"/>
    <w:rsid w:val="00325EF1"/>
    <w:rsid w:val="00326169"/>
    <w:rsid w:val="0032696A"/>
    <w:rsid w:val="00327A6B"/>
    <w:rsid w:val="003302D2"/>
    <w:rsid w:val="00330EA4"/>
    <w:rsid w:val="0033167F"/>
    <w:rsid w:val="00332A7C"/>
    <w:rsid w:val="0033314E"/>
    <w:rsid w:val="00335C58"/>
    <w:rsid w:val="00337CFC"/>
    <w:rsid w:val="0034052E"/>
    <w:rsid w:val="003406B1"/>
    <w:rsid w:val="00342995"/>
    <w:rsid w:val="00343305"/>
    <w:rsid w:val="003443D3"/>
    <w:rsid w:val="00344F2C"/>
    <w:rsid w:val="003450CD"/>
    <w:rsid w:val="00345F35"/>
    <w:rsid w:val="00346A88"/>
    <w:rsid w:val="00346D43"/>
    <w:rsid w:val="00346E08"/>
    <w:rsid w:val="00347675"/>
    <w:rsid w:val="0035004F"/>
    <w:rsid w:val="003509CA"/>
    <w:rsid w:val="003511FC"/>
    <w:rsid w:val="00351734"/>
    <w:rsid w:val="00354C84"/>
    <w:rsid w:val="00354FCF"/>
    <w:rsid w:val="003551E0"/>
    <w:rsid w:val="003552C3"/>
    <w:rsid w:val="0035572B"/>
    <w:rsid w:val="00357EC3"/>
    <w:rsid w:val="00360830"/>
    <w:rsid w:val="003616FF"/>
    <w:rsid w:val="00364896"/>
    <w:rsid w:val="00366A2C"/>
    <w:rsid w:val="003704E3"/>
    <w:rsid w:val="00371456"/>
    <w:rsid w:val="00373AE9"/>
    <w:rsid w:val="00374506"/>
    <w:rsid w:val="0037495D"/>
    <w:rsid w:val="0037515A"/>
    <w:rsid w:val="0037531B"/>
    <w:rsid w:val="00375819"/>
    <w:rsid w:val="00375C89"/>
    <w:rsid w:val="00376DAF"/>
    <w:rsid w:val="0037759F"/>
    <w:rsid w:val="0038204A"/>
    <w:rsid w:val="00382469"/>
    <w:rsid w:val="003833FB"/>
    <w:rsid w:val="00383F49"/>
    <w:rsid w:val="00383F8F"/>
    <w:rsid w:val="00384CD5"/>
    <w:rsid w:val="003872CB"/>
    <w:rsid w:val="00387AFC"/>
    <w:rsid w:val="00390290"/>
    <w:rsid w:val="003905DA"/>
    <w:rsid w:val="0039216D"/>
    <w:rsid w:val="003929B2"/>
    <w:rsid w:val="00392EBD"/>
    <w:rsid w:val="00393459"/>
    <w:rsid w:val="003943D1"/>
    <w:rsid w:val="0039449C"/>
    <w:rsid w:val="00395695"/>
    <w:rsid w:val="0039665F"/>
    <w:rsid w:val="003966C3"/>
    <w:rsid w:val="00396BB7"/>
    <w:rsid w:val="00397EEA"/>
    <w:rsid w:val="003A0002"/>
    <w:rsid w:val="003A0295"/>
    <w:rsid w:val="003A0D83"/>
    <w:rsid w:val="003A0E76"/>
    <w:rsid w:val="003A192D"/>
    <w:rsid w:val="003A2A14"/>
    <w:rsid w:val="003A3CB1"/>
    <w:rsid w:val="003B086A"/>
    <w:rsid w:val="003B0D75"/>
    <w:rsid w:val="003B25DE"/>
    <w:rsid w:val="003B2AF6"/>
    <w:rsid w:val="003B3207"/>
    <w:rsid w:val="003B35A9"/>
    <w:rsid w:val="003B485C"/>
    <w:rsid w:val="003B561B"/>
    <w:rsid w:val="003C2F54"/>
    <w:rsid w:val="003C3325"/>
    <w:rsid w:val="003C3EE5"/>
    <w:rsid w:val="003C4A2A"/>
    <w:rsid w:val="003C61F3"/>
    <w:rsid w:val="003C6AB2"/>
    <w:rsid w:val="003C6CC8"/>
    <w:rsid w:val="003C7C29"/>
    <w:rsid w:val="003D0275"/>
    <w:rsid w:val="003D0D2A"/>
    <w:rsid w:val="003D18B9"/>
    <w:rsid w:val="003D2606"/>
    <w:rsid w:val="003D39C7"/>
    <w:rsid w:val="003D3A50"/>
    <w:rsid w:val="003D45F5"/>
    <w:rsid w:val="003D4976"/>
    <w:rsid w:val="003D5A2E"/>
    <w:rsid w:val="003D6B60"/>
    <w:rsid w:val="003E010E"/>
    <w:rsid w:val="003E0747"/>
    <w:rsid w:val="003E0A2C"/>
    <w:rsid w:val="003E1503"/>
    <w:rsid w:val="003E1D81"/>
    <w:rsid w:val="003E2F34"/>
    <w:rsid w:val="003E3801"/>
    <w:rsid w:val="003E5BF5"/>
    <w:rsid w:val="003E5CDB"/>
    <w:rsid w:val="003E5CFF"/>
    <w:rsid w:val="003E7874"/>
    <w:rsid w:val="003E7DCF"/>
    <w:rsid w:val="003F0E1D"/>
    <w:rsid w:val="003F1C2D"/>
    <w:rsid w:val="003F3882"/>
    <w:rsid w:val="003F3F0B"/>
    <w:rsid w:val="003F60A3"/>
    <w:rsid w:val="003F7C8E"/>
    <w:rsid w:val="004001BE"/>
    <w:rsid w:val="0040124D"/>
    <w:rsid w:val="004017C8"/>
    <w:rsid w:val="0040181A"/>
    <w:rsid w:val="00401D26"/>
    <w:rsid w:val="004024C2"/>
    <w:rsid w:val="00404A7B"/>
    <w:rsid w:val="00405285"/>
    <w:rsid w:val="004068A7"/>
    <w:rsid w:val="00406C11"/>
    <w:rsid w:val="00407BBB"/>
    <w:rsid w:val="004106B2"/>
    <w:rsid w:val="00411C65"/>
    <w:rsid w:val="00412CBC"/>
    <w:rsid w:val="00414408"/>
    <w:rsid w:val="00414D38"/>
    <w:rsid w:val="004155E3"/>
    <w:rsid w:val="004155E5"/>
    <w:rsid w:val="004156E2"/>
    <w:rsid w:val="00415AB5"/>
    <w:rsid w:val="00416311"/>
    <w:rsid w:val="00416478"/>
    <w:rsid w:val="004173E5"/>
    <w:rsid w:val="0041776D"/>
    <w:rsid w:val="0041787E"/>
    <w:rsid w:val="00417AAE"/>
    <w:rsid w:val="00420875"/>
    <w:rsid w:val="0042182E"/>
    <w:rsid w:val="0042207F"/>
    <w:rsid w:val="0042388D"/>
    <w:rsid w:val="00423987"/>
    <w:rsid w:val="00423A23"/>
    <w:rsid w:val="00423EB7"/>
    <w:rsid w:val="00425038"/>
    <w:rsid w:val="004257B7"/>
    <w:rsid w:val="0042688F"/>
    <w:rsid w:val="00427ABD"/>
    <w:rsid w:val="00430409"/>
    <w:rsid w:val="00430CFC"/>
    <w:rsid w:val="0043159B"/>
    <w:rsid w:val="004317AB"/>
    <w:rsid w:val="00431DBF"/>
    <w:rsid w:val="00431DD7"/>
    <w:rsid w:val="00433512"/>
    <w:rsid w:val="0043432D"/>
    <w:rsid w:val="00437842"/>
    <w:rsid w:val="004379C2"/>
    <w:rsid w:val="0044122A"/>
    <w:rsid w:val="004415D9"/>
    <w:rsid w:val="00441977"/>
    <w:rsid w:val="00441D7B"/>
    <w:rsid w:val="00442041"/>
    <w:rsid w:val="00444250"/>
    <w:rsid w:val="00444298"/>
    <w:rsid w:val="00444474"/>
    <w:rsid w:val="0044514F"/>
    <w:rsid w:val="004456C5"/>
    <w:rsid w:val="004474B0"/>
    <w:rsid w:val="00451109"/>
    <w:rsid w:val="00454666"/>
    <w:rsid w:val="004547F6"/>
    <w:rsid w:val="004549DF"/>
    <w:rsid w:val="004550FE"/>
    <w:rsid w:val="00455F40"/>
    <w:rsid w:val="00456918"/>
    <w:rsid w:val="004574A4"/>
    <w:rsid w:val="00460822"/>
    <w:rsid w:val="00463236"/>
    <w:rsid w:val="00463834"/>
    <w:rsid w:val="004657D3"/>
    <w:rsid w:val="0046690A"/>
    <w:rsid w:val="0046782F"/>
    <w:rsid w:val="00471E1E"/>
    <w:rsid w:val="0047278F"/>
    <w:rsid w:val="00473CE1"/>
    <w:rsid w:val="0047566E"/>
    <w:rsid w:val="0047590B"/>
    <w:rsid w:val="0047799A"/>
    <w:rsid w:val="00480CD4"/>
    <w:rsid w:val="004846F1"/>
    <w:rsid w:val="00487FE6"/>
    <w:rsid w:val="00490552"/>
    <w:rsid w:val="00490F98"/>
    <w:rsid w:val="00491349"/>
    <w:rsid w:val="0049145A"/>
    <w:rsid w:val="00492F9F"/>
    <w:rsid w:val="00493684"/>
    <w:rsid w:val="00493DFE"/>
    <w:rsid w:val="00493E48"/>
    <w:rsid w:val="004941FF"/>
    <w:rsid w:val="0049523A"/>
    <w:rsid w:val="004966D8"/>
    <w:rsid w:val="00496ACE"/>
    <w:rsid w:val="00497411"/>
    <w:rsid w:val="00497530"/>
    <w:rsid w:val="00497A1D"/>
    <w:rsid w:val="004A00FD"/>
    <w:rsid w:val="004A0307"/>
    <w:rsid w:val="004A570C"/>
    <w:rsid w:val="004A5782"/>
    <w:rsid w:val="004A5A7A"/>
    <w:rsid w:val="004A5CFF"/>
    <w:rsid w:val="004A61D7"/>
    <w:rsid w:val="004A699E"/>
    <w:rsid w:val="004A6B5A"/>
    <w:rsid w:val="004A7113"/>
    <w:rsid w:val="004B1026"/>
    <w:rsid w:val="004B13F6"/>
    <w:rsid w:val="004B3327"/>
    <w:rsid w:val="004B4DD1"/>
    <w:rsid w:val="004B532B"/>
    <w:rsid w:val="004B5992"/>
    <w:rsid w:val="004B6259"/>
    <w:rsid w:val="004B6DC3"/>
    <w:rsid w:val="004B6EB6"/>
    <w:rsid w:val="004B756B"/>
    <w:rsid w:val="004C093C"/>
    <w:rsid w:val="004C0B7A"/>
    <w:rsid w:val="004C0CA0"/>
    <w:rsid w:val="004C134E"/>
    <w:rsid w:val="004C17D4"/>
    <w:rsid w:val="004C48B9"/>
    <w:rsid w:val="004C5B48"/>
    <w:rsid w:val="004C6493"/>
    <w:rsid w:val="004C7327"/>
    <w:rsid w:val="004C7371"/>
    <w:rsid w:val="004D11A6"/>
    <w:rsid w:val="004D2147"/>
    <w:rsid w:val="004D215F"/>
    <w:rsid w:val="004D2BAF"/>
    <w:rsid w:val="004D2D8E"/>
    <w:rsid w:val="004D2F54"/>
    <w:rsid w:val="004D3590"/>
    <w:rsid w:val="004D380D"/>
    <w:rsid w:val="004D3964"/>
    <w:rsid w:val="004D4879"/>
    <w:rsid w:val="004D6A1A"/>
    <w:rsid w:val="004D7112"/>
    <w:rsid w:val="004D7397"/>
    <w:rsid w:val="004D7C23"/>
    <w:rsid w:val="004D7F2C"/>
    <w:rsid w:val="004E07B6"/>
    <w:rsid w:val="004E0B6D"/>
    <w:rsid w:val="004E2550"/>
    <w:rsid w:val="004E3C8E"/>
    <w:rsid w:val="004E4F56"/>
    <w:rsid w:val="004E5196"/>
    <w:rsid w:val="004E63AF"/>
    <w:rsid w:val="004E7520"/>
    <w:rsid w:val="004F01A5"/>
    <w:rsid w:val="004F04DD"/>
    <w:rsid w:val="004F08ED"/>
    <w:rsid w:val="004F2CC5"/>
    <w:rsid w:val="004F3096"/>
    <w:rsid w:val="004F3159"/>
    <w:rsid w:val="004F32CF"/>
    <w:rsid w:val="004F411F"/>
    <w:rsid w:val="004F60D3"/>
    <w:rsid w:val="004F6830"/>
    <w:rsid w:val="004F6CFD"/>
    <w:rsid w:val="004F6E7E"/>
    <w:rsid w:val="004F7234"/>
    <w:rsid w:val="004F7D8F"/>
    <w:rsid w:val="00500B15"/>
    <w:rsid w:val="0050182A"/>
    <w:rsid w:val="00501CED"/>
    <w:rsid w:val="00501F56"/>
    <w:rsid w:val="0050264E"/>
    <w:rsid w:val="00502DB5"/>
    <w:rsid w:val="0050431E"/>
    <w:rsid w:val="00504C19"/>
    <w:rsid w:val="005053C1"/>
    <w:rsid w:val="00506ECC"/>
    <w:rsid w:val="00507239"/>
    <w:rsid w:val="00507ABD"/>
    <w:rsid w:val="00507D72"/>
    <w:rsid w:val="00510062"/>
    <w:rsid w:val="00510D3F"/>
    <w:rsid w:val="00511E18"/>
    <w:rsid w:val="00512B77"/>
    <w:rsid w:val="00512C56"/>
    <w:rsid w:val="00515ADE"/>
    <w:rsid w:val="00515E63"/>
    <w:rsid w:val="005176F4"/>
    <w:rsid w:val="005203BA"/>
    <w:rsid w:val="005210CA"/>
    <w:rsid w:val="00521222"/>
    <w:rsid w:val="005220F8"/>
    <w:rsid w:val="00522932"/>
    <w:rsid w:val="005232C9"/>
    <w:rsid w:val="00524F4E"/>
    <w:rsid w:val="0052539A"/>
    <w:rsid w:val="005309DD"/>
    <w:rsid w:val="005330CB"/>
    <w:rsid w:val="0053320F"/>
    <w:rsid w:val="005340C0"/>
    <w:rsid w:val="00534998"/>
    <w:rsid w:val="00534E45"/>
    <w:rsid w:val="00534E48"/>
    <w:rsid w:val="0053566F"/>
    <w:rsid w:val="00535F18"/>
    <w:rsid w:val="00537136"/>
    <w:rsid w:val="005406CD"/>
    <w:rsid w:val="005412C1"/>
    <w:rsid w:val="00541EEE"/>
    <w:rsid w:val="00542742"/>
    <w:rsid w:val="005427F5"/>
    <w:rsid w:val="0054287D"/>
    <w:rsid w:val="00542A4A"/>
    <w:rsid w:val="00543027"/>
    <w:rsid w:val="0054390D"/>
    <w:rsid w:val="00544037"/>
    <w:rsid w:val="00544FDF"/>
    <w:rsid w:val="0054537C"/>
    <w:rsid w:val="00545E64"/>
    <w:rsid w:val="00547AD0"/>
    <w:rsid w:val="0055098B"/>
    <w:rsid w:val="005509F0"/>
    <w:rsid w:val="00550A21"/>
    <w:rsid w:val="00551012"/>
    <w:rsid w:val="00553778"/>
    <w:rsid w:val="00553AC5"/>
    <w:rsid w:val="00554646"/>
    <w:rsid w:val="00554791"/>
    <w:rsid w:val="005555A0"/>
    <w:rsid w:val="005576E1"/>
    <w:rsid w:val="00557D72"/>
    <w:rsid w:val="0056006F"/>
    <w:rsid w:val="0056050F"/>
    <w:rsid w:val="00560BBE"/>
    <w:rsid w:val="0056216F"/>
    <w:rsid w:val="005627E9"/>
    <w:rsid w:val="0056358D"/>
    <w:rsid w:val="0056377F"/>
    <w:rsid w:val="005642D3"/>
    <w:rsid w:val="005668B8"/>
    <w:rsid w:val="005676F6"/>
    <w:rsid w:val="005715AF"/>
    <w:rsid w:val="005722F7"/>
    <w:rsid w:val="00572506"/>
    <w:rsid w:val="00573AC9"/>
    <w:rsid w:val="00574A31"/>
    <w:rsid w:val="00575980"/>
    <w:rsid w:val="0057761C"/>
    <w:rsid w:val="0057772D"/>
    <w:rsid w:val="00577DC0"/>
    <w:rsid w:val="005801CF"/>
    <w:rsid w:val="005812BF"/>
    <w:rsid w:val="00581303"/>
    <w:rsid w:val="00581DBA"/>
    <w:rsid w:val="00581F60"/>
    <w:rsid w:val="005829C2"/>
    <w:rsid w:val="00582A46"/>
    <w:rsid w:val="0058322B"/>
    <w:rsid w:val="00583A5C"/>
    <w:rsid w:val="0058471F"/>
    <w:rsid w:val="0058487A"/>
    <w:rsid w:val="00584CA1"/>
    <w:rsid w:val="0058509C"/>
    <w:rsid w:val="00585E3F"/>
    <w:rsid w:val="005866B9"/>
    <w:rsid w:val="005914D5"/>
    <w:rsid w:val="00591962"/>
    <w:rsid w:val="005919EF"/>
    <w:rsid w:val="00592CFD"/>
    <w:rsid w:val="00593C8A"/>
    <w:rsid w:val="00594467"/>
    <w:rsid w:val="00594F66"/>
    <w:rsid w:val="005960B9"/>
    <w:rsid w:val="00596DDA"/>
    <w:rsid w:val="005A058A"/>
    <w:rsid w:val="005A1806"/>
    <w:rsid w:val="005A20E0"/>
    <w:rsid w:val="005A24F4"/>
    <w:rsid w:val="005A32F2"/>
    <w:rsid w:val="005A3DFC"/>
    <w:rsid w:val="005A43AB"/>
    <w:rsid w:val="005A5A7B"/>
    <w:rsid w:val="005A5B0F"/>
    <w:rsid w:val="005A5C13"/>
    <w:rsid w:val="005A69F8"/>
    <w:rsid w:val="005A6B45"/>
    <w:rsid w:val="005A7B9D"/>
    <w:rsid w:val="005B0579"/>
    <w:rsid w:val="005B1890"/>
    <w:rsid w:val="005B1C32"/>
    <w:rsid w:val="005B2863"/>
    <w:rsid w:val="005B314D"/>
    <w:rsid w:val="005B353B"/>
    <w:rsid w:val="005B3CE3"/>
    <w:rsid w:val="005B4718"/>
    <w:rsid w:val="005B51A3"/>
    <w:rsid w:val="005B547C"/>
    <w:rsid w:val="005B556C"/>
    <w:rsid w:val="005B65A5"/>
    <w:rsid w:val="005B67BE"/>
    <w:rsid w:val="005B6F3F"/>
    <w:rsid w:val="005B7116"/>
    <w:rsid w:val="005C03AE"/>
    <w:rsid w:val="005C1784"/>
    <w:rsid w:val="005C3D94"/>
    <w:rsid w:val="005C50A4"/>
    <w:rsid w:val="005C50D1"/>
    <w:rsid w:val="005C6C4F"/>
    <w:rsid w:val="005D000E"/>
    <w:rsid w:val="005D035F"/>
    <w:rsid w:val="005D065F"/>
    <w:rsid w:val="005D19A9"/>
    <w:rsid w:val="005D2A79"/>
    <w:rsid w:val="005D3C04"/>
    <w:rsid w:val="005D5E30"/>
    <w:rsid w:val="005D62E5"/>
    <w:rsid w:val="005D7216"/>
    <w:rsid w:val="005E032C"/>
    <w:rsid w:val="005E0F98"/>
    <w:rsid w:val="005E12F7"/>
    <w:rsid w:val="005E270C"/>
    <w:rsid w:val="005E37E1"/>
    <w:rsid w:val="005E51CD"/>
    <w:rsid w:val="005E548A"/>
    <w:rsid w:val="005E5768"/>
    <w:rsid w:val="005E5BCC"/>
    <w:rsid w:val="005E5CCE"/>
    <w:rsid w:val="005E6CCC"/>
    <w:rsid w:val="005E793C"/>
    <w:rsid w:val="005F1247"/>
    <w:rsid w:val="005F19BB"/>
    <w:rsid w:val="005F3B5B"/>
    <w:rsid w:val="005F67A9"/>
    <w:rsid w:val="005F6909"/>
    <w:rsid w:val="005F6C88"/>
    <w:rsid w:val="0060005D"/>
    <w:rsid w:val="006022C0"/>
    <w:rsid w:val="00602E42"/>
    <w:rsid w:val="00603657"/>
    <w:rsid w:val="00603BB4"/>
    <w:rsid w:val="00604448"/>
    <w:rsid w:val="0060479B"/>
    <w:rsid w:val="00606A55"/>
    <w:rsid w:val="00610025"/>
    <w:rsid w:val="00611427"/>
    <w:rsid w:val="00611AC2"/>
    <w:rsid w:val="00611FFE"/>
    <w:rsid w:val="00613BB6"/>
    <w:rsid w:val="006144A1"/>
    <w:rsid w:val="0061572C"/>
    <w:rsid w:val="00615E79"/>
    <w:rsid w:val="00616D0D"/>
    <w:rsid w:val="0061777B"/>
    <w:rsid w:val="00623300"/>
    <w:rsid w:val="00623A3D"/>
    <w:rsid w:val="00624066"/>
    <w:rsid w:val="0062454A"/>
    <w:rsid w:val="00624620"/>
    <w:rsid w:val="006247E0"/>
    <w:rsid w:val="00624946"/>
    <w:rsid w:val="00624E60"/>
    <w:rsid w:val="00625173"/>
    <w:rsid w:val="00625537"/>
    <w:rsid w:val="006271B4"/>
    <w:rsid w:val="00630CCB"/>
    <w:rsid w:val="00631E71"/>
    <w:rsid w:val="0063350A"/>
    <w:rsid w:val="006340A0"/>
    <w:rsid w:val="00634FB6"/>
    <w:rsid w:val="0063581A"/>
    <w:rsid w:val="00636993"/>
    <w:rsid w:val="00636BF4"/>
    <w:rsid w:val="00637FE9"/>
    <w:rsid w:val="0064101A"/>
    <w:rsid w:val="00642CB1"/>
    <w:rsid w:val="00642DD8"/>
    <w:rsid w:val="006431A9"/>
    <w:rsid w:val="00643CF6"/>
    <w:rsid w:val="0064508B"/>
    <w:rsid w:val="006460E3"/>
    <w:rsid w:val="006466DF"/>
    <w:rsid w:val="00647100"/>
    <w:rsid w:val="006518D0"/>
    <w:rsid w:val="00651A0E"/>
    <w:rsid w:val="00652156"/>
    <w:rsid w:val="00652393"/>
    <w:rsid w:val="006535E4"/>
    <w:rsid w:val="006547B8"/>
    <w:rsid w:val="00656003"/>
    <w:rsid w:val="00657150"/>
    <w:rsid w:val="006571DD"/>
    <w:rsid w:val="00657598"/>
    <w:rsid w:val="0065774D"/>
    <w:rsid w:val="0065792C"/>
    <w:rsid w:val="00657A42"/>
    <w:rsid w:val="00661AA7"/>
    <w:rsid w:val="00662AF3"/>
    <w:rsid w:val="00662E32"/>
    <w:rsid w:val="00664343"/>
    <w:rsid w:val="0066668A"/>
    <w:rsid w:val="006670D6"/>
    <w:rsid w:val="00667CAB"/>
    <w:rsid w:val="00670BE1"/>
    <w:rsid w:val="00673037"/>
    <w:rsid w:val="00674641"/>
    <w:rsid w:val="00675065"/>
    <w:rsid w:val="00675563"/>
    <w:rsid w:val="00675DAD"/>
    <w:rsid w:val="006777F8"/>
    <w:rsid w:val="00681A85"/>
    <w:rsid w:val="00682389"/>
    <w:rsid w:val="00682FD8"/>
    <w:rsid w:val="006834DA"/>
    <w:rsid w:val="00683A85"/>
    <w:rsid w:val="0068482C"/>
    <w:rsid w:val="00685346"/>
    <w:rsid w:val="00685B24"/>
    <w:rsid w:val="0068677F"/>
    <w:rsid w:val="006870E8"/>
    <w:rsid w:val="006879AE"/>
    <w:rsid w:val="00690BC5"/>
    <w:rsid w:val="00690C8E"/>
    <w:rsid w:val="00691341"/>
    <w:rsid w:val="00691D24"/>
    <w:rsid w:val="006933DD"/>
    <w:rsid w:val="0069378C"/>
    <w:rsid w:val="0069471D"/>
    <w:rsid w:val="0069553A"/>
    <w:rsid w:val="00695670"/>
    <w:rsid w:val="00695B4C"/>
    <w:rsid w:val="00695E1D"/>
    <w:rsid w:val="00695E20"/>
    <w:rsid w:val="00696F5B"/>
    <w:rsid w:val="00697CAC"/>
    <w:rsid w:val="006A0F40"/>
    <w:rsid w:val="006A2505"/>
    <w:rsid w:val="006A2D90"/>
    <w:rsid w:val="006A3763"/>
    <w:rsid w:val="006A3BA0"/>
    <w:rsid w:val="006A4EC6"/>
    <w:rsid w:val="006A6B87"/>
    <w:rsid w:val="006A6DF3"/>
    <w:rsid w:val="006A7769"/>
    <w:rsid w:val="006B20D5"/>
    <w:rsid w:val="006B34F6"/>
    <w:rsid w:val="006B4952"/>
    <w:rsid w:val="006B59AB"/>
    <w:rsid w:val="006B5EA1"/>
    <w:rsid w:val="006B62C2"/>
    <w:rsid w:val="006B6316"/>
    <w:rsid w:val="006B6C2F"/>
    <w:rsid w:val="006B7D06"/>
    <w:rsid w:val="006B7F10"/>
    <w:rsid w:val="006C042B"/>
    <w:rsid w:val="006C2543"/>
    <w:rsid w:val="006C2A45"/>
    <w:rsid w:val="006C4042"/>
    <w:rsid w:val="006C4799"/>
    <w:rsid w:val="006C56D9"/>
    <w:rsid w:val="006C5AB4"/>
    <w:rsid w:val="006C6C85"/>
    <w:rsid w:val="006C700A"/>
    <w:rsid w:val="006C7C59"/>
    <w:rsid w:val="006D0312"/>
    <w:rsid w:val="006D05B4"/>
    <w:rsid w:val="006D06D5"/>
    <w:rsid w:val="006D1EAD"/>
    <w:rsid w:val="006D214E"/>
    <w:rsid w:val="006D2DEA"/>
    <w:rsid w:val="006D2E9C"/>
    <w:rsid w:val="006D30BC"/>
    <w:rsid w:val="006D32F5"/>
    <w:rsid w:val="006E1A0E"/>
    <w:rsid w:val="006E1ECB"/>
    <w:rsid w:val="006E2DF5"/>
    <w:rsid w:val="006E2F77"/>
    <w:rsid w:val="006E6241"/>
    <w:rsid w:val="006E6E8B"/>
    <w:rsid w:val="006E7C76"/>
    <w:rsid w:val="006F024F"/>
    <w:rsid w:val="006F04CD"/>
    <w:rsid w:val="006F07C9"/>
    <w:rsid w:val="006F0A6B"/>
    <w:rsid w:val="006F0F75"/>
    <w:rsid w:val="006F3496"/>
    <w:rsid w:val="006F3D74"/>
    <w:rsid w:val="006F4633"/>
    <w:rsid w:val="006F5AC8"/>
    <w:rsid w:val="006F5F50"/>
    <w:rsid w:val="006F71FE"/>
    <w:rsid w:val="006F721C"/>
    <w:rsid w:val="006F7A75"/>
    <w:rsid w:val="007019E2"/>
    <w:rsid w:val="00703F7A"/>
    <w:rsid w:val="00704218"/>
    <w:rsid w:val="0070472C"/>
    <w:rsid w:val="00706102"/>
    <w:rsid w:val="00706B38"/>
    <w:rsid w:val="00711356"/>
    <w:rsid w:val="007119B3"/>
    <w:rsid w:val="00712DB0"/>
    <w:rsid w:val="00713D33"/>
    <w:rsid w:val="00716375"/>
    <w:rsid w:val="007170E9"/>
    <w:rsid w:val="00717B21"/>
    <w:rsid w:val="00717B56"/>
    <w:rsid w:val="00717C81"/>
    <w:rsid w:val="00721876"/>
    <w:rsid w:val="00723928"/>
    <w:rsid w:val="00723F52"/>
    <w:rsid w:val="007240F9"/>
    <w:rsid w:val="00724763"/>
    <w:rsid w:val="007303C2"/>
    <w:rsid w:val="0073139F"/>
    <w:rsid w:val="00732226"/>
    <w:rsid w:val="007324E2"/>
    <w:rsid w:val="007326D4"/>
    <w:rsid w:val="00733D26"/>
    <w:rsid w:val="00733E96"/>
    <w:rsid w:val="00733F1D"/>
    <w:rsid w:val="00734BE2"/>
    <w:rsid w:val="00734DBA"/>
    <w:rsid w:val="0073652C"/>
    <w:rsid w:val="007401F5"/>
    <w:rsid w:val="007405AB"/>
    <w:rsid w:val="00740862"/>
    <w:rsid w:val="00740B44"/>
    <w:rsid w:val="00740ED2"/>
    <w:rsid w:val="0074169B"/>
    <w:rsid w:val="00742326"/>
    <w:rsid w:val="007426D7"/>
    <w:rsid w:val="00743F8B"/>
    <w:rsid w:val="00745C63"/>
    <w:rsid w:val="0074622A"/>
    <w:rsid w:val="00747EE2"/>
    <w:rsid w:val="007552A7"/>
    <w:rsid w:val="007566E2"/>
    <w:rsid w:val="00757FC1"/>
    <w:rsid w:val="00760265"/>
    <w:rsid w:val="00761C27"/>
    <w:rsid w:val="00762AF2"/>
    <w:rsid w:val="00763522"/>
    <w:rsid w:val="00763B46"/>
    <w:rsid w:val="00764A6D"/>
    <w:rsid w:val="0076550E"/>
    <w:rsid w:val="00766E1C"/>
    <w:rsid w:val="00767121"/>
    <w:rsid w:val="0077004D"/>
    <w:rsid w:val="00770983"/>
    <w:rsid w:val="00770A23"/>
    <w:rsid w:val="00770AFB"/>
    <w:rsid w:val="00770D89"/>
    <w:rsid w:val="00771FBD"/>
    <w:rsid w:val="00772751"/>
    <w:rsid w:val="00772BFA"/>
    <w:rsid w:val="0077320E"/>
    <w:rsid w:val="007732E5"/>
    <w:rsid w:val="007735B7"/>
    <w:rsid w:val="00773A1F"/>
    <w:rsid w:val="00773D80"/>
    <w:rsid w:val="007747FE"/>
    <w:rsid w:val="00774DFB"/>
    <w:rsid w:val="007750D4"/>
    <w:rsid w:val="00775725"/>
    <w:rsid w:val="00775864"/>
    <w:rsid w:val="00776280"/>
    <w:rsid w:val="0078129F"/>
    <w:rsid w:val="00781798"/>
    <w:rsid w:val="00781A2A"/>
    <w:rsid w:val="00787684"/>
    <w:rsid w:val="0079003B"/>
    <w:rsid w:val="00791F35"/>
    <w:rsid w:val="0079201B"/>
    <w:rsid w:val="00792062"/>
    <w:rsid w:val="0079398D"/>
    <w:rsid w:val="00796382"/>
    <w:rsid w:val="007970F3"/>
    <w:rsid w:val="00797959"/>
    <w:rsid w:val="007A0298"/>
    <w:rsid w:val="007A07F3"/>
    <w:rsid w:val="007A0EED"/>
    <w:rsid w:val="007A1F61"/>
    <w:rsid w:val="007A2D00"/>
    <w:rsid w:val="007A3344"/>
    <w:rsid w:val="007A3396"/>
    <w:rsid w:val="007A3433"/>
    <w:rsid w:val="007A4657"/>
    <w:rsid w:val="007A494D"/>
    <w:rsid w:val="007A5B38"/>
    <w:rsid w:val="007A5FCD"/>
    <w:rsid w:val="007A6F8A"/>
    <w:rsid w:val="007A77C7"/>
    <w:rsid w:val="007A7AC5"/>
    <w:rsid w:val="007B0FCA"/>
    <w:rsid w:val="007B1707"/>
    <w:rsid w:val="007B1F48"/>
    <w:rsid w:val="007B2234"/>
    <w:rsid w:val="007B29C8"/>
    <w:rsid w:val="007B3AF9"/>
    <w:rsid w:val="007B4190"/>
    <w:rsid w:val="007B5A22"/>
    <w:rsid w:val="007B6123"/>
    <w:rsid w:val="007B7795"/>
    <w:rsid w:val="007C1E2E"/>
    <w:rsid w:val="007C256D"/>
    <w:rsid w:val="007C2A5B"/>
    <w:rsid w:val="007C2F2F"/>
    <w:rsid w:val="007C32E6"/>
    <w:rsid w:val="007C4071"/>
    <w:rsid w:val="007C5065"/>
    <w:rsid w:val="007C551E"/>
    <w:rsid w:val="007C6103"/>
    <w:rsid w:val="007C7079"/>
    <w:rsid w:val="007C745E"/>
    <w:rsid w:val="007C7E4A"/>
    <w:rsid w:val="007D1827"/>
    <w:rsid w:val="007D20D8"/>
    <w:rsid w:val="007D249E"/>
    <w:rsid w:val="007D2EE8"/>
    <w:rsid w:val="007D39B9"/>
    <w:rsid w:val="007D4745"/>
    <w:rsid w:val="007D4E32"/>
    <w:rsid w:val="007D5763"/>
    <w:rsid w:val="007D596E"/>
    <w:rsid w:val="007D6288"/>
    <w:rsid w:val="007D7193"/>
    <w:rsid w:val="007D7958"/>
    <w:rsid w:val="007D7D00"/>
    <w:rsid w:val="007E0A87"/>
    <w:rsid w:val="007E0EF3"/>
    <w:rsid w:val="007E1576"/>
    <w:rsid w:val="007E1F6F"/>
    <w:rsid w:val="007E2BD2"/>
    <w:rsid w:val="007E30EA"/>
    <w:rsid w:val="007E4B56"/>
    <w:rsid w:val="007E5F41"/>
    <w:rsid w:val="007E6311"/>
    <w:rsid w:val="007E6CF2"/>
    <w:rsid w:val="007F0BE0"/>
    <w:rsid w:val="007F1EB4"/>
    <w:rsid w:val="007F5493"/>
    <w:rsid w:val="007F575C"/>
    <w:rsid w:val="007F5B53"/>
    <w:rsid w:val="007F60D5"/>
    <w:rsid w:val="007F6DC7"/>
    <w:rsid w:val="0080075E"/>
    <w:rsid w:val="00802948"/>
    <w:rsid w:val="00802AAC"/>
    <w:rsid w:val="00806FED"/>
    <w:rsid w:val="008103CB"/>
    <w:rsid w:val="00811115"/>
    <w:rsid w:val="00811F26"/>
    <w:rsid w:val="008122DE"/>
    <w:rsid w:val="008134C7"/>
    <w:rsid w:val="008139EB"/>
    <w:rsid w:val="00813D5F"/>
    <w:rsid w:val="00814CAE"/>
    <w:rsid w:val="008150A6"/>
    <w:rsid w:val="008151E2"/>
    <w:rsid w:val="00816091"/>
    <w:rsid w:val="00816182"/>
    <w:rsid w:val="008161E3"/>
    <w:rsid w:val="00816710"/>
    <w:rsid w:val="00817ADF"/>
    <w:rsid w:val="00820427"/>
    <w:rsid w:val="0082111F"/>
    <w:rsid w:val="008216A5"/>
    <w:rsid w:val="00821BA2"/>
    <w:rsid w:val="00822824"/>
    <w:rsid w:val="008228B9"/>
    <w:rsid w:val="00824639"/>
    <w:rsid w:val="00826479"/>
    <w:rsid w:val="0082672E"/>
    <w:rsid w:val="00826C95"/>
    <w:rsid w:val="00826CD6"/>
    <w:rsid w:val="008270F2"/>
    <w:rsid w:val="0082787B"/>
    <w:rsid w:val="008300CC"/>
    <w:rsid w:val="00830864"/>
    <w:rsid w:val="00830C3A"/>
    <w:rsid w:val="00830FB7"/>
    <w:rsid w:val="00831387"/>
    <w:rsid w:val="00832019"/>
    <w:rsid w:val="00832985"/>
    <w:rsid w:val="008332CE"/>
    <w:rsid w:val="008345B9"/>
    <w:rsid w:val="008345BB"/>
    <w:rsid w:val="008354ED"/>
    <w:rsid w:val="00835955"/>
    <w:rsid w:val="00835DAD"/>
    <w:rsid w:val="00836FBF"/>
    <w:rsid w:val="008376EF"/>
    <w:rsid w:val="00837760"/>
    <w:rsid w:val="00837F02"/>
    <w:rsid w:val="008405BF"/>
    <w:rsid w:val="00840EF2"/>
    <w:rsid w:val="00841C09"/>
    <w:rsid w:val="00842D6E"/>
    <w:rsid w:val="00843A87"/>
    <w:rsid w:val="00843C41"/>
    <w:rsid w:val="00843DDE"/>
    <w:rsid w:val="00844A24"/>
    <w:rsid w:val="0084500E"/>
    <w:rsid w:val="00845138"/>
    <w:rsid w:val="008455FB"/>
    <w:rsid w:val="0084584F"/>
    <w:rsid w:val="008479F5"/>
    <w:rsid w:val="00847DB4"/>
    <w:rsid w:val="00850403"/>
    <w:rsid w:val="00850BC8"/>
    <w:rsid w:val="00850E33"/>
    <w:rsid w:val="0085172A"/>
    <w:rsid w:val="00856715"/>
    <w:rsid w:val="0085674D"/>
    <w:rsid w:val="00856DC0"/>
    <w:rsid w:val="00857C6B"/>
    <w:rsid w:val="008607CA"/>
    <w:rsid w:val="00861CE7"/>
    <w:rsid w:val="00862E46"/>
    <w:rsid w:val="00864D01"/>
    <w:rsid w:val="00865BFC"/>
    <w:rsid w:val="00870585"/>
    <w:rsid w:val="0087254B"/>
    <w:rsid w:val="00872837"/>
    <w:rsid w:val="0087394A"/>
    <w:rsid w:val="00873EAC"/>
    <w:rsid w:val="00874D32"/>
    <w:rsid w:val="00877372"/>
    <w:rsid w:val="00880D1C"/>
    <w:rsid w:val="00880EB6"/>
    <w:rsid w:val="00881B84"/>
    <w:rsid w:val="00882D57"/>
    <w:rsid w:val="00885CC3"/>
    <w:rsid w:val="00886362"/>
    <w:rsid w:val="008876A3"/>
    <w:rsid w:val="00887B13"/>
    <w:rsid w:val="00887DFB"/>
    <w:rsid w:val="00891277"/>
    <w:rsid w:val="00891F76"/>
    <w:rsid w:val="008924AA"/>
    <w:rsid w:val="0089283A"/>
    <w:rsid w:val="00892ADC"/>
    <w:rsid w:val="008931DF"/>
    <w:rsid w:val="00893813"/>
    <w:rsid w:val="00893C4C"/>
    <w:rsid w:val="008957F7"/>
    <w:rsid w:val="0089658C"/>
    <w:rsid w:val="00897000"/>
    <w:rsid w:val="008A06A4"/>
    <w:rsid w:val="008A0739"/>
    <w:rsid w:val="008A2458"/>
    <w:rsid w:val="008A3682"/>
    <w:rsid w:val="008A4EA0"/>
    <w:rsid w:val="008A5D30"/>
    <w:rsid w:val="008A66B8"/>
    <w:rsid w:val="008A7EED"/>
    <w:rsid w:val="008B25E6"/>
    <w:rsid w:val="008B2B1D"/>
    <w:rsid w:val="008B3358"/>
    <w:rsid w:val="008B5009"/>
    <w:rsid w:val="008B5D80"/>
    <w:rsid w:val="008B6C0C"/>
    <w:rsid w:val="008B7C8C"/>
    <w:rsid w:val="008B7E45"/>
    <w:rsid w:val="008C0552"/>
    <w:rsid w:val="008C1237"/>
    <w:rsid w:val="008C1D9E"/>
    <w:rsid w:val="008C2981"/>
    <w:rsid w:val="008C3037"/>
    <w:rsid w:val="008C64FB"/>
    <w:rsid w:val="008C771B"/>
    <w:rsid w:val="008C77A4"/>
    <w:rsid w:val="008D0DB7"/>
    <w:rsid w:val="008D2DAF"/>
    <w:rsid w:val="008D4EEC"/>
    <w:rsid w:val="008D5938"/>
    <w:rsid w:val="008D5B0C"/>
    <w:rsid w:val="008D5BFC"/>
    <w:rsid w:val="008E1C91"/>
    <w:rsid w:val="008E2EFF"/>
    <w:rsid w:val="008E3B9E"/>
    <w:rsid w:val="008E4AFF"/>
    <w:rsid w:val="008E4E0F"/>
    <w:rsid w:val="008E5935"/>
    <w:rsid w:val="008E725C"/>
    <w:rsid w:val="008E738E"/>
    <w:rsid w:val="008F0A84"/>
    <w:rsid w:val="008F0CC3"/>
    <w:rsid w:val="008F175B"/>
    <w:rsid w:val="008F2F09"/>
    <w:rsid w:val="008F44C7"/>
    <w:rsid w:val="008F46A2"/>
    <w:rsid w:val="008F5035"/>
    <w:rsid w:val="008F5056"/>
    <w:rsid w:val="008F5A80"/>
    <w:rsid w:val="008F6954"/>
    <w:rsid w:val="008F721D"/>
    <w:rsid w:val="008F7E0B"/>
    <w:rsid w:val="00900C2F"/>
    <w:rsid w:val="009011A3"/>
    <w:rsid w:val="00901809"/>
    <w:rsid w:val="0090408F"/>
    <w:rsid w:val="009066DC"/>
    <w:rsid w:val="00906F8A"/>
    <w:rsid w:val="009104E4"/>
    <w:rsid w:val="00910A37"/>
    <w:rsid w:val="00910FF5"/>
    <w:rsid w:val="00910FFE"/>
    <w:rsid w:val="00911C4C"/>
    <w:rsid w:val="0091242C"/>
    <w:rsid w:val="00913EA0"/>
    <w:rsid w:val="00915570"/>
    <w:rsid w:val="0091611D"/>
    <w:rsid w:val="00916267"/>
    <w:rsid w:val="00917373"/>
    <w:rsid w:val="009173A3"/>
    <w:rsid w:val="00917762"/>
    <w:rsid w:val="00917B62"/>
    <w:rsid w:val="00917BD8"/>
    <w:rsid w:val="0092016A"/>
    <w:rsid w:val="0092091C"/>
    <w:rsid w:val="00920CEB"/>
    <w:rsid w:val="00921082"/>
    <w:rsid w:val="00922A4F"/>
    <w:rsid w:val="00922DE7"/>
    <w:rsid w:val="00922EFB"/>
    <w:rsid w:val="00923A6C"/>
    <w:rsid w:val="00923B78"/>
    <w:rsid w:val="009249C8"/>
    <w:rsid w:val="00925816"/>
    <w:rsid w:val="00926305"/>
    <w:rsid w:val="0093115A"/>
    <w:rsid w:val="00931671"/>
    <w:rsid w:val="00933F00"/>
    <w:rsid w:val="00935401"/>
    <w:rsid w:val="00935BE0"/>
    <w:rsid w:val="00936A9D"/>
    <w:rsid w:val="0094003A"/>
    <w:rsid w:val="0094004A"/>
    <w:rsid w:val="00940404"/>
    <w:rsid w:val="009414BA"/>
    <w:rsid w:val="00941868"/>
    <w:rsid w:val="00942FCD"/>
    <w:rsid w:val="0094338B"/>
    <w:rsid w:val="009453D0"/>
    <w:rsid w:val="0094638E"/>
    <w:rsid w:val="00946A82"/>
    <w:rsid w:val="0095071A"/>
    <w:rsid w:val="00950FE5"/>
    <w:rsid w:val="00951071"/>
    <w:rsid w:val="0095158B"/>
    <w:rsid w:val="0095333C"/>
    <w:rsid w:val="00953610"/>
    <w:rsid w:val="009544D9"/>
    <w:rsid w:val="00955186"/>
    <w:rsid w:val="00955282"/>
    <w:rsid w:val="00956990"/>
    <w:rsid w:val="00956EE8"/>
    <w:rsid w:val="009570F6"/>
    <w:rsid w:val="00961028"/>
    <w:rsid w:val="00961E9F"/>
    <w:rsid w:val="0096484B"/>
    <w:rsid w:val="00965647"/>
    <w:rsid w:val="00965C09"/>
    <w:rsid w:val="00966B06"/>
    <w:rsid w:val="00966B6A"/>
    <w:rsid w:val="0097057C"/>
    <w:rsid w:val="00970C2C"/>
    <w:rsid w:val="00971419"/>
    <w:rsid w:val="009715C5"/>
    <w:rsid w:val="00971AF2"/>
    <w:rsid w:val="009723B8"/>
    <w:rsid w:val="009725E2"/>
    <w:rsid w:val="00972647"/>
    <w:rsid w:val="00973264"/>
    <w:rsid w:val="009732E6"/>
    <w:rsid w:val="00975CD0"/>
    <w:rsid w:val="00976FA2"/>
    <w:rsid w:val="009817A0"/>
    <w:rsid w:val="0098281C"/>
    <w:rsid w:val="009833A0"/>
    <w:rsid w:val="00983C0B"/>
    <w:rsid w:val="00984229"/>
    <w:rsid w:val="0098423D"/>
    <w:rsid w:val="00984871"/>
    <w:rsid w:val="009850E9"/>
    <w:rsid w:val="00985DFA"/>
    <w:rsid w:val="00986315"/>
    <w:rsid w:val="00986617"/>
    <w:rsid w:val="009911E3"/>
    <w:rsid w:val="00991869"/>
    <w:rsid w:val="00992201"/>
    <w:rsid w:val="00993C0B"/>
    <w:rsid w:val="00993E24"/>
    <w:rsid w:val="0099412F"/>
    <w:rsid w:val="00994416"/>
    <w:rsid w:val="0099454D"/>
    <w:rsid w:val="00994B4C"/>
    <w:rsid w:val="00994E42"/>
    <w:rsid w:val="00995178"/>
    <w:rsid w:val="009960E6"/>
    <w:rsid w:val="00997850"/>
    <w:rsid w:val="009A0911"/>
    <w:rsid w:val="009A1519"/>
    <w:rsid w:val="009A1A57"/>
    <w:rsid w:val="009A1C33"/>
    <w:rsid w:val="009A2439"/>
    <w:rsid w:val="009A2BFF"/>
    <w:rsid w:val="009A5BD6"/>
    <w:rsid w:val="009A6D30"/>
    <w:rsid w:val="009B039A"/>
    <w:rsid w:val="009B206F"/>
    <w:rsid w:val="009B2B01"/>
    <w:rsid w:val="009B32A8"/>
    <w:rsid w:val="009B4F1A"/>
    <w:rsid w:val="009B5F6F"/>
    <w:rsid w:val="009B7A7F"/>
    <w:rsid w:val="009B7A90"/>
    <w:rsid w:val="009B7BA4"/>
    <w:rsid w:val="009B7F07"/>
    <w:rsid w:val="009C07D4"/>
    <w:rsid w:val="009C1007"/>
    <w:rsid w:val="009C124E"/>
    <w:rsid w:val="009C1F6E"/>
    <w:rsid w:val="009C2514"/>
    <w:rsid w:val="009C27BC"/>
    <w:rsid w:val="009C29E2"/>
    <w:rsid w:val="009C3C03"/>
    <w:rsid w:val="009C3C6C"/>
    <w:rsid w:val="009C3EBA"/>
    <w:rsid w:val="009C4C61"/>
    <w:rsid w:val="009C5377"/>
    <w:rsid w:val="009C58A2"/>
    <w:rsid w:val="009C7BA0"/>
    <w:rsid w:val="009C7C48"/>
    <w:rsid w:val="009D0EFF"/>
    <w:rsid w:val="009D1B51"/>
    <w:rsid w:val="009D2F3C"/>
    <w:rsid w:val="009D3369"/>
    <w:rsid w:val="009D41EB"/>
    <w:rsid w:val="009D426B"/>
    <w:rsid w:val="009D52BF"/>
    <w:rsid w:val="009D5349"/>
    <w:rsid w:val="009D551D"/>
    <w:rsid w:val="009D6255"/>
    <w:rsid w:val="009D6A54"/>
    <w:rsid w:val="009D6DD3"/>
    <w:rsid w:val="009D6E7D"/>
    <w:rsid w:val="009D7339"/>
    <w:rsid w:val="009E0560"/>
    <w:rsid w:val="009E11B8"/>
    <w:rsid w:val="009E3F57"/>
    <w:rsid w:val="009E4F8A"/>
    <w:rsid w:val="009E54A4"/>
    <w:rsid w:val="009E6471"/>
    <w:rsid w:val="009E6771"/>
    <w:rsid w:val="009E67E4"/>
    <w:rsid w:val="009E754B"/>
    <w:rsid w:val="009E7F8A"/>
    <w:rsid w:val="009F0511"/>
    <w:rsid w:val="009F092A"/>
    <w:rsid w:val="009F1DBD"/>
    <w:rsid w:val="009F22FE"/>
    <w:rsid w:val="009F410E"/>
    <w:rsid w:val="009F42CC"/>
    <w:rsid w:val="009F4C39"/>
    <w:rsid w:val="009F5D47"/>
    <w:rsid w:val="009F68EB"/>
    <w:rsid w:val="009F750B"/>
    <w:rsid w:val="00A00435"/>
    <w:rsid w:val="00A00A4D"/>
    <w:rsid w:val="00A01FCD"/>
    <w:rsid w:val="00A025E8"/>
    <w:rsid w:val="00A03071"/>
    <w:rsid w:val="00A044F0"/>
    <w:rsid w:val="00A04764"/>
    <w:rsid w:val="00A0582B"/>
    <w:rsid w:val="00A05B11"/>
    <w:rsid w:val="00A0600A"/>
    <w:rsid w:val="00A06B7F"/>
    <w:rsid w:val="00A06FBD"/>
    <w:rsid w:val="00A07D9C"/>
    <w:rsid w:val="00A109CC"/>
    <w:rsid w:val="00A130F8"/>
    <w:rsid w:val="00A13EDB"/>
    <w:rsid w:val="00A14C4D"/>
    <w:rsid w:val="00A14C72"/>
    <w:rsid w:val="00A15845"/>
    <w:rsid w:val="00A16B48"/>
    <w:rsid w:val="00A17B52"/>
    <w:rsid w:val="00A2021A"/>
    <w:rsid w:val="00A21110"/>
    <w:rsid w:val="00A2141C"/>
    <w:rsid w:val="00A21B16"/>
    <w:rsid w:val="00A22D76"/>
    <w:rsid w:val="00A24210"/>
    <w:rsid w:val="00A24289"/>
    <w:rsid w:val="00A2438C"/>
    <w:rsid w:val="00A24D47"/>
    <w:rsid w:val="00A25EAE"/>
    <w:rsid w:val="00A271E8"/>
    <w:rsid w:val="00A27B53"/>
    <w:rsid w:val="00A30370"/>
    <w:rsid w:val="00A31210"/>
    <w:rsid w:val="00A31242"/>
    <w:rsid w:val="00A32017"/>
    <w:rsid w:val="00A335F7"/>
    <w:rsid w:val="00A34D76"/>
    <w:rsid w:val="00A3527C"/>
    <w:rsid w:val="00A352E6"/>
    <w:rsid w:val="00A35CB4"/>
    <w:rsid w:val="00A36E1D"/>
    <w:rsid w:val="00A37E7E"/>
    <w:rsid w:val="00A4093C"/>
    <w:rsid w:val="00A4098F"/>
    <w:rsid w:val="00A4193A"/>
    <w:rsid w:val="00A41E41"/>
    <w:rsid w:val="00A42D4A"/>
    <w:rsid w:val="00A451FE"/>
    <w:rsid w:val="00A45C6F"/>
    <w:rsid w:val="00A46DCC"/>
    <w:rsid w:val="00A47B0A"/>
    <w:rsid w:val="00A5014E"/>
    <w:rsid w:val="00A528A8"/>
    <w:rsid w:val="00A53E6C"/>
    <w:rsid w:val="00A55DD6"/>
    <w:rsid w:val="00A562E3"/>
    <w:rsid w:val="00A569D3"/>
    <w:rsid w:val="00A569DB"/>
    <w:rsid w:val="00A5706D"/>
    <w:rsid w:val="00A6062B"/>
    <w:rsid w:val="00A607A0"/>
    <w:rsid w:val="00A60A9E"/>
    <w:rsid w:val="00A60DAF"/>
    <w:rsid w:val="00A60E41"/>
    <w:rsid w:val="00A62089"/>
    <w:rsid w:val="00A63264"/>
    <w:rsid w:val="00A64500"/>
    <w:rsid w:val="00A64C2B"/>
    <w:rsid w:val="00A654EF"/>
    <w:rsid w:val="00A658F2"/>
    <w:rsid w:val="00A65AFD"/>
    <w:rsid w:val="00A66B78"/>
    <w:rsid w:val="00A670DF"/>
    <w:rsid w:val="00A673A2"/>
    <w:rsid w:val="00A6769B"/>
    <w:rsid w:val="00A677C6"/>
    <w:rsid w:val="00A67B0E"/>
    <w:rsid w:val="00A67E25"/>
    <w:rsid w:val="00A7129E"/>
    <w:rsid w:val="00A72C38"/>
    <w:rsid w:val="00A72FD2"/>
    <w:rsid w:val="00A73978"/>
    <w:rsid w:val="00A74200"/>
    <w:rsid w:val="00A7420A"/>
    <w:rsid w:val="00A74D3C"/>
    <w:rsid w:val="00A7550A"/>
    <w:rsid w:val="00A75DB1"/>
    <w:rsid w:val="00A760CB"/>
    <w:rsid w:val="00A761C2"/>
    <w:rsid w:val="00A76BBD"/>
    <w:rsid w:val="00A76D29"/>
    <w:rsid w:val="00A77253"/>
    <w:rsid w:val="00A81335"/>
    <w:rsid w:val="00A816A1"/>
    <w:rsid w:val="00A816E2"/>
    <w:rsid w:val="00A81ADF"/>
    <w:rsid w:val="00A82026"/>
    <w:rsid w:val="00A82952"/>
    <w:rsid w:val="00A82ABC"/>
    <w:rsid w:val="00A83391"/>
    <w:rsid w:val="00A83B44"/>
    <w:rsid w:val="00A86383"/>
    <w:rsid w:val="00A86960"/>
    <w:rsid w:val="00A869B7"/>
    <w:rsid w:val="00A86B01"/>
    <w:rsid w:val="00A91267"/>
    <w:rsid w:val="00A91A54"/>
    <w:rsid w:val="00A91B7E"/>
    <w:rsid w:val="00A94247"/>
    <w:rsid w:val="00A96F13"/>
    <w:rsid w:val="00AA00E5"/>
    <w:rsid w:val="00AA1080"/>
    <w:rsid w:val="00AA16D3"/>
    <w:rsid w:val="00AA18CA"/>
    <w:rsid w:val="00AA1D98"/>
    <w:rsid w:val="00AA1E3F"/>
    <w:rsid w:val="00AA3063"/>
    <w:rsid w:val="00AA3BFA"/>
    <w:rsid w:val="00AA4BCE"/>
    <w:rsid w:val="00AA5A0A"/>
    <w:rsid w:val="00AA5E84"/>
    <w:rsid w:val="00AA725C"/>
    <w:rsid w:val="00AA7339"/>
    <w:rsid w:val="00AB02D5"/>
    <w:rsid w:val="00AB18DF"/>
    <w:rsid w:val="00AB223E"/>
    <w:rsid w:val="00AB243B"/>
    <w:rsid w:val="00AB25B5"/>
    <w:rsid w:val="00AB3274"/>
    <w:rsid w:val="00AB3E05"/>
    <w:rsid w:val="00AB42AC"/>
    <w:rsid w:val="00AB6831"/>
    <w:rsid w:val="00AB7A0E"/>
    <w:rsid w:val="00AC0409"/>
    <w:rsid w:val="00AC0C60"/>
    <w:rsid w:val="00AC178D"/>
    <w:rsid w:val="00AC1897"/>
    <w:rsid w:val="00AC1A52"/>
    <w:rsid w:val="00AC2E63"/>
    <w:rsid w:val="00AC2EA5"/>
    <w:rsid w:val="00AC3A70"/>
    <w:rsid w:val="00AC63F8"/>
    <w:rsid w:val="00AC6600"/>
    <w:rsid w:val="00AC7144"/>
    <w:rsid w:val="00AC75AF"/>
    <w:rsid w:val="00AC7AD3"/>
    <w:rsid w:val="00AD00DB"/>
    <w:rsid w:val="00AD243B"/>
    <w:rsid w:val="00AD340C"/>
    <w:rsid w:val="00AD3849"/>
    <w:rsid w:val="00AD3D18"/>
    <w:rsid w:val="00AD494E"/>
    <w:rsid w:val="00AD4D41"/>
    <w:rsid w:val="00AD4DD2"/>
    <w:rsid w:val="00AD5667"/>
    <w:rsid w:val="00AD5B76"/>
    <w:rsid w:val="00AD6114"/>
    <w:rsid w:val="00AD6255"/>
    <w:rsid w:val="00AD74EC"/>
    <w:rsid w:val="00AE01B3"/>
    <w:rsid w:val="00AE0CFD"/>
    <w:rsid w:val="00AE16D0"/>
    <w:rsid w:val="00AE1978"/>
    <w:rsid w:val="00AE1DA8"/>
    <w:rsid w:val="00AE3B4D"/>
    <w:rsid w:val="00AE4D94"/>
    <w:rsid w:val="00AE5612"/>
    <w:rsid w:val="00AE5C6B"/>
    <w:rsid w:val="00AE6664"/>
    <w:rsid w:val="00AE6A4B"/>
    <w:rsid w:val="00AE6EED"/>
    <w:rsid w:val="00AE74AC"/>
    <w:rsid w:val="00AE7F1F"/>
    <w:rsid w:val="00AF11E6"/>
    <w:rsid w:val="00AF2614"/>
    <w:rsid w:val="00AF4155"/>
    <w:rsid w:val="00AF575F"/>
    <w:rsid w:val="00AF78B2"/>
    <w:rsid w:val="00B005A5"/>
    <w:rsid w:val="00B016BF"/>
    <w:rsid w:val="00B01853"/>
    <w:rsid w:val="00B0186D"/>
    <w:rsid w:val="00B02758"/>
    <w:rsid w:val="00B02B5A"/>
    <w:rsid w:val="00B0302F"/>
    <w:rsid w:val="00B036CF"/>
    <w:rsid w:val="00B03790"/>
    <w:rsid w:val="00B03920"/>
    <w:rsid w:val="00B03C45"/>
    <w:rsid w:val="00B03CDC"/>
    <w:rsid w:val="00B04B8A"/>
    <w:rsid w:val="00B04BFB"/>
    <w:rsid w:val="00B05145"/>
    <w:rsid w:val="00B104AA"/>
    <w:rsid w:val="00B10972"/>
    <w:rsid w:val="00B11872"/>
    <w:rsid w:val="00B13758"/>
    <w:rsid w:val="00B13979"/>
    <w:rsid w:val="00B139C6"/>
    <w:rsid w:val="00B150D8"/>
    <w:rsid w:val="00B1542C"/>
    <w:rsid w:val="00B15E4F"/>
    <w:rsid w:val="00B167DE"/>
    <w:rsid w:val="00B2012B"/>
    <w:rsid w:val="00B202CE"/>
    <w:rsid w:val="00B204EF"/>
    <w:rsid w:val="00B20B29"/>
    <w:rsid w:val="00B20CB9"/>
    <w:rsid w:val="00B20D52"/>
    <w:rsid w:val="00B2167C"/>
    <w:rsid w:val="00B22598"/>
    <w:rsid w:val="00B2316E"/>
    <w:rsid w:val="00B240DE"/>
    <w:rsid w:val="00B24691"/>
    <w:rsid w:val="00B246D3"/>
    <w:rsid w:val="00B24B59"/>
    <w:rsid w:val="00B25171"/>
    <w:rsid w:val="00B256EC"/>
    <w:rsid w:val="00B2604A"/>
    <w:rsid w:val="00B262C9"/>
    <w:rsid w:val="00B26A2C"/>
    <w:rsid w:val="00B26BDA"/>
    <w:rsid w:val="00B30526"/>
    <w:rsid w:val="00B3125B"/>
    <w:rsid w:val="00B31B0D"/>
    <w:rsid w:val="00B32F9A"/>
    <w:rsid w:val="00B32FCD"/>
    <w:rsid w:val="00B34577"/>
    <w:rsid w:val="00B34E07"/>
    <w:rsid w:val="00B34ED0"/>
    <w:rsid w:val="00B35897"/>
    <w:rsid w:val="00B41FF2"/>
    <w:rsid w:val="00B4240C"/>
    <w:rsid w:val="00B4289E"/>
    <w:rsid w:val="00B4334F"/>
    <w:rsid w:val="00B43464"/>
    <w:rsid w:val="00B45223"/>
    <w:rsid w:val="00B45B27"/>
    <w:rsid w:val="00B45C7D"/>
    <w:rsid w:val="00B461F3"/>
    <w:rsid w:val="00B46548"/>
    <w:rsid w:val="00B47DA1"/>
    <w:rsid w:val="00B47EFD"/>
    <w:rsid w:val="00B50C36"/>
    <w:rsid w:val="00B51C5E"/>
    <w:rsid w:val="00B52083"/>
    <w:rsid w:val="00B52525"/>
    <w:rsid w:val="00B52A88"/>
    <w:rsid w:val="00B52B44"/>
    <w:rsid w:val="00B52D72"/>
    <w:rsid w:val="00B53D82"/>
    <w:rsid w:val="00B53FA1"/>
    <w:rsid w:val="00B55F20"/>
    <w:rsid w:val="00B5645C"/>
    <w:rsid w:val="00B56BAC"/>
    <w:rsid w:val="00B571F4"/>
    <w:rsid w:val="00B573B4"/>
    <w:rsid w:val="00B61F86"/>
    <w:rsid w:val="00B63341"/>
    <w:rsid w:val="00B63B3C"/>
    <w:rsid w:val="00B64780"/>
    <w:rsid w:val="00B6494B"/>
    <w:rsid w:val="00B64BD5"/>
    <w:rsid w:val="00B64D7D"/>
    <w:rsid w:val="00B64EC7"/>
    <w:rsid w:val="00B658BB"/>
    <w:rsid w:val="00B65E8E"/>
    <w:rsid w:val="00B6622F"/>
    <w:rsid w:val="00B6752F"/>
    <w:rsid w:val="00B67926"/>
    <w:rsid w:val="00B679FA"/>
    <w:rsid w:val="00B71DDB"/>
    <w:rsid w:val="00B72B4C"/>
    <w:rsid w:val="00B7419B"/>
    <w:rsid w:val="00B74829"/>
    <w:rsid w:val="00B75DE1"/>
    <w:rsid w:val="00B76B7E"/>
    <w:rsid w:val="00B76EAC"/>
    <w:rsid w:val="00B81B80"/>
    <w:rsid w:val="00B81D7F"/>
    <w:rsid w:val="00B81ECA"/>
    <w:rsid w:val="00B830E9"/>
    <w:rsid w:val="00B838D7"/>
    <w:rsid w:val="00B83DCC"/>
    <w:rsid w:val="00B83F53"/>
    <w:rsid w:val="00B85358"/>
    <w:rsid w:val="00B85ABC"/>
    <w:rsid w:val="00B86A3E"/>
    <w:rsid w:val="00B87299"/>
    <w:rsid w:val="00B87B51"/>
    <w:rsid w:val="00B903B2"/>
    <w:rsid w:val="00B9113C"/>
    <w:rsid w:val="00B91171"/>
    <w:rsid w:val="00B91DE8"/>
    <w:rsid w:val="00B92CD2"/>
    <w:rsid w:val="00B93ECE"/>
    <w:rsid w:val="00B94367"/>
    <w:rsid w:val="00B94B9D"/>
    <w:rsid w:val="00B96111"/>
    <w:rsid w:val="00B975ED"/>
    <w:rsid w:val="00B979E2"/>
    <w:rsid w:val="00B97D1F"/>
    <w:rsid w:val="00B97E9D"/>
    <w:rsid w:val="00BA1740"/>
    <w:rsid w:val="00BA25DB"/>
    <w:rsid w:val="00BA38E0"/>
    <w:rsid w:val="00BA4649"/>
    <w:rsid w:val="00BA51C2"/>
    <w:rsid w:val="00BA6047"/>
    <w:rsid w:val="00BA619F"/>
    <w:rsid w:val="00BA6D10"/>
    <w:rsid w:val="00BA7D43"/>
    <w:rsid w:val="00BB02EB"/>
    <w:rsid w:val="00BB08FA"/>
    <w:rsid w:val="00BB0940"/>
    <w:rsid w:val="00BB096F"/>
    <w:rsid w:val="00BB0A6C"/>
    <w:rsid w:val="00BB17F3"/>
    <w:rsid w:val="00BB2DBC"/>
    <w:rsid w:val="00BB4AC7"/>
    <w:rsid w:val="00BB4CD0"/>
    <w:rsid w:val="00BB4F92"/>
    <w:rsid w:val="00BB5320"/>
    <w:rsid w:val="00BB61C1"/>
    <w:rsid w:val="00BB6B4A"/>
    <w:rsid w:val="00BB7024"/>
    <w:rsid w:val="00BB70CE"/>
    <w:rsid w:val="00BB7E90"/>
    <w:rsid w:val="00BC03CC"/>
    <w:rsid w:val="00BC0AB7"/>
    <w:rsid w:val="00BC0D92"/>
    <w:rsid w:val="00BC11D7"/>
    <w:rsid w:val="00BC1B9C"/>
    <w:rsid w:val="00BC2C14"/>
    <w:rsid w:val="00BC31EE"/>
    <w:rsid w:val="00BC3C19"/>
    <w:rsid w:val="00BC4501"/>
    <w:rsid w:val="00BC4B27"/>
    <w:rsid w:val="00BC4BC8"/>
    <w:rsid w:val="00BC5C23"/>
    <w:rsid w:val="00BC71FD"/>
    <w:rsid w:val="00BC7F3B"/>
    <w:rsid w:val="00BD15BE"/>
    <w:rsid w:val="00BD2E19"/>
    <w:rsid w:val="00BD3BF3"/>
    <w:rsid w:val="00BD5316"/>
    <w:rsid w:val="00BD6613"/>
    <w:rsid w:val="00BD6787"/>
    <w:rsid w:val="00BD6B77"/>
    <w:rsid w:val="00BD7A29"/>
    <w:rsid w:val="00BE0DCC"/>
    <w:rsid w:val="00BE1F49"/>
    <w:rsid w:val="00BE41BE"/>
    <w:rsid w:val="00BE4EBB"/>
    <w:rsid w:val="00BE6F8C"/>
    <w:rsid w:val="00BE735F"/>
    <w:rsid w:val="00BF0B0F"/>
    <w:rsid w:val="00BF150A"/>
    <w:rsid w:val="00BF25AB"/>
    <w:rsid w:val="00BF30A5"/>
    <w:rsid w:val="00BF3194"/>
    <w:rsid w:val="00BF3210"/>
    <w:rsid w:val="00BF3B09"/>
    <w:rsid w:val="00BF449C"/>
    <w:rsid w:val="00BF47BB"/>
    <w:rsid w:val="00BF4A06"/>
    <w:rsid w:val="00BF4B27"/>
    <w:rsid w:val="00BF641C"/>
    <w:rsid w:val="00BF6721"/>
    <w:rsid w:val="00BF6921"/>
    <w:rsid w:val="00C01351"/>
    <w:rsid w:val="00C02DA8"/>
    <w:rsid w:val="00C03270"/>
    <w:rsid w:val="00C03937"/>
    <w:rsid w:val="00C03D8E"/>
    <w:rsid w:val="00C044EA"/>
    <w:rsid w:val="00C048FB"/>
    <w:rsid w:val="00C04CFA"/>
    <w:rsid w:val="00C07250"/>
    <w:rsid w:val="00C074A8"/>
    <w:rsid w:val="00C076EF"/>
    <w:rsid w:val="00C07F2A"/>
    <w:rsid w:val="00C120D4"/>
    <w:rsid w:val="00C1262A"/>
    <w:rsid w:val="00C1444A"/>
    <w:rsid w:val="00C144BA"/>
    <w:rsid w:val="00C15E59"/>
    <w:rsid w:val="00C15E84"/>
    <w:rsid w:val="00C16C84"/>
    <w:rsid w:val="00C17537"/>
    <w:rsid w:val="00C20D1A"/>
    <w:rsid w:val="00C21DB4"/>
    <w:rsid w:val="00C224CD"/>
    <w:rsid w:val="00C22AEC"/>
    <w:rsid w:val="00C23815"/>
    <w:rsid w:val="00C252FD"/>
    <w:rsid w:val="00C25539"/>
    <w:rsid w:val="00C25B4A"/>
    <w:rsid w:val="00C25C2B"/>
    <w:rsid w:val="00C2744F"/>
    <w:rsid w:val="00C33D5F"/>
    <w:rsid w:val="00C34648"/>
    <w:rsid w:val="00C34717"/>
    <w:rsid w:val="00C34D95"/>
    <w:rsid w:val="00C34F84"/>
    <w:rsid w:val="00C357EB"/>
    <w:rsid w:val="00C359C0"/>
    <w:rsid w:val="00C363FF"/>
    <w:rsid w:val="00C37015"/>
    <w:rsid w:val="00C40072"/>
    <w:rsid w:val="00C408BD"/>
    <w:rsid w:val="00C40CA2"/>
    <w:rsid w:val="00C4213E"/>
    <w:rsid w:val="00C434BB"/>
    <w:rsid w:val="00C438D5"/>
    <w:rsid w:val="00C45741"/>
    <w:rsid w:val="00C4699F"/>
    <w:rsid w:val="00C4711A"/>
    <w:rsid w:val="00C472A3"/>
    <w:rsid w:val="00C50C4A"/>
    <w:rsid w:val="00C524B1"/>
    <w:rsid w:val="00C53D6E"/>
    <w:rsid w:val="00C544EF"/>
    <w:rsid w:val="00C56B9D"/>
    <w:rsid w:val="00C56D79"/>
    <w:rsid w:val="00C60706"/>
    <w:rsid w:val="00C616C7"/>
    <w:rsid w:val="00C61A1B"/>
    <w:rsid w:val="00C6464D"/>
    <w:rsid w:val="00C64FE6"/>
    <w:rsid w:val="00C66713"/>
    <w:rsid w:val="00C67BE9"/>
    <w:rsid w:val="00C70E74"/>
    <w:rsid w:val="00C71217"/>
    <w:rsid w:val="00C720A5"/>
    <w:rsid w:val="00C72672"/>
    <w:rsid w:val="00C72DBC"/>
    <w:rsid w:val="00C74041"/>
    <w:rsid w:val="00C75B69"/>
    <w:rsid w:val="00C75F5C"/>
    <w:rsid w:val="00C76B39"/>
    <w:rsid w:val="00C76F57"/>
    <w:rsid w:val="00C77891"/>
    <w:rsid w:val="00C8065B"/>
    <w:rsid w:val="00C8081E"/>
    <w:rsid w:val="00C80A90"/>
    <w:rsid w:val="00C8194B"/>
    <w:rsid w:val="00C831A1"/>
    <w:rsid w:val="00C84ACF"/>
    <w:rsid w:val="00C8510F"/>
    <w:rsid w:val="00C856C4"/>
    <w:rsid w:val="00C8634C"/>
    <w:rsid w:val="00C86F92"/>
    <w:rsid w:val="00C8768D"/>
    <w:rsid w:val="00C87FD1"/>
    <w:rsid w:val="00C90072"/>
    <w:rsid w:val="00C91B57"/>
    <w:rsid w:val="00C9533B"/>
    <w:rsid w:val="00C95A92"/>
    <w:rsid w:val="00CA14A2"/>
    <w:rsid w:val="00CA18B9"/>
    <w:rsid w:val="00CA1CD0"/>
    <w:rsid w:val="00CA2995"/>
    <w:rsid w:val="00CA5311"/>
    <w:rsid w:val="00CA597B"/>
    <w:rsid w:val="00CA618E"/>
    <w:rsid w:val="00CA6E89"/>
    <w:rsid w:val="00CA7D4E"/>
    <w:rsid w:val="00CA7F25"/>
    <w:rsid w:val="00CB0748"/>
    <w:rsid w:val="00CB18BD"/>
    <w:rsid w:val="00CB1B09"/>
    <w:rsid w:val="00CB232C"/>
    <w:rsid w:val="00CB2D79"/>
    <w:rsid w:val="00CB2E90"/>
    <w:rsid w:val="00CB31D0"/>
    <w:rsid w:val="00CB3AE6"/>
    <w:rsid w:val="00CB4405"/>
    <w:rsid w:val="00CB4447"/>
    <w:rsid w:val="00CB4EF4"/>
    <w:rsid w:val="00CB51F6"/>
    <w:rsid w:val="00CB5311"/>
    <w:rsid w:val="00CB5BD0"/>
    <w:rsid w:val="00CB63F6"/>
    <w:rsid w:val="00CB6CF9"/>
    <w:rsid w:val="00CC042F"/>
    <w:rsid w:val="00CC11D6"/>
    <w:rsid w:val="00CC1A2E"/>
    <w:rsid w:val="00CC237A"/>
    <w:rsid w:val="00CC50D8"/>
    <w:rsid w:val="00CC5447"/>
    <w:rsid w:val="00CC596A"/>
    <w:rsid w:val="00CC5D7B"/>
    <w:rsid w:val="00CD2332"/>
    <w:rsid w:val="00CD2668"/>
    <w:rsid w:val="00CD2FAC"/>
    <w:rsid w:val="00CD361B"/>
    <w:rsid w:val="00CD3879"/>
    <w:rsid w:val="00CD495B"/>
    <w:rsid w:val="00CD4A7D"/>
    <w:rsid w:val="00CD5C64"/>
    <w:rsid w:val="00CD611F"/>
    <w:rsid w:val="00CD621A"/>
    <w:rsid w:val="00CD6818"/>
    <w:rsid w:val="00CD7C0B"/>
    <w:rsid w:val="00CD7C6C"/>
    <w:rsid w:val="00CE3BDB"/>
    <w:rsid w:val="00CE4305"/>
    <w:rsid w:val="00CE44AB"/>
    <w:rsid w:val="00CE45D7"/>
    <w:rsid w:val="00CE4BC6"/>
    <w:rsid w:val="00CE52BF"/>
    <w:rsid w:val="00CE698A"/>
    <w:rsid w:val="00CE70DB"/>
    <w:rsid w:val="00CE7D62"/>
    <w:rsid w:val="00CF001E"/>
    <w:rsid w:val="00CF2651"/>
    <w:rsid w:val="00CF3031"/>
    <w:rsid w:val="00CF341B"/>
    <w:rsid w:val="00CF363A"/>
    <w:rsid w:val="00CF50D5"/>
    <w:rsid w:val="00CF5AE1"/>
    <w:rsid w:val="00CF5C9B"/>
    <w:rsid w:val="00CF5CAA"/>
    <w:rsid w:val="00CF6662"/>
    <w:rsid w:val="00D0095C"/>
    <w:rsid w:val="00D01058"/>
    <w:rsid w:val="00D01136"/>
    <w:rsid w:val="00D01432"/>
    <w:rsid w:val="00D03474"/>
    <w:rsid w:val="00D03476"/>
    <w:rsid w:val="00D03C0F"/>
    <w:rsid w:val="00D03F8D"/>
    <w:rsid w:val="00D04372"/>
    <w:rsid w:val="00D04C9A"/>
    <w:rsid w:val="00D04FB0"/>
    <w:rsid w:val="00D04FD4"/>
    <w:rsid w:val="00D06998"/>
    <w:rsid w:val="00D06B71"/>
    <w:rsid w:val="00D06DC1"/>
    <w:rsid w:val="00D079BD"/>
    <w:rsid w:val="00D105D9"/>
    <w:rsid w:val="00D11197"/>
    <w:rsid w:val="00D11E56"/>
    <w:rsid w:val="00D11FB0"/>
    <w:rsid w:val="00D129B0"/>
    <w:rsid w:val="00D1422B"/>
    <w:rsid w:val="00D16391"/>
    <w:rsid w:val="00D1756F"/>
    <w:rsid w:val="00D203B9"/>
    <w:rsid w:val="00D20BC2"/>
    <w:rsid w:val="00D2100C"/>
    <w:rsid w:val="00D21893"/>
    <w:rsid w:val="00D221AB"/>
    <w:rsid w:val="00D23183"/>
    <w:rsid w:val="00D23A71"/>
    <w:rsid w:val="00D23B6E"/>
    <w:rsid w:val="00D23DB6"/>
    <w:rsid w:val="00D242FC"/>
    <w:rsid w:val="00D24F90"/>
    <w:rsid w:val="00D26029"/>
    <w:rsid w:val="00D26400"/>
    <w:rsid w:val="00D264F9"/>
    <w:rsid w:val="00D26E9A"/>
    <w:rsid w:val="00D270C3"/>
    <w:rsid w:val="00D31768"/>
    <w:rsid w:val="00D31DF2"/>
    <w:rsid w:val="00D330DB"/>
    <w:rsid w:val="00D33C2D"/>
    <w:rsid w:val="00D34190"/>
    <w:rsid w:val="00D344FD"/>
    <w:rsid w:val="00D35E6A"/>
    <w:rsid w:val="00D361F7"/>
    <w:rsid w:val="00D367A3"/>
    <w:rsid w:val="00D36F7E"/>
    <w:rsid w:val="00D379C7"/>
    <w:rsid w:val="00D37A4D"/>
    <w:rsid w:val="00D37BDA"/>
    <w:rsid w:val="00D40860"/>
    <w:rsid w:val="00D41D8D"/>
    <w:rsid w:val="00D42370"/>
    <w:rsid w:val="00D424FE"/>
    <w:rsid w:val="00D42755"/>
    <w:rsid w:val="00D43F11"/>
    <w:rsid w:val="00D46969"/>
    <w:rsid w:val="00D46FE0"/>
    <w:rsid w:val="00D51C08"/>
    <w:rsid w:val="00D51F3E"/>
    <w:rsid w:val="00D52B8F"/>
    <w:rsid w:val="00D55644"/>
    <w:rsid w:val="00D559B2"/>
    <w:rsid w:val="00D55D74"/>
    <w:rsid w:val="00D568D6"/>
    <w:rsid w:val="00D6016F"/>
    <w:rsid w:val="00D613B2"/>
    <w:rsid w:val="00D61D4F"/>
    <w:rsid w:val="00D6218B"/>
    <w:rsid w:val="00D62526"/>
    <w:rsid w:val="00D62CEA"/>
    <w:rsid w:val="00D65B3B"/>
    <w:rsid w:val="00D66284"/>
    <w:rsid w:val="00D6655A"/>
    <w:rsid w:val="00D66E7E"/>
    <w:rsid w:val="00D73BEF"/>
    <w:rsid w:val="00D7497C"/>
    <w:rsid w:val="00D75375"/>
    <w:rsid w:val="00D75DD7"/>
    <w:rsid w:val="00D75F4C"/>
    <w:rsid w:val="00D7704E"/>
    <w:rsid w:val="00D77785"/>
    <w:rsid w:val="00D80DD2"/>
    <w:rsid w:val="00D8461E"/>
    <w:rsid w:val="00D848AF"/>
    <w:rsid w:val="00D84D41"/>
    <w:rsid w:val="00D85867"/>
    <w:rsid w:val="00D87C55"/>
    <w:rsid w:val="00D90438"/>
    <w:rsid w:val="00D90F7C"/>
    <w:rsid w:val="00D91BBB"/>
    <w:rsid w:val="00D93BBB"/>
    <w:rsid w:val="00D9483F"/>
    <w:rsid w:val="00D957E5"/>
    <w:rsid w:val="00D9612C"/>
    <w:rsid w:val="00D963A4"/>
    <w:rsid w:val="00D96B41"/>
    <w:rsid w:val="00DA02CE"/>
    <w:rsid w:val="00DA0A9B"/>
    <w:rsid w:val="00DA0DFD"/>
    <w:rsid w:val="00DA26D1"/>
    <w:rsid w:val="00DA661D"/>
    <w:rsid w:val="00DA7EC9"/>
    <w:rsid w:val="00DB18FC"/>
    <w:rsid w:val="00DB1DFA"/>
    <w:rsid w:val="00DB1FA9"/>
    <w:rsid w:val="00DB240D"/>
    <w:rsid w:val="00DB2769"/>
    <w:rsid w:val="00DB4762"/>
    <w:rsid w:val="00DB51D0"/>
    <w:rsid w:val="00DB630A"/>
    <w:rsid w:val="00DB6473"/>
    <w:rsid w:val="00DC1206"/>
    <w:rsid w:val="00DC1FC6"/>
    <w:rsid w:val="00DC3ED2"/>
    <w:rsid w:val="00DC4AE1"/>
    <w:rsid w:val="00DC5939"/>
    <w:rsid w:val="00DC6B38"/>
    <w:rsid w:val="00DC767D"/>
    <w:rsid w:val="00DC7A15"/>
    <w:rsid w:val="00DD0CDD"/>
    <w:rsid w:val="00DD26EA"/>
    <w:rsid w:val="00DD2A54"/>
    <w:rsid w:val="00DD2FC8"/>
    <w:rsid w:val="00DD35BB"/>
    <w:rsid w:val="00DD5EDD"/>
    <w:rsid w:val="00DD6551"/>
    <w:rsid w:val="00DD6935"/>
    <w:rsid w:val="00DD6B34"/>
    <w:rsid w:val="00DD7198"/>
    <w:rsid w:val="00DE10B2"/>
    <w:rsid w:val="00DE3B48"/>
    <w:rsid w:val="00DE766D"/>
    <w:rsid w:val="00DF06D5"/>
    <w:rsid w:val="00DF06E1"/>
    <w:rsid w:val="00DF0FF1"/>
    <w:rsid w:val="00DF1557"/>
    <w:rsid w:val="00DF253B"/>
    <w:rsid w:val="00DF39D1"/>
    <w:rsid w:val="00DF4505"/>
    <w:rsid w:val="00DF49C5"/>
    <w:rsid w:val="00DF636E"/>
    <w:rsid w:val="00DF6B72"/>
    <w:rsid w:val="00DF7223"/>
    <w:rsid w:val="00DF749E"/>
    <w:rsid w:val="00DF7988"/>
    <w:rsid w:val="00E0112E"/>
    <w:rsid w:val="00E01664"/>
    <w:rsid w:val="00E02056"/>
    <w:rsid w:val="00E036A6"/>
    <w:rsid w:val="00E037D5"/>
    <w:rsid w:val="00E046DC"/>
    <w:rsid w:val="00E05F80"/>
    <w:rsid w:val="00E070FA"/>
    <w:rsid w:val="00E07564"/>
    <w:rsid w:val="00E07EB9"/>
    <w:rsid w:val="00E10A87"/>
    <w:rsid w:val="00E114BC"/>
    <w:rsid w:val="00E11D50"/>
    <w:rsid w:val="00E13609"/>
    <w:rsid w:val="00E138AE"/>
    <w:rsid w:val="00E14B3C"/>
    <w:rsid w:val="00E16067"/>
    <w:rsid w:val="00E205FF"/>
    <w:rsid w:val="00E212E3"/>
    <w:rsid w:val="00E21EB3"/>
    <w:rsid w:val="00E22505"/>
    <w:rsid w:val="00E227F4"/>
    <w:rsid w:val="00E23903"/>
    <w:rsid w:val="00E2465F"/>
    <w:rsid w:val="00E2575E"/>
    <w:rsid w:val="00E25E0D"/>
    <w:rsid w:val="00E26ECD"/>
    <w:rsid w:val="00E2723D"/>
    <w:rsid w:val="00E27DAA"/>
    <w:rsid w:val="00E27FDC"/>
    <w:rsid w:val="00E303C9"/>
    <w:rsid w:val="00E30627"/>
    <w:rsid w:val="00E30E7D"/>
    <w:rsid w:val="00E31BA9"/>
    <w:rsid w:val="00E332F8"/>
    <w:rsid w:val="00E33659"/>
    <w:rsid w:val="00E40872"/>
    <w:rsid w:val="00E41594"/>
    <w:rsid w:val="00E423C2"/>
    <w:rsid w:val="00E4296F"/>
    <w:rsid w:val="00E44D88"/>
    <w:rsid w:val="00E46034"/>
    <w:rsid w:val="00E46A08"/>
    <w:rsid w:val="00E473CD"/>
    <w:rsid w:val="00E47BE1"/>
    <w:rsid w:val="00E518FB"/>
    <w:rsid w:val="00E51911"/>
    <w:rsid w:val="00E568C6"/>
    <w:rsid w:val="00E56FE8"/>
    <w:rsid w:val="00E57C5E"/>
    <w:rsid w:val="00E57FE6"/>
    <w:rsid w:val="00E6057C"/>
    <w:rsid w:val="00E607A7"/>
    <w:rsid w:val="00E60C5E"/>
    <w:rsid w:val="00E637C3"/>
    <w:rsid w:val="00E63BD1"/>
    <w:rsid w:val="00E6435C"/>
    <w:rsid w:val="00E6467D"/>
    <w:rsid w:val="00E65AC4"/>
    <w:rsid w:val="00E66BCF"/>
    <w:rsid w:val="00E7076B"/>
    <w:rsid w:val="00E71342"/>
    <w:rsid w:val="00E71C55"/>
    <w:rsid w:val="00E7277A"/>
    <w:rsid w:val="00E728E4"/>
    <w:rsid w:val="00E74627"/>
    <w:rsid w:val="00E7538A"/>
    <w:rsid w:val="00E755BA"/>
    <w:rsid w:val="00E77471"/>
    <w:rsid w:val="00E777FC"/>
    <w:rsid w:val="00E77878"/>
    <w:rsid w:val="00E807FB"/>
    <w:rsid w:val="00E811B3"/>
    <w:rsid w:val="00E82651"/>
    <w:rsid w:val="00E838CB"/>
    <w:rsid w:val="00E83B54"/>
    <w:rsid w:val="00E83DB2"/>
    <w:rsid w:val="00E840FB"/>
    <w:rsid w:val="00E8555A"/>
    <w:rsid w:val="00E85DAF"/>
    <w:rsid w:val="00E86A39"/>
    <w:rsid w:val="00E86ECD"/>
    <w:rsid w:val="00E8703F"/>
    <w:rsid w:val="00E87864"/>
    <w:rsid w:val="00E90EE7"/>
    <w:rsid w:val="00E91684"/>
    <w:rsid w:val="00E9170D"/>
    <w:rsid w:val="00E91730"/>
    <w:rsid w:val="00E9198A"/>
    <w:rsid w:val="00E91DB3"/>
    <w:rsid w:val="00E92C29"/>
    <w:rsid w:val="00E92D27"/>
    <w:rsid w:val="00E931C1"/>
    <w:rsid w:val="00E93508"/>
    <w:rsid w:val="00E93D1C"/>
    <w:rsid w:val="00E93D73"/>
    <w:rsid w:val="00E94BE1"/>
    <w:rsid w:val="00E94BFD"/>
    <w:rsid w:val="00E94E0E"/>
    <w:rsid w:val="00E97186"/>
    <w:rsid w:val="00E97F6C"/>
    <w:rsid w:val="00EA04D2"/>
    <w:rsid w:val="00EA3880"/>
    <w:rsid w:val="00EA51D1"/>
    <w:rsid w:val="00EA6401"/>
    <w:rsid w:val="00EA68DB"/>
    <w:rsid w:val="00EA6B0B"/>
    <w:rsid w:val="00EA7277"/>
    <w:rsid w:val="00EA7FFB"/>
    <w:rsid w:val="00EB0764"/>
    <w:rsid w:val="00EB1322"/>
    <w:rsid w:val="00EB1A62"/>
    <w:rsid w:val="00EB3A0B"/>
    <w:rsid w:val="00EB4FC8"/>
    <w:rsid w:val="00EB538F"/>
    <w:rsid w:val="00EB7672"/>
    <w:rsid w:val="00EB7A4C"/>
    <w:rsid w:val="00EC0DD8"/>
    <w:rsid w:val="00EC1729"/>
    <w:rsid w:val="00EC2A66"/>
    <w:rsid w:val="00EC3672"/>
    <w:rsid w:val="00EC44FF"/>
    <w:rsid w:val="00ED0960"/>
    <w:rsid w:val="00ED3632"/>
    <w:rsid w:val="00ED3782"/>
    <w:rsid w:val="00ED56C1"/>
    <w:rsid w:val="00ED5BE8"/>
    <w:rsid w:val="00ED6961"/>
    <w:rsid w:val="00ED7CED"/>
    <w:rsid w:val="00ED7D80"/>
    <w:rsid w:val="00EE08BA"/>
    <w:rsid w:val="00EE1F49"/>
    <w:rsid w:val="00EE1F87"/>
    <w:rsid w:val="00EE32B2"/>
    <w:rsid w:val="00EE3720"/>
    <w:rsid w:val="00EE3F92"/>
    <w:rsid w:val="00EE4E4F"/>
    <w:rsid w:val="00EE5FFA"/>
    <w:rsid w:val="00EE68DF"/>
    <w:rsid w:val="00EE7634"/>
    <w:rsid w:val="00EF001A"/>
    <w:rsid w:val="00EF08C2"/>
    <w:rsid w:val="00EF1AA0"/>
    <w:rsid w:val="00EF271D"/>
    <w:rsid w:val="00EF4228"/>
    <w:rsid w:val="00EF473E"/>
    <w:rsid w:val="00EF4DC8"/>
    <w:rsid w:val="00EF4F46"/>
    <w:rsid w:val="00EF59D7"/>
    <w:rsid w:val="00EF659E"/>
    <w:rsid w:val="00EF6A13"/>
    <w:rsid w:val="00EF7B97"/>
    <w:rsid w:val="00F01751"/>
    <w:rsid w:val="00F02CF2"/>
    <w:rsid w:val="00F0385A"/>
    <w:rsid w:val="00F04ADF"/>
    <w:rsid w:val="00F06CD3"/>
    <w:rsid w:val="00F078C6"/>
    <w:rsid w:val="00F1070F"/>
    <w:rsid w:val="00F13BB5"/>
    <w:rsid w:val="00F14992"/>
    <w:rsid w:val="00F14FA1"/>
    <w:rsid w:val="00F16A50"/>
    <w:rsid w:val="00F205B8"/>
    <w:rsid w:val="00F21456"/>
    <w:rsid w:val="00F21D20"/>
    <w:rsid w:val="00F22674"/>
    <w:rsid w:val="00F22B78"/>
    <w:rsid w:val="00F244F9"/>
    <w:rsid w:val="00F25220"/>
    <w:rsid w:val="00F25309"/>
    <w:rsid w:val="00F25320"/>
    <w:rsid w:val="00F26726"/>
    <w:rsid w:val="00F26FA6"/>
    <w:rsid w:val="00F27FAB"/>
    <w:rsid w:val="00F306D7"/>
    <w:rsid w:val="00F308B7"/>
    <w:rsid w:val="00F31501"/>
    <w:rsid w:val="00F3188A"/>
    <w:rsid w:val="00F31BE1"/>
    <w:rsid w:val="00F31CAB"/>
    <w:rsid w:val="00F31ECE"/>
    <w:rsid w:val="00F31FF7"/>
    <w:rsid w:val="00F32A46"/>
    <w:rsid w:val="00F32CCE"/>
    <w:rsid w:val="00F3540D"/>
    <w:rsid w:val="00F37170"/>
    <w:rsid w:val="00F40EBD"/>
    <w:rsid w:val="00F416A4"/>
    <w:rsid w:val="00F42FC2"/>
    <w:rsid w:val="00F43040"/>
    <w:rsid w:val="00F436A2"/>
    <w:rsid w:val="00F44520"/>
    <w:rsid w:val="00F44E00"/>
    <w:rsid w:val="00F44EC3"/>
    <w:rsid w:val="00F459DC"/>
    <w:rsid w:val="00F46AFA"/>
    <w:rsid w:val="00F46B72"/>
    <w:rsid w:val="00F46DD6"/>
    <w:rsid w:val="00F473AB"/>
    <w:rsid w:val="00F474AB"/>
    <w:rsid w:val="00F476F6"/>
    <w:rsid w:val="00F47930"/>
    <w:rsid w:val="00F47A28"/>
    <w:rsid w:val="00F5050C"/>
    <w:rsid w:val="00F5134E"/>
    <w:rsid w:val="00F528DD"/>
    <w:rsid w:val="00F52A18"/>
    <w:rsid w:val="00F52C68"/>
    <w:rsid w:val="00F53CC6"/>
    <w:rsid w:val="00F564CD"/>
    <w:rsid w:val="00F605F3"/>
    <w:rsid w:val="00F61702"/>
    <w:rsid w:val="00F62E71"/>
    <w:rsid w:val="00F63011"/>
    <w:rsid w:val="00F6306C"/>
    <w:rsid w:val="00F630C8"/>
    <w:rsid w:val="00F64C12"/>
    <w:rsid w:val="00F6552D"/>
    <w:rsid w:val="00F6573B"/>
    <w:rsid w:val="00F667F5"/>
    <w:rsid w:val="00F67278"/>
    <w:rsid w:val="00F67ABE"/>
    <w:rsid w:val="00F710E9"/>
    <w:rsid w:val="00F733F0"/>
    <w:rsid w:val="00F75E36"/>
    <w:rsid w:val="00F75F28"/>
    <w:rsid w:val="00F76A72"/>
    <w:rsid w:val="00F77340"/>
    <w:rsid w:val="00F8042D"/>
    <w:rsid w:val="00F85256"/>
    <w:rsid w:val="00F85470"/>
    <w:rsid w:val="00F8693F"/>
    <w:rsid w:val="00F8751C"/>
    <w:rsid w:val="00F87572"/>
    <w:rsid w:val="00F87CA2"/>
    <w:rsid w:val="00F87FF7"/>
    <w:rsid w:val="00F911A7"/>
    <w:rsid w:val="00F91679"/>
    <w:rsid w:val="00F91976"/>
    <w:rsid w:val="00F92C8D"/>
    <w:rsid w:val="00F92D86"/>
    <w:rsid w:val="00F931AD"/>
    <w:rsid w:val="00F95FE5"/>
    <w:rsid w:val="00F96E61"/>
    <w:rsid w:val="00F9741A"/>
    <w:rsid w:val="00FA1393"/>
    <w:rsid w:val="00FA18B4"/>
    <w:rsid w:val="00FA1F53"/>
    <w:rsid w:val="00FA2095"/>
    <w:rsid w:val="00FA244D"/>
    <w:rsid w:val="00FA35B2"/>
    <w:rsid w:val="00FA7224"/>
    <w:rsid w:val="00FB1215"/>
    <w:rsid w:val="00FB2935"/>
    <w:rsid w:val="00FB3D8E"/>
    <w:rsid w:val="00FB4CB0"/>
    <w:rsid w:val="00FB608E"/>
    <w:rsid w:val="00FB6392"/>
    <w:rsid w:val="00FB63A7"/>
    <w:rsid w:val="00FB6B49"/>
    <w:rsid w:val="00FC0685"/>
    <w:rsid w:val="00FC0A59"/>
    <w:rsid w:val="00FC149A"/>
    <w:rsid w:val="00FC3953"/>
    <w:rsid w:val="00FC39BA"/>
    <w:rsid w:val="00FC3DAC"/>
    <w:rsid w:val="00FC3EDB"/>
    <w:rsid w:val="00FC5864"/>
    <w:rsid w:val="00FC7C3D"/>
    <w:rsid w:val="00FD1428"/>
    <w:rsid w:val="00FD20C5"/>
    <w:rsid w:val="00FD2761"/>
    <w:rsid w:val="00FD2AA0"/>
    <w:rsid w:val="00FD37B5"/>
    <w:rsid w:val="00FD4568"/>
    <w:rsid w:val="00FD5B5E"/>
    <w:rsid w:val="00FD613E"/>
    <w:rsid w:val="00FD6F4D"/>
    <w:rsid w:val="00FD728F"/>
    <w:rsid w:val="00FD777E"/>
    <w:rsid w:val="00FE0559"/>
    <w:rsid w:val="00FE05A0"/>
    <w:rsid w:val="00FE12FC"/>
    <w:rsid w:val="00FE3884"/>
    <w:rsid w:val="00FE3FCF"/>
    <w:rsid w:val="00FE4338"/>
    <w:rsid w:val="00FF025A"/>
    <w:rsid w:val="00FF161C"/>
    <w:rsid w:val="00FF2C7E"/>
    <w:rsid w:val="00FF2E19"/>
    <w:rsid w:val="00FF568F"/>
    <w:rsid w:val="00FF756F"/>
    <w:rsid w:val="6D34513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semiHidden="0" w:name="heading 2"/>
    <w:lsdException w:qFormat="1" w:uiPriority="1"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qFormat="1" w:uiPriority="99" w:semiHidden="0" w:name="annotation text"/>
    <w:lsdException w:qFormat="1" w:uiPriority="0"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qFormat="1"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name="Date"/>
    <w:lsdException w:qFormat="1" w:uiPriority="0" w:semiHidden="0"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qFormat="1" w:uiPriority="99" w:name="FollowedHyperlink"/>
    <w:lsdException w:qFormat="1" w:unhideWhenUsed="0" w:uiPriority="22" w:semiHidden="0" w:name="Strong"/>
    <w:lsdException w:qFormat="1" w:unhideWhenUsed="0" w:uiPriority="20" w:semiHidden="0" w:name="Emphasis"/>
    <w:lsdException w:qFormat="1" w:uiPriority="99" w:name="Document Map"/>
    <w:lsdException w:qFormat="1"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name="Balloon Text"/>
    <w:lsdException w:qFormat="1" w:unhideWhenUsed="0" w:uiPriority="39" w:semiHidden="0" w:name="Table Grid"/>
    <w:lsdException w:uiPriority="99" w:name="Table Theme"/>
    <w:lsdException w:qFormat="1" w:unhideWhenUsed="0" w:uiPriority="99" w:name="Placeholder Text"/>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qFormat="1" w:unhideWhenUsed="0" w:uiPriority="29" w:semiHidden="0" w:name="Quote"/>
    <w:lsdException w:qFormat="1" w:unhideWhenUsed="0" w:uiPriority="30" w:semiHidden="0" w:name="Intense Quote"/>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cs="Times New Roman" w:asciiTheme="minorHAnsi" w:hAnsiTheme="minorHAnsi" w:eastAsiaTheme="minorEastAsia"/>
      <w:sz w:val="24"/>
      <w:szCs w:val="24"/>
      <w:lang w:val="en-US" w:eastAsia="zh-CN" w:bidi="ar-SA"/>
    </w:rPr>
  </w:style>
  <w:style w:type="paragraph" w:styleId="2">
    <w:name w:val="heading 1"/>
    <w:basedOn w:val="1"/>
    <w:next w:val="1"/>
    <w:link w:val="58"/>
    <w:qFormat/>
    <w:uiPriority w:val="9"/>
    <w:pPr>
      <w:keepNext/>
      <w:numPr>
        <w:ilvl w:val="0"/>
        <w:numId w:val="1"/>
      </w:numPr>
      <w:spacing w:before="50" w:beforeLines="50" w:after="50" w:afterLines="50"/>
      <w:jc w:val="center"/>
      <w:outlineLvl w:val="0"/>
    </w:pPr>
    <w:rPr>
      <w:rFonts w:ascii="Calibri" w:hAnsi="Calibri" w:eastAsia="黑体"/>
      <w:bCs/>
      <w:kern w:val="36"/>
      <w:sz w:val="32"/>
      <w:szCs w:val="32"/>
    </w:rPr>
  </w:style>
  <w:style w:type="paragraph" w:styleId="3">
    <w:name w:val="heading 2"/>
    <w:basedOn w:val="1"/>
    <w:next w:val="1"/>
    <w:link w:val="59"/>
    <w:unhideWhenUsed/>
    <w:qFormat/>
    <w:uiPriority w:val="9"/>
    <w:pPr>
      <w:keepNext/>
      <w:numPr>
        <w:ilvl w:val="1"/>
        <w:numId w:val="1"/>
      </w:numPr>
      <w:spacing w:before="120" w:after="60"/>
      <w:outlineLvl w:val="1"/>
    </w:pPr>
    <w:rPr>
      <w:rFonts w:ascii="Calibri" w:hAnsi="Calibri" w:eastAsia="黑体" w:cstheme="majorBidi"/>
      <w:bCs/>
      <w:iCs/>
      <w:kern w:val="32"/>
      <w:sz w:val="28"/>
      <w:szCs w:val="28"/>
    </w:rPr>
  </w:style>
  <w:style w:type="paragraph" w:styleId="4">
    <w:name w:val="heading 3"/>
    <w:basedOn w:val="1"/>
    <w:next w:val="1"/>
    <w:link w:val="60"/>
    <w:unhideWhenUsed/>
    <w:qFormat/>
    <w:uiPriority w:val="1"/>
    <w:pPr>
      <w:keepNext/>
      <w:numPr>
        <w:ilvl w:val="2"/>
        <w:numId w:val="1"/>
      </w:numPr>
      <w:spacing w:before="60" w:after="60"/>
      <w:outlineLvl w:val="2"/>
    </w:pPr>
    <w:rPr>
      <w:rFonts w:ascii="Calibri Light" w:hAnsi="Calibri Light" w:eastAsia="宋体"/>
      <w:b/>
      <w:bCs/>
      <w:kern w:val="30"/>
      <w:szCs w:val="26"/>
    </w:rPr>
  </w:style>
  <w:style w:type="paragraph" w:styleId="5">
    <w:name w:val="heading 4"/>
    <w:basedOn w:val="1"/>
    <w:next w:val="1"/>
    <w:link w:val="61"/>
    <w:semiHidden/>
    <w:unhideWhenUsed/>
    <w:qFormat/>
    <w:uiPriority w:val="9"/>
    <w:pPr>
      <w:keepNext/>
      <w:numPr>
        <w:ilvl w:val="3"/>
        <w:numId w:val="1"/>
      </w:numPr>
      <w:spacing w:before="240" w:after="60"/>
      <w:outlineLvl w:val="3"/>
    </w:pPr>
    <w:rPr>
      <w:rFonts w:cstheme="majorBidi"/>
      <w:b/>
      <w:bCs/>
      <w:sz w:val="28"/>
      <w:szCs w:val="28"/>
    </w:rPr>
  </w:style>
  <w:style w:type="paragraph" w:styleId="6">
    <w:name w:val="heading 5"/>
    <w:basedOn w:val="1"/>
    <w:next w:val="1"/>
    <w:link w:val="62"/>
    <w:semiHidden/>
    <w:unhideWhenUsed/>
    <w:qFormat/>
    <w:uiPriority w:val="9"/>
    <w:pPr>
      <w:numPr>
        <w:ilvl w:val="4"/>
        <w:numId w:val="1"/>
      </w:numPr>
      <w:spacing w:before="240" w:after="60"/>
      <w:outlineLvl w:val="4"/>
    </w:pPr>
    <w:rPr>
      <w:b/>
      <w:bCs/>
      <w:i/>
      <w:iCs/>
      <w:sz w:val="26"/>
      <w:szCs w:val="26"/>
    </w:rPr>
  </w:style>
  <w:style w:type="paragraph" w:styleId="7">
    <w:name w:val="heading 6"/>
    <w:basedOn w:val="1"/>
    <w:next w:val="1"/>
    <w:link w:val="63"/>
    <w:semiHidden/>
    <w:unhideWhenUsed/>
    <w:qFormat/>
    <w:uiPriority w:val="9"/>
    <w:pPr>
      <w:numPr>
        <w:ilvl w:val="5"/>
        <w:numId w:val="1"/>
      </w:numPr>
      <w:spacing w:before="240" w:after="60"/>
      <w:outlineLvl w:val="5"/>
    </w:pPr>
    <w:rPr>
      <w:rFonts w:cstheme="majorBidi"/>
      <w:b/>
      <w:bCs/>
      <w:sz w:val="22"/>
      <w:szCs w:val="22"/>
    </w:rPr>
  </w:style>
  <w:style w:type="paragraph" w:styleId="8">
    <w:name w:val="heading 7"/>
    <w:basedOn w:val="1"/>
    <w:next w:val="1"/>
    <w:link w:val="64"/>
    <w:semiHidden/>
    <w:unhideWhenUsed/>
    <w:qFormat/>
    <w:uiPriority w:val="9"/>
    <w:pPr>
      <w:numPr>
        <w:ilvl w:val="6"/>
        <w:numId w:val="1"/>
      </w:numPr>
      <w:spacing w:before="240" w:after="60"/>
      <w:outlineLvl w:val="6"/>
    </w:pPr>
  </w:style>
  <w:style w:type="paragraph" w:styleId="9">
    <w:name w:val="heading 8"/>
    <w:basedOn w:val="1"/>
    <w:next w:val="1"/>
    <w:link w:val="65"/>
    <w:semiHidden/>
    <w:unhideWhenUsed/>
    <w:qFormat/>
    <w:uiPriority w:val="9"/>
    <w:pPr>
      <w:numPr>
        <w:ilvl w:val="7"/>
        <w:numId w:val="1"/>
      </w:numPr>
      <w:spacing w:before="240" w:after="60"/>
      <w:outlineLvl w:val="7"/>
    </w:pPr>
    <w:rPr>
      <w:rFonts w:cstheme="majorBidi"/>
      <w:i/>
      <w:iCs/>
    </w:rPr>
  </w:style>
  <w:style w:type="paragraph" w:styleId="10">
    <w:name w:val="heading 9"/>
    <w:basedOn w:val="1"/>
    <w:next w:val="1"/>
    <w:link w:val="66"/>
    <w:semiHidden/>
    <w:unhideWhenUsed/>
    <w:qFormat/>
    <w:uiPriority w:val="9"/>
    <w:pPr>
      <w:numPr>
        <w:ilvl w:val="8"/>
        <w:numId w:val="1"/>
      </w:numPr>
      <w:spacing w:before="240" w:after="60"/>
      <w:outlineLvl w:val="8"/>
    </w:pPr>
    <w:rPr>
      <w:rFonts w:asciiTheme="majorHAnsi" w:hAnsiTheme="majorHAnsi" w:eastAsiaTheme="majorEastAsia" w:cstheme="majorBidi"/>
      <w:sz w:val="22"/>
      <w:szCs w:val="22"/>
    </w:rPr>
  </w:style>
  <w:style w:type="character" w:default="1" w:styleId="28">
    <w:name w:val="Default Paragraph Font"/>
    <w:semiHidden/>
    <w:unhideWhenUsed/>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11">
    <w:name w:val="caption"/>
    <w:basedOn w:val="1"/>
    <w:next w:val="1"/>
    <w:semiHidden/>
    <w:unhideWhenUsed/>
    <w:qFormat/>
    <w:uiPriority w:val="35"/>
    <w:rPr>
      <w:rFonts w:eastAsia="黑体" w:asciiTheme="majorHAnsi" w:hAnsiTheme="majorHAnsi" w:cstheme="majorBidi"/>
      <w:sz w:val="20"/>
      <w:szCs w:val="20"/>
    </w:rPr>
  </w:style>
  <w:style w:type="paragraph" w:styleId="12">
    <w:name w:val="Document Map"/>
    <w:basedOn w:val="1"/>
    <w:link w:val="90"/>
    <w:semiHidden/>
    <w:unhideWhenUsed/>
    <w:qFormat/>
    <w:uiPriority w:val="99"/>
    <w:pPr>
      <w:spacing w:line="400" w:lineRule="exact"/>
      <w:jc w:val="both"/>
    </w:pPr>
    <w:rPr>
      <w:rFonts w:ascii="宋体" w:hAnsi="Calibri Light" w:eastAsia="宋体" w:cs="Calibri Light"/>
      <w:kern w:val="2"/>
      <w:sz w:val="18"/>
      <w:szCs w:val="18"/>
    </w:rPr>
  </w:style>
  <w:style w:type="paragraph" w:styleId="13">
    <w:name w:val="annotation text"/>
    <w:basedOn w:val="1"/>
    <w:link w:val="82"/>
    <w:unhideWhenUsed/>
    <w:qFormat/>
    <w:uiPriority w:val="99"/>
    <w:pPr>
      <w:spacing w:line="400" w:lineRule="exact"/>
    </w:pPr>
    <w:rPr>
      <w:rFonts w:ascii="Calibri Light" w:hAnsi="Calibri Light" w:eastAsia="华文仿宋" w:cs="Calibri Light"/>
      <w:kern w:val="2"/>
      <w:sz w:val="28"/>
      <w:szCs w:val="28"/>
    </w:rPr>
  </w:style>
  <w:style w:type="paragraph" w:styleId="14">
    <w:name w:val="Body Text"/>
    <w:basedOn w:val="1"/>
    <w:link w:val="101"/>
    <w:semiHidden/>
    <w:unhideWhenUsed/>
    <w:qFormat/>
    <w:uiPriority w:val="99"/>
    <w:pPr>
      <w:spacing w:after="120"/>
    </w:pPr>
  </w:style>
  <w:style w:type="paragraph" w:styleId="15">
    <w:name w:val="Plain Text"/>
    <w:basedOn w:val="1"/>
    <w:link w:val="94"/>
    <w:unhideWhenUsed/>
    <w:qFormat/>
    <w:uiPriority w:val="0"/>
    <w:rPr>
      <w:rFonts w:ascii="宋体" w:hAnsi="Courier New" w:eastAsia="宋体" w:cs="Courier New"/>
      <w:sz w:val="21"/>
      <w:szCs w:val="21"/>
    </w:rPr>
  </w:style>
  <w:style w:type="paragraph" w:styleId="16">
    <w:name w:val="Date"/>
    <w:basedOn w:val="1"/>
    <w:next w:val="1"/>
    <w:link w:val="55"/>
    <w:semiHidden/>
    <w:unhideWhenUsed/>
    <w:qFormat/>
    <w:uiPriority w:val="99"/>
    <w:pPr>
      <w:ind w:left="100" w:leftChars="2500"/>
    </w:pPr>
  </w:style>
  <w:style w:type="paragraph" w:styleId="17">
    <w:name w:val="Balloon Text"/>
    <w:basedOn w:val="1"/>
    <w:link w:val="81"/>
    <w:semiHidden/>
    <w:unhideWhenUsed/>
    <w:qFormat/>
    <w:uiPriority w:val="99"/>
    <w:rPr>
      <w:sz w:val="18"/>
      <w:szCs w:val="18"/>
    </w:rPr>
  </w:style>
  <w:style w:type="paragraph" w:styleId="18">
    <w:name w:val="footer"/>
    <w:basedOn w:val="1"/>
    <w:link w:val="57"/>
    <w:unhideWhenUsed/>
    <w:qFormat/>
    <w:uiPriority w:val="99"/>
    <w:pPr>
      <w:tabs>
        <w:tab w:val="center" w:pos="4153"/>
        <w:tab w:val="right" w:pos="8306"/>
      </w:tabs>
      <w:snapToGrid w:val="0"/>
      <w:spacing w:line="240" w:lineRule="atLeast"/>
    </w:pPr>
    <w:rPr>
      <w:sz w:val="18"/>
      <w:szCs w:val="18"/>
    </w:rPr>
  </w:style>
  <w:style w:type="paragraph" w:styleId="19">
    <w:name w:val="header"/>
    <w:basedOn w:val="1"/>
    <w:link w:val="56"/>
    <w:unhideWhenUsed/>
    <w:qFormat/>
    <w:uiPriority w:val="0"/>
    <w:pPr>
      <w:pBdr>
        <w:bottom w:val="single" w:color="auto" w:sz="6" w:space="1"/>
      </w:pBdr>
      <w:tabs>
        <w:tab w:val="center" w:pos="4153"/>
        <w:tab w:val="right" w:pos="8306"/>
      </w:tabs>
      <w:snapToGrid w:val="0"/>
      <w:spacing w:line="240" w:lineRule="atLeast"/>
      <w:jc w:val="center"/>
    </w:pPr>
    <w:rPr>
      <w:sz w:val="18"/>
      <w:szCs w:val="18"/>
    </w:rPr>
  </w:style>
  <w:style w:type="paragraph" w:styleId="20">
    <w:name w:val="toc 1"/>
    <w:basedOn w:val="1"/>
    <w:next w:val="1"/>
    <w:unhideWhenUsed/>
    <w:qFormat/>
    <w:uiPriority w:val="39"/>
    <w:pPr>
      <w:spacing w:before="100" w:beforeLines="100" w:after="100" w:afterLines="100"/>
    </w:pPr>
    <w:rPr>
      <w:rFonts w:ascii="Calibri" w:hAnsi="Calibri" w:eastAsia="宋体"/>
      <w:kern w:val="32"/>
      <w:sz w:val="32"/>
    </w:rPr>
  </w:style>
  <w:style w:type="paragraph" w:styleId="21">
    <w:name w:val="Subtitle"/>
    <w:basedOn w:val="1"/>
    <w:next w:val="1"/>
    <w:link w:val="68"/>
    <w:qFormat/>
    <w:uiPriority w:val="11"/>
    <w:pPr>
      <w:keepNext/>
      <w:spacing w:before="50" w:beforeLines="50" w:after="50" w:afterLines="50"/>
      <w:jc w:val="center"/>
      <w:outlineLvl w:val="1"/>
    </w:pPr>
    <w:rPr>
      <w:rFonts w:ascii="Calibri" w:hAnsi="Calibri" w:eastAsia="黑体" w:cstheme="majorBidi"/>
      <w:sz w:val="32"/>
    </w:rPr>
  </w:style>
  <w:style w:type="paragraph" w:styleId="22">
    <w:name w:val="Normal (Web)"/>
    <w:basedOn w:val="1"/>
    <w:qFormat/>
    <w:uiPriority w:val="0"/>
  </w:style>
  <w:style w:type="paragraph" w:styleId="23">
    <w:name w:val="Title"/>
    <w:basedOn w:val="1"/>
    <w:next w:val="1"/>
    <w:link w:val="67"/>
    <w:qFormat/>
    <w:uiPriority w:val="10"/>
    <w:pPr>
      <w:spacing w:before="240" w:after="60"/>
      <w:jc w:val="center"/>
      <w:outlineLvl w:val="0"/>
    </w:pPr>
    <w:rPr>
      <w:rFonts w:asciiTheme="majorHAnsi" w:hAnsiTheme="majorHAnsi" w:eastAsiaTheme="majorEastAsia" w:cstheme="majorBidi"/>
      <w:b/>
      <w:bCs/>
      <w:kern w:val="28"/>
      <w:sz w:val="32"/>
      <w:szCs w:val="32"/>
    </w:rPr>
  </w:style>
  <w:style w:type="paragraph" w:styleId="24">
    <w:name w:val="annotation subject"/>
    <w:basedOn w:val="13"/>
    <w:next w:val="13"/>
    <w:link w:val="89"/>
    <w:semiHidden/>
    <w:unhideWhenUsed/>
    <w:qFormat/>
    <w:uiPriority w:val="99"/>
    <w:rPr>
      <w:b/>
      <w:bCs/>
    </w:rPr>
  </w:style>
  <w:style w:type="paragraph" w:styleId="25">
    <w:name w:val="Body Text First Indent"/>
    <w:basedOn w:val="14"/>
    <w:link w:val="102"/>
    <w:unhideWhenUsed/>
    <w:qFormat/>
    <w:uiPriority w:val="0"/>
    <w:pPr>
      <w:spacing w:after="0" w:line="400" w:lineRule="exact"/>
      <w:ind w:left="136" w:firstLine="420" w:firstLineChars="100"/>
      <w:jc w:val="both"/>
    </w:pPr>
    <w:rPr>
      <w:rFonts w:ascii="hakuyoxingshu7000" w:hAnsi="hakuyoxingshu7000" w:eastAsia="hakuyoxingshu7000" w:cs="hakuyoxingshu7000"/>
      <w:kern w:val="2"/>
      <w:sz w:val="28"/>
      <w:szCs w:val="28"/>
    </w:rPr>
  </w:style>
  <w:style w:type="table" w:styleId="27">
    <w:name w:val="Table Grid"/>
    <w:basedOn w:val="2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9">
    <w:name w:val="Strong"/>
    <w:basedOn w:val="28"/>
    <w:qFormat/>
    <w:uiPriority w:val="22"/>
    <w:rPr>
      <w:b/>
      <w:bCs/>
    </w:rPr>
  </w:style>
  <w:style w:type="character" w:styleId="30">
    <w:name w:val="page number"/>
    <w:qFormat/>
    <w:uiPriority w:val="0"/>
    <w:rPr>
      <w:rFonts w:ascii="Times New Roman" w:hAnsi="Times New Roman" w:eastAsia="宋体" w:cs="Times New Roman"/>
    </w:rPr>
  </w:style>
  <w:style w:type="character" w:styleId="31">
    <w:name w:val="FollowedHyperlink"/>
    <w:basedOn w:val="28"/>
    <w:semiHidden/>
    <w:unhideWhenUsed/>
    <w:qFormat/>
    <w:uiPriority w:val="99"/>
    <w:rPr>
      <w:color w:val="954F72" w:themeColor="followedHyperlink"/>
      <w:u w:val="single"/>
      <w14:textFill>
        <w14:solidFill>
          <w14:schemeClr w14:val="folHlink"/>
        </w14:solidFill>
      </w14:textFill>
    </w:rPr>
  </w:style>
  <w:style w:type="character" w:styleId="32">
    <w:name w:val="Emphasis"/>
    <w:basedOn w:val="28"/>
    <w:qFormat/>
    <w:uiPriority w:val="20"/>
    <w:rPr>
      <w:rFonts w:asciiTheme="minorHAnsi" w:hAnsiTheme="minorHAnsi"/>
      <w:b/>
      <w:i/>
      <w:iCs/>
    </w:rPr>
  </w:style>
  <w:style w:type="character" w:styleId="33">
    <w:name w:val="Hyperlink"/>
    <w:basedOn w:val="28"/>
    <w:unhideWhenUsed/>
    <w:qFormat/>
    <w:uiPriority w:val="99"/>
    <w:rPr>
      <w:color w:val="0563C1" w:themeColor="hyperlink"/>
      <w:u w:val="single"/>
      <w14:textFill>
        <w14:solidFill>
          <w14:schemeClr w14:val="hlink"/>
        </w14:solidFill>
      </w14:textFill>
    </w:rPr>
  </w:style>
  <w:style w:type="character" w:styleId="34">
    <w:name w:val="annotation reference"/>
    <w:basedOn w:val="28"/>
    <w:semiHidden/>
    <w:unhideWhenUsed/>
    <w:qFormat/>
    <w:uiPriority w:val="99"/>
    <w:rPr>
      <w:sz w:val="21"/>
      <w:szCs w:val="21"/>
    </w:rPr>
  </w:style>
  <w:style w:type="paragraph" w:customStyle="1" w:styleId="35">
    <w:name w:val="※封面大标题"/>
    <w:basedOn w:val="1"/>
    <w:next w:val="1"/>
    <w:qFormat/>
    <w:uiPriority w:val="0"/>
    <w:pPr>
      <w:jc w:val="center"/>
    </w:pPr>
    <w:rPr>
      <w:rFonts w:ascii="华文中宋" w:hAnsi="华文中宋" w:eastAsia="华文中宋"/>
      <w:sz w:val="96"/>
      <w:szCs w:val="96"/>
    </w:rPr>
  </w:style>
  <w:style w:type="paragraph" w:customStyle="1" w:styleId="36">
    <w:name w:val="※封面题颌"/>
    <w:basedOn w:val="1"/>
    <w:next w:val="1"/>
    <w:qFormat/>
    <w:uiPriority w:val="0"/>
    <w:pPr>
      <w:jc w:val="center"/>
    </w:pPr>
    <w:rPr>
      <w:rFonts w:ascii="Calibri Light" w:hAnsi="Calibri Light" w:eastAsia="华文仿宋"/>
      <w:sz w:val="36"/>
      <w:szCs w:val="36"/>
    </w:rPr>
  </w:style>
  <w:style w:type="paragraph" w:customStyle="1" w:styleId="37">
    <w:name w:val="※封面题眉"/>
    <w:basedOn w:val="1"/>
    <w:next w:val="35"/>
    <w:qFormat/>
    <w:uiPriority w:val="0"/>
    <w:pPr>
      <w:jc w:val="center"/>
    </w:pPr>
    <w:rPr>
      <w:rFonts w:ascii="华文仿宋" w:hAnsi="华文仿宋" w:eastAsia="华文仿宋"/>
      <w:sz w:val="52"/>
      <w:szCs w:val="28"/>
    </w:rPr>
  </w:style>
  <w:style w:type="paragraph" w:customStyle="1" w:styleId="38">
    <w:name w:val="※封面题须"/>
    <w:basedOn w:val="1"/>
    <w:qFormat/>
    <w:uiPriority w:val="0"/>
    <w:pPr>
      <w:ind w:left="850" w:leftChars="350" w:right="250" w:rightChars="250" w:hanging="500" w:hangingChars="500"/>
    </w:pPr>
    <w:rPr>
      <w:rFonts w:ascii="Calibri" w:hAnsi="Calibri" w:eastAsia="宋体"/>
      <w:sz w:val="36"/>
      <w:szCs w:val="36"/>
    </w:rPr>
  </w:style>
  <w:style w:type="paragraph" w:customStyle="1" w:styleId="39">
    <w:name w:val="※目录（次）"/>
    <w:basedOn w:val="1"/>
    <w:qFormat/>
    <w:uiPriority w:val="0"/>
    <w:pPr>
      <w:tabs>
        <w:tab w:val="right" w:leader="hyphen" w:pos="8400"/>
      </w:tabs>
      <w:wordWrap w:val="0"/>
      <w:ind w:left="700" w:leftChars="200" w:right="300" w:rightChars="300" w:hanging="500" w:hangingChars="500"/>
    </w:pPr>
    <w:rPr>
      <w:rFonts w:ascii="Calibri Light" w:hAnsi="Calibri Light" w:eastAsia="华文仿宋"/>
      <w:sz w:val="36"/>
      <w:szCs w:val="28"/>
    </w:rPr>
  </w:style>
  <w:style w:type="paragraph" w:customStyle="1" w:styleId="40">
    <w:name w:val="※目录（主）"/>
    <w:basedOn w:val="1"/>
    <w:qFormat/>
    <w:uiPriority w:val="0"/>
    <w:pPr>
      <w:tabs>
        <w:tab w:val="right" w:leader="hyphen" w:pos="8400"/>
      </w:tabs>
      <w:spacing w:after="100" w:afterLines="100" w:line="400" w:lineRule="exact"/>
      <w:ind w:left="200" w:leftChars="200" w:right="200" w:rightChars="200" w:hanging="499" w:hangingChars="400"/>
    </w:pPr>
    <w:rPr>
      <w:rFonts w:ascii="Calibri Light" w:hAnsi="Calibri Light" w:eastAsia="华文仿宋"/>
      <w:sz w:val="36"/>
      <w:szCs w:val="36"/>
    </w:rPr>
  </w:style>
  <w:style w:type="paragraph" w:customStyle="1" w:styleId="41">
    <w:name w:val="※小标题 1"/>
    <w:basedOn w:val="1"/>
    <w:next w:val="1"/>
    <w:qFormat/>
    <w:uiPriority w:val="0"/>
    <w:pPr>
      <w:wordWrap w:val="0"/>
      <w:spacing w:before="20" w:after="20" w:line="400" w:lineRule="exact"/>
      <w:ind w:firstLine="200" w:firstLineChars="200"/>
      <w:outlineLvl w:val="4"/>
    </w:pPr>
    <w:rPr>
      <w:rFonts w:ascii="Calibri Light" w:hAnsi="Calibri Light" w:eastAsia="华文仿宋"/>
      <w:b/>
      <w:sz w:val="28"/>
      <w:szCs w:val="28"/>
    </w:rPr>
  </w:style>
  <w:style w:type="paragraph" w:customStyle="1" w:styleId="42">
    <w:name w:val="※正文"/>
    <w:basedOn w:val="1"/>
    <w:next w:val="1"/>
    <w:qFormat/>
    <w:uiPriority w:val="0"/>
    <w:pPr>
      <w:wordWrap w:val="0"/>
      <w:spacing w:line="400" w:lineRule="exact"/>
    </w:pPr>
    <w:rPr>
      <w:rFonts w:ascii="Calibri Light" w:hAnsi="Calibri Light" w:eastAsia="华文仿宋"/>
      <w:sz w:val="28"/>
      <w:szCs w:val="28"/>
    </w:rPr>
  </w:style>
  <w:style w:type="paragraph" w:customStyle="1" w:styleId="43">
    <w:name w:val="※小标题 一"/>
    <w:basedOn w:val="42"/>
    <w:next w:val="42"/>
    <w:qFormat/>
    <w:uiPriority w:val="0"/>
    <w:pPr>
      <w:spacing w:before="120" w:line="240" w:lineRule="auto"/>
      <w:outlineLvl w:val="2"/>
    </w:pPr>
    <w:rPr>
      <w:b/>
      <w:color w:val="203864" w:themeColor="accent5" w:themeShade="80"/>
      <w:sz w:val="32"/>
    </w:rPr>
  </w:style>
  <w:style w:type="paragraph" w:customStyle="1" w:styleId="44">
    <w:name w:val="※小标题（1）"/>
    <w:basedOn w:val="1"/>
    <w:next w:val="42"/>
    <w:qFormat/>
    <w:uiPriority w:val="0"/>
    <w:pPr>
      <w:wordWrap w:val="0"/>
      <w:spacing w:line="400" w:lineRule="exact"/>
      <w:ind w:firstLine="200" w:firstLineChars="200"/>
      <w:outlineLvl w:val="5"/>
    </w:pPr>
    <w:rPr>
      <w:rFonts w:ascii="Calibri Light" w:hAnsi="Calibri Light" w:eastAsia="华文仿宋"/>
      <w:b/>
      <w:sz w:val="28"/>
      <w:szCs w:val="28"/>
    </w:rPr>
  </w:style>
  <w:style w:type="paragraph" w:customStyle="1" w:styleId="45">
    <w:name w:val="※小标题（一）"/>
    <w:basedOn w:val="1"/>
    <w:next w:val="42"/>
    <w:qFormat/>
    <w:uiPriority w:val="0"/>
    <w:pPr>
      <w:wordWrap w:val="0"/>
      <w:spacing w:before="60" w:after="60" w:line="400" w:lineRule="exact"/>
      <w:ind w:firstLine="200" w:firstLineChars="200"/>
      <w:outlineLvl w:val="3"/>
    </w:pPr>
    <w:rPr>
      <w:rFonts w:ascii="Calibri Light" w:hAnsi="Calibri Light" w:eastAsia="华文仿宋"/>
      <w:b/>
      <w:sz w:val="28"/>
      <w:szCs w:val="28"/>
    </w:rPr>
  </w:style>
  <w:style w:type="paragraph" w:customStyle="1" w:styleId="46">
    <w:name w:val="※页脚（横屏）"/>
    <w:basedOn w:val="1"/>
    <w:qFormat/>
    <w:uiPriority w:val="0"/>
    <w:pPr>
      <w:tabs>
        <w:tab w:val="center" w:pos="7000"/>
      </w:tabs>
      <w:wordWrap w:val="0"/>
      <w:spacing w:line="240" w:lineRule="atLeast"/>
    </w:pPr>
    <w:rPr>
      <w:rFonts w:ascii="宋体" w:hAnsi="宋体" w:eastAsia="宋体"/>
      <w:sz w:val="18"/>
      <w:szCs w:val="18"/>
    </w:rPr>
  </w:style>
  <w:style w:type="paragraph" w:customStyle="1" w:styleId="47">
    <w:name w:val="※页脚（竖屏）"/>
    <w:basedOn w:val="1"/>
    <w:qFormat/>
    <w:uiPriority w:val="0"/>
    <w:pPr>
      <w:tabs>
        <w:tab w:val="center" w:pos="4536"/>
      </w:tabs>
      <w:wordWrap w:val="0"/>
      <w:spacing w:line="240" w:lineRule="atLeast"/>
    </w:pPr>
    <w:rPr>
      <w:rFonts w:ascii="宋体" w:hAnsi="宋体" w:eastAsia="宋体"/>
      <w:sz w:val="18"/>
      <w:szCs w:val="18"/>
    </w:rPr>
  </w:style>
  <w:style w:type="paragraph" w:customStyle="1" w:styleId="48">
    <w:name w:val="※页眉"/>
    <w:basedOn w:val="42"/>
    <w:qFormat/>
    <w:uiPriority w:val="0"/>
    <w:pPr>
      <w:pBdr>
        <w:bottom w:val="single" w:color="auto" w:sz="4" w:space="1"/>
      </w:pBdr>
      <w:spacing w:line="240" w:lineRule="atLeast"/>
      <w:jc w:val="right"/>
    </w:pPr>
    <w:rPr>
      <w:rFonts w:ascii="宋体" w:hAnsi="宋体" w:eastAsia="宋体"/>
      <w:sz w:val="18"/>
    </w:rPr>
  </w:style>
  <w:style w:type="paragraph" w:customStyle="1" w:styleId="49">
    <w:name w:val="※章节标题（第X章）"/>
    <w:basedOn w:val="1"/>
    <w:qFormat/>
    <w:uiPriority w:val="0"/>
    <w:pPr>
      <w:jc w:val="center"/>
      <w:outlineLvl w:val="0"/>
    </w:pPr>
    <w:rPr>
      <w:rFonts w:ascii="Calibri Light" w:hAnsi="Calibri Light" w:eastAsia="黑体"/>
      <w:sz w:val="36"/>
      <w:szCs w:val="28"/>
    </w:rPr>
  </w:style>
  <w:style w:type="paragraph" w:customStyle="1" w:styleId="50">
    <w:name w:val="※章节标题（第Y部分）"/>
    <w:basedOn w:val="1"/>
    <w:next w:val="1"/>
    <w:qFormat/>
    <w:uiPriority w:val="0"/>
    <w:pPr>
      <w:jc w:val="center"/>
      <w:outlineLvl w:val="1"/>
    </w:pPr>
    <w:rPr>
      <w:rFonts w:ascii="Calibri Light" w:hAnsi="Calibri Light" w:eastAsia="黑体"/>
      <w:color w:val="1F4E79" w:themeColor="accent1" w:themeShade="80"/>
      <w:sz w:val="32"/>
      <w:szCs w:val="36"/>
    </w:rPr>
  </w:style>
  <w:style w:type="paragraph" w:customStyle="1" w:styleId="51">
    <w:name w:val="※章节标题（第Z部分分项）"/>
    <w:basedOn w:val="50"/>
    <w:qFormat/>
    <w:uiPriority w:val="0"/>
    <w:pPr>
      <w:outlineLvl w:val="2"/>
    </w:pPr>
  </w:style>
  <w:style w:type="paragraph" w:customStyle="1" w:styleId="52">
    <w:name w:val="※正文（落款）"/>
    <w:basedOn w:val="1"/>
    <w:qFormat/>
    <w:uiPriority w:val="0"/>
    <w:pPr>
      <w:tabs>
        <w:tab w:val="center" w:pos="6663"/>
      </w:tabs>
      <w:wordWrap w:val="0"/>
      <w:spacing w:line="240" w:lineRule="atLeast"/>
    </w:pPr>
    <w:rPr>
      <w:rFonts w:ascii="Calibri Light" w:hAnsi="Calibri Light" w:eastAsia="华文仿宋"/>
      <w:sz w:val="28"/>
      <w:szCs w:val="28"/>
    </w:rPr>
  </w:style>
  <w:style w:type="paragraph" w:customStyle="1" w:styleId="53">
    <w:name w:val="※正文（缩进2）"/>
    <w:basedOn w:val="42"/>
    <w:qFormat/>
    <w:uiPriority w:val="0"/>
    <w:pPr>
      <w:ind w:firstLine="200" w:firstLineChars="200"/>
    </w:pPr>
  </w:style>
  <w:style w:type="paragraph" w:customStyle="1" w:styleId="54">
    <w:name w:val="※正文（缩进4）"/>
    <w:basedOn w:val="42"/>
    <w:qFormat/>
    <w:uiPriority w:val="0"/>
    <w:pPr>
      <w:ind w:firstLine="400" w:firstLineChars="400"/>
    </w:pPr>
  </w:style>
  <w:style w:type="character" w:customStyle="1" w:styleId="55">
    <w:name w:val="日期 Char"/>
    <w:basedOn w:val="28"/>
    <w:link w:val="16"/>
    <w:semiHidden/>
    <w:qFormat/>
    <w:uiPriority w:val="99"/>
    <w:rPr>
      <w:rFonts w:ascii="华文仿宋" w:hAnsi="华文仿宋" w:eastAsia="华文仿宋"/>
      <w:sz w:val="28"/>
      <w:szCs w:val="28"/>
    </w:rPr>
  </w:style>
  <w:style w:type="character" w:customStyle="1" w:styleId="56">
    <w:name w:val="页眉 Char"/>
    <w:basedOn w:val="28"/>
    <w:link w:val="19"/>
    <w:qFormat/>
    <w:uiPriority w:val="0"/>
    <w:rPr>
      <w:rFonts w:ascii="华文仿宋" w:hAnsi="华文仿宋" w:eastAsia="华文仿宋"/>
      <w:sz w:val="18"/>
      <w:szCs w:val="18"/>
    </w:rPr>
  </w:style>
  <w:style w:type="character" w:customStyle="1" w:styleId="57">
    <w:name w:val="页脚 Char"/>
    <w:basedOn w:val="28"/>
    <w:link w:val="18"/>
    <w:qFormat/>
    <w:uiPriority w:val="99"/>
    <w:rPr>
      <w:rFonts w:ascii="华文仿宋" w:hAnsi="华文仿宋" w:eastAsia="华文仿宋"/>
      <w:sz w:val="18"/>
      <w:szCs w:val="18"/>
    </w:rPr>
  </w:style>
  <w:style w:type="character" w:customStyle="1" w:styleId="58">
    <w:name w:val="标题 1 Char"/>
    <w:basedOn w:val="28"/>
    <w:link w:val="2"/>
    <w:qFormat/>
    <w:uiPriority w:val="9"/>
    <w:rPr>
      <w:rFonts w:ascii="Calibri" w:hAnsi="Calibri" w:eastAsia="黑体"/>
      <w:bCs/>
      <w:kern w:val="36"/>
      <w:sz w:val="32"/>
      <w:szCs w:val="32"/>
    </w:rPr>
  </w:style>
  <w:style w:type="character" w:customStyle="1" w:styleId="59">
    <w:name w:val="标题 2 Char"/>
    <w:basedOn w:val="28"/>
    <w:link w:val="3"/>
    <w:qFormat/>
    <w:uiPriority w:val="9"/>
    <w:rPr>
      <w:rFonts w:ascii="Calibri" w:hAnsi="Calibri" w:eastAsia="黑体" w:cstheme="majorBidi"/>
      <w:bCs/>
      <w:iCs/>
      <w:kern w:val="32"/>
      <w:sz w:val="28"/>
      <w:szCs w:val="28"/>
    </w:rPr>
  </w:style>
  <w:style w:type="character" w:customStyle="1" w:styleId="60">
    <w:name w:val="标题 3 Char"/>
    <w:basedOn w:val="28"/>
    <w:link w:val="4"/>
    <w:qFormat/>
    <w:uiPriority w:val="1"/>
    <w:rPr>
      <w:rFonts w:ascii="Calibri Light" w:hAnsi="Calibri Light" w:eastAsia="宋体"/>
      <w:b/>
      <w:bCs/>
      <w:kern w:val="30"/>
      <w:sz w:val="24"/>
      <w:szCs w:val="26"/>
    </w:rPr>
  </w:style>
  <w:style w:type="character" w:customStyle="1" w:styleId="61">
    <w:name w:val="标题 4 Char"/>
    <w:basedOn w:val="28"/>
    <w:link w:val="5"/>
    <w:semiHidden/>
    <w:qFormat/>
    <w:uiPriority w:val="9"/>
    <w:rPr>
      <w:rFonts w:cstheme="majorBidi"/>
      <w:b/>
      <w:bCs/>
      <w:sz w:val="28"/>
      <w:szCs w:val="28"/>
    </w:rPr>
  </w:style>
  <w:style w:type="character" w:customStyle="1" w:styleId="62">
    <w:name w:val="标题 5 Char"/>
    <w:basedOn w:val="28"/>
    <w:link w:val="6"/>
    <w:semiHidden/>
    <w:qFormat/>
    <w:uiPriority w:val="9"/>
    <w:rPr>
      <w:b/>
      <w:bCs/>
      <w:i/>
      <w:iCs/>
      <w:sz w:val="26"/>
      <w:szCs w:val="26"/>
    </w:rPr>
  </w:style>
  <w:style w:type="character" w:customStyle="1" w:styleId="63">
    <w:name w:val="标题 6 Char"/>
    <w:basedOn w:val="28"/>
    <w:link w:val="7"/>
    <w:semiHidden/>
    <w:qFormat/>
    <w:uiPriority w:val="9"/>
    <w:rPr>
      <w:rFonts w:cstheme="majorBidi"/>
      <w:b/>
      <w:bCs/>
    </w:rPr>
  </w:style>
  <w:style w:type="character" w:customStyle="1" w:styleId="64">
    <w:name w:val="标题 7 Char"/>
    <w:basedOn w:val="28"/>
    <w:link w:val="8"/>
    <w:semiHidden/>
    <w:qFormat/>
    <w:uiPriority w:val="9"/>
    <w:rPr>
      <w:sz w:val="24"/>
      <w:szCs w:val="24"/>
    </w:rPr>
  </w:style>
  <w:style w:type="character" w:customStyle="1" w:styleId="65">
    <w:name w:val="标题 8 Char"/>
    <w:basedOn w:val="28"/>
    <w:link w:val="9"/>
    <w:semiHidden/>
    <w:qFormat/>
    <w:uiPriority w:val="9"/>
    <w:rPr>
      <w:rFonts w:cstheme="majorBidi"/>
      <w:i/>
      <w:iCs/>
      <w:sz w:val="24"/>
      <w:szCs w:val="24"/>
    </w:rPr>
  </w:style>
  <w:style w:type="character" w:customStyle="1" w:styleId="66">
    <w:name w:val="标题 9 Char"/>
    <w:basedOn w:val="28"/>
    <w:link w:val="10"/>
    <w:semiHidden/>
    <w:qFormat/>
    <w:uiPriority w:val="9"/>
    <w:rPr>
      <w:rFonts w:asciiTheme="majorHAnsi" w:hAnsiTheme="majorHAnsi" w:eastAsiaTheme="majorEastAsia" w:cstheme="majorBidi"/>
    </w:rPr>
  </w:style>
  <w:style w:type="character" w:customStyle="1" w:styleId="67">
    <w:name w:val="标题 Char"/>
    <w:basedOn w:val="28"/>
    <w:link w:val="23"/>
    <w:qFormat/>
    <w:uiPriority w:val="10"/>
    <w:rPr>
      <w:rFonts w:asciiTheme="majorHAnsi" w:hAnsiTheme="majorHAnsi" w:eastAsiaTheme="majorEastAsia" w:cstheme="majorBidi"/>
      <w:b/>
      <w:bCs/>
      <w:kern w:val="28"/>
      <w:sz w:val="32"/>
      <w:szCs w:val="32"/>
    </w:rPr>
  </w:style>
  <w:style w:type="character" w:customStyle="1" w:styleId="68">
    <w:name w:val="副标题 Char"/>
    <w:basedOn w:val="28"/>
    <w:link w:val="21"/>
    <w:qFormat/>
    <w:uiPriority w:val="11"/>
    <w:rPr>
      <w:rFonts w:ascii="Calibri" w:hAnsi="Calibri" w:eastAsia="黑体" w:cstheme="majorBidi"/>
      <w:sz w:val="32"/>
      <w:szCs w:val="24"/>
    </w:rPr>
  </w:style>
  <w:style w:type="paragraph" w:styleId="69">
    <w:name w:val="No Spacing"/>
    <w:basedOn w:val="1"/>
    <w:qFormat/>
    <w:uiPriority w:val="1"/>
    <w:rPr>
      <w:szCs w:val="32"/>
    </w:rPr>
  </w:style>
  <w:style w:type="paragraph" w:styleId="70">
    <w:name w:val="List Paragraph"/>
    <w:basedOn w:val="1"/>
    <w:qFormat/>
    <w:uiPriority w:val="0"/>
    <w:pPr>
      <w:ind w:left="720"/>
      <w:contextualSpacing/>
    </w:pPr>
  </w:style>
  <w:style w:type="paragraph" w:styleId="71">
    <w:name w:val="Quote"/>
    <w:basedOn w:val="1"/>
    <w:next w:val="1"/>
    <w:link w:val="72"/>
    <w:qFormat/>
    <w:uiPriority w:val="29"/>
    <w:rPr>
      <w:i/>
    </w:rPr>
  </w:style>
  <w:style w:type="character" w:customStyle="1" w:styleId="72">
    <w:name w:val="引用 Char"/>
    <w:basedOn w:val="28"/>
    <w:link w:val="71"/>
    <w:qFormat/>
    <w:uiPriority w:val="29"/>
    <w:rPr>
      <w:i/>
      <w:sz w:val="24"/>
      <w:szCs w:val="24"/>
    </w:rPr>
  </w:style>
  <w:style w:type="paragraph" w:styleId="73">
    <w:name w:val="Intense Quote"/>
    <w:basedOn w:val="1"/>
    <w:next w:val="1"/>
    <w:link w:val="74"/>
    <w:qFormat/>
    <w:uiPriority w:val="30"/>
    <w:pPr>
      <w:ind w:left="720" w:right="720"/>
    </w:pPr>
    <w:rPr>
      <w:b/>
      <w:i/>
      <w:szCs w:val="22"/>
    </w:rPr>
  </w:style>
  <w:style w:type="character" w:customStyle="1" w:styleId="74">
    <w:name w:val="明显引用 Char"/>
    <w:basedOn w:val="28"/>
    <w:link w:val="73"/>
    <w:qFormat/>
    <w:uiPriority w:val="30"/>
    <w:rPr>
      <w:b/>
      <w:i/>
      <w:sz w:val="24"/>
    </w:rPr>
  </w:style>
  <w:style w:type="character" w:customStyle="1" w:styleId="75">
    <w:name w:val="Subtle Emphasis"/>
    <w:qFormat/>
    <w:uiPriority w:val="19"/>
    <w:rPr>
      <w:i/>
      <w:color w:val="595959" w:themeColor="text1" w:themeTint="A6"/>
      <w14:textFill>
        <w14:solidFill>
          <w14:schemeClr w14:val="tx1">
            <w14:lumMod w14:val="65000"/>
            <w14:lumOff w14:val="35000"/>
          </w14:schemeClr>
        </w14:solidFill>
      </w14:textFill>
    </w:rPr>
  </w:style>
  <w:style w:type="character" w:customStyle="1" w:styleId="76">
    <w:name w:val="Intense Emphasis"/>
    <w:basedOn w:val="28"/>
    <w:qFormat/>
    <w:uiPriority w:val="21"/>
    <w:rPr>
      <w:b/>
      <w:i/>
      <w:sz w:val="24"/>
      <w:szCs w:val="24"/>
      <w:u w:val="single"/>
    </w:rPr>
  </w:style>
  <w:style w:type="character" w:customStyle="1" w:styleId="77">
    <w:name w:val="Subtle Reference"/>
    <w:basedOn w:val="28"/>
    <w:qFormat/>
    <w:uiPriority w:val="31"/>
    <w:rPr>
      <w:sz w:val="24"/>
      <w:szCs w:val="24"/>
      <w:u w:val="single"/>
    </w:rPr>
  </w:style>
  <w:style w:type="character" w:customStyle="1" w:styleId="78">
    <w:name w:val="Intense Reference"/>
    <w:basedOn w:val="28"/>
    <w:qFormat/>
    <w:uiPriority w:val="32"/>
    <w:rPr>
      <w:b/>
      <w:sz w:val="24"/>
      <w:u w:val="single"/>
    </w:rPr>
  </w:style>
  <w:style w:type="character" w:customStyle="1" w:styleId="79">
    <w:name w:val="Book Title"/>
    <w:basedOn w:val="28"/>
    <w:qFormat/>
    <w:uiPriority w:val="33"/>
    <w:rPr>
      <w:rFonts w:asciiTheme="majorHAnsi" w:hAnsiTheme="majorHAnsi" w:eastAsiaTheme="majorEastAsia"/>
      <w:b/>
      <w:i/>
      <w:sz w:val="24"/>
      <w:szCs w:val="24"/>
    </w:rPr>
  </w:style>
  <w:style w:type="paragraph" w:customStyle="1" w:styleId="80">
    <w:name w:val="TOC Heading"/>
    <w:basedOn w:val="2"/>
    <w:next w:val="1"/>
    <w:semiHidden/>
    <w:unhideWhenUsed/>
    <w:qFormat/>
    <w:uiPriority w:val="39"/>
    <w:pPr>
      <w:outlineLvl w:val="9"/>
    </w:pPr>
  </w:style>
  <w:style w:type="character" w:customStyle="1" w:styleId="81">
    <w:name w:val="批注框文本 Char"/>
    <w:basedOn w:val="28"/>
    <w:link w:val="17"/>
    <w:semiHidden/>
    <w:qFormat/>
    <w:uiPriority w:val="99"/>
    <w:rPr>
      <w:sz w:val="18"/>
      <w:szCs w:val="18"/>
    </w:rPr>
  </w:style>
  <w:style w:type="character" w:customStyle="1" w:styleId="82">
    <w:name w:val="批注文字 Char"/>
    <w:basedOn w:val="28"/>
    <w:link w:val="13"/>
    <w:qFormat/>
    <w:uiPriority w:val="99"/>
    <w:rPr>
      <w:rFonts w:ascii="Calibri Light" w:hAnsi="Calibri Light" w:eastAsia="华文仿宋" w:cs="Calibri Light"/>
      <w:kern w:val="2"/>
      <w:sz w:val="28"/>
      <w:szCs w:val="28"/>
    </w:rPr>
  </w:style>
  <w:style w:type="paragraph" w:customStyle="1" w:styleId="83">
    <w:name w:val="@正文"/>
    <w:basedOn w:val="42"/>
    <w:qFormat/>
    <w:uiPriority w:val="0"/>
    <w:pPr>
      <w:wordWrap/>
      <w:spacing w:line="240" w:lineRule="auto"/>
      <w:ind w:firstLine="200" w:firstLineChars="200"/>
      <w:jc w:val="both"/>
    </w:pPr>
    <w:rPr>
      <w:rFonts w:ascii="Calibri" w:hAnsi="Calibri" w:eastAsia="宋体" w:cstheme="minorHAnsi"/>
      <w:color w:val="000000"/>
      <w:kern w:val="24"/>
      <w:sz w:val="24"/>
      <w:szCs w:val="24"/>
    </w:rPr>
  </w:style>
  <w:style w:type="paragraph" w:customStyle="1" w:styleId="84">
    <w:name w:val="@一级小标题"/>
    <w:basedOn w:val="1"/>
    <w:next w:val="83"/>
    <w:qFormat/>
    <w:uiPriority w:val="0"/>
    <w:pPr>
      <w:keepNext/>
      <w:spacing w:before="120" w:after="60"/>
      <w:outlineLvl w:val="2"/>
    </w:pPr>
    <w:rPr>
      <w:rFonts w:ascii="Calibri" w:hAnsi="Calibri" w:eastAsia="黑体"/>
      <w:kern w:val="28"/>
      <w:sz w:val="28"/>
    </w:rPr>
  </w:style>
  <w:style w:type="paragraph" w:customStyle="1" w:styleId="85">
    <w:name w:val="@标题"/>
    <w:basedOn w:val="1"/>
    <w:next w:val="83"/>
    <w:qFormat/>
    <w:uiPriority w:val="0"/>
    <w:pPr>
      <w:keepNext/>
      <w:spacing w:before="50" w:beforeLines="50" w:after="50" w:afterLines="50"/>
      <w:jc w:val="center"/>
      <w:outlineLvl w:val="1"/>
    </w:pPr>
    <w:rPr>
      <w:rFonts w:ascii="Calibri" w:hAnsi="Calibri" w:eastAsia="黑体"/>
      <w:kern w:val="32"/>
      <w:sz w:val="32"/>
    </w:rPr>
  </w:style>
  <w:style w:type="table" w:customStyle="1" w:styleId="86">
    <w:name w:val="网格型1"/>
    <w:basedOn w:val="26"/>
    <w:qFormat/>
    <w:uiPriority w:val="39"/>
    <w:pPr>
      <w:ind w:firstLine="200"/>
    </w:pPr>
    <w:rPr>
      <w:rFonts w:ascii="Calibri Light" w:hAnsi="Calibri Light" w:eastAsia="华文仿宋"/>
      <w:kern w:val="2"/>
      <w:sz w:val="28"/>
      <w:szCs w:val="28"/>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87">
    <w:name w:val="页眉 Char1"/>
    <w:basedOn w:val="28"/>
    <w:semiHidden/>
    <w:qFormat/>
    <w:uiPriority w:val="99"/>
    <w:rPr>
      <w:rFonts w:cs="Calibri Light"/>
      <w:sz w:val="18"/>
      <w:szCs w:val="18"/>
    </w:rPr>
  </w:style>
  <w:style w:type="character" w:customStyle="1" w:styleId="88">
    <w:name w:val="页脚 Char1"/>
    <w:basedOn w:val="28"/>
    <w:semiHidden/>
    <w:qFormat/>
    <w:uiPriority w:val="99"/>
    <w:rPr>
      <w:rFonts w:cs="Calibri Light"/>
      <w:sz w:val="18"/>
      <w:szCs w:val="18"/>
    </w:rPr>
  </w:style>
  <w:style w:type="character" w:customStyle="1" w:styleId="89">
    <w:name w:val="批注主题 Char"/>
    <w:basedOn w:val="82"/>
    <w:link w:val="24"/>
    <w:semiHidden/>
    <w:qFormat/>
    <w:uiPriority w:val="99"/>
    <w:rPr>
      <w:rFonts w:ascii="Calibri Light" w:hAnsi="Calibri Light" w:eastAsia="华文仿宋" w:cs="Calibri Light"/>
      <w:b/>
      <w:bCs/>
      <w:kern w:val="2"/>
      <w:sz w:val="28"/>
      <w:szCs w:val="28"/>
    </w:rPr>
  </w:style>
  <w:style w:type="character" w:customStyle="1" w:styleId="90">
    <w:name w:val="文档结构图 Char"/>
    <w:basedOn w:val="28"/>
    <w:link w:val="12"/>
    <w:semiHidden/>
    <w:qFormat/>
    <w:uiPriority w:val="99"/>
    <w:rPr>
      <w:rFonts w:ascii="宋体" w:hAnsi="Calibri Light" w:eastAsia="宋体" w:cs="Calibri Light"/>
      <w:kern w:val="2"/>
      <w:sz w:val="18"/>
      <w:szCs w:val="18"/>
    </w:rPr>
  </w:style>
  <w:style w:type="character" w:styleId="91">
    <w:name w:val="Placeholder Text"/>
    <w:basedOn w:val="28"/>
    <w:semiHidden/>
    <w:qFormat/>
    <w:uiPriority w:val="99"/>
    <w:rPr>
      <w:color w:val="808080"/>
    </w:rPr>
  </w:style>
  <w:style w:type="table" w:customStyle="1" w:styleId="92">
    <w:name w:val="网格型11"/>
    <w:basedOn w:val="26"/>
    <w:qFormat/>
    <w:uiPriority w:val="39"/>
    <w:pPr>
      <w:ind w:firstLine="200"/>
    </w:pPr>
    <w:rPr>
      <w:rFonts w:ascii="Calibri Light" w:hAnsi="Calibri Light" w:eastAsia="华文仿宋"/>
      <w:kern w:val="2"/>
      <w:sz w:val="28"/>
      <w:szCs w:val="28"/>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3">
    <w:name w:val="网格型2"/>
    <w:basedOn w:val="2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customStyle="1" w:styleId="94">
    <w:name w:val="纯文本 Char"/>
    <w:basedOn w:val="28"/>
    <w:link w:val="15"/>
    <w:qFormat/>
    <w:uiPriority w:val="0"/>
    <w:rPr>
      <w:rFonts w:ascii="宋体" w:hAnsi="Courier New" w:eastAsia="宋体" w:cs="Courier New"/>
      <w:sz w:val="21"/>
      <w:szCs w:val="21"/>
    </w:rPr>
  </w:style>
  <w:style w:type="character" w:customStyle="1" w:styleId="95">
    <w:name w:val="不明显强调1"/>
    <w:qFormat/>
    <w:uiPriority w:val="19"/>
    <w:rPr>
      <w:i/>
      <w:color w:val="595959" w:themeColor="text1" w:themeTint="A6"/>
      <w14:textFill>
        <w14:solidFill>
          <w14:schemeClr w14:val="tx1">
            <w14:lumMod w14:val="65000"/>
            <w14:lumOff w14:val="35000"/>
          </w14:schemeClr>
        </w14:solidFill>
      </w14:textFill>
    </w:rPr>
  </w:style>
  <w:style w:type="character" w:customStyle="1" w:styleId="96">
    <w:name w:val="明显强调1"/>
    <w:basedOn w:val="28"/>
    <w:qFormat/>
    <w:uiPriority w:val="21"/>
    <w:rPr>
      <w:b/>
      <w:i/>
      <w:sz w:val="24"/>
      <w:szCs w:val="24"/>
      <w:u w:val="single"/>
    </w:rPr>
  </w:style>
  <w:style w:type="character" w:customStyle="1" w:styleId="97">
    <w:name w:val="不明显参考1"/>
    <w:basedOn w:val="28"/>
    <w:qFormat/>
    <w:uiPriority w:val="31"/>
    <w:rPr>
      <w:sz w:val="24"/>
      <w:szCs w:val="24"/>
      <w:u w:val="single"/>
    </w:rPr>
  </w:style>
  <w:style w:type="character" w:customStyle="1" w:styleId="98">
    <w:name w:val="明显参考1"/>
    <w:basedOn w:val="28"/>
    <w:qFormat/>
    <w:uiPriority w:val="32"/>
    <w:rPr>
      <w:b/>
      <w:sz w:val="24"/>
      <w:u w:val="single"/>
    </w:rPr>
  </w:style>
  <w:style w:type="character" w:customStyle="1" w:styleId="99">
    <w:name w:val="书籍标题1"/>
    <w:basedOn w:val="28"/>
    <w:qFormat/>
    <w:uiPriority w:val="33"/>
    <w:rPr>
      <w:rFonts w:asciiTheme="majorHAnsi" w:hAnsiTheme="majorHAnsi" w:eastAsiaTheme="majorEastAsia"/>
      <w:b/>
      <w:i/>
      <w:sz w:val="24"/>
      <w:szCs w:val="24"/>
    </w:rPr>
  </w:style>
  <w:style w:type="paragraph" w:customStyle="1" w:styleId="100">
    <w:name w:val="TOC 标题1"/>
    <w:basedOn w:val="2"/>
    <w:next w:val="1"/>
    <w:semiHidden/>
    <w:unhideWhenUsed/>
    <w:qFormat/>
    <w:uiPriority w:val="39"/>
    <w:pPr>
      <w:numPr>
        <w:numId w:val="2"/>
      </w:numPr>
      <w:outlineLvl w:val="9"/>
    </w:pPr>
  </w:style>
  <w:style w:type="character" w:customStyle="1" w:styleId="101">
    <w:name w:val="正文文本 Char"/>
    <w:basedOn w:val="28"/>
    <w:link w:val="14"/>
    <w:semiHidden/>
    <w:qFormat/>
    <w:uiPriority w:val="99"/>
    <w:rPr>
      <w:sz w:val="24"/>
      <w:szCs w:val="24"/>
    </w:rPr>
  </w:style>
  <w:style w:type="character" w:customStyle="1" w:styleId="102">
    <w:name w:val="正文首行缩进 Char"/>
    <w:basedOn w:val="101"/>
    <w:link w:val="25"/>
    <w:qFormat/>
    <w:uiPriority w:val="0"/>
    <w:rPr>
      <w:rFonts w:ascii="hakuyoxingshu7000" w:hAnsi="hakuyoxingshu7000" w:eastAsia="hakuyoxingshu7000" w:cs="hakuyoxingshu7000"/>
      <w:kern w:val="2"/>
      <w:sz w:val="28"/>
      <w:szCs w:val="28"/>
    </w:rPr>
  </w:style>
  <w:style w:type="table" w:customStyle="1" w:styleId="103">
    <w:name w:val="Table Normal"/>
    <w:semiHidden/>
    <w:unhideWhenUsed/>
    <w:qFormat/>
    <w:uiPriority w:val="0"/>
    <w:rPr>
      <w:rFonts w:ascii="Times New Roman" w:hAnsi="Times New Roman" w:eastAsia="宋体"/>
      <w:sz w:val="20"/>
      <w:szCs w:val="20"/>
    </w:rPr>
    <w:tblPr>
      <w:tblCellMar>
        <w:top w:w="0" w:type="dxa"/>
        <w:left w:w="0" w:type="dxa"/>
        <w:bottom w:w="0" w:type="dxa"/>
        <w:right w:w="0" w:type="dxa"/>
      </w:tblCellMar>
    </w:tblPr>
  </w:style>
  <w:style w:type="paragraph" w:customStyle="1" w:styleId="104">
    <w:name w:val="Table Text"/>
    <w:basedOn w:val="1"/>
    <w:qFormat/>
    <w:uiPriority w:val="0"/>
    <w:pPr>
      <w:spacing w:line="400" w:lineRule="exact"/>
      <w:jc w:val="both"/>
    </w:pPr>
    <w:rPr>
      <w:rFonts w:ascii="宋体" w:hAnsi="宋体" w:eastAsia="宋体" w:cs="宋体"/>
      <w:kern w:val="2"/>
      <w:sz w:val="20"/>
      <w:szCs w:val="20"/>
      <w:lang w:eastAsia="en-US"/>
    </w:rPr>
  </w:style>
  <w:style w:type="paragraph" w:customStyle="1" w:styleId="105">
    <w:name w:val="小标题3"/>
    <w:basedOn w:val="1"/>
    <w:next w:val="1"/>
    <w:qFormat/>
    <w:uiPriority w:val="0"/>
    <w:pPr>
      <w:widowControl w:val="0"/>
      <w:numPr>
        <w:ilvl w:val="0"/>
        <w:numId w:val="3"/>
      </w:numPr>
      <w:ind w:firstLine="200" w:firstLineChars="200"/>
      <w:jc w:val="both"/>
    </w:pPr>
    <w:rPr>
      <w:rFonts w:cstheme="minorBidi"/>
      <w:kern w:val="2"/>
      <w:sz w:val="21"/>
      <w:szCs w:val="22"/>
    </w:rPr>
  </w:style>
  <w:style w:type="character" w:customStyle="1" w:styleId="106">
    <w:name w:val="font122"/>
    <w:basedOn w:val="28"/>
    <w:qFormat/>
    <w:uiPriority w:val="0"/>
    <w:rPr>
      <w:rFonts w:hint="eastAsia" w:ascii="宋体" w:hAnsi="宋体" w:eastAsia="宋体" w:cs="宋体"/>
      <w:color w:val="FF0000"/>
      <w:sz w:val="21"/>
      <w:szCs w:val="21"/>
      <w:u w:val="none"/>
    </w:rPr>
  </w:style>
  <w:style w:type="character" w:customStyle="1" w:styleId="107">
    <w:name w:val="font21"/>
    <w:basedOn w:val="28"/>
    <w:qFormat/>
    <w:uiPriority w:val="0"/>
    <w:rPr>
      <w:rFonts w:hint="eastAsia" w:ascii="华文仿宋" w:hAnsi="华文仿宋" w:eastAsia="华文仿宋" w:cs="华文仿宋"/>
      <w:color w:val="000000"/>
      <w:sz w:val="21"/>
      <w:szCs w:val="21"/>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4.xml"/><Relationship Id="rId7" Type="http://schemas.openxmlformats.org/officeDocument/2006/relationships/header" Target="head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5" Type="http://schemas.openxmlformats.org/officeDocument/2006/relationships/glossaryDocument" Target="glossary/document.xml"/><Relationship Id="rId34" Type="http://schemas.openxmlformats.org/officeDocument/2006/relationships/fontTable" Target="fontTable.xml"/><Relationship Id="rId33" Type="http://schemas.openxmlformats.org/officeDocument/2006/relationships/customXml" Target="../customXml/item1.xml"/><Relationship Id="rId32" Type="http://schemas.openxmlformats.org/officeDocument/2006/relationships/numbering" Target="numbering.xml"/><Relationship Id="rId31" Type="http://schemas.openxmlformats.org/officeDocument/2006/relationships/theme" Target="theme/theme1.xml"/><Relationship Id="rId30" Type="http://schemas.openxmlformats.org/officeDocument/2006/relationships/footer" Target="footer24.xml"/><Relationship Id="rId3" Type="http://schemas.openxmlformats.org/officeDocument/2006/relationships/header" Target="header1.xml"/><Relationship Id="rId29" Type="http://schemas.openxmlformats.org/officeDocument/2006/relationships/footer" Target="footer23.xml"/><Relationship Id="rId28" Type="http://schemas.openxmlformats.org/officeDocument/2006/relationships/footer" Target="footer22.xml"/><Relationship Id="rId27" Type="http://schemas.openxmlformats.org/officeDocument/2006/relationships/footer" Target="footer21.xml"/><Relationship Id="rId26" Type="http://schemas.openxmlformats.org/officeDocument/2006/relationships/footer" Target="footer20.xml"/><Relationship Id="rId25" Type="http://schemas.openxmlformats.org/officeDocument/2006/relationships/footer" Target="footer19.xml"/><Relationship Id="rId24" Type="http://schemas.openxmlformats.org/officeDocument/2006/relationships/footer" Target="footer18.xml"/><Relationship Id="rId23" Type="http://schemas.openxmlformats.org/officeDocument/2006/relationships/footer" Target="footer17.xml"/><Relationship Id="rId22" Type="http://schemas.openxmlformats.org/officeDocument/2006/relationships/footer" Target="footer16.xml"/><Relationship Id="rId21" Type="http://schemas.openxmlformats.org/officeDocument/2006/relationships/footer" Target="footer15.xml"/><Relationship Id="rId20" Type="http://schemas.openxmlformats.org/officeDocument/2006/relationships/footer" Target="footer14.xml"/><Relationship Id="rId2" Type="http://schemas.openxmlformats.org/officeDocument/2006/relationships/settings" Target="settings.xml"/><Relationship Id="rId19" Type="http://schemas.openxmlformats.org/officeDocument/2006/relationships/footer" Target="footer13.xml"/><Relationship Id="rId18" Type="http://schemas.openxmlformats.org/officeDocument/2006/relationships/footer" Target="footer12.xml"/><Relationship Id="rId17" Type="http://schemas.openxmlformats.org/officeDocument/2006/relationships/footer" Target="footer11.xml"/><Relationship Id="rId16" Type="http://schemas.openxmlformats.org/officeDocument/2006/relationships/footer" Target="footer10.xml"/><Relationship Id="rId15" Type="http://schemas.openxmlformats.org/officeDocument/2006/relationships/footer" Target="footer9.xml"/><Relationship Id="rId14" Type="http://schemas.openxmlformats.org/officeDocument/2006/relationships/footer" Target="footer8.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admin\Desktop\2023&#29256;&#20844;&#24320;&#25307;&#26631;&#25991;&#20214;&#65288;&#36135;&#29289;&#21644;&#26381;&#21153;&#65292;&#26263;&#26631;&#30450;&#35780;&#65289;.dotx" TargetMode="External"/></Relationships>
</file>

<file path=word/glossary/_rels/document.xml.rels><?xml version="1.0" encoding="UTF-8" standalone="yes"?>
<Relationships xmlns="http://schemas.openxmlformats.org/package/2006/relationships"><Relationship Id="rId3"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docParts>
    <w:docPart>
      <w:docPartPr>
        <w:name w:val="9E144EFA519D4C9FA390E1330E3F5185"/>
        <w:style w:val=""/>
        <w:category>
          <w:name w:val="常规"/>
          <w:gallery w:val="placeholder"/>
        </w:category>
        <w:types>
          <w:type w:val="bbPlcHdr"/>
        </w:types>
        <w:behaviors>
          <w:behavior w:val="content"/>
        </w:behaviors>
        <w:description w:val=""/>
        <w:guid w:val="{4B73F3D8-85DA-41FE-950F-026FA1B13AF8}"/>
      </w:docPartPr>
      <w:docPartBody>
        <w:p>
          <w:pPr>
            <w:pStyle w:val="8"/>
          </w:pPr>
          <w:r>
            <w:rPr>
              <w:rStyle w:val="4"/>
              <w:rFonts w:hint="eastAsia"/>
            </w:rPr>
            <w:t>选择一项。</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bordersDoNotSurroundHeader w:val="1"/>
  <w:bordersDoNotSurroundFooter w:val="1"/>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0B99"/>
    <w:rsid w:val="00010EBD"/>
    <w:rsid w:val="000758E0"/>
    <w:rsid w:val="00117AA1"/>
    <w:rsid w:val="0016149B"/>
    <w:rsid w:val="00193516"/>
    <w:rsid w:val="001C56D8"/>
    <w:rsid w:val="001E1C14"/>
    <w:rsid w:val="00211A06"/>
    <w:rsid w:val="002D3680"/>
    <w:rsid w:val="002D7979"/>
    <w:rsid w:val="003326D5"/>
    <w:rsid w:val="0035626E"/>
    <w:rsid w:val="00361092"/>
    <w:rsid w:val="003C3F85"/>
    <w:rsid w:val="00454061"/>
    <w:rsid w:val="00580B99"/>
    <w:rsid w:val="005E51DE"/>
    <w:rsid w:val="00614772"/>
    <w:rsid w:val="00616529"/>
    <w:rsid w:val="00626103"/>
    <w:rsid w:val="00636120"/>
    <w:rsid w:val="00653AFD"/>
    <w:rsid w:val="00657FAD"/>
    <w:rsid w:val="00665C99"/>
    <w:rsid w:val="006D613E"/>
    <w:rsid w:val="006E4CF7"/>
    <w:rsid w:val="006F4890"/>
    <w:rsid w:val="0072520E"/>
    <w:rsid w:val="007269F0"/>
    <w:rsid w:val="00756673"/>
    <w:rsid w:val="00792F70"/>
    <w:rsid w:val="007B6484"/>
    <w:rsid w:val="007D0230"/>
    <w:rsid w:val="00872384"/>
    <w:rsid w:val="008C0F26"/>
    <w:rsid w:val="008C25B5"/>
    <w:rsid w:val="008E12FD"/>
    <w:rsid w:val="00906601"/>
    <w:rsid w:val="0091562D"/>
    <w:rsid w:val="00921D95"/>
    <w:rsid w:val="00946FAF"/>
    <w:rsid w:val="00951827"/>
    <w:rsid w:val="009913AD"/>
    <w:rsid w:val="009A1BF6"/>
    <w:rsid w:val="009C0A4E"/>
    <w:rsid w:val="009D73E7"/>
    <w:rsid w:val="009E1D2C"/>
    <w:rsid w:val="009F2A1D"/>
    <w:rsid w:val="009F6A20"/>
    <w:rsid w:val="00A009F8"/>
    <w:rsid w:val="00A018CD"/>
    <w:rsid w:val="00A36E62"/>
    <w:rsid w:val="00A73A99"/>
    <w:rsid w:val="00A96CE4"/>
    <w:rsid w:val="00AA5934"/>
    <w:rsid w:val="00AD148E"/>
    <w:rsid w:val="00AE73D4"/>
    <w:rsid w:val="00B22452"/>
    <w:rsid w:val="00BF29FE"/>
    <w:rsid w:val="00C2434E"/>
    <w:rsid w:val="00C306CC"/>
    <w:rsid w:val="00C35199"/>
    <w:rsid w:val="00C77F74"/>
    <w:rsid w:val="00CB0283"/>
    <w:rsid w:val="00CD2C7A"/>
    <w:rsid w:val="00CF08BA"/>
    <w:rsid w:val="00D34C96"/>
    <w:rsid w:val="00D938D8"/>
    <w:rsid w:val="00D93CA3"/>
    <w:rsid w:val="00DA5E77"/>
    <w:rsid w:val="00DB7CAE"/>
    <w:rsid w:val="00DD1067"/>
    <w:rsid w:val="00DE5ECF"/>
    <w:rsid w:val="00DF69CB"/>
    <w:rsid w:val="00E6171B"/>
    <w:rsid w:val="00F000CF"/>
    <w:rsid w:val="00F95D89"/>
    <w:rsid w:val="00FD380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glossary/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iPriority="1" w:name="Default Paragraph Font"/>
    <w:lsdException w:uiPriority="99" w:name="Normal Table"/>
    <w:lsdException w:qFormat="1" w:unhideWhenUsed="0" w:uiPriority="99" w:name="Placeholder Text"/>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2">
    <w:name w:val="Default Paragraph Font"/>
    <w:semiHidden/>
    <w:unhideWhenUsed/>
    <w:qFormat/>
    <w:uiPriority w:val="1"/>
  </w:style>
  <w:style w:type="table" w:default="1" w:styleId="3">
    <w:name w:val="Normal Table"/>
    <w:semiHidden/>
    <w:unhideWhenUsed/>
    <w:uiPriority w:val="99"/>
    <w:tblPr>
      <w:tblCellMar>
        <w:top w:w="0" w:type="dxa"/>
        <w:left w:w="108" w:type="dxa"/>
        <w:bottom w:w="0" w:type="dxa"/>
        <w:right w:w="108" w:type="dxa"/>
      </w:tblCellMar>
    </w:tblPr>
  </w:style>
  <w:style w:type="character" w:styleId="4">
    <w:name w:val="Placeholder Text"/>
    <w:basedOn w:val="2"/>
    <w:semiHidden/>
    <w:qFormat/>
    <w:uiPriority w:val="99"/>
    <w:rPr>
      <w:color w:val="808080"/>
    </w:rPr>
  </w:style>
  <w:style w:type="paragraph" w:customStyle="1" w:styleId="5">
    <w:name w:val="4879AFC6845D4354980BCB52055BC284"/>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6">
    <w:name w:val="4879AFC6845D4354980BCB52055BC2841"/>
    <w:qFormat/>
    <w:uiPriority w:val="0"/>
    <w:rPr>
      <w:rFonts w:cs="Times New Roman" w:asciiTheme="minorHAnsi" w:hAnsiTheme="minorHAnsi" w:eastAsiaTheme="minorEastAsia"/>
      <w:kern w:val="0"/>
      <w:sz w:val="24"/>
      <w:szCs w:val="24"/>
      <w:lang w:val="en-US" w:eastAsia="zh-CN" w:bidi="ar-SA"/>
    </w:rPr>
  </w:style>
  <w:style w:type="paragraph" w:customStyle="1" w:styleId="7">
    <w:name w:val="CF80FDE9826E4517B8C173999F8F6802"/>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8">
    <w:name w:val="9E144EFA519D4C9FA390E1330E3F5185"/>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customStyle="1" w:styleId="9">
    <w:name w:val="8CC4A953F13E4EBFA383E2DDE1751A86"/>
    <w:qFormat/>
    <w:uiPriority w:val="0"/>
    <w:pPr>
      <w:widowControl w:val="0"/>
      <w:jc w:val="both"/>
    </w:pPr>
    <w:rPr>
      <w:rFonts w:asciiTheme="minorHAnsi" w:hAnsiTheme="minorHAnsi" w:eastAsiaTheme="minorEastAsia" w:cstheme="minorBidi"/>
      <w:kern w:val="2"/>
      <w:sz w:val="21"/>
      <w:szCs w:val="22"/>
      <w:lang w:val="en-US" w:eastAsia="zh-CN" w:bidi="ar-SA"/>
    </w:rPr>
  </w:style>
</w:style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4053312-901F-4B1D-AB11-68D7003D7743}">
  <ds:schemaRefs/>
</ds:datastoreItem>
</file>

<file path=docProps/app.xml><?xml version="1.0" encoding="utf-8"?>
<Properties xmlns="http://schemas.openxmlformats.org/officeDocument/2006/extended-properties" xmlns:vt="http://schemas.openxmlformats.org/officeDocument/2006/docPropsVTypes">
  <Template>2023版公开招标文件（货物和服务，暗标盲评）</Template>
  <Company>Lenovo</Company>
  <Pages>2</Pages>
  <Words>38581</Words>
  <Characters>39740</Characters>
  <Lines>7948</Lines>
  <Paragraphs>9790</Paragraphs>
  <TotalTime>475</TotalTime>
  <ScaleCrop>false</ScaleCrop>
  <LinksUpToDate>false</LinksUpToDate>
  <CharactersWithSpaces>68531</CharactersWithSpaces>
  <Application>WPS Office_11.8.2.12265_F1E327BC-269C-435d-A152-05C5408002CA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2025-03-27T07:01:00Z</dcterms:created>
  <dc:creator>admin</dc:creator>
  <cp:lastModifiedBy>趋之若鹜</cp:lastModifiedBy>
  <cp:lastPrinted>2025-04-03T02:57:00Z</cp:lastPrinted>
  <dcterms:modified xsi:type="dcterms:W3CDTF">2025-04-28T02:09:55Z</dcterms:modified>
  <cp:revision>106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2052-11.8.2.12265</vt:lpwstr>
  </property>
  <property fmtid="{D5CDD505-2E9C-101B-9397-08002B2CF9AE}" pid="3" name="ICV">
    <vt:lpwstr>68A220FB118A49F697600E213B0761D9</vt:lpwstr>
  </property>
</Properties>
</file>