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TWZB2024-057</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pPr>
        <w:rPr>
          <w:rFonts w:hint="eastAsia" w:ascii="宋体" w:hAnsi="宋体" w:eastAsia="宋体" w:cs="宋体"/>
          <w:b/>
          <w:color w:val="auto"/>
          <w:sz w:val="36"/>
          <w:highlight w:val="none"/>
        </w:rPr>
      </w:pPr>
    </w:p>
    <w:p>
      <w:pPr>
        <w:rPr>
          <w:rFonts w:hint="eastAsia" w:ascii="宋体" w:hAnsi="宋体" w:eastAsia="宋体" w:cs="宋体"/>
          <w:b/>
          <w:color w:val="auto"/>
          <w:sz w:val="36"/>
          <w:highlight w:val="none"/>
        </w:rPr>
      </w:pPr>
    </w:p>
    <w:p>
      <w:pPr>
        <w:jc w:val="center"/>
        <w:rPr>
          <w:rFonts w:hint="eastAsia" w:ascii="宋体" w:hAnsi="宋体" w:eastAsia="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36"/>
          <w:szCs w:val="36"/>
          <w:highlight w:val="none"/>
        </w:rPr>
      </w:pPr>
      <w:r>
        <w:rPr>
          <w:rFonts w:hint="eastAsia" w:hAnsi="宋体" w:cs="宋体"/>
          <w:b/>
          <w:color w:val="auto"/>
          <w:sz w:val="36"/>
          <w:szCs w:val="36"/>
          <w:highlight w:val="none"/>
          <w:lang w:eastAsia="zh-CN"/>
        </w:rPr>
        <w:t>西咸新区泾河新城第一中学2024年设备续采项目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color w:val="auto"/>
          <w:sz w:val="36"/>
          <w:szCs w:val="36"/>
          <w:highlight w:val="none"/>
          <w:lang w:eastAsia="zh-CN"/>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pPr>
        <w:rPr>
          <w:rFonts w:hint="eastAsia" w:ascii="宋体" w:hAnsi="宋体" w:eastAsia="宋体" w:cs="宋体"/>
          <w:color w:val="auto"/>
          <w:highlight w:val="none"/>
        </w:rPr>
      </w:pPr>
      <w:bookmarkStart w:id="0" w:name="_Toc363463325"/>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bookmarkEnd w:id="0"/>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1350" w:firstLineChars="450"/>
        <w:jc w:val="both"/>
        <w:textAlignment w:val="auto"/>
        <w:rPr>
          <w:rFonts w:hint="eastAsia" w:hAnsi="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   购   人：</w:t>
      </w:r>
      <w:r>
        <w:rPr>
          <w:rFonts w:hint="eastAsia" w:hAnsi="宋体" w:cs="宋体"/>
          <w:b/>
          <w:bCs/>
          <w:color w:val="auto"/>
          <w:kern w:val="2"/>
          <w:sz w:val="30"/>
          <w:szCs w:val="30"/>
          <w:highlight w:val="none"/>
          <w:lang w:val="en-US" w:eastAsia="zh-CN"/>
        </w:rPr>
        <w:t>西咸新区泾河新城第一中学</w:t>
      </w:r>
    </w:p>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1350" w:firstLineChars="450"/>
        <w:jc w:val="both"/>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采购代理机构：陕西天沃工程项目管理有限公司</w:t>
      </w:r>
    </w:p>
    <w:p>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8" w:header="851" w:footer="992" w:gutter="0"/>
          <w:pgNumType w:fmt="decimal"/>
          <w:cols w:space="720" w:num="1"/>
          <w:titlePg/>
          <w:docGrid w:type="linesAndChars" w:linePitch="312" w:charSpace="0"/>
        </w:sectPr>
      </w:pPr>
      <w:r>
        <w:rPr>
          <w:rFonts w:hint="eastAsia" w:ascii="宋体" w:hAnsi="宋体" w:eastAsia="宋体" w:cs="宋体"/>
          <w:b/>
          <w:bCs/>
          <w:color w:val="auto"/>
          <w:sz w:val="30"/>
          <w:szCs w:val="30"/>
          <w:highlight w:val="none"/>
          <w:lang w:val="en-US" w:eastAsia="zh-CN"/>
        </w:rPr>
        <w:t>二零二</w:t>
      </w:r>
      <w:r>
        <w:rPr>
          <w:rFonts w:hint="eastAsia"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月</w:t>
      </w:r>
    </w:p>
    <w:p>
      <w:pP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，在此我们特别提醒您注意以下事项：</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三、关于供应商注册登记提醒</w:t>
      </w:r>
    </w:p>
    <w:p>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pPr>
        <w:pStyle w:val="43"/>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pPr>
        <w:spacing w:line="500" w:lineRule="exact"/>
        <w:ind w:firstLine="480" w:firstLineChars="200"/>
        <w:rPr>
          <w:rFonts w:hint="eastAsia" w:ascii="宋体" w:hAnsi="宋体" w:eastAsia="宋体" w:cs="宋体"/>
          <w:color w:val="auto"/>
          <w:szCs w:val="24"/>
          <w:highlight w:val="none"/>
        </w:rPr>
        <w:sectPr>
          <w:footerReference r:id="rId9" w:type="default"/>
          <w:pgSz w:w="11906" w:h="16838"/>
          <w:pgMar w:top="1417" w:right="1134" w:bottom="1417" w:left="1418" w:header="851" w:footer="992" w:gutter="0"/>
          <w:pgNumType w:fmt="decimal" w:start="1"/>
          <w:cols w:space="720" w:num="1"/>
          <w:docGrid w:type="linesAndChars" w:linePitch="312" w:charSpace="0"/>
        </w:sectPr>
      </w:pPr>
      <w:r>
        <w:rPr>
          <w:rFonts w:hint="eastAsia" w:ascii="宋体" w:hAnsi="宋体" w:eastAsia="宋体" w:cs="宋体"/>
          <w:color w:val="auto"/>
          <w:szCs w:val="24"/>
          <w:highlight w:val="none"/>
        </w:rPr>
        <w:t>3.下载招标文件：供应商在报名确认后登陆陕西省西咸新区公共资源交易中心平台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4.供应商应于提交投标文件截止时间前任意时段登录交易平台〖首页〉电子交易平台〉企业端〗在线提交电子投标文件，逾期提交系统将拒绝接收。</w:t>
      </w:r>
    </w:p>
    <w:p>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供应商可登录交易平台〖首页〉不见面开标〗在线完成开评标过程，详见交易平台〖首页〉服务指南〉下载专区〗中的《西咸新区公共资源交易不见面开标大厅政府采购供应商操作手册》；</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pP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pPr>
        <w:pStyle w:val="11"/>
        <w:rPr>
          <w:rFonts w:hint="eastAsia" w:ascii="宋体" w:hAnsi="宋体" w:eastAsia="宋体" w:cs="宋体"/>
          <w:color w:val="auto"/>
          <w:highlight w:val="none"/>
        </w:rPr>
      </w:pPr>
    </w:p>
    <w:p>
      <w:pPr>
        <w:spacing w:before="156" w:beforeLines="50" w:line="360" w:lineRule="auto"/>
        <w:jc w:val="center"/>
        <w:rPr>
          <w:rFonts w:hint="eastAsia" w:ascii="宋体" w:hAnsi="宋体" w:eastAsia="宋体" w:cs="宋体"/>
          <w:b/>
          <w:color w:val="auto"/>
          <w:sz w:val="48"/>
          <w:szCs w:val="48"/>
          <w:highlight w:val="none"/>
        </w:rPr>
        <w:sectPr>
          <w:footerReference r:id="rId10" w:type="default"/>
          <w:pgSz w:w="11906" w:h="16838"/>
          <w:pgMar w:top="1417" w:right="1134" w:bottom="1417" w:left="1418" w:header="851" w:footer="992" w:gutter="0"/>
          <w:pgNumType w:fmt="decimal" w:start="1"/>
          <w:cols w:space="720" w:num="1"/>
          <w:docGrid w:type="linesAndChars" w:linePitch="312" w:charSpace="0"/>
        </w:sectPr>
      </w:pPr>
    </w:p>
    <w:p>
      <w:pP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5293"/>
      <w:bookmarkStart w:id="2" w:name="_Toc389582033"/>
      <w:bookmarkStart w:id="3" w:name="_Toc20652"/>
      <w:bookmarkStart w:id="4" w:name="_Toc16218"/>
      <w:bookmarkStart w:id="5" w:name="_Toc21518"/>
      <w:bookmarkStart w:id="6" w:name="_Toc20858"/>
      <w:bookmarkStart w:id="7" w:name="_Toc19886"/>
      <w:bookmarkStart w:id="8" w:name="_Toc426457691"/>
      <w:bookmarkStart w:id="9" w:name="_Toc363473971"/>
      <w:bookmarkStart w:id="10" w:name="_Toc363474016"/>
      <w:bookmarkStart w:id="11" w:name="_Toc403077638"/>
    </w:p>
    <w:p>
      <w:pPr>
        <w:pStyle w:val="11"/>
        <w:rPr>
          <w:rFonts w:hint="eastAsia" w:ascii="宋体" w:hAnsi="宋体" w:eastAsia="宋体" w:cs="宋体"/>
          <w:color w:val="auto"/>
          <w:highlight w:val="none"/>
        </w:rPr>
      </w:pP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"_Toc5588"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_Toc5588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"_Toc10788"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_Toc10788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"_Toc26142"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30"/>
          <w:szCs w:val="30"/>
          <w:highlight w:val="none"/>
        </w:rPr>
        <w:t>第四章  采购内容及技术要求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35</w:t>
      </w: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评标方法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50</w:t>
      </w:r>
    </w:p>
    <w:p>
      <w:pPr>
        <w:pStyle w:val="18"/>
        <w:keepNext w:val="0"/>
        <w:keepLines w:val="0"/>
        <w:pageBreakBefore w:val="0"/>
        <w:widowControl w:val="0"/>
        <w:tabs>
          <w:tab w:val="right" w:leader="dot" w:pos="9354"/>
          <w:tab w:val="clear" w:pos="1418"/>
          <w:tab w:val="clear" w:pos="8302"/>
        </w:tabs>
        <w:kinsoku/>
        <w:wordWrap/>
        <w:overflowPunct/>
        <w:topLinePunct w:val="0"/>
        <w:autoSpaceDE/>
        <w:autoSpaceDN/>
        <w:bidi w:val="0"/>
        <w:adjustRightInd/>
        <w:snapToGrid/>
        <w:spacing w:line="48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30"/>
          <w:szCs w:val="30"/>
          <w:highlight w:val="none"/>
        </w:rPr>
        <w:t>第六章  投标文件构成及格式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hAnsi="宋体" w:cs="宋体"/>
          <w:color w:val="auto"/>
          <w:sz w:val="30"/>
          <w:szCs w:val="30"/>
          <w:highlight w:val="none"/>
          <w:lang w:val="en-US" w:eastAsia="zh-CN"/>
        </w:rPr>
        <w:t>59</w:t>
      </w:r>
    </w:p>
    <w:p>
      <w:pPr>
        <w:pStyle w:val="11"/>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1"/>
    <w:bookmarkEnd w:id="2"/>
    <w:bookmarkEnd w:id="3"/>
    <w:bookmarkEnd w:id="4"/>
    <w:bookmarkEnd w:id="5"/>
    <w:bookmarkEnd w:id="6"/>
    <w:bookmarkEnd w:id="7"/>
    <w:bookmarkEnd w:id="8"/>
    <w:p>
      <w:pPr>
        <w:pStyle w:val="3"/>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27420"/>
      <w:bookmarkStart w:id="13" w:name="_Toc12169"/>
      <w:bookmarkStart w:id="14" w:name="_Toc18062"/>
      <w:bookmarkStart w:id="15" w:name="_Toc423973071"/>
      <w:bookmarkStart w:id="16" w:name="_Toc5588"/>
      <w:r>
        <w:rPr>
          <w:rFonts w:hint="eastAsia" w:ascii="宋体" w:hAnsi="宋体" w:eastAsia="宋体" w:cs="宋体"/>
          <w:bCs/>
          <w:color w:val="auto"/>
          <w:sz w:val="36"/>
          <w:szCs w:val="36"/>
          <w:highlight w:val="none"/>
        </w:rPr>
        <w:t>第一章  招标公告</w:t>
      </w:r>
      <w:bookmarkEnd w:id="12"/>
      <w:bookmarkEnd w:id="13"/>
      <w:bookmarkEnd w:id="14"/>
      <w:bookmarkEnd w:id="15"/>
      <w:bookmarkEnd w:id="16"/>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hd w:val="clear" w:color="auto" w:fill="FFFFFF"/>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pPr>
              <w:widowControl/>
              <w:spacing w:line="540" w:lineRule="exact"/>
              <w:ind w:firstLine="480" w:firstLineChars="200"/>
              <w:textAlignment w:val="baseline"/>
              <w:rPr>
                <w:rFonts w:hint="eastAsia" w:ascii="宋体" w:hAnsi="宋体" w:eastAsia="宋体" w:cs="宋体"/>
                <w:color w:val="auto"/>
                <w:szCs w:val="24"/>
                <w:highlight w:val="none"/>
              </w:rPr>
            </w:pPr>
            <w:r>
              <w:rPr>
                <w:rFonts w:hint="eastAsia" w:hAnsi="宋体" w:cs="宋体"/>
                <w:b w:val="0"/>
                <w:bCs w:val="0"/>
                <w:kern w:val="2"/>
                <w:sz w:val="24"/>
                <w:szCs w:val="24"/>
                <w:highlight w:val="none"/>
                <w:lang w:val="en-US" w:eastAsia="zh-CN" w:bidi="ar-SA"/>
              </w:rPr>
              <w:t>西咸新区泾河新城第一中学2024年设备续采项目</w:t>
            </w:r>
            <w:r>
              <w:rPr>
                <w:rFonts w:hint="eastAsia" w:ascii="宋体" w:hAnsi="宋体" w:eastAsia="宋体" w:cs="宋体"/>
                <w:b w:val="0"/>
                <w:bCs w:val="0"/>
                <w:kern w:val="2"/>
                <w:sz w:val="24"/>
                <w:szCs w:val="24"/>
                <w:highlight w:val="none"/>
                <w:lang w:val="en-US" w:eastAsia="zh-CN" w:bidi="ar-SA"/>
              </w:rPr>
              <w:t>的潜在</w:t>
            </w:r>
            <w:r>
              <w:rPr>
                <w:rFonts w:hint="eastAsia" w:hAnsi="宋体" w:cs="宋体"/>
                <w:b w:val="0"/>
                <w:bCs w:val="0"/>
                <w:kern w:val="2"/>
                <w:sz w:val="24"/>
                <w:szCs w:val="24"/>
                <w:highlight w:val="none"/>
                <w:lang w:val="en-US" w:eastAsia="zh-CN" w:bidi="ar-SA"/>
              </w:rPr>
              <w:t>供应商</w:t>
            </w:r>
            <w:r>
              <w:rPr>
                <w:rFonts w:hint="eastAsia" w:ascii="宋体" w:hAnsi="宋体" w:eastAsia="宋体" w:cs="宋体"/>
                <w:b w:val="0"/>
                <w:bCs w:val="0"/>
                <w:kern w:val="2"/>
                <w:sz w:val="24"/>
                <w:szCs w:val="24"/>
                <w:highlight w:val="none"/>
                <w:lang w:val="en-US" w:eastAsia="zh-CN" w:bidi="ar-SA"/>
              </w:rPr>
              <w:t>可在全国公共资源交易平台（陕西省·西咸新区）（http://xxxq.sxggzyjy.cn/）自行下载获取招标文件，并于2024 年</w:t>
            </w:r>
            <w:r>
              <w:rPr>
                <w:rFonts w:hint="eastAsia" w:hAnsi="宋体" w:cs="宋体"/>
                <w:b w:val="0"/>
                <w:bCs w:val="0"/>
                <w:kern w:val="2"/>
                <w:sz w:val="24"/>
                <w:szCs w:val="24"/>
                <w:highlight w:val="none"/>
                <w:lang w:val="en-US" w:eastAsia="zh-CN" w:bidi="ar-SA"/>
              </w:rPr>
              <w:t>07</w:t>
            </w:r>
            <w:r>
              <w:rPr>
                <w:rFonts w:hint="eastAsia" w:ascii="宋体" w:hAnsi="宋体" w:eastAsia="宋体" w:cs="宋体"/>
                <w:b w:val="0"/>
                <w:bCs w:val="0"/>
                <w:kern w:val="2"/>
                <w:sz w:val="24"/>
                <w:szCs w:val="24"/>
                <w:highlight w:val="none"/>
                <w:lang w:val="en-US" w:eastAsia="zh-CN" w:bidi="ar-SA"/>
              </w:rPr>
              <w:t>月</w:t>
            </w:r>
            <w:r>
              <w:rPr>
                <w:rFonts w:hint="eastAsia" w:hAnsi="宋体" w:cs="宋体"/>
                <w:b w:val="0"/>
                <w:bCs w:val="0"/>
                <w:kern w:val="2"/>
                <w:sz w:val="24"/>
                <w:szCs w:val="24"/>
                <w:highlight w:val="none"/>
                <w:lang w:val="en-US" w:eastAsia="zh-CN" w:bidi="ar-SA"/>
              </w:rPr>
              <w:t>16</w:t>
            </w:r>
            <w:r>
              <w:rPr>
                <w:rFonts w:hint="eastAsia" w:ascii="宋体" w:hAnsi="宋体" w:eastAsia="宋体" w:cs="宋体"/>
                <w:b w:val="0"/>
                <w:bCs w:val="0"/>
                <w:kern w:val="2"/>
                <w:sz w:val="24"/>
                <w:szCs w:val="24"/>
                <w:highlight w:val="none"/>
                <w:lang w:val="en-US" w:eastAsia="zh-CN" w:bidi="ar-SA"/>
              </w:rPr>
              <w:t>日 09 时 30 分（北京时间）前递交投标文件。</w:t>
            </w:r>
          </w:p>
        </w:tc>
      </w:tr>
    </w:tbl>
    <w:p>
      <w:pPr>
        <w:widowControl/>
        <w:shd w:val="clear" w:color="auto" w:fill="FFFFFF"/>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1.项目编号：</w:t>
      </w:r>
      <w:r>
        <w:rPr>
          <w:rFonts w:hint="eastAsia" w:hAnsi="宋体" w:cs="宋体"/>
          <w:b w:val="0"/>
          <w:bCs w:val="0"/>
          <w:kern w:val="2"/>
          <w:sz w:val="24"/>
          <w:szCs w:val="24"/>
          <w:lang w:val="en-US" w:eastAsia="zh-CN" w:bidi="ar-SA"/>
        </w:rPr>
        <w:t>TWZB2024-057</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2.项目名称：</w:t>
      </w:r>
      <w:r>
        <w:rPr>
          <w:rFonts w:hint="eastAsia" w:hAnsi="宋体" w:cs="宋体"/>
          <w:b w:val="0"/>
          <w:bCs w:val="0"/>
          <w:kern w:val="2"/>
          <w:sz w:val="24"/>
          <w:szCs w:val="24"/>
          <w:lang w:val="en-US" w:eastAsia="zh-CN" w:bidi="ar-SA"/>
        </w:rPr>
        <w:t xml:space="preserve">西咸新区泾河新城第一中学2024年设备续采项目 </w:t>
      </w:r>
      <w:r>
        <w:rPr>
          <w:rFonts w:hint="eastAsia" w:ascii="宋体" w:hAnsi="宋体" w:eastAsia="宋体" w:cs="宋体"/>
          <w:b w:val="0"/>
          <w:bCs w:val="0"/>
          <w:kern w:val="2"/>
          <w:sz w:val="24"/>
          <w:szCs w:val="24"/>
          <w:lang w:val="en-US" w:eastAsia="zh-CN" w:bidi="ar-SA"/>
        </w:rPr>
        <w:t xml:space="preserve"> </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3.采购方式：公开招标</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4.预算金额</w:t>
      </w:r>
      <w:r>
        <w:rPr>
          <w:rFonts w:hint="eastAsia" w:ascii="宋体" w:hAnsi="宋体" w:eastAsia="宋体" w:cs="宋体"/>
          <w:b w:val="0"/>
          <w:bCs w:val="0"/>
          <w:kern w:val="2"/>
          <w:sz w:val="24"/>
          <w:szCs w:val="24"/>
          <w:highlight w:val="none"/>
          <w:lang w:val="en-US" w:eastAsia="zh-CN" w:bidi="ar-SA"/>
        </w:rPr>
        <w:t>：</w:t>
      </w:r>
      <w:r>
        <w:rPr>
          <w:rFonts w:hint="eastAsia" w:hAnsi="宋体" w:cs="宋体"/>
          <w:b w:val="0"/>
          <w:bCs w:val="0"/>
          <w:kern w:val="2"/>
          <w:sz w:val="24"/>
          <w:szCs w:val="24"/>
          <w:highlight w:val="none"/>
          <w:lang w:val="en-US" w:eastAsia="zh-CN" w:bidi="ar-SA"/>
        </w:rPr>
        <w:t>1220000.00</w:t>
      </w:r>
      <w:r>
        <w:rPr>
          <w:rFonts w:hint="eastAsia" w:ascii="宋体" w:hAnsi="宋体" w:eastAsia="宋体" w:cs="宋体"/>
          <w:b w:val="0"/>
          <w:bCs w:val="0"/>
          <w:kern w:val="2"/>
          <w:sz w:val="24"/>
          <w:szCs w:val="24"/>
          <w:highlight w:val="none"/>
          <w:lang w:val="en-US" w:eastAsia="zh-CN" w:bidi="ar-SA"/>
        </w:rPr>
        <w:t>元</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5.采购需求：</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（1）合同包1(</w:t>
      </w:r>
      <w:r>
        <w:rPr>
          <w:rFonts w:hint="eastAsia" w:hAnsi="宋体" w:cs="宋体"/>
          <w:b w:val="0"/>
          <w:bCs w:val="0"/>
          <w:kern w:val="2"/>
          <w:sz w:val="24"/>
          <w:szCs w:val="24"/>
          <w:highlight w:val="none"/>
          <w:lang w:val="en-US" w:eastAsia="zh-CN" w:bidi="ar-SA"/>
        </w:rPr>
        <w:t xml:space="preserve">西咸新区泾河新城第一中学2024年设备续采项目 </w:t>
      </w:r>
      <w:r>
        <w:rPr>
          <w:rFonts w:hint="eastAsia" w:ascii="宋体" w:hAnsi="宋体" w:eastAsia="宋体" w:cs="宋体"/>
          <w:b w:val="0"/>
          <w:bCs w:val="0"/>
          <w:kern w:val="2"/>
          <w:sz w:val="24"/>
          <w:szCs w:val="24"/>
          <w:highlight w:val="none"/>
          <w:lang w:val="en-US" w:eastAsia="zh-CN" w:bidi="ar-SA"/>
        </w:rPr>
        <w:t>)：</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合同包预算金额：</w:t>
      </w:r>
      <w:r>
        <w:rPr>
          <w:rFonts w:hint="eastAsia" w:hAnsi="宋体" w:cs="宋体"/>
          <w:b w:val="0"/>
          <w:bCs w:val="0"/>
          <w:kern w:val="2"/>
          <w:sz w:val="24"/>
          <w:szCs w:val="24"/>
          <w:highlight w:val="none"/>
          <w:lang w:val="en-US" w:eastAsia="zh-CN" w:bidi="ar-SA"/>
        </w:rPr>
        <w:t>1220000.00</w:t>
      </w:r>
      <w:r>
        <w:rPr>
          <w:rFonts w:hint="eastAsia" w:ascii="宋体" w:hAnsi="宋体" w:eastAsia="宋体" w:cs="宋体"/>
          <w:b w:val="0"/>
          <w:bCs w:val="0"/>
          <w:kern w:val="2"/>
          <w:sz w:val="24"/>
          <w:szCs w:val="24"/>
          <w:highlight w:val="none"/>
          <w:lang w:val="en-US" w:eastAsia="zh-CN" w:bidi="ar-SA"/>
        </w:rPr>
        <w:t>元</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合同包最高限价：</w:t>
      </w:r>
      <w:r>
        <w:rPr>
          <w:rFonts w:hint="eastAsia" w:hAnsi="宋体" w:cs="宋体"/>
          <w:b w:val="0"/>
          <w:bCs w:val="0"/>
          <w:kern w:val="2"/>
          <w:sz w:val="24"/>
          <w:szCs w:val="24"/>
          <w:highlight w:val="none"/>
          <w:lang w:val="en-US" w:eastAsia="zh-CN" w:bidi="ar-SA"/>
        </w:rPr>
        <w:t>1220000.00</w:t>
      </w:r>
      <w:r>
        <w:rPr>
          <w:rFonts w:hint="eastAsia" w:ascii="宋体" w:hAnsi="宋体" w:eastAsia="宋体" w:cs="宋体"/>
          <w:b w:val="0"/>
          <w:bCs w:val="0"/>
          <w:kern w:val="2"/>
          <w:sz w:val="24"/>
          <w:szCs w:val="24"/>
          <w:highlight w:val="none"/>
          <w:lang w:val="en-US" w:eastAsia="zh-CN" w:bidi="ar-SA"/>
        </w:rPr>
        <w:t>元</w:t>
      </w:r>
    </w:p>
    <w:tbl>
      <w:tblPr>
        <w:tblStyle w:val="25"/>
        <w:tblW w:w="5329" w:type="pct"/>
        <w:tblInd w:w="0" w:type="dxa"/>
        <w:tblLayout w:type="fixed"/>
        <w:tblCellMar>
          <w:top w:w="0" w:type="dxa"/>
          <w:left w:w="0" w:type="dxa"/>
          <w:bottom w:w="0" w:type="dxa"/>
          <w:right w:w="0" w:type="dxa"/>
        </w:tblCellMar>
      </w:tblPr>
      <w:tblGrid>
        <w:gridCol w:w="971"/>
        <w:gridCol w:w="1280"/>
        <w:gridCol w:w="1552"/>
        <w:gridCol w:w="1182"/>
        <w:gridCol w:w="1743"/>
        <w:gridCol w:w="1544"/>
        <w:gridCol w:w="1653"/>
      </w:tblGrid>
      <w:tr>
        <w:tblPrEx>
          <w:tblCellMar>
            <w:top w:w="0" w:type="dxa"/>
            <w:left w:w="0" w:type="dxa"/>
            <w:bottom w:w="0" w:type="dxa"/>
            <w:right w:w="0" w:type="dxa"/>
          </w:tblCellMar>
        </w:tblPrEx>
        <w:trPr>
          <w:trHeight w:val="728"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tblPrEx>
          <w:tblCellMar>
            <w:top w:w="0" w:type="dxa"/>
            <w:left w:w="0" w:type="dxa"/>
            <w:bottom w:w="0" w:type="dxa"/>
            <w:right w:w="0" w:type="dxa"/>
          </w:tblCellMar>
        </w:tblPrEx>
        <w:trPr>
          <w:trHeight w:val="480"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西咸新区泾河新城第一中学2024年设备续采项目</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val="en-US" w:eastAsia="zh-CN"/>
              </w:rPr>
            </w:pPr>
            <w:r>
              <w:rPr>
                <w:rFonts w:hint="eastAsia" w:hAnsi="宋体" w:cs="宋体"/>
                <w:b w:val="0"/>
                <w:bCs w:val="0"/>
                <w:kern w:val="2"/>
                <w:sz w:val="24"/>
                <w:szCs w:val="24"/>
                <w:highlight w:val="none"/>
                <w:lang w:val="en-US" w:eastAsia="zh-CN" w:bidi="ar-SA"/>
              </w:rPr>
              <w:t>1220000.00</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540" w:lineRule="exact"/>
              <w:jc w:val="center"/>
              <w:rPr>
                <w:rFonts w:hint="eastAsia" w:ascii="宋体" w:hAnsi="宋体" w:eastAsia="宋体" w:cs="宋体"/>
                <w:color w:val="auto"/>
                <w:szCs w:val="24"/>
                <w:highlight w:val="none"/>
                <w:lang w:eastAsia="zh-CN"/>
              </w:rPr>
            </w:pPr>
            <w:r>
              <w:rPr>
                <w:rFonts w:hint="eastAsia" w:hAnsi="宋体" w:cs="宋体"/>
                <w:b w:val="0"/>
                <w:bCs w:val="0"/>
                <w:kern w:val="2"/>
                <w:sz w:val="24"/>
                <w:szCs w:val="24"/>
                <w:highlight w:val="none"/>
                <w:lang w:val="en-US" w:eastAsia="zh-CN" w:bidi="ar-SA"/>
              </w:rPr>
              <w:t>1220000.00</w:t>
            </w:r>
          </w:p>
        </w:tc>
      </w:tr>
    </w:tbl>
    <w:p>
      <w:pPr>
        <w:widowControl/>
        <w:spacing w:line="540" w:lineRule="exact"/>
        <w:ind w:firstLine="720" w:firstLineChars="3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本合同包不接受联合体投标</w:t>
      </w:r>
    </w:p>
    <w:p>
      <w:pPr>
        <w:widowControl/>
        <w:spacing w:line="540" w:lineRule="exact"/>
        <w:ind w:firstLine="720" w:firstLineChars="300"/>
        <w:textAlignment w:val="baseline"/>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合同履行期限：自合同签订后</w:t>
      </w:r>
      <w:r>
        <w:rPr>
          <w:rFonts w:hint="eastAsia" w:hAnsi="宋体" w:cs="宋体"/>
          <w:b w:val="0"/>
          <w:bCs w:val="0"/>
          <w:kern w:val="2"/>
          <w:sz w:val="24"/>
          <w:szCs w:val="24"/>
          <w:highlight w:val="none"/>
          <w:lang w:val="en-US" w:eastAsia="zh-CN" w:bidi="ar-SA"/>
        </w:rPr>
        <w:t>30日历日</w:t>
      </w:r>
      <w:r>
        <w:rPr>
          <w:rFonts w:hint="eastAsia" w:ascii="宋体" w:hAnsi="宋体" w:eastAsia="宋体" w:cs="宋体"/>
          <w:b w:val="0"/>
          <w:bCs w:val="0"/>
          <w:kern w:val="2"/>
          <w:sz w:val="24"/>
          <w:szCs w:val="24"/>
          <w:highlight w:val="none"/>
          <w:lang w:val="en-US" w:eastAsia="zh-CN" w:bidi="ar-SA"/>
        </w:rPr>
        <w:t>（具体起止日期可随合同签订时间相应顺延）</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西咸新区泾河新城第一中学2024年设备续采项目</w:t>
      </w:r>
      <w:r>
        <w:rPr>
          <w:rFonts w:hint="eastAsia" w:ascii="宋体" w:hAnsi="宋体" w:eastAsia="宋体" w:cs="宋体"/>
          <w:color w:val="auto"/>
          <w:szCs w:val="24"/>
          <w:highlight w:val="none"/>
        </w:rPr>
        <w:t>)落实政府采购政策需满足的资格要求如下：</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（1）《政府采购促进中小企业发展管理办法》（财库〔2020〕46号）；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（2）《财政部、司法部关于政府采购支持监狱企业发展有关问题的通知》（财库〔2014〕68号）；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（3）《民政部、财政部、中国残疾人联合会关于促进残疾人就业政府采购政策的通知》（财库〔2017〕141号）；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（4）《财政部办公厅关于政府采购进口产品管理有关问题的通知》（财办库[2008] 248号）；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（5）《关于印发环境标志产品政府采购品目清单的通知》（财库〔2019〕18号）；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（6）《关于印发节能产品政府采购品目清单的通知》（财库〔2019〕19号）；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（7）《关于进一步加强政府绿色采购有关问题的通知》（陕财办采〔2021〕29号）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（8）《财政部发展改革委生态环境部市场监管总局关于调整优化节能产品、环境标志产品 政府采购执行机制的通知》（财库〔2019〕9号）；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（9）《陕西省财政厅关于加快推进我省中小企业政府采购信用融资工作的通知》 （陕财办 采〔2020〕15 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（10）《关于运用政府采购政策支持乡村产业振兴的通知》（财库〔2021〕19号）；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（11）《关于深入开展政府采购脱贫地区农副产品工作推进乡村产业振兴的实施意见》的通 知（财库〔2021〕20号）；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（12）《财政部关于进一步加大政府采购支持中小企业力度的通知》（财库〔2022〕19号）；</w:t>
      </w:r>
    </w:p>
    <w:p>
      <w:pPr>
        <w:spacing w:line="560" w:lineRule="exact"/>
        <w:ind w:left="-120" w:leftChars="-5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（13）其他需要落实的政府采购政策（如有最新颁布的政府采购政策，按最新的文件执行）； </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西咸新区泾河新城第一中学2024年设备续采项目</w:t>
      </w:r>
      <w:r>
        <w:rPr>
          <w:rFonts w:hint="eastAsia" w:ascii="宋体" w:hAnsi="宋体" w:eastAsia="宋体" w:cs="宋体"/>
          <w:color w:val="auto"/>
          <w:szCs w:val="24"/>
          <w:highlight w:val="none"/>
        </w:rPr>
        <w:t>)特定资格要求如下：</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（1）供应商为合法注册的法人或其他组织或自然人，提供营业执照（或事业法人证）；自然人提供身份证明；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（2）法定代表人授权书及被授权人身份证（法定代表人直接参与，须提供法定代表人身份证明）；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（4）单位负责人为同一人或者存在控股、管理关系的不同单位不得同时投标（提供供应商企业关系关联承诺书）；</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（5）不接受联合体投标（提供非联合体承诺书）。</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时间：20</w:t>
      </w:r>
      <w:r>
        <w:rPr>
          <w:rFonts w:hint="eastAsia" w:ascii="宋体" w:hAnsi="宋体" w:eastAsia="宋体" w:cs="宋体"/>
          <w:b w:val="0"/>
          <w:bCs w:val="0"/>
          <w:kern w:val="2"/>
          <w:sz w:val="24"/>
          <w:szCs w:val="24"/>
          <w:highlight w:val="none"/>
          <w:lang w:val="en-US" w:eastAsia="zh-CN" w:bidi="ar-SA"/>
        </w:rPr>
        <w:t>2</w:t>
      </w:r>
      <w:r>
        <w:rPr>
          <w:rFonts w:hint="eastAsia"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年</w:t>
      </w:r>
      <w:r>
        <w:rPr>
          <w:rFonts w:hint="eastAsia" w:hAnsi="宋体" w:cs="宋体"/>
          <w:b w:val="0"/>
          <w:bCs w:val="0"/>
          <w:kern w:val="2"/>
          <w:sz w:val="24"/>
          <w:szCs w:val="24"/>
          <w:highlight w:val="none"/>
          <w:lang w:val="en-US" w:eastAsia="zh-CN" w:bidi="ar-SA"/>
        </w:rPr>
        <w:t>06</w:t>
      </w:r>
      <w:r>
        <w:rPr>
          <w:rFonts w:hint="eastAsia" w:ascii="宋体" w:hAnsi="宋体" w:eastAsia="宋体" w:cs="宋体"/>
          <w:b w:val="0"/>
          <w:bCs w:val="0"/>
          <w:kern w:val="2"/>
          <w:sz w:val="24"/>
          <w:szCs w:val="24"/>
          <w:highlight w:val="none"/>
          <w:lang w:val="en-US" w:eastAsia="zh-CN" w:bidi="ar-SA"/>
        </w:rPr>
        <w:t>月</w:t>
      </w:r>
      <w:r>
        <w:rPr>
          <w:rFonts w:hint="eastAsia" w:hAnsi="宋体" w:cs="宋体"/>
          <w:b w:val="0"/>
          <w:bCs w:val="0"/>
          <w:kern w:val="2"/>
          <w:sz w:val="24"/>
          <w:szCs w:val="24"/>
          <w:highlight w:val="none"/>
          <w:lang w:val="en-US" w:eastAsia="zh-CN" w:bidi="ar-SA"/>
        </w:rPr>
        <w:t>24</w:t>
      </w:r>
      <w:r>
        <w:rPr>
          <w:rFonts w:hint="eastAsia" w:ascii="宋体" w:hAnsi="宋体" w:eastAsia="宋体" w:cs="宋体"/>
          <w:b w:val="0"/>
          <w:bCs w:val="0"/>
          <w:kern w:val="2"/>
          <w:sz w:val="24"/>
          <w:szCs w:val="24"/>
          <w:highlight w:val="none"/>
          <w:lang w:val="en-US" w:eastAsia="zh-CN" w:bidi="ar-SA"/>
        </w:rPr>
        <w:t>日至202</w:t>
      </w:r>
      <w:r>
        <w:rPr>
          <w:rFonts w:hint="eastAsia"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年</w:t>
      </w:r>
      <w:r>
        <w:rPr>
          <w:rFonts w:hint="eastAsia" w:hAnsi="宋体" w:cs="宋体"/>
          <w:b w:val="0"/>
          <w:bCs w:val="0"/>
          <w:kern w:val="2"/>
          <w:sz w:val="24"/>
          <w:szCs w:val="24"/>
          <w:highlight w:val="none"/>
          <w:lang w:val="en-US" w:eastAsia="zh-CN" w:bidi="ar-SA"/>
        </w:rPr>
        <w:t>06</w:t>
      </w:r>
      <w:r>
        <w:rPr>
          <w:rFonts w:hint="eastAsia" w:ascii="宋体" w:hAnsi="宋体" w:eastAsia="宋体" w:cs="宋体"/>
          <w:b w:val="0"/>
          <w:bCs w:val="0"/>
          <w:kern w:val="2"/>
          <w:sz w:val="24"/>
          <w:szCs w:val="24"/>
          <w:highlight w:val="none"/>
          <w:lang w:val="en-US" w:eastAsia="zh-CN" w:bidi="ar-SA"/>
        </w:rPr>
        <w:t>月</w:t>
      </w:r>
      <w:r>
        <w:rPr>
          <w:rFonts w:hint="eastAsia" w:hAnsi="宋体" w:cs="宋体"/>
          <w:b w:val="0"/>
          <w:bCs w:val="0"/>
          <w:kern w:val="2"/>
          <w:sz w:val="24"/>
          <w:szCs w:val="24"/>
          <w:highlight w:val="none"/>
          <w:lang w:val="en-US" w:eastAsia="zh-CN" w:bidi="ar-SA"/>
        </w:rPr>
        <w:t>28</w:t>
      </w:r>
      <w:r>
        <w:rPr>
          <w:rFonts w:hint="eastAsia" w:ascii="宋体" w:hAnsi="宋体" w:eastAsia="宋体" w:cs="宋体"/>
          <w:b w:val="0"/>
          <w:bCs w:val="0"/>
          <w:kern w:val="2"/>
          <w:sz w:val="24"/>
          <w:szCs w:val="24"/>
          <w:highlight w:val="none"/>
          <w:lang w:val="en-US" w:eastAsia="zh-CN" w:bidi="ar-SA"/>
        </w:rPr>
        <w:t>日，每天上午00:00:00至12:00:00，下午12:00:00至23:59:59（北京时间,法定节假日除外）</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途径：全国公共资源交易平台(陕西省·西咸新区) 自行下载</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方式：在线获取。</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售价：0元。</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时间：2024年</w:t>
      </w:r>
      <w:r>
        <w:rPr>
          <w:rFonts w:hint="eastAsia" w:hAnsi="宋体" w:cs="宋体"/>
          <w:b w:val="0"/>
          <w:bCs w:val="0"/>
          <w:kern w:val="2"/>
          <w:sz w:val="24"/>
          <w:szCs w:val="24"/>
          <w:highlight w:val="none"/>
          <w:lang w:val="en-US" w:eastAsia="zh-CN" w:bidi="ar-SA"/>
        </w:rPr>
        <w:t>07</w:t>
      </w:r>
      <w:r>
        <w:rPr>
          <w:rFonts w:hint="eastAsia" w:ascii="宋体" w:hAnsi="宋体" w:eastAsia="宋体" w:cs="宋体"/>
          <w:b w:val="0"/>
          <w:bCs w:val="0"/>
          <w:kern w:val="2"/>
          <w:sz w:val="24"/>
          <w:szCs w:val="24"/>
          <w:highlight w:val="none"/>
          <w:lang w:val="en-US" w:eastAsia="zh-CN" w:bidi="ar-SA"/>
        </w:rPr>
        <w:t>月</w:t>
      </w:r>
      <w:r>
        <w:rPr>
          <w:rFonts w:hint="eastAsia" w:hAnsi="宋体" w:cs="宋体"/>
          <w:b w:val="0"/>
          <w:bCs w:val="0"/>
          <w:kern w:val="2"/>
          <w:sz w:val="24"/>
          <w:szCs w:val="24"/>
          <w:highlight w:val="none"/>
          <w:lang w:val="en-US" w:eastAsia="zh-CN" w:bidi="ar-SA"/>
        </w:rPr>
        <w:t>16</w:t>
      </w:r>
      <w:r>
        <w:rPr>
          <w:rFonts w:hint="eastAsia" w:ascii="宋体" w:hAnsi="宋体" w:eastAsia="宋体" w:cs="宋体"/>
          <w:b w:val="0"/>
          <w:bCs w:val="0"/>
          <w:kern w:val="2"/>
          <w:sz w:val="24"/>
          <w:szCs w:val="24"/>
          <w:highlight w:val="none"/>
          <w:lang w:val="en-US" w:eastAsia="zh-CN" w:bidi="ar-SA"/>
        </w:rPr>
        <w:t>日09时30分00秒（北京时间）</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提交投标文件地点：全国公共资源交易平台（陕西</w:t>
      </w:r>
      <w:r>
        <w:rPr>
          <w:rFonts w:hint="eastAsia" w:ascii="宋体" w:hAnsi="宋体" w:eastAsia="宋体" w:cs="宋体"/>
          <w:b w:val="0"/>
          <w:bCs w:val="0"/>
          <w:kern w:val="2"/>
          <w:sz w:val="24"/>
          <w:szCs w:val="24"/>
          <w:lang w:val="en-US" w:eastAsia="zh-CN" w:bidi="ar-SA"/>
        </w:rPr>
        <w:t>省.西咸新区）（http://xxxq.sxggzyjy.cn）网上递交</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highlight w:val="none"/>
        </w:rPr>
      </w:pPr>
      <w:r>
        <w:rPr>
          <w:rFonts w:hint="eastAsia" w:ascii="宋体" w:hAnsi="宋体" w:eastAsia="宋体" w:cs="宋体"/>
          <w:b w:val="0"/>
          <w:bCs w:val="0"/>
          <w:kern w:val="2"/>
          <w:sz w:val="24"/>
          <w:szCs w:val="24"/>
          <w:lang w:val="en-US" w:eastAsia="zh-CN" w:bidi="ar-SA"/>
        </w:rPr>
        <w:t>开标地点：全国公共资源交易平台（陕西省.西咸新区）平台不见面开标大厅</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pPr>
        <w:widowControl/>
        <w:shd w:val="clear" w:color="auto" w:fill="FFFFFF"/>
        <w:spacing w:line="520" w:lineRule="exact"/>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1、本项目为线上不见面开标，请于2024年</w:t>
      </w:r>
      <w:r>
        <w:rPr>
          <w:rFonts w:hint="eastAsia" w:hAnsi="宋体" w:cs="宋体"/>
          <w:color w:val="auto"/>
          <w:szCs w:val="24"/>
          <w:highlight w:val="none"/>
          <w:lang w:val="en-US" w:eastAsia="zh-CN"/>
        </w:rPr>
        <w:t>07</w:t>
      </w:r>
      <w:r>
        <w:rPr>
          <w:rFonts w:hint="eastAsia" w:ascii="宋体" w:hAnsi="宋体" w:eastAsia="宋体" w:cs="宋体"/>
          <w:color w:val="auto"/>
          <w:szCs w:val="24"/>
          <w:highlight w:val="none"/>
          <w:lang w:val="en-US" w:eastAsia="zh-CN"/>
        </w:rPr>
        <w:t>月</w:t>
      </w:r>
      <w:r>
        <w:rPr>
          <w:rFonts w:hint="eastAsia" w:hAnsi="宋体" w:cs="宋体"/>
          <w:color w:val="auto"/>
          <w:szCs w:val="24"/>
          <w:highlight w:val="none"/>
          <w:lang w:val="en-US" w:eastAsia="zh-CN"/>
        </w:rPr>
        <w:t>16</w:t>
      </w:r>
      <w:r>
        <w:rPr>
          <w:rFonts w:hint="eastAsia" w:ascii="宋体" w:hAnsi="宋体" w:eastAsia="宋体" w:cs="宋体"/>
          <w:color w:val="auto"/>
          <w:szCs w:val="24"/>
          <w:highlight w:val="none"/>
          <w:lang w:val="en-US" w:eastAsia="zh-CN"/>
        </w:rPr>
        <w:t>日09时30分前进入全国公共资源交易平台（陕西省.西咸新区）不见面开标系统。</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供应商须在获取招标文件时限内（即发售时间内）登录陕西省西咸新区公共资源交易中心平台系统，下载招标文件。逾期下载通道将关闭，未及时下载招标文件将会影响后续开评标活动。</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4、投标供应商须按照陕西省财政厅《关于政府采购供应商注册登记有关事项的通知》中的要求，通过陕西省政府采购网（http://www.ccgp-shaanxi.gov.cn/）注册登记加入陕西省政府采购供应商库。</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widowControl/>
        <w:shd w:val="clear" w:color="auto" w:fill="FFFFFF"/>
        <w:spacing w:line="520" w:lineRule="exact"/>
        <w:ind w:firstLine="480" w:firstLineChars="200"/>
        <w:textAlignment w:val="baseline"/>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7、根据《关于全面推行政府采购</w:t>
      </w:r>
      <w:r>
        <w:rPr>
          <w:rFonts w:hint="eastAsia"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基本资格条件承诺制的通知》（陕西咸财金发〔2023〕119号）的有关规定，本项目对《中华人民共和国政府采购法实施条例》第十七条第一款第（二）项、第（三）项、第（四）项要求提供的有关材料进行简化。</w:t>
      </w:r>
      <w:r>
        <w:rPr>
          <w:rFonts w:hint="eastAsia"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参与本项目只需以书面形式提供规定格式的《基本资格条件承诺函》。</w:t>
      </w:r>
    </w:p>
    <w:p>
      <w:pPr>
        <w:widowControl/>
        <w:shd w:val="clear" w:color="auto" w:fill="FFFFFF"/>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西咸新区泾河新城第一中学</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地址：陕西省咸阳市泾阳县泾河大道东段4696号</w:t>
      </w:r>
      <w:r>
        <w:rPr>
          <w:rFonts w:hint="eastAsia" w:ascii="Helvetica" w:hAnsi="Helvetica" w:eastAsia="宋体" w:cs="Helvetica"/>
          <w:i w:val="0"/>
          <w:iCs w:val="0"/>
          <w:caps w:val="0"/>
          <w:color w:val="666666"/>
          <w:spacing w:val="0"/>
          <w:sz w:val="18"/>
          <w:szCs w:val="18"/>
          <w:highlight w:val="none"/>
          <w:shd w:val="clear" w:fill="F3F1EC"/>
          <w:lang w:val="en-US" w:eastAsia="zh-CN"/>
        </w:rPr>
        <w:t xml:space="preserve"> </w:t>
      </w:r>
    </w:p>
    <w:p>
      <w:pPr>
        <w:widowControl/>
        <w:shd w:val="clear" w:color="auto" w:fill="FFFFFF"/>
        <w:spacing w:line="520" w:lineRule="exact"/>
        <w:ind w:firstLine="480" w:firstLineChars="200"/>
        <w:textAlignment w:val="baseline"/>
        <w:rPr>
          <w:rFonts w:hint="eastAsia" w:hAnsi="宋体" w:cs="宋体"/>
          <w:color w:val="auto"/>
          <w:szCs w:val="24"/>
          <w:highlight w:val="none"/>
          <w:lang w:val="en-US" w:eastAsia="zh-CN"/>
        </w:rPr>
      </w:pPr>
      <w:r>
        <w:rPr>
          <w:rFonts w:hint="eastAsia" w:ascii="宋体" w:hAnsi="宋体" w:eastAsia="宋体" w:cs="宋体"/>
          <w:color w:val="auto"/>
          <w:szCs w:val="24"/>
          <w:highlight w:val="none"/>
        </w:rPr>
        <w:t>联系方式：</w:t>
      </w:r>
      <w:r>
        <w:rPr>
          <w:rFonts w:hint="eastAsia" w:hAnsi="宋体" w:cs="宋体"/>
          <w:color w:val="auto"/>
          <w:szCs w:val="24"/>
          <w:highlight w:val="none"/>
          <w:lang w:val="en-US" w:eastAsia="zh-CN"/>
        </w:rPr>
        <w:t>029-38956809</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hAnsi="宋体" w:cs="宋体"/>
          <w:color w:val="auto"/>
          <w:szCs w:val="24"/>
          <w:highlight w:val="none"/>
          <w:lang w:val="en-US" w:eastAsia="zh-CN"/>
        </w:rPr>
        <w:t>唐工</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hAnsi="宋体" w:cs="宋体"/>
          <w:color w:val="auto"/>
          <w:szCs w:val="24"/>
          <w:highlight w:val="none"/>
          <w:lang w:eastAsia="zh-CN"/>
        </w:rPr>
        <w:t>唐工</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p>
    <w:p>
      <w:pPr>
        <w:widowControl/>
        <w:shd w:val="clear" w:color="auto" w:fill="FFFFFF"/>
        <w:spacing w:line="360" w:lineRule="auto"/>
        <w:jc w:val="right"/>
        <w:textAlignment w:val="baseline"/>
        <w:rPr>
          <w:rFonts w:hint="eastAsia" w:ascii="宋体" w:hAnsi="宋体" w:eastAsia="宋体" w:cs="宋体"/>
          <w:color w:val="auto"/>
          <w:szCs w:val="24"/>
          <w:highlight w:val="none"/>
        </w:rPr>
      </w:pPr>
    </w:p>
    <w:p>
      <w:pPr>
        <w:widowControl/>
        <w:shd w:val="clear" w:color="auto" w:fill="FFFFFF"/>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pPr>
        <w:pStyle w:val="20"/>
        <w:spacing w:before="0" w:beforeAutospacing="0" w:after="0" w:afterAutospacing="0" w:line="440" w:lineRule="exact"/>
        <w:ind w:right="360" w:firstLine="420"/>
        <w:jc w:val="right"/>
        <w:rPr>
          <w:rFonts w:hint="eastAsia" w:ascii="宋体" w:hAnsi="宋体" w:eastAsia="宋体" w:cs="宋体"/>
          <w:color w:val="auto"/>
          <w:highlight w:val="yellow"/>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4</w:t>
      </w:r>
      <w:r>
        <w:rPr>
          <w:rFonts w:hint="eastAsia" w:ascii="宋体" w:hAnsi="宋体" w:eastAsia="宋体" w:cs="宋体"/>
          <w:color w:val="auto"/>
          <w:highlight w:val="none"/>
        </w:rPr>
        <w:t>年</w:t>
      </w:r>
      <w:r>
        <w:rPr>
          <w:rFonts w:hint="eastAsia" w:cs="宋体"/>
          <w:color w:val="auto"/>
          <w:highlight w:val="none"/>
          <w:lang w:val="en-US" w:eastAsia="zh-CN"/>
        </w:rPr>
        <w:t>06</w:t>
      </w:r>
      <w:r>
        <w:rPr>
          <w:rFonts w:hint="eastAsia" w:ascii="宋体" w:hAnsi="宋体" w:eastAsia="宋体" w:cs="宋体"/>
          <w:color w:val="auto"/>
          <w:highlight w:val="none"/>
        </w:rPr>
        <w:t>月</w:t>
      </w:r>
      <w:r>
        <w:rPr>
          <w:rFonts w:hint="eastAsia" w:cs="宋体"/>
          <w:color w:val="auto"/>
          <w:highlight w:val="none"/>
          <w:lang w:val="en-US" w:eastAsia="zh-CN"/>
        </w:rPr>
        <w:t>24</w:t>
      </w:r>
      <w:r>
        <w:rPr>
          <w:rFonts w:hint="eastAsia" w:ascii="宋体" w:hAnsi="宋体" w:eastAsia="宋体" w:cs="宋体"/>
          <w:color w:val="auto"/>
          <w:highlight w:val="none"/>
        </w:rPr>
        <w:t>日</w:t>
      </w:r>
    </w:p>
    <w:p>
      <w:pPr>
        <w:pStyle w:val="20"/>
        <w:spacing w:before="150" w:beforeAutospacing="0" w:after="0" w:afterAutospacing="0" w:line="460" w:lineRule="exact"/>
        <w:ind w:firstLine="482" w:firstLineChars="200"/>
        <w:jc w:val="both"/>
        <w:rPr>
          <w:rFonts w:hint="eastAsia" w:ascii="宋体" w:hAnsi="宋体" w:eastAsia="宋体" w:cs="宋体"/>
          <w:b/>
          <w:color w:val="auto"/>
          <w:highlight w:val="none"/>
        </w:rPr>
      </w:pPr>
    </w:p>
    <w:p>
      <w:pPr>
        <w:jc w:val="center"/>
        <w:outlineLvl w:val="0"/>
        <w:rPr>
          <w:rFonts w:hint="eastAsia" w:ascii="宋体" w:hAnsi="宋体" w:eastAsia="宋体" w:cs="宋体"/>
          <w:b/>
          <w:color w:val="auto"/>
          <w:kern w:val="2"/>
          <w:sz w:val="36"/>
          <w:szCs w:val="36"/>
          <w:highlight w:val="none"/>
        </w:rPr>
      </w:pPr>
      <w:bookmarkStart w:id="17" w:name="_Toc389582035"/>
      <w:bookmarkStart w:id="18" w:name="_Toc2929"/>
      <w:bookmarkStart w:id="19" w:name="_Toc21458"/>
      <w:bookmarkStart w:id="20" w:name="_Toc426457692"/>
      <w:bookmarkStart w:id="21" w:name="_Toc10788"/>
      <w:bookmarkStart w:id="22" w:name="_Toc30304"/>
      <w:bookmarkStart w:id="23" w:name="_Toc1178"/>
    </w:p>
    <w:p>
      <w:pPr>
        <w:jc w:val="both"/>
        <w:outlineLvl w:val="0"/>
        <w:rPr>
          <w:rFonts w:hint="eastAsia" w:ascii="宋体" w:hAnsi="宋体" w:eastAsia="宋体" w:cs="宋体"/>
          <w:b/>
          <w:color w:val="auto"/>
          <w:kern w:val="2"/>
          <w:sz w:val="36"/>
          <w:szCs w:val="36"/>
          <w:highlight w:val="none"/>
        </w:rPr>
      </w:pPr>
    </w:p>
    <w:p>
      <w:pP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pPr>
        <w:jc w:val="center"/>
        <w:outlineLvl w:val="0"/>
        <w:rPr>
          <w:rStyle w:val="44"/>
          <w:rFonts w:hint="eastAsia" w:ascii="宋体" w:hAnsi="宋体" w:eastAsia="宋体" w:cs="宋体"/>
          <w:color w:val="auto"/>
          <w:sz w:val="36"/>
          <w:szCs w:val="36"/>
          <w:highlight w:val="none"/>
        </w:rPr>
      </w:pPr>
      <w:r>
        <w:rPr>
          <w:rFonts w:hint="eastAsia" w:ascii="宋体" w:hAnsi="宋体" w:eastAsia="宋体" w:cs="宋体"/>
          <w:b/>
          <w:color w:val="auto"/>
          <w:kern w:val="2"/>
          <w:sz w:val="36"/>
          <w:szCs w:val="36"/>
          <w:highlight w:val="none"/>
        </w:rPr>
        <w:t xml:space="preserve">第二章  </w:t>
      </w:r>
      <w:bookmarkEnd w:id="17"/>
      <w:bookmarkEnd w:id="18"/>
      <w:r>
        <w:rPr>
          <w:rFonts w:hint="eastAsia" w:ascii="宋体" w:hAnsi="宋体" w:eastAsia="宋体" w:cs="宋体"/>
          <w:b/>
          <w:color w:val="auto"/>
          <w:kern w:val="2"/>
          <w:sz w:val="36"/>
          <w:szCs w:val="36"/>
          <w:highlight w:val="none"/>
        </w:rPr>
        <w:t>供应商须知</w:t>
      </w:r>
      <w:bookmarkEnd w:id="19"/>
      <w:bookmarkEnd w:id="20"/>
      <w:bookmarkEnd w:id="21"/>
    </w:p>
    <w:bookmarkEnd w:id="22"/>
    <w:bookmarkEnd w:id="23"/>
    <w:p>
      <w:pPr>
        <w:pStyle w:val="4"/>
        <w:spacing w:before="120" w:after="120"/>
        <w:ind w:left="0"/>
        <w:jc w:val="center"/>
        <w:rPr>
          <w:rFonts w:hint="eastAsia" w:ascii="宋体" w:hAnsi="宋体" w:eastAsia="宋体" w:cs="宋体"/>
          <w:b/>
          <w:bCs w:val="0"/>
          <w:color w:val="auto"/>
          <w:sz w:val="32"/>
          <w:highlight w:val="none"/>
        </w:rPr>
      </w:pPr>
      <w:bookmarkStart w:id="24" w:name="_Toc13232"/>
      <w:bookmarkStart w:id="25" w:name="_Toc426457693"/>
      <w:bookmarkStart w:id="26" w:name="_Toc23108"/>
      <w:bookmarkStart w:id="27" w:name="_Toc30222"/>
      <w:bookmarkStart w:id="28" w:name="_Toc11975"/>
      <w:r>
        <w:rPr>
          <w:rFonts w:hint="eastAsia" w:ascii="宋体" w:hAnsi="宋体" w:eastAsia="宋体" w:cs="宋体"/>
          <w:b/>
          <w:bCs w:val="0"/>
          <w:color w:val="auto"/>
          <w:sz w:val="32"/>
          <w:highlight w:val="none"/>
        </w:rPr>
        <w:t>供应商须知前附表</w:t>
      </w:r>
      <w:bookmarkEnd w:id="24"/>
      <w:bookmarkEnd w:id="25"/>
      <w:bookmarkEnd w:id="26"/>
      <w:bookmarkEnd w:id="27"/>
      <w:bookmarkEnd w:id="28"/>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0"/>
        <w:gridCol w:w="1536"/>
        <w:gridCol w:w="6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28" w:type="pct"/>
            <w:vAlign w:val="center"/>
          </w:tcPr>
          <w:p>
            <w:pPr>
              <w:spacing w:before="163"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39" w:type="pct"/>
            <w:vAlign w:val="center"/>
          </w:tcPr>
          <w:p>
            <w:pPr>
              <w:spacing w:before="163"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条款内容提示</w:t>
            </w:r>
          </w:p>
        </w:tc>
        <w:tc>
          <w:tcPr>
            <w:tcW w:w="3632" w:type="pct"/>
            <w:vAlign w:val="center"/>
          </w:tcPr>
          <w:p>
            <w:pPr>
              <w:spacing w:before="163"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3632" w:type="pct"/>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hAnsi="宋体" w:cs="宋体"/>
                <w:color w:val="auto"/>
                <w:sz w:val="24"/>
                <w:szCs w:val="24"/>
                <w:highlight w:val="none"/>
                <w:lang w:eastAsia="zh-CN"/>
              </w:rPr>
              <w:t>西咸新区泾河新城第一中学</w:t>
            </w:r>
          </w:p>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地址：陕西省咸阳市泾阳县泾河大道东段4696号</w:t>
            </w:r>
          </w:p>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val="en-US" w:eastAsia="zh-CN"/>
              </w:rPr>
              <w:t>刘</w:t>
            </w:r>
            <w:r>
              <w:rPr>
                <w:rFonts w:hint="eastAsia" w:hAnsi="宋体" w:cs="宋体"/>
                <w:color w:val="auto"/>
                <w:sz w:val="24"/>
                <w:szCs w:val="24"/>
                <w:highlight w:val="none"/>
                <w:lang w:eastAsia="zh-CN"/>
              </w:rPr>
              <w:t>老师</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hAnsi="宋体" w:cs="宋体"/>
                <w:color w:val="auto"/>
                <w:sz w:val="24"/>
                <w:szCs w:val="24"/>
                <w:highlight w:val="none"/>
                <w:lang w:val="en-US" w:eastAsia="zh-CN"/>
              </w:rPr>
              <w:t>029-</w:t>
            </w:r>
            <w:r>
              <w:rPr>
                <w:rFonts w:hint="eastAsia" w:ascii="宋体" w:hAnsi="宋体" w:eastAsia="宋体" w:cs="宋体"/>
                <w:color w:val="auto"/>
                <w:sz w:val="24"/>
                <w:szCs w:val="24"/>
                <w:highlight w:val="none"/>
                <w:lang w:val="en-US" w:eastAsia="zh-CN"/>
              </w:rPr>
              <w:t xml:space="preserve">38956809 </w:t>
            </w:r>
            <w:r>
              <w:rPr>
                <w:rFonts w:hint="eastAsia" w:hAnsi="宋体" w:cs="宋体"/>
                <w:color w:val="auto"/>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3632" w:type="pct"/>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陕西天沃工程项目管理有限公司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地址：西安市经济开发区凤城十一路与文景路十字西北角文景广场C座1202室</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eastAsia="zh-CN"/>
              </w:rPr>
              <w:t>唐工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联系方式：029-68539602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3632" w:type="pct"/>
            <w:vAlign w:val="center"/>
          </w:tcPr>
          <w:p>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采购代理机构答疑的时间</w:t>
            </w:r>
          </w:p>
        </w:tc>
        <w:tc>
          <w:tcPr>
            <w:tcW w:w="363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对于供应商在规定时间内依法提出的询问和质疑，采购代理机构将在三个工作日内答复询问，七个工作日内答复质疑。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是否允许备选方案</w:t>
            </w:r>
          </w:p>
        </w:tc>
        <w:tc>
          <w:tcPr>
            <w:tcW w:w="363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val="zh-CN"/>
              </w:rPr>
              <w:t>本项目不接受备选投标方案，投标文件的报价只允许有一个报价，不接受有任何选择或具有附加条件的报价，否则，在评标时将其视为无效投标。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本次投标的最小单元</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本次投标的最小单元为“项目全部内容”。任何不完全的投标将按照无效投标处理。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本次投标的最小单元为“标段”，</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可对任一标段进行投标，但不能对各标段中的内容或者分项内容进行不完全投标。任何不完全的投标将按照无效投标处理。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bookmarkStart w:id="29" w:name="OLE_LINK11"/>
            <w:r>
              <w:rPr>
                <w:rFonts w:hint="eastAsia" w:ascii="宋体" w:hAnsi="宋体" w:eastAsia="宋体" w:cs="宋体"/>
                <w:color w:val="auto"/>
                <w:sz w:val="24"/>
                <w:szCs w:val="24"/>
                <w:highlight w:val="none"/>
              </w:rPr>
              <w:t>供应商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pPr>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39" w:type="pct"/>
            <w:vAlign w:val="center"/>
          </w:tcPr>
          <w:p>
            <w:pPr>
              <w:spacing w:line="360" w:lineRule="auto"/>
              <w:jc w:val="center"/>
              <w:rPr>
                <w:rFonts w:hint="eastAsia" w:ascii="宋体" w:hAnsi="宋体" w:eastAsia="宋体" w:cs="宋体"/>
                <w:b/>
                <w:bCs/>
                <w:color w:val="auto"/>
                <w:sz w:val="24"/>
                <w:szCs w:val="24"/>
                <w:highlight w:val="none"/>
              </w:rPr>
            </w:pP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资格证明文件</w:t>
            </w:r>
          </w:p>
        </w:tc>
        <w:tc>
          <w:tcPr>
            <w:tcW w:w="3632" w:type="pct"/>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基本资格要求：</w:t>
            </w:r>
            <w:r>
              <w:rPr>
                <w:rFonts w:hint="eastAsia" w:ascii="宋体" w:hAnsi="宋体" w:eastAsia="宋体" w:cs="宋体"/>
                <w:b w:val="0"/>
                <w:bCs w:val="0"/>
                <w:sz w:val="24"/>
                <w:szCs w:val="24"/>
                <w:highlight w:val="none"/>
              </w:rPr>
              <w:t>满足《中华人民共和国政府釆购法》第二十二条规定</w:t>
            </w:r>
            <w:r>
              <w:rPr>
                <w:rFonts w:hint="eastAsia" w:ascii="宋体" w:hAnsi="宋体" w:eastAsia="宋体" w:cs="宋体"/>
                <w:b w:val="0"/>
                <w:bCs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提供《基本资格条件承诺函》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本项目的特定资格要求：</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（1）供应商为合法注册的法人或其他组织或自然人，提供营业执照（或事业法人证）；自然人提供身份证明；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（2）法定代表人授权书及被授权人身份证（法定代表人直接参与，须提供法定代表人身份证明）；</w:t>
            </w:r>
          </w:p>
          <w:p>
            <w:pPr>
              <w:pageBreakBefore w:val="0"/>
              <w:widowControl/>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sz w:val="24"/>
                <w:szCs w:val="24"/>
                <w:highlight w:val="none"/>
                <w:lang w:val="en-US" w:eastAsia="zh-CN"/>
              </w:rPr>
              <w:t>（代理机构在投标截止时间后查询）</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（4）单位负责人为同一人或者存在控股、管理关系的不同单位不得同时投标（</w:t>
            </w:r>
            <w:r>
              <w:rPr>
                <w:rFonts w:hint="eastAsia" w:ascii="宋体" w:hAnsi="宋体" w:eastAsia="宋体" w:cs="宋体"/>
                <w:sz w:val="24"/>
                <w:szCs w:val="24"/>
                <w:highlight w:val="none"/>
                <w:lang w:val="en-US" w:eastAsia="zh-CN"/>
              </w:rPr>
              <w:t>提供</w:t>
            </w:r>
            <w:r>
              <w:rPr>
                <w:rFonts w:hint="eastAsia" w:ascii="宋体" w:hAnsi="宋体" w:eastAsia="宋体" w:cs="宋体"/>
                <w:color w:val="auto"/>
                <w:sz w:val="24"/>
                <w:szCs w:val="24"/>
                <w:highlight w:val="none"/>
              </w:rPr>
              <w:t>供应商企业关系关联承诺书</w:t>
            </w:r>
            <w:r>
              <w:rPr>
                <w:rFonts w:hint="eastAsia" w:ascii="宋体" w:hAnsi="宋体" w:eastAsia="宋体" w:cs="宋体"/>
                <w:color w:val="auto"/>
                <w:kern w:val="2"/>
                <w:sz w:val="24"/>
                <w:szCs w:val="24"/>
                <w:highlight w:val="none"/>
                <w:lang w:val="en-US" w:eastAsia="zh-CN" w:bidi="ar-SA"/>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（5）不接受联合体投标（提供非联合体承诺书）。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839" w:type="pct"/>
            <w:vAlign w:val="center"/>
          </w:tcPr>
          <w:p>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632" w:type="pct"/>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自投标文件递交截止之日起90天。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文件和证明资料签字盖章和加密要求</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签字盖章要求：电子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文件应按要求在相应位置加盖电子印章。由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的法定代表人签字并加盖电子印章的，应附法定代表人身份证明，由代理人签字并加盖电子印章的，应附由法定代表人签署的授权委托书。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加密要求：</w:t>
            </w:r>
            <w:r>
              <w:rPr>
                <w:rFonts w:hint="eastAsia" w:ascii="宋体" w:hAnsi="宋体" w:eastAsia="宋体" w:cs="宋体"/>
                <w:color w:val="auto"/>
                <w:sz w:val="24"/>
                <w:szCs w:val="24"/>
                <w:highlight w:val="none"/>
                <w:u w:val="single"/>
              </w:rPr>
              <w:t>电子</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文件应使用数字证书认证并加密</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w:t>
            </w:r>
          </w:p>
        </w:tc>
        <w:tc>
          <w:tcPr>
            <w:tcW w:w="839" w:type="pct"/>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投标文件</w:t>
            </w:r>
            <w:r>
              <w:rPr>
                <w:rFonts w:hint="eastAsia" w:ascii="宋体" w:hAnsi="宋体" w:eastAsia="宋体" w:cs="宋体"/>
                <w:sz w:val="24"/>
                <w:szCs w:val="24"/>
                <w:highlight w:val="none"/>
              </w:rPr>
              <w:t>份数</w:t>
            </w:r>
            <w:r>
              <w:rPr>
                <w:rFonts w:hint="eastAsia" w:ascii="宋体" w:hAnsi="宋体" w:eastAsia="宋体" w:cs="宋体"/>
                <w:sz w:val="24"/>
                <w:szCs w:val="24"/>
                <w:highlight w:val="none"/>
                <w:lang w:val="en-US" w:eastAsia="zh-CN"/>
              </w:rPr>
              <w:t>及纸质版装订要求</w:t>
            </w:r>
          </w:p>
        </w:tc>
        <w:tc>
          <w:tcPr>
            <w:tcW w:w="3632" w:type="pct"/>
          </w:tcPr>
          <w:p>
            <w:pPr>
              <w:pStyle w:val="10"/>
              <w:keepNext w:val="0"/>
              <w:keepLines w:val="0"/>
              <w:pageBreakBefore w:val="0"/>
              <w:kinsoku/>
              <w:wordWrap/>
              <w:overflowPunct/>
              <w:topLinePunct/>
              <w:autoSpaceDE/>
              <w:autoSpaceDN/>
              <w:bidi w:val="0"/>
              <w:adjustRightInd/>
              <w:spacing w:line="312"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1、纸质版</w:t>
            </w:r>
            <w:r>
              <w:rPr>
                <w:rFonts w:hint="eastAsia" w:ascii="宋体" w:hAnsi="宋体" w:eastAsia="宋体" w:cs="宋体"/>
                <w:b w:val="0"/>
                <w:bCs w:val="0"/>
                <w:sz w:val="24"/>
                <w:szCs w:val="24"/>
                <w:highlight w:val="none"/>
                <w:u w:val="single"/>
                <w:lang w:val="en-US" w:eastAsia="zh-CN"/>
              </w:rPr>
              <w:t xml:space="preserve"> 叁 </w:t>
            </w:r>
            <w:r>
              <w:rPr>
                <w:rFonts w:hint="eastAsia" w:ascii="宋体" w:hAnsi="宋体" w:eastAsia="宋体" w:cs="宋体"/>
                <w:b w:val="0"/>
                <w:bCs w:val="0"/>
                <w:sz w:val="24"/>
                <w:szCs w:val="24"/>
                <w:highlight w:val="none"/>
                <w:lang w:val="en-US" w:eastAsia="zh-CN"/>
              </w:rPr>
              <w:t>份（正本一份，副本两份），电子版（U盘）：</w:t>
            </w:r>
            <w:r>
              <w:rPr>
                <w:rFonts w:hint="eastAsia" w:ascii="宋体" w:hAnsi="宋体" w:eastAsia="宋体" w:cs="宋体"/>
                <w:b w:val="0"/>
                <w:bCs w:val="0"/>
                <w:sz w:val="24"/>
                <w:szCs w:val="24"/>
                <w:highlight w:val="none"/>
                <w:u w:val="single"/>
                <w:lang w:val="en-US" w:eastAsia="zh-CN"/>
              </w:rPr>
              <w:t xml:space="preserve"> 贰 </w:t>
            </w:r>
            <w:r>
              <w:rPr>
                <w:rFonts w:hint="eastAsia" w:ascii="宋体" w:hAnsi="宋体" w:eastAsia="宋体" w:cs="宋体"/>
                <w:b w:val="0"/>
                <w:bCs w:val="0"/>
                <w:sz w:val="24"/>
                <w:szCs w:val="24"/>
                <w:highlight w:val="none"/>
                <w:lang w:val="en-US" w:eastAsia="zh-CN"/>
              </w:rPr>
              <w:t>份，电子版文件须为使用编标工具软件编制并导出的签章版PDF，PDF文件中盖章的封面应彩色扫描。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每册均应采用A4版面，胶装方式，装订应牢固、不易拆散和换页，不得采用活页装订</w:t>
            </w:r>
            <w:r>
              <w:rPr>
                <w:rFonts w:hint="eastAsia" w:ascii="宋体" w:hAnsi="宋体" w:eastAsia="宋体" w:cs="宋体"/>
                <w:sz w:val="24"/>
                <w:szCs w:val="24"/>
                <w:highlight w:val="none"/>
                <w:lang w:eastAsia="zh-CN"/>
              </w:rPr>
              <w:t>。U盘应粘贴标签标注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名称和项目名称。</w:t>
            </w:r>
            <w:r>
              <w:rPr>
                <w:rFonts w:hint="eastAsia" w:ascii="宋体" w:hAnsi="宋体" w:eastAsia="宋体" w:cs="宋体"/>
                <w:b/>
                <w:bCs/>
                <w:sz w:val="24"/>
                <w:szCs w:val="24"/>
                <w:highlight w:val="none"/>
                <w:lang w:val="en-US" w:eastAsia="zh-CN"/>
              </w:rPr>
              <w:t>（中标结果公示期结束</w:t>
            </w:r>
            <w:r>
              <w:rPr>
                <w:rFonts w:hint="eastAsia" w:ascii="宋体" w:hAnsi="宋体" w:eastAsia="宋体" w:cs="宋体"/>
                <w:b/>
                <w:bCs/>
                <w:sz w:val="24"/>
                <w:szCs w:val="24"/>
                <w:highlight w:val="none"/>
              </w:rPr>
              <w:t>后，</w:t>
            </w:r>
            <w:r>
              <w:rPr>
                <w:rFonts w:hint="eastAsia" w:ascii="宋体" w:hAnsi="宋体" w:eastAsia="宋体" w:cs="宋体"/>
                <w:b/>
                <w:bCs/>
                <w:sz w:val="24"/>
                <w:szCs w:val="24"/>
                <w:highlight w:val="none"/>
                <w:lang w:val="en-US" w:eastAsia="zh-CN"/>
              </w:rPr>
              <w:t>中标单位</w:t>
            </w:r>
            <w:r>
              <w:rPr>
                <w:rFonts w:hint="eastAsia" w:ascii="宋体" w:hAnsi="宋体" w:eastAsia="宋体" w:cs="宋体"/>
                <w:b/>
                <w:bCs/>
                <w:sz w:val="24"/>
                <w:szCs w:val="24"/>
                <w:highlight w:val="none"/>
              </w:rPr>
              <w:t>无偿向</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人</w:t>
            </w:r>
            <w:r>
              <w:rPr>
                <w:rFonts w:hint="eastAsia" w:ascii="宋体" w:hAnsi="宋体" w:eastAsia="宋体" w:cs="宋体"/>
                <w:b/>
                <w:bCs/>
                <w:sz w:val="24"/>
                <w:szCs w:val="24"/>
                <w:highlight w:val="none"/>
                <w:lang w:val="en-US" w:eastAsia="zh-CN"/>
              </w:rPr>
              <w:t>及采购代理机构</w:t>
            </w:r>
            <w:r>
              <w:rPr>
                <w:rFonts w:hint="eastAsia" w:ascii="宋体" w:hAnsi="宋体" w:eastAsia="宋体" w:cs="宋体"/>
                <w:b/>
                <w:bCs/>
                <w:sz w:val="24"/>
                <w:szCs w:val="24"/>
                <w:highlight w:val="none"/>
              </w:rPr>
              <w:t>提供</w:t>
            </w:r>
            <w:r>
              <w:rPr>
                <w:rFonts w:hint="eastAsia" w:ascii="宋体" w:hAnsi="宋体" w:eastAsia="宋体" w:cs="宋体"/>
                <w:b/>
                <w:bCs/>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投标文件递交截止时间</w:t>
            </w:r>
            <w:bookmarkStart w:id="30" w:name="OLE_LINK12"/>
            <w:r>
              <w:rPr>
                <w:rFonts w:hint="eastAsia" w:ascii="宋体" w:hAnsi="宋体" w:eastAsia="宋体" w:cs="宋体"/>
                <w:color w:val="auto"/>
                <w:sz w:val="24"/>
                <w:szCs w:val="24"/>
                <w:highlight w:val="none"/>
              </w:rPr>
              <w:t>：</w:t>
            </w:r>
            <w:bookmarkEnd w:id="30"/>
            <w:r>
              <w:rPr>
                <w:rFonts w:hint="eastAsia" w:ascii="宋体" w:hAnsi="宋体" w:eastAsia="宋体" w:cs="宋体"/>
                <w:color w:val="auto"/>
                <w:sz w:val="24"/>
                <w:szCs w:val="24"/>
                <w:highlight w:val="none"/>
              </w:rPr>
              <w:t>详见招标公告。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投标文件递交地址：详见招标公告。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投标文件接收人：</w:t>
            </w:r>
            <w:r>
              <w:rPr>
                <w:rFonts w:hint="eastAsia" w:ascii="宋体" w:hAnsi="宋体" w:eastAsia="宋体" w:cs="宋体"/>
                <w:color w:val="auto"/>
                <w:sz w:val="24"/>
                <w:szCs w:val="24"/>
                <w:highlight w:val="none"/>
                <w:lang w:eastAsia="zh-CN"/>
              </w:rPr>
              <w:t>陕西天沃工程项目管理有限公司</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c>
          <w:tcPr>
            <w:tcW w:w="3632"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开标时间：详见招标公告。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3632" w:type="pct"/>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综合评分法（详见第五章评标方法）。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3632" w:type="pct"/>
            <w:vAlign w:val="center"/>
          </w:tcPr>
          <w:p>
            <w:pPr>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金额为基础，参照国家计委颁发的《招标代理服务收费管理暂行办法》（计价格[2002]1980号）和国家发展改革委员会办公厅颁发的《关于招标代理服务收费有关问题的通知》（发改办价格[2003]857号）的有关规定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w:t>
            </w:r>
          </w:p>
        </w:tc>
        <w:tc>
          <w:tcPr>
            <w:tcW w:w="363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是否委托采购代理机构组织履约验收：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sym w:font="Wingdings" w:char="00A8"/>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验收费用由</w:t>
            </w:r>
            <w:r>
              <w:rPr>
                <w:rFonts w:hint="eastAsia" w:ascii="宋体" w:hAnsi="宋体" w:eastAsia="宋体" w:cs="宋体"/>
                <w:color w:val="auto"/>
                <w:sz w:val="24"/>
                <w:szCs w:val="24"/>
                <w:highlight w:val="none"/>
                <w:u w:val="single"/>
              </w:rPr>
              <w:t>采购人/中标人</w:t>
            </w:r>
            <w:r>
              <w:rPr>
                <w:rFonts w:hint="eastAsia" w:ascii="宋体" w:hAnsi="宋体" w:eastAsia="宋体" w:cs="宋体"/>
                <w:color w:val="auto"/>
                <w:sz w:val="24"/>
                <w:szCs w:val="24"/>
                <w:highlight w:val="none"/>
              </w:rPr>
              <w:t>支付，费用标准按中标金额的5‰计算。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sym w:font="Wingdings" w:char="00FE"/>
            </w:r>
            <w:r>
              <w:rPr>
                <w:rFonts w:hint="eastAsia" w:ascii="宋体" w:hAnsi="宋体" w:eastAsia="宋体" w:cs="宋体"/>
                <w:color w:val="auto"/>
                <w:sz w:val="24"/>
                <w:szCs w:val="24"/>
                <w:highlight w:val="none"/>
                <w:u w:val="single"/>
              </w:rPr>
              <w:t>否</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招标代理服务费账户</w:t>
            </w:r>
          </w:p>
        </w:tc>
        <w:tc>
          <w:tcPr>
            <w:tcW w:w="3632" w:type="pct"/>
            <w:vAlign w:val="center"/>
          </w:tcPr>
          <w:p>
            <w:pPr>
              <w:pStyle w:val="11"/>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开户名称：陕西天沃工程项目管理有限公司</w:t>
            </w:r>
          </w:p>
          <w:p>
            <w:pPr>
              <w:pStyle w:val="11"/>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开户银行：中国建设银行股份有限公司西安凤城十二路支行</w:t>
            </w:r>
          </w:p>
          <w:p>
            <w:pPr>
              <w:pStyle w:val="11"/>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账号：6105 0177 0045 0000 0371</w:t>
            </w:r>
          </w:p>
          <w:p>
            <w:pPr>
              <w:pStyle w:val="11"/>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请中标人按照要求将招标代理服务费转入以上指定账户，如因自身原因发生错误，产生的不利后果均由供应商自行承担。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3632" w:type="pct"/>
            <w:vAlign w:val="center"/>
          </w:tcPr>
          <w:p>
            <w:pPr>
              <w:pStyle w:val="14"/>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不要求提供</w:t>
            </w:r>
          </w:p>
          <w:p>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要求提供，本采购项目履约保证金为合同金额的10%，提交方式为：</w:t>
            </w:r>
            <w:r>
              <w:rPr>
                <w:rFonts w:hint="eastAsia" w:ascii="宋体" w:hAnsi="宋体" w:eastAsia="宋体" w:cs="宋体"/>
                <w:color w:val="auto"/>
                <w:sz w:val="24"/>
                <w:szCs w:val="24"/>
                <w:highlight w:val="none"/>
              </w:rPr>
              <w:t>转账、电汇、担保机构保函。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3632" w:type="pct"/>
            <w:vAlign w:val="center"/>
          </w:tcPr>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不踏勘</w:t>
            </w:r>
          </w:p>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自行踏勘</w:t>
            </w:r>
          </w:p>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组织踏勘</w:t>
            </w:r>
          </w:p>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踏勘时间：</w:t>
            </w:r>
          </w:p>
          <w:p>
            <w:pPr>
              <w:pStyle w:val="11"/>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踏勘地点：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w:t>
            </w:r>
          </w:p>
        </w:tc>
        <w:tc>
          <w:tcPr>
            <w:tcW w:w="839" w:type="pct"/>
            <w:vAlign w:val="center"/>
          </w:tcPr>
          <w:p>
            <w:pPr>
              <w:pStyle w:val="11"/>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0"/>
                <w:sz w:val="24"/>
                <w:szCs w:val="24"/>
              </w:rPr>
              <w:t>进口产品</w:t>
            </w:r>
          </w:p>
        </w:tc>
        <w:tc>
          <w:tcPr>
            <w:tcW w:w="3632" w:type="pct"/>
            <w:vAlign w:val="center"/>
          </w:tcPr>
          <w:p>
            <w:pPr>
              <w:pStyle w:val="11"/>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本采购项目拒绝进口产品参加投标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p>
        </w:tc>
        <w:tc>
          <w:tcPr>
            <w:tcW w:w="839" w:type="pct"/>
            <w:vAlign w:val="center"/>
          </w:tcPr>
          <w:p>
            <w:pPr>
              <w:pStyle w:val="11"/>
              <w:spacing w:after="0"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核心产品</w:t>
            </w:r>
          </w:p>
        </w:tc>
        <w:tc>
          <w:tcPr>
            <w:tcW w:w="3632" w:type="pct"/>
            <w:vAlign w:val="center"/>
          </w:tcPr>
          <w:p>
            <w:pPr>
              <w:pStyle w:val="11"/>
              <w:spacing w:after="0" w:line="360" w:lineRule="auto"/>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 智慧黑板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一致性</w:t>
            </w:r>
          </w:p>
        </w:tc>
        <w:tc>
          <w:tcPr>
            <w:tcW w:w="3632" w:type="pct"/>
            <w:vAlign w:val="center"/>
          </w:tcPr>
          <w:p>
            <w:pPr>
              <w:spacing w:line="360" w:lineRule="auto"/>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须知前附表和须知不一致的地方，以前附表为准。</w:t>
            </w:r>
          </w:p>
        </w:tc>
      </w:tr>
      <w:bookmarkEnd w:id="9"/>
      <w:bookmarkEnd w:id="10"/>
      <w:bookmarkEnd w:id="1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28" w:type="pct"/>
            <w:vAlign w:val="center"/>
          </w:tcPr>
          <w:p>
            <w:pPr>
              <w:spacing w:line="360" w:lineRule="auto"/>
              <w:jc w:val="center"/>
              <w:rPr>
                <w:rFonts w:hint="eastAsia" w:ascii="宋体" w:hAnsi="宋体" w:eastAsia="宋体" w:cs="宋体"/>
                <w:color w:val="auto"/>
                <w:sz w:val="24"/>
                <w:szCs w:val="24"/>
                <w:highlight w:val="none"/>
              </w:rPr>
            </w:pPr>
            <w:bookmarkStart w:id="31" w:name="_Toc403077639"/>
            <w:bookmarkStart w:id="32" w:name="_Toc363474017"/>
            <w:bookmarkStart w:id="33" w:name="_Toc363473972"/>
            <w:r>
              <w:rPr>
                <w:rFonts w:hint="eastAsia" w:ascii="宋体" w:hAnsi="宋体" w:eastAsia="宋体" w:cs="宋体"/>
                <w:color w:val="auto"/>
                <w:sz w:val="24"/>
                <w:szCs w:val="24"/>
                <w:highlight w:val="none"/>
              </w:rPr>
              <w:t>/</w:t>
            </w:r>
          </w:p>
        </w:tc>
        <w:tc>
          <w:tcPr>
            <w:tcW w:w="83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632" w:type="pct"/>
            <w:vAlign w:val="center"/>
          </w:tcPr>
          <w:p>
            <w:pPr>
              <w:numPr>
                <w:ilvl w:val="0"/>
                <w:numId w:val="2"/>
              </w:num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非</w:t>
            </w:r>
            <w:r>
              <w:rPr>
                <w:rFonts w:hint="eastAsia" w:ascii="宋体" w:hAnsi="宋体" w:eastAsia="宋体" w:cs="宋体"/>
                <w:color w:val="auto"/>
                <w:sz w:val="24"/>
                <w:szCs w:val="24"/>
                <w:highlight w:val="none"/>
              </w:rPr>
              <w:t>专门面向中小企业采购。</w:t>
            </w:r>
          </w:p>
          <w:p>
            <w:pPr>
              <w:numPr>
                <w:ilvl w:val="0"/>
                <w:numId w:val="2"/>
              </w:num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本项目属性为</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3、本项目采购标的所属行业为：</w:t>
            </w:r>
            <w:r>
              <w:rPr>
                <w:rFonts w:hint="eastAsia" w:ascii="宋体" w:hAnsi="宋体" w:eastAsia="宋体" w:cs="宋体"/>
                <w:color w:val="auto"/>
                <w:sz w:val="24"/>
                <w:szCs w:val="24"/>
                <w:highlight w:val="none"/>
                <w:u w:val="single"/>
                <w:lang w:eastAsia="zh-CN"/>
              </w:rPr>
              <w:t>工业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电子招标投标操作说明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pPr>
              <w:keepNext w:val="0"/>
              <w:keepLines w:val="0"/>
              <w:pageBreakBefore w:val="0"/>
              <w:widowControl w:val="0"/>
              <w:kinsoku/>
              <w:wordWrap/>
              <w:overflowPunct/>
              <w:autoSpaceDE/>
              <w:autoSpaceDN/>
              <w:bidi w:val="0"/>
              <w:adjustRightInd/>
              <w:snapToGrid/>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注：</w:t>
            </w:r>
            <w:r>
              <w:rPr>
                <w:rFonts w:hint="eastAsia" w:ascii="宋体" w:hAnsi="宋体" w:eastAsia="宋体" w:cs="宋体"/>
                <w:sz w:val="24"/>
                <w:szCs w:val="24"/>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文件在截止时间前签章加密上传至全国公共资源交易平台（陕西省西咸新区）。关于使用不见面开标方式的相关事项详见“http://xxxq.sxggzyjy.cn/xwzx/002002/20210721/d7421699-e891-4f40-b441-dccc415e05b3.html”内容。</w:t>
            </w:r>
          </w:p>
          <w:p>
            <w:pPr>
              <w:keepNext w:val="0"/>
              <w:keepLines w:val="0"/>
              <w:pageBreakBefore w:val="0"/>
              <w:widowControl w:val="0"/>
              <w:kinsoku/>
              <w:wordWrap/>
              <w:overflowPunct/>
              <w:autoSpaceDE/>
              <w:autoSpaceDN/>
              <w:bidi w:val="0"/>
              <w:adjustRightInd/>
              <w:snapToGrid/>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（1）本项目采用电子化投标的方式。</w:t>
            </w:r>
            <w:r>
              <w:rPr>
                <w:rFonts w:hint="eastAsia" w:ascii="宋体" w:hAnsi="宋体" w:eastAsia="宋体" w:cs="宋体"/>
                <w:sz w:val="24"/>
                <w:szCs w:val="24"/>
                <w:lang w:eastAsia="zh-CN"/>
              </w:rPr>
              <w:t>供应商</w:t>
            </w:r>
            <w:r>
              <w:rPr>
                <w:rFonts w:hint="eastAsia" w:ascii="宋体" w:hAnsi="宋体" w:eastAsia="宋体" w:cs="宋体"/>
                <w:sz w:val="24"/>
                <w:szCs w:val="24"/>
              </w:rPr>
              <w:t>须使用数字认证证书对电子化</w:t>
            </w:r>
            <w:r>
              <w:rPr>
                <w:rFonts w:hint="eastAsia" w:ascii="宋体" w:hAnsi="宋体" w:eastAsia="宋体" w:cs="宋体"/>
                <w:sz w:val="24"/>
                <w:szCs w:val="24"/>
                <w:lang w:eastAsia="zh-CN"/>
              </w:rPr>
              <w:t>投标文件</w:t>
            </w:r>
            <w:r>
              <w:rPr>
                <w:rFonts w:hint="eastAsia" w:ascii="宋体" w:hAnsi="宋体" w:eastAsia="宋体" w:cs="宋体"/>
                <w:sz w:val="24"/>
                <w:szCs w:val="24"/>
              </w:rPr>
              <w:t>进行签章、加密、递交及开标时解密等相关招投标事宜。如因</w:t>
            </w:r>
            <w:r>
              <w:rPr>
                <w:rFonts w:hint="eastAsia" w:ascii="宋体" w:hAnsi="宋体" w:eastAsia="宋体" w:cs="宋体"/>
                <w:sz w:val="24"/>
                <w:szCs w:val="24"/>
                <w:lang w:eastAsia="zh-CN"/>
              </w:rPr>
              <w:t>供应商</w:t>
            </w:r>
            <w:r>
              <w:rPr>
                <w:rFonts w:hint="eastAsia" w:ascii="宋体" w:hAnsi="宋体" w:eastAsia="宋体" w:cs="宋体"/>
                <w:sz w:val="24"/>
                <w:szCs w:val="24"/>
              </w:rPr>
              <w:t>自身原因造成未能解密、解密失败或解密超时，按无效投标对待。（注：</w:t>
            </w:r>
            <w:r>
              <w:rPr>
                <w:rFonts w:hint="eastAsia" w:ascii="宋体" w:hAnsi="宋体" w:eastAsia="宋体" w:cs="宋体"/>
                <w:sz w:val="24"/>
                <w:szCs w:val="24"/>
                <w:lang w:eastAsia="zh-CN"/>
              </w:rPr>
              <w:t>供应商</w:t>
            </w:r>
            <w:r>
              <w:rPr>
                <w:rFonts w:hint="eastAsia" w:ascii="宋体" w:hAnsi="宋体" w:eastAsia="宋体" w:cs="宋体"/>
                <w:sz w:val="24"/>
                <w:szCs w:val="24"/>
              </w:rPr>
              <w:t>应在投标截止时间前1个小时内进行电子签到，否则无法参与不见面开标工作。具体操作详见操作手册）</w:t>
            </w:r>
          </w:p>
          <w:p>
            <w:pPr>
              <w:keepNext w:val="0"/>
              <w:keepLines w:val="0"/>
              <w:pageBreakBefore w:val="0"/>
              <w:widowControl w:val="0"/>
              <w:kinsoku/>
              <w:wordWrap/>
              <w:overflowPunct/>
              <w:autoSpaceDE/>
              <w:autoSpaceDN/>
              <w:bidi w:val="0"/>
              <w:adjustRightInd/>
              <w:snapToGrid/>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（2）制作电子</w:t>
            </w:r>
            <w:r>
              <w:rPr>
                <w:rFonts w:hint="eastAsia" w:ascii="宋体" w:hAnsi="宋体" w:eastAsia="宋体" w:cs="宋体"/>
                <w:sz w:val="24"/>
                <w:szCs w:val="24"/>
                <w:lang w:eastAsia="zh-CN"/>
              </w:rPr>
              <w:t>投标文件</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sz w:val="24"/>
                <w:szCs w:val="24"/>
                <w:lang w:eastAsia="zh-CN"/>
              </w:rPr>
              <w:t>投标文件</w:t>
            </w:r>
            <w:r>
              <w:rPr>
                <w:rFonts w:hint="eastAsia" w:ascii="宋体" w:hAnsi="宋体" w:eastAsia="宋体" w:cs="宋体"/>
                <w:sz w:val="24"/>
                <w:szCs w:val="24"/>
              </w:rPr>
              <w:t>，制作扩展名为“.SXSTF”的电子</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keepNext w:val="0"/>
              <w:keepLines w:val="0"/>
              <w:pageBreakBefore w:val="0"/>
              <w:widowControl w:val="0"/>
              <w:kinsoku/>
              <w:wordWrap/>
              <w:overflowPunct/>
              <w:autoSpaceDE/>
              <w:autoSpaceDN/>
              <w:bidi w:val="0"/>
              <w:adjustRightInd/>
              <w:snapToGrid/>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递交电子</w:t>
            </w:r>
            <w:r>
              <w:rPr>
                <w:rFonts w:hint="eastAsia" w:ascii="宋体" w:hAnsi="宋体" w:eastAsia="宋体" w:cs="宋体"/>
                <w:sz w:val="24"/>
                <w:szCs w:val="24"/>
                <w:lang w:eastAsia="zh-CN"/>
              </w:rPr>
              <w:t>投标文件</w:t>
            </w:r>
            <w:r>
              <w:rPr>
                <w:rFonts w:hint="eastAsia" w:ascii="宋体" w:hAnsi="宋体" w:eastAsia="宋体" w:cs="宋体"/>
                <w:sz w:val="24"/>
                <w:szCs w:val="24"/>
              </w:rPr>
              <w:t>。登录陕西省西咸新区公共资源交易中心平台（http://xxxq.sxggzyjy.cn/），选择“电子交易平台-陕西政府采购交易系统-陕西省西咸新区公共资源交易平台-</w:t>
            </w:r>
            <w:r>
              <w:rPr>
                <w:rFonts w:hint="eastAsia" w:ascii="宋体" w:hAnsi="宋体" w:eastAsia="宋体" w:cs="宋体"/>
                <w:sz w:val="24"/>
                <w:szCs w:val="24"/>
                <w:lang w:eastAsia="zh-CN"/>
              </w:rPr>
              <w:t>供应商</w:t>
            </w:r>
            <w:r>
              <w:rPr>
                <w:rFonts w:hint="eastAsia" w:ascii="宋体" w:hAnsi="宋体" w:eastAsia="宋体" w:cs="宋体"/>
                <w:sz w:val="24"/>
                <w:szCs w:val="24"/>
              </w:rPr>
              <w:t>”进行登录，登录后选择“交易乙方”身份进入，选择“上传</w:t>
            </w:r>
            <w:r>
              <w:rPr>
                <w:rFonts w:hint="eastAsia" w:ascii="宋体" w:hAnsi="宋体" w:eastAsia="宋体" w:cs="宋体"/>
                <w:sz w:val="24"/>
                <w:szCs w:val="24"/>
                <w:lang w:eastAsia="zh-CN"/>
              </w:rPr>
              <w:t>投标</w:t>
            </w:r>
            <w:r>
              <w:rPr>
                <w:rFonts w:hint="eastAsia" w:ascii="宋体" w:hAnsi="宋体" w:eastAsia="宋体" w:cs="宋体"/>
                <w:sz w:val="24"/>
                <w:szCs w:val="24"/>
              </w:rPr>
              <w:t>文件”菜单页面，上传加密的电子化</w:t>
            </w:r>
            <w:r>
              <w:rPr>
                <w:rFonts w:hint="eastAsia" w:ascii="宋体" w:hAnsi="宋体" w:eastAsia="宋体" w:cs="宋体"/>
                <w:sz w:val="24"/>
                <w:szCs w:val="24"/>
                <w:lang w:eastAsia="zh-CN"/>
              </w:rPr>
              <w:t>投标文件</w:t>
            </w:r>
            <w:r>
              <w:rPr>
                <w:rFonts w:hint="eastAsia" w:ascii="宋体" w:hAnsi="宋体" w:eastAsia="宋体" w:cs="宋体"/>
                <w:sz w:val="24"/>
                <w:szCs w:val="24"/>
              </w:rPr>
              <w:t>。上传成功后，电子化平台将予以记录。</w:t>
            </w:r>
          </w:p>
        </w:tc>
      </w:tr>
    </w:tbl>
    <w:p>
      <w:pPr>
        <w:spacing w:before="156" w:beforeLines="50" w:line="360" w:lineRule="auto"/>
        <w:jc w:val="center"/>
        <w:outlineLvl w:val="1"/>
        <w:rPr>
          <w:rFonts w:hint="eastAsia" w:ascii="宋体" w:hAnsi="宋体" w:eastAsia="宋体" w:cs="宋体"/>
          <w:b/>
          <w:color w:val="auto"/>
          <w:sz w:val="32"/>
          <w:szCs w:val="32"/>
          <w:highlight w:val="none"/>
        </w:rPr>
      </w:pPr>
    </w:p>
    <w:p>
      <w:pPr>
        <w:spacing w:before="156" w:beforeLines="50" w:line="360" w:lineRule="auto"/>
        <w:jc w:val="center"/>
        <w:outlineLvl w:val="1"/>
        <w:rPr>
          <w:rFonts w:hint="eastAsia" w:ascii="宋体" w:hAnsi="宋体" w:eastAsia="宋体" w:cs="宋体"/>
          <w:b/>
          <w:color w:val="auto"/>
          <w:sz w:val="32"/>
          <w:szCs w:val="32"/>
          <w:highlight w:val="none"/>
        </w:rPr>
      </w:pPr>
    </w:p>
    <w:p>
      <w:pPr>
        <w:pStyle w:val="14"/>
        <w:rPr>
          <w:rFonts w:hint="eastAsia" w:ascii="宋体" w:hAnsi="宋体" w:eastAsia="宋体" w:cs="宋体"/>
          <w:b/>
          <w:color w:val="auto"/>
          <w:sz w:val="32"/>
          <w:szCs w:val="32"/>
          <w:highlight w:val="none"/>
        </w:rPr>
      </w:pPr>
    </w:p>
    <w:p>
      <w:pPr>
        <w:pStyle w:val="14"/>
        <w:rPr>
          <w:rFonts w:hint="eastAsia" w:ascii="宋体" w:hAnsi="宋体" w:eastAsia="宋体" w:cs="宋体"/>
          <w:b/>
          <w:color w:val="auto"/>
          <w:sz w:val="32"/>
          <w:szCs w:val="32"/>
          <w:highlight w:val="none"/>
        </w:rPr>
      </w:pPr>
    </w:p>
    <w:p>
      <w:pPr>
        <w:spacing w:before="156" w:beforeLines="50"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须知前附表</w:t>
      </w:r>
    </w:p>
    <w:p>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pPr>
        <w:tabs>
          <w:tab w:val="left" w:pos="7665"/>
        </w:tabs>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hAnsi="宋体" w:cs="宋体"/>
          <w:color w:val="auto"/>
          <w:highlight w:val="none"/>
          <w:lang w:eastAsia="zh-CN"/>
        </w:rPr>
        <w:t>供应商</w:t>
      </w:r>
      <w:r>
        <w:rPr>
          <w:rFonts w:hint="eastAsia" w:ascii="宋体" w:hAnsi="宋体" w:eastAsia="宋体" w:cs="宋体"/>
          <w:color w:val="auto"/>
          <w:highlight w:val="none"/>
        </w:rPr>
        <w:t>：是指响应和符合招标文件规定资格条件且参与投标竞争的法人、其他组织或者自然人。</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服务是指供应商为满足招标文件要求而提供的服务。</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pPr>
        <w:spacing w:line="500" w:lineRule="exact"/>
        <w:outlineLvl w:val="2"/>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3.合格的</w:t>
      </w:r>
      <w:r>
        <w:rPr>
          <w:rFonts w:hint="eastAsia" w:hAnsi="宋体" w:cs="宋体"/>
          <w:b/>
          <w:color w:val="auto"/>
          <w:szCs w:val="24"/>
          <w:highlight w:val="none"/>
          <w:lang w:eastAsia="zh-CN"/>
        </w:rPr>
        <w:t>供应商</w:t>
      </w:r>
    </w:p>
    <w:p>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3.1《中华人民共和国政府采购法》第二十二条第一款规定的供应商基本资格条件: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供应商须按照格式要求填写供应商企业关系关联承诺书。除单一来源采购项目外，为采购项目提供整体设计、规范编制或者项目管理、监理、检测等服务的供应商，不得再参加该采购项目的其他采购活动，否则均为无效投标。</w:t>
      </w:r>
    </w:p>
    <w:p>
      <w:pPr>
        <w:pStyle w:val="12"/>
        <w:spacing w:line="500" w:lineRule="exact"/>
        <w:ind w:firstLine="480" w:firstLineChars="200"/>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必须在西咸新区公共资源交易平台进行报名并下载招标文件，方可参加投标。</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须知前附表），则两个以上</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可以组成一个投标联合体，以一个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的身份投标。以联合体形式参加投标的，联合体各方均应当符合《中华人民共和国政府采购法》及实施条例规定的条件。采购人根据采购项目的特殊要求规定</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特定条件的，联合体各方中至少应当有一方符合采购人规定的特定条件。</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均应自行承担所有与参加投标有关的费用。</w:t>
      </w:r>
    </w:p>
    <w:p>
      <w:pPr>
        <w:pStyle w:val="12"/>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pP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rPr>
        <w:t>合格的货物（产品）和服务</w:t>
      </w:r>
    </w:p>
    <w:p>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供应商提供的所有货物和服务，必须是合法生产、合法来源，符合国家有关标准要求，并满足招标文件规定的规格、参数、质量、有效期、售后服务及供应商须承担的运输、安装、技术具备、培训和招标文件规定的其它伴随服务等要求。</w:t>
      </w:r>
    </w:p>
    <w:p>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pP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w:t>
      </w:r>
      <w:r>
        <w:rPr>
          <w:rFonts w:hint="eastAsia" w:hAnsi="宋体" w:cs="宋体"/>
          <w:b/>
          <w:bCs/>
          <w:color w:val="auto"/>
          <w:highlight w:val="none"/>
          <w:lang w:eastAsia="zh-CN"/>
        </w:rPr>
        <w:t>供应商</w:t>
      </w:r>
      <w:r>
        <w:rPr>
          <w:rFonts w:hint="eastAsia" w:ascii="宋体" w:hAnsi="宋体" w:eastAsia="宋体" w:cs="宋体"/>
          <w:b/>
          <w:bCs/>
          <w:color w:val="auto"/>
          <w:highlight w:val="none"/>
        </w:rPr>
        <w:t>信用记录查询及使用</w:t>
      </w:r>
    </w:p>
    <w:p>
      <w:pPr>
        <w:spacing w:line="360" w:lineRule="auto"/>
        <w:ind w:firstLine="352"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“信用中国”网站（www.creditchina.gov.cn）和“中国政府采购网”（ccgp.gov.cn）为供应商信用信息查询渠道，如果供应商被查实在投标截止时间前已列入失信被执行人、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6.1供应商应保证其投标文件中所提供的所有资料、信息是真实的，并且来源于合法的渠道。因投标文件中所提供的资料、信息不真实或者其来源不合法而导致的所有法律责任，由供应商自行承担。</w:t>
      </w:r>
    </w:p>
    <w:p>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w:t>
      </w:r>
      <w:r>
        <w:rPr>
          <w:rFonts w:hint="eastAsia" w:hAnsi="宋体" w:cs="宋体"/>
          <w:b/>
          <w:bCs/>
          <w:color w:val="auto"/>
          <w:szCs w:val="24"/>
          <w:highlight w:val="none"/>
          <w:lang w:eastAsia="zh-CN"/>
        </w:rPr>
        <w:t>供应商</w:t>
      </w:r>
      <w:r>
        <w:rPr>
          <w:rFonts w:hint="eastAsia" w:ascii="宋体" w:hAnsi="宋体" w:eastAsia="宋体" w:cs="宋体"/>
          <w:b/>
          <w:bCs/>
          <w:color w:val="auto"/>
          <w:szCs w:val="24"/>
          <w:highlight w:val="none"/>
        </w:rPr>
        <w:t>无须到达开标现场，即可在网上直接参与开标活动。相关注意事项如下：</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w:t>
      </w:r>
      <w:r>
        <w:rPr>
          <w:rFonts w:hint="eastAsia" w:hAnsi="宋体" w:cs="宋体"/>
          <w:b/>
          <w:bCs/>
          <w:color w:val="auto"/>
          <w:szCs w:val="24"/>
          <w:highlight w:val="none"/>
          <w:lang w:eastAsia="zh-CN"/>
        </w:rPr>
        <w:t>供应商</w:t>
      </w:r>
      <w:r>
        <w:rPr>
          <w:rFonts w:hint="eastAsia" w:ascii="宋体" w:hAnsi="宋体" w:eastAsia="宋体" w:cs="宋体"/>
          <w:b/>
          <w:bCs/>
          <w:color w:val="auto"/>
          <w:szCs w:val="24"/>
          <w:highlight w:val="none"/>
        </w:rPr>
        <w:t>需至少提前半小时登录“不见面”开评标系统，并按要求及时签到，并保持在线直到评审结束；</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7.2</w:t>
      </w:r>
      <w:r>
        <w:rPr>
          <w:rFonts w:hint="eastAsia" w:hAnsi="宋体" w:cs="宋体"/>
          <w:b/>
          <w:bCs/>
          <w:color w:val="auto"/>
          <w:szCs w:val="24"/>
          <w:highlight w:val="none"/>
          <w:lang w:eastAsia="zh-CN"/>
        </w:rPr>
        <w:t>供应商</w:t>
      </w:r>
      <w:r>
        <w:rPr>
          <w:rFonts w:hint="eastAsia" w:ascii="宋体" w:hAnsi="宋体" w:eastAsia="宋体" w:cs="宋体"/>
          <w:b/>
          <w:bCs/>
          <w:color w:val="auto"/>
          <w:szCs w:val="24"/>
          <w:highlight w:val="none"/>
        </w:rPr>
        <w:t>无需提交纸质投标文件，待采购结果公告后，中标人需向招标代理机构递交一正两副纸质投标文件（备案用）。</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w:t>
      </w:r>
      <w:r>
        <w:rPr>
          <w:rFonts w:hint="eastAsia" w:hAnsi="宋体" w:cs="宋体"/>
          <w:b/>
          <w:bCs/>
          <w:color w:val="auto"/>
          <w:szCs w:val="24"/>
          <w:highlight w:val="none"/>
          <w:lang w:eastAsia="zh-CN"/>
        </w:rPr>
        <w:t>供应商</w:t>
      </w:r>
      <w:r>
        <w:rPr>
          <w:rFonts w:hint="eastAsia" w:ascii="宋体" w:hAnsi="宋体" w:eastAsia="宋体" w:cs="宋体"/>
          <w:b/>
          <w:bCs/>
          <w:color w:val="auto"/>
          <w:szCs w:val="24"/>
          <w:highlight w:val="none"/>
        </w:rPr>
        <w:t>在收到工作人员“开始解密”指令后，请及时使用CA对电子投标文件进行解密。解密时所用CA应与加密投标文件时所用CA相同；评审过程中，评标委员会可能会就某些问题要求</w:t>
      </w:r>
      <w:r>
        <w:rPr>
          <w:rFonts w:hint="eastAsia" w:hAnsi="宋体" w:cs="宋体"/>
          <w:b/>
          <w:bCs/>
          <w:color w:val="auto"/>
          <w:szCs w:val="24"/>
          <w:highlight w:val="none"/>
          <w:lang w:eastAsia="zh-CN"/>
        </w:rPr>
        <w:t>供应商</w:t>
      </w:r>
      <w:r>
        <w:rPr>
          <w:rFonts w:hint="eastAsia" w:ascii="宋体" w:hAnsi="宋体" w:eastAsia="宋体" w:cs="宋体"/>
          <w:b/>
          <w:bCs/>
          <w:color w:val="auto"/>
          <w:szCs w:val="24"/>
          <w:highlight w:val="none"/>
        </w:rPr>
        <w:t>进行在线澄清。</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供应商操作手册》。相关技术问题，请咨询新区交易中心工作人员及相关技术人员：</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pP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pP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pPr>
        <w:spacing w:line="500" w:lineRule="exact"/>
        <w:jc w:val="center"/>
        <w:outlineLvl w:val="1"/>
        <w:rPr>
          <w:rFonts w:hint="eastAsia" w:ascii="宋体" w:hAnsi="宋体" w:eastAsia="宋体" w:cs="宋体"/>
          <w:b/>
          <w:color w:val="auto"/>
          <w:sz w:val="32"/>
          <w:szCs w:val="32"/>
          <w:highlight w:val="none"/>
        </w:rPr>
      </w:pPr>
      <w:bookmarkStart w:id="35" w:name="_Toc403077640"/>
      <w:bookmarkStart w:id="36" w:name="_Toc363473973"/>
      <w:bookmarkStart w:id="37" w:name="_Toc363474018"/>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9.2澄清或者修改的内容可能影响投标文件编制的，采购代理机构将在投标截止时间至少15日前，以书面形式通知所有获取招标文件的潜在供应商；不足15日的，采购代理机构将顺延提交投标文件的截止时间。</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9.3已经获取招标文件的供应商对招标文件有疑问的，采购代理机构将在3个工作日内采用适当方式予以澄清或以书面形式予以答复。</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9.4供应商在收到上述通知后，应立即向采购代理机构回函确认。</w:t>
      </w:r>
    </w:p>
    <w:p>
      <w:pPr>
        <w:spacing w:line="500" w:lineRule="exact"/>
        <w:jc w:val="center"/>
        <w:outlineLvl w:val="1"/>
        <w:rPr>
          <w:rFonts w:hint="eastAsia" w:ascii="宋体" w:hAnsi="宋体" w:eastAsia="宋体" w:cs="宋体"/>
          <w:b/>
          <w:color w:val="auto"/>
          <w:sz w:val="32"/>
          <w:szCs w:val="32"/>
          <w:highlight w:val="none"/>
        </w:rPr>
      </w:pPr>
      <w:bookmarkStart w:id="38" w:name="_Toc363474019"/>
      <w:bookmarkStart w:id="39" w:name="_Toc363473974"/>
      <w:bookmarkStart w:id="40" w:name="_Toc403077641"/>
      <w:r>
        <w:rPr>
          <w:rFonts w:hint="eastAsia" w:ascii="宋体" w:hAnsi="宋体" w:eastAsia="宋体" w:cs="宋体"/>
          <w:b/>
          <w:color w:val="auto"/>
          <w:sz w:val="32"/>
          <w:szCs w:val="32"/>
          <w:highlight w:val="none"/>
        </w:rPr>
        <w:t>三.投标文件的编制</w:t>
      </w:r>
      <w:bookmarkEnd w:id="38"/>
      <w:bookmarkEnd w:id="39"/>
      <w:bookmarkEnd w:id="40"/>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10.1供应商提交的投标文件以及供应商与采购代理机构就有关投标的所有来往函电均应使用简体中文。</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供应商提交的电子投标文件应包括下列部分的内容：</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（1）按照供应商须知的要求和招标文件规定的格式填写的投标函、开标一览表、法定代表人授权书。</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（3）按照招标文件供应商须知前附表的要求提交的资格证明文件；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如果在招标文件中没有允许提供备选方案，则每个供应商只允许提交一个投标方案，否则，其投标按照无效投标处理。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须知前附表，供应商可根据自身的资质情况和经营范围进行投标，但不得将其子目自行分解或针对品目进行不完全投标，任何不完全的投标将按无效投标处理。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供应商应按照招标文件中第六章所提供的格式和要求制作电子投标文件，明确表达投标意愿，详细说明投标方案、承诺及价格。</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ascii="宋体" w:hAnsi="宋体" w:eastAsia="宋体" w:cs="宋体"/>
          <w:color w:val="auto"/>
          <w:szCs w:val="21"/>
          <w:highlight w:val="none"/>
        </w:rPr>
        <w:t>供应商应完整地提供招标文件要求的所有数据和资料。</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须知前附表。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w:t>
      </w:r>
      <w:r>
        <w:rPr>
          <w:rFonts w:hint="eastAsia" w:hAnsi="宋体" w:cs="宋体"/>
          <w:b/>
          <w:color w:val="auto"/>
          <w:szCs w:val="24"/>
          <w:highlight w:val="none"/>
          <w:lang w:eastAsia="zh-CN"/>
        </w:rPr>
        <w:t>供应商</w:t>
      </w:r>
      <w:r>
        <w:rPr>
          <w:rFonts w:hint="eastAsia" w:ascii="宋体" w:hAnsi="宋体" w:eastAsia="宋体" w:cs="宋体"/>
          <w:b/>
          <w:color w:val="auto"/>
          <w:szCs w:val="24"/>
          <w:highlight w:val="none"/>
        </w:rPr>
        <w:t>合格和资格的文件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应按照招标文件“供应商须知前附表”的要求，在投标文件中提交合格的资格证明文件。如果资格证明文件不齐全或不合格的，其投标将按无效投标处理。</w:t>
      </w:r>
    </w:p>
    <w:p>
      <w:pPr>
        <w:spacing w:line="500" w:lineRule="exact"/>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16.1投标保证金：详见供应商须知前附表。</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（1）供应商在投标有效期内撤回其投标文件；</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（2）供应商在投标文件中提供伪造、套改、虚假资料参加投标的；</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（3）除因不可抗力或招标文件认可的情形以外，成交供应商不与采购人签订合同的；</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（4）供应商与采购人、其他供应商或者采购代理机构恶意串通的； </w:t>
      </w:r>
    </w:p>
    <w:p>
      <w:pPr>
        <w:spacing w:line="500" w:lineRule="exact"/>
        <w:ind w:firstLine="480" w:firstLineChars="200"/>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.2特殊情况下，在原投标有效期期满之前，采购代理机构可向供应商提出延长投标有效期的要求。这种要求与答复均应以书面的形式。同意延长的供应商既不能要求也不允许修改其投标文件。</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pPr>
        <w:pStyle w:val="13"/>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务必在开标前完成在线签到工作，否则将视同为放弃投标。</w:t>
      </w:r>
    </w:p>
    <w:p>
      <w:pPr>
        <w:pStyle w:val="13"/>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编制投标文件时，涉及的有关原件应在投标文件中提供电子版。</w:t>
      </w:r>
    </w:p>
    <w:p>
      <w:pPr>
        <w:pStyle w:val="13"/>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pPr>
        <w:pStyle w:val="13"/>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pPr>
        <w:pStyle w:val="13"/>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需实时在线观看音视频直播并及时互动，未按时加入系统或未在线参与互动的，视为放弃标书解密和对开评标全过程质疑、澄清、答辩的权利，并承担由此产生的相应后果。</w:t>
      </w:r>
    </w:p>
    <w:p>
      <w:pPr>
        <w:pStyle w:val="13"/>
        <w:spacing w:after="0" w:line="360" w:lineRule="auto"/>
        <w:ind w:left="0" w:leftChars="0" w:right="0" w:rightChars="0"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pPr>
        <w:pStyle w:val="13"/>
        <w:spacing w:after="0" w:line="360" w:lineRule="auto"/>
        <w:ind w:left="0" w:leftChars="0" w:right="0" w:rightChars="0" w:firstLine="482" w:firstLineChars="200"/>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1）开标时</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无需提交纸质投标文件，项目中标后由中标人在领取中标通知书时提供一正两副纸质投标文件用于备案。</w:t>
      </w:r>
    </w:p>
    <w:p>
      <w:pPr>
        <w:pStyle w:val="13"/>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pPr>
        <w:spacing w:before="312" w:beforeLines="100" w:after="312" w:afterLines="100" w:line="500" w:lineRule="exact"/>
        <w:jc w:val="center"/>
        <w:outlineLvl w:val="1"/>
        <w:rPr>
          <w:rFonts w:hint="eastAsia" w:ascii="宋体" w:hAnsi="宋体" w:eastAsia="宋体" w:cs="宋体"/>
          <w:b/>
          <w:color w:val="auto"/>
          <w:sz w:val="32"/>
          <w:szCs w:val="32"/>
          <w:highlight w:val="none"/>
        </w:rPr>
      </w:pPr>
      <w:bookmarkStart w:id="41" w:name="_Toc363473975"/>
      <w:bookmarkStart w:id="42" w:name="_Toc363474020"/>
      <w:bookmarkStart w:id="43" w:name="_Toc403077642"/>
      <w:r>
        <w:rPr>
          <w:rFonts w:hint="eastAsia" w:ascii="宋体" w:hAnsi="宋体" w:eastAsia="宋体" w:cs="宋体"/>
          <w:b/>
          <w:color w:val="auto"/>
          <w:sz w:val="32"/>
          <w:szCs w:val="32"/>
          <w:highlight w:val="none"/>
        </w:rPr>
        <w:t>四.投标文件的递交</w:t>
      </w:r>
      <w:bookmarkEnd w:id="41"/>
      <w:bookmarkEnd w:id="42"/>
      <w:bookmarkEnd w:id="43"/>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w:t>
      </w:r>
      <w:r>
        <w:rPr>
          <w:rFonts w:hint="eastAsia" w:hAnsi="宋体" w:cs="宋体"/>
          <w:color w:val="auto"/>
          <w:highlight w:val="none"/>
          <w:lang w:eastAsia="zh-CN"/>
        </w:rPr>
        <w:t>供应商</w:t>
      </w:r>
      <w:r>
        <w:rPr>
          <w:rFonts w:hint="eastAsia" w:ascii="宋体" w:hAnsi="宋体" w:eastAsia="宋体" w:cs="宋体"/>
          <w:color w:val="auto"/>
          <w:highlight w:val="none"/>
        </w:rPr>
        <w:t>应当按照招标文件和电子招标投标交易平台的要求加密投标文件，具体要求见</w:t>
      </w:r>
      <w:r>
        <w:rPr>
          <w:rFonts w:hint="eastAsia" w:hAnsi="宋体" w:cs="宋体"/>
          <w:color w:val="auto"/>
          <w:highlight w:val="none"/>
          <w:lang w:eastAsia="zh-CN"/>
        </w:rPr>
        <w:t>供应商</w:t>
      </w:r>
      <w:r>
        <w:rPr>
          <w:rFonts w:hint="eastAsia" w:ascii="宋体" w:hAnsi="宋体" w:eastAsia="宋体" w:cs="宋体"/>
          <w:color w:val="auto"/>
          <w:highlight w:val="none"/>
        </w:rPr>
        <w:t>须知前附表。</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供应商在递交投标文件后，且在提交投标文件截止时间前，可以对所提交的投标文件进行撤回、补充或修改。</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pPr>
        <w:spacing w:line="50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403077643"/>
      <w:bookmarkStart w:id="45" w:name="_Toc363474021"/>
      <w:bookmarkStart w:id="46" w:name="_Toc363473976"/>
    </w:p>
    <w:p>
      <w:pP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不必抵达开标现场，可通过西咸新区公共资源交易不见面开标系统参加开标会议，并根据需要使用不见面开标系统与现场招标人进行互动交流、澄清、质疑等活动；</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w:t>
      </w:r>
      <w:r>
        <w:rPr>
          <w:rFonts w:hint="eastAsia" w:hAnsi="宋体" w:cs="宋体"/>
          <w:color w:val="auto"/>
          <w:highlight w:val="none"/>
          <w:lang w:eastAsia="zh-CN"/>
        </w:rPr>
        <w:t>供应商</w:t>
      </w:r>
      <w:r>
        <w:rPr>
          <w:rFonts w:hint="eastAsia" w:ascii="宋体" w:hAnsi="宋体" w:eastAsia="宋体" w:cs="宋体"/>
          <w:color w:val="auto"/>
          <w:highlight w:val="none"/>
        </w:rPr>
        <w:t>应为同一个人，在否决投标、澄清、质疑等特殊情况下需要互动时，</w:t>
      </w:r>
      <w:r>
        <w:rPr>
          <w:rFonts w:hint="eastAsia" w:hAnsi="宋体" w:cs="宋体"/>
          <w:color w:val="auto"/>
          <w:highlight w:val="none"/>
          <w:lang w:eastAsia="zh-CN"/>
        </w:rPr>
        <w:t>供应商</w:t>
      </w:r>
      <w:r>
        <w:rPr>
          <w:rFonts w:hint="eastAsia" w:ascii="宋体" w:hAnsi="宋体" w:eastAsia="宋体" w:cs="宋体"/>
          <w:color w:val="auto"/>
          <w:highlight w:val="none"/>
        </w:rPr>
        <w:t>一端参与互动的人员只能是</w:t>
      </w:r>
      <w:r>
        <w:rPr>
          <w:rFonts w:hint="eastAsia" w:hAnsi="宋体" w:cs="宋体"/>
          <w:color w:val="auto"/>
          <w:highlight w:val="none"/>
          <w:lang w:eastAsia="zh-CN"/>
        </w:rPr>
        <w:t>供应商</w:t>
      </w:r>
      <w:r>
        <w:rPr>
          <w:rFonts w:hint="eastAsia" w:ascii="宋体" w:hAnsi="宋体" w:eastAsia="宋体" w:cs="宋体"/>
          <w:color w:val="auto"/>
          <w:highlight w:val="none"/>
        </w:rPr>
        <w:t>的法定代表人或授权委托人（答辩等类似环节需要其他人员参与的除外),</w:t>
      </w:r>
      <w:r>
        <w:rPr>
          <w:rFonts w:hint="eastAsia" w:hAnsi="宋体" w:cs="宋体"/>
          <w:color w:val="auto"/>
          <w:highlight w:val="none"/>
          <w:lang w:eastAsia="zh-CN"/>
        </w:rPr>
        <w:t>供应商</w:t>
      </w:r>
      <w:r>
        <w:rPr>
          <w:rFonts w:hint="eastAsia" w:ascii="宋体" w:hAnsi="宋体" w:eastAsia="宋体" w:cs="宋体"/>
          <w:color w:val="auto"/>
          <w:highlight w:val="none"/>
        </w:rPr>
        <w:t>不得以不承认互动人员的资格或身份等为借口推脱，</w:t>
      </w:r>
      <w:r>
        <w:rPr>
          <w:rFonts w:hint="eastAsia" w:hAnsi="宋体" w:cs="宋体"/>
          <w:color w:val="auto"/>
          <w:highlight w:val="none"/>
          <w:lang w:eastAsia="zh-CN"/>
        </w:rPr>
        <w:t>供应商</w:t>
      </w:r>
      <w:r>
        <w:rPr>
          <w:rFonts w:hint="eastAsia" w:ascii="宋体" w:hAnsi="宋体" w:eastAsia="宋体" w:cs="宋体"/>
          <w:color w:val="auto"/>
          <w:highlight w:val="none"/>
        </w:rPr>
        <w:t>自行承担随意更换人员所导致的一切后果</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w:t>
      </w:r>
      <w:r>
        <w:rPr>
          <w:rFonts w:hint="eastAsia" w:hAnsi="宋体" w:cs="宋体"/>
          <w:color w:val="auto"/>
          <w:szCs w:val="21"/>
          <w:highlight w:val="none"/>
          <w:lang w:eastAsia="zh-CN"/>
        </w:rPr>
        <w:t>供应商</w:t>
      </w:r>
      <w:r>
        <w:rPr>
          <w:rFonts w:hint="eastAsia" w:ascii="宋体" w:hAnsi="宋体" w:eastAsia="宋体" w:cs="宋体"/>
          <w:color w:val="auto"/>
          <w:szCs w:val="21"/>
          <w:highlight w:val="none"/>
        </w:rPr>
        <w:t>不得在开标后使用任何方式对投标文件的实质性内容做任何更改。</w:t>
      </w:r>
    </w:p>
    <w:p>
      <w:pP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24.3如果供应商在规定时限内，未能答复或拒绝答复评委会提出的澄清、说明或者补正的要求，将由评委会根据其投标文件按最大风险进行评标。</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试图在投标文件的评审和比较、中标候选人的推荐以及与评标有关的其他方面，向评标人、采购人和采购代理机构施加任何影响，其投标应做无效投标处理。</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w:t>
      </w:r>
      <w:r>
        <w:rPr>
          <w:rFonts w:hint="eastAsia"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w:t>
      </w:r>
      <w:r>
        <w:rPr>
          <w:rFonts w:hint="eastAsia" w:hAnsi="宋体" w:cs="宋体"/>
          <w:color w:val="auto"/>
          <w:szCs w:val="21"/>
          <w:highlight w:val="none"/>
          <w:lang w:eastAsia="zh-CN"/>
        </w:rPr>
        <w:t>供应商</w:t>
      </w:r>
      <w:r>
        <w:rPr>
          <w:rFonts w:hint="eastAsia" w:ascii="宋体" w:hAnsi="宋体" w:eastAsia="宋体" w:cs="宋体"/>
          <w:color w:val="auto"/>
          <w:szCs w:val="21"/>
          <w:highlight w:val="none"/>
        </w:rPr>
        <w:t>为中标候选人的评标方法。</w:t>
      </w:r>
    </w:p>
    <w:p>
      <w:pPr>
        <w:spacing w:line="360" w:lineRule="auto"/>
        <w:ind w:firstLine="48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w:t>
      </w:r>
      <w:r>
        <w:rPr>
          <w:rFonts w:hint="eastAsia" w:hAnsi="宋体" w:cs="宋体"/>
          <w:color w:val="auto"/>
          <w:szCs w:val="21"/>
          <w:highlight w:val="none"/>
          <w:lang w:eastAsia="zh-CN"/>
        </w:rPr>
        <w:t>供应商</w:t>
      </w:r>
      <w:r>
        <w:rPr>
          <w:rFonts w:hint="eastAsia" w:ascii="宋体" w:hAnsi="宋体" w:eastAsia="宋体" w:cs="宋体"/>
          <w:color w:val="auto"/>
          <w:szCs w:val="21"/>
          <w:highlight w:val="none"/>
        </w:rPr>
        <w:t>为中标候选人的评标方法。</w:t>
      </w:r>
    </w:p>
    <w:p>
      <w:pP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被认定无效投标者，不进入下一步的评审。</w:t>
      </w:r>
    </w:p>
    <w:p>
      <w:pPr>
        <w:pStyle w:val="2"/>
        <w:rPr>
          <w:rFonts w:hint="eastAsia" w:ascii="宋体" w:hAnsi="宋体" w:eastAsia="宋体" w:cs="宋体"/>
          <w:color w:val="auto"/>
          <w:highlight w:val="none"/>
        </w:rPr>
      </w:pPr>
    </w:p>
    <w:p>
      <w:pP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进行评审排序，推荐3名中标候选人，作为评标结果。评标结果由评标委员会成员签字确认。</w:t>
      </w:r>
    </w:p>
    <w:p>
      <w:pP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或者其他利害关系人对评标结果有异议的，应当在法律规定的时间内提出。</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采购代理机构在发布中标公告后，向中标人发出《中标通知书》。</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可致电采购代理机构获知本单位的评审得分与排序。</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pPr>
        <w:spacing w:line="360" w:lineRule="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：见供应商须知前附表。</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32.2履约验收的费用及要求详见“供应商须知前附表”。</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8"/>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必须在法定质疑期内一次性提出针对同一采购程序环节的质疑。</w:t>
      </w:r>
    </w:p>
    <w:p>
      <w:pPr>
        <w:spacing w:line="500" w:lineRule="exact"/>
        <w:ind w:left="3" w:firstLine="480" w:firstLineChars="200"/>
        <w:rPr>
          <w:rStyle w:val="28"/>
          <w:rFonts w:hint="eastAsia" w:ascii="宋体" w:hAnsi="宋体" w:eastAsia="宋体" w:cs="宋体"/>
          <w:b w:val="0"/>
          <w:color w:val="auto"/>
          <w:szCs w:val="24"/>
          <w:highlight w:val="none"/>
          <w:shd w:val="clear" w:color="auto" w:fill="FFFFFF"/>
        </w:rPr>
      </w:pPr>
      <w:r>
        <w:rPr>
          <w:rStyle w:val="28"/>
          <w:rFonts w:hint="eastAsia" w:ascii="宋体" w:hAnsi="宋体" w:eastAsia="宋体" w:cs="宋体"/>
          <w:b w:val="0"/>
          <w:color w:val="auto"/>
          <w:szCs w:val="24"/>
          <w:highlight w:val="none"/>
          <w:shd w:val="clear" w:color="auto" w:fill="FFFFFF"/>
        </w:rPr>
        <w:t>33.3</w:t>
      </w:r>
      <w:r>
        <w:rPr>
          <w:rStyle w:val="28"/>
          <w:rFonts w:hint="eastAsia" w:hAnsi="宋体" w:cs="宋体"/>
          <w:b w:val="0"/>
          <w:color w:val="auto"/>
          <w:szCs w:val="24"/>
          <w:highlight w:val="none"/>
          <w:shd w:val="clear" w:color="auto" w:fill="FFFFFF"/>
          <w:lang w:eastAsia="zh-CN"/>
        </w:rPr>
        <w:t>供应商</w:t>
      </w:r>
      <w:r>
        <w:rPr>
          <w:rStyle w:val="28"/>
          <w:rFonts w:hint="eastAsia" w:ascii="宋体" w:hAnsi="宋体" w:eastAsia="宋体" w:cs="宋体"/>
          <w:b w:val="0"/>
          <w:color w:val="auto"/>
          <w:szCs w:val="24"/>
          <w:highlight w:val="none"/>
          <w:shd w:val="clear" w:color="auto" w:fill="FFFFFF"/>
        </w:rPr>
        <w:t>可以委托代理人进行质疑。代理人提出质疑的，应当提交授权委托书。授权委托书应当载明代理人的姓名或者名称、代理事项、具体权限、期限和相关事项。</w:t>
      </w:r>
      <w:r>
        <w:rPr>
          <w:rStyle w:val="28"/>
          <w:rFonts w:hint="eastAsia" w:hAnsi="宋体" w:cs="宋体"/>
          <w:b w:val="0"/>
          <w:color w:val="auto"/>
          <w:szCs w:val="24"/>
          <w:highlight w:val="none"/>
          <w:shd w:val="clear" w:color="auto" w:fill="FFFFFF"/>
          <w:lang w:eastAsia="zh-CN"/>
        </w:rPr>
        <w:t>供应商</w:t>
      </w:r>
      <w:r>
        <w:rPr>
          <w:rStyle w:val="28"/>
          <w:rFonts w:hint="eastAsia" w:ascii="宋体" w:hAnsi="宋体" w:eastAsia="宋体" w:cs="宋体"/>
          <w:b w:val="0"/>
          <w:color w:val="auto"/>
          <w:szCs w:val="24"/>
          <w:highlight w:val="none"/>
          <w:shd w:val="clear" w:color="auto" w:fill="FFFFFF"/>
        </w:rPr>
        <w:t>为自然人的，应当由本人签字；</w:t>
      </w:r>
      <w:r>
        <w:rPr>
          <w:rStyle w:val="28"/>
          <w:rFonts w:hint="eastAsia" w:hAnsi="宋体" w:cs="宋体"/>
          <w:b w:val="0"/>
          <w:color w:val="auto"/>
          <w:szCs w:val="24"/>
          <w:highlight w:val="none"/>
          <w:shd w:val="clear" w:color="auto" w:fill="FFFFFF"/>
          <w:lang w:eastAsia="zh-CN"/>
        </w:rPr>
        <w:t>供应商</w:t>
      </w:r>
      <w:r>
        <w:rPr>
          <w:rStyle w:val="28"/>
          <w:rFonts w:hint="eastAsia" w:ascii="宋体" w:hAnsi="宋体" w:eastAsia="宋体" w:cs="宋体"/>
          <w:b w:val="0"/>
          <w:color w:val="auto"/>
          <w:szCs w:val="24"/>
          <w:highlight w:val="none"/>
          <w:shd w:val="clear" w:color="auto" w:fill="FFFFFF"/>
        </w:rPr>
        <w:t>为法人或者其他组织的，应当由法定代表人、主要负责人签字或者盖章，并加盖公章。</w:t>
      </w:r>
    </w:p>
    <w:p>
      <w:pPr>
        <w:spacing w:line="500" w:lineRule="exact"/>
        <w:ind w:left="3" w:firstLine="518" w:firstLineChars="216"/>
        <w:rPr>
          <w:rStyle w:val="28"/>
          <w:rFonts w:hint="eastAsia" w:ascii="宋体" w:hAnsi="宋体" w:eastAsia="宋体" w:cs="宋体"/>
          <w:b w:val="0"/>
          <w:color w:val="auto"/>
          <w:szCs w:val="24"/>
          <w:highlight w:val="none"/>
          <w:shd w:val="clear" w:color="auto" w:fill="FFFFFF"/>
        </w:rPr>
      </w:pPr>
      <w:r>
        <w:rPr>
          <w:rStyle w:val="28"/>
          <w:rFonts w:hint="eastAsia" w:ascii="宋体" w:hAnsi="宋体" w:eastAsia="宋体" w:cs="宋体"/>
          <w:b w:val="0"/>
          <w:color w:val="auto"/>
          <w:szCs w:val="24"/>
          <w:highlight w:val="none"/>
          <w:shd w:val="clear" w:color="auto" w:fill="FFFFFF"/>
        </w:rPr>
        <w:t>33.4以联合体形式参加政府采购活动的，其质疑应当由组成联合体的所有</w:t>
      </w:r>
      <w:r>
        <w:rPr>
          <w:rStyle w:val="28"/>
          <w:rFonts w:hint="eastAsia" w:hAnsi="宋体" w:cs="宋体"/>
          <w:b w:val="0"/>
          <w:color w:val="auto"/>
          <w:szCs w:val="24"/>
          <w:highlight w:val="none"/>
          <w:shd w:val="clear" w:color="auto" w:fill="FFFFFF"/>
          <w:lang w:eastAsia="zh-CN"/>
        </w:rPr>
        <w:t>供应商</w:t>
      </w:r>
      <w:r>
        <w:rPr>
          <w:rStyle w:val="28"/>
          <w:rFonts w:hint="eastAsia" w:ascii="宋体" w:hAnsi="宋体" w:eastAsia="宋体" w:cs="宋体"/>
          <w:b w:val="0"/>
          <w:color w:val="auto"/>
          <w:szCs w:val="24"/>
          <w:highlight w:val="none"/>
          <w:shd w:val="clear" w:color="auto" w:fill="FFFFFF"/>
        </w:rPr>
        <w:t>共同提出。</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提出质疑应当提交质疑函和必要的证明材料。质疑函应当包括下列内容：</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的姓名或者名称、地址、邮编、联系人及联系电话；</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pPr>
        <w:spacing w:line="500" w:lineRule="exact"/>
        <w:ind w:right="12" w:firstLine="480" w:firstLineChars="200"/>
        <w:rPr>
          <w:rStyle w:val="28"/>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33.6.1质疑</w:t>
      </w:r>
      <w:r>
        <w:rPr>
          <w:rFonts w:hint="eastAsia" w:hAnsi="宋体" w:cs="宋体"/>
          <w:color w:val="auto"/>
          <w:highlight w:val="none"/>
          <w:lang w:eastAsia="zh-CN"/>
        </w:rPr>
        <w:t>供应商</w:t>
      </w:r>
      <w:r>
        <w:rPr>
          <w:rFonts w:hint="eastAsia" w:ascii="宋体" w:hAnsi="宋体" w:eastAsia="宋体" w:cs="宋体"/>
          <w:color w:val="auto"/>
          <w:highlight w:val="none"/>
        </w:rPr>
        <w:t>不是参与本次政府采购项目的</w:t>
      </w:r>
      <w:r>
        <w:rPr>
          <w:rFonts w:hint="eastAsia" w:hAnsi="宋体" w:cs="宋体"/>
          <w:color w:val="auto"/>
          <w:highlight w:val="none"/>
          <w:lang w:eastAsia="zh-CN"/>
        </w:rPr>
        <w:t>供应商</w:t>
      </w:r>
      <w:r>
        <w:rPr>
          <w:rFonts w:hint="eastAsia" w:ascii="宋体" w:hAnsi="宋体" w:eastAsia="宋体" w:cs="宋体"/>
          <w:color w:val="auto"/>
          <w:highlight w:val="none"/>
        </w:rPr>
        <w:t>；</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33.6.2质疑</w:t>
      </w:r>
      <w:r>
        <w:rPr>
          <w:rFonts w:hint="eastAsia" w:hAnsi="宋体" w:cs="宋体"/>
          <w:color w:val="auto"/>
          <w:highlight w:val="none"/>
          <w:lang w:eastAsia="zh-CN"/>
        </w:rPr>
        <w:t>供应商</w:t>
      </w:r>
      <w:r>
        <w:rPr>
          <w:rFonts w:hint="eastAsia" w:ascii="宋体" w:hAnsi="宋体" w:eastAsia="宋体" w:cs="宋体"/>
          <w:color w:val="auto"/>
          <w:highlight w:val="none"/>
        </w:rPr>
        <w:t>与质疑事项不存在利害关系的；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pPr>
        <w:widowControl/>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pPr>
        <w:widowControl/>
        <w:spacing w:line="500" w:lineRule="exact"/>
        <w:ind w:firstLine="480" w:firstLineChars="200"/>
        <w:rPr>
          <w:rStyle w:val="28"/>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pP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pPr>
        <w:pStyle w:val="45"/>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和其他有关</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对采购人、采购代理机构的答复不满意，或者采购人、采购代理机构未在规定时间内作出答复的，可以在答复期满后15个工作日内向同级人民政府财政部门提起投诉。</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质疑函范本》。《政府采购</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质疑函范本》链接地址：</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pPr>
        <w:pStyle w:val="45"/>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pPr>
        <w:pStyle w:val="45"/>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须知前附表”</w:t>
      </w:r>
    </w:p>
    <w:p>
      <w:pPr>
        <w:pStyle w:val="45"/>
        <w:spacing w:line="500" w:lineRule="exact"/>
        <w:ind w:firstLine="480" w:firstLineChars="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rPr>
        <w:t>33.8.5通讯地址：</w:t>
      </w:r>
      <w:r>
        <w:rPr>
          <w:rFonts w:hint="eastAsia" w:ascii="宋体" w:hAnsi="宋体" w:eastAsia="宋体" w:cs="宋体"/>
          <w:color w:val="auto"/>
          <w:szCs w:val="24"/>
          <w:highlight w:val="none"/>
          <w:lang w:val="zh-CN" w:eastAsia="zh-CN"/>
        </w:rPr>
        <w:t>西安市经济开发区凤城十一路与文景路十字西北角文景广场C座1202室</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pPr>
        <w:spacing w:line="500" w:lineRule="exact"/>
        <w:ind w:firstLine="480" w:firstLineChars="200"/>
        <w:rPr>
          <w:rFonts w:hint="eastAsia" w:ascii="宋体" w:hAnsi="宋体" w:eastAsia="宋体" w:cs="宋体"/>
          <w:color w:val="auto"/>
          <w:highlight w:val="none"/>
        </w:rPr>
      </w:pPr>
      <w:bookmarkStart w:id="47" w:name="_Toc11810"/>
      <w:bookmarkStart w:id="48" w:name="_Toc403077645"/>
      <w:bookmarkStart w:id="49" w:name="_Toc15898"/>
      <w:bookmarkStart w:id="50" w:name="_Toc3798"/>
      <w:bookmarkStart w:id="51" w:name="_Toc11437"/>
      <w:bookmarkStart w:id="52" w:name="_Toc426457694"/>
      <w:r>
        <w:rPr>
          <w:rFonts w:hint="eastAsia" w:ascii="宋体" w:hAnsi="宋体" w:eastAsia="宋体" w:cs="宋体"/>
          <w:color w:val="auto"/>
          <w:highlight w:val="none"/>
        </w:rPr>
        <w:t>34.1 废标的情形</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w:t>
      </w:r>
      <w:r>
        <w:rPr>
          <w:rFonts w:hint="eastAsia" w:hAnsi="宋体" w:cs="宋体"/>
          <w:color w:val="auto"/>
          <w:highlight w:val="none"/>
          <w:lang w:eastAsia="zh-CN"/>
        </w:rPr>
        <w:t>供应商</w:t>
      </w:r>
      <w:r>
        <w:rPr>
          <w:rFonts w:hint="eastAsia" w:ascii="宋体" w:hAnsi="宋体" w:eastAsia="宋体" w:cs="宋体"/>
          <w:color w:val="auto"/>
          <w:highlight w:val="none"/>
        </w:rPr>
        <w:t>或者对招标文件作实质响应的</w:t>
      </w:r>
      <w:r>
        <w:rPr>
          <w:rFonts w:hint="eastAsia" w:hAnsi="宋体" w:cs="宋体"/>
          <w:color w:val="auto"/>
          <w:highlight w:val="none"/>
          <w:lang w:eastAsia="zh-CN"/>
        </w:rPr>
        <w:t>供应商</w:t>
      </w:r>
      <w:r>
        <w:rPr>
          <w:rFonts w:hint="eastAsia" w:ascii="宋体" w:hAnsi="宋体" w:eastAsia="宋体" w:cs="宋体"/>
          <w:color w:val="auto"/>
          <w:highlight w:val="none"/>
        </w:rPr>
        <w:t>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hAnsi="宋体" w:cs="宋体"/>
          <w:color w:val="auto"/>
          <w:highlight w:val="none"/>
          <w:lang w:eastAsia="zh-CN"/>
        </w:rPr>
        <w:t>供应商</w:t>
      </w:r>
      <w:r>
        <w:rPr>
          <w:rFonts w:hint="eastAsia" w:ascii="宋体" w:hAnsi="宋体" w:eastAsia="宋体" w:cs="宋体"/>
          <w:color w:val="auto"/>
          <w:highlight w:val="none"/>
        </w:rPr>
        <w:t>的报价均超过了采购预算或最高限价的，采购人不能支付的；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w:t>
      </w:r>
      <w:r>
        <w:rPr>
          <w:rFonts w:hint="eastAsia" w:hAnsi="宋体" w:cs="宋体"/>
          <w:color w:val="auto"/>
          <w:highlight w:val="none"/>
          <w:lang w:eastAsia="zh-CN"/>
        </w:rPr>
        <w:t>供应商</w:t>
      </w:r>
      <w:r>
        <w:rPr>
          <w:rFonts w:hint="eastAsia" w:ascii="宋体" w:hAnsi="宋体" w:eastAsia="宋体" w:cs="宋体"/>
          <w:color w:val="auto"/>
          <w:highlight w:val="none"/>
        </w:rPr>
        <w:t>不足3家的；</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w:t>
      </w:r>
      <w:r>
        <w:rPr>
          <w:rFonts w:hint="eastAsia" w:hAnsi="宋体" w:cs="宋体"/>
          <w:color w:val="auto"/>
          <w:highlight w:val="none"/>
          <w:lang w:eastAsia="zh-CN"/>
        </w:rPr>
        <w:t>供应商</w:t>
      </w:r>
      <w:r>
        <w:rPr>
          <w:rFonts w:hint="eastAsia" w:ascii="宋体" w:hAnsi="宋体" w:eastAsia="宋体" w:cs="宋体"/>
          <w:color w:val="auto"/>
          <w:highlight w:val="none"/>
        </w:rPr>
        <w:t>不足3家的。</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34.2.2通过符合性审查的</w:t>
      </w:r>
      <w:r>
        <w:rPr>
          <w:rFonts w:hint="eastAsia" w:hAnsi="宋体" w:cs="宋体"/>
          <w:color w:val="auto"/>
          <w:highlight w:val="none"/>
          <w:lang w:eastAsia="zh-CN"/>
        </w:rPr>
        <w:t>供应商</w:t>
      </w:r>
      <w:r>
        <w:rPr>
          <w:rFonts w:hint="eastAsia" w:ascii="宋体" w:hAnsi="宋体" w:eastAsia="宋体" w:cs="宋体"/>
          <w:color w:val="auto"/>
          <w:highlight w:val="none"/>
        </w:rPr>
        <w:t>只有2家时，采购人经同级财政部门同意后，可以按《政府采购非招标采购方式管理办法》（财政部第74号令）的规定与该2家</w:t>
      </w:r>
      <w:r>
        <w:rPr>
          <w:rFonts w:hint="eastAsia" w:hAnsi="宋体" w:cs="宋体"/>
          <w:color w:val="auto"/>
          <w:highlight w:val="none"/>
          <w:lang w:eastAsia="zh-CN"/>
        </w:rPr>
        <w:t>供应商</w:t>
      </w:r>
      <w:r>
        <w:rPr>
          <w:rFonts w:hint="eastAsia" w:ascii="宋体" w:hAnsi="宋体" w:eastAsia="宋体" w:cs="宋体"/>
          <w:color w:val="auto"/>
          <w:highlight w:val="none"/>
        </w:rPr>
        <w:t>进行竞争性谈判采购。</w:t>
      </w:r>
    </w:p>
    <w:p>
      <w:pPr>
        <w:spacing w:line="360" w:lineRule="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pPr>
        <w:pStyle w:val="1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pP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录陕西省政府采购网(www.ccgp-shaanxi.gov.cn/)重要通知专栏中查询了解。</w:t>
      </w:r>
    </w:p>
    <w:p>
      <w:pP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pPr>
        <w:tabs>
          <w:tab w:val="left" w:pos="312"/>
        </w:tabs>
        <w:spacing w:line="520" w:lineRule="exact"/>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tbl>
      <w:tblPr>
        <w:tblStyle w:val="56"/>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pPr>
              <w:pStyle w:val="5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pPr>
              <w:pStyle w:val="5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pPr>
              <w:pStyle w:val="5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82"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firstLine="210" w:firstLineChars="100"/>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pPr>
              <w:pStyle w:val="53"/>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pPr>
              <w:pStyle w:val="53"/>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pPr>
              <w:pStyle w:val="53"/>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pPr>
        <w:pStyle w:val="19"/>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b/>
          <w:bCs/>
        </w:rPr>
      </w:pPr>
    </w:p>
    <w:p>
      <w:pPr>
        <w:jc w:val="center"/>
        <w:rPr>
          <w:rFonts w:hint="eastAsia" w:ascii="宋体" w:hAnsi="宋体" w:eastAsia="宋体" w:cs="宋体"/>
          <w:b/>
          <w:bCs/>
          <w:color w:val="auto"/>
          <w:sz w:val="36"/>
          <w:szCs w:val="36"/>
          <w:highlight w:val="none"/>
        </w:rPr>
      </w:pPr>
      <w:bookmarkStart w:id="54" w:name="_Toc1849"/>
      <w:r>
        <w:rPr>
          <w:rFonts w:hint="eastAsia" w:ascii="宋体" w:hAnsi="宋体" w:eastAsia="宋体" w:cs="宋体"/>
          <w:b/>
          <w:bCs/>
          <w:color w:val="auto"/>
          <w:sz w:val="36"/>
          <w:szCs w:val="36"/>
          <w:highlight w:val="none"/>
        </w:rPr>
        <w:t>第三章  合同条款及格式</w:t>
      </w:r>
      <w:bookmarkEnd w:id="54"/>
    </w:p>
    <w:p>
      <w:pP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4663"/>
      <w:bookmarkStart w:id="56" w:name="_Toc23618"/>
      <w:bookmarkStart w:id="57" w:name="_Toc16478"/>
      <w:r>
        <w:rPr>
          <w:rFonts w:hint="eastAsia" w:ascii="宋体" w:hAnsi="宋体" w:eastAsia="宋体" w:cs="宋体"/>
          <w:b/>
          <w:bCs/>
          <w:color w:val="auto"/>
          <w:sz w:val="32"/>
          <w:szCs w:val="32"/>
          <w:highlight w:val="none"/>
        </w:rPr>
        <w:t>合同前附表</w:t>
      </w:r>
      <w:bookmarkEnd w:id="55"/>
      <w:bookmarkEnd w:id="56"/>
      <w:bookmarkEnd w:id="57"/>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9"/>
        <w:gridCol w:w="7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pPr>
              <w:spacing w:line="440" w:lineRule="exac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西咸新区泾河新城第一中学</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地址：陕西省咸阳市泾阳县泾河大道东段4696号</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西咸新区泾河新城第一中学2024年设备续采项目 </w:t>
            </w:r>
            <w:r>
              <w:rPr>
                <w:rFonts w:hint="eastAsia" w:ascii="宋体" w:hAnsi="宋体" w:eastAsia="宋体" w:cs="宋体"/>
                <w:color w:val="auto"/>
                <w:highlight w:val="none"/>
                <w:lang w:val="en-US" w:eastAsia="zh-CN"/>
              </w:rPr>
              <w:t xml:space="preserve"> </w:t>
            </w:r>
          </w:p>
          <w:p>
            <w:pPr>
              <w:spacing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pP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exac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pPr>
              <w:spacing w:line="440" w:lineRule="exact"/>
              <w:rPr>
                <w:rFonts w:hint="default" w:hAnsi="宋体" w:eastAsia="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hAnsi="宋体" w:cs="宋体"/>
                <w:color w:val="auto"/>
                <w:szCs w:val="24"/>
                <w:highlight w:val="none"/>
                <w:lang w:val="en-US" w:eastAsia="zh-CN"/>
              </w:rPr>
              <w:t>30日历日</w:t>
            </w:r>
          </w:p>
          <w:p>
            <w:pPr>
              <w:spacing w:line="440" w:lineRule="exact"/>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pP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w:t>
            </w:r>
            <w:r>
              <w:rPr>
                <w:rFonts w:hint="eastAsia" w:ascii="宋体" w:hAnsi="宋体" w:eastAsia="宋体" w:cs="宋体"/>
                <w:color w:val="auto"/>
                <w:highlight w:val="none"/>
                <w:lang w:eastAsia="zh-CN"/>
              </w:rPr>
              <w:t>所有采购物品交付安装完毕，经验收投入使用后一次性支付合同金额的 100%</w:t>
            </w:r>
            <w:r>
              <w:rPr>
                <w:rFonts w:hint="eastAsia" w:ascii="宋体" w:hAnsi="宋体" w:eastAsia="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pPr>
              <w:spacing w:line="44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pP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pPr>
              <w:tabs>
                <w:tab w:val="left" w:pos="152"/>
              </w:tabs>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未按合同或招标文件要求提供服务或服务不能满足采购人技术要求，采购单位有权终止合同，甚至对供应商违约行为进行追究。</w:t>
            </w:r>
          </w:p>
        </w:tc>
      </w:tr>
    </w:tbl>
    <w:p>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pPr>
        <w:pStyle w:val="2"/>
        <w:rPr>
          <w:rFonts w:hint="eastAsia" w:ascii="宋体" w:hAnsi="宋体" w:eastAsia="宋体" w:cs="宋体"/>
          <w:b/>
          <w:bCs/>
          <w:color w:val="auto"/>
          <w:sz w:val="48"/>
          <w:szCs w:val="48"/>
          <w:highlight w:val="none"/>
        </w:rPr>
      </w:pPr>
    </w:p>
    <w:p>
      <w:pPr>
        <w:pStyle w:val="2"/>
        <w:rPr>
          <w:rFonts w:hint="eastAsia" w:ascii="宋体" w:hAnsi="宋体" w:eastAsia="宋体" w:cs="宋体"/>
          <w:b/>
          <w:bCs/>
          <w:color w:val="auto"/>
          <w:sz w:val="48"/>
          <w:szCs w:val="48"/>
          <w:highlight w:val="none"/>
        </w:rPr>
      </w:pPr>
    </w:p>
    <w:p>
      <w:pPr>
        <w:pStyle w:val="2"/>
        <w:rPr>
          <w:rFonts w:hint="eastAsia" w:ascii="宋体" w:hAnsi="宋体" w:eastAsia="宋体" w:cs="宋体"/>
          <w:b/>
          <w:bCs/>
          <w:color w:val="auto"/>
          <w:sz w:val="48"/>
          <w:szCs w:val="48"/>
          <w:highlight w:val="none"/>
        </w:rPr>
      </w:pPr>
    </w:p>
    <w:p>
      <w:pPr>
        <w:pStyle w:val="2"/>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西咸新区泾河新城第一中学2024年设备续采项目 </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p>
    <w:p>
      <w:pPr>
        <w:pStyle w:val="2"/>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pP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pP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pP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pPr>
        <w:spacing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5"/>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pPr>
              <w:spacing w:line="5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pP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pPr>
              <w:spacing w:line="520" w:lineRule="exact"/>
              <w:ind w:firstLine="1440" w:firstLineChars="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pP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pPr>
              <w:spacing w:line="520" w:lineRule="exact"/>
              <w:ind w:firstLine="480" w:firstLineChars="200"/>
              <w:rPr>
                <w:rFonts w:hint="eastAsia" w:ascii="宋体" w:hAnsi="宋体" w:eastAsia="宋体" w:cs="宋体"/>
                <w:color w:val="auto"/>
                <w:szCs w:val="24"/>
                <w:highlight w:val="none"/>
              </w:rPr>
            </w:pPr>
          </w:p>
        </w:tc>
        <w:tc>
          <w:tcPr>
            <w:tcW w:w="1444" w:type="dxa"/>
            <w:vAlign w:val="center"/>
          </w:tcPr>
          <w:p>
            <w:pPr>
              <w:spacing w:line="520" w:lineRule="exact"/>
              <w:ind w:firstLine="480" w:firstLineChars="200"/>
              <w:rPr>
                <w:rFonts w:hint="eastAsia" w:ascii="宋体" w:hAnsi="宋体" w:eastAsia="宋体" w:cs="宋体"/>
                <w:color w:val="auto"/>
                <w:szCs w:val="24"/>
                <w:highlight w:val="none"/>
              </w:rPr>
            </w:pPr>
          </w:p>
        </w:tc>
        <w:tc>
          <w:tcPr>
            <w:tcW w:w="3946" w:type="dxa"/>
            <w:vAlign w:val="center"/>
          </w:tcPr>
          <w:p>
            <w:pPr>
              <w:spacing w:line="520" w:lineRule="exact"/>
              <w:ind w:firstLine="480" w:firstLineChars="200"/>
              <w:rPr>
                <w:rFonts w:hint="eastAsia" w:ascii="宋体" w:hAnsi="宋体" w:eastAsia="宋体" w:cs="宋体"/>
                <w:color w:val="auto"/>
                <w:szCs w:val="24"/>
                <w:highlight w:val="none"/>
              </w:rPr>
            </w:pPr>
          </w:p>
        </w:tc>
        <w:tc>
          <w:tcPr>
            <w:tcW w:w="1037" w:type="dxa"/>
            <w:vAlign w:val="center"/>
          </w:tcPr>
          <w:p>
            <w:pPr>
              <w:spacing w:line="520" w:lineRule="exact"/>
              <w:ind w:firstLine="480" w:firstLineChars="200"/>
              <w:rPr>
                <w:rFonts w:hint="eastAsia" w:ascii="宋体" w:hAnsi="宋体" w:eastAsia="宋体" w:cs="宋体"/>
                <w:color w:val="auto"/>
                <w:szCs w:val="24"/>
                <w:highlight w:val="none"/>
              </w:rPr>
            </w:pPr>
          </w:p>
        </w:tc>
        <w:tc>
          <w:tcPr>
            <w:tcW w:w="1027" w:type="dxa"/>
            <w:vAlign w:val="center"/>
          </w:tcPr>
          <w:p>
            <w:pPr>
              <w:spacing w:line="520" w:lineRule="exact"/>
              <w:ind w:firstLine="480" w:firstLineChars="200"/>
              <w:rPr>
                <w:rFonts w:hint="eastAsia" w:ascii="宋体" w:hAnsi="宋体" w:eastAsia="宋体" w:cs="宋体"/>
                <w:color w:val="auto"/>
                <w:szCs w:val="24"/>
                <w:highlight w:val="none"/>
              </w:rPr>
            </w:pPr>
          </w:p>
        </w:tc>
        <w:tc>
          <w:tcPr>
            <w:tcW w:w="1033" w:type="dxa"/>
            <w:vAlign w:val="center"/>
          </w:tcPr>
          <w:p>
            <w:pPr>
              <w:spacing w:line="520" w:lineRule="exact"/>
              <w:ind w:firstLine="480" w:firstLineChars="200"/>
              <w:rPr>
                <w:rFonts w:hint="eastAsia" w:ascii="宋体" w:hAnsi="宋体" w:eastAsia="宋体" w:cs="宋体"/>
                <w:color w:val="auto"/>
                <w:szCs w:val="24"/>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供应商认为需要的其他一切费用。系固定不变价格，且不受市场价格变化因素的影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4.1全部货物到达采购人指定地点并</w:t>
      </w:r>
      <w:r>
        <w:rPr>
          <w:rFonts w:hint="eastAsia" w:hAnsi="宋体" w:cs="宋体"/>
          <w:color w:val="auto"/>
          <w:szCs w:val="24"/>
          <w:highlight w:val="none"/>
          <w:lang w:eastAsia="zh-CN"/>
        </w:rPr>
        <w:t>安装交付使用并</w:t>
      </w:r>
      <w:r>
        <w:rPr>
          <w:rFonts w:hint="eastAsia" w:ascii="宋体" w:hAnsi="宋体" w:eastAsia="宋体" w:cs="宋体"/>
          <w:color w:val="auto"/>
          <w:szCs w:val="24"/>
          <w:highlight w:val="none"/>
        </w:rPr>
        <w:t>验收合格后一次性付清。即人民币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4.4结算方式：验收合格后填写政府采购项目验收单（一式伍份），发票（按合同总价直开采购人），供应商持成交通知书、供货合同、正式发票、政府采购项目验收单，与采购人结算。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五、供应商开户信息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6.1交货期：</w:t>
      </w:r>
      <w:r>
        <w:rPr>
          <w:rFonts w:hint="eastAsia" w:hAnsi="宋体" w:cs="宋体"/>
          <w:color w:val="auto"/>
          <w:szCs w:val="24"/>
          <w:highlight w:val="none"/>
          <w:lang w:val="en-US" w:eastAsia="zh-CN"/>
        </w:rPr>
        <w:t>30日历日</w:t>
      </w:r>
      <w:r>
        <w:rPr>
          <w:rFonts w:hint="eastAsia" w:ascii="宋体" w:hAnsi="宋体" w:eastAsia="宋体" w:cs="宋体"/>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（2）运输由成交供应商负责，运杂费已包含在合同总价内，包括从产品供应地点运送至交付地点所含的运输费、装卸费、仓储费、保险费等。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（3）运输方式由成交供应商自行选择，但必须保证按期交付，相关保险费用由乙方承担。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（4）产品及其备附件到达采购人指定地点后，成交供应商应按有关技术规程和采购人要求进行存放和保管。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质量保证期：自采购人签发最终验收合格证书之日起</w:t>
      </w:r>
      <w:r>
        <w:rPr>
          <w:rFonts w:hint="eastAsia"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年 ，若该质量保证期小于国家标准，则以国家标准为准。产品终身维修，由乙方承担。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9.4成交供应商所供产品因侵权而产生的一切后果由成交供应商负责，采购人保留索赔权利。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10.3供应商未按照合同要求逾期交货的，每日应按照合同总金额的1‰向采购人支付违约金。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12.3成交供应商应向采购人提交项目实施过程中的所有资料，以便采购人日后管理和维护。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16.2合同一式6份，采购人、成交供应商、采购机构各执1份；政府采购监管机构备案1份，成交供应商办理结算2份。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5"/>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ind w:firstLine="700" w:firstLineChars="35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pPr>
              <w:autoSpaceDE w:val="0"/>
              <w:autoSpaceDN w:val="0"/>
              <w:adjustRightInd w:val="0"/>
              <w:ind w:firstLine="800" w:firstLineChars="4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pPr>
              <w:autoSpaceDE w:val="0"/>
              <w:autoSpaceDN w:val="0"/>
              <w:adjustRightInd w:val="0"/>
              <w:ind w:left="600" w:hanging="600" w:hangingChars="3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tblPrEx>
          <w:tblCellMar>
            <w:top w:w="0" w:type="dxa"/>
            <w:left w:w="108" w:type="dxa"/>
            <w:bottom w:w="0" w:type="dxa"/>
            <w:right w:w="108" w:type="dxa"/>
          </w:tblCellMar>
        </w:tblPrEx>
        <w:trPr>
          <w:trHeight w:val="680" w:hRule="exact"/>
          <w:jc w:val="center"/>
        </w:trPr>
        <w:tc>
          <w:tcPr>
            <w:tcW w:w="4201"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pP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pPr>
        <w:spacing w:line="500" w:lineRule="exact"/>
        <w:ind w:firstLine="480" w:firstLineChars="200"/>
        <w:rPr>
          <w:rFonts w:hint="eastAsia" w:ascii="宋体" w:hAnsi="宋体" w:eastAsia="宋体" w:cs="宋体"/>
          <w:color w:val="auto"/>
          <w:szCs w:val="21"/>
          <w:highlight w:val="none"/>
        </w:rPr>
        <w:sectPr>
          <w:footerReference r:id="rId11" w:type="default"/>
          <w:pgSz w:w="11906" w:h="16838"/>
          <w:pgMar w:top="1417" w:right="1417" w:bottom="1417" w:left="1417" w:header="1134" w:footer="1134" w:gutter="0"/>
          <w:pgNumType w:fmt="decimal" w:start="1"/>
          <w:cols w:space="0" w:num="1"/>
          <w:docGrid w:type="lines" w:linePitch="336" w:charSpace="0"/>
        </w:sectPr>
      </w:pPr>
    </w:p>
    <w:p>
      <w:pPr>
        <w:rPr>
          <w:rFonts w:hint="eastAsia" w:ascii="宋体" w:hAnsi="宋体" w:eastAsia="宋体" w:cs="宋体"/>
          <w:b/>
          <w:color w:val="auto"/>
          <w:kern w:val="2"/>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四</w:t>
      </w:r>
      <w:r>
        <w:rPr>
          <w:rFonts w:hint="eastAsia" w:ascii="宋体" w:hAnsi="宋体" w:eastAsia="宋体" w:cs="宋体"/>
          <w:b/>
          <w:bCs/>
          <w:color w:val="auto"/>
          <w:sz w:val="36"/>
          <w:szCs w:val="36"/>
          <w:highlight w:val="none"/>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采购内容及技术要求</w:t>
      </w:r>
    </w:p>
    <w:p>
      <w:pPr>
        <w:pStyle w:val="8"/>
        <w:numPr>
          <w:ilvl w:val="0"/>
          <w:numId w:val="0"/>
        </w:numPr>
        <w:rPr>
          <w:rFonts w:hint="eastAsia"/>
        </w:rPr>
      </w:pPr>
    </w:p>
    <w:p>
      <w:pPr>
        <w:spacing w:line="36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一、项目名称：</w:t>
      </w:r>
      <w:r>
        <w:rPr>
          <w:rFonts w:hint="eastAsia" w:hAnsi="宋体" w:cs="宋体"/>
          <w:color w:val="auto"/>
          <w:szCs w:val="24"/>
          <w:highlight w:val="none"/>
          <w:lang w:val="en-US" w:eastAsia="zh-CN"/>
        </w:rPr>
        <w:t xml:space="preserve">西咸新区泾河新城第一中学2024年设备续采项目 </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技术要求：</w:t>
      </w:r>
    </w:p>
    <w:tbl>
      <w:tblPr>
        <w:tblStyle w:val="25"/>
        <w:tblW w:w="138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690"/>
        <w:gridCol w:w="9477"/>
        <w:gridCol w:w="900"/>
        <w:gridCol w:w="748"/>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947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规格功能参数</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4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4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课桌椅</w:t>
            </w:r>
          </w:p>
        </w:tc>
        <w:tc>
          <w:tcPr>
            <w:tcW w:w="947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1、桌面：600*400*25mmABS原料注塑而成，前方带笔槽。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2、书箱要求：内径450*340*140mm，用PP原料一次注塑而成。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3、桌体钢架：材质及形状：桌体采用橢圆型钢管。桌脚贴地部钢管尺寸： ≥30×60×1.5mm，桌脚上部固定立管钢管尺寸为：≥30*60*1.3mm扁圆管；升降套管≥25×50×1.3mm扁圆管，下链接管用≥25*50*1.3扁圆管。连接书箱Y支架钢管尺寸：≥20×40×1.2mm扁圆管。桌子连接处设有腿板，410*250mm。表面用环保塑粉涂装：钢管，采用优质烤塑粉；功能：采用套管式螺栓升降。</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4、椅子座垫，靠背采用一级工程塑料PP一次性注塑成型，达到环保要求。座垫415*415mm，靠背420*400㎜，椅子前放腿板415*250mm，靠背，腿板通过折叠件连接，可调节坡度。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5、椅腿和椅脚采用椭圆钢管并使用拉杆套管式升降，椅脚贴地部钢管尺寸为： ≥30×60×1.5mm；立柱外钢管尺寸≥30mm×60mm×1.3mm扁圆管, 内钢管≥25mmx50mm×1.3mm扁圆管。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椅脚四端配置高强度增强尼龙外套。椅腿与椅脚成直角焊接，牢固可靠。两椅腿间设有横档，横档采用椭圆钢管，尺寸≥25mm×50mm×1.3mm扁圆管。表面用环保塑粉涂装：钢管架高温粉体烤塑；功能：套管式螺栓升降。</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7、颜色要求钢制部分：白色/浅灰色。</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71195" cy="567690"/>
                  <wp:effectExtent l="0" t="0" r="14605" b="38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4"/>
                          <a:stretch>
                            <a:fillRect/>
                          </a:stretch>
                        </pic:blipFill>
                        <pic:spPr>
                          <a:xfrm>
                            <a:off x="0" y="0"/>
                            <a:ext cx="671195" cy="56769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智慧黑板</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一、整体设计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1.智慧黑板采用三拼接平面一体化设计，无推拉式结构及外露连接线，外观简洁。智慧黑板尺寸宽度不小于4200mm，高度不小于1200mm。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2.主屏支持液体粉笔、水溶性粉笔等直接书写，两侧屏幕均支持普通粉笔、液体粉笔、水溶性粉笔等直接书写。副屏书写屏采用工业级黑色微瓷材质镀膜，表面硬度≥8H，粉笔书写细腻，抗折弯，不掉漆掉色。</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3.液晶屏显示尺寸≥86英寸，采用A规屏；分辨率≥3840×2160；可视角度≥178°。</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4.智慧黑板在0℃- 40℃环境下可正常工作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5.采用2.2声道设计，音箱功率不小于60W，支持高级音效设置，可以调节左右声道平衡。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二、接口及按键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1.具备不少于2路前置双系统USB3.0接口,双系统USB3.0接口支持Android系统、Windows系统读取外接移动存储设备,即插即用无需区分接口对应系统。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2.具备不少于1路前置Typec接口，外接电脑设备通过标准TypeC线连接至智慧黑板TypeC口，可直接调用智慧黑板内置的摄像头、麦克风、扬声器，在外接电脑即可拍摄教室画面。</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3.为避免智慧黑板按键过于复杂，造成老师使用上的误触，前置按键不多于6个，更多的功能可以直接在屏幕上触控操作。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4.电源键为三合一按键，可实现开机、关机、待机三种功能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5.具备多种纸质护眼模式，支持在任意通道下对显示画面实现纹理实时调整；纸质纹理包含牛皮纸、素描纸、宣纸、水彩纸、水纹纸等；支持透明度调节；支持色温调节。</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6.支持通过前置按键一键启动录屏功能，可将屏幕中显示的所有内容与老师人声同时录制。 提供生产厂家确认的、相应的功能证明材料（包括但不限于测试报告、官网和功能截图等），加盖生产厂家公章。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三、智慧黑板功能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1.内置摄像头像素≥1200万，摄像头视场角≥135°支持二维码扫描识别，支持远程巡课等应用。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2.内置非独立外扩展的麦克风，可用于录屏对音频进行采集。</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3.支持无线传屏功能，可以将外部电脑的屏幕画面通过无线方式传输到智慧黑板上显示。</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4.Wi-Fi和AP热点均支持双频2.4G &amp; 5G ，且Wi-Fi支持Wi-Fi6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具备教师个人桌面，教师在智慧黑板设备教学桌面登录账号后，可自动获取并在桌面显示最近使用的教学课件，点击任意课件可直接进入授课模式。支持查看所有个人教学课件资源。教学桌面中的文件管理，支持同时显示本地磁盘、移动类存储设备、学校资源库、教师个人云空间的文件资源。</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6.关机状态下，通过长按电源键进入设置界面后，可点击屏幕选择故障检测、系统还原功能。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四、电脑配置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1.采用抽拉内置式模块化电脑，抽拉内置式，PC模块可插入智慧黑板，可实现无单独接线的插拔。按压式卡扣方式，无需工具即可快速拆卸电脑模块。  提供生产厂家确认的、相应的功能证明材料（包括但不限于测试报告、官网和功能截图等），加盖生产厂家公章。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2.CPU：≥Intel 10代酷睿 i5或以上配置。内存：≥8GB DDR4笔记本内存或以上配置。硬盘：≥256GB SSD固态硬盘或以上配置。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3.PC模块支持不断电情况下热插拔</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五、安卓系统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1.内置安卓系统版本不低于11.0。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2.无PC状态下，Android操作系统下可实现windows系统中常用的教学应用功能，如白板书写、WPS软件使用、网页浏览。</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六、教学白板软件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1.每名教师可扩展升级至不小于200G的个人云空间。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2.支持老师个人账号注册登录使用，也可通过USB key进行身份快速识别登录。</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3.采用备授课一体化框架设计，教师可根据教学场景自由切换类PPT界面的备课模式与触控交互教学模式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4.白板软件APP端支持上传手机相册中的照片和视频到资料夹；APP版支持在线预览、下载资料夹中的图片和视频；支持对通过APP和PC端上传的资源移动、删除和重命名；</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5.白板软件支持PC端/APP端实现信息化集体备课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6.互动课件内容的编辑修改无需人为保存即可自动同步至云空间，可根据教师需要调整云空间自动同步的时间间隔</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7.支持一对一分享云课件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8.软件自带直播课堂功能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9.具备图形自由创作工具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10.内置图片去背景处理功能内置图片裁切功能裁切面积可自由调整；支持对音频文件进行关键帧标记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11.支持授课评价功能，支持添加评分题、主观题等类型，设定评课范围与权限。教师的评价结果马上同步到教学管理平台。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12.支持以列表的方式查看该账号里所有的云课件，打开云课件可对课件中的形状、文本、图片等元素克隆、删除等操作；云课件可通过微信、朋友圈、钉钉、手机号、二维码、加密链接等多种方式实现快速分享；APP具备课件回收站功能支持通过APP录制课件讲解同步的微课视频，视频可直接同步到教师云空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13.具备英语工具AI智能纠错功能，并支持一键纠错；配置听写工具，覆盖不少于8000个英语单词，支持自定义选择单词，根据单词智能生成读音；支持自定义听写频率和次数，一键生成听写卡。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七、德育评价系统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1.教师可对学生进行多维度综合素质评价，支持自定义点评标签类别及点评内容，可根据学校实际需求量身制定点评量表，对学生进行多维度量化评价。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2.校级数据统计：管理系统可汇总查看校内的班级评价排名情况，可以列表形式查看班主任、班级学生数、家长数、班级代码等信息。同时可查看某班某学生的表现行为情况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高效家校沟通：教师可通过精准量化评价记录学生在学校的课堂表现，家长通过家长端应用了解学生表现；对于日常突出表现可以文字评语、图片的形式实时告知家长，强化家校联系。教师可通过系统向家长发送文本、图片、语音、视频和外部网页链接等形式的通知通知，家长以电子回执及信息私聊的方式与教师互动教师可通过系统向家长告知每日作业，并通过系统开展打卡、调查、奖状表彰，开展家校共育。</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4.兼容多平台系统，可在PC、Web、安卓、iOS等系统使用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5.支持进行校级、年级学生综合素质量表快速导入</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手机端学生档案，支持从思想品德、社会实践、身心健康、学业水平、艺术素养五大维度分析和呈现学生发展情况。网页端学生成长统计档案支持导出excel格式的班级学生评价分数，也可以单个学生的形式导出pdf格式的成长档案。</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7.系统支持通过教师日常点评数据及专业心理测试，对学生能力进行分析，分析维度包括专注力、行为习惯、理解力、探索性、表达能力、组织能力等，并对各个能力维度进行能力解释、得分量化、潜力分析。</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支持教师发送作业给其他教师或家长，支持设置定时发送时间支持家长在线提交作业教师可设置提交作业截止时间，并能在线批改学生作业，支持评语、语音及量化点评，教师筛选出的优秀作业可展示给班内所有家长。作业支持订正和修改。</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APP端具备学生档案功能，支持从思想品德、社会实践、身心健康、学业水平、艺术素养五大维度分析和呈现学生发展情况；系统根据学生日常行为评价情况，通过AI学生能力模型进行智能分析，为每个学生生成定制化评语，评语可支持教师二次编辑修改并推送至家长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八、教学教研管理平台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教学教研管理平台采用Saas的服务模式，后台应用B/S架构设计，支持学校管理者在Windows、Linux、Android、iOS等多种不同的操作系统上通过网页浏览器登陆进行操作，可统计全校教师软件活跃数据、点评数据及课件上传等数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为学校提供教研全流程管理服务，包含目标计划、教学设计、集体备课、听课评课、班级氛围等流程管理和数据分析，方便学校统筹管理教学、了解全校教师的教学教研产出。提供生产厂家出具的、相应的功能证明材料（包括但不限于测试报告、官网和功能截图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支持管理员及教师使用网页端、移动端和小程序端登录，移动端支持校本资源的查看和应用，支持进入集体备课等教研活动，支持教学动态的实时通知。小程序端支持查看网页端数据信息，教师榜单，并定期推送数据分析报表，帮助学校检验信息化教学成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教学教研管理平台可展示教师在线研修情况，包括本校最新教研动态，包括集体备课、听课评课、校本资源建设动态，包括教师备课时长和在线学习时长，并分工作日与周末对日均值、全省均值进行对比，掌握教师日常的备课和学习情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创建学校目标与计划，可以在系统中录入学校教学计划，计划可以和教案的课时数相关联，方便管理者掌握学校教学进度。支持以不同学科不同年级教研组为单位，可以在系统中录入教研组教学计划，计划可以和教案的课时数相关联，方便教研组管理教学进度。</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6.▲信息化数据雷达图：将信息化教学数据分五个维度进行评估，分别为资源建设、校影响力、班级氛围、学情分析、校本研修，并与全省均值对比，学校信息化教学情况一目了然。 提供生产厂家确认的、相应的功能证明材料（包括但不限于测试报告、官网和功能截图等），加盖生产厂家公章。</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7.支持查看教师信息化教学数据，包含课件制作数据，并支持按本周、本月、自定义时间查看全校教师课件制作的数据排行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84225" cy="506730"/>
                  <wp:effectExtent l="0" t="0" r="15875"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5"/>
                          <a:stretch>
                            <a:fillRect/>
                          </a:stretch>
                        </pic:blipFill>
                        <pic:spPr>
                          <a:xfrm>
                            <a:off x="0" y="0"/>
                            <a:ext cx="784225" cy="50673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讲台</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1、讲桌采用钢木结合构造，钢板厚度1.2-1.5mm。讲台关闭尺寸：1000*700*1000mm。</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2、中间两个抽屉，下层对开门。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24230" cy="844550"/>
                  <wp:effectExtent l="0" t="0" r="13970" b="1270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6"/>
                          <a:stretch>
                            <a:fillRect/>
                          </a:stretch>
                        </pic:blipFill>
                        <pic:spPr>
                          <a:xfrm>
                            <a:off x="0" y="0"/>
                            <a:ext cx="824230" cy="8445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教师公寓床</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rPr>
                <w:rFonts w:hint="eastAsia" w:ascii="宋体" w:hAnsi="宋体" w:eastAsia="宋体" w:cs="宋体"/>
                <w:kern w:val="0"/>
                <w:sz w:val="20"/>
                <w:szCs w:val="20"/>
              </w:rPr>
            </w:pPr>
            <w:r>
              <w:rPr>
                <w:rFonts w:hint="eastAsia" w:ascii="宋体" w:hAnsi="宋体" w:eastAsia="宋体" w:cs="宋体"/>
                <w:kern w:val="0"/>
                <w:sz w:val="20"/>
                <w:szCs w:val="20"/>
              </w:rPr>
              <w:t>尺寸≥2000*1200*1050mm,基材：采用三聚氰胺板或饰面刨花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w:t>
            </w:r>
          </w:p>
          <w:p>
            <w:pPr>
              <w:widowControl/>
              <w:numPr>
                <w:ilvl w:val="0"/>
                <w:numId w:val="3"/>
              </w:numPr>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2、配套床头柜一个，尺寸为：550mm*450mm*450mm。单层抽屉。床垫一张。 </w:t>
            </w:r>
          </w:p>
          <w:p>
            <w:pPr>
              <w:widowControl/>
              <w:numPr>
                <w:ilvl w:val="0"/>
                <w:numId w:val="0"/>
              </w:numPr>
              <w:ind w:leftChars="0"/>
              <w:jc w:val="left"/>
              <w:rPr>
                <w:rFonts w:hint="eastAsia" w:ascii="宋体" w:hAnsi="宋体" w:eastAsia="宋体" w:cs="宋体"/>
                <w:kern w:val="0"/>
                <w:sz w:val="20"/>
                <w:szCs w:val="20"/>
              </w:rPr>
            </w:pPr>
            <w:r>
              <w:rPr>
                <w:rFonts w:hint="eastAsia" w:hAnsi="宋体" w:cs="宋体"/>
                <w:kern w:val="0"/>
                <w:sz w:val="20"/>
                <w:szCs w:val="20"/>
                <w:lang w:val="en-US" w:eastAsia="zh-CN"/>
              </w:rPr>
              <w:t>3、</w:t>
            </w:r>
            <w:r>
              <w:rPr>
                <w:rFonts w:hint="eastAsia" w:ascii="宋体" w:hAnsi="宋体" w:eastAsia="宋体" w:cs="宋体"/>
                <w:kern w:val="0"/>
                <w:sz w:val="20"/>
                <w:szCs w:val="20"/>
              </w:rPr>
              <w:t xml:space="preserve">配三门衣柜，尺寸为：1200mm*550mm*2000mm。                        </w:t>
            </w:r>
          </w:p>
          <w:p>
            <w:pPr>
              <w:widowControl/>
              <w:numPr>
                <w:ilvl w:val="0"/>
                <w:numId w:val="0"/>
              </w:numPr>
              <w:ind w:leftChars="0"/>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4、配电脑桌一张，尺寸为：1200mm*600mm*780mm。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68350" cy="709295"/>
                  <wp:effectExtent l="0" t="0" r="12700" b="1460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7"/>
                          <a:stretch>
                            <a:fillRect/>
                          </a:stretch>
                        </pic:blipFill>
                        <pic:spPr>
                          <a:xfrm>
                            <a:off x="0" y="0"/>
                            <a:ext cx="768350" cy="70929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教室书包柜</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一、参数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 单门规格</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高约305mm*宽约385mm*深约468mm （不含底座）。</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2、板材框架厚度：</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侧板≥22mm 顶板≥30mm 底板≥30mm 门板 ≥30mm  底座 ≥80mm。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3、采用100%全新ABS塑料，柜体不使用任何五金件（锁具除外）</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4、柜体顶部和外侧板采用凸起设计，凸起部分需大于8mm。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5、每门标配配件：无孔拉手*1个，眼镜盒*1个，门牌号*1张。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二、工艺说明</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1、使用榫卯链接结构。柜体与柜门使用全塑尼龙铰链连接。</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2、门板与侧板连接处设计有防盗插销。</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3、背插板设有通气孔。</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4、底座高度80mm。</w:t>
            </w:r>
          </w:p>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kern w:val="0"/>
                <w:sz w:val="20"/>
                <w:szCs w:val="20"/>
              </w:rPr>
              <w:t>5、提供检验依据为：GB/T 32487-2016《塑料家具通用技术条件》质量检测报告、GB 28481-2012 塑料家具中有害物质限量检测报告。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67715" cy="552450"/>
                  <wp:effectExtent l="0" t="0" r="13335"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8"/>
                          <a:stretch>
                            <a:fillRect/>
                          </a:stretch>
                        </pic:blipFill>
                        <pic:spPr>
                          <a:xfrm>
                            <a:off x="0" y="0"/>
                            <a:ext cx="767715" cy="5524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教室保洁柜</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800mm*400mm*1300mm(±10mm)采用≥0.6MM不锈钢：金属表面经脱脂、除锈、酸洗、磷化、表面调整、钝化等工序处理，磷化处理后形成的磷化膜应符合要求。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529590" cy="770890"/>
                  <wp:effectExtent l="0" t="0" r="3810" b="1016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9"/>
                          <a:stretch>
                            <a:fillRect/>
                          </a:stretch>
                        </pic:blipFill>
                        <pic:spPr>
                          <a:xfrm>
                            <a:off x="0" y="0"/>
                            <a:ext cx="529590" cy="77089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教室办公卡位</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一套6个卡位，（含办公椅）尺寸：屏风卡位≥1400长*1400宽*1200高，</w:t>
            </w:r>
          </w:p>
          <w:p>
            <w:pPr>
              <w:widowControl/>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kern w:val="0"/>
                <w:sz w:val="20"/>
                <w:szCs w:val="20"/>
              </w:rPr>
              <w:t>1、面材:采用E1级“三聚氰胺饰面刨花板”，厚度≥25mm.                                                           2、柜体板材：采用中密度MFC板“三聚氰胺饰面刨花板”，厚度≥16mm。                                                                                                                                           3、封边：采用PVC封边条，台面封边条厚度≥2.0mm，柜体封边条厚度≥1.0mm。                                                                            4、胶水：环保热熔胶，符合国际E1级环保标准。                                                                                                                         5、五金配件：三节路轨拉趟次数超过10万次，具备隐藏式滑道带防滑脱系统。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89305" cy="541020"/>
                  <wp:effectExtent l="0" t="0" r="10795" b="1143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20"/>
                          <a:stretch>
                            <a:fillRect/>
                          </a:stretch>
                        </pic:blipFill>
                        <pic:spPr>
                          <a:xfrm>
                            <a:off x="0" y="0"/>
                            <a:ext cx="789305" cy="54102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视屏展示台</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1.整机采用圆弧式设计，托板采用磁吸吸附式机构，防止托板打落，方便打开及固定，避免机械式锁具故障率高的问题。</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2.采用≥800万像素摄像头，采用 USB直接供电。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3.A4大小拍摄幅面，1080P动态视频预览不低于30帧/秒。</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4.支持对展台画面进行放大、缩小、旋转、自适应、冻结画面等操作。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5.支持展台画面实时批注，预设多种笔划粗细及颜色供选择，且支持对展台画面联同批注内容进行同步缩放、移动。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6.支持将书本上的二维码放入扫描框内即可自动扫描，并进入系统浏览器获取二维码的链接内容，帮助老师快速获取电子教学资源。</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7.外壳在摄像头部分带保护镜片密封，防止灰尘沾染摄像头，防护等级达到IP4X级别。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35000" cy="677545"/>
                  <wp:effectExtent l="0" t="0" r="12700" b="8255"/>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21"/>
                          <a:stretch>
                            <a:fillRect/>
                          </a:stretch>
                        </pic:blipFill>
                        <pic:spPr>
                          <a:xfrm>
                            <a:off x="0" y="0"/>
                            <a:ext cx="635000" cy="67754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电子班牌</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一、智慧班牌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1.电子班牌的显示屏≥21.5英寸，采用横屏式电容显示屏，支持10点触控，屏幕分辨率≥1920*1080，显示比例16:9；屏幕亮度≥500cd/㎡。</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2.防护等级不低于IP65。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3.整机背部与墙面微距全贴合，背面与平整墙面间隙最大处≤2.5mm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4.整机最大厚度不大于29mm。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5.整机正面覆盖防眩光钢化玻璃，可在阳光、白炽灯、日光灯等强光照射下正常使用。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6.可拍摄不低于200W像素的照片，支持不少于5人同时进行人脸识别。可支持学生无卡考勤签到、查看个人课程表、家长留言等个人信息。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7.整机摄像头sensor支持宽动态，宽动态范围≥96dB</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8.内置高灵敏度的全向麦克风，拾音半径不小于0.5m，支持学生语音留言，留言内容同步发送至家长微信。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9.内置2.0立体声道功放，支持视频及家长留言的音频播放。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10.刷卡器：具有内置IC卡刷卡器，支持14443协议。学生可佩带相应的终端设备完成刷卡签到、查看个人信息等操作。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11.整机具备至少一路RJ45网络接口；具备不少于2路USB 2.0接口。</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12.整机采用内置天线设计，无任何天线外露。</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13.整机支持外接门禁及串口接口。</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14.系统运行内存不低于2GB，存储容量不低于8GB；操作系统版本不低于Android 9.0。(需提供生产厂家确认的、相应的功能证明材料，包括但不限于测试报告、官网和功能截图)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15.整机CPU≥4核，最高主频≥1.9G，操作系统版本不低于Android 9.0。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16.整机电源采用插墙式电源适配器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17.支持远程开关机功能，远程唤醒待机功耗≤2W。</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二、智慧班牌管理平台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20种显示组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系统内置超过200张屏保云图，分属于不同的云图库（如：卫生健康、党建文化、科普知识等），用户可以选择需要的云图库作为班牌屏保。(需提供生产厂家确认的、相应的功能证明材料，包括但不限于测试报告、官网和功能截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系统内置50+海报模板（如，欢迎模式，卫生健康，校园风采，通知公告等），支持用户自定义修改背景及文案。同时可以自定义管理海报分类。(需提供生产厂家确认的、相应的功能证明材料，包括但不限于测试报告、官网和功能截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5.系统支持对信息发布进行审核权限管理，可同时设置不同审核人，用户进行信息发布时，需由指定用户审核后才可在设备上展示。</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6.支持信息发布IP白名单管理，可将相关管理人员的办公网络IP地址纳入“IP白名单”，白名单外的IP地址无法获取信息发布权限。</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7.系统支持发布课程作息时间表，可按全校和年级层级进行分层执行。每天可执行不同的课程作息时间表，便于灵活管理教学作息时间。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8.学生考勤结果可自动推送至家长手机端，供家长查看学生考勤信息。支持考勤结束后自动推送考勤结果给班主任和任课老师，同时老师可设置关闭通知开关。</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9.系统支持在云班后台将可用来预约的场地开启场地预约，然后老师即可在云班后台发起场地预约。同时班牌端会显示当前场地近两周的预约占用情况。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10.班牌软件支持远程0TA静默升级。</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11.为保证数据安全，系统应采用云服务器部署，支持广域网操作和管理，即管理员可使用账号密码登录网站进行管理。</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12.涉及解除触控锁定、绑定教室、系统设置（网络设置、解绑教室）、退出软件和重启设备的设置或操作时，均需进行用户身份二维码扫描认证。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13.班牌初始化时，管理员扫描界面中的二维码可以为该班牌绑定教室；已绑定的可扫码解绑。</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14.班牌内置电子动态二维码供用户提交反馈建议，提交反馈时会自动上报该设备的配置、运行状态等信息。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15.支持向家长发送语音留言，留言信息实时推送至家长微信小程序手机端，并且家长可对留言进行文字回复；支持学生通过个人空间査看家长回复的文字留言。</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16.支持管理系统与学生行为评价软件账号的单点登录、数据互通，教师对学生进行评价后，相应的评价分数会实时同步至班牌。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17.人脸识别考勤功能支持离线识别，无网络环境下班牌仍可以进行人脸识别考勤；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18.支持自定义德育督导班级评分标准</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19.▲班牌可连接对应场地内的网络摄像头和录播设备，在班牌即可査看教室内的上课画面，实现电子可视化巡课；可在单个班牌切换查看多个班级部署可视化巡课系统的课堂画面。(需提供生产厂家确认的、相应的功能证明材料，包括但不限于测试报告、官网和功能截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20.支持学校管理员或班主任在微信端编辑并发起问卷，家长在微信端填写问卷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21.班牌端录入人脸识别照片：老师在班牌端扫码后，即可进入人脸照片录入界面，可依次让学生直接在班牌上拍照上传人脸识别照片。</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22.系统支持设定班牌定时开关机管理策略，支持对班牌批量设置多组自动开关机时间策略，可实现班牌每天执行不同的开关机时间策略，满足学校灵活管理设备的需求。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77240" cy="577850"/>
                  <wp:effectExtent l="0" t="0" r="3810" b="12700"/>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22"/>
                          <a:stretch>
                            <a:fillRect/>
                          </a:stretch>
                        </pic:blipFill>
                        <pic:spPr>
                          <a:xfrm>
                            <a:off x="0" y="0"/>
                            <a:ext cx="777240" cy="5778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教师手提电脑</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性能不低于：</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处理器：I5-13500H，</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内存：16GB DDR4-3200，硬盘：1TB SSD，显卡：集成显卡</w:t>
            </w:r>
          </w:p>
          <w:p>
            <w:pPr>
              <w:widowControl/>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kern w:val="0"/>
                <w:sz w:val="20"/>
                <w:szCs w:val="20"/>
              </w:rPr>
              <w:t>摄像头：720p HD RGB 88°广角摄像头；摄像头自动补光。屏幕尺寸：</w:t>
            </w:r>
            <w:r>
              <w:rPr>
                <w:rFonts w:ascii="宋体" w:hAnsi="宋体" w:eastAsia="宋体" w:cs="宋体"/>
                <w:kern w:val="0"/>
                <w:sz w:val="20"/>
                <w:szCs w:val="20"/>
              </w:rPr>
              <w:t>14寸</w:t>
            </w:r>
            <w:r>
              <w:rPr>
                <w:rFonts w:hint="eastAsia" w:ascii="宋体" w:hAnsi="宋体" w:eastAsia="宋体" w:cs="宋体"/>
                <w:kern w:val="0"/>
                <w:sz w:val="20"/>
                <w:szCs w:val="20"/>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84225" cy="541655"/>
                  <wp:effectExtent l="0" t="0" r="15875" b="10795"/>
                  <wp:docPr id="1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65"/>
                          <pic:cNvPicPr>
                            <a:picLocks noChangeAspect="1"/>
                          </pic:cNvPicPr>
                        </pic:nvPicPr>
                        <pic:blipFill>
                          <a:blip r:embed="rId23"/>
                          <a:stretch>
                            <a:fillRect/>
                          </a:stretch>
                        </pic:blipFill>
                        <pic:spPr>
                          <a:xfrm>
                            <a:off x="0" y="0"/>
                            <a:ext cx="784225" cy="54165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合班教室电子屏</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一、整体设计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1.智慧黑板采用三拼接平面一体化设计，无推拉式结构及外露连接线，外观简洁。智慧黑板尺寸宽度不小于4200mm，高度不小于1200mm。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2.主屏支持液体粉笔、水溶性粉笔等直接书写，两侧屏幕均支持普通粉笔、液体粉笔、水溶性粉笔等直接书写。副屏书写屏采用工业级黑色微瓷材质镀膜，表面硬度≥8H，粉笔书写细腻，抗折弯，不掉漆掉色。</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3.液晶屏显示尺寸≥86英寸，采用A规屏；分辨率≥3840×2160；可视角度≥178°。</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4.智慧黑板在0℃- 40℃环境下可正常工作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5.采用2.2声道设计，音箱功率不小于60W，支持高级音效设置，可以调节左右声道平衡。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二、接口及按键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1.具备不少于2路前置双系统USB3.0接口,双系统USB3.0接口支持Android系统、Windows系统读取外接移动存储设备,即插即用无需区分接口对应系统。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2.具备不少于1路前置Typec接口，外接电脑设备通过标准TypeC线连接至智慧黑板TypeC口，可直接调用智慧黑板内置的摄像头、麦克风、扬声器，在外接电脑即可拍摄教室画面。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3.为避免智慧黑板按键过于复杂，造成老师使用上的误触，前置按键不多于6个，更多的功能可以直接在屏幕上触控操作。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4.电源键为三合一按键，可实现开机、关机、待机三种功能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5.具备多种纸质护眼模式，支持在任意通道下对显示画面实现纹理实时调整；纸质纹理包含牛皮纸、素描纸、宣纸、水彩纸、水纹纸等；支持透明度调节；支持色温调节。</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6.支持通过前置按键一键启动录屏功能，可将屏幕中显示的所有内容与老师人声同时录制。 提供生产厂家确认的、相应的功能证明材料（包括但不限于测试报告、官网和功能截图等），加盖生产厂家公章。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三、智慧黑板功能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1.内置摄像头，摄像头像素≥1300万，摄像头视场角≥135°,支持二维码扫描识别，支持远程巡课等应用。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2.内置非独立外扩展的麦克风，可用于录屏对音频进行采集。</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3.支持无线传屏功能，可以将外部电脑的屏幕画面通过无线方式传输到智慧黑板上显示。</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4.Wi-Fi和AP热点均支持双频2.4G &amp; 5G ，且Wi-Fi支持Wi-Fi6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具备教师个人桌面，教师在智慧黑板设备教学桌面登录账号后，可自动获取并在桌面显示最近使用的教学课件，点击任意课件可直接进入授课模式。支持查看所有个人教学课件资源。教学桌面中的文件管理，支持同时显示本地磁盘、移动类存储设备、学校资源库、教师个人云空间的文件资源。</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6.关机状态下，通过长按电源键进入设置界面后，可点击屏幕选择故障检测、系统还原功能。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四、电脑配置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1.采用抽拉内置式模块化电脑，抽拉内置式，PC模块可插入智慧黑板，可实现无单独接线的插拔。按压式卡扣方式，无需工具即可快速拆卸电脑模块。  提供生产厂家确认的、相应的功能证明材料（包括但不限于测试报告、官网和功能截图等），加盖生产厂家公章。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2.CPU：≥Intel 10代酷睿 i5或以上配置。内存：≥8GB DDR4笔记本内存或以上配置。硬盘：≥256GB SSD固态硬盘或以上配置。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3.PC模块支持不断电情况下热插拔</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五、安卓系统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1.内置安卓系统版本不低于11.0。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2.无PC状态下，Android操作系统下可实现windows系统中常用的教学应用功能，如白板书写、WPS软件使用、网页浏览。</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六、教学白板软件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1.每名教师可扩展升级至不小于200G的个人云空间。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2.支持老师个人账号注册登录使用，也可通过USB key进行身份快速识别登录。</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3.采用备授课一体化框架设计，教师可根据教学场景自由切换类PPT界面的备课模式与触控交互教学模式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4.白板软件APP端支持上传手机相册中的照片和视频到资料夹；APP版支持在线预览、下载资料夹中的图片和视频；支持对通过APP和PC端上传的资源移动、删除和重命名；</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5.白板软件支持PC端/APP端实现信息化集体备课</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6.互动课件内容的编辑修改无需人为保存即可自动同步至云空间，可根据教师需要调整云空间自动同步的时间间隔</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7.支持一对一分享云课件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8.软件自带直播课堂功能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9.具备图形自由创作工具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10.内置图片去背景处理功能；内置图片裁切功能裁切面积可自由调整；支持对音频文件进行关键帧标记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11.支持授课评价功能，支持添加评分题、主观题等类型，设定评课范围与权限。教师的评价结果马上同步到教学管理平台。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12.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13.▲白板软件具备英语工具AI智能纠错功能，内置AI智能语义分析模块，可对输入的英文文本的拼写、句型、语法进行错误检查，并支持一键纠错；配置听写工具，覆盖不少于8000个英语单词，支持自定义选择单词，根据单词智能生成读音；支持自定义听写频率和次数，一键生成听写卡。 提供生产厂家确认的、相应的功能证明材料（包括但不限于测试报告、官网和功能截图等），加盖生产厂家公章。</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七、德育评价系统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1.教师可对学生进行多维度综合素质评价，支持自定义点评标签类别及点评内容，可根据学校实际需求量身制定点评量表，对学生进行多维度量化评价。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2.校级数据统计：管理系统可汇总查看校内的班级评价排名情况，可以列表形式查看班主任、班级学生数、家长数、班级代码等信息。同时可查看某班某学生的表现行为情况。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高效家校沟通：教师可通过精准量化评价记录学生在学校的课堂表现，家长通过家长端应用了解学生表现；对于日常突出表现可以文字评语、图片的形式实时告知家长，强化家校联系。教师可通过系统向家长发送文本、图片、语音、视频和外部网页链接等形式的通知通知，家长以电子回执及信息私聊的方式与教师互动教师可通过系统向家长告知每日作业，并通过系统开展打卡、调查、奖状表彰，开展家校共育。</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4.兼容多平台系统，可在PC、Web、安卓、iOS等系统使用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5.支持进行校级、年级学生综合素质量表快速导入</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手机端学生档案，支持从思想品德、社会实践、身心健康、学业水平、艺术素养五大维度分析和呈现学生发展情况。网页端学生成长统计档案支持导出excel格式的班级学生评价分数，也可以单个学生的形式导出pdf格式的成长档案。</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7.系统支持通过教师日常点评数据及专业心理测试，对学生能力进行分析，分析维度包括专注力、行为习惯、理解力、探索性、表达能力、组织能力等，并对各个能力维度进行能力解释、得分量化、潜力分析。</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支持教师发送作业给其他教师或家长，支持设置定时发送时间教师可设置提交作业截止时间，并能在线批改学生作业，支持评语、语音及量化点评，教师筛选出的优秀作业可展示给班内所有家长。作业支持订正和修改。</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APP端具备学生档案功能，支持从思想品德、社会实践、身心健康、学业水平、艺术素养五大维度分析和呈现学生发展情况；系统根据学生日常行为评价情况，通过AI学生能力模型进行智能分析，为每个学生生成定制化评语，评语可支持教师二次编辑修改并推送至家长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八、教学教研管理平台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教学教研管理平台采用Saas的服务模式，后台应用B/S架构设计，支持学校管理者在Windows、Linux、Android、iOS等多种不同的操作系统上通过网页浏览器登陆进行操作，可统计全校教师软件活跃数据、点评数据及课件上传等数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为学校提供教研全流程管理服务，包含目标计划、教学设计、集体备课、听课评课、班级氛围等流程管理和数据分析，方便学校统筹管理教学、了解全校教师的教学教研产出。提供生产厂家出具的、相应的功能证明材料（包括但不限于测试报告、官网和功能截图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支持管理员及教师使用网页端、移动端和小程序端登录，移动端支持校本资源的查看和应用，支持进入集体备课等教研活动，支持教学动态的实时通知。小程序端支持查看网页端数据信息，教师榜单，并定期推送数据分析报表，帮助学校检验信息化教学成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教学教研管理平台可展示教师在线研修情况，包括本校最新教研动态，包括集体备课、听课评课、校本资源建设动态，包括教师备课时长和在线学习时长，并分工作日与周末对日均值、全省均值进行对比，掌握教师日常的备课和学习情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创建学校目标与计划，可以在系统中录入学校教学计划，计划可以和教案的课时数相关联，方便管理者掌握学校教学进度。支持以不同学科不同年级教研组为单位，可以在系统中录入教研组教学计划，计划可以和教案的课时数相关联，方便教研组管理教学进度。</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6.▲信息化数据雷达图：将信息化教学数据分五个维度进行评估，分别为资源建设、校影响力、班级氛围、学情分析、校本研修，并与全省均值对比，学校信息化教学情况一目了然。 提供生产厂家确认的、相应的功能证明材料（包括但不限于测试报告、官网和功能截图等），加盖生产厂家公章。</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7.支持查看教师信息化教学数据，包含课件制作数据，并支持按本周、本月、自定义时间查看全校教师课件制作的数据排行。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86435" cy="443230"/>
                  <wp:effectExtent l="0" t="0" r="18415" b="13970"/>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15"/>
                          <a:stretch>
                            <a:fillRect/>
                          </a:stretch>
                        </pic:blipFill>
                        <pic:spPr>
                          <a:xfrm>
                            <a:off x="0" y="0"/>
                            <a:ext cx="686435" cy="44323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视屏展示台</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1.整机采用圆弧式设计，托板采用磁吸吸附式机构，防止托板打落，方便打开及固定，避免机械式锁具故障率高的问题。</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2.采用≥800万像素摄像头，采用 USB直接供电</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3.A4大小拍摄幅面，1080P动态视频预览不低于30帧/秒。</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4.支持对展台画面进行放大、缩小、旋转、自适应、冻结画面等操作。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5.支持展台画面实时批注，预设多种笔划粗细及颜色供选择，且支持对展台画面联同批注内容进行同步缩放、移动。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6.支持将书本上的二维码放入扫描框内即可自动扫描，并进入系统浏览器获取二维码的链接内容，帮助老师快速获取电子教学资源。</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7.外壳在摄像头部分带保护镜片密封，防止灰尘沾染摄像头，防护等级达到IP4X级别。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16585" cy="666750"/>
                  <wp:effectExtent l="0" t="0" r="12065" b="0"/>
                  <wp:docPr id="1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IMG_267"/>
                          <pic:cNvPicPr>
                            <a:picLocks noChangeAspect="1"/>
                          </pic:cNvPicPr>
                        </pic:nvPicPr>
                        <pic:blipFill>
                          <a:blip r:embed="rId24"/>
                          <a:stretch>
                            <a:fillRect/>
                          </a:stretch>
                        </pic:blipFill>
                        <pic:spPr>
                          <a:xfrm>
                            <a:off x="0" y="0"/>
                            <a:ext cx="616585" cy="6667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合班教室教师讲桌</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1、讲桌采用钢木结合构造，钢板厚度1.2-1.5mm。讲台关闭尺寸：1000*700*1000mm。</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2、中间两个抽屉，下层对开门。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42315" cy="756920"/>
                  <wp:effectExtent l="0" t="0" r="635" b="5080"/>
                  <wp:docPr id="1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68"/>
                          <pic:cNvPicPr>
                            <a:picLocks noChangeAspect="1"/>
                          </pic:cNvPicPr>
                        </pic:nvPicPr>
                        <pic:blipFill>
                          <a:blip r:embed="rId16"/>
                          <a:stretch>
                            <a:fillRect/>
                          </a:stretch>
                        </pic:blipFill>
                        <pic:spPr>
                          <a:xfrm>
                            <a:off x="0" y="0"/>
                            <a:ext cx="742315" cy="75692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合班教室桌椅</w:t>
            </w:r>
          </w:p>
        </w:tc>
        <w:tc>
          <w:tcPr>
            <w:tcW w:w="9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桌子：1.钢木结构：尺寸1200*600*750mm。</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2.台面：采用≥18mm多层板制作。</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3.安全性能要求：与人体接触的零部件不应有毛刺、刃口、尖锐的棱角和端头，操作台面接缝应平整、紧密，不应渗水、开缝。</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4.桌腿采用≥80*40*1.2无缝管焊接打磨，表面平整；底部配备走线盒。</w:t>
            </w:r>
          </w:p>
          <w:p>
            <w:pPr>
              <w:widowControl/>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0"/>
                <w:szCs w:val="20"/>
              </w:rPr>
              <w:t xml:space="preserve">5.前后横梁全部采用≥40*40*1.2mm无缝管制作,易碰撞处全部采用倒圆角，产品款式要求整体设计美观、合理、安全、牢固、耐用。金属表面经环氧树脂粉末喷涂高温固化处理。                                                                                                                                           椅子：1、椅子座垫，靠背均采用一级工程塑料PP，一次性注塑成型，达到环保要求，座垫425*415mm，靠背450*410㎜，椅子前放腿板410*250mm。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51840" cy="576580"/>
                  <wp:effectExtent l="0" t="0" r="10160" b="1397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25"/>
                          <a:stretch>
                            <a:fillRect/>
                          </a:stretch>
                        </pic:blipFill>
                        <pic:spPr>
                          <a:xfrm>
                            <a:off x="0" y="0"/>
                            <a:ext cx="751840" cy="576580"/>
                          </a:xfrm>
                          <a:prstGeom prst="rect">
                            <a:avLst/>
                          </a:prstGeom>
                          <a:noFill/>
                          <a:ln w="9525">
                            <a:noFill/>
                          </a:ln>
                        </pic:spPr>
                      </pic:pic>
                    </a:graphicData>
                  </a:graphic>
                </wp:inline>
              </w:drawing>
            </w:r>
          </w:p>
        </w:tc>
      </w:tr>
    </w:tbl>
    <w:p>
      <w:pPr>
        <w:rPr>
          <w:rFonts w:hint="eastAsia" w:hAnsi="宋体" w:cs="宋体"/>
          <w:color w:val="auto"/>
          <w:sz w:val="24"/>
          <w:szCs w:val="24"/>
          <w:highlight w:val="none"/>
          <w:lang w:eastAsia="zh-CN"/>
        </w:rPr>
      </w:pPr>
    </w:p>
    <w:p>
      <w:pPr>
        <w:rPr>
          <w:rFonts w:hint="eastAsia" w:ascii="宋体" w:hAnsi="宋体" w:eastAsia="宋体" w:cs="宋体"/>
          <w:color w:val="auto"/>
          <w:szCs w:val="24"/>
          <w:highlight w:val="none"/>
          <w:lang w:eastAsia="zh-CN"/>
        </w:rPr>
        <w:sectPr>
          <w:pgSz w:w="16838" w:h="11906" w:orient="landscape"/>
          <w:pgMar w:top="1417" w:right="1417" w:bottom="1417" w:left="1417" w:header="1134" w:footer="1134" w:gutter="0"/>
          <w:pgNumType w:fmt="decimal"/>
          <w:cols w:space="0" w:num="1"/>
          <w:docGrid w:type="lines" w:linePitch="336" w:charSpace="0"/>
        </w:sectPr>
      </w:pPr>
      <w:r>
        <w:rPr>
          <w:rFonts w:hint="eastAsia" w:hAnsi="宋体" w:cs="宋体"/>
          <w:color w:val="auto"/>
          <w:sz w:val="24"/>
          <w:szCs w:val="24"/>
          <w:highlight w:val="none"/>
          <w:lang w:eastAsia="zh-CN"/>
        </w:rPr>
        <w:t>注：标▲参数为重要参数，需提供相关证明材料，包括但不限于产品彩页、功能截图、检测（测试）报告等；未提供证明材料的视为负偏离，评审时将做扣分处理。</w:t>
      </w:r>
    </w:p>
    <w:p>
      <w:pPr>
        <w:rPr>
          <w:rFonts w:hint="eastAsia" w:ascii="宋体" w:hAnsi="宋体" w:eastAsia="宋体" w:cs="宋体"/>
          <w:color w:val="auto"/>
          <w:szCs w:val="24"/>
          <w:highlight w:val="yellow"/>
          <w:lang w:eastAsia="zh-CN"/>
        </w:rPr>
      </w:pPr>
    </w:p>
    <w:p>
      <w:pPr>
        <w:spacing w:line="360" w:lineRule="auto"/>
        <w:ind w:firstLine="720" w:firstLineChars="3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三、商务条款</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（一）交货期：30日历日</w:t>
      </w:r>
      <w:r>
        <w:rPr>
          <w:rFonts w:hint="eastAsia" w:hAnsi="宋体" w:cs="宋体"/>
          <w:color w:val="auto"/>
          <w:szCs w:val="24"/>
          <w:highlight w:val="none"/>
          <w:lang w:eastAsia="zh-CN"/>
        </w:rPr>
        <w:t>。</w:t>
      </w:r>
    </w:p>
    <w:p>
      <w:pP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（二）质保期：壹年。</w:t>
      </w:r>
    </w:p>
    <w:p>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pP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pPr>
        <w:spacing w:line="360" w:lineRule="auto"/>
        <w:ind w:left="720" w:leftChars="200" w:hanging="240" w:hangingChars="100"/>
        <w:rPr>
          <w:rFonts w:hint="eastAsia" w:ascii="宋体" w:hAnsi="宋体" w:eastAsia="宋体" w:cs="宋体"/>
          <w:color w:val="auto"/>
          <w:szCs w:val="24"/>
          <w:highlight w:val="none"/>
          <w:lang w:eastAsia="zh-CN"/>
        </w:rPr>
      </w:pPr>
    </w:p>
    <w:p>
      <w:pPr>
        <w:spacing w:line="360" w:lineRule="auto"/>
        <w:ind w:firstLine="482" w:firstLineChars="200"/>
        <w:rPr>
          <w:rFonts w:hint="eastAsia" w:ascii="宋体" w:hAnsi="宋体" w:eastAsia="宋体" w:cs="宋体"/>
          <w:b/>
          <w:color w:val="auto"/>
          <w:sz w:val="24"/>
          <w:highlight w:val="yellow"/>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auto"/>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spacing w:line="360" w:lineRule="auto"/>
        <w:ind w:firstLine="482" w:firstLineChars="200"/>
        <w:rPr>
          <w:rFonts w:hint="eastAsia" w:ascii="宋体" w:hAnsi="宋体" w:eastAsia="宋体" w:cs="宋体"/>
          <w:b/>
          <w:color w:val="FF0000"/>
          <w:sz w:val="24"/>
          <w:lang w:val="en-US" w:bidi="en-US"/>
        </w:rPr>
      </w:pPr>
    </w:p>
    <w:p>
      <w:pPr>
        <w:jc w:val="both"/>
        <w:rPr>
          <w:rFonts w:hint="eastAsia" w:ascii="宋体" w:hAnsi="宋体" w:eastAsia="宋体" w:cs="宋体"/>
          <w:b/>
          <w:bCs/>
          <w:color w:val="auto"/>
          <w:sz w:val="36"/>
          <w:szCs w:val="36"/>
          <w:highlight w:val="none"/>
          <w:lang w:val="en-US" w:eastAsia="zh-CN"/>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评标方法</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pPr>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投标文件满足招标文件全部实质性要求，且按照评审因素的量化指标评审得分最高的供应商为中标候选人。</w:t>
      </w:r>
      <w:r>
        <w:rPr>
          <w:rFonts w:hint="eastAsia" w:ascii="宋体" w:hAnsi="宋体" w:eastAsia="宋体" w:cs="宋体"/>
          <w:color w:val="auto"/>
          <w:spacing w:val="4"/>
          <w:szCs w:val="24"/>
          <w:highlight w:val="none"/>
        </w:rPr>
        <w:t>（最低报价不是中标的唯一标准）。</w:t>
      </w:r>
    </w:p>
    <w:p>
      <w:pP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2.2要求供应商对投标文件有关事项作出澄清或者说明；</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pP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3.6单位负责人为同一人或者存在直接控股、管理关系的不同供应商，参加本项目同一合同项下的投标的；</w:t>
      </w:r>
    </w:p>
    <w:p>
      <w:pPr>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3.7为本采购项目提供整体设计、规范编制或者项目管理、监理、检测等服务的供应商，参加本采购项目投标的；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自身原因未携带加密数字认证证书造成无法解密投标文件或者投标文件未上传或上传失败的，按无效投标处理；</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pPr>
        <w:spacing w:line="500" w:lineRule="exact"/>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hAnsi="宋体" w:cs="宋体"/>
          <w:b/>
          <w:color w:val="auto"/>
          <w:spacing w:val="4"/>
          <w:szCs w:val="21"/>
          <w:highlight w:val="none"/>
          <w:lang w:eastAsia="zh-CN"/>
        </w:rPr>
        <w:t>供应商</w:t>
      </w:r>
      <w:r>
        <w:rPr>
          <w:rFonts w:hint="eastAsia" w:ascii="宋体" w:hAnsi="宋体" w:eastAsia="宋体" w:cs="宋体"/>
          <w:b/>
          <w:color w:val="auto"/>
          <w:spacing w:val="4"/>
          <w:szCs w:val="21"/>
          <w:highlight w:val="none"/>
        </w:rPr>
        <w:t>有下列情形之一的，视为</w:t>
      </w:r>
      <w:r>
        <w:rPr>
          <w:rFonts w:hint="eastAsia" w:hAnsi="宋体" w:cs="宋体"/>
          <w:b/>
          <w:color w:val="auto"/>
          <w:spacing w:val="4"/>
          <w:szCs w:val="21"/>
          <w:highlight w:val="none"/>
          <w:lang w:eastAsia="zh-CN"/>
        </w:rPr>
        <w:t>供应商</w:t>
      </w:r>
      <w:r>
        <w:rPr>
          <w:rFonts w:hint="eastAsia" w:ascii="宋体" w:hAnsi="宋体" w:eastAsia="宋体" w:cs="宋体"/>
          <w:b/>
          <w:color w:val="auto"/>
          <w:spacing w:val="4"/>
          <w:szCs w:val="21"/>
          <w:highlight w:val="none"/>
        </w:rPr>
        <w:t>串通投标，其投标无效：</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的投标文件由同一单位或者个人编制；</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委托同一单位或者个人办理投标事宜；</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的投标文件载明的项目管理成员或者联系人员为同一人；</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的投标文件异常一致或者投标报价呈规律性差异；</w:t>
      </w:r>
    </w:p>
    <w:p>
      <w:pP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w:t>
      </w:r>
      <w:r>
        <w:rPr>
          <w:rFonts w:hint="eastAsia" w:hAnsi="宋体" w:cs="宋体"/>
          <w:color w:val="auto"/>
          <w:spacing w:val="4"/>
          <w:szCs w:val="21"/>
          <w:highlight w:val="none"/>
          <w:lang w:eastAsia="zh-CN"/>
        </w:rPr>
        <w:t>供应商</w:t>
      </w:r>
      <w:r>
        <w:rPr>
          <w:rFonts w:hint="eastAsia" w:ascii="宋体" w:hAnsi="宋体" w:eastAsia="宋体" w:cs="宋体"/>
          <w:color w:val="auto"/>
          <w:spacing w:val="4"/>
          <w:szCs w:val="21"/>
          <w:highlight w:val="none"/>
        </w:rPr>
        <w:t>的投标文件相互混装；</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5.1.1资格评审标准：见附件1初步审查要素表</w:t>
      </w:r>
    </w:p>
    <w:p>
      <w:pPr>
        <w:tabs>
          <w:tab w:val="left" w:pos="0"/>
        </w:tabs>
        <w:adjustRightInd w:val="0"/>
        <w:snapToGrid w:val="0"/>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rPr>
        <w:t>初步审查要素表</w:t>
      </w:r>
    </w:p>
    <w:p>
      <w:pP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pP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pP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w:t>
      </w:r>
      <w:r>
        <w:rPr>
          <w:rFonts w:hint="eastAsia" w:hAnsi="宋体" w:cs="宋体"/>
          <w:color w:val="auto"/>
          <w:highlight w:val="none"/>
          <w:lang w:eastAsia="zh-CN"/>
        </w:rPr>
        <w:t>供应商</w:t>
      </w:r>
      <w:r>
        <w:rPr>
          <w:rFonts w:hint="eastAsia" w:ascii="宋体" w:hAnsi="宋体" w:eastAsia="宋体" w:cs="宋体"/>
          <w:color w:val="auto"/>
          <w:highlight w:val="none"/>
        </w:rPr>
        <w:t>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w:t>
      </w:r>
      <w:r>
        <w:rPr>
          <w:rFonts w:hint="eastAsia"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的澄清、说明或者补正不得超出投标文件的范围或者改变投标文件的实质性内容。评标委员会不接受</w:t>
      </w:r>
      <w:r>
        <w:rPr>
          <w:rFonts w:hint="eastAsia" w:hAnsi="宋体" w:cs="宋体"/>
          <w:color w:val="auto"/>
          <w:highlight w:val="none"/>
          <w:lang w:eastAsia="zh-CN"/>
        </w:rPr>
        <w:t>供应商</w:t>
      </w:r>
      <w:r>
        <w:rPr>
          <w:rFonts w:hint="eastAsia" w:ascii="宋体" w:hAnsi="宋体" w:eastAsia="宋体" w:cs="宋体"/>
          <w:color w:val="auto"/>
          <w:highlight w:val="none"/>
        </w:rPr>
        <w:t>主动提出的澄清、说明。</w:t>
      </w:r>
    </w:p>
    <w:p>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的报价明显低于其他通过符合性审查</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的报价，有可能影响产品质量或者不能诚信履约的，应当要求其在评标现场合理的时间内提供书面说明，必要时提交相关证明材料；</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不能证明其报价合理性的，评标委员会应当将其作为无效投标处理。</w:t>
      </w:r>
    </w:p>
    <w:p>
      <w:pP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pPr>
        <w:tabs>
          <w:tab w:val="left" w:pos="0"/>
        </w:tabs>
        <w:adjustRightInd w:val="0"/>
        <w:snapToGrid w:val="0"/>
        <w:spacing w:before="12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pPr>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w:t>
      </w:r>
      <w:r>
        <w:rPr>
          <w:rFonts w:hint="eastAsia" w:hAnsi="宋体" w:cs="宋体"/>
          <w:color w:val="auto"/>
          <w:highlight w:val="none"/>
          <w:lang w:eastAsia="zh-CN"/>
        </w:rPr>
        <w:t>供应商</w:t>
      </w:r>
      <w:r>
        <w:rPr>
          <w:rFonts w:hint="eastAsia" w:ascii="宋体" w:hAnsi="宋体" w:eastAsia="宋体" w:cs="宋体"/>
          <w:color w:val="auto"/>
          <w:highlight w:val="none"/>
        </w:rPr>
        <w:t>不得通过修正或撤销不合要求的偏离或保留，从而使其投标成为实质性响应的投标。</w:t>
      </w:r>
    </w:p>
    <w:p>
      <w:pPr>
        <w:spacing w:line="500" w:lineRule="exact"/>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pPr>
        <w:spacing w:line="360" w:lineRule="auto"/>
        <w:ind w:firstLine="361" w:firstLineChars="150"/>
        <w:rPr>
          <w:rFonts w:hint="eastAsia"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.1落实促进支持中小企业、监狱企业、残疾人福利性单位发展的政策</w:t>
      </w:r>
    </w:p>
    <w:p>
      <w:pPr>
        <w:spacing w:line="360" w:lineRule="auto"/>
        <w:ind w:firstLine="360" w:firstLineChars="150"/>
        <w:rPr>
          <w:rFonts w:hint="eastAsia" w:ascii="宋体" w:hAnsi="宋体" w:cs="宋体"/>
          <w:sz w:val="24"/>
        </w:rPr>
      </w:pPr>
      <w:r>
        <w:rPr>
          <w:rFonts w:hint="eastAsia" w:ascii="宋体" w:hAnsi="宋体" w:cs="宋体"/>
          <w:sz w:val="24"/>
        </w:rPr>
        <w:t>(如为专门面向中小企业的采购项目（或采购包），不执行（1）、（2）、（3）条款的价格扣除或加分。)</w:t>
      </w:r>
    </w:p>
    <w:p>
      <w:pPr>
        <w:spacing w:line="360" w:lineRule="auto"/>
        <w:ind w:firstLine="360" w:firstLineChars="150"/>
        <w:rPr>
          <w:rFonts w:hint="eastAsia" w:ascii="宋体" w:hAnsi="宋体" w:cs="宋体"/>
          <w:sz w:val="24"/>
        </w:rPr>
      </w:pPr>
      <w:r>
        <w:rPr>
          <w:rFonts w:hint="eastAsia" w:ascii="宋体" w:hAnsi="宋体" w:cs="宋体"/>
          <w:sz w:val="24"/>
        </w:rPr>
        <w:t>（1） 《政府采购促进中小企业发展管理办法》（财库〔2020〕46号）、《关于进一步加大政府采购支持中小企业力度的通知》（财库〔2022〕19号）在政府采购活动中，供应商提供的货物、工程或者服务符合下列情形的，享受《办法》规定的中小企业扶持政策：</w:t>
      </w:r>
    </w:p>
    <w:p>
      <w:pPr>
        <w:spacing w:line="360" w:lineRule="auto"/>
        <w:ind w:firstLine="360" w:firstLineChars="150"/>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spacing w:line="360" w:lineRule="auto"/>
        <w:ind w:firstLine="360" w:firstLineChars="150"/>
        <w:rPr>
          <w:rFonts w:hint="eastAsia" w:ascii="宋体" w:hAnsi="宋体" w:cs="宋体"/>
          <w:sz w:val="24"/>
        </w:rPr>
      </w:pPr>
      <w:r>
        <w:rPr>
          <w:rFonts w:hint="eastAsia" w:ascii="宋体" w:hAnsi="宋体" w:cs="宋体"/>
          <w:sz w:val="24"/>
        </w:rPr>
        <w:t>(二)在工程采购项目中，工程由中小企业承建，即工程施工单位为中小企业；</w:t>
      </w:r>
    </w:p>
    <w:p>
      <w:pPr>
        <w:spacing w:line="360" w:lineRule="auto"/>
        <w:ind w:firstLine="360" w:firstLineChars="150"/>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(三)在服务采购项目中，服务由中小企业承接，即提供服务的人员为中小企业依照《中华人民共和国劳动民法典》订立劳动合同的从业人员。</w:t>
      </w:r>
    </w:p>
    <w:p>
      <w:pPr>
        <w:spacing w:line="360" w:lineRule="auto"/>
        <w:ind w:firstLine="360" w:firstLineChars="150"/>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在货物采购项目中，供应商提供的货物既有中小企业制造货物，也有大型企业制造货物的，不享受《办法》规定的中小企业扶持政策。</w:t>
      </w:r>
    </w:p>
    <w:p>
      <w:pPr>
        <w:spacing w:line="360" w:lineRule="auto"/>
        <w:ind w:firstLine="360" w:firstLineChars="150"/>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360" w:firstLineChars="150"/>
        <w:rPr>
          <w:rFonts w:hint="eastAsia" w:ascii="宋体" w:hAnsi="宋体" w:cs="宋体"/>
          <w:sz w:val="24"/>
        </w:rPr>
      </w:pPr>
      <w:r>
        <w:rPr>
          <w:rFonts w:hint="eastAsia" w:ascii="宋体" w:hAnsi="宋体" w:cs="宋体"/>
          <w:sz w:val="24"/>
        </w:rPr>
        <w:t>依据《办法》规定享受扶持政策获得政府采购合同的，小微企业不得将合同分包给大中型企业，中型企业不得将合同分包给大型企业。</w:t>
      </w:r>
    </w:p>
    <w:p>
      <w:pPr>
        <w:spacing w:line="360" w:lineRule="auto"/>
        <w:ind w:firstLine="360" w:firstLineChars="150"/>
        <w:rPr>
          <w:rFonts w:hint="eastAsia" w:ascii="宋体" w:hAnsi="宋体" w:cs="宋体"/>
          <w:sz w:val="24"/>
        </w:rPr>
      </w:pPr>
      <w:r>
        <w:rPr>
          <w:rFonts w:hint="eastAsia" w:ascii="宋体" w:hAnsi="宋体" w:cs="宋体"/>
          <w:sz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spacing w:line="360" w:lineRule="auto"/>
        <w:ind w:firstLine="360" w:firstLineChars="150"/>
        <w:rPr>
          <w:rFonts w:hint="eastAsia" w:ascii="宋体" w:hAnsi="宋体" w:cs="宋体"/>
          <w:sz w:val="24"/>
        </w:rPr>
      </w:pPr>
      <w:r>
        <w:rPr>
          <w:rFonts w:hint="eastAsia" w:ascii="宋体" w:hAnsi="宋体" w:cs="宋体"/>
          <w:sz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360" w:firstLineChars="150"/>
        <w:rPr>
          <w:rFonts w:hint="eastAsia"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360" w:firstLineChars="150"/>
        <w:rPr>
          <w:rFonts w:hint="eastAsia" w:ascii="宋体" w:hAnsi="宋体" w:cs="宋体"/>
          <w:sz w:val="24"/>
        </w:rPr>
      </w:pPr>
      <w:r>
        <w:rPr>
          <w:rFonts w:hint="eastAsia" w:ascii="宋体" w:hAnsi="宋体" w:cs="宋体"/>
          <w:sz w:val="24"/>
        </w:rPr>
        <w:t xml:space="preserve">（2） 《财政部 司法部关于政府采购支持监狱企业发展有关问题的通知》（财库〔2014〕68号） </w:t>
      </w:r>
    </w:p>
    <w:p>
      <w:pPr>
        <w:spacing w:line="360" w:lineRule="auto"/>
        <w:ind w:firstLine="360" w:firstLineChars="15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监狱企业参加政府采购活动时，应当提供由省级以上监狱管理局、戒毒管理局（含新疆生产建设兵团）出具的属于监狱企业的证明文件。在政府采购活动中，监狱企业视同小型、微型企业。</w:t>
      </w:r>
    </w:p>
    <w:p>
      <w:pPr>
        <w:spacing w:line="360" w:lineRule="auto"/>
        <w:ind w:firstLine="360" w:firstLineChars="150"/>
        <w:rPr>
          <w:rFonts w:hint="eastAsia" w:ascii="宋体" w:hAnsi="宋体" w:cs="宋体"/>
          <w:sz w:val="24"/>
        </w:rPr>
      </w:pPr>
      <w:r>
        <w:rPr>
          <w:rFonts w:hint="eastAsia" w:ascii="宋体" w:hAnsi="宋体" w:cs="宋体"/>
          <w:sz w:val="24"/>
        </w:rPr>
        <w:t>（3） 《三部门联合发布关于促进残疾人就业政府采购政策的通知》（财库〔2017〕141号）；</w:t>
      </w:r>
    </w:p>
    <w:p>
      <w:pPr>
        <w:spacing w:line="360" w:lineRule="auto"/>
        <w:ind w:firstLine="360" w:firstLineChars="150"/>
        <w:rPr>
          <w:rFonts w:hint="eastAsia" w:ascii="宋体" w:hAnsi="宋体" w:cs="宋体"/>
          <w:sz w:val="24"/>
        </w:rPr>
      </w:pPr>
      <w:r>
        <w:rPr>
          <w:rFonts w:hint="eastAsia" w:ascii="宋体" w:hAnsi="宋体" w:cs="宋体"/>
          <w:sz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pacing w:line="360" w:lineRule="auto"/>
        <w:ind w:firstLine="360" w:firstLineChars="150"/>
        <w:rPr>
          <w:rFonts w:hint="eastAsia" w:ascii="宋体" w:hAnsi="宋体" w:cs="宋体"/>
          <w:sz w:val="24"/>
        </w:rPr>
      </w:pPr>
      <w:r>
        <w:rPr>
          <w:rFonts w:hint="eastAsia" w:ascii="宋体" w:hAnsi="宋体" w:cs="宋体"/>
          <w:sz w:val="24"/>
        </w:rPr>
        <w:t>（4） 《关于运用政府采购政策支持乡村产业振兴的通知》（财库〔2021〕19号）</w:t>
      </w:r>
    </w:p>
    <w:p>
      <w:pPr>
        <w:spacing w:line="360" w:lineRule="auto"/>
        <w:ind w:firstLine="361" w:firstLineChars="150"/>
        <w:rPr>
          <w:rFonts w:hint="eastAsia" w:ascii="宋体" w:hAnsi="宋体" w:cs="宋体"/>
          <w:b/>
          <w:bCs/>
          <w:sz w:val="24"/>
        </w:rPr>
      </w:pPr>
      <w:r>
        <w:rPr>
          <w:rFonts w:hint="eastAsia" w:ascii="宋体" w:hAnsi="宋体" w:cs="宋体"/>
          <w:b/>
          <w:bCs/>
          <w:sz w:val="24"/>
          <w:lang w:val="en-US" w:eastAsia="zh-CN"/>
        </w:rPr>
        <w:t>7.2</w:t>
      </w:r>
      <w:r>
        <w:rPr>
          <w:rFonts w:hint="eastAsia" w:ascii="宋体" w:hAnsi="宋体" w:cs="宋体"/>
          <w:b/>
          <w:bCs/>
          <w:sz w:val="24"/>
        </w:rPr>
        <w:t>落实优先采购节能、环保产品的政策</w:t>
      </w:r>
    </w:p>
    <w:p>
      <w:pPr>
        <w:spacing w:line="360" w:lineRule="auto"/>
        <w:ind w:firstLine="360" w:firstLineChars="150"/>
        <w:rPr>
          <w:rFonts w:hint="eastAsia" w:ascii="宋体" w:hAnsi="宋体" w:cs="宋体"/>
          <w:sz w:val="24"/>
        </w:rPr>
      </w:pPr>
      <w:r>
        <w:rPr>
          <w:rFonts w:hint="eastAsia" w:ascii="宋体" w:hAnsi="宋体" w:cs="宋体"/>
          <w:sz w:val="24"/>
        </w:rPr>
        <w:t>（</w:t>
      </w:r>
      <w:r>
        <w:rPr>
          <w:rFonts w:hint="eastAsia" w:hAnsi="宋体" w:cs="宋体"/>
          <w:sz w:val="24"/>
          <w:lang w:val="en-US" w:eastAsia="zh-CN"/>
        </w:rPr>
        <w:t>1</w:t>
      </w:r>
      <w:r>
        <w:rPr>
          <w:rFonts w:hint="eastAsia" w:ascii="宋体" w:hAnsi="宋体" w:cs="宋体"/>
          <w:sz w:val="24"/>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360" w:firstLineChars="150"/>
        <w:rPr>
          <w:rFonts w:hint="eastAsia" w:ascii="宋体" w:hAnsi="宋体" w:cs="宋体"/>
          <w:sz w:val="24"/>
        </w:rPr>
      </w:pPr>
      <w:r>
        <w:rPr>
          <w:rFonts w:hint="eastAsia" w:ascii="宋体" w:hAnsi="宋体" w:cs="宋体"/>
          <w:sz w:val="24"/>
        </w:rPr>
        <w:t>所有投标产品进入“节能产品政府采购品目清单”的，应提供相关证书扫描件，相关证书的颁发机构应来自《参与实施政府采购节能产品认证机构名录》。</w:t>
      </w:r>
    </w:p>
    <w:p>
      <w:pPr>
        <w:spacing w:line="360" w:lineRule="auto"/>
        <w:ind w:firstLine="360" w:firstLineChars="150"/>
        <w:rPr>
          <w:rFonts w:hint="eastAsia" w:ascii="宋体" w:hAnsi="宋体" w:eastAsia="宋体" w:cs="宋体"/>
          <w:color w:val="auto"/>
          <w:szCs w:val="24"/>
          <w:highlight w:val="none"/>
        </w:rPr>
      </w:pPr>
      <w:r>
        <w:rPr>
          <w:rFonts w:hint="eastAsia" w:ascii="宋体" w:hAnsi="宋体" w:cs="宋体"/>
          <w:sz w:val="24"/>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pPr>
        <w:pStyle w:val="20"/>
        <w:spacing w:before="0" w:beforeAutospacing="0" w:after="0" w:afterAutospacing="0" w:line="50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pPr>
        <w:pStyle w:val="20"/>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参加同一合同项下投标的，按以下方法处理：</w:t>
      </w:r>
    </w:p>
    <w:p>
      <w:pPr>
        <w:pStyle w:val="20"/>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参加同一合同项下投标的，以其中通过资格审查、符合性审查且报价最低的参加评标；报价相同的，由采购人及评标委员会按照技术方案、售后服务等内容择优选择确定一个参加评标的</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，其他投标无效。</w:t>
      </w:r>
    </w:p>
    <w:p>
      <w:pPr>
        <w:pStyle w:val="20"/>
        <w:spacing w:before="0" w:beforeAutospacing="0" w:after="0" w:afterAutospacing="0" w:line="500" w:lineRule="exact"/>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参加同一合同项下投标的，按一家</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计算，评审后得分最高的同品牌</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获得中标人推荐资格；评审得分相同的，由采购人及评标委员会按照投标报价最低的方式确定一个</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获得中标人推荐资格，其他同品牌</w:t>
      </w:r>
      <w:r>
        <w:rPr>
          <w:rFonts w:hint="eastAsia" w:cs="宋体"/>
          <w:bCs/>
          <w:color w:val="auto"/>
          <w:kern w:val="2"/>
          <w:highlight w:val="none"/>
          <w:lang w:eastAsia="zh-CN"/>
        </w:rPr>
        <w:t>供应商</w:t>
      </w:r>
      <w:r>
        <w:rPr>
          <w:rFonts w:hint="eastAsia" w:ascii="宋体" w:hAnsi="宋体" w:eastAsia="宋体" w:cs="宋体"/>
          <w:bCs/>
          <w:color w:val="auto"/>
          <w:kern w:val="2"/>
          <w:highlight w:val="none"/>
        </w:rPr>
        <w:t>不作为中标候选人。</w:t>
      </w:r>
    </w:p>
    <w:p>
      <w:pPr>
        <w:widowControl/>
        <w:spacing w:line="500" w:lineRule="exact"/>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w:t>
      </w:r>
      <w:r>
        <w:rPr>
          <w:rFonts w:hint="eastAsia" w:hAnsi="宋体"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参加同一合同项下投标的，按以下方法处理：</w:t>
      </w:r>
    </w:p>
    <w:p>
      <w:pPr>
        <w:pStyle w:val="20"/>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参加同一合同项下投标的，以其中通过资格审查、符合性审查且投标报价最低的参加评标；投标报价相同的，由采购人及评标委员会按照技术方案、售后服务等内容择优选择确定一个参加评标的</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，其他投标无效。</w:t>
      </w:r>
    </w:p>
    <w:p>
      <w:pPr>
        <w:pStyle w:val="20"/>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参加同一合同项下投标的，按一家</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计算，评审后得分最高的同品牌</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获得中标人推荐资格；评审得分相同的，由采购人及评标委员会按照投标报价最低的方式确定一个</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获得中标人推荐资格，其他同品牌</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不作为中标候选人。</w:t>
      </w:r>
    </w:p>
    <w:p>
      <w:pPr>
        <w:pStyle w:val="20"/>
        <w:spacing w:before="0" w:beforeAutospacing="0" w:after="0" w:afterAutospacing="0" w:line="50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w:t>
      </w:r>
      <w:r>
        <w:rPr>
          <w:rFonts w:hint="eastAsia" w:cs="宋体"/>
          <w:bCs/>
          <w:color w:val="auto"/>
          <w:kern w:val="2"/>
          <w:sz w:val="24"/>
          <w:szCs w:val="24"/>
          <w:highlight w:val="none"/>
          <w:lang w:val="en-US" w:eastAsia="zh-CN" w:bidi="ar-SA"/>
        </w:rPr>
        <w:t>任意一个</w:t>
      </w:r>
      <w:r>
        <w:rPr>
          <w:rFonts w:hint="eastAsia" w:ascii="宋体" w:hAnsi="宋体" w:eastAsia="宋体" w:cs="宋体"/>
          <w:bCs/>
          <w:color w:val="auto"/>
          <w:kern w:val="2"/>
          <w:sz w:val="24"/>
          <w:szCs w:val="24"/>
          <w:highlight w:val="none"/>
          <w:lang w:val="en-US" w:eastAsia="zh-CN" w:bidi="ar-SA"/>
        </w:rPr>
        <w:t>核心产品品牌均相同时，在评审时按同一</w:t>
      </w:r>
      <w:r>
        <w:rPr>
          <w:rFonts w:hint="eastAsia"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计算；部分核心产品品牌相同时按</w:t>
      </w:r>
      <w:r>
        <w:rPr>
          <w:rFonts w:hint="eastAsia" w:cs="宋体"/>
          <w:bCs/>
          <w:color w:val="auto"/>
          <w:kern w:val="2"/>
          <w:sz w:val="24"/>
          <w:szCs w:val="24"/>
          <w:highlight w:val="none"/>
          <w:lang w:val="en-US" w:eastAsia="zh-CN" w:bidi="ar-SA"/>
        </w:rPr>
        <w:t>同一供应商</w:t>
      </w:r>
      <w:r>
        <w:rPr>
          <w:rFonts w:hint="eastAsia" w:ascii="宋体" w:hAnsi="宋体" w:eastAsia="宋体" w:cs="宋体"/>
          <w:bCs/>
          <w:color w:val="auto"/>
          <w:kern w:val="2"/>
          <w:sz w:val="24"/>
          <w:szCs w:val="24"/>
          <w:highlight w:val="none"/>
          <w:lang w:val="en-US" w:eastAsia="zh-CN" w:bidi="ar-SA"/>
        </w:rPr>
        <w:t>计算。</w:t>
      </w:r>
    </w:p>
    <w:p>
      <w:p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pPr>
        <w:numPr>
          <w:ilvl w:val="0"/>
          <w:numId w:val="4"/>
        </w:num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pPr>
        <w:numPr>
          <w:ilvl w:val="0"/>
          <w:numId w:val="4"/>
        </w:numP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pPr>
        <w:widowControl/>
        <w:autoSpaceDE w:val="0"/>
        <w:autoSpaceDN w:val="0"/>
        <w:spacing w:line="48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w:t>
      </w:r>
      <w:r>
        <w:rPr>
          <w:rFonts w:hint="eastAsia" w:hAnsi="宋体" w:cs="宋体"/>
          <w:b/>
          <w:color w:val="auto"/>
          <w:highlight w:val="none"/>
          <w:lang w:eastAsia="zh-CN"/>
        </w:rPr>
        <w:t>供应商</w:t>
      </w:r>
      <w:r>
        <w:rPr>
          <w:rFonts w:hint="eastAsia" w:ascii="宋体" w:hAnsi="宋体" w:eastAsia="宋体" w:cs="宋体"/>
          <w:b/>
          <w:color w:val="auto"/>
          <w:highlight w:val="none"/>
        </w:rPr>
        <w:t>具有约束力。如果</w:t>
      </w:r>
      <w:r>
        <w:rPr>
          <w:rFonts w:hint="eastAsia" w:hAnsi="宋体" w:cs="宋体"/>
          <w:b/>
          <w:color w:val="auto"/>
          <w:highlight w:val="none"/>
          <w:lang w:eastAsia="zh-CN"/>
        </w:rPr>
        <w:t>供应商</w:t>
      </w:r>
      <w:r>
        <w:rPr>
          <w:rFonts w:hint="eastAsia" w:ascii="宋体" w:hAnsi="宋体" w:eastAsia="宋体" w:cs="宋体"/>
          <w:b/>
          <w:color w:val="auto"/>
          <w:highlight w:val="none"/>
        </w:rPr>
        <w:t>不接受修正后的价格，其投标将按无效投标处理。</w:t>
      </w:r>
    </w:p>
    <w:p>
      <w:pPr>
        <w:spacing w:line="500" w:lineRule="exact"/>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pPr>
        <w:pStyle w:val="20"/>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pPr>
        <w:pStyle w:val="20"/>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pPr>
        <w:pStyle w:val="11"/>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pPr>
        <w:pStyle w:val="11"/>
        <w:jc w:val="center"/>
        <w:rPr>
          <w:rFonts w:hint="eastAsia"/>
        </w:rPr>
      </w:pPr>
      <w:r>
        <w:rPr>
          <w:rFonts w:hint="eastAsia" w:ascii="宋体" w:hAnsi="宋体" w:eastAsia="宋体" w:cs="宋体"/>
          <w:b/>
          <w:bCs/>
          <w:color w:val="auto"/>
          <w:sz w:val="24"/>
          <w:szCs w:val="24"/>
          <w:highlight w:val="none"/>
        </w:rPr>
        <w:t>资格性审查表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3"/>
        <w:gridCol w:w="2155"/>
        <w:gridCol w:w="62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3375"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4535" w:type="pct"/>
            <w:gridSpan w:val="2"/>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6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营业执照等主体资格证明文件</w:t>
            </w:r>
          </w:p>
        </w:tc>
        <w:tc>
          <w:tcPr>
            <w:tcW w:w="3375" w:type="pct"/>
            <w:noWrap/>
            <w:vAlign w:val="center"/>
          </w:tcPr>
          <w:p>
            <w:pPr>
              <w:pStyle w:val="7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供应商为合法注册的法人或其他组织或自然人，提供营业执照（或事业法人证）；自然人提供身份证明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60" w:type="pct"/>
            <w:noWrap/>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基本资格条件承诺函</w:t>
            </w:r>
          </w:p>
        </w:tc>
        <w:tc>
          <w:tcPr>
            <w:tcW w:w="3375" w:type="pct"/>
            <w:noWrap/>
            <w:vAlign w:val="center"/>
          </w:tcPr>
          <w:p>
            <w:pPr>
              <w:pStyle w:val="7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4535" w:type="pct"/>
            <w:gridSpan w:val="2"/>
            <w:noWrap/>
            <w:vAlign w:val="center"/>
          </w:tcPr>
          <w:p>
            <w:pPr>
              <w:widowControl/>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60" w:type="pct"/>
            <w:noWrap/>
            <w:vAlign w:val="center"/>
          </w:tcPr>
          <w:p>
            <w:pPr>
              <w:pStyle w:val="73"/>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法定代表人身份证明</w:t>
            </w:r>
            <w:r>
              <w:rPr>
                <w:rFonts w:hint="eastAsia" w:ascii="宋体" w:hAnsi="宋体" w:cs="宋体"/>
                <w:color w:val="auto"/>
                <w:sz w:val="24"/>
                <w:szCs w:val="24"/>
                <w:lang w:val="en-US" w:eastAsia="zh-CN"/>
              </w:rPr>
              <w:t>/法定代表人授权书</w:t>
            </w:r>
          </w:p>
        </w:tc>
        <w:tc>
          <w:tcPr>
            <w:tcW w:w="3375" w:type="pct"/>
            <w:noWrap/>
            <w:vAlign w:val="center"/>
          </w:tcPr>
          <w:p>
            <w:pPr>
              <w:pStyle w:val="73"/>
              <w:ind w:left="0" w:leftChars="0" w:firstLine="0" w:firstLineChars="0"/>
              <w:jc w:val="left"/>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18" w:hRule="atLeast"/>
          <w:jc w:val="center"/>
        </w:trPr>
        <w:tc>
          <w:tcPr>
            <w:tcW w:w="464" w:type="pct"/>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60" w:type="pct"/>
            <w:noWrap/>
            <w:vAlign w:val="center"/>
          </w:tcPr>
          <w:p>
            <w:pPr>
              <w:pStyle w:val="73"/>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信用查询</w:t>
            </w:r>
          </w:p>
        </w:tc>
        <w:tc>
          <w:tcPr>
            <w:tcW w:w="3375" w:type="pct"/>
            <w:noWrap/>
            <w:vAlign w:val="center"/>
          </w:tcPr>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60" w:type="pct"/>
            <w:noWrap/>
            <w:vAlign w:val="center"/>
          </w:tcPr>
          <w:p>
            <w:pPr>
              <w:pStyle w:val="73"/>
              <w:ind w:left="0" w:leftChars="0" w:firstLine="240" w:firstLineChars="1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非联合体投标</w:t>
            </w:r>
          </w:p>
        </w:tc>
        <w:tc>
          <w:tcPr>
            <w:tcW w:w="3375" w:type="pct"/>
            <w:noWrap/>
            <w:vAlign w:val="center"/>
          </w:tcPr>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60" w:type="pct"/>
            <w:noWrap/>
            <w:vAlign w:val="center"/>
          </w:tcPr>
          <w:p>
            <w:pPr>
              <w:pStyle w:val="73"/>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企业关系</w:t>
            </w:r>
          </w:p>
        </w:tc>
        <w:tc>
          <w:tcPr>
            <w:tcW w:w="3375" w:type="pct"/>
            <w:noWrap/>
            <w:vAlign w:val="center"/>
          </w:tcPr>
          <w:p>
            <w:pPr>
              <w:keepNext/>
              <w:spacing w:before="210" w:beforeLines="50" w:after="210" w:afterLines="50"/>
              <w:jc w:val="left"/>
              <w:outlineLvl w:val="3"/>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4"/>
                <w:szCs w:val="24"/>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pPr>
        <w:pStyle w:val="2"/>
        <w:rPr>
          <w:rFonts w:hint="eastAsia" w:ascii="宋体" w:hAnsi="宋体" w:eastAsia="宋体" w:cs="宋体"/>
          <w:color w:val="auto"/>
          <w:highlight w:val="none"/>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yellow"/>
        </w:rPr>
      </w:pPr>
    </w:p>
    <w:p>
      <w:pPr>
        <w:pStyle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pPr>
        <w:pStyle w:val="2"/>
        <w:ind w:firstLine="3855" w:firstLineChars="1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5"/>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6"/>
        <w:gridCol w:w="2122"/>
        <w:gridCol w:w="64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43"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符合性审查项</w:t>
            </w:r>
          </w:p>
        </w:tc>
        <w:tc>
          <w:tcPr>
            <w:tcW w:w="3465"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与项目的一致性</w:t>
            </w:r>
          </w:p>
        </w:tc>
        <w:tc>
          <w:tcPr>
            <w:tcW w:w="3465"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至少以下三处的项目名称、项目编号</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标段</w:t>
            </w:r>
            <w:r>
              <w:rPr>
                <w:rFonts w:hint="eastAsia" w:ascii="宋体" w:hAnsi="宋体" w:eastAsia="宋体" w:cs="宋体"/>
                <w:bCs/>
                <w:sz w:val="21"/>
                <w:szCs w:val="21"/>
              </w:rPr>
              <w:t>与本项目完全一致：</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（1）投标文件封面</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（2）投标函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（3）法定代表人（主要负责人）委托授权书</w:t>
            </w:r>
            <w:r>
              <w:rPr>
                <w:rFonts w:hint="eastAsia" w:ascii="宋体" w:hAnsi="宋体" w:eastAsia="宋体" w:cs="宋体"/>
                <w:bCs/>
                <w:sz w:val="21"/>
                <w:szCs w:val="21"/>
                <w:lang w:val="en-US" w:eastAsia="zh-CN"/>
              </w:rPr>
              <w:t>/</w:t>
            </w:r>
            <w:r>
              <w:rPr>
                <w:rFonts w:hint="eastAsia" w:ascii="宋体" w:hAnsi="宋体" w:eastAsia="宋体" w:cs="宋体"/>
                <w:bCs/>
                <w:sz w:val="21"/>
                <w:szCs w:val="21"/>
              </w:rPr>
              <w:t>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投标文件组成</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投标文件应包含以下部分：</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投标函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r>
              <w:rPr>
                <w:rFonts w:hint="eastAsia" w:ascii="宋体" w:hAnsi="宋体" w:eastAsia="宋体" w:cs="宋体"/>
                <w:sz w:val="21"/>
                <w:szCs w:val="21"/>
              </w:rPr>
              <w:t>报价表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sz w:val="21"/>
                <w:szCs w:val="21"/>
              </w:rPr>
              <w:t>投标方案说明书</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sz w:val="21"/>
                <w:szCs w:val="21"/>
              </w:rPr>
              <w:t>商务条款偏离表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rPr>
              <w:t>）</w:t>
            </w:r>
            <w:r>
              <w:rPr>
                <w:rFonts w:hint="eastAsia" w:ascii="宋体" w:hAnsi="宋体" w:eastAsia="宋体" w:cs="宋体"/>
                <w:sz w:val="21"/>
                <w:szCs w:val="21"/>
              </w:rPr>
              <w:t>供应商拒绝政府采购领域商业贿赂承诺书</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rPr>
              <w:t>）</w:t>
            </w:r>
            <w:r>
              <w:rPr>
                <w:rFonts w:hint="eastAsia" w:ascii="宋体" w:hAnsi="宋体" w:eastAsia="宋体" w:cs="宋体"/>
                <w:sz w:val="21"/>
                <w:szCs w:val="21"/>
              </w:rPr>
              <w:t>资格证明文件</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sz w:val="21"/>
                <w:szCs w:val="21"/>
              </w:rPr>
              <w:t>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签章</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签章均符合招标文件要求，且无遗漏。</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语言和计量单位</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投标文件有效期</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
                <w:bCs/>
                <w:sz w:val="21"/>
                <w:szCs w:val="21"/>
              </w:rPr>
            </w:pPr>
            <w:r>
              <w:rPr>
                <w:rFonts w:hint="eastAsia" w:ascii="宋体" w:hAnsi="宋体" w:eastAsia="宋体" w:cs="宋体"/>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投标报价</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同时满足以下条款：</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（1）货币单位符合招标文件要求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（2）报价符合唯一性要求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（3）投标人的投标报价</w:t>
            </w:r>
            <w:r>
              <w:rPr>
                <w:rFonts w:hint="eastAsia" w:ascii="宋体" w:hAnsi="宋体" w:eastAsia="宋体" w:cs="宋体"/>
                <w:bCs/>
                <w:sz w:val="21"/>
                <w:szCs w:val="21"/>
                <w:lang w:val="en-US" w:eastAsia="zh-CN"/>
              </w:rPr>
              <w:t>未</w:t>
            </w:r>
            <w:r>
              <w:rPr>
                <w:rFonts w:hint="eastAsia" w:ascii="宋体" w:hAnsi="宋体" w:eastAsia="宋体" w:cs="宋体"/>
                <w:bCs/>
                <w:sz w:val="21"/>
                <w:szCs w:val="21"/>
                <w:highlight w:val="none"/>
              </w:rPr>
              <w:t>超出采购预算、最高限价</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sz w:val="21"/>
                <w:szCs w:val="21"/>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投标文件内容</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合同条款响</w:t>
            </w:r>
            <w:r>
              <w:rPr>
                <w:rFonts w:hint="eastAsia" w:ascii="宋体" w:hAnsi="宋体" w:eastAsia="宋体" w:cs="宋体"/>
                <w:bCs/>
                <w:w w:val="1"/>
                <w:sz w:val="21"/>
                <w:szCs w:val="21"/>
              </w:rPr>
              <w:t xml:space="preserve"> </w:t>
            </w:r>
            <w:r>
              <w:rPr>
                <w:rFonts w:hint="eastAsia" w:ascii="宋体" w:hAnsi="宋体" w:eastAsia="宋体" w:cs="宋体"/>
                <w:bCs/>
                <w:sz w:val="21"/>
                <w:szCs w:val="21"/>
              </w:rPr>
              <w:t>应</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sz w:val="21"/>
                <w:szCs w:val="21"/>
              </w:rPr>
              <w:t>完全理解并响</w:t>
            </w:r>
            <w:r>
              <w:rPr>
                <w:rFonts w:hint="eastAsia" w:ascii="宋体" w:hAnsi="宋体" w:eastAsia="宋体" w:cs="宋体"/>
                <w:w w:val="1"/>
                <w:sz w:val="21"/>
                <w:szCs w:val="21"/>
              </w:rPr>
              <w:t xml:space="preserve"> </w:t>
            </w:r>
            <w:r>
              <w:rPr>
                <w:rFonts w:hint="eastAsia" w:ascii="宋体" w:hAnsi="宋体" w:eastAsia="宋体" w:cs="宋体"/>
                <w:sz w:val="21"/>
                <w:szCs w:val="21"/>
              </w:rPr>
              <w:t>应招标文件合同条款的要求，且未含有采购人不能接受的附加条件。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bCs/>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color w:val="000000"/>
                <w:sz w:val="21"/>
                <w:szCs w:val="21"/>
              </w:rPr>
              <w:t>电子投标文件雷同性分析</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pPr>
              <w:pStyle w:val="75"/>
              <w:pageBreakBefore w:val="0"/>
              <w:numPr>
                <w:ilvl w:val="0"/>
                <w:numId w:val="5"/>
              </w:numPr>
              <w:kinsoku/>
              <w:wordWrap/>
              <w:overflowPunct/>
              <w:topLinePunct w:val="0"/>
              <w:autoSpaceDE/>
              <w:autoSpaceDN/>
              <w:bidi w:val="0"/>
              <w:adjustRightInd/>
              <w:snapToGrid/>
              <w:spacing w:line="480" w:lineRule="exact"/>
              <w:ind w:left="0" w:firstLine="210" w:firstLineChars="100"/>
              <w:contextualSpacing w:val="0"/>
              <w:jc w:val="both"/>
              <w:rPr>
                <w:rFonts w:hint="eastAsia" w:ascii="宋体" w:hAnsi="宋体" w:eastAsia="宋体" w:cs="宋体"/>
                <w:sz w:val="21"/>
                <w:szCs w:val="21"/>
              </w:rPr>
            </w:pPr>
          </w:p>
        </w:tc>
        <w:tc>
          <w:tcPr>
            <w:tcW w:w="114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1"/>
                <w:szCs w:val="21"/>
              </w:rPr>
            </w:pPr>
            <w:r>
              <w:rPr>
                <w:rFonts w:hint="eastAsia" w:ascii="宋体" w:hAnsi="宋体" w:eastAsia="宋体" w:cs="宋体"/>
                <w:bCs/>
                <w:sz w:val="21"/>
                <w:szCs w:val="21"/>
              </w:rPr>
              <w:t>其他</w:t>
            </w:r>
          </w:p>
        </w:tc>
        <w:tc>
          <w:tcPr>
            <w:tcW w:w="3465"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1"/>
                <w:szCs w:val="21"/>
              </w:rPr>
            </w:pPr>
            <w:r>
              <w:rPr>
                <w:rFonts w:hint="eastAsia" w:ascii="宋体" w:hAnsi="宋体" w:eastAsia="宋体" w:cs="宋体"/>
                <w:sz w:val="21"/>
                <w:szCs w:val="21"/>
              </w:rPr>
              <w:t>完全理解并接受法律法规和招标文件对</w:t>
            </w:r>
            <w:r>
              <w:rPr>
                <w:rFonts w:hint="eastAsia" w:ascii="宋体" w:hAnsi="宋体" w:eastAsia="宋体" w:cs="宋体"/>
                <w:sz w:val="21"/>
                <w:szCs w:val="21"/>
                <w:lang w:val="en-US" w:eastAsia="zh-CN"/>
              </w:rPr>
              <w:t>投标人</w:t>
            </w:r>
            <w:r>
              <w:rPr>
                <w:rFonts w:hint="eastAsia" w:ascii="宋体" w:hAnsi="宋体" w:eastAsia="宋体" w:cs="宋体"/>
                <w:sz w:val="21"/>
                <w:szCs w:val="21"/>
              </w:rPr>
              <w:t>合法经营的各类规</w:t>
            </w:r>
            <w:r>
              <w:rPr>
                <w:rFonts w:hint="eastAsia" w:ascii="宋体" w:hAnsi="宋体" w:eastAsia="宋体" w:cs="宋体"/>
                <w:sz w:val="21"/>
                <w:szCs w:val="21"/>
                <w:lang w:val="en-US" w:eastAsia="zh-CN"/>
              </w:rPr>
              <w:t>定</w:t>
            </w:r>
            <w:r>
              <w:rPr>
                <w:rFonts w:hint="eastAsia" w:ascii="宋体" w:hAnsi="宋体" w:eastAsia="宋体" w:cs="宋体"/>
                <w:sz w:val="21"/>
                <w:szCs w:val="21"/>
              </w:rPr>
              <w:t>和责任义务要求，没有出现法律法规或招标文件规定的其他无效情形。</w:t>
            </w:r>
          </w:p>
        </w:tc>
      </w:tr>
    </w:tbl>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pPr>
        <w:pStyle w:val="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7"/>
        <w:gridCol w:w="636"/>
        <w:gridCol w:w="6105"/>
        <w:gridCol w:w="73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699" w:type="dxa"/>
            <w:vAlign w:val="center"/>
          </w:tcPr>
          <w:p>
            <w:pPr>
              <w:pStyle w:val="15"/>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82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总分</w:t>
            </w:r>
          </w:p>
        </w:tc>
        <w:tc>
          <w:tcPr>
            <w:tcW w:w="6741" w:type="dxa"/>
            <w:gridSpan w:val="2"/>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评标因素</w:t>
            </w:r>
          </w:p>
        </w:tc>
        <w:tc>
          <w:tcPr>
            <w:tcW w:w="736"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最高</w:t>
            </w:r>
          </w:p>
          <w:p>
            <w:pPr>
              <w:jc w:val="center"/>
              <w:rPr>
                <w:rFonts w:hint="eastAsia" w:ascii="宋体" w:hAnsi="宋体" w:eastAsia="宋体" w:cs="宋体"/>
                <w:b/>
                <w:bCs/>
                <w:sz w:val="21"/>
                <w:szCs w:val="21"/>
              </w:rPr>
            </w:pPr>
            <w:r>
              <w:rPr>
                <w:rFonts w:hint="eastAsia" w:ascii="宋体" w:hAnsi="宋体" w:eastAsia="宋体" w:cs="宋体"/>
                <w:b/>
                <w:bCs/>
                <w:sz w:val="21"/>
                <w:szCs w:val="21"/>
              </w:rPr>
              <w:t>得分</w:t>
            </w:r>
          </w:p>
        </w:tc>
        <w:tc>
          <w:tcPr>
            <w:tcW w:w="808" w:type="dxa"/>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投标价格</w:t>
            </w:r>
          </w:p>
        </w:tc>
        <w:tc>
          <w:tcPr>
            <w:tcW w:w="827" w:type="dxa"/>
            <w:vAlign w:val="center"/>
          </w:tcPr>
          <w:p>
            <w:pPr>
              <w:spacing w:line="560" w:lineRule="exact"/>
              <w:rPr>
                <w:rFonts w:hint="eastAsia" w:ascii="宋体" w:hAnsi="宋体" w:eastAsia="宋体" w:cs="宋体"/>
                <w:b/>
                <w:sz w:val="21"/>
                <w:szCs w:val="21"/>
              </w:rPr>
            </w:pPr>
            <w:r>
              <w:rPr>
                <w:rFonts w:hint="eastAsia" w:ascii="宋体" w:hAnsi="宋体" w:eastAsia="宋体" w:cs="宋体"/>
                <w:b/>
                <w:sz w:val="21"/>
                <w:szCs w:val="21"/>
              </w:rPr>
              <w:t>30分</w:t>
            </w:r>
          </w:p>
        </w:tc>
        <w:tc>
          <w:tcPr>
            <w:tcW w:w="6741" w:type="dxa"/>
            <w:gridSpan w:val="2"/>
            <w:vAlign w:val="center"/>
          </w:tcPr>
          <w:p>
            <w:pPr>
              <w:numPr>
                <w:ilvl w:val="0"/>
                <w:numId w:val="6"/>
              </w:numPr>
              <w:spacing w:line="288" w:lineRule="auto"/>
              <w:ind w:left="-108" w:leftChars="-45" w:firstLine="105" w:firstLineChars="50"/>
              <w:rPr>
                <w:rFonts w:hint="eastAsia" w:ascii="宋体" w:hAnsi="宋体" w:eastAsia="宋体" w:cs="宋体"/>
                <w:sz w:val="21"/>
                <w:szCs w:val="21"/>
              </w:rPr>
            </w:pPr>
            <w:r>
              <w:rPr>
                <w:rFonts w:hint="eastAsia" w:ascii="宋体" w:hAnsi="宋体" w:eastAsia="宋体" w:cs="宋体"/>
                <w:sz w:val="21"/>
                <w:szCs w:val="21"/>
              </w:rPr>
              <w:t>经初审合格的投标文件，通过符合性审查的投标报价为有效报价。对符合政策性扣减的有效投标报价进行政策性扣减，并依据扣减后的价格（评审价格）进行价格评审。</w:t>
            </w:r>
          </w:p>
          <w:p>
            <w:pPr>
              <w:numPr>
                <w:ilvl w:val="0"/>
                <w:numId w:val="6"/>
              </w:numPr>
              <w:spacing w:line="288" w:lineRule="auto"/>
              <w:ind w:left="-108" w:leftChars="-45" w:firstLine="105" w:firstLineChars="50"/>
              <w:rPr>
                <w:rFonts w:hint="eastAsia" w:ascii="宋体" w:hAnsi="宋体" w:eastAsia="宋体" w:cs="宋体"/>
                <w:sz w:val="21"/>
                <w:szCs w:val="21"/>
              </w:rPr>
            </w:pPr>
            <w:r>
              <w:rPr>
                <w:rFonts w:hint="eastAsia" w:ascii="宋体" w:hAnsi="宋体" w:eastAsia="宋体" w:cs="宋体"/>
                <w:sz w:val="21"/>
                <w:szCs w:val="21"/>
              </w:rPr>
              <w:t>有效最低报价为基准价得30分。</w:t>
            </w:r>
          </w:p>
          <w:p>
            <w:pPr>
              <w:spacing w:line="288" w:lineRule="auto"/>
              <w:ind w:left="-108" w:leftChars="-45" w:firstLine="105" w:firstLineChars="50"/>
              <w:rPr>
                <w:rFonts w:hint="eastAsia" w:ascii="宋体" w:hAnsi="宋体" w:eastAsia="宋体" w:cs="宋体"/>
                <w:sz w:val="21"/>
                <w:szCs w:val="21"/>
              </w:rPr>
            </w:pPr>
            <w:r>
              <w:rPr>
                <w:rFonts w:hint="eastAsia" w:ascii="宋体" w:hAnsi="宋体" w:eastAsia="宋体" w:cs="宋体"/>
                <w:sz w:val="21"/>
                <w:szCs w:val="21"/>
              </w:rPr>
              <w:t>3.按（有效最低报价/有效投标报价）×30的公式计算其得分。</w:t>
            </w:r>
          </w:p>
          <w:p>
            <w:pPr>
              <w:spacing w:line="288" w:lineRule="auto"/>
              <w:ind w:left="-108" w:leftChars="-45" w:firstLine="105" w:firstLineChars="50"/>
              <w:rPr>
                <w:rFonts w:hint="eastAsia" w:ascii="宋体" w:hAnsi="宋体" w:eastAsia="宋体" w:cs="宋体"/>
                <w:sz w:val="21"/>
                <w:szCs w:val="21"/>
              </w:rPr>
            </w:pPr>
            <w:r>
              <w:rPr>
                <w:rFonts w:hint="eastAsia" w:ascii="宋体" w:hAnsi="宋体" w:eastAsia="宋体" w:cs="宋体"/>
                <w:sz w:val="21"/>
                <w:szCs w:val="21"/>
              </w:rPr>
              <w:t>4.投标报价不完整的，不进入评标基准价的计算，本项得0分。</w:t>
            </w:r>
          </w:p>
        </w:tc>
        <w:tc>
          <w:tcPr>
            <w:tcW w:w="736"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30分</w:t>
            </w:r>
          </w:p>
        </w:tc>
        <w:tc>
          <w:tcPr>
            <w:tcW w:w="808" w:type="dxa"/>
            <w:vMerge w:val="restar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根</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据</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标</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文</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件</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的</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响</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应</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程  度</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按</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差</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别</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计</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分</w:t>
            </w:r>
          </w:p>
          <w:p>
            <w:pPr>
              <w:spacing w:line="560" w:lineRule="exact"/>
              <w:jc w:val="center"/>
              <w:rPr>
                <w:rFonts w:hint="eastAsia" w:ascii="宋体" w:hAnsi="宋体" w:eastAsia="宋体" w:cs="宋体"/>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699" w:type="dxa"/>
            <w:vMerge w:val="restart"/>
            <w:vAlign w:val="center"/>
          </w:tcPr>
          <w:p>
            <w:pPr>
              <w:rPr>
                <w:rFonts w:hint="eastAsia" w:ascii="宋体" w:hAnsi="宋体" w:eastAsia="宋体" w:cs="宋体"/>
                <w:b/>
                <w:sz w:val="21"/>
                <w:szCs w:val="21"/>
              </w:rPr>
            </w:pPr>
            <w:r>
              <w:rPr>
                <w:rFonts w:hint="eastAsia" w:ascii="宋体" w:hAnsi="宋体" w:eastAsia="宋体" w:cs="宋体"/>
                <w:b/>
                <w:sz w:val="21"/>
                <w:szCs w:val="21"/>
              </w:rPr>
              <w:t>技术评审</w:t>
            </w:r>
          </w:p>
        </w:tc>
        <w:tc>
          <w:tcPr>
            <w:tcW w:w="827" w:type="dxa"/>
            <w:vMerge w:val="restart"/>
            <w:vAlign w:val="center"/>
          </w:tcPr>
          <w:p>
            <w:pPr>
              <w:spacing w:line="56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50</w:t>
            </w:r>
            <w:r>
              <w:rPr>
                <w:rFonts w:hint="eastAsia" w:ascii="宋体" w:hAnsi="宋体" w:eastAsia="宋体" w:cs="宋体"/>
                <w:b/>
                <w:bCs/>
                <w:sz w:val="21"/>
                <w:szCs w:val="21"/>
              </w:rPr>
              <w:t>分</w:t>
            </w:r>
          </w:p>
        </w:tc>
        <w:tc>
          <w:tcPr>
            <w:tcW w:w="636" w:type="dxa"/>
            <w:vAlign w:val="center"/>
          </w:tcPr>
          <w:p>
            <w:pPr>
              <w:numPr>
                <w:ilvl w:val="0"/>
                <w:numId w:val="7"/>
              </w:numPr>
              <w:spacing w:line="288" w:lineRule="auto"/>
              <w:jc w:val="center"/>
              <w:rPr>
                <w:rFonts w:hint="eastAsia" w:ascii="宋体" w:hAnsi="宋体" w:eastAsia="宋体" w:cs="宋体"/>
                <w:sz w:val="21"/>
                <w:szCs w:val="21"/>
              </w:rPr>
            </w:pPr>
          </w:p>
        </w:tc>
        <w:tc>
          <w:tcPr>
            <w:tcW w:w="6105" w:type="dxa"/>
            <w:vAlign w:val="center"/>
          </w:tcPr>
          <w:p>
            <w:pPr>
              <w:spacing w:line="288" w:lineRule="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评</w:t>
            </w:r>
            <w:r>
              <w:rPr>
                <w:rFonts w:hint="eastAsia" w:ascii="宋体" w:hAnsi="宋体" w:eastAsia="宋体" w:cs="宋体"/>
                <w:sz w:val="21"/>
                <w:szCs w:val="21"/>
                <w:highlight w:val="none"/>
              </w:rPr>
              <w:t>标委员会根据供应商提供的《技术规格响应表》对所投产品的技术指标进行比较和评价，参数完全满足招标文件要求计30分；</w:t>
            </w:r>
            <w:r>
              <w:rPr>
                <w:rFonts w:hint="eastAsia" w:ascii="宋体" w:hAnsi="宋体" w:eastAsia="宋体" w:cs="宋体"/>
                <w:sz w:val="21"/>
                <w:szCs w:val="21"/>
                <w:highlight w:val="none"/>
                <w:vertAlign w:val="baseline"/>
              </w:rPr>
              <w:t>▲</w:t>
            </w:r>
            <w:r>
              <w:rPr>
                <w:rFonts w:hint="eastAsia" w:ascii="宋体" w:hAnsi="宋体" w:eastAsia="宋体" w:cs="宋体"/>
                <w:sz w:val="21"/>
                <w:szCs w:val="21"/>
                <w:highlight w:val="none"/>
              </w:rPr>
              <w:t>标项参数每负偏离一项扣</w:t>
            </w:r>
            <w:r>
              <w:rPr>
                <w:rFonts w:hint="eastAsia" w:hAnsi="宋体" w:cs="宋体"/>
                <w:sz w:val="21"/>
                <w:szCs w:val="21"/>
                <w:highlight w:val="none"/>
                <w:lang w:val="en-US" w:eastAsia="zh-CN"/>
              </w:rPr>
              <w:t>2</w:t>
            </w:r>
            <w:r>
              <w:rPr>
                <w:rFonts w:hint="eastAsia" w:ascii="宋体" w:hAnsi="宋体" w:eastAsia="宋体" w:cs="宋体"/>
                <w:sz w:val="21"/>
                <w:szCs w:val="21"/>
                <w:highlight w:val="none"/>
              </w:rPr>
              <w:t>分，非</w:t>
            </w:r>
            <w:r>
              <w:rPr>
                <w:rFonts w:hint="eastAsia" w:ascii="宋体" w:hAnsi="宋体" w:eastAsia="宋体" w:cs="宋体"/>
                <w:sz w:val="21"/>
                <w:szCs w:val="21"/>
                <w:highlight w:val="none"/>
                <w:vertAlign w:val="baseline"/>
              </w:rPr>
              <w:t>▲</w:t>
            </w:r>
            <w:r>
              <w:rPr>
                <w:rFonts w:hint="eastAsia" w:ascii="宋体" w:hAnsi="宋体" w:eastAsia="宋体" w:cs="宋体"/>
                <w:sz w:val="21"/>
                <w:szCs w:val="21"/>
                <w:highlight w:val="none"/>
              </w:rPr>
              <w:t>标项参数每负偏离一项扣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分，扣完为止。</w:t>
            </w:r>
          </w:p>
          <w:p>
            <w:pPr>
              <w:pStyle w:val="23"/>
              <w:rPr>
                <w:rFonts w:hint="eastAsia" w:ascii="宋体" w:hAnsi="宋体" w:eastAsia="宋体" w:cs="宋体"/>
                <w:sz w:val="21"/>
                <w:szCs w:val="21"/>
              </w:rPr>
            </w:pPr>
            <w:r>
              <w:rPr>
                <w:rFonts w:hint="eastAsia" w:ascii="宋体" w:hAnsi="宋体" w:eastAsia="宋体" w:cs="宋体"/>
                <w:sz w:val="21"/>
                <w:szCs w:val="21"/>
                <w:lang w:val="en-US" w:eastAsia="zh-CN" w:bidi="ar-SA"/>
              </w:rPr>
              <w:t>备注：1、技术指标偏差表完全复制招标文件技术参数的，专家可给予5分的扣减。</w:t>
            </w:r>
          </w:p>
        </w:tc>
        <w:tc>
          <w:tcPr>
            <w:tcW w:w="736" w:type="dxa"/>
            <w:vAlign w:val="center"/>
          </w:tcPr>
          <w:p>
            <w:pPr>
              <w:spacing w:line="560" w:lineRule="exact"/>
              <w:rPr>
                <w:rFonts w:hint="eastAsia" w:ascii="宋体" w:hAnsi="宋体" w:eastAsia="宋体" w:cs="宋体"/>
                <w:sz w:val="21"/>
                <w:szCs w:val="21"/>
              </w:rPr>
            </w:pPr>
            <w:r>
              <w:rPr>
                <w:rFonts w:hint="eastAsia" w:ascii="宋体" w:hAnsi="宋体" w:eastAsia="宋体" w:cs="宋体"/>
                <w:sz w:val="21"/>
                <w:szCs w:val="21"/>
              </w:rPr>
              <w:t>30分</w:t>
            </w:r>
          </w:p>
        </w:tc>
        <w:tc>
          <w:tcPr>
            <w:tcW w:w="808" w:type="dxa"/>
            <w:vMerge w:val="continue"/>
            <w:vAlign w:val="center"/>
          </w:tcPr>
          <w:p>
            <w:pPr>
              <w:spacing w:line="5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pPr>
              <w:spacing w:line="560" w:lineRule="exact"/>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7"/>
              </w:numPr>
              <w:spacing w:line="288" w:lineRule="auto"/>
              <w:jc w:val="center"/>
              <w:rPr>
                <w:rFonts w:hint="eastAsia" w:ascii="宋体" w:hAnsi="宋体" w:eastAsia="宋体" w:cs="宋体"/>
                <w:sz w:val="21"/>
                <w:szCs w:val="21"/>
              </w:rPr>
            </w:pPr>
          </w:p>
        </w:tc>
        <w:tc>
          <w:tcPr>
            <w:tcW w:w="6105" w:type="dxa"/>
            <w:vAlign w:val="center"/>
          </w:tcPr>
          <w:p>
            <w:pPr>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sz w:val="21"/>
                <w:szCs w:val="21"/>
                <w:lang w:val="en-US" w:eastAsia="zh-CN"/>
              </w:rPr>
              <w:t>7.1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分；有部分证明材料和资料，计</w:t>
            </w:r>
            <w:r>
              <w:rPr>
                <w:rFonts w:hint="eastAsia" w:ascii="宋体" w:hAnsi="宋体" w:eastAsia="宋体" w:cs="宋体"/>
                <w:sz w:val="21"/>
                <w:szCs w:val="21"/>
                <w:lang w:val="en-US" w:eastAsia="zh-CN"/>
              </w:rPr>
              <w:t>4.1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分；证明材料和资料缺失严重，计1-</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tc>
        <w:tc>
          <w:tcPr>
            <w:tcW w:w="736"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808" w:type="dxa"/>
            <w:vMerge w:val="continue"/>
            <w:vAlign w:val="center"/>
          </w:tcPr>
          <w:p>
            <w:pPr>
              <w:spacing w:line="5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99" w:type="dxa"/>
            <w:vMerge w:val="continue"/>
            <w:vAlign w:val="center"/>
          </w:tcPr>
          <w:p>
            <w:pPr>
              <w:spacing w:line="560" w:lineRule="exact"/>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7"/>
              </w:numPr>
              <w:spacing w:line="288" w:lineRule="auto"/>
              <w:jc w:val="center"/>
              <w:rPr>
                <w:rFonts w:hint="eastAsia" w:ascii="宋体" w:hAnsi="宋体" w:eastAsia="宋体" w:cs="宋体"/>
                <w:sz w:val="21"/>
                <w:szCs w:val="21"/>
              </w:rPr>
            </w:pPr>
          </w:p>
        </w:tc>
        <w:tc>
          <w:tcPr>
            <w:tcW w:w="6105" w:type="dxa"/>
            <w:vAlign w:val="center"/>
          </w:tcPr>
          <w:p>
            <w:pPr>
              <w:pStyle w:val="6"/>
              <w:tabs>
                <w:tab w:val="left" w:pos="864"/>
              </w:tabs>
              <w:spacing w:before="0"/>
              <w:ind w:left="0" w:firstLine="0"/>
              <w:rPr>
                <w:rFonts w:hint="eastAsia" w:ascii="宋体" w:hAnsi="宋体" w:eastAsia="宋体" w:cs="宋体"/>
                <w:color w:val="auto"/>
                <w:sz w:val="21"/>
                <w:szCs w:val="21"/>
                <w:u w:val="none"/>
                <w:lang w:val="en-US" w:eastAsia="zh-CN" w:bidi="ar-SA"/>
              </w:rPr>
            </w:pPr>
            <w:r>
              <w:rPr>
                <w:rFonts w:hint="eastAsia" w:ascii="宋体" w:hAnsi="宋体" w:eastAsia="宋体" w:cs="宋体"/>
                <w:color w:val="auto"/>
                <w:sz w:val="21"/>
                <w:szCs w:val="21"/>
                <w:u w:val="none"/>
                <w:lang w:val="en-US" w:eastAsia="zh-CN" w:bidi="ar-SA"/>
              </w:rPr>
              <w:t>3、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pPr>
              <w:spacing w:line="560" w:lineRule="exact"/>
              <w:jc w:val="center"/>
              <w:rPr>
                <w:rFonts w:hint="eastAsia" w:ascii="宋体" w:hAnsi="宋体" w:eastAsia="宋体" w:cs="宋体"/>
                <w:color w:val="auto"/>
                <w:sz w:val="21"/>
                <w:szCs w:val="21"/>
                <w:u w:val="none"/>
                <w:lang w:val="en-US" w:eastAsia="zh-CN" w:bidi="ar-SA"/>
              </w:rPr>
            </w:pPr>
            <w:r>
              <w:rPr>
                <w:rFonts w:hint="eastAsia" w:ascii="宋体" w:hAnsi="宋体" w:eastAsia="宋体" w:cs="宋体"/>
                <w:color w:val="auto"/>
                <w:sz w:val="21"/>
                <w:szCs w:val="21"/>
                <w:u w:val="none"/>
                <w:lang w:val="en-US" w:eastAsia="zh-CN" w:bidi="ar-SA"/>
              </w:rPr>
              <w:t>5分</w:t>
            </w:r>
          </w:p>
        </w:tc>
        <w:tc>
          <w:tcPr>
            <w:tcW w:w="808" w:type="dxa"/>
            <w:vMerge w:val="continue"/>
            <w:vAlign w:val="center"/>
          </w:tcPr>
          <w:p>
            <w:pPr>
              <w:spacing w:line="5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99" w:type="dxa"/>
            <w:vMerge w:val="continue"/>
            <w:vAlign w:val="center"/>
          </w:tcPr>
          <w:p>
            <w:pPr>
              <w:spacing w:line="560" w:lineRule="exact"/>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7"/>
              </w:numPr>
              <w:spacing w:line="288" w:lineRule="auto"/>
              <w:jc w:val="center"/>
              <w:rPr>
                <w:rFonts w:hint="eastAsia" w:ascii="宋体" w:hAnsi="宋体" w:eastAsia="宋体" w:cs="宋体"/>
                <w:sz w:val="21"/>
                <w:szCs w:val="21"/>
              </w:rPr>
            </w:pPr>
          </w:p>
        </w:tc>
        <w:tc>
          <w:tcPr>
            <w:tcW w:w="6105" w:type="dxa"/>
            <w:vAlign w:val="center"/>
          </w:tcPr>
          <w:p>
            <w:pPr>
              <w:pStyle w:val="6"/>
              <w:tabs>
                <w:tab w:val="left" w:pos="864"/>
              </w:tabs>
              <w:spacing w:before="0"/>
              <w:ind w:left="0" w:firstLine="0"/>
              <w:rPr>
                <w:rFonts w:hint="eastAsia" w:ascii="宋体" w:hAnsi="宋体" w:eastAsia="宋体" w:cs="宋体"/>
                <w:color w:val="auto"/>
                <w:sz w:val="21"/>
                <w:szCs w:val="21"/>
                <w:u w:val="none"/>
                <w:lang w:val="en-US" w:eastAsia="zh-CN" w:bidi="ar-SA"/>
              </w:rPr>
            </w:pPr>
            <w:r>
              <w:rPr>
                <w:rFonts w:hint="eastAsia" w:ascii="宋体" w:hAnsi="宋体" w:eastAsia="宋体" w:cs="宋体"/>
                <w:color w:val="auto"/>
                <w:sz w:val="21"/>
                <w:szCs w:val="21"/>
                <w:u w:val="none"/>
                <w:lang w:val="en-US" w:eastAsia="zh-CN" w:bidi="ar-SA"/>
              </w:rPr>
              <w:t>4、技术服务团队：有专业的服务团队和技术人员支持（以投标文件中供应商人员情况表为依据）。</w:t>
            </w:r>
          </w:p>
          <w:p>
            <w:pPr>
              <w:pStyle w:val="6"/>
              <w:tabs>
                <w:tab w:val="left" w:pos="864"/>
              </w:tabs>
              <w:spacing w:before="0"/>
              <w:ind w:left="0" w:firstLine="0"/>
              <w:rPr>
                <w:rFonts w:hint="eastAsia" w:ascii="宋体" w:hAnsi="宋体" w:eastAsia="宋体" w:cs="宋体"/>
                <w:color w:val="auto"/>
                <w:sz w:val="21"/>
                <w:szCs w:val="21"/>
                <w:u w:val="none"/>
                <w:lang w:val="en-US" w:eastAsia="zh-CN" w:bidi="ar-SA"/>
              </w:rPr>
            </w:pPr>
            <w:r>
              <w:rPr>
                <w:rFonts w:hint="eastAsia" w:ascii="宋体" w:hAnsi="宋体" w:eastAsia="宋体" w:cs="宋体"/>
                <w:color w:val="auto"/>
                <w:sz w:val="21"/>
                <w:szCs w:val="21"/>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pPr>
              <w:spacing w:line="560" w:lineRule="exact"/>
              <w:jc w:val="center"/>
              <w:rPr>
                <w:rFonts w:hint="eastAsia" w:ascii="宋体" w:hAnsi="宋体" w:eastAsia="宋体" w:cs="宋体"/>
                <w:color w:val="auto"/>
                <w:sz w:val="21"/>
                <w:szCs w:val="21"/>
                <w:u w:val="none"/>
                <w:lang w:val="en-US" w:eastAsia="zh-CN" w:bidi="ar-SA"/>
              </w:rPr>
            </w:pPr>
            <w:r>
              <w:rPr>
                <w:rFonts w:hint="eastAsia" w:ascii="宋体" w:hAnsi="宋体" w:eastAsia="宋体" w:cs="宋体"/>
                <w:color w:val="auto"/>
                <w:sz w:val="21"/>
                <w:szCs w:val="21"/>
                <w:u w:val="none"/>
                <w:lang w:val="en-US" w:eastAsia="zh-CN" w:bidi="ar-SA"/>
              </w:rPr>
              <w:t>5分</w:t>
            </w:r>
          </w:p>
        </w:tc>
        <w:tc>
          <w:tcPr>
            <w:tcW w:w="808" w:type="dxa"/>
            <w:vMerge w:val="continue"/>
            <w:vAlign w:val="center"/>
          </w:tcPr>
          <w:p>
            <w:pPr>
              <w:spacing w:line="5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9" w:type="dxa"/>
            <w:vMerge w:val="restart"/>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履</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约</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能</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力</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及</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服</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务</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承</w:t>
            </w:r>
          </w:p>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诺</w:t>
            </w:r>
          </w:p>
        </w:tc>
        <w:tc>
          <w:tcPr>
            <w:tcW w:w="827" w:type="dxa"/>
            <w:vMerge w:val="restart"/>
            <w:vAlign w:val="center"/>
          </w:tcPr>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b/>
                <w:bCs/>
                <w:sz w:val="21"/>
                <w:szCs w:val="21"/>
                <w:lang w:val="en-US" w:eastAsia="zh-CN"/>
              </w:rPr>
            </w:pPr>
          </w:p>
          <w:p>
            <w:pPr>
              <w:spacing w:line="560" w:lineRule="exact"/>
              <w:rPr>
                <w:rFonts w:hint="eastAsia" w:ascii="宋体" w:hAnsi="宋体" w:eastAsia="宋体" w:cs="宋体"/>
                <w:sz w:val="21"/>
                <w:szCs w:val="21"/>
              </w:rPr>
            </w:pPr>
            <w:r>
              <w:rPr>
                <w:rFonts w:hint="eastAsia" w:hAnsi="宋体" w:cs="宋体"/>
                <w:b/>
                <w:bCs/>
                <w:sz w:val="21"/>
                <w:szCs w:val="21"/>
                <w:lang w:val="en-US" w:eastAsia="zh-CN"/>
              </w:rPr>
              <w:t>18</w:t>
            </w:r>
            <w:r>
              <w:rPr>
                <w:rFonts w:hint="eastAsia" w:ascii="宋体" w:hAnsi="宋体" w:eastAsia="宋体" w:cs="宋体"/>
                <w:b/>
                <w:bCs/>
                <w:sz w:val="21"/>
                <w:szCs w:val="21"/>
              </w:rPr>
              <w:t>分</w:t>
            </w:r>
          </w:p>
        </w:tc>
        <w:tc>
          <w:tcPr>
            <w:tcW w:w="636" w:type="dxa"/>
            <w:vAlign w:val="center"/>
          </w:tcPr>
          <w:p>
            <w:pPr>
              <w:numPr>
                <w:ilvl w:val="0"/>
                <w:numId w:val="8"/>
              </w:numPr>
              <w:spacing w:line="288" w:lineRule="auto"/>
              <w:jc w:val="center"/>
              <w:rPr>
                <w:rFonts w:hint="eastAsia" w:ascii="宋体" w:hAnsi="宋体" w:eastAsia="宋体" w:cs="宋体"/>
                <w:sz w:val="21"/>
                <w:szCs w:val="21"/>
              </w:rPr>
            </w:pPr>
          </w:p>
        </w:tc>
        <w:tc>
          <w:tcPr>
            <w:tcW w:w="6105" w:type="dxa"/>
            <w:vAlign w:val="center"/>
          </w:tcPr>
          <w:p>
            <w:pPr>
              <w:pStyle w:val="11"/>
              <w:rPr>
                <w:rFonts w:hint="eastAsia" w:ascii="宋体" w:hAnsi="宋体" w:eastAsia="宋体" w:cs="宋体"/>
                <w:color w:val="auto"/>
                <w:kern w:val="0"/>
                <w:sz w:val="21"/>
                <w:szCs w:val="21"/>
                <w:u w:val="none"/>
                <w:lang w:val="en-US" w:eastAsia="zh-CN" w:bidi="ar-SA"/>
              </w:rPr>
            </w:pPr>
            <w:r>
              <w:rPr>
                <w:rFonts w:hint="eastAsia" w:ascii="宋体" w:hAnsi="宋体" w:eastAsia="宋体" w:cs="宋体"/>
                <w:color w:val="auto"/>
                <w:kern w:val="0"/>
                <w:sz w:val="21"/>
                <w:szCs w:val="21"/>
                <w:u w:val="none"/>
                <w:lang w:val="en-US" w:eastAsia="zh-CN" w:bidi="ar-SA"/>
              </w:rPr>
              <w:t>1、业绩：供应商提供202</w:t>
            </w:r>
            <w:r>
              <w:rPr>
                <w:rFonts w:hint="eastAsia" w:ascii="宋体" w:hAnsi="宋体" w:cs="宋体"/>
                <w:color w:val="auto"/>
                <w:kern w:val="0"/>
                <w:sz w:val="21"/>
                <w:szCs w:val="21"/>
                <w:u w:val="none"/>
                <w:lang w:val="en-US" w:eastAsia="zh-CN" w:bidi="ar-SA"/>
              </w:rPr>
              <w:t>1</w:t>
            </w:r>
            <w:r>
              <w:rPr>
                <w:rFonts w:hint="eastAsia" w:ascii="宋体" w:hAnsi="宋体" w:eastAsia="宋体" w:cs="宋体"/>
                <w:color w:val="auto"/>
                <w:kern w:val="0"/>
                <w:sz w:val="21"/>
                <w:szCs w:val="21"/>
                <w:u w:val="none"/>
                <w:lang w:val="en-US" w:eastAsia="zh-CN" w:bidi="ar-SA"/>
              </w:rPr>
              <w:t>年</w:t>
            </w:r>
            <w:r>
              <w:rPr>
                <w:rFonts w:hint="eastAsia" w:ascii="宋体" w:hAnsi="宋体" w:cs="宋体"/>
                <w:color w:val="auto"/>
                <w:kern w:val="0"/>
                <w:sz w:val="21"/>
                <w:szCs w:val="21"/>
                <w:u w:val="none"/>
                <w:lang w:val="en-US" w:eastAsia="zh-CN" w:bidi="ar-SA"/>
              </w:rPr>
              <w:t>5</w:t>
            </w:r>
            <w:r>
              <w:rPr>
                <w:rFonts w:hint="eastAsia" w:ascii="宋体" w:hAnsi="宋体" w:eastAsia="宋体" w:cs="宋体"/>
                <w:color w:val="auto"/>
                <w:kern w:val="0"/>
                <w:sz w:val="21"/>
                <w:szCs w:val="21"/>
                <w:u w:val="none"/>
                <w:lang w:val="en-US" w:eastAsia="zh-CN" w:bidi="ar-SA"/>
              </w:rPr>
              <w:t>月至今承担过类似项目业绩，每提供1份类似项目业绩计1分，（类似项目业绩以供应商在投标文件中提供的合同复印件加盖供应商公章为准）本项满分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1"/>
                <w:szCs w:val="21"/>
                <w:u w:val="none"/>
                <w:lang w:val="en-US" w:eastAsia="zh-CN" w:bidi="ar-SA"/>
              </w:rPr>
              <w:t>3</w:t>
            </w:r>
            <w:r>
              <w:rPr>
                <w:rFonts w:hint="eastAsia" w:ascii="宋体" w:hAnsi="宋体" w:eastAsia="宋体" w:cs="宋体"/>
                <w:color w:val="auto"/>
                <w:kern w:val="0"/>
                <w:sz w:val="21"/>
                <w:szCs w:val="21"/>
                <w:u w:val="none"/>
                <w:lang w:val="en-US" w:eastAsia="zh-CN" w:bidi="ar-SA"/>
              </w:rPr>
              <w:t>分。所提供的业绩证明材料清晰可辨，否则评标委员会可对所提供的业绩证明材料视为不合格业绩，不得分。</w:t>
            </w:r>
          </w:p>
        </w:tc>
        <w:tc>
          <w:tcPr>
            <w:tcW w:w="736" w:type="dxa"/>
            <w:vAlign w:val="center"/>
          </w:tcPr>
          <w:p>
            <w:pPr>
              <w:spacing w:line="560" w:lineRule="exact"/>
              <w:jc w:val="center"/>
              <w:rPr>
                <w:rFonts w:hint="eastAsia" w:ascii="宋体" w:hAnsi="宋体" w:eastAsia="宋体" w:cs="宋体"/>
                <w:sz w:val="21"/>
                <w:szCs w:val="21"/>
              </w:rPr>
            </w:pPr>
            <w:r>
              <w:rPr>
                <w:rFonts w:hint="eastAsia" w:hAnsi="宋体" w:cs="宋体"/>
                <w:sz w:val="21"/>
                <w:szCs w:val="21"/>
                <w:lang w:val="en-US" w:eastAsia="zh-CN"/>
              </w:rPr>
              <w:t>3</w:t>
            </w:r>
            <w:r>
              <w:rPr>
                <w:rFonts w:hint="eastAsia" w:ascii="宋体" w:hAnsi="宋体" w:eastAsia="宋体" w:cs="宋体"/>
                <w:sz w:val="21"/>
                <w:szCs w:val="21"/>
              </w:rPr>
              <w:t>分</w:t>
            </w:r>
          </w:p>
        </w:tc>
        <w:tc>
          <w:tcPr>
            <w:tcW w:w="808" w:type="dxa"/>
            <w:vMerge w:val="continue"/>
            <w:vAlign w:val="center"/>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99" w:type="dxa"/>
            <w:vMerge w:val="continue"/>
            <w:vAlign w:val="center"/>
          </w:tcPr>
          <w:p>
            <w:pPr>
              <w:spacing w:line="560" w:lineRule="exact"/>
              <w:jc w:val="center"/>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8"/>
              </w:numPr>
              <w:spacing w:line="288" w:lineRule="auto"/>
              <w:jc w:val="center"/>
              <w:rPr>
                <w:rFonts w:hint="eastAsia" w:ascii="宋体" w:hAnsi="宋体" w:eastAsia="宋体" w:cs="宋体"/>
                <w:sz w:val="21"/>
                <w:szCs w:val="21"/>
              </w:rPr>
            </w:pPr>
          </w:p>
        </w:tc>
        <w:tc>
          <w:tcPr>
            <w:tcW w:w="6105" w:type="dxa"/>
            <w:vAlign w:val="center"/>
          </w:tcPr>
          <w:p>
            <w:pPr>
              <w:spacing w:line="288" w:lineRule="auto"/>
              <w:rPr>
                <w:rFonts w:hint="eastAsia" w:ascii="宋体" w:hAnsi="宋体" w:eastAsia="宋体" w:cs="宋体"/>
                <w:color w:val="auto"/>
                <w:kern w:val="0"/>
                <w:sz w:val="21"/>
                <w:szCs w:val="21"/>
                <w:u w:val="none"/>
                <w:lang w:val="en-US" w:eastAsia="zh-CN" w:bidi="ar-SA"/>
              </w:rPr>
            </w:pPr>
            <w:r>
              <w:rPr>
                <w:rFonts w:hint="eastAsia" w:ascii="宋体" w:hAnsi="宋体" w:eastAsia="宋体" w:cs="宋体"/>
                <w:color w:val="auto"/>
                <w:kern w:val="0"/>
                <w:sz w:val="21"/>
                <w:szCs w:val="21"/>
                <w:u w:val="none"/>
                <w:lang w:val="en-US" w:eastAsia="zh-CN" w:bidi="ar-SA"/>
              </w:rPr>
              <w:t>2、根据供应商提供的针对本项目特点的售后服务评分。方案完善、科学合理，针对性强、服务承诺明确，计4.1-</w:t>
            </w:r>
            <w:r>
              <w:rPr>
                <w:rFonts w:hint="eastAsia" w:hAnsi="宋体" w:cs="宋体"/>
                <w:color w:val="auto"/>
                <w:kern w:val="0"/>
                <w:sz w:val="21"/>
                <w:szCs w:val="21"/>
                <w:u w:val="none"/>
                <w:lang w:val="en-US" w:eastAsia="zh-CN" w:bidi="ar-SA"/>
              </w:rPr>
              <w:t>6</w:t>
            </w:r>
            <w:r>
              <w:rPr>
                <w:rFonts w:hint="eastAsia" w:ascii="宋体" w:hAnsi="宋体" w:eastAsia="宋体" w:cs="宋体"/>
                <w:color w:val="auto"/>
                <w:kern w:val="0"/>
                <w:sz w:val="21"/>
                <w:szCs w:val="21"/>
                <w:u w:val="none"/>
                <w:lang w:val="en-US" w:eastAsia="zh-CN" w:bidi="ar-SA"/>
              </w:rPr>
              <w:t>分，方案较完整、合理可行、特点和承诺不明确，计2.1-4分，方案较差，计1-2分；未提供不计分。</w:t>
            </w:r>
          </w:p>
        </w:tc>
        <w:tc>
          <w:tcPr>
            <w:tcW w:w="736" w:type="dxa"/>
            <w:vAlign w:val="center"/>
          </w:tcPr>
          <w:p>
            <w:pPr>
              <w:spacing w:line="560" w:lineRule="exact"/>
              <w:jc w:val="center"/>
              <w:rPr>
                <w:rFonts w:hint="eastAsia" w:ascii="宋体" w:hAnsi="宋体" w:eastAsia="宋体" w:cs="宋体"/>
                <w:sz w:val="21"/>
                <w:szCs w:val="21"/>
              </w:rPr>
            </w:pPr>
            <w:r>
              <w:rPr>
                <w:rFonts w:hint="eastAsia" w:hAnsi="宋体" w:cs="宋体"/>
                <w:sz w:val="21"/>
                <w:szCs w:val="21"/>
                <w:lang w:val="en-US" w:eastAsia="zh-CN"/>
              </w:rPr>
              <w:t>6</w:t>
            </w:r>
            <w:r>
              <w:rPr>
                <w:rFonts w:hint="eastAsia" w:ascii="宋体" w:hAnsi="宋体" w:eastAsia="宋体" w:cs="宋体"/>
                <w:sz w:val="21"/>
                <w:szCs w:val="21"/>
              </w:rPr>
              <w:t>分</w:t>
            </w:r>
          </w:p>
        </w:tc>
        <w:tc>
          <w:tcPr>
            <w:tcW w:w="808" w:type="dxa"/>
            <w:vMerge w:val="continue"/>
            <w:vAlign w:val="center"/>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99" w:type="dxa"/>
            <w:vMerge w:val="continue"/>
            <w:vAlign w:val="center"/>
          </w:tcPr>
          <w:p>
            <w:pPr>
              <w:spacing w:line="560" w:lineRule="exact"/>
              <w:jc w:val="center"/>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8"/>
              </w:numPr>
              <w:spacing w:line="288" w:lineRule="auto"/>
              <w:jc w:val="center"/>
              <w:rPr>
                <w:rFonts w:hint="eastAsia" w:ascii="宋体" w:hAnsi="宋体" w:eastAsia="宋体" w:cs="宋体"/>
                <w:sz w:val="21"/>
                <w:szCs w:val="21"/>
              </w:rPr>
            </w:pPr>
          </w:p>
        </w:tc>
        <w:tc>
          <w:tcPr>
            <w:tcW w:w="6105" w:type="dxa"/>
            <w:vAlign w:val="center"/>
          </w:tcPr>
          <w:p>
            <w:pPr>
              <w:spacing w:line="288" w:lineRule="auto"/>
              <w:rPr>
                <w:rFonts w:hint="eastAsia" w:ascii="宋体" w:hAnsi="宋体" w:eastAsia="宋体" w:cs="宋体"/>
                <w:color w:val="auto"/>
                <w:kern w:val="0"/>
                <w:sz w:val="21"/>
                <w:szCs w:val="21"/>
                <w:u w:val="none"/>
                <w:lang w:val="en-US" w:eastAsia="zh-CN" w:bidi="ar-SA"/>
              </w:rPr>
            </w:pPr>
            <w:r>
              <w:rPr>
                <w:rFonts w:hint="eastAsia" w:hAnsi="宋体" w:cs="宋体"/>
                <w:color w:val="auto"/>
                <w:kern w:val="0"/>
                <w:sz w:val="21"/>
                <w:szCs w:val="21"/>
                <w:u w:val="none"/>
                <w:lang w:val="en-US" w:eastAsia="zh-CN" w:bidi="ar-SA"/>
              </w:rPr>
              <w:t>3、</w:t>
            </w:r>
            <w:r>
              <w:rPr>
                <w:rFonts w:hint="eastAsia" w:ascii="宋体" w:hAnsi="宋体" w:eastAsia="宋体" w:cs="宋体"/>
                <w:color w:val="auto"/>
                <w:kern w:val="0"/>
                <w:sz w:val="21"/>
                <w:szCs w:val="21"/>
                <w:u w:val="none"/>
                <w:lang w:val="en-US" w:eastAsia="zh-CN" w:bidi="ar-SA"/>
              </w:rPr>
              <w:t>根据供应商提供的培训方案及培训效果保证措施等进行评分，方案完善、工作目标明确、科学合理、培训效果保证措施充分，计4.1-5分，有培训方案、目标较明确、措施和各项工作目标、条理性不强，计2.1-4分，方案较差，计1-2分，未提供不计分。</w:t>
            </w:r>
          </w:p>
        </w:tc>
        <w:tc>
          <w:tcPr>
            <w:tcW w:w="736" w:type="dxa"/>
            <w:vAlign w:val="center"/>
          </w:tcPr>
          <w:p>
            <w:pPr>
              <w:spacing w:line="5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808" w:type="dxa"/>
            <w:vAlign w:val="center"/>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99" w:type="dxa"/>
            <w:vMerge w:val="continue"/>
            <w:vAlign w:val="center"/>
          </w:tcPr>
          <w:p>
            <w:pPr>
              <w:spacing w:line="560" w:lineRule="exact"/>
              <w:jc w:val="center"/>
              <w:rPr>
                <w:rFonts w:hint="eastAsia" w:ascii="宋体" w:hAnsi="宋体" w:eastAsia="宋体" w:cs="宋体"/>
                <w:b/>
                <w:sz w:val="21"/>
                <w:szCs w:val="21"/>
              </w:rPr>
            </w:pPr>
          </w:p>
        </w:tc>
        <w:tc>
          <w:tcPr>
            <w:tcW w:w="827" w:type="dxa"/>
            <w:vMerge w:val="continue"/>
            <w:vAlign w:val="center"/>
          </w:tcPr>
          <w:p>
            <w:pPr>
              <w:spacing w:line="560" w:lineRule="exact"/>
              <w:rPr>
                <w:rFonts w:hint="eastAsia" w:ascii="宋体" w:hAnsi="宋体" w:eastAsia="宋体" w:cs="宋体"/>
                <w:b/>
                <w:bCs/>
                <w:sz w:val="21"/>
                <w:szCs w:val="21"/>
              </w:rPr>
            </w:pPr>
          </w:p>
        </w:tc>
        <w:tc>
          <w:tcPr>
            <w:tcW w:w="636" w:type="dxa"/>
            <w:vAlign w:val="center"/>
          </w:tcPr>
          <w:p>
            <w:pPr>
              <w:numPr>
                <w:ilvl w:val="0"/>
                <w:numId w:val="8"/>
              </w:numPr>
              <w:spacing w:line="288" w:lineRule="auto"/>
              <w:jc w:val="center"/>
              <w:rPr>
                <w:rFonts w:hint="eastAsia" w:ascii="宋体" w:hAnsi="宋体" w:eastAsia="宋体" w:cs="宋体"/>
                <w:sz w:val="21"/>
                <w:szCs w:val="21"/>
              </w:rPr>
            </w:pPr>
          </w:p>
        </w:tc>
        <w:tc>
          <w:tcPr>
            <w:tcW w:w="6105" w:type="dxa"/>
            <w:vAlign w:val="center"/>
          </w:tcPr>
          <w:p>
            <w:pPr>
              <w:numPr>
                <w:ilvl w:val="0"/>
                <w:numId w:val="0"/>
              </w:numPr>
              <w:spacing w:line="288" w:lineRule="auto"/>
              <w:ind w:leftChars="0"/>
              <w:rPr>
                <w:rFonts w:hint="eastAsia" w:ascii="宋体" w:hAnsi="宋体" w:eastAsia="宋体" w:cs="宋体"/>
                <w:color w:val="auto"/>
                <w:kern w:val="0"/>
                <w:sz w:val="21"/>
                <w:szCs w:val="21"/>
                <w:u w:val="none"/>
                <w:lang w:val="en-US" w:eastAsia="zh-CN" w:bidi="ar-SA"/>
              </w:rPr>
            </w:pPr>
            <w:r>
              <w:rPr>
                <w:rFonts w:hint="eastAsia" w:ascii="宋体" w:hAnsi="宋体" w:eastAsia="宋体" w:cs="宋体"/>
                <w:color w:val="auto"/>
                <w:kern w:val="0"/>
                <w:sz w:val="21"/>
                <w:szCs w:val="21"/>
                <w:u w:val="none"/>
                <w:lang w:val="en-US" w:eastAsia="zh-CN" w:bidi="ar-SA"/>
              </w:rPr>
              <w:t>4、所投产品生产厂家或供应商具有IS09001质量管理体系认证证书、ISO</w:t>
            </w:r>
            <w:r>
              <w:rPr>
                <w:rFonts w:hint="eastAsia" w:ascii="宋体" w:hAnsi="宋体" w:eastAsia="宋体" w:cs="宋体"/>
                <w:color w:val="auto"/>
                <w:kern w:val="0"/>
                <w:sz w:val="21"/>
                <w:szCs w:val="21"/>
                <w:highlight w:val="none"/>
                <w:u w:val="none"/>
                <w:lang w:val="en-US" w:eastAsia="zh-CN" w:bidi="ar-SA"/>
              </w:rPr>
              <w:t>14001环境管理体系认证证书，ISO45001职业健康安全管理体系认证证书，ISO27001信息安全管理体系认证的每有一项计</w:t>
            </w:r>
            <w:r>
              <w:rPr>
                <w:rFonts w:hint="eastAsia" w:hAnsi="宋体" w:cs="宋体"/>
                <w:color w:val="auto"/>
                <w:kern w:val="0"/>
                <w:sz w:val="21"/>
                <w:szCs w:val="21"/>
                <w:highlight w:val="none"/>
                <w:u w:val="none"/>
                <w:lang w:val="en-US" w:eastAsia="zh-CN" w:bidi="ar-SA"/>
              </w:rPr>
              <w:t>0.5</w:t>
            </w:r>
            <w:r>
              <w:rPr>
                <w:rFonts w:hint="eastAsia" w:ascii="宋体" w:hAnsi="宋体" w:eastAsia="宋体" w:cs="宋体"/>
                <w:color w:val="auto"/>
                <w:kern w:val="0"/>
                <w:sz w:val="21"/>
                <w:szCs w:val="21"/>
                <w:highlight w:val="none"/>
                <w:u w:val="none"/>
                <w:lang w:val="en-US" w:eastAsia="zh-CN" w:bidi="ar-SA"/>
              </w:rPr>
              <w:t>分，最高计</w:t>
            </w:r>
            <w:r>
              <w:rPr>
                <w:rFonts w:hint="eastAsia" w:hAnsi="宋体" w:cs="宋体"/>
                <w:color w:val="auto"/>
                <w:kern w:val="0"/>
                <w:sz w:val="21"/>
                <w:szCs w:val="21"/>
                <w:highlight w:val="none"/>
                <w:u w:val="none"/>
                <w:lang w:val="en-US" w:eastAsia="zh-CN" w:bidi="ar-SA"/>
              </w:rPr>
              <w:t>2</w:t>
            </w:r>
            <w:r>
              <w:rPr>
                <w:rFonts w:hint="eastAsia" w:ascii="宋体" w:hAnsi="宋体" w:eastAsia="宋体" w:cs="宋体"/>
                <w:color w:val="auto"/>
                <w:kern w:val="0"/>
                <w:sz w:val="21"/>
                <w:szCs w:val="21"/>
                <w:highlight w:val="none"/>
                <w:u w:val="none"/>
                <w:lang w:val="en-US" w:eastAsia="zh-CN" w:bidi="ar-SA"/>
              </w:rPr>
              <w:t>分</w:t>
            </w:r>
            <w:r>
              <w:rPr>
                <w:rFonts w:hint="eastAsia" w:hAnsi="宋体" w:cs="宋体"/>
                <w:color w:val="auto"/>
                <w:kern w:val="0"/>
                <w:sz w:val="21"/>
                <w:szCs w:val="21"/>
                <w:highlight w:val="none"/>
                <w:u w:val="none"/>
                <w:lang w:val="en-US" w:eastAsia="zh-CN" w:bidi="ar-SA"/>
              </w:rPr>
              <w:t>；供应商具有ITSS信息技术服务运行维护符合性证书的，得1分；供应商具有产品责任保险得1分，提供责任保险单及发票复印件。</w:t>
            </w:r>
            <w:r>
              <w:rPr>
                <w:rFonts w:hint="eastAsia" w:ascii="宋体" w:hAnsi="宋体" w:eastAsia="宋体" w:cs="宋体"/>
                <w:color w:val="auto"/>
                <w:kern w:val="0"/>
                <w:sz w:val="21"/>
                <w:szCs w:val="21"/>
                <w:highlight w:val="none"/>
                <w:u w:val="none"/>
                <w:lang w:val="en-US" w:eastAsia="zh-CN" w:bidi="ar-SA"/>
              </w:rPr>
              <w:t>（提供相关证书</w:t>
            </w:r>
            <w:r>
              <w:rPr>
                <w:rFonts w:hint="eastAsia" w:hAnsi="宋体" w:cs="宋体"/>
                <w:color w:val="auto"/>
                <w:kern w:val="0"/>
                <w:sz w:val="21"/>
                <w:szCs w:val="21"/>
                <w:highlight w:val="none"/>
                <w:u w:val="none"/>
                <w:lang w:val="en-US" w:eastAsia="zh-CN" w:bidi="ar-SA"/>
              </w:rPr>
              <w:t>或证明资料</w:t>
            </w:r>
            <w:r>
              <w:rPr>
                <w:rFonts w:hint="eastAsia" w:ascii="宋体" w:hAnsi="宋体" w:eastAsia="宋体" w:cs="宋体"/>
                <w:color w:val="auto"/>
                <w:kern w:val="0"/>
                <w:sz w:val="21"/>
                <w:szCs w:val="21"/>
                <w:highlight w:val="none"/>
                <w:u w:val="none"/>
                <w:lang w:val="en-US" w:eastAsia="zh-CN" w:bidi="ar-SA"/>
              </w:rPr>
              <w:t>复印件加盖公章）</w:t>
            </w:r>
          </w:p>
        </w:tc>
        <w:tc>
          <w:tcPr>
            <w:tcW w:w="736" w:type="dxa"/>
            <w:vAlign w:val="center"/>
          </w:tcPr>
          <w:p>
            <w:pPr>
              <w:spacing w:line="560" w:lineRule="exact"/>
              <w:jc w:val="center"/>
              <w:rPr>
                <w:rFonts w:hint="eastAsia" w:ascii="宋体" w:hAnsi="宋体" w:eastAsia="宋体" w:cs="宋体"/>
                <w:sz w:val="21"/>
                <w:szCs w:val="21"/>
                <w:lang w:val="en-US" w:eastAsia="zh-CN"/>
              </w:rPr>
            </w:pPr>
            <w:r>
              <w:rPr>
                <w:rFonts w:hint="eastAsia" w:hAnsi="宋体" w:cs="宋体"/>
                <w:sz w:val="21"/>
                <w:szCs w:val="21"/>
                <w:lang w:val="en-US" w:eastAsia="zh-CN"/>
              </w:rPr>
              <w:t>4</w:t>
            </w:r>
            <w:r>
              <w:rPr>
                <w:rFonts w:hint="eastAsia" w:ascii="宋体" w:hAnsi="宋体" w:eastAsia="宋体" w:cs="宋体"/>
                <w:sz w:val="21"/>
                <w:szCs w:val="21"/>
                <w:lang w:val="en-US" w:eastAsia="zh-CN"/>
              </w:rPr>
              <w:t>分</w:t>
            </w:r>
          </w:p>
        </w:tc>
        <w:tc>
          <w:tcPr>
            <w:tcW w:w="808" w:type="dxa"/>
            <w:vAlign w:val="center"/>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99" w:type="dxa"/>
            <w:vAlign w:val="center"/>
          </w:tcPr>
          <w:p>
            <w:pPr>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节能环保产品</w:t>
            </w:r>
          </w:p>
        </w:tc>
        <w:tc>
          <w:tcPr>
            <w:tcW w:w="1463" w:type="dxa"/>
            <w:gridSpan w:val="2"/>
            <w:vAlign w:val="center"/>
          </w:tcPr>
          <w:p>
            <w:pPr>
              <w:spacing w:line="288" w:lineRule="auto"/>
              <w:jc w:val="center"/>
              <w:rPr>
                <w:rFonts w:hint="eastAsia" w:ascii="宋体" w:hAnsi="宋体" w:eastAsia="宋体" w:cs="宋体"/>
                <w:sz w:val="21"/>
                <w:szCs w:val="21"/>
                <w:highlight w:val="none"/>
              </w:rPr>
            </w:pPr>
            <w:r>
              <w:rPr>
                <w:rFonts w:hint="eastAsia" w:hAnsi="宋体" w:cs="宋体"/>
                <w:b/>
                <w:bCs/>
                <w:sz w:val="21"/>
                <w:szCs w:val="21"/>
                <w:highlight w:val="none"/>
                <w:lang w:val="en-US" w:eastAsia="zh-CN"/>
              </w:rPr>
              <w:t>2</w:t>
            </w:r>
            <w:r>
              <w:rPr>
                <w:rFonts w:hint="eastAsia" w:ascii="宋体" w:hAnsi="宋体" w:eastAsia="宋体" w:cs="宋体"/>
                <w:b/>
                <w:bCs/>
                <w:sz w:val="21"/>
                <w:szCs w:val="21"/>
                <w:highlight w:val="none"/>
              </w:rPr>
              <w:t>分</w:t>
            </w:r>
          </w:p>
        </w:tc>
        <w:tc>
          <w:tcPr>
            <w:tcW w:w="6105" w:type="dxa"/>
            <w:vAlign w:val="center"/>
          </w:tcPr>
          <w:p>
            <w:pPr>
              <w:pStyle w:val="6"/>
              <w:tabs>
                <w:tab w:val="left" w:pos="864"/>
              </w:tabs>
              <w:spacing w:before="0"/>
              <w:ind w:left="0" w:firstLine="0"/>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1"/>
                <w:szCs w:val="21"/>
                <w:highlight w:val="none"/>
                <w:u w:val="none"/>
                <w:lang w:val="en-US" w:eastAsia="zh-CN" w:bidi="ar-SA"/>
              </w:rPr>
              <w:t>0.5</w:t>
            </w:r>
            <w:r>
              <w:rPr>
                <w:rFonts w:hint="eastAsia" w:ascii="宋体" w:hAnsi="宋体" w:eastAsia="宋体" w:cs="宋体"/>
                <w:color w:val="auto"/>
                <w:kern w:val="0"/>
                <w:sz w:val="21"/>
                <w:szCs w:val="21"/>
                <w:highlight w:val="none"/>
                <w:u w:val="none"/>
                <w:lang w:val="en-US" w:eastAsia="zh-CN" w:bidi="ar-SA"/>
              </w:rPr>
              <w:t>分，共计</w:t>
            </w:r>
            <w:r>
              <w:rPr>
                <w:rFonts w:hint="eastAsia" w:hAnsi="宋体" w:cs="宋体"/>
                <w:color w:val="auto"/>
                <w:kern w:val="0"/>
                <w:sz w:val="21"/>
                <w:szCs w:val="21"/>
                <w:highlight w:val="none"/>
                <w:u w:val="none"/>
                <w:lang w:val="en-US" w:eastAsia="zh-CN" w:bidi="ar-SA"/>
              </w:rPr>
              <w:t>2</w:t>
            </w:r>
            <w:r>
              <w:rPr>
                <w:rFonts w:hint="eastAsia" w:ascii="宋体" w:hAnsi="宋体" w:eastAsia="宋体" w:cs="宋体"/>
                <w:color w:val="auto"/>
                <w:kern w:val="0"/>
                <w:sz w:val="21"/>
                <w:szCs w:val="21"/>
                <w:highlight w:val="none"/>
                <w:u w:val="none"/>
                <w:lang w:val="en-US" w:eastAsia="zh-CN" w:bidi="ar-SA"/>
              </w:rPr>
              <w:t>分。</w:t>
            </w:r>
          </w:p>
        </w:tc>
        <w:tc>
          <w:tcPr>
            <w:tcW w:w="736" w:type="dxa"/>
            <w:vAlign w:val="center"/>
          </w:tcPr>
          <w:p>
            <w:pPr>
              <w:spacing w:line="560" w:lineRule="exact"/>
              <w:jc w:val="center"/>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分</w:t>
            </w:r>
          </w:p>
        </w:tc>
        <w:tc>
          <w:tcPr>
            <w:tcW w:w="808" w:type="dxa"/>
            <w:vAlign w:val="center"/>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99"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备注</w:t>
            </w:r>
          </w:p>
        </w:tc>
        <w:tc>
          <w:tcPr>
            <w:tcW w:w="9112" w:type="dxa"/>
            <w:gridSpan w:val="5"/>
            <w:tcBorders>
              <w:top w:val="single" w:color="auto" w:sz="4" w:space="0"/>
              <w:bottom w:val="single" w:color="auto" w:sz="4" w:space="0"/>
            </w:tcBorders>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1.各评委应按照本评标方法独立打分。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2.分项评分超出评分标准范围或评标委员会成员对客观评审因素评分不一致时，采购代理机构可以要求评标委员会复核或者书面说明理由，评标委员会拒绝的，应予记录并向本级财政部门报告。</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4.各种计算采用插入法，数字均保留两位小数，第三位“四舍五入”。</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5.评标过程中，若出现特殊情况时，由评标委员会决定暂停评标，并提出具体处理意见。</w:t>
            </w:r>
          </w:p>
        </w:tc>
      </w:tr>
    </w:tbl>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投标文件构成及格式</w:t>
      </w:r>
    </w:p>
    <w:p>
      <w:pPr>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000000"/>
          <w:sz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注：非独立企业法人参与本次投标的，投标文件内涉及到法人签字盖章的部分均可由负责人签字盖章，授权书格式参照法人代表授权书。</w:t>
      </w:r>
    </w:p>
    <w:p>
      <w:pPr>
        <w:rPr>
          <w:rFonts w:hint="eastAsia" w:ascii="宋体" w:hAnsi="宋体" w:eastAsia="宋体" w:cs="宋体"/>
          <w:b/>
          <w:bCs/>
          <w:color w:val="auto"/>
          <w:sz w:val="28"/>
          <w:szCs w:val="21"/>
          <w:highlight w:val="none"/>
        </w:rPr>
      </w:pPr>
    </w:p>
    <w:p>
      <w:pPr>
        <w:rPr>
          <w:rFonts w:hint="eastAsia" w:ascii="宋体" w:hAnsi="宋体" w:eastAsia="宋体" w:cs="宋体"/>
          <w:b/>
          <w:bCs/>
          <w:color w:val="auto"/>
          <w:sz w:val="28"/>
          <w:szCs w:val="21"/>
          <w:highlight w:val="none"/>
        </w:rPr>
      </w:pPr>
    </w:p>
    <w:p>
      <w:pP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pP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TWZB2024-057</w:t>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pStyle w:val="11"/>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西咸新区泾河新城第一中学2024年设备续采项目 </w:t>
      </w:r>
    </w:p>
    <w:p>
      <w:pPr>
        <w:jc w:val="center"/>
        <w:rPr>
          <w:rFonts w:hint="eastAsia" w:ascii="宋体" w:hAnsi="宋体" w:eastAsia="宋体" w:cs="宋体"/>
          <w:b/>
          <w:bCs/>
          <w:color w:val="auto"/>
          <w:sz w:val="30"/>
          <w:szCs w:val="30"/>
          <w:highlight w:val="none"/>
        </w:rPr>
      </w:pPr>
    </w:p>
    <w:p>
      <w:pPr>
        <w:jc w:val="center"/>
        <w:rPr>
          <w:rFonts w:hint="eastAsia" w:ascii="宋体" w:hAnsi="宋体" w:eastAsia="宋体" w:cs="宋体"/>
          <w:b/>
          <w:bCs/>
          <w:color w:val="auto"/>
          <w:sz w:val="56"/>
          <w:szCs w:val="32"/>
          <w:highlight w:val="none"/>
        </w:rPr>
      </w:pPr>
    </w:p>
    <w:p>
      <w:pP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pPr>
        <w:jc w:val="center"/>
        <w:rPr>
          <w:rFonts w:hint="eastAsia" w:ascii="宋体" w:hAnsi="宋体" w:eastAsia="宋体" w:cs="宋体"/>
          <w:b/>
          <w:bCs/>
          <w:color w:val="auto"/>
          <w:sz w:val="44"/>
          <w:szCs w:val="32"/>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投标供应商</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pP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pP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pPr>
        <w:pStyle w:val="14"/>
        <w:rPr>
          <w:rFonts w:hint="eastAsia" w:ascii="宋体" w:hAnsi="宋体" w:eastAsia="宋体" w:cs="宋体"/>
          <w:b/>
          <w:color w:val="auto"/>
          <w:sz w:val="36"/>
          <w:szCs w:val="36"/>
          <w:highlight w:val="none"/>
        </w:rPr>
      </w:pPr>
    </w:p>
    <w:p>
      <w:pPr>
        <w:pStyle w:val="14"/>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供应商拒绝政府采购领域商业贿赂承诺书</w:t>
      </w:r>
    </w:p>
    <w:p>
      <w:pPr>
        <w:numPr>
          <w:ilvl w:val="0"/>
          <w:numId w:val="9"/>
        </w:numP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pPr>
        <w:numPr>
          <w:ilvl w:val="0"/>
          <w:numId w:val="9"/>
        </w:numPr>
        <w:tabs>
          <w:tab w:val="left" w:pos="1418"/>
        </w:tabs>
        <w:spacing w:line="720" w:lineRule="auto"/>
        <w:ind w:left="192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pPr>
        <w:spacing w:line="480" w:lineRule="auto"/>
        <w:ind w:firstLine="1574" w:firstLineChars="635"/>
        <w:rPr>
          <w:rFonts w:hint="eastAsia" w:ascii="宋体" w:hAnsi="宋体" w:eastAsia="宋体" w:cs="宋体"/>
          <w:color w:val="auto"/>
          <w:spacing w:val="4"/>
          <w:szCs w:val="24"/>
          <w:highlight w:val="none"/>
        </w:rPr>
      </w:pPr>
    </w:p>
    <w:p>
      <w:pPr>
        <w:spacing w:line="480" w:lineRule="auto"/>
        <w:ind w:left="105"/>
        <w:rPr>
          <w:rFonts w:hint="eastAsia" w:ascii="宋体" w:hAnsi="宋体" w:eastAsia="宋体" w:cs="宋体"/>
          <w:color w:val="auto"/>
          <w:spacing w:val="4"/>
          <w:szCs w:val="24"/>
          <w:highlight w:val="none"/>
        </w:rPr>
      </w:pP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pP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pP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pP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sz w:val="24"/>
          <w:szCs w:val="24"/>
          <w:highlight w:val="none"/>
        </w:rPr>
        <w:t>大写</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元，￥</w:t>
      </w:r>
      <w:r>
        <w:rPr>
          <w:rFonts w:hint="eastAsia" w:ascii="宋体" w:hAnsi="宋体" w:cs="宋体"/>
          <w:bCs/>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6.若我方中标，我方将在领取中标通知书时提交纸质投标文件正本一套、副本两套、电子文件一份。</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pPr>
        <w:pStyle w:val="4"/>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pPr>
        <w:spacing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28"/>
          <w:szCs w:val="24"/>
          <w:highlight w:val="none"/>
        </w:rPr>
        <w:t>2.1报价一览表</w:t>
      </w:r>
    </w:p>
    <w:p>
      <w:pPr>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5"/>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pPr>
              <w:jc w:val="center"/>
              <w:rPr>
                <w:rFonts w:hint="eastAsia" w:ascii="宋体" w:hAnsi="宋体" w:eastAsia="宋体" w:cs="宋体"/>
                <w:szCs w:val="24"/>
              </w:rPr>
            </w:pPr>
            <w:r>
              <w:rPr>
                <w:rFonts w:hint="eastAsia" w:ascii="宋体" w:hAnsi="宋体" w:eastAsia="宋体" w:cs="宋体"/>
                <w:szCs w:val="24"/>
              </w:rPr>
              <w:t>投标报价</w:t>
            </w:r>
          </w:p>
          <w:p>
            <w:pPr>
              <w:jc w:val="center"/>
              <w:rPr>
                <w:rFonts w:hint="eastAsia" w:ascii="宋体" w:hAnsi="宋体" w:eastAsia="宋体" w:cs="宋体"/>
                <w:szCs w:val="24"/>
              </w:rPr>
            </w:pPr>
            <w:r>
              <w:rPr>
                <w:rFonts w:hint="eastAsia" w:ascii="宋体" w:hAnsi="宋体" w:eastAsia="宋体" w:cs="宋体"/>
                <w:szCs w:val="24"/>
              </w:rPr>
              <w:t>（元）</w:t>
            </w:r>
          </w:p>
        </w:tc>
        <w:tc>
          <w:tcPr>
            <w:tcW w:w="3122" w:type="dxa"/>
            <w:vAlign w:val="center"/>
          </w:tcPr>
          <w:p>
            <w:pPr>
              <w:jc w:val="center"/>
              <w:rPr>
                <w:rFonts w:hint="eastAsia" w:ascii="宋体" w:hAnsi="宋体" w:eastAsia="宋体" w:cs="宋体"/>
                <w:color w:val="FF0000"/>
                <w:szCs w:val="24"/>
              </w:rPr>
            </w:pPr>
            <w:r>
              <w:rPr>
                <w:rFonts w:hint="eastAsia" w:ascii="宋体" w:hAnsi="宋体" w:eastAsia="宋体" w:cs="宋体"/>
                <w:color w:val="auto"/>
                <w:szCs w:val="24"/>
              </w:rPr>
              <w:t>交货期</w:t>
            </w:r>
          </w:p>
        </w:tc>
        <w:tc>
          <w:tcPr>
            <w:tcW w:w="1984" w:type="dxa"/>
            <w:vAlign w:val="center"/>
          </w:tcPr>
          <w:p>
            <w:pPr>
              <w:jc w:val="center"/>
              <w:rPr>
                <w:rFonts w:hint="eastAsia" w:ascii="宋体" w:hAnsi="宋体" w:eastAsia="宋体" w:cs="宋体"/>
                <w:szCs w:val="24"/>
              </w:rPr>
            </w:pPr>
            <w:r>
              <w:rPr>
                <w:rFonts w:hint="eastAsia" w:ascii="宋体" w:hAnsi="宋体" w:eastAsia="宋体" w:cs="宋体"/>
                <w:szCs w:val="24"/>
              </w:rPr>
              <w:t>质保期</w:t>
            </w:r>
          </w:p>
          <w:p>
            <w:pPr>
              <w:jc w:val="center"/>
              <w:rPr>
                <w:rFonts w:hint="eastAsia" w:ascii="宋体" w:hAnsi="宋体" w:eastAsia="宋体" w:cs="宋体"/>
                <w:szCs w:val="24"/>
              </w:rPr>
            </w:pPr>
            <w:r>
              <w:rPr>
                <w:rFonts w:hint="eastAsia" w:ascii="宋体" w:hAnsi="宋体" w:eastAsia="宋体" w:cs="宋体"/>
                <w:szCs w:val="24"/>
              </w:rPr>
              <w:t>（年）</w:t>
            </w:r>
          </w:p>
        </w:tc>
        <w:tc>
          <w:tcPr>
            <w:tcW w:w="1279" w:type="dxa"/>
            <w:vAlign w:val="center"/>
          </w:tcPr>
          <w:p>
            <w:pPr>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pPr>
              <w:jc w:val="center"/>
              <w:rPr>
                <w:rFonts w:hint="eastAsia" w:ascii="宋体" w:hAnsi="宋体" w:eastAsia="宋体" w:cs="宋体"/>
                <w:szCs w:val="24"/>
              </w:rPr>
            </w:pPr>
          </w:p>
        </w:tc>
        <w:tc>
          <w:tcPr>
            <w:tcW w:w="3122" w:type="dxa"/>
            <w:vAlign w:val="center"/>
          </w:tcPr>
          <w:p>
            <w:pPr>
              <w:jc w:val="center"/>
              <w:rPr>
                <w:rFonts w:hint="eastAsia" w:ascii="宋体" w:hAnsi="宋体" w:eastAsia="宋体" w:cs="宋体"/>
                <w:color w:val="FF0000"/>
                <w:szCs w:val="24"/>
              </w:rPr>
            </w:pPr>
          </w:p>
        </w:tc>
        <w:tc>
          <w:tcPr>
            <w:tcW w:w="1984" w:type="dxa"/>
            <w:vAlign w:val="center"/>
          </w:tcPr>
          <w:p>
            <w:pPr>
              <w:jc w:val="center"/>
              <w:rPr>
                <w:rFonts w:hint="eastAsia" w:ascii="宋体" w:hAnsi="宋体" w:eastAsia="宋体" w:cs="宋体"/>
                <w:szCs w:val="24"/>
              </w:rPr>
            </w:pPr>
          </w:p>
        </w:tc>
        <w:tc>
          <w:tcPr>
            <w:tcW w:w="1279" w:type="dxa"/>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pPr>
              <w:rPr>
                <w:rFonts w:hint="eastAsia" w:ascii="宋体" w:hAnsi="宋体" w:eastAsia="宋体" w:cs="宋体"/>
                <w:szCs w:val="24"/>
              </w:rPr>
            </w:pPr>
            <w:r>
              <w:rPr>
                <w:rFonts w:hint="eastAsia" w:ascii="宋体" w:hAnsi="宋体" w:eastAsia="宋体" w:cs="宋体"/>
                <w:szCs w:val="24"/>
              </w:rPr>
              <w:t>投标报价（大写）：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pPr>
              <w:jc w:val="left"/>
              <w:rPr>
                <w:rFonts w:hint="eastAsia" w:ascii="宋体" w:hAnsi="宋体" w:eastAsia="宋体" w:cs="宋体"/>
                <w:szCs w:val="24"/>
              </w:rPr>
            </w:pPr>
            <w:r>
              <w:rPr>
                <w:rFonts w:hint="eastAsia" w:ascii="宋体" w:hAnsi="宋体" w:eastAsia="宋体" w:cs="宋体"/>
                <w:szCs w:val="24"/>
              </w:rPr>
              <w:t>备注：表内报价内容以元为单位，保留小数点后（</w:t>
            </w:r>
            <w:r>
              <w:rPr>
                <w:rFonts w:hint="eastAsia" w:ascii="宋体" w:hAnsi="宋体" w:eastAsia="宋体" w:cs="宋体"/>
                <w:b/>
                <w:szCs w:val="24"/>
              </w:rPr>
              <w:t>两位</w:t>
            </w:r>
            <w:r>
              <w:rPr>
                <w:rFonts w:hint="eastAsia" w:ascii="宋体" w:hAnsi="宋体" w:eastAsia="宋体" w:cs="宋体"/>
                <w:szCs w:val="24"/>
              </w:rPr>
              <w:t>）。</w:t>
            </w:r>
          </w:p>
        </w:tc>
      </w:tr>
    </w:tbl>
    <w:p>
      <w:pPr>
        <w:rPr>
          <w:rFonts w:hint="eastAsia" w:ascii="宋体" w:hAnsi="宋体" w:eastAsia="宋体" w:cs="宋体"/>
          <w:color w:val="auto"/>
          <w:szCs w:val="24"/>
          <w:highlight w:val="none"/>
        </w:rPr>
      </w:pPr>
    </w:p>
    <w:p>
      <w:pP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（加盖单位公章）</w:t>
      </w:r>
    </w:p>
    <w:p>
      <w:pP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pP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pP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pPr>
        <w:jc w:val="center"/>
        <w:rPr>
          <w:rFonts w:hint="eastAsia" w:ascii="宋体" w:hAnsi="宋体" w:eastAsia="宋体" w:cs="宋体"/>
          <w:color w:val="auto"/>
          <w:highlight w:val="none"/>
          <w:u w:val="single"/>
        </w:rPr>
      </w:pPr>
    </w:p>
    <w:p>
      <w:pPr>
        <w:jc w:val="center"/>
        <w:outlineLvl w:val="1"/>
        <w:rPr>
          <w:rFonts w:hint="eastAsia" w:ascii="宋体" w:hAnsi="宋体" w:eastAsia="宋体" w:cs="宋体"/>
          <w:b/>
          <w:bCs/>
          <w:color w:val="auto"/>
          <w:sz w:val="32"/>
          <w:szCs w:val="32"/>
          <w:highlight w:val="none"/>
        </w:rPr>
      </w:pPr>
    </w:p>
    <w:p>
      <w:pPr>
        <w:pStyle w:val="14"/>
        <w:rPr>
          <w:rFonts w:hint="eastAsia" w:ascii="宋体" w:hAnsi="宋体" w:eastAsia="宋体" w:cs="宋体"/>
          <w:b/>
          <w:bCs/>
          <w:color w:val="auto"/>
          <w:sz w:val="32"/>
          <w:szCs w:val="32"/>
          <w:highlight w:val="none"/>
        </w:rPr>
      </w:pPr>
    </w:p>
    <w:p>
      <w:pPr>
        <w:pStyle w:val="14"/>
        <w:rPr>
          <w:rFonts w:hint="eastAsia" w:ascii="宋体" w:hAnsi="宋体" w:eastAsia="宋体" w:cs="宋体"/>
          <w:b/>
          <w:bCs/>
          <w:color w:val="auto"/>
          <w:sz w:val="32"/>
          <w:szCs w:val="32"/>
          <w:highlight w:val="none"/>
        </w:rPr>
      </w:pPr>
    </w:p>
    <w:p>
      <w:pPr>
        <w:pStyle w:val="14"/>
        <w:rPr>
          <w:rFonts w:hint="eastAsia" w:ascii="宋体" w:hAnsi="宋体" w:eastAsia="宋体" w:cs="宋体"/>
          <w:color w:val="auto"/>
          <w:highlight w:val="none"/>
        </w:rPr>
      </w:pPr>
    </w:p>
    <w:p>
      <w:pPr>
        <w:jc w:val="center"/>
        <w:rPr>
          <w:rFonts w:hint="eastAsia" w:ascii="宋体" w:hAnsi="宋体" w:eastAsia="宋体" w:cs="宋体"/>
        </w:rPr>
      </w:pPr>
      <w:r>
        <w:rPr>
          <w:rFonts w:hint="eastAsia" w:ascii="宋体" w:hAnsi="宋体" w:eastAsia="宋体" w:cs="宋体"/>
          <w:b/>
          <w:sz w:val="30"/>
          <w:szCs w:val="30"/>
        </w:rPr>
        <w:t>2.2投标分项报价表</w:t>
      </w:r>
      <w:r>
        <w:rPr>
          <w:rFonts w:hint="eastAsia" w:ascii="宋体" w:hAnsi="宋体" w:eastAsia="宋体" w:cs="宋体"/>
        </w:rPr>
        <w:t xml:space="preserve">      </w:t>
      </w:r>
    </w:p>
    <w:p>
      <w:pPr>
        <w:rPr>
          <w:rFonts w:hint="eastAsia" w:ascii="宋体" w:hAnsi="宋体" w:eastAsia="宋体" w:cs="宋体"/>
          <w:bCs/>
          <w:szCs w:val="24"/>
        </w:rPr>
      </w:pPr>
      <w:r>
        <w:rPr>
          <w:rFonts w:hint="eastAsia" w:ascii="宋体" w:hAnsi="宋体" w:eastAsia="宋体" w:cs="宋体"/>
          <w:bCs/>
          <w:szCs w:val="24"/>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rPr>
        <w:t>项目名称：</w:t>
      </w:r>
    </w:p>
    <w:tbl>
      <w:tblPr>
        <w:tblStyle w:val="25"/>
        <w:tblW w:w="9234" w:type="dxa"/>
        <w:jc w:val="center"/>
        <w:tblLayout w:type="fixed"/>
        <w:tblCellMar>
          <w:top w:w="0" w:type="dxa"/>
          <w:left w:w="28" w:type="dxa"/>
          <w:bottom w:w="0" w:type="dxa"/>
          <w:right w:w="28" w:type="dxa"/>
        </w:tblCellMar>
      </w:tblPr>
      <w:tblGrid>
        <w:gridCol w:w="836"/>
        <w:gridCol w:w="82"/>
        <w:gridCol w:w="562"/>
        <w:gridCol w:w="836"/>
        <w:gridCol w:w="836"/>
        <w:gridCol w:w="759"/>
        <w:gridCol w:w="1148"/>
        <w:gridCol w:w="1638"/>
        <w:gridCol w:w="1007"/>
        <w:gridCol w:w="1530"/>
      </w:tblGrid>
      <w:tr>
        <w:tblPrEx>
          <w:tblCellMar>
            <w:top w:w="0" w:type="dxa"/>
            <w:left w:w="28" w:type="dxa"/>
            <w:bottom w:w="0" w:type="dxa"/>
            <w:right w:w="28" w:type="dxa"/>
          </w:tblCellMar>
        </w:tblPrEx>
        <w:trPr>
          <w:trHeight w:val="958" w:hRule="atLeast"/>
          <w:jc w:val="center"/>
        </w:trPr>
        <w:tc>
          <w:tcPr>
            <w:tcW w:w="918" w:type="dxa"/>
            <w:gridSpan w:val="2"/>
            <w:vMerge w:val="restart"/>
            <w:tcBorders>
              <w:top w:val="single" w:color="auto" w:sz="6" w:space="0"/>
              <w:left w:val="single" w:color="auto" w:sz="6" w:space="0"/>
              <w:right w:val="single" w:color="auto" w:sz="4" w:space="0"/>
            </w:tcBorders>
            <w:vAlign w:val="center"/>
          </w:tcPr>
          <w:p>
            <w:pPr>
              <w:spacing w:after="120"/>
              <w:jc w:val="center"/>
              <w:rPr>
                <w:rFonts w:hint="eastAsia" w:ascii="宋体" w:hAnsi="宋体" w:eastAsia="宋体" w:cs="宋体"/>
                <w:szCs w:val="24"/>
              </w:rPr>
            </w:pPr>
            <w:r>
              <w:rPr>
                <w:rFonts w:hint="eastAsia" w:ascii="宋体" w:hAnsi="宋体" w:eastAsia="宋体" w:cs="宋体"/>
              </w:rPr>
              <w:t xml:space="preserve">                           </w:t>
            </w:r>
            <w:r>
              <w:rPr>
                <w:rFonts w:hint="eastAsia" w:ascii="宋体" w:hAnsi="宋体" w:eastAsia="宋体" w:cs="宋体"/>
                <w:szCs w:val="24"/>
              </w:rPr>
              <w:t>产品</w:t>
            </w:r>
          </w:p>
          <w:p>
            <w:pPr>
              <w:spacing w:after="120"/>
              <w:jc w:val="center"/>
              <w:rPr>
                <w:rFonts w:hint="eastAsia" w:ascii="宋体" w:hAnsi="宋体" w:eastAsia="宋体" w:cs="宋体"/>
              </w:rPr>
            </w:pPr>
            <w:r>
              <w:rPr>
                <w:rFonts w:hint="eastAsia" w:ascii="宋体" w:hAnsi="宋体" w:eastAsia="宋体" w:cs="宋体"/>
                <w:szCs w:val="24"/>
              </w:rPr>
              <w:t>费用</w:t>
            </w:r>
          </w:p>
        </w:tc>
        <w:tc>
          <w:tcPr>
            <w:tcW w:w="562"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序号</w:t>
            </w:r>
          </w:p>
        </w:tc>
        <w:tc>
          <w:tcPr>
            <w:tcW w:w="83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名称</w:t>
            </w:r>
          </w:p>
        </w:tc>
        <w:tc>
          <w:tcPr>
            <w:tcW w:w="83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品牌</w:t>
            </w:r>
          </w:p>
        </w:tc>
        <w:tc>
          <w:tcPr>
            <w:tcW w:w="759"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宋体" w:hAnsi="宋体" w:eastAsia="宋体" w:cs="宋体"/>
              </w:rPr>
            </w:pPr>
            <w:r>
              <w:rPr>
                <w:rFonts w:hint="eastAsia" w:ascii="宋体" w:hAnsi="宋体" w:eastAsia="宋体" w:cs="宋体"/>
              </w:rPr>
              <w:t>型号规格</w:t>
            </w:r>
          </w:p>
        </w:tc>
        <w:tc>
          <w:tcPr>
            <w:tcW w:w="1148" w:type="dxa"/>
            <w:tcBorders>
              <w:top w:val="single" w:color="auto" w:sz="6" w:space="0"/>
              <w:left w:val="single" w:color="auto" w:sz="4" w:space="0"/>
              <w:bottom w:val="single" w:color="auto" w:sz="6" w:space="0"/>
              <w:right w:val="single" w:color="auto" w:sz="6" w:space="0"/>
            </w:tcBorders>
            <w:vAlign w:val="center"/>
          </w:tcPr>
          <w:p>
            <w:pPr>
              <w:spacing w:before="166" w:beforeLines="50" w:after="120"/>
              <w:jc w:val="center"/>
              <w:rPr>
                <w:rFonts w:hint="eastAsia" w:ascii="宋体" w:hAnsi="宋体" w:eastAsia="宋体" w:cs="宋体"/>
              </w:rPr>
            </w:pPr>
            <w:r>
              <w:rPr>
                <w:rFonts w:hint="eastAsia" w:ascii="宋体" w:hAnsi="宋体" w:eastAsia="宋体" w:cs="宋体"/>
              </w:rPr>
              <w:t>原产地及制造厂名</w:t>
            </w:r>
          </w:p>
        </w:tc>
        <w:tc>
          <w:tcPr>
            <w:tcW w:w="16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数量</w:t>
            </w:r>
          </w:p>
        </w:tc>
        <w:tc>
          <w:tcPr>
            <w:tcW w:w="10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rPr>
            </w:pPr>
            <w:r>
              <w:rPr>
                <w:rFonts w:hint="eastAsia" w:ascii="宋体" w:hAnsi="宋体" w:eastAsia="宋体" w:cs="宋体"/>
              </w:rPr>
              <w:t>单价</w:t>
            </w:r>
          </w:p>
          <w:p>
            <w:pPr>
              <w:spacing w:after="120"/>
              <w:jc w:val="center"/>
              <w:rPr>
                <w:rFonts w:hint="eastAsia" w:ascii="宋体" w:hAnsi="宋体" w:eastAsia="宋体" w:cs="宋体"/>
              </w:rPr>
            </w:pPr>
            <w:r>
              <w:rPr>
                <w:rFonts w:hint="eastAsia" w:ascii="宋体" w:hAnsi="宋体" w:eastAsia="宋体" w:cs="宋体"/>
              </w:rPr>
              <w:t>（元）</w:t>
            </w:r>
          </w:p>
        </w:tc>
        <w:tc>
          <w:tcPr>
            <w:tcW w:w="153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rPr>
            </w:pPr>
            <w:r>
              <w:rPr>
                <w:rFonts w:hint="eastAsia" w:ascii="宋体" w:hAnsi="宋体" w:eastAsia="宋体" w:cs="宋体"/>
                <w:bCs/>
              </w:rPr>
              <w:t>总价</w:t>
            </w:r>
          </w:p>
          <w:p>
            <w:pPr>
              <w:spacing w:after="120"/>
              <w:jc w:val="center"/>
              <w:rPr>
                <w:rFonts w:hint="eastAsia" w:ascii="宋体" w:hAnsi="宋体" w:eastAsia="宋体" w:cs="宋体"/>
                <w:bCs/>
              </w:rPr>
            </w:pPr>
            <w:r>
              <w:rPr>
                <w:rFonts w:hint="eastAsia" w:ascii="宋体" w:hAnsi="宋体" w:eastAsia="宋体" w:cs="宋体"/>
                <w:bCs/>
              </w:rPr>
              <w:t>（元）</w:t>
            </w:r>
          </w:p>
        </w:tc>
      </w:tr>
      <w:tr>
        <w:tblPrEx>
          <w:tblCellMar>
            <w:top w:w="0" w:type="dxa"/>
            <w:left w:w="28" w:type="dxa"/>
            <w:bottom w:w="0" w:type="dxa"/>
            <w:right w:w="28" w:type="dxa"/>
          </w:tblCellMar>
        </w:tblPrEx>
        <w:trPr>
          <w:trHeight w:val="675" w:hRule="atLeast"/>
          <w:jc w:val="center"/>
        </w:trPr>
        <w:tc>
          <w:tcPr>
            <w:tcW w:w="918" w:type="dxa"/>
            <w:gridSpan w:val="2"/>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62" w:type="dxa"/>
            <w:tcBorders>
              <w:top w:val="single" w:color="auto" w:sz="6" w:space="0"/>
              <w:left w:val="single" w:color="auto" w:sz="4" w:space="0"/>
              <w:bottom w:val="single" w:color="auto" w:sz="4"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1</w:t>
            </w:r>
          </w:p>
        </w:tc>
        <w:tc>
          <w:tcPr>
            <w:tcW w:w="836"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836"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759" w:type="dxa"/>
            <w:tcBorders>
              <w:top w:val="single" w:color="auto" w:sz="6" w:space="0"/>
              <w:left w:val="single" w:color="auto" w:sz="6" w:space="0"/>
              <w:bottom w:val="single" w:color="auto" w:sz="4" w:space="0"/>
              <w:right w:val="single" w:color="auto" w:sz="4" w:space="0"/>
            </w:tcBorders>
            <w:vAlign w:val="center"/>
          </w:tcPr>
          <w:p>
            <w:pPr>
              <w:spacing w:before="166" w:beforeLines="50"/>
              <w:jc w:val="center"/>
              <w:rPr>
                <w:rFonts w:hint="eastAsia" w:ascii="宋体" w:hAnsi="宋体" w:eastAsia="宋体" w:cs="宋体"/>
              </w:rPr>
            </w:pPr>
          </w:p>
        </w:tc>
        <w:tc>
          <w:tcPr>
            <w:tcW w:w="1148" w:type="dxa"/>
            <w:tcBorders>
              <w:top w:val="single" w:color="auto" w:sz="6" w:space="0"/>
              <w:left w:val="single" w:color="auto" w:sz="4"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638"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007"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c>
          <w:tcPr>
            <w:tcW w:w="153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670" w:hRule="atLeast"/>
          <w:jc w:val="center"/>
        </w:trPr>
        <w:tc>
          <w:tcPr>
            <w:tcW w:w="918" w:type="dxa"/>
            <w:gridSpan w:val="2"/>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6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2</w:t>
            </w:r>
          </w:p>
        </w:tc>
        <w:tc>
          <w:tcPr>
            <w:tcW w:w="836"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836"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759"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14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63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00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3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675" w:hRule="atLeast"/>
          <w:jc w:val="center"/>
        </w:trPr>
        <w:tc>
          <w:tcPr>
            <w:tcW w:w="918" w:type="dxa"/>
            <w:gridSpan w:val="2"/>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6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rPr>
              <w:t>3</w:t>
            </w:r>
          </w:p>
        </w:tc>
        <w:tc>
          <w:tcPr>
            <w:tcW w:w="836"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836"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rPr>
            </w:pPr>
          </w:p>
        </w:tc>
        <w:tc>
          <w:tcPr>
            <w:tcW w:w="759"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14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63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00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3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675" w:hRule="atLeast"/>
          <w:jc w:val="center"/>
        </w:trPr>
        <w:tc>
          <w:tcPr>
            <w:tcW w:w="918" w:type="dxa"/>
            <w:gridSpan w:val="2"/>
            <w:vMerge w:val="continue"/>
            <w:tcBorders>
              <w:left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6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rPr>
            </w:pPr>
            <w:r>
              <w:rPr>
                <w:rFonts w:hint="eastAsia" w:ascii="宋体" w:hAnsi="宋体" w:eastAsia="宋体" w:cs="宋体"/>
                <w:szCs w:val="24"/>
              </w:rPr>
              <w:t>……</w:t>
            </w:r>
          </w:p>
        </w:tc>
        <w:tc>
          <w:tcPr>
            <w:tcW w:w="836"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836"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759"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14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63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00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3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675" w:hRule="atLeast"/>
          <w:jc w:val="center"/>
        </w:trPr>
        <w:tc>
          <w:tcPr>
            <w:tcW w:w="918" w:type="dxa"/>
            <w:gridSpan w:val="2"/>
            <w:vMerge w:val="continue"/>
            <w:tcBorders>
              <w:left w:val="single" w:color="auto" w:sz="6" w:space="0"/>
              <w:bottom w:val="single" w:color="auto" w:sz="6" w:space="0"/>
              <w:right w:val="single" w:color="auto" w:sz="4" w:space="0"/>
            </w:tcBorders>
            <w:vAlign w:val="center"/>
          </w:tcPr>
          <w:p>
            <w:pPr>
              <w:spacing w:before="333" w:beforeLines="100"/>
              <w:jc w:val="center"/>
              <w:rPr>
                <w:rFonts w:hint="eastAsia" w:ascii="宋体" w:hAnsi="宋体" w:eastAsia="宋体" w:cs="宋体"/>
              </w:rPr>
            </w:pPr>
          </w:p>
        </w:tc>
        <w:tc>
          <w:tcPr>
            <w:tcW w:w="56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b/>
              </w:rPr>
            </w:pPr>
            <w:r>
              <w:rPr>
                <w:rFonts w:hint="eastAsia" w:ascii="宋体" w:hAnsi="宋体" w:eastAsia="宋体" w:cs="宋体"/>
                <w:szCs w:val="24"/>
              </w:rPr>
              <w:t>……</w:t>
            </w:r>
          </w:p>
        </w:tc>
        <w:tc>
          <w:tcPr>
            <w:tcW w:w="836"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836"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759"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rPr>
            </w:pPr>
          </w:p>
        </w:tc>
        <w:tc>
          <w:tcPr>
            <w:tcW w:w="114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638"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007"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c>
          <w:tcPr>
            <w:tcW w:w="153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rPr>
            </w:pPr>
          </w:p>
        </w:tc>
      </w:tr>
      <w:tr>
        <w:tblPrEx>
          <w:tblCellMar>
            <w:top w:w="0" w:type="dxa"/>
            <w:left w:w="28" w:type="dxa"/>
            <w:bottom w:w="0" w:type="dxa"/>
            <w:right w:w="28" w:type="dxa"/>
          </w:tblCellMar>
        </w:tblPrEx>
        <w:trPr>
          <w:trHeight w:val="537" w:hRule="atLeast"/>
          <w:jc w:val="center"/>
        </w:trPr>
        <w:tc>
          <w:tcPr>
            <w:tcW w:w="836" w:type="dxa"/>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p>
        </w:tc>
        <w:tc>
          <w:tcPr>
            <w:tcW w:w="2316" w:type="dxa"/>
            <w:gridSpan w:val="4"/>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r>
              <w:rPr>
                <w:rFonts w:hint="eastAsia" w:ascii="宋体" w:hAnsi="宋体" w:eastAsia="宋体" w:cs="宋体"/>
                <w:szCs w:val="24"/>
              </w:rPr>
              <w:t>投标总报价</w:t>
            </w:r>
          </w:p>
        </w:tc>
        <w:tc>
          <w:tcPr>
            <w:tcW w:w="6082" w:type="dxa"/>
            <w:gridSpan w:val="5"/>
            <w:tcBorders>
              <w:top w:val="single" w:color="auto" w:sz="4" w:space="0"/>
              <w:left w:val="single" w:color="auto" w:sz="6" w:space="0"/>
              <w:bottom w:val="single" w:color="auto" w:sz="6" w:space="0"/>
              <w:right w:val="single" w:color="auto" w:sz="6" w:space="0"/>
            </w:tcBorders>
            <w:vAlign w:val="center"/>
          </w:tcPr>
          <w:p>
            <w:pPr>
              <w:spacing w:before="166" w:beforeLines="50"/>
              <w:rPr>
                <w:rFonts w:hint="eastAsia" w:ascii="宋体" w:hAnsi="宋体" w:eastAsia="宋体" w:cs="宋体"/>
                <w:szCs w:val="24"/>
              </w:rPr>
            </w:pPr>
            <w:r>
              <w:rPr>
                <w:rFonts w:hint="eastAsia" w:ascii="宋体" w:hAnsi="宋体" w:eastAsia="宋体" w:cs="宋体"/>
                <w:szCs w:val="24"/>
              </w:rPr>
              <w:t>大写：                           小写：</w:t>
            </w:r>
          </w:p>
        </w:tc>
      </w:tr>
      <w:tr>
        <w:tblPrEx>
          <w:tblCellMar>
            <w:top w:w="0" w:type="dxa"/>
            <w:left w:w="28" w:type="dxa"/>
            <w:bottom w:w="0" w:type="dxa"/>
            <w:right w:w="28" w:type="dxa"/>
          </w:tblCellMar>
        </w:tblPrEx>
        <w:trPr>
          <w:trHeight w:val="551" w:hRule="atLeast"/>
          <w:jc w:val="center"/>
        </w:trPr>
        <w:tc>
          <w:tcPr>
            <w:tcW w:w="836" w:type="dxa"/>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p>
        </w:tc>
        <w:tc>
          <w:tcPr>
            <w:tcW w:w="2316" w:type="dxa"/>
            <w:gridSpan w:val="4"/>
            <w:tcBorders>
              <w:top w:val="single" w:color="auto" w:sz="4" w:space="0"/>
              <w:left w:val="single" w:color="auto" w:sz="6" w:space="0"/>
              <w:bottom w:val="single" w:color="auto" w:sz="6" w:space="0"/>
            </w:tcBorders>
            <w:vAlign w:val="center"/>
          </w:tcPr>
          <w:p>
            <w:pPr>
              <w:jc w:val="center"/>
              <w:rPr>
                <w:rFonts w:hint="eastAsia" w:ascii="宋体" w:hAnsi="宋体" w:eastAsia="宋体" w:cs="宋体"/>
                <w:szCs w:val="24"/>
              </w:rPr>
            </w:pPr>
            <w:r>
              <w:rPr>
                <w:rFonts w:hint="eastAsia" w:ascii="宋体" w:hAnsi="宋体" w:eastAsia="宋体" w:cs="宋体"/>
                <w:szCs w:val="24"/>
              </w:rPr>
              <w:t>备注</w:t>
            </w:r>
          </w:p>
        </w:tc>
        <w:tc>
          <w:tcPr>
            <w:tcW w:w="6082" w:type="dxa"/>
            <w:gridSpan w:val="5"/>
            <w:tcBorders>
              <w:top w:val="single" w:color="auto" w:sz="4" w:space="0"/>
              <w:left w:val="single" w:color="auto" w:sz="6" w:space="0"/>
              <w:bottom w:val="single" w:color="auto" w:sz="6" w:space="0"/>
              <w:right w:val="single" w:color="auto" w:sz="6" w:space="0"/>
            </w:tcBorders>
            <w:vAlign w:val="center"/>
          </w:tcPr>
          <w:p>
            <w:pPr>
              <w:spacing w:before="166" w:beforeLines="50"/>
              <w:rPr>
                <w:rFonts w:hint="eastAsia" w:ascii="宋体" w:hAnsi="宋体" w:eastAsia="宋体" w:cs="宋体"/>
                <w:szCs w:val="24"/>
              </w:rPr>
            </w:pPr>
            <w:r>
              <w:rPr>
                <w:rFonts w:hint="eastAsia" w:ascii="宋体" w:hAnsi="宋体" w:eastAsia="宋体" w:cs="宋体"/>
                <w:spacing w:val="-6"/>
                <w:szCs w:val="24"/>
              </w:rPr>
              <w:t>保留小数点后两位。</w:t>
            </w:r>
          </w:p>
        </w:tc>
      </w:tr>
    </w:tbl>
    <w:p>
      <w:pPr>
        <w:rPr>
          <w:rFonts w:hint="eastAsia" w:ascii="宋体" w:hAnsi="宋体" w:eastAsia="宋体" w:cs="宋体"/>
        </w:rPr>
      </w:pPr>
    </w:p>
    <w:p>
      <w:pPr>
        <w:spacing w:line="720" w:lineRule="auto"/>
        <w:ind w:firstLine="480" w:firstLineChars="200"/>
        <w:jc w:val="left"/>
        <w:rPr>
          <w:rFonts w:hint="eastAsia"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（盖单位公章）</w:t>
      </w:r>
    </w:p>
    <w:p>
      <w:pPr>
        <w:spacing w:line="720" w:lineRule="auto"/>
        <w:ind w:firstLine="496" w:firstLineChars="200"/>
        <w:jc w:val="left"/>
        <w:rPr>
          <w:rFonts w:hint="eastAsia" w:ascii="宋体" w:hAnsi="宋体" w:eastAsia="宋体" w:cs="宋体"/>
          <w:spacing w:val="4"/>
        </w:rPr>
      </w:pPr>
      <w:r>
        <w:rPr>
          <w:rFonts w:hint="eastAsia" w:ascii="宋体" w:hAnsi="宋体" w:eastAsia="宋体" w:cs="宋体"/>
          <w:spacing w:val="4"/>
        </w:rPr>
        <w:t>法定代表人或被授权人：</w:t>
      </w:r>
      <w:r>
        <w:rPr>
          <w:rFonts w:hint="eastAsia" w:ascii="宋体" w:hAnsi="宋体" w:eastAsia="宋体" w:cs="宋体"/>
          <w:spacing w:val="4"/>
          <w:u w:val="single"/>
        </w:rPr>
        <w:t xml:space="preserve">            </w:t>
      </w:r>
      <w:r>
        <w:rPr>
          <w:rFonts w:hint="eastAsia" w:ascii="宋体" w:hAnsi="宋体" w:eastAsia="宋体" w:cs="宋体"/>
          <w:spacing w:val="4"/>
        </w:rPr>
        <w:t>（签字或盖章）</w:t>
      </w:r>
    </w:p>
    <w:p>
      <w:pPr>
        <w:spacing w:line="720" w:lineRule="auto"/>
        <w:ind w:firstLine="480" w:firstLineChars="200"/>
        <w:rPr>
          <w:rFonts w:hint="eastAsia" w:ascii="宋体" w:hAnsi="宋体" w:eastAsia="宋体" w:cs="宋体"/>
        </w:rPr>
      </w:pPr>
      <w:r>
        <w:rPr>
          <w:rFonts w:hint="eastAsia" w:ascii="宋体" w:hAnsi="宋体" w:eastAsia="宋体" w:cs="宋体"/>
        </w:rPr>
        <w:t>日    期：      年   月    日</w:t>
      </w: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spacing w:before="166" w:beforeLines="50" w:line="360" w:lineRule="auto"/>
        <w:jc w:val="center"/>
        <w:rPr>
          <w:rFonts w:hint="eastAsia" w:ascii="宋体" w:hAnsi="宋体" w:eastAsia="宋体" w:cs="宋体"/>
          <w:bCs/>
          <w:szCs w:val="24"/>
        </w:rPr>
      </w:pPr>
      <w:r>
        <w:rPr>
          <w:rFonts w:hint="eastAsia" w:ascii="宋体" w:hAnsi="宋体" w:eastAsia="宋体" w:cs="宋体"/>
          <w:b/>
          <w:sz w:val="30"/>
          <w:szCs w:val="30"/>
          <w:highlight w:val="none"/>
        </w:rPr>
        <w:t>2.3关键零部件及备品备件清单</w:t>
      </w:r>
      <w:r>
        <w:rPr>
          <w:rFonts w:hint="eastAsia" w:ascii="宋体" w:hAnsi="宋体" w:eastAsia="宋体" w:cs="宋体"/>
          <w:bCs/>
          <w:szCs w:val="24"/>
          <w:highlight w:val="none"/>
        </w:rPr>
        <w:t xml:space="preserve"> </w:t>
      </w:r>
      <w:r>
        <w:rPr>
          <w:rFonts w:hint="eastAsia" w:ascii="宋体" w:hAnsi="宋体" w:eastAsia="宋体" w:cs="宋体"/>
          <w:b/>
          <w:sz w:val="30"/>
          <w:szCs w:val="30"/>
          <w:highlight w:val="none"/>
        </w:rPr>
        <w:t>（如</w:t>
      </w:r>
      <w:r>
        <w:rPr>
          <w:rFonts w:hint="eastAsia" w:ascii="宋体" w:hAnsi="宋体" w:eastAsia="宋体" w:cs="宋体"/>
          <w:b/>
          <w:sz w:val="30"/>
          <w:szCs w:val="30"/>
        </w:rPr>
        <w:t>有）</w:t>
      </w:r>
      <w:r>
        <w:rPr>
          <w:rFonts w:hint="eastAsia" w:ascii="宋体" w:hAnsi="宋体" w:eastAsia="宋体" w:cs="宋体"/>
          <w:bCs/>
          <w:spacing w:val="4"/>
          <w:szCs w:val="24"/>
        </w:rPr>
        <w:t xml:space="preserve"> </w:t>
      </w:r>
      <w:r>
        <w:rPr>
          <w:rFonts w:hint="eastAsia" w:ascii="宋体" w:hAnsi="宋体" w:eastAsia="宋体" w:cs="宋体"/>
          <w:bCs/>
          <w:szCs w:val="24"/>
        </w:rPr>
        <w:t xml:space="preserve">                    </w:t>
      </w:r>
    </w:p>
    <w:tbl>
      <w:tblPr>
        <w:tblStyle w:val="25"/>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序号</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名称</w:t>
            </w:r>
          </w:p>
        </w:tc>
        <w:tc>
          <w:tcPr>
            <w:tcW w:w="1820"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型号、规格</w:t>
            </w:r>
          </w:p>
        </w:tc>
        <w:tc>
          <w:tcPr>
            <w:tcW w:w="1542"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国别、制造商</w:t>
            </w:r>
          </w:p>
        </w:tc>
        <w:tc>
          <w:tcPr>
            <w:tcW w:w="1517" w:type="dxa"/>
            <w:vAlign w:val="center"/>
          </w:tcPr>
          <w:p>
            <w:pPr>
              <w:spacing w:line="440" w:lineRule="exact"/>
              <w:jc w:val="center"/>
              <w:rPr>
                <w:rStyle w:val="37"/>
                <w:rFonts w:hint="eastAsia" w:ascii="宋体" w:hAnsi="宋体" w:eastAsia="宋体" w:cs="宋体"/>
              </w:rPr>
            </w:pPr>
            <w:r>
              <w:rPr>
                <w:rFonts w:hint="eastAsia" w:ascii="宋体" w:hAnsi="宋体" w:eastAsia="宋体" w:cs="宋体"/>
                <w:szCs w:val="24"/>
              </w:rPr>
              <w:t>单价</w:t>
            </w:r>
          </w:p>
          <w:p>
            <w:pPr>
              <w:spacing w:line="440" w:lineRule="exact"/>
              <w:jc w:val="center"/>
              <w:rPr>
                <w:rStyle w:val="37"/>
                <w:rFonts w:hint="eastAsia" w:ascii="宋体" w:hAnsi="宋体" w:eastAsia="宋体" w:cs="宋体"/>
              </w:rPr>
            </w:pPr>
            <w:r>
              <w:rPr>
                <w:rFonts w:hint="eastAsia" w:ascii="宋体" w:hAnsi="宋体" w:eastAsia="宋体" w:cs="宋体"/>
                <w:szCs w:val="24"/>
              </w:rPr>
              <w:t>（元）</w:t>
            </w:r>
          </w:p>
        </w:tc>
        <w:tc>
          <w:tcPr>
            <w:tcW w:w="1499"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1</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2</w:t>
            </w:r>
          </w:p>
        </w:tc>
        <w:tc>
          <w:tcPr>
            <w:tcW w:w="1746"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r>
              <w:rPr>
                <w:rFonts w:hint="eastAsia" w:ascii="宋体" w:hAnsi="宋体" w:eastAsia="宋体" w:cs="宋体"/>
                <w:szCs w:val="24"/>
              </w:rPr>
              <w:t>…</w:t>
            </w: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pPr>
              <w:spacing w:line="440" w:lineRule="exact"/>
              <w:jc w:val="center"/>
              <w:rPr>
                <w:rFonts w:hint="eastAsia" w:ascii="宋体" w:hAnsi="宋体" w:eastAsia="宋体" w:cs="宋体"/>
                <w:szCs w:val="24"/>
              </w:rPr>
            </w:pPr>
          </w:p>
        </w:tc>
        <w:tc>
          <w:tcPr>
            <w:tcW w:w="1746" w:type="dxa"/>
            <w:vAlign w:val="center"/>
          </w:tcPr>
          <w:p>
            <w:pPr>
              <w:spacing w:line="440" w:lineRule="exact"/>
              <w:jc w:val="center"/>
              <w:rPr>
                <w:rFonts w:hint="eastAsia" w:ascii="宋体" w:hAnsi="宋体" w:eastAsia="宋体" w:cs="宋体"/>
                <w:szCs w:val="24"/>
              </w:rPr>
            </w:pPr>
          </w:p>
        </w:tc>
        <w:tc>
          <w:tcPr>
            <w:tcW w:w="1820" w:type="dxa"/>
            <w:vAlign w:val="center"/>
          </w:tcPr>
          <w:p>
            <w:pPr>
              <w:spacing w:line="440" w:lineRule="exact"/>
              <w:jc w:val="center"/>
              <w:rPr>
                <w:rFonts w:hint="eastAsia" w:ascii="宋体" w:hAnsi="宋体" w:eastAsia="宋体" w:cs="宋体"/>
                <w:szCs w:val="24"/>
              </w:rPr>
            </w:pPr>
          </w:p>
        </w:tc>
        <w:tc>
          <w:tcPr>
            <w:tcW w:w="1542" w:type="dxa"/>
          </w:tcPr>
          <w:p>
            <w:pPr>
              <w:spacing w:line="440" w:lineRule="exact"/>
              <w:jc w:val="center"/>
              <w:rPr>
                <w:rFonts w:hint="eastAsia" w:ascii="宋体" w:hAnsi="宋体" w:eastAsia="宋体" w:cs="宋体"/>
                <w:szCs w:val="24"/>
              </w:rPr>
            </w:pPr>
          </w:p>
        </w:tc>
        <w:tc>
          <w:tcPr>
            <w:tcW w:w="1517" w:type="dxa"/>
            <w:vAlign w:val="center"/>
          </w:tcPr>
          <w:p>
            <w:pPr>
              <w:spacing w:line="440" w:lineRule="exact"/>
              <w:jc w:val="center"/>
              <w:rPr>
                <w:rFonts w:hint="eastAsia" w:ascii="宋体" w:hAnsi="宋体" w:eastAsia="宋体" w:cs="宋体"/>
                <w:szCs w:val="24"/>
              </w:rPr>
            </w:pPr>
          </w:p>
        </w:tc>
        <w:tc>
          <w:tcPr>
            <w:tcW w:w="1499" w:type="dxa"/>
            <w:vAlign w:val="center"/>
          </w:tcPr>
          <w:p>
            <w:pPr>
              <w:spacing w:line="440" w:lineRule="exact"/>
              <w:jc w:val="center"/>
              <w:rPr>
                <w:rFonts w:hint="eastAsia" w:ascii="宋体" w:hAnsi="宋体" w:eastAsia="宋体" w:cs="宋体"/>
                <w:szCs w:val="24"/>
              </w:rPr>
            </w:pPr>
          </w:p>
        </w:tc>
      </w:tr>
    </w:tbl>
    <w:p>
      <w:pPr>
        <w:spacing w:line="520" w:lineRule="exact"/>
        <w:rPr>
          <w:rFonts w:hint="eastAsia" w:ascii="宋体" w:hAnsi="宋体" w:eastAsia="宋体" w:cs="宋体"/>
          <w:szCs w:val="24"/>
        </w:rPr>
      </w:pPr>
    </w:p>
    <w:p>
      <w:pPr>
        <w:spacing w:line="360" w:lineRule="auto"/>
        <w:ind w:firstLine="480" w:firstLineChars="20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（盖单位公章）</w:t>
      </w:r>
    </w:p>
    <w:p>
      <w:pPr>
        <w:pStyle w:val="11"/>
        <w:spacing w:line="360" w:lineRule="auto"/>
        <w:ind w:firstLine="420" w:firstLineChars="200"/>
        <w:rPr>
          <w:rFonts w:hint="eastAsia" w:ascii="宋体" w:hAnsi="宋体" w:eastAsia="宋体" w:cs="宋体"/>
        </w:rPr>
      </w:pPr>
    </w:p>
    <w:p>
      <w:pPr>
        <w:spacing w:line="360" w:lineRule="auto"/>
        <w:ind w:firstLine="496" w:firstLineChars="200"/>
        <w:jc w:val="left"/>
        <w:rPr>
          <w:rFonts w:hint="eastAsia" w:ascii="宋体" w:hAnsi="宋体" w:eastAsia="宋体" w:cs="宋体"/>
          <w:spacing w:val="4"/>
        </w:rPr>
      </w:pPr>
      <w:r>
        <w:rPr>
          <w:rFonts w:hint="eastAsia" w:ascii="宋体" w:hAnsi="宋体" w:eastAsia="宋体" w:cs="宋体"/>
          <w:spacing w:val="4"/>
        </w:rPr>
        <w:t>法定代表人或被授权人：</w:t>
      </w:r>
      <w:r>
        <w:rPr>
          <w:rFonts w:hint="eastAsia" w:ascii="宋体" w:hAnsi="宋体" w:eastAsia="宋体" w:cs="宋体"/>
          <w:spacing w:val="4"/>
          <w:u w:val="single"/>
        </w:rPr>
        <w:t xml:space="preserve">      </w:t>
      </w:r>
      <w:r>
        <w:rPr>
          <w:rFonts w:hint="eastAsia" w:ascii="宋体" w:hAnsi="宋体" w:eastAsia="宋体" w:cs="宋体"/>
          <w:spacing w:val="4"/>
        </w:rPr>
        <w:t>（签字或盖章）</w:t>
      </w:r>
    </w:p>
    <w:p>
      <w:pPr>
        <w:spacing w:line="360" w:lineRule="auto"/>
        <w:ind w:firstLine="480" w:firstLineChars="200"/>
        <w:rPr>
          <w:rFonts w:hint="eastAsia" w:ascii="宋体" w:hAnsi="宋体" w:eastAsia="宋体" w:cs="宋体"/>
          <w:szCs w:val="24"/>
        </w:rPr>
      </w:pP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日      期：      年   月    日</w:t>
      </w:r>
    </w:p>
    <w:p>
      <w:pPr>
        <w:spacing w:line="440" w:lineRule="exact"/>
        <w:rPr>
          <w:rFonts w:hint="eastAsia" w:ascii="宋体" w:hAnsi="宋体" w:eastAsia="宋体" w:cs="宋体"/>
        </w:rPr>
      </w:pPr>
    </w:p>
    <w:p>
      <w:pPr>
        <w:jc w:val="both"/>
        <w:outlineLvl w:val="1"/>
        <w:rPr>
          <w:rFonts w:hint="eastAsia" w:ascii="宋体" w:hAnsi="宋体" w:eastAsia="宋体" w:cs="宋体"/>
          <w:b/>
          <w:bCs/>
          <w:color w:val="auto"/>
          <w:sz w:val="32"/>
          <w:szCs w:val="32"/>
          <w:highlight w:val="none"/>
        </w:rPr>
      </w:pPr>
      <w:r>
        <w:rPr>
          <w:rFonts w:hint="eastAsia" w:ascii="宋体" w:hAnsi="宋体" w:eastAsia="宋体" w:cs="宋体"/>
        </w:rPr>
        <w:t>注：1、</w:t>
      </w:r>
      <w:r>
        <w:rPr>
          <w:rFonts w:hint="eastAsia" w:ascii="宋体" w:hAnsi="宋体" w:eastAsia="宋体" w:cs="宋体"/>
          <w:bCs/>
        </w:rPr>
        <w:t>供应商可适当调整该表格式，但不得减少信息内容。</w:t>
      </w:r>
    </w:p>
    <w:p>
      <w:pPr>
        <w:jc w:val="center"/>
        <w:outlineLvl w:val="1"/>
        <w:rPr>
          <w:rFonts w:hint="eastAsia" w:ascii="宋体" w:hAnsi="宋体" w:eastAsia="宋体" w:cs="宋体"/>
          <w:b/>
          <w:bCs/>
          <w:color w:val="auto"/>
          <w:sz w:val="32"/>
          <w:szCs w:val="32"/>
          <w:highlight w:val="none"/>
        </w:rPr>
      </w:pPr>
    </w:p>
    <w:p>
      <w:pPr>
        <w:jc w:val="center"/>
        <w:outlineLvl w:val="1"/>
        <w:rPr>
          <w:rFonts w:hint="eastAsia" w:ascii="宋体" w:hAnsi="宋体" w:eastAsia="宋体" w:cs="宋体"/>
          <w:b/>
          <w:bCs/>
          <w:color w:val="auto"/>
          <w:sz w:val="32"/>
          <w:szCs w:val="32"/>
          <w:highlight w:val="none"/>
        </w:rPr>
      </w:pPr>
    </w:p>
    <w:p>
      <w:pPr>
        <w:pStyle w:val="4"/>
        <w:keepNext w:val="0"/>
        <w:keepLines w:val="0"/>
        <w:widowControl w:val="0"/>
        <w:spacing w:before="166" w:beforeLines="50" w:after="0" w:line="360" w:lineRule="auto"/>
        <w:ind w:left="0"/>
        <w:jc w:val="center"/>
        <w:rPr>
          <w:rFonts w:hint="eastAsia" w:ascii="宋体" w:hAnsi="宋体" w:eastAsia="宋体" w:cs="宋体"/>
          <w:b/>
          <w:bCs w:val="0"/>
        </w:rPr>
      </w:pPr>
      <w:r>
        <w:rPr>
          <w:rFonts w:hint="eastAsia" w:ascii="宋体" w:hAnsi="宋体" w:eastAsia="宋体" w:cs="宋体"/>
          <w:b/>
          <w:bCs w:val="0"/>
          <w:sz w:val="32"/>
        </w:rPr>
        <w:t>三、投标方案说明书</w:t>
      </w:r>
    </w:p>
    <w:p>
      <w:pPr>
        <w:spacing w:line="440" w:lineRule="exact"/>
        <w:ind w:firstLine="480" w:firstLineChars="200"/>
        <w:rPr>
          <w:rFonts w:hint="eastAsia" w:ascii="宋体" w:hAnsi="宋体" w:eastAsia="宋体" w:cs="宋体"/>
          <w:b/>
          <w:szCs w:val="24"/>
        </w:rPr>
      </w:pPr>
      <w:r>
        <w:rPr>
          <w:rFonts w:hint="eastAsia" w:ascii="宋体" w:hAnsi="宋体" w:eastAsia="宋体" w:cs="宋体"/>
          <w:szCs w:val="24"/>
        </w:rPr>
        <w:t>供应商按招标文件的要求，依据评审方法附件2“</w:t>
      </w:r>
      <w:r>
        <w:rPr>
          <w:rFonts w:hint="eastAsia" w:ascii="宋体" w:hAnsi="宋体" w:eastAsia="宋体" w:cs="宋体"/>
          <w:b/>
          <w:spacing w:val="4"/>
          <w:szCs w:val="24"/>
        </w:rPr>
        <w:t>评标因素及权重分值表</w:t>
      </w:r>
      <w:r>
        <w:rPr>
          <w:rFonts w:hint="eastAsia" w:ascii="宋体" w:hAnsi="宋体" w:eastAsia="宋体" w:cs="宋体"/>
          <w:szCs w:val="24"/>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szCs w:val="24"/>
        </w:rPr>
        <w:t>附表1</w:t>
      </w:r>
    </w:p>
    <w:p>
      <w:pPr>
        <w:spacing w:after="120"/>
        <w:jc w:val="center"/>
        <w:rPr>
          <w:rFonts w:hint="eastAsia" w:ascii="宋体" w:hAnsi="宋体" w:eastAsia="宋体" w:cs="宋体"/>
          <w:b/>
          <w:sz w:val="32"/>
          <w:szCs w:val="32"/>
        </w:rPr>
      </w:pPr>
      <w:r>
        <w:rPr>
          <w:rFonts w:hint="eastAsia" w:ascii="宋体" w:hAnsi="宋体" w:eastAsia="宋体" w:cs="宋体"/>
          <w:b/>
          <w:sz w:val="32"/>
          <w:szCs w:val="32"/>
        </w:rPr>
        <w:t>技术规格响应表</w:t>
      </w:r>
    </w:p>
    <w:p>
      <w:pPr>
        <w:spacing w:after="120"/>
        <w:ind w:firstLine="120" w:firstLineChars="50"/>
        <w:rPr>
          <w:rFonts w:hint="eastAsia" w:ascii="宋体" w:hAnsi="宋体" w:eastAsia="宋体" w:cs="宋体"/>
          <w:szCs w:val="24"/>
        </w:rPr>
      </w:pPr>
      <w:r>
        <w:rPr>
          <w:rFonts w:hint="eastAsia" w:ascii="宋体" w:hAnsi="宋体" w:eastAsia="宋体" w:cs="宋体"/>
          <w:szCs w:val="24"/>
        </w:rPr>
        <w:t xml:space="preserve">                                      </w:t>
      </w:r>
    </w:p>
    <w:tbl>
      <w:tblPr>
        <w:tblStyle w:val="25"/>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szCs w:val="24"/>
                <w:highlight w:val="none"/>
              </w:rPr>
              <w:t>序号</w:t>
            </w:r>
          </w:p>
        </w:tc>
        <w:tc>
          <w:tcPr>
            <w:tcW w:w="1353"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highlight w:val="none"/>
              </w:rPr>
              <w:t>品目</w:t>
            </w:r>
          </w:p>
        </w:tc>
        <w:tc>
          <w:tcPr>
            <w:tcW w:w="1714"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szCs w:val="24"/>
                <w:highlight w:val="none"/>
              </w:rPr>
              <w:t>招标规格 ☆1</w:t>
            </w:r>
          </w:p>
        </w:tc>
        <w:tc>
          <w:tcPr>
            <w:tcW w:w="2566"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szCs w:val="24"/>
                <w:highlight w:val="none"/>
              </w:rPr>
              <w:t>投标规格 ☆2</w:t>
            </w:r>
          </w:p>
        </w:tc>
        <w:tc>
          <w:tcPr>
            <w:tcW w:w="1290"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szCs w:val="24"/>
                <w:highlight w:val="none"/>
              </w:rPr>
              <w:t>偏离说明</w:t>
            </w:r>
          </w:p>
        </w:tc>
        <w:tc>
          <w:tcPr>
            <w:tcW w:w="880" w:type="dxa"/>
            <w:tcBorders>
              <w:tl2br w:val="nil"/>
              <w:tr2bl w:val="nil"/>
            </w:tcBorders>
            <w:vAlign w:val="center"/>
          </w:tcPr>
          <w:p>
            <w:pPr>
              <w:spacing w:before="166" w:beforeLines="50"/>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highlight w:val="none"/>
              </w:rPr>
            </w:pPr>
          </w:p>
        </w:tc>
        <w:tc>
          <w:tcPr>
            <w:tcW w:w="1353" w:type="dxa"/>
            <w:tcBorders>
              <w:tl2br w:val="nil"/>
              <w:tr2bl w:val="nil"/>
            </w:tcBorders>
          </w:tcPr>
          <w:p>
            <w:pPr>
              <w:rPr>
                <w:rFonts w:hint="eastAsia" w:ascii="宋体" w:hAnsi="宋体" w:eastAsia="宋体" w:cs="宋体"/>
                <w:szCs w:val="24"/>
                <w:highlight w:val="none"/>
              </w:rPr>
            </w:pPr>
          </w:p>
        </w:tc>
        <w:tc>
          <w:tcPr>
            <w:tcW w:w="1714" w:type="dxa"/>
            <w:tcBorders>
              <w:tl2br w:val="nil"/>
              <w:tr2bl w:val="nil"/>
            </w:tcBorders>
          </w:tcPr>
          <w:p>
            <w:pPr>
              <w:rPr>
                <w:rFonts w:hint="eastAsia" w:ascii="宋体" w:hAnsi="宋体" w:eastAsia="宋体" w:cs="宋体"/>
                <w:szCs w:val="24"/>
                <w:highlight w:val="none"/>
              </w:rPr>
            </w:pPr>
          </w:p>
        </w:tc>
        <w:tc>
          <w:tcPr>
            <w:tcW w:w="2566" w:type="dxa"/>
            <w:tcBorders>
              <w:tl2br w:val="nil"/>
              <w:tr2bl w:val="nil"/>
            </w:tcBorders>
          </w:tcPr>
          <w:p>
            <w:pPr>
              <w:rPr>
                <w:rFonts w:hint="eastAsia" w:ascii="宋体" w:hAnsi="宋体" w:eastAsia="宋体" w:cs="宋体"/>
                <w:szCs w:val="24"/>
                <w:highlight w:val="none"/>
              </w:rPr>
            </w:pPr>
          </w:p>
        </w:tc>
        <w:tc>
          <w:tcPr>
            <w:tcW w:w="1290" w:type="dxa"/>
            <w:tcBorders>
              <w:tl2br w:val="nil"/>
              <w:tr2bl w:val="nil"/>
            </w:tcBorders>
          </w:tcPr>
          <w:p>
            <w:pPr>
              <w:rPr>
                <w:rFonts w:hint="eastAsia" w:ascii="宋体" w:hAnsi="宋体" w:eastAsia="宋体" w:cs="宋体"/>
                <w:szCs w:val="24"/>
                <w:highlight w:val="none"/>
              </w:rPr>
            </w:pPr>
          </w:p>
        </w:tc>
        <w:tc>
          <w:tcPr>
            <w:tcW w:w="880" w:type="dxa"/>
            <w:tcBorders>
              <w:tl2br w:val="nil"/>
              <w:tr2bl w:val="nil"/>
            </w:tcBorders>
          </w:tcPr>
          <w:p>
            <w:pPr>
              <w:rPr>
                <w:rFonts w:hint="eastAsia" w:ascii="宋体" w:hAnsi="宋体" w:eastAsia="宋体" w:cs="宋体"/>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highlight w:val="none"/>
              </w:rPr>
            </w:pPr>
          </w:p>
        </w:tc>
        <w:tc>
          <w:tcPr>
            <w:tcW w:w="1353" w:type="dxa"/>
            <w:tcBorders>
              <w:tl2br w:val="nil"/>
              <w:tr2bl w:val="nil"/>
            </w:tcBorders>
          </w:tcPr>
          <w:p>
            <w:pPr>
              <w:rPr>
                <w:rFonts w:hint="eastAsia" w:ascii="宋体" w:hAnsi="宋体" w:eastAsia="宋体" w:cs="宋体"/>
                <w:szCs w:val="24"/>
                <w:highlight w:val="none"/>
              </w:rPr>
            </w:pPr>
          </w:p>
        </w:tc>
        <w:tc>
          <w:tcPr>
            <w:tcW w:w="1714" w:type="dxa"/>
            <w:tcBorders>
              <w:tl2br w:val="nil"/>
              <w:tr2bl w:val="nil"/>
            </w:tcBorders>
          </w:tcPr>
          <w:p>
            <w:pPr>
              <w:rPr>
                <w:rFonts w:hint="eastAsia" w:ascii="宋体" w:hAnsi="宋体" w:eastAsia="宋体" w:cs="宋体"/>
                <w:szCs w:val="24"/>
                <w:highlight w:val="none"/>
              </w:rPr>
            </w:pPr>
          </w:p>
        </w:tc>
        <w:tc>
          <w:tcPr>
            <w:tcW w:w="2566" w:type="dxa"/>
            <w:tcBorders>
              <w:tl2br w:val="nil"/>
              <w:tr2bl w:val="nil"/>
            </w:tcBorders>
          </w:tcPr>
          <w:p>
            <w:pPr>
              <w:rPr>
                <w:rFonts w:hint="eastAsia" w:ascii="宋体" w:hAnsi="宋体" w:eastAsia="宋体" w:cs="宋体"/>
                <w:szCs w:val="24"/>
                <w:highlight w:val="none"/>
              </w:rPr>
            </w:pPr>
          </w:p>
        </w:tc>
        <w:tc>
          <w:tcPr>
            <w:tcW w:w="1290" w:type="dxa"/>
            <w:tcBorders>
              <w:tl2br w:val="nil"/>
              <w:tr2bl w:val="nil"/>
            </w:tcBorders>
          </w:tcPr>
          <w:p>
            <w:pPr>
              <w:rPr>
                <w:rFonts w:hint="eastAsia" w:ascii="宋体" w:hAnsi="宋体" w:eastAsia="宋体" w:cs="宋体"/>
                <w:szCs w:val="24"/>
                <w:highlight w:val="none"/>
              </w:rPr>
            </w:pPr>
          </w:p>
        </w:tc>
        <w:tc>
          <w:tcPr>
            <w:tcW w:w="880" w:type="dxa"/>
            <w:tcBorders>
              <w:tl2br w:val="nil"/>
              <w:tr2bl w:val="nil"/>
            </w:tcBorders>
          </w:tcPr>
          <w:p>
            <w:pPr>
              <w:rPr>
                <w:rFonts w:hint="eastAsia" w:ascii="宋体" w:hAnsi="宋体" w:eastAsia="宋体" w:cs="宋体"/>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highlight w:val="none"/>
              </w:rPr>
            </w:pPr>
          </w:p>
        </w:tc>
        <w:tc>
          <w:tcPr>
            <w:tcW w:w="1353" w:type="dxa"/>
            <w:tcBorders>
              <w:tl2br w:val="nil"/>
              <w:tr2bl w:val="nil"/>
            </w:tcBorders>
          </w:tcPr>
          <w:p>
            <w:pPr>
              <w:rPr>
                <w:rFonts w:hint="eastAsia" w:ascii="宋体" w:hAnsi="宋体" w:eastAsia="宋体" w:cs="宋体"/>
                <w:szCs w:val="24"/>
                <w:highlight w:val="none"/>
              </w:rPr>
            </w:pPr>
          </w:p>
        </w:tc>
        <w:tc>
          <w:tcPr>
            <w:tcW w:w="1714" w:type="dxa"/>
            <w:tcBorders>
              <w:tl2br w:val="nil"/>
              <w:tr2bl w:val="nil"/>
            </w:tcBorders>
          </w:tcPr>
          <w:p>
            <w:pPr>
              <w:rPr>
                <w:rFonts w:hint="eastAsia" w:ascii="宋体" w:hAnsi="宋体" w:eastAsia="宋体" w:cs="宋体"/>
                <w:szCs w:val="24"/>
                <w:highlight w:val="none"/>
              </w:rPr>
            </w:pPr>
          </w:p>
        </w:tc>
        <w:tc>
          <w:tcPr>
            <w:tcW w:w="2566" w:type="dxa"/>
            <w:tcBorders>
              <w:tl2br w:val="nil"/>
              <w:tr2bl w:val="nil"/>
            </w:tcBorders>
          </w:tcPr>
          <w:p>
            <w:pPr>
              <w:rPr>
                <w:rFonts w:hint="eastAsia" w:ascii="宋体" w:hAnsi="宋体" w:eastAsia="宋体" w:cs="宋体"/>
                <w:szCs w:val="24"/>
                <w:highlight w:val="none"/>
              </w:rPr>
            </w:pPr>
          </w:p>
        </w:tc>
        <w:tc>
          <w:tcPr>
            <w:tcW w:w="1290" w:type="dxa"/>
            <w:tcBorders>
              <w:tl2br w:val="nil"/>
              <w:tr2bl w:val="nil"/>
            </w:tcBorders>
          </w:tcPr>
          <w:p>
            <w:pPr>
              <w:rPr>
                <w:rFonts w:hint="eastAsia" w:ascii="宋体" w:hAnsi="宋体" w:eastAsia="宋体" w:cs="宋体"/>
                <w:szCs w:val="24"/>
                <w:highlight w:val="none"/>
              </w:rPr>
            </w:pPr>
          </w:p>
        </w:tc>
        <w:tc>
          <w:tcPr>
            <w:tcW w:w="880" w:type="dxa"/>
            <w:tcBorders>
              <w:tl2br w:val="nil"/>
              <w:tr2bl w:val="nil"/>
            </w:tcBorders>
          </w:tcPr>
          <w:p>
            <w:pPr>
              <w:rPr>
                <w:rFonts w:hint="eastAsia" w:ascii="宋体" w:hAnsi="宋体" w:eastAsia="宋体" w:cs="宋体"/>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highlight w:val="none"/>
              </w:rPr>
            </w:pPr>
          </w:p>
        </w:tc>
        <w:tc>
          <w:tcPr>
            <w:tcW w:w="1353" w:type="dxa"/>
            <w:tcBorders>
              <w:tl2br w:val="nil"/>
              <w:tr2bl w:val="nil"/>
            </w:tcBorders>
          </w:tcPr>
          <w:p>
            <w:pPr>
              <w:rPr>
                <w:rFonts w:hint="eastAsia" w:ascii="宋体" w:hAnsi="宋体" w:eastAsia="宋体" w:cs="宋体"/>
                <w:szCs w:val="24"/>
                <w:highlight w:val="none"/>
              </w:rPr>
            </w:pPr>
          </w:p>
        </w:tc>
        <w:tc>
          <w:tcPr>
            <w:tcW w:w="1714" w:type="dxa"/>
            <w:tcBorders>
              <w:tl2br w:val="nil"/>
              <w:tr2bl w:val="nil"/>
            </w:tcBorders>
          </w:tcPr>
          <w:p>
            <w:pPr>
              <w:rPr>
                <w:rFonts w:hint="eastAsia" w:ascii="宋体" w:hAnsi="宋体" w:eastAsia="宋体" w:cs="宋体"/>
                <w:szCs w:val="24"/>
                <w:highlight w:val="none"/>
              </w:rPr>
            </w:pPr>
          </w:p>
        </w:tc>
        <w:tc>
          <w:tcPr>
            <w:tcW w:w="2566" w:type="dxa"/>
            <w:tcBorders>
              <w:tl2br w:val="nil"/>
              <w:tr2bl w:val="nil"/>
            </w:tcBorders>
          </w:tcPr>
          <w:p>
            <w:pPr>
              <w:rPr>
                <w:rFonts w:hint="eastAsia" w:ascii="宋体" w:hAnsi="宋体" w:eastAsia="宋体" w:cs="宋体"/>
                <w:szCs w:val="24"/>
                <w:highlight w:val="none"/>
              </w:rPr>
            </w:pPr>
          </w:p>
        </w:tc>
        <w:tc>
          <w:tcPr>
            <w:tcW w:w="1290" w:type="dxa"/>
            <w:tcBorders>
              <w:tl2br w:val="nil"/>
              <w:tr2bl w:val="nil"/>
            </w:tcBorders>
          </w:tcPr>
          <w:p>
            <w:pPr>
              <w:rPr>
                <w:rFonts w:hint="eastAsia" w:ascii="宋体" w:hAnsi="宋体" w:eastAsia="宋体" w:cs="宋体"/>
                <w:szCs w:val="24"/>
                <w:highlight w:val="none"/>
              </w:rPr>
            </w:pPr>
          </w:p>
        </w:tc>
        <w:tc>
          <w:tcPr>
            <w:tcW w:w="880" w:type="dxa"/>
            <w:tcBorders>
              <w:tl2br w:val="nil"/>
              <w:tr2bl w:val="nil"/>
            </w:tcBorders>
          </w:tcPr>
          <w:p>
            <w:pPr>
              <w:rPr>
                <w:rFonts w:hint="eastAsia" w:ascii="宋体" w:hAnsi="宋体" w:eastAsia="宋体" w:cs="宋体"/>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pPr>
              <w:rPr>
                <w:rFonts w:hint="eastAsia" w:ascii="宋体" w:hAnsi="宋体" w:eastAsia="宋体" w:cs="宋体"/>
                <w:szCs w:val="24"/>
                <w:highlight w:val="none"/>
              </w:rPr>
            </w:pPr>
          </w:p>
        </w:tc>
        <w:tc>
          <w:tcPr>
            <w:tcW w:w="1353" w:type="dxa"/>
            <w:tcBorders>
              <w:tl2br w:val="nil"/>
              <w:tr2bl w:val="nil"/>
            </w:tcBorders>
          </w:tcPr>
          <w:p>
            <w:pPr>
              <w:rPr>
                <w:rFonts w:hint="eastAsia" w:ascii="宋体" w:hAnsi="宋体" w:eastAsia="宋体" w:cs="宋体"/>
                <w:szCs w:val="24"/>
                <w:highlight w:val="none"/>
              </w:rPr>
            </w:pPr>
          </w:p>
        </w:tc>
        <w:tc>
          <w:tcPr>
            <w:tcW w:w="1714" w:type="dxa"/>
            <w:tcBorders>
              <w:tl2br w:val="nil"/>
              <w:tr2bl w:val="nil"/>
            </w:tcBorders>
          </w:tcPr>
          <w:p>
            <w:pPr>
              <w:rPr>
                <w:rFonts w:hint="eastAsia" w:ascii="宋体" w:hAnsi="宋体" w:eastAsia="宋体" w:cs="宋体"/>
                <w:szCs w:val="24"/>
                <w:highlight w:val="none"/>
              </w:rPr>
            </w:pPr>
          </w:p>
        </w:tc>
        <w:tc>
          <w:tcPr>
            <w:tcW w:w="2566" w:type="dxa"/>
            <w:tcBorders>
              <w:tl2br w:val="nil"/>
              <w:tr2bl w:val="nil"/>
            </w:tcBorders>
          </w:tcPr>
          <w:p>
            <w:pPr>
              <w:rPr>
                <w:rFonts w:hint="eastAsia" w:ascii="宋体" w:hAnsi="宋体" w:eastAsia="宋体" w:cs="宋体"/>
                <w:szCs w:val="24"/>
                <w:highlight w:val="none"/>
              </w:rPr>
            </w:pPr>
          </w:p>
        </w:tc>
        <w:tc>
          <w:tcPr>
            <w:tcW w:w="1290" w:type="dxa"/>
            <w:tcBorders>
              <w:tl2br w:val="nil"/>
              <w:tr2bl w:val="nil"/>
            </w:tcBorders>
          </w:tcPr>
          <w:p>
            <w:pPr>
              <w:rPr>
                <w:rFonts w:hint="eastAsia" w:ascii="宋体" w:hAnsi="宋体" w:eastAsia="宋体" w:cs="宋体"/>
                <w:szCs w:val="24"/>
                <w:highlight w:val="none"/>
              </w:rPr>
            </w:pPr>
          </w:p>
        </w:tc>
        <w:tc>
          <w:tcPr>
            <w:tcW w:w="880" w:type="dxa"/>
            <w:tcBorders>
              <w:tl2br w:val="nil"/>
              <w:tr2bl w:val="nil"/>
            </w:tcBorders>
          </w:tcPr>
          <w:p>
            <w:pPr>
              <w:rPr>
                <w:rFonts w:hint="eastAsia" w:ascii="宋体" w:hAnsi="宋体" w:eastAsia="宋体" w:cs="宋体"/>
                <w:szCs w:val="24"/>
                <w:highlight w:val="none"/>
              </w:rPr>
            </w:pPr>
          </w:p>
        </w:tc>
      </w:tr>
    </w:tbl>
    <w:p>
      <w:pPr>
        <w:rPr>
          <w:rFonts w:hint="eastAsia" w:ascii="宋体" w:hAnsi="宋体" w:eastAsia="宋体" w:cs="宋体"/>
          <w:highlight w:val="none"/>
        </w:rPr>
      </w:pPr>
    </w:p>
    <w:p>
      <w:pPr>
        <w:rPr>
          <w:rFonts w:hint="eastAsia" w:ascii="宋体" w:hAnsi="宋体" w:eastAsia="宋体" w:cs="宋体"/>
          <w:szCs w:val="24"/>
          <w:highlight w:val="none"/>
        </w:rPr>
      </w:pPr>
    </w:p>
    <w:p>
      <w:pPr>
        <w:spacing w:line="52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（盖单位公章）</w:t>
      </w:r>
    </w:p>
    <w:p>
      <w:pPr>
        <w:spacing w:line="500" w:lineRule="exact"/>
        <w:ind w:firstLine="496" w:firstLineChars="200"/>
        <w:jc w:val="left"/>
        <w:rPr>
          <w:rFonts w:hint="eastAsia" w:ascii="宋体" w:hAnsi="宋体" w:eastAsia="宋体" w:cs="宋体"/>
          <w:spacing w:val="4"/>
          <w:highlight w:val="none"/>
        </w:rPr>
      </w:pPr>
    </w:p>
    <w:p>
      <w:pPr>
        <w:spacing w:line="500" w:lineRule="exact"/>
        <w:ind w:firstLine="496" w:firstLineChars="200"/>
        <w:jc w:val="left"/>
        <w:rPr>
          <w:rFonts w:hint="eastAsia" w:ascii="宋体" w:hAnsi="宋体" w:eastAsia="宋体" w:cs="宋体"/>
          <w:spacing w:val="4"/>
          <w:highlight w:val="none"/>
        </w:rPr>
      </w:pPr>
      <w:r>
        <w:rPr>
          <w:rFonts w:hint="eastAsia" w:ascii="宋体" w:hAnsi="宋体" w:eastAsia="宋体" w:cs="宋体"/>
          <w:spacing w:val="4"/>
          <w:highlight w:val="none"/>
        </w:rPr>
        <w:t>法定代表人或被授权人：</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（签字或盖章）</w:t>
      </w:r>
    </w:p>
    <w:p>
      <w:pPr>
        <w:spacing w:line="520" w:lineRule="exact"/>
        <w:ind w:firstLine="480" w:firstLineChars="200"/>
        <w:rPr>
          <w:rFonts w:hint="eastAsia" w:ascii="宋体" w:hAnsi="宋体" w:eastAsia="宋体" w:cs="宋体"/>
          <w:szCs w:val="24"/>
          <w:highlight w:val="none"/>
        </w:rPr>
      </w:pPr>
    </w:p>
    <w:p>
      <w:pPr>
        <w:spacing w:line="52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日      期：      年   月    日</w:t>
      </w:r>
    </w:p>
    <w:p>
      <w:pPr>
        <w:adjustRightInd w:val="0"/>
        <w:snapToGrid w:val="0"/>
        <w:spacing w:line="440" w:lineRule="exact"/>
        <w:ind w:left="137" w:leftChars="57" w:firstLine="1446" w:firstLineChars="600"/>
        <w:rPr>
          <w:rFonts w:hint="eastAsia" w:ascii="宋体" w:hAnsi="宋体" w:eastAsia="宋体" w:cs="宋体"/>
          <w:b/>
          <w:bCs/>
          <w:szCs w:val="24"/>
          <w:highlight w:val="none"/>
        </w:rPr>
      </w:pPr>
    </w:p>
    <w:p>
      <w:pPr>
        <w:rPr>
          <w:rFonts w:hint="eastAsia" w:ascii="宋体" w:hAnsi="宋体" w:eastAsia="宋体" w:cs="宋体"/>
          <w:szCs w:val="24"/>
          <w:highlight w:val="none"/>
        </w:rPr>
      </w:pPr>
    </w:p>
    <w:p>
      <w:pPr>
        <w:pStyle w:val="70"/>
        <w:rPr>
          <w:rFonts w:hint="eastAsia" w:ascii="宋体" w:hAnsi="宋体" w:eastAsia="宋体" w:cs="宋体"/>
          <w:szCs w:val="24"/>
          <w:highlight w:val="none"/>
        </w:rPr>
      </w:pPr>
      <w:r>
        <w:rPr>
          <w:rFonts w:hint="eastAsia" w:ascii="宋体" w:hAnsi="宋体" w:eastAsia="宋体" w:cs="宋体"/>
          <w:szCs w:val="24"/>
          <w:highlight w:val="none"/>
        </w:rPr>
        <w:t>注:  1、 ☆1指招标文件中的技术规格(参数),供应商应按照招标文件中的内容逐项响应。</w:t>
      </w:r>
    </w:p>
    <w:p>
      <w:pPr>
        <w:pStyle w:val="70"/>
        <w:numPr>
          <w:ilvl w:val="0"/>
          <w:numId w:val="10"/>
        </w:numPr>
        <w:rPr>
          <w:rFonts w:hint="eastAsia" w:ascii="宋体" w:hAnsi="宋体" w:eastAsia="宋体" w:cs="宋体"/>
          <w:szCs w:val="24"/>
          <w:highlight w:val="none"/>
        </w:rPr>
      </w:pPr>
      <w:r>
        <w:rPr>
          <w:rFonts w:hint="eastAsia" w:ascii="宋体" w:hAnsi="宋体" w:eastAsia="宋体" w:cs="宋体"/>
          <w:szCs w:val="24"/>
          <w:highlight w:val="none"/>
        </w:rPr>
        <w:t xml:space="preserve">☆2 指供应商拟提供的投标产品的功能及技术规格(参数),供应商应逐条如实填写并提供相应的支持文件。 </w:t>
      </w:r>
    </w:p>
    <w:p>
      <w:pPr>
        <w:pStyle w:val="70"/>
        <w:numPr>
          <w:ilvl w:val="0"/>
          <w:numId w:val="10"/>
        </w:numPr>
        <w:rPr>
          <w:rFonts w:hint="eastAsia" w:ascii="宋体" w:hAnsi="宋体" w:eastAsia="宋体" w:cs="宋体"/>
          <w:szCs w:val="24"/>
          <w:highlight w:val="none"/>
        </w:rPr>
      </w:pPr>
      <w:r>
        <w:rPr>
          <w:rFonts w:hint="eastAsia" w:ascii="宋体" w:hAnsi="宋体" w:eastAsia="宋体" w:cs="宋体"/>
          <w:szCs w:val="24"/>
          <w:highlight w:val="none"/>
        </w:rPr>
        <w:t>偏离说明填写：优于、满足或低于。</w:t>
      </w:r>
    </w:p>
    <w:p>
      <w:pPr>
        <w:rPr>
          <w:rFonts w:hint="eastAsia" w:ascii="宋体" w:hAnsi="宋体" w:eastAsia="宋体" w:cs="宋体"/>
          <w:szCs w:val="24"/>
        </w:rPr>
      </w:pPr>
      <w:r>
        <w:rPr>
          <w:rFonts w:hint="eastAsia" w:ascii="宋体" w:hAnsi="宋体" w:eastAsia="宋体" w:cs="宋体"/>
          <w:szCs w:val="24"/>
        </w:rPr>
        <w:t xml:space="preserve">     </w:t>
      </w:r>
    </w:p>
    <w:p>
      <w:pPr>
        <w:spacing w:line="360" w:lineRule="auto"/>
        <w:rPr>
          <w:rFonts w:hint="eastAsia" w:ascii="宋体" w:hAnsi="宋体" w:eastAsia="宋体" w:cs="宋体"/>
          <w:szCs w:val="24"/>
        </w:rPr>
      </w:pPr>
      <w:r>
        <w:rPr>
          <w:rFonts w:hint="eastAsia" w:ascii="宋体" w:hAnsi="宋体" w:eastAsia="宋体" w:cs="宋体"/>
          <w:b/>
          <w:szCs w:val="24"/>
        </w:rPr>
        <w:br w:type="page"/>
      </w:r>
      <w:r>
        <w:rPr>
          <w:rFonts w:hint="eastAsia" w:ascii="宋体" w:hAnsi="宋体" w:eastAsia="宋体" w:cs="宋体"/>
          <w:b/>
          <w:szCs w:val="24"/>
        </w:rPr>
        <w:t>附表2 本项目拟投入人员汇总表</w:t>
      </w:r>
    </w:p>
    <w:p>
      <w:pPr>
        <w:pStyle w:val="46"/>
        <w:spacing w:before="166" w:beforeLines="50"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（一）本项目拟投入人员汇总表</w:t>
      </w:r>
    </w:p>
    <w:tbl>
      <w:tblPr>
        <w:tblStyle w:val="2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557"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序号</w:t>
            </w:r>
          </w:p>
        </w:tc>
        <w:tc>
          <w:tcPr>
            <w:tcW w:w="124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姓  名</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性别</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年龄</w:t>
            </w:r>
          </w:p>
        </w:tc>
        <w:tc>
          <w:tcPr>
            <w:tcW w:w="57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学历</w:t>
            </w:r>
          </w:p>
        </w:tc>
        <w:tc>
          <w:tcPr>
            <w:tcW w:w="835"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技术</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职称</w:t>
            </w:r>
          </w:p>
        </w:tc>
        <w:tc>
          <w:tcPr>
            <w:tcW w:w="1157" w:type="dxa"/>
            <w:tcMar>
              <w:top w:w="15" w:type="dxa"/>
              <w:left w:w="15" w:type="dxa"/>
              <w:bottom w:w="0" w:type="dxa"/>
              <w:right w:w="15" w:type="dxa"/>
            </w:tcMa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资格证</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书种类</w:t>
            </w:r>
          </w:p>
        </w:tc>
        <w:tc>
          <w:tcPr>
            <w:tcW w:w="748"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工作</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年限</w:t>
            </w:r>
          </w:p>
        </w:tc>
        <w:tc>
          <w:tcPr>
            <w:tcW w:w="1877"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拟担任的职务</w:t>
            </w:r>
          </w:p>
        </w:tc>
        <w:tc>
          <w:tcPr>
            <w:tcW w:w="680" w:type="dxa"/>
            <w:tcMar>
              <w:top w:w="15" w:type="dxa"/>
              <w:left w:w="15" w:type="dxa"/>
              <w:bottom w:w="0" w:type="dxa"/>
              <w:right w:w="15" w:type="dxa"/>
            </w:tcMar>
            <w:vAlign w:val="center"/>
          </w:tcPr>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岗位</w:t>
            </w:r>
          </w:p>
          <w:p>
            <w:pPr>
              <w:pStyle w:val="47"/>
              <w:spacing w:line="400" w:lineRule="exact"/>
              <w:ind w:left="0" w:leftChars="0"/>
              <w:rPr>
                <w:rFonts w:hint="eastAsia" w:ascii="宋体" w:hAnsi="宋体" w:eastAsia="宋体" w:cs="宋体"/>
                <w:b/>
                <w:szCs w:val="21"/>
              </w:rPr>
            </w:pPr>
            <w:r>
              <w:rPr>
                <w:rFonts w:hint="eastAsia" w:ascii="宋体" w:hAnsi="宋体" w:eastAsia="宋体" w:cs="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24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57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835"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15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748"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1877"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c>
          <w:tcPr>
            <w:tcW w:w="680" w:type="dxa"/>
            <w:tcMar>
              <w:top w:w="15" w:type="dxa"/>
              <w:left w:w="15" w:type="dxa"/>
              <w:bottom w:w="0" w:type="dxa"/>
              <w:right w:w="15" w:type="dxa"/>
            </w:tcMar>
            <w:vAlign w:val="center"/>
          </w:tcPr>
          <w:p>
            <w:pPr>
              <w:pStyle w:val="47"/>
              <w:spacing w:line="400" w:lineRule="exact"/>
              <w:ind w:left="0" w:leftChars="0" w:firstLine="480" w:firstLineChars="200"/>
              <w:jc w:val="both"/>
              <w:rPr>
                <w:rFonts w:hint="eastAsia" w:ascii="宋体" w:hAnsi="宋体" w:eastAsia="宋体" w:cs="宋体"/>
                <w:szCs w:val="21"/>
              </w:rPr>
            </w:pPr>
          </w:p>
        </w:tc>
      </w:tr>
    </w:tbl>
    <w:p>
      <w:pPr>
        <w:pStyle w:val="48"/>
        <w:tabs>
          <w:tab w:val="left" w:pos="2040"/>
        </w:tabs>
        <w:spacing w:beforeLines="0" w:line="400" w:lineRule="exact"/>
        <w:ind w:left="0" w:firstLine="480" w:firstLineChars="200"/>
        <w:rPr>
          <w:rFonts w:hint="eastAsia" w:ascii="宋体" w:hAnsi="宋体" w:eastAsia="宋体" w:cs="宋体"/>
          <w:color w:val="auto"/>
          <w:szCs w:val="21"/>
        </w:rPr>
      </w:pPr>
      <w:r>
        <w:rPr>
          <w:rFonts w:hint="eastAsia" w:ascii="宋体" w:hAnsi="宋体" w:eastAsia="宋体" w:cs="宋体"/>
          <w:color w:val="auto"/>
          <w:szCs w:val="21"/>
        </w:rPr>
        <w:t>注：1、“岗位情况”须注明该人在本单位是在岗、返聘还是外聘。</w:t>
      </w:r>
    </w:p>
    <w:p>
      <w:pPr>
        <w:pStyle w:val="48"/>
        <w:tabs>
          <w:tab w:val="left" w:pos="2040"/>
        </w:tabs>
        <w:spacing w:beforeLines="0" w:line="400" w:lineRule="exact"/>
        <w:ind w:left="0" w:firstLine="960" w:firstLineChars="400"/>
        <w:rPr>
          <w:rFonts w:hint="eastAsia" w:ascii="宋体" w:hAnsi="宋体" w:eastAsia="宋体" w:cs="宋体"/>
          <w:color w:val="auto"/>
          <w:szCs w:val="21"/>
        </w:rPr>
      </w:pPr>
      <w:r>
        <w:rPr>
          <w:rFonts w:hint="eastAsia" w:ascii="宋体" w:hAnsi="宋体" w:eastAsia="宋体" w:cs="宋体"/>
          <w:color w:val="auto"/>
          <w:szCs w:val="21"/>
        </w:rPr>
        <w:t>2、供应商可适当调整该表格式，但不得减少信息内容。</w:t>
      </w:r>
    </w:p>
    <w:p>
      <w:pPr>
        <w:pStyle w:val="49"/>
        <w:spacing w:beforeLines="0" w:afterLines="0" w:line="400" w:lineRule="exact"/>
        <w:ind w:left="0" w:leftChars="0" w:firstLine="420" w:firstLineChars="200"/>
        <w:jc w:val="both"/>
        <w:rPr>
          <w:rFonts w:hint="eastAsia" w:ascii="宋体" w:hAnsi="宋体" w:eastAsia="宋体" w:cs="宋体"/>
          <w:b w:val="0"/>
          <w:color w:val="auto"/>
          <w:sz w:val="21"/>
        </w:rPr>
      </w:pPr>
    </w:p>
    <w:p>
      <w:pPr>
        <w:pStyle w:val="46"/>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Cs w:val="24"/>
        </w:rPr>
        <w:t>（二） 本项目拟投入主要人员简历表</w:t>
      </w:r>
    </w:p>
    <w:p>
      <w:pPr>
        <w:pStyle w:val="46"/>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本项目拟投入主要人员简历表</w:t>
      </w:r>
    </w:p>
    <w:tbl>
      <w:tblPr>
        <w:tblStyle w:val="25"/>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姓  名</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性 别</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年 龄</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职  称</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身份证号</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专业/年限</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毕业时间</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毕业学校</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学历/专业</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资格证书</w:t>
            </w:r>
          </w:p>
        </w:tc>
        <w:tc>
          <w:tcPr>
            <w:tcW w:w="1577" w:type="dxa"/>
            <w:vAlign w:val="center"/>
          </w:tcPr>
          <w:p>
            <w:pPr>
              <w:pStyle w:val="47"/>
              <w:spacing w:line="400" w:lineRule="exact"/>
              <w:ind w:left="0" w:leftChars="0"/>
              <w:rPr>
                <w:rFonts w:hint="eastAsia" w:ascii="宋体" w:hAnsi="宋体" w:eastAsia="宋体" w:cs="宋体"/>
              </w:rPr>
            </w:pPr>
          </w:p>
        </w:tc>
        <w:tc>
          <w:tcPr>
            <w:tcW w:w="1525"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注册时间</w:t>
            </w:r>
          </w:p>
        </w:tc>
        <w:tc>
          <w:tcPr>
            <w:tcW w:w="1331" w:type="dxa"/>
            <w:gridSpan w:val="2"/>
            <w:vAlign w:val="center"/>
          </w:tcPr>
          <w:p>
            <w:pPr>
              <w:pStyle w:val="47"/>
              <w:spacing w:line="400" w:lineRule="exact"/>
              <w:ind w:left="0" w:leftChars="0"/>
              <w:rPr>
                <w:rFonts w:hint="eastAsia" w:ascii="宋体" w:hAnsi="宋体" w:eastAsia="宋体" w:cs="宋体"/>
              </w:rPr>
            </w:pPr>
          </w:p>
        </w:tc>
        <w:tc>
          <w:tcPr>
            <w:tcW w:w="1709"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从业时间</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是否属供应商固定雇员</w:t>
            </w:r>
          </w:p>
        </w:tc>
        <w:tc>
          <w:tcPr>
            <w:tcW w:w="1525" w:type="dxa"/>
            <w:vAlign w:val="center"/>
          </w:tcPr>
          <w:p>
            <w:pPr>
              <w:pStyle w:val="47"/>
              <w:spacing w:line="400" w:lineRule="exact"/>
              <w:ind w:left="0" w:leftChars="0"/>
              <w:rPr>
                <w:rFonts w:hint="eastAsia" w:ascii="宋体" w:hAnsi="宋体" w:eastAsia="宋体" w:cs="宋体"/>
              </w:rPr>
            </w:pPr>
          </w:p>
        </w:tc>
        <w:tc>
          <w:tcPr>
            <w:tcW w:w="3040"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为供应商服务时间</w:t>
            </w:r>
          </w:p>
        </w:tc>
        <w:tc>
          <w:tcPr>
            <w:tcW w:w="1139" w:type="dxa"/>
            <w:gridSpan w:val="2"/>
            <w:vAlign w:val="center"/>
          </w:tcPr>
          <w:p>
            <w:pPr>
              <w:pStyle w:val="47"/>
              <w:spacing w:line="400" w:lineRule="exact"/>
              <w:ind w:left="0" w:leftChars="0" w:firstLine="48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拟在本项目担任职务</w:t>
            </w:r>
          </w:p>
        </w:tc>
        <w:tc>
          <w:tcPr>
            <w:tcW w:w="5704" w:type="dxa"/>
            <w:gridSpan w:val="6"/>
            <w:vAlign w:val="center"/>
          </w:tcPr>
          <w:p>
            <w:pPr>
              <w:pStyle w:val="47"/>
              <w:spacing w:line="400" w:lineRule="exact"/>
              <w:ind w:left="0" w:left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47"/>
              <w:spacing w:line="400" w:lineRule="exact"/>
              <w:ind w:left="0" w:leftChars="0"/>
              <w:jc w:val="both"/>
              <w:rPr>
                <w:rFonts w:hint="eastAsia" w:ascii="宋体" w:hAnsi="宋体" w:eastAsia="宋体" w:cs="宋体"/>
              </w:rPr>
            </w:pPr>
            <w:r>
              <w:rPr>
                <w:rFonts w:hint="eastAsia" w:ascii="宋体" w:hAnsi="宋体" w:eastAsia="宋体" w:cs="宋体"/>
              </w:rPr>
              <w:t>（教育背景从大学开始，包括毕业院校名称、专业、起始时间。培训填写与专业技术、业务有关的内容）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时  间</w:t>
            </w:r>
          </w:p>
        </w:tc>
        <w:tc>
          <w:tcPr>
            <w:tcW w:w="3374"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参加过的项目名称</w:t>
            </w:r>
          </w:p>
          <w:p>
            <w:pPr>
              <w:pStyle w:val="47"/>
              <w:spacing w:line="400" w:lineRule="exact"/>
              <w:ind w:left="0" w:leftChars="0"/>
              <w:rPr>
                <w:rFonts w:hint="eastAsia" w:ascii="宋体" w:hAnsi="宋体" w:eastAsia="宋体" w:cs="宋体"/>
              </w:rPr>
            </w:pPr>
            <w:r>
              <w:rPr>
                <w:rFonts w:hint="eastAsia" w:ascii="宋体" w:hAnsi="宋体" w:eastAsia="宋体" w:cs="宋体"/>
              </w:rPr>
              <w:t>及当时所在单位</w:t>
            </w:r>
          </w:p>
        </w:tc>
        <w:tc>
          <w:tcPr>
            <w:tcW w:w="1286"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担任何职</w:t>
            </w:r>
          </w:p>
        </w:tc>
        <w:tc>
          <w:tcPr>
            <w:tcW w:w="1761" w:type="dxa"/>
            <w:gridSpan w:val="3"/>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主要工作内容</w:t>
            </w:r>
          </w:p>
        </w:tc>
        <w:tc>
          <w:tcPr>
            <w:tcW w:w="1132" w:type="dxa"/>
            <w:vAlign w:val="center"/>
          </w:tcPr>
          <w:p>
            <w:pPr>
              <w:pStyle w:val="47"/>
              <w:spacing w:line="400" w:lineRule="exact"/>
              <w:ind w:left="0" w:leftChars="0"/>
              <w:rPr>
                <w:rFonts w:hint="eastAsia" w:ascii="宋体" w:hAnsi="宋体" w:eastAsia="宋体" w:cs="宋体"/>
              </w:rPr>
            </w:pPr>
            <w:r>
              <w:rPr>
                <w:rFonts w:hint="eastAsia" w:ascii="宋体" w:hAns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jc w:val="both"/>
              <w:rPr>
                <w:rFonts w:hint="eastAsia" w:ascii="宋体" w:hAnsi="宋体" w:eastAsia="宋体" w:cs="宋体"/>
              </w:rPr>
            </w:pPr>
          </w:p>
        </w:tc>
        <w:tc>
          <w:tcPr>
            <w:tcW w:w="3374" w:type="dxa"/>
            <w:gridSpan w:val="3"/>
            <w:vAlign w:val="center"/>
          </w:tcPr>
          <w:p>
            <w:pPr>
              <w:pStyle w:val="47"/>
              <w:spacing w:line="400" w:lineRule="exact"/>
              <w:ind w:left="0" w:leftChars="0"/>
              <w:jc w:val="both"/>
              <w:rPr>
                <w:rFonts w:hint="eastAsia" w:ascii="宋体" w:hAnsi="宋体" w:eastAsia="宋体" w:cs="宋体"/>
              </w:rPr>
            </w:pPr>
          </w:p>
        </w:tc>
        <w:tc>
          <w:tcPr>
            <w:tcW w:w="1286" w:type="dxa"/>
            <w:vAlign w:val="center"/>
          </w:tcPr>
          <w:p>
            <w:pPr>
              <w:pStyle w:val="47"/>
              <w:spacing w:line="400" w:lineRule="exact"/>
              <w:ind w:left="0" w:leftChars="0"/>
              <w:jc w:val="both"/>
              <w:rPr>
                <w:rFonts w:hint="eastAsia" w:ascii="宋体" w:hAnsi="宋体" w:eastAsia="宋体" w:cs="宋体"/>
              </w:rPr>
            </w:pPr>
          </w:p>
        </w:tc>
        <w:tc>
          <w:tcPr>
            <w:tcW w:w="1761" w:type="dxa"/>
            <w:gridSpan w:val="3"/>
            <w:vAlign w:val="center"/>
          </w:tcPr>
          <w:p>
            <w:pPr>
              <w:pStyle w:val="47"/>
              <w:spacing w:line="400" w:lineRule="exact"/>
              <w:ind w:left="0" w:leftChars="0"/>
              <w:jc w:val="both"/>
              <w:rPr>
                <w:rFonts w:hint="eastAsia" w:ascii="宋体" w:hAnsi="宋体" w:eastAsia="宋体" w:cs="宋体"/>
              </w:rPr>
            </w:pPr>
          </w:p>
        </w:tc>
        <w:tc>
          <w:tcPr>
            <w:tcW w:w="1132" w:type="dxa"/>
            <w:vAlign w:val="center"/>
          </w:tcPr>
          <w:p>
            <w:pPr>
              <w:pStyle w:val="47"/>
              <w:spacing w:line="400" w:lineRule="exact"/>
              <w:ind w:left="0" w:left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1500" w:type="dxa"/>
            <w:vAlign w:val="center"/>
          </w:tcPr>
          <w:p>
            <w:pPr>
              <w:pStyle w:val="47"/>
              <w:spacing w:line="400" w:lineRule="exact"/>
              <w:ind w:left="0" w:leftChars="0" w:firstLine="480" w:firstLineChars="200"/>
              <w:jc w:val="both"/>
              <w:rPr>
                <w:rFonts w:hint="eastAsia" w:ascii="宋体" w:hAnsi="宋体" w:eastAsia="宋体" w:cs="宋体"/>
              </w:rPr>
            </w:pPr>
          </w:p>
        </w:tc>
        <w:tc>
          <w:tcPr>
            <w:tcW w:w="3374"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286" w:type="dxa"/>
            <w:vAlign w:val="center"/>
          </w:tcPr>
          <w:p>
            <w:pPr>
              <w:pStyle w:val="47"/>
              <w:spacing w:line="400" w:lineRule="exact"/>
              <w:ind w:left="0" w:leftChars="0" w:firstLine="480" w:firstLineChars="200"/>
              <w:jc w:val="both"/>
              <w:rPr>
                <w:rFonts w:hint="eastAsia" w:ascii="宋体" w:hAnsi="宋体" w:eastAsia="宋体" w:cs="宋体"/>
              </w:rPr>
            </w:pPr>
          </w:p>
        </w:tc>
        <w:tc>
          <w:tcPr>
            <w:tcW w:w="1761"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132" w:type="dxa"/>
            <w:vAlign w:val="center"/>
          </w:tcPr>
          <w:p>
            <w:pPr>
              <w:pStyle w:val="47"/>
              <w:spacing w:line="400" w:lineRule="exact"/>
              <w:ind w:left="0" w:leftChars="0" w:firstLine="480" w:firstLineChars="20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47"/>
              <w:spacing w:line="400" w:lineRule="exact"/>
              <w:ind w:left="0" w:leftChars="0" w:firstLine="480" w:firstLineChars="200"/>
              <w:jc w:val="both"/>
              <w:rPr>
                <w:rFonts w:hint="eastAsia" w:ascii="宋体" w:hAnsi="宋体" w:eastAsia="宋体" w:cs="宋体"/>
              </w:rPr>
            </w:pPr>
          </w:p>
        </w:tc>
        <w:tc>
          <w:tcPr>
            <w:tcW w:w="3374"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286" w:type="dxa"/>
            <w:vAlign w:val="center"/>
          </w:tcPr>
          <w:p>
            <w:pPr>
              <w:pStyle w:val="47"/>
              <w:spacing w:line="400" w:lineRule="exact"/>
              <w:ind w:left="0" w:leftChars="0" w:firstLine="480" w:firstLineChars="200"/>
              <w:jc w:val="both"/>
              <w:rPr>
                <w:rFonts w:hint="eastAsia" w:ascii="宋体" w:hAnsi="宋体" w:eastAsia="宋体" w:cs="宋体"/>
              </w:rPr>
            </w:pPr>
          </w:p>
        </w:tc>
        <w:tc>
          <w:tcPr>
            <w:tcW w:w="1761" w:type="dxa"/>
            <w:gridSpan w:val="3"/>
            <w:vAlign w:val="center"/>
          </w:tcPr>
          <w:p>
            <w:pPr>
              <w:pStyle w:val="47"/>
              <w:spacing w:line="400" w:lineRule="exact"/>
              <w:ind w:left="0" w:leftChars="0" w:firstLine="480" w:firstLineChars="200"/>
              <w:jc w:val="both"/>
              <w:rPr>
                <w:rFonts w:hint="eastAsia" w:ascii="宋体" w:hAnsi="宋体" w:eastAsia="宋体" w:cs="宋体"/>
              </w:rPr>
            </w:pPr>
          </w:p>
        </w:tc>
        <w:tc>
          <w:tcPr>
            <w:tcW w:w="1132" w:type="dxa"/>
            <w:vAlign w:val="center"/>
          </w:tcPr>
          <w:p>
            <w:pPr>
              <w:pStyle w:val="47"/>
              <w:spacing w:line="400" w:lineRule="exact"/>
              <w:ind w:left="0" w:leftChars="0" w:firstLine="480" w:firstLineChars="200"/>
              <w:jc w:val="both"/>
              <w:rPr>
                <w:rFonts w:hint="eastAsia" w:ascii="宋体" w:hAnsi="宋体" w:eastAsia="宋体" w:cs="宋体"/>
              </w:rPr>
            </w:pPr>
          </w:p>
        </w:tc>
      </w:tr>
    </w:tbl>
    <w:p>
      <w:pPr>
        <w:pStyle w:val="48"/>
        <w:tabs>
          <w:tab w:val="left" w:pos="2040"/>
        </w:tabs>
        <w:spacing w:beforeLines="0" w:line="400" w:lineRule="exact"/>
        <w:ind w:left="0" w:firstLine="480" w:firstLineChars="200"/>
        <w:rPr>
          <w:rFonts w:hint="eastAsia" w:ascii="宋体" w:hAnsi="宋体" w:eastAsia="宋体" w:cs="宋体"/>
          <w:color w:val="auto"/>
          <w:szCs w:val="21"/>
        </w:rPr>
      </w:pPr>
    </w:p>
    <w:p>
      <w:pPr>
        <w:pStyle w:val="48"/>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rPr>
        <w:t>注：</w:t>
      </w:r>
      <w:r>
        <w:rPr>
          <w:rFonts w:hint="eastAsia" w:ascii="宋体" w:hAnsi="宋体" w:eastAsia="宋体" w:cs="宋体"/>
          <w:color w:val="auto"/>
        </w:rPr>
        <w:t>表后附身份证、毕业证、职称证、执业资格证、获奖证书（如果有）复印件。</w:t>
      </w:r>
    </w:p>
    <w:p>
      <w:pPr>
        <w:rPr>
          <w:rFonts w:hint="eastAsia" w:ascii="宋体" w:hAnsi="宋体" w:eastAsia="宋体" w:cs="宋体"/>
          <w:color w:val="auto"/>
          <w:highlight w:val="none"/>
        </w:rPr>
      </w:pPr>
    </w:p>
    <w:p>
      <w:pPr>
        <w:pStyle w:val="4"/>
        <w:keepNext w:val="0"/>
        <w:keepLines w:val="0"/>
        <w:widowControl w:val="0"/>
        <w:spacing w:before="168" w:beforeLines="50" w:after="0" w:line="360" w:lineRule="auto"/>
        <w:ind w:left="0"/>
        <w:jc w:val="center"/>
        <w:rPr>
          <w:rFonts w:hint="eastAsia" w:ascii="宋体" w:hAnsi="宋体" w:eastAsia="宋体" w:cs="宋体"/>
          <w:b/>
          <w:bCs w:val="0"/>
          <w:sz w:val="32"/>
        </w:rPr>
      </w:pPr>
      <w:r>
        <w:rPr>
          <w:rFonts w:hint="eastAsia" w:ascii="宋体" w:hAnsi="宋体" w:eastAsia="宋体" w:cs="宋体"/>
          <w:color w:val="auto"/>
          <w:sz w:val="32"/>
          <w:highlight w:val="none"/>
        </w:rPr>
        <w:br w:type="page"/>
      </w:r>
      <w:r>
        <w:rPr>
          <w:rFonts w:hint="eastAsia" w:ascii="宋体" w:hAnsi="宋体" w:eastAsia="宋体" w:cs="宋体"/>
          <w:b/>
          <w:bCs w:val="0"/>
          <w:sz w:val="32"/>
        </w:rPr>
        <w:t>四、商务条款偏离表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22"/>
        <w:gridCol w:w="2400"/>
        <w:gridCol w:w="2461"/>
        <w:gridCol w:w="75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pPr>
        <w:pStyle w:val="20"/>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20"/>
        <w:widowControl w:val="0"/>
        <w:numPr>
          <w:ilvl w:val="0"/>
          <w:numId w:val="11"/>
        </w:numPr>
        <w:spacing w:before="0" w:beforeAutospacing="0" w:after="0" w:afterAutospacing="0" w:line="500" w:lineRule="exact"/>
        <w:ind w:firstLine="480" w:firstLineChars="200"/>
        <w:jc w:val="both"/>
        <w:rPr>
          <w:rFonts w:hint="eastAsia" w:ascii="宋体" w:hAnsi="宋体" w:eastAsia="宋体" w:cs="宋体"/>
          <w:b/>
          <w:bCs/>
          <w:color w:val="auto"/>
          <w:highlight w:val="none"/>
        </w:rPr>
      </w:pPr>
      <w:r>
        <w:rPr>
          <w:rFonts w:hint="eastAsia" w:ascii="宋体" w:hAnsi="宋体" w:cs="宋体"/>
          <w:highlight w:val="none"/>
        </w:rPr>
        <w:t>本表应严格按照“第</w:t>
      </w:r>
      <w:r>
        <w:rPr>
          <w:rFonts w:hint="eastAsia" w:ascii="宋体" w:hAnsi="宋体" w:cs="宋体"/>
          <w:highlight w:val="none"/>
          <w:lang w:eastAsia="zh-CN"/>
        </w:rPr>
        <w:t>四</w:t>
      </w:r>
      <w:r>
        <w:rPr>
          <w:rFonts w:hint="eastAsia" w:ascii="宋体" w:hAnsi="宋体" w:cs="宋体"/>
          <w:highlight w:val="none"/>
        </w:rPr>
        <w:t>章</w:t>
      </w:r>
      <w:r>
        <w:rPr>
          <w:rFonts w:hint="eastAsia" w:ascii="宋体" w:hAnsi="宋体" w:cs="宋体"/>
          <w:highlight w:val="none"/>
          <w:lang w:val="en-US" w:eastAsia="zh-CN"/>
        </w:rPr>
        <w:t xml:space="preserve">  </w:t>
      </w:r>
      <w:r>
        <w:rPr>
          <w:rFonts w:hint="eastAsia" w:ascii="宋体" w:hAnsi="宋体" w:cs="宋体"/>
          <w:highlight w:val="none"/>
        </w:rPr>
        <w:t>采购内容及技术要求”中所包含的商务条款填写“商务偏离表”，偏离及其影响填写优于或相同。</w:t>
      </w:r>
    </w:p>
    <w:p>
      <w:pPr>
        <w:pStyle w:val="20"/>
        <w:widowControl w:val="0"/>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pPr>
        <w:spacing w:line="400" w:lineRule="exact"/>
        <w:ind w:firstLine="480" w:firstLineChars="200"/>
        <w:rPr>
          <w:rFonts w:hint="eastAsia" w:ascii="宋体" w:hAnsi="宋体" w:eastAsia="宋体" w:cs="宋体"/>
          <w:szCs w:val="21"/>
          <w:highlight w:val="none"/>
          <w:lang w:val="en-US" w:eastAsia="zh-CN"/>
        </w:rPr>
      </w:pPr>
      <w:r>
        <w:rPr>
          <w:rFonts w:hint="eastAsia" w:cs="宋体"/>
          <w:color w:val="auto"/>
          <w:highlight w:val="none"/>
          <w:lang w:val="en-US" w:eastAsia="zh-CN"/>
        </w:rPr>
        <w:t>3.</w:t>
      </w:r>
      <w:r>
        <w:rPr>
          <w:rFonts w:hint="eastAsia" w:ascii="宋体" w:hAnsi="宋体" w:eastAsia="宋体" w:cs="宋体"/>
          <w:szCs w:val="21"/>
          <w:highlight w:val="none"/>
          <w:lang w:val="en-US" w:eastAsia="zh-CN"/>
        </w:rPr>
        <w:t>商务偏离表不允许负偏离，所有负偏离均视为重大负偏离</w:t>
      </w:r>
    </w:p>
    <w:p>
      <w:pPr>
        <w:pStyle w:val="20"/>
        <w:widowControl w:val="0"/>
        <w:spacing w:before="0" w:beforeAutospacing="0" w:after="0" w:afterAutospacing="0" w:line="500" w:lineRule="exact"/>
        <w:ind w:firstLine="480" w:firstLineChars="200"/>
        <w:rPr>
          <w:rFonts w:hint="default" w:ascii="宋体" w:hAnsi="宋体" w:eastAsia="宋体" w:cs="宋体"/>
          <w:color w:val="auto"/>
          <w:highlight w:val="yellow"/>
          <w:lang w:val="en-US" w:eastAsia="zh-CN"/>
        </w:rPr>
      </w:pPr>
    </w:p>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p>
      <w:pPr>
        <w:pStyle w:val="20"/>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pStyle w:val="20"/>
        <w:widowControl w:val="0"/>
        <w:spacing w:before="0" w:beforeAutospacing="0" w:after="0" w:afterAutospacing="0"/>
        <w:ind w:firstLine="480" w:firstLineChars="200"/>
        <w:jc w:val="center"/>
        <w:rPr>
          <w:rFonts w:hint="eastAsia" w:ascii="宋体" w:hAnsi="宋体" w:eastAsia="宋体" w:cs="宋体"/>
          <w:color w:val="auto"/>
          <w:highlight w:val="none"/>
        </w:rPr>
      </w:pPr>
    </w:p>
    <w:p>
      <w:pP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pPr>
        <w:pStyle w:val="20"/>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pPr>
        <w:widowControl/>
        <w:numPr>
          <w:ilvl w:val="0"/>
          <w:numId w:val="0"/>
        </w:numPr>
        <w:spacing w:line="408" w:lineRule="auto"/>
        <w:jc w:val="center"/>
        <w:rPr>
          <w:rFonts w:hint="eastAsia" w:ascii="宋体" w:hAnsi="宋体" w:eastAsia="宋体" w:cs="宋体"/>
          <w:b/>
          <w:bCs w:val="0"/>
          <w:sz w:val="32"/>
          <w:szCs w:val="32"/>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sz w:val="32"/>
          <w:szCs w:val="32"/>
          <w:lang w:val="en-US" w:eastAsia="zh-CN" w:bidi="ar-SA"/>
        </w:rPr>
        <w:t>五、供应商拒绝政府采购领域商业贿赂承诺书</w:t>
      </w:r>
    </w:p>
    <w:p>
      <w:pPr>
        <w:widowControl/>
        <w:numPr>
          <w:ilvl w:val="0"/>
          <w:numId w:val="0"/>
        </w:numP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5.不采取不正当手段诋毁、排挤其他供应商。</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7.不与采购人、采购代理机构政府采购评审专家或其它供应商恶意串通，进行质疑和投诉，维护政府采购市场秩序。</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hAnsi="宋体" w:cs="宋体"/>
          <w:color w:val="auto"/>
          <w:szCs w:val="24"/>
          <w:highlight w:val="none"/>
          <w:lang w:val="en-US" w:eastAsia="zh-CN"/>
        </w:rPr>
        <w:t>或盖章</w:t>
      </w:r>
      <w:bookmarkStart w:id="59" w:name="_GoBack"/>
      <w:bookmarkEnd w:id="59"/>
      <w:r>
        <w:rPr>
          <w:rFonts w:hint="eastAsia" w:ascii="宋体" w:hAnsi="宋体" w:eastAsia="宋体" w:cs="宋体"/>
          <w:color w:val="auto"/>
          <w:highlight w:val="none"/>
        </w:rPr>
        <w:t>）</w:t>
      </w:r>
    </w:p>
    <w:p>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pPr>
        <w:widowControl/>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pPr>
        <w:widowControl/>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pPr>
        <w:widowControl/>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pPr>
        <w:spacing w:line="500" w:lineRule="exact"/>
        <w:jc w:val="both"/>
        <w:rPr>
          <w:rFonts w:hint="eastAsia" w:ascii="宋体" w:hAnsi="宋体" w:eastAsia="宋体" w:cs="宋体"/>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1.提供合格有效的法人或者其他组织的营业执照等证明文件，自然人的身份证明；</w:t>
      </w:r>
    </w:p>
    <w:p>
      <w:pP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是法人或其他组织的应提供营业执照等证明文件，</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是自然人的应提供有效的自然人身份证明；</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2.供应商应提供基本资格条件承诺函（格式见附件）。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pP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单位负责人为同一人或者存在控股、管理关系的不同单位不得同时投标（提供供应商企业关系关联承诺书）（格式见附件）；</w:t>
      </w:r>
    </w:p>
    <w:p>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spacing w:line="480" w:lineRule="auto"/>
        <w:jc w:val="left"/>
        <w:rPr>
          <w:rFonts w:hint="eastAsia" w:hAnsi="宋体" w:cs="宋体"/>
          <w:b/>
          <w:bCs/>
          <w:sz w:val="30"/>
          <w:szCs w:val="30"/>
          <w:lang w:val="en-US" w:eastAsia="zh-CN"/>
        </w:rPr>
      </w:pPr>
      <w:r>
        <w:rPr>
          <w:rFonts w:hint="eastAsia" w:hAnsi="宋体" w:cs="宋体"/>
          <w:b/>
          <w:bCs/>
          <w:sz w:val="30"/>
          <w:szCs w:val="30"/>
          <w:lang w:val="en-US" w:eastAsia="zh-CN"/>
        </w:rPr>
        <w:t>附件1：</w:t>
      </w:r>
    </w:p>
    <w:tbl>
      <w:tblPr>
        <w:tblStyle w:val="25"/>
        <w:tblpPr w:leftFromText="180" w:rightFromText="180" w:vertAnchor="page" w:horzAnchor="page" w:tblpX="1475" w:tblpY="27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供应商名称</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注册地址</w:t>
            </w:r>
          </w:p>
        </w:tc>
        <w:tc>
          <w:tcPr>
            <w:tcW w:w="3432" w:type="dxa"/>
            <w:gridSpan w:val="3"/>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邮政编码</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联系方式</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联系人</w:t>
            </w:r>
          </w:p>
        </w:tc>
        <w:tc>
          <w:tcPr>
            <w:tcW w:w="2494"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传真</w:t>
            </w:r>
          </w:p>
        </w:tc>
        <w:tc>
          <w:tcPr>
            <w:tcW w:w="2494"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网址</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单位性质</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法定代表人</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1047"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1432"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261"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1167" w:type="dxa"/>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技术负责人</w:t>
            </w:r>
          </w:p>
        </w:tc>
        <w:tc>
          <w:tcPr>
            <w:tcW w:w="938"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1047"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1432" w:type="dxa"/>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261"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1167" w:type="dxa"/>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企业资质等级</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p>
        </w:tc>
        <w:tc>
          <w:tcPr>
            <w:tcW w:w="1447"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bCs/>
                <w:kern w:val="0"/>
                <w:szCs w:val="21"/>
                <w:highlight w:val="none"/>
              </w:rPr>
            </w:pPr>
            <w:r>
              <w:rPr>
                <w:rFonts w:hint="eastAsia" w:ascii="宋体" w:hAnsi="宋体" w:cs="宋体"/>
                <w:kern w:val="0"/>
                <w:szCs w:val="21"/>
                <w:highlight w:val="none"/>
              </w:rPr>
              <w:t>成立时间</w:t>
            </w:r>
          </w:p>
        </w:tc>
        <w:tc>
          <w:tcPr>
            <w:tcW w:w="3860" w:type="dxa"/>
            <w:gridSpan w:val="3"/>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注册资金</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447" w:type="dxa"/>
            <w:vMerge w:val="restart"/>
            <w:noWrap w:val="0"/>
            <w:vAlign w:val="center"/>
          </w:tcPr>
          <w:p>
            <w:pPr>
              <w:widowControl/>
              <w:shd w:val="clear" w:color="auto" w:fill="auto"/>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固定资产</w:t>
            </w: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原值</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流动资金</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447"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净值</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开户银行</w:t>
            </w:r>
          </w:p>
        </w:tc>
        <w:tc>
          <w:tcPr>
            <w:tcW w:w="1985"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c>
          <w:tcPr>
            <w:tcW w:w="1447" w:type="dxa"/>
            <w:vMerge w:val="restart"/>
            <w:noWrap w:val="0"/>
            <w:vAlign w:val="center"/>
          </w:tcPr>
          <w:p>
            <w:pPr>
              <w:widowControl/>
              <w:shd w:val="clear" w:color="auto" w:fill="auto"/>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职工总数  XX人</w:t>
            </w: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生产工人</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账号</w:t>
            </w:r>
          </w:p>
        </w:tc>
        <w:tc>
          <w:tcPr>
            <w:tcW w:w="1985" w:type="dxa"/>
            <w:gridSpan w:val="2"/>
            <w:noWrap w:val="0"/>
            <w:vAlign w:val="center"/>
          </w:tcPr>
          <w:p>
            <w:pPr>
              <w:shd w:val="clear" w:color="auto" w:fill="auto"/>
              <w:autoSpaceDE w:val="0"/>
              <w:autoSpaceDN w:val="0"/>
              <w:adjustRightInd w:val="0"/>
              <w:spacing w:line="240" w:lineRule="auto"/>
              <w:ind w:firstLine="228" w:firstLineChars="95"/>
              <w:jc w:val="center"/>
              <w:rPr>
                <w:rFonts w:hint="eastAsia" w:ascii="宋体" w:hAnsi="宋体" w:cs="宋体"/>
                <w:kern w:val="0"/>
                <w:szCs w:val="21"/>
                <w:highlight w:val="none"/>
              </w:rPr>
            </w:pPr>
            <w:r>
              <w:rPr>
                <w:rFonts w:hint="eastAsia" w:ascii="宋体" w:hAnsi="宋体" w:cs="宋体"/>
                <w:kern w:val="0"/>
                <w:szCs w:val="21"/>
                <w:highlight w:val="none"/>
              </w:rPr>
              <w:t>基本银行账号</w:t>
            </w:r>
          </w:p>
        </w:tc>
        <w:tc>
          <w:tcPr>
            <w:tcW w:w="1447" w:type="dxa"/>
            <w:vMerge w:val="continue"/>
            <w:noWrap w:val="0"/>
            <w:vAlign w:val="center"/>
          </w:tcPr>
          <w:p>
            <w:pPr>
              <w:widowControl/>
              <w:shd w:val="clear" w:color="auto" w:fill="auto"/>
              <w:spacing w:line="240" w:lineRule="auto"/>
              <w:ind w:firstLine="420"/>
              <w:jc w:val="center"/>
              <w:rPr>
                <w:rFonts w:hint="eastAsia" w:ascii="宋体" w:hAnsi="宋体" w:cs="宋体"/>
                <w:kern w:val="0"/>
                <w:szCs w:val="21"/>
                <w:highlight w:val="none"/>
              </w:rPr>
            </w:pPr>
          </w:p>
        </w:tc>
        <w:tc>
          <w:tcPr>
            <w:tcW w:w="1432"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技术人员</w:t>
            </w:r>
          </w:p>
        </w:tc>
        <w:tc>
          <w:tcPr>
            <w:tcW w:w="2428" w:type="dxa"/>
            <w:gridSpan w:val="2"/>
            <w:noWrap w:val="0"/>
            <w:vAlign w:val="center"/>
          </w:tcPr>
          <w:p>
            <w:pPr>
              <w:shd w:val="clear" w:color="auto" w:fill="auto"/>
              <w:autoSpaceDE w:val="0"/>
              <w:autoSpaceDN w:val="0"/>
              <w:adjustRightInd w:val="0"/>
              <w:spacing w:line="240" w:lineRule="auto"/>
              <w:ind w:firstLine="420"/>
              <w:jc w:val="center"/>
              <w:rPr>
                <w:rFonts w:hint="eastAsia" w:ascii="宋体" w:hAnsi="宋体" w:cs="宋体"/>
                <w:bCs/>
                <w:kern w:val="0"/>
                <w:szCs w:val="21"/>
                <w:highlight w:val="none"/>
              </w:rPr>
            </w:pPr>
            <w:r>
              <w:rPr>
                <w:rFonts w:hint="eastAsia" w:ascii="宋体" w:hAnsi="宋体" w:cs="宋体"/>
                <w:bCs/>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经营范围</w:t>
            </w:r>
          </w:p>
        </w:tc>
        <w:tc>
          <w:tcPr>
            <w:tcW w:w="7292" w:type="dxa"/>
            <w:gridSpan w:val="6"/>
            <w:noWrap w:val="0"/>
            <w:vAlign w:val="center"/>
          </w:tcPr>
          <w:p>
            <w:pPr>
              <w:shd w:val="clear" w:color="auto" w:fill="auto"/>
              <w:autoSpaceDE w:val="0"/>
              <w:autoSpaceDN w:val="0"/>
              <w:adjustRightInd w:val="0"/>
              <w:spacing w:line="240" w:lineRule="auto"/>
              <w:ind w:firstLine="422"/>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pPr>
              <w:shd w:val="clear" w:color="auto" w:fill="auto"/>
              <w:autoSpaceDE w:val="0"/>
              <w:autoSpaceDN w:val="0"/>
              <w:adjustRightInd w:val="0"/>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备注</w:t>
            </w:r>
          </w:p>
        </w:tc>
        <w:tc>
          <w:tcPr>
            <w:tcW w:w="7292" w:type="dxa"/>
            <w:gridSpan w:val="6"/>
            <w:noWrap w:val="0"/>
            <w:vAlign w:val="center"/>
          </w:tcPr>
          <w:p>
            <w:pPr>
              <w:shd w:val="clear" w:color="auto" w:fill="auto"/>
              <w:autoSpaceDE w:val="0"/>
              <w:autoSpaceDN w:val="0"/>
              <w:adjustRightInd w:val="0"/>
              <w:spacing w:line="240" w:lineRule="auto"/>
              <w:ind w:firstLine="420"/>
              <w:jc w:val="center"/>
              <w:rPr>
                <w:rFonts w:hint="eastAsia" w:ascii="宋体" w:hAnsi="宋体" w:cs="宋体"/>
                <w:kern w:val="0"/>
                <w:szCs w:val="21"/>
                <w:highlight w:val="none"/>
              </w:rPr>
            </w:pPr>
          </w:p>
        </w:tc>
      </w:tr>
    </w:tbl>
    <w:p>
      <w:pPr>
        <w:spacing w:line="48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供应商基本情况表</w:t>
      </w:r>
    </w:p>
    <w:p>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u w:val="single"/>
          <w:lang w:eastAsia="zh-CN"/>
        </w:rPr>
        <w:t xml:space="preserve">        （盖章）</w:t>
      </w:r>
    </w:p>
    <w:p>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pPr>
        <w:shd w:val="clear" w:color="auto" w:fill="auto"/>
        <w:adjustRightInd w:val="0"/>
        <w:snapToGrid w:val="0"/>
        <w:spacing w:line="520" w:lineRule="exact"/>
        <w:jc w:val="left"/>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供应商为合法注册的法人或其他组织或自然人，提供营业执照（或事业法人证）,自然人的身份证明</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说明：</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（1）企业单位参加投标提供有效的营业执照（3证合1或多证合1）；</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（2）事业单位参加投标提供有效的法人证书（带有社会统一信用代码）；</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（3）其他组织参加投标提供有效的登记证书（带有社会统一信用代码）；</w:t>
      </w:r>
    </w:p>
    <w:p>
      <w:pPr>
        <w:shd w:val="clear" w:color="auto" w:fill="auto"/>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（4）自然人参加投标提供有效的身份证复印件；</w:t>
      </w:r>
    </w:p>
    <w:p>
      <w:pPr>
        <w:shd w:val="clear" w:color="auto" w:fill="auto"/>
        <w:adjustRightInd w:val="0"/>
        <w:snapToGrid w:val="0"/>
        <w:spacing w:line="520" w:lineRule="exact"/>
        <w:jc w:val="left"/>
        <w:rPr>
          <w:rFonts w:hint="eastAsia"/>
          <w:highlight w:val="none"/>
        </w:rPr>
      </w:pPr>
      <w:r>
        <w:rPr>
          <w:rFonts w:hint="eastAsia" w:ascii="宋体" w:hAnsi="宋体" w:eastAsia="宋体" w:cs="宋体"/>
          <w:b w:val="0"/>
          <w:bCs/>
          <w:sz w:val="24"/>
          <w:szCs w:val="24"/>
          <w:highlight w:val="none"/>
          <w:lang w:val="zh-CN"/>
        </w:rPr>
        <w:t>（5）（1）-（3）为副本复印件，须加盖供应商单位章。</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pPr>
        <w:spacing w:line="480" w:lineRule="auto"/>
        <w:jc w:val="center"/>
        <w:rPr>
          <w:rFonts w:hint="eastAsia" w:ascii="宋体" w:hAnsi="宋体" w:eastAsia="宋体" w:cs="宋体"/>
          <w:b/>
          <w:bCs/>
          <w:sz w:val="30"/>
          <w:szCs w:val="30"/>
        </w:rPr>
      </w:pPr>
      <w:r>
        <w:rPr>
          <w:rFonts w:hint="eastAsia" w:ascii="宋体" w:hAnsi="宋体" w:cs="宋体"/>
          <w:b/>
          <w:bCs/>
          <w:sz w:val="32"/>
          <w:szCs w:val="32"/>
          <w:lang w:val="en-US" w:eastAsia="zh-CN"/>
        </w:rPr>
        <w:t xml:space="preserve"> </w:t>
      </w:r>
      <w:r>
        <w:rPr>
          <w:rFonts w:hint="eastAsia" w:ascii="宋体" w:hAnsi="宋体" w:eastAsia="宋体" w:cs="宋体"/>
          <w:b/>
          <w:bCs/>
          <w:sz w:val="30"/>
          <w:szCs w:val="30"/>
        </w:rPr>
        <w:t>法定代表人身份证明书</w:t>
      </w:r>
    </w:p>
    <w:p>
      <w:pPr>
        <w:pStyle w:val="2"/>
        <w:spacing w:line="480" w:lineRule="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4"/>
          <w:szCs w:val="24"/>
          <w:u w:val="single"/>
          <w:lang w:val="en-US" w:eastAsia="zh-CN"/>
        </w:rPr>
      </w:pPr>
      <w:r>
        <w:rPr>
          <w:rFonts w:hint="eastAsia" w:ascii="宋体" w:hAnsi="宋体" w:eastAsia="宋体" w:cs="宋体"/>
          <w:sz w:val="24"/>
          <w:szCs w:val="24"/>
          <w:lang w:eastAsia="zh-CN"/>
        </w:rPr>
        <w:t>供应商名称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性别：</w:t>
      </w:r>
      <w:r>
        <w:rPr>
          <w:rFonts w:hint="eastAsia" w:ascii="宋体" w:hAnsi="宋体" w:eastAsia="宋体" w:cs="宋体"/>
          <w:i w:val="0"/>
          <w:iCs w:val="0"/>
          <w:sz w:val="24"/>
          <w:szCs w:val="24"/>
          <w:u w:val="single"/>
          <w:lang w:val="en-US" w:eastAsia="zh-CN"/>
        </w:rPr>
        <w:t xml:space="preserve">      </w:t>
      </w:r>
      <w:r>
        <w:rPr>
          <w:rFonts w:hint="eastAsia" w:ascii="宋体" w:hAnsi="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职务：</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供应商</w:t>
      </w:r>
      <w:r>
        <w:rPr>
          <w:rFonts w:hint="eastAsia" w:ascii="宋体" w:hAnsi="宋体" w:eastAsia="宋体" w:cs="宋体"/>
          <w:sz w:val="24"/>
          <w:szCs w:val="24"/>
          <w:u w:val="none"/>
        </w:rPr>
        <w:t>名称）</w:t>
      </w:r>
      <w:r>
        <w:rPr>
          <w:rFonts w:hint="eastAsia" w:ascii="宋体" w:hAnsi="宋体" w:eastAsia="宋体" w:cs="宋体"/>
          <w:sz w:val="24"/>
          <w:szCs w:val="24"/>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法定代表人身份证复印件</w:t>
      </w:r>
    </w:p>
    <w:tbl>
      <w:tblPr>
        <w:tblStyle w:val="2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c>
          <w:tcPr>
            <w:tcW w:w="4300"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r>
    </w:tbl>
    <w:p>
      <w:pPr>
        <w:spacing w:line="360" w:lineRule="auto"/>
        <w:rPr>
          <w:rFonts w:hint="eastAsia" w:ascii="宋体" w:hAnsi="宋体" w:eastAsia="宋体" w:cs="宋体"/>
          <w:sz w:val="24"/>
          <w:szCs w:val="24"/>
        </w:rPr>
      </w:pPr>
    </w:p>
    <w:p>
      <w:pPr>
        <w:spacing w:line="360" w:lineRule="auto"/>
        <w:ind w:firstLine="3600" w:firstLineChars="150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（全称并盖公章）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pPr>
        <w:pStyle w:val="14"/>
        <w:spacing w:line="600" w:lineRule="auto"/>
        <w:jc w:val="center"/>
        <w:rPr>
          <w:rFonts w:hint="eastAsia" w:ascii="宋体" w:hAnsi="宋体" w:eastAsia="宋体" w:cs="宋体"/>
          <w:b/>
          <w:bCs/>
          <w:color w:val="000000"/>
          <w:kern w:val="2"/>
          <w:sz w:val="30"/>
          <w:szCs w:val="30"/>
          <w:lang w:val="en-US" w:eastAsia="zh-CN" w:bidi="ar-SA"/>
        </w:rPr>
      </w:pPr>
      <w:r>
        <w:rPr>
          <w:rFonts w:hint="eastAsia" w:hAnsi="宋体" w:cs="宋体"/>
          <w:b/>
          <w:bCs/>
          <w:sz w:val="28"/>
          <w:szCs w:val="28"/>
          <w:lang w:val="en-US" w:eastAsia="zh-CN"/>
        </w:rPr>
        <w:t xml:space="preserve">  </w:t>
      </w:r>
      <w:r>
        <w:rPr>
          <w:rFonts w:hint="eastAsia" w:ascii="宋体" w:hAnsi="宋体" w:eastAsia="宋体" w:cs="宋体"/>
          <w:b/>
          <w:bCs/>
          <w:color w:val="000000"/>
          <w:kern w:val="2"/>
          <w:sz w:val="30"/>
          <w:szCs w:val="30"/>
          <w:lang w:val="en-US" w:eastAsia="zh-CN" w:bidi="ar-SA"/>
        </w:rPr>
        <w:t>法定代表人授权委托书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 xml:space="preserve">本人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 xml:space="preserve"> （姓名）</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（供应商名称）</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zh-CN"/>
        </w:rPr>
        <w:t>（被委托人姓名）</w:t>
      </w:r>
      <w:r>
        <w:rPr>
          <w:rFonts w:hint="eastAsia" w:ascii="宋体" w:hAnsi="宋体" w:eastAsia="宋体" w:cs="宋体"/>
          <w:sz w:val="24"/>
          <w:szCs w:val="24"/>
          <w:lang w:val="zh-CN"/>
        </w:rPr>
        <w:t>为我方被授权人。被授权人根据授权，以我方的名义签署、澄清确认、递交、撤回、修改</w:t>
      </w:r>
      <w:r>
        <w:rPr>
          <w:rFonts w:hint="eastAsia" w:ascii="宋体" w:hAnsi="宋体" w:eastAsia="宋体" w:cs="宋体"/>
          <w:sz w:val="24"/>
          <w:szCs w:val="24"/>
          <w:u w:val="single"/>
          <w:lang w:val="zh-CN"/>
        </w:rPr>
        <w:t xml:space="preserve">  （项目</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cs="宋体"/>
          <w:sz w:val="24"/>
          <w:szCs w:val="24"/>
          <w:u w:val="none"/>
          <w:lang w:val="en-US" w:eastAsia="zh-CN"/>
        </w:rPr>
        <w:t>的投标文件</w:t>
      </w:r>
      <w:r>
        <w:rPr>
          <w:rFonts w:hint="eastAsia" w:ascii="宋体" w:hAnsi="宋体" w:eastAsia="宋体" w:cs="宋体"/>
          <w:sz w:val="24"/>
          <w:szCs w:val="24"/>
          <w:lang w:val="zh-CN"/>
        </w:rPr>
        <w:t>、签订合同和全权处理一切与之有关的事宜，</w:t>
      </w:r>
      <w:r>
        <w:rPr>
          <w:rFonts w:hint="eastAsia" w:ascii="宋体" w:hAnsi="宋体" w:eastAsia="宋体" w:cs="宋体"/>
          <w:sz w:val="24"/>
          <w:szCs w:val="24"/>
        </w:rPr>
        <w:t>其法律后果由我方承担。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委托期限：本授权委托书有效期自开标之日起90天</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代理人无转委托书。</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附：</w:t>
      </w:r>
      <w:r>
        <w:rPr>
          <w:rFonts w:hint="eastAsia" w:ascii="宋体" w:hAnsi="宋体" w:eastAsia="宋体" w:cs="宋体"/>
          <w:sz w:val="24"/>
          <w:szCs w:val="24"/>
          <w:lang w:val="zh-CN"/>
        </w:rPr>
        <w:t>法定代表人（单位负责人）身份证复印件</w:t>
      </w:r>
      <w:r>
        <w:rPr>
          <w:rFonts w:hint="eastAsia" w:ascii="宋体" w:hAnsi="宋体" w:eastAsia="宋体" w:cs="宋体"/>
          <w:sz w:val="24"/>
          <w:szCs w:val="24"/>
        </w:rPr>
        <w:t>、被授权人</w:t>
      </w:r>
      <w:r>
        <w:rPr>
          <w:rFonts w:hint="eastAsia" w:ascii="宋体" w:hAnsi="宋体" w:eastAsia="宋体" w:cs="宋体"/>
          <w:sz w:val="24"/>
          <w:szCs w:val="24"/>
          <w:lang w:val="zh-CN"/>
        </w:rPr>
        <w:t>身份证复印件。</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c>
          <w:tcPr>
            <w:tcW w:w="4441"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正面</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c>
          <w:tcPr>
            <w:tcW w:w="4441" w:type="dxa"/>
            <w:shd w:val="clear" w:color="auto" w:fill="E0E0E0"/>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反面</w:t>
            </w:r>
            <w:r>
              <w:rPr>
                <w:rFonts w:hint="eastAsia" w:ascii="宋体" w:hAnsi="宋体" w:eastAsia="宋体" w:cs="宋体"/>
                <w:sz w:val="24"/>
                <w:szCs w:val="24"/>
                <w:lang w:eastAsia="zh-CN"/>
              </w:rPr>
              <w:t>）</w:t>
            </w:r>
          </w:p>
        </w:tc>
      </w:tr>
    </w:tbl>
    <w:p>
      <w:pPr>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zh-CN"/>
        </w:rPr>
        <w:t>（单位负责人）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身 份 证 号：</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被授权人：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身 份 证 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topLinePunct/>
        <w:spacing w:line="440" w:lineRule="exact"/>
        <w:jc w:val="both"/>
        <w:rPr>
          <w:rFonts w:hint="eastAsia" w:ascii="宋体" w:hAnsi="宋体" w:eastAsia="宋体" w:cs="宋体"/>
          <w:b/>
          <w:bCs/>
          <w:sz w:val="24"/>
          <w:szCs w:val="24"/>
          <w:lang w:val="en-US" w:eastAsia="zh-CN"/>
        </w:rPr>
      </w:pPr>
      <w:r>
        <w:rPr>
          <w:rFonts w:hint="eastAsia" w:ascii="宋体" w:hAnsi="宋体" w:eastAsia="宋体" w:cs="宋体"/>
          <w:sz w:val="24"/>
          <w:szCs w:val="24"/>
          <w:lang w:val="zh-CN"/>
        </w:rPr>
        <w:t>说明：本授权委托书仅限被授权人参加投标时提供。</w:t>
      </w:r>
      <w:r>
        <w:rPr>
          <w:rFonts w:hint="eastAsia" w:ascii="宋体" w:hAnsi="宋体" w:eastAsia="宋体" w:cs="宋体"/>
          <w:b/>
          <w:bCs/>
          <w:sz w:val="24"/>
          <w:szCs w:val="24"/>
          <w:lang w:val="en-US" w:eastAsia="zh-CN"/>
        </w:rPr>
        <w:t xml:space="preserve"> </w:t>
      </w:r>
    </w:p>
    <w:p>
      <w:pPr>
        <w:rPr>
          <w:rFonts w:hint="eastAsia" w:ascii="宋体" w:hAnsi="宋体" w:eastAsia="宋体" w:cs="宋体"/>
          <w:b/>
          <w:color w:val="auto"/>
          <w:sz w:val="28"/>
          <w:szCs w:val="28"/>
          <w:highlight w:val="none"/>
        </w:rPr>
      </w:pP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pPr>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基本资格条件承诺函</w:t>
      </w:r>
    </w:p>
    <w:p>
      <w:pPr>
        <w:rPr>
          <w:rFonts w:hint="eastAsia" w:ascii="宋体" w:hAnsi="宋体" w:eastAsia="宋体" w:cs="宋体"/>
          <w:color w:val="auto"/>
          <w:szCs w:val="24"/>
          <w:highlight w:val="none"/>
        </w:rPr>
      </w:pPr>
    </w:p>
    <w:p>
      <w:pP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pP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名称)郑重承诺:</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w:t>
      </w:r>
      <w:r>
        <w:rPr>
          <w:rFonts w:hint="eastAsia" w:hAnsi="宋体" w:cs="宋体"/>
          <w:color w:val="auto"/>
          <w:szCs w:val="24"/>
          <w:highlight w:val="none"/>
          <w:lang w:eastAsia="zh-CN"/>
        </w:rPr>
        <w:t>供应商</w:t>
      </w:r>
      <w:r>
        <w:rPr>
          <w:rFonts w:hint="eastAsia" w:ascii="宋体" w:hAnsi="宋体" w:eastAsia="宋体" w:cs="宋体"/>
          <w:color w:val="auto"/>
          <w:szCs w:val="24"/>
          <w:highlight w:val="none"/>
        </w:rPr>
        <w:t>基本资格条件。</w:t>
      </w:r>
    </w:p>
    <w:p>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pP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pStyle w:val="11"/>
        <w:rPr>
          <w:rFonts w:hint="eastAsia" w:ascii="宋体" w:hAnsi="宋体" w:eastAsia="宋体" w:cs="宋体"/>
          <w:color w:val="auto"/>
          <w:spacing w:val="4"/>
          <w:sz w:val="24"/>
          <w:szCs w:val="24"/>
          <w:highlight w:val="none"/>
        </w:rPr>
      </w:pPr>
    </w:p>
    <w:p>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pPr>
        <w:pStyle w:val="4"/>
        <w:keepNext w:val="0"/>
        <w:keepLines w:val="0"/>
        <w:widowControl w:val="0"/>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pPr>
        <w:pStyle w:val="4"/>
        <w:keepNext w:val="0"/>
        <w:keepLines w:val="0"/>
        <w:widowControl w:val="0"/>
        <w:spacing w:before="168" w:beforeLines="50" w:after="0" w:line="360" w:lineRule="auto"/>
        <w:ind w:left="0"/>
        <w:jc w:val="both"/>
        <w:rPr>
          <w:rFonts w:hint="eastAsia" w:ascii="宋体" w:hAnsi="宋体" w:eastAsia="宋体" w:cs="宋体"/>
          <w:color w:val="auto"/>
          <w:szCs w:val="28"/>
          <w:highlight w:val="none"/>
        </w:rPr>
      </w:pPr>
    </w:p>
    <w:p>
      <w:pP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pP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供应商企业关系关联承诺书</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pPr>
        <w:pStyle w:val="11"/>
        <w:rPr>
          <w:rFonts w:hint="eastAsia" w:ascii="宋体" w:hAnsi="宋体" w:eastAsia="宋体" w:cs="宋体"/>
          <w:color w:val="auto"/>
          <w:highlight w:val="none"/>
        </w:rPr>
      </w:pP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pPr>
        <w:spacing w:line="500" w:lineRule="exact"/>
        <w:ind w:firstLine="240" w:firstLineChars="100"/>
        <w:rPr>
          <w:rFonts w:hint="eastAsia" w:ascii="宋体" w:hAnsi="宋体" w:eastAsia="宋体" w:cs="宋体"/>
          <w:color w:val="auto"/>
          <w:szCs w:val="24"/>
          <w:highlight w:val="none"/>
        </w:rPr>
      </w:pPr>
    </w:p>
    <w:p>
      <w:pPr>
        <w:pStyle w:val="11"/>
        <w:rPr>
          <w:rFonts w:hint="eastAsia" w:ascii="宋体" w:hAnsi="宋体" w:eastAsia="宋体" w:cs="宋体"/>
          <w:color w:val="auto"/>
          <w:highlight w:val="none"/>
        </w:rPr>
      </w:pPr>
    </w:p>
    <w:p>
      <w:pP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pPr>
        <w:spacing w:line="500" w:lineRule="exact"/>
        <w:ind w:firstLine="240" w:firstLineChars="100"/>
        <w:rPr>
          <w:rFonts w:hint="eastAsia" w:ascii="宋体" w:hAnsi="宋体" w:eastAsia="宋体" w:cs="宋体"/>
          <w:color w:val="auto"/>
          <w:szCs w:val="24"/>
          <w:highlight w:val="none"/>
        </w:rPr>
      </w:pPr>
    </w:p>
    <w:p>
      <w:pP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17" w:right="1417" w:bottom="1417" w:left="1417"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pPr>
        <w:pStyle w:val="4"/>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pPr>
        <w:spacing w:after="240"/>
        <w:jc w:val="center"/>
        <w:rPr>
          <w:rFonts w:hint="eastAsia" w:ascii="宋体" w:hAnsi="宋体" w:eastAsia="宋体" w:cs="宋体"/>
          <w:b/>
          <w:bCs/>
          <w:sz w:val="28"/>
          <w:szCs w:val="28"/>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供应</w:t>
      </w:r>
      <w:r>
        <w:rPr>
          <w:rFonts w:hint="eastAsia" w:ascii="宋体" w:hAnsi="宋体" w:eastAsia="宋体" w:cs="宋体"/>
          <w:b/>
          <w:sz w:val="24"/>
          <w:szCs w:val="24"/>
        </w:rPr>
        <w:t>商20</w:t>
      </w:r>
      <w:r>
        <w:rPr>
          <w:rFonts w:hint="eastAsia" w:ascii="宋体" w:hAnsi="宋体" w:eastAsia="宋体" w:cs="宋体"/>
          <w:b/>
          <w:sz w:val="24"/>
          <w:szCs w:val="24"/>
          <w:lang w:val="en-US" w:eastAsia="zh-CN"/>
        </w:rPr>
        <w:t>2</w:t>
      </w:r>
      <w:r>
        <w:rPr>
          <w:rFonts w:hint="eastAsia" w:hAnsi="宋体" w:cs="宋体"/>
          <w:b/>
          <w:sz w:val="24"/>
          <w:szCs w:val="24"/>
          <w:lang w:val="en-US" w:eastAsia="zh-CN"/>
        </w:rPr>
        <w:t>1</w:t>
      </w:r>
      <w:r>
        <w:rPr>
          <w:rFonts w:hint="eastAsia" w:ascii="宋体" w:hAnsi="宋体" w:eastAsia="宋体" w:cs="宋体"/>
          <w:b/>
          <w:sz w:val="24"/>
          <w:szCs w:val="24"/>
        </w:rPr>
        <w:t>年</w:t>
      </w:r>
      <w:r>
        <w:rPr>
          <w:rFonts w:hint="eastAsia" w:hAnsi="宋体" w:cs="宋体"/>
          <w:b/>
          <w:sz w:val="24"/>
          <w:szCs w:val="24"/>
          <w:lang w:val="en-US" w:eastAsia="zh-CN"/>
        </w:rPr>
        <w:t>5</w:t>
      </w:r>
      <w:r>
        <w:rPr>
          <w:rFonts w:hint="eastAsia" w:ascii="宋体" w:hAnsi="宋体" w:eastAsia="宋体" w:cs="宋体"/>
          <w:b/>
          <w:sz w:val="24"/>
          <w:szCs w:val="24"/>
          <w:lang w:val="en-US" w:eastAsia="zh-CN"/>
        </w:rPr>
        <w:t>月</w:t>
      </w:r>
      <w:r>
        <w:rPr>
          <w:rFonts w:hint="eastAsia" w:ascii="宋体" w:hAnsi="宋体" w:eastAsia="宋体" w:cs="宋体"/>
          <w:b/>
          <w:sz w:val="24"/>
          <w:szCs w:val="24"/>
        </w:rPr>
        <w:t>至今（以合同签订时间为准）</w:t>
      </w:r>
      <w:r>
        <w:rPr>
          <w:rFonts w:hint="eastAsia" w:ascii="宋体" w:hAnsi="宋体" w:eastAsia="宋体" w:cs="宋体"/>
          <w:b/>
          <w:sz w:val="24"/>
          <w:szCs w:val="24"/>
          <w:lang w:val="en-US" w:eastAsia="zh-CN"/>
        </w:rPr>
        <w:t>类似</w:t>
      </w:r>
      <w:r>
        <w:rPr>
          <w:rFonts w:hint="eastAsia" w:ascii="宋体" w:hAnsi="宋体" w:eastAsia="宋体" w:cs="宋体"/>
          <w:b/>
          <w:sz w:val="24"/>
          <w:szCs w:val="24"/>
        </w:rPr>
        <w:t>项目业绩一览表</w:t>
      </w:r>
    </w:p>
    <w:p>
      <w:pPr>
        <w:ind w:firstLine="120" w:firstLineChars="50"/>
        <w:rPr>
          <w:rFonts w:hint="eastAsia" w:ascii="宋体" w:hAnsi="宋体" w:eastAsia="宋体" w:cs="宋体"/>
          <w:b w:val="0"/>
          <w:bCs w:val="0"/>
          <w:szCs w:val="21"/>
        </w:rPr>
      </w:pPr>
      <w:r>
        <w:rPr>
          <w:rFonts w:hint="eastAsia" w:ascii="宋体" w:hAnsi="宋体" w:eastAsia="宋体" w:cs="宋体"/>
          <w:b w:val="0"/>
          <w:bCs w:val="0"/>
          <w:szCs w:val="21"/>
        </w:rPr>
        <w:t>供应商名称：                                                     单位：万元</w:t>
      </w:r>
    </w:p>
    <w:tbl>
      <w:tblPr>
        <w:tblStyle w:val="25"/>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pPr>
        <w:pStyle w:val="7"/>
        <w:rPr>
          <w:rFonts w:hint="eastAsia" w:ascii="宋体" w:hAnsi="宋体" w:eastAsia="宋体" w:cs="宋体"/>
        </w:rPr>
      </w:pPr>
    </w:p>
    <w:p>
      <w:pPr>
        <w:spacing w:line="400" w:lineRule="exact"/>
        <w:ind w:left="360"/>
        <w:jc w:val="left"/>
        <w:rPr>
          <w:rFonts w:hint="eastAsia" w:ascii="宋体" w:hAnsi="宋体" w:eastAsia="宋体" w:cs="宋体"/>
          <w:szCs w:val="21"/>
        </w:rPr>
      </w:pPr>
      <w:r>
        <w:rPr>
          <w:rFonts w:hint="eastAsia" w:ascii="宋体" w:hAnsi="宋体" w:eastAsia="宋体" w:cs="宋体"/>
          <w:szCs w:val="21"/>
        </w:rPr>
        <w:t xml:space="preserve">注：1、项目业绩需提供合同协议复印件并加盖公章； </w:t>
      </w:r>
    </w:p>
    <w:p>
      <w:pPr>
        <w:spacing w:line="400" w:lineRule="exact"/>
        <w:ind w:left="360"/>
        <w:jc w:val="left"/>
        <w:rPr>
          <w:rFonts w:hint="eastAsia" w:ascii="宋体" w:hAnsi="宋体" w:eastAsia="宋体" w:cs="宋体"/>
          <w:szCs w:val="21"/>
        </w:rPr>
      </w:pPr>
      <w:r>
        <w:rPr>
          <w:rFonts w:hint="eastAsia" w:ascii="宋体" w:hAnsi="宋体" w:eastAsia="宋体" w:cs="宋体"/>
          <w:szCs w:val="21"/>
        </w:rPr>
        <w:t xml:space="preserve">    2、供应商应如实列出以上情况，如有隐瞒，一经查实将导致其</w:t>
      </w:r>
      <w:r>
        <w:rPr>
          <w:rFonts w:hint="eastAsia" w:ascii="宋体" w:hAnsi="宋体" w:eastAsia="宋体" w:cs="宋体"/>
          <w:szCs w:val="21"/>
          <w:lang w:eastAsia="zh-CN"/>
        </w:rPr>
        <w:t>投标</w:t>
      </w:r>
      <w:r>
        <w:rPr>
          <w:rFonts w:hint="eastAsia" w:ascii="宋体" w:hAnsi="宋体" w:eastAsia="宋体" w:cs="宋体"/>
          <w:szCs w:val="21"/>
        </w:rPr>
        <w:t>申请被拒绝。</w:t>
      </w:r>
    </w:p>
    <w:p>
      <w:pPr>
        <w:spacing w:line="400" w:lineRule="exact"/>
        <w:ind w:left="360" w:firstLine="480" w:firstLineChars="200"/>
        <w:jc w:val="left"/>
        <w:rPr>
          <w:rFonts w:hint="eastAsia" w:ascii="宋体" w:hAnsi="宋体" w:eastAsia="宋体" w:cs="宋体"/>
          <w:szCs w:val="21"/>
        </w:rPr>
      </w:pPr>
      <w:r>
        <w:rPr>
          <w:rFonts w:hint="eastAsia" w:ascii="宋体" w:hAnsi="宋体" w:eastAsia="宋体" w:cs="宋体"/>
          <w:szCs w:val="21"/>
        </w:rPr>
        <w:t>3、如有多个类似项目，可按此表格扩展</w:t>
      </w:r>
    </w:p>
    <w:p>
      <w:pPr>
        <w:spacing w:line="400" w:lineRule="exact"/>
        <w:ind w:left="360"/>
        <w:jc w:val="center"/>
        <w:rPr>
          <w:rFonts w:hint="eastAsia" w:ascii="宋体" w:hAnsi="宋体" w:eastAsia="宋体" w:cs="宋体"/>
          <w:szCs w:val="21"/>
        </w:rPr>
      </w:pPr>
    </w:p>
    <w:p>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供应商名称：         （盖章）</w:t>
      </w:r>
    </w:p>
    <w:p>
      <w:pPr>
        <w:autoSpaceDE w:val="0"/>
        <w:autoSpaceDN w:val="0"/>
        <w:adjustRightInd w:val="0"/>
        <w:spacing w:line="520" w:lineRule="exact"/>
        <w:rPr>
          <w:rFonts w:hint="eastAsia" w:ascii="宋体" w:hAnsi="宋体" w:eastAsia="宋体" w:cs="宋体"/>
          <w:bCs/>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被授权人</w:t>
      </w:r>
      <w:r>
        <w:rPr>
          <w:rFonts w:hint="eastAsia" w:ascii="宋体" w:hAnsi="宋体" w:eastAsia="宋体" w:cs="宋体"/>
          <w:sz w:val="24"/>
          <w:szCs w:val="24"/>
        </w:rPr>
        <w:t>（签名或盖章）</w:t>
      </w:r>
      <w:r>
        <w:rPr>
          <w:rFonts w:hint="eastAsia" w:ascii="宋体" w:hAnsi="宋体" w:eastAsia="宋体" w:cs="宋体"/>
          <w:bCs/>
          <w:sz w:val="24"/>
          <w:szCs w:val="24"/>
        </w:rPr>
        <w:t xml:space="preserve">：             </w:t>
      </w:r>
    </w:p>
    <w:p>
      <w:pPr>
        <w:autoSpaceDE w:val="0"/>
        <w:autoSpaceDN w:val="0"/>
        <w:adjustRightInd w:val="0"/>
        <w:spacing w:line="520" w:lineRule="exact"/>
        <w:rPr>
          <w:rFonts w:hint="eastAsia" w:ascii="宋体" w:hAnsi="宋体" w:eastAsia="宋体" w:cs="宋体"/>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日期:</w:t>
      </w:r>
    </w:p>
    <w:p>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pPr>
        <w:spacing w:after="240"/>
        <w:jc w:val="center"/>
        <w:rPr>
          <w:rFonts w:hint="eastAsia" w:ascii="宋体" w:hAnsi="宋体" w:eastAsia="宋体" w:cs="宋体"/>
          <w:b/>
          <w:sz w:val="24"/>
          <w:szCs w:val="24"/>
          <w:lang w:val="en-US" w:eastAsia="zh-CN"/>
        </w:rPr>
      </w:pPr>
    </w:p>
    <w:p>
      <w:pPr>
        <w:spacing w:after="240"/>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本项目</w:t>
      </w:r>
      <w:r>
        <w:rPr>
          <w:rFonts w:hint="eastAsia" w:ascii="宋体" w:hAnsi="宋体" w:eastAsia="宋体" w:cs="宋体"/>
          <w:b/>
          <w:sz w:val="24"/>
          <w:szCs w:val="24"/>
          <w:lang w:eastAsia="zh-CN"/>
        </w:rPr>
        <w:t>非</w:t>
      </w:r>
      <w:r>
        <w:rPr>
          <w:rFonts w:hint="eastAsia" w:ascii="宋体" w:hAnsi="宋体" w:eastAsia="宋体" w:cs="宋体"/>
          <w:b/>
          <w:sz w:val="24"/>
          <w:szCs w:val="24"/>
        </w:rPr>
        <w:t>专门面向中小企业</w:t>
      </w:r>
      <w:r>
        <w:rPr>
          <w:rFonts w:hint="eastAsia" w:ascii="宋体" w:hAnsi="宋体" w:eastAsia="宋体" w:cs="宋体"/>
          <w:b/>
          <w:sz w:val="24"/>
          <w:szCs w:val="24"/>
          <w:lang w:eastAsia="zh-CN"/>
        </w:rPr>
        <w:t>采购</w:t>
      </w:r>
      <w:r>
        <w:rPr>
          <w:rFonts w:hint="eastAsia" w:ascii="宋体" w:hAnsi="宋体" w:eastAsia="宋体" w:cs="宋体"/>
          <w:b/>
          <w:sz w:val="24"/>
          <w:szCs w:val="24"/>
        </w:rPr>
        <w:t>。</w:t>
      </w:r>
    </w:p>
    <w:p>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（2）供应商若为残疾人福利性单位的，应提供《残疾人福利性单位声明函》（附件2）；</w:t>
      </w:r>
    </w:p>
    <w:p>
      <w:pP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（3）供应商若为监狱企业的，应提供监狱企业的证明文件（附件3）；</w:t>
      </w: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pPr>
        <w:pStyle w:val="5"/>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pPr>
        <w:pStyle w:val="11"/>
        <w:rPr>
          <w:rFonts w:hint="eastAsia" w:ascii="宋体" w:hAnsi="宋体" w:eastAsia="宋体" w:cs="宋体"/>
          <w:b/>
          <w:sz w:val="20"/>
        </w:rPr>
      </w:pPr>
    </w:p>
    <w:p>
      <w:pPr>
        <w:pStyle w:val="11"/>
        <w:tabs>
          <w:tab w:val="left" w:pos="9120"/>
        </w:tabs>
        <w:spacing w:before="55" w:after="0" w:line="360" w:lineRule="auto"/>
        <w:ind w:firstLine="640"/>
        <w:rPr>
          <w:rFonts w:hint="eastAsia" w:ascii="宋体" w:hAnsi="宋体" w:eastAsia="宋体" w:cs="宋体"/>
          <w:spacing w:val="-2"/>
          <w:sz w:val="24"/>
          <w:szCs w:val="24"/>
        </w:rPr>
      </w:pPr>
      <w:r>
        <w:rPr>
          <w:rFonts w:hint="eastAsia" w:ascii="宋体" w:hAnsi="宋体" w:eastAsia="宋体" w:cs="宋体"/>
          <w:spacing w:val="-2"/>
          <w:sz w:val="24"/>
          <w:szCs w:val="24"/>
        </w:rPr>
        <w:t>本公司</w:t>
      </w:r>
      <w:r>
        <w:rPr>
          <w:rFonts w:hint="eastAsia" w:ascii="宋体" w:hAnsi="宋体" w:eastAsia="宋体" w:cs="宋体"/>
          <w:sz w:val="24"/>
          <w:szCs w:val="24"/>
        </w:rPr>
        <w:t>（联合体</w:t>
      </w:r>
      <w:r>
        <w:rPr>
          <w:rFonts w:hint="eastAsia" w:ascii="宋体" w:hAnsi="宋体" w:eastAsia="宋体" w:cs="宋体"/>
          <w:spacing w:val="-5"/>
          <w:sz w:val="24"/>
          <w:szCs w:val="24"/>
        </w:rPr>
        <w:t>）</w:t>
      </w:r>
      <w:r>
        <w:rPr>
          <w:rFonts w:hint="eastAsia" w:ascii="宋体" w:hAnsi="宋体" w:eastAsia="宋体" w:cs="宋体"/>
          <w:spacing w:val="-2"/>
          <w:sz w:val="24"/>
          <w:szCs w:val="24"/>
        </w:rPr>
        <w:t>郑重声明，根据《政府采购促进中小</w:t>
      </w:r>
      <w:r>
        <w:rPr>
          <w:rFonts w:hint="eastAsia" w:ascii="宋体" w:hAnsi="宋体" w:eastAsia="宋体" w:cs="宋体"/>
          <w:spacing w:val="-18"/>
          <w:sz w:val="24"/>
          <w:szCs w:val="24"/>
        </w:rPr>
        <w:t>企业发展管理办法》</w:t>
      </w:r>
      <w:r>
        <w:rPr>
          <w:rFonts w:hint="eastAsia" w:ascii="宋体" w:hAnsi="宋体" w:eastAsia="宋体" w:cs="宋体"/>
          <w:sz w:val="24"/>
          <w:szCs w:val="24"/>
        </w:rPr>
        <w:t>（</w:t>
      </w:r>
      <w:r>
        <w:rPr>
          <w:rFonts w:hint="eastAsia" w:ascii="宋体" w:hAnsi="宋体" w:eastAsia="宋体" w:cs="宋体"/>
          <w:spacing w:val="5"/>
          <w:sz w:val="24"/>
          <w:szCs w:val="24"/>
        </w:rPr>
        <w:t>财库</w:t>
      </w:r>
      <w:r>
        <w:rPr>
          <w:rFonts w:hint="eastAsia" w:ascii="宋体" w:hAnsi="宋体" w:eastAsia="宋体" w:cs="宋体"/>
          <w:sz w:val="24"/>
          <w:szCs w:val="24"/>
        </w:rPr>
        <w:t>﹝2020﹞46</w:t>
      </w:r>
      <w:r>
        <w:rPr>
          <w:rFonts w:hint="eastAsia" w:ascii="宋体" w:hAnsi="宋体" w:eastAsia="宋体" w:cs="宋体"/>
          <w:spacing w:val="-38"/>
          <w:sz w:val="24"/>
          <w:szCs w:val="24"/>
        </w:rPr>
        <w:t xml:space="preserve"> 号</w:t>
      </w:r>
      <w:r>
        <w:rPr>
          <w:rFonts w:hint="eastAsia" w:ascii="宋体" w:hAnsi="宋体" w:eastAsia="宋体" w:cs="宋体"/>
          <w:spacing w:val="5"/>
          <w:sz w:val="24"/>
          <w:szCs w:val="24"/>
        </w:rPr>
        <w:t>）</w:t>
      </w:r>
      <w:r>
        <w:rPr>
          <w:rFonts w:hint="eastAsia" w:ascii="宋体" w:hAnsi="宋体" w:eastAsia="宋体" w:cs="宋体"/>
          <w:sz w:val="24"/>
          <w:szCs w:val="24"/>
        </w:rPr>
        <w:t>的规定，本公司（联合体）</w:t>
      </w:r>
      <w:r>
        <w:rPr>
          <w:rFonts w:hint="eastAsia" w:ascii="宋体" w:hAnsi="宋体" w:eastAsia="宋体" w:cs="宋体"/>
          <w:spacing w:val="-2"/>
          <w:sz w:val="24"/>
          <w:szCs w:val="24"/>
        </w:rPr>
        <w:t>参加</w:t>
      </w:r>
      <w:r>
        <w:rPr>
          <w:rFonts w:hint="eastAsia" w:ascii="宋体" w:hAnsi="宋体" w:eastAsia="宋体" w:cs="宋体"/>
          <w:spacing w:val="-2"/>
          <w:sz w:val="24"/>
          <w:szCs w:val="24"/>
          <w:u w:val="single"/>
          <w:lang w:val="zh-CN"/>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lang w:val="zh-CN"/>
        </w:rPr>
        <w:t>（项目名称）</w:t>
      </w:r>
      <w:r>
        <w:rPr>
          <w:rFonts w:hint="eastAsia" w:ascii="宋体" w:hAnsi="宋体" w:eastAsia="宋体" w:cs="宋体"/>
          <w:spacing w:val="-2"/>
          <w:sz w:val="24"/>
          <w:szCs w:val="24"/>
        </w:rPr>
        <w:t>采购活动，提供的货物全部由符合政策要求的中小企业制造。相关企业（含联合体中的中小企业、签订分包意向协议的中小企业） 的具体情况如下：</w:t>
      </w:r>
    </w:p>
    <w:p>
      <w:pPr>
        <w:pStyle w:val="11"/>
        <w:numPr>
          <w:ilvl w:val="0"/>
          <w:numId w:val="12"/>
        </w:numPr>
        <w:spacing w:before="2"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val="zh-CN"/>
        </w:rPr>
        <w:t>（标的名称）</w:t>
      </w:r>
      <w:r>
        <w:rPr>
          <w:rFonts w:hint="eastAsia" w:ascii="宋体" w:hAnsi="宋体" w:eastAsia="宋体" w:cs="宋体"/>
          <w:sz w:val="24"/>
          <w:szCs w:val="24"/>
        </w:rPr>
        <w:t>，属 于</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1"/>
        <w:numPr>
          <w:ilvl w:val="0"/>
          <w:numId w:val="12"/>
        </w:numPr>
        <w:spacing w:before="2"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w:t>
      </w:r>
      <w:r>
        <w:rPr>
          <w:rFonts w:hint="eastAsia" w:ascii="宋体" w:hAnsi="宋体" w:eastAsia="宋体" w:cs="宋体"/>
          <w:sz w:val="24"/>
          <w:szCs w:val="24"/>
        </w:rPr>
        <w:t>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1"/>
        <w:spacing w:before="2" w:line="360" w:lineRule="auto"/>
        <w:ind w:left="480" w:leftChars="200"/>
        <w:jc w:val="left"/>
        <w:rPr>
          <w:rFonts w:hint="eastAsia" w:ascii="宋体" w:hAnsi="宋体" w:eastAsia="宋体" w:cs="宋体"/>
          <w:sz w:val="24"/>
          <w:szCs w:val="24"/>
        </w:rPr>
      </w:pPr>
      <w:r>
        <w:rPr>
          <w:rFonts w:hint="eastAsia" w:ascii="宋体" w:hAnsi="宋体" w:eastAsia="宋体" w:cs="宋体"/>
          <w:sz w:val="24"/>
          <w:szCs w:val="24"/>
        </w:rPr>
        <w:t>……</w:t>
      </w:r>
    </w:p>
    <w:p>
      <w:pPr>
        <w:pStyle w:val="11"/>
        <w:spacing w:before="2" w:line="360" w:lineRule="auto"/>
        <w:ind w:firstLine="482" w:firstLineChars="200"/>
        <w:jc w:val="left"/>
        <w:rPr>
          <w:rFonts w:hint="eastAsia" w:ascii="宋体" w:hAnsi="宋体"/>
          <w:b/>
          <w:bCs/>
          <w:sz w:val="24"/>
          <w:highlight w:val="none"/>
          <w:lang w:eastAsia="zh-CN"/>
        </w:rPr>
      </w:pPr>
      <w:r>
        <w:rPr>
          <w:rFonts w:hint="eastAsia" w:ascii="宋体" w:hAnsi="宋体"/>
          <w:b/>
          <w:bCs/>
          <w:sz w:val="24"/>
          <w:highlight w:val="none"/>
          <w:lang w:eastAsia="zh-CN"/>
        </w:rPr>
        <w:t>本项目所属行业为工业。</w:t>
      </w:r>
    </w:p>
    <w:p>
      <w:pPr>
        <w:pStyle w:val="11"/>
        <w:spacing w:before="2"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pStyle w:val="11"/>
        <w:spacing w:before="2" w:line="360" w:lineRule="auto"/>
        <w:ind w:left="480" w:leftChars="200"/>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pStyle w:val="65"/>
        <w:spacing w:line="360" w:lineRule="auto"/>
        <w:ind w:firstLine="480"/>
        <w:rPr>
          <w:rFonts w:hint="eastAsia" w:ascii="宋体" w:hAnsi="宋体" w:eastAsia="宋体" w:cs="宋体"/>
          <w:szCs w:val="24"/>
        </w:rPr>
      </w:pPr>
    </w:p>
    <w:p>
      <w:pPr>
        <w:pStyle w:val="65"/>
        <w:spacing w:line="360" w:lineRule="auto"/>
        <w:ind w:firstLine="4560" w:firstLineChars="1900"/>
        <w:jc w:val="left"/>
        <w:rPr>
          <w:rFonts w:hint="eastAsia" w:ascii="宋体" w:hAnsi="宋体" w:eastAsia="宋体" w:cs="宋体"/>
          <w:szCs w:val="24"/>
        </w:rPr>
      </w:pPr>
      <w:r>
        <w:rPr>
          <w:rFonts w:hint="eastAsia" w:ascii="宋体" w:hAnsi="宋体" w:eastAsia="宋体" w:cs="宋体"/>
          <w:szCs w:val="24"/>
        </w:rPr>
        <w:t>企业名称（盖章）：</w:t>
      </w:r>
    </w:p>
    <w:p>
      <w:pPr>
        <w:pStyle w:val="65"/>
        <w:spacing w:line="360" w:lineRule="auto"/>
        <w:ind w:firstLine="4560" w:firstLineChars="1900"/>
        <w:jc w:val="left"/>
        <w:rPr>
          <w:rFonts w:hint="eastAsia" w:ascii="宋体" w:hAnsi="宋体" w:eastAsia="宋体" w:cs="宋体"/>
          <w:szCs w:val="24"/>
        </w:rPr>
      </w:pPr>
      <w:r>
        <w:rPr>
          <w:rFonts w:hint="eastAsia" w:ascii="宋体" w:hAnsi="宋体" w:eastAsia="宋体" w:cs="宋体"/>
          <w:szCs w:val="24"/>
        </w:rPr>
        <w:t>日期：</w:t>
      </w:r>
    </w:p>
    <w:p>
      <w:pPr>
        <w:pStyle w:val="65"/>
        <w:spacing w:line="360" w:lineRule="auto"/>
        <w:ind w:left="0" w:leftChars="0" w:firstLine="420" w:firstLineChars="200"/>
        <w:rPr>
          <w:rFonts w:hint="eastAsia" w:ascii="宋体" w:hAnsi="宋体" w:eastAsia="宋体" w:cs="宋体"/>
          <w:spacing w:val="-8"/>
          <w:sz w:val="21"/>
          <w:szCs w:val="21"/>
        </w:rPr>
      </w:pPr>
      <w:r>
        <w:rPr>
          <w:rFonts w:hint="eastAsia" w:ascii="宋体" w:hAnsi="宋体" w:eastAsia="宋体" w:cs="宋体"/>
          <w:sz w:val="21"/>
          <w:szCs w:val="21"/>
        </w:rPr>
        <w:t>备注：1、</w:t>
      </w:r>
      <w:r>
        <w:rPr>
          <w:rFonts w:hint="eastAsia" w:ascii="宋体" w:hAnsi="宋体" w:eastAsia="宋体" w:cs="宋体"/>
          <w:spacing w:val="-8"/>
          <w:sz w:val="21"/>
          <w:szCs w:val="21"/>
        </w:rPr>
        <w:t>中小企业参加政府采购活动，应当按照《政府采购促进中小企业发展管理办法》（财库〔2020〕46号）规定和《中小企业划型标准规定》（工信部联企业〔2011〕300号），如实填写并提交本《中小企业声明函》。</w:t>
      </w:r>
    </w:p>
    <w:p>
      <w:pPr>
        <w:pStyle w:val="65"/>
        <w:numPr>
          <w:ilvl w:val="0"/>
          <w:numId w:val="12"/>
        </w:numPr>
        <w:spacing w:line="360" w:lineRule="auto"/>
        <w:ind w:left="0" w:leftChars="0" w:firstLine="388" w:firstLineChars="200"/>
        <w:rPr>
          <w:rFonts w:hint="eastAsia" w:ascii="宋体" w:hAnsi="宋体" w:eastAsia="宋体" w:cs="宋体"/>
          <w:spacing w:val="-8"/>
          <w:sz w:val="21"/>
          <w:szCs w:val="21"/>
        </w:rPr>
      </w:pPr>
      <w:r>
        <w:rPr>
          <w:rFonts w:hint="eastAsia" w:ascii="宋体" w:hAnsi="宋体" w:eastAsia="宋体" w:cs="宋体"/>
          <w:spacing w:val="-8"/>
          <w:sz w:val="21"/>
          <w:szCs w:val="21"/>
        </w:rPr>
        <w:t>从业人员、营业收入、资产总额填报上一年度数据，无上一年度数据的新成立企业可不填报。</w:t>
      </w:r>
    </w:p>
    <w:p>
      <w:pPr>
        <w:pStyle w:val="65"/>
        <w:numPr>
          <w:ilvl w:val="0"/>
          <w:numId w:val="12"/>
        </w:numPr>
        <w:spacing w:line="360" w:lineRule="auto"/>
        <w:ind w:left="0" w:leftChars="0" w:firstLine="388"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spacing w:val="-8"/>
          <w:sz w:val="21"/>
          <w:szCs w:val="21"/>
        </w:rPr>
        <w:t>供应商应对照第四章采购内容及技术要求对每个产品逐条声明。</w:t>
      </w:r>
    </w:p>
    <w:p>
      <w:pPr>
        <w:rPr>
          <w:rFonts w:hint="eastAsia" w:ascii="宋体" w:hAnsi="宋体" w:eastAsia="宋体" w:cs="宋体"/>
          <w:b/>
          <w:color w:val="auto"/>
          <w:szCs w:val="24"/>
          <w:highlight w:val="none"/>
        </w:rPr>
      </w:pPr>
    </w:p>
    <w:p>
      <w:pPr>
        <w:spacing w:line="500" w:lineRule="exact"/>
        <w:ind w:firstLine="482"/>
        <w:rPr>
          <w:rFonts w:ascii="宋体" w:hAnsi="宋体"/>
          <w:b/>
          <w:sz w:val="24"/>
        </w:rPr>
      </w:pP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（十六）其他未列明行业。从业人员300人以下的为中小微型企业。其中，从业人员100人及以上的为中型企业；从业人员10人及以上的为小型企业；从业人员10人以下的为微型企业。</w:t>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pPr>
        <w:pStyle w:val="1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p>
    <w:p>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pP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pPr>
        <w:tabs>
          <w:tab w:val="left" w:pos="1620"/>
          <w:tab w:val="left" w:pos="1800"/>
        </w:tabs>
        <w:spacing w:line="440" w:lineRule="exact"/>
        <w:ind w:right="617" w:rightChars="257"/>
        <w:rPr>
          <w:rFonts w:hint="eastAsia" w:ascii="宋体" w:hAnsi="宋体" w:eastAsia="宋体" w:cs="宋体"/>
          <w:color w:val="auto"/>
          <w:szCs w:val="24"/>
          <w:highlight w:val="none"/>
        </w:rPr>
      </w:pPr>
    </w:p>
    <w:p>
      <w:pPr>
        <w:pStyle w:val="2"/>
        <w:rPr>
          <w:rFonts w:hint="eastAsia" w:ascii="宋体" w:hAnsi="宋体" w:eastAsia="宋体" w:cs="宋体"/>
          <w:color w:val="auto"/>
          <w:highlight w:val="none"/>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pPr>
        <w:spacing w:line="500" w:lineRule="exact"/>
        <w:ind w:firstLine="480"/>
        <w:rPr>
          <w:rFonts w:hint="eastAsia" w:ascii="宋体" w:hAnsi="宋体" w:eastAsia="宋体" w:cs="Times New Roman"/>
          <w:b/>
          <w:sz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Times New Roman"/>
          <w:b/>
          <w:sz w:val="24"/>
        </w:rPr>
        <w:t>附：《财政部 民政部 中国残疾人联合会关于促进残疾人就业政府采购政策的通知》</w:t>
      </w:r>
    </w:p>
    <w:p>
      <w:pPr>
        <w:spacing w:line="500" w:lineRule="exact"/>
        <w:ind w:firstLine="480"/>
        <w:rPr>
          <w:rFonts w:ascii="宋体" w:hAnsi="宋体" w:eastAsia="宋体" w:cs="Times New Roman"/>
          <w:sz w:val="24"/>
        </w:rPr>
      </w:pPr>
      <w:r>
        <w:rPr>
          <w:rFonts w:hint="eastAsia" w:ascii="宋体" w:hAnsi="宋体" w:eastAsia="宋体" w:cs="Times New Roman"/>
          <w:sz w:val="24"/>
        </w:rPr>
        <w:t>享受政府采购支持政策的残疾人福利性单位应当同时满足以下条件：</w:t>
      </w:r>
    </w:p>
    <w:p>
      <w:pPr>
        <w:spacing w:line="500" w:lineRule="exact"/>
        <w:ind w:firstLine="480"/>
        <w:rPr>
          <w:rFonts w:ascii="宋体" w:hAnsi="宋体" w:eastAsia="宋体" w:cs="Times New Roman"/>
          <w:sz w:val="24"/>
        </w:rPr>
      </w:pPr>
      <w:r>
        <w:rPr>
          <w:rFonts w:hint="eastAsia" w:ascii="宋体" w:hAnsi="宋体" w:eastAsia="宋体" w:cs="Times New Roman"/>
          <w:sz w:val="24"/>
        </w:rPr>
        <w:t>（1）安置的残疾人占本单位在职职工人数的比例不低于25%（含25%），并且安置的残疾人人数不少于10人（含10人）；</w:t>
      </w:r>
    </w:p>
    <w:p>
      <w:pPr>
        <w:spacing w:line="500" w:lineRule="exact"/>
        <w:ind w:firstLine="480"/>
        <w:rPr>
          <w:rFonts w:ascii="宋体" w:hAnsi="宋体" w:eastAsia="宋体" w:cs="Times New Roman"/>
          <w:sz w:val="24"/>
        </w:rPr>
      </w:pPr>
      <w:r>
        <w:rPr>
          <w:rFonts w:hint="eastAsia" w:ascii="宋体" w:hAnsi="宋体" w:eastAsia="宋体" w:cs="Times New Roman"/>
          <w:sz w:val="24"/>
        </w:rPr>
        <w:t>（2）依法与安置的每位残疾人签订了一年以上（含一年）的劳动合同或服务协议；</w:t>
      </w:r>
    </w:p>
    <w:p>
      <w:pPr>
        <w:spacing w:line="500" w:lineRule="exact"/>
        <w:ind w:firstLine="480"/>
        <w:rPr>
          <w:rFonts w:ascii="宋体" w:hAnsi="宋体" w:eastAsia="宋体" w:cs="Times New Roman"/>
          <w:sz w:val="24"/>
        </w:rPr>
      </w:pPr>
      <w:r>
        <w:rPr>
          <w:rFonts w:hint="eastAsia" w:ascii="宋体" w:hAnsi="宋体" w:eastAsia="宋体" w:cs="Times New Roman"/>
          <w:sz w:val="24"/>
        </w:rPr>
        <w:t>（3）为安置的每位残疾人按月足额缴纳了基本养老保险、基本医疗保险、失业保险、工伤保险和生育保险等社会保险费；</w:t>
      </w:r>
    </w:p>
    <w:p>
      <w:pPr>
        <w:spacing w:line="500" w:lineRule="exact"/>
        <w:ind w:firstLine="480"/>
        <w:rPr>
          <w:rFonts w:ascii="宋体" w:hAnsi="宋体" w:eastAsia="宋体" w:cs="Times New Roman"/>
          <w:sz w:val="24"/>
        </w:rPr>
      </w:pPr>
      <w:r>
        <w:rPr>
          <w:rFonts w:hint="eastAsia" w:ascii="宋体" w:hAnsi="宋体" w:eastAsia="宋体" w:cs="Times New Roman"/>
          <w:sz w:val="24"/>
        </w:rPr>
        <w:t>（4）通过银行等金融机构向安置的每位残疾人，按月支付了不低于单位所在区县适用的经省级人民政府批准的月最低工资标准的工资；</w:t>
      </w:r>
    </w:p>
    <w:p>
      <w:pPr>
        <w:spacing w:line="500" w:lineRule="exact"/>
        <w:ind w:firstLine="480"/>
        <w:rPr>
          <w:rFonts w:ascii="宋体" w:hAnsi="宋体" w:eastAsia="宋体" w:cs="Times New Roman"/>
          <w:sz w:val="24"/>
        </w:rPr>
      </w:pPr>
      <w:r>
        <w:rPr>
          <w:rFonts w:hint="eastAsia" w:ascii="宋体" w:hAnsi="宋体" w:eastAsia="宋体" w:cs="Times New Roman"/>
          <w:sz w:val="24"/>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rPr>
          <w:rFonts w:hint="eastAsia" w:ascii="宋体" w:hAnsi="宋体" w:eastAsia="宋体" w:cs="宋体"/>
          <w:b/>
          <w:bCs/>
          <w:szCs w:val="28"/>
        </w:rPr>
      </w:pPr>
      <w:r>
        <w:rPr>
          <w:rFonts w:hint="eastAsia" w:ascii="宋体" w:hAnsi="宋体" w:eastAsia="宋体" w:cs="Times New Roman"/>
          <w:sz w:val="24"/>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pPr>
        <w:pStyle w:val="1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rPr>
        <w:t>监狱企业参加政府采购活动时，应当提供由省级以上监狱管理局、戒毒管理局（含新疆生产建设兵团）出具的属于监狱企业的证明文件。</w:t>
      </w:r>
    </w:p>
    <w:p>
      <w:pPr>
        <w:spacing w:line="500" w:lineRule="exact"/>
        <w:ind w:firstLine="480" w:firstLineChars="200"/>
        <w:jc w:val="left"/>
        <w:rPr>
          <w:rFonts w:hint="eastAsia" w:ascii="宋体" w:hAnsi="宋体" w:eastAsia="宋体" w:cs="宋体"/>
          <w:color w:val="auto"/>
          <w:szCs w:val="24"/>
          <w:highlight w:val="none"/>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spacing w:line="500" w:lineRule="exact"/>
        <w:ind w:firstLine="480"/>
        <w:rPr>
          <w:rFonts w:hint="eastAsia" w:ascii="宋体" w:hAnsi="宋体" w:eastAsia="宋体" w:cs="Times New Roman"/>
          <w:sz w:val="24"/>
        </w:rPr>
      </w:pPr>
    </w:p>
    <w:p>
      <w:pPr>
        <w:spacing w:line="500" w:lineRule="exact"/>
        <w:ind w:firstLine="48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说明：</w:t>
      </w:r>
    </w:p>
    <w:p>
      <w:pPr>
        <w:spacing w:line="500" w:lineRule="exact"/>
        <w:ind w:firstLine="48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1、无格式要求，由出具监狱企业证明的单位自行拟定；</w:t>
      </w:r>
    </w:p>
    <w:p>
      <w:pPr>
        <w:spacing w:line="500" w:lineRule="exact"/>
        <w:ind w:firstLine="480"/>
        <w:rPr>
          <w:rFonts w:hint="eastAsia" w:ascii="宋体" w:hAnsi="宋体" w:eastAsia="宋体" w:cs="Times New Roman"/>
          <w:sz w:val="24"/>
        </w:rPr>
      </w:pPr>
      <w:r>
        <w:rPr>
          <w:rFonts w:hint="eastAsia" w:ascii="宋体" w:hAnsi="宋体" w:eastAsia="宋体" w:cs="Times New Roman"/>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认为有必要说明的其他内容。</w:t>
      </w:r>
    </w:p>
    <w:p>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实力的文件。</w:t>
      </w:r>
    </w:p>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spacing w:line="440" w:lineRule="exact"/>
        <w:ind w:firstLine="151" w:firstLineChars="5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lang w:eastAsia="zh-CN"/>
        </w:rPr>
      </w:pPr>
    </w:p>
    <w:p>
      <w:pP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pP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pP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2" w:type="default"/>
      <w:pgSz w:w="11906" w:h="16838"/>
      <w:pgMar w:top="1417" w:right="1417" w:bottom="1417" w:left="1417"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tabs>
        <w:tab w:val="left" w:pos="8280"/>
        <w:tab w:val="right" w:pos="8460"/>
        <w:tab w:val="clear" w:pos="4153"/>
        <w:tab w:val="clear" w:pos="8306"/>
      </w:tabs>
      <w:ind w:right="-180"/>
    </w:pPr>
  </w:p>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0"/>
      </w:pBdr>
      <w:tabs>
        <w:tab w:val="left" w:pos="8280"/>
        <w:tab w:val="right" w:pos="8460"/>
        <w:tab w:val="clear" w:pos="4153"/>
        <w:tab w:val="clear" w:pos="8306"/>
      </w:tabs>
      <w:ind w:right="-180"/>
      <w:rPr>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u w:val="single"/>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2336;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pPr>
                      <w:pStyle w:val="2"/>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v:textbox>
            </v:shape>
          </w:pict>
        </mc:Fallback>
      </mc:AlternateContent>
    </w:r>
    <w:r>
      <w:rPr>
        <w:rFonts w:hint="eastAsia" w:ascii="Arial"/>
        <w:sz w:val="2"/>
        <w:lang w:eastAsia="zh-CN"/>
      </w:rPr>
      <w:t>陕西天沃工程项目管理有限公司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1312;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共96页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center"/>
      <w:rPr>
        <w:rFonts w:cs="宋体"/>
      </w:rPr>
    </w:pPr>
    <w:r>
      <w:rPr>
        <w:rFonts w:hint="eastAsia" w:cs="宋体"/>
        <w:lang w:eastAsia="zh-CN"/>
      </w:rPr>
      <w:t>西咸新区泾河新城第一中学2024年设备续采项目</w:t>
    </w:r>
    <w:r>
      <w:rPr>
        <w:rFonts w:hint="eastAsia" w:cs="宋体"/>
        <w:lang w:val="en-US" w:eastAsia="zh-CN"/>
      </w:rPr>
      <w:t xml:space="preserve">                                                </w:t>
    </w:r>
    <w:r>
      <w:rPr>
        <w:rFonts w:hint="eastAsia" w:cs="宋体"/>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6A4B9"/>
    <w:multiLevelType w:val="singleLevel"/>
    <w:tmpl w:val="B086A4B9"/>
    <w:lvl w:ilvl="0" w:tentative="0">
      <w:start w:val="1"/>
      <w:numFmt w:val="decimal"/>
      <w:suff w:val="nothing"/>
      <w:lvlText w:val="%1、"/>
      <w:lvlJc w:val="left"/>
    </w:lvl>
  </w:abstractNum>
  <w:abstractNum w:abstractNumId="1">
    <w:nsid w:val="DA4F4820"/>
    <w:multiLevelType w:val="singleLevel"/>
    <w:tmpl w:val="DA4F4820"/>
    <w:lvl w:ilvl="0" w:tentative="0">
      <w:start w:val="2"/>
      <w:numFmt w:val="decimal"/>
      <w:suff w:val="space"/>
      <w:lvlText w:val="%1、"/>
      <w:lvlJc w:val="left"/>
      <w:pPr>
        <w:ind w:left="600" w:firstLine="0"/>
      </w:pPr>
    </w:lvl>
  </w:abstractNum>
  <w:abstractNum w:abstractNumId="2">
    <w:nsid w:val="FC0AC005"/>
    <w:multiLevelType w:val="singleLevel"/>
    <w:tmpl w:val="FC0AC005"/>
    <w:lvl w:ilvl="0" w:tentative="0">
      <w:start w:val="1"/>
      <w:numFmt w:val="decimal"/>
      <w:lvlText w:val="%1."/>
      <w:lvlJc w:val="left"/>
      <w:pPr>
        <w:tabs>
          <w:tab w:val="left" w:pos="312"/>
        </w:tabs>
      </w:pPr>
    </w:lvl>
  </w:abstractNum>
  <w:abstractNum w:abstractNumId="3">
    <w:nsid w:val="14B66CD3"/>
    <w:multiLevelType w:val="singleLevel"/>
    <w:tmpl w:val="14B66CD3"/>
    <w:lvl w:ilvl="0" w:tentative="0">
      <w:start w:val="1"/>
      <w:numFmt w:val="chineseCounting"/>
      <w:suff w:val="nothing"/>
      <w:lvlText w:val="%1、"/>
      <w:lvlJc w:val="left"/>
      <w:pPr>
        <w:ind w:left="1089"/>
      </w:pPr>
      <w:rPr>
        <w:rFonts w:hint="eastAsia"/>
      </w:rPr>
    </w:lvl>
  </w:abstractNum>
  <w:abstractNum w:abstractNumId="4">
    <w:nsid w:val="1F3C67F8"/>
    <w:multiLevelType w:val="singleLevel"/>
    <w:tmpl w:val="1F3C67F8"/>
    <w:lvl w:ilvl="0" w:tentative="0">
      <w:start w:val="1"/>
      <w:numFmt w:val="decimal"/>
      <w:suff w:val="nothing"/>
      <w:lvlText w:val="%1、"/>
      <w:lvlJc w:val="left"/>
      <w:pPr>
        <w:ind w:left="-48"/>
      </w:pPr>
    </w:lvl>
  </w:abstractNum>
  <w:abstractNum w:abstractNumId="5">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85810D"/>
    <w:multiLevelType w:val="singleLevel"/>
    <w:tmpl w:val="2C85810D"/>
    <w:lvl w:ilvl="0" w:tentative="0">
      <w:start w:val="1"/>
      <w:numFmt w:val="decimal"/>
      <w:suff w:val="space"/>
      <w:lvlText w:val="%1."/>
      <w:lvlJc w:val="left"/>
    </w:lvl>
  </w:abstractNum>
  <w:abstractNum w:abstractNumId="8">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58C0D7"/>
    <w:multiLevelType w:val="singleLevel"/>
    <w:tmpl w:val="4958C0D7"/>
    <w:lvl w:ilvl="0" w:tentative="0">
      <w:start w:val="1"/>
      <w:numFmt w:val="decimal"/>
      <w:lvlText w:val="%1."/>
      <w:lvlJc w:val="left"/>
      <w:pPr>
        <w:tabs>
          <w:tab w:val="left" w:pos="312"/>
        </w:tabs>
      </w:pPr>
    </w:lvl>
  </w:abstractNum>
  <w:abstractNum w:abstractNumId="10">
    <w:nsid w:val="59B25AF4"/>
    <w:multiLevelType w:val="singleLevel"/>
    <w:tmpl w:val="59B25AF4"/>
    <w:lvl w:ilvl="0" w:tentative="0">
      <w:start w:val="1"/>
      <w:numFmt w:val="decimal"/>
      <w:suff w:val="nothing"/>
      <w:lvlText w:val="（%1）"/>
      <w:lvlJc w:val="left"/>
    </w:lvl>
  </w:abstractNum>
  <w:abstractNum w:abstractNumId="11">
    <w:nsid w:val="5B0CE37E"/>
    <w:multiLevelType w:val="singleLevel"/>
    <w:tmpl w:val="5B0CE37E"/>
    <w:lvl w:ilvl="0" w:tentative="0">
      <w:start w:val="1"/>
      <w:numFmt w:val="decimal"/>
      <w:suff w:val="nothing"/>
      <w:lvlText w:val="%1、"/>
      <w:lvlJc w:val="left"/>
    </w:lvl>
  </w:abstractNum>
  <w:num w:numId="1">
    <w:abstractNumId w:val="7"/>
  </w:num>
  <w:num w:numId="2">
    <w:abstractNumId w:val="4"/>
  </w:num>
  <w:num w:numId="3">
    <w:abstractNumId w:val="0"/>
  </w:num>
  <w:num w:numId="4">
    <w:abstractNumId w:val="10"/>
  </w:num>
  <w:num w:numId="5">
    <w:abstractNumId w:val="6"/>
  </w:num>
  <w:num w:numId="6">
    <w:abstractNumId w:val="2"/>
  </w:num>
  <w:num w:numId="7">
    <w:abstractNumId w:val="5"/>
  </w:num>
  <w:num w:numId="8">
    <w:abstractNumId w:val="8"/>
  </w:num>
  <w:num w:numId="9">
    <w:abstractNumId w:val="3"/>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YWYxYmQzZjI4NzUxZmYwNzczZWM3MmVlZTM0MGQifQ=="/>
  </w:docVars>
  <w:rsids>
    <w:rsidRoot w:val="11975DCD"/>
    <w:rsid w:val="000033C6"/>
    <w:rsid w:val="00006272"/>
    <w:rsid w:val="0007760C"/>
    <w:rsid w:val="000A3DFB"/>
    <w:rsid w:val="00127154"/>
    <w:rsid w:val="0017633A"/>
    <w:rsid w:val="00177C7C"/>
    <w:rsid w:val="00190A7F"/>
    <w:rsid w:val="001918DB"/>
    <w:rsid w:val="001B19AE"/>
    <w:rsid w:val="001E254C"/>
    <w:rsid w:val="001E6DBE"/>
    <w:rsid w:val="001E6E6F"/>
    <w:rsid w:val="00221ABD"/>
    <w:rsid w:val="00225E99"/>
    <w:rsid w:val="002304E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71E33"/>
    <w:rsid w:val="00EB7E1E"/>
    <w:rsid w:val="00EC07AF"/>
    <w:rsid w:val="00F011DC"/>
    <w:rsid w:val="00F40309"/>
    <w:rsid w:val="00F45C3C"/>
    <w:rsid w:val="00F75E00"/>
    <w:rsid w:val="00F96121"/>
    <w:rsid w:val="00FA15EA"/>
    <w:rsid w:val="00FB2B1F"/>
    <w:rsid w:val="00FD01F0"/>
    <w:rsid w:val="00FD2BA3"/>
    <w:rsid w:val="00FD34C0"/>
    <w:rsid w:val="00FF7E79"/>
    <w:rsid w:val="011D2710"/>
    <w:rsid w:val="01246253"/>
    <w:rsid w:val="01353CAD"/>
    <w:rsid w:val="013C690E"/>
    <w:rsid w:val="014A4B87"/>
    <w:rsid w:val="014B3CE9"/>
    <w:rsid w:val="015159C7"/>
    <w:rsid w:val="0156352C"/>
    <w:rsid w:val="0165136C"/>
    <w:rsid w:val="01C54B55"/>
    <w:rsid w:val="01E07299"/>
    <w:rsid w:val="01EE5E5A"/>
    <w:rsid w:val="020531A4"/>
    <w:rsid w:val="02104022"/>
    <w:rsid w:val="02223D56"/>
    <w:rsid w:val="02535CBD"/>
    <w:rsid w:val="0256135A"/>
    <w:rsid w:val="026303E3"/>
    <w:rsid w:val="026C5261"/>
    <w:rsid w:val="02926D31"/>
    <w:rsid w:val="02BC1AB4"/>
    <w:rsid w:val="02C646E1"/>
    <w:rsid w:val="02CF3ED5"/>
    <w:rsid w:val="02E5725D"/>
    <w:rsid w:val="02F4124E"/>
    <w:rsid w:val="02F474A0"/>
    <w:rsid w:val="030516AD"/>
    <w:rsid w:val="0317318F"/>
    <w:rsid w:val="032C7F13"/>
    <w:rsid w:val="03353615"/>
    <w:rsid w:val="033631ED"/>
    <w:rsid w:val="035B236E"/>
    <w:rsid w:val="036F4D79"/>
    <w:rsid w:val="03C712E2"/>
    <w:rsid w:val="04021749"/>
    <w:rsid w:val="04071455"/>
    <w:rsid w:val="04180F6C"/>
    <w:rsid w:val="042A6EF2"/>
    <w:rsid w:val="043F1D3E"/>
    <w:rsid w:val="04455AD9"/>
    <w:rsid w:val="046479F8"/>
    <w:rsid w:val="046C750A"/>
    <w:rsid w:val="048900BC"/>
    <w:rsid w:val="049F168E"/>
    <w:rsid w:val="04AA138F"/>
    <w:rsid w:val="04C609C8"/>
    <w:rsid w:val="04DF5F2E"/>
    <w:rsid w:val="051F459A"/>
    <w:rsid w:val="05340028"/>
    <w:rsid w:val="0539563E"/>
    <w:rsid w:val="057A17B3"/>
    <w:rsid w:val="057B5C57"/>
    <w:rsid w:val="05AA02EA"/>
    <w:rsid w:val="05CA5E86"/>
    <w:rsid w:val="05D60202"/>
    <w:rsid w:val="05E778DD"/>
    <w:rsid w:val="06113898"/>
    <w:rsid w:val="0636392C"/>
    <w:rsid w:val="06520CD2"/>
    <w:rsid w:val="066761DB"/>
    <w:rsid w:val="06681D4A"/>
    <w:rsid w:val="066A7A79"/>
    <w:rsid w:val="066B6C2E"/>
    <w:rsid w:val="067A4160"/>
    <w:rsid w:val="06862B05"/>
    <w:rsid w:val="06CD2A07"/>
    <w:rsid w:val="06DC7BF8"/>
    <w:rsid w:val="07060075"/>
    <w:rsid w:val="072639A0"/>
    <w:rsid w:val="075F5DE8"/>
    <w:rsid w:val="078D720C"/>
    <w:rsid w:val="07A915E3"/>
    <w:rsid w:val="07B94814"/>
    <w:rsid w:val="07C5765D"/>
    <w:rsid w:val="07E311E1"/>
    <w:rsid w:val="082907E6"/>
    <w:rsid w:val="08733DD1"/>
    <w:rsid w:val="08744BDF"/>
    <w:rsid w:val="087E7F9A"/>
    <w:rsid w:val="088C1F29"/>
    <w:rsid w:val="0890141F"/>
    <w:rsid w:val="08A234FA"/>
    <w:rsid w:val="08C2594B"/>
    <w:rsid w:val="08C416C3"/>
    <w:rsid w:val="08FA104A"/>
    <w:rsid w:val="09077801"/>
    <w:rsid w:val="09842C00"/>
    <w:rsid w:val="098B3F8E"/>
    <w:rsid w:val="09E65669"/>
    <w:rsid w:val="0A081D5A"/>
    <w:rsid w:val="0A2549A1"/>
    <w:rsid w:val="0A3C5491"/>
    <w:rsid w:val="0A575703"/>
    <w:rsid w:val="0AA23C86"/>
    <w:rsid w:val="0AA55524"/>
    <w:rsid w:val="0ACA6E10"/>
    <w:rsid w:val="0AD120A5"/>
    <w:rsid w:val="0B0E30C9"/>
    <w:rsid w:val="0B2854DC"/>
    <w:rsid w:val="0B420FC5"/>
    <w:rsid w:val="0B485D8F"/>
    <w:rsid w:val="0B510AFC"/>
    <w:rsid w:val="0B725406"/>
    <w:rsid w:val="0B984EA0"/>
    <w:rsid w:val="0BD47E6F"/>
    <w:rsid w:val="0BF63FFA"/>
    <w:rsid w:val="0C14470F"/>
    <w:rsid w:val="0C1A784C"/>
    <w:rsid w:val="0C7930D1"/>
    <w:rsid w:val="0C8C0749"/>
    <w:rsid w:val="0C8F0E0E"/>
    <w:rsid w:val="0C963376"/>
    <w:rsid w:val="0CC04897"/>
    <w:rsid w:val="0D0B5B12"/>
    <w:rsid w:val="0D1129FD"/>
    <w:rsid w:val="0D2758D8"/>
    <w:rsid w:val="0D4B2512"/>
    <w:rsid w:val="0D73125D"/>
    <w:rsid w:val="0D86163D"/>
    <w:rsid w:val="0D9F70BA"/>
    <w:rsid w:val="0DA04024"/>
    <w:rsid w:val="0DA148D9"/>
    <w:rsid w:val="0DBF69E3"/>
    <w:rsid w:val="0DC52BE4"/>
    <w:rsid w:val="0DD95C10"/>
    <w:rsid w:val="0E084E96"/>
    <w:rsid w:val="0E0E478B"/>
    <w:rsid w:val="0E2A1FC8"/>
    <w:rsid w:val="0E323572"/>
    <w:rsid w:val="0E3F3599"/>
    <w:rsid w:val="0E5D18A0"/>
    <w:rsid w:val="0E5E1C72"/>
    <w:rsid w:val="0E683E02"/>
    <w:rsid w:val="0E7C47EE"/>
    <w:rsid w:val="0EA24254"/>
    <w:rsid w:val="0EA37073"/>
    <w:rsid w:val="0EAC3092"/>
    <w:rsid w:val="0EB2020F"/>
    <w:rsid w:val="0ECD1A9D"/>
    <w:rsid w:val="0ED675B0"/>
    <w:rsid w:val="0F046CBD"/>
    <w:rsid w:val="0F474DFC"/>
    <w:rsid w:val="0F515C7A"/>
    <w:rsid w:val="0F56503F"/>
    <w:rsid w:val="0F6459AD"/>
    <w:rsid w:val="0F706100"/>
    <w:rsid w:val="0F9A2F3D"/>
    <w:rsid w:val="0FCE1079"/>
    <w:rsid w:val="0FE20D7C"/>
    <w:rsid w:val="10022AD1"/>
    <w:rsid w:val="100B3384"/>
    <w:rsid w:val="10120910"/>
    <w:rsid w:val="101E5B5C"/>
    <w:rsid w:val="108300B5"/>
    <w:rsid w:val="10836FD3"/>
    <w:rsid w:val="109D3F3A"/>
    <w:rsid w:val="11162CD7"/>
    <w:rsid w:val="111927C8"/>
    <w:rsid w:val="11286567"/>
    <w:rsid w:val="112E0021"/>
    <w:rsid w:val="112E6273"/>
    <w:rsid w:val="11551A52"/>
    <w:rsid w:val="116002DE"/>
    <w:rsid w:val="116E664B"/>
    <w:rsid w:val="117C2B9D"/>
    <w:rsid w:val="118966C6"/>
    <w:rsid w:val="118E286E"/>
    <w:rsid w:val="11951E4E"/>
    <w:rsid w:val="11975DCD"/>
    <w:rsid w:val="11994F77"/>
    <w:rsid w:val="11A2456B"/>
    <w:rsid w:val="11A26319"/>
    <w:rsid w:val="11B43EFD"/>
    <w:rsid w:val="11BD63D9"/>
    <w:rsid w:val="11C12FBA"/>
    <w:rsid w:val="11C646FD"/>
    <w:rsid w:val="11C763DD"/>
    <w:rsid w:val="11DF1890"/>
    <w:rsid w:val="11E132E5"/>
    <w:rsid w:val="11FA43A7"/>
    <w:rsid w:val="1202502D"/>
    <w:rsid w:val="12080890"/>
    <w:rsid w:val="1209283C"/>
    <w:rsid w:val="12135469"/>
    <w:rsid w:val="12174F59"/>
    <w:rsid w:val="122D02D9"/>
    <w:rsid w:val="1231570E"/>
    <w:rsid w:val="12641821"/>
    <w:rsid w:val="126B0E01"/>
    <w:rsid w:val="126D2DCB"/>
    <w:rsid w:val="12924DEA"/>
    <w:rsid w:val="12B5207C"/>
    <w:rsid w:val="12BF3420"/>
    <w:rsid w:val="12CF1390"/>
    <w:rsid w:val="12E070F9"/>
    <w:rsid w:val="12E64A45"/>
    <w:rsid w:val="12FF165E"/>
    <w:rsid w:val="13051255"/>
    <w:rsid w:val="130F1070"/>
    <w:rsid w:val="134A5570"/>
    <w:rsid w:val="13581385"/>
    <w:rsid w:val="13637D2A"/>
    <w:rsid w:val="13641842"/>
    <w:rsid w:val="138A76EB"/>
    <w:rsid w:val="139D323C"/>
    <w:rsid w:val="13B32A60"/>
    <w:rsid w:val="13D6674E"/>
    <w:rsid w:val="13E250F3"/>
    <w:rsid w:val="13F07810"/>
    <w:rsid w:val="13FB7F63"/>
    <w:rsid w:val="142C636E"/>
    <w:rsid w:val="14847F58"/>
    <w:rsid w:val="148D505F"/>
    <w:rsid w:val="14BF1A72"/>
    <w:rsid w:val="14CB5B87"/>
    <w:rsid w:val="14D507EA"/>
    <w:rsid w:val="14EA1102"/>
    <w:rsid w:val="15003A82"/>
    <w:rsid w:val="150D2643"/>
    <w:rsid w:val="155E4C4D"/>
    <w:rsid w:val="15CC1BB7"/>
    <w:rsid w:val="15D53ED6"/>
    <w:rsid w:val="15D66ED9"/>
    <w:rsid w:val="15FF01DE"/>
    <w:rsid w:val="16105F47"/>
    <w:rsid w:val="1674297A"/>
    <w:rsid w:val="16866209"/>
    <w:rsid w:val="168D7598"/>
    <w:rsid w:val="168E3310"/>
    <w:rsid w:val="16AF39B2"/>
    <w:rsid w:val="16C14056"/>
    <w:rsid w:val="17045380"/>
    <w:rsid w:val="173D3933"/>
    <w:rsid w:val="17977A93"/>
    <w:rsid w:val="17A33AFE"/>
    <w:rsid w:val="17BD20FF"/>
    <w:rsid w:val="17C049E4"/>
    <w:rsid w:val="17D66D1D"/>
    <w:rsid w:val="17F13B56"/>
    <w:rsid w:val="17FB0CF5"/>
    <w:rsid w:val="17FF2717"/>
    <w:rsid w:val="18047D2E"/>
    <w:rsid w:val="182269B6"/>
    <w:rsid w:val="18273A1C"/>
    <w:rsid w:val="18494721"/>
    <w:rsid w:val="184B07E5"/>
    <w:rsid w:val="186D63A9"/>
    <w:rsid w:val="18721BFE"/>
    <w:rsid w:val="18743C88"/>
    <w:rsid w:val="18770844"/>
    <w:rsid w:val="18846AA3"/>
    <w:rsid w:val="189C28CC"/>
    <w:rsid w:val="18A24E51"/>
    <w:rsid w:val="18CB43A7"/>
    <w:rsid w:val="18DA45EA"/>
    <w:rsid w:val="18E15979"/>
    <w:rsid w:val="18E51F04"/>
    <w:rsid w:val="18EC71F7"/>
    <w:rsid w:val="192F68DB"/>
    <w:rsid w:val="1934019F"/>
    <w:rsid w:val="194859F8"/>
    <w:rsid w:val="197E141A"/>
    <w:rsid w:val="1981143D"/>
    <w:rsid w:val="19923117"/>
    <w:rsid w:val="19A7780A"/>
    <w:rsid w:val="19AE41D7"/>
    <w:rsid w:val="19B25BFD"/>
    <w:rsid w:val="19B65058"/>
    <w:rsid w:val="19CC0E30"/>
    <w:rsid w:val="19D84590"/>
    <w:rsid w:val="19E5593D"/>
    <w:rsid w:val="19F41052"/>
    <w:rsid w:val="19F90CBD"/>
    <w:rsid w:val="1A023DF9"/>
    <w:rsid w:val="1A0555FA"/>
    <w:rsid w:val="1A37709D"/>
    <w:rsid w:val="1A441C67"/>
    <w:rsid w:val="1A5A3C35"/>
    <w:rsid w:val="1A5F749D"/>
    <w:rsid w:val="1A6525DA"/>
    <w:rsid w:val="1A7A6085"/>
    <w:rsid w:val="1A7B1208"/>
    <w:rsid w:val="1A8A5405"/>
    <w:rsid w:val="1AAB244B"/>
    <w:rsid w:val="1AB60F97"/>
    <w:rsid w:val="1AD67034"/>
    <w:rsid w:val="1AE25A13"/>
    <w:rsid w:val="1B1464DA"/>
    <w:rsid w:val="1B1B4F22"/>
    <w:rsid w:val="1B1E2EB4"/>
    <w:rsid w:val="1B3E1DB1"/>
    <w:rsid w:val="1B5300D1"/>
    <w:rsid w:val="1B5F527B"/>
    <w:rsid w:val="1B6805D3"/>
    <w:rsid w:val="1B925650"/>
    <w:rsid w:val="1BB630ED"/>
    <w:rsid w:val="1BB92589"/>
    <w:rsid w:val="1BC75073"/>
    <w:rsid w:val="1BF17928"/>
    <w:rsid w:val="1BFC2ACA"/>
    <w:rsid w:val="1BFE6842"/>
    <w:rsid w:val="1C381D54"/>
    <w:rsid w:val="1C3D55BC"/>
    <w:rsid w:val="1C40004C"/>
    <w:rsid w:val="1C46617C"/>
    <w:rsid w:val="1C5B1EE6"/>
    <w:rsid w:val="1C7B7E93"/>
    <w:rsid w:val="1CD5276D"/>
    <w:rsid w:val="1CDD1DDA"/>
    <w:rsid w:val="1CE2139F"/>
    <w:rsid w:val="1CED4D9A"/>
    <w:rsid w:val="1CFD2DEB"/>
    <w:rsid w:val="1CFD4D4B"/>
    <w:rsid w:val="1CFD77DD"/>
    <w:rsid w:val="1CFF2872"/>
    <w:rsid w:val="1D180B11"/>
    <w:rsid w:val="1D1F1166"/>
    <w:rsid w:val="1D291FE4"/>
    <w:rsid w:val="1D303373"/>
    <w:rsid w:val="1D3E15EC"/>
    <w:rsid w:val="1D440BCC"/>
    <w:rsid w:val="1D547061"/>
    <w:rsid w:val="1D5C5F16"/>
    <w:rsid w:val="1D632E00"/>
    <w:rsid w:val="1DB06C26"/>
    <w:rsid w:val="1DB93368"/>
    <w:rsid w:val="1DE2466D"/>
    <w:rsid w:val="1DE657E0"/>
    <w:rsid w:val="1E0345E3"/>
    <w:rsid w:val="1E0D609F"/>
    <w:rsid w:val="1E370F6E"/>
    <w:rsid w:val="1E3E386E"/>
    <w:rsid w:val="1E41058F"/>
    <w:rsid w:val="1E4F7829"/>
    <w:rsid w:val="1E7827D7"/>
    <w:rsid w:val="1E82430E"/>
    <w:rsid w:val="1E827BFE"/>
    <w:rsid w:val="1E854EF6"/>
    <w:rsid w:val="1E8A0861"/>
    <w:rsid w:val="1E90231B"/>
    <w:rsid w:val="1E911BEF"/>
    <w:rsid w:val="1EA062D6"/>
    <w:rsid w:val="1EA136A4"/>
    <w:rsid w:val="1EA9518B"/>
    <w:rsid w:val="1EC100F7"/>
    <w:rsid w:val="1ED02718"/>
    <w:rsid w:val="1EDE0DC9"/>
    <w:rsid w:val="1EFB0FF7"/>
    <w:rsid w:val="1F016233"/>
    <w:rsid w:val="1F0839F5"/>
    <w:rsid w:val="1F3C5FFF"/>
    <w:rsid w:val="1F483CAE"/>
    <w:rsid w:val="1F58270D"/>
    <w:rsid w:val="1F681955"/>
    <w:rsid w:val="1F96384E"/>
    <w:rsid w:val="1FA94D17"/>
    <w:rsid w:val="1FBF453A"/>
    <w:rsid w:val="1FC41516"/>
    <w:rsid w:val="1FCD0C41"/>
    <w:rsid w:val="1FE65F6B"/>
    <w:rsid w:val="20407429"/>
    <w:rsid w:val="205D3479"/>
    <w:rsid w:val="205D59B9"/>
    <w:rsid w:val="20B00A53"/>
    <w:rsid w:val="20DF30E6"/>
    <w:rsid w:val="20EE157B"/>
    <w:rsid w:val="21091F11"/>
    <w:rsid w:val="210E7DC4"/>
    <w:rsid w:val="211A2370"/>
    <w:rsid w:val="212714CC"/>
    <w:rsid w:val="21375068"/>
    <w:rsid w:val="213827F6"/>
    <w:rsid w:val="217F21D3"/>
    <w:rsid w:val="218A7747"/>
    <w:rsid w:val="21CB18BC"/>
    <w:rsid w:val="21F229A5"/>
    <w:rsid w:val="2208666C"/>
    <w:rsid w:val="22673393"/>
    <w:rsid w:val="227A1204"/>
    <w:rsid w:val="2282102E"/>
    <w:rsid w:val="228850B7"/>
    <w:rsid w:val="22A75E85"/>
    <w:rsid w:val="22B45EAC"/>
    <w:rsid w:val="22C500B9"/>
    <w:rsid w:val="22E22A19"/>
    <w:rsid w:val="22F4274D"/>
    <w:rsid w:val="23030CDE"/>
    <w:rsid w:val="2305495A"/>
    <w:rsid w:val="230C5B45"/>
    <w:rsid w:val="232402E6"/>
    <w:rsid w:val="232474D6"/>
    <w:rsid w:val="233921C6"/>
    <w:rsid w:val="23566F63"/>
    <w:rsid w:val="237C132F"/>
    <w:rsid w:val="239301B8"/>
    <w:rsid w:val="23931162"/>
    <w:rsid w:val="23B57EEF"/>
    <w:rsid w:val="23B720F8"/>
    <w:rsid w:val="23BC770E"/>
    <w:rsid w:val="23CD5478"/>
    <w:rsid w:val="23F90398"/>
    <w:rsid w:val="244D0366"/>
    <w:rsid w:val="24507394"/>
    <w:rsid w:val="24581139"/>
    <w:rsid w:val="245F5AA3"/>
    <w:rsid w:val="246062EC"/>
    <w:rsid w:val="247B1377"/>
    <w:rsid w:val="248B0E8F"/>
    <w:rsid w:val="249D12EE"/>
    <w:rsid w:val="24D63021"/>
    <w:rsid w:val="24D75511"/>
    <w:rsid w:val="24FE5B05"/>
    <w:rsid w:val="25113D95"/>
    <w:rsid w:val="256552FA"/>
    <w:rsid w:val="25781413"/>
    <w:rsid w:val="25C24D84"/>
    <w:rsid w:val="25C7239A"/>
    <w:rsid w:val="25D157F3"/>
    <w:rsid w:val="25E847EB"/>
    <w:rsid w:val="25F62C69"/>
    <w:rsid w:val="261F3F85"/>
    <w:rsid w:val="26323CB8"/>
    <w:rsid w:val="26361E29"/>
    <w:rsid w:val="265F3C06"/>
    <w:rsid w:val="266B0F78"/>
    <w:rsid w:val="267E6EFD"/>
    <w:rsid w:val="26A050C5"/>
    <w:rsid w:val="26A83F7A"/>
    <w:rsid w:val="26B80661"/>
    <w:rsid w:val="26B97F35"/>
    <w:rsid w:val="26D7660D"/>
    <w:rsid w:val="26F40F6D"/>
    <w:rsid w:val="26F86CAF"/>
    <w:rsid w:val="270D202F"/>
    <w:rsid w:val="273B094A"/>
    <w:rsid w:val="27651657"/>
    <w:rsid w:val="276F4A98"/>
    <w:rsid w:val="27773435"/>
    <w:rsid w:val="27781B9E"/>
    <w:rsid w:val="277F2F2D"/>
    <w:rsid w:val="27912C60"/>
    <w:rsid w:val="27987C12"/>
    <w:rsid w:val="27C035C2"/>
    <w:rsid w:val="27EB411E"/>
    <w:rsid w:val="27F4193C"/>
    <w:rsid w:val="28101DD7"/>
    <w:rsid w:val="285807C8"/>
    <w:rsid w:val="2876311D"/>
    <w:rsid w:val="288442E0"/>
    <w:rsid w:val="28B07116"/>
    <w:rsid w:val="28C610C5"/>
    <w:rsid w:val="28D70B46"/>
    <w:rsid w:val="28EB63A0"/>
    <w:rsid w:val="28EC2844"/>
    <w:rsid w:val="28ED7FCB"/>
    <w:rsid w:val="28F43F3F"/>
    <w:rsid w:val="29121CB1"/>
    <w:rsid w:val="291A2024"/>
    <w:rsid w:val="29324B60"/>
    <w:rsid w:val="293B10D5"/>
    <w:rsid w:val="29656152"/>
    <w:rsid w:val="297E0FC2"/>
    <w:rsid w:val="298B6D36"/>
    <w:rsid w:val="29915199"/>
    <w:rsid w:val="29A25953"/>
    <w:rsid w:val="29A7676B"/>
    <w:rsid w:val="29B11398"/>
    <w:rsid w:val="29B34902"/>
    <w:rsid w:val="29C55971"/>
    <w:rsid w:val="29FA689B"/>
    <w:rsid w:val="2A070FB7"/>
    <w:rsid w:val="2A3F0751"/>
    <w:rsid w:val="2A4144C9"/>
    <w:rsid w:val="2A4B359A"/>
    <w:rsid w:val="2A4E308A"/>
    <w:rsid w:val="2A7E3970"/>
    <w:rsid w:val="2A7E571E"/>
    <w:rsid w:val="2A834BA7"/>
    <w:rsid w:val="2A95006B"/>
    <w:rsid w:val="2AA9206F"/>
    <w:rsid w:val="2AF14141"/>
    <w:rsid w:val="2B057BED"/>
    <w:rsid w:val="2B10150C"/>
    <w:rsid w:val="2B1B242C"/>
    <w:rsid w:val="2B1C0A93"/>
    <w:rsid w:val="2B1E0CAF"/>
    <w:rsid w:val="2B253B3A"/>
    <w:rsid w:val="2B262D88"/>
    <w:rsid w:val="2B3207F8"/>
    <w:rsid w:val="2B400C25"/>
    <w:rsid w:val="2B563FA5"/>
    <w:rsid w:val="2B6F150A"/>
    <w:rsid w:val="2BA54F2C"/>
    <w:rsid w:val="2BAA609E"/>
    <w:rsid w:val="2BBB4515"/>
    <w:rsid w:val="2BE21CDC"/>
    <w:rsid w:val="2BE24656"/>
    <w:rsid w:val="2C0E7E49"/>
    <w:rsid w:val="2C1C51EE"/>
    <w:rsid w:val="2C2E09A7"/>
    <w:rsid w:val="2C5D5807"/>
    <w:rsid w:val="2CA43435"/>
    <w:rsid w:val="2CAE7E10"/>
    <w:rsid w:val="2CB52F4D"/>
    <w:rsid w:val="2CCA3C29"/>
    <w:rsid w:val="2CDE06F5"/>
    <w:rsid w:val="2CE101E6"/>
    <w:rsid w:val="2D1862CC"/>
    <w:rsid w:val="2D3B78F6"/>
    <w:rsid w:val="2D3C3CE0"/>
    <w:rsid w:val="2D9B0395"/>
    <w:rsid w:val="2DB3568C"/>
    <w:rsid w:val="2DB56CC6"/>
    <w:rsid w:val="2DC45B3D"/>
    <w:rsid w:val="2DDE5EB6"/>
    <w:rsid w:val="2DE41D3C"/>
    <w:rsid w:val="2DE57862"/>
    <w:rsid w:val="2E181D6C"/>
    <w:rsid w:val="2E1A11D6"/>
    <w:rsid w:val="2E3C41E8"/>
    <w:rsid w:val="2E41718E"/>
    <w:rsid w:val="2E4875EF"/>
    <w:rsid w:val="2E652751"/>
    <w:rsid w:val="2E9C43C4"/>
    <w:rsid w:val="2EBE559C"/>
    <w:rsid w:val="2ED95383"/>
    <w:rsid w:val="2EDD678B"/>
    <w:rsid w:val="2EE67D35"/>
    <w:rsid w:val="2F0E4B96"/>
    <w:rsid w:val="2F454A5C"/>
    <w:rsid w:val="2F7013AD"/>
    <w:rsid w:val="2F925B34"/>
    <w:rsid w:val="2F9C6646"/>
    <w:rsid w:val="2FB4250F"/>
    <w:rsid w:val="2FDE6C5E"/>
    <w:rsid w:val="2FFE77BC"/>
    <w:rsid w:val="30044399"/>
    <w:rsid w:val="30237A49"/>
    <w:rsid w:val="3025488D"/>
    <w:rsid w:val="302F1268"/>
    <w:rsid w:val="303D5733"/>
    <w:rsid w:val="304B1FAD"/>
    <w:rsid w:val="30620836"/>
    <w:rsid w:val="306727B0"/>
    <w:rsid w:val="30980BBB"/>
    <w:rsid w:val="30A112E4"/>
    <w:rsid w:val="30BD0622"/>
    <w:rsid w:val="30D37A08"/>
    <w:rsid w:val="30D51E0F"/>
    <w:rsid w:val="30D85348"/>
    <w:rsid w:val="30E42053"/>
    <w:rsid w:val="30E4417A"/>
    <w:rsid w:val="30EF3F80"/>
    <w:rsid w:val="30F43C8B"/>
    <w:rsid w:val="313E3BEF"/>
    <w:rsid w:val="314825E1"/>
    <w:rsid w:val="31547E00"/>
    <w:rsid w:val="316541BC"/>
    <w:rsid w:val="31864B6F"/>
    <w:rsid w:val="31A6555A"/>
    <w:rsid w:val="31AD5F79"/>
    <w:rsid w:val="31AD6854"/>
    <w:rsid w:val="31C46AEB"/>
    <w:rsid w:val="31CF3CF6"/>
    <w:rsid w:val="31EC7411"/>
    <w:rsid w:val="320C360F"/>
    <w:rsid w:val="322D3496"/>
    <w:rsid w:val="32317519"/>
    <w:rsid w:val="32557E30"/>
    <w:rsid w:val="326954EA"/>
    <w:rsid w:val="326B6556"/>
    <w:rsid w:val="32892EB1"/>
    <w:rsid w:val="32CB34CA"/>
    <w:rsid w:val="32E91BA2"/>
    <w:rsid w:val="32F26CA9"/>
    <w:rsid w:val="332000AC"/>
    <w:rsid w:val="33524E23"/>
    <w:rsid w:val="33585F3A"/>
    <w:rsid w:val="33752509"/>
    <w:rsid w:val="33811DDB"/>
    <w:rsid w:val="33896EE1"/>
    <w:rsid w:val="338A5133"/>
    <w:rsid w:val="33DC5277"/>
    <w:rsid w:val="33E11919"/>
    <w:rsid w:val="33E660E2"/>
    <w:rsid w:val="34015F0C"/>
    <w:rsid w:val="342F1837"/>
    <w:rsid w:val="34687E1F"/>
    <w:rsid w:val="347A51A8"/>
    <w:rsid w:val="348D2FB3"/>
    <w:rsid w:val="34A51AF9"/>
    <w:rsid w:val="34CC177B"/>
    <w:rsid w:val="350C08BE"/>
    <w:rsid w:val="35151F77"/>
    <w:rsid w:val="35441312"/>
    <w:rsid w:val="355359F9"/>
    <w:rsid w:val="35845BB2"/>
    <w:rsid w:val="35903676"/>
    <w:rsid w:val="35954D78"/>
    <w:rsid w:val="35966ADA"/>
    <w:rsid w:val="35977783"/>
    <w:rsid w:val="35BF7503"/>
    <w:rsid w:val="35C0308E"/>
    <w:rsid w:val="35DD75FE"/>
    <w:rsid w:val="35E01551"/>
    <w:rsid w:val="35E32B0A"/>
    <w:rsid w:val="35ED3757"/>
    <w:rsid w:val="35FD26BC"/>
    <w:rsid w:val="3600422E"/>
    <w:rsid w:val="360F36CE"/>
    <w:rsid w:val="362C0724"/>
    <w:rsid w:val="36413AA3"/>
    <w:rsid w:val="3651018A"/>
    <w:rsid w:val="36681030"/>
    <w:rsid w:val="36721EAF"/>
    <w:rsid w:val="367C3E2C"/>
    <w:rsid w:val="367D4B1B"/>
    <w:rsid w:val="36D44917"/>
    <w:rsid w:val="36FB00F6"/>
    <w:rsid w:val="370F70BA"/>
    <w:rsid w:val="37126588"/>
    <w:rsid w:val="372141AB"/>
    <w:rsid w:val="37296A11"/>
    <w:rsid w:val="375B29B7"/>
    <w:rsid w:val="375C63A0"/>
    <w:rsid w:val="37814798"/>
    <w:rsid w:val="378679C0"/>
    <w:rsid w:val="378E4C46"/>
    <w:rsid w:val="37D13785"/>
    <w:rsid w:val="37D44670"/>
    <w:rsid w:val="37D921E5"/>
    <w:rsid w:val="37F708BD"/>
    <w:rsid w:val="380D00E1"/>
    <w:rsid w:val="381D0D7D"/>
    <w:rsid w:val="38265E6E"/>
    <w:rsid w:val="3835615C"/>
    <w:rsid w:val="38437CB5"/>
    <w:rsid w:val="384F06F9"/>
    <w:rsid w:val="38983E4E"/>
    <w:rsid w:val="38A04AB1"/>
    <w:rsid w:val="38A74091"/>
    <w:rsid w:val="38BB7B3D"/>
    <w:rsid w:val="38CC1D4A"/>
    <w:rsid w:val="38CC58A6"/>
    <w:rsid w:val="38F863D4"/>
    <w:rsid w:val="3922196A"/>
    <w:rsid w:val="392456E2"/>
    <w:rsid w:val="395835DE"/>
    <w:rsid w:val="396B01B7"/>
    <w:rsid w:val="39783FDF"/>
    <w:rsid w:val="398443D3"/>
    <w:rsid w:val="39AD4232"/>
    <w:rsid w:val="39AE31FE"/>
    <w:rsid w:val="39BD1693"/>
    <w:rsid w:val="39C5288D"/>
    <w:rsid w:val="39D709A6"/>
    <w:rsid w:val="3A0F6392"/>
    <w:rsid w:val="3A103EB8"/>
    <w:rsid w:val="3A1219DE"/>
    <w:rsid w:val="3A231E3E"/>
    <w:rsid w:val="3A371C54"/>
    <w:rsid w:val="3A647D60"/>
    <w:rsid w:val="3A6C475E"/>
    <w:rsid w:val="3A796F1C"/>
    <w:rsid w:val="3ABA4EDF"/>
    <w:rsid w:val="3AC3738E"/>
    <w:rsid w:val="3AEE41FA"/>
    <w:rsid w:val="3B0F23C2"/>
    <w:rsid w:val="3B133C60"/>
    <w:rsid w:val="3B1874C8"/>
    <w:rsid w:val="3B2C2F74"/>
    <w:rsid w:val="3B55139D"/>
    <w:rsid w:val="3B5A5F3A"/>
    <w:rsid w:val="3B60245A"/>
    <w:rsid w:val="3B6C15C2"/>
    <w:rsid w:val="3B974891"/>
    <w:rsid w:val="3B980F96"/>
    <w:rsid w:val="3B9B0B5E"/>
    <w:rsid w:val="3BA24FE4"/>
    <w:rsid w:val="3BA77DFC"/>
    <w:rsid w:val="3BA83A3B"/>
    <w:rsid w:val="3BB865B6"/>
    <w:rsid w:val="3BD66A3C"/>
    <w:rsid w:val="3C395948"/>
    <w:rsid w:val="3C406CD7"/>
    <w:rsid w:val="3C5E4A95"/>
    <w:rsid w:val="3C8347C6"/>
    <w:rsid w:val="3C862210"/>
    <w:rsid w:val="3C8D5C5F"/>
    <w:rsid w:val="3C912837"/>
    <w:rsid w:val="3CAA583B"/>
    <w:rsid w:val="3CB36861"/>
    <w:rsid w:val="3CB7686D"/>
    <w:rsid w:val="3CD70CBD"/>
    <w:rsid w:val="3CDC7F7A"/>
    <w:rsid w:val="3CF11D7F"/>
    <w:rsid w:val="3CFD4BC8"/>
    <w:rsid w:val="3D29556C"/>
    <w:rsid w:val="3D3E02C6"/>
    <w:rsid w:val="3D640326"/>
    <w:rsid w:val="3D7A7A05"/>
    <w:rsid w:val="3D8449A1"/>
    <w:rsid w:val="3D9D5A63"/>
    <w:rsid w:val="3DAE562E"/>
    <w:rsid w:val="3DB64D77"/>
    <w:rsid w:val="3DB660A3"/>
    <w:rsid w:val="3DDD01B6"/>
    <w:rsid w:val="3E014244"/>
    <w:rsid w:val="3E1D52EA"/>
    <w:rsid w:val="3E361E88"/>
    <w:rsid w:val="3E391C30"/>
    <w:rsid w:val="3E402FFD"/>
    <w:rsid w:val="3E4124C1"/>
    <w:rsid w:val="3E5E1C00"/>
    <w:rsid w:val="3ED454B4"/>
    <w:rsid w:val="3ED5122D"/>
    <w:rsid w:val="3EDE23A4"/>
    <w:rsid w:val="3EE821AA"/>
    <w:rsid w:val="3F1C6E5B"/>
    <w:rsid w:val="3F202B4A"/>
    <w:rsid w:val="3F2A4F0C"/>
    <w:rsid w:val="3F310B59"/>
    <w:rsid w:val="3F37085A"/>
    <w:rsid w:val="3F4343E8"/>
    <w:rsid w:val="3F4E170B"/>
    <w:rsid w:val="3F516B05"/>
    <w:rsid w:val="3F59096A"/>
    <w:rsid w:val="3F6A5E19"/>
    <w:rsid w:val="3F890995"/>
    <w:rsid w:val="3F93711E"/>
    <w:rsid w:val="3FA255B3"/>
    <w:rsid w:val="3FA27B7D"/>
    <w:rsid w:val="3FB23684"/>
    <w:rsid w:val="3FBA14D7"/>
    <w:rsid w:val="3FE27CAC"/>
    <w:rsid w:val="3FE94F8F"/>
    <w:rsid w:val="3FFC714D"/>
    <w:rsid w:val="3FFF3800"/>
    <w:rsid w:val="400C5122"/>
    <w:rsid w:val="401C148F"/>
    <w:rsid w:val="4035194F"/>
    <w:rsid w:val="40414DCB"/>
    <w:rsid w:val="405368AD"/>
    <w:rsid w:val="405E3BCF"/>
    <w:rsid w:val="40632F94"/>
    <w:rsid w:val="40795ACB"/>
    <w:rsid w:val="40A84E4B"/>
    <w:rsid w:val="40B82BB4"/>
    <w:rsid w:val="40BF2194"/>
    <w:rsid w:val="40C951F3"/>
    <w:rsid w:val="40CB28E7"/>
    <w:rsid w:val="40E669BC"/>
    <w:rsid w:val="410871DF"/>
    <w:rsid w:val="41134241"/>
    <w:rsid w:val="41384420"/>
    <w:rsid w:val="41387BDA"/>
    <w:rsid w:val="41524DB6"/>
    <w:rsid w:val="41662610"/>
    <w:rsid w:val="418C2651"/>
    <w:rsid w:val="41923405"/>
    <w:rsid w:val="41B6751F"/>
    <w:rsid w:val="41C23CEA"/>
    <w:rsid w:val="420C31B7"/>
    <w:rsid w:val="4219200F"/>
    <w:rsid w:val="424B0183"/>
    <w:rsid w:val="424E4AE2"/>
    <w:rsid w:val="425F3C2F"/>
    <w:rsid w:val="425F6FF8"/>
    <w:rsid w:val="426111F5"/>
    <w:rsid w:val="426E4935"/>
    <w:rsid w:val="426E79CE"/>
    <w:rsid w:val="42925DB2"/>
    <w:rsid w:val="42A31D6D"/>
    <w:rsid w:val="42F425C9"/>
    <w:rsid w:val="43284021"/>
    <w:rsid w:val="4338647E"/>
    <w:rsid w:val="43416B84"/>
    <w:rsid w:val="43486471"/>
    <w:rsid w:val="435E1836"/>
    <w:rsid w:val="43702534"/>
    <w:rsid w:val="43731BFB"/>
    <w:rsid w:val="437702D4"/>
    <w:rsid w:val="43915208"/>
    <w:rsid w:val="43AA0EDA"/>
    <w:rsid w:val="43B458B4"/>
    <w:rsid w:val="43B835F7"/>
    <w:rsid w:val="43C83170"/>
    <w:rsid w:val="43C926B1"/>
    <w:rsid w:val="43EB55F8"/>
    <w:rsid w:val="43F14D5A"/>
    <w:rsid w:val="43FE2FD4"/>
    <w:rsid w:val="440E76BA"/>
    <w:rsid w:val="440F6F8F"/>
    <w:rsid w:val="44245B06"/>
    <w:rsid w:val="44474665"/>
    <w:rsid w:val="44496945"/>
    <w:rsid w:val="446B335D"/>
    <w:rsid w:val="44722916"/>
    <w:rsid w:val="44A1408B"/>
    <w:rsid w:val="44D0671E"/>
    <w:rsid w:val="44F1284F"/>
    <w:rsid w:val="451A208F"/>
    <w:rsid w:val="453B5179"/>
    <w:rsid w:val="45462E84"/>
    <w:rsid w:val="454B2248"/>
    <w:rsid w:val="4565330A"/>
    <w:rsid w:val="45701CAF"/>
    <w:rsid w:val="45A4113C"/>
    <w:rsid w:val="45B740EC"/>
    <w:rsid w:val="45EB3A89"/>
    <w:rsid w:val="45F45AFC"/>
    <w:rsid w:val="46004DE1"/>
    <w:rsid w:val="460F14C8"/>
    <w:rsid w:val="46333408"/>
    <w:rsid w:val="463605ED"/>
    <w:rsid w:val="463B56E4"/>
    <w:rsid w:val="4640345B"/>
    <w:rsid w:val="46445615"/>
    <w:rsid w:val="4672352C"/>
    <w:rsid w:val="46821C9A"/>
    <w:rsid w:val="469043B7"/>
    <w:rsid w:val="4691230A"/>
    <w:rsid w:val="46D44B1C"/>
    <w:rsid w:val="46D9702A"/>
    <w:rsid w:val="46E93AC7"/>
    <w:rsid w:val="46EE37D3"/>
    <w:rsid w:val="46F56910"/>
    <w:rsid w:val="471A6376"/>
    <w:rsid w:val="47433201"/>
    <w:rsid w:val="47482EE3"/>
    <w:rsid w:val="475F1FDB"/>
    <w:rsid w:val="47691D42"/>
    <w:rsid w:val="47944DD1"/>
    <w:rsid w:val="479A72AE"/>
    <w:rsid w:val="47A45C40"/>
    <w:rsid w:val="47B16CDB"/>
    <w:rsid w:val="47CF246A"/>
    <w:rsid w:val="47E32C0C"/>
    <w:rsid w:val="47EB35E1"/>
    <w:rsid w:val="47FC7109"/>
    <w:rsid w:val="47FE7C9B"/>
    <w:rsid w:val="4800731A"/>
    <w:rsid w:val="48390A7E"/>
    <w:rsid w:val="48416614"/>
    <w:rsid w:val="484F3DFE"/>
    <w:rsid w:val="4892697B"/>
    <w:rsid w:val="48945CB4"/>
    <w:rsid w:val="48B85E47"/>
    <w:rsid w:val="49253725"/>
    <w:rsid w:val="492E0052"/>
    <w:rsid w:val="49415E3C"/>
    <w:rsid w:val="494A7DB3"/>
    <w:rsid w:val="494E0559"/>
    <w:rsid w:val="49507E2D"/>
    <w:rsid w:val="4981448B"/>
    <w:rsid w:val="498B1120"/>
    <w:rsid w:val="49AF4E76"/>
    <w:rsid w:val="49BA174B"/>
    <w:rsid w:val="49CE0617"/>
    <w:rsid w:val="49D767A1"/>
    <w:rsid w:val="49EA14DE"/>
    <w:rsid w:val="49F91B1E"/>
    <w:rsid w:val="4A1447B8"/>
    <w:rsid w:val="4A196989"/>
    <w:rsid w:val="4A38723F"/>
    <w:rsid w:val="4A401D94"/>
    <w:rsid w:val="4A4A2ACF"/>
    <w:rsid w:val="4A4B1995"/>
    <w:rsid w:val="4A4D598D"/>
    <w:rsid w:val="4A5D6CA6"/>
    <w:rsid w:val="4A62250E"/>
    <w:rsid w:val="4A896E3F"/>
    <w:rsid w:val="4A8B748A"/>
    <w:rsid w:val="4A946440"/>
    <w:rsid w:val="4AAE12AF"/>
    <w:rsid w:val="4AC07235"/>
    <w:rsid w:val="4ACF1226"/>
    <w:rsid w:val="4AD8632C"/>
    <w:rsid w:val="4AD96526"/>
    <w:rsid w:val="4AF201DB"/>
    <w:rsid w:val="4AF31B5C"/>
    <w:rsid w:val="4AF33CC3"/>
    <w:rsid w:val="4B100EBF"/>
    <w:rsid w:val="4B6202EC"/>
    <w:rsid w:val="4B823029"/>
    <w:rsid w:val="4B920D66"/>
    <w:rsid w:val="4BA36BA8"/>
    <w:rsid w:val="4BCD7CBE"/>
    <w:rsid w:val="4BD5286C"/>
    <w:rsid w:val="4BFE6267"/>
    <w:rsid w:val="4C0E55FD"/>
    <w:rsid w:val="4C15710C"/>
    <w:rsid w:val="4C343AF5"/>
    <w:rsid w:val="4C6D5CD6"/>
    <w:rsid w:val="4C8A18A8"/>
    <w:rsid w:val="4CA007D8"/>
    <w:rsid w:val="4CA50490"/>
    <w:rsid w:val="4CAC7A71"/>
    <w:rsid w:val="4CE92A73"/>
    <w:rsid w:val="4CEC2563"/>
    <w:rsid w:val="4CF04630"/>
    <w:rsid w:val="4CF338F1"/>
    <w:rsid w:val="4CF97AB6"/>
    <w:rsid w:val="4D306E45"/>
    <w:rsid w:val="4D32260D"/>
    <w:rsid w:val="4D341814"/>
    <w:rsid w:val="4D3772A3"/>
    <w:rsid w:val="4D3F08E5"/>
    <w:rsid w:val="4D41465D"/>
    <w:rsid w:val="4D541496"/>
    <w:rsid w:val="4D702720"/>
    <w:rsid w:val="4D8E7176"/>
    <w:rsid w:val="4DDA0E2E"/>
    <w:rsid w:val="4DF162BC"/>
    <w:rsid w:val="4E090ECD"/>
    <w:rsid w:val="4E10368E"/>
    <w:rsid w:val="4E1F105F"/>
    <w:rsid w:val="4E285E8B"/>
    <w:rsid w:val="4E370CD2"/>
    <w:rsid w:val="4E486284"/>
    <w:rsid w:val="4E5959D6"/>
    <w:rsid w:val="4EA16E8D"/>
    <w:rsid w:val="4EC15329"/>
    <w:rsid w:val="4ECA12EB"/>
    <w:rsid w:val="4F0A6CD0"/>
    <w:rsid w:val="4F1813ED"/>
    <w:rsid w:val="4F2C6C47"/>
    <w:rsid w:val="4F6B5B85"/>
    <w:rsid w:val="4F710579"/>
    <w:rsid w:val="4F84797E"/>
    <w:rsid w:val="4F8E380C"/>
    <w:rsid w:val="4F9A62A6"/>
    <w:rsid w:val="4FD20701"/>
    <w:rsid w:val="4FE65048"/>
    <w:rsid w:val="4FF45C63"/>
    <w:rsid w:val="500E7580"/>
    <w:rsid w:val="50205733"/>
    <w:rsid w:val="502A2FD7"/>
    <w:rsid w:val="507B7E86"/>
    <w:rsid w:val="50854189"/>
    <w:rsid w:val="50D852D8"/>
    <w:rsid w:val="51165E00"/>
    <w:rsid w:val="512F6EC2"/>
    <w:rsid w:val="515E50B1"/>
    <w:rsid w:val="516A3A56"/>
    <w:rsid w:val="51894824"/>
    <w:rsid w:val="51937451"/>
    <w:rsid w:val="51A45B14"/>
    <w:rsid w:val="51AE7DE7"/>
    <w:rsid w:val="51B43196"/>
    <w:rsid w:val="51D04201"/>
    <w:rsid w:val="51D11D27"/>
    <w:rsid w:val="51D27F79"/>
    <w:rsid w:val="51DD2179"/>
    <w:rsid w:val="51E8779D"/>
    <w:rsid w:val="520C2D5F"/>
    <w:rsid w:val="52301062"/>
    <w:rsid w:val="524D5852"/>
    <w:rsid w:val="52554706"/>
    <w:rsid w:val="52662470"/>
    <w:rsid w:val="526B5CD8"/>
    <w:rsid w:val="526D7CA2"/>
    <w:rsid w:val="5281374D"/>
    <w:rsid w:val="529B299F"/>
    <w:rsid w:val="52B94C95"/>
    <w:rsid w:val="52BA18DC"/>
    <w:rsid w:val="52CB0DE9"/>
    <w:rsid w:val="52D006A7"/>
    <w:rsid w:val="52E87329"/>
    <w:rsid w:val="52F1442F"/>
    <w:rsid w:val="53261273"/>
    <w:rsid w:val="533A546C"/>
    <w:rsid w:val="534053B7"/>
    <w:rsid w:val="53574B4E"/>
    <w:rsid w:val="53682217"/>
    <w:rsid w:val="537107A3"/>
    <w:rsid w:val="538C1553"/>
    <w:rsid w:val="53B55872"/>
    <w:rsid w:val="53CB2ED2"/>
    <w:rsid w:val="53D37FD9"/>
    <w:rsid w:val="53E43099"/>
    <w:rsid w:val="53FD0BB2"/>
    <w:rsid w:val="541B1826"/>
    <w:rsid w:val="5437338A"/>
    <w:rsid w:val="54393EEB"/>
    <w:rsid w:val="54455E57"/>
    <w:rsid w:val="545C7FCE"/>
    <w:rsid w:val="54640C31"/>
    <w:rsid w:val="54BE2A37"/>
    <w:rsid w:val="54D933CD"/>
    <w:rsid w:val="54DE2FC8"/>
    <w:rsid w:val="54E81862"/>
    <w:rsid w:val="54F14BBA"/>
    <w:rsid w:val="54F76F4D"/>
    <w:rsid w:val="55070BDF"/>
    <w:rsid w:val="55217CBE"/>
    <w:rsid w:val="552E107A"/>
    <w:rsid w:val="555962BC"/>
    <w:rsid w:val="558A0B6B"/>
    <w:rsid w:val="55935C72"/>
    <w:rsid w:val="55A03EEB"/>
    <w:rsid w:val="55A34CA2"/>
    <w:rsid w:val="55AF05D2"/>
    <w:rsid w:val="55BD21CC"/>
    <w:rsid w:val="55EB2FAE"/>
    <w:rsid w:val="55FB55C5"/>
    <w:rsid w:val="55FE6BD6"/>
    <w:rsid w:val="56097CE2"/>
    <w:rsid w:val="561A5A4B"/>
    <w:rsid w:val="56260894"/>
    <w:rsid w:val="56532D50"/>
    <w:rsid w:val="56786C15"/>
    <w:rsid w:val="56A24BF9"/>
    <w:rsid w:val="56C9275B"/>
    <w:rsid w:val="56D57BC4"/>
    <w:rsid w:val="56E878F7"/>
    <w:rsid w:val="56F03897"/>
    <w:rsid w:val="56FD7F9F"/>
    <w:rsid w:val="572D4CFA"/>
    <w:rsid w:val="5744544E"/>
    <w:rsid w:val="577473DD"/>
    <w:rsid w:val="579B17C3"/>
    <w:rsid w:val="57A777B2"/>
    <w:rsid w:val="57A8352A"/>
    <w:rsid w:val="57FE314A"/>
    <w:rsid w:val="580F562A"/>
    <w:rsid w:val="58353010"/>
    <w:rsid w:val="58642482"/>
    <w:rsid w:val="5866358C"/>
    <w:rsid w:val="587358E6"/>
    <w:rsid w:val="58737694"/>
    <w:rsid w:val="588B0E82"/>
    <w:rsid w:val="58916521"/>
    <w:rsid w:val="58931AE5"/>
    <w:rsid w:val="58C0578C"/>
    <w:rsid w:val="58C64E7E"/>
    <w:rsid w:val="58D02414"/>
    <w:rsid w:val="58D565A1"/>
    <w:rsid w:val="58DA7713"/>
    <w:rsid w:val="58E862D4"/>
    <w:rsid w:val="58EB36CF"/>
    <w:rsid w:val="58F44C79"/>
    <w:rsid w:val="58F72073"/>
    <w:rsid w:val="590D4A54"/>
    <w:rsid w:val="593D47E0"/>
    <w:rsid w:val="594352B9"/>
    <w:rsid w:val="59457283"/>
    <w:rsid w:val="594678C4"/>
    <w:rsid w:val="59591ABB"/>
    <w:rsid w:val="596040BD"/>
    <w:rsid w:val="5980650D"/>
    <w:rsid w:val="59844497"/>
    <w:rsid w:val="598D4786"/>
    <w:rsid w:val="59BE7035"/>
    <w:rsid w:val="5A273935"/>
    <w:rsid w:val="5A380B96"/>
    <w:rsid w:val="5A427C66"/>
    <w:rsid w:val="5A615AC5"/>
    <w:rsid w:val="5A7E2D2D"/>
    <w:rsid w:val="5AA224B3"/>
    <w:rsid w:val="5AA4447D"/>
    <w:rsid w:val="5AA5193A"/>
    <w:rsid w:val="5AA63D51"/>
    <w:rsid w:val="5AEE74A6"/>
    <w:rsid w:val="5B247662"/>
    <w:rsid w:val="5B321A89"/>
    <w:rsid w:val="5B392E17"/>
    <w:rsid w:val="5B6F4A8B"/>
    <w:rsid w:val="5B914A01"/>
    <w:rsid w:val="5BAA6020"/>
    <w:rsid w:val="5BB93F58"/>
    <w:rsid w:val="5BFA70A3"/>
    <w:rsid w:val="5C02145B"/>
    <w:rsid w:val="5C06575A"/>
    <w:rsid w:val="5C28765D"/>
    <w:rsid w:val="5C2C472A"/>
    <w:rsid w:val="5C300297"/>
    <w:rsid w:val="5C5A5EEC"/>
    <w:rsid w:val="5C6F3714"/>
    <w:rsid w:val="5C7B120D"/>
    <w:rsid w:val="5CA82699"/>
    <w:rsid w:val="5CAD227B"/>
    <w:rsid w:val="5CB52971"/>
    <w:rsid w:val="5CC05393"/>
    <w:rsid w:val="5CC52489"/>
    <w:rsid w:val="5CFB3EA6"/>
    <w:rsid w:val="5D0E5BDE"/>
    <w:rsid w:val="5D2D7194"/>
    <w:rsid w:val="5D445AA3"/>
    <w:rsid w:val="5D56526F"/>
    <w:rsid w:val="5D5850AB"/>
    <w:rsid w:val="5D5F7955"/>
    <w:rsid w:val="5D822474"/>
    <w:rsid w:val="5D8B0D5C"/>
    <w:rsid w:val="5D944335"/>
    <w:rsid w:val="5DCD0B7C"/>
    <w:rsid w:val="5DD010E5"/>
    <w:rsid w:val="5E2C0A11"/>
    <w:rsid w:val="5E4444D2"/>
    <w:rsid w:val="5E520C3C"/>
    <w:rsid w:val="5E5E2B95"/>
    <w:rsid w:val="5E802B0B"/>
    <w:rsid w:val="5EA26F25"/>
    <w:rsid w:val="5EAF155F"/>
    <w:rsid w:val="5EBD4C52"/>
    <w:rsid w:val="5EC94CEC"/>
    <w:rsid w:val="5ECB197B"/>
    <w:rsid w:val="5ED46E2D"/>
    <w:rsid w:val="5EE315DD"/>
    <w:rsid w:val="5EED5F2A"/>
    <w:rsid w:val="5EFA466C"/>
    <w:rsid w:val="5EFA7231"/>
    <w:rsid w:val="5F0125BA"/>
    <w:rsid w:val="5F2C537D"/>
    <w:rsid w:val="5F4B4EC7"/>
    <w:rsid w:val="5F58609A"/>
    <w:rsid w:val="5F5D2E4C"/>
    <w:rsid w:val="5F645F89"/>
    <w:rsid w:val="5F6B05FD"/>
    <w:rsid w:val="5F6E5059"/>
    <w:rsid w:val="5F700DD2"/>
    <w:rsid w:val="5FD650D9"/>
    <w:rsid w:val="5FEA20BE"/>
    <w:rsid w:val="5FFB68ED"/>
    <w:rsid w:val="5FFD2F0B"/>
    <w:rsid w:val="60003F04"/>
    <w:rsid w:val="601755D7"/>
    <w:rsid w:val="601B6F8F"/>
    <w:rsid w:val="60200102"/>
    <w:rsid w:val="6021584B"/>
    <w:rsid w:val="60347E72"/>
    <w:rsid w:val="60636240"/>
    <w:rsid w:val="606C1599"/>
    <w:rsid w:val="607C065D"/>
    <w:rsid w:val="60883EF9"/>
    <w:rsid w:val="608B1E53"/>
    <w:rsid w:val="60DA0BF8"/>
    <w:rsid w:val="60F02A2F"/>
    <w:rsid w:val="60FA4DF7"/>
    <w:rsid w:val="612B0164"/>
    <w:rsid w:val="613B7E89"/>
    <w:rsid w:val="61750921"/>
    <w:rsid w:val="617F52FC"/>
    <w:rsid w:val="61900636"/>
    <w:rsid w:val="619A0388"/>
    <w:rsid w:val="61BB1CB2"/>
    <w:rsid w:val="61DA0784"/>
    <w:rsid w:val="62516C98"/>
    <w:rsid w:val="625C2438"/>
    <w:rsid w:val="628030DA"/>
    <w:rsid w:val="62A468BF"/>
    <w:rsid w:val="62E55633"/>
    <w:rsid w:val="62FF66F4"/>
    <w:rsid w:val="63091321"/>
    <w:rsid w:val="631D4DCC"/>
    <w:rsid w:val="632A3916"/>
    <w:rsid w:val="63343F70"/>
    <w:rsid w:val="633A0C85"/>
    <w:rsid w:val="633F4D43"/>
    <w:rsid w:val="63424833"/>
    <w:rsid w:val="63634173"/>
    <w:rsid w:val="63654F68"/>
    <w:rsid w:val="63730E90"/>
    <w:rsid w:val="6375359F"/>
    <w:rsid w:val="639B764A"/>
    <w:rsid w:val="63CE60C7"/>
    <w:rsid w:val="642259DE"/>
    <w:rsid w:val="64371EBE"/>
    <w:rsid w:val="64411318"/>
    <w:rsid w:val="645111D2"/>
    <w:rsid w:val="647749B0"/>
    <w:rsid w:val="647B5CEC"/>
    <w:rsid w:val="648844C8"/>
    <w:rsid w:val="648D1ADE"/>
    <w:rsid w:val="64912786"/>
    <w:rsid w:val="64B13A1E"/>
    <w:rsid w:val="64C51278"/>
    <w:rsid w:val="64D15E6F"/>
    <w:rsid w:val="64D94D23"/>
    <w:rsid w:val="64F63B27"/>
    <w:rsid w:val="64FC63F1"/>
    <w:rsid w:val="650049A6"/>
    <w:rsid w:val="65221D51"/>
    <w:rsid w:val="6530528B"/>
    <w:rsid w:val="65314B5F"/>
    <w:rsid w:val="65366619"/>
    <w:rsid w:val="6551649B"/>
    <w:rsid w:val="65622B02"/>
    <w:rsid w:val="65926283"/>
    <w:rsid w:val="659A3A0E"/>
    <w:rsid w:val="659C46CE"/>
    <w:rsid w:val="659F16FC"/>
    <w:rsid w:val="65A66FAD"/>
    <w:rsid w:val="661029C7"/>
    <w:rsid w:val="661A3845"/>
    <w:rsid w:val="66214CA4"/>
    <w:rsid w:val="662F5A11"/>
    <w:rsid w:val="66501015"/>
    <w:rsid w:val="66547FC2"/>
    <w:rsid w:val="665C20B0"/>
    <w:rsid w:val="6693550B"/>
    <w:rsid w:val="66993D4C"/>
    <w:rsid w:val="66996E60"/>
    <w:rsid w:val="66A3383B"/>
    <w:rsid w:val="66AD4137"/>
    <w:rsid w:val="66BB0B84"/>
    <w:rsid w:val="66CB1EF3"/>
    <w:rsid w:val="66CC1F36"/>
    <w:rsid w:val="66D32DDF"/>
    <w:rsid w:val="66E53E53"/>
    <w:rsid w:val="66F771C1"/>
    <w:rsid w:val="66FC2F4B"/>
    <w:rsid w:val="671A2A3A"/>
    <w:rsid w:val="671E1EC7"/>
    <w:rsid w:val="675235DE"/>
    <w:rsid w:val="67553005"/>
    <w:rsid w:val="676254A4"/>
    <w:rsid w:val="676B573A"/>
    <w:rsid w:val="676F196F"/>
    <w:rsid w:val="6773530A"/>
    <w:rsid w:val="677A0A3F"/>
    <w:rsid w:val="678D743D"/>
    <w:rsid w:val="67902011"/>
    <w:rsid w:val="679310D4"/>
    <w:rsid w:val="67955879"/>
    <w:rsid w:val="679943C8"/>
    <w:rsid w:val="67B904EC"/>
    <w:rsid w:val="67DD4B2A"/>
    <w:rsid w:val="67E1461B"/>
    <w:rsid w:val="680D18B3"/>
    <w:rsid w:val="681542C4"/>
    <w:rsid w:val="6821710D"/>
    <w:rsid w:val="682602A8"/>
    <w:rsid w:val="684419F9"/>
    <w:rsid w:val="684828EC"/>
    <w:rsid w:val="685F0900"/>
    <w:rsid w:val="68940524"/>
    <w:rsid w:val="68B47F81"/>
    <w:rsid w:val="68BB3748"/>
    <w:rsid w:val="68C31C42"/>
    <w:rsid w:val="68F55EA4"/>
    <w:rsid w:val="68FD2646"/>
    <w:rsid w:val="69085BD7"/>
    <w:rsid w:val="69124CA8"/>
    <w:rsid w:val="691D50C6"/>
    <w:rsid w:val="692E1781"/>
    <w:rsid w:val="694942CB"/>
    <w:rsid w:val="697F6ADE"/>
    <w:rsid w:val="699F478D"/>
    <w:rsid w:val="69A34EA4"/>
    <w:rsid w:val="69BF13D5"/>
    <w:rsid w:val="69E44896"/>
    <w:rsid w:val="6A290006"/>
    <w:rsid w:val="6A2B4273"/>
    <w:rsid w:val="6A58493C"/>
    <w:rsid w:val="6A813E93"/>
    <w:rsid w:val="6A857FD1"/>
    <w:rsid w:val="6A890F99"/>
    <w:rsid w:val="6A955B90"/>
    <w:rsid w:val="6A9E0EA5"/>
    <w:rsid w:val="6AF24D91"/>
    <w:rsid w:val="6AF26B3F"/>
    <w:rsid w:val="6B0845B4"/>
    <w:rsid w:val="6B2F7D93"/>
    <w:rsid w:val="6B3129B4"/>
    <w:rsid w:val="6B323550"/>
    <w:rsid w:val="6B32518D"/>
    <w:rsid w:val="6B43383E"/>
    <w:rsid w:val="6B517D09"/>
    <w:rsid w:val="6B563571"/>
    <w:rsid w:val="6B5F5CD9"/>
    <w:rsid w:val="6B601CFA"/>
    <w:rsid w:val="6B6F2EBA"/>
    <w:rsid w:val="6B9419A4"/>
    <w:rsid w:val="6B985938"/>
    <w:rsid w:val="6BA4220D"/>
    <w:rsid w:val="6BC26DE0"/>
    <w:rsid w:val="6BC74333"/>
    <w:rsid w:val="6BD87DB7"/>
    <w:rsid w:val="6C07661A"/>
    <w:rsid w:val="6C0E79A8"/>
    <w:rsid w:val="6C313697"/>
    <w:rsid w:val="6C515AE7"/>
    <w:rsid w:val="6C5A2BED"/>
    <w:rsid w:val="6C621AA2"/>
    <w:rsid w:val="6C755C79"/>
    <w:rsid w:val="6C991968"/>
    <w:rsid w:val="6CDC3602"/>
    <w:rsid w:val="6CF12F3C"/>
    <w:rsid w:val="6CF21078"/>
    <w:rsid w:val="6CF52916"/>
    <w:rsid w:val="6D0B733B"/>
    <w:rsid w:val="6D1159A2"/>
    <w:rsid w:val="6D140FEE"/>
    <w:rsid w:val="6D301BA0"/>
    <w:rsid w:val="6D443B19"/>
    <w:rsid w:val="6D667370"/>
    <w:rsid w:val="6D6C2BD8"/>
    <w:rsid w:val="6D870081"/>
    <w:rsid w:val="6D9E2FAE"/>
    <w:rsid w:val="6D9E4D5C"/>
    <w:rsid w:val="6DCE5641"/>
    <w:rsid w:val="6DDB5FB0"/>
    <w:rsid w:val="6E05302D"/>
    <w:rsid w:val="6E14501E"/>
    <w:rsid w:val="6E217E67"/>
    <w:rsid w:val="6E313E22"/>
    <w:rsid w:val="6E354A00"/>
    <w:rsid w:val="6E3F6E10"/>
    <w:rsid w:val="6E565636"/>
    <w:rsid w:val="6E766371"/>
    <w:rsid w:val="6EAE2137"/>
    <w:rsid w:val="6EC41C36"/>
    <w:rsid w:val="6ED177F6"/>
    <w:rsid w:val="6ED9710C"/>
    <w:rsid w:val="6EDF73DA"/>
    <w:rsid w:val="6EFC7F8C"/>
    <w:rsid w:val="6F3C2A7E"/>
    <w:rsid w:val="6F455A24"/>
    <w:rsid w:val="6F9A42D9"/>
    <w:rsid w:val="6FAA5C3A"/>
    <w:rsid w:val="6FB1521A"/>
    <w:rsid w:val="6FBA7DE4"/>
    <w:rsid w:val="6FF60E7F"/>
    <w:rsid w:val="6FF866F6"/>
    <w:rsid w:val="6FFB46E7"/>
    <w:rsid w:val="6FFC9813"/>
    <w:rsid w:val="700553CD"/>
    <w:rsid w:val="70194B6E"/>
    <w:rsid w:val="702A5D52"/>
    <w:rsid w:val="703379DD"/>
    <w:rsid w:val="7038498C"/>
    <w:rsid w:val="7053007F"/>
    <w:rsid w:val="70716758"/>
    <w:rsid w:val="70871AD7"/>
    <w:rsid w:val="70BD5F0A"/>
    <w:rsid w:val="70C10F0E"/>
    <w:rsid w:val="7111064A"/>
    <w:rsid w:val="71325EE7"/>
    <w:rsid w:val="7137174F"/>
    <w:rsid w:val="7153716F"/>
    <w:rsid w:val="71601B1A"/>
    <w:rsid w:val="71787AB8"/>
    <w:rsid w:val="71A1306D"/>
    <w:rsid w:val="71C13613"/>
    <w:rsid w:val="71D92122"/>
    <w:rsid w:val="71E74F23"/>
    <w:rsid w:val="71FD7A4A"/>
    <w:rsid w:val="721E46BD"/>
    <w:rsid w:val="724265FE"/>
    <w:rsid w:val="724712D3"/>
    <w:rsid w:val="72697470"/>
    <w:rsid w:val="72734BFB"/>
    <w:rsid w:val="72750781"/>
    <w:rsid w:val="728A3B01"/>
    <w:rsid w:val="729A01E8"/>
    <w:rsid w:val="72AD392D"/>
    <w:rsid w:val="72AE5B08"/>
    <w:rsid w:val="72B03567"/>
    <w:rsid w:val="72B55021"/>
    <w:rsid w:val="72CE5AB2"/>
    <w:rsid w:val="72DE07B1"/>
    <w:rsid w:val="73041B05"/>
    <w:rsid w:val="7318110C"/>
    <w:rsid w:val="73801664"/>
    <w:rsid w:val="739F538A"/>
    <w:rsid w:val="73D74474"/>
    <w:rsid w:val="73DC038C"/>
    <w:rsid w:val="73E159A2"/>
    <w:rsid w:val="73EB36AE"/>
    <w:rsid w:val="742F670E"/>
    <w:rsid w:val="743C0E2B"/>
    <w:rsid w:val="745F3497"/>
    <w:rsid w:val="7493649A"/>
    <w:rsid w:val="74D37506"/>
    <w:rsid w:val="74DA51A1"/>
    <w:rsid w:val="74EC767C"/>
    <w:rsid w:val="751853F4"/>
    <w:rsid w:val="753177C8"/>
    <w:rsid w:val="754E0E15"/>
    <w:rsid w:val="75620AF1"/>
    <w:rsid w:val="756D1BE3"/>
    <w:rsid w:val="75976C60"/>
    <w:rsid w:val="75D73501"/>
    <w:rsid w:val="75F57E3E"/>
    <w:rsid w:val="75FE45EA"/>
    <w:rsid w:val="760360A4"/>
    <w:rsid w:val="760616F0"/>
    <w:rsid w:val="76117D49"/>
    <w:rsid w:val="764346F2"/>
    <w:rsid w:val="76930A14"/>
    <w:rsid w:val="76995444"/>
    <w:rsid w:val="76B4114C"/>
    <w:rsid w:val="771804EF"/>
    <w:rsid w:val="771B0390"/>
    <w:rsid w:val="771D6C76"/>
    <w:rsid w:val="771E26E0"/>
    <w:rsid w:val="772938E8"/>
    <w:rsid w:val="7729410C"/>
    <w:rsid w:val="773109EF"/>
    <w:rsid w:val="77361931"/>
    <w:rsid w:val="77476464"/>
    <w:rsid w:val="77764653"/>
    <w:rsid w:val="779276DF"/>
    <w:rsid w:val="77F8367D"/>
    <w:rsid w:val="77FA5285"/>
    <w:rsid w:val="7805518F"/>
    <w:rsid w:val="78215260"/>
    <w:rsid w:val="78316C12"/>
    <w:rsid w:val="784D1858"/>
    <w:rsid w:val="78680440"/>
    <w:rsid w:val="78715547"/>
    <w:rsid w:val="787669B2"/>
    <w:rsid w:val="78843A36"/>
    <w:rsid w:val="789357A2"/>
    <w:rsid w:val="78961451"/>
    <w:rsid w:val="78A90F15"/>
    <w:rsid w:val="78CC4E73"/>
    <w:rsid w:val="78DD0EF3"/>
    <w:rsid w:val="78F77104"/>
    <w:rsid w:val="79202AC9"/>
    <w:rsid w:val="793F3D8C"/>
    <w:rsid w:val="794F33AE"/>
    <w:rsid w:val="794F6FA9"/>
    <w:rsid w:val="79534C4C"/>
    <w:rsid w:val="79660E24"/>
    <w:rsid w:val="79820B16"/>
    <w:rsid w:val="79874FE5"/>
    <w:rsid w:val="79A74F98"/>
    <w:rsid w:val="79BE0C60"/>
    <w:rsid w:val="79D1220E"/>
    <w:rsid w:val="7A10700A"/>
    <w:rsid w:val="7A1E0906"/>
    <w:rsid w:val="7A4C4F49"/>
    <w:rsid w:val="7A603EC4"/>
    <w:rsid w:val="7A6C06BC"/>
    <w:rsid w:val="7AA03EC1"/>
    <w:rsid w:val="7AB12572"/>
    <w:rsid w:val="7AB20098"/>
    <w:rsid w:val="7AD24297"/>
    <w:rsid w:val="7B2A7C2F"/>
    <w:rsid w:val="7B4505FE"/>
    <w:rsid w:val="7B671977"/>
    <w:rsid w:val="7B8657AD"/>
    <w:rsid w:val="7BB10350"/>
    <w:rsid w:val="7BC41E31"/>
    <w:rsid w:val="7BD77F8C"/>
    <w:rsid w:val="7BDA1655"/>
    <w:rsid w:val="7BDE0BC1"/>
    <w:rsid w:val="7BE349AD"/>
    <w:rsid w:val="7BE565EB"/>
    <w:rsid w:val="7C2069DC"/>
    <w:rsid w:val="7C3379EA"/>
    <w:rsid w:val="7C3A6597"/>
    <w:rsid w:val="7C5F7DAC"/>
    <w:rsid w:val="7C63789C"/>
    <w:rsid w:val="7C8141C6"/>
    <w:rsid w:val="7C8A0E8D"/>
    <w:rsid w:val="7C8F0691"/>
    <w:rsid w:val="7C9061B7"/>
    <w:rsid w:val="7C9557F6"/>
    <w:rsid w:val="7C974402"/>
    <w:rsid w:val="7CA3413D"/>
    <w:rsid w:val="7CC27B8F"/>
    <w:rsid w:val="7CC333FB"/>
    <w:rsid w:val="7CCC227E"/>
    <w:rsid w:val="7CD17212"/>
    <w:rsid w:val="7CD95DB0"/>
    <w:rsid w:val="7CDC13FD"/>
    <w:rsid w:val="7D1961AD"/>
    <w:rsid w:val="7D225061"/>
    <w:rsid w:val="7D253BF4"/>
    <w:rsid w:val="7D2764D8"/>
    <w:rsid w:val="7D280177"/>
    <w:rsid w:val="7D4B556A"/>
    <w:rsid w:val="7D6A6A08"/>
    <w:rsid w:val="7D7B369F"/>
    <w:rsid w:val="7D910439"/>
    <w:rsid w:val="7DC0487A"/>
    <w:rsid w:val="7DE96E91"/>
    <w:rsid w:val="7DF32EA2"/>
    <w:rsid w:val="7DFF344B"/>
    <w:rsid w:val="7E282B4B"/>
    <w:rsid w:val="7E2D37B3"/>
    <w:rsid w:val="7E2F0DD9"/>
    <w:rsid w:val="7E301A00"/>
    <w:rsid w:val="7E521976"/>
    <w:rsid w:val="7E713B09"/>
    <w:rsid w:val="7E7F0292"/>
    <w:rsid w:val="7E855509"/>
    <w:rsid w:val="7E9755DB"/>
    <w:rsid w:val="7E9C2156"/>
    <w:rsid w:val="7EA85A3A"/>
    <w:rsid w:val="7EDE4B91"/>
    <w:rsid w:val="7EFA0AAE"/>
    <w:rsid w:val="7F1D01D6"/>
    <w:rsid w:val="7F3D43D5"/>
    <w:rsid w:val="7F4503AC"/>
    <w:rsid w:val="7F471A5A"/>
    <w:rsid w:val="7F4B6968"/>
    <w:rsid w:val="7F4B6D8D"/>
    <w:rsid w:val="7F590AE3"/>
    <w:rsid w:val="7F5D6825"/>
    <w:rsid w:val="7F73228D"/>
    <w:rsid w:val="7F8F6BFA"/>
    <w:rsid w:val="7F9340FF"/>
    <w:rsid w:val="7FD10FC1"/>
    <w:rsid w:val="7FE707E4"/>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4"/>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5">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outlineLvl w:val="3"/>
    </w:pPr>
    <w:rPr>
      <w:color w:val="FF0000"/>
      <w:sz w:val="28"/>
      <w:u w:val="single"/>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7">
    <w:name w:val="Normal Indent"/>
    <w:basedOn w:val="1"/>
    <w:autoRedefine/>
    <w:qFormat/>
    <w:uiPriority w:val="0"/>
    <w:pPr>
      <w:spacing w:line="300" w:lineRule="auto"/>
      <w:ind w:firstLine="420" w:firstLineChars="200"/>
    </w:pPr>
    <w:rPr>
      <w:rFonts w:ascii="Times New Roman"/>
      <w:kern w:val="2"/>
      <w:sz w:val="21"/>
      <w:szCs w:val="24"/>
    </w:rPr>
  </w:style>
  <w:style w:type="paragraph" w:styleId="8">
    <w:name w:val="toa heading"/>
    <w:basedOn w:val="1"/>
    <w:next w:val="1"/>
    <w:autoRedefine/>
    <w:semiHidden/>
    <w:qFormat/>
    <w:uiPriority w:val="0"/>
    <w:pPr>
      <w:spacing w:before="120"/>
    </w:pPr>
    <w:rPr>
      <w:rFonts w:ascii="Arial" w:hAnsi="Arial" w:cs="Arial"/>
      <w:sz w:val="24"/>
      <w:szCs w:val="24"/>
    </w:rPr>
  </w:style>
  <w:style w:type="paragraph" w:styleId="9">
    <w:name w:val="annotation text"/>
    <w:basedOn w:val="1"/>
    <w:link w:val="68"/>
    <w:autoRedefine/>
    <w:qFormat/>
    <w:uiPriority w:val="0"/>
    <w:pPr>
      <w:jc w:val="left"/>
    </w:pPr>
  </w:style>
  <w:style w:type="paragraph" w:styleId="10">
    <w:name w:val="Body Text 3"/>
    <w:basedOn w:val="1"/>
    <w:autoRedefine/>
    <w:qFormat/>
    <w:uiPriority w:val="0"/>
    <w:rPr>
      <w:rFonts w:ascii="宋体"/>
      <w:sz w:val="24"/>
      <w:szCs w:val="20"/>
    </w:rPr>
  </w:style>
  <w:style w:type="paragraph" w:styleId="11">
    <w:name w:val="Body Text"/>
    <w:basedOn w:val="1"/>
    <w:next w:val="1"/>
    <w:link w:val="57"/>
    <w:autoRedefine/>
    <w:qFormat/>
    <w:uiPriority w:val="0"/>
    <w:pPr>
      <w:spacing w:after="120"/>
    </w:pPr>
    <w:rPr>
      <w:rFonts w:ascii="Times New Roman"/>
      <w:kern w:val="2"/>
      <w:sz w:val="21"/>
    </w:rPr>
  </w:style>
  <w:style w:type="paragraph" w:styleId="12">
    <w:name w:val="Body Text Indent"/>
    <w:basedOn w:val="1"/>
    <w:next w:val="1"/>
    <w:autoRedefine/>
    <w:qFormat/>
    <w:uiPriority w:val="0"/>
    <w:pPr>
      <w:widowControl/>
      <w:ind w:firstLine="652" w:firstLineChars="233"/>
    </w:pPr>
    <w:rPr>
      <w:rFonts w:ascii="Times New Roman"/>
      <w:sz w:val="28"/>
    </w:rPr>
  </w:style>
  <w:style w:type="paragraph" w:styleId="13">
    <w:name w:val="Block Text"/>
    <w:basedOn w:val="1"/>
    <w:autoRedefine/>
    <w:qFormat/>
    <w:uiPriority w:val="0"/>
    <w:pPr>
      <w:spacing w:after="120"/>
      <w:ind w:left="1440" w:leftChars="700" w:right="700" w:rightChars="700"/>
    </w:pPr>
    <w:rPr>
      <w:rFonts w:ascii="Times New Roman"/>
    </w:rPr>
  </w:style>
  <w:style w:type="paragraph" w:styleId="14">
    <w:name w:val="Plain Text"/>
    <w:basedOn w:val="1"/>
    <w:autoRedefine/>
    <w:qFormat/>
    <w:uiPriority w:val="0"/>
    <w:rPr>
      <w:rFonts w:hAnsi="Courier New"/>
      <w:kern w:val="2"/>
      <w:sz w:val="21"/>
    </w:rPr>
  </w:style>
  <w:style w:type="paragraph" w:styleId="15">
    <w:name w:val="Date"/>
    <w:basedOn w:val="1"/>
    <w:next w:val="1"/>
    <w:link w:val="50"/>
    <w:autoRedefine/>
    <w:qFormat/>
    <w:uiPriority w:val="0"/>
    <w:rPr>
      <w:rFonts w:ascii="Times New Roman"/>
      <w:kern w:val="2"/>
      <w:sz w:val="2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autoRedefine/>
    <w:unhideWhenUsed/>
    <w:qFormat/>
    <w:uiPriority w:val="39"/>
    <w:pPr>
      <w:tabs>
        <w:tab w:val="left" w:pos="1418"/>
        <w:tab w:val="right" w:leader="dot" w:pos="8302"/>
      </w:tabs>
      <w:spacing w:line="960" w:lineRule="auto"/>
    </w:pPr>
  </w:style>
  <w:style w:type="paragraph" w:styleId="19">
    <w:name w:val="toc 4"/>
    <w:basedOn w:val="1"/>
    <w:next w:val="1"/>
    <w:autoRedefine/>
    <w:unhideWhenUsed/>
    <w:qFormat/>
    <w:uiPriority w:val="39"/>
    <w:pPr>
      <w:ind w:left="1260" w:leftChars="600"/>
    </w:pPr>
  </w:style>
  <w:style w:type="paragraph" w:styleId="20">
    <w:name w:val="Normal (Web)"/>
    <w:basedOn w:val="1"/>
    <w:autoRedefine/>
    <w:qFormat/>
    <w:uiPriority w:val="0"/>
    <w:pPr>
      <w:widowControl/>
      <w:spacing w:before="100" w:beforeAutospacing="1" w:after="100" w:afterAutospacing="1"/>
      <w:jc w:val="left"/>
    </w:pPr>
    <w:rPr>
      <w:rFonts w:hAnsi="宋体"/>
      <w:szCs w:val="24"/>
    </w:rPr>
  </w:style>
  <w:style w:type="paragraph" w:styleId="21">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2">
    <w:name w:val="annotation subject"/>
    <w:basedOn w:val="9"/>
    <w:next w:val="9"/>
    <w:link w:val="69"/>
    <w:autoRedefine/>
    <w:qFormat/>
    <w:uiPriority w:val="0"/>
    <w:rPr>
      <w:b/>
      <w:bCs/>
    </w:rPr>
  </w:style>
  <w:style w:type="paragraph" w:styleId="23">
    <w:name w:val="Body Text First Indent"/>
    <w:basedOn w:val="11"/>
    <w:autoRedefine/>
    <w:qFormat/>
    <w:uiPriority w:val="99"/>
    <w:pPr>
      <w:ind w:firstLine="420" w:firstLineChars="100"/>
    </w:pPr>
    <w:rPr>
      <w:rFonts w:ascii="宋体"/>
    </w:rPr>
  </w:style>
  <w:style w:type="paragraph" w:styleId="24">
    <w:name w:val="Body Text First Indent 2"/>
    <w:basedOn w:val="12"/>
    <w:next w:val="23"/>
    <w:autoRedefine/>
    <w:qFormat/>
    <w:uiPriority w:val="0"/>
    <w:pPr>
      <w:ind w:firstLine="420" w:firstLineChars="200"/>
    </w:pPr>
  </w:style>
  <w:style w:type="table" w:styleId="26">
    <w:name w:val="Table Grid"/>
    <w:basedOn w:val="25"/>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rPr>
  </w:style>
  <w:style w:type="character" w:styleId="31">
    <w:name w:val="HTML Definition"/>
    <w:basedOn w:val="27"/>
    <w:autoRedefine/>
    <w:qFormat/>
    <w:uiPriority w:val="0"/>
  </w:style>
  <w:style w:type="character" w:styleId="32">
    <w:name w:val="HTML Typewriter"/>
    <w:basedOn w:val="27"/>
    <w:autoRedefine/>
    <w:qFormat/>
    <w:uiPriority w:val="0"/>
    <w:rPr>
      <w:rFonts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annotation reference"/>
    <w:basedOn w:val="27"/>
    <w:autoRedefine/>
    <w:qFormat/>
    <w:uiPriority w:val="0"/>
    <w:rPr>
      <w:sz w:val="21"/>
      <w:szCs w:val="21"/>
    </w:rPr>
  </w:style>
  <w:style w:type="character" w:styleId="38">
    <w:name w:val="HTML Cite"/>
    <w:basedOn w:val="27"/>
    <w:autoRedefine/>
    <w:qFormat/>
    <w:uiPriority w:val="0"/>
    <w:rPr>
      <w:bdr w:val="single" w:color="D6D6D6" w:sz="4" w:space="0"/>
      <w:shd w:val="clear" w:color="auto" w:fill="FFFFFF"/>
    </w:rPr>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2">
    <w:name w:val="HTML 预设格式1"/>
    <w:basedOn w:val="1"/>
    <w:autoRedefine/>
    <w:qFormat/>
    <w:uiPriority w:val="0"/>
    <w:rPr>
      <w:rFonts w:ascii="Courier New" w:hAnsi="Courier New"/>
      <w:sz w:val="20"/>
    </w:rPr>
  </w:style>
  <w:style w:type="paragraph" w:customStyle="1" w:styleId="43">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4">
    <w:name w:val="标题 1 字符"/>
    <w:link w:val="3"/>
    <w:autoRedefine/>
    <w:qFormat/>
    <w:uiPriority w:val="0"/>
    <w:rPr>
      <w:rFonts w:ascii="仿宋_GB2312" w:hAnsi="宋体" w:eastAsia="仿宋_GB2312"/>
      <w:b/>
      <w:kern w:val="2"/>
      <w:sz w:val="32"/>
    </w:rPr>
  </w:style>
  <w:style w:type="paragraph" w:customStyle="1" w:styleId="45">
    <w:name w:val="列出段落1"/>
    <w:basedOn w:val="1"/>
    <w:autoRedefine/>
    <w:qFormat/>
    <w:uiPriority w:val="34"/>
    <w:pPr>
      <w:ind w:firstLine="420" w:firstLineChars="200"/>
    </w:pPr>
  </w:style>
  <w:style w:type="paragraph" w:customStyle="1" w:styleId="46">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7">
    <w:name w:val="表格文字中"/>
    <w:basedOn w:val="1"/>
    <w:autoRedefine/>
    <w:qFormat/>
    <w:uiPriority w:val="0"/>
    <w:pPr>
      <w:adjustRightInd w:val="0"/>
      <w:snapToGrid w:val="0"/>
      <w:ind w:left="22" w:leftChars="8"/>
      <w:jc w:val="center"/>
    </w:pPr>
    <w:rPr>
      <w:szCs w:val="24"/>
    </w:rPr>
  </w:style>
  <w:style w:type="paragraph" w:customStyle="1" w:styleId="48">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9">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0">
    <w:name w:val="日期 字符"/>
    <w:link w:val="15"/>
    <w:autoRedefine/>
    <w:qFormat/>
    <w:uiPriority w:val="0"/>
    <w:rPr>
      <w:kern w:val="2"/>
      <w:sz w:val="28"/>
    </w:rPr>
  </w:style>
  <w:style w:type="character" w:customStyle="1" w:styleId="51">
    <w:name w:val="日期 Char1"/>
    <w:basedOn w:val="27"/>
    <w:autoRedefine/>
    <w:qFormat/>
    <w:uiPriority w:val="0"/>
    <w:rPr>
      <w:rFonts w:ascii="宋体"/>
      <w:sz w:val="24"/>
    </w:rPr>
  </w:style>
  <w:style w:type="paragraph" w:customStyle="1" w:styleId="5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pPr>
      <w:jc w:val="left"/>
    </w:pPr>
    <w:rPr>
      <w:rFonts w:ascii="Calibri" w:hAnsi="Calibri"/>
      <w:sz w:val="22"/>
      <w:szCs w:val="22"/>
      <w:lang w:eastAsia="en-US"/>
    </w:rPr>
  </w:style>
  <w:style w:type="paragraph" w:customStyle="1" w:styleId="54">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5">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6">
    <w:name w:val="Table Normal"/>
    <w:autoRedefine/>
    <w:semiHidden/>
    <w:unhideWhenUsed/>
    <w:qFormat/>
    <w:uiPriority w:val="2"/>
    <w:tblPr>
      <w:tblCellMar>
        <w:top w:w="0" w:type="dxa"/>
        <w:left w:w="0" w:type="dxa"/>
        <w:bottom w:w="0" w:type="dxa"/>
        <w:right w:w="0" w:type="dxa"/>
      </w:tblCellMar>
    </w:tblPr>
  </w:style>
  <w:style w:type="character" w:customStyle="1" w:styleId="57">
    <w:name w:val="正文文本 字符"/>
    <w:link w:val="11"/>
    <w:autoRedefine/>
    <w:qFormat/>
    <w:uiPriority w:val="0"/>
    <w:rPr>
      <w:kern w:val="2"/>
      <w:sz w:val="21"/>
    </w:rPr>
  </w:style>
  <w:style w:type="paragraph" w:customStyle="1" w:styleId="58">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59">
    <w:name w:val="正文 New"/>
    <w:autoRedefine/>
    <w:qFormat/>
    <w:uiPriority w:val="99"/>
    <w:pPr>
      <w:widowControl w:val="0"/>
      <w:jc w:val="both"/>
    </w:pPr>
    <w:rPr>
      <w:rFonts w:ascii="Calibri" w:hAnsi="Calibri" w:eastAsia="宋体" w:cs="Times New Roman"/>
      <w:lang w:val="en-US" w:eastAsia="zh-CN" w:bidi="ar-SA"/>
    </w:rPr>
  </w:style>
  <w:style w:type="paragraph" w:customStyle="1" w:styleId="60">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1">
    <w:name w:val="font41"/>
    <w:basedOn w:val="27"/>
    <w:autoRedefine/>
    <w:qFormat/>
    <w:uiPriority w:val="0"/>
    <w:rPr>
      <w:rFonts w:hint="eastAsia" w:ascii="宋体" w:hAnsi="宋体" w:eastAsia="宋体" w:cs="宋体"/>
      <w:b/>
      <w:bCs/>
      <w:color w:val="000000"/>
      <w:sz w:val="22"/>
      <w:szCs w:val="22"/>
      <w:u w:val="none"/>
    </w:rPr>
  </w:style>
  <w:style w:type="character" w:customStyle="1" w:styleId="62">
    <w:name w:val="font21"/>
    <w:basedOn w:val="27"/>
    <w:autoRedefine/>
    <w:qFormat/>
    <w:uiPriority w:val="0"/>
    <w:rPr>
      <w:rFonts w:hint="default" w:ascii="Times New Roman" w:hAnsi="Times New Roman" w:cs="Times New Roman"/>
      <w:b/>
      <w:bCs/>
      <w:color w:val="000000"/>
      <w:sz w:val="22"/>
      <w:szCs w:val="22"/>
      <w:u w:val="none"/>
    </w:rPr>
  </w:style>
  <w:style w:type="character" w:customStyle="1" w:styleId="63">
    <w:name w:val="font01"/>
    <w:basedOn w:val="27"/>
    <w:autoRedefine/>
    <w:qFormat/>
    <w:uiPriority w:val="0"/>
    <w:rPr>
      <w:rFonts w:hint="eastAsia" w:ascii="宋体" w:hAnsi="宋体" w:eastAsia="宋体" w:cs="宋体"/>
      <w:color w:val="000000"/>
      <w:sz w:val="22"/>
      <w:szCs w:val="22"/>
      <w:u w:val="none"/>
    </w:rPr>
  </w:style>
  <w:style w:type="character" w:customStyle="1" w:styleId="64">
    <w:name w:val="font31"/>
    <w:basedOn w:val="27"/>
    <w:autoRedefine/>
    <w:qFormat/>
    <w:uiPriority w:val="0"/>
    <w:rPr>
      <w:rFonts w:hint="default" w:ascii="Times New Roman" w:hAnsi="Times New Roman" w:cs="Times New Roman"/>
      <w:color w:val="000000"/>
      <w:sz w:val="22"/>
      <w:szCs w:val="22"/>
      <w:u w:val="none"/>
    </w:rPr>
  </w:style>
  <w:style w:type="paragraph" w:customStyle="1" w:styleId="65">
    <w:name w:val="正文缩进1"/>
    <w:basedOn w:val="1"/>
    <w:autoRedefine/>
    <w:qFormat/>
    <w:uiPriority w:val="0"/>
    <w:pPr>
      <w:ind w:firstLine="420" w:firstLineChars="200"/>
    </w:pPr>
  </w:style>
  <w:style w:type="paragraph" w:customStyle="1" w:styleId="66">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7">
    <w:name w:val="Revision"/>
    <w:autoRedefine/>
    <w:hidden/>
    <w:semiHidden/>
    <w:qFormat/>
    <w:uiPriority w:val="99"/>
    <w:rPr>
      <w:rFonts w:ascii="宋体" w:hAnsi="Times New Roman" w:eastAsia="宋体" w:cs="Times New Roman"/>
      <w:sz w:val="24"/>
      <w:lang w:val="en-US" w:eastAsia="zh-CN" w:bidi="ar-SA"/>
    </w:rPr>
  </w:style>
  <w:style w:type="character" w:customStyle="1" w:styleId="68">
    <w:name w:val="批注文字 字符"/>
    <w:basedOn w:val="27"/>
    <w:link w:val="9"/>
    <w:autoRedefine/>
    <w:qFormat/>
    <w:uiPriority w:val="0"/>
    <w:rPr>
      <w:rFonts w:ascii="宋体"/>
      <w:sz w:val="24"/>
    </w:rPr>
  </w:style>
  <w:style w:type="character" w:customStyle="1" w:styleId="69">
    <w:name w:val="批注主题 字符"/>
    <w:basedOn w:val="68"/>
    <w:link w:val="22"/>
    <w:autoRedefine/>
    <w:qFormat/>
    <w:uiPriority w:val="0"/>
    <w:rPr>
      <w:rFonts w:ascii="宋体"/>
      <w:b/>
      <w:bCs/>
      <w:sz w:val="24"/>
    </w:rPr>
  </w:style>
  <w:style w:type="paragraph" w:customStyle="1" w:styleId="70">
    <w:name w:val="纯文本1"/>
    <w:basedOn w:val="1"/>
    <w:autoRedefine/>
    <w:qFormat/>
    <w:uiPriority w:val="0"/>
    <w:pPr>
      <w:spacing w:line="324" w:lineRule="auto"/>
    </w:pPr>
    <w:rPr>
      <w:rFonts w:hAnsi="Courier New" w:cs="Courier New"/>
      <w:szCs w:val="21"/>
    </w:rPr>
  </w:style>
  <w:style w:type="character" w:customStyle="1" w:styleId="71">
    <w:name w:val="font11"/>
    <w:basedOn w:val="27"/>
    <w:qFormat/>
    <w:uiPriority w:val="0"/>
    <w:rPr>
      <w:rFonts w:hint="eastAsia" w:ascii="宋体" w:hAnsi="宋体" w:eastAsia="宋体" w:cs="宋体"/>
      <w:color w:val="000000"/>
      <w:sz w:val="20"/>
      <w:szCs w:val="20"/>
      <w:u w:val="none"/>
    </w:rPr>
  </w:style>
  <w:style w:type="character" w:customStyle="1" w:styleId="72">
    <w:name w:val="font81"/>
    <w:basedOn w:val="27"/>
    <w:qFormat/>
    <w:uiPriority w:val="0"/>
    <w:rPr>
      <w:rFonts w:hint="eastAsia" w:ascii="宋体" w:hAnsi="宋体" w:eastAsia="宋体" w:cs="宋体"/>
      <w:color w:val="FF0000"/>
      <w:sz w:val="20"/>
      <w:szCs w:val="20"/>
      <w:u w:val="none"/>
    </w:rPr>
  </w:style>
  <w:style w:type="paragraph" w:customStyle="1" w:styleId="73">
    <w:name w:val="@正文"/>
    <w:basedOn w:val="74"/>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4">
    <w:name w:val="※正文"/>
    <w:basedOn w:val="1"/>
    <w:next w:val="1"/>
    <w:autoRedefine/>
    <w:qFormat/>
    <w:uiPriority w:val="0"/>
    <w:pPr>
      <w:wordWrap w:val="0"/>
      <w:spacing w:line="400" w:lineRule="exact"/>
    </w:pPr>
    <w:rPr>
      <w:rFonts w:ascii="Calibri Light" w:hAnsi="Calibri Light" w:eastAsia="华文仿宋"/>
      <w:sz w:val="28"/>
      <w:szCs w:val="28"/>
    </w:rPr>
  </w:style>
  <w:style w:type="paragraph" w:styleId="7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46362</Words>
  <Characters>50530</Characters>
  <Lines>322</Lines>
  <Paragraphs>90</Paragraphs>
  <TotalTime>9</TotalTime>
  <ScaleCrop>false</ScaleCrop>
  <LinksUpToDate>false</LinksUpToDate>
  <CharactersWithSpaces>53420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宋璟雯</cp:lastModifiedBy>
  <cp:lastPrinted>2024-05-23T06:32:00Z</cp:lastPrinted>
  <dcterms:modified xsi:type="dcterms:W3CDTF">2024-07-17T10:05:03Z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F08240E296AD40399D0DBEE6B566461A_13</vt:lpwstr>
  </property>
</Properties>
</file>