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81DF">
      <w:pPr>
        <w:spacing w:before="100" w:line="225" w:lineRule="auto"/>
        <w:ind w:left="2172"/>
        <w:outlineLvl w:val="0"/>
        <w:rPr>
          <w:rFonts w:ascii="Arial"/>
          <w:sz w:val="21"/>
        </w:rPr>
      </w:pPr>
      <w:r>
        <w:rPr>
          <w:rFonts w:ascii="宋体" w:hAnsi="宋体" w:eastAsia="宋体" w:cs="宋体"/>
          <w:spacing w:val="10"/>
          <w:sz w:val="31"/>
          <w:szCs w:val="31"/>
          <w:highlight w:val="none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采购内容及技术要</w:t>
      </w:r>
      <w:r>
        <w:rPr>
          <w:rFonts w:ascii="宋体" w:hAnsi="宋体" w:eastAsia="宋体" w:cs="宋体"/>
          <w:spacing w:val="8"/>
          <w:sz w:val="31"/>
          <w:szCs w:val="31"/>
          <w:highlight w:val="none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 w14:paraId="2A634A75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一、项目名称：秦汉新城2024年地下管线测绘服务项目</w:t>
      </w:r>
    </w:p>
    <w:p w14:paraId="6B758241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highlight w:val="none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二、采购内容：按照《西咸新区加强城市地下市政基础设施建设实施方案》、《西咸新区市政管线“一张图”实施方案》相关要求及安排部署，经测算，新城各类管线约1622公里，包含雨污水467公里；给水180公里；电力183公里；路灯及交通信号371.3公里；燃气、石油、热力共126.6公里；综合管廊20公里。2023年已测绘地下管线300公里，并对已有400公里管线信息进行更新完善，为完成全面普测目标，还</w:t>
      </w:r>
      <w:r>
        <w:rPr>
          <w:rFonts w:hint="default" w:cs="宋体"/>
          <w:szCs w:val="24"/>
          <w:highlight w:val="none"/>
          <w:lang w:val="en-US" w:eastAsia="zh-CN"/>
        </w:rPr>
        <w:t>需补充测绘约922公里，计划2024年完成测绘620公里。。</w:t>
      </w:r>
    </w:p>
    <w:p w14:paraId="2D1E9E2A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highlight w:val="none"/>
          <w:lang w:val="en-US" w:eastAsia="zh-CN"/>
        </w:rPr>
      </w:pPr>
      <w:r>
        <w:rPr>
          <w:rFonts w:hint="default" w:cs="宋体"/>
          <w:szCs w:val="24"/>
          <w:highlight w:val="none"/>
          <w:lang w:val="en-US" w:eastAsia="zh-CN"/>
        </w:rPr>
        <w:t>三、服务期：自合同签订之日起至2024年12月31日。</w:t>
      </w:r>
    </w:p>
    <w:p w14:paraId="05B21479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四、质量要求：达到国家现行测绘规范标准</w:t>
      </w:r>
    </w:p>
    <w:p w14:paraId="6551EB1B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五、技术要求：</w:t>
      </w:r>
    </w:p>
    <w:p w14:paraId="5A99B52E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1、规范性引用文件</w:t>
      </w:r>
    </w:p>
    <w:p w14:paraId="47BC0663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1. 信息技术 地下管线数据交换技术要求 GB/T 29806-2013；</w:t>
      </w:r>
    </w:p>
    <w:p w14:paraId="41216D86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2. 基础地理信息要素分类与代码 GB/T 13923—2006；</w:t>
      </w:r>
    </w:p>
    <w:p w14:paraId="3D3D7EC4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3. 国家基本比例尺地形图图式 GB/T20257(所有部分)；</w:t>
      </w:r>
    </w:p>
    <w:p w14:paraId="333D24F8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4. 中华人民共和国行业标准《城市地下管线探测技术规程》CJJ61-2003；</w:t>
      </w:r>
    </w:p>
    <w:p w14:paraId="681C9870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5. 中华人民共和国测绘行业标准《管线测量成果质量检验技术规程》CH/T 1033-2014；</w:t>
      </w:r>
    </w:p>
    <w:p w14:paraId="7E5D2B49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6. 中华人民共和国测绘行业标准《管线要素分类代码与符号表达》CH/T 1036-2015；</w:t>
      </w:r>
    </w:p>
    <w:p w14:paraId="297261E0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7. 中华人民共和国测绘行业标准《管线信息系统建设技术规范》CH/T 1037-2015；</w:t>
      </w:r>
    </w:p>
    <w:p w14:paraId="4F6B9AC1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r>
        <w:rPr>
          <w:rFonts w:hint="default" w:cs="宋体"/>
          <w:szCs w:val="24"/>
          <w:lang w:val="en-US" w:eastAsia="zh-CN"/>
        </w:rPr>
        <w:t>8. 西安市地理信息中心 西安市管线普查探测技术规程2014年12月；</w:t>
      </w:r>
    </w:p>
    <w:p w14:paraId="4A1C8360">
      <w:pPr>
        <w:pStyle w:val="2"/>
        <w:wordWrap w:val="0"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Fonts w:hint="default" w:cs="宋体"/>
          <w:szCs w:val="24"/>
          <w:lang w:val="en-US" w:eastAsia="zh-CN"/>
        </w:rPr>
      </w:pPr>
      <w:bookmarkStart w:id="0" w:name="_GoBack"/>
      <w:bookmarkEnd w:id="0"/>
      <w:r>
        <w:rPr>
          <w:rFonts w:hint="default" w:cs="宋体"/>
          <w:szCs w:val="24"/>
          <w:lang w:val="en-US" w:eastAsia="zh-CN"/>
        </w:rPr>
        <w:t>六、服务要求具体测绘工作任务由采购人书面工作任务通知为准。针对本项目需至少派1名工作人员驻场采购人处提供服务（需提供人员名单，并加盖单位公章），并对测绘成果按业务类型进行单独建库管理和维护，供甲方查询和使用。供应商向采购人交付测绘成果，并提交电子数据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zYxZTJmOTAyYzU5MjJhNjk3NjU5NGI5NTA3M2MifQ=="/>
  </w:docVars>
  <w:rsids>
    <w:rsidRoot w:val="00000000"/>
    <w:rsid w:val="33B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749</Characters>
  <Lines>0</Lines>
  <Paragraphs>0</Paragraphs>
  <TotalTime>0</TotalTime>
  <ScaleCrop>false</ScaleCrop>
  <LinksUpToDate>false</LinksUpToDate>
  <CharactersWithSpaces>767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2024-08-10T05:52:51Z</dcterms:created>
  <dc:creator>哈哈</dc:creator>
  <cp:lastModifiedBy>哈哈</cp:lastModifiedBy>
  <dcterms:modified xsi:type="dcterms:W3CDTF">2024-08-10T05:53:00Z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513FECBAF1EB4D8785860C2F2E2F6F7B_12</vt:lpwstr>
  </property>
</Properties>
</file>