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FA437">
      <w:pPr>
        <w:spacing w:before="120" w:beforeLines="50" w:line="520" w:lineRule="exact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竞争性谈判内容及技术要求</w:t>
      </w:r>
    </w:p>
    <w:p w14:paraId="3F57F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00"/>
        <w:textAlignment w:val="auto"/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hAnsi="宋体" w:cs="Verdana"/>
          <w:b/>
          <w:bCs w:val="0"/>
          <w:color w:val="auto"/>
          <w:kern w:val="0"/>
          <w:sz w:val="24"/>
          <w:szCs w:val="24"/>
          <w:highlight w:val="none"/>
          <w:lang w:eastAsia="zh-CN"/>
        </w:rPr>
        <w:t>一、项目概况</w:t>
      </w:r>
    </w:p>
    <w:p w14:paraId="161B2B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val="en-US" w:eastAsia="zh-CN"/>
        </w:rPr>
        <w:t>（一）根据《陕西省西咸新区沣西新城管理委员会专题会议纪要》（文号：2024年第35次），西咸新区沣西新城，包括西部云谷一期、二期、三期等12个项目对应的15424个停车位；主要功能或目标：拟对沣西新城停车位项目资产进行盘活；本项目拟采取经营权转让的盘活方式，经营权管理期限15年。</w:t>
      </w:r>
    </w:p>
    <w:p w14:paraId="52F7D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  <w:t xml:space="preserve">资产特点及分布情况 </w:t>
      </w:r>
    </w:p>
    <w:p w14:paraId="25D4AB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Verdan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西部云谷一期、二期、三期等12个项目对应的15424个停车位。（明细详见下表）。</w:t>
      </w:r>
    </w:p>
    <w:p w14:paraId="4D7B1C7C">
      <w:pPr>
        <w:snapToGrid w:val="0"/>
        <w:jc w:val="center"/>
        <w:rPr>
          <w:rFonts w:eastAsia="仿宋"/>
          <w:b/>
          <w:bCs/>
          <w:color w:val="000000"/>
          <w:sz w:val="24"/>
        </w:rPr>
      </w:pPr>
      <w:r>
        <w:rPr>
          <w:rFonts w:hint="eastAsia" w:ascii="宋体" w:hAnsi="宋体" w:eastAsia="宋体" w:cs="Verdana"/>
          <w:b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停车位明细表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187"/>
        <w:gridCol w:w="2237"/>
        <w:gridCol w:w="2165"/>
      </w:tblGrid>
      <w:tr w14:paraId="2A20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4ED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bookmarkStart w:id="0" w:name="_Hlk17521850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FC450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16862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车位数量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E8E4F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3C5D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6AB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2EE3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西部云谷一期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D2E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A114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595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A82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33F4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西部云谷二期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3F8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5DED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CC4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A34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0853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西部云谷三期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A9D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2034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4D02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43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037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042D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天福和园（一期、二期）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74C2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3460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225A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B91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412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F8D9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康定和园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68BCD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977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245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37A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6F4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55EC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沣润和园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7C65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2760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D4DB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AF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6A6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634C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渭滨新家园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0A29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551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8E4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2F5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8A0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9C92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新业佳苑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D5C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213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C9F0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EE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8FF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A9A4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钓鱼台新村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CF1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A44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B48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CAB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26CC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新业雅居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2842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497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D50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67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30A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0050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总部经济园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694F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1886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6A60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AB8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424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9C4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沣西国际大厦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F88E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F8A1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B2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906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05A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15424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B4B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bookmarkEnd w:id="0"/>
    </w:tbl>
    <w:p w14:paraId="67B6B3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hAnsi="宋体" w:cs="Verdana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hAnsi="宋体" w:cs="Verdana"/>
          <w:b/>
          <w:color w:val="auto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hAnsi="宋体" w:cs="Verdana"/>
          <w:b/>
          <w:color w:val="auto"/>
          <w:kern w:val="0"/>
          <w:sz w:val="24"/>
          <w:szCs w:val="24"/>
          <w:highlight w:val="none"/>
        </w:rPr>
        <w:t>、服务要求</w:t>
      </w:r>
    </w:p>
    <w:p w14:paraId="4C79ED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eastAsia="zh-CN"/>
        </w:rPr>
        <w:t>（一）</w:t>
      </w: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  <w:t>经营方式</w:t>
      </w:r>
    </w:p>
    <w:p w14:paraId="6DEC05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  <w:t>本项目经营方式采用在合作期内，政府授予经营者运营本项目范围内相关设施，期限届满后移交给政府或政府指定机构。</w:t>
      </w:r>
    </w:p>
    <w:p w14:paraId="3931B0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eastAsia="zh-CN"/>
        </w:rPr>
        <w:t>（二）</w:t>
      </w: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  <w:t>经营期限</w:t>
      </w:r>
    </w:p>
    <w:p w14:paraId="0B0FAD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  <w:t>本项目经营期为</w:t>
      </w: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</w:rPr>
        <w:t>年。</w:t>
      </w:r>
    </w:p>
    <w:p w14:paraId="6C9F42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Verdana"/>
          <w:bCs/>
          <w:color w:val="auto"/>
          <w:kern w:val="0"/>
          <w:sz w:val="24"/>
          <w:szCs w:val="24"/>
          <w:highlight w:val="none"/>
          <w:lang w:val="en-US" w:eastAsia="zh-CN"/>
        </w:rPr>
        <w:t>（三）协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议签订后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个月内，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成交供应商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将出让价款一次性转账支付至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指定银行账户。</w:t>
      </w:r>
    </w:p>
    <w:p w14:paraId="56B6A794">
      <w:pPr>
        <w:ind w:firstLine="420" w:firstLineChars="200"/>
      </w:pPr>
      <w:bookmarkStart w:id="1" w:name="_GoBack"/>
      <w:bookmarkEnd w:id="1"/>
    </w:p>
    <w:sectPr>
      <w:pgSz w:w="11906" w:h="16838"/>
      <w:pgMar w:top="1440" w:right="107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522A3"/>
    <w:rsid w:val="52D2294B"/>
    <w:rsid w:val="640B24C1"/>
    <w:rsid w:val="6CA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501</Characters>
  <Lines>0</Lines>
  <Paragraphs>0</Paragraphs>
  <TotalTime>0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李玉萍</cp:lastModifiedBy>
  <dcterms:modified xsi:type="dcterms:W3CDTF">2024-12-23T11:01:24Z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6B00D75D772C44ACA0D95B574A6EF09F</vt:lpwstr>
  </property>
</Properties>
</file>