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A4BB6">
      <w:pPr>
        <w:pStyle w:val="2"/>
        <w:numPr>
          <w:numId w:val="0"/>
        </w:numPr>
        <w:spacing w:before="0" w:after="156" w:afterLines="50" w:line="360" w:lineRule="auto"/>
        <w:jc w:val="center"/>
        <w:rPr>
          <w:rFonts w:hint="eastAsia" w:ascii="仿宋" w:hAnsi="仿宋" w:eastAsia="仿宋" w:cs="仿宋"/>
          <w:bCs/>
          <w:szCs w:val="36"/>
          <w:highlight w:val="none"/>
        </w:rPr>
      </w:pPr>
      <w:bookmarkStart w:id="1" w:name="_GoBack"/>
      <w:bookmarkStart w:id="0" w:name="_Toc30535"/>
      <w:r>
        <w:rPr>
          <w:rFonts w:hint="eastAsia" w:ascii="仿宋" w:hAnsi="仿宋" w:eastAsia="仿宋" w:cs="仿宋"/>
          <w:bCs/>
          <w:szCs w:val="36"/>
          <w:highlight w:val="none"/>
        </w:rPr>
        <w:t>采购内容及技术要求</w:t>
      </w:r>
      <w:bookmarkEnd w:id="0"/>
    </w:p>
    <w:bookmarkEnd w:id="1"/>
    <w:p w14:paraId="2BB9C6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、服务要求：</w:t>
      </w:r>
    </w:p>
    <w:p w14:paraId="0C9DEC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1、投保范围：</w:t>
      </w:r>
    </w:p>
    <w:p w14:paraId="4FE1C7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西安市公安局西咸新区分局警务辅助人员人身意外伤害保险，包括意外伤害身故、意外伤害伤残、意外伤害医疗费。</w:t>
      </w:r>
    </w:p>
    <w:p w14:paraId="6B0AD7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2、投保人数：</w:t>
      </w:r>
    </w:p>
    <w:p w14:paraId="7D4F90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暂定总人数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2997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名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（最终投保人员数量具体以合同签订为准）。</w:t>
      </w:r>
    </w:p>
    <w:p w14:paraId="4D816A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3、在保险期间内，遭受意外伤害的，按下列约定给付保险金：</w:t>
      </w:r>
    </w:p>
    <w:tbl>
      <w:tblPr>
        <w:tblStyle w:val="5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1514"/>
        <w:gridCol w:w="2722"/>
        <w:gridCol w:w="2430"/>
      </w:tblGrid>
      <w:tr w14:paraId="0F7F9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89" w:type="pct"/>
            <w:noWrap w:val="0"/>
            <w:vAlign w:val="center"/>
          </w:tcPr>
          <w:p w14:paraId="6614F5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保障项目</w:t>
            </w:r>
          </w:p>
        </w:tc>
        <w:tc>
          <w:tcPr>
            <w:tcW w:w="911" w:type="pct"/>
            <w:noWrap w:val="0"/>
            <w:vAlign w:val="center"/>
          </w:tcPr>
          <w:p w14:paraId="2E5D2B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保障金额</w:t>
            </w:r>
          </w:p>
        </w:tc>
        <w:tc>
          <w:tcPr>
            <w:tcW w:w="1638" w:type="pct"/>
            <w:noWrap w:val="0"/>
            <w:vAlign w:val="center"/>
          </w:tcPr>
          <w:p w14:paraId="78A772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赔付比例</w:t>
            </w:r>
          </w:p>
        </w:tc>
        <w:tc>
          <w:tcPr>
            <w:tcW w:w="1460" w:type="pct"/>
            <w:noWrap w:val="0"/>
            <w:vAlign w:val="center"/>
          </w:tcPr>
          <w:p w14:paraId="3F4904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保险费（最高限价）</w:t>
            </w:r>
          </w:p>
        </w:tc>
      </w:tr>
      <w:tr w14:paraId="1BDAF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89" w:type="pct"/>
            <w:noWrap w:val="0"/>
            <w:vAlign w:val="center"/>
          </w:tcPr>
          <w:p w14:paraId="7982A6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意外伤害身故</w:t>
            </w:r>
          </w:p>
        </w:tc>
        <w:tc>
          <w:tcPr>
            <w:tcW w:w="911" w:type="pct"/>
            <w:noWrap w:val="0"/>
            <w:vAlign w:val="center"/>
          </w:tcPr>
          <w:p w14:paraId="00EAF5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60万元</w:t>
            </w:r>
          </w:p>
        </w:tc>
        <w:tc>
          <w:tcPr>
            <w:tcW w:w="1638" w:type="pct"/>
            <w:noWrap w:val="0"/>
            <w:vAlign w:val="center"/>
          </w:tcPr>
          <w:p w14:paraId="364357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100%</w:t>
            </w:r>
          </w:p>
        </w:tc>
        <w:tc>
          <w:tcPr>
            <w:tcW w:w="1460" w:type="pct"/>
            <w:vMerge w:val="restart"/>
            <w:noWrap w:val="0"/>
            <w:vAlign w:val="center"/>
          </w:tcPr>
          <w:p w14:paraId="4B7BB8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保费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最高限价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0元/人/年</w:t>
            </w:r>
          </w:p>
        </w:tc>
      </w:tr>
      <w:tr w14:paraId="592058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9" w:type="pct"/>
            <w:noWrap w:val="0"/>
            <w:vAlign w:val="center"/>
          </w:tcPr>
          <w:p w14:paraId="0922E3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意外伤害伤残</w:t>
            </w:r>
          </w:p>
        </w:tc>
        <w:tc>
          <w:tcPr>
            <w:tcW w:w="911" w:type="pct"/>
            <w:noWrap w:val="0"/>
            <w:vAlign w:val="center"/>
          </w:tcPr>
          <w:p w14:paraId="25E697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30万元</w:t>
            </w:r>
          </w:p>
        </w:tc>
        <w:tc>
          <w:tcPr>
            <w:tcW w:w="1638" w:type="pct"/>
            <w:noWrap w:val="0"/>
            <w:vAlign w:val="center"/>
          </w:tcPr>
          <w:p w14:paraId="462F8C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按“人身保险残疾程度与保险金给付比例表”给付</w:t>
            </w:r>
          </w:p>
        </w:tc>
        <w:tc>
          <w:tcPr>
            <w:tcW w:w="1460" w:type="pct"/>
            <w:vMerge w:val="continue"/>
            <w:noWrap w:val="0"/>
            <w:vAlign w:val="center"/>
          </w:tcPr>
          <w:p w14:paraId="229635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A468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89" w:type="pct"/>
            <w:noWrap w:val="0"/>
            <w:vAlign w:val="center"/>
          </w:tcPr>
          <w:p w14:paraId="78313A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意外伤害医疗</w:t>
            </w:r>
          </w:p>
        </w:tc>
        <w:tc>
          <w:tcPr>
            <w:tcW w:w="911" w:type="pct"/>
            <w:noWrap w:val="0"/>
            <w:vAlign w:val="center"/>
          </w:tcPr>
          <w:p w14:paraId="4A284E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10万元</w:t>
            </w:r>
          </w:p>
        </w:tc>
        <w:tc>
          <w:tcPr>
            <w:tcW w:w="1638" w:type="pct"/>
            <w:noWrap w:val="0"/>
            <w:vAlign w:val="center"/>
          </w:tcPr>
          <w:p w14:paraId="785D77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jc w:val="both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0免赔，100%给付</w:t>
            </w:r>
          </w:p>
        </w:tc>
        <w:tc>
          <w:tcPr>
            <w:tcW w:w="1460" w:type="pct"/>
            <w:vMerge w:val="continue"/>
            <w:noWrap w:val="0"/>
            <w:vAlign w:val="center"/>
          </w:tcPr>
          <w:p w14:paraId="0F81CB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7296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000" w:type="pct"/>
            <w:gridSpan w:val="4"/>
            <w:noWrap w:val="0"/>
            <w:vAlign w:val="center"/>
          </w:tcPr>
          <w:p w14:paraId="2815D5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注：暂定总人数3156人，投保人员数量具体以合同签订为准。</w:t>
            </w:r>
          </w:p>
        </w:tc>
      </w:tr>
    </w:tbl>
    <w:p w14:paraId="4C4420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4、承保服务</w:t>
      </w:r>
    </w:p>
    <w:p w14:paraId="769CF4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（1）承保服务：须配有专职服务小组成员及专门理赔服务组， 出险时应上门服务， 重大理赔案件中对伤者或亲属须专门慰问；</w:t>
      </w:r>
    </w:p>
    <w:p w14:paraId="20B49B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（2）有专门服务小组，分管领导亲自负责，分工明确（应有具体成员名单，包括姓名、所在公司、职务、联系方式等）；</w:t>
      </w:r>
    </w:p>
    <w:p w14:paraId="20068D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（3）主动上门办理投保、承保手续，保证被保险单位获得优先服务的权利；</w:t>
      </w:r>
    </w:p>
    <w:p w14:paraId="62E586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（4）承诺在10日内出具正式保险单。</w:t>
      </w:r>
    </w:p>
    <w:p w14:paraId="00E37B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（5）有客户回访安排；</w:t>
      </w:r>
    </w:p>
    <w:p w14:paraId="1E1437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（6）设有24 小时热线客户咨询服务、投诉举报电话，有专人接听记录、受理；</w:t>
      </w:r>
    </w:p>
    <w:p w14:paraId="7D8B16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（7）有服务保障措施，如对服务态度、服务质量较差的业务人员有具体处罚办法。</w:t>
      </w:r>
    </w:p>
    <w:p w14:paraId="6358C6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5、理赔服务</w:t>
      </w:r>
    </w:p>
    <w:p w14:paraId="6C5C9A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（1）针对本项目理赔服务成立专门的服务小组，分管领导亲自负责（应有具体成员名单，包括姓名、所在公司、职务、职称、工作职责、联系方式等）；</w:t>
      </w:r>
    </w:p>
    <w:p w14:paraId="14E439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（2）设有24小时报案、理赔服务电话，并保证随时有专人接听，受理索赔接报案；</w:t>
      </w:r>
    </w:p>
    <w:p w14:paraId="54BBBB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（3）成交保险公司在接到被保险单位的出险报案后，市区范围内理赔人员应于60分钟内赶到报案现场；</w:t>
      </w:r>
    </w:p>
    <w:p w14:paraId="599256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（4）有专人指导被保险人全程办理相关的索赔手续；</w:t>
      </w:r>
    </w:p>
    <w:p w14:paraId="2EA821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（5）订有“简易赔案现场赔付处理办法”。</w:t>
      </w:r>
    </w:p>
    <w:p w14:paraId="340104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（6）根据采购人要求随时对新增人员进行第一时间投保，投保时限不超过24小时；对离职人员第一时间解除投保。</w:t>
      </w:r>
    </w:p>
    <w:p w14:paraId="12DC81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、商务要求：</w:t>
      </w:r>
    </w:p>
    <w:p w14:paraId="582E0B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1、服务期及地点：</w:t>
      </w:r>
    </w:p>
    <w:p w14:paraId="551690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1）服务期：自合同签订之日起一年。</w:t>
      </w:r>
    </w:p>
    <w:p w14:paraId="634289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2）服务地点：采购方指定地点。</w:t>
      </w:r>
    </w:p>
    <w:p w14:paraId="207678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2、付款方式：</w:t>
      </w:r>
    </w:p>
    <w:p w14:paraId="775152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1）付款方式：最终根据投保人数据实结算，但结算费用不超过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采购预算</w:t>
      </w:r>
      <w:r>
        <w:rPr>
          <w:rFonts w:hint="eastAsia" w:ascii="仿宋" w:hAnsi="仿宋" w:eastAsia="仿宋" w:cs="仿宋"/>
          <w:sz w:val="24"/>
          <w:szCs w:val="24"/>
        </w:rPr>
        <w:t>金额</w:t>
      </w:r>
    </w:p>
    <w:p w14:paraId="51C762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2）结算方式：根据投保人数据实结算</w:t>
      </w:r>
    </w:p>
    <w:p w14:paraId="5CC0FE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3、合同实施：</w:t>
      </w:r>
    </w:p>
    <w:p w14:paraId="39DB20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（一）中标人应在合同签订后7个日历日内安排人员与采购单位就工作进行安排、部署。</w:t>
      </w:r>
    </w:p>
    <w:p w14:paraId="438F02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（二）若未能在服务期内完成合同规定的义务，由此对采购人造成的延误和一切损失，由中标人承担和赔偿。</w:t>
      </w:r>
    </w:p>
    <w:p w14:paraId="402A2E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4、验收</w:t>
      </w:r>
    </w:p>
    <w:p w14:paraId="4AE8F3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（一）由甲方组织或委托相关部门对服务的内容进行验收。</w:t>
      </w:r>
    </w:p>
    <w:p w14:paraId="255DE9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（二）验收依据：合同文本、合同附件、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竞争性磋商</w:t>
      </w:r>
      <w:r>
        <w:rPr>
          <w:rFonts w:hint="eastAsia" w:ascii="仿宋" w:hAnsi="仿宋" w:eastAsia="仿宋" w:cs="仿宋"/>
          <w:sz w:val="24"/>
          <w:szCs w:val="24"/>
        </w:rPr>
        <w:t>文件及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竞争性</w:t>
      </w:r>
      <w:r>
        <w:rPr>
          <w:rFonts w:hint="eastAsia" w:ascii="仿宋" w:hAnsi="仿宋" w:eastAsia="仿宋" w:cs="仿宋"/>
          <w:sz w:val="24"/>
          <w:szCs w:val="24"/>
        </w:rPr>
        <w:t>响应文件。</w:t>
      </w:r>
    </w:p>
    <w:p w14:paraId="789B71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5、违约责任：</w:t>
      </w:r>
    </w:p>
    <w:p w14:paraId="58BC84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（一）按《中华人民共和国民法典》中的相关条款执行。</w:t>
      </w:r>
    </w:p>
    <w:p w14:paraId="2750C6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（二）未按合同要求提供服务或服务质量不能满足技术要求，采购人有权终止合同，并对供方违约行为进行追究，同时按《政府采购法》的有关规定进行处罚。</w:t>
      </w:r>
    </w:p>
    <w:p w14:paraId="66A3FC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注：服务和商务要求为实质性要求，不得负偏离。</w:t>
      </w:r>
    </w:p>
    <w:p w14:paraId="00A924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A6715"/>
    <w:rsid w:val="200B0D98"/>
    <w:rsid w:val="32AA6715"/>
    <w:rsid w:val="49DB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6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2025-01-06T07:28:00Z</dcterms:created>
  <dc:creator>Atopos</dc:creator>
  <cp:lastModifiedBy>Atopos</cp:lastModifiedBy>
  <dcterms:modified xsi:type="dcterms:W3CDTF">2025-01-06T07:29:18Z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BD9C04886F4240EFBB5C5A3BC4DC6DF8_11</vt:lpwstr>
  </property>
  <property fmtid="{D5CDD505-2E9C-101B-9397-08002B2CF9AE}" pid="4" name="KSOTemplateDocerSaveRecord">
    <vt:lpwstr>eyJoZGlkIjoiMTU1MjA4MDE1M2UyNDQ5OTZmNTY2MzZkYzY2NjJiOTQiLCJ1c2VySWQiOiIyNDg2NTg2NDAifQ==</vt:lpwstr>
  </property>
</Properties>
</file>