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8FA67">
      <w:pPr>
        <w:rPr>
          <w:rFonts w:hint="eastAsia" w:ascii="宋体" w:hAnsi="宋体" w:eastAsia="宋体" w:cs="宋体"/>
          <w:b/>
          <w:bCs/>
          <w:sz w:val="32"/>
          <w:szCs w:val="32"/>
          <w:highlight w:val="none"/>
          <w:lang w:bidi="ar-SA"/>
        </w:rPr>
      </w:pPr>
    </w:p>
    <w:p w14:paraId="4B8592E6">
      <w:pPr>
        <w:rPr>
          <w:rFonts w:hint="eastAsia" w:ascii="宋体" w:hAnsi="宋体" w:eastAsia="宋体" w:cs="宋体"/>
          <w:b/>
          <w:sz w:val="36"/>
          <w:highlight w:val="none"/>
          <w:lang w:eastAsia="zh-CN" w:bidi="ar-SA"/>
        </w:rPr>
      </w:pPr>
      <w:r>
        <w:rPr>
          <w:rFonts w:hint="eastAsia" w:ascii="宋体" w:hAnsi="宋体" w:eastAsia="宋体" w:cs="宋体"/>
          <w:b/>
          <w:bCs/>
          <w:sz w:val="32"/>
          <w:szCs w:val="32"/>
          <w:highlight w:val="none"/>
          <w:lang w:bidi="ar-SA"/>
        </w:rPr>
        <w:t>项目编号：</w:t>
      </w:r>
      <w:r>
        <w:rPr>
          <w:rFonts w:hint="eastAsia" w:hAnsi="宋体" w:cs="宋体"/>
          <w:b/>
          <w:bCs/>
          <w:sz w:val="32"/>
          <w:szCs w:val="32"/>
          <w:highlight w:val="none"/>
          <w:lang w:eastAsia="zh-CN" w:bidi="ar-SA"/>
        </w:rPr>
        <w:t>DDXM2024-085</w:t>
      </w:r>
    </w:p>
    <w:p w14:paraId="780D301E">
      <w:pPr>
        <w:rPr>
          <w:rFonts w:hint="eastAsia" w:ascii="宋体" w:hAnsi="宋体" w:eastAsia="宋体" w:cs="宋体"/>
          <w:b/>
          <w:sz w:val="36"/>
          <w:highlight w:val="none"/>
          <w:lang w:bidi="ar-SA"/>
        </w:rPr>
      </w:pPr>
    </w:p>
    <w:p w14:paraId="476B81A0">
      <w:pPr>
        <w:rPr>
          <w:rFonts w:hint="eastAsia" w:ascii="宋体" w:hAnsi="宋体" w:eastAsia="宋体" w:cs="宋体"/>
          <w:b/>
          <w:sz w:val="36"/>
          <w:highlight w:val="none"/>
          <w:lang w:bidi="ar-SA"/>
        </w:rPr>
      </w:pPr>
    </w:p>
    <w:p w14:paraId="4534AA03">
      <w:pPr>
        <w:rPr>
          <w:rFonts w:hint="eastAsia" w:ascii="宋体" w:hAnsi="宋体" w:eastAsia="宋体" w:cs="宋体"/>
          <w:b/>
          <w:sz w:val="44"/>
          <w:szCs w:val="44"/>
          <w:highlight w:val="none"/>
          <w:lang w:bidi="ar-SA"/>
        </w:rPr>
      </w:pPr>
      <w:r>
        <w:rPr>
          <w:rFonts w:hint="eastAsia" w:ascii="宋体" w:hAnsi="宋体" w:eastAsia="宋体" w:cs="宋体"/>
          <w:b/>
          <w:sz w:val="36"/>
          <w:szCs w:val="36"/>
          <w:highlight w:val="none"/>
          <w:lang w:bidi="ar-SA"/>
        </w:rPr>
        <w:t xml:space="preserve">   </w:t>
      </w:r>
    </w:p>
    <w:p w14:paraId="31D9AD1E">
      <w:pPr>
        <w:spacing w:line="780" w:lineRule="auto"/>
        <w:jc w:val="center"/>
        <w:rPr>
          <w:rFonts w:hint="eastAsia" w:ascii="宋体" w:hAnsi="宋体" w:eastAsia="宋体" w:cs="宋体"/>
          <w:b/>
          <w:sz w:val="72"/>
          <w:szCs w:val="72"/>
          <w:highlight w:val="none"/>
          <w:lang w:bidi="ar-SA"/>
        </w:rPr>
      </w:pPr>
      <w:r>
        <w:rPr>
          <w:rFonts w:hint="eastAsia" w:hAnsi="宋体" w:cs="宋体"/>
          <w:b/>
          <w:sz w:val="56"/>
          <w:szCs w:val="56"/>
          <w:highlight w:val="none"/>
          <w:lang w:eastAsia="zh-CN" w:bidi="ar-SA"/>
        </w:rPr>
        <w:t>高庄镇2024年“多规合一”实用性村庄规划编制项目</w:t>
      </w:r>
    </w:p>
    <w:p w14:paraId="4A363DCF">
      <w:pPr>
        <w:spacing w:line="780" w:lineRule="auto"/>
        <w:jc w:val="center"/>
        <w:rPr>
          <w:rFonts w:hint="eastAsia" w:ascii="宋体" w:hAnsi="宋体" w:eastAsia="宋体" w:cs="宋体"/>
          <w:b/>
          <w:sz w:val="72"/>
          <w:szCs w:val="72"/>
          <w:highlight w:val="none"/>
          <w:lang w:bidi="ar-SA"/>
        </w:rPr>
      </w:pPr>
    </w:p>
    <w:p w14:paraId="24E53EB1">
      <w:pPr>
        <w:pStyle w:val="10"/>
        <w:rPr>
          <w:rFonts w:hint="eastAsia" w:ascii="宋体" w:hAnsi="宋体" w:eastAsia="宋体" w:cs="宋体"/>
          <w:b/>
          <w:sz w:val="72"/>
          <w:szCs w:val="72"/>
          <w:highlight w:val="none"/>
          <w:lang w:bidi="ar-SA"/>
        </w:rPr>
      </w:pPr>
    </w:p>
    <w:p w14:paraId="43169C29">
      <w:pPr>
        <w:rPr>
          <w:rFonts w:hint="eastAsia" w:ascii="宋体" w:hAnsi="宋体" w:eastAsia="宋体" w:cs="宋体"/>
          <w:highlight w:val="none"/>
        </w:rPr>
      </w:pPr>
    </w:p>
    <w:p w14:paraId="18247547">
      <w:pPr>
        <w:spacing w:line="780" w:lineRule="auto"/>
        <w:jc w:val="center"/>
        <w:rPr>
          <w:rFonts w:hint="eastAsia" w:ascii="宋体" w:hAnsi="宋体" w:eastAsia="宋体" w:cs="宋体"/>
          <w:b/>
          <w:sz w:val="72"/>
          <w:szCs w:val="72"/>
          <w:highlight w:val="none"/>
          <w:lang w:bidi="ar-SA"/>
        </w:rPr>
      </w:pPr>
      <w:r>
        <w:rPr>
          <w:rFonts w:hint="eastAsia" w:ascii="宋体" w:hAnsi="宋体" w:eastAsia="宋体" w:cs="宋体"/>
          <w:b/>
          <w:sz w:val="72"/>
          <w:szCs w:val="72"/>
          <w:highlight w:val="none"/>
          <w:lang w:bidi="ar-SA"/>
        </w:rPr>
        <w:t>竞争性磋商文件</w:t>
      </w:r>
    </w:p>
    <w:p w14:paraId="6F20451F">
      <w:pPr>
        <w:rPr>
          <w:rFonts w:hint="eastAsia" w:ascii="宋体" w:hAnsi="宋体" w:eastAsia="宋体" w:cs="宋体"/>
          <w:highlight w:val="none"/>
          <w:lang w:bidi="ar-SA"/>
        </w:rPr>
      </w:pPr>
      <w:bookmarkStart w:id="0" w:name="_Toc363463325"/>
    </w:p>
    <w:p w14:paraId="41B683FC">
      <w:pPr>
        <w:rPr>
          <w:rFonts w:hint="eastAsia" w:ascii="宋体" w:hAnsi="宋体" w:eastAsia="宋体" w:cs="宋体"/>
          <w:highlight w:val="none"/>
          <w:lang w:bidi="ar-SA"/>
        </w:rPr>
      </w:pPr>
    </w:p>
    <w:bookmarkEnd w:id="0"/>
    <w:p w14:paraId="7DA07237">
      <w:pPr>
        <w:pStyle w:val="10"/>
        <w:rPr>
          <w:rFonts w:hint="eastAsia" w:ascii="宋体" w:hAnsi="宋体" w:eastAsia="宋体" w:cs="宋体"/>
          <w:highlight w:val="none"/>
          <w:lang w:bidi="ar-SA"/>
        </w:rPr>
      </w:pPr>
    </w:p>
    <w:p w14:paraId="6BB29A3F">
      <w:pPr>
        <w:pStyle w:val="10"/>
        <w:rPr>
          <w:rFonts w:hint="eastAsia" w:ascii="宋体" w:hAnsi="宋体" w:eastAsia="宋体" w:cs="宋体"/>
          <w:highlight w:val="none"/>
          <w:lang w:bidi="ar-SA"/>
        </w:rPr>
      </w:pPr>
    </w:p>
    <w:p w14:paraId="76660C7C">
      <w:pPr>
        <w:rPr>
          <w:rFonts w:hint="eastAsia" w:ascii="宋体" w:hAnsi="宋体" w:eastAsia="宋体" w:cs="宋体"/>
          <w:highlight w:val="none"/>
          <w:lang w:bidi="ar-SA"/>
        </w:rPr>
      </w:pPr>
    </w:p>
    <w:p w14:paraId="5ACCE500">
      <w:pPr>
        <w:pStyle w:val="10"/>
        <w:rPr>
          <w:rFonts w:hint="eastAsia" w:ascii="宋体" w:hAnsi="宋体" w:eastAsia="宋体" w:cs="宋体"/>
          <w:highlight w:val="none"/>
        </w:rPr>
      </w:pPr>
    </w:p>
    <w:p w14:paraId="1275FEE4">
      <w:pPr>
        <w:pStyle w:val="13"/>
        <w:rPr>
          <w:rFonts w:hint="eastAsia" w:ascii="宋体" w:hAnsi="宋体" w:eastAsia="宋体" w:cs="宋体"/>
          <w:highlight w:val="none"/>
          <w:lang w:bidi="ar-SA"/>
        </w:rPr>
      </w:pPr>
    </w:p>
    <w:p w14:paraId="325ADFBE">
      <w:pPr>
        <w:jc w:val="center"/>
        <w:rPr>
          <w:rFonts w:hint="eastAsia" w:ascii="宋体" w:hAnsi="宋体" w:eastAsia="宋体" w:cs="宋体"/>
          <w:b/>
          <w:bCs/>
          <w:sz w:val="32"/>
          <w:szCs w:val="32"/>
          <w:highlight w:val="none"/>
          <w:lang w:bidi="ar-SA"/>
        </w:rPr>
      </w:pPr>
    </w:p>
    <w:p w14:paraId="7412582E">
      <w:pPr>
        <w:spacing w:line="720" w:lineRule="auto"/>
        <w:jc w:val="center"/>
        <w:rPr>
          <w:rFonts w:hint="eastAsia" w:ascii="宋体" w:hAnsi="宋体" w:eastAsia="宋体" w:cs="宋体"/>
          <w:b/>
          <w:bCs/>
          <w:sz w:val="32"/>
          <w:szCs w:val="32"/>
          <w:highlight w:val="none"/>
          <w:lang w:eastAsia="zh-CN" w:bidi="ar-SA"/>
        </w:rPr>
      </w:pPr>
      <w:r>
        <w:rPr>
          <w:rFonts w:hint="eastAsia" w:ascii="宋体" w:hAnsi="宋体" w:eastAsia="宋体" w:cs="宋体"/>
          <w:b/>
          <w:bCs/>
          <w:sz w:val="32"/>
          <w:szCs w:val="32"/>
          <w:highlight w:val="none"/>
          <w:lang w:bidi="ar-SA"/>
        </w:rPr>
        <w:t>采购代理机构：</w:t>
      </w:r>
      <w:r>
        <w:rPr>
          <w:rFonts w:hint="eastAsia" w:ascii="宋体" w:hAnsi="宋体" w:eastAsia="宋体" w:cs="宋体"/>
          <w:b/>
          <w:bCs/>
          <w:sz w:val="32"/>
          <w:szCs w:val="32"/>
          <w:highlight w:val="none"/>
          <w:lang w:eastAsia="zh-CN" w:bidi="ar-SA"/>
        </w:rPr>
        <w:t>陕西鼎端项目管理咨询有限公司</w:t>
      </w:r>
    </w:p>
    <w:p w14:paraId="6E216E67">
      <w:pPr>
        <w:jc w:val="center"/>
        <w:rPr>
          <w:rFonts w:hint="eastAsia" w:ascii="宋体" w:hAnsi="宋体" w:eastAsia="宋体" w:cs="宋体"/>
          <w:b/>
          <w:sz w:val="44"/>
          <w:szCs w:val="44"/>
          <w:highlight w:val="none"/>
          <w:lang w:bidi="ar-SA"/>
        </w:rPr>
      </w:pPr>
      <w:r>
        <w:rPr>
          <w:rFonts w:hint="eastAsia" w:ascii="宋体" w:hAnsi="宋体" w:eastAsia="宋体" w:cs="宋体"/>
          <w:b/>
          <w:bCs/>
          <w:sz w:val="32"/>
          <w:szCs w:val="32"/>
          <w:highlight w:val="none"/>
          <w:lang w:bidi="ar-SA"/>
        </w:rPr>
        <w:t>二〇二</w:t>
      </w:r>
      <w:r>
        <w:rPr>
          <w:rFonts w:hint="eastAsia" w:ascii="宋体" w:hAnsi="宋体" w:eastAsia="宋体" w:cs="宋体"/>
          <w:b/>
          <w:bCs/>
          <w:sz w:val="32"/>
          <w:szCs w:val="32"/>
          <w:highlight w:val="none"/>
          <w:lang w:val="en-US" w:eastAsia="zh-CN" w:bidi="ar-SA"/>
        </w:rPr>
        <w:t>四</w:t>
      </w:r>
      <w:r>
        <w:rPr>
          <w:rFonts w:hint="eastAsia" w:ascii="宋体" w:hAnsi="宋体" w:eastAsia="宋体" w:cs="宋体"/>
          <w:b/>
          <w:bCs/>
          <w:sz w:val="32"/>
          <w:szCs w:val="32"/>
          <w:highlight w:val="none"/>
          <w:lang w:bidi="ar-SA"/>
        </w:rPr>
        <w:t>年</w:t>
      </w:r>
      <w:r>
        <w:rPr>
          <w:rFonts w:hint="eastAsia" w:hAnsi="宋体" w:cs="宋体"/>
          <w:b/>
          <w:bCs/>
          <w:sz w:val="32"/>
          <w:szCs w:val="32"/>
          <w:highlight w:val="none"/>
          <w:lang w:val="en-US" w:eastAsia="zh-CN" w:bidi="ar-SA"/>
        </w:rPr>
        <w:t>十一</w:t>
      </w:r>
      <w:r>
        <w:rPr>
          <w:rFonts w:hint="eastAsia" w:ascii="宋体" w:hAnsi="宋体" w:eastAsia="宋体" w:cs="宋体"/>
          <w:b/>
          <w:bCs/>
          <w:sz w:val="32"/>
          <w:szCs w:val="32"/>
          <w:highlight w:val="none"/>
          <w:lang w:bidi="ar-SA"/>
        </w:rPr>
        <w:t>月</w:t>
      </w:r>
      <w:r>
        <w:rPr>
          <w:rFonts w:hint="eastAsia" w:ascii="宋体" w:hAnsi="宋体" w:eastAsia="宋体" w:cs="宋体"/>
          <w:b/>
          <w:sz w:val="44"/>
          <w:szCs w:val="44"/>
          <w:highlight w:val="none"/>
          <w:lang w:bidi="ar-SA"/>
        </w:rPr>
        <w:br w:type="page"/>
      </w:r>
    </w:p>
    <w:p w14:paraId="0BB256EB">
      <w:pPr>
        <w:jc w:val="center"/>
        <w:rPr>
          <w:rFonts w:hint="eastAsia" w:ascii="宋体" w:hAnsi="宋体" w:eastAsia="宋体" w:cs="宋体"/>
          <w:b/>
          <w:bCs w:val="0"/>
          <w:sz w:val="48"/>
          <w:szCs w:val="48"/>
          <w:highlight w:val="none"/>
          <w:lang w:bidi="ar-SA"/>
        </w:rPr>
      </w:pPr>
      <w:r>
        <w:rPr>
          <w:rFonts w:hint="eastAsia" w:ascii="宋体" w:hAnsi="宋体" w:eastAsia="宋体" w:cs="宋体"/>
          <w:b/>
          <w:bCs w:val="0"/>
          <w:sz w:val="48"/>
          <w:szCs w:val="48"/>
          <w:highlight w:val="none"/>
          <w:lang w:bidi="ar-SA"/>
        </w:rPr>
        <w:t>目  录</w:t>
      </w:r>
    </w:p>
    <w:p w14:paraId="724E0C00">
      <w:pPr>
        <w:pStyle w:val="10"/>
        <w:spacing w:line="360" w:lineRule="auto"/>
        <w:rPr>
          <w:rFonts w:hint="eastAsia" w:ascii="宋体" w:hAnsi="宋体" w:eastAsia="宋体" w:cs="宋体"/>
          <w:b/>
          <w:bCs w:val="0"/>
          <w:sz w:val="24"/>
          <w:szCs w:val="22"/>
          <w:highlight w:val="none"/>
        </w:rPr>
      </w:pPr>
    </w:p>
    <w:p w14:paraId="4FEB867B">
      <w:pPr>
        <w:pStyle w:val="14"/>
        <w:tabs>
          <w:tab w:val="right" w:leader="dot" w:pos="9071"/>
        </w:tabs>
        <w:spacing w:line="600" w:lineRule="auto"/>
        <w:rPr>
          <w:rFonts w:hint="eastAsia" w:ascii="宋体" w:hAnsi="宋体" w:eastAsia="宋体" w:cs="宋体"/>
          <w:b/>
          <w:bCs w:val="0"/>
          <w:sz w:val="32"/>
          <w:szCs w:val="22"/>
          <w:highlight w:val="none"/>
          <w:lang w:bidi="ar-SA"/>
        </w:rPr>
      </w:pPr>
      <w:bookmarkStart w:id="1" w:name="_Toc21518"/>
      <w:bookmarkStart w:id="2" w:name="_Toc389582033"/>
      <w:bookmarkStart w:id="3" w:name="_Toc16218"/>
      <w:bookmarkStart w:id="4" w:name="_Toc19886"/>
      <w:bookmarkStart w:id="5" w:name="_Toc5293"/>
      <w:bookmarkStart w:id="6" w:name="_Toc20652"/>
      <w:bookmarkStart w:id="7" w:name="_Toc20858"/>
      <w:bookmarkStart w:id="8" w:name="_Toc27420"/>
      <w:bookmarkStart w:id="9" w:name="_Toc363473971"/>
      <w:bookmarkStart w:id="10" w:name="_Toc363474016"/>
      <w:bookmarkStart w:id="11" w:name="_Toc403077638"/>
      <w:r>
        <w:rPr>
          <w:rFonts w:hint="eastAsia" w:ascii="宋体" w:hAnsi="宋体" w:eastAsia="宋体" w:cs="宋体"/>
          <w:b/>
          <w:bCs w:val="0"/>
          <w:sz w:val="52"/>
          <w:szCs w:val="52"/>
          <w:highlight w:val="none"/>
          <w:lang w:bidi="ar-SA"/>
        </w:rPr>
        <w:fldChar w:fldCharType="begin"/>
      </w:r>
      <w:r>
        <w:rPr>
          <w:rFonts w:hint="eastAsia" w:ascii="宋体" w:hAnsi="宋体" w:eastAsia="宋体" w:cs="宋体"/>
          <w:b/>
          <w:bCs w:val="0"/>
          <w:sz w:val="52"/>
          <w:szCs w:val="52"/>
          <w:highlight w:val="none"/>
          <w:lang w:bidi="ar-SA"/>
        </w:rPr>
        <w:instrText xml:space="preserve">TOC \o "1-1" \h \u </w:instrText>
      </w:r>
      <w:r>
        <w:rPr>
          <w:rFonts w:hint="eastAsia" w:ascii="宋体" w:hAnsi="宋体" w:eastAsia="宋体" w:cs="宋体"/>
          <w:b/>
          <w:bCs w:val="0"/>
          <w:sz w:val="52"/>
          <w:szCs w:val="52"/>
          <w:highlight w:val="none"/>
          <w:lang w:bidi="ar-SA"/>
        </w:rPr>
        <w:fldChar w:fldCharType="separate"/>
      </w:r>
      <w:r>
        <w:rPr>
          <w:rFonts w:hint="eastAsia" w:ascii="宋体" w:hAnsi="宋体" w:eastAsia="宋体" w:cs="宋体"/>
          <w:b/>
          <w:bCs w:val="0"/>
          <w:sz w:val="32"/>
          <w:szCs w:val="52"/>
          <w:highlight w:val="none"/>
          <w:lang w:bidi="ar-SA"/>
        </w:rPr>
        <w:fldChar w:fldCharType="begin"/>
      </w:r>
      <w:r>
        <w:rPr>
          <w:rFonts w:hint="eastAsia" w:ascii="宋体" w:hAnsi="宋体" w:eastAsia="宋体" w:cs="宋体"/>
          <w:b/>
          <w:bCs w:val="0"/>
          <w:sz w:val="32"/>
          <w:szCs w:val="52"/>
          <w:highlight w:val="none"/>
          <w:lang w:bidi="ar-SA"/>
        </w:rPr>
        <w:instrText xml:space="preserve"> HYPERLINK \l _Toc3847 </w:instrText>
      </w:r>
      <w:r>
        <w:rPr>
          <w:rFonts w:hint="eastAsia" w:ascii="宋体" w:hAnsi="宋体" w:eastAsia="宋体" w:cs="宋体"/>
          <w:b/>
          <w:bCs w:val="0"/>
          <w:sz w:val="32"/>
          <w:szCs w:val="52"/>
          <w:highlight w:val="none"/>
          <w:lang w:bidi="ar-SA"/>
        </w:rPr>
        <w:fldChar w:fldCharType="separate"/>
      </w:r>
      <w:r>
        <w:rPr>
          <w:rFonts w:hint="eastAsia" w:ascii="宋体" w:hAnsi="宋体" w:eastAsia="宋体" w:cs="宋体"/>
          <w:b/>
          <w:bCs w:val="0"/>
          <w:sz w:val="32"/>
          <w:szCs w:val="44"/>
          <w:highlight w:val="none"/>
          <w:lang w:bidi="ar-SA"/>
        </w:rPr>
        <w:t>第一章  竞争性磋商公告</w:t>
      </w:r>
      <w:r>
        <w:rPr>
          <w:rFonts w:hint="eastAsia" w:ascii="宋体" w:hAnsi="宋体" w:eastAsia="宋体" w:cs="宋体"/>
          <w:b/>
          <w:bCs w:val="0"/>
          <w:sz w:val="32"/>
          <w:szCs w:val="22"/>
          <w:highlight w:val="none"/>
          <w:lang w:bidi="ar-SA"/>
        </w:rPr>
        <w:tab/>
      </w:r>
      <w:r>
        <w:rPr>
          <w:rFonts w:hint="eastAsia" w:ascii="宋体" w:hAnsi="宋体" w:eastAsia="宋体" w:cs="宋体"/>
          <w:b/>
          <w:bCs w:val="0"/>
          <w:sz w:val="32"/>
          <w:szCs w:val="22"/>
          <w:highlight w:val="none"/>
          <w:lang w:bidi="ar-SA"/>
        </w:rPr>
        <w:fldChar w:fldCharType="begin"/>
      </w:r>
      <w:r>
        <w:rPr>
          <w:rFonts w:hint="eastAsia" w:ascii="宋体" w:hAnsi="宋体" w:eastAsia="宋体" w:cs="宋体"/>
          <w:b/>
          <w:bCs w:val="0"/>
          <w:sz w:val="32"/>
          <w:szCs w:val="22"/>
          <w:highlight w:val="none"/>
          <w:lang w:bidi="ar-SA"/>
        </w:rPr>
        <w:instrText xml:space="preserve"> PAGEREF _Toc3847 \h </w:instrText>
      </w:r>
      <w:r>
        <w:rPr>
          <w:rFonts w:hint="eastAsia" w:ascii="宋体" w:hAnsi="宋体" w:eastAsia="宋体" w:cs="宋体"/>
          <w:b/>
          <w:bCs w:val="0"/>
          <w:sz w:val="32"/>
          <w:szCs w:val="22"/>
          <w:highlight w:val="none"/>
          <w:lang w:bidi="ar-SA"/>
        </w:rPr>
        <w:fldChar w:fldCharType="separate"/>
      </w:r>
      <w:r>
        <w:rPr>
          <w:rFonts w:hint="eastAsia" w:ascii="宋体" w:hAnsi="宋体" w:eastAsia="宋体" w:cs="宋体"/>
          <w:b/>
          <w:bCs w:val="0"/>
          <w:sz w:val="32"/>
          <w:szCs w:val="22"/>
          <w:highlight w:val="none"/>
          <w:lang w:bidi="ar-SA"/>
        </w:rPr>
        <w:t>1</w:t>
      </w:r>
      <w:r>
        <w:rPr>
          <w:rFonts w:hint="eastAsia" w:ascii="宋体" w:hAnsi="宋体" w:eastAsia="宋体" w:cs="宋体"/>
          <w:b/>
          <w:bCs w:val="0"/>
          <w:sz w:val="32"/>
          <w:szCs w:val="22"/>
          <w:highlight w:val="none"/>
          <w:lang w:bidi="ar-SA"/>
        </w:rPr>
        <w:fldChar w:fldCharType="end"/>
      </w:r>
      <w:r>
        <w:rPr>
          <w:rFonts w:hint="eastAsia" w:ascii="宋体" w:hAnsi="宋体" w:eastAsia="宋体" w:cs="宋体"/>
          <w:b/>
          <w:bCs w:val="0"/>
          <w:sz w:val="32"/>
          <w:szCs w:val="52"/>
          <w:highlight w:val="none"/>
          <w:lang w:bidi="ar-SA"/>
        </w:rPr>
        <w:fldChar w:fldCharType="end"/>
      </w:r>
    </w:p>
    <w:p w14:paraId="54B833B2">
      <w:pPr>
        <w:pStyle w:val="14"/>
        <w:tabs>
          <w:tab w:val="right" w:leader="dot" w:pos="9071"/>
        </w:tabs>
        <w:spacing w:line="600" w:lineRule="auto"/>
        <w:rPr>
          <w:rFonts w:hint="eastAsia" w:ascii="宋体" w:hAnsi="宋体" w:eastAsia="宋体" w:cs="宋体"/>
          <w:b/>
          <w:bCs w:val="0"/>
          <w:sz w:val="32"/>
          <w:szCs w:val="22"/>
          <w:highlight w:val="none"/>
          <w:lang w:bidi="ar-SA"/>
        </w:rPr>
      </w:pPr>
      <w:r>
        <w:rPr>
          <w:rFonts w:hint="eastAsia" w:ascii="宋体" w:hAnsi="宋体" w:eastAsia="宋体" w:cs="宋体"/>
          <w:b/>
          <w:bCs w:val="0"/>
          <w:sz w:val="32"/>
          <w:szCs w:val="52"/>
          <w:highlight w:val="none"/>
          <w:lang w:bidi="ar-SA"/>
        </w:rPr>
        <w:fldChar w:fldCharType="begin"/>
      </w:r>
      <w:r>
        <w:rPr>
          <w:rFonts w:hint="eastAsia" w:ascii="宋体" w:hAnsi="宋体" w:eastAsia="宋体" w:cs="宋体"/>
          <w:b/>
          <w:bCs w:val="0"/>
          <w:sz w:val="32"/>
          <w:szCs w:val="52"/>
          <w:highlight w:val="none"/>
          <w:lang w:bidi="ar-SA"/>
        </w:rPr>
        <w:instrText xml:space="preserve"> HYPERLINK \l _Toc19151 </w:instrText>
      </w:r>
      <w:r>
        <w:rPr>
          <w:rFonts w:hint="eastAsia" w:ascii="宋体" w:hAnsi="宋体" w:eastAsia="宋体" w:cs="宋体"/>
          <w:b/>
          <w:bCs w:val="0"/>
          <w:sz w:val="32"/>
          <w:szCs w:val="52"/>
          <w:highlight w:val="none"/>
          <w:lang w:bidi="ar-SA"/>
        </w:rPr>
        <w:fldChar w:fldCharType="separate"/>
      </w:r>
      <w:r>
        <w:rPr>
          <w:rFonts w:hint="eastAsia" w:ascii="宋体" w:hAnsi="宋体" w:eastAsia="宋体" w:cs="宋体"/>
          <w:b/>
          <w:bCs w:val="0"/>
          <w:sz w:val="32"/>
          <w:szCs w:val="36"/>
          <w:highlight w:val="none"/>
          <w:lang w:bidi="ar-SA"/>
        </w:rPr>
        <w:t>第二章  供应商须知</w:t>
      </w:r>
      <w:r>
        <w:rPr>
          <w:rFonts w:hint="eastAsia" w:ascii="宋体" w:hAnsi="宋体" w:eastAsia="宋体" w:cs="宋体"/>
          <w:b/>
          <w:bCs w:val="0"/>
          <w:sz w:val="32"/>
          <w:szCs w:val="22"/>
          <w:highlight w:val="none"/>
          <w:lang w:bidi="ar-SA"/>
        </w:rPr>
        <w:tab/>
      </w:r>
      <w:r>
        <w:rPr>
          <w:rFonts w:hint="eastAsia" w:ascii="宋体" w:hAnsi="宋体" w:eastAsia="宋体" w:cs="宋体"/>
          <w:b/>
          <w:bCs w:val="0"/>
          <w:sz w:val="32"/>
          <w:szCs w:val="22"/>
          <w:highlight w:val="none"/>
          <w:lang w:bidi="ar-SA"/>
        </w:rPr>
        <w:fldChar w:fldCharType="begin"/>
      </w:r>
      <w:r>
        <w:rPr>
          <w:rFonts w:hint="eastAsia" w:ascii="宋体" w:hAnsi="宋体" w:eastAsia="宋体" w:cs="宋体"/>
          <w:b/>
          <w:bCs w:val="0"/>
          <w:sz w:val="32"/>
          <w:szCs w:val="22"/>
          <w:highlight w:val="none"/>
          <w:lang w:bidi="ar-SA"/>
        </w:rPr>
        <w:instrText xml:space="preserve"> PAGEREF _Toc19151 \h </w:instrText>
      </w:r>
      <w:r>
        <w:rPr>
          <w:rFonts w:hint="eastAsia" w:ascii="宋体" w:hAnsi="宋体" w:eastAsia="宋体" w:cs="宋体"/>
          <w:b/>
          <w:bCs w:val="0"/>
          <w:sz w:val="32"/>
          <w:szCs w:val="22"/>
          <w:highlight w:val="none"/>
          <w:lang w:bidi="ar-SA"/>
        </w:rPr>
        <w:fldChar w:fldCharType="separate"/>
      </w:r>
      <w:r>
        <w:rPr>
          <w:rFonts w:hint="eastAsia" w:ascii="宋体" w:hAnsi="宋体" w:eastAsia="宋体" w:cs="宋体"/>
          <w:b/>
          <w:bCs w:val="0"/>
          <w:sz w:val="32"/>
          <w:szCs w:val="22"/>
          <w:highlight w:val="none"/>
          <w:lang w:bidi="ar-SA"/>
        </w:rPr>
        <w:t>5</w:t>
      </w:r>
      <w:r>
        <w:rPr>
          <w:rFonts w:hint="eastAsia" w:ascii="宋体" w:hAnsi="宋体" w:eastAsia="宋体" w:cs="宋体"/>
          <w:b/>
          <w:bCs w:val="0"/>
          <w:sz w:val="32"/>
          <w:szCs w:val="22"/>
          <w:highlight w:val="none"/>
          <w:lang w:bidi="ar-SA"/>
        </w:rPr>
        <w:fldChar w:fldCharType="end"/>
      </w:r>
      <w:r>
        <w:rPr>
          <w:rFonts w:hint="eastAsia" w:ascii="宋体" w:hAnsi="宋体" w:eastAsia="宋体" w:cs="宋体"/>
          <w:b/>
          <w:bCs w:val="0"/>
          <w:sz w:val="32"/>
          <w:szCs w:val="52"/>
          <w:highlight w:val="none"/>
          <w:lang w:bidi="ar-SA"/>
        </w:rPr>
        <w:fldChar w:fldCharType="end"/>
      </w:r>
    </w:p>
    <w:p w14:paraId="3407327B">
      <w:pPr>
        <w:pStyle w:val="14"/>
        <w:tabs>
          <w:tab w:val="right" w:leader="dot" w:pos="9071"/>
        </w:tabs>
        <w:spacing w:line="600" w:lineRule="auto"/>
        <w:rPr>
          <w:rFonts w:hint="eastAsia" w:ascii="宋体" w:hAnsi="宋体" w:eastAsia="宋体" w:cs="宋体"/>
          <w:b/>
          <w:bCs w:val="0"/>
          <w:sz w:val="32"/>
          <w:szCs w:val="22"/>
          <w:highlight w:val="none"/>
          <w:lang w:bidi="ar-SA"/>
        </w:rPr>
      </w:pPr>
      <w:r>
        <w:rPr>
          <w:rFonts w:hint="eastAsia" w:ascii="宋体" w:hAnsi="宋体" w:eastAsia="宋体" w:cs="宋体"/>
          <w:b/>
          <w:bCs w:val="0"/>
          <w:sz w:val="32"/>
          <w:szCs w:val="52"/>
          <w:highlight w:val="none"/>
          <w:lang w:bidi="ar-SA"/>
        </w:rPr>
        <w:fldChar w:fldCharType="begin"/>
      </w:r>
      <w:r>
        <w:rPr>
          <w:rFonts w:hint="eastAsia" w:ascii="宋体" w:hAnsi="宋体" w:eastAsia="宋体" w:cs="宋体"/>
          <w:b/>
          <w:bCs w:val="0"/>
          <w:sz w:val="32"/>
          <w:szCs w:val="52"/>
          <w:highlight w:val="none"/>
          <w:lang w:bidi="ar-SA"/>
        </w:rPr>
        <w:instrText xml:space="preserve"> HYPERLINK \l _Toc23556 </w:instrText>
      </w:r>
      <w:r>
        <w:rPr>
          <w:rFonts w:hint="eastAsia" w:ascii="宋体" w:hAnsi="宋体" w:eastAsia="宋体" w:cs="宋体"/>
          <w:b/>
          <w:bCs w:val="0"/>
          <w:sz w:val="32"/>
          <w:szCs w:val="52"/>
          <w:highlight w:val="none"/>
          <w:lang w:bidi="ar-SA"/>
        </w:rPr>
        <w:fldChar w:fldCharType="separate"/>
      </w:r>
      <w:r>
        <w:rPr>
          <w:rFonts w:hint="eastAsia" w:ascii="宋体" w:hAnsi="宋体" w:eastAsia="宋体" w:cs="宋体"/>
          <w:b/>
          <w:bCs w:val="0"/>
          <w:sz w:val="32"/>
          <w:szCs w:val="44"/>
          <w:highlight w:val="none"/>
          <w:lang w:bidi="ar-SA"/>
        </w:rPr>
        <w:t xml:space="preserve">第三章 </w:t>
      </w:r>
      <w:r>
        <w:rPr>
          <w:rFonts w:hint="eastAsia" w:hAnsi="宋体" w:cs="宋体"/>
          <w:b/>
          <w:bCs w:val="0"/>
          <w:sz w:val="32"/>
          <w:szCs w:val="44"/>
          <w:highlight w:val="none"/>
          <w:lang w:val="en-US" w:eastAsia="zh-CN" w:bidi="ar-SA"/>
        </w:rPr>
        <w:t xml:space="preserve"> </w:t>
      </w:r>
      <w:r>
        <w:rPr>
          <w:rFonts w:hint="eastAsia" w:ascii="宋体" w:hAnsi="宋体" w:eastAsia="宋体" w:cs="宋体"/>
          <w:b/>
          <w:bCs w:val="0"/>
          <w:sz w:val="32"/>
          <w:szCs w:val="44"/>
          <w:highlight w:val="none"/>
          <w:lang w:bidi="ar-SA"/>
        </w:rPr>
        <w:t>合同主要条款</w:t>
      </w:r>
      <w:r>
        <w:rPr>
          <w:rFonts w:hint="eastAsia" w:ascii="宋体" w:hAnsi="宋体" w:eastAsia="宋体" w:cs="宋体"/>
          <w:b/>
          <w:bCs w:val="0"/>
          <w:sz w:val="32"/>
          <w:szCs w:val="22"/>
          <w:highlight w:val="none"/>
          <w:lang w:bidi="ar-SA"/>
        </w:rPr>
        <w:tab/>
      </w:r>
      <w:r>
        <w:rPr>
          <w:rFonts w:hint="eastAsia" w:ascii="宋体" w:hAnsi="宋体" w:eastAsia="宋体" w:cs="宋体"/>
          <w:b/>
          <w:bCs w:val="0"/>
          <w:sz w:val="32"/>
          <w:szCs w:val="22"/>
          <w:highlight w:val="none"/>
          <w:lang w:bidi="ar-SA"/>
        </w:rPr>
        <w:fldChar w:fldCharType="begin"/>
      </w:r>
      <w:r>
        <w:rPr>
          <w:rFonts w:hint="eastAsia" w:ascii="宋体" w:hAnsi="宋体" w:eastAsia="宋体" w:cs="宋体"/>
          <w:b/>
          <w:bCs w:val="0"/>
          <w:sz w:val="32"/>
          <w:szCs w:val="22"/>
          <w:highlight w:val="none"/>
          <w:lang w:bidi="ar-SA"/>
        </w:rPr>
        <w:instrText xml:space="preserve"> PAGEREF _Toc23556 \h </w:instrText>
      </w:r>
      <w:r>
        <w:rPr>
          <w:rFonts w:hint="eastAsia" w:ascii="宋体" w:hAnsi="宋体" w:eastAsia="宋体" w:cs="宋体"/>
          <w:b/>
          <w:bCs w:val="0"/>
          <w:sz w:val="32"/>
          <w:szCs w:val="22"/>
          <w:highlight w:val="none"/>
          <w:lang w:bidi="ar-SA"/>
        </w:rPr>
        <w:fldChar w:fldCharType="separate"/>
      </w:r>
      <w:r>
        <w:rPr>
          <w:rFonts w:hint="eastAsia" w:ascii="宋体" w:hAnsi="宋体" w:eastAsia="宋体" w:cs="宋体"/>
          <w:b/>
          <w:bCs w:val="0"/>
          <w:sz w:val="32"/>
          <w:szCs w:val="22"/>
          <w:highlight w:val="none"/>
          <w:lang w:bidi="ar-SA"/>
        </w:rPr>
        <w:t>21</w:t>
      </w:r>
      <w:r>
        <w:rPr>
          <w:rFonts w:hint="eastAsia" w:ascii="宋体" w:hAnsi="宋体" w:eastAsia="宋体" w:cs="宋体"/>
          <w:b/>
          <w:bCs w:val="0"/>
          <w:sz w:val="32"/>
          <w:szCs w:val="22"/>
          <w:highlight w:val="none"/>
          <w:lang w:bidi="ar-SA"/>
        </w:rPr>
        <w:fldChar w:fldCharType="end"/>
      </w:r>
      <w:r>
        <w:rPr>
          <w:rFonts w:hint="eastAsia" w:ascii="宋体" w:hAnsi="宋体" w:eastAsia="宋体" w:cs="宋体"/>
          <w:b/>
          <w:bCs w:val="0"/>
          <w:sz w:val="32"/>
          <w:szCs w:val="52"/>
          <w:highlight w:val="none"/>
          <w:lang w:bidi="ar-SA"/>
        </w:rPr>
        <w:fldChar w:fldCharType="end"/>
      </w:r>
    </w:p>
    <w:p w14:paraId="03BE64A5">
      <w:pPr>
        <w:pStyle w:val="14"/>
        <w:tabs>
          <w:tab w:val="right" w:leader="dot" w:pos="9071"/>
        </w:tabs>
        <w:spacing w:line="600" w:lineRule="auto"/>
        <w:rPr>
          <w:rFonts w:hint="eastAsia" w:ascii="宋体" w:hAnsi="宋体" w:eastAsia="宋体" w:cs="宋体"/>
          <w:b/>
          <w:bCs w:val="0"/>
          <w:sz w:val="32"/>
          <w:szCs w:val="22"/>
          <w:highlight w:val="none"/>
          <w:lang w:bidi="ar-SA"/>
        </w:rPr>
      </w:pPr>
      <w:r>
        <w:rPr>
          <w:rFonts w:hint="eastAsia" w:ascii="宋体" w:hAnsi="宋体" w:eastAsia="宋体" w:cs="宋体"/>
          <w:b/>
          <w:bCs w:val="0"/>
          <w:sz w:val="32"/>
          <w:szCs w:val="52"/>
          <w:highlight w:val="none"/>
          <w:lang w:bidi="ar-SA"/>
        </w:rPr>
        <w:fldChar w:fldCharType="begin"/>
      </w:r>
      <w:r>
        <w:rPr>
          <w:rFonts w:hint="eastAsia" w:ascii="宋体" w:hAnsi="宋体" w:eastAsia="宋体" w:cs="宋体"/>
          <w:b/>
          <w:bCs w:val="0"/>
          <w:sz w:val="32"/>
          <w:szCs w:val="52"/>
          <w:highlight w:val="none"/>
          <w:lang w:bidi="ar-SA"/>
        </w:rPr>
        <w:instrText xml:space="preserve"> HYPERLINK \l _Toc28846 </w:instrText>
      </w:r>
      <w:r>
        <w:rPr>
          <w:rFonts w:hint="eastAsia" w:ascii="宋体" w:hAnsi="宋体" w:eastAsia="宋体" w:cs="宋体"/>
          <w:b/>
          <w:bCs w:val="0"/>
          <w:sz w:val="32"/>
          <w:szCs w:val="52"/>
          <w:highlight w:val="none"/>
          <w:lang w:bidi="ar-SA"/>
        </w:rPr>
        <w:fldChar w:fldCharType="separate"/>
      </w:r>
      <w:r>
        <w:rPr>
          <w:rFonts w:hint="eastAsia" w:ascii="宋体" w:hAnsi="宋体" w:eastAsia="宋体" w:cs="宋体"/>
          <w:b/>
          <w:bCs w:val="0"/>
          <w:sz w:val="32"/>
          <w:szCs w:val="44"/>
          <w:highlight w:val="none"/>
          <w:lang w:bidi="ar-SA"/>
        </w:rPr>
        <w:t xml:space="preserve">第四章 </w:t>
      </w:r>
      <w:r>
        <w:rPr>
          <w:rFonts w:hint="eastAsia" w:hAnsi="宋体" w:cs="宋体"/>
          <w:b/>
          <w:bCs w:val="0"/>
          <w:sz w:val="32"/>
          <w:szCs w:val="44"/>
          <w:highlight w:val="none"/>
          <w:lang w:val="en-US" w:eastAsia="zh-CN" w:bidi="ar-SA"/>
        </w:rPr>
        <w:t xml:space="preserve"> </w:t>
      </w:r>
      <w:r>
        <w:rPr>
          <w:rFonts w:hint="eastAsia" w:ascii="宋体" w:hAnsi="宋体" w:eastAsia="宋体" w:cs="宋体"/>
          <w:b/>
          <w:bCs w:val="0"/>
          <w:sz w:val="32"/>
          <w:szCs w:val="44"/>
          <w:highlight w:val="none"/>
          <w:lang w:bidi="ar-SA"/>
        </w:rPr>
        <w:t>采购内容及服务要求</w:t>
      </w:r>
      <w:r>
        <w:rPr>
          <w:rFonts w:hint="eastAsia" w:ascii="宋体" w:hAnsi="宋体" w:eastAsia="宋体" w:cs="宋体"/>
          <w:b/>
          <w:bCs w:val="0"/>
          <w:sz w:val="32"/>
          <w:szCs w:val="22"/>
          <w:highlight w:val="none"/>
          <w:lang w:bidi="ar-SA"/>
        </w:rPr>
        <w:tab/>
      </w:r>
      <w:r>
        <w:rPr>
          <w:rFonts w:hint="eastAsia" w:ascii="宋体" w:hAnsi="宋体" w:eastAsia="宋体" w:cs="宋体"/>
          <w:b/>
          <w:bCs w:val="0"/>
          <w:sz w:val="32"/>
          <w:szCs w:val="22"/>
          <w:highlight w:val="none"/>
          <w:lang w:bidi="ar-SA"/>
        </w:rPr>
        <w:fldChar w:fldCharType="begin"/>
      </w:r>
      <w:r>
        <w:rPr>
          <w:rFonts w:hint="eastAsia" w:ascii="宋体" w:hAnsi="宋体" w:eastAsia="宋体" w:cs="宋体"/>
          <w:b/>
          <w:bCs w:val="0"/>
          <w:sz w:val="32"/>
          <w:szCs w:val="22"/>
          <w:highlight w:val="none"/>
          <w:lang w:bidi="ar-SA"/>
        </w:rPr>
        <w:instrText xml:space="preserve"> PAGEREF _Toc28846 \h </w:instrText>
      </w:r>
      <w:r>
        <w:rPr>
          <w:rFonts w:hint="eastAsia" w:ascii="宋体" w:hAnsi="宋体" w:eastAsia="宋体" w:cs="宋体"/>
          <w:b/>
          <w:bCs w:val="0"/>
          <w:sz w:val="32"/>
          <w:szCs w:val="22"/>
          <w:highlight w:val="none"/>
          <w:lang w:bidi="ar-SA"/>
        </w:rPr>
        <w:fldChar w:fldCharType="separate"/>
      </w:r>
      <w:r>
        <w:rPr>
          <w:rFonts w:hint="eastAsia" w:ascii="宋体" w:hAnsi="宋体" w:eastAsia="宋体" w:cs="宋体"/>
          <w:b/>
          <w:bCs w:val="0"/>
          <w:sz w:val="32"/>
          <w:szCs w:val="22"/>
          <w:highlight w:val="none"/>
          <w:lang w:bidi="ar-SA"/>
        </w:rPr>
        <w:t>25</w:t>
      </w:r>
      <w:r>
        <w:rPr>
          <w:rFonts w:hint="eastAsia" w:ascii="宋体" w:hAnsi="宋体" w:eastAsia="宋体" w:cs="宋体"/>
          <w:b/>
          <w:bCs w:val="0"/>
          <w:sz w:val="32"/>
          <w:szCs w:val="22"/>
          <w:highlight w:val="none"/>
          <w:lang w:bidi="ar-SA"/>
        </w:rPr>
        <w:fldChar w:fldCharType="end"/>
      </w:r>
      <w:r>
        <w:rPr>
          <w:rFonts w:hint="eastAsia" w:ascii="宋体" w:hAnsi="宋体" w:eastAsia="宋体" w:cs="宋体"/>
          <w:b/>
          <w:bCs w:val="0"/>
          <w:sz w:val="32"/>
          <w:szCs w:val="52"/>
          <w:highlight w:val="none"/>
          <w:lang w:bidi="ar-SA"/>
        </w:rPr>
        <w:fldChar w:fldCharType="end"/>
      </w:r>
    </w:p>
    <w:p w14:paraId="536C2FD5">
      <w:pPr>
        <w:pStyle w:val="14"/>
        <w:tabs>
          <w:tab w:val="right" w:leader="dot" w:pos="9071"/>
        </w:tabs>
        <w:spacing w:line="600" w:lineRule="auto"/>
        <w:rPr>
          <w:rFonts w:hint="eastAsia" w:ascii="宋体" w:hAnsi="宋体" w:eastAsia="宋体" w:cs="宋体"/>
          <w:b/>
          <w:bCs w:val="0"/>
          <w:sz w:val="32"/>
          <w:szCs w:val="22"/>
          <w:highlight w:val="none"/>
          <w:lang w:bidi="ar-SA"/>
        </w:rPr>
      </w:pPr>
      <w:r>
        <w:rPr>
          <w:rFonts w:hint="eastAsia" w:ascii="宋体" w:hAnsi="宋体" w:eastAsia="宋体" w:cs="宋体"/>
          <w:b/>
          <w:bCs w:val="0"/>
          <w:sz w:val="32"/>
          <w:szCs w:val="52"/>
          <w:highlight w:val="none"/>
          <w:lang w:bidi="ar-SA"/>
        </w:rPr>
        <w:fldChar w:fldCharType="begin"/>
      </w:r>
      <w:r>
        <w:rPr>
          <w:rFonts w:hint="eastAsia" w:ascii="宋体" w:hAnsi="宋体" w:eastAsia="宋体" w:cs="宋体"/>
          <w:b/>
          <w:bCs w:val="0"/>
          <w:sz w:val="32"/>
          <w:szCs w:val="52"/>
          <w:highlight w:val="none"/>
          <w:lang w:bidi="ar-SA"/>
        </w:rPr>
        <w:instrText xml:space="preserve"> HYPERLINK \l _Toc22529 </w:instrText>
      </w:r>
      <w:r>
        <w:rPr>
          <w:rFonts w:hint="eastAsia" w:ascii="宋体" w:hAnsi="宋体" w:eastAsia="宋体" w:cs="宋体"/>
          <w:b/>
          <w:bCs w:val="0"/>
          <w:sz w:val="32"/>
          <w:szCs w:val="52"/>
          <w:highlight w:val="none"/>
          <w:lang w:bidi="ar-SA"/>
        </w:rPr>
        <w:fldChar w:fldCharType="separate"/>
      </w:r>
      <w:r>
        <w:rPr>
          <w:rFonts w:hint="eastAsia" w:ascii="宋体" w:hAnsi="宋体" w:eastAsia="宋体" w:cs="宋体"/>
          <w:b/>
          <w:bCs w:val="0"/>
          <w:sz w:val="32"/>
          <w:szCs w:val="24"/>
          <w:highlight w:val="none"/>
          <w:lang w:bidi="ar-SA"/>
        </w:rPr>
        <w:t>第五章  评审方法</w:t>
      </w:r>
      <w:r>
        <w:rPr>
          <w:rFonts w:hint="eastAsia" w:ascii="宋体" w:hAnsi="宋体" w:eastAsia="宋体" w:cs="宋体"/>
          <w:b/>
          <w:bCs w:val="0"/>
          <w:sz w:val="32"/>
          <w:szCs w:val="22"/>
          <w:highlight w:val="none"/>
          <w:lang w:bidi="ar-SA"/>
        </w:rPr>
        <w:tab/>
      </w:r>
      <w:r>
        <w:rPr>
          <w:rFonts w:hint="eastAsia" w:ascii="宋体" w:hAnsi="宋体" w:eastAsia="宋体" w:cs="宋体"/>
          <w:b/>
          <w:bCs w:val="0"/>
          <w:sz w:val="32"/>
          <w:szCs w:val="22"/>
          <w:highlight w:val="none"/>
          <w:lang w:bidi="ar-SA"/>
        </w:rPr>
        <w:fldChar w:fldCharType="begin"/>
      </w:r>
      <w:r>
        <w:rPr>
          <w:rFonts w:hint="eastAsia" w:ascii="宋体" w:hAnsi="宋体" w:eastAsia="宋体" w:cs="宋体"/>
          <w:b/>
          <w:bCs w:val="0"/>
          <w:sz w:val="32"/>
          <w:szCs w:val="22"/>
          <w:highlight w:val="none"/>
          <w:lang w:bidi="ar-SA"/>
        </w:rPr>
        <w:instrText xml:space="preserve"> PAGEREF _Toc22529 \h </w:instrText>
      </w:r>
      <w:r>
        <w:rPr>
          <w:rFonts w:hint="eastAsia" w:ascii="宋体" w:hAnsi="宋体" w:eastAsia="宋体" w:cs="宋体"/>
          <w:b/>
          <w:bCs w:val="0"/>
          <w:sz w:val="32"/>
          <w:szCs w:val="22"/>
          <w:highlight w:val="none"/>
          <w:lang w:bidi="ar-SA"/>
        </w:rPr>
        <w:fldChar w:fldCharType="separate"/>
      </w:r>
      <w:r>
        <w:rPr>
          <w:rFonts w:hint="eastAsia" w:ascii="宋体" w:hAnsi="宋体" w:eastAsia="宋体" w:cs="宋体"/>
          <w:b/>
          <w:bCs w:val="0"/>
          <w:sz w:val="32"/>
          <w:szCs w:val="22"/>
          <w:highlight w:val="none"/>
          <w:lang w:bidi="ar-SA"/>
        </w:rPr>
        <w:t>26</w:t>
      </w:r>
      <w:r>
        <w:rPr>
          <w:rFonts w:hint="eastAsia" w:ascii="宋体" w:hAnsi="宋体" w:eastAsia="宋体" w:cs="宋体"/>
          <w:b/>
          <w:bCs w:val="0"/>
          <w:sz w:val="32"/>
          <w:szCs w:val="22"/>
          <w:highlight w:val="none"/>
          <w:lang w:bidi="ar-SA"/>
        </w:rPr>
        <w:fldChar w:fldCharType="end"/>
      </w:r>
      <w:r>
        <w:rPr>
          <w:rFonts w:hint="eastAsia" w:ascii="宋体" w:hAnsi="宋体" w:eastAsia="宋体" w:cs="宋体"/>
          <w:b/>
          <w:bCs w:val="0"/>
          <w:sz w:val="32"/>
          <w:szCs w:val="52"/>
          <w:highlight w:val="none"/>
          <w:lang w:bidi="ar-SA"/>
        </w:rPr>
        <w:fldChar w:fldCharType="end"/>
      </w:r>
    </w:p>
    <w:p w14:paraId="50B1CEAD">
      <w:pPr>
        <w:pStyle w:val="14"/>
        <w:tabs>
          <w:tab w:val="right" w:leader="dot" w:pos="9071"/>
        </w:tabs>
        <w:spacing w:line="600" w:lineRule="auto"/>
        <w:rPr>
          <w:rFonts w:hint="eastAsia" w:ascii="宋体" w:hAnsi="宋体" w:eastAsia="宋体" w:cs="宋体"/>
          <w:b/>
          <w:bCs w:val="0"/>
          <w:sz w:val="32"/>
          <w:szCs w:val="22"/>
          <w:highlight w:val="none"/>
          <w:lang w:bidi="ar-SA"/>
        </w:rPr>
      </w:pPr>
      <w:r>
        <w:rPr>
          <w:rFonts w:hint="eastAsia" w:ascii="宋体" w:hAnsi="宋体" w:eastAsia="宋体" w:cs="宋体"/>
          <w:b/>
          <w:bCs w:val="0"/>
          <w:sz w:val="32"/>
          <w:szCs w:val="52"/>
          <w:highlight w:val="none"/>
          <w:lang w:bidi="ar-SA"/>
        </w:rPr>
        <w:fldChar w:fldCharType="begin"/>
      </w:r>
      <w:r>
        <w:rPr>
          <w:rFonts w:hint="eastAsia" w:ascii="宋体" w:hAnsi="宋体" w:eastAsia="宋体" w:cs="宋体"/>
          <w:b/>
          <w:bCs w:val="0"/>
          <w:sz w:val="32"/>
          <w:szCs w:val="52"/>
          <w:highlight w:val="none"/>
          <w:lang w:bidi="ar-SA"/>
        </w:rPr>
        <w:instrText xml:space="preserve"> HYPERLINK \l _Toc30593 </w:instrText>
      </w:r>
      <w:r>
        <w:rPr>
          <w:rFonts w:hint="eastAsia" w:ascii="宋体" w:hAnsi="宋体" w:eastAsia="宋体" w:cs="宋体"/>
          <w:b/>
          <w:bCs w:val="0"/>
          <w:sz w:val="32"/>
          <w:szCs w:val="52"/>
          <w:highlight w:val="none"/>
          <w:lang w:bidi="ar-SA"/>
        </w:rPr>
        <w:fldChar w:fldCharType="separate"/>
      </w:r>
      <w:r>
        <w:rPr>
          <w:rFonts w:hint="eastAsia" w:ascii="宋体" w:hAnsi="宋体" w:eastAsia="宋体" w:cs="宋体"/>
          <w:b/>
          <w:bCs w:val="0"/>
          <w:sz w:val="32"/>
          <w:szCs w:val="44"/>
          <w:highlight w:val="none"/>
          <w:lang w:bidi="ar-SA"/>
        </w:rPr>
        <w:t>第六章  竞争性磋商响应文件格式</w:t>
      </w:r>
      <w:r>
        <w:rPr>
          <w:rFonts w:hint="eastAsia" w:ascii="宋体" w:hAnsi="宋体" w:eastAsia="宋体" w:cs="宋体"/>
          <w:b/>
          <w:bCs w:val="0"/>
          <w:sz w:val="32"/>
          <w:szCs w:val="22"/>
          <w:highlight w:val="none"/>
          <w:lang w:bidi="ar-SA"/>
        </w:rPr>
        <w:tab/>
      </w:r>
      <w:r>
        <w:rPr>
          <w:rFonts w:hint="eastAsia" w:ascii="宋体" w:hAnsi="宋体" w:eastAsia="宋体" w:cs="宋体"/>
          <w:b/>
          <w:bCs w:val="0"/>
          <w:sz w:val="32"/>
          <w:szCs w:val="22"/>
          <w:highlight w:val="none"/>
          <w:lang w:bidi="ar-SA"/>
        </w:rPr>
        <w:fldChar w:fldCharType="begin"/>
      </w:r>
      <w:r>
        <w:rPr>
          <w:rFonts w:hint="eastAsia" w:ascii="宋体" w:hAnsi="宋体" w:eastAsia="宋体" w:cs="宋体"/>
          <w:b/>
          <w:bCs w:val="0"/>
          <w:sz w:val="32"/>
          <w:szCs w:val="22"/>
          <w:highlight w:val="none"/>
          <w:lang w:bidi="ar-SA"/>
        </w:rPr>
        <w:instrText xml:space="preserve"> PAGEREF _Toc30593 \h </w:instrText>
      </w:r>
      <w:r>
        <w:rPr>
          <w:rFonts w:hint="eastAsia" w:ascii="宋体" w:hAnsi="宋体" w:eastAsia="宋体" w:cs="宋体"/>
          <w:b/>
          <w:bCs w:val="0"/>
          <w:sz w:val="32"/>
          <w:szCs w:val="22"/>
          <w:highlight w:val="none"/>
          <w:lang w:bidi="ar-SA"/>
        </w:rPr>
        <w:fldChar w:fldCharType="separate"/>
      </w:r>
      <w:r>
        <w:rPr>
          <w:rFonts w:hint="eastAsia" w:ascii="宋体" w:hAnsi="宋体" w:eastAsia="宋体" w:cs="宋体"/>
          <w:b/>
          <w:bCs w:val="0"/>
          <w:sz w:val="32"/>
          <w:szCs w:val="22"/>
          <w:highlight w:val="none"/>
          <w:lang w:bidi="ar-SA"/>
        </w:rPr>
        <w:t>38</w:t>
      </w:r>
      <w:r>
        <w:rPr>
          <w:rFonts w:hint="eastAsia" w:ascii="宋体" w:hAnsi="宋体" w:eastAsia="宋体" w:cs="宋体"/>
          <w:b/>
          <w:bCs w:val="0"/>
          <w:sz w:val="32"/>
          <w:szCs w:val="22"/>
          <w:highlight w:val="none"/>
          <w:lang w:bidi="ar-SA"/>
        </w:rPr>
        <w:fldChar w:fldCharType="end"/>
      </w:r>
      <w:r>
        <w:rPr>
          <w:rFonts w:hint="eastAsia" w:ascii="宋体" w:hAnsi="宋体" w:eastAsia="宋体" w:cs="宋体"/>
          <w:b/>
          <w:bCs w:val="0"/>
          <w:sz w:val="32"/>
          <w:szCs w:val="52"/>
          <w:highlight w:val="none"/>
          <w:lang w:bidi="ar-SA"/>
        </w:rPr>
        <w:fldChar w:fldCharType="end"/>
      </w:r>
    </w:p>
    <w:p w14:paraId="6E231CA7">
      <w:pPr>
        <w:pStyle w:val="16"/>
        <w:tabs>
          <w:tab w:val="right" w:leader="dot" w:pos="8787"/>
        </w:tabs>
        <w:spacing w:line="600" w:lineRule="auto"/>
        <w:rPr>
          <w:rFonts w:hint="eastAsia" w:ascii="宋体" w:hAnsi="宋体" w:eastAsia="宋体" w:cs="宋体"/>
          <w:bCs/>
          <w:sz w:val="44"/>
          <w:szCs w:val="44"/>
          <w:highlight w:val="none"/>
          <w:lang w:bidi="ar-SA"/>
        </w:rPr>
      </w:pPr>
      <w:r>
        <w:rPr>
          <w:rFonts w:hint="eastAsia" w:ascii="宋体" w:hAnsi="宋体" w:eastAsia="宋体" w:cs="宋体"/>
          <w:b/>
          <w:bCs w:val="0"/>
          <w:sz w:val="32"/>
          <w:szCs w:val="52"/>
          <w:highlight w:val="none"/>
          <w:lang w:bidi="ar-SA"/>
        </w:rPr>
        <w:fldChar w:fldCharType="end"/>
      </w:r>
    </w:p>
    <w:p w14:paraId="09C46DF3">
      <w:pPr>
        <w:jc w:val="left"/>
        <w:rPr>
          <w:rFonts w:hint="eastAsia" w:ascii="宋体" w:hAnsi="宋体" w:eastAsia="宋体" w:cs="宋体"/>
          <w:highlight w:val="none"/>
        </w:rPr>
        <w:sectPr>
          <w:footerReference r:id="rId5" w:type="first"/>
          <w:headerReference r:id="rId3" w:type="default"/>
          <w:footerReference r:id="rId4" w:type="default"/>
          <w:pgSz w:w="11906" w:h="16838"/>
          <w:pgMar w:top="1417" w:right="1418" w:bottom="1417" w:left="1417" w:header="851" w:footer="850" w:gutter="0"/>
          <w:pgNumType w:start="1"/>
          <w:cols w:space="720" w:num="1"/>
          <w:docGrid w:type="lines" w:linePitch="312" w:charSpace="0"/>
        </w:sectPr>
      </w:pPr>
      <w:bookmarkStart w:id="12" w:name="_Toc423973071"/>
      <w:bookmarkStart w:id="13" w:name="_Toc4757"/>
      <w:bookmarkStart w:id="143" w:name="_GoBack"/>
      <w:bookmarkEnd w:id="143"/>
    </w:p>
    <w:p w14:paraId="198EB337">
      <w:pPr>
        <w:pStyle w:val="2"/>
        <w:keepNext w:val="0"/>
        <w:keepLines/>
        <w:pageBreakBefore/>
        <w:widowControl w:val="0"/>
        <w:numPr>
          <w:ilvl w:val="0"/>
          <w:numId w:val="1"/>
        </w:numPr>
        <w:shd w:val="clear" w:color="auto" w:fill="auto"/>
        <w:spacing w:before="156" w:after="156" w:line="360" w:lineRule="auto"/>
        <w:jc w:val="center"/>
        <w:rPr>
          <w:rFonts w:hint="eastAsia" w:ascii="宋体" w:hAnsi="宋体" w:eastAsia="宋体" w:cs="宋体"/>
          <w:bCs/>
          <w:sz w:val="36"/>
          <w:szCs w:val="36"/>
          <w:highlight w:val="none"/>
          <w:lang w:bidi="ar-SA"/>
        </w:rPr>
      </w:pPr>
      <w:bookmarkStart w:id="14" w:name="_Toc26690"/>
      <w:bookmarkStart w:id="15" w:name="_Toc17535"/>
      <w:bookmarkStart w:id="16" w:name="_Toc3847"/>
      <w:r>
        <w:rPr>
          <w:rFonts w:hint="eastAsia" w:ascii="宋体" w:hAnsi="宋体" w:eastAsia="宋体" w:cs="宋体"/>
          <w:bCs/>
          <w:sz w:val="36"/>
          <w:szCs w:val="36"/>
          <w:highlight w:val="none"/>
          <w:lang w:bidi="ar-SA"/>
        </w:rPr>
        <w:t xml:space="preserve"> </w:t>
      </w:r>
      <w:bookmarkEnd w:id="1"/>
      <w:bookmarkEnd w:id="2"/>
      <w:bookmarkEnd w:id="3"/>
      <w:bookmarkEnd w:id="4"/>
      <w:bookmarkEnd w:id="5"/>
      <w:bookmarkEnd w:id="6"/>
      <w:bookmarkEnd w:id="7"/>
      <w:r>
        <w:rPr>
          <w:rFonts w:hint="eastAsia" w:ascii="宋体" w:hAnsi="宋体" w:eastAsia="宋体" w:cs="宋体"/>
          <w:bCs/>
          <w:sz w:val="36"/>
          <w:szCs w:val="36"/>
          <w:highlight w:val="none"/>
          <w:lang w:bidi="ar-SA"/>
        </w:rPr>
        <w:t>竞争性磋商公告</w:t>
      </w:r>
      <w:bookmarkEnd w:id="8"/>
      <w:bookmarkEnd w:id="12"/>
      <w:bookmarkEnd w:id="13"/>
      <w:bookmarkEnd w:id="14"/>
      <w:bookmarkEnd w:id="15"/>
      <w:bookmarkEnd w:id="16"/>
    </w:p>
    <w:p w14:paraId="46B3B6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val="0"/>
          <w:bCs w:val="0"/>
          <w:sz w:val="24"/>
          <w:szCs w:val="24"/>
        </w:rPr>
      </w:pPr>
      <w:bookmarkStart w:id="17" w:name="_Toc389582035"/>
      <w:bookmarkStart w:id="18" w:name="_Toc2929"/>
      <w:bookmarkStart w:id="19" w:name="_Toc3564"/>
      <w:bookmarkStart w:id="20" w:name="_Toc29249"/>
      <w:bookmarkStart w:id="21" w:name="_Toc30645"/>
      <w:bookmarkStart w:id="22" w:name="_Toc31169"/>
      <w:bookmarkStart w:id="23" w:name="_Toc423973072"/>
      <w:r>
        <w:rPr>
          <w:rStyle w:val="21"/>
          <w:rFonts w:hint="eastAsia" w:ascii="宋体" w:hAnsi="宋体" w:eastAsia="宋体" w:cs="宋体"/>
          <w:b/>
          <w:bCs/>
          <w:i w:val="0"/>
          <w:iCs w:val="0"/>
          <w:caps w:val="0"/>
          <w:color w:val="333333"/>
          <w:spacing w:val="0"/>
          <w:sz w:val="24"/>
          <w:szCs w:val="24"/>
          <w:shd w:val="clear" w:fill="FFFFFF"/>
        </w:rPr>
        <w:t>项目概况</w:t>
      </w:r>
    </w:p>
    <w:p w14:paraId="5A03084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高庄镇2024年“多规合一”实用性村庄规划编制项目采购项目的潜在供应商应在陕西省西咸新区公共资源交易中心平台（http://www.sxggzyjy.cn/）获取采购文件，并于2024年11月27日 09时30分（北京时间）前提交响应文件。</w:t>
      </w:r>
    </w:p>
    <w:p w14:paraId="425C2A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val="0"/>
          <w:bCs w:val="0"/>
          <w:i w:val="0"/>
          <w:iCs w:val="0"/>
          <w:caps w:val="0"/>
          <w:color w:val="333333"/>
          <w:spacing w:val="0"/>
          <w:sz w:val="24"/>
          <w:szCs w:val="24"/>
        </w:rPr>
      </w:pPr>
      <w:r>
        <w:rPr>
          <w:rStyle w:val="21"/>
          <w:rFonts w:hint="eastAsia" w:ascii="宋体" w:hAnsi="宋体" w:eastAsia="宋体" w:cs="宋体"/>
          <w:b/>
          <w:bCs/>
          <w:i w:val="0"/>
          <w:iCs w:val="0"/>
          <w:caps w:val="0"/>
          <w:color w:val="333333"/>
          <w:spacing w:val="0"/>
          <w:sz w:val="24"/>
          <w:szCs w:val="24"/>
          <w:shd w:val="clear" w:fill="FFFFFF"/>
        </w:rPr>
        <w:t>一、项目基本情况</w:t>
      </w:r>
    </w:p>
    <w:p w14:paraId="1819E6B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项目编号：DDXM2024-085</w:t>
      </w:r>
    </w:p>
    <w:p w14:paraId="7204B23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项目名称：高庄镇2024年“多规合一”实用性村庄规划编制项目</w:t>
      </w:r>
    </w:p>
    <w:p w14:paraId="0ADE364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38E7F6B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预算金额：600,000.00元</w:t>
      </w:r>
    </w:p>
    <w:p w14:paraId="068C84B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088923B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合同包1(高庄镇2024年“多规合一”实用性村庄规划编制项目):</w:t>
      </w:r>
    </w:p>
    <w:p w14:paraId="2A9775F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合同包预算金额：600,000.00元</w:t>
      </w:r>
    </w:p>
    <w:p w14:paraId="1F2C2BA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合同包最高限价：600,000.00元</w:t>
      </w:r>
    </w:p>
    <w:tbl>
      <w:tblPr>
        <w:tblStyle w:val="18"/>
        <w:tblW w:w="9356" w:type="dxa"/>
        <w:tblInd w:w="-16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10"/>
        <w:gridCol w:w="1259"/>
        <w:gridCol w:w="1725"/>
        <w:gridCol w:w="975"/>
        <w:gridCol w:w="1556"/>
        <w:gridCol w:w="1519"/>
        <w:gridCol w:w="1612"/>
      </w:tblGrid>
      <w:tr w14:paraId="7518C0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1F286A">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2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897F06">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1AF494">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9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B2A301">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109033">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44AD29">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D5BB3E">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525DBB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D6F0F">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2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BFAD97">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区域规划和设计服务</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34DFC8">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高庄镇2024年“多规合一”实用性村庄规划编制项目</w:t>
            </w:r>
          </w:p>
        </w:tc>
        <w:tc>
          <w:tcPr>
            <w:tcW w:w="9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C65481">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5EF4A9">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5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3A399">
            <w:pPr>
              <w:keepNext w:val="0"/>
              <w:keepLines w:val="0"/>
              <w:pageBreakBefore w:val="0"/>
              <w:widowControl/>
              <w:suppressLineNumbers w:val="0"/>
              <w:kinsoku/>
              <w:wordWrap/>
              <w:overflowPunct/>
              <w:topLinePunct w:val="0"/>
              <w:autoSpaceDE/>
              <w:autoSpaceDN/>
              <w:bidi w:val="0"/>
              <w:snapToGrid/>
              <w:spacing w:beforeAutospacing="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600,000.00</w:t>
            </w:r>
          </w:p>
        </w:tc>
        <w:tc>
          <w:tcPr>
            <w:tcW w:w="1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D2EE83">
            <w:pPr>
              <w:keepNext w:val="0"/>
              <w:keepLines w:val="0"/>
              <w:pageBreakBefore w:val="0"/>
              <w:widowControl/>
              <w:suppressLineNumbers w:val="0"/>
              <w:kinsoku/>
              <w:wordWrap/>
              <w:overflowPunct/>
              <w:topLinePunct w:val="0"/>
              <w:autoSpaceDE/>
              <w:autoSpaceDN/>
              <w:bidi w:val="0"/>
              <w:snapToGrid/>
              <w:spacing w:beforeAutospacing="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600,000.00</w:t>
            </w:r>
          </w:p>
        </w:tc>
      </w:tr>
    </w:tbl>
    <w:p w14:paraId="365A593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7AD9C06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合同履行期限：自合同签订之日起60日历日</w:t>
      </w:r>
    </w:p>
    <w:p w14:paraId="37C9F9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val="0"/>
          <w:bCs w:val="0"/>
          <w:i w:val="0"/>
          <w:iCs w:val="0"/>
          <w:caps w:val="0"/>
          <w:color w:val="333333"/>
          <w:spacing w:val="0"/>
          <w:sz w:val="24"/>
          <w:szCs w:val="24"/>
        </w:rPr>
      </w:pPr>
      <w:r>
        <w:rPr>
          <w:rStyle w:val="21"/>
          <w:rFonts w:hint="eastAsia" w:ascii="宋体" w:hAnsi="宋体" w:eastAsia="宋体" w:cs="宋体"/>
          <w:b/>
          <w:bCs/>
          <w:i w:val="0"/>
          <w:iCs w:val="0"/>
          <w:caps w:val="0"/>
          <w:color w:val="333333"/>
          <w:spacing w:val="0"/>
          <w:sz w:val="24"/>
          <w:szCs w:val="24"/>
          <w:shd w:val="clear" w:fill="FFFFFF"/>
        </w:rPr>
        <w:t>二、申请人的资格要求：</w:t>
      </w:r>
    </w:p>
    <w:p w14:paraId="4A007C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56E0DE0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4DD3F2E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合同包1(高庄镇2024年“多规合一”实用性村庄规划编制项目)落实政府采购政策需满足的资格要求如下:</w:t>
      </w:r>
    </w:p>
    <w:p w14:paraId="57A622A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无，本项目非专门面向中小企业采购。</w:t>
      </w:r>
    </w:p>
    <w:p w14:paraId="6C4DDC1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7E0AD1D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合同包1(高庄镇2024年“多规合一”实用性村庄规划编制项目)特定资格要求如下:</w:t>
      </w:r>
    </w:p>
    <w:p w14:paraId="3E98E68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（1）供应商应授权合法的人员参加磋商全过程，其中法定代表人直接参加磋商的，须出具法人身份证，并与营业执照上信息一致。法定代表人授权代表参加磋商的，须出具法定代表人授权书及授权代表身份证；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供应商不得为“信用中国”网站（www.creditchina.gov.cn）中列入失信被执行人、重大税收违法失信主体、政府采购严重违法失信行为记录的供应商。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（3）供应商须具有行政主管部门颁发的城乡规划乙级及以上资质或土地规划乙级及以上资质。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（4）拟派项目负责人须具备相关专业中级及以上职称证书。</w:t>
      </w:r>
    </w:p>
    <w:p w14:paraId="558A9B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val="0"/>
          <w:bCs w:val="0"/>
          <w:i w:val="0"/>
          <w:iCs w:val="0"/>
          <w:caps w:val="0"/>
          <w:color w:val="333333"/>
          <w:spacing w:val="0"/>
          <w:sz w:val="24"/>
          <w:szCs w:val="24"/>
        </w:rPr>
      </w:pPr>
      <w:r>
        <w:rPr>
          <w:rStyle w:val="21"/>
          <w:rFonts w:hint="eastAsia" w:ascii="宋体" w:hAnsi="宋体" w:eastAsia="宋体" w:cs="宋体"/>
          <w:b/>
          <w:bCs/>
          <w:i w:val="0"/>
          <w:iCs w:val="0"/>
          <w:caps w:val="0"/>
          <w:color w:val="333333"/>
          <w:spacing w:val="0"/>
          <w:sz w:val="24"/>
          <w:szCs w:val="24"/>
          <w:shd w:val="clear" w:fill="FFFFFF"/>
        </w:rPr>
        <w:t>三、获取采购文件</w:t>
      </w:r>
    </w:p>
    <w:p w14:paraId="395F0E0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时间：2024年11月15日至2024年11月21日，每天上午00:00:00至12:00:00，下午12:00:00至23:59:59（北京时间）</w:t>
      </w:r>
    </w:p>
    <w:p w14:paraId="1EFE683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途径：陕西省西咸新区公共资源交易中心平台（http://www.sxggzyjy.cn/）</w:t>
      </w:r>
    </w:p>
    <w:p w14:paraId="39E550D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54F2C90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售价：0元</w:t>
      </w:r>
    </w:p>
    <w:p w14:paraId="5321C6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val="0"/>
          <w:bCs w:val="0"/>
          <w:i w:val="0"/>
          <w:iCs w:val="0"/>
          <w:caps w:val="0"/>
          <w:color w:val="333333"/>
          <w:spacing w:val="0"/>
          <w:sz w:val="24"/>
          <w:szCs w:val="24"/>
        </w:rPr>
      </w:pPr>
      <w:r>
        <w:rPr>
          <w:rStyle w:val="21"/>
          <w:rFonts w:hint="eastAsia" w:ascii="宋体" w:hAnsi="宋体" w:eastAsia="宋体" w:cs="宋体"/>
          <w:b/>
          <w:bCs/>
          <w:i w:val="0"/>
          <w:iCs w:val="0"/>
          <w:caps w:val="0"/>
          <w:color w:val="333333"/>
          <w:spacing w:val="0"/>
          <w:sz w:val="24"/>
          <w:szCs w:val="24"/>
          <w:shd w:val="clear" w:fill="FFFFFF"/>
        </w:rPr>
        <w:t>四、响应文件提交</w:t>
      </w:r>
    </w:p>
    <w:p w14:paraId="6BFEECA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截止时间：2024年11月27日 09时30分00秒（北京时间）</w:t>
      </w:r>
    </w:p>
    <w:p w14:paraId="03D2F39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地点：陕西省西咸新区公共资源交易中心平台（http://www.sxggzyjy.cn/）线上提交</w:t>
      </w:r>
    </w:p>
    <w:p w14:paraId="4D86F2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val="0"/>
          <w:bCs w:val="0"/>
          <w:i w:val="0"/>
          <w:iCs w:val="0"/>
          <w:caps w:val="0"/>
          <w:color w:val="333333"/>
          <w:spacing w:val="0"/>
          <w:sz w:val="24"/>
          <w:szCs w:val="24"/>
        </w:rPr>
      </w:pPr>
      <w:r>
        <w:rPr>
          <w:rStyle w:val="21"/>
          <w:rFonts w:hint="eastAsia" w:ascii="宋体" w:hAnsi="宋体" w:eastAsia="宋体" w:cs="宋体"/>
          <w:b/>
          <w:bCs/>
          <w:i w:val="0"/>
          <w:iCs w:val="0"/>
          <w:caps w:val="0"/>
          <w:color w:val="333333"/>
          <w:spacing w:val="0"/>
          <w:sz w:val="24"/>
          <w:szCs w:val="24"/>
          <w:shd w:val="clear" w:fill="FFFFFF"/>
        </w:rPr>
        <w:t>五、开启</w:t>
      </w:r>
    </w:p>
    <w:p w14:paraId="3DA3A60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时间：2024年11月27日 09时30分00秒（北京时间）</w:t>
      </w:r>
    </w:p>
    <w:p w14:paraId="6402AC1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地点：陕西省西咸新区公共资源交易中心平台（http://www.sxggzyjy.cn/）线上提交</w:t>
      </w:r>
    </w:p>
    <w:p w14:paraId="050C63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val="0"/>
          <w:bCs w:val="0"/>
          <w:i w:val="0"/>
          <w:iCs w:val="0"/>
          <w:caps w:val="0"/>
          <w:color w:val="333333"/>
          <w:spacing w:val="0"/>
          <w:sz w:val="24"/>
          <w:szCs w:val="24"/>
        </w:rPr>
      </w:pPr>
      <w:r>
        <w:rPr>
          <w:rStyle w:val="21"/>
          <w:rFonts w:hint="eastAsia" w:ascii="宋体" w:hAnsi="宋体" w:eastAsia="宋体" w:cs="宋体"/>
          <w:b/>
          <w:bCs/>
          <w:i w:val="0"/>
          <w:iCs w:val="0"/>
          <w:caps w:val="0"/>
          <w:color w:val="333333"/>
          <w:spacing w:val="0"/>
          <w:sz w:val="24"/>
          <w:szCs w:val="24"/>
          <w:shd w:val="clear" w:fill="FFFFFF"/>
        </w:rPr>
        <w:t>六、公告期限</w:t>
      </w:r>
    </w:p>
    <w:p w14:paraId="3B49076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52A57C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val="0"/>
          <w:bCs w:val="0"/>
          <w:i w:val="0"/>
          <w:iCs w:val="0"/>
          <w:caps w:val="0"/>
          <w:color w:val="333333"/>
          <w:spacing w:val="0"/>
          <w:sz w:val="24"/>
          <w:szCs w:val="24"/>
        </w:rPr>
      </w:pPr>
      <w:r>
        <w:rPr>
          <w:rStyle w:val="21"/>
          <w:rFonts w:hint="eastAsia" w:ascii="宋体" w:hAnsi="宋体" w:eastAsia="宋体" w:cs="宋体"/>
          <w:b/>
          <w:bCs/>
          <w:i w:val="0"/>
          <w:iCs w:val="0"/>
          <w:caps w:val="0"/>
          <w:color w:val="333333"/>
          <w:spacing w:val="0"/>
          <w:sz w:val="24"/>
          <w:szCs w:val="24"/>
          <w:shd w:val="clear" w:fill="FFFFFF"/>
        </w:rPr>
        <w:t>七、其他补充事宜</w:t>
      </w:r>
    </w:p>
    <w:p w14:paraId="26C7993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1、落实的政府采购政策：（1）《政府采购促进中小企业发展管理办法》（财库〔2020〕46号）；（2）《关于进一步加大政府采购支持中小企业力度的通知》（财库〔2022〕19号）；（3）《财政部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4803767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0DB0549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14:paraId="09667C8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本项目采用“不见面开标”方式，各供应商可登录（http://ggzyjy.xixianxinqu.gov.cn/xwzx/002002/20210721/d7421699-e891-4f40-b441-dccc415e05b3.html）下载操作手册,并在投标截止时间前通过全国公共资源交易平台（陕西省·西咸新区）递交电子磋商响应文件。因供应商自身设施故障或自身原因导致无法完成投标的，由供应商自行承担后果。技术咨询电话：4009980000。</w:t>
      </w:r>
    </w:p>
    <w:p w14:paraId="0109AA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val="0"/>
          <w:bCs w:val="0"/>
          <w:i w:val="0"/>
          <w:iCs w:val="0"/>
          <w:caps w:val="0"/>
          <w:color w:val="333333"/>
          <w:spacing w:val="0"/>
          <w:sz w:val="24"/>
          <w:szCs w:val="24"/>
        </w:rPr>
      </w:pPr>
      <w:r>
        <w:rPr>
          <w:rStyle w:val="21"/>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692698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0A624F9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名称：泾阳县高庄镇人民政府</w:t>
      </w:r>
    </w:p>
    <w:p w14:paraId="1BB7438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地址：陕西省咸阳市泾阳县高庄镇沣泾大道富恒电器院内</w:t>
      </w:r>
    </w:p>
    <w:p w14:paraId="4D8DAD1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联系方式：029-36620322</w:t>
      </w:r>
    </w:p>
    <w:p w14:paraId="31B3A0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488670F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名称：陕西鼎端项目管理咨询有限公司</w:t>
      </w:r>
    </w:p>
    <w:p w14:paraId="08D717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地址：陕西省西安市未央区北三环与文景路辅路一方中港国际B座2205室</w:t>
      </w:r>
    </w:p>
    <w:p w14:paraId="1BDC616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联系方式：刘工、廉工</w:t>
      </w:r>
    </w:p>
    <w:p w14:paraId="7E82DE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6C0322F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项目联系人：刘工、廉工</w:t>
      </w:r>
    </w:p>
    <w:p w14:paraId="7FFE233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电话：029-86472188</w:t>
      </w:r>
    </w:p>
    <w:p w14:paraId="5AADF98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480" w:firstLineChars="200"/>
        <w:jc w:val="righ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陕西鼎端项目管理咨询有限公司</w:t>
      </w:r>
    </w:p>
    <w:p w14:paraId="142C8C55">
      <w:pPr>
        <w:pStyle w:val="17"/>
        <w:keepNext w:val="0"/>
        <w:keepLines w:val="0"/>
        <w:pageBreakBefore w:val="0"/>
        <w:widowControl/>
        <w:kinsoku/>
        <w:overflowPunct/>
        <w:topLinePunct w:val="0"/>
        <w:autoSpaceDE/>
        <w:autoSpaceDN/>
        <w:bidi w:val="0"/>
        <w:adjustRightInd/>
        <w:snapToGrid/>
        <w:spacing w:before="0" w:beforeAutospacing="0" w:after="0" w:afterAutospacing="0" w:line="500" w:lineRule="exact"/>
        <w:ind w:left="0" w:firstLine="420"/>
        <w:jc w:val="right"/>
        <w:textAlignment w:val="auto"/>
        <w:rPr>
          <w:rFonts w:hint="default" w:ascii="宋体" w:hAnsi="宋体" w:eastAsia="宋体" w:cs="宋体"/>
          <w:sz w:val="24"/>
          <w:szCs w:val="24"/>
          <w:highlight w:val="none"/>
          <w:shd w:val="clear" w:color="auto" w:fill="FFFFFF"/>
          <w:lang w:val="en-US" w:eastAsia="zh-CN" w:bidi="ar-SA"/>
        </w:rPr>
      </w:pPr>
    </w:p>
    <w:p w14:paraId="54E0CE9F">
      <w:pPr>
        <w:pStyle w:val="17"/>
        <w:spacing w:before="0" w:beforeAutospacing="0" w:after="0" w:afterAutospacing="0" w:line="360" w:lineRule="auto"/>
        <w:jc w:val="center"/>
        <w:rPr>
          <w:rStyle w:val="24"/>
          <w:rFonts w:hint="eastAsia" w:ascii="宋体" w:hAnsi="宋体" w:eastAsia="宋体" w:cs="宋体"/>
          <w:sz w:val="36"/>
          <w:szCs w:val="28"/>
          <w:highlight w:val="none"/>
          <w:lang w:bidi="ar-SA"/>
        </w:rPr>
      </w:pPr>
      <w:r>
        <w:rPr>
          <w:rFonts w:hint="eastAsia" w:ascii="宋体" w:hAnsi="宋体" w:eastAsia="宋体" w:cs="宋体"/>
          <w:sz w:val="24"/>
          <w:szCs w:val="24"/>
          <w:highlight w:val="none"/>
          <w:shd w:val="clear" w:color="auto" w:fill="FFFFFF"/>
          <w:lang w:bidi="ar-SA"/>
        </w:rPr>
        <w:br w:type="page"/>
      </w:r>
      <w:bookmarkStart w:id="24" w:name="_Toc19151"/>
      <w:r>
        <w:rPr>
          <w:rStyle w:val="24"/>
          <w:rFonts w:hint="eastAsia" w:ascii="宋体" w:hAnsi="宋体" w:eastAsia="宋体" w:cs="宋体"/>
          <w:sz w:val="36"/>
          <w:szCs w:val="28"/>
          <w:highlight w:val="none"/>
          <w:lang w:bidi="ar-SA"/>
        </w:rPr>
        <w:t xml:space="preserve">第二章  </w:t>
      </w:r>
      <w:bookmarkEnd w:id="17"/>
      <w:bookmarkEnd w:id="18"/>
      <w:bookmarkStart w:id="25" w:name="OLE_LINK3"/>
      <w:r>
        <w:rPr>
          <w:rStyle w:val="24"/>
          <w:rFonts w:hint="eastAsia" w:ascii="宋体" w:hAnsi="宋体" w:eastAsia="宋体" w:cs="宋体"/>
          <w:sz w:val="36"/>
          <w:szCs w:val="28"/>
          <w:highlight w:val="none"/>
          <w:lang w:bidi="ar-SA"/>
        </w:rPr>
        <w:t>供应商须知</w:t>
      </w:r>
      <w:bookmarkEnd w:id="19"/>
      <w:bookmarkEnd w:id="20"/>
      <w:bookmarkEnd w:id="21"/>
      <w:bookmarkEnd w:id="22"/>
      <w:bookmarkEnd w:id="23"/>
      <w:bookmarkEnd w:id="25"/>
    </w:p>
    <w:bookmarkEnd w:id="24"/>
    <w:p w14:paraId="5090F9AF">
      <w:pPr>
        <w:pStyle w:val="3"/>
        <w:keepNext/>
        <w:keepLines/>
        <w:widowControl w:val="0"/>
        <w:spacing w:before="120" w:after="120" w:line="360" w:lineRule="auto"/>
        <w:ind w:left="0"/>
        <w:jc w:val="center"/>
        <w:rPr>
          <w:rFonts w:hint="eastAsia" w:ascii="宋体" w:hAnsi="宋体" w:eastAsia="宋体" w:cs="宋体"/>
          <w:sz w:val="32"/>
          <w:highlight w:val="none"/>
          <w:lang w:bidi="ar-SA"/>
        </w:rPr>
      </w:pPr>
      <w:bookmarkStart w:id="26" w:name="_Toc31462"/>
      <w:bookmarkStart w:id="27" w:name="OLE_LINK2"/>
      <w:bookmarkStart w:id="28" w:name="_Toc423973073"/>
      <w:bookmarkStart w:id="29" w:name="_Toc1420"/>
      <w:bookmarkStart w:id="30" w:name="_Toc19364"/>
      <w:r>
        <w:rPr>
          <w:rFonts w:hint="eastAsia" w:ascii="宋体" w:hAnsi="宋体" w:eastAsia="宋体" w:cs="宋体"/>
          <w:sz w:val="32"/>
          <w:highlight w:val="none"/>
          <w:lang w:bidi="ar-SA"/>
        </w:rPr>
        <w:t>供应商须知前附表</w:t>
      </w:r>
      <w:bookmarkEnd w:id="26"/>
      <w:bookmarkEnd w:id="27"/>
      <w:bookmarkEnd w:id="28"/>
      <w:bookmarkEnd w:id="29"/>
      <w:bookmarkEnd w:id="30"/>
    </w:p>
    <w:p w14:paraId="364F451F">
      <w:pPr>
        <w:spacing w:line="44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本表是对供应商须知的具体补充和修改，如有矛盾，应以本资料表为准。</w:t>
      </w:r>
    </w:p>
    <w:tbl>
      <w:tblPr>
        <w:tblStyle w:val="18"/>
        <w:tblW w:w="95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9"/>
        <w:gridCol w:w="1781"/>
        <w:gridCol w:w="6825"/>
      </w:tblGrid>
      <w:tr w14:paraId="0C6E3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blHeader/>
          <w:jc w:val="center"/>
        </w:trPr>
        <w:tc>
          <w:tcPr>
            <w:tcW w:w="919" w:type="dxa"/>
            <w:noWrap w:val="0"/>
            <w:vAlign w:val="center"/>
          </w:tcPr>
          <w:p w14:paraId="7BDFDF17">
            <w:pPr>
              <w:jc w:val="center"/>
              <w:rPr>
                <w:rFonts w:hint="eastAsia" w:ascii="宋体" w:hAnsi="宋体" w:eastAsia="宋体" w:cs="宋体"/>
                <w:b/>
                <w:szCs w:val="24"/>
                <w:highlight w:val="none"/>
                <w:lang w:eastAsia="zh-CN" w:bidi="ar-SA"/>
              </w:rPr>
            </w:pPr>
            <w:r>
              <w:rPr>
                <w:rFonts w:hint="eastAsia" w:hAnsi="宋体" w:cs="宋体"/>
                <w:b/>
                <w:szCs w:val="24"/>
                <w:highlight w:val="none"/>
                <w:lang w:val="en-US" w:eastAsia="zh-CN" w:bidi="ar-SA"/>
              </w:rPr>
              <w:t>序号</w:t>
            </w:r>
          </w:p>
        </w:tc>
        <w:tc>
          <w:tcPr>
            <w:tcW w:w="1781" w:type="dxa"/>
            <w:noWrap w:val="0"/>
            <w:vAlign w:val="center"/>
          </w:tcPr>
          <w:p w14:paraId="14D0A903">
            <w:pPr>
              <w:jc w:val="center"/>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条款内容提示</w:t>
            </w:r>
          </w:p>
        </w:tc>
        <w:tc>
          <w:tcPr>
            <w:tcW w:w="6825" w:type="dxa"/>
            <w:noWrap w:val="0"/>
            <w:vAlign w:val="center"/>
          </w:tcPr>
          <w:p w14:paraId="5A25E0B3">
            <w:pPr>
              <w:jc w:val="center"/>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编 列 内 容</w:t>
            </w:r>
          </w:p>
        </w:tc>
      </w:tr>
      <w:tr w14:paraId="16F7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919" w:type="dxa"/>
            <w:noWrap w:val="0"/>
            <w:vAlign w:val="center"/>
          </w:tcPr>
          <w:p w14:paraId="472C8F30">
            <w:pPr>
              <w:spacing w:line="440" w:lineRule="exact"/>
              <w:ind w:left="48" w:leftChars="20"/>
              <w:jc w:val="center"/>
              <w:rPr>
                <w:rFonts w:hint="eastAsia" w:ascii="宋体" w:hAnsi="宋体" w:eastAsia="宋体" w:cs="宋体"/>
                <w:szCs w:val="24"/>
                <w:highlight w:val="none"/>
                <w:lang w:eastAsia="zh-CN" w:bidi="ar-SA"/>
              </w:rPr>
            </w:pPr>
            <w:r>
              <w:rPr>
                <w:rFonts w:hint="eastAsia" w:hAnsi="宋体" w:cs="宋体"/>
                <w:szCs w:val="24"/>
                <w:highlight w:val="none"/>
                <w:lang w:val="en-US" w:eastAsia="zh-CN" w:bidi="ar-SA"/>
              </w:rPr>
              <w:t>1</w:t>
            </w:r>
          </w:p>
        </w:tc>
        <w:tc>
          <w:tcPr>
            <w:tcW w:w="1781" w:type="dxa"/>
            <w:noWrap w:val="0"/>
            <w:vAlign w:val="center"/>
          </w:tcPr>
          <w:p w14:paraId="17B55649">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采购人</w:t>
            </w:r>
          </w:p>
        </w:tc>
        <w:tc>
          <w:tcPr>
            <w:tcW w:w="6825" w:type="dxa"/>
            <w:noWrap w:val="0"/>
            <w:vAlign w:val="top"/>
          </w:tcPr>
          <w:p w14:paraId="7500E6EF">
            <w:pPr>
              <w:pStyle w:val="17"/>
              <w:spacing w:before="0" w:beforeAutospacing="0" w:after="0" w:afterAutospacing="0" w:line="440" w:lineRule="exact"/>
              <w:rPr>
                <w:rFonts w:hint="eastAsia" w:ascii="宋体" w:hAnsi="宋体" w:eastAsia="宋体" w:cs="宋体"/>
                <w:highlight w:val="none"/>
                <w:lang w:eastAsia="zh-CN" w:bidi="ar-SA"/>
              </w:rPr>
            </w:pPr>
            <w:r>
              <w:rPr>
                <w:rFonts w:hint="eastAsia" w:ascii="宋体" w:hAnsi="宋体" w:eastAsia="宋体" w:cs="宋体"/>
                <w:highlight w:val="none"/>
                <w:lang w:bidi="ar-SA"/>
              </w:rPr>
              <w:t>采购人名称：</w:t>
            </w:r>
            <w:r>
              <w:rPr>
                <w:rFonts w:hint="eastAsia" w:ascii="宋体" w:hAnsi="宋体" w:eastAsia="宋体" w:cs="宋体"/>
                <w:highlight w:val="none"/>
                <w:lang w:eastAsia="zh-CN" w:bidi="ar-SA"/>
              </w:rPr>
              <w:t>泾阳县高庄镇人民政府</w:t>
            </w:r>
          </w:p>
          <w:p w14:paraId="6B3AF062">
            <w:pPr>
              <w:pStyle w:val="17"/>
              <w:spacing w:before="0" w:beforeAutospacing="0" w:after="0" w:afterAutospacing="0" w:line="440" w:lineRule="exact"/>
              <w:rPr>
                <w:rFonts w:hint="eastAsia" w:ascii="宋体" w:hAnsi="宋体" w:eastAsia="宋体" w:cs="宋体"/>
                <w:highlight w:val="none"/>
                <w:lang w:eastAsia="zh-CN" w:bidi="ar-SA"/>
              </w:rPr>
            </w:pPr>
            <w:r>
              <w:rPr>
                <w:rFonts w:hint="eastAsia" w:ascii="宋体" w:hAnsi="宋体" w:eastAsia="宋体" w:cs="宋体"/>
                <w:highlight w:val="none"/>
                <w:lang w:bidi="ar-SA"/>
              </w:rPr>
              <w:t>地址：</w:t>
            </w:r>
            <w:r>
              <w:rPr>
                <w:rFonts w:hint="eastAsia" w:ascii="宋体" w:hAnsi="宋体" w:eastAsia="宋体" w:cs="宋体"/>
                <w:i w:val="0"/>
                <w:iCs w:val="0"/>
                <w:caps w:val="0"/>
                <w:color w:val="333333"/>
                <w:spacing w:val="0"/>
                <w:sz w:val="24"/>
                <w:szCs w:val="24"/>
                <w:shd w:val="clear" w:color="auto" w:fill="FFFFFF"/>
              </w:rPr>
              <w:t>陕西省咸阳市泾阳县高庄镇沣泾大道富恒电器院内</w:t>
            </w:r>
          </w:p>
        </w:tc>
      </w:tr>
      <w:tr w14:paraId="23A32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919" w:type="dxa"/>
            <w:noWrap w:val="0"/>
            <w:vAlign w:val="center"/>
          </w:tcPr>
          <w:p w14:paraId="62E2A8AE">
            <w:pPr>
              <w:spacing w:line="440" w:lineRule="exact"/>
              <w:ind w:left="48" w:leftChars="20"/>
              <w:jc w:val="center"/>
              <w:rPr>
                <w:rFonts w:hint="eastAsia" w:ascii="宋体" w:hAnsi="宋体" w:eastAsia="宋体" w:cs="宋体"/>
                <w:szCs w:val="24"/>
                <w:highlight w:val="none"/>
                <w:lang w:eastAsia="zh-CN" w:bidi="ar-SA"/>
              </w:rPr>
            </w:pPr>
            <w:r>
              <w:rPr>
                <w:rFonts w:hint="eastAsia" w:hAnsi="宋体" w:cs="宋体"/>
                <w:szCs w:val="24"/>
                <w:highlight w:val="none"/>
                <w:lang w:val="en-US" w:eastAsia="zh-CN" w:bidi="ar-SA"/>
              </w:rPr>
              <w:t>2</w:t>
            </w:r>
          </w:p>
        </w:tc>
        <w:tc>
          <w:tcPr>
            <w:tcW w:w="1781" w:type="dxa"/>
            <w:noWrap w:val="0"/>
            <w:vAlign w:val="center"/>
          </w:tcPr>
          <w:p w14:paraId="6973C8AE">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采购代理机构</w:t>
            </w:r>
          </w:p>
        </w:tc>
        <w:tc>
          <w:tcPr>
            <w:tcW w:w="6825" w:type="dxa"/>
            <w:noWrap w:val="0"/>
            <w:vAlign w:val="top"/>
          </w:tcPr>
          <w:p w14:paraId="6D879A13">
            <w:pPr>
              <w:spacing w:line="440" w:lineRule="exact"/>
              <w:ind w:left="48" w:leftChars="20"/>
              <w:rPr>
                <w:rFonts w:hint="eastAsia" w:ascii="宋体" w:hAnsi="宋体" w:eastAsia="宋体" w:cs="宋体"/>
                <w:szCs w:val="24"/>
                <w:highlight w:val="none"/>
                <w:lang w:eastAsia="zh-CN" w:bidi="ar-SA"/>
              </w:rPr>
            </w:pPr>
            <w:r>
              <w:rPr>
                <w:rFonts w:hint="eastAsia" w:ascii="宋体" w:hAnsi="宋体" w:eastAsia="宋体" w:cs="宋体"/>
                <w:szCs w:val="24"/>
                <w:highlight w:val="none"/>
                <w:lang w:bidi="ar-SA"/>
              </w:rPr>
              <w:t>名  称：</w:t>
            </w:r>
            <w:r>
              <w:rPr>
                <w:rFonts w:hint="eastAsia" w:ascii="宋体" w:hAnsi="宋体" w:eastAsia="宋体" w:cs="宋体"/>
                <w:szCs w:val="24"/>
                <w:highlight w:val="none"/>
                <w:lang w:eastAsia="zh-CN" w:bidi="ar-SA"/>
              </w:rPr>
              <w:t>陕西鼎端项目管理咨询有限公司</w:t>
            </w:r>
          </w:p>
          <w:p w14:paraId="51CE30E6">
            <w:pPr>
              <w:spacing w:line="440" w:lineRule="exact"/>
              <w:ind w:left="48" w:leftChars="20"/>
              <w:rPr>
                <w:rFonts w:hint="eastAsia" w:ascii="宋体" w:hAnsi="宋体" w:eastAsia="宋体" w:cs="宋体"/>
                <w:szCs w:val="24"/>
                <w:highlight w:val="none"/>
                <w:lang w:bidi="ar-SA"/>
              </w:rPr>
            </w:pPr>
            <w:r>
              <w:rPr>
                <w:rFonts w:hint="eastAsia" w:ascii="宋体" w:hAnsi="宋体" w:eastAsia="宋体" w:cs="宋体"/>
                <w:szCs w:val="24"/>
                <w:highlight w:val="none"/>
                <w:lang w:bidi="ar-SA"/>
              </w:rPr>
              <w:t>地  址：</w:t>
            </w:r>
            <w:r>
              <w:rPr>
                <w:rFonts w:hint="eastAsia" w:ascii="宋体" w:hAnsi="宋体" w:eastAsia="宋体" w:cs="宋体"/>
                <w:szCs w:val="24"/>
                <w:highlight w:val="none"/>
                <w:lang w:eastAsia="zh-CN" w:bidi="ar-SA"/>
              </w:rPr>
              <w:t>陕西省西安市未央区北三环与文景路辅路一方中港国际B座2205室</w:t>
            </w:r>
          </w:p>
        </w:tc>
      </w:tr>
      <w:tr w14:paraId="186CF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919" w:type="dxa"/>
            <w:noWrap w:val="0"/>
            <w:vAlign w:val="center"/>
          </w:tcPr>
          <w:p w14:paraId="5D0D1528">
            <w:pPr>
              <w:spacing w:line="440" w:lineRule="exact"/>
              <w:ind w:left="48" w:leftChars="20"/>
              <w:jc w:val="center"/>
              <w:rPr>
                <w:rFonts w:hint="eastAsia" w:ascii="宋体" w:hAnsi="宋体" w:eastAsia="宋体" w:cs="宋体"/>
                <w:szCs w:val="24"/>
                <w:highlight w:val="none"/>
                <w:lang w:eastAsia="zh-CN" w:bidi="ar-SA"/>
              </w:rPr>
            </w:pPr>
            <w:r>
              <w:rPr>
                <w:rFonts w:hint="eastAsia" w:hAnsi="宋体" w:cs="宋体"/>
                <w:szCs w:val="24"/>
                <w:highlight w:val="none"/>
                <w:lang w:val="en-US" w:eastAsia="zh-CN" w:bidi="ar-SA"/>
              </w:rPr>
              <w:t>3</w:t>
            </w:r>
          </w:p>
        </w:tc>
        <w:tc>
          <w:tcPr>
            <w:tcW w:w="1781" w:type="dxa"/>
            <w:noWrap w:val="0"/>
            <w:vAlign w:val="center"/>
          </w:tcPr>
          <w:p w14:paraId="0FE45571">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是否允许递交备选磋商方案</w:t>
            </w:r>
          </w:p>
        </w:tc>
        <w:tc>
          <w:tcPr>
            <w:tcW w:w="6825" w:type="dxa"/>
            <w:noWrap w:val="0"/>
            <w:vAlign w:val="center"/>
          </w:tcPr>
          <w:p w14:paraId="1DFC981A">
            <w:pPr>
              <w:spacing w:line="440" w:lineRule="exact"/>
              <w:ind w:left="48" w:leftChars="20"/>
              <w:rPr>
                <w:rFonts w:hint="eastAsia" w:ascii="宋体" w:hAnsi="宋体" w:eastAsia="宋体" w:cs="宋体"/>
                <w:szCs w:val="24"/>
                <w:highlight w:val="none"/>
                <w:lang w:bidi="ar-SA"/>
              </w:rPr>
            </w:pPr>
            <w:r>
              <w:rPr>
                <w:rFonts w:hint="eastAsia" w:ascii="宋体" w:hAnsi="宋体" w:eastAsia="宋体" w:cs="宋体"/>
                <w:szCs w:val="24"/>
                <w:highlight w:val="none"/>
                <w:lang w:bidi="ar-SA"/>
              </w:rPr>
              <w:t>不允许</w:t>
            </w:r>
          </w:p>
        </w:tc>
      </w:tr>
      <w:tr w14:paraId="277F6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919" w:type="dxa"/>
            <w:noWrap w:val="0"/>
            <w:vAlign w:val="center"/>
          </w:tcPr>
          <w:p w14:paraId="3FF3DD97">
            <w:pPr>
              <w:spacing w:line="440" w:lineRule="exact"/>
              <w:ind w:left="48" w:leftChars="20"/>
              <w:jc w:val="center"/>
              <w:rPr>
                <w:rFonts w:hint="eastAsia" w:ascii="宋体" w:hAnsi="宋体" w:eastAsia="宋体" w:cs="宋体"/>
                <w:szCs w:val="24"/>
                <w:highlight w:val="none"/>
                <w:lang w:eastAsia="zh-CN" w:bidi="ar-SA"/>
              </w:rPr>
            </w:pPr>
            <w:r>
              <w:rPr>
                <w:rFonts w:hint="eastAsia" w:hAnsi="宋体" w:cs="宋体"/>
                <w:szCs w:val="24"/>
                <w:highlight w:val="none"/>
                <w:lang w:val="en-US" w:eastAsia="zh-CN" w:bidi="ar-SA"/>
              </w:rPr>
              <w:t>4</w:t>
            </w:r>
          </w:p>
        </w:tc>
        <w:tc>
          <w:tcPr>
            <w:tcW w:w="1781" w:type="dxa"/>
            <w:noWrap w:val="0"/>
            <w:vAlign w:val="center"/>
          </w:tcPr>
          <w:p w14:paraId="24A52382">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1"/>
                <w:highlight w:val="none"/>
                <w:lang w:bidi="ar-SA"/>
              </w:rPr>
              <w:t>本次磋商的最小单元</w:t>
            </w:r>
          </w:p>
        </w:tc>
        <w:tc>
          <w:tcPr>
            <w:tcW w:w="6825" w:type="dxa"/>
            <w:noWrap w:val="0"/>
            <w:vAlign w:val="top"/>
          </w:tcPr>
          <w:p w14:paraId="19FFB703">
            <w:pPr>
              <w:spacing w:line="440" w:lineRule="exact"/>
              <w:ind w:left="48" w:leftChars="20"/>
              <w:rPr>
                <w:rFonts w:hint="eastAsia" w:ascii="宋体" w:hAnsi="宋体" w:eastAsia="宋体" w:cs="宋体"/>
                <w:szCs w:val="24"/>
                <w:highlight w:val="none"/>
                <w:lang w:bidi="ar-SA"/>
              </w:rPr>
            </w:pPr>
            <w:r>
              <w:rPr>
                <w:rFonts w:hint="eastAsia" w:ascii="宋体" w:hAnsi="宋体" w:eastAsia="宋体" w:cs="宋体"/>
                <w:szCs w:val="24"/>
                <w:highlight w:val="none"/>
                <w:lang w:bidi="ar-SA"/>
              </w:rPr>
              <w:t>本次磋商的最小单元为“项目全部内容”。任何不完全的磋商将按照无效磋商处理。</w:t>
            </w:r>
          </w:p>
        </w:tc>
      </w:tr>
      <w:tr w14:paraId="6515E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07" w:hRule="atLeast"/>
          <w:jc w:val="center"/>
        </w:trPr>
        <w:tc>
          <w:tcPr>
            <w:tcW w:w="919" w:type="dxa"/>
            <w:noWrap w:val="0"/>
            <w:vAlign w:val="center"/>
          </w:tcPr>
          <w:p w14:paraId="12574DF6">
            <w:pPr>
              <w:spacing w:line="440" w:lineRule="exact"/>
              <w:ind w:left="48" w:leftChars="20"/>
              <w:jc w:val="center"/>
              <w:rPr>
                <w:rFonts w:hint="eastAsia" w:ascii="宋体" w:hAnsi="宋体" w:eastAsia="宋体" w:cs="宋体"/>
                <w:szCs w:val="24"/>
                <w:highlight w:val="none"/>
                <w:lang w:eastAsia="zh-CN" w:bidi="ar-SA"/>
              </w:rPr>
            </w:pPr>
            <w:r>
              <w:rPr>
                <w:rFonts w:hint="eastAsia" w:hAnsi="宋体" w:cs="宋体"/>
                <w:szCs w:val="24"/>
                <w:highlight w:val="none"/>
                <w:lang w:val="en-US" w:eastAsia="zh-CN" w:bidi="ar-SA"/>
              </w:rPr>
              <w:t>5</w:t>
            </w:r>
          </w:p>
        </w:tc>
        <w:tc>
          <w:tcPr>
            <w:tcW w:w="1781" w:type="dxa"/>
            <w:noWrap w:val="0"/>
            <w:vAlign w:val="center"/>
          </w:tcPr>
          <w:p w14:paraId="0C8F7337">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w:t>
            </w:r>
          </w:p>
          <w:p w14:paraId="53A964CE">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报价</w:t>
            </w:r>
          </w:p>
        </w:tc>
        <w:tc>
          <w:tcPr>
            <w:tcW w:w="6825" w:type="dxa"/>
            <w:noWrap w:val="0"/>
            <w:vAlign w:val="top"/>
          </w:tcPr>
          <w:p w14:paraId="5B349081">
            <w:pPr>
              <w:spacing w:line="360" w:lineRule="auto"/>
              <w:rPr>
                <w:rFonts w:hint="eastAsia" w:ascii="宋体" w:hAnsi="宋体" w:eastAsia="宋体" w:cs="宋体"/>
                <w:highlight w:val="none"/>
              </w:rPr>
            </w:pPr>
            <w:r>
              <w:rPr>
                <w:rFonts w:hint="eastAsia" w:ascii="宋体" w:hAnsi="宋体" w:eastAsia="宋体" w:cs="宋体"/>
                <w:sz w:val="24"/>
                <w:szCs w:val="24"/>
                <w:highlight w:val="none"/>
                <w:lang w:val="en-US" w:eastAsia="zh-CN"/>
              </w:rPr>
              <w:t>磋商报价是供应商为完成本项目要求的全部磋商内容最终价格的体现。供应商所报的价格应考虑到可能发生的所有与完成本项目相关服务及履行合同义务有关的一切费用。磋商报价应包含招标代理服务费，任何有选择的报价将不予接受，按无效磋商处理。</w:t>
            </w:r>
          </w:p>
        </w:tc>
      </w:tr>
      <w:tr w14:paraId="6257F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919" w:type="dxa"/>
            <w:noWrap w:val="0"/>
            <w:vAlign w:val="center"/>
          </w:tcPr>
          <w:p w14:paraId="33A98412">
            <w:pPr>
              <w:spacing w:line="440" w:lineRule="exact"/>
              <w:ind w:left="48" w:leftChars="20"/>
              <w:jc w:val="center"/>
              <w:rPr>
                <w:rFonts w:hint="eastAsia" w:ascii="宋体" w:hAnsi="宋体" w:eastAsia="宋体" w:cs="宋体"/>
                <w:szCs w:val="24"/>
                <w:highlight w:val="none"/>
                <w:lang w:eastAsia="zh-CN" w:bidi="ar-SA"/>
              </w:rPr>
            </w:pPr>
            <w:r>
              <w:rPr>
                <w:rFonts w:hint="eastAsia" w:hAnsi="宋体" w:cs="宋体"/>
                <w:szCs w:val="24"/>
                <w:highlight w:val="none"/>
                <w:lang w:val="en-US" w:eastAsia="zh-CN" w:bidi="ar-SA"/>
              </w:rPr>
              <w:t>6</w:t>
            </w:r>
          </w:p>
        </w:tc>
        <w:tc>
          <w:tcPr>
            <w:tcW w:w="1781" w:type="dxa"/>
            <w:noWrap w:val="0"/>
            <w:vAlign w:val="center"/>
          </w:tcPr>
          <w:p w14:paraId="5C4FB7AC">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资格证明文件</w:t>
            </w:r>
          </w:p>
        </w:tc>
        <w:tc>
          <w:tcPr>
            <w:tcW w:w="6825" w:type="dxa"/>
            <w:noWrap w:val="0"/>
            <w:vAlign w:val="top"/>
          </w:tcPr>
          <w:p w14:paraId="6018C1CD">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1、供应商具备《中华人民共和国政府采购法》第二十二条规定之资格条件。</w:t>
            </w:r>
          </w:p>
          <w:p w14:paraId="25A2F7F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须提供的证明材料有：(1)营业执照等主体资格证明文件：供应商为具有独立承担民事责任能力的法人、其他组织或自然人，提供统一社会信用代码的营业执照（事业单位具有有效的事业单位法人证书，自然人提供身份证明）合法有效；</w:t>
            </w:r>
          </w:p>
          <w:p w14:paraId="3603FECD">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（2）基本资格条件：提供《基本资格条件承诺函》，供应商应对承诺内容的真实性、合法性、有效性负责。经调查核实为虚假承诺的，视同为“提供虚假材料 谋取中标、成交”的违法行为，依照《中华人民共和国政府采购法》等法律法规追究相应责任。承诺函格式详情见磋商文件第六章响应文件格式。</w:t>
            </w:r>
          </w:p>
          <w:p w14:paraId="5BE9289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不提供《基本资格条件承诺函》的供应商需提交如下资格证明文件：①财务状况报告：提供经审计的2023年度的财务报告或提交响应文件截止时间前六个月内其基本账户开户银行出具的资信证明；其他组织和自然人提供银行出具的资信证明或财务报表（如提供资信证明，须同时提供基本存款账户开户许可证或基本账户信息表）； ②社保缴纳证明：提供2024年0</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月至今已缴存至少一个月社会保障资金缴纳的有效证明，依法不需要缴纳社会保障资金的单位应提供相关证明材料。③税收缴纳证明：提供2024年0</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月至今已缴纳的至少一个月的纳税证明或完税证明，依法免税的单位应提供相关证明材料，纳税证明或完税证明上应有代收机构或税务机关的公章或业务专用章。依法免税的供应商应提供相关文件证明。④供应商近3年内，在经营活动中没有重大违法记录：参加本次政府采购活动前3年内在经营活动中没有重大违纪，以及未被列入失信被执行人、重大税收违法案件当事人名单、政府采购严重违法失信行为记录名单的书面声明。⑤所必需的设备和专业技术能力：提供具有履行本合同所必需的设备和专业技术能力的声明。</w:t>
            </w:r>
          </w:p>
          <w:p w14:paraId="1FEE8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2、特定资格条件：</w:t>
            </w:r>
          </w:p>
          <w:p w14:paraId="32A61A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身份授权：供应商应授权合法的人员参加磋商全过程，其中法定代表人直接参加磋商的，须出具法人身份证，并与营业执照上信息一致。法定代表人授权代表参加磋商的，须出具法定代表人授权书及授权代表身份证。 </w:t>
            </w:r>
          </w:p>
          <w:p w14:paraId="7EC30C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信用记录：供应商不得为“信用中国”网站（www.creditchina.gov.cn）中列入失信被执行人、重大税收违法案件当事人名单、政府采购严重违法失信行为记录的供应商。不得为中国政府采购网（www.ccgp.gov.cn）政府采购严重违法失信行为记录名单中被财政部门禁止参加政府采购活动的供应商（提供查询结果网页截图并加盖供应商公章）。</w:t>
            </w:r>
          </w:p>
          <w:p w14:paraId="09FAE3A0">
            <w:pPr>
              <w:pStyle w:val="10"/>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b w:val="0"/>
                <w:bCs/>
                <w:color w:val="333333"/>
                <w:sz w:val="24"/>
                <w:szCs w:val="24"/>
                <w:highlight w:val="none"/>
                <w:shd w:val="clear" w:color="auto" w:fill="FFFFFF"/>
                <w:lang w:val="en-US" w:eastAsia="zh-CN" w:bidi="ar-SA"/>
              </w:rPr>
            </w:pPr>
            <w:r>
              <w:rPr>
                <w:rFonts w:hint="eastAsia" w:ascii="宋体" w:hAnsi="宋体" w:eastAsia="宋体" w:cs="宋体"/>
                <w:sz w:val="24"/>
                <w:szCs w:val="24"/>
                <w:highlight w:val="none"/>
                <w:lang w:val="en-US" w:eastAsia="zh-CN"/>
              </w:rPr>
              <w:t>(3)</w:t>
            </w:r>
            <w:r>
              <w:rPr>
                <w:rFonts w:hint="eastAsia" w:ascii="宋体" w:hAnsi="宋体" w:cs="宋体"/>
                <w:b w:val="0"/>
                <w:bCs/>
                <w:color w:val="333333"/>
                <w:sz w:val="24"/>
                <w:szCs w:val="24"/>
                <w:highlight w:val="none"/>
                <w:shd w:val="clear" w:color="auto" w:fill="FFFFFF"/>
                <w:lang w:val="en-US" w:eastAsia="zh-CN" w:bidi="ar-SA"/>
              </w:rPr>
              <w:t>供应商须具有行政主管部门颁发的城乡规划乙级及以上资质或土地规划乙级及以上资质。</w:t>
            </w:r>
          </w:p>
          <w:p w14:paraId="7B3800A8">
            <w:pPr>
              <w:spacing w:line="360" w:lineRule="auto"/>
              <w:rPr>
                <w:rFonts w:hint="eastAsia"/>
                <w:highlight w:val="none"/>
                <w:lang w:val="en-US" w:eastAsia="zh-CN"/>
              </w:rPr>
            </w:pPr>
            <w:r>
              <w:rPr>
                <w:rFonts w:hint="eastAsia" w:ascii="宋体" w:hAnsi="宋体" w:eastAsia="宋体" w:cs="宋体"/>
                <w:sz w:val="24"/>
                <w:szCs w:val="24"/>
                <w:highlight w:val="none"/>
                <w:lang w:val="en-US" w:eastAsia="zh-CN"/>
              </w:rPr>
              <w:t>(4)</w:t>
            </w:r>
            <w:r>
              <w:rPr>
                <w:rFonts w:hint="eastAsia"/>
                <w:highlight w:val="none"/>
                <w:lang w:val="en-US" w:eastAsia="zh-CN"/>
              </w:rPr>
              <w:t>拟派项目负责人须具备相关专业中级及以上职称证书。</w:t>
            </w:r>
          </w:p>
          <w:p w14:paraId="358894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4"/>
                <w:szCs w:val="24"/>
                <w:lang w:eastAsia="zh-CN"/>
              </w:rPr>
            </w:pPr>
            <w:r>
              <w:rPr>
                <w:rFonts w:hint="eastAsia" w:ascii="宋体" w:hAnsi="宋体" w:eastAsia="宋体" w:cs="宋体"/>
                <w:b/>
                <w:bCs/>
                <w:sz w:val="24"/>
                <w:szCs w:val="24"/>
                <w:highlight w:val="none"/>
                <w:lang w:val="en-US" w:eastAsia="zh-CN"/>
              </w:rPr>
              <w:t>备注：以上为必备资格要求，缺一项或某项达不到要求，按无效磋商处理。</w:t>
            </w:r>
          </w:p>
        </w:tc>
      </w:tr>
      <w:tr w14:paraId="3EF08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919" w:type="dxa"/>
            <w:noWrap w:val="0"/>
            <w:vAlign w:val="center"/>
          </w:tcPr>
          <w:p w14:paraId="41DD6577">
            <w:pPr>
              <w:spacing w:line="440" w:lineRule="exact"/>
              <w:ind w:left="48" w:leftChars="20"/>
              <w:jc w:val="center"/>
              <w:rPr>
                <w:rFonts w:hint="eastAsia" w:ascii="宋体" w:hAnsi="宋体" w:eastAsia="宋体" w:cs="宋体"/>
                <w:szCs w:val="24"/>
                <w:highlight w:val="none"/>
                <w:lang w:eastAsia="zh-CN" w:bidi="ar-SA"/>
              </w:rPr>
            </w:pPr>
            <w:r>
              <w:rPr>
                <w:rFonts w:hint="eastAsia" w:hAnsi="宋体" w:cs="宋体"/>
                <w:szCs w:val="24"/>
                <w:highlight w:val="none"/>
                <w:lang w:val="en-US" w:eastAsia="zh-CN" w:bidi="ar-SA"/>
              </w:rPr>
              <w:t>7</w:t>
            </w:r>
          </w:p>
        </w:tc>
        <w:tc>
          <w:tcPr>
            <w:tcW w:w="1781" w:type="dxa"/>
            <w:noWrap w:val="0"/>
            <w:vAlign w:val="center"/>
          </w:tcPr>
          <w:p w14:paraId="729E8784">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 磋商保证金</w:t>
            </w:r>
          </w:p>
        </w:tc>
        <w:tc>
          <w:tcPr>
            <w:tcW w:w="6825" w:type="dxa"/>
            <w:noWrap w:val="0"/>
            <w:vAlign w:val="top"/>
          </w:tcPr>
          <w:p w14:paraId="6F581D13">
            <w:pPr>
              <w:spacing w:line="440" w:lineRule="exact"/>
              <w:ind w:left="48" w:leftChars="20"/>
              <w:rPr>
                <w:rFonts w:hint="eastAsia" w:ascii="宋体" w:hAnsi="宋体" w:eastAsia="宋体" w:cs="宋体"/>
                <w:highlight w:val="none"/>
                <w:lang w:bidi="ar-SA"/>
              </w:rPr>
            </w:pPr>
            <w:r>
              <w:rPr>
                <w:rFonts w:hint="eastAsia" w:ascii="宋体" w:hAnsi="宋体" w:eastAsia="宋体" w:cs="宋体"/>
                <w:highlight w:val="none"/>
                <w:lang w:bidi="ar-SA"/>
              </w:rPr>
              <w:t>不要求提供</w:t>
            </w:r>
          </w:p>
        </w:tc>
      </w:tr>
      <w:tr w14:paraId="59C3D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919" w:type="dxa"/>
            <w:noWrap w:val="0"/>
            <w:vAlign w:val="center"/>
          </w:tcPr>
          <w:p w14:paraId="092F7BE7">
            <w:pPr>
              <w:spacing w:line="440" w:lineRule="exact"/>
              <w:ind w:left="48" w:leftChars="20"/>
              <w:jc w:val="center"/>
              <w:rPr>
                <w:rFonts w:hint="eastAsia" w:ascii="宋体" w:hAnsi="宋体" w:eastAsia="宋体" w:cs="宋体"/>
                <w:szCs w:val="24"/>
                <w:highlight w:val="none"/>
                <w:lang w:eastAsia="zh-CN" w:bidi="ar-SA"/>
              </w:rPr>
            </w:pPr>
            <w:r>
              <w:rPr>
                <w:rFonts w:hint="eastAsia" w:hAnsi="宋体" w:cs="宋体"/>
                <w:szCs w:val="24"/>
                <w:highlight w:val="none"/>
                <w:lang w:val="en-US" w:eastAsia="zh-CN" w:bidi="ar-SA"/>
              </w:rPr>
              <w:t>8</w:t>
            </w:r>
          </w:p>
        </w:tc>
        <w:tc>
          <w:tcPr>
            <w:tcW w:w="1781" w:type="dxa"/>
            <w:noWrap w:val="0"/>
            <w:vAlign w:val="center"/>
          </w:tcPr>
          <w:p w14:paraId="455C9566">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磋商有效期</w:t>
            </w:r>
          </w:p>
        </w:tc>
        <w:tc>
          <w:tcPr>
            <w:tcW w:w="6825" w:type="dxa"/>
            <w:noWrap w:val="0"/>
            <w:vAlign w:val="center"/>
          </w:tcPr>
          <w:p w14:paraId="3C67DD35">
            <w:pPr>
              <w:spacing w:line="440" w:lineRule="exact"/>
              <w:ind w:left="48" w:leftChars="20"/>
              <w:rPr>
                <w:rFonts w:hint="eastAsia" w:ascii="宋体" w:hAnsi="宋体" w:eastAsia="宋体" w:cs="宋体"/>
                <w:highlight w:val="none"/>
                <w:lang w:bidi="ar-SA"/>
              </w:rPr>
            </w:pPr>
            <w:r>
              <w:rPr>
                <w:rFonts w:hint="eastAsia" w:ascii="宋体" w:hAnsi="宋体" w:eastAsia="宋体" w:cs="宋体"/>
                <w:szCs w:val="24"/>
                <w:highlight w:val="none"/>
                <w:lang w:bidi="ar-SA"/>
              </w:rPr>
              <w:t>提交磋商响应文件的截止之</w:t>
            </w:r>
            <w:r>
              <w:rPr>
                <w:rFonts w:hint="eastAsia" w:ascii="宋体" w:hAnsi="宋体" w:eastAsia="宋体" w:cs="宋体"/>
                <w:color w:val="auto"/>
                <w:szCs w:val="24"/>
                <w:highlight w:val="none"/>
                <w:lang w:bidi="ar-SA"/>
              </w:rPr>
              <w:t>日起90天。</w:t>
            </w:r>
          </w:p>
        </w:tc>
      </w:tr>
      <w:tr w14:paraId="7E1D0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919" w:type="dxa"/>
            <w:noWrap w:val="0"/>
            <w:vAlign w:val="center"/>
          </w:tcPr>
          <w:p w14:paraId="1D236651">
            <w:pPr>
              <w:spacing w:after="156" w:line="440" w:lineRule="exact"/>
              <w:ind w:left="48" w:leftChars="20"/>
              <w:jc w:val="center"/>
              <w:rPr>
                <w:rFonts w:hint="eastAsia" w:ascii="宋体" w:hAnsi="宋体" w:eastAsia="宋体" w:cs="宋体"/>
                <w:szCs w:val="24"/>
                <w:highlight w:val="none"/>
                <w:lang w:eastAsia="zh-CN" w:bidi="ar-SA"/>
              </w:rPr>
            </w:pPr>
            <w:r>
              <w:rPr>
                <w:rFonts w:hint="eastAsia" w:hAnsi="宋体" w:cs="宋体"/>
                <w:szCs w:val="24"/>
                <w:highlight w:val="none"/>
                <w:lang w:val="en-US" w:eastAsia="zh-CN" w:bidi="ar-SA"/>
              </w:rPr>
              <w:t>9</w:t>
            </w:r>
          </w:p>
        </w:tc>
        <w:tc>
          <w:tcPr>
            <w:tcW w:w="1781" w:type="dxa"/>
            <w:noWrap w:val="0"/>
            <w:vAlign w:val="center"/>
          </w:tcPr>
          <w:p w14:paraId="57DF76F9">
            <w:pPr>
              <w:spacing w:line="360" w:lineRule="auto"/>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竞争性磋商响应文件制作</w:t>
            </w:r>
          </w:p>
        </w:tc>
        <w:tc>
          <w:tcPr>
            <w:tcW w:w="6825" w:type="dxa"/>
            <w:noWrap w:val="0"/>
            <w:vAlign w:val="center"/>
          </w:tcPr>
          <w:p w14:paraId="063F6DAA">
            <w:pPr>
              <w:numPr>
                <w:ilvl w:val="0"/>
                <w:numId w:val="2"/>
              </w:numPr>
              <w:spacing w:line="360" w:lineRule="auto"/>
              <w:rPr>
                <w:rFonts w:hint="eastAsia" w:ascii="宋体" w:hAnsi="宋体" w:eastAsia="宋体" w:cs="宋体"/>
                <w:b/>
                <w:bCs/>
                <w:szCs w:val="24"/>
                <w:highlight w:val="none"/>
                <w:lang w:bidi="ar-SA"/>
              </w:rPr>
            </w:pPr>
            <w:r>
              <w:rPr>
                <w:rFonts w:hint="eastAsia" w:ascii="宋体" w:hAnsi="宋体" w:eastAsia="宋体" w:cs="宋体"/>
                <w:b/>
                <w:bCs/>
                <w:szCs w:val="24"/>
                <w:highlight w:val="none"/>
                <w:lang w:bidi="ar-SA"/>
              </w:rPr>
              <w:t>磋商响应文件制作：磋商响应文件用CA锁登录编标工具制作，并及时加密上传到平台。供应商应在投标截止时间前登录磋商文件载明的“不见面开标系统”网址，按系统提示完成开标流程。因供应商自身设施故障或自身原因导致无法完成投标的，由供应商自行承担后果。</w:t>
            </w:r>
          </w:p>
          <w:p w14:paraId="252B211A">
            <w:pPr>
              <w:numPr>
                <w:ilvl w:val="0"/>
                <w:numId w:val="2"/>
              </w:numPr>
              <w:spacing w:line="360" w:lineRule="auto"/>
              <w:rPr>
                <w:rFonts w:hint="eastAsia" w:ascii="宋体" w:hAnsi="宋体" w:eastAsia="宋体" w:cs="宋体"/>
                <w:highlight w:val="none"/>
                <w:lang w:bidi="ar-SA"/>
              </w:rPr>
            </w:pPr>
            <w:r>
              <w:rPr>
                <w:rFonts w:hint="eastAsia" w:ascii="宋体" w:hAnsi="宋体" w:eastAsia="宋体" w:cs="宋体"/>
                <w:szCs w:val="24"/>
                <w:highlight w:val="none"/>
                <w:lang w:val="en-US" w:eastAsia="zh-CN" w:bidi="ar-SA"/>
              </w:rPr>
              <w:t>供应商</w:t>
            </w:r>
            <w:r>
              <w:rPr>
                <w:rFonts w:hint="eastAsia" w:ascii="宋体" w:hAnsi="宋体" w:eastAsia="宋体" w:cs="宋体"/>
                <w:szCs w:val="24"/>
                <w:highlight w:val="none"/>
                <w:lang w:bidi="ar-SA"/>
              </w:rPr>
              <w:t>在全国公共资源交易平台（陕西省·西咸新区）上传加密磋商响应文件（扩展名为“.SXSTF”）</w:t>
            </w:r>
          </w:p>
        </w:tc>
      </w:tr>
      <w:tr w14:paraId="1364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jc w:val="center"/>
        </w:trPr>
        <w:tc>
          <w:tcPr>
            <w:tcW w:w="919" w:type="dxa"/>
            <w:noWrap w:val="0"/>
            <w:vAlign w:val="center"/>
          </w:tcPr>
          <w:p w14:paraId="394DF074">
            <w:pPr>
              <w:spacing w:after="156" w:line="440" w:lineRule="exact"/>
              <w:ind w:left="48" w:leftChars="20"/>
              <w:jc w:val="center"/>
              <w:rPr>
                <w:rFonts w:hint="default" w:ascii="宋体" w:hAnsi="宋体" w:eastAsia="宋体" w:cs="宋体"/>
                <w:szCs w:val="24"/>
                <w:highlight w:val="none"/>
                <w:lang w:val="en-US" w:eastAsia="zh-CN" w:bidi="ar-SA"/>
              </w:rPr>
            </w:pPr>
            <w:r>
              <w:rPr>
                <w:rFonts w:hint="eastAsia" w:hAnsi="宋体" w:cs="宋体"/>
                <w:szCs w:val="24"/>
                <w:highlight w:val="none"/>
                <w:lang w:val="en-US" w:eastAsia="zh-CN" w:bidi="ar-SA"/>
              </w:rPr>
              <w:t>10</w:t>
            </w:r>
          </w:p>
        </w:tc>
        <w:tc>
          <w:tcPr>
            <w:tcW w:w="1781" w:type="dxa"/>
            <w:noWrap w:val="0"/>
            <w:vAlign w:val="center"/>
          </w:tcPr>
          <w:p w14:paraId="32FA10A5">
            <w:pPr>
              <w:spacing w:after="156"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磋商响应文件的递交</w:t>
            </w:r>
          </w:p>
        </w:tc>
        <w:tc>
          <w:tcPr>
            <w:tcW w:w="6825" w:type="dxa"/>
            <w:noWrap w:val="0"/>
            <w:vAlign w:val="top"/>
          </w:tcPr>
          <w:p w14:paraId="5D946CE8">
            <w:pPr>
              <w:spacing w:line="440" w:lineRule="exact"/>
              <w:ind w:left="48" w:leftChars="20"/>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磋商响应文件递交截止时间：详见竞争性磋商公告</w:t>
            </w:r>
          </w:p>
          <w:p w14:paraId="18F80B14">
            <w:pPr>
              <w:spacing w:line="440" w:lineRule="exact"/>
              <w:ind w:left="48" w:leftChars="20"/>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磋商响应文件递交地址：详见竞争性磋商公告</w:t>
            </w:r>
          </w:p>
        </w:tc>
      </w:tr>
      <w:tr w14:paraId="03DC7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6" w:hRule="atLeast"/>
          <w:jc w:val="center"/>
        </w:trPr>
        <w:tc>
          <w:tcPr>
            <w:tcW w:w="919" w:type="dxa"/>
            <w:noWrap w:val="0"/>
            <w:vAlign w:val="center"/>
          </w:tcPr>
          <w:p w14:paraId="51907352">
            <w:pPr>
              <w:spacing w:after="156" w:line="440" w:lineRule="exact"/>
              <w:ind w:left="48" w:leftChars="20"/>
              <w:jc w:val="center"/>
              <w:rPr>
                <w:rFonts w:hint="default" w:ascii="宋体" w:hAnsi="宋体" w:eastAsia="宋体" w:cs="宋体"/>
                <w:szCs w:val="24"/>
                <w:highlight w:val="none"/>
                <w:lang w:val="en-US" w:eastAsia="zh-CN" w:bidi="ar-SA"/>
              </w:rPr>
            </w:pPr>
            <w:r>
              <w:rPr>
                <w:rFonts w:hint="eastAsia" w:hAnsi="宋体" w:cs="宋体"/>
                <w:szCs w:val="24"/>
                <w:highlight w:val="none"/>
                <w:lang w:val="en-US" w:eastAsia="zh-CN" w:bidi="ar-SA"/>
              </w:rPr>
              <w:t>11</w:t>
            </w:r>
          </w:p>
        </w:tc>
        <w:tc>
          <w:tcPr>
            <w:tcW w:w="1781" w:type="dxa"/>
            <w:noWrap w:val="0"/>
            <w:vAlign w:val="center"/>
          </w:tcPr>
          <w:p w14:paraId="67544C77">
            <w:pPr>
              <w:spacing w:after="156"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磋商时间及地点</w:t>
            </w:r>
          </w:p>
        </w:tc>
        <w:tc>
          <w:tcPr>
            <w:tcW w:w="6825" w:type="dxa"/>
            <w:noWrap w:val="0"/>
            <w:vAlign w:val="center"/>
          </w:tcPr>
          <w:p w14:paraId="5AE5D742">
            <w:pPr>
              <w:spacing w:line="440" w:lineRule="exact"/>
              <w:ind w:left="48" w:leftChars="20"/>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磋商时间：同磋商响应文件递交截止时间</w:t>
            </w:r>
          </w:p>
          <w:p w14:paraId="492D5C7C">
            <w:pPr>
              <w:spacing w:line="440" w:lineRule="exact"/>
              <w:ind w:left="48" w:leftChars="20"/>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磋商地点：同磋商响应文件递交地址</w:t>
            </w:r>
          </w:p>
        </w:tc>
      </w:tr>
      <w:tr w14:paraId="5500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4" w:hRule="atLeast"/>
          <w:jc w:val="center"/>
        </w:trPr>
        <w:tc>
          <w:tcPr>
            <w:tcW w:w="919" w:type="dxa"/>
            <w:noWrap w:val="0"/>
            <w:vAlign w:val="center"/>
          </w:tcPr>
          <w:p w14:paraId="38CB477F">
            <w:pPr>
              <w:spacing w:after="156" w:line="440" w:lineRule="exact"/>
              <w:ind w:left="48" w:leftChars="20"/>
              <w:jc w:val="center"/>
              <w:rPr>
                <w:rFonts w:hint="default" w:ascii="宋体" w:hAnsi="宋体" w:eastAsia="宋体" w:cs="宋体"/>
                <w:szCs w:val="24"/>
                <w:highlight w:val="none"/>
                <w:lang w:val="en-US" w:eastAsia="zh-CN" w:bidi="ar-SA"/>
              </w:rPr>
            </w:pPr>
            <w:r>
              <w:rPr>
                <w:rFonts w:hint="eastAsia" w:hAnsi="宋体" w:cs="宋体"/>
                <w:szCs w:val="24"/>
                <w:highlight w:val="none"/>
                <w:lang w:val="en-US" w:eastAsia="zh-CN" w:bidi="ar-SA"/>
              </w:rPr>
              <w:t>12</w:t>
            </w:r>
          </w:p>
        </w:tc>
        <w:tc>
          <w:tcPr>
            <w:tcW w:w="1781" w:type="dxa"/>
            <w:noWrap w:val="0"/>
            <w:vAlign w:val="center"/>
          </w:tcPr>
          <w:p w14:paraId="5535B766">
            <w:pPr>
              <w:spacing w:after="156"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评审方法</w:t>
            </w:r>
          </w:p>
        </w:tc>
        <w:tc>
          <w:tcPr>
            <w:tcW w:w="6825" w:type="dxa"/>
            <w:noWrap w:val="0"/>
            <w:vAlign w:val="center"/>
          </w:tcPr>
          <w:p w14:paraId="0E51D8B8">
            <w:pPr>
              <w:spacing w:after="156" w:line="440" w:lineRule="exact"/>
              <w:ind w:left="48" w:leftChars="2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综合评分法（详见第五章）</w:t>
            </w:r>
          </w:p>
        </w:tc>
      </w:tr>
      <w:tr w14:paraId="0BD2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919" w:type="dxa"/>
            <w:noWrap w:val="0"/>
            <w:vAlign w:val="center"/>
          </w:tcPr>
          <w:p w14:paraId="5891CB3C">
            <w:pPr>
              <w:spacing w:after="156" w:line="440" w:lineRule="exact"/>
              <w:ind w:left="48" w:leftChars="20"/>
              <w:jc w:val="center"/>
              <w:rPr>
                <w:rFonts w:hint="default" w:ascii="宋体" w:hAnsi="宋体" w:eastAsia="宋体" w:cs="宋体"/>
                <w:szCs w:val="24"/>
                <w:highlight w:val="none"/>
                <w:lang w:val="en-US" w:eastAsia="zh-CN" w:bidi="ar-SA"/>
              </w:rPr>
            </w:pPr>
            <w:r>
              <w:rPr>
                <w:rFonts w:hint="eastAsia" w:hAnsi="宋体" w:cs="宋体"/>
                <w:szCs w:val="24"/>
                <w:highlight w:val="none"/>
                <w:lang w:val="en-US" w:eastAsia="zh-CN" w:bidi="ar-SA"/>
              </w:rPr>
              <w:t>13</w:t>
            </w:r>
          </w:p>
        </w:tc>
        <w:tc>
          <w:tcPr>
            <w:tcW w:w="1781" w:type="dxa"/>
            <w:noWrap w:val="0"/>
            <w:vAlign w:val="center"/>
          </w:tcPr>
          <w:p w14:paraId="1B895B89">
            <w:pPr>
              <w:spacing w:after="156"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成交代理服务费</w:t>
            </w:r>
          </w:p>
        </w:tc>
        <w:tc>
          <w:tcPr>
            <w:tcW w:w="6825" w:type="dxa"/>
            <w:noWrap w:val="0"/>
            <w:vAlign w:val="center"/>
          </w:tcPr>
          <w:p w14:paraId="2AECF9D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4"/>
                <w:highlight w:val="none"/>
                <w:lang w:eastAsia="zh-CN" w:bidi="ar-SA"/>
              </w:rPr>
            </w:pPr>
            <w:bookmarkStart w:id="31" w:name="OLE_LINK10"/>
            <w:bookmarkStart w:id="32" w:name="OLE_LINK9"/>
            <w:r>
              <w:rPr>
                <w:rFonts w:hint="eastAsia" w:ascii="宋体" w:hAnsi="宋体" w:eastAsia="宋体" w:cs="宋体"/>
                <w:szCs w:val="24"/>
                <w:highlight w:val="none"/>
                <w:lang w:bidi="ar-SA"/>
              </w:rPr>
              <w:t>参照国家计委颁发的《招标代理服务收费管理暂行办法》（计价格[2002]1980号）和国家发展改革委员会办公厅颁发的《关于招标代理服务收费有关问题的通知》（发改办价格[2003]857号）的有关规定执行</w:t>
            </w:r>
            <w:r>
              <w:rPr>
                <w:rFonts w:hint="eastAsia" w:ascii="宋体" w:hAnsi="宋体" w:eastAsia="宋体" w:cs="宋体"/>
                <w:szCs w:val="24"/>
                <w:highlight w:val="none"/>
                <w:lang w:eastAsia="zh-CN" w:bidi="ar-SA"/>
              </w:rPr>
              <w:t>。</w:t>
            </w:r>
          </w:p>
          <w:p w14:paraId="079B7D4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成交单位在领取成交通知书前，须向采购代理机构一次性支付代理服务费。</w:t>
            </w:r>
            <w:bookmarkEnd w:id="31"/>
            <w:bookmarkEnd w:id="32"/>
          </w:p>
          <w:p w14:paraId="54E9DDC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4"/>
                <w:highlight w:val="none"/>
                <w:lang w:bidi="ar-SA"/>
              </w:rPr>
            </w:pPr>
            <w:r>
              <w:rPr>
                <w:rFonts w:hint="eastAsia" w:ascii="宋体" w:hAnsi="宋体" w:eastAsia="宋体" w:cs="宋体"/>
                <w:b/>
                <w:bCs/>
                <w:szCs w:val="24"/>
                <w:highlight w:val="none"/>
                <w:lang w:bidi="ar-SA"/>
              </w:rPr>
              <w:t>代理服务费账户：</w:t>
            </w:r>
          </w:p>
          <w:p w14:paraId="207C41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Cs w:val="24"/>
                <w:highlight w:val="none"/>
                <w:lang w:val="en-US" w:eastAsia="zh-CN" w:bidi="ar-SA"/>
              </w:rPr>
            </w:pPr>
            <w:r>
              <w:rPr>
                <w:rFonts w:hint="eastAsia" w:ascii="宋体" w:hAnsi="宋体" w:eastAsia="宋体" w:cs="宋体"/>
                <w:szCs w:val="24"/>
                <w:highlight w:val="none"/>
                <w:lang w:val="en-US" w:eastAsia="zh-CN" w:bidi="ar-SA"/>
              </w:rPr>
              <w:t>户    名：陕西鼎端项目管理咨询有限公司</w:t>
            </w:r>
          </w:p>
          <w:p w14:paraId="564244F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Cs w:val="24"/>
                <w:highlight w:val="none"/>
                <w:lang w:val="en-US" w:eastAsia="zh-CN" w:bidi="ar-SA"/>
              </w:rPr>
            </w:pPr>
            <w:r>
              <w:rPr>
                <w:rFonts w:hint="eastAsia" w:ascii="宋体" w:hAnsi="宋体" w:eastAsia="宋体" w:cs="宋体"/>
                <w:szCs w:val="24"/>
                <w:highlight w:val="none"/>
                <w:lang w:val="en-US" w:eastAsia="zh-CN" w:bidi="ar-SA"/>
              </w:rPr>
              <w:t>开户银行：招商银行股份有限公司西安朝阳门支行</w:t>
            </w:r>
          </w:p>
          <w:p w14:paraId="2FE4A8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Cs w:val="24"/>
                <w:highlight w:val="none"/>
                <w:lang w:val="en-US" w:eastAsia="zh-CN" w:bidi="ar-SA"/>
              </w:rPr>
            </w:pPr>
            <w:r>
              <w:rPr>
                <w:rFonts w:hint="eastAsia" w:ascii="宋体" w:hAnsi="宋体" w:eastAsia="宋体" w:cs="宋体"/>
                <w:szCs w:val="24"/>
                <w:highlight w:val="none"/>
                <w:lang w:val="en-US" w:eastAsia="zh-CN" w:bidi="ar-SA"/>
              </w:rPr>
              <w:t>账    号：1299 1534 0710 401</w:t>
            </w:r>
          </w:p>
          <w:p w14:paraId="5269E1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请成交供应商按照要求将服务费汇入以上指定账户，如因自身原因发生错误，产生的不利后果均由供应商自行承担。</w:t>
            </w:r>
          </w:p>
        </w:tc>
      </w:tr>
      <w:tr w14:paraId="43C33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919" w:type="dxa"/>
            <w:noWrap w:val="0"/>
            <w:vAlign w:val="center"/>
          </w:tcPr>
          <w:p w14:paraId="281C55FF">
            <w:pPr>
              <w:spacing w:line="440" w:lineRule="exact"/>
              <w:ind w:left="48" w:leftChars="20"/>
              <w:jc w:val="center"/>
              <w:rPr>
                <w:rFonts w:hint="default" w:ascii="宋体" w:hAnsi="宋体" w:eastAsia="宋体" w:cs="宋体"/>
                <w:szCs w:val="24"/>
                <w:highlight w:val="none"/>
                <w:lang w:val="en-US" w:eastAsia="zh-CN" w:bidi="ar-SA"/>
              </w:rPr>
            </w:pPr>
            <w:r>
              <w:rPr>
                <w:rFonts w:hint="eastAsia" w:hAnsi="宋体" w:cs="宋体"/>
                <w:szCs w:val="24"/>
                <w:highlight w:val="none"/>
                <w:lang w:val="en-US" w:eastAsia="zh-CN" w:bidi="ar-SA"/>
              </w:rPr>
              <w:t>14</w:t>
            </w:r>
          </w:p>
        </w:tc>
        <w:tc>
          <w:tcPr>
            <w:tcW w:w="1781" w:type="dxa"/>
            <w:noWrap w:val="0"/>
            <w:vAlign w:val="center"/>
          </w:tcPr>
          <w:p w14:paraId="5DDEF68C">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履约</w:t>
            </w:r>
          </w:p>
          <w:p w14:paraId="176BE431">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担保</w:t>
            </w:r>
          </w:p>
        </w:tc>
        <w:tc>
          <w:tcPr>
            <w:tcW w:w="6825" w:type="dxa"/>
            <w:noWrap w:val="0"/>
            <w:vAlign w:val="center"/>
          </w:tcPr>
          <w:p w14:paraId="7CD25704">
            <w:pPr>
              <w:pStyle w:val="12"/>
              <w:spacing w:line="440" w:lineRule="exact"/>
              <w:ind w:left="48" w:leftChars="20"/>
              <w:jc w:val="left"/>
              <w:rPr>
                <w:rFonts w:hint="eastAsia" w:ascii="宋体" w:hAnsi="宋体" w:eastAsia="宋体" w:cs="宋体"/>
                <w:szCs w:val="24"/>
                <w:highlight w:val="none"/>
                <w:lang w:bidi="ar-SA"/>
              </w:rPr>
            </w:pPr>
            <w:r>
              <w:rPr>
                <w:rFonts w:hint="eastAsia" w:ascii="宋体" w:hAnsi="宋体" w:eastAsia="宋体" w:cs="宋体"/>
                <w:kern w:val="0"/>
                <w:sz w:val="24"/>
                <w:szCs w:val="24"/>
                <w:highlight w:val="none"/>
                <w:lang w:bidi="ar-SA"/>
              </w:rPr>
              <w:t>不要求提供</w:t>
            </w:r>
          </w:p>
        </w:tc>
      </w:tr>
      <w:tr w14:paraId="4505D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7" w:hRule="atLeast"/>
          <w:jc w:val="center"/>
        </w:trPr>
        <w:tc>
          <w:tcPr>
            <w:tcW w:w="919" w:type="dxa"/>
            <w:noWrap w:val="0"/>
            <w:vAlign w:val="center"/>
          </w:tcPr>
          <w:p w14:paraId="2383A351">
            <w:pPr>
              <w:spacing w:line="440" w:lineRule="exact"/>
              <w:ind w:left="48" w:leftChars="20"/>
              <w:jc w:val="center"/>
              <w:rPr>
                <w:rFonts w:hint="default" w:ascii="宋体" w:hAnsi="宋体" w:eastAsia="宋体" w:cs="宋体"/>
                <w:szCs w:val="24"/>
                <w:highlight w:val="none"/>
                <w:lang w:val="en-US" w:eastAsia="zh-CN" w:bidi="ar-SA"/>
              </w:rPr>
            </w:pPr>
            <w:r>
              <w:rPr>
                <w:rFonts w:hint="eastAsia" w:hAnsi="宋体" w:cs="宋体"/>
                <w:szCs w:val="24"/>
                <w:highlight w:val="none"/>
                <w:lang w:val="en-US" w:eastAsia="zh-CN" w:bidi="ar-SA"/>
              </w:rPr>
              <w:t>15</w:t>
            </w:r>
          </w:p>
        </w:tc>
        <w:tc>
          <w:tcPr>
            <w:tcW w:w="1781" w:type="dxa"/>
            <w:noWrap w:val="0"/>
            <w:vAlign w:val="center"/>
          </w:tcPr>
          <w:p w14:paraId="59F884C5">
            <w:pPr>
              <w:spacing w:line="440" w:lineRule="exact"/>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一致性</w:t>
            </w:r>
          </w:p>
        </w:tc>
        <w:tc>
          <w:tcPr>
            <w:tcW w:w="6825" w:type="dxa"/>
            <w:noWrap w:val="0"/>
            <w:vAlign w:val="center"/>
          </w:tcPr>
          <w:p w14:paraId="78A2D3DD">
            <w:pPr>
              <w:spacing w:line="440" w:lineRule="exact"/>
              <w:ind w:left="48" w:leftChars="20"/>
              <w:rPr>
                <w:rFonts w:hint="eastAsia" w:ascii="宋体" w:hAnsi="宋体" w:eastAsia="宋体" w:cs="宋体"/>
                <w:szCs w:val="24"/>
                <w:highlight w:val="none"/>
                <w:lang w:bidi="ar-SA"/>
              </w:rPr>
            </w:pPr>
            <w:r>
              <w:rPr>
                <w:rFonts w:hint="eastAsia" w:ascii="宋体" w:hAnsi="宋体" w:eastAsia="宋体" w:cs="宋体"/>
                <w:szCs w:val="24"/>
                <w:highlight w:val="none"/>
                <w:lang w:bidi="ar-SA"/>
              </w:rPr>
              <w:t>供应商须知前附表和供应商须知不一致的地方，以供应商须知前附表为准。</w:t>
            </w:r>
          </w:p>
        </w:tc>
      </w:tr>
      <w:tr w14:paraId="7E3C6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3" w:hRule="atLeast"/>
          <w:jc w:val="center"/>
        </w:trPr>
        <w:tc>
          <w:tcPr>
            <w:tcW w:w="919" w:type="dxa"/>
            <w:noWrap w:val="0"/>
            <w:vAlign w:val="center"/>
          </w:tcPr>
          <w:p w14:paraId="7326EB0B">
            <w:pPr>
              <w:spacing w:line="360" w:lineRule="auto"/>
              <w:jc w:val="center"/>
              <w:rPr>
                <w:rFonts w:hint="default" w:ascii="宋体" w:hAnsi="宋体" w:eastAsia="宋体" w:cs="宋体"/>
                <w:szCs w:val="24"/>
                <w:highlight w:val="none"/>
                <w:lang w:val="en-US" w:eastAsia="zh-CN" w:bidi="ar-SA"/>
              </w:rPr>
            </w:pPr>
            <w:r>
              <w:rPr>
                <w:rFonts w:hint="eastAsia" w:hAnsi="宋体" w:cs="宋体"/>
                <w:szCs w:val="24"/>
                <w:highlight w:val="none"/>
                <w:lang w:val="en-US" w:eastAsia="zh-CN" w:bidi="ar-SA"/>
              </w:rPr>
              <w:t>16</w:t>
            </w:r>
          </w:p>
        </w:tc>
        <w:tc>
          <w:tcPr>
            <w:tcW w:w="1781" w:type="dxa"/>
            <w:noWrap w:val="0"/>
            <w:vAlign w:val="center"/>
          </w:tcPr>
          <w:p w14:paraId="56B03A55">
            <w:pPr>
              <w:spacing w:line="288" w:lineRule="auto"/>
              <w:jc w:val="center"/>
              <w:rPr>
                <w:rFonts w:hint="eastAsia" w:ascii="宋体" w:hAnsi="宋体" w:eastAsia="宋体" w:cs="宋体"/>
                <w:szCs w:val="24"/>
                <w:highlight w:val="none"/>
                <w:lang w:bidi="ar-SA"/>
              </w:rPr>
            </w:pPr>
            <w:r>
              <w:rPr>
                <w:rFonts w:hint="eastAsia" w:ascii="宋体" w:hAnsi="宋体" w:eastAsia="宋体" w:cs="宋体"/>
                <w:color w:val="000000"/>
                <w:szCs w:val="24"/>
                <w:highlight w:val="none"/>
                <w:lang w:bidi="ar-SA"/>
              </w:rPr>
              <w:t>电子磋商响应文件签章要求</w:t>
            </w:r>
          </w:p>
        </w:tc>
        <w:tc>
          <w:tcPr>
            <w:tcW w:w="6825" w:type="dxa"/>
            <w:noWrap w:val="0"/>
            <w:vAlign w:val="center"/>
          </w:tcPr>
          <w:p w14:paraId="338264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竞争性磋商响应文件</w:t>
            </w:r>
            <w:r>
              <w:rPr>
                <w:rFonts w:hint="eastAsia" w:ascii="宋体" w:hAnsi="宋体" w:eastAsia="宋体" w:cs="宋体"/>
                <w:sz w:val="24"/>
                <w:szCs w:val="24"/>
                <w:highlight w:val="none"/>
              </w:rPr>
              <w:t>封面、</w:t>
            </w:r>
            <w:r>
              <w:rPr>
                <w:rFonts w:hint="eastAsia" w:ascii="宋体" w:hAnsi="宋体" w:eastAsia="宋体" w:cs="宋体"/>
                <w:sz w:val="24"/>
                <w:szCs w:val="24"/>
                <w:highlight w:val="none"/>
                <w:lang w:eastAsia="zh-CN"/>
              </w:rPr>
              <w:t>磋商响应函</w:t>
            </w:r>
            <w:r>
              <w:rPr>
                <w:rFonts w:hint="eastAsia" w:ascii="宋体" w:hAnsi="宋体" w:eastAsia="宋体" w:cs="宋体"/>
                <w:sz w:val="24"/>
                <w:szCs w:val="24"/>
                <w:highlight w:val="none"/>
              </w:rPr>
              <w:t>及其它有要求处必须加盖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公章并经法定代表人或其委托代理人签字或盖章。</w:t>
            </w:r>
            <w:bookmarkStart w:id="33" w:name="_Toc343511347"/>
          </w:p>
          <w:p w14:paraId="220EA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竞争性磋商响应文件</w:t>
            </w:r>
            <w:r>
              <w:rPr>
                <w:rFonts w:hint="eastAsia" w:ascii="宋体" w:hAnsi="宋体" w:eastAsia="宋体" w:cs="宋体"/>
                <w:sz w:val="24"/>
                <w:szCs w:val="24"/>
                <w:highlight w:val="none"/>
              </w:rPr>
              <w:t>应无涂改或行间插字和增删。如确需修改，修改处必须由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公章并经法定代表人或其委托代理人签字或盖章。</w:t>
            </w:r>
            <w:bookmarkEnd w:id="33"/>
          </w:p>
          <w:p w14:paraId="2E7B4E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2"/>
                <w:highlight w:val="none"/>
                <w:lang w:bidi="ar-SA"/>
              </w:rPr>
            </w:pPr>
            <w:r>
              <w:rPr>
                <w:rFonts w:hint="eastAsia" w:ascii="宋体" w:hAnsi="宋体" w:eastAsia="宋体" w:cs="宋体"/>
                <w:color w:val="auto"/>
                <w:sz w:val="24"/>
                <w:szCs w:val="24"/>
                <w:highlight w:val="none"/>
              </w:rPr>
              <w:t>电子磋商响应文件中涉及加盖单位公章的地方可使用电子印章、纸质加盖公章文件扫描件或其他电子磋商文件约定的方式。</w:t>
            </w:r>
          </w:p>
        </w:tc>
      </w:tr>
      <w:tr w14:paraId="450B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919" w:type="dxa"/>
            <w:noWrap w:val="0"/>
            <w:vAlign w:val="center"/>
          </w:tcPr>
          <w:p w14:paraId="7B938E03">
            <w:pPr>
              <w:spacing w:line="360" w:lineRule="auto"/>
              <w:jc w:val="center"/>
              <w:rPr>
                <w:rFonts w:hint="default" w:ascii="宋体" w:hAnsi="宋体" w:eastAsia="宋体" w:cs="宋体"/>
                <w:szCs w:val="24"/>
                <w:highlight w:val="none"/>
                <w:lang w:val="en-US" w:eastAsia="zh-CN" w:bidi="ar-SA"/>
              </w:rPr>
            </w:pPr>
            <w:r>
              <w:rPr>
                <w:rFonts w:hint="eastAsia" w:hAnsi="宋体" w:cs="宋体"/>
                <w:szCs w:val="24"/>
                <w:highlight w:val="none"/>
                <w:lang w:val="en-US" w:eastAsia="zh-CN" w:bidi="ar-SA"/>
              </w:rPr>
              <w:t>17</w:t>
            </w:r>
          </w:p>
        </w:tc>
        <w:tc>
          <w:tcPr>
            <w:tcW w:w="1781" w:type="dxa"/>
            <w:noWrap w:val="0"/>
            <w:vAlign w:val="center"/>
          </w:tcPr>
          <w:p w14:paraId="3AD56D25">
            <w:pPr>
              <w:spacing w:line="288" w:lineRule="auto"/>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电子投标注意事项</w:t>
            </w:r>
          </w:p>
        </w:tc>
        <w:tc>
          <w:tcPr>
            <w:tcW w:w="6825" w:type="dxa"/>
            <w:noWrap w:val="0"/>
            <w:vAlign w:val="center"/>
          </w:tcPr>
          <w:p w14:paraId="629B0F8C">
            <w:pPr>
              <w:pStyle w:val="25"/>
              <w:spacing w:line="288" w:lineRule="auto"/>
              <w:ind w:left="6"/>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供应商应及时下载电子</w:t>
            </w:r>
            <w:r>
              <w:rPr>
                <w:rFonts w:hint="eastAsia" w:ascii="宋体" w:hAnsi="宋体" w:eastAsia="宋体" w:cs="宋体"/>
                <w:szCs w:val="24"/>
                <w:highlight w:val="none"/>
                <w:lang w:val="en-US" w:eastAsia="en-US" w:bidi="ar-SA"/>
              </w:rPr>
              <w:t>磋商</w:t>
            </w:r>
            <w:r>
              <w:rPr>
                <w:rFonts w:hint="eastAsia" w:ascii="宋体" w:hAnsi="宋体" w:eastAsia="宋体" w:cs="宋体"/>
                <w:szCs w:val="24"/>
                <w:highlight w:val="none"/>
                <w:lang w:bidi="ar-SA"/>
              </w:rPr>
              <w:t>文件和答疑纪要等相关文件，在投标截止前必须上传电子磋商响应文件；开标时需使用生成（加密）电子磋商响应文件的加密锁（CA锁），在规定时间内对电子磋商响应文件进行在线解密，因供应商原因造成其电子磋商响应文件无法解密的，按无效投标处理。</w:t>
            </w:r>
          </w:p>
          <w:p w14:paraId="40086425">
            <w:pPr>
              <w:pStyle w:val="25"/>
              <w:spacing w:line="288" w:lineRule="auto"/>
              <w:ind w:left="6"/>
              <w:jc w:val="left"/>
              <w:rPr>
                <w:rFonts w:hint="eastAsia" w:ascii="宋体" w:hAnsi="宋体" w:eastAsia="宋体" w:cs="宋体"/>
                <w:szCs w:val="24"/>
                <w:highlight w:val="none"/>
                <w:lang w:val="en-US" w:eastAsia="en-US" w:bidi="ar-SA"/>
              </w:rPr>
            </w:pPr>
            <w:r>
              <w:rPr>
                <w:rFonts w:hint="eastAsia" w:ascii="宋体" w:hAnsi="宋体" w:eastAsia="宋体" w:cs="宋体"/>
                <w:szCs w:val="24"/>
                <w:highlight w:val="none"/>
                <w:lang w:bidi="ar-SA"/>
              </w:rPr>
              <w:t>其他要求：</w:t>
            </w:r>
            <w:r>
              <w:rPr>
                <w:rFonts w:hint="eastAsia" w:ascii="宋体" w:hAnsi="宋体" w:eastAsia="宋体" w:cs="宋体"/>
                <w:sz w:val="24"/>
                <w:szCs w:val="24"/>
                <w:highlight w:val="none"/>
                <w:lang w:val="en-US" w:eastAsia="zh-CN"/>
              </w:rPr>
              <w:t>磋商响应文件用CA锁登录编标工具制作，并及时加密上传到平台。投标单位在全国公共资源交易平台（陕西省·西咸新区）上传加密磋商响应文件（扩展名为“.SXSTF”）。供应商应在投标截止时间前登录竞争性磋商文件载明的“不见面开标系统”网址，按系统提示完成开标流程。因供应商自身设施故障或自身原因导致无法完成投标的，由供应商自行承担后果。</w:t>
            </w:r>
          </w:p>
        </w:tc>
      </w:tr>
      <w:tr w14:paraId="7CED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919" w:type="dxa"/>
            <w:noWrap w:val="0"/>
            <w:vAlign w:val="center"/>
          </w:tcPr>
          <w:p w14:paraId="3735C6D8">
            <w:pPr>
              <w:spacing w:line="360" w:lineRule="auto"/>
              <w:ind w:left="48" w:leftChars="20"/>
              <w:jc w:val="center"/>
              <w:rPr>
                <w:rFonts w:hint="default" w:ascii="宋体" w:hAnsi="宋体" w:eastAsia="宋体" w:cs="宋体"/>
                <w:szCs w:val="24"/>
                <w:highlight w:val="none"/>
                <w:lang w:val="en-US" w:eastAsia="zh-CN" w:bidi="ar-SA"/>
              </w:rPr>
            </w:pPr>
            <w:r>
              <w:rPr>
                <w:rFonts w:hint="eastAsia" w:hAnsi="宋体" w:cs="宋体"/>
                <w:szCs w:val="24"/>
                <w:highlight w:val="none"/>
                <w:lang w:val="en-US" w:eastAsia="zh-CN" w:bidi="ar-SA"/>
              </w:rPr>
              <w:t>18</w:t>
            </w:r>
          </w:p>
        </w:tc>
        <w:tc>
          <w:tcPr>
            <w:tcW w:w="1781" w:type="dxa"/>
            <w:noWrap w:val="0"/>
            <w:vAlign w:val="center"/>
          </w:tcPr>
          <w:p w14:paraId="1F066C5E">
            <w:pPr>
              <w:spacing w:line="360" w:lineRule="auto"/>
              <w:ind w:left="48" w:leftChars="20"/>
              <w:jc w:val="center"/>
              <w:rPr>
                <w:rFonts w:hint="eastAsia" w:ascii="宋体" w:hAnsi="宋体" w:eastAsia="宋体" w:cs="宋体"/>
                <w:szCs w:val="24"/>
                <w:highlight w:val="none"/>
                <w:lang w:bidi="ar-SA"/>
              </w:rPr>
            </w:pPr>
            <w:r>
              <w:rPr>
                <w:rFonts w:hint="eastAsia" w:ascii="宋体" w:hAnsi="宋体" w:eastAsia="宋体" w:cs="宋体"/>
                <w:szCs w:val="24"/>
                <w:highlight w:val="none"/>
                <w:lang w:bidi="ar-SA"/>
              </w:rPr>
              <w:t>/</w:t>
            </w:r>
          </w:p>
        </w:tc>
        <w:tc>
          <w:tcPr>
            <w:tcW w:w="6825" w:type="dxa"/>
            <w:noWrap w:val="0"/>
            <w:vAlign w:val="center"/>
          </w:tcPr>
          <w:p w14:paraId="35C0035C">
            <w:pPr>
              <w:numPr>
                <w:ilvl w:val="0"/>
                <w:numId w:val="3"/>
              </w:numPr>
              <w:spacing w:line="360" w:lineRule="auto"/>
              <w:ind w:left="48" w:leftChars="20"/>
              <w:rPr>
                <w:rFonts w:hint="eastAsia" w:ascii="宋体" w:hAnsi="宋体" w:eastAsia="宋体" w:cs="宋体"/>
                <w:szCs w:val="22"/>
                <w:highlight w:val="none"/>
                <w:lang w:bidi="ar-SA"/>
              </w:rPr>
            </w:pPr>
            <w:r>
              <w:rPr>
                <w:rFonts w:hint="eastAsia" w:ascii="宋体" w:hAnsi="宋体" w:eastAsia="宋体" w:cs="宋体"/>
                <w:szCs w:val="22"/>
                <w:highlight w:val="none"/>
                <w:lang w:bidi="ar-SA"/>
              </w:rPr>
              <w:t>本项目</w:t>
            </w:r>
            <w:r>
              <w:rPr>
                <w:rFonts w:hint="eastAsia" w:ascii="宋体" w:hAnsi="宋体" w:eastAsia="宋体" w:cs="宋体"/>
                <w:szCs w:val="22"/>
                <w:highlight w:val="none"/>
                <w:u w:val="single"/>
                <w:lang w:val="en-US" w:eastAsia="zh-CN" w:bidi="ar-SA"/>
              </w:rPr>
              <w:t xml:space="preserve"> </w:t>
            </w:r>
            <w:r>
              <w:rPr>
                <w:rFonts w:hint="eastAsia" w:hAnsi="宋体" w:cs="宋体"/>
                <w:szCs w:val="22"/>
                <w:highlight w:val="none"/>
                <w:u w:val="single"/>
                <w:lang w:val="en-US" w:eastAsia="zh-CN" w:bidi="ar-SA"/>
              </w:rPr>
              <w:t>非</w:t>
            </w:r>
            <w:r>
              <w:rPr>
                <w:rFonts w:hint="eastAsia" w:ascii="宋体" w:hAnsi="宋体" w:eastAsia="宋体" w:cs="宋体"/>
                <w:szCs w:val="22"/>
                <w:highlight w:val="none"/>
                <w:u w:val="single"/>
                <w:lang w:bidi="ar-SA"/>
              </w:rPr>
              <w:t>专门</w:t>
            </w:r>
            <w:r>
              <w:rPr>
                <w:rFonts w:hint="eastAsia" w:ascii="宋体" w:hAnsi="宋体" w:eastAsia="宋体" w:cs="宋体"/>
                <w:szCs w:val="22"/>
                <w:highlight w:val="none"/>
                <w:u w:val="single"/>
                <w:lang w:val="en-US" w:eastAsia="zh-CN" w:bidi="ar-SA"/>
              </w:rPr>
              <w:t xml:space="preserve"> </w:t>
            </w:r>
            <w:r>
              <w:rPr>
                <w:rFonts w:hint="eastAsia" w:ascii="宋体" w:hAnsi="宋体" w:eastAsia="宋体" w:cs="宋体"/>
                <w:szCs w:val="22"/>
                <w:highlight w:val="none"/>
                <w:lang w:bidi="ar-SA"/>
              </w:rPr>
              <w:t>面向</w:t>
            </w:r>
            <w:r>
              <w:rPr>
                <w:rFonts w:hint="eastAsia" w:hAnsi="宋体" w:cs="宋体"/>
                <w:szCs w:val="22"/>
                <w:highlight w:val="none"/>
                <w:lang w:val="en-US" w:eastAsia="zh-CN" w:bidi="ar-SA"/>
              </w:rPr>
              <w:t>中小</w:t>
            </w:r>
            <w:r>
              <w:rPr>
                <w:rFonts w:hint="eastAsia" w:ascii="宋体" w:hAnsi="宋体" w:eastAsia="宋体" w:cs="宋体"/>
                <w:szCs w:val="22"/>
                <w:highlight w:val="none"/>
                <w:lang w:bidi="ar-SA"/>
              </w:rPr>
              <w:t>企业采购。</w:t>
            </w:r>
          </w:p>
          <w:p w14:paraId="0A7165F4">
            <w:pPr>
              <w:numPr>
                <w:ilvl w:val="0"/>
                <w:numId w:val="3"/>
              </w:numPr>
              <w:spacing w:line="360" w:lineRule="auto"/>
              <w:ind w:left="48" w:leftChars="20"/>
              <w:rPr>
                <w:rFonts w:hint="eastAsia" w:ascii="宋体" w:hAnsi="宋体" w:eastAsia="宋体" w:cs="宋体"/>
                <w:szCs w:val="22"/>
                <w:highlight w:val="none"/>
                <w:lang w:bidi="ar-SA"/>
              </w:rPr>
            </w:pPr>
            <w:r>
              <w:rPr>
                <w:rFonts w:hint="eastAsia" w:ascii="宋体" w:hAnsi="宋体" w:eastAsia="宋体" w:cs="宋体"/>
                <w:szCs w:val="22"/>
                <w:highlight w:val="none"/>
                <w:lang w:bidi="ar-SA"/>
              </w:rPr>
              <w:t>本项目属性为</w:t>
            </w:r>
            <w:r>
              <w:rPr>
                <w:rFonts w:hint="eastAsia" w:ascii="宋体" w:hAnsi="宋体" w:eastAsia="宋体" w:cs="宋体"/>
                <w:szCs w:val="22"/>
                <w:highlight w:val="none"/>
                <w:u w:val="single"/>
                <w:lang w:val="en-US" w:eastAsia="zh-CN" w:bidi="ar-SA"/>
              </w:rPr>
              <w:t xml:space="preserve">  服务</w:t>
            </w:r>
            <w:r>
              <w:rPr>
                <w:rFonts w:hint="eastAsia" w:hAnsi="宋体" w:cs="宋体"/>
                <w:szCs w:val="22"/>
                <w:highlight w:val="none"/>
                <w:u w:val="single"/>
                <w:lang w:val="en-US" w:eastAsia="zh-CN" w:bidi="ar-SA"/>
              </w:rPr>
              <w:t>类</w:t>
            </w:r>
            <w:r>
              <w:rPr>
                <w:rFonts w:hint="eastAsia" w:ascii="宋体" w:hAnsi="宋体" w:eastAsia="宋体" w:cs="宋体"/>
                <w:szCs w:val="22"/>
                <w:highlight w:val="none"/>
                <w:u w:val="single"/>
                <w:lang w:val="en-US" w:eastAsia="zh-CN" w:bidi="ar-SA"/>
              </w:rPr>
              <w:t xml:space="preserve">  </w:t>
            </w:r>
            <w:r>
              <w:rPr>
                <w:rFonts w:hint="eastAsia" w:ascii="宋体" w:hAnsi="宋体" w:eastAsia="宋体" w:cs="宋体"/>
                <w:szCs w:val="22"/>
                <w:highlight w:val="none"/>
                <w:lang w:bidi="ar-SA"/>
              </w:rPr>
              <w:t>。</w:t>
            </w:r>
          </w:p>
          <w:p w14:paraId="54050223">
            <w:pPr>
              <w:numPr>
                <w:ilvl w:val="0"/>
                <w:numId w:val="3"/>
              </w:numPr>
              <w:spacing w:line="360" w:lineRule="auto"/>
              <w:ind w:left="48" w:leftChars="20" w:firstLine="0"/>
              <w:rPr>
                <w:rFonts w:hint="eastAsia" w:ascii="宋体" w:hAnsi="宋体" w:eastAsia="宋体" w:cs="宋体"/>
                <w:szCs w:val="22"/>
                <w:highlight w:val="none"/>
                <w:lang w:bidi="ar-SA"/>
              </w:rPr>
            </w:pPr>
            <w:r>
              <w:rPr>
                <w:rFonts w:hint="eastAsia" w:ascii="宋体" w:hAnsi="宋体" w:eastAsia="宋体" w:cs="宋体"/>
                <w:szCs w:val="22"/>
                <w:highlight w:val="none"/>
                <w:lang w:bidi="ar-SA"/>
              </w:rPr>
              <w:t>本项目采购标的所属行业为：</w:t>
            </w:r>
            <w:r>
              <w:rPr>
                <w:rFonts w:hint="eastAsia" w:ascii="宋体" w:hAnsi="宋体" w:eastAsia="宋体" w:cs="宋体"/>
                <w:szCs w:val="22"/>
                <w:highlight w:val="none"/>
                <w:u w:val="single"/>
                <w:lang w:val="en-US" w:eastAsia="zh-CN" w:bidi="ar-SA"/>
              </w:rPr>
              <w:t xml:space="preserve">  </w:t>
            </w:r>
            <w:r>
              <w:rPr>
                <w:rFonts w:hint="eastAsia" w:hAnsi="宋体" w:cs="宋体"/>
                <w:szCs w:val="22"/>
                <w:highlight w:val="none"/>
                <w:u w:val="single"/>
                <w:lang w:val="en-US" w:eastAsia="zh-CN" w:bidi="ar-SA"/>
              </w:rPr>
              <w:t>其他未列明行业</w:t>
            </w:r>
            <w:r>
              <w:rPr>
                <w:rFonts w:hint="eastAsia" w:ascii="宋体" w:hAnsi="宋体" w:eastAsia="宋体" w:cs="宋体"/>
                <w:szCs w:val="22"/>
                <w:highlight w:val="none"/>
                <w:u w:val="single"/>
                <w:lang w:bidi="ar-SA"/>
              </w:rPr>
              <w:t xml:space="preserve">  </w:t>
            </w:r>
            <w:r>
              <w:rPr>
                <w:rFonts w:hint="eastAsia" w:ascii="宋体" w:hAnsi="宋体" w:eastAsia="宋体" w:cs="宋体"/>
                <w:szCs w:val="22"/>
                <w:highlight w:val="none"/>
                <w:lang w:bidi="ar-SA"/>
              </w:rPr>
              <w:t>。</w:t>
            </w:r>
          </w:p>
          <w:p w14:paraId="130ED55A">
            <w:pPr>
              <w:spacing w:line="360" w:lineRule="auto"/>
              <w:ind w:left="48" w:leftChars="20"/>
              <w:rPr>
                <w:rFonts w:hint="eastAsia" w:ascii="宋体" w:hAnsi="宋体" w:eastAsia="宋体" w:cs="宋体"/>
                <w:szCs w:val="24"/>
                <w:highlight w:val="none"/>
                <w:lang w:bidi="ar-SA"/>
              </w:rPr>
            </w:pPr>
            <w:r>
              <w:rPr>
                <w:rFonts w:hint="eastAsia" w:ascii="宋体" w:hAnsi="宋体" w:eastAsia="宋体" w:cs="宋体"/>
                <w:szCs w:val="22"/>
                <w:highlight w:val="none"/>
              </w:rPr>
              <w:t>（按照《工信部 国家统计局 发改委 财政部 工信部联企业》中小企业划型标准（〔2011〕300号）规定：从业人员300人以下的为中小微型企业。其中，从业人员100人及以上的为中型企业</w:t>
            </w:r>
            <w:r>
              <w:rPr>
                <w:rFonts w:hint="eastAsia" w:hAnsi="宋体" w:cs="宋体"/>
                <w:szCs w:val="22"/>
                <w:highlight w:val="none"/>
                <w:lang w:eastAsia="zh-CN"/>
              </w:rPr>
              <w:t>；</w:t>
            </w:r>
            <w:r>
              <w:rPr>
                <w:rFonts w:hint="eastAsia" w:ascii="宋体" w:hAnsi="宋体" w:eastAsia="宋体" w:cs="宋体"/>
                <w:szCs w:val="22"/>
                <w:highlight w:val="none"/>
              </w:rPr>
              <w:t>从业人员10人及以上的为小型企业</w:t>
            </w:r>
            <w:r>
              <w:rPr>
                <w:rFonts w:hint="eastAsia" w:hAnsi="宋体" w:cs="宋体"/>
                <w:szCs w:val="22"/>
                <w:highlight w:val="none"/>
                <w:lang w:eastAsia="zh-CN"/>
              </w:rPr>
              <w:t>；</w:t>
            </w:r>
            <w:r>
              <w:rPr>
                <w:rFonts w:hint="eastAsia" w:ascii="宋体" w:hAnsi="宋体" w:eastAsia="宋体" w:cs="宋体"/>
                <w:szCs w:val="22"/>
                <w:highlight w:val="none"/>
              </w:rPr>
              <w:t>从业人员10人以下的为微型企业。</w:t>
            </w:r>
          </w:p>
        </w:tc>
      </w:tr>
      <w:bookmarkEnd w:id="9"/>
      <w:bookmarkEnd w:id="10"/>
      <w:bookmarkEnd w:id="11"/>
    </w:tbl>
    <w:p w14:paraId="0516FB7B">
      <w:pPr>
        <w:spacing w:before="156" w:after="156"/>
        <w:jc w:val="center"/>
        <w:outlineLvl w:val="1"/>
        <w:rPr>
          <w:rFonts w:hint="eastAsia" w:ascii="宋体" w:hAnsi="宋体" w:eastAsia="宋体" w:cs="宋体"/>
          <w:sz w:val="32"/>
          <w:szCs w:val="32"/>
          <w:highlight w:val="none"/>
          <w:lang w:bidi="ar-SA"/>
        </w:rPr>
      </w:pPr>
      <w:bookmarkStart w:id="34" w:name="_Toc363474017"/>
      <w:bookmarkStart w:id="35" w:name="_Toc363473972"/>
      <w:bookmarkStart w:id="36" w:name="_Toc403077639"/>
      <w:r>
        <w:rPr>
          <w:rFonts w:hint="eastAsia" w:ascii="宋体" w:hAnsi="宋体" w:eastAsia="宋体" w:cs="宋体"/>
          <w:b/>
          <w:sz w:val="32"/>
          <w:szCs w:val="32"/>
          <w:highlight w:val="none"/>
          <w:lang w:bidi="ar-SA"/>
        </w:rPr>
        <w:br w:type="page"/>
      </w:r>
      <w:r>
        <w:rPr>
          <w:rFonts w:hint="eastAsia" w:ascii="宋体" w:hAnsi="宋体" w:eastAsia="宋体" w:cs="宋体"/>
          <w:b/>
          <w:sz w:val="32"/>
          <w:szCs w:val="32"/>
          <w:highlight w:val="none"/>
          <w:lang w:bidi="ar-SA"/>
        </w:rPr>
        <w:t>一.总  则</w:t>
      </w:r>
      <w:bookmarkEnd w:id="34"/>
      <w:bookmarkEnd w:id="35"/>
      <w:bookmarkEnd w:id="36"/>
    </w:p>
    <w:p w14:paraId="49942588">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1.资金来源</w:t>
      </w:r>
    </w:p>
    <w:p w14:paraId="40DAADD3">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1.1本次竞争性磋商所签合同使用财政资金支付，资金已落实到位。</w:t>
      </w:r>
    </w:p>
    <w:p w14:paraId="68F64798">
      <w:pPr>
        <w:spacing w:line="500" w:lineRule="exact"/>
        <w:outlineLvl w:val="2"/>
        <w:rPr>
          <w:rFonts w:hint="eastAsia" w:ascii="宋体" w:hAnsi="宋体" w:eastAsia="宋体" w:cs="宋体"/>
          <w:b/>
          <w:szCs w:val="24"/>
          <w:highlight w:val="none"/>
          <w:lang w:bidi="ar-SA"/>
        </w:rPr>
      </w:pPr>
      <w:bookmarkStart w:id="37" w:name="_Toc363474018"/>
      <w:bookmarkStart w:id="38" w:name="_Toc363473973"/>
      <w:bookmarkStart w:id="39" w:name="_Toc403077640"/>
      <w:r>
        <w:rPr>
          <w:rFonts w:hint="eastAsia" w:ascii="宋体" w:hAnsi="宋体" w:eastAsia="宋体" w:cs="宋体"/>
          <w:b/>
          <w:szCs w:val="24"/>
          <w:highlight w:val="none"/>
          <w:lang w:bidi="ar-SA"/>
        </w:rPr>
        <w:t>2.名词解释</w:t>
      </w:r>
    </w:p>
    <w:p w14:paraId="2D793A86">
      <w:pPr>
        <w:tabs>
          <w:tab w:val="left" w:pos="7665"/>
        </w:tabs>
        <w:spacing w:line="500" w:lineRule="exact"/>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2.1采购人：见供应商须知前附表。</w:t>
      </w:r>
    </w:p>
    <w:p w14:paraId="595056BD">
      <w:pPr>
        <w:tabs>
          <w:tab w:val="left" w:pos="7665"/>
        </w:tabs>
        <w:spacing w:line="500" w:lineRule="exact"/>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2.2采购代理机构：</w:t>
      </w:r>
      <w:r>
        <w:rPr>
          <w:rFonts w:hint="eastAsia" w:ascii="宋体" w:hAnsi="宋体" w:eastAsia="宋体" w:cs="宋体"/>
          <w:highlight w:val="none"/>
          <w:lang w:eastAsia="zh-CN" w:bidi="ar-SA"/>
        </w:rPr>
        <w:t>陕西鼎端项目管理咨询有限公司</w:t>
      </w:r>
      <w:r>
        <w:rPr>
          <w:rFonts w:hint="eastAsia" w:ascii="宋体" w:hAnsi="宋体" w:eastAsia="宋体" w:cs="宋体"/>
          <w:highlight w:val="none"/>
          <w:lang w:bidi="ar-SA"/>
        </w:rPr>
        <w:t>。</w:t>
      </w:r>
    </w:p>
    <w:p w14:paraId="3A50D8BA">
      <w:pPr>
        <w:tabs>
          <w:tab w:val="left" w:pos="7665"/>
        </w:tabs>
        <w:spacing w:line="500" w:lineRule="exact"/>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2.3监督机构：同级人民政府财政部门及有关部门。</w:t>
      </w:r>
    </w:p>
    <w:p w14:paraId="70FEB47A">
      <w:pPr>
        <w:tabs>
          <w:tab w:val="left" w:pos="7665"/>
        </w:tabs>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2.4供应商：是指响应和符合竞争性磋商文件规定资格条件且参与竞争性磋商的法人、其他组织或者自然人。</w:t>
      </w:r>
    </w:p>
    <w:p w14:paraId="20D64A4E">
      <w:pPr>
        <w:adjustRightInd w:val="0"/>
        <w:snapToGrid w:val="0"/>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2.5产品是指本竞争性磋商文件中第四章所述所有产品。</w:t>
      </w:r>
    </w:p>
    <w:p w14:paraId="57607522">
      <w:pPr>
        <w:adjustRightInd w:val="0"/>
        <w:snapToGrid w:val="0"/>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2.6服务是指供应商为满足竞争性磋商文件要求而提供的服务。</w:t>
      </w:r>
    </w:p>
    <w:p w14:paraId="46464A29">
      <w:pPr>
        <w:adjustRightInd w:val="0"/>
        <w:snapToGrid w:val="0"/>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2.7节能产品或者环保产品是指依据国家确定的认证机构出具的、处于有效期之内的具有节能产品、环境标志产品认证证书的产品。</w:t>
      </w:r>
    </w:p>
    <w:p w14:paraId="2BCCFDD5">
      <w:pPr>
        <w:adjustRightInd w:val="0"/>
        <w:snapToGrid w:val="0"/>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2.8进口产品是指通过中国海关报关验放进入中国境内且产自关境外的产品，详见《关于政府采购进口产品管理有关问题的通知》(财办库[2008]248号)。</w:t>
      </w:r>
    </w:p>
    <w:p w14:paraId="08F5A5B8">
      <w:pPr>
        <w:adjustRightInd w:val="0"/>
        <w:snapToGrid w:val="0"/>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2.9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B9A10AF">
      <w:pPr>
        <w:adjustRightInd w:val="0"/>
        <w:snapToGrid w:val="0"/>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C4D754E">
      <w:pPr>
        <w:adjustRightInd w:val="0"/>
        <w:snapToGrid w:val="0"/>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2.11残疾人福利性单位是指符合《三部门联合发布关于促进残疾人就业政府采购政策的通知》财库〔2017〕141号规定的对残疾人福利性单位划分标准的单位。</w:t>
      </w:r>
    </w:p>
    <w:p w14:paraId="543A6AE1">
      <w:pPr>
        <w:spacing w:line="500" w:lineRule="exact"/>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3.合格的供应商</w:t>
      </w:r>
    </w:p>
    <w:p w14:paraId="6D92C17D">
      <w:pPr>
        <w:tabs>
          <w:tab w:val="left" w:pos="851"/>
        </w:tabs>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3.1《政府采购法》第二十二条第一款规定的供应商基本资格条件:</w:t>
      </w:r>
    </w:p>
    <w:p w14:paraId="45A1B557">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    1）具有独立承担民事责任的能力；</w:t>
      </w:r>
    </w:p>
    <w:p w14:paraId="536C7AC7">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    2）具有良好的商业信誉和健全的财务会计制度；</w:t>
      </w:r>
    </w:p>
    <w:p w14:paraId="10FD4993">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    3）具有履行合同所必需的设备和专业技术能力；</w:t>
      </w:r>
    </w:p>
    <w:p w14:paraId="46BECE8E">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    4）有依法缴纳税收和社会保障资金的良好记录；</w:t>
      </w:r>
    </w:p>
    <w:p w14:paraId="37477CA7">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    5）参加政府采购活动前三年内，在经营活动中没有重大违法记录；</w:t>
      </w:r>
    </w:p>
    <w:p w14:paraId="16FC5ECC">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    6）法律、行政法规规定的其他条件。</w:t>
      </w:r>
    </w:p>
    <w:p w14:paraId="0626AD5B">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3.2根据本次采购项目的特殊要求，规定的供应商特殊条件（见供应商须知前附表）。</w:t>
      </w:r>
    </w:p>
    <w:p w14:paraId="57CE9978">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3.3单位负责人为同一人或者存在直接控股、管理关系的不同供应商，不得参加同一合同项下的政府采购活动。供应商须按照格式要求填写企业关系关联承诺书。</w:t>
      </w:r>
    </w:p>
    <w:p w14:paraId="3F76C791">
      <w:pPr>
        <w:spacing w:line="500" w:lineRule="exact"/>
        <w:ind w:firstLine="480" w:firstLineChars="200"/>
        <w:rPr>
          <w:rFonts w:hint="eastAsia" w:ascii="宋体" w:hAnsi="宋体" w:eastAsia="宋体" w:cs="宋体"/>
          <w:highlight w:val="none"/>
          <w:lang w:bidi="ar-SA"/>
        </w:rPr>
      </w:pPr>
      <w:r>
        <w:rPr>
          <w:rFonts w:hint="eastAsia" w:ascii="宋体" w:hAnsi="宋体" w:eastAsia="宋体" w:cs="宋体"/>
          <w:szCs w:val="24"/>
          <w:highlight w:val="none"/>
          <w:lang w:bidi="ar-SA"/>
        </w:rPr>
        <w:t>除单一来源采购项目外，为采购项目提供整体设计、规范编制或者项目管理、监理、检测等服务的供应商，不得再参加该采购项目的其他采购活动，否则均为无效磋商。</w:t>
      </w:r>
    </w:p>
    <w:p w14:paraId="1EAAB1C1">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3.4供应商必须在西咸新区公共资源交易平台进行报名，自行下载磋商文件，方可参加磋商。</w:t>
      </w:r>
    </w:p>
    <w:p w14:paraId="33693F88">
      <w:pPr>
        <w:spacing w:line="500" w:lineRule="exact"/>
        <w:ind w:firstLine="480" w:firstLineChars="200"/>
        <w:rPr>
          <w:rFonts w:hint="eastAsia" w:ascii="宋体" w:hAnsi="宋体" w:eastAsia="宋体" w:cs="宋体"/>
          <w:szCs w:val="24"/>
          <w:highlight w:val="none"/>
          <w:lang w:bidi="ar-SA"/>
        </w:rPr>
      </w:pPr>
      <w:bookmarkStart w:id="40" w:name="OLE_LINK33"/>
      <w:r>
        <w:rPr>
          <w:rFonts w:hint="eastAsia" w:ascii="宋体" w:hAnsi="宋体" w:eastAsia="宋体" w:cs="宋体"/>
          <w:szCs w:val="24"/>
          <w:highlight w:val="none"/>
          <w:lang w:bidi="ar-SA"/>
        </w:rPr>
        <w:t>3.</w:t>
      </w:r>
      <w:bookmarkEnd w:id="40"/>
      <w:r>
        <w:rPr>
          <w:rFonts w:hint="eastAsia" w:ascii="宋体" w:hAnsi="宋体" w:eastAsia="宋体" w:cs="宋体"/>
          <w:szCs w:val="24"/>
          <w:highlight w:val="none"/>
          <w:lang w:bidi="ar-SA"/>
        </w:rPr>
        <w:t>5联合体磋商</w:t>
      </w:r>
    </w:p>
    <w:p w14:paraId="5654C508">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3.5.1如果在</w:t>
      </w:r>
      <w:r>
        <w:rPr>
          <w:rFonts w:hint="eastAsia" w:ascii="宋体" w:hAnsi="宋体" w:eastAsia="宋体" w:cs="宋体"/>
          <w:highlight w:val="none"/>
          <w:lang w:bidi="ar-SA"/>
        </w:rPr>
        <w:t>竞争性</w:t>
      </w:r>
      <w:r>
        <w:rPr>
          <w:rFonts w:hint="eastAsia" w:ascii="宋体" w:hAnsi="宋体" w:eastAsia="宋体" w:cs="宋体"/>
          <w:szCs w:val="24"/>
          <w:highlight w:val="none"/>
          <w:lang w:bidi="ar-SA"/>
        </w:rPr>
        <w:t>磋商文件中接受联合体磋商（见供应商须知前附表），则两个以上供应商可以组成一个磋商联合体，以一个供应商的身份参与磋商。以联合体形式参加磋商的，联合体各方均应当符合政府采购法</w:t>
      </w:r>
      <w:r>
        <w:rPr>
          <w:rFonts w:hint="eastAsia" w:ascii="宋体" w:hAnsi="宋体" w:eastAsia="宋体" w:cs="宋体"/>
          <w:highlight w:val="none"/>
          <w:lang w:bidi="ar-SA"/>
        </w:rPr>
        <w:t>《中华人民共和国政府采购法》及其实施条例和《政府采购竞争性磋商采购方式管理暂行办法》规定的条件</w:t>
      </w:r>
      <w:r>
        <w:rPr>
          <w:rFonts w:hint="eastAsia" w:ascii="宋体" w:hAnsi="宋体" w:eastAsia="宋体" w:cs="宋体"/>
          <w:szCs w:val="24"/>
          <w:highlight w:val="none"/>
          <w:lang w:bidi="ar-SA"/>
        </w:rPr>
        <w:t>。采购人根据采购项目的特殊要求规定供应商特定条件的，联合体各方中至少应当有一方符合采购人规定的特定条件。</w:t>
      </w:r>
    </w:p>
    <w:p w14:paraId="1FA2E539">
      <w:pPr>
        <w:spacing w:line="360" w:lineRule="auto"/>
        <w:ind w:firstLine="468" w:firstLineChars="195"/>
        <w:rPr>
          <w:rFonts w:hint="eastAsia" w:ascii="宋体" w:hAnsi="宋体" w:eastAsia="宋体" w:cs="宋体"/>
          <w:szCs w:val="24"/>
          <w:highlight w:val="none"/>
          <w:lang w:bidi="ar-SA"/>
        </w:rPr>
      </w:pPr>
      <w:r>
        <w:rPr>
          <w:rFonts w:hint="eastAsia" w:ascii="宋体" w:hAnsi="宋体" w:eastAsia="宋体" w:cs="宋体"/>
          <w:szCs w:val="24"/>
          <w:highlight w:val="none"/>
          <w:lang w:bidi="ar-SA"/>
        </w:rPr>
        <w:t>3.5.2联合体各方之间应当签订共同磋商协议，明确约定联合体各方承担的工作和相应的责任，并将共同磋商协议连同</w:t>
      </w:r>
      <w:r>
        <w:rPr>
          <w:rFonts w:hint="eastAsia" w:ascii="宋体" w:hAnsi="宋体" w:eastAsia="宋体" w:cs="宋体"/>
          <w:highlight w:val="none"/>
          <w:lang w:bidi="ar-SA"/>
        </w:rPr>
        <w:t>竞争性</w:t>
      </w:r>
      <w:r>
        <w:rPr>
          <w:rFonts w:hint="eastAsia" w:ascii="宋体" w:hAnsi="宋体" w:eastAsia="宋体" w:cs="宋体"/>
          <w:szCs w:val="24"/>
          <w:highlight w:val="none"/>
          <w:lang w:bidi="ar-SA"/>
        </w:rPr>
        <w:t>磋商响应文件一并提交</w:t>
      </w:r>
      <w:r>
        <w:rPr>
          <w:rFonts w:hint="eastAsia" w:ascii="宋体" w:hAnsi="宋体" w:eastAsia="宋体" w:cs="宋体"/>
          <w:highlight w:val="none"/>
          <w:lang w:bidi="ar-SA"/>
        </w:rPr>
        <w:t>采购代理机构</w:t>
      </w:r>
      <w:r>
        <w:rPr>
          <w:rFonts w:hint="eastAsia" w:ascii="宋体" w:hAnsi="宋体" w:eastAsia="宋体" w:cs="宋体"/>
          <w:szCs w:val="24"/>
          <w:highlight w:val="none"/>
          <w:lang w:bidi="ar-SA"/>
        </w:rPr>
        <w:t>。联合体各方签订共同磋商协议后，不得再以自己名义单独参与同一项目磋商，也不得组成新的联合体参加同一项目磋商。</w:t>
      </w:r>
    </w:p>
    <w:p w14:paraId="2FC78E76">
      <w:pPr>
        <w:pStyle w:val="11"/>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 w:val="24"/>
          <w:szCs w:val="24"/>
          <w:highlight w:val="none"/>
          <w:lang w:bidi="ar-SA"/>
        </w:rPr>
        <w:t>3.5.3联合体各方应当共同与采购人签订采购合同，就采购合同约定的事项对采购人承担连带责任。</w:t>
      </w:r>
    </w:p>
    <w:p w14:paraId="3054D910">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3.6磋商费用自理。不论磋商的结果如何，供应商均应自行承担所有与参加磋商有关的费用。</w:t>
      </w:r>
    </w:p>
    <w:p w14:paraId="2597ACC2">
      <w:pPr>
        <w:tabs>
          <w:tab w:val="left" w:pos="747"/>
        </w:tabs>
        <w:snapToGrid w:val="0"/>
        <w:spacing w:line="500" w:lineRule="exact"/>
        <w:outlineLvl w:val="2"/>
        <w:rPr>
          <w:rFonts w:hint="eastAsia" w:ascii="宋体" w:hAnsi="宋体" w:eastAsia="宋体" w:cs="宋体"/>
          <w:b/>
          <w:bCs/>
          <w:highlight w:val="none"/>
          <w:lang w:bidi="ar-SA"/>
        </w:rPr>
      </w:pPr>
      <w:r>
        <w:rPr>
          <w:rFonts w:hint="eastAsia" w:ascii="宋体" w:hAnsi="宋体" w:eastAsia="宋体" w:cs="宋体"/>
          <w:b/>
          <w:bCs/>
          <w:highlight w:val="none"/>
          <w:lang w:bidi="ar-SA"/>
        </w:rPr>
        <w:t>4.合格的服务</w:t>
      </w:r>
    </w:p>
    <w:p w14:paraId="45A2A2A2">
      <w:pPr>
        <w:tabs>
          <w:tab w:val="left" w:pos="747"/>
        </w:tabs>
        <w:snapToGrid w:val="0"/>
        <w:spacing w:line="500" w:lineRule="exact"/>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4.1供应商提供的所有服务，必须是符合国家有关标准要求，并满足竞争性磋商文件规定的要求。</w:t>
      </w:r>
    </w:p>
    <w:p w14:paraId="3324F031">
      <w:pPr>
        <w:tabs>
          <w:tab w:val="left" w:pos="747"/>
        </w:tabs>
        <w:snapToGrid w:val="0"/>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highlight w:val="none"/>
          <w:lang w:bidi="ar-SA"/>
        </w:rPr>
        <w:t>4.2采购人有权拒绝接受任何不合格的产品和服务，由此产生的费用及相关后果均由供应商自行承担。</w:t>
      </w:r>
    </w:p>
    <w:p w14:paraId="2EC298A4">
      <w:pPr>
        <w:pStyle w:val="10"/>
        <w:spacing w:line="360" w:lineRule="auto"/>
        <w:outlineLvl w:val="2"/>
        <w:rPr>
          <w:rFonts w:hint="eastAsia" w:ascii="宋体" w:hAnsi="宋体" w:eastAsia="宋体" w:cs="宋体"/>
          <w:b/>
          <w:bCs/>
          <w:sz w:val="24"/>
          <w:szCs w:val="22"/>
          <w:highlight w:val="none"/>
          <w:lang w:bidi="ar-SA"/>
        </w:rPr>
      </w:pPr>
      <w:r>
        <w:rPr>
          <w:rFonts w:hint="eastAsia" w:ascii="宋体" w:hAnsi="宋体" w:eastAsia="宋体" w:cs="宋体"/>
          <w:b/>
          <w:bCs/>
          <w:sz w:val="24"/>
          <w:szCs w:val="22"/>
          <w:highlight w:val="none"/>
          <w:lang w:bidi="ar-SA"/>
        </w:rPr>
        <w:t>5.供应商信用记录查询及使用</w:t>
      </w:r>
    </w:p>
    <w:p w14:paraId="2D818A72">
      <w:pPr>
        <w:spacing w:line="360" w:lineRule="auto"/>
        <w:ind w:firstLine="480" w:firstLineChars="200"/>
        <w:rPr>
          <w:rFonts w:hint="eastAsia" w:ascii="宋体" w:hAnsi="宋体" w:eastAsia="宋体" w:cs="宋体"/>
          <w:kern w:val="2"/>
          <w:szCs w:val="22"/>
          <w:highlight w:val="none"/>
          <w:lang w:bidi="ar-SA"/>
        </w:rPr>
      </w:pPr>
      <w:r>
        <w:rPr>
          <w:rFonts w:hint="eastAsia" w:ascii="宋体" w:hAnsi="宋体" w:eastAsia="宋体" w:cs="宋体"/>
          <w:kern w:val="2"/>
          <w:szCs w:val="22"/>
          <w:highlight w:val="none"/>
          <w:lang w:bidi="ar-SA"/>
        </w:rPr>
        <w:t>“信用中国”网站（www.creditchina.gov.cn）和“中国政府采购网”（ccgp.gov.cn）为供应商信用信息查询渠道，如果供应商被查实在响应文件递交截止时间前已列入失信被执行人、重大税收违法案件当事人名单、政府采购严重违法失信行为记录名单及其他不符合《中华人民共和国政府采购法》第二十二条规定的，其响应文件无效。采购代理机构将打印查询记录作为证据留存。</w:t>
      </w:r>
    </w:p>
    <w:p w14:paraId="48670C30">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6.竞争性磋商响应文件内容的真实性</w:t>
      </w:r>
    </w:p>
    <w:p w14:paraId="392EE2AF">
      <w:pPr>
        <w:spacing w:line="44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6.1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28E1C84">
      <w:pPr>
        <w:keepNext/>
        <w:keepLines/>
        <w:widowControl w:val="0"/>
        <w:spacing w:before="312" w:after="156" w:line="360" w:lineRule="auto"/>
        <w:jc w:val="center"/>
        <w:outlineLvl w:val="1"/>
        <w:rPr>
          <w:rFonts w:hint="eastAsia" w:ascii="宋体" w:hAnsi="宋体" w:eastAsia="宋体" w:cs="宋体"/>
          <w:b/>
          <w:sz w:val="32"/>
          <w:szCs w:val="32"/>
          <w:highlight w:val="none"/>
          <w:lang w:bidi="ar-SA"/>
        </w:rPr>
      </w:pPr>
      <w:r>
        <w:rPr>
          <w:rFonts w:hint="eastAsia" w:ascii="宋体" w:hAnsi="宋体" w:eastAsia="宋体" w:cs="宋体"/>
          <w:b/>
          <w:sz w:val="32"/>
          <w:szCs w:val="32"/>
          <w:highlight w:val="none"/>
          <w:lang w:bidi="ar-SA"/>
        </w:rPr>
        <w:t>二.竞争性磋商文件</w:t>
      </w:r>
      <w:bookmarkEnd w:id="37"/>
      <w:bookmarkEnd w:id="38"/>
      <w:bookmarkEnd w:id="39"/>
    </w:p>
    <w:p w14:paraId="6DBDBCF1">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7.竞争性磋商文件构成　　</w:t>
      </w:r>
    </w:p>
    <w:p w14:paraId="7B9EFC81">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7.1 竞争性磋商文件规定了要求提供的产品和服务，磋商程序和合同条件在竞争性磋商文件中均有说明。竞争性磋商文件共六章，内容如下：</w:t>
      </w:r>
    </w:p>
    <w:p w14:paraId="7D7D9987">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第一章 竞争性磋商公告</w:t>
      </w:r>
    </w:p>
    <w:p w14:paraId="2E82DA1E">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第二章 供应商须知</w:t>
      </w:r>
    </w:p>
    <w:p w14:paraId="68D9856C">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       供应商须知前附表</w:t>
      </w:r>
    </w:p>
    <w:p w14:paraId="132DA57E">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第三章 合同主要条款    </w:t>
      </w:r>
    </w:p>
    <w:p w14:paraId="7252CD0F">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第四章 采购内容及服务要求</w:t>
      </w:r>
    </w:p>
    <w:p w14:paraId="2BE5622E">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第五章 评审方法</w:t>
      </w:r>
    </w:p>
    <w:p w14:paraId="0276B82C">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第六章 竞争性磋商响应文件格式  </w:t>
      </w:r>
    </w:p>
    <w:p w14:paraId="3B830CDE">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7.2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5D4D46B2">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7.3本竞争性磋商文件的解释权归</w:t>
      </w:r>
      <w:r>
        <w:rPr>
          <w:rFonts w:hint="eastAsia" w:ascii="宋体" w:hAnsi="宋体" w:eastAsia="宋体" w:cs="宋体"/>
          <w:szCs w:val="24"/>
          <w:highlight w:val="none"/>
          <w:lang w:eastAsia="zh-CN" w:bidi="ar-SA"/>
        </w:rPr>
        <w:t>陕西鼎端项目管理咨询有限公司</w:t>
      </w:r>
      <w:r>
        <w:rPr>
          <w:rFonts w:hint="eastAsia" w:ascii="宋体" w:hAnsi="宋体" w:eastAsia="宋体" w:cs="宋体"/>
          <w:szCs w:val="24"/>
          <w:highlight w:val="none"/>
          <w:lang w:bidi="ar-SA"/>
        </w:rPr>
        <w:t>，如发现竞争性磋商响应文件内容与现行法律法规不相符的情况，以现行法律法规为准。</w:t>
      </w:r>
    </w:p>
    <w:p w14:paraId="54C9C6AB">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8.竞争性磋商文件的修改和澄清</w:t>
      </w:r>
    </w:p>
    <w:p w14:paraId="3C32B020">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8.1在磋商响应文件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D25D039">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8.2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50732F8">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8.3已经购买竞争性磋商文件的供应商对竞争性磋商文件有疑问的，均应在磋商截止日期3日前以书面形式向采购代理机构提出。采购代理机构视情况必要时将书面答复传送给所有获取竞争性磋商文件的供应商。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6C4E36B4">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8.4供应商在收到上述通知后，应立即向采购代理机构回函确认。</w:t>
      </w:r>
    </w:p>
    <w:p w14:paraId="14A0A92C">
      <w:pPr>
        <w:keepNext/>
        <w:keepLines/>
        <w:widowControl w:val="0"/>
        <w:spacing w:before="312" w:after="156" w:line="360" w:lineRule="auto"/>
        <w:jc w:val="center"/>
        <w:outlineLvl w:val="1"/>
        <w:rPr>
          <w:rFonts w:hint="eastAsia" w:ascii="宋体" w:hAnsi="宋体" w:eastAsia="宋体" w:cs="宋体"/>
          <w:b/>
          <w:sz w:val="32"/>
          <w:szCs w:val="32"/>
          <w:highlight w:val="none"/>
          <w:lang w:bidi="ar-SA"/>
        </w:rPr>
      </w:pPr>
      <w:bookmarkStart w:id="41" w:name="_Toc363473974"/>
      <w:bookmarkStart w:id="42" w:name="_Toc403077641"/>
      <w:bookmarkStart w:id="43" w:name="_Toc363474019"/>
      <w:r>
        <w:rPr>
          <w:rFonts w:hint="eastAsia" w:ascii="宋体" w:hAnsi="宋体" w:eastAsia="宋体" w:cs="宋体"/>
          <w:b/>
          <w:sz w:val="32"/>
          <w:szCs w:val="32"/>
          <w:highlight w:val="none"/>
          <w:lang w:bidi="ar-SA"/>
        </w:rPr>
        <w:t>三.磋商响应文件的编制</w:t>
      </w:r>
      <w:bookmarkEnd w:id="41"/>
      <w:bookmarkEnd w:id="42"/>
      <w:bookmarkEnd w:id="43"/>
    </w:p>
    <w:p w14:paraId="009EFCFA">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9. 磋商语言和磋商货币</w:t>
      </w:r>
    </w:p>
    <w:p w14:paraId="0F7A6186">
      <w:pPr>
        <w:spacing w:line="360" w:lineRule="auto"/>
        <w:ind w:firstLine="480" w:firstLineChars="200"/>
        <w:rPr>
          <w:rFonts w:hint="eastAsia" w:ascii="宋体" w:hAnsi="宋体" w:eastAsia="宋体" w:cs="宋体"/>
          <w:b/>
          <w:szCs w:val="24"/>
          <w:highlight w:val="none"/>
          <w:lang w:bidi="ar-SA"/>
        </w:rPr>
      </w:pPr>
      <w:r>
        <w:rPr>
          <w:rFonts w:hint="eastAsia" w:ascii="宋体" w:hAnsi="宋体" w:eastAsia="宋体" w:cs="宋体"/>
          <w:szCs w:val="24"/>
          <w:highlight w:val="none"/>
          <w:lang w:bidi="ar-SA"/>
        </w:rPr>
        <w:t>9.1供应商提交的竞争性磋商响应文件以及供应商与采购代理机构就有关磋商的所有来往函电均应使用中文。</w:t>
      </w:r>
    </w:p>
    <w:p w14:paraId="21F0875A">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9.2磋商应以</w:t>
      </w:r>
      <w:r>
        <w:rPr>
          <w:rFonts w:hint="eastAsia" w:ascii="宋体" w:hAnsi="宋体" w:eastAsia="宋体" w:cs="宋体"/>
          <w:szCs w:val="24"/>
          <w:highlight w:val="none"/>
          <w:lang w:val="en-US" w:eastAsia="zh-CN" w:bidi="ar-SA"/>
        </w:rPr>
        <w:t>人民币</w:t>
      </w:r>
      <w:r>
        <w:rPr>
          <w:rFonts w:hint="eastAsia" w:ascii="宋体" w:hAnsi="宋体" w:eastAsia="宋体" w:cs="宋体"/>
          <w:szCs w:val="24"/>
          <w:highlight w:val="none"/>
          <w:lang w:bidi="ar-SA"/>
        </w:rPr>
        <w:t>报价。任何</w:t>
      </w:r>
      <w:r>
        <w:rPr>
          <w:rFonts w:hint="eastAsia" w:ascii="宋体" w:hAnsi="宋体" w:eastAsia="宋体" w:cs="宋体"/>
          <w:szCs w:val="24"/>
          <w:highlight w:val="none"/>
          <w:lang w:val="en-US" w:eastAsia="zh-CN" w:bidi="ar-SA"/>
        </w:rPr>
        <w:t>未按要求</w:t>
      </w:r>
      <w:r>
        <w:rPr>
          <w:rFonts w:hint="eastAsia" w:ascii="宋体" w:hAnsi="宋体" w:eastAsia="宋体" w:cs="宋体"/>
          <w:szCs w:val="24"/>
          <w:highlight w:val="none"/>
          <w:lang w:bidi="ar-SA"/>
        </w:rPr>
        <w:t>报价的磋商将按无效磋商处理。</w:t>
      </w:r>
    </w:p>
    <w:p w14:paraId="25CD9969">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10.竞争性磋商响应文件的构成</w:t>
      </w:r>
    </w:p>
    <w:p w14:paraId="55AFA09E">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10.1 供应商提交的竞争性磋商响应文件应包含下列部分的内容：</w:t>
      </w:r>
    </w:p>
    <w:p w14:paraId="7F0929DC">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 按照供应商须知的要求和竞争性磋商文件规定格式填写的磋商响应函、磋商报价表、法定代表人授权书；</w:t>
      </w:r>
    </w:p>
    <w:p w14:paraId="3680E1FC">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（2）按照竞争性磋商文件的要求编制的</w:t>
      </w:r>
      <w:r>
        <w:rPr>
          <w:rFonts w:hint="eastAsia" w:hAnsi="宋体" w:cs="宋体"/>
          <w:szCs w:val="24"/>
          <w:highlight w:val="none"/>
          <w:lang w:val="en-US" w:eastAsia="zh-CN" w:bidi="ar-SA"/>
        </w:rPr>
        <w:t>服务方案等</w:t>
      </w:r>
      <w:r>
        <w:rPr>
          <w:rFonts w:hint="eastAsia" w:ascii="宋体" w:hAnsi="宋体" w:eastAsia="宋体" w:cs="宋体"/>
          <w:szCs w:val="24"/>
          <w:highlight w:val="none"/>
          <w:lang w:bidi="ar-SA"/>
        </w:rPr>
        <w:t>；</w:t>
      </w:r>
    </w:p>
    <w:p w14:paraId="0B61FE71">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（3）按照竞争性磋商文件供应商须知前附表的要求提交的资格证明文件；</w:t>
      </w:r>
    </w:p>
    <w:p w14:paraId="5AB8BBB0">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（4）竞争性磋商文件中要求的其他证明文件。</w:t>
      </w:r>
    </w:p>
    <w:p w14:paraId="1580EB80">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10.2 如果在竞争性磋商文件中没有允许提供备选方案，则每个供应商只允许提交一个磋商方案，否则，其磋商将按照无效磋商处理。                                                                                                                                                                                                                                                                                                                                                                                                                                                                                                                                                                                                                                                                                                                                                                                                                                                                                                                                                                                                                                                                                                      </w:t>
      </w:r>
    </w:p>
    <w:p w14:paraId="3AEC5968">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10.3本次磋商的最小单元：见供应商须知前附表，供应商可对任一标段进行磋商，但不能对各包中的内容或者分项内容进行不完全磋商。任何不完全的磋商将按照无效磋商处理。</w:t>
      </w:r>
    </w:p>
    <w:p w14:paraId="1D25ED28">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 xml:space="preserve">11.竞争性磋商响应文件格式 </w:t>
      </w:r>
    </w:p>
    <w:p w14:paraId="075246D1">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11.1 供应商应按照竞争性磋商文件中第六章“竞争性磋商响应文件格式”所提供的格式和要求制作竞争性磋商响应文件，明确表达磋商意愿，详细说明磋商方案、承诺及价格。</w:t>
      </w:r>
    </w:p>
    <w:p w14:paraId="6DA988FB">
      <w:pPr>
        <w:spacing w:line="500" w:lineRule="exact"/>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11.2供应商应完整地提供磋商文件要求的所有数据和资料。</w:t>
      </w:r>
    </w:p>
    <w:p w14:paraId="5CB957F0">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12.磋商报价</w:t>
      </w:r>
    </w:p>
    <w:p w14:paraId="2D29FEE5">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12.1磋商报价：见供应商须知前附表。</w:t>
      </w:r>
    </w:p>
    <w:p w14:paraId="07102E6A">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13.证明供应商合格的资格证明文件</w:t>
      </w:r>
    </w:p>
    <w:p w14:paraId="2E53E3C7">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13.1供应商应按照竞争性磋商文件供应商须知前附表的要求，在竞争性磋商响应文件中提交合格的资格证明文件。如果资格证明文件不全或不合格的，其磋商响应文件将被作无效文件处理。</w:t>
      </w:r>
    </w:p>
    <w:p w14:paraId="16A1F501">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14.证明产品符合竞争性磋商文件规定的文件</w:t>
      </w:r>
    </w:p>
    <w:p w14:paraId="48FFCC20">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14.1供应商应在竞争性磋商响应文件中提交服务（含为完成服务而提供的产品）满足竞争性磋商文件要求并符合国家法律法规、行业管理部门要求的其他强制性标准的证明文件。</w:t>
      </w:r>
    </w:p>
    <w:p w14:paraId="6B368231">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14.2上述证明文件包括：</w:t>
      </w:r>
    </w:p>
    <w:p w14:paraId="17768805">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14.2.1逐条对磋商文件提出的服务要求和商务要求进行应答，说明所提供的服务对磋商的技术和商务要求做出了实质性响应并提供支持文件；</w:t>
      </w:r>
    </w:p>
    <w:p w14:paraId="2F4EFD33">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14.2.2服务内容、服务实施方案等的详细说明。</w:t>
      </w:r>
    </w:p>
    <w:p w14:paraId="7C0FABA5">
      <w:pPr>
        <w:spacing w:line="360" w:lineRule="auto"/>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15.磋商保证金</w:t>
      </w:r>
    </w:p>
    <w:p w14:paraId="4537797C">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本项目不要求提供磋商保证金。</w:t>
      </w:r>
    </w:p>
    <w:p w14:paraId="45AD46EF">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16.磋商有效期</w:t>
      </w:r>
    </w:p>
    <w:p w14:paraId="2FB2AE25">
      <w:pPr>
        <w:spacing w:line="360" w:lineRule="auto"/>
        <w:ind w:firstLine="480" w:firstLineChars="200"/>
        <w:rPr>
          <w:rFonts w:hint="eastAsia" w:ascii="宋体" w:hAnsi="宋体" w:eastAsia="宋体" w:cs="宋体"/>
          <w:szCs w:val="24"/>
          <w:highlight w:val="none"/>
          <w:lang w:bidi="ar-SA"/>
        </w:rPr>
      </w:pPr>
      <w:bookmarkStart w:id="44" w:name="OLE_LINK4"/>
      <w:r>
        <w:rPr>
          <w:rFonts w:hint="eastAsia" w:ascii="宋体" w:hAnsi="宋体" w:eastAsia="宋体" w:cs="宋体"/>
          <w:szCs w:val="24"/>
          <w:highlight w:val="none"/>
          <w:lang w:bidi="ar-SA"/>
        </w:rPr>
        <w:t>16.1磋商响应文件应在“供应商须知前附表”中规定的期限内保持有效。磋商有效期不满足规定有效期的磋商响应文件将被视为非响应性磋商而予以拒绝。</w:t>
      </w:r>
      <w:bookmarkEnd w:id="44"/>
    </w:p>
    <w:p w14:paraId="3C2E2E9D">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16.2在特殊情况下，在原磋商有效期期满之前，采购代理机构可向供应商提出延长磋商有效期的要求。这种要求与答复均应以书面的形式。供应商可以拒绝采购代理机构的这种要求。同意延长的供应商既不能要求也不允许修改其竞争性磋商响应文件。</w:t>
      </w:r>
    </w:p>
    <w:p w14:paraId="2422607E">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17.竞争性磋商响应文件制作</w:t>
      </w:r>
    </w:p>
    <w:p w14:paraId="239323D9">
      <w:pPr>
        <w:spacing w:line="360" w:lineRule="auto"/>
        <w:ind w:firstLine="482" w:firstLineChars="200"/>
        <w:rPr>
          <w:rFonts w:hint="eastAsia" w:ascii="宋体" w:hAnsi="宋体" w:eastAsia="宋体" w:cs="宋体"/>
          <w:b/>
          <w:bCs/>
          <w:szCs w:val="24"/>
          <w:highlight w:val="none"/>
          <w:lang w:bidi="ar-SA"/>
        </w:rPr>
      </w:pPr>
      <w:r>
        <w:rPr>
          <w:rFonts w:hint="eastAsia" w:ascii="宋体" w:hAnsi="宋体" w:eastAsia="宋体" w:cs="宋体"/>
          <w:b/>
          <w:bCs/>
          <w:szCs w:val="24"/>
          <w:highlight w:val="none"/>
          <w:lang w:bidi="ar-SA"/>
        </w:rPr>
        <w:t>17.1磋商响应文件制作：磋商响应文件用CA锁登录编标工具制作，并及时加密上传到平台。供应商应在投标截止时间前登录磋商文件载明的“不见面开标系统”网址，按系统提示完成开标流程。因供应商自身设施故障或自身原因导致无法完成投标的，由供应商自行承担后果。</w:t>
      </w:r>
    </w:p>
    <w:p w14:paraId="1945F6A4">
      <w:pPr>
        <w:spacing w:line="360" w:lineRule="auto"/>
        <w:ind w:firstLine="482" w:firstLineChars="200"/>
        <w:rPr>
          <w:rFonts w:hint="eastAsia" w:ascii="宋体" w:hAnsi="宋体" w:eastAsia="宋体" w:cs="宋体"/>
          <w:b/>
          <w:bCs/>
          <w:szCs w:val="24"/>
          <w:highlight w:val="none"/>
          <w:lang w:bidi="ar-SA"/>
        </w:rPr>
      </w:pPr>
      <w:r>
        <w:rPr>
          <w:rFonts w:hint="eastAsia" w:ascii="宋体" w:hAnsi="宋体" w:eastAsia="宋体" w:cs="宋体"/>
          <w:b/>
          <w:bCs/>
          <w:szCs w:val="24"/>
          <w:highlight w:val="none"/>
          <w:lang w:bidi="ar-SA"/>
        </w:rPr>
        <w:t>17.2投标单位在全国公共资源交易平台（陕西省·西咸新区）上传加密磋商响应文件（扩展名为“.SXSTF”）。</w:t>
      </w:r>
    </w:p>
    <w:p w14:paraId="75575782">
      <w:pPr>
        <w:spacing w:before="312" w:after="156" w:line="360" w:lineRule="auto"/>
        <w:jc w:val="center"/>
        <w:outlineLvl w:val="1"/>
        <w:rPr>
          <w:rFonts w:hint="eastAsia" w:ascii="宋体" w:hAnsi="宋体" w:eastAsia="宋体" w:cs="宋体"/>
          <w:b/>
          <w:sz w:val="32"/>
          <w:szCs w:val="32"/>
          <w:highlight w:val="none"/>
          <w:lang w:bidi="ar-SA"/>
        </w:rPr>
      </w:pPr>
      <w:r>
        <w:rPr>
          <w:rFonts w:hint="eastAsia" w:ascii="宋体" w:hAnsi="宋体" w:eastAsia="宋体" w:cs="宋体"/>
          <w:b/>
          <w:sz w:val="32"/>
          <w:szCs w:val="32"/>
          <w:highlight w:val="none"/>
          <w:lang w:bidi="ar-SA"/>
        </w:rPr>
        <w:t>四.竞争性磋商响应文件的递交</w:t>
      </w:r>
    </w:p>
    <w:p w14:paraId="390F2829">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18.竞争性磋商响应文件的递交</w:t>
      </w:r>
    </w:p>
    <w:p w14:paraId="3D149B48">
      <w:pPr>
        <w:spacing w:line="360" w:lineRule="auto"/>
        <w:ind w:firstLine="480" w:firstLineChars="200"/>
        <w:jc w:val="left"/>
        <w:rPr>
          <w:rFonts w:hint="eastAsia" w:ascii="宋体" w:hAnsi="宋体" w:eastAsia="宋体" w:cs="宋体"/>
          <w:highlight w:val="none"/>
          <w:lang w:bidi="ar-SA"/>
        </w:rPr>
      </w:pPr>
      <w:r>
        <w:rPr>
          <w:rFonts w:hint="eastAsia" w:ascii="宋体" w:hAnsi="宋体" w:eastAsia="宋体" w:cs="宋体"/>
          <w:highlight w:val="none"/>
          <w:lang w:bidi="ar-SA"/>
        </w:rPr>
        <w:t xml:space="preserve">18.1本项目采用不见面开标模式，采用电子化磋商响应文件，供应商不需要提供纸质磋商响应文件。供应商应在投标截止时间前登录磋商文件载明的“不见面开标大厅”（http://www.xqggzyjy.cn:8081/BidOpening-XQGC/bidopeninghallaction/hall/login）网址，按系统提示完成开标流程。因供应商自身设施故障或自身原因导致无法完成投标的，由供应商自行承担后果。 </w:t>
      </w:r>
    </w:p>
    <w:p w14:paraId="71E30BD4">
      <w:pPr>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 xml:space="preserve">18.2供应商须在陕西省·西咸新区公共资源交易平台登记企业信息，然后使用数字认证CA锁获取磋商文件及其他文件。供应商应使用电子投标书制作工具制作、加密磋商响应文件，并在规定时间上传经过数字证书加密的电子磋商响应文件（磋商响应文件为.SXSTF格式）。 </w:t>
      </w:r>
    </w:p>
    <w:p w14:paraId="2F37FB6B">
      <w:pPr>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18.3其他需要说明的事项：本项目招标所使用的交易平台为</w:t>
      </w:r>
      <w:r>
        <w:rPr>
          <w:rStyle w:val="22"/>
          <w:rFonts w:hint="eastAsia" w:ascii="宋体" w:hAnsi="宋体" w:eastAsia="宋体" w:cs="宋体"/>
          <w:b/>
          <w:bCs/>
          <w:szCs w:val="24"/>
          <w:highlight w:val="none"/>
          <w:lang w:bidi="ar-SA"/>
        </w:rPr>
        <w:fldChar w:fldCharType="begin"/>
      </w:r>
      <w:r>
        <w:rPr>
          <w:rStyle w:val="22"/>
          <w:rFonts w:hint="eastAsia" w:ascii="宋体" w:hAnsi="宋体" w:eastAsia="宋体" w:cs="宋体"/>
          <w:b/>
          <w:bCs/>
          <w:szCs w:val="24"/>
          <w:highlight w:val="none"/>
          <w:lang w:bidi="ar-SA"/>
        </w:rPr>
        <w:instrText xml:space="preserve">HYPERLINK "http://xxxq.sxggzyjy.cn/"</w:instrText>
      </w:r>
      <w:r>
        <w:rPr>
          <w:rStyle w:val="22"/>
          <w:rFonts w:hint="eastAsia" w:ascii="宋体" w:hAnsi="宋体" w:eastAsia="宋体" w:cs="宋体"/>
          <w:b/>
          <w:bCs/>
          <w:szCs w:val="24"/>
          <w:highlight w:val="none"/>
          <w:lang w:bidi="ar-SA"/>
        </w:rPr>
        <w:fldChar w:fldCharType="separate"/>
      </w:r>
      <w:r>
        <w:rPr>
          <w:rStyle w:val="22"/>
          <w:rFonts w:hint="eastAsia" w:ascii="宋体" w:hAnsi="宋体" w:eastAsia="宋体" w:cs="宋体"/>
          <w:b/>
          <w:bCs/>
          <w:szCs w:val="24"/>
          <w:highlight w:val="none"/>
          <w:lang w:bidi="ar-SA"/>
        </w:rPr>
        <w:t>全国公共资源交易平台（陕西省·西咸新区） (sxggzyjy.cn)</w:t>
      </w:r>
      <w:r>
        <w:rPr>
          <w:rFonts w:hint="eastAsia" w:ascii="宋体" w:hAnsi="宋体" w:eastAsia="宋体" w:cs="宋体"/>
          <w:b/>
          <w:bCs/>
          <w:szCs w:val="24"/>
          <w:highlight w:val="none"/>
          <w:lang w:bidi="ar-SA"/>
        </w:rPr>
        <w:fldChar w:fldCharType="end"/>
      </w:r>
      <w:r>
        <w:rPr>
          <w:rFonts w:hint="eastAsia" w:ascii="宋体" w:hAnsi="宋体" w:eastAsia="宋体" w:cs="宋体"/>
          <w:b/>
          <w:bCs/>
          <w:szCs w:val="24"/>
          <w:highlight w:val="none"/>
          <w:lang w:bidi="ar-SA"/>
        </w:rPr>
        <w:t>不见面开标系统</w:t>
      </w:r>
      <w:r>
        <w:rPr>
          <w:rFonts w:hint="eastAsia" w:ascii="宋体" w:hAnsi="宋体" w:eastAsia="宋体" w:cs="宋体"/>
          <w:highlight w:val="none"/>
          <w:lang w:bidi="ar-SA"/>
        </w:rPr>
        <w:t>，如有疑问，请及时与招标代理机构联系。</w:t>
      </w:r>
    </w:p>
    <w:p w14:paraId="25BE7C7E">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19.递交的竞争性磋商响应文件</w:t>
      </w:r>
    </w:p>
    <w:p w14:paraId="4AB9220C">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19.1按照供应商须知的规定，采购代理机构将拒绝接受在规定的磋商截止时间后递交的任何竞争性磋商响应文件。</w:t>
      </w:r>
    </w:p>
    <w:p w14:paraId="40E6BBD4">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20.磋商的修改与撤回</w:t>
      </w:r>
    </w:p>
    <w:p w14:paraId="4B4319F1">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9E2A1D1">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20.2 供应商的修改或撤回或变动价格的通知应按本须知第18条的规定编制和递交。</w:t>
      </w:r>
    </w:p>
    <w:p w14:paraId="0CF8F3E1">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20.3 在磋商截止时间之后，供应商不得对其磋商响应文件做任何修改或撤回。</w:t>
      </w:r>
    </w:p>
    <w:p w14:paraId="5B7B2B05">
      <w:pPr>
        <w:keepNext/>
        <w:keepLines/>
        <w:widowControl w:val="0"/>
        <w:spacing w:before="312" w:after="156" w:line="360" w:lineRule="auto"/>
        <w:jc w:val="center"/>
        <w:outlineLvl w:val="2"/>
        <w:rPr>
          <w:rFonts w:hint="eastAsia" w:ascii="宋体" w:hAnsi="宋体" w:eastAsia="宋体" w:cs="宋体"/>
          <w:b/>
          <w:sz w:val="32"/>
          <w:szCs w:val="32"/>
          <w:highlight w:val="none"/>
          <w:lang w:bidi="ar-SA"/>
        </w:rPr>
      </w:pPr>
      <w:bookmarkStart w:id="45" w:name="_Toc363474021"/>
      <w:bookmarkStart w:id="46" w:name="_Toc363473976"/>
      <w:bookmarkStart w:id="47" w:name="_Toc403077643"/>
      <w:r>
        <w:rPr>
          <w:rFonts w:hint="eastAsia" w:ascii="宋体" w:hAnsi="宋体" w:eastAsia="宋体" w:cs="宋体"/>
          <w:b/>
          <w:sz w:val="32"/>
          <w:szCs w:val="32"/>
          <w:highlight w:val="none"/>
          <w:lang w:bidi="ar-SA"/>
        </w:rPr>
        <w:t>五.磋商与评标</w:t>
      </w:r>
      <w:bookmarkEnd w:id="45"/>
      <w:bookmarkEnd w:id="46"/>
      <w:bookmarkEnd w:id="47"/>
    </w:p>
    <w:p w14:paraId="13087548">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21.磋商会议</w:t>
      </w:r>
    </w:p>
    <w:p w14:paraId="202041BC">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21.1采购代理机构在规定的时间和地点组织竞争性磋商会议。磋商时所有供应商代表按照不见面开标的要求进行签到。</w:t>
      </w:r>
    </w:p>
    <w:p w14:paraId="3E50B957">
      <w:pPr>
        <w:spacing w:line="360" w:lineRule="auto"/>
        <w:ind w:firstLine="480" w:firstLineChars="200"/>
        <w:rPr>
          <w:rFonts w:hint="eastAsia" w:ascii="宋体" w:hAnsi="宋体" w:eastAsia="宋体" w:cs="宋体"/>
          <w:b/>
          <w:szCs w:val="24"/>
          <w:highlight w:val="none"/>
          <w:lang w:bidi="ar-SA"/>
        </w:rPr>
      </w:pPr>
      <w:r>
        <w:rPr>
          <w:rFonts w:hint="eastAsia" w:ascii="宋体" w:hAnsi="宋体" w:eastAsia="宋体" w:cs="宋体"/>
          <w:szCs w:val="24"/>
          <w:highlight w:val="none"/>
          <w:lang w:bidi="ar-SA"/>
        </w:rPr>
        <w:t>21.2采购代理机构将做磋商记录，存档备查。</w:t>
      </w:r>
    </w:p>
    <w:p w14:paraId="31AF4A9F">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22.评审组织及评审原则</w:t>
      </w:r>
    </w:p>
    <w:p w14:paraId="0A5663FD">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22.1按照《中华人民共和国政府采购法》及实施条例和关于印发《政府采购竞争性磋商采购方式管理暂行办法》的通知（财库【2014】214号），依法组建磋商小组。磋商小组由采购人代表和评审专家组成，其中采购人代表须持有授权书。磋商小组按照竞争性磋商文件规定的评审方法独立进行评审工作。</w:t>
      </w:r>
    </w:p>
    <w:p w14:paraId="14A96CC4">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22.2竞争性磋商文件和竞争性磋商响应文件是评审的依据。在评审中，不得改变竞争性磋商文件中规定的评审标准、方法和成交条件。</w:t>
      </w:r>
    </w:p>
    <w:p w14:paraId="20313254">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22.3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662D4FF0">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22.4如果供应商在澄清规定期限内，未能答复或拒绝答复磋商小组提出的澄清要求，将由磋商小组根据其竞争性磋商响应文件按最大风险进行评审。</w:t>
      </w:r>
    </w:p>
    <w:p w14:paraId="5443C38B">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23.评审过程的保密</w:t>
      </w:r>
    </w:p>
    <w:p w14:paraId="63DB20FF">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磋商小组成员和与评审活动有关的工作人员不得泄露有关竞争性磋商响应文件的评审和比较、成交候选人的推荐以及与评审有关的其他情况。</w:t>
      </w:r>
    </w:p>
    <w:p w14:paraId="75111589">
      <w:pPr>
        <w:jc w:val="left"/>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24.评审方法</w:t>
      </w:r>
    </w:p>
    <w:p w14:paraId="1438E6DA">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3名成交候选人。</w:t>
      </w:r>
    </w:p>
    <w:p w14:paraId="241DEB2B">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25.评审程序</w:t>
      </w:r>
    </w:p>
    <w:p w14:paraId="3FC8159C">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按照竞争性磋商响应文件初审、澄清有关问题、分别磋商、二次报价、比较与评审、推荐成交候选人名单的工作程序进行评审。在上一步评审中被认定为无效磋商者，不进入下一步的评审。</w:t>
      </w:r>
    </w:p>
    <w:p w14:paraId="4B72BFF4">
      <w:pPr>
        <w:keepNext/>
        <w:keepLines/>
        <w:widowControl w:val="0"/>
        <w:spacing w:before="312" w:after="156" w:line="360" w:lineRule="auto"/>
        <w:jc w:val="center"/>
        <w:rPr>
          <w:rFonts w:hint="eastAsia" w:ascii="宋体" w:hAnsi="宋体" w:eastAsia="宋体" w:cs="宋体"/>
          <w:b/>
          <w:sz w:val="32"/>
          <w:szCs w:val="32"/>
          <w:highlight w:val="none"/>
          <w:lang w:bidi="ar-SA"/>
        </w:rPr>
      </w:pPr>
      <w:r>
        <w:rPr>
          <w:rFonts w:hint="eastAsia" w:ascii="宋体" w:hAnsi="宋体" w:eastAsia="宋体" w:cs="宋体"/>
          <w:b/>
          <w:sz w:val="32"/>
          <w:szCs w:val="32"/>
          <w:highlight w:val="none"/>
          <w:lang w:bidi="ar-SA"/>
        </w:rPr>
        <w:t>六.成交、通知与签约</w:t>
      </w:r>
    </w:p>
    <w:p w14:paraId="56790513">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26.成交程序</w:t>
      </w:r>
    </w:p>
    <w:p w14:paraId="4BEB138A">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26.1磋商小组根据评审方法的规定对供应商进行评审排序，推荐3名成交候选人，作为评审结果。评审结果由全体磋商小组成员签字确认。</w:t>
      </w:r>
    </w:p>
    <w:p w14:paraId="786777E9">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26.2采购人根据磋商报告中推荐的成交候选人排列顺序，确定排名第一的为成交供应商。</w:t>
      </w:r>
    </w:p>
    <w:p w14:paraId="57333266">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7A61A83">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26.4采购人也可以授权磋商小组评审后直接确定成交供应商。</w:t>
      </w:r>
    </w:p>
    <w:p w14:paraId="440FAA48">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26.5成交供应商确定之后，成交结果将在财政部门指定的政府采购信息发布媒体上公告。</w:t>
      </w:r>
    </w:p>
    <w:p w14:paraId="14522FF7">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26.6供应商或者其他利害关系人对评审结果有异议的，应当在法律规定的时间内提出。</w:t>
      </w:r>
    </w:p>
    <w:p w14:paraId="1E79D1E0">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27.成交通知</w:t>
      </w:r>
    </w:p>
    <w:p w14:paraId="6D1D2773">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27.1采购代理机构向成交供应商发出《成交通知书》。</w:t>
      </w:r>
      <w:r>
        <w:rPr>
          <w:rFonts w:hint="eastAsia" w:ascii="宋体" w:hAnsi="宋体" w:eastAsia="宋体" w:cs="宋体"/>
          <w:b/>
          <w:bCs/>
          <w:szCs w:val="24"/>
          <w:highlight w:val="none"/>
          <w:lang w:bidi="ar-SA"/>
        </w:rPr>
        <w:t>成交供应商领取成交通知书时须携带法定代表人授权书及加盖单位公章的被授权人身份证复印件。</w:t>
      </w:r>
    </w:p>
    <w:p w14:paraId="5B30AFCF">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27.2成交通知书对采购人和成交供应商具有同等法律效力。成交通知书发出之后，采购人改变成交结果，或者成交供应商放弃成交，应当承担相应的法律责任。</w:t>
      </w:r>
    </w:p>
    <w:p w14:paraId="086FE20A">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28.采购合同的签订</w:t>
      </w:r>
    </w:p>
    <w:p w14:paraId="55949C46">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810B618">
      <w:pPr>
        <w:spacing w:line="360" w:lineRule="auto"/>
        <w:ind w:firstLine="480" w:firstLineChars="200"/>
        <w:rPr>
          <w:rFonts w:hint="eastAsia" w:ascii="宋体" w:hAnsi="宋体" w:eastAsia="宋体" w:cs="宋体"/>
          <w:bCs/>
          <w:szCs w:val="24"/>
          <w:highlight w:val="none"/>
          <w:lang w:bidi="ar-SA"/>
        </w:rPr>
      </w:pPr>
      <w:r>
        <w:rPr>
          <w:rFonts w:hint="eastAsia" w:ascii="宋体" w:hAnsi="宋体" w:eastAsia="宋体" w:cs="宋体"/>
          <w:bCs/>
          <w:szCs w:val="24"/>
          <w:highlight w:val="none"/>
          <w:lang w:bidi="ar-SA"/>
        </w:rPr>
        <w:t>28.2采购人自政府采购合同签订之日起2个工作日内，将政府采购合同在省级以上人民政府财政部门指定的媒体上公告，但政府采购合同中涉及国家秘密、商业秘密的内容除外。</w:t>
      </w:r>
    </w:p>
    <w:p w14:paraId="6E3E489E">
      <w:pPr>
        <w:spacing w:line="360" w:lineRule="auto"/>
        <w:outlineLvl w:val="2"/>
        <w:rPr>
          <w:rFonts w:hint="eastAsia" w:ascii="宋体" w:hAnsi="宋体" w:eastAsia="宋体" w:cs="宋体"/>
          <w:szCs w:val="24"/>
          <w:highlight w:val="none"/>
          <w:lang w:bidi="ar-SA"/>
        </w:rPr>
      </w:pPr>
      <w:r>
        <w:rPr>
          <w:rFonts w:hint="eastAsia" w:ascii="宋体" w:hAnsi="宋体" w:eastAsia="宋体" w:cs="宋体"/>
          <w:b/>
          <w:szCs w:val="24"/>
          <w:highlight w:val="none"/>
          <w:lang w:bidi="ar-SA"/>
        </w:rPr>
        <w:t>29.招标代理服务费</w:t>
      </w:r>
      <w:r>
        <w:rPr>
          <w:rFonts w:hint="eastAsia" w:ascii="宋体" w:hAnsi="宋体" w:eastAsia="宋体" w:cs="宋体"/>
          <w:szCs w:val="24"/>
          <w:highlight w:val="none"/>
          <w:lang w:bidi="ar-SA"/>
        </w:rPr>
        <w:t>：详见“供应商须知前附表”。</w:t>
      </w:r>
    </w:p>
    <w:p w14:paraId="2B92E467">
      <w:pPr>
        <w:spacing w:line="600" w:lineRule="exact"/>
        <w:outlineLvl w:val="2"/>
        <w:rPr>
          <w:rFonts w:hint="eastAsia" w:ascii="宋体" w:hAnsi="宋体" w:eastAsia="宋体" w:cs="宋体"/>
          <w:b/>
          <w:bCs/>
          <w:szCs w:val="24"/>
          <w:highlight w:val="none"/>
          <w:lang w:bidi="ar-SA"/>
        </w:rPr>
      </w:pPr>
      <w:r>
        <w:rPr>
          <w:rFonts w:hint="eastAsia" w:ascii="宋体" w:hAnsi="宋体" w:eastAsia="宋体" w:cs="宋体"/>
          <w:b/>
          <w:bCs/>
          <w:szCs w:val="24"/>
          <w:highlight w:val="none"/>
          <w:lang w:bidi="ar-SA"/>
        </w:rPr>
        <w:t>30.质疑</w:t>
      </w:r>
    </w:p>
    <w:p w14:paraId="3C1BD922">
      <w:pPr>
        <w:spacing w:line="500" w:lineRule="exact"/>
        <w:ind w:right="12" w:firstLine="480"/>
        <w:rPr>
          <w:rFonts w:hint="eastAsia" w:ascii="宋体" w:hAnsi="宋体" w:eastAsia="宋体" w:cs="宋体"/>
          <w:szCs w:val="24"/>
          <w:highlight w:val="none"/>
          <w:lang w:bidi="ar-SA"/>
        </w:rPr>
      </w:pPr>
      <w:r>
        <w:rPr>
          <w:rFonts w:hint="eastAsia" w:ascii="宋体" w:hAnsi="宋体" w:eastAsia="宋体" w:cs="宋体"/>
          <w:szCs w:val="24"/>
          <w:highlight w:val="none"/>
          <w:lang w:bidi="ar-SA"/>
        </w:rPr>
        <w:t>30.1供应商认为磋商文件、采购过程、成交结果使自己的权益受到损害的，可以在知道或者应知其权益受到损害之日起7个工作日内，以书面形式向采购人、采购代理机构提出质疑。</w:t>
      </w:r>
    </w:p>
    <w:p w14:paraId="6724C238">
      <w:pPr>
        <w:spacing w:line="500" w:lineRule="exact"/>
        <w:ind w:right="12" w:firstLine="480"/>
        <w:rPr>
          <w:rFonts w:hint="eastAsia" w:ascii="宋体" w:hAnsi="宋体" w:eastAsia="宋体" w:cs="宋体"/>
          <w:szCs w:val="24"/>
          <w:highlight w:val="none"/>
          <w:lang w:bidi="ar-SA"/>
        </w:rPr>
      </w:pPr>
      <w:r>
        <w:rPr>
          <w:rFonts w:hint="eastAsia" w:ascii="宋体" w:hAnsi="宋体" w:eastAsia="宋体" w:cs="宋体"/>
          <w:szCs w:val="24"/>
          <w:highlight w:val="none"/>
          <w:lang w:bidi="ar-SA"/>
        </w:rPr>
        <w:t>30.2供应商必须在法定质疑期内一次性提出针对同一采购程序环节的质疑。</w:t>
      </w:r>
    </w:p>
    <w:p w14:paraId="292BDC35">
      <w:pPr>
        <w:spacing w:line="500" w:lineRule="exact"/>
        <w:ind w:right="12" w:firstLine="480"/>
        <w:rPr>
          <w:rStyle w:val="21"/>
          <w:rFonts w:hint="eastAsia" w:ascii="宋体" w:hAnsi="宋体" w:eastAsia="宋体" w:cs="宋体"/>
          <w:b w:val="0"/>
          <w:szCs w:val="24"/>
          <w:highlight w:val="none"/>
          <w:shd w:val="clear" w:color="auto" w:fill="FFFFFF"/>
          <w:lang w:bidi="ar-SA"/>
        </w:rPr>
      </w:pPr>
      <w:r>
        <w:rPr>
          <w:rStyle w:val="21"/>
          <w:rFonts w:hint="eastAsia" w:ascii="宋体" w:hAnsi="宋体" w:eastAsia="宋体" w:cs="宋体"/>
          <w:b w:val="0"/>
          <w:szCs w:val="24"/>
          <w:highlight w:val="none"/>
          <w:shd w:val="clear" w:color="auto" w:fill="FFFFFF"/>
          <w:lang w:bidi="ar-SA"/>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482DA21">
      <w:pPr>
        <w:spacing w:line="500" w:lineRule="exact"/>
        <w:ind w:left="3" w:firstLine="518" w:firstLineChars="216"/>
        <w:rPr>
          <w:rStyle w:val="21"/>
          <w:rFonts w:hint="eastAsia" w:ascii="宋体" w:hAnsi="宋体" w:eastAsia="宋体" w:cs="宋体"/>
          <w:b w:val="0"/>
          <w:szCs w:val="24"/>
          <w:highlight w:val="none"/>
          <w:shd w:val="clear" w:color="auto" w:fill="FFFFFF"/>
          <w:lang w:bidi="ar-SA"/>
        </w:rPr>
      </w:pPr>
      <w:r>
        <w:rPr>
          <w:rStyle w:val="21"/>
          <w:rFonts w:hint="eastAsia" w:ascii="宋体" w:hAnsi="宋体" w:eastAsia="宋体" w:cs="宋体"/>
          <w:b w:val="0"/>
          <w:szCs w:val="24"/>
          <w:highlight w:val="none"/>
          <w:shd w:val="clear" w:color="auto" w:fill="FFFFFF"/>
          <w:lang w:bidi="ar-SA"/>
        </w:rPr>
        <w:t>30.4以联合体形式参加政府采购活动的，其质疑应当由组成联合体的所有供应商共同提出。</w:t>
      </w:r>
    </w:p>
    <w:p w14:paraId="1D0037D7">
      <w:pPr>
        <w:spacing w:line="500" w:lineRule="exact"/>
        <w:ind w:right="12"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30.5供应商提出质疑应当提交质疑函和必要的证明材料。质疑函应当包括下列内容：</w:t>
      </w:r>
    </w:p>
    <w:p w14:paraId="1C28576D">
      <w:pPr>
        <w:spacing w:line="500" w:lineRule="exact"/>
        <w:ind w:right="12"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30.5.1供应商的姓名或者名称、地址、邮编、联系人及联系电话；</w:t>
      </w:r>
    </w:p>
    <w:p w14:paraId="1B80404D">
      <w:pPr>
        <w:spacing w:line="500" w:lineRule="exact"/>
        <w:ind w:right="12"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30.5.2质疑项目的名称、编号；</w:t>
      </w:r>
    </w:p>
    <w:p w14:paraId="05954E38">
      <w:pPr>
        <w:spacing w:line="500" w:lineRule="exact"/>
        <w:ind w:right="12"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30.5.3具体、明确的质疑事项和与质疑事项相关的请求；</w:t>
      </w:r>
    </w:p>
    <w:p w14:paraId="22408763">
      <w:pPr>
        <w:spacing w:line="500" w:lineRule="exact"/>
        <w:ind w:right="12"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30.5.4事实依据；</w:t>
      </w:r>
    </w:p>
    <w:p w14:paraId="53B7EF6B">
      <w:pPr>
        <w:spacing w:line="500" w:lineRule="exact"/>
        <w:ind w:right="12"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30.5.5必要的法律依据；</w:t>
      </w:r>
    </w:p>
    <w:p w14:paraId="77C83029">
      <w:pPr>
        <w:spacing w:line="500" w:lineRule="exact"/>
        <w:ind w:right="12" w:firstLine="480" w:firstLineChars="200"/>
        <w:rPr>
          <w:rStyle w:val="21"/>
          <w:rFonts w:hint="eastAsia" w:ascii="宋体" w:hAnsi="宋体" w:eastAsia="宋体" w:cs="宋体"/>
          <w:b w:val="0"/>
          <w:szCs w:val="24"/>
          <w:highlight w:val="none"/>
          <w:shd w:val="clear" w:color="auto" w:fill="FFFFFF"/>
          <w:lang w:bidi="ar-SA"/>
        </w:rPr>
      </w:pPr>
      <w:r>
        <w:rPr>
          <w:rFonts w:hint="eastAsia" w:ascii="宋体" w:hAnsi="宋体" w:eastAsia="宋体" w:cs="宋体"/>
          <w:szCs w:val="24"/>
          <w:highlight w:val="none"/>
          <w:lang w:bidi="ar-SA"/>
        </w:rPr>
        <w:t>30.5.6提出质疑的日期。</w:t>
      </w:r>
    </w:p>
    <w:p w14:paraId="2488FA98">
      <w:pPr>
        <w:widowControl/>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30.6有下列情形之一的，属于无效质疑，采购代理机构和采购人不予受理：</w:t>
      </w:r>
    </w:p>
    <w:p w14:paraId="579B9679">
      <w:pPr>
        <w:widowControl/>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30.6.1质疑供应商不是参与本次政府采购项目的供应商；</w:t>
      </w:r>
    </w:p>
    <w:p w14:paraId="1166192E">
      <w:pPr>
        <w:widowControl/>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30.6.2质疑供应商与质疑事项不存在利害关系的；</w:t>
      </w:r>
    </w:p>
    <w:p w14:paraId="4BF4DAFF">
      <w:pPr>
        <w:widowControl/>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30.6.3未在法定期限内提出质疑的；</w:t>
      </w:r>
    </w:p>
    <w:p w14:paraId="724071AB">
      <w:pPr>
        <w:widowControl/>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30.6.4质疑未以书面形式提出，或质疑函主要内容构成不完整的；</w:t>
      </w:r>
    </w:p>
    <w:p w14:paraId="4A1EFC3F">
      <w:pPr>
        <w:widowControl/>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30.6.5应当提交授权书而未提交的；</w:t>
      </w:r>
    </w:p>
    <w:p w14:paraId="60ECA74C">
      <w:pPr>
        <w:widowControl/>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30.6.6以非法手段取得证据、材料的；</w:t>
      </w:r>
    </w:p>
    <w:p w14:paraId="4BB5AEBB">
      <w:pPr>
        <w:widowControl/>
        <w:spacing w:line="360" w:lineRule="auto"/>
        <w:ind w:firstLine="480" w:firstLineChars="200"/>
        <w:rPr>
          <w:rFonts w:hint="eastAsia" w:ascii="宋体" w:hAnsi="宋体" w:eastAsia="宋体" w:cs="宋体"/>
          <w:highlight w:val="none"/>
          <w:lang w:bidi="ar-SA"/>
        </w:rPr>
      </w:pPr>
      <w:r>
        <w:rPr>
          <w:rFonts w:hint="eastAsia" w:ascii="宋体" w:hAnsi="宋体" w:eastAsia="宋体" w:cs="宋体"/>
          <w:highlight w:val="none"/>
          <w:lang w:bidi="ar-SA"/>
        </w:rPr>
        <w:t>30.6.7质疑答复后，同一质疑人就同一事项或同一采购程序环节再次提出质疑的；</w:t>
      </w:r>
    </w:p>
    <w:p w14:paraId="12A77FC7">
      <w:pPr>
        <w:widowControl/>
        <w:spacing w:line="360" w:lineRule="auto"/>
        <w:ind w:firstLine="480" w:firstLineChars="200"/>
        <w:rPr>
          <w:rStyle w:val="21"/>
          <w:rFonts w:hint="eastAsia" w:ascii="宋体" w:hAnsi="宋体" w:eastAsia="宋体" w:cs="宋体"/>
          <w:b w:val="0"/>
          <w:szCs w:val="24"/>
          <w:highlight w:val="none"/>
          <w:shd w:val="clear" w:color="auto" w:fill="FFFFFF"/>
          <w:lang w:bidi="ar-SA"/>
        </w:rPr>
      </w:pPr>
      <w:r>
        <w:rPr>
          <w:rFonts w:hint="eastAsia" w:ascii="宋体" w:hAnsi="宋体" w:eastAsia="宋体" w:cs="宋体"/>
          <w:highlight w:val="none"/>
          <w:lang w:bidi="ar-SA"/>
        </w:rPr>
        <w:t>30.6.8不符合法律、法规、规章和政府采购监管机构规定的其他条件的。</w:t>
      </w:r>
    </w:p>
    <w:p w14:paraId="2B3EED1A">
      <w:pPr>
        <w:spacing w:line="500" w:lineRule="exact"/>
        <w:ind w:right="12"/>
        <w:rPr>
          <w:rFonts w:hint="eastAsia" w:ascii="宋体" w:hAnsi="宋体" w:eastAsia="宋体" w:cs="宋体"/>
          <w:szCs w:val="24"/>
          <w:highlight w:val="none"/>
          <w:lang w:bidi="ar-SA"/>
        </w:rPr>
      </w:pPr>
      <w:r>
        <w:rPr>
          <w:rFonts w:hint="eastAsia" w:ascii="宋体" w:hAnsi="宋体" w:eastAsia="宋体" w:cs="宋体"/>
          <w:szCs w:val="24"/>
          <w:highlight w:val="none"/>
          <w:lang w:bidi="ar-SA"/>
        </w:rPr>
        <w:t xml:space="preserve">    30.7质疑答复</w:t>
      </w:r>
    </w:p>
    <w:p w14:paraId="683E155E">
      <w:pPr>
        <w:pStyle w:val="26"/>
        <w:spacing w:line="500" w:lineRule="exact"/>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30.7.1采购人或采购代理机构在收到质疑函后7个工作日内作出答复，并以书面形式通知质疑供应商和其他有关供应商。</w:t>
      </w:r>
    </w:p>
    <w:p w14:paraId="7B1FDE7C">
      <w:pPr>
        <w:pStyle w:val="26"/>
        <w:spacing w:line="500" w:lineRule="exact"/>
        <w:ind w:firstLine="480" w:firstLineChars="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30.7.2质疑供应商对采购人、采购代理机构的答复不满意，或者采购人、采购代理机构未在规定时间内作出答复的，可以在答复期满后15个工作日内向</w:t>
      </w:r>
      <w:r>
        <w:rPr>
          <w:rFonts w:hint="eastAsia" w:ascii="宋体" w:hAnsi="宋体" w:eastAsia="宋体" w:cs="宋体"/>
          <w:b/>
          <w:bCs/>
          <w:szCs w:val="24"/>
          <w:highlight w:val="none"/>
          <w:lang w:bidi="ar-SA"/>
        </w:rPr>
        <w:t>同级人民政府财政部门</w:t>
      </w:r>
      <w:r>
        <w:rPr>
          <w:rFonts w:hint="eastAsia" w:ascii="宋体" w:hAnsi="宋体" w:eastAsia="宋体" w:cs="宋体"/>
          <w:szCs w:val="24"/>
          <w:highlight w:val="none"/>
          <w:lang w:bidi="ar-SA"/>
        </w:rPr>
        <w:t>提起投诉。</w:t>
      </w:r>
    </w:p>
    <w:p w14:paraId="59333FE6">
      <w:pPr>
        <w:pStyle w:val="26"/>
        <w:spacing w:line="500" w:lineRule="exact"/>
        <w:ind w:firstLine="480" w:firstLineChars="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30.8其他需要说明的事项</w:t>
      </w:r>
    </w:p>
    <w:p w14:paraId="666284AF">
      <w:pPr>
        <w:pStyle w:val="26"/>
        <w:spacing w:line="500" w:lineRule="exact"/>
        <w:ind w:firstLine="480" w:firstLineChars="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30.8.1质疑函须按财政部《质疑函范本》给定的格式进行填写，范本下载详见【财政部国库司（gks.mof.gov.cn）】网站〖首页·政府采购管理〗栏目中的《政府采购供应商质疑函范本》。《政府采购供应商质疑函范本》链接地址：</w:t>
      </w:r>
    </w:p>
    <w:p w14:paraId="69094F3B">
      <w:pPr>
        <w:pStyle w:val="26"/>
        <w:spacing w:line="500" w:lineRule="exact"/>
        <w:ind w:firstLine="480" w:firstLineChars="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http://gks.mof.gov.cn/zhengfucaigouguanli/201802/t20180201_2804589.html</w:t>
      </w:r>
    </w:p>
    <w:p w14:paraId="2A271001">
      <w:pPr>
        <w:pStyle w:val="26"/>
        <w:spacing w:line="500" w:lineRule="exact"/>
        <w:ind w:firstLine="480" w:firstLineChars="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30.8.2接收质疑函的方式：书面形式</w:t>
      </w:r>
    </w:p>
    <w:p w14:paraId="48D89059">
      <w:pPr>
        <w:pStyle w:val="26"/>
        <w:spacing w:line="500" w:lineRule="exact"/>
        <w:ind w:firstLine="480" w:firstLineChars="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30.8.3联系部门：</w:t>
      </w:r>
      <w:r>
        <w:rPr>
          <w:rFonts w:hint="eastAsia" w:ascii="宋体" w:hAnsi="宋体" w:eastAsia="宋体" w:cs="宋体"/>
          <w:szCs w:val="24"/>
          <w:highlight w:val="none"/>
          <w:lang w:eastAsia="zh-CN" w:bidi="ar-SA"/>
        </w:rPr>
        <w:t>陕西鼎端项目管理咨询有限公司</w:t>
      </w:r>
      <w:r>
        <w:rPr>
          <w:rFonts w:hint="eastAsia" w:ascii="宋体" w:hAnsi="宋体" w:eastAsia="宋体" w:cs="宋体"/>
          <w:szCs w:val="24"/>
          <w:highlight w:val="none"/>
          <w:lang w:bidi="ar-SA"/>
        </w:rPr>
        <w:t>招标部</w:t>
      </w:r>
    </w:p>
    <w:p w14:paraId="30F9FF57">
      <w:pPr>
        <w:pStyle w:val="26"/>
        <w:spacing w:line="500" w:lineRule="exact"/>
        <w:ind w:firstLine="480" w:firstLineChars="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30.8.4联系电话：见“供应商须知前附表2.2”</w:t>
      </w:r>
    </w:p>
    <w:p w14:paraId="65BE9F4E">
      <w:pPr>
        <w:pStyle w:val="26"/>
        <w:spacing w:line="500" w:lineRule="exact"/>
        <w:ind w:firstLine="480" w:firstLineChars="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30.8.5通讯地址：见“供应商须知前附表2.2”</w:t>
      </w:r>
    </w:p>
    <w:p w14:paraId="588630DF">
      <w:pPr>
        <w:spacing w:line="360" w:lineRule="auto"/>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31.其他</w:t>
      </w:r>
    </w:p>
    <w:p w14:paraId="196E9A65">
      <w:pPr>
        <w:spacing w:line="360" w:lineRule="auto"/>
        <w:ind w:firstLine="480" w:firstLineChars="200"/>
        <w:rPr>
          <w:rFonts w:hint="eastAsia" w:ascii="宋体" w:hAnsi="宋体" w:eastAsia="宋体" w:cs="宋体"/>
          <w:highlight w:val="none"/>
          <w:lang w:bidi="ar-SA"/>
        </w:rPr>
      </w:pPr>
      <w:r>
        <w:rPr>
          <w:rFonts w:hint="eastAsia" w:ascii="宋体" w:hAnsi="宋体" w:eastAsia="宋体" w:cs="宋体"/>
          <w:szCs w:val="24"/>
          <w:highlight w:val="none"/>
          <w:lang w:bidi="ar-SA"/>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36EE323B">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31.2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的损失，供应商还应当予以赔偿，并依法承担相应法律责任。</w:t>
      </w:r>
    </w:p>
    <w:p w14:paraId="7129B945">
      <w:pPr>
        <w:pStyle w:val="10"/>
        <w:spacing w:after="0" w:line="360" w:lineRule="auto"/>
        <w:jc w:val="left"/>
        <w:outlineLvl w:val="2"/>
        <w:rPr>
          <w:rFonts w:hint="eastAsia" w:ascii="宋体" w:hAnsi="宋体" w:eastAsia="宋体" w:cs="宋体"/>
          <w:b/>
          <w:bCs/>
          <w:sz w:val="24"/>
          <w:szCs w:val="24"/>
          <w:highlight w:val="none"/>
          <w:lang w:bidi="ar-SA"/>
        </w:rPr>
      </w:pPr>
      <w:bookmarkStart w:id="48" w:name="_Toc1185"/>
      <w:r>
        <w:rPr>
          <w:rFonts w:hint="eastAsia" w:ascii="宋体" w:hAnsi="宋体" w:eastAsia="宋体" w:cs="宋体"/>
          <w:b/>
          <w:bCs/>
          <w:sz w:val="24"/>
          <w:szCs w:val="24"/>
          <w:highlight w:val="none"/>
          <w:lang w:bidi="ar-SA"/>
        </w:rPr>
        <w:t>32.信用担保</w:t>
      </w:r>
      <w:bookmarkEnd w:id="48"/>
      <w:r>
        <w:rPr>
          <w:rFonts w:hint="eastAsia" w:ascii="宋体" w:hAnsi="宋体" w:eastAsia="宋体" w:cs="宋体"/>
          <w:b/>
          <w:bCs/>
          <w:sz w:val="24"/>
          <w:szCs w:val="24"/>
          <w:highlight w:val="none"/>
          <w:lang w:bidi="ar-SA"/>
        </w:rPr>
        <w:t>及信用融资</w:t>
      </w:r>
    </w:p>
    <w:p w14:paraId="6962B528">
      <w:pPr>
        <w:spacing w:line="360" w:lineRule="auto"/>
        <w:ind w:firstLine="480" w:firstLineChars="200"/>
        <w:rPr>
          <w:rFonts w:hint="eastAsia" w:ascii="宋体" w:hAnsi="宋体" w:eastAsia="宋体" w:cs="宋体"/>
          <w:highlight w:val="none"/>
          <w:lang w:bidi="ar-SA"/>
        </w:rPr>
      </w:pPr>
      <w:r>
        <w:rPr>
          <w:rFonts w:hint="eastAsia" w:ascii="宋体" w:hAnsi="宋体" w:eastAsia="宋体" w:cs="宋体"/>
          <w:szCs w:val="24"/>
          <w:highlight w:val="none"/>
          <w:lang w:bidi="ar-SA"/>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bookmarkStart w:id="49" w:name="_Toc363474023"/>
    </w:p>
    <w:p w14:paraId="42427FD2">
      <w:pPr>
        <w:pStyle w:val="2"/>
        <w:numPr>
          <w:ilvl w:val="0"/>
          <w:numId w:val="4"/>
        </w:numPr>
        <w:jc w:val="center"/>
        <w:rPr>
          <w:rFonts w:hint="eastAsia" w:ascii="宋体" w:hAnsi="宋体" w:eastAsia="宋体" w:cs="宋体"/>
          <w:bCs/>
          <w:sz w:val="36"/>
          <w:szCs w:val="36"/>
          <w:highlight w:val="none"/>
          <w:lang w:bidi="ar-SA"/>
        </w:rPr>
      </w:pPr>
      <w:bookmarkStart w:id="50" w:name="_Toc423973074"/>
      <w:bookmarkStart w:id="51" w:name="_Toc25783"/>
      <w:bookmarkStart w:id="52" w:name="_Toc403077645"/>
      <w:bookmarkStart w:id="53" w:name="_Toc9896"/>
      <w:r>
        <w:rPr>
          <w:rFonts w:hint="eastAsia" w:ascii="宋体" w:hAnsi="宋体" w:eastAsia="宋体" w:cs="宋体"/>
          <w:bCs/>
          <w:sz w:val="36"/>
          <w:szCs w:val="36"/>
          <w:highlight w:val="none"/>
          <w:lang w:bidi="ar-SA"/>
        </w:rPr>
        <w:br w:type="page"/>
      </w:r>
      <w:bookmarkStart w:id="54" w:name="_Toc24068"/>
      <w:r>
        <w:rPr>
          <w:rFonts w:hint="eastAsia" w:ascii="宋体" w:hAnsi="宋体" w:eastAsia="宋体" w:cs="宋体"/>
          <w:bCs/>
          <w:sz w:val="36"/>
          <w:szCs w:val="36"/>
          <w:highlight w:val="none"/>
          <w:lang w:bidi="ar-SA"/>
        </w:rPr>
        <w:t xml:space="preserve"> </w:t>
      </w:r>
      <w:bookmarkStart w:id="55" w:name="_Toc23556"/>
      <w:bookmarkStart w:id="56" w:name="_Toc32351"/>
      <w:r>
        <w:rPr>
          <w:rFonts w:hint="eastAsia" w:ascii="宋体" w:hAnsi="宋体" w:eastAsia="宋体" w:cs="宋体"/>
          <w:bCs/>
          <w:sz w:val="36"/>
          <w:szCs w:val="36"/>
          <w:highlight w:val="none"/>
          <w:lang w:bidi="ar-SA"/>
        </w:rPr>
        <w:t>合同主要条款</w:t>
      </w:r>
      <w:bookmarkEnd w:id="50"/>
      <w:bookmarkEnd w:id="51"/>
      <w:bookmarkEnd w:id="52"/>
      <w:bookmarkEnd w:id="53"/>
      <w:bookmarkEnd w:id="54"/>
      <w:bookmarkEnd w:id="55"/>
      <w:bookmarkEnd w:id="56"/>
    </w:p>
    <w:p w14:paraId="152087F9">
      <w:pPr>
        <w:spacing w:line="360" w:lineRule="auto"/>
        <w:rPr>
          <w:rFonts w:hint="eastAsia" w:ascii="宋体" w:hAnsi="宋体" w:eastAsia="宋体" w:cs="宋体"/>
          <w:b/>
          <w:sz w:val="24"/>
          <w:szCs w:val="24"/>
          <w:highlight w:val="none"/>
          <w:lang w:eastAsia="zh-CN"/>
        </w:rPr>
      </w:pPr>
      <w:bookmarkStart w:id="57" w:name="_Toc7682"/>
      <w:bookmarkStart w:id="58" w:name="_Toc5514"/>
      <w:bookmarkStart w:id="59" w:name="_Toc13146"/>
      <w:bookmarkStart w:id="60" w:name="_Toc423973078"/>
      <w:bookmarkStart w:id="61" w:name="_Toc20481"/>
      <w:bookmarkStart w:id="62" w:name="_Toc23856"/>
      <w:bookmarkStart w:id="63" w:name="_Toc1025"/>
      <w:bookmarkStart w:id="64" w:name="_Toc389582038"/>
      <w:bookmarkStart w:id="65" w:name="_Toc11450"/>
      <w:bookmarkStart w:id="66" w:name="_Toc2711"/>
      <w:bookmarkStart w:id="67" w:name="_Toc4053"/>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本格式条款供双方签订合同参考，采购人可根据项目的实际情况增减条款和内容</w:t>
      </w:r>
      <w:r>
        <w:rPr>
          <w:rFonts w:hint="eastAsia" w:ascii="宋体" w:hAnsi="宋体" w:eastAsia="宋体" w:cs="宋体"/>
          <w:b/>
          <w:bCs/>
          <w:color w:val="000000"/>
          <w:sz w:val="24"/>
          <w:szCs w:val="24"/>
          <w:highlight w:val="none"/>
        </w:rPr>
        <w:t>）</w:t>
      </w:r>
    </w:p>
    <w:p w14:paraId="4E02CE7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19BDEE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BC4794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hAnsi="宋体" w:cs="宋体"/>
          <w:sz w:val="24"/>
          <w:szCs w:val="24"/>
          <w:highlight w:val="none"/>
          <w:u w:val="single"/>
          <w:lang w:eastAsia="zh-CN"/>
        </w:rPr>
        <w:t>高庄镇2024年“多规合一”实用性村庄规划编制项目</w:t>
      </w:r>
      <w:r>
        <w:rPr>
          <w:rFonts w:hint="eastAsia" w:ascii="宋体" w:hAnsi="宋体" w:eastAsia="宋体" w:cs="宋体"/>
          <w:sz w:val="24"/>
          <w:szCs w:val="24"/>
          <w:highlight w:val="none"/>
        </w:rPr>
        <w:t>的采购结果，按照《中华人民共和国民 法典》及其他有关法律、法规，遵循平等、 自愿、公平和诚信的原则，双方就下述项目范围与相关服务事项协商一致，订立本合同。</w:t>
      </w:r>
    </w:p>
    <w:p w14:paraId="6C60DF06">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一、合同总价</w:t>
      </w:r>
    </w:p>
    <w:p w14:paraId="631CC58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合同总价（大写）：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24A7EB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en-US" w:eastAsia="zh-CN"/>
        </w:rPr>
        <w:t>甲方应在乙方完全履行本合同约定义务后，正确、全面的支付竞争性磋商文件所属全部工作内容的全部报酬，该报酬不受市场价格变化等因素的影响，乙方不得以任何理由变更价格。所有根据合同或其它原因由乙方支付的税金和其它应缴纳的费用都包括在乙方提交的报价中，乙方不得要求甲方在报价之外支付其它任何费用。由于报价</w:t>
      </w:r>
      <w:r>
        <w:rPr>
          <w:rFonts w:hint="eastAsia" w:ascii="宋体" w:hAnsi="宋体" w:eastAsia="宋体" w:cs="宋体"/>
          <w:sz w:val="24"/>
          <w:szCs w:val="24"/>
          <w:highlight w:val="none"/>
          <w:lang w:val="en-US" w:eastAsia="zh-CN"/>
        </w:rPr>
        <w:t>填报不完整、不清楚或存在其它任何失误，所导致的任何不利后果均应当由乙方自行承担。</w:t>
      </w:r>
    </w:p>
    <w:p w14:paraId="0B90781F">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w:t>
      </w:r>
      <w:r>
        <w:rPr>
          <w:rFonts w:hint="eastAsia" w:hAnsi="宋体" w:cs="宋体"/>
          <w:b/>
          <w:bCs/>
          <w:sz w:val="24"/>
          <w:szCs w:val="24"/>
          <w:highlight w:val="none"/>
          <w:lang w:val="en-US" w:eastAsia="zh-CN"/>
        </w:rPr>
        <w:t>付款</w:t>
      </w:r>
      <w:r>
        <w:rPr>
          <w:rFonts w:hint="eastAsia" w:ascii="宋体" w:hAnsi="宋体" w:eastAsia="宋体" w:cs="宋体"/>
          <w:b/>
          <w:bCs/>
          <w:sz w:val="24"/>
          <w:szCs w:val="24"/>
          <w:highlight w:val="none"/>
        </w:rPr>
        <w:t>方式</w:t>
      </w:r>
    </w:p>
    <w:p w14:paraId="2C5C5DE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本合同签订后，乙方提交项目初步方案，甲方支付合同额的50%至乙方账户；项目整体通过甲方评审后，支付合同剩余款项至乙方账户。</w:t>
      </w:r>
    </w:p>
    <w:p w14:paraId="21D29C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甲方在付款前，乙方应提供符合要求的等额增值税发票</w:t>
      </w:r>
      <w:r>
        <w:rPr>
          <w:rFonts w:hint="eastAsia" w:ascii="宋体" w:hAnsi="宋体" w:eastAsia="宋体" w:cs="宋体"/>
          <w:color w:val="auto"/>
          <w:sz w:val="24"/>
          <w:szCs w:val="24"/>
          <w:highlight w:val="none"/>
        </w:rPr>
        <w:t>（附详细清单）</w:t>
      </w:r>
      <w:r>
        <w:rPr>
          <w:rFonts w:hint="eastAsia" w:ascii="宋体" w:hAnsi="宋体" w:eastAsia="宋体" w:cs="宋体"/>
          <w:color w:val="auto"/>
          <w:sz w:val="24"/>
          <w:szCs w:val="24"/>
          <w:highlight w:val="none"/>
          <w:lang w:val="en-US" w:eastAsia="zh-CN"/>
        </w:rPr>
        <w:t xml:space="preserve">。 </w:t>
      </w:r>
    </w:p>
    <w:p w14:paraId="38ACC3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币种为人民币，支付方式包括：现金转账、支票、银行承兑汇票、商业承兑汇票等。</w:t>
      </w:r>
    </w:p>
    <w:p w14:paraId="0F38243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服务期限、地点</w:t>
      </w:r>
    </w:p>
    <w:p w14:paraId="7079D4F2">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b/>
          <w:bCs/>
          <w:color w:val="auto"/>
          <w:sz w:val="24"/>
          <w:szCs w:val="24"/>
          <w:highlight w:val="none"/>
          <w:lang w:val="en-US" w:eastAsia="zh-CN"/>
        </w:rPr>
        <w:t>服务期限</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自合同签订之日起60日历日</w:t>
      </w:r>
      <w:r>
        <w:rPr>
          <w:rFonts w:hint="eastAsia" w:ascii="宋体" w:hAnsi="宋体" w:eastAsia="宋体" w:cs="宋体"/>
          <w:color w:val="auto"/>
          <w:sz w:val="24"/>
          <w:szCs w:val="24"/>
          <w:highlight w:val="none"/>
        </w:rPr>
        <w:t>。</w:t>
      </w:r>
    </w:p>
    <w:p w14:paraId="5A6212B2">
      <w:pPr>
        <w:pStyle w:val="10"/>
        <w:spacing w:line="360" w:lineRule="auto"/>
        <w:rPr>
          <w:rFonts w:hint="default" w:ascii="Times New Roman" w:hAnsi="Times New Roman" w:eastAsia="宋体" w:cs="Times New Roman"/>
          <w:color w:val="auto"/>
          <w:sz w:val="21"/>
          <w:szCs w:val="20"/>
          <w:highlight w:val="none"/>
        </w:rPr>
      </w:pPr>
      <w:r>
        <w:rPr>
          <w:rFonts w:hint="eastAsia" w:ascii="宋体" w:hAnsi="宋体" w:eastAsia="宋体" w:cs="宋体"/>
          <w:b/>
          <w:bCs/>
          <w:color w:val="auto"/>
          <w:kern w:val="0"/>
          <w:sz w:val="24"/>
          <w:szCs w:val="24"/>
          <w:highlight w:val="none"/>
          <w:lang w:val="en-US" w:eastAsia="zh-CN"/>
        </w:rPr>
        <w:t>（二）服务地点：</w:t>
      </w:r>
      <w:r>
        <w:rPr>
          <w:rFonts w:hint="eastAsia" w:ascii="宋体" w:hAnsi="宋体" w:eastAsia="宋体" w:cs="宋体"/>
          <w:b w:val="0"/>
          <w:bCs w:val="0"/>
          <w:color w:val="auto"/>
          <w:kern w:val="0"/>
          <w:sz w:val="24"/>
          <w:szCs w:val="24"/>
          <w:highlight w:val="none"/>
          <w:lang w:val="en-US" w:eastAsia="zh-CN"/>
        </w:rPr>
        <w:t>甲方指定地点。</w:t>
      </w:r>
    </w:p>
    <w:p w14:paraId="6EFCB33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四、</w:t>
      </w:r>
      <w:r>
        <w:rPr>
          <w:rFonts w:hint="eastAsia" w:hAnsi="宋体" w:cs="宋体"/>
          <w:b/>
          <w:bCs/>
          <w:color w:val="auto"/>
          <w:sz w:val="24"/>
          <w:szCs w:val="24"/>
          <w:highlight w:val="none"/>
          <w:lang w:val="en-US" w:eastAsia="zh-CN"/>
        </w:rPr>
        <w:t>协作事项</w:t>
      </w:r>
    </w:p>
    <w:p w14:paraId="4A380F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为保证乙方有效进行编制工作，甲方应当向乙方提供下列协作事项：</w:t>
      </w:r>
    </w:p>
    <w:p w14:paraId="42DF28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（一）提供相关资料：项目背景资料、项目需求等。</w:t>
      </w:r>
    </w:p>
    <w:p w14:paraId="22AFFA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（二）提供工作条件：如需现场踏勘甲方应积极配合并协作完成。</w:t>
      </w:r>
    </w:p>
    <w:p w14:paraId="44A4DB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（三）甲方提供上述协作事项的时间及方式：自合同签订之日起5日内向乙方提供纸质资料及 </w:t>
      </w:r>
    </w:p>
    <w:p w14:paraId="73E637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电子版的项目所需资料。乙方收到上述资料后一个工作日内向甲方提出补充资料清单，否则视为乙方已收到项目所需全部资料、编制条件已具备</w:t>
      </w:r>
      <w:r>
        <w:rPr>
          <w:rFonts w:hint="eastAsia" w:hAnsi="宋体" w:cs="宋体"/>
          <w:sz w:val="24"/>
          <w:szCs w:val="24"/>
          <w:lang w:val="en-US" w:eastAsia="zh-CN"/>
        </w:rPr>
        <w:t>。</w:t>
      </w:r>
    </w:p>
    <w:p w14:paraId="329B4FDD">
      <w:pPr>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rPr>
        <w:t>五、</w:t>
      </w:r>
      <w:r>
        <w:rPr>
          <w:rFonts w:hint="eastAsia" w:hAnsi="宋体" w:cs="宋体"/>
          <w:b/>
          <w:bCs/>
          <w:sz w:val="24"/>
          <w:szCs w:val="24"/>
          <w:lang w:val="en-US" w:eastAsia="zh-CN"/>
        </w:rPr>
        <w:t>甲方的权利和义务</w:t>
      </w:r>
    </w:p>
    <w:p w14:paraId="200F467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（一）甲方应在合同约定的时间内提供编制本项目报告所需要的基础数据和技术资料，并协助乙方收集其他有关资料。 </w:t>
      </w:r>
    </w:p>
    <w:p w14:paraId="30FE70E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二）在合同期内，甲方进行与本项目有关的讨论、询价、对外谈判、调研考察等汇总后的所有信息资料，应及时提供给乙方，必要时可吸收乙方编制人员参加。造成费用增加和提交成果时间延误的，按本条第五款规定执行。 </w:t>
      </w:r>
    </w:p>
    <w:p w14:paraId="4743C2D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（三）甲方按照约定及时向乙方支付本合同费用。 </w:t>
      </w:r>
    </w:p>
    <w:p w14:paraId="15E5EDA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（四）甲方在合同期内项目发生变化时应及时通知乙方。 </w:t>
      </w:r>
    </w:p>
    <w:p w14:paraId="4DF0B22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（五）因甲方责任造成报告重大修改，或返工重做，应另行增加费用，其数额由双方另行商定，同时，提交成果的时间相应调整，双方另行签订补充协议。在合同期内项目发生变化时应及时通知乙方。 </w:t>
      </w:r>
    </w:p>
    <w:p w14:paraId="035C3B1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（六）甲方有权根据本合同接受乙方提供的咨询服务，并对乙方提交的咨询成果报告提出修改意见及要求。</w:t>
      </w:r>
    </w:p>
    <w:p w14:paraId="3F1B6506">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val="en-US" w:eastAsia="zh-CN"/>
        </w:rPr>
        <w:t>乙方的权利和义务</w:t>
      </w:r>
    </w:p>
    <w:p w14:paraId="282DEC2B">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（一）乙方应在合同约定的时间内完成规划编制，使本报告达到合同规定的要求。 </w:t>
      </w:r>
    </w:p>
    <w:p w14:paraId="1498162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（二）乙方提供的咨询成果达不到合同规定要求的，乙方应无条件完善、修改。 </w:t>
      </w:r>
    </w:p>
    <w:p w14:paraId="6622850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（三）乙方应对甲方提供的资料承担保密义务。 </w:t>
      </w:r>
    </w:p>
    <w:p w14:paraId="641D014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（四）未经甲方同意，乙方不得擅自将编制成果提供给第三方使用，否则，由此发生的损失和法律责任由乙方承担。 </w:t>
      </w:r>
    </w:p>
    <w:p w14:paraId="104E148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w:t>
      </w:r>
      <w:r>
        <w:rPr>
          <w:rFonts w:hint="eastAsia" w:ascii="宋体" w:hAnsi="宋体" w:eastAsia="宋体" w:cs="宋体"/>
          <w:b/>
          <w:bCs/>
          <w:sz w:val="24"/>
          <w:szCs w:val="24"/>
          <w:lang w:val="en-US" w:eastAsia="zh-CN"/>
        </w:rPr>
        <w:t>违约责任</w:t>
      </w:r>
    </w:p>
    <w:p w14:paraId="065AE6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（一）在合同履行期间，甲方要求终止或解除合同，甲方应根据乙方已进行的实际工作量支付款项。 </w:t>
      </w:r>
    </w:p>
    <w:p w14:paraId="20A6BC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（二）在合同生效后，由于乙方自身原因未按合同规定时间完成，每超一日，应偿付甲方合同总费用 2%的逾期违约金，违约金最高与合同技术服务费相等；逾期超过 15 日，甲方有权单方解除合同，并承担由此给甲方造成的全部损失。 </w:t>
      </w:r>
    </w:p>
    <w:p w14:paraId="2F80D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若乙方提供的咨询成果文件不符合合同要求或标准，甲方有权要求乙方对成果文件进行修改或重做，直至符合标准为止，由此产生的费用由乙方自行承担；若重做三次仍不能达到合同要求，甲方有权单方解除该合同，乙方应向甲方支付 20%违约金，并承担由此给甲方造成的全部损失。</w:t>
      </w:r>
    </w:p>
    <w:p w14:paraId="7B531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（四）不论因何种原因解除合同，乙方应于收到合同解除通知书三日内返还甲方提供的全部资料文件，不能返还的进行销毁处理。 </w:t>
      </w:r>
    </w:p>
    <w:p w14:paraId="42AED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因本合同项下违约情形，乙方给甲方造成损失的，除支付违约金外，还应赔偿甲方由此受到的损失，包括但不限于甲方因此而产生的直接损失、间接损失及为解决争议而支出的律师费、诉讼费、鉴定费、保全费、公证费等全部费用。</w:t>
      </w:r>
    </w:p>
    <w:p w14:paraId="23D1517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w:t>
      </w:r>
      <w:r>
        <w:rPr>
          <w:rFonts w:hint="eastAsia" w:ascii="宋体" w:hAnsi="宋体" w:eastAsia="宋体" w:cs="宋体"/>
          <w:b/>
          <w:bCs/>
          <w:sz w:val="24"/>
          <w:szCs w:val="24"/>
          <w:lang w:val="en-US" w:eastAsia="zh-CN"/>
        </w:rPr>
        <w:t>通知与送达</w:t>
      </w:r>
    </w:p>
    <w:p w14:paraId="6AA336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一）任何与本合同有关的需要送达或给予的通知、合同、同意或其他通信，以及争议解决阶段的司法文书送达，除双方另有约定外，应按双方当事人在本合同中列明的地址、传真、电话、电子邮件或其他联系方式进行；通过传真、电话、电子邮件发出的任何文件、资料、通知，在发出后即视为收讫。通过邮寄发出的任何文件、资料、通知，在寄出三天后即视为收讫。 </w:t>
      </w:r>
    </w:p>
    <w:p w14:paraId="74B190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（二）任何一方在本合同所列的地址、传真、电话、电子邮件或其他联系方式发生改变的，应自变更之日起 3 日内以书面形式通知对方，否则，对方按照原来的地址、传真、电话、电子邮件或其他联系方式发出的文件、资料、通知等均视为在前款约定的时间内收讫，由此产生的一切后果，均由另一方自行承担。但一方签收对方发来的上述变更通知前，已经发出的通知，视为对方已经收悉。 </w:t>
      </w:r>
    </w:p>
    <w:p w14:paraId="6B92799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九、</w:t>
      </w:r>
      <w:r>
        <w:rPr>
          <w:rFonts w:hint="eastAsia" w:ascii="宋体" w:hAnsi="宋体" w:eastAsia="宋体" w:cs="宋体"/>
          <w:b/>
          <w:bCs/>
          <w:sz w:val="24"/>
          <w:szCs w:val="24"/>
          <w:lang w:val="en-US" w:eastAsia="zh-CN"/>
        </w:rPr>
        <w:t>不可抗力</w:t>
      </w:r>
    </w:p>
    <w:p w14:paraId="7A27D39C">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发生不可抗力的，双方应立即进行磋商，寻求合理的解决方案，并且要尽一切合理努力将不可抗力造成的损失降低到最小程度。</w:t>
      </w:r>
    </w:p>
    <w:p w14:paraId="7FEC7BB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争议的解决</w:t>
      </w:r>
    </w:p>
    <w:p w14:paraId="2D670D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本合同履行过程中发生争议时，双方协商解决，协商不成的按下列第（一）种方式解决。</w:t>
      </w:r>
    </w:p>
    <w:p w14:paraId="5EC68A96">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（一）提交当地行政仲裁机关申请仲裁；</w:t>
      </w:r>
    </w:p>
    <w:p w14:paraId="62C93D1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（二）依法向甲方所在地人民法院起诉。</w:t>
      </w:r>
    </w:p>
    <w:p w14:paraId="776CE82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、其他（在合同中具体明确）</w:t>
      </w:r>
    </w:p>
    <w:p w14:paraId="20479F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本合同未尽事宜，经双方协商，签订补充协议。补充协议与本合同有同等法律效力。</w:t>
      </w:r>
    </w:p>
    <w:p w14:paraId="5814227E">
      <w:pPr>
        <w:spacing w:line="360" w:lineRule="auto"/>
        <w:rPr>
          <w:rFonts w:hint="eastAsia" w:ascii="宋体" w:hAnsi="宋体" w:eastAsia="宋体" w:cs="宋体"/>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、合同订立</w:t>
      </w:r>
    </w:p>
    <w:p w14:paraId="286324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14:paraId="2EAAFB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订立地点：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039B6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本合同一式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份，具有同等法律效力，双方各执</w:t>
      </w:r>
      <w:r>
        <w:rPr>
          <w:rFonts w:hint="eastAsia" w:ascii="宋体" w:hAnsi="宋体" w:eastAsia="宋体" w:cs="宋体"/>
          <w:sz w:val="24"/>
          <w:szCs w:val="24"/>
          <w:u w:val="single"/>
        </w:rPr>
        <w:t xml:space="preserve"> 贰  </w:t>
      </w:r>
      <w:r>
        <w:rPr>
          <w:rFonts w:hint="eastAsia" w:ascii="宋体" w:hAnsi="宋体" w:eastAsia="宋体" w:cs="宋体"/>
          <w:sz w:val="24"/>
          <w:szCs w:val="24"/>
        </w:rPr>
        <w:t>份。各方签字盖章后生效，合同执行完毕自动失效。（合同的服务承诺则长期有效）。</w:t>
      </w:r>
    </w:p>
    <w:p w14:paraId="3645A8D4">
      <w:pPr>
        <w:spacing w:line="360" w:lineRule="auto"/>
        <w:rPr>
          <w:rFonts w:hint="eastAsia" w:ascii="宋体" w:hAnsi="宋体" w:eastAsia="宋体" w:cs="宋体"/>
          <w:sz w:val="24"/>
          <w:szCs w:val="24"/>
        </w:rPr>
      </w:pPr>
    </w:p>
    <w:p w14:paraId="2CE5652B">
      <w:pPr>
        <w:spacing w:line="360" w:lineRule="auto"/>
        <w:ind w:left="7680" w:hanging="7680" w:hangingChars="320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乙方：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21A1F91A">
      <w:pPr>
        <w:spacing w:line="360" w:lineRule="auto"/>
        <w:rPr>
          <w:rFonts w:hint="eastAsia" w:ascii="宋体" w:hAnsi="宋体" w:eastAsia="宋体" w:cs="宋体"/>
          <w:sz w:val="24"/>
          <w:szCs w:val="24"/>
        </w:rPr>
      </w:pPr>
    </w:p>
    <w:p w14:paraId="059CC40A">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eastAsia="宋体" w:cs="宋体"/>
          <w:sz w:val="24"/>
          <w:szCs w:val="24"/>
          <w:lang w:eastAsia="zh-CN"/>
        </w:rPr>
        <w:t>：</w:t>
      </w:r>
    </w:p>
    <w:p w14:paraId="263C79C5">
      <w:pPr>
        <w:spacing w:line="360" w:lineRule="auto"/>
        <w:rPr>
          <w:rFonts w:hint="eastAsia" w:ascii="宋体" w:hAnsi="宋体" w:eastAsia="宋体" w:cs="宋体"/>
          <w:sz w:val="24"/>
          <w:szCs w:val="24"/>
          <w:lang w:eastAsia="zh-CN"/>
        </w:rPr>
      </w:pPr>
    </w:p>
    <w:p w14:paraId="2DF0D53D">
      <w:pPr>
        <w:spacing w:line="360" w:lineRule="auto"/>
        <w:rPr>
          <w:rFonts w:hint="eastAsia" w:ascii="宋体" w:hAnsi="宋体" w:eastAsia="宋体" w:cs="宋体"/>
          <w:sz w:val="24"/>
          <w:szCs w:val="24"/>
        </w:rPr>
      </w:pPr>
    </w:p>
    <w:p w14:paraId="6A8631AB">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其授权的代理人：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其授权的代理人：</w:t>
      </w:r>
    </w:p>
    <w:p w14:paraId="1D2D7004">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 xml:space="preserve"> </w:t>
      </w:r>
    </w:p>
    <w:p w14:paraId="3C36707F">
      <w:pPr>
        <w:spacing w:line="360" w:lineRule="auto"/>
        <w:rPr>
          <w:rFonts w:hint="default" w:ascii="宋体" w:hAnsi="宋体" w:eastAsia="宋体" w:cs="宋体"/>
          <w:sz w:val="24"/>
          <w:szCs w:val="24"/>
          <w:lang w:val="en-US" w:eastAsia="zh-CN"/>
        </w:rPr>
      </w:pPr>
      <w:r>
        <w:rPr>
          <w:rFonts w:hint="eastAsia" w:hAnsi="宋体" w:cs="宋体"/>
          <w:sz w:val="24"/>
          <w:szCs w:val="24"/>
          <w:lang w:val="en-US" w:eastAsia="zh-CN"/>
        </w:rPr>
        <w:t>电话：                                  电话：</w:t>
      </w:r>
    </w:p>
    <w:p w14:paraId="6C256363">
      <w:pPr>
        <w:spacing w:line="360" w:lineRule="auto"/>
        <w:rPr>
          <w:rFonts w:hint="eastAsia" w:ascii="宋体" w:hAnsi="宋体" w:eastAsia="宋体" w:cs="宋体"/>
          <w:sz w:val="24"/>
          <w:szCs w:val="24"/>
        </w:rPr>
      </w:pPr>
    </w:p>
    <w:p w14:paraId="3444516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年  月  日</w:t>
      </w:r>
      <w:r>
        <w:rPr>
          <w:rFonts w:hint="eastAsia" w:ascii="宋体" w:hAnsi="宋体" w:eastAsia="宋体" w:cs="宋体"/>
          <w:sz w:val="24"/>
          <w:szCs w:val="24"/>
        </w:rPr>
        <w:t xml:space="preserve">                    日期：</w:t>
      </w:r>
      <w:r>
        <w:rPr>
          <w:rFonts w:hint="eastAsia" w:ascii="宋体" w:hAnsi="宋体" w:eastAsia="宋体" w:cs="宋体"/>
          <w:sz w:val="24"/>
          <w:szCs w:val="24"/>
          <w:lang w:val="en-US" w:eastAsia="zh-CN"/>
        </w:rPr>
        <w:t xml:space="preserve">    年  月  日</w:t>
      </w:r>
    </w:p>
    <w:p w14:paraId="5742FEC3">
      <w:pPr>
        <w:spacing w:line="240" w:lineRule="auto"/>
        <w:rPr>
          <w:rFonts w:hint="eastAsia" w:ascii="宋体" w:hAnsi="宋体" w:eastAsia="宋体" w:cs="宋体"/>
          <w:highlight w:val="none"/>
        </w:rPr>
      </w:pPr>
      <w:r>
        <w:rPr>
          <w:rFonts w:hint="eastAsia" w:ascii="宋体" w:hAnsi="宋体" w:eastAsia="宋体" w:cs="宋体"/>
          <w:sz w:val="24"/>
          <w:szCs w:val="24"/>
          <w:lang w:val="en-US" w:eastAsia="zh-CN"/>
        </w:rPr>
        <w:br w:type="page"/>
      </w:r>
      <w:bookmarkEnd w:id="57"/>
      <w:bookmarkEnd w:id="58"/>
      <w:bookmarkStart w:id="68" w:name="_Toc23405"/>
    </w:p>
    <w:p w14:paraId="670494C7">
      <w:pPr>
        <w:pStyle w:val="2"/>
        <w:numPr>
          <w:ilvl w:val="0"/>
          <w:numId w:val="4"/>
        </w:numPr>
        <w:jc w:val="center"/>
        <w:rPr>
          <w:rFonts w:hint="eastAsia" w:ascii="宋体" w:hAnsi="宋体" w:eastAsia="宋体" w:cs="宋体"/>
          <w:b/>
          <w:bCs/>
          <w:sz w:val="36"/>
          <w:szCs w:val="36"/>
          <w:highlight w:val="none"/>
          <w:lang w:eastAsia="zh-CN" w:bidi="ar-SA"/>
        </w:rPr>
      </w:pPr>
      <w:r>
        <w:rPr>
          <w:rFonts w:hint="eastAsia" w:ascii="宋体" w:hAnsi="宋体" w:eastAsia="宋体" w:cs="宋体"/>
          <w:b/>
          <w:bCs/>
          <w:sz w:val="36"/>
          <w:szCs w:val="36"/>
          <w:highlight w:val="none"/>
          <w:lang w:bidi="ar-SA"/>
        </w:rPr>
        <w:t xml:space="preserve"> </w:t>
      </w:r>
      <w:bookmarkStart w:id="69" w:name="_Toc28846"/>
      <w:r>
        <w:rPr>
          <w:rFonts w:hint="eastAsia" w:ascii="宋体" w:hAnsi="宋体" w:eastAsia="宋体" w:cs="宋体"/>
          <w:b/>
          <w:bCs/>
          <w:sz w:val="36"/>
          <w:szCs w:val="36"/>
          <w:highlight w:val="none"/>
          <w:lang w:bidi="ar-SA"/>
        </w:rPr>
        <w:t>采购内容及服务要求</w:t>
      </w:r>
      <w:bookmarkEnd w:id="59"/>
      <w:bookmarkEnd w:id="60"/>
      <w:bookmarkEnd w:id="68"/>
      <w:bookmarkEnd w:id="69"/>
      <w:bookmarkStart w:id="70" w:name="_Toc18831"/>
      <w:bookmarkStart w:id="71" w:name="_Toc24046"/>
      <w:bookmarkStart w:id="72" w:name="_Toc15182"/>
    </w:p>
    <w:p w14:paraId="0FEC8F14">
      <w:pPr>
        <w:keepLines w:val="0"/>
        <w:pageBreakBefore w:val="0"/>
        <w:numPr>
          <w:ilvl w:val="0"/>
          <w:numId w:val="0"/>
        </w:numPr>
        <w:wordWrap/>
        <w:overflowPunct/>
        <w:topLinePunct w:val="0"/>
        <w:bidi w:val="0"/>
        <w:spacing w:before="0" w:line="360" w:lineRule="auto"/>
        <w:ind w:firstLine="462" w:firstLineChars="200"/>
        <w:rPr>
          <w:rFonts w:hint="eastAsia" w:ascii="宋体" w:hAnsi="宋体" w:eastAsia="宋体" w:cs="宋体"/>
          <w:b/>
          <w:bCs/>
          <w:spacing w:val="-5"/>
          <w:sz w:val="24"/>
          <w:szCs w:val="24"/>
          <w:highlight w:val="none"/>
          <w:lang w:val="en-US" w:eastAsia="zh-CN"/>
        </w:rPr>
      </w:pPr>
      <w:r>
        <w:rPr>
          <w:rFonts w:hint="eastAsia" w:hAnsi="宋体" w:cs="宋体"/>
          <w:b/>
          <w:bCs/>
          <w:spacing w:val="-5"/>
          <w:sz w:val="24"/>
          <w:szCs w:val="24"/>
          <w:highlight w:val="none"/>
          <w:lang w:val="en-US" w:eastAsia="zh-CN"/>
        </w:rPr>
        <w:t>一、</w:t>
      </w:r>
      <w:r>
        <w:rPr>
          <w:rFonts w:hint="eastAsia" w:ascii="宋体" w:hAnsi="宋体" w:eastAsia="宋体" w:cs="宋体"/>
          <w:b/>
          <w:bCs/>
          <w:spacing w:val="-5"/>
          <w:sz w:val="24"/>
          <w:szCs w:val="24"/>
          <w:highlight w:val="none"/>
          <w:lang w:val="en-US" w:eastAsia="zh-CN"/>
        </w:rPr>
        <w:t>采购内容</w:t>
      </w:r>
    </w:p>
    <w:p w14:paraId="2A2CB7D3">
      <w:pPr>
        <w:keepLines w:val="0"/>
        <w:pageBreakBefore w:val="0"/>
        <w:numPr>
          <w:ilvl w:val="0"/>
          <w:numId w:val="0"/>
        </w:numPr>
        <w:wordWrap/>
        <w:overflowPunct/>
        <w:topLinePunct w:val="0"/>
        <w:bidi w:val="0"/>
        <w:spacing w:before="0" w:line="360" w:lineRule="auto"/>
        <w:ind w:firstLine="460" w:firstLineChars="200"/>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高庄村、新庄村两个村庄的实用性村庄规划编制</w:t>
      </w:r>
    </w:p>
    <w:p w14:paraId="475BD7F8">
      <w:pPr>
        <w:keepLines w:val="0"/>
        <w:pageBreakBefore w:val="0"/>
        <w:numPr>
          <w:ilvl w:val="0"/>
          <w:numId w:val="0"/>
        </w:numPr>
        <w:wordWrap/>
        <w:overflowPunct/>
        <w:topLinePunct w:val="0"/>
        <w:bidi w:val="0"/>
        <w:spacing w:before="0" w:line="360" w:lineRule="auto"/>
        <w:ind w:firstLine="462" w:firstLineChars="200"/>
        <w:rPr>
          <w:rFonts w:hint="eastAsia" w:ascii="宋体" w:hAnsi="宋体" w:eastAsia="宋体" w:cs="宋体"/>
          <w:b/>
          <w:bCs/>
          <w:spacing w:val="-5"/>
          <w:sz w:val="24"/>
          <w:szCs w:val="24"/>
          <w:highlight w:val="none"/>
        </w:rPr>
      </w:pPr>
      <w:r>
        <w:rPr>
          <w:rFonts w:hint="eastAsia" w:ascii="宋体" w:hAnsi="宋体" w:eastAsia="宋体" w:cs="宋体"/>
          <w:b/>
          <w:bCs/>
          <w:spacing w:val="-5"/>
          <w:sz w:val="24"/>
          <w:szCs w:val="24"/>
          <w:highlight w:val="none"/>
          <w:lang w:val="en-US" w:eastAsia="zh-CN"/>
        </w:rPr>
        <w:t>二、</w:t>
      </w:r>
      <w:r>
        <w:rPr>
          <w:rFonts w:hint="eastAsia" w:ascii="宋体" w:hAnsi="宋体" w:eastAsia="宋体" w:cs="宋体"/>
          <w:b/>
          <w:bCs/>
          <w:spacing w:val="-5"/>
          <w:sz w:val="24"/>
          <w:szCs w:val="24"/>
          <w:highlight w:val="none"/>
        </w:rPr>
        <w:t>村庄规划编制内容及要求</w:t>
      </w:r>
    </w:p>
    <w:p w14:paraId="421D7D4C">
      <w:pPr>
        <w:keepLines w:val="0"/>
        <w:pageBreakBefore w:val="0"/>
        <w:numPr>
          <w:ilvl w:val="0"/>
          <w:numId w:val="0"/>
        </w:numPr>
        <w:wordWrap/>
        <w:overflowPunct/>
        <w:topLinePunct w:val="0"/>
        <w:bidi w:val="0"/>
        <w:spacing w:before="0" w:line="360" w:lineRule="auto"/>
        <w:ind w:firstLine="460" w:firstLineChars="200"/>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村域范围采用满足规划编制要求的地形图</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村庄集中建设区范围宜采用比例尺为 1:500-1:1000地形图作为工作底图。</w:t>
      </w:r>
    </w:p>
    <w:p w14:paraId="43D93B5E">
      <w:pPr>
        <w:keepLines w:val="0"/>
        <w:pageBreakBefore w:val="0"/>
        <w:numPr>
          <w:ilvl w:val="0"/>
          <w:numId w:val="0"/>
        </w:numPr>
        <w:wordWrap/>
        <w:overflowPunct/>
        <w:topLinePunct w:val="0"/>
        <w:bidi w:val="0"/>
        <w:spacing w:before="0" w:line="360" w:lineRule="auto"/>
        <w:ind w:firstLine="460" w:firstLineChars="200"/>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rPr>
        <w:t>村庄规划要与县、乡镇级国土空间规划相衔接，落实上位规划、相关专项规划及相关政策提出的各类约束性指标，针对不同类型村庄发展需求，合理确定村庄规划内容和深度。</w:t>
      </w:r>
    </w:p>
    <w:p w14:paraId="6B1D2F56">
      <w:pPr>
        <w:keepLines w:val="0"/>
        <w:pageBreakBefore w:val="0"/>
        <w:numPr>
          <w:ilvl w:val="0"/>
          <w:numId w:val="0"/>
        </w:numPr>
        <w:wordWrap/>
        <w:overflowPunct/>
        <w:topLinePunct w:val="0"/>
        <w:bidi w:val="0"/>
        <w:spacing w:before="0" w:line="360" w:lineRule="auto"/>
        <w:ind w:firstLine="462" w:firstLineChars="200"/>
        <w:rPr>
          <w:rFonts w:hint="eastAsia"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三、</w:t>
      </w:r>
      <w:r>
        <w:rPr>
          <w:rFonts w:hint="eastAsia" w:hAnsi="宋体" w:cs="宋体"/>
          <w:b/>
          <w:bCs/>
          <w:spacing w:val="-5"/>
          <w:sz w:val="24"/>
          <w:szCs w:val="24"/>
          <w:highlight w:val="none"/>
          <w:lang w:val="en-US" w:eastAsia="zh-CN"/>
        </w:rPr>
        <w:t>商务</w:t>
      </w:r>
      <w:r>
        <w:rPr>
          <w:rFonts w:hint="eastAsia" w:ascii="宋体" w:hAnsi="宋体" w:eastAsia="宋体" w:cs="宋体"/>
          <w:b/>
          <w:bCs/>
          <w:spacing w:val="-5"/>
          <w:sz w:val="24"/>
          <w:szCs w:val="24"/>
          <w:highlight w:val="none"/>
          <w:lang w:val="en-US" w:eastAsia="zh-CN"/>
        </w:rPr>
        <w:t>要求</w:t>
      </w:r>
    </w:p>
    <w:p w14:paraId="2FFE6183">
      <w:pPr>
        <w:keepLines w:val="0"/>
        <w:pageBreakBefore w:val="0"/>
        <w:numPr>
          <w:ilvl w:val="0"/>
          <w:numId w:val="0"/>
        </w:numPr>
        <w:wordWrap/>
        <w:overflowPunct/>
        <w:topLinePunct w:val="0"/>
        <w:bidi w:val="0"/>
        <w:spacing w:before="0" w:line="360" w:lineRule="auto"/>
        <w:ind w:firstLine="460" w:firstLineChars="200"/>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1、服务期限：自合同签订之日起60日历日。</w:t>
      </w:r>
    </w:p>
    <w:p w14:paraId="52012F84">
      <w:pPr>
        <w:pStyle w:val="2"/>
        <w:keepLines w:val="0"/>
        <w:pageBreakBefore w:val="0"/>
        <w:numPr>
          <w:ilvl w:val="0"/>
          <w:numId w:val="0"/>
        </w:numPr>
        <w:wordWrap/>
        <w:overflowPunct/>
        <w:topLinePunct w:val="0"/>
        <w:bidi w:val="0"/>
        <w:spacing w:line="360" w:lineRule="auto"/>
        <w:ind w:firstLine="482"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四、成果要求</w:t>
      </w:r>
    </w:p>
    <w:p w14:paraId="0803B52B">
      <w:pPr>
        <w:keepLines w:val="0"/>
        <w:pageBreakBefore w:val="0"/>
        <w:numPr>
          <w:ilvl w:val="0"/>
          <w:numId w:val="0"/>
        </w:numPr>
        <w:wordWrap/>
        <w:overflowPunct/>
        <w:topLinePunct w:val="0"/>
        <w:bidi w:val="0"/>
        <w:spacing w:before="0" w:line="360" w:lineRule="auto"/>
        <w:ind w:firstLine="460" w:firstLineChars="200"/>
        <w:rPr>
          <w:rFonts w:hint="default" w:ascii="宋体" w:hAnsi="宋体" w:eastAsia="宋体" w:cs="宋体"/>
          <w:spacing w:val="-5"/>
          <w:sz w:val="24"/>
          <w:szCs w:val="24"/>
          <w:highlight w:val="none"/>
          <w:lang w:val="en-US" w:eastAsia="zh-CN"/>
        </w:rPr>
      </w:pPr>
      <w:r>
        <w:rPr>
          <w:rFonts w:hint="eastAsia" w:hAnsi="宋体" w:cs="宋体"/>
          <w:spacing w:val="-5"/>
          <w:sz w:val="24"/>
          <w:szCs w:val="24"/>
          <w:highlight w:val="none"/>
          <w:lang w:val="en-US" w:eastAsia="zh-CN"/>
        </w:rPr>
        <w:t>1、</w:t>
      </w:r>
      <w:r>
        <w:rPr>
          <w:rFonts w:hint="default" w:ascii="宋体" w:hAnsi="宋体" w:eastAsia="宋体" w:cs="宋体"/>
          <w:spacing w:val="-5"/>
          <w:sz w:val="24"/>
          <w:szCs w:val="24"/>
          <w:highlight w:val="none"/>
          <w:lang w:val="en-US" w:eastAsia="zh-CN"/>
        </w:rPr>
        <w:t>按照中、省、市相关政策、《陕西省实用性村庄规划编制技术要点》的要求等开展规划编制，充分结合资源要素和区位条件等因素，深入挖掘空间要素资源，体现设施共享共建，融入产业发展要求；以三区三线为基础，统筹村庄发展目标、生态保护修复、耕地和永久基本农田保护、历史文化传承与保护、基础设施和基本公共服务设施布局、产业发展空间、农村住房布局、村庄安全和防灾减灾等，明确规划近期实施项目。</w:t>
      </w:r>
    </w:p>
    <w:p w14:paraId="7671D324">
      <w:pPr>
        <w:keepLines w:val="0"/>
        <w:pageBreakBefore w:val="0"/>
        <w:numPr>
          <w:ilvl w:val="0"/>
          <w:numId w:val="0"/>
        </w:numPr>
        <w:wordWrap/>
        <w:overflowPunct/>
        <w:topLinePunct w:val="0"/>
        <w:bidi w:val="0"/>
        <w:spacing w:before="0" w:line="360" w:lineRule="auto"/>
        <w:ind w:firstLine="460" w:firstLineChars="200"/>
        <w:rPr>
          <w:rFonts w:hint="eastAsia" w:ascii="宋体" w:hAnsi="宋体" w:eastAsia="宋体" w:cs="宋体"/>
          <w:spacing w:val="-5"/>
          <w:sz w:val="24"/>
          <w:szCs w:val="24"/>
          <w:highlight w:val="none"/>
          <w:lang w:val="en-US" w:eastAsia="zh-CN"/>
        </w:rPr>
      </w:pPr>
      <w:r>
        <w:rPr>
          <w:rFonts w:hint="eastAsia" w:hAnsi="宋体" w:cs="宋体"/>
          <w:spacing w:val="-5"/>
          <w:sz w:val="24"/>
          <w:szCs w:val="24"/>
          <w:highlight w:val="none"/>
          <w:lang w:val="en-US" w:eastAsia="zh-CN"/>
        </w:rPr>
        <w:t>2、</w:t>
      </w:r>
      <w:r>
        <w:rPr>
          <w:rFonts w:hint="eastAsia" w:ascii="宋体" w:hAnsi="宋体" w:eastAsia="宋体" w:cs="宋体"/>
          <w:spacing w:val="-5"/>
          <w:sz w:val="24"/>
          <w:szCs w:val="24"/>
          <w:highlight w:val="none"/>
          <w:lang w:val="en-US" w:eastAsia="zh-CN"/>
        </w:rPr>
        <w:t>成果纸质文件6套，电子文件1套。</w:t>
      </w:r>
    </w:p>
    <w:p w14:paraId="7B0DDECC">
      <w:pPr>
        <w:pStyle w:val="2"/>
        <w:jc w:val="center"/>
        <w:rPr>
          <w:rFonts w:hint="eastAsia" w:ascii="宋体" w:hAnsi="宋体" w:eastAsia="宋体" w:cs="宋体"/>
          <w:sz w:val="36"/>
          <w:szCs w:val="21"/>
          <w:highlight w:val="none"/>
          <w:lang w:bidi="ar-SA"/>
        </w:rPr>
      </w:pPr>
      <w:r>
        <w:rPr>
          <w:rFonts w:hint="eastAsia" w:ascii="宋体" w:hAnsi="宋体" w:eastAsia="宋体" w:cs="宋体"/>
          <w:sz w:val="36"/>
          <w:szCs w:val="21"/>
          <w:highlight w:val="none"/>
          <w:lang w:bidi="ar-SA"/>
        </w:rPr>
        <w:br w:type="page"/>
      </w:r>
      <w:bookmarkStart w:id="73" w:name="_Toc22529"/>
      <w:r>
        <w:rPr>
          <w:rFonts w:hint="eastAsia" w:ascii="宋体" w:hAnsi="宋体" w:eastAsia="宋体" w:cs="宋体"/>
          <w:sz w:val="36"/>
          <w:szCs w:val="21"/>
          <w:highlight w:val="none"/>
          <w:lang w:bidi="ar-SA"/>
        </w:rPr>
        <w:t>第五章  评审方法</w:t>
      </w:r>
      <w:bookmarkEnd w:id="70"/>
      <w:bookmarkEnd w:id="71"/>
      <w:bookmarkEnd w:id="72"/>
      <w:bookmarkEnd w:id="73"/>
    </w:p>
    <w:p w14:paraId="5F6B991A">
      <w:pPr>
        <w:keepNext w:val="0"/>
        <w:keepLines w:val="0"/>
        <w:pageBreakBefore w:val="0"/>
        <w:widowControl w:val="0"/>
        <w:wordWrap/>
        <w:overflowPunct/>
        <w:topLinePunct w:val="0"/>
        <w:autoSpaceDE/>
        <w:autoSpaceDN/>
        <w:bidi w:val="0"/>
        <w:spacing w:line="360" w:lineRule="auto"/>
        <w:ind w:left="0" w:leftChars="0"/>
        <w:textAlignment w:val="auto"/>
        <w:outlineLvl w:val="1"/>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一、评审方法</w:t>
      </w:r>
    </w:p>
    <w:p w14:paraId="0DEC056E">
      <w:pPr>
        <w:keepNext w:val="0"/>
        <w:keepLines w:val="0"/>
        <w:pageBreakBefore w:val="0"/>
        <w:widowControl w:val="0"/>
        <w:wordWrap/>
        <w:overflowPunct/>
        <w:topLinePunct w:val="0"/>
        <w:autoSpaceDE/>
        <w:autoSpaceDN/>
        <w:bidi w:val="0"/>
        <w:spacing w:line="360" w:lineRule="auto"/>
        <w:ind w:left="0" w:leftChars="0" w:firstLine="520" w:firstLineChars="217"/>
        <w:textAlignment w:val="auto"/>
        <w:rPr>
          <w:rFonts w:hint="eastAsia" w:ascii="宋体" w:hAnsi="宋体" w:eastAsia="宋体" w:cs="宋体"/>
          <w:spacing w:val="4"/>
          <w:szCs w:val="24"/>
          <w:highlight w:val="none"/>
          <w:lang w:bidi="ar-SA"/>
        </w:rPr>
      </w:pPr>
      <w:r>
        <w:rPr>
          <w:rFonts w:hint="eastAsia" w:ascii="宋体" w:hAnsi="宋体" w:eastAsia="宋体" w:cs="宋体"/>
          <w:szCs w:val="24"/>
          <w:highlight w:val="none"/>
          <w:lang w:bidi="ar-SA"/>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lang w:bidi="ar-SA"/>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43537D1B">
      <w:pPr>
        <w:keepNext w:val="0"/>
        <w:keepLines w:val="0"/>
        <w:pageBreakBefore w:val="0"/>
        <w:widowControl w:val="0"/>
        <w:wordWrap/>
        <w:overflowPunct/>
        <w:topLinePunct w:val="0"/>
        <w:autoSpaceDE/>
        <w:autoSpaceDN/>
        <w:bidi w:val="0"/>
        <w:spacing w:line="360" w:lineRule="auto"/>
        <w:ind w:left="0" w:leftChars="0"/>
        <w:textAlignment w:val="auto"/>
        <w:outlineLvl w:val="1"/>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二、评审标准</w:t>
      </w:r>
    </w:p>
    <w:p w14:paraId="60D9FA7B">
      <w:pPr>
        <w:keepNext w:val="0"/>
        <w:keepLines w:val="0"/>
        <w:pageBreakBefore w:val="0"/>
        <w:widowControl w:val="0"/>
        <w:tabs>
          <w:tab w:val="left" w:pos="0"/>
        </w:tabs>
        <w:wordWrap/>
        <w:overflowPunct/>
        <w:topLinePunct w:val="0"/>
        <w:autoSpaceDE/>
        <w:autoSpaceDN/>
        <w:bidi w:val="0"/>
        <w:adjustRightInd w:val="0"/>
        <w:snapToGrid w:val="0"/>
        <w:spacing w:line="360" w:lineRule="auto"/>
        <w:ind w:left="0" w:leftChars="0" w:firstLine="472" w:firstLineChars="196"/>
        <w:textAlignment w:val="auto"/>
        <w:outlineLvl w:val="2"/>
        <w:rPr>
          <w:rFonts w:hint="eastAsia" w:ascii="宋体" w:hAnsi="宋体" w:eastAsia="宋体" w:cs="宋体"/>
          <w:highlight w:val="none"/>
          <w:lang w:bidi="ar-SA"/>
        </w:rPr>
      </w:pPr>
      <w:r>
        <w:rPr>
          <w:rFonts w:hint="eastAsia" w:ascii="宋体" w:hAnsi="宋体" w:eastAsia="宋体" w:cs="宋体"/>
          <w:b/>
          <w:highlight w:val="none"/>
          <w:lang w:bidi="ar-SA"/>
        </w:rPr>
        <w:t>2.1初步评审标准</w:t>
      </w:r>
      <w:r>
        <w:rPr>
          <w:rFonts w:hint="eastAsia" w:hAnsi="宋体" w:cs="宋体"/>
          <w:b/>
          <w:highlight w:val="none"/>
          <w:lang w:val="en-US" w:eastAsia="zh-CN" w:bidi="ar-SA"/>
        </w:rPr>
        <w:t>:</w:t>
      </w:r>
      <w:r>
        <w:rPr>
          <w:rFonts w:hint="eastAsia" w:ascii="宋体" w:hAnsi="宋体" w:eastAsia="宋体" w:cs="宋体"/>
          <w:highlight w:val="none"/>
          <w:lang w:bidi="ar-SA"/>
        </w:rPr>
        <w:t>资格性审查和符合性审查</w:t>
      </w:r>
    </w:p>
    <w:p w14:paraId="52CB6CBE">
      <w:pPr>
        <w:keepNext w:val="0"/>
        <w:keepLines w:val="0"/>
        <w:pageBreakBefore w:val="0"/>
        <w:widowControl w:val="0"/>
        <w:tabs>
          <w:tab w:val="left" w:pos="0"/>
        </w:tabs>
        <w:wordWrap/>
        <w:overflowPunct/>
        <w:topLinePunct w:val="0"/>
        <w:autoSpaceDE/>
        <w:autoSpaceDN/>
        <w:bidi w:val="0"/>
        <w:adjustRightInd w:val="0"/>
        <w:snapToGrid w:val="0"/>
        <w:spacing w:line="360" w:lineRule="auto"/>
        <w:ind w:left="0" w:leftChars="0" w:firstLine="472" w:firstLineChars="196"/>
        <w:textAlignment w:val="auto"/>
        <w:outlineLvl w:val="2"/>
        <w:rPr>
          <w:rFonts w:hint="eastAsia" w:ascii="宋体" w:hAnsi="宋体" w:eastAsia="宋体" w:cs="宋体"/>
          <w:b/>
          <w:spacing w:val="4"/>
          <w:szCs w:val="24"/>
          <w:highlight w:val="none"/>
          <w:lang w:bidi="ar-SA"/>
        </w:rPr>
      </w:pPr>
      <w:r>
        <w:rPr>
          <w:rFonts w:hint="eastAsia" w:ascii="宋体" w:hAnsi="宋体" w:eastAsia="宋体" w:cs="宋体"/>
          <w:b/>
          <w:szCs w:val="22"/>
          <w:highlight w:val="none"/>
          <w:lang w:bidi="ar-SA"/>
        </w:rPr>
        <w:t>2.2分值构成与评分标准</w:t>
      </w:r>
      <w:r>
        <w:rPr>
          <w:rFonts w:hint="eastAsia" w:hAnsi="宋体" w:cs="宋体"/>
          <w:b/>
          <w:szCs w:val="22"/>
          <w:highlight w:val="none"/>
          <w:lang w:val="en-US" w:eastAsia="zh-CN" w:bidi="ar-SA"/>
        </w:rPr>
        <w:t>:</w:t>
      </w:r>
      <w:r>
        <w:rPr>
          <w:rFonts w:hint="eastAsia" w:ascii="宋体" w:hAnsi="宋体" w:eastAsia="宋体" w:cs="宋体"/>
          <w:bCs/>
          <w:szCs w:val="22"/>
          <w:highlight w:val="none"/>
          <w:lang w:bidi="ar-SA"/>
        </w:rPr>
        <w:t>评标因素及权重分值表</w:t>
      </w:r>
    </w:p>
    <w:p w14:paraId="0E11FA7D">
      <w:pPr>
        <w:keepNext w:val="0"/>
        <w:keepLines w:val="0"/>
        <w:pageBreakBefore w:val="0"/>
        <w:widowControl w:val="0"/>
        <w:wordWrap/>
        <w:overflowPunct/>
        <w:topLinePunct w:val="0"/>
        <w:autoSpaceDE/>
        <w:autoSpaceDN/>
        <w:bidi w:val="0"/>
        <w:spacing w:line="360" w:lineRule="auto"/>
        <w:ind w:left="0" w:leftChars="0"/>
        <w:textAlignment w:val="auto"/>
        <w:outlineLvl w:val="1"/>
        <w:rPr>
          <w:rFonts w:hint="eastAsia" w:ascii="宋体" w:hAnsi="宋体" w:eastAsia="宋体" w:cs="宋体"/>
          <w:b/>
          <w:spacing w:val="4"/>
          <w:szCs w:val="24"/>
          <w:highlight w:val="none"/>
          <w:lang w:bidi="ar-SA"/>
        </w:rPr>
      </w:pPr>
      <w:r>
        <w:rPr>
          <w:rFonts w:hint="eastAsia" w:ascii="宋体" w:hAnsi="宋体" w:eastAsia="宋体" w:cs="宋体"/>
          <w:b/>
          <w:spacing w:val="4"/>
          <w:szCs w:val="24"/>
          <w:highlight w:val="none"/>
          <w:lang w:bidi="ar-SA"/>
        </w:rPr>
        <w:t>三、评审程序</w:t>
      </w:r>
    </w:p>
    <w:p w14:paraId="23141B17">
      <w:pPr>
        <w:pStyle w:val="15"/>
        <w:keepNext w:val="0"/>
        <w:keepLines w:val="0"/>
        <w:pageBreakBefore w:val="0"/>
        <w:widowControl w:val="0"/>
        <w:wordWrap/>
        <w:overflowPunct/>
        <w:topLinePunct w:val="0"/>
        <w:autoSpaceDE/>
        <w:autoSpaceDN/>
        <w:bidi w:val="0"/>
        <w:spacing w:line="360" w:lineRule="auto"/>
        <w:ind w:left="0" w:leftChars="0" w:firstLine="496" w:firstLineChars="20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按照竞争性磋商响应文件初审、澄清有关问题、分别磋商、二次报价、比较与评审、推荐成交候选人名单。在上一步评审中被认定为无效磋商者，不进入下一步的评审。</w:t>
      </w:r>
    </w:p>
    <w:p w14:paraId="4AF75DF6">
      <w:pPr>
        <w:keepNext w:val="0"/>
        <w:keepLines w:val="0"/>
        <w:pageBreakBefore w:val="0"/>
        <w:widowControl w:val="0"/>
        <w:numPr>
          <w:ilvl w:val="0"/>
          <w:numId w:val="5"/>
        </w:numPr>
        <w:wordWrap/>
        <w:overflowPunct/>
        <w:topLinePunct w:val="0"/>
        <w:autoSpaceDE/>
        <w:autoSpaceDN/>
        <w:bidi w:val="0"/>
        <w:spacing w:line="360" w:lineRule="auto"/>
        <w:ind w:left="0" w:leftChars="0" w:firstLine="498" w:firstLineChars="200"/>
        <w:textAlignment w:val="auto"/>
        <w:outlineLvl w:val="2"/>
        <w:rPr>
          <w:rFonts w:hint="eastAsia" w:ascii="宋体" w:hAnsi="宋体" w:eastAsia="宋体" w:cs="宋体"/>
          <w:b/>
          <w:bCs/>
          <w:spacing w:val="4"/>
          <w:szCs w:val="24"/>
          <w:highlight w:val="none"/>
          <w:lang w:bidi="ar-SA"/>
        </w:rPr>
      </w:pPr>
      <w:r>
        <w:rPr>
          <w:rFonts w:hint="eastAsia" w:ascii="宋体" w:hAnsi="宋体" w:eastAsia="宋体" w:cs="宋体"/>
          <w:b/>
          <w:bCs/>
          <w:spacing w:val="4"/>
          <w:szCs w:val="24"/>
          <w:highlight w:val="none"/>
          <w:lang w:bidi="ar-SA"/>
        </w:rPr>
        <w:t>对磋商响应文件的初审</w:t>
      </w:r>
    </w:p>
    <w:p w14:paraId="0A17B538">
      <w:pPr>
        <w:keepNext w:val="0"/>
        <w:keepLines w:val="0"/>
        <w:pageBreakBefore w:val="0"/>
        <w:widowControl w:val="0"/>
        <w:tabs>
          <w:tab w:val="left" w:pos="0"/>
        </w:tabs>
        <w:wordWrap/>
        <w:overflowPunct/>
        <w:topLinePunct w:val="0"/>
        <w:autoSpaceDE/>
        <w:autoSpaceDN/>
        <w:bidi w:val="0"/>
        <w:adjustRightInd w:val="0"/>
        <w:snapToGrid w:val="0"/>
        <w:spacing w:line="360" w:lineRule="auto"/>
        <w:ind w:left="0" w:leftChars="0" w:firstLine="472" w:firstLineChars="196"/>
        <w:textAlignment w:val="auto"/>
        <w:rPr>
          <w:rFonts w:hint="eastAsia" w:ascii="宋体" w:hAnsi="宋体" w:eastAsia="宋体" w:cs="宋体"/>
          <w:b/>
          <w:bCs/>
          <w:highlight w:val="none"/>
          <w:lang w:bidi="ar-SA"/>
        </w:rPr>
      </w:pPr>
      <w:r>
        <w:rPr>
          <w:rFonts w:hint="eastAsia" w:ascii="宋体" w:hAnsi="宋体" w:eastAsia="宋体" w:cs="宋体"/>
          <w:b/>
          <w:bCs/>
          <w:highlight w:val="none"/>
          <w:lang w:bidi="ar-SA"/>
        </w:rPr>
        <w:t>1.1资格性审查：</w:t>
      </w:r>
      <w:r>
        <w:rPr>
          <w:rFonts w:hint="eastAsia" w:ascii="宋体" w:hAnsi="宋体" w:eastAsia="宋体" w:cs="宋体"/>
          <w:b/>
          <w:bCs/>
          <w:highlight w:val="none"/>
          <w:lang w:val="en-US" w:eastAsia="zh-CN" w:bidi="ar-SA"/>
        </w:rPr>
        <w:t>采购人</w:t>
      </w:r>
      <w:r>
        <w:rPr>
          <w:rFonts w:hint="eastAsia" w:ascii="宋体" w:hAnsi="宋体" w:eastAsia="宋体" w:cs="宋体"/>
          <w:b/>
          <w:bCs/>
          <w:highlight w:val="none"/>
          <w:lang w:bidi="ar-SA"/>
        </w:rPr>
        <w:t>将依据</w:t>
      </w:r>
      <w:r>
        <w:rPr>
          <w:rFonts w:hint="eastAsia" w:hAnsi="宋体" w:cs="宋体"/>
          <w:b/>
          <w:bCs/>
          <w:highlight w:val="none"/>
          <w:lang w:val="en-US" w:eastAsia="zh-CN" w:bidi="ar-SA"/>
        </w:rPr>
        <w:t>资格性审查表</w:t>
      </w:r>
      <w:r>
        <w:rPr>
          <w:rFonts w:hint="eastAsia" w:ascii="宋体" w:hAnsi="宋体" w:eastAsia="宋体" w:cs="宋体"/>
          <w:b/>
          <w:bCs/>
          <w:highlight w:val="none"/>
          <w:lang w:bidi="ar-SA"/>
        </w:rPr>
        <w:t>规定的评审标准对磋商响应文件进行资格性审查。有一项不符合评审标准的，将被视为未实质性响应磋商文件，其磋商响应文件将按无效文件处理。</w:t>
      </w:r>
    </w:p>
    <w:p w14:paraId="5BC98C9B">
      <w:pPr>
        <w:keepNext w:val="0"/>
        <w:keepLines w:val="0"/>
        <w:pageBreakBefore w:val="0"/>
        <w:widowControl w:val="0"/>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highlight w:val="none"/>
          <w:lang w:bidi="ar-SA"/>
        </w:rPr>
      </w:pPr>
      <w:r>
        <w:rPr>
          <w:rFonts w:hint="eastAsia" w:ascii="宋体" w:hAnsi="宋体" w:eastAsia="宋体" w:cs="宋体"/>
          <w:b/>
          <w:bCs/>
          <w:highlight w:val="none"/>
          <w:lang w:bidi="ar-SA"/>
        </w:rPr>
        <w:t>1.2符合性审查：磋商小组根据</w:t>
      </w:r>
      <w:r>
        <w:rPr>
          <w:rFonts w:hint="eastAsia" w:hAnsi="宋体" w:cs="宋体"/>
          <w:b/>
          <w:bCs/>
          <w:highlight w:val="none"/>
          <w:lang w:val="en-US" w:eastAsia="zh-CN" w:bidi="ar-SA"/>
        </w:rPr>
        <w:t>符合性审查表</w:t>
      </w:r>
      <w:r>
        <w:rPr>
          <w:rFonts w:hint="eastAsia" w:ascii="宋体" w:hAnsi="宋体" w:eastAsia="宋体" w:cs="宋体"/>
          <w:b/>
          <w:bCs/>
          <w:highlight w:val="none"/>
          <w:lang w:bidi="ar-SA"/>
        </w:rPr>
        <w:t>规定的评审标准对磋商响应文件进行符合性评审。有一项不符合评审标准的，将被视为未实质性响应磋商文件，其磋商响应文件将按无效文件处理。</w:t>
      </w:r>
    </w:p>
    <w:p w14:paraId="16ECE67F">
      <w:pPr>
        <w:keepNext w:val="0"/>
        <w:keepLines w:val="0"/>
        <w:pageBreakBefore w:val="0"/>
        <w:widowControl w:val="0"/>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szCs w:val="24"/>
          <w:highlight w:val="none"/>
          <w:lang w:bidi="ar-SA"/>
        </w:rPr>
      </w:pPr>
      <w:r>
        <w:rPr>
          <w:rFonts w:hint="eastAsia" w:ascii="宋体" w:hAnsi="宋体" w:eastAsia="宋体" w:cs="宋体"/>
          <w:b/>
          <w:bCs/>
          <w:highlight w:val="none"/>
          <w:lang w:bidi="ar-SA"/>
        </w:rPr>
        <w:t>在资格性审查阶段，不符合磋商文件要求的，不得进入符合性审查，在符合性审查时未通过的，不得进入后续评审环节。</w:t>
      </w:r>
    </w:p>
    <w:p w14:paraId="42B7A316">
      <w:pPr>
        <w:keepNext w:val="0"/>
        <w:keepLines w:val="0"/>
        <w:pageBreakBefore w:val="0"/>
        <w:widowControl w:val="0"/>
        <w:wordWrap/>
        <w:overflowPunct/>
        <w:topLinePunct w:val="0"/>
        <w:autoSpaceDE/>
        <w:autoSpaceDN/>
        <w:bidi w:val="0"/>
        <w:spacing w:line="360" w:lineRule="auto"/>
        <w:ind w:left="0" w:leftChars="0" w:firstLine="482" w:firstLineChars="200"/>
        <w:textAlignment w:val="auto"/>
        <w:outlineLvl w:val="2"/>
        <w:rPr>
          <w:rFonts w:hint="eastAsia" w:ascii="宋体" w:hAnsi="宋体" w:eastAsia="宋体" w:cs="宋体"/>
          <w:b/>
          <w:highlight w:val="none"/>
          <w:lang w:bidi="ar-SA"/>
        </w:rPr>
      </w:pPr>
      <w:r>
        <w:rPr>
          <w:rFonts w:hint="eastAsia" w:ascii="宋体" w:hAnsi="宋体" w:eastAsia="宋体" w:cs="宋体"/>
          <w:b/>
          <w:highlight w:val="none"/>
          <w:lang w:bidi="ar-SA"/>
        </w:rPr>
        <w:t>2、磋商响应文件的澄清</w:t>
      </w:r>
    </w:p>
    <w:p w14:paraId="30301820">
      <w:pPr>
        <w:keepNext w:val="0"/>
        <w:keepLines w:val="0"/>
        <w:pageBreakBefore w:val="0"/>
        <w:widowControl w:val="0"/>
        <w:wordWrap/>
        <w:overflowPunct/>
        <w:topLinePunct w:val="0"/>
        <w:autoSpaceDE/>
        <w:autoSpaceDN/>
        <w:bidi w:val="0"/>
        <w:spacing w:line="360" w:lineRule="auto"/>
        <w:ind w:left="0" w:leftChars="0" w:firstLine="496" w:firstLineChars="200"/>
        <w:textAlignment w:val="auto"/>
        <w:rPr>
          <w:rFonts w:hint="eastAsia" w:ascii="宋体" w:hAnsi="宋体" w:eastAsia="宋体" w:cs="宋体"/>
          <w:bCs/>
          <w:spacing w:val="4"/>
          <w:szCs w:val="24"/>
          <w:highlight w:val="none"/>
          <w:lang w:bidi="ar-SA"/>
        </w:rPr>
      </w:pPr>
      <w:r>
        <w:rPr>
          <w:rFonts w:hint="eastAsia" w:ascii="宋体" w:hAnsi="宋体" w:eastAsia="宋体" w:cs="宋体"/>
          <w:bCs/>
          <w:spacing w:val="4"/>
          <w:szCs w:val="24"/>
          <w:highlight w:val="none"/>
          <w:lang w:bidi="ar-SA"/>
        </w:rPr>
        <w:t>2.1磋商小组发现供应商的报价明显低于其他通过符合性审查的供应商的磋商报价、或明显低于市场价格，使得其磋商报价可能低于其成本的，应当要求该供应商在评审现场作出书面说明并提供相应的证明材料。供应商不能合理说明或者不能提供相应证明材料的，由磋商小组认定该供应商以低于成本报价竞标，其磋商响应文件作无效响应处理。</w:t>
      </w:r>
    </w:p>
    <w:p w14:paraId="57EA8113">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spacing w:val="4"/>
          <w:szCs w:val="24"/>
          <w:highlight w:val="none"/>
          <w:lang w:bidi="ar-SA"/>
        </w:rPr>
      </w:pPr>
      <w:r>
        <w:rPr>
          <w:rFonts w:hint="eastAsia" w:ascii="宋体" w:hAnsi="宋体" w:eastAsia="宋体" w:cs="宋体"/>
          <w:szCs w:val="24"/>
          <w:highlight w:val="none"/>
          <w:lang w:bidi="ar-SA"/>
        </w:rPr>
        <w:t>2.2有效的书面澄清材料，是磋商响应文件的补充材料，成为磋商响应文件的组成部分。</w:t>
      </w:r>
    </w:p>
    <w:p w14:paraId="0BBEDBC2">
      <w:pPr>
        <w:keepNext w:val="0"/>
        <w:keepLines w:val="0"/>
        <w:pageBreakBefore w:val="0"/>
        <w:widowControl w:val="0"/>
        <w:wordWrap/>
        <w:overflowPunct/>
        <w:topLinePunct w:val="0"/>
        <w:autoSpaceDE/>
        <w:autoSpaceDN/>
        <w:bidi w:val="0"/>
        <w:spacing w:line="360" w:lineRule="auto"/>
        <w:ind w:left="0" w:leftChars="0" w:firstLine="501" w:firstLineChars="208"/>
        <w:textAlignment w:val="auto"/>
        <w:outlineLvl w:val="2"/>
        <w:rPr>
          <w:rFonts w:hint="eastAsia" w:ascii="宋体" w:hAnsi="宋体" w:eastAsia="宋体" w:cs="宋体"/>
          <w:b/>
          <w:bCs/>
          <w:szCs w:val="24"/>
          <w:highlight w:val="none"/>
          <w:lang w:bidi="ar-SA"/>
        </w:rPr>
      </w:pPr>
      <w:r>
        <w:rPr>
          <w:rFonts w:hint="eastAsia" w:ascii="宋体" w:hAnsi="宋体" w:eastAsia="宋体" w:cs="宋体"/>
          <w:b/>
          <w:bCs/>
          <w:szCs w:val="24"/>
          <w:highlight w:val="none"/>
          <w:lang w:bidi="ar-SA"/>
        </w:rPr>
        <w:t>3、磋商</w:t>
      </w:r>
    </w:p>
    <w:p w14:paraId="5ABD1758">
      <w:pPr>
        <w:keepNext w:val="0"/>
        <w:keepLines w:val="0"/>
        <w:pageBreakBefore w:val="0"/>
        <w:widowControl w:val="0"/>
        <w:wordWrap/>
        <w:overflowPunct/>
        <w:topLinePunct w:val="0"/>
        <w:autoSpaceDE/>
        <w:autoSpaceDN/>
        <w:bidi w:val="0"/>
        <w:spacing w:line="360" w:lineRule="auto"/>
        <w:ind w:left="0" w:leftChars="0" w:firstLine="499" w:firstLineChars="208"/>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磋商小组所有成员集中与单一供应商分别进行磋商，并要求供应商在规定的时间内提交最后报价。</w:t>
      </w:r>
    </w:p>
    <w:p w14:paraId="14FF614E">
      <w:pPr>
        <w:keepNext w:val="0"/>
        <w:keepLines w:val="0"/>
        <w:pageBreakBefore w:val="0"/>
        <w:widowControl w:val="0"/>
        <w:wordWrap/>
        <w:overflowPunct/>
        <w:topLinePunct w:val="0"/>
        <w:autoSpaceDE/>
        <w:autoSpaceDN/>
        <w:bidi w:val="0"/>
        <w:spacing w:line="360" w:lineRule="auto"/>
        <w:ind w:left="0" w:leftChars="0" w:firstLine="482" w:firstLineChars="200"/>
        <w:textAlignment w:val="auto"/>
        <w:outlineLvl w:val="2"/>
        <w:rPr>
          <w:rFonts w:hint="eastAsia" w:ascii="宋体" w:hAnsi="宋体" w:eastAsia="宋体" w:cs="宋体"/>
          <w:b/>
          <w:bCs/>
          <w:szCs w:val="24"/>
          <w:highlight w:val="none"/>
          <w:lang w:bidi="ar-SA"/>
        </w:rPr>
      </w:pPr>
      <w:r>
        <w:rPr>
          <w:rFonts w:hint="eastAsia" w:ascii="宋体" w:hAnsi="宋体" w:eastAsia="宋体" w:cs="宋体"/>
          <w:b/>
          <w:bCs/>
          <w:szCs w:val="24"/>
          <w:highlight w:val="none"/>
          <w:lang w:bidi="ar-SA"/>
        </w:rPr>
        <w:t>4、磋商过程中的实质性变动</w:t>
      </w:r>
    </w:p>
    <w:p w14:paraId="5F9C021D">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4.1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5D79262B">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highlight w:val="none"/>
          <w:lang w:bidi="ar-SA"/>
        </w:rPr>
      </w:pPr>
      <w:r>
        <w:rPr>
          <w:rFonts w:hint="eastAsia" w:ascii="宋体" w:hAnsi="宋体" w:eastAsia="宋体" w:cs="宋体"/>
          <w:szCs w:val="24"/>
          <w:highlight w:val="none"/>
          <w:lang w:bidi="ar-SA"/>
        </w:rPr>
        <w:t>4.2对竞争性磋商文件做出的实质性变动是磋商文件的有效组成部分，磋商小组应当及时以书面形式通知所有参加磋商的供应商。</w:t>
      </w:r>
    </w:p>
    <w:p w14:paraId="49EDB1B7">
      <w:pPr>
        <w:keepNext w:val="0"/>
        <w:keepLines w:val="0"/>
        <w:pageBreakBefore w:val="0"/>
        <w:widowControl w:val="0"/>
        <w:numPr>
          <w:ilvl w:val="0"/>
          <w:numId w:val="0"/>
        </w:numPr>
        <w:tabs>
          <w:tab w:val="left" w:pos="0"/>
        </w:tabs>
        <w:wordWrap/>
        <w:overflowPunct/>
        <w:topLinePunct w:val="0"/>
        <w:autoSpaceDE/>
        <w:autoSpaceDN/>
        <w:bidi w:val="0"/>
        <w:spacing w:line="360" w:lineRule="auto"/>
        <w:ind w:left="0" w:leftChars="0" w:firstLine="480" w:firstLineChars="0"/>
        <w:textAlignment w:val="auto"/>
        <w:outlineLvl w:val="2"/>
        <w:rPr>
          <w:rFonts w:hint="eastAsia" w:ascii="宋体" w:hAnsi="宋体" w:eastAsia="宋体" w:cs="宋体"/>
          <w:b/>
          <w:bCs/>
          <w:szCs w:val="24"/>
          <w:highlight w:val="none"/>
          <w:lang w:bidi="ar-SA"/>
        </w:rPr>
      </w:pPr>
      <w:r>
        <w:rPr>
          <w:rFonts w:hint="eastAsia" w:ascii="宋体" w:hAnsi="宋体" w:eastAsia="宋体" w:cs="宋体"/>
          <w:b/>
          <w:bCs/>
          <w:sz w:val="24"/>
          <w:szCs w:val="24"/>
          <w:highlight w:val="none"/>
          <w:lang w:val="en-US" w:eastAsia="zh-CN" w:bidi="ar-SA"/>
        </w:rPr>
        <w:t>1、</w:t>
      </w:r>
      <w:r>
        <w:rPr>
          <w:rFonts w:hint="eastAsia" w:ascii="宋体" w:hAnsi="宋体" w:eastAsia="宋体" w:cs="宋体"/>
          <w:b/>
          <w:bCs/>
          <w:szCs w:val="24"/>
          <w:highlight w:val="none"/>
          <w:lang w:bidi="ar-SA"/>
        </w:rPr>
        <w:t>综合评审</w:t>
      </w:r>
    </w:p>
    <w:p w14:paraId="42CC5FD1">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对于经初审合格的所有供应商，由磋商小组各成员依据磋商响应文件和最终报价，按照下列《评标因素及权重分值表》规定的内容独立进行综合评价、比较打分，然后汇总每个供应商的得分，从高到低依次排序，推荐成交候选人。</w:t>
      </w:r>
    </w:p>
    <w:p w14:paraId="21AC8E21">
      <w:pPr>
        <w:keepNext w:val="0"/>
        <w:keepLines w:val="0"/>
        <w:pageBreakBefore w:val="0"/>
        <w:widowControl w:val="0"/>
        <w:wordWrap/>
        <w:overflowPunct/>
        <w:topLinePunct w:val="0"/>
        <w:autoSpaceDE/>
        <w:autoSpaceDN/>
        <w:bidi w:val="0"/>
        <w:spacing w:line="360" w:lineRule="auto"/>
        <w:ind w:left="0" w:leftChars="0" w:firstLine="482" w:firstLineChars="200"/>
        <w:textAlignment w:val="auto"/>
        <w:outlineLvl w:val="2"/>
        <w:rPr>
          <w:rFonts w:hint="eastAsia" w:ascii="宋体" w:hAnsi="宋体" w:eastAsia="宋体" w:cs="宋体"/>
          <w:b/>
          <w:bCs/>
          <w:szCs w:val="24"/>
          <w:highlight w:val="none"/>
          <w:lang w:bidi="ar-SA"/>
        </w:rPr>
      </w:pPr>
      <w:r>
        <w:rPr>
          <w:rFonts w:hint="eastAsia" w:ascii="宋体" w:hAnsi="宋体" w:eastAsia="宋体" w:cs="宋体"/>
          <w:b/>
          <w:bCs/>
          <w:szCs w:val="24"/>
          <w:highlight w:val="none"/>
          <w:lang w:bidi="ar-SA"/>
        </w:rPr>
        <w:t>6、推荐成交候选人</w:t>
      </w:r>
    </w:p>
    <w:p w14:paraId="40591CE8">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szCs w:val="24"/>
          <w:highlight w:val="none"/>
          <w:lang w:bidi="ar-SA"/>
        </w:rPr>
      </w:pPr>
      <w:r>
        <w:rPr>
          <w:rFonts w:hint="eastAsia" w:ascii="宋体" w:hAnsi="宋体" w:eastAsia="宋体" w:cs="宋体"/>
          <w:szCs w:val="24"/>
          <w:highlight w:val="none"/>
          <w:lang w:bidi="ar-SA"/>
        </w:rPr>
        <w:t>磋商小组完成评审后，向采购人提出书面评审，并推荐3名成交候选人，标明排列顺序。</w:t>
      </w:r>
    </w:p>
    <w:p w14:paraId="0AF3C99D">
      <w:pPr>
        <w:keepNext w:val="0"/>
        <w:keepLines w:val="0"/>
        <w:pageBreakBefore w:val="0"/>
        <w:widowControl w:val="0"/>
        <w:wordWrap/>
        <w:overflowPunct/>
        <w:topLinePunct w:val="0"/>
        <w:autoSpaceDE/>
        <w:autoSpaceDN/>
        <w:bidi w:val="0"/>
        <w:spacing w:line="360" w:lineRule="auto"/>
        <w:ind w:left="0" w:leftChars="0"/>
        <w:textAlignment w:val="auto"/>
        <w:outlineLvl w:val="1"/>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四、磋商小组当履行下列义务</w:t>
      </w:r>
    </w:p>
    <w:p w14:paraId="41DA045B">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1、遵纪守法，客观、公正、廉洁地履行职责；</w:t>
      </w:r>
    </w:p>
    <w:p w14:paraId="52A81581">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2、根据采购文件的规定独立进行评审，对个人的评审意见承担法律责任；</w:t>
      </w:r>
    </w:p>
    <w:p w14:paraId="7F3A69EB">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3、参与评审报告的起草；</w:t>
      </w:r>
    </w:p>
    <w:p w14:paraId="0ABA4AA9">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4、配合采购人、采购代理机构答复供应商提出的质疑；</w:t>
      </w:r>
    </w:p>
    <w:p w14:paraId="13512253">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5、配合财政部门的投诉处理和监督检查工作。</w:t>
      </w:r>
    </w:p>
    <w:p w14:paraId="56278FA8">
      <w:pPr>
        <w:pStyle w:val="11"/>
        <w:keepNext w:val="0"/>
        <w:keepLines w:val="0"/>
        <w:pageBreakBefore w:val="0"/>
        <w:widowControl w:val="0"/>
        <w:wordWrap/>
        <w:overflowPunct/>
        <w:topLinePunct w:val="0"/>
        <w:autoSpaceDE/>
        <w:autoSpaceDN/>
        <w:bidi w:val="0"/>
        <w:spacing w:line="360" w:lineRule="auto"/>
        <w:ind w:left="0" w:leftChars="0" w:firstLine="0" w:firstLineChars="0"/>
        <w:textAlignment w:val="auto"/>
        <w:outlineLvl w:val="1"/>
        <w:rPr>
          <w:rFonts w:hint="eastAsia" w:ascii="宋体" w:hAnsi="宋体" w:eastAsia="宋体" w:cs="宋体"/>
          <w:b/>
          <w:bCs/>
          <w:spacing w:val="4"/>
          <w:sz w:val="24"/>
          <w:szCs w:val="24"/>
          <w:highlight w:val="none"/>
          <w:lang w:bidi="ar-SA"/>
        </w:rPr>
      </w:pPr>
      <w:r>
        <w:rPr>
          <w:rFonts w:hint="eastAsia" w:ascii="宋体" w:hAnsi="宋体" w:eastAsia="宋体" w:cs="宋体"/>
          <w:b/>
          <w:sz w:val="24"/>
          <w:szCs w:val="24"/>
          <w:highlight w:val="none"/>
          <w:lang w:bidi="ar-SA"/>
        </w:rPr>
        <w:t>五、</w:t>
      </w:r>
      <w:r>
        <w:rPr>
          <w:rFonts w:hint="eastAsia" w:ascii="宋体" w:hAnsi="宋体" w:eastAsia="宋体" w:cs="宋体"/>
          <w:b/>
          <w:bCs/>
          <w:spacing w:val="4"/>
          <w:sz w:val="24"/>
          <w:szCs w:val="24"/>
          <w:highlight w:val="none"/>
          <w:lang w:bidi="ar-SA"/>
        </w:rPr>
        <w:t>无效响应文件</w:t>
      </w:r>
    </w:p>
    <w:p w14:paraId="12BBA06D">
      <w:pPr>
        <w:keepNext w:val="0"/>
        <w:keepLines w:val="0"/>
        <w:pageBreakBefore w:val="0"/>
        <w:widowControl w:val="0"/>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出现下列情形之一的，磋商响应文件无效：</w:t>
      </w:r>
    </w:p>
    <w:p w14:paraId="5A34963A">
      <w:pPr>
        <w:keepNext w:val="0"/>
        <w:keepLines w:val="0"/>
        <w:pageBreakBefore w:val="0"/>
        <w:widowControl w:val="0"/>
        <w:tabs>
          <w:tab w:val="left" w:pos="1260"/>
        </w:tabs>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1、没有按照竞争性磋商文件要求提供的竞争性磋商响应文件、竞争性磋商响应文件构成有重大缺项、磋商响应文件格式不符合竞争性磋商文件要求；</w:t>
      </w:r>
    </w:p>
    <w:p w14:paraId="48B2B8C4">
      <w:pPr>
        <w:keepNext w:val="0"/>
        <w:keepLines w:val="0"/>
        <w:pageBreakBefore w:val="0"/>
        <w:widowControl w:val="0"/>
        <w:kinsoku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pacing w:val="-6"/>
          <w:highlight w:val="none"/>
          <w:lang w:bidi="ar-SA"/>
        </w:rPr>
      </w:pPr>
      <w:r>
        <w:rPr>
          <w:rFonts w:hint="eastAsia" w:ascii="宋体" w:hAnsi="宋体" w:eastAsia="宋体" w:cs="宋体"/>
          <w:highlight w:val="none"/>
          <w:lang w:bidi="ar-SA"/>
        </w:rPr>
        <w:t>2、竞争性磋商响应文件未按竞争性磋商文件要求签署、盖章的；</w:t>
      </w:r>
    </w:p>
    <w:p w14:paraId="0482D8E9">
      <w:pPr>
        <w:keepNext w:val="0"/>
        <w:keepLines w:val="0"/>
        <w:pageBreakBefore w:val="0"/>
        <w:widowControl w:val="0"/>
        <w:tabs>
          <w:tab w:val="left" w:pos="1260"/>
        </w:tabs>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3、资格证明文件不全的或无效的，或不符合国家规定的；</w:t>
      </w:r>
    </w:p>
    <w:p w14:paraId="411AC2A8">
      <w:pPr>
        <w:keepNext w:val="0"/>
        <w:keepLines w:val="0"/>
        <w:pageBreakBefore w:val="0"/>
        <w:widowControl w:val="0"/>
        <w:tabs>
          <w:tab w:val="left" w:pos="1260"/>
        </w:tabs>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4、</w:t>
      </w:r>
      <w:r>
        <w:rPr>
          <w:rFonts w:hint="eastAsia" w:ascii="宋体" w:hAnsi="宋体" w:eastAsia="宋体" w:cs="宋体"/>
          <w:spacing w:val="-6"/>
          <w:highlight w:val="none"/>
          <w:lang w:bidi="ar-SA"/>
        </w:rPr>
        <w:t>无磋商有效期或有效期达不到竞争性磋商文件要求的</w:t>
      </w:r>
      <w:r>
        <w:rPr>
          <w:rFonts w:hint="eastAsia" w:ascii="宋体" w:hAnsi="宋体" w:eastAsia="宋体" w:cs="宋体"/>
          <w:szCs w:val="24"/>
          <w:highlight w:val="none"/>
          <w:lang w:bidi="ar-SA"/>
        </w:rPr>
        <w:t>；</w:t>
      </w:r>
    </w:p>
    <w:p w14:paraId="1E13B829">
      <w:pPr>
        <w:keepNext w:val="0"/>
        <w:keepLines w:val="0"/>
        <w:pageBreakBefore w:val="0"/>
        <w:widowControl w:val="0"/>
        <w:tabs>
          <w:tab w:val="left" w:pos="1260"/>
        </w:tabs>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5、供应商有串通磋商、以他人名义磋商、行贿、</w:t>
      </w:r>
      <w:r>
        <w:rPr>
          <w:rFonts w:hint="eastAsia" w:ascii="宋体" w:hAnsi="宋体" w:eastAsia="宋体" w:cs="宋体"/>
          <w:highlight w:val="none"/>
          <w:lang w:bidi="ar-SA"/>
        </w:rPr>
        <w:t>提供虚假证明（包括第三方提供的虚假证明），开具虚假资质，出现虚假应答的，除按无效文件处理外，还将按照政府采购的有关规定进行处罚；</w:t>
      </w:r>
    </w:p>
    <w:p w14:paraId="66BCC526">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6、磋商总报价超过竞争性磋商文件公布的采购预算或最高限价的；</w:t>
      </w:r>
    </w:p>
    <w:p w14:paraId="0CA11B5F">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7、磋商响应文件含有采购人不能接受的附加条件的；</w:t>
      </w:r>
    </w:p>
    <w:p w14:paraId="191FE567">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8、磋商响应文件未</w:t>
      </w:r>
      <w:r>
        <w:rPr>
          <w:rFonts w:hint="eastAsia" w:ascii="宋体" w:hAnsi="宋体" w:eastAsia="宋体" w:cs="宋体"/>
          <w:szCs w:val="24"/>
          <w:highlight w:val="none"/>
          <w:lang w:val="en-US" w:eastAsia="zh-CN" w:bidi="ar-SA"/>
        </w:rPr>
        <w:t>在规定时间内</w:t>
      </w:r>
      <w:r>
        <w:rPr>
          <w:rFonts w:hint="eastAsia" w:ascii="宋体" w:hAnsi="宋体" w:eastAsia="宋体" w:cs="宋体"/>
          <w:szCs w:val="24"/>
          <w:highlight w:val="none"/>
          <w:lang w:bidi="ar-SA"/>
        </w:rPr>
        <w:t>上传或上传失败的；</w:t>
      </w:r>
    </w:p>
    <w:p w14:paraId="34164E58">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Cs w:val="24"/>
          <w:highlight w:val="none"/>
          <w:lang w:bidi="ar-SA"/>
        </w:rPr>
      </w:pPr>
      <w:r>
        <w:rPr>
          <w:rFonts w:hint="eastAsia" w:ascii="宋体" w:hAnsi="宋体" w:eastAsia="宋体" w:cs="宋体"/>
          <w:szCs w:val="24"/>
          <w:highlight w:val="none"/>
          <w:lang w:bidi="ar-SA"/>
        </w:rPr>
        <w:t>9、法律、法规规定的其他无效情形。</w:t>
      </w:r>
    </w:p>
    <w:p w14:paraId="38220C64">
      <w:pPr>
        <w:spacing w:line="480" w:lineRule="exact"/>
        <w:jc w:val="left"/>
        <w:outlineLvl w:val="1"/>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六、政策性扣减</w:t>
      </w:r>
    </w:p>
    <w:p w14:paraId="18C40999">
      <w:pPr>
        <w:spacing w:line="360" w:lineRule="auto"/>
        <w:ind w:firstLine="482" w:firstLineChars="200"/>
        <w:outlineLvl w:val="2"/>
        <w:rPr>
          <w:rFonts w:hint="eastAsia" w:ascii="宋体" w:hAnsi="宋体" w:eastAsia="宋体" w:cs="宋体"/>
          <w:b/>
          <w:bCs/>
          <w:szCs w:val="24"/>
          <w:highlight w:val="none"/>
          <w:lang w:bidi="ar-SA"/>
        </w:rPr>
      </w:pPr>
      <w:r>
        <w:rPr>
          <w:rFonts w:hint="eastAsia" w:ascii="宋体" w:hAnsi="宋体" w:eastAsia="宋体" w:cs="宋体"/>
          <w:b/>
          <w:bCs/>
          <w:szCs w:val="24"/>
          <w:highlight w:val="none"/>
          <w:lang w:bidi="ar-SA"/>
        </w:rPr>
        <w:t>1、政策性扣减范围</w:t>
      </w:r>
    </w:p>
    <w:p w14:paraId="2A854FA5">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1.1供应商符合小型、微型企业或监狱企业、残疾人福利性单位条件的，其投标报价价格评审时将按相应比例进行扣减。</w:t>
      </w:r>
    </w:p>
    <w:p w14:paraId="57C3C141">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1.2依据关于印发《政府采购促进中小企业发展管理办法》的通知（财库〔2020〕46号）的规定，在政府采购活动中，供应商提供的货物、工程或者服务符合下列情形的，享受中小企业扶持政策：</w:t>
      </w:r>
    </w:p>
    <w:p w14:paraId="3A0B45EC">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1.2.1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民法典》订立劳动合同的从业人员。</w:t>
      </w:r>
    </w:p>
    <w:p w14:paraId="01FAC248">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1.2.2在货物采购项目中，供应商提供的货物既有中小企业制造货物，也有大型企业制造货物的，不享受本办法规定的中小企业扶持政策。</w:t>
      </w:r>
    </w:p>
    <w:p w14:paraId="799EF554">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1.2.3以联合体形式参加政府采购活动，联合体各方均为中小企业的，联合体视同中小企业。其中，联合体各方均为小微企业的，联合体视同小微企业。</w:t>
      </w:r>
    </w:p>
    <w:p w14:paraId="14389799">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1.2.4中小企业参加政府采购活动，应当出具符合财库财库〔2020〕46号规定的《中小企业声明函》,否则不得享受相关中小企业扶持政策。</w:t>
      </w:r>
    </w:p>
    <w:p w14:paraId="376638F8">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1.3采购人拟采购产品属于优先采购节能、环境标志产品范围的，应当优先采购节能、环境标志产品；拟采购产品符合政府采购强制采购政策的，实行强制采购。</w:t>
      </w:r>
    </w:p>
    <w:p w14:paraId="45FDABE5">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1.3.1采购人依据节能产品、环境标志产品品目清单和节能、环境标志产品认证证书实施政府优先采购和强制采购。</w:t>
      </w:r>
    </w:p>
    <w:p w14:paraId="2C37D424">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05C7E388">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1.4监狱企业参加政府采购活动时，应当提供由省级以上监狱管理局、戒毒管理局(含新疆生产建设兵团)出具的属于监狱企业的证明文件。监狱企业参加政府采购活动时，视同小型、微型企业。</w:t>
      </w:r>
    </w:p>
    <w:p w14:paraId="659F4C37">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49585AA">
      <w:pPr>
        <w:spacing w:line="360" w:lineRule="auto"/>
        <w:ind w:firstLine="482" w:firstLineChars="200"/>
        <w:outlineLvl w:val="2"/>
        <w:rPr>
          <w:rFonts w:hint="eastAsia" w:ascii="宋体" w:hAnsi="宋体" w:eastAsia="宋体" w:cs="宋体"/>
          <w:b/>
          <w:szCs w:val="24"/>
          <w:highlight w:val="none"/>
          <w:lang w:bidi="ar-SA"/>
        </w:rPr>
      </w:pPr>
      <w:r>
        <w:rPr>
          <w:rFonts w:hint="eastAsia" w:ascii="宋体" w:hAnsi="宋体" w:eastAsia="宋体" w:cs="宋体"/>
          <w:b/>
          <w:szCs w:val="24"/>
          <w:highlight w:val="none"/>
          <w:lang w:bidi="ar-SA"/>
        </w:rPr>
        <w:t>2、政策性扣减方式</w:t>
      </w:r>
    </w:p>
    <w:p w14:paraId="046A7E55">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2.1</w:t>
      </w:r>
      <w:r>
        <w:rPr>
          <w:rFonts w:hint="eastAsia" w:ascii="宋体" w:hAnsi="宋体" w:eastAsia="宋体" w:cs="宋体"/>
          <w:szCs w:val="24"/>
          <w:highlight w:val="none"/>
          <w:lang w:val="en-US" w:eastAsia="zh-CN" w:bidi="ar-SA"/>
        </w:rPr>
        <w:t>根据</w:t>
      </w:r>
      <w:r>
        <w:rPr>
          <w:rFonts w:hint="eastAsia" w:ascii="宋体" w:hAnsi="宋体" w:eastAsia="宋体" w:cs="宋体"/>
          <w:szCs w:val="24"/>
          <w:highlight w:val="none"/>
          <w:lang w:bidi="ar-SA"/>
        </w:rPr>
        <w:t>《政府采购促进中小企业发展管理办法》（财库〔2020〕46号）</w:t>
      </w:r>
      <w:r>
        <w:rPr>
          <w:rFonts w:hint="eastAsia" w:ascii="宋体" w:hAnsi="宋体" w:eastAsia="宋体" w:cs="宋体"/>
          <w:szCs w:val="24"/>
          <w:highlight w:val="none"/>
          <w:lang w:eastAsia="zh-CN" w:bidi="ar-SA"/>
        </w:rPr>
        <w:t>、《</w:t>
      </w:r>
      <w:r>
        <w:rPr>
          <w:rFonts w:hint="eastAsia" w:ascii="宋体" w:hAnsi="宋体" w:eastAsia="宋体" w:cs="宋体"/>
          <w:szCs w:val="24"/>
          <w:highlight w:val="none"/>
          <w:lang w:val="en-US" w:eastAsia="zh-CN" w:bidi="ar-SA"/>
        </w:rPr>
        <w:t>陕西省财政厅关于进一步加大政府采购支持中小企业力度的通知》（陕财办采〔2022〕5号）</w:t>
      </w:r>
      <w:r>
        <w:rPr>
          <w:rFonts w:hint="eastAsia" w:ascii="宋体" w:hAnsi="宋体" w:eastAsia="宋体" w:cs="宋体"/>
          <w:szCs w:val="24"/>
          <w:highlight w:val="none"/>
          <w:lang w:eastAsia="zh-CN" w:bidi="ar-SA"/>
        </w:rPr>
        <w:t>，</w:t>
      </w:r>
      <w:r>
        <w:rPr>
          <w:rFonts w:hint="eastAsia" w:ascii="宋体" w:hAnsi="宋体" w:eastAsia="宋体" w:cs="宋体"/>
          <w:szCs w:val="24"/>
          <w:highlight w:val="none"/>
          <w:lang w:bidi="ar-SA"/>
        </w:rPr>
        <w:t>对于</w:t>
      </w:r>
      <w:r>
        <w:rPr>
          <w:rFonts w:hint="eastAsia" w:ascii="宋体" w:hAnsi="宋体" w:eastAsia="宋体" w:cs="宋体"/>
          <w:spacing w:val="8"/>
          <w:szCs w:val="24"/>
          <w:highlight w:val="none"/>
          <w:lang w:bidi="ar-SA"/>
        </w:rPr>
        <w:t>未预留份额专门</w:t>
      </w:r>
      <w:r>
        <w:rPr>
          <w:rFonts w:hint="eastAsia" w:ascii="宋体" w:hAnsi="宋体" w:eastAsia="宋体" w:cs="宋体"/>
          <w:szCs w:val="24"/>
          <w:highlight w:val="none"/>
          <w:lang w:bidi="ar-SA"/>
        </w:rPr>
        <w:t>面向中小企业采购的采购项目，以及预留份额项目的非预</w:t>
      </w:r>
      <w:r>
        <w:rPr>
          <w:rFonts w:hint="eastAsia" w:ascii="宋体" w:hAnsi="宋体" w:eastAsia="宋体" w:cs="宋体"/>
          <w:spacing w:val="-2"/>
          <w:szCs w:val="24"/>
          <w:highlight w:val="none"/>
          <w:lang w:bidi="ar-SA"/>
        </w:rPr>
        <w:t>留部分采购包中</w:t>
      </w:r>
      <w:r>
        <w:rPr>
          <w:rFonts w:hint="eastAsia" w:ascii="宋体" w:hAnsi="宋体" w:eastAsia="宋体" w:cs="宋体"/>
          <w:szCs w:val="24"/>
          <w:highlight w:val="none"/>
          <w:lang w:bidi="ar-SA"/>
        </w:rPr>
        <w:t>符合条件的小微企业报价给予10%的扣除。</w:t>
      </w:r>
    </w:p>
    <w:p w14:paraId="6FF28A88">
      <w:pPr>
        <w:spacing w:line="360" w:lineRule="auto"/>
        <w:ind w:firstLine="480" w:firstLineChars="200"/>
        <w:rPr>
          <w:rFonts w:hint="eastAsia" w:ascii="宋体" w:hAnsi="宋体" w:eastAsia="宋体" w:cs="宋体"/>
          <w:b/>
          <w:bCs/>
          <w:szCs w:val="24"/>
          <w:highlight w:val="none"/>
          <w:lang w:bidi="ar-SA"/>
        </w:rPr>
      </w:pPr>
      <w:r>
        <w:rPr>
          <w:rFonts w:hint="eastAsia" w:ascii="宋体" w:hAnsi="宋体" w:eastAsia="宋体" w:cs="宋体"/>
          <w:szCs w:val="24"/>
          <w:highlight w:val="none"/>
          <w:lang w:bidi="ar-SA"/>
        </w:rPr>
        <w:t>2.2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组成联合体或者接受分包的小微企业与联合体内其他企业、分包企业之间存在直接控股、管理关系的，不享受价格扣除优惠政策。</w:t>
      </w:r>
      <w:r>
        <w:rPr>
          <w:rFonts w:hint="eastAsia" w:ascii="宋体" w:hAnsi="宋体" w:eastAsia="宋体" w:cs="宋体"/>
          <w:b/>
          <w:bCs/>
          <w:szCs w:val="24"/>
          <w:highlight w:val="none"/>
          <w:lang w:bidi="ar-SA"/>
        </w:rPr>
        <w:t>享受扶持政策获得政府采购合同的，小微企业不得将合同分包给大中型企业，中型企业不得将合同分包给大型企业。</w:t>
      </w:r>
    </w:p>
    <w:p w14:paraId="7801E529">
      <w:pPr>
        <w:spacing w:line="360" w:lineRule="auto"/>
        <w:ind w:firstLine="480" w:firstLineChars="200"/>
        <w:jc w:val="left"/>
        <w:rPr>
          <w:rFonts w:hint="eastAsia" w:ascii="宋体" w:hAnsi="宋体" w:eastAsia="宋体" w:cs="宋体"/>
          <w:szCs w:val="24"/>
          <w:highlight w:val="none"/>
          <w:lang w:bidi="ar-SA"/>
        </w:rPr>
      </w:pPr>
      <w:r>
        <w:rPr>
          <w:rFonts w:hint="eastAsia" w:ascii="宋体" w:hAnsi="宋体" w:eastAsia="宋体" w:cs="宋体"/>
          <w:szCs w:val="24"/>
          <w:highlight w:val="none"/>
          <w:lang w:bidi="ar-SA"/>
        </w:rPr>
        <w:t>2.3监狱企业、残疾人福利性单位视同小微企业，享受预留份额、评审中价格扣除等促进中小企业发展的政府采购政策。监狱企业、残疾人福利性单位属于小微企业的，不重复享受政策。</w:t>
      </w:r>
    </w:p>
    <w:p w14:paraId="512FA628">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2.4供应商享受支持中小型企业发展政策优惠的，可以同时享受节能、环境标志产品优先采购政策。</w:t>
      </w:r>
    </w:p>
    <w:p w14:paraId="5E2270FC">
      <w:pPr>
        <w:spacing w:line="460" w:lineRule="exact"/>
        <w:ind w:left="480" w:leftChars="200"/>
        <w:jc w:val="left"/>
        <w:rPr>
          <w:rFonts w:hint="eastAsia" w:ascii="宋体" w:hAnsi="宋体" w:eastAsia="宋体" w:cs="宋体"/>
          <w:b/>
          <w:bCs/>
          <w:szCs w:val="24"/>
          <w:highlight w:val="none"/>
          <w:lang w:bidi="ar-SA"/>
        </w:rPr>
      </w:pPr>
      <w:r>
        <w:rPr>
          <w:rFonts w:hint="eastAsia" w:ascii="宋体" w:hAnsi="宋体" w:eastAsia="宋体" w:cs="宋体"/>
          <w:b/>
          <w:bCs/>
          <w:szCs w:val="24"/>
          <w:highlight w:val="none"/>
          <w:lang w:bidi="ar-SA"/>
        </w:rPr>
        <w:t>3、成交价格=成交供应商的最终磋商报价。</w:t>
      </w:r>
    </w:p>
    <w:p w14:paraId="517EC837">
      <w:pPr>
        <w:pStyle w:val="15"/>
        <w:spacing w:line="460" w:lineRule="exact"/>
        <w:ind w:left="0" w:leftChars="0" w:firstLine="0" w:firstLineChars="0"/>
        <w:outlineLvl w:val="1"/>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bidi="ar-SA"/>
        </w:rPr>
        <w:t>七、成交</w:t>
      </w:r>
    </w:p>
    <w:p w14:paraId="4648DEB1">
      <w:pPr>
        <w:spacing w:line="460" w:lineRule="exact"/>
        <w:ind w:firstLine="496" w:firstLineChars="200"/>
        <w:rPr>
          <w:rFonts w:hint="eastAsia" w:ascii="宋体" w:hAnsi="宋体" w:eastAsia="宋体" w:cs="宋体"/>
          <w:spacing w:val="4"/>
          <w:szCs w:val="24"/>
          <w:highlight w:val="none"/>
          <w:lang w:bidi="ar-SA"/>
        </w:rPr>
      </w:pPr>
      <w:r>
        <w:rPr>
          <w:rFonts w:hint="eastAsia" w:ascii="宋体" w:hAnsi="宋体" w:eastAsia="宋体" w:cs="宋体"/>
          <w:spacing w:val="4"/>
          <w:szCs w:val="24"/>
          <w:highlight w:val="none"/>
          <w:lang w:bidi="ar-SA"/>
        </w:rPr>
        <w:t>1、磋商结果报告由磋商小组全体成员签字确认。</w:t>
      </w:r>
    </w:p>
    <w:p w14:paraId="393CB387">
      <w:pPr>
        <w:spacing w:line="460" w:lineRule="exact"/>
        <w:ind w:firstLine="496" w:firstLineChars="200"/>
        <w:rPr>
          <w:rFonts w:hint="eastAsia" w:ascii="宋体" w:hAnsi="宋体" w:eastAsia="宋体" w:cs="宋体"/>
          <w:spacing w:val="4"/>
          <w:szCs w:val="24"/>
          <w:highlight w:val="none"/>
          <w:lang w:bidi="ar-SA"/>
        </w:rPr>
      </w:pPr>
      <w:r>
        <w:rPr>
          <w:rFonts w:hint="eastAsia" w:ascii="宋体" w:hAnsi="宋体" w:eastAsia="宋体" w:cs="宋体"/>
          <w:spacing w:val="4"/>
          <w:szCs w:val="24"/>
          <w:highlight w:val="none"/>
          <w:lang w:bidi="ar-SA"/>
        </w:rPr>
        <w:t>2、采购人根据磋商结果报告中推荐的成交候选人确定成交供应商，以复函通知采购代理机构。</w:t>
      </w:r>
    </w:p>
    <w:p w14:paraId="538302BB">
      <w:pPr>
        <w:spacing w:line="460" w:lineRule="exact"/>
        <w:outlineLvl w:val="1"/>
        <w:rPr>
          <w:rFonts w:hint="eastAsia" w:ascii="宋体" w:hAnsi="宋体" w:eastAsia="宋体" w:cs="宋体"/>
          <w:b/>
          <w:bCs/>
          <w:spacing w:val="4"/>
          <w:kern w:val="2"/>
          <w:szCs w:val="24"/>
          <w:highlight w:val="none"/>
          <w:lang w:bidi="ar-SA"/>
        </w:rPr>
      </w:pPr>
      <w:r>
        <w:rPr>
          <w:rFonts w:hint="eastAsia" w:ascii="宋体" w:hAnsi="宋体" w:eastAsia="宋体" w:cs="宋体"/>
          <w:b/>
          <w:szCs w:val="24"/>
          <w:highlight w:val="none"/>
          <w:lang w:bidi="ar-SA"/>
        </w:rPr>
        <w:t>八、</w:t>
      </w:r>
      <w:r>
        <w:rPr>
          <w:rFonts w:hint="eastAsia" w:ascii="宋体" w:hAnsi="宋体" w:eastAsia="宋体" w:cs="宋体"/>
          <w:b/>
          <w:bCs/>
          <w:spacing w:val="4"/>
          <w:kern w:val="2"/>
          <w:szCs w:val="24"/>
          <w:highlight w:val="none"/>
          <w:lang w:bidi="ar-SA"/>
        </w:rPr>
        <w:t>特殊情况的处理</w:t>
      </w:r>
    </w:p>
    <w:p w14:paraId="7D88DB31">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1、计算错误将按以下方法更正：</w:t>
      </w:r>
    </w:p>
    <w:p w14:paraId="00770EAB">
      <w:pPr>
        <w:spacing w:line="500" w:lineRule="exact"/>
        <w:ind w:firstLine="480" w:firstLineChars="200"/>
        <w:rPr>
          <w:rFonts w:hint="eastAsia" w:ascii="宋体" w:hAnsi="宋体" w:eastAsia="宋体" w:cs="宋体"/>
          <w:szCs w:val="24"/>
          <w:highlight w:val="none"/>
          <w:lang w:eastAsia="zh-CN" w:bidi="ar-SA"/>
        </w:rPr>
      </w:pPr>
      <w:r>
        <w:rPr>
          <w:rFonts w:hint="eastAsia" w:ascii="宋体" w:hAnsi="宋体" w:eastAsia="宋体" w:cs="宋体"/>
          <w:szCs w:val="24"/>
          <w:highlight w:val="none"/>
          <w:lang w:bidi="ar-SA"/>
        </w:rPr>
        <w:t>1.1磋商响应文件中报价一览表(报价表)内容与磋商响应文件中相应内容不一致的，以报价一览表(报价表)为准</w:t>
      </w:r>
      <w:r>
        <w:rPr>
          <w:rFonts w:hint="eastAsia" w:ascii="宋体" w:hAnsi="宋体" w:eastAsia="宋体" w:cs="宋体"/>
          <w:szCs w:val="24"/>
          <w:highlight w:val="none"/>
          <w:lang w:eastAsia="zh-CN" w:bidi="ar-SA"/>
        </w:rPr>
        <w:t>。</w:t>
      </w:r>
    </w:p>
    <w:p w14:paraId="6C558886">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1.2磋商响应文件的大写金额和小写金额不一致的，以大写金额为准；</w:t>
      </w:r>
    </w:p>
    <w:p w14:paraId="115A22B1">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1.3单价金额小数点或者百分比有明显错位的，以报价一览表的总价为准，并修改单价；</w:t>
      </w:r>
    </w:p>
    <w:p w14:paraId="5E8ADDC7">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1.4总价金额与按单价汇总金额不一致的，以单价金额计算结果为准。</w:t>
      </w:r>
    </w:p>
    <w:p w14:paraId="1BC88E98">
      <w:pPr>
        <w:spacing w:line="500" w:lineRule="exact"/>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按上述修正的顺序和方法调整的报价应对供应商具有约束力。如果供应商不接受修正后的价格，其响应文件将按无效响应处理。</w:t>
      </w:r>
    </w:p>
    <w:p w14:paraId="7D639F46">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2、对于竞争性磋商响应文件中明显的标点符号错误或不构成实质性偏差的不正规、不一致或不规则，采购人可以接受。</w:t>
      </w:r>
    </w:p>
    <w:p w14:paraId="3F57020B">
      <w:pPr>
        <w:spacing w:line="360" w:lineRule="auto"/>
        <w:ind w:firstLine="480" w:firstLineChars="200"/>
        <w:rPr>
          <w:rFonts w:hint="eastAsia" w:ascii="宋体" w:hAnsi="宋体" w:eastAsia="宋体" w:cs="宋体"/>
          <w:szCs w:val="24"/>
          <w:highlight w:val="none"/>
          <w:lang w:bidi="ar-SA"/>
        </w:rPr>
      </w:pPr>
      <w:r>
        <w:rPr>
          <w:rFonts w:hint="eastAsia" w:ascii="宋体" w:hAnsi="宋体" w:eastAsia="宋体" w:cs="宋体"/>
          <w:szCs w:val="24"/>
          <w:highlight w:val="none"/>
          <w:lang w:bidi="ar-SA"/>
        </w:rPr>
        <w:t>3、采用竞争性磋商采购方式采购的政府购买服务项目（含政府和社会资本合作项目），</w:t>
      </w:r>
      <w:r>
        <w:rPr>
          <w:rFonts w:hint="eastAsia" w:ascii="宋体" w:hAnsi="宋体" w:eastAsia="宋体" w:cs="宋体"/>
          <w:highlight w:val="none"/>
          <w:lang w:bidi="ar-SA"/>
        </w:rPr>
        <w:t>采购过程中符合要求的供应商</w:t>
      </w:r>
      <w:r>
        <w:rPr>
          <w:rFonts w:hint="eastAsia" w:ascii="宋体" w:hAnsi="宋体" w:eastAsia="宋体" w:cs="宋体"/>
          <w:szCs w:val="24"/>
          <w:highlight w:val="none"/>
          <w:lang w:bidi="ar-SA"/>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1F605ED">
      <w:pPr>
        <w:pStyle w:val="10"/>
        <w:spacing w:after="0" w:line="360" w:lineRule="auto"/>
        <w:ind w:firstLine="496" w:firstLineChars="200"/>
        <w:rPr>
          <w:rFonts w:hint="eastAsia" w:ascii="宋体" w:hAnsi="宋体" w:eastAsia="宋体" w:cs="宋体"/>
          <w:spacing w:val="4"/>
          <w:sz w:val="24"/>
          <w:szCs w:val="24"/>
          <w:highlight w:val="none"/>
          <w:lang w:bidi="ar-SA"/>
        </w:rPr>
      </w:pPr>
      <w:r>
        <w:rPr>
          <w:rFonts w:hint="eastAsia" w:ascii="宋体" w:hAnsi="宋体" w:eastAsia="宋体" w:cs="宋体"/>
          <w:spacing w:val="4"/>
          <w:sz w:val="24"/>
          <w:szCs w:val="24"/>
          <w:highlight w:val="none"/>
          <w:lang w:bidi="ar-SA"/>
        </w:rPr>
        <w:t>4、磋商过程中，若出现本评审方法以外的特殊情况时，将暂停评审，待磋商小组商榷后，再进行评定。</w:t>
      </w:r>
    </w:p>
    <w:p w14:paraId="36F5EDF2">
      <w:pPr>
        <w:pStyle w:val="10"/>
        <w:rPr>
          <w:rFonts w:hint="eastAsia" w:ascii="宋体" w:hAnsi="宋体" w:eastAsia="宋体" w:cs="宋体"/>
          <w:spacing w:val="4"/>
          <w:sz w:val="24"/>
          <w:szCs w:val="24"/>
          <w:highlight w:val="none"/>
          <w:lang w:bidi="ar-SA"/>
        </w:rPr>
      </w:pPr>
    </w:p>
    <w:p w14:paraId="27DEFF80">
      <w:pPr>
        <w:pStyle w:val="10"/>
        <w:rPr>
          <w:rFonts w:hint="eastAsia" w:ascii="宋体" w:hAnsi="宋体" w:eastAsia="宋体" w:cs="宋体"/>
          <w:spacing w:val="4"/>
          <w:sz w:val="24"/>
          <w:szCs w:val="24"/>
          <w:highlight w:val="none"/>
          <w:lang w:bidi="ar-SA"/>
        </w:rPr>
      </w:pPr>
    </w:p>
    <w:p w14:paraId="1A46EE31">
      <w:pPr>
        <w:pStyle w:val="10"/>
        <w:rPr>
          <w:rFonts w:hint="eastAsia" w:ascii="宋体" w:hAnsi="宋体" w:eastAsia="宋体" w:cs="宋体"/>
          <w:spacing w:val="4"/>
          <w:sz w:val="24"/>
          <w:szCs w:val="24"/>
          <w:highlight w:val="none"/>
          <w:lang w:bidi="ar-SA"/>
        </w:rPr>
      </w:pPr>
    </w:p>
    <w:p w14:paraId="001E0B0E">
      <w:pPr>
        <w:pStyle w:val="10"/>
        <w:rPr>
          <w:rFonts w:hint="eastAsia" w:ascii="宋体" w:hAnsi="宋体" w:eastAsia="宋体" w:cs="宋体"/>
          <w:spacing w:val="4"/>
          <w:sz w:val="24"/>
          <w:szCs w:val="24"/>
          <w:highlight w:val="none"/>
          <w:lang w:bidi="ar-SA"/>
        </w:rPr>
      </w:pPr>
    </w:p>
    <w:p w14:paraId="6616FC9F">
      <w:pPr>
        <w:pStyle w:val="10"/>
        <w:outlineLvl w:val="2"/>
        <w:rPr>
          <w:rFonts w:hint="eastAsia" w:ascii="宋体" w:hAnsi="宋体" w:eastAsia="宋体" w:cs="宋体"/>
          <w:b/>
          <w:bCs/>
          <w:sz w:val="24"/>
          <w:szCs w:val="24"/>
          <w:highlight w:val="none"/>
          <w:lang w:bidi="ar-SA"/>
        </w:rPr>
      </w:pPr>
    </w:p>
    <w:p w14:paraId="64775FA4">
      <w:pPr>
        <w:pStyle w:val="10"/>
        <w:outlineLvl w:val="2"/>
        <w:rPr>
          <w:rFonts w:hint="eastAsia" w:ascii="宋体" w:hAnsi="宋体" w:eastAsia="宋体" w:cs="宋体"/>
          <w:b/>
          <w:bCs/>
          <w:sz w:val="24"/>
          <w:szCs w:val="24"/>
          <w:highlight w:val="none"/>
          <w:lang w:bidi="ar-SA"/>
        </w:rPr>
      </w:pPr>
    </w:p>
    <w:p w14:paraId="70901D51">
      <w:pPr>
        <w:pStyle w:val="10"/>
        <w:outlineLvl w:val="2"/>
        <w:rPr>
          <w:rFonts w:hint="eastAsia" w:ascii="宋体" w:hAnsi="宋体" w:eastAsia="宋体" w:cs="宋体"/>
          <w:b/>
          <w:bCs/>
          <w:sz w:val="24"/>
          <w:szCs w:val="24"/>
          <w:highlight w:val="none"/>
          <w:lang w:bidi="ar-SA"/>
        </w:rPr>
      </w:pPr>
    </w:p>
    <w:p w14:paraId="08F25DAA">
      <w:pPr>
        <w:pStyle w:val="10"/>
        <w:outlineLvl w:val="2"/>
        <w:rPr>
          <w:rFonts w:hint="eastAsia" w:ascii="宋体" w:hAnsi="宋体" w:eastAsia="宋体" w:cs="宋体"/>
          <w:b/>
          <w:bCs/>
          <w:sz w:val="24"/>
          <w:szCs w:val="24"/>
          <w:highlight w:val="none"/>
          <w:lang w:bidi="ar-SA"/>
        </w:rPr>
      </w:pPr>
    </w:p>
    <w:p w14:paraId="38AB85D2">
      <w:pPr>
        <w:pStyle w:val="10"/>
        <w:outlineLvl w:val="2"/>
        <w:rPr>
          <w:rFonts w:hint="eastAsia" w:ascii="宋体" w:hAnsi="宋体" w:eastAsia="宋体" w:cs="宋体"/>
          <w:b/>
          <w:bCs/>
          <w:sz w:val="24"/>
          <w:szCs w:val="24"/>
          <w:highlight w:val="none"/>
          <w:lang w:bidi="ar-SA"/>
        </w:rPr>
      </w:pPr>
    </w:p>
    <w:p w14:paraId="0CB83723">
      <w:pPr>
        <w:pStyle w:val="10"/>
        <w:outlineLvl w:val="2"/>
        <w:rPr>
          <w:rFonts w:hint="eastAsia" w:ascii="宋体" w:hAnsi="宋体" w:eastAsia="宋体" w:cs="宋体"/>
          <w:b/>
          <w:bCs/>
          <w:sz w:val="24"/>
          <w:szCs w:val="24"/>
          <w:highlight w:val="none"/>
          <w:lang w:bidi="ar-SA"/>
        </w:rPr>
      </w:pPr>
    </w:p>
    <w:p w14:paraId="2DE3BF5C">
      <w:pPr>
        <w:pStyle w:val="10"/>
        <w:outlineLvl w:val="2"/>
        <w:rPr>
          <w:rFonts w:hint="eastAsia" w:ascii="宋体" w:hAnsi="宋体" w:eastAsia="宋体" w:cs="宋体"/>
          <w:b/>
          <w:bCs/>
          <w:sz w:val="24"/>
          <w:szCs w:val="24"/>
          <w:highlight w:val="none"/>
          <w:lang w:bidi="ar-SA"/>
        </w:rPr>
      </w:pPr>
    </w:p>
    <w:p w14:paraId="35F7C875">
      <w:pPr>
        <w:keepNext w:val="0"/>
        <w:keepLines w:val="0"/>
        <w:pageBreakBefore w:val="0"/>
        <w:kinsoku/>
        <w:wordWrap/>
        <w:overflowPunct/>
        <w:topLinePunct w:val="0"/>
        <w:autoSpaceDE/>
        <w:autoSpaceDN/>
        <w:bidi w:val="0"/>
        <w:adjustRightInd/>
        <w:snapToGrid/>
        <w:spacing w:line="360" w:lineRule="auto"/>
        <w:ind w:firstLine="498" w:firstLineChars="200"/>
        <w:textAlignment w:val="auto"/>
        <w:rPr>
          <w:rFonts w:hint="eastAsia" w:ascii="宋体" w:hAnsi="宋体" w:eastAsia="宋体" w:cs="宋体"/>
          <w:b/>
          <w:spacing w:val="4"/>
          <w:sz w:val="24"/>
          <w:szCs w:val="24"/>
          <w:highlight w:val="none"/>
        </w:rPr>
      </w:pPr>
      <w:r>
        <w:rPr>
          <w:rFonts w:hint="eastAsia" w:ascii="宋体" w:hAnsi="宋体" w:eastAsia="宋体" w:cs="宋体"/>
          <w:b/>
          <w:spacing w:val="4"/>
          <w:sz w:val="24"/>
          <w:szCs w:val="24"/>
          <w:highlight w:val="none"/>
          <w:lang w:val="en-US" w:eastAsia="zh-CN"/>
        </w:rPr>
        <w:t>1.1</w:t>
      </w:r>
      <w:r>
        <w:rPr>
          <w:rFonts w:hint="eastAsia" w:ascii="宋体" w:hAnsi="宋体" w:eastAsia="宋体" w:cs="宋体"/>
          <w:b/>
          <w:spacing w:val="4"/>
          <w:sz w:val="24"/>
          <w:szCs w:val="24"/>
          <w:highlight w:val="none"/>
        </w:rPr>
        <w:t>资格审查</w:t>
      </w:r>
      <w:r>
        <w:rPr>
          <w:rFonts w:hint="eastAsia" w:ascii="宋体" w:hAnsi="宋体" w:eastAsia="宋体" w:cs="宋体"/>
          <w:b/>
          <w:spacing w:val="4"/>
          <w:sz w:val="24"/>
          <w:szCs w:val="24"/>
          <w:highlight w:val="none"/>
          <w:lang w:val="en-US" w:eastAsia="zh-CN"/>
        </w:rPr>
        <w:t>表</w:t>
      </w:r>
      <w:r>
        <w:rPr>
          <w:rFonts w:hint="eastAsia" w:ascii="宋体" w:hAnsi="宋体" w:eastAsia="宋体" w:cs="宋体"/>
          <w:b/>
          <w:spacing w:val="4"/>
          <w:sz w:val="24"/>
          <w:szCs w:val="24"/>
          <w:highlight w:val="none"/>
        </w:rPr>
        <w:t>：</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888"/>
        <w:gridCol w:w="6140"/>
      </w:tblGrid>
      <w:tr w14:paraId="34AE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39" w:type="pct"/>
            <w:noWrap w:val="0"/>
            <w:vAlign w:val="center"/>
          </w:tcPr>
          <w:p w14:paraId="145B1F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049" w:type="pct"/>
            <w:noWrap w:val="0"/>
            <w:vAlign w:val="center"/>
          </w:tcPr>
          <w:p w14:paraId="552C3B8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资格审查项</w:t>
            </w:r>
          </w:p>
        </w:tc>
        <w:tc>
          <w:tcPr>
            <w:tcW w:w="3411" w:type="pct"/>
            <w:noWrap w:val="0"/>
            <w:vAlign w:val="center"/>
          </w:tcPr>
          <w:p w14:paraId="7C449DD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评审</w:t>
            </w:r>
            <w:r>
              <w:rPr>
                <w:rFonts w:hint="eastAsia" w:ascii="宋体" w:hAnsi="宋体" w:eastAsia="宋体" w:cs="宋体"/>
                <w:b/>
                <w:bCs/>
                <w:sz w:val="24"/>
                <w:szCs w:val="24"/>
                <w:highlight w:val="none"/>
                <w:lang w:val="en-US" w:eastAsia="zh-CN"/>
              </w:rPr>
              <w:t>标准</w:t>
            </w:r>
          </w:p>
        </w:tc>
      </w:tr>
      <w:tr w14:paraId="3660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39" w:type="pct"/>
            <w:noWrap w:val="0"/>
            <w:vAlign w:val="center"/>
          </w:tcPr>
          <w:p w14:paraId="5817BE5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49" w:type="pct"/>
            <w:noWrap w:val="0"/>
            <w:vAlign w:val="center"/>
          </w:tcPr>
          <w:p w14:paraId="16C30B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营业执照等主体资格证明文件</w:t>
            </w:r>
          </w:p>
        </w:tc>
        <w:tc>
          <w:tcPr>
            <w:tcW w:w="3411" w:type="pct"/>
            <w:noWrap w:val="0"/>
            <w:vAlign w:val="center"/>
          </w:tcPr>
          <w:p w14:paraId="4D75277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提供合格有效的法人或者其他组织的营业执照等证明文 </w:t>
            </w:r>
          </w:p>
          <w:p w14:paraId="1448FF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件，自然人的身份证明； </w:t>
            </w:r>
          </w:p>
          <w:p w14:paraId="30CA40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评审依据：供应商是法人或其他组织的应提供营业执照 </w:t>
            </w:r>
          </w:p>
          <w:p w14:paraId="1B4112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等证明文件，供应商是自然人的应提供有效的自然人身 </w:t>
            </w:r>
          </w:p>
          <w:p w14:paraId="7E6FC8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份证明。证明材料复印件加盖供应商公章</w:t>
            </w:r>
            <w:r>
              <w:rPr>
                <w:rFonts w:hint="eastAsia" w:hAnsi="宋体" w:cs="宋体"/>
                <w:b/>
                <w:bCs/>
                <w:color w:val="000000"/>
                <w:kern w:val="0"/>
                <w:sz w:val="24"/>
                <w:szCs w:val="24"/>
                <w:highlight w:val="none"/>
                <w:lang w:val="en-US" w:eastAsia="zh-CN" w:bidi="ar"/>
              </w:rPr>
              <w:t>。</w:t>
            </w:r>
          </w:p>
        </w:tc>
      </w:tr>
      <w:tr w14:paraId="320D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39" w:type="pct"/>
            <w:noWrap w:val="0"/>
            <w:vAlign w:val="center"/>
          </w:tcPr>
          <w:p w14:paraId="547048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049" w:type="pct"/>
            <w:noWrap w:val="0"/>
            <w:vAlign w:val="center"/>
          </w:tcPr>
          <w:p w14:paraId="6FC063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基本资格条件</w:t>
            </w:r>
          </w:p>
          <w:p w14:paraId="27C8933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3411" w:type="pct"/>
            <w:noWrap w:val="0"/>
            <w:vAlign w:val="center"/>
          </w:tcPr>
          <w:p w14:paraId="276F2A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基本资格条件： 提供《基本资格条件承诺函》，供应商应对承诺内容的真实性、合法性、有效性负责。经调查核实为虚假承诺的，视同为“提供虚假材料 谋取中标、成交”的违法行为，依照《中华人民共和国政府采购法》等法律法规追究相应责任。承诺函格式详情见磋商文件第六章响应文件格式。</w:t>
            </w:r>
          </w:p>
          <w:p w14:paraId="399F36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备注：不提供《基本资格条件承诺函》的供应商需提交如下资格证明文件：①财务状况报告：2023年度的财务报告或提交响应文件截止时间前六个月内其基本账户开户银行出具的资信证明；其他组织和自然人提供银行出具的资信证明或财务报表（如提供资信证明，须同时提供基本存款账户开户许可证或基本账户信息表）； ②社保缴纳证明：提供2024年</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月至今已缴存至少一个月社会保障资金缴纳的有效证明，依法不需要缴纳社会保障资金的单位应提供相关证明材料。③税收缴纳证明：提供2024年</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 xml:space="preserve">月至今已缴纳的至少一个月的纳税证明或完税证明，依法免税的单位应提供相关证明材料，纳税证明或完税证明上应有代收机构或税务机 关的公章或业务专用章。依法免税的供应商应提供相关文件证明。④供应商近3年内，在经营活动中没有重大违法记录：参加本次政府采购活动前3年内在经营活动中没有重大违纪，以及未被列入失信被执行人、重大税收违法案件当事人名单、政府采购严重违法失信行为记录名单的书面声明。⑤所必需的设备和专业技术能力：提供具有履行本合同所必需的设备和专业技术能力的声明。 </w:t>
            </w:r>
          </w:p>
        </w:tc>
      </w:tr>
      <w:tr w14:paraId="0597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539" w:type="pct"/>
            <w:noWrap w:val="0"/>
            <w:vAlign w:val="center"/>
          </w:tcPr>
          <w:p w14:paraId="48D3EB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049" w:type="pct"/>
            <w:noWrap w:val="0"/>
            <w:vAlign w:val="center"/>
          </w:tcPr>
          <w:p w14:paraId="3B79701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身份授权</w:t>
            </w:r>
          </w:p>
        </w:tc>
        <w:tc>
          <w:tcPr>
            <w:tcW w:w="3411" w:type="pct"/>
            <w:noWrap w:val="0"/>
            <w:vAlign w:val="center"/>
          </w:tcPr>
          <w:p w14:paraId="3BBC8168">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 xml:space="preserve">供应商应授权合法的人员参加磋商全过程，其中法定代表人直接参加磋商的，须出具法人身份证，并与营业执照上信息一致。法定代表人授权代表参加磋商的，须出具法定代表人授权书及授权代表身份证； </w:t>
            </w:r>
          </w:p>
        </w:tc>
      </w:tr>
      <w:tr w14:paraId="6EF7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39" w:type="pct"/>
            <w:noWrap w:val="0"/>
            <w:vAlign w:val="center"/>
          </w:tcPr>
          <w:p w14:paraId="1263182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049" w:type="pct"/>
            <w:noWrap w:val="0"/>
            <w:vAlign w:val="center"/>
          </w:tcPr>
          <w:p w14:paraId="0DAA709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信用记录</w:t>
            </w:r>
          </w:p>
        </w:tc>
        <w:tc>
          <w:tcPr>
            <w:tcW w:w="3411" w:type="pct"/>
            <w:noWrap w:val="0"/>
            <w:vAlign w:val="center"/>
          </w:tcPr>
          <w:p w14:paraId="3F9E5BA5">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供应商不得为“信用中国”网站（www.creditchina.gov.cn）中列入失信被执行人、重大税收违法失信主体</w:t>
            </w:r>
            <w:r>
              <w:rPr>
                <w:rFonts w:hint="eastAsia" w:ascii="宋体" w:hAnsi="宋体" w:eastAsia="宋体" w:cs="宋体"/>
                <w:bCs/>
                <w:color w:val="auto"/>
                <w:kern w:val="2"/>
                <w:sz w:val="24"/>
                <w:szCs w:val="24"/>
                <w:lang w:val="en-US" w:eastAsia="zh-CN"/>
              </w:rPr>
              <w:t>、政府采购严重违法失信行为记录的供应商。不得为中</w:t>
            </w:r>
            <w:r>
              <w:rPr>
                <w:rFonts w:hint="eastAsia" w:ascii="宋体" w:hAnsi="宋体" w:eastAsia="宋体" w:cs="宋体"/>
                <w:sz w:val="24"/>
                <w:szCs w:val="24"/>
                <w:highlight w:val="none"/>
                <w:lang w:val="en-US" w:eastAsia="zh-CN"/>
              </w:rPr>
              <w:t>国政府采购网（www.ccgp.gov.cn）政府采购严重违法失信行为记录名单中被财政部门禁止参加政府采购活动的供应商（提供查询结果网页截图并加盖供应商公章）；</w:t>
            </w:r>
          </w:p>
        </w:tc>
      </w:tr>
      <w:tr w14:paraId="0EB8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9" w:type="pct"/>
            <w:noWrap w:val="0"/>
            <w:vAlign w:val="center"/>
          </w:tcPr>
          <w:p w14:paraId="7B739C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049" w:type="pct"/>
            <w:noWrap w:val="0"/>
            <w:vAlign w:val="center"/>
          </w:tcPr>
          <w:p w14:paraId="0789096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供应商资质</w:t>
            </w:r>
          </w:p>
        </w:tc>
        <w:tc>
          <w:tcPr>
            <w:tcW w:w="3411" w:type="pct"/>
            <w:noWrap w:val="0"/>
            <w:vAlign w:val="center"/>
          </w:tcPr>
          <w:p w14:paraId="596FE99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供应商须具有行政主管部门颁发的城乡规划乙级及以上资质或土地规划乙级及以上资质</w:t>
            </w:r>
            <w:r>
              <w:rPr>
                <w:rFonts w:hint="eastAsia" w:ascii="宋体" w:hAnsi="宋体" w:eastAsia="宋体" w:cs="宋体"/>
                <w:sz w:val="24"/>
                <w:szCs w:val="24"/>
                <w:highlight w:val="none"/>
                <w:lang w:val="en-US" w:eastAsia="zh-CN"/>
              </w:rPr>
              <w:t>；</w:t>
            </w:r>
          </w:p>
        </w:tc>
      </w:tr>
      <w:tr w14:paraId="6AF1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9" w:type="pct"/>
            <w:noWrap w:val="0"/>
            <w:vAlign w:val="center"/>
          </w:tcPr>
          <w:p w14:paraId="3533419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hAnsi="宋体" w:cs="宋体"/>
                <w:sz w:val="24"/>
                <w:szCs w:val="24"/>
                <w:lang w:val="en-US" w:eastAsia="zh-CN"/>
              </w:rPr>
              <w:t>1.5</w:t>
            </w:r>
          </w:p>
        </w:tc>
        <w:tc>
          <w:tcPr>
            <w:tcW w:w="1049" w:type="pct"/>
            <w:noWrap w:val="0"/>
            <w:vAlign w:val="center"/>
          </w:tcPr>
          <w:p w14:paraId="12DB301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拟派项目负责人</w:t>
            </w:r>
          </w:p>
        </w:tc>
        <w:tc>
          <w:tcPr>
            <w:tcW w:w="3411" w:type="pct"/>
            <w:noWrap w:val="0"/>
            <w:vAlign w:val="center"/>
          </w:tcPr>
          <w:p w14:paraId="38A0D89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333333"/>
                <w:sz w:val="24"/>
                <w:szCs w:val="24"/>
                <w:highlight w:val="none"/>
                <w:shd w:val="clear" w:color="auto" w:fill="FFFFFF"/>
                <w:lang w:val="en-US" w:eastAsia="zh-CN" w:bidi="ar-SA"/>
              </w:rPr>
            </w:pPr>
            <w:r>
              <w:rPr>
                <w:rFonts w:hint="eastAsia" w:ascii="宋体" w:hAnsi="宋体" w:eastAsia="宋体" w:cs="宋体"/>
                <w:b w:val="0"/>
                <w:bCs/>
                <w:color w:val="333333"/>
                <w:sz w:val="24"/>
                <w:szCs w:val="24"/>
                <w:highlight w:val="none"/>
                <w:shd w:val="clear" w:color="auto" w:fill="FFFFFF"/>
                <w:lang w:val="en-US" w:eastAsia="zh-CN" w:bidi="ar-SA"/>
              </w:rPr>
              <w:t>拟派项目负责人须具备相关专业中级及以上职称证书。</w:t>
            </w:r>
          </w:p>
        </w:tc>
      </w:tr>
      <w:tr w14:paraId="1F57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3"/>
            <w:noWrap w:val="0"/>
            <w:vAlign w:val="center"/>
          </w:tcPr>
          <w:p w14:paraId="5155C156">
            <w:pPr>
              <w:keepNext w:val="0"/>
              <w:keepLines w:val="0"/>
              <w:pageBreakBefore w:val="0"/>
              <w:tabs>
                <w:tab w:val="left" w:pos="0"/>
              </w:tabs>
              <w:suppressAutoHyphen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以上为必备</w:t>
            </w:r>
            <w:r>
              <w:rPr>
                <w:rFonts w:hint="eastAsia" w:ascii="宋体" w:hAnsi="宋体" w:eastAsia="宋体" w:cs="宋体"/>
                <w:b/>
                <w:color w:val="auto"/>
                <w:sz w:val="24"/>
                <w:szCs w:val="24"/>
                <w:highlight w:val="none"/>
                <w:lang w:eastAsia="zh-CN"/>
              </w:rPr>
              <w:t>资格要求</w:t>
            </w:r>
            <w:r>
              <w:rPr>
                <w:rFonts w:hint="eastAsia" w:ascii="宋体" w:hAnsi="宋体" w:eastAsia="宋体" w:cs="宋体"/>
                <w:b/>
                <w:color w:val="auto"/>
                <w:sz w:val="24"/>
                <w:szCs w:val="24"/>
                <w:highlight w:val="none"/>
              </w:rPr>
              <w:t>，缺一项或某项达不到要求，按无效</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处理。</w:t>
            </w:r>
          </w:p>
        </w:tc>
      </w:tr>
    </w:tbl>
    <w:p w14:paraId="3C70C187">
      <w:pPr>
        <w:keepNext w:val="0"/>
        <w:keepLines w:val="0"/>
        <w:pageBreakBefore w:val="0"/>
        <w:kinsoku/>
        <w:wordWrap/>
        <w:overflowPunct/>
        <w:topLinePunct w:val="0"/>
        <w:autoSpaceDE/>
        <w:autoSpaceDN/>
        <w:bidi w:val="0"/>
        <w:adjustRightInd/>
        <w:snapToGrid/>
        <w:spacing w:line="360" w:lineRule="auto"/>
        <w:ind w:firstLine="498" w:firstLineChars="200"/>
        <w:textAlignment w:val="auto"/>
        <w:rPr>
          <w:rFonts w:hint="eastAsia" w:ascii="宋体" w:hAnsi="宋体" w:eastAsia="宋体" w:cs="宋体"/>
          <w:b/>
          <w:spacing w:val="4"/>
          <w:sz w:val="24"/>
          <w:szCs w:val="24"/>
        </w:rPr>
      </w:pPr>
      <w:r>
        <w:rPr>
          <w:rFonts w:hint="eastAsia" w:ascii="宋体" w:hAnsi="宋体" w:eastAsia="宋体" w:cs="宋体"/>
          <w:b/>
          <w:spacing w:val="4"/>
          <w:sz w:val="24"/>
          <w:szCs w:val="24"/>
        </w:rPr>
        <w:t>1.2符合性审查</w:t>
      </w:r>
      <w:r>
        <w:rPr>
          <w:rFonts w:hint="eastAsia" w:ascii="宋体" w:hAnsi="宋体" w:eastAsia="宋体" w:cs="宋体"/>
          <w:b/>
          <w:spacing w:val="4"/>
          <w:sz w:val="24"/>
          <w:szCs w:val="24"/>
          <w:lang w:val="en-US" w:eastAsia="zh-CN"/>
        </w:rPr>
        <w:t>表</w:t>
      </w:r>
      <w:r>
        <w:rPr>
          <w:rFonts w:hint="eastAsia" w:ascii="宋体" w:hAnsi="宋体" w:eastAsia="宋体" w:cs="宋体"/>
          <w:b/>
          <w:spacing w:val="4"/>
          <w:sz w:val="24"/>
          <w:szCs w:val="24"/>
        </w:rPr>
        <w:t>：</w:t>
      </w:r>
    </w:p>
    <w:tbl>
      <w:tblPr>
        <w:tblStyle w:val="18"/>
        <w:tblW w:w="9299" w:type="dxa"/>
        <w:jc w:val="center"/>
        <w:tblLayout w:type="fixed"/>
        <w:tblCellMar>
          <w:top w:w="0" w:type="dxa"/>
          <w:left w:w="108" w:type="dxa"/>
          <w:bottom w:w="0" w:type="dxa"/>
          <w:right w:w="108" w:type="dxa"/>
        </w:tblCellMar>
      </w:tblPr>
      <w:tblGrid>
        <w:gridCol w:w="1041"/>
        <w:gridCol w:w="2278"/>
        <w:gridCol w:w="5980"/>
      </w:tblGrid>
      <w:tr w14:paraId="4F71C766">
        <w:tblPrEx>
          <w:tblCellMar>
            <w:top w:w="0" w:type="dxa"/>
            <w:left w:w="108" w:type="dxa"/>
            <w:bottom w:w="0" w:type="dxa"/>
            <w:right w:w="108" w:type="dxa"/>
          </w:tblCellMar>
        </w:tblPrEx>
        <w:trPr>
          <w:trHeight w:val="763"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14:paraId="6BD530F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278" w:type="dxa"/>
            <w:tcBorders>
              <w:top w:val="single" w:color="auto" w:sz="4" w:space="0"/>
              <w:left w:val="nil"/>
              <w:bottom w:val="single" w:color="auto" w:sz="4" w:space="0"/>
              <w:right w:val="single" w:color="auto" w:sz="4" w:space="0"/>
            </w:tcBorders>
            <w:noWrap w:val="0"/>
            <w:vAlign w:val="center"/>
          </w:tcPr>
          <w:p w14:paraId="51AC51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审查内容</w:t>
            </w:r>
          </w:p>
        </w:tc>
        <w:tc>
          <w:tcPr>
            <w:tcW w:w="5980" w:type="dxa"/>
            <w:tcBorders>
              <w:top w:val="single" w:color="auto" w:sz="4" w:space="0"/>
              <w:left w:val="nil"/>
              <w:bottom w:val="single" w:color="auto" w:sz="4" w:space="0"/>
              <w:right w:val="single" w:color="auto" w:sz="4" w:space="0"/>
            </w:tcBorders>
            <w:noWrap w:val="0"/>
            <w:vAlign w:val="center"/>
          </w:tcPr>
          <w:p w14:paraId="052D6C6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审查细则</w:t>
            </w:r>
          </w:p>
        </w:tc>
      </w:tr>
      <w:tr w14:paraId="0EAB3B23">
        <w:tblPrEx>
          <w:tblCellMar>
            <w:top w:w="0" w:type="dxa"/>
            <w:left w:w="108" w:type="dxa"/>
            <w:bottom w:w="0" w:type="dxa"/>
            <w:right w:w="108" w:type="dxa"/>
          </w:tblCellMar>
        </w:tblPrEx>
        <w:trPr>
          <w:trHeight w:val="1010" w:hRule="atLeast"/>
          <w:jc w:val="center"/>
        </w:trPr>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14:paraId="32A995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14:paraId="5915330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14:paraId="36780F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14:paraId="0CA16F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14:paraId="136FA1E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符合性审查</w:t>
            </w:r>
          </w:p>
        </w:tc>
        <w:tc>
          <w:tcPr>
            <w:tcW w:w="2278" w:type="dxa"/>
            <w:tcBorders>
              <w:top w:val="single" w:color="auto" w:sz="4" w:space="0"/>
              <w:left w:val="single" w:color="auto" w:sz="4" w:space="0"/>
              <w:bottom w:val="single" w:color="auto" w:sz="4" w:space="0"/>
              <w:right w:val="single" w:color="auto" w:sz="4" w:space="0"/>
            </w:tcBorders>
            <w:noWrap w:val="0"/>
            <w:vAlign w:val="center"/>
          </w:tcPr>
          <w:p w14:paraId="43F59C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磋商响应文件完整性</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4DDA9B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pacing w:val="4"/>
                <w:sz w:val="24"/>
                <w:szCs w:val="24"/>
              </w:rPr>
              <w:t>磋商响应文件构成无重大缺项，按照磋商文件要求的格式编写磋商响应文件；</w:t>
            </w:r>
          </w:p>
        </w:tc>
      </w:tr>
      <w:tr w14:paraId="23907237">
        <w:tblPrEx>
          <w:tblCellMar>
            <w:top w:w="0" w:type="dxa"/>
            <w:left w:w="108" w:type="dxa"/>
            <w:bottom w:w="0" w:type="dxa"/>
            <w:right w:w="108" w:type="dxa"/>
          </w:tblCellMar>
        </w:tblPrEx>
        <w:trPr>
          <w:trHeight w:val="763" w:hRule="atLeast"/>
          <w:jc w:val="center"/>
        </w:trPr>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7B2E95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14:paraId="317FEE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磋商响应文件报价</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8A869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报价唯一，且没有低于成本价或高于最高限价的；</w:t>
            </w:r>
          </w:p>
        </w:tc>
      </w:tr>
      <w:tr w14:paraId="477A8F84">
        <w:tblPrEx>
          <w:tblCellMar>
            <w:top w:w="0" w:type="dxa"/>
            <w:left w:w="108" w:type="dxa"/>
            <w:bottom w:w="0" w:type="dxa"/>
            <w:right w:w="108" w:type="dxa"/>
          </w:tblCellMar>
        </w:tblPrEx>
        <w:trPr>
          <w:trHeight w:val="1010" w:hRule="atLeast"/>
          <w:jc w:val="center"/>
        </w:trPr>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6346AB3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14:paraId="3E16ABB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磋商响应文件有效性</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F9110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磋商响应文件的签署、盖章符合磋商文件要求，供应商递交的磋商响应文件与本项目名称一致；</w:t>
            </w:r>
          </w:p>
        </w:tc>
      </w:tr>
      <w:tr w14:paraId="4DEE5C29">
        <w:tblPrEx>
          <w:tblCellMar>
            <w:top w:w="0" w:type="dxa"/>
            <w:left w:w="108" w:type="dxa"/>
            <w:bottom w:w="0" w:type="dxa"/>
            <w:right w:w="108" w:type="dxa"/>
          </w:tblCellMar>
        </w:tblPrEx>
        <w:trPr>
          <w:trHeight w:val="1010" w:hRule="atLeast"/>
          <w:jc w:val="center"/>
        </w:trPr>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5DD4380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14:paraId="72C9EF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磋商有效期（含授权有效期）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DE6F7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文件递交截止之日起90日历日；</w:t>
            </w:r>
          </w:p>
        </w:tc>
      </w:tr>
      <w:tr w14:paraId="1D3145DD">
        <w:tblPrEx>
          <w:tblCellMar>
            <w:top w:w="0" w:type="dxa"/>
            <w:left w:w="108" w:type="dxa"/>
            <w:bottom w:w="0" w:type="dxa"/>
            <w:right w:w="108" w:type="dxa"/>
          </w:tblCellMar>
        </w:tblPrEx>
        <w:trPr>
          <w:trHeight w:val="763" w:hRule="atLeast"/>
          <w:jc w:val="center"/>
        </w:trPr>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051503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2278" w:type="dxa"/>
            <w:tcBorders>
              <w:top w:val="single" w:color="auto" w:sz="4" w:space="0"/>
              <w:left w:val="nil"/>
              <w:bottom w:val="single" w:color="auto" w:sz="4" w:space="0"/>
              <w:right w:val="single" w:color="auto" w:sz="4" w:space="0"/>
            </w:tcBorders>
            <w:noWrap w:val="0"/>
            <w:vAlign w:val="center"/>
          </w:tcPr>
          <w:p w14:paraId="4E26F2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商务</w:t>
            </w:r>
            <w:r>
              <w:rPr>
                <w:rFonts w:hint="eastAsia" w:ascii="宋体" w:hAnsi="宋体" w:eastAsia="宋体" w:cs="宋体"/>
                <w:sz w:val="24"/>
                <w:szCs w:val="24"/>
              </w:rPr>
              <w:t>响应性</w:t>
            </w:r>
          </w:p>
        </w:tc>
        <w:tc>
          <w:tcPr>
            <w:tcW w:w="5980" w:type="dxa"/>
            <w:tcBorders>
              <w:top w:val="single" w:color="auto" w:sz="4" w:space="0"/>
              <w:left w:val="nil"/>
              <w:bottom w:val="single" w:color="auto" w:sz="4" w:space="0"/>
              <w:right w:val="single" w:color="auto" w:sz="4" w:space="0"/>
            </w:tcBorders>
            <w:noWrap w:val="0"/>
            <w:vAlign w:val="center"/>
          </w:tcPr>
          <w:p w14:paraId="12720C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服务期</w:t>
            </w:r>
            <w:r>
              <w:rPr>
                <w:rFonts w:hint="eastAsia" w:ascii="宋体" w:hAnsi="宋体" w:eastAsia="宋体" w:cs="宋体"/>
                <w:sz w:val="24"/>
                <w:szCs w:val="24"/>
              </w:rPr>
              <w:t>是否响应磋商文件要求；</w:t>
            </w:r>
          </w:p>
        </w:tc>
      </w:tr>
      <w:tr w14:paraId="7DB04918">
        <w:tblPrEx>
          <w:tblCellMar>
            <w:top w:w="0" w:type="dxa"/>
            <w:left w:w="108" w:type="dxa"/>
            <w:bottom w:w="0" w:type="dxa"/>
            <w:right w:w="108" w:type="dxa"/>
          </w:tblCellMar>
        </w:tblPrEx>
        <w:trPr>
          <w:trHeight w:val="807" w:hRule="atLeast"/>
          <w:jc w:val="center"/>
        </w:trPr>
        <w:tc>
          <w:tcPr>
            <w:tcW w:w="1041" w:type="dxa"/>
            <w:vMerge w:val="continue"/>
            <w:tcBorders>
              <w:top w:val="nil"/>
              <w:left w:val="single" w:color="auto" w:sz="4" w:space="0"/>
              <w:bottom w:val="single" w:color="auto" w:sz="4" w:space="0"/>
              <w:right w:val="single" w:color="auto" w:sz="4" w:space="0"/>
            </w:tcBorders>
            <w:noWrap w:val="0"/>
            <w:vAlign w:val="center"/>
          </w:tcPr>
          <w:p w14:paraId="5F59F6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14:paraId="6E534C7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5980" w:type="dxa"/>
            <w:tcBorders>
              <w:top w:val="single" w:color="auto" w:sz="4" w:space="0"/>
              <w:left w:val="nil"/>
              <w:bottom w:val="single" w:color="auto" w:sz="4" w:space="0"/>
              <w:right w:val="single" w:color="auto" w:sz="4" w:space="0"/>
            </w:tcBorders>
            <w:noWrap w:val="0"/>
            <w:vAlign w:val="center"/>
          </w:tcPr>
          <w:p w14:paraId="201B82D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没有</w:t>
            </w:r>
            <w:r>
              <w:rPr>
                <w:rFonts w:hint="eastAsia" w:ascii="宋体" w:hAnsi="宋体" w:eastAsia="宋体" w:cs="宋体"/>
                <w:sz w:val="24"/>
                <w:szCs w:val="24"/>
              </w:rPr>
              <w:t>磋商文件中规定的无效情形。</w:t>
            </w:r>
          </w:p>
        </w:tc>
      </w:tr>
    </w:tbl>
    <w:p w14:paraId="16728B34">
      <w:pPr>
        <w:pStyle w:val="10"/>
        <w:outlineLvl w:val="2"/>
        <w:rPr>
          <w:rFonts w:hint="eastAsia" w:ascii="宋体" w:hAnsi="宋体" w:eastAsia="宋体" w:cs="宋体"/>
          <w:b/>
          <w:bCs/>
          <w:sz w:val="24"/>
          <w:szCs w:val="24"/>
          <w:highlight w:val="none"/>
          <w:lang w:bidi="ar-SA"/>
        </w:rPr>
      </w:pPr>
    </w:p>
    <w:p w14:paraId="3666CAB0">
      <w:pPr>
        <w:spacing w:line="360" w:lineRule="auto"/>
        <w:jc w:val="left"/>
        <w:outlineLvl w:val="2"/>
        <w:rPr>
          <w:rFonts w:hint="eastAsia" w:ascii="宋体" w:hAnsi="宋体" w:eastAsia="宋体" w:cs="宋体"/>
          <w:highlight w:val="none"/>
          <w:lang w:bidi="ar-SA"/>
        </w:rPr>
      </w:pPr>
      <w:r>
        <w:rPr>
          <w:rFonts w:hint="eastAsia" w:ascii="宋体" w:hAnsi="宋体" w:eastAsia="宋体" w:cs="宋体"/>
          <w:b/>
          <w:sz w:val="28"/>
          <w:szCs w:val="28"/>
          <w:highlight w:val="none"/>
          <w:lang w:bidi="ar-SA"/>
        </w:rPr>
        <w:br w:type="page"/>
      </w:r>
      <w:r>
        <w:rPr>
          <w:rFonts w:hint="eastAsia" w:hAnsi="宋体" w:cs="宋体"/>
          <w:b/>
          <w:spacing w:val="4"/>
          <w:szCs w:val="24"/>
          <w:highlight w:val="none"/>
          <w:lang w:val="en-US" w:eastAsia="zh-CN" w:bidi="ar-SA"/>
        </w:rPr>
        <w:t>1.3</w:t>
      </w:r>
      <w:r>
        <w:rPr>
          <w:rFonts w:hint="eastAsia" w:ascii="宋体" w:hAnsi="宋体" w:eastAsia="宋体" w:cs="宋体"/>
          <w:b/>
          <w:spacing w:val="4"/>
          <w:szCs w:val="24"/>
          <w:highlight w:val="none"/>
          <w:lang w:bidi="ar-SA"/>
        </w:rPr>
        <w:t>评标因素及权重分值表</w:t>
      </w:r>
    </w:p>
    <w:tbl>
      <w:tblPr>
        <w:tblStyle w:val="18"/>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634"/>
        <w:gridCol w:w="733"/>
        <w:gridCol w:w="7100"/>
        <w:gridCol w:w="728"/>
      </w:tblGrid>
      <w:tr w14:paraId="43A5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7852E15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bidi="ar-SA"/>
              </w:rPr>
              <w:t>类别</w:t>
            </w:r>
          </w:p>
        </w:tc>
        <w:tc>
          <w:tcPr>
            <w:tcW w:w="634" w:type="dxa"/>
            <w:noWrap w:val="0"/>
            <w:vAlign w:val="center"/>
          </w:tcPr>
          <w:p w14:paraId="0844C21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bidi="ar-SA"/>
              </w:rPr>
              <w:t>总分</w:t>
            </w:r>
          </w:p>
        </w:tc>
        <w:tc>
          <w:tcPr>
            <w:tcW w:w="7833" w:type="dxa"/>
            <w:gridSpan w:val="2"/>
            <w:noWrap w:val="0"/>
            <w:vAlign w:val="center"/>
          </w:tcPr>
          <w:p w14:paraId="699C540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bidi="ar-SA"/>
              </w:rPr>
              <w:t>评标因素</w:t>
            </w:r>
          </w:p>
        </w:tc>
        <w:tc>
          <w:tcPr>
            <w:tcW w:w="728" w:type="dxa"/>
            <w:noWrap w:val="0"/>
            <w:vAlign w:val="center"/>
          </w:tcPr>
          <w:p w14:paraId="27A457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bidi="ar-SA"/>
              </w:rPr>
              <w:t>最高</w:t>
            </w:r>
          </w:p>
          <w:p w14:paraId="7DA86F8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bidi="ar-SA"/>
              </w:rPr>
              <w:t>得分</w:t>
            </w:r>
          </w:p>
        </w:tc>
      </w:tr>
      <w:tr w14:paraId="073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5BF02CA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sz w:val="24"/>
                <w:szCs w:val="24"/>
                <w:highlight w:val="none"/>
                <w:lang w:val="en-US" w:eastAsia="zh-CN" w:bidi="ar-SA"/>
              </w:rPr>
              <w:t>磋商报价</w:t>
            </w:r>
          </w:p>
        </w:tc>
        <w:tc>
          <w:tcPr>
            <w:tcW w:w="634" w:type="dxa"/>
            <w:noWrap w:val="0"/>
            <w:vAlign w:val="center"/>
          </w:tcPr>
          <w:p w14:paraId="2CCDD5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val="en-US" w:eastAsia="zh-CN" w:bidi="ar-SA"/>
              </w:rPr>
              <w:t>1</w:t>
            </w:r>
            <w:r>
              <w:rPr>
                <w:rFonts w:hint="eastAsia" w:hAnsi="宋体" w:cs="宋体"/>
                <w:b/>
                <w:bCs/>
                <w:sz w:val="24"/>
                <w:szCs w:val="24"/>
                <w:highlight w:val="none"/>
                <w:lang w:val="en-US" w:eastAsia="zh-CN" w:bidi="ar-SA"/>
              </w:rPr>
              <w:t>5</w:t>
            </w:r>
            <w:r>
              <w:rPr>
                <w:rFonts w:hint="eastAsia" w:ascii="宋体" w:hAnsi="宋体" w:eastAsia="宋体" w:cs="宋体"/>
                <w:b/>
                <w:bCs/>
                <w:sz w:val="24"/>
                <w:szCs w:val="24"/>
                <w:highlight w:val="none"/>
                <w:lang w:bidi="ar-SA"/>
              </w:rPr>
              <w:t>分</w:t>
            </w:r>
          </w:p>
        </w:tc>
        <w:tc>
          <w:tcPr>
            <w:tcW w:w="7833" w:type="dxa"/>
            <w:gridSpan w:val="2"/>
            <w:noWrap w:val="0"/>
            <w:vAlign w:val="center"/>
          </w:tcPr>
          <w:p w14:paraId="0B4E627B">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1.经资格审查、符合性审查合格的磋商响应文件，其磋商报价为有效磋商报价，对符合政策性扣减的供应商的有效磋商价格进行政策性扣减，并依据扣减后的价格（评审价格）进行价格评审。</w:t>
            </w:r>
          </w:p>
          <w:p w14:paraId="5509F9DA">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2.满足磋商文件实质性要求且最后报价最低的供应商的价格为磋商基准价，其价格分为满分</w:t>
            </w:r>
            <w:r>
              <w:rPr>
                <w:rFonts w:hint="eastAsia"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0585070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bidi="ar-SA"/>
              </w:rPr>
            </w:pPr>
            <w:r>
              <w:rPr>
                <w:rFonts w:hint="eastAsia" w:ascii="宋体" w:hAnsi="宋体" w:eastAsia="宋体" w:cs="宋体"/>
                <w:color w:val="auto"/>
                <w:sz w:val="24"/>
                <w:szCs w:val="24"/>
                <w:highlight w:val="none"/>
              </w:rPr>
              <w:t>3.磋商报价得分=（磋商基准价/磋商评审价）×</w:t>
            </w:r>
            <w:r>
              <w:rPr>
                <w:rFonts w:hint="eastAsia"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的公式计算得分。</w:t>
            </w:r>
          </w:p>
        </w:tc>
        <w:tc>
          <w:tcPr>
            <w:tcW w:w="728" w:type="dxa"/>
            <w:noWrap w:val="0"/>
            <w:vAlign w:val="center"/>
          </w:tcPr>
          <w:p w14:paraId="60E00C1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eastAsia="zh-CN" w:bidi="ar-SA"/>
              </w:rPr>
              <w:t>1</w:t>
            </w:r>
            <w:r>
              <w:rPr>
                <w:rFonts w:hint="eastAsia" w:hAnsi="宋体" w:cs="宋体"/>
                <w:sz w:val="24"/>
                <w:szCs w:val="24"/>
                <w:highlight w:val="none"/>
                <w:lang w:val="en-US" w:eastAsia="zh-CN" w:bidi="ar-SA"/>
              </w:rPr>
              <w:t>5</w:t>
            </w:r>
            <w:r>
              <w:rPr>
                <w:rFonts w:hint="eastAsia" w:ascii="宋体" w:hAnsi="宋体" w:eastAsia="宋体" w:cs="宋体"/>
                <w:sz w:val="24"/>
                <w:szCs w:val="24"/>
                <w:highlight w:val="none"/>
                <w:lang w:bidi="ar-SA"/>
              </w:rPr>
              <w:t>分</w:t>
            </w:r>
          </w:p>
        </w:tc>
      </w:tr>
      <w:tr w14:paraId="5711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777" w:type="dxa"/>
            <w:vMerge w:val="restart"/>
            <w:noWrap w:val="0"/>
            <w:vAlign w:val="center"/>
          </w:tcPr>
          <w:p w14:paraId="0D6568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技术评审</w:t>
            </w:r>
          </w:p>
        </w:tc>
        <w:tc>
          <w:tcPr>
            <w:tcW w:w="634" w:type="dxa"/>
            <w:vMerge w:val="restart"/>
            <w:noWrap w:val="0"/>
            <w:vAlign w:val="center"/>
          </w:tcPr>
          <w:p w14:paraId="38FA56F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75</w:t>
            </w:r>
            <w:r>
              <w:rPr>
                <w:rFonts w:hint="eastAsia" w:ascii="宋体" w:hAnsi="宋体" w:eastAsia="宋体" w:cs="宋体"/>
                <w:sz w:val="24"/>
                <w:szCs w:val="24"/>
                <w:highlight w:val="none"/>
                <w:lang w:val="en-US" w:eastAsia="zh-CN"/>
              </w:rPr>
              <w:t>分</w:t>
            </w:r>
          </w:p>
        </w:tc>
        <w:tc>
          <w:tcPr>
            <w:tcW w:w="733" w:type="dxa"/>
            <w:noWrap w:val="0"/>
            <w:vAlign w:val="center"/>
          </w:tcPr>
          <w:p w14:paraId="1ABC8DF9">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bidi="ar-SA"/>
              </w:rPr>
            </w:pPr>
            <w:r>
              <w:rPr>
                <w:rFonts w:hint="eastAsia" w:ascii="宋体" w:hAnsi="宋体" w:eastAsia="宋体" w:cs="宋体"/>
                <w:b/>
                <w:bCs/>
                <w:sz w:val="24"/>
                <w:szCs w:val="24"/>
                <w:highlight w:val="none"/>
                <w:lang w:bidi="ar-SA"/>
              </w:rPr>
              <w:t>服务方案</w:t>
            </w:r>
          </w:p>
        </w:tc>
        <w:tc>
          <w:tcPr>
            <w:tcW w:w="7100" w:type="dxa"/>
            <w:noWrap w:val="0"/>
            <w:vAlign w:val="center"/>
          </w:tcPr>
          <w:p w14:paraId="4ED979BB">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针对本项目服务的整体内容及要求，提供本项目的整体</w:t>
            </w:r>
            <w:r>
              <w:rPr>
                <w:rFonts w:hint="eastAsia" w:hAnsi="宋体" w:cs="宋体"/>
                <w:b/>
                <w:bCs/>
                <w:color w:val="auto"/>
                <w:sz w:val="24"/>
                <w:szCs w:val="24"/>
                <w:highlight w:val="none"/>
                <w:lang w:val="en-US" w:eastAsia="zh-CN" w:bidi="ar-SA"/>
              </w:rPr>
              <w:t>服务</w:t>
            </w:r>
            <w:r>
              <w:rPr>
                <w:rFonts w:hint="eastAsia" w:ascii="宋体" w:hAnsi="宋体" w:eastAsia="宋体" w:cs="宋体"/>
                <w:b/>
                <w:bCs/>
                <w:color w:val="auto"/>
                <w:sz w:val="24"/>
                <w:szCs w:val="24"/>
                <w:highlight w:val="none"/>
                <w:lang w:val="en-US" w:eastAsia="zh-CN" w:bidi="ar-SA"/>
              </w:rPr>
              <w:t>方案。</w:t>
            </w:r>
          </w:p>
          <w:p w14:paraId="07E0BE65">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pPr>
            <w:r>
              <w:t xml:space="preserve">1.方案内容完善，合理性、可行性强，能够有效保证项目的顺利进行和完成，得10分； </w:t>
            </w:r>
          </w:p>
          <w:p w14:paraId="327DF9EC">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Chars="0"/>
              <w:jc w:val="left"/>
              <w:textAlignment w:val="auto"/>
            </w:pPr>
            <w:r>
              <w:rPr>
                <w:rFonts w:hint="eastAsia"/>
                <w:lang w:val="en-US" w:eastAsia="zh-CN"/>
              </w:rPr>
              <w:t>2.</w:t>
            </w:r>
            <w:r>
              <w:t xml:space="preserve">方案内容较完善，合理性、可行性较强，能够保证项目的顺利进行和完成，得7分； </w:t>
            </w:r>
          </w:p>
          <w:p w14:paraId="76E69F14">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Chars="0"/>
              <w:jc w:val="left"/>
              <w:textAlignment w:val="auto"/>
            </w:pPr>
            <w:r>
              <w:rPr>
                <w:rFonts w:hint="eastAsia"/>
                <w:lang w:val="en-US" w:eastAsia="zh-CN"/>
              </w:rPr>
              <w:t>3.</w:t>
            </w:r>
            <w:r>
              <w:t xml:space="preserve">方案内容基本完善，有一定的合理性、可行性，得5分； </w:t>
            </w:r>
          </w:p>
          <w:p w14:paraId="15C3203A">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lang w:val="en-US" w:eastAsia="zh-CN" w:bidi="ar-SA"/>
              </w:rPr>
            </w:pPr>
            <w:r>
              <w:t>4.方案内容简单笼统，无针对性，得3分。 未提供不得分。</w:t>
            </w:r>
          </w:p>
        </w:tc>
        <w:tc>
          <w:tcPr>
            <w:tcW w:w="728" w:type="dxa"/>
            <w:noWrap w:val="0"/>
            <w:vAlign w:val="center"/>
          </w:tcPr>
          <w:p w14:paraId="71C20BE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hAnsi="宋体" w:cs="宋体"/>
                <w:sz w:val="24"/>
                <w:szCs w:val="24"/>
                <w:highlight w:val="none"/>
                <w:lang w:val="en-US" w:eastAsia="zh-CN" w:bidi="ar-SA"/>
              </w:rPr>
            </w:pPr>
            <w:r>
              <w:rPr>
                <w:rFonts w:hint="eastAsia" w:hAnsi="宋体" w:cs="宋体"/>
                <w:sz w:val="24"/>
                <w:szCs w:val="24"/>
                <w:highlight w:val="none"/>
                <w:lang w:val="en-US" w:eastAsia="zh-CN" w:bidi="ar-SA"/>
              </w:rPr>
              <w:t>10分</w:t>
            </w:r>
          </w:p>
        </w:tc>
      </w:tr>
      <w:tr w14:paraId="1F32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777" w:type="dxa"/>
            <w:vMerge w:val="continue"/>
            <w:noWrap w:val="0"/>
            <w:vAlign w:val="center"/>
          </w:tcPr>
          <w:p w14:paraId="4EFEAD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634" w:type="dxa"/>
            <w:vMerge w:val="continue"/>
            <w:noWrap w:val="0"/>
            <w:vAlign w:val="center"/>
          </w:tcPr>
          <w:p w14:paraId="0F92E18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733" w:type="dxa"/>
            <w:noWrap w:val="0"/>
            <w:vAlign w:val="center"/>
          </w:tcPr>
          <w:p w14:paraId="1D9737E1">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项目理解及现状分析</w:t>
            </w:r>
          </w:p>
          <w:p w14:paraId="518113A9">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bidi="ar-SA"/>
              </w:rPr>
            </w:pPr>
          </w:p>
        </w:tc>
        <w:tc>
          <w:tcPr>
            <w:tcW w:w="7100" w:type="dxa"/>
            <w:noWrap w:val="0"/>
            <w:vAlign w:val="center"/>
          </w:tcPr>
          <w:p w14:paraId="3AAC5344">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供应商提供对项目背景以及项目工作目标的总体理解与认识</w:t>
            </w:r>
            <w:r>
              <w:rPr>
                <w:rFonts w:hint="eastAsia" w:hAnsi="宋体" w:cs="宋体"/>
                <w:b/>
                <w:bCs/>
                <w:color w:val="auto"/>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bidi="ar-SA"/>
              </w:rPr>
              <w:t xml:space="preserve"> </w:t>
            </w:r>
          </w:p>
          <w:p w14:paraId="467901C8">
            <w:pPr>
              <w:keepNext w:val="0"/>
              <w:keepLines w:val="0"/>
              <w:pageBreakBefore w:val="0"/>
              <w:kinsoku/>
              <w:wordWrap/>
              <w:overflowPunct/>
              <w:topLinePunct w:val="0"/>
              <w:autoSpaceDE/>
              <w:autoSpaceDN/>
              <w:bidi w:val="0"/>
              <w:adjustRightInd/>
              <w:snapToGrid/>
              <w:spacing w:line="360" w:lineRule="auto"/>
              <w:textAlignment w:val="auto"/>
            </w:pPr>
            <w:r>
              <w:t>对本项目技术服务特点、关键技术问题的认识及其对策措施，根据内容完善性、合理性、可行性，进行综合赋分。</w:t>
            </w:r>
          </w:p>
          <w:p w14:paraId="4BBA26BA">
            <w:pPr>
              <w:keepNext w:val="0"/>
              <w:keepLines w:val="0"/>
              <w:pageBreakBefore w:val="0"/>
              <w:numPr>
                <w:ilvl w:val="0"/>
                <w:numId w:val="6"/>
              </w:numPr>
              <w:kinsoku/>
              <w:wordWrap/>
              <w:overflowPunct/>
              <w:topLinePunct w:val="0"/>
              <w:autoSpaceDE/>
              <w:autoSpaceDN/>
              <w:bidi w:val="0"/>
              <w:adjustRightInd/>
              <w:snapToGrid/>
              <w:spacing w:line="360" w:lineRule="auto"/>
              <w:textAlignment w:val="auto"/>
            </w:pPr>
            <w:r>
              <w:t>内容及要求理解透彻、思路清晰、可行性和针对性强，得10分；2、内容要求理解较为明确，思路基本清晰，可行性和针对性较强，得7分；</w:t>
            </w:r>
          </w:p>
          <w:p w14:paraId="492D3E81">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pPr>
            <w:r>
              <w:rPr>
                <w:rFonts w:hint="eastAsia"/>
                <w:lang w:val="en-US" w:eastAsia="zh-CN"/>
              </w:rPr>
              <w:t>3、</w:t>
            </w:r>
            <w:r>
              <w:t>内容及要求理解基本清晰 思路常规，有一定的可行性和针对性，得5分；</w:t>
            </w:r>
          </w:p>
          <w:p w14:paraId="46D2AA6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bidi="ar-SA"/>
              </w:rPr>
            </w:pPr>
            <w:r>
              <w:t>4、内容简单笼统，可行性有待优化，缺乏针对性，得3分；未提供不得分。</w:t>
            </w:r>
          </w:p>
        </w:tc>
        <w:tc>
          <w:tcPr>
            <w:tcW w:w="728" w:type="dxa"/>
            <w:noWrap w:val="0"/>
            <w:vAlign w:val="center"/>
          </w:tcPr>
          <w:p w14:paraId="06E2D0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10</w:t>
            </w:r>
            <w:r>
              <w:rPr>
                <w:rFonts w:hint="eastAsia" w:ascii="宋体" w:hAnsi="宋体" w:eastAsia="宋体" w:cs="宋体"/>
                <w:sz w:val="24"/>
                <w:szCs w:val="24"/>
                <w:highlight w:val="none"/>
                <w:lang w:val="en-US" w:eastAsia="zh-CN" w:bidi="ar-SA"/>
              </w:rPr>
              <w:t>分</w:t>
            </w:r>
          </w:p>
        </w:tc>
      </w:tr>
      <w:tr w14:paraId="24D0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777" w:type="dxa"/>
            <w:vMerge w:val="continue"/>
            <w:noWrap w:val="0"/>
            <w:vAlign w:val="center"/>
          </w:tcPr>
          <w:p w14:paraId="60ECF12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634" w:type="dxa"/>
            <w:vMerge w:val="continue"/>
            <w:noWrap w:val="0"/>
            <w:vAlign w:val="center"/>
          </w:tcPr>
          <w:p w14:paraId="2992D4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733" w:type="dxa"/>
            <w:noWrap w:val="0"/>
            <w:vAlign w:val="center"/>
          </w:tcPr>
          <w:p w14:paraId="3D69090B">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eastAsia="zh-CN" w:bidi="ar-SA"/>
              </w:rPr>
            </w:pPr>
            <w:r>
              <w:rPr>
                <w:rFonts w:hint="eastAsia" w:hAnsi="宋体" w:cs="宋体"/>
                <w:b/>
                <w:bCs/>
                <w:sz w:val="24"/>
                <w:szCs w:val="24"/>
                <w:highlight w:val="none"/>
                <w:lang w:val="en-US" w:eastAsia="zh-CN" w:bidi="ar-SA"/>
              </w:rPr>
              <w:t>整体实施方案</w:t>
            </w:r>
          </w:p>
        </w:tc>
        <w:tc>
          <w:tcPr>
            <w:tcW w:w="7100" w:type="dxa"/>
            <w:noWrap w:val="0"/>
            <w:vAlign w:val="center"/>
          </w:tcPr>
          <w:p w14:paraId="6A2ACF7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针对本项目采购内容及要求，提供具体可行的整体实施计划方案。</w:t>
            </w:r>
          </w:p>
          <w:p w14:paraId="3504BA6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1、计划方案内容完善，合理性、可行性强，能够有效保证项目的顺利进行和完成，得</w:t>
            </w:r>
            <w:r>
              <w:rPr>
                <w:rFonts w:hint="eastAsia"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分；</w:t>
            </w:r>
          </w:p>
          <w:p w14:paraId="3D220F2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2、计划方案内容较完善，合理性、可行性较强，能够保证项目的顺利进行和完成，得</w:t>
            </w:r>
            <w:r>
              <w:rPr>
                <w:rFonts w:hint="eastAsia"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分；</w:t>
            </w:r>
          </w:p>
          <w:p w14:paraId="6D441C2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3、计划方案内容基本完善，有一定的合理性、可行性，得</w:t>
            </w:r>
            <w:r>
              <w:rPr>
                <w:rFonts w:hint="eastAsia"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w:t>
            </w:r>
          </w:p>
          <w:p w14:paraId="414BEDC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4、计划方案内容简单笼统，无针对性，得</w:t>
            </w:r>
            <w:r>
              <w:rPr>
                <w:rFonts w:hint="eastAsia"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p w14:paraId="6B91142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未提供不得分。</w:t>
            </w:r>
          </w:p>
        </w:tc>
        <w:tc>
          <w:tcPr>
            <w:tcW w:w="728" w:type="dxa"/>
            <w:noWrap w:val="0"/>
            <w:vAlign w:val="center"/>
          </w:tcPr>
          <w:p w14:paraId="3646771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hAnsi="宋体" w:cs="宋体"/>
                <w:sz w:val="24"/>
                <w:szCs w:val="24"/>
                <w:highlight w:val="none"/>
                <w:lang w:val="en-US" w:eastAsia="zh-CN" w:bidi="ar-SA"/>
              </w:rPr>
            </w:pPr>
            <w:r>
              <w:rPr>
                <w:rFonts w:hint="eastAsia" w:hAnsi="宋体" w:cs="宋体"/>
                <w:sz w:val="24"/>
                <w:szCs w:val="24"/>
                <w:highlight w:val="none"/>
                <w:lang w:val="en-US" w:eastAsia="zh-CN" w:bidi="ar-SA"/>
              </w:rPr>
              <w:t>10分</w:t>
            </w:r>
          </w:p>
        </w:tc>
      </w:tr>
      <w:tr w14:paraId="29C8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77" w:type="dxa"/>
            <w:vMerge w:val="continue"/>
            <w:noWrap w:val="0"/>
            <w:vAlign w:val="center"/>
          </w:tcPr>
          <w:p w14:paraId="097F6D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634" w:type="dxa"/>
            <w:vMerge w:val="continue"/>
            <w:noWrap w:val="0"/>
            <w:vAlign w:val="center"/>
          </w:tcPr>
          <w:p w14:paraId="46A496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733" w:type="dxa"/>
            <w:noWrap w:val="0"/>
            <w:vAlign w:val="center"/>
          </w:tcPr>
          <w:p w14:paraId="3A2D5FF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重难点分析</w:t>
            </w:r>
          </w:p>
          <w:p w14:paraId="7C557DD1">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lang w:val="en-US" w:eastAsia="zh-CN"/>
              </w:rPr>
            </w:pPr>
          </w:p>
        </w:tc>
        <w:tc>
          <w:tcPr>
            <w:tcW w:w="7100" w:type="dxa"/>
            <w:noWrap w:val="0"/>
            <w:vAlign w:val="center"/>
          </w:tcPr>
          <w:p w14:paraId="63ABDD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hAnsi="宋体" w:cs="宋体"/>
                <w:szCs w:val="24"/>
              </w:rPr>
            </w:pPr>
            <w:r>
              <w:rPr>
                <w:rFonts w:hint="eastAsia" w:ascii="宋体" w:hAnsi="宋体" w:eastAsia="宋体" w:cs="宋体"/>
                <w:b/>
                <w:bCs/>
                <w:color w:val="000000"/>
                <w:kern w:val="0"/>
                <w:sz w:val="24"/>
                <w:szCs w:val="24"/>
                <w:lang w:val="en-US" w:eastAsia="zh-CN" w:bidi="ar"/>
              </w:rPr>
              <w:t>根据村庄具体情况提出的难点、重点进行分析并提出控制措施:</w:t>
            </w:r>
            <w:r>
              <w:rPr>
                <w:rFonts w:hint="eastAsia" w:ascii="宋体" w:hAnsi="宋体" w:eastAsia="宋体" w:cs="宋体"/>
                <w:color w:val="000000"/>
                <w:kern w:val="0"/>
                <w:sz w:val="24"/>
                <w:szCs w:val="24"/>
                <w:lang w:val="en-US" w:eastAsia="zh-CN" w:bidi="ar"/>
              </w:rPr>
              <w:t xml:space="preserve"> </w:t>
            </w:r>
          </w:p>
          <w:p w14:paraId="506AE8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hAnsi="宋体" w:cs="宋体"/>
                <w:szCs w:val="24"/>
              </w:rPr>
            </w:pPr>
            <w:r>
              <w:rPr>
                <w:rFonts w:hint="eastAsia" w:ascii="宋体" w:hAnsi="宋体" w:eastAsia="宋体" w:cs="宋体"/>
                <w:color w:val="000000"/>
                <w:kern w:val="0"/>
                <w:sz w:val="24"/>
                <w:szCs w:val="24"/>
                <w:lang w:val="en-US" w:eastAsia="zh-CN" w:bidi="ar"/>
              </w:rPr>
              <w:t>分析内容准确，控制措施合理得</w:t>
            </w:r>
            <w:r>
              <w:rPr>
                <w:rFonts w:hint="eastAsia"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分； </w:t>
            </w:r>
          </w:p>
          <w:p w14:paraId="30C791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hAnsi="宋体" w:cs="宋体"/>
                <w:szCs w:val="24"/>
              </w:rPr>
            </w:pPr>
            <w:r>
              <w:rPr>
                <w:rFonts w:hint="eastAsia" w:ascii="宋体" w:hAnsi="宋体" w:eastAsia="宋体" w:cs="宋体"/>
                <w:color w:val="000000"/>
                <w:kern w:val="0"/>
                <w:sz w:val="24"/>
                <w:szCs w:val="24"/>
                <w:lang w:val="en-US" w:eastAsia="zh-CN" w:bidi="ar"/>
              </w:rPr>
              <w:t>分析内容比较准确，控制措施比较合理得</w:t>
            </w:r>
            <w:r>
              <w:rPr>
                <w:rFonts w:hint="eastAsia"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分；</w:t>
            </w:r>
          </w:p>
          <w:p w14:paraId="0BF685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hAnsi="宋体" w:cs="宋体"/>
                <w:szCs w:val="24"/>
              </w:rPr>
            </w:pPr>
            <w:r>
              <w:rPr>
                <w:rFonts w:hint="eastAsia" w:ascii="宋体" w:hAnsi="宋体" w:eastAsia="宋体" w:cs="宋体"/>
                <w:color w:val="000000"/>
                <w:kern w:val="0"/>
                <w:sz w:val="24"/>
                <w:szCs w:val="24"/>
                <w:lang w:val="en-US" w:eastAsia="zh-CN" w:bidi="ar"/>
              </w:rPr>
              <w:t>分析内容基本准确，控制措施基本合理得</w:t>
            </w:r>
            <w:r>
              <w:rPr>
                <w:rFonts w:hint="eastAsia"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分； </w:t>
            </w:r>
          </w:p>
          <w:p w14:paraId="12E212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hAnsi="宋体" w:cs="宋体"/>
                <w:szCs w:val="24"/>
              </w:rPr>
            </w:pPr>
            <w:r>
              <w:rPr>
                <w:rFonts w:hint="eastAsia" w:ascii="宋体" w:hAnsi="宋体" w:eastAsia="宋体" w:cs="宋体"/>
                <w:color w:val="000000"/>
                <w:kern w:val="0"/>
                <w:sz w:val="24"/>
                <w:szCs w:val="24"/>
                <w:lang w:val="en-US" w:eastAsia="zh-CN" w:bidi="ar"/>
              </w:rPr>
              <w:t>分析内容和控制措施较简单</w:t>
            </w:r>
            <w:r>
              <w:rPr>
                <w:rFonts w:hint="eastAsia"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无指导性得</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0C73D057">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000000"/>
                <w:kern w:val="0"/>
                <w:sz w:val="24"/>
                <w:szCs w:val="24"/>
                <w:lang w:val="en-US" w:eastAsia="zh-CN" w:bidi="ar"/>
              </w:rPr>
              <w:t>未提供相关内容不得分。</w:t>
            </w:r>
          </w:p>
        </w:tc>
        <w:tc>
          <w:tcPr>
            <w:tcW w:w="728" w:type="dxa"/>
            <w:noWrap w:val="0"/>
            <w:vAlign w:val="center"/>
          </w:tcPr>
          <w:p w14:paraId="61BC138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highlight w:val="none"/>
                <w:lang w:val="en-US" w:eastAsia="zh-CN" w:bidi="ar-SA"/>
              </w:rPr>
            </w:pPr>
            <w:r>
              <w:rPr>
                <w:rFonts w:hint="eastAsia" w:hAnsi="宋体" w:cs="宋体"/>
                <w:color w:val="000000"/>
                <w:sz w:val="24"/>
                <w:szCs w:val="24"/>
                <w:highlight w:val="none"/>
                <w:lang w:val="en-US" w:eastAsia="zh-CN" w:bidi="ar-SA"/>
              </w:rPr>
              <w:t>10分</w:t>
            </w:r>
          </w:p>
        </w:tc>
      </w:tr>
      <w:tr w14:paraId="1E4C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77" w:type="dxa"/>
            <w:vMerge w:val="continue"/>
            <w:noWrap w:val="0"/>
            <w:vAlign w:val="center"/>
          </w:tcPr>
          <w:p w14:paraId="1D288A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634" w:type="dxa"/>
            <w:vMerge w:val="continue"/>
            <w:noWrap w:val="0"/>
            <w:vAlign w:val="center"/>
          </w:tcPr>
          <w:p w14:paraId="6F15B9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733" w:type="dxa"/>
            <w:vMerge w:val="restart"/>
            <w:noWrap w:val="0"/>
            <w:vAlign w:val="center"/>
          </w:tcPr>
          <w:p w14:paraId="170B938E">
            <w:pPr>
              <w:keepNext w:val="0"/>
              <w:keepLines w:val="0"/>
              <w:pageBreakBefore w:val="0"/>
              <w:kinsoku/>
              <w:wordWrap/>
              <w:overflowPunct/>
              <w:topLinePunct w:val="0"/>
              <w:autoSpaceDE/>
              <w:autoSpaceDN/>
              <w:bidi w:val="0"/>
              <w:adjustRightInd/>
              <w:snapToGrid/>
              <w:spacing w:line="360" w:lineRule="auto"/>
              <w:textAlignment w:val="auto"/>
            </w:pPr>
            <w:r>
              <w:rPr>
                <w:rFonts w:hint="eastAsia" w:ascii="宋体" w:hAnsi="宋体" w:eastAsia="宋体" w:cs="宋体"/>
                <w:b/>
                <w:bCs/>
                <w:sz w:val="24"/>
                <w:szCs w:val="24"/>
                <w:highlight w:val="none"/>
                <w:lang w:val="en-US" w:eastAsia="zh-CN"/>
              </w:rPr>
              <w:t>拟投入本项目人员配备方案</w:t>
            </w:r>
          </w:p>
          <w:p w14:paraId="3B46070F">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highlight w:val="none"/>
                <w:lang w:val="en-US" w:eastAsia="zh-CN"/>
              </w:rPr>
            </w:pPr>
          </w:p>
        </w:tc>
        <w:tc>
          <w:tcPr>
            <w:tcW w:w="7100" w:type="dxa"/>
            <w:noWrap w:val="0"/>
            <w:vAlign w:val="center"/>
          </w:tcPr>
          <w:p w14:paraId="39DCAF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拟派人员数量应能保证本项目服务工作的顺利开展，要求组织结构设置健全、人员配备合理、职责分工明确</w:t>
            </w:r>
            <w:r>
              <w:rPr>
                <w:rFonts w:hint="eastAsia" w:hAnsi="宋体" w:cs="宋体"/>
                <w:b/>
                <w:bCs/>
                <w:color w:val="auto"/>
                <w:sz w:val="24"/>
                <w:szCs w:val="24"/>
                <w:highlight w:val="none"/>
                <w:lang w:val="en-US" w:eastAsia="zh-CN" w:bidi="ar-SA"/>
              </w:rPr>
              <w:t>，</w:t>
            </w:r>
            <w:r>
              <w:rPr>
                <w:b/>
                <w:bCs/>
              </w:rPr>
              <w:t>工作经验及组织架构满足项目需求</w:t>
            </w:r>
            <w:r>
              <w:rPr>
                <w:rFonts w:hint="eastAsia" w:ascii="宋体" w:hAnsi="宋体" w:eastAsia="宋体" w:cs="宋体"/>
                <w:b/>
                <w:bCs/>
                <w:color w:val="auto"/>
                <w:sz w:val="24"/>
                <w:szCs w:val="24"/>
                <w:highlight w:val="none"/>
                <w:lang w:val="en-US" w:eastAsia="zh-CN" w:bidi="ar-SA"/>
              </w:rPr>
              <w:t>。</w:t>
            </w:r>
          </w:p>
          <w:p w14:paraId="53C536CA">
            <w:pPr>
              <w:keepNext w:val="0"/>
              <w:keepLines w:val="0"/>
              <w:pageBreakBefore w:val="0"/>
              <w:numPr>
                <w:ilvl w:val="0"/>
                <w:numId w:val="7"/>
              </w:numPr>
              <w:kinsoku/>
              <w:wordWrap/>
              <w:overflowPunct/>
              <w:topLinePunct w:val="0"/>
              <w:autoSpaceDE/>
              <w:autoSpaceDN/>
              <w:bidi w:val="0"/>
              <w:adjustRightInd/>
              <w:snapToGrid/>
              <w:spacing w:line="360" w:lineRule="auto"/>
              <w:textAlignment w:val="auto"/>
            </w:pPr>
            <w:r>
              <w:t>架构合理，人员配置齐全、岗位分配合理、团队人员经验丰富，完全满足项目需求得10分；</w:t>
            </w:r>
          </w:p>
          <w:p w14:paraId="321CC6BA">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0" w:firstLineChars="0"/>
              <w:textAlignment w:val="auto"/>
            </w:pPr>
            <w:r>
              <w:t>架构完善，人员配置、岗位分配较合理、团队人员经验较丰富，可以满足项目实施得8分；</w:t>
            </w:r>
          </w:p>
          <w:p w14:paraId="7D6782F2">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0" w:firstLineChars="0"/>
              <w:textAlignment w:val="auto"/>
            </w:pPr>
            <w:r>
              <w:t>架构基本完善，人员配置完整、有具体岗位分配、团队人员具有一定的经验，基本满足项目需求得5分；</w:t>
            </w:r>
          </w:p>
          <w:p w14:paraId="7D508752">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pPr>
            <w:r>
              <w:t>4人员配置欠缺、不利于项目实施得3分；未提供不得分。</w:t>
            </w:r>
          </w:p>
          <w:p w14:paraId="0E8ECD48">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bidi="ar-SA"/>
              </w:rPr>
            </w:pPr>
            <w:r>
              <w:t>备注：以拟派的人员学历证书、专业证明资料等复印件加盖公章证明材料为准。</w:t>
            </w:r>
          </w:p>
        </w:tc>
        <w:tc>
          <w:tcPr>
            <w:tcW w:w="728" w:type="dxa"/>
            <w:noWrap w:val="0"/>
            <w:vAlign w:val="center"/>
          </w:tcPr>
          <w:p w14:paraId="7FBC875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highlight w:val="none"/>
                <w:lang w:val="en-US" w:eastAsia="zh-CN" w:bidi="ar-SA"/>
              </w:rPr>
            </w:pPr>
            <w:r>
              <w:rPr>
                <w:rFonts w:hint="eastAsia" w:hAnsi="宋体" w:cs="宋体"/>
                <w:color w:val="000000"/>
                <w:sz w:val="24"/>
                <w:szCs w:val="24"/>
                <w:highlight w:val="none"/>
                <w:lang w:val="en-US" w:eastAsia="zh-CN" w:bidi="ar-SA"/>
              </w:rPr>
              <w:t>10分</w:t>
            </w:r>
          </w:p>
        </w:tc>
      </w:tr>
      <w:tr w14:paraId="7605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77" w:type="dxa"/>
            <w:vMerge w:val="continue"/>
            <w:noWrap w:val="0"/>
            <w:vAlign w:val="center"/>
          </w:tcPr>
          <w:p w14:paraId="13BA3A1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634" w:type="dxa"/>
            <w:vMerge w:val="continue"/>
            <w:noWrap w:val="0"/>
            <w:vAlign w:val="center"/>
          </w:tcPr>
          <w:p w14:paraId="7465630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733" w:type="dxa"/>
            <w:vMerge w:val="continue"/>
            <w:noWrap w:val="0"/>
            <w:vAlign w:val="center"/>
          </w:tcPr>
          <w:p w14:paraId="5EF45ADA">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highlight w:val="none"/>
                <w:lang w:val="en-US" w:eastAsia="zh-CN"/>
              </w:rPr>
            </w:pPr>
          </w:p>
        </w:tc>
        <w:tc>
          <w:tcPr>
            <w:tcW w:w="7100" w:type="dxa"/>
            <w:noWrap w:val="0"/>
            <w:vAlign w:val="center"/>
          </w:tcPr>
          <w:p w14:paraId="5C3BF116">
            <w:pPr>
              <w:pStyle w:val="10"/>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①供应商应组建不少于8人的团队，满足得2分，否则不得分。 </w:t>
            </w:r>
          </w:p>
          <w:p w14:paraId="3A60081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②拟派的项目组成员（除项目负责人外）中，具有相关专业中级及以上职称，每个得1分；本项最高得2分。 </w:t>
            </w:r>
          </w:p>
          <w:p w14:paraId="56EE3919">
            <w:pPr>
              <w:keepNext w:val="0"/>
              <w:keepLines w:val="0"/>
              <w:pageBreakBefore w:val="0"/>
              <w:kinsoku/>
              <w:wordWrap/>
              <w:overflowPunct/>
              <w:topLinePunct w:val="0"/>
              <w:autoSpaceDE/>
              <w:autoSpaceDN/>
              <w:bidi w:val="0"/>
              <w:adjustRightInd/>
              <w:snapToGrid/>
              <w:spacing w:line="360" w:lineRule="auto"/>
              <w:textAlignment w:val="auto"/>
            </w:pPr>
            <w:r>
              <w:rPr>
                <w:rFonts w:hint="eastAsia" w:ascii="宋体" w:hAnsi="宋体" w:eastAsia="宋体" w:cs="宋体"/>
                <w:color w:val="auto"/>
                <w:sz w:val="24"/>
                <w:szCs w:val="24"/>
                <w:highlight w:val="none"/>
                <w:lang w:val="en-US" w:eastAsia="zh-CN" w:bidi="ar-SA"/>
              </w:rPr>
              <w:t>（注：以上人员须提供加盖供应商公章的相关证书，否则不计分）</w:t>
            </w:r>
          </w:p>
          <w:p w14:paraId="198B6B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未提供相关内容不得分。</w:t>
            </w:r>
          </w:p>
        </w:tc>
        <w:tc>
          <w:tcPr>
            <w:tcW w:w="728" w:type="dxa"/>
            <w:noWrap w:val="0"/>
            <w:vAlign w:val="center"/>
          </w:tcPr>
          <w:p w14:paraId="0E47CF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 分</w:t>
            </w:r>
          </w:p>
          <w:p w14:paraId="28937E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bidi="ar-SA"/>
              </w:rPr>
            </w:pPr>
          </w:p>
        </w:tc>
      </w:tr>
      <w:tr w14:paraId="6F86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vMerge w:val="continue"/>
            <w:noWrap w:val="0"/>
            <w:vAlign w:val="center"/>
          </w:tcPr>
          <w:p w14:paraId="2F1A7C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634" w:type="dxa"/>
            <w:vMerge w:val="continue"/>
            <w:noWrap w:val="0"/>
            <w:vAlign w:val="center"/>
          </w:tcPr>
          <w:p w14:paraId="295D14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733" w:type="dxa"/>
            <w:noWrap w:val="0"/>
            <w:vAlign w:val="center"/>
          </w:tcPr>
          <w:p w14:paraId="3D1A921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进度保障措施</w:t>
            </w:r>
          </w:p>
          <w:p w14:paraId="43438F86">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kern w:val="2"/>
                <w:sz w:val="24"/>
                <w:szCs w:val="24"/>
                <w:highlight w:val="none"/>
                <w:lang w:val="en-US" w:eastAsia="zh-CN" w:bidi="ar-SA"/>
              </w:rPr>
            </w:pPr>
          </w:p>
        </w:tc>
        <w:tc>
          <w:tcPr>
            <w:tcW w:w="7100" w:type="dxa"/>
            <w:noWrap w:val="0"/>
            <w:vAlign w:val="center"/>
          </w:tcPr>
          <w:p w14:paraId="230072C4">
            <w:pPr>
              <w:keepNext w:val="0"/>
              <w:keepLines w:val="0"/>
              <w:pageBreakBefore w:val="0"/>
              <w:kinsoku/>
              <w:wordWrap/>
              <w:overflowPunct/>
              <w:topLinePunct w:val="0"/>
              <w:autoSpaceDE/>
              <w:autoSpaceDN/>
              <w:bidi w:val="0"/>
              <w:adjustRightInd/>
              <w:snapToGrid/>
              <w:spacing w:line="360" w:lineRule="auto"/>
              <w:textAlignment w:val="auto"/>
              <w:rPr>
                <w:rFonts w:hint="eastAsia" w:hAnsi="宋体" w:cs="宋体"/>
                <w:szCs w:val="24"/>
              </w:rPr>
            </w:pPr>
            <w:r>
              <w:rPr>
                <w:rFonts w:hint="eastAsia" w:ascii="宋体" w:hAnsi="宋体" w:eastAsia="宋体" w:cs="宋体"/>
                <w:b/>
                <w:bCs/>
                <w:color w:val="000000"/>
                <w:kern w:val="0"/>
                <w:sz w:val="24"/>
                <w:szCs w:val="24"/>
                <w:lang w:val="en-US" w:eastAsia="zh-CN" w:bidi="ar"/>
              </w:rPr>
              <w:t>供应商针对本项目采购内容有明确的编制进度安排，合理的成果交付时限且服务计划保证措施得当</w:t>
            </w:r>
            <w:r>
              <w:rPr>
                <w:rFonts w:hint="eastAsia" w:hAnsi="宋体" w:cs="宋体"/>
                <w:b/>
                <w:bC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14:paraId="2543AA13">
            <w:pPr>
              <w:keepNext w:val="0"/>
              <w:keepLines w:val="0"/>
              <w:pageBreakBefore w:val="0"/>
              <w:kinsoku/>
              <w:wordWrap/>
              <w:overflowPunct/>
              <w:topLinePunct w:val="0"/>
              <w:autoSpaceDE/>
              <w:autoSpaceDN/>
              <w:bidi w:val="0"/>
              <w:adjustRightInd/>
              <w:snapToGrid/>
              <w:spacing w:line="360" w:lineRule="auto"/>
              <w:textAlignment w:val="auto"/>
              <w:rPr>
                <w:rFonts w:hint="eastAsia" w:hAnsi="宋体" w:cs="宋体"/>
                <w:szCs w:val="24"/>
              </w:rPr>
            </w:pP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具有科学合理明确的工作进度计划，工作进度计划与实际需求的契合度高，时间节点把控清晰明确，对工作推进指导性强，得</w:t>
            </w:r>
            <w:r>
              <w:rPr>
                <w:rFonts w:hint="eastAsia"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分； </w:t>
            </w:r>
          </w:p>
          <w:p w14:paraId="20D0B31F">
            <w:pPr>
              <w:keepNext w:val="0"/>
              <w:keepLines w:val="0"/>
              <w:pageBreakBefore w:val="0"/>
              <w:kinsoku/>
              <w:wordWrap/>
              <w:overflowPunct/>
              <w:topLinePunct w:val="0"/>
              <w:autoSpaceDE/>
              <w:autoSpaceDN/>
              <w:bidi w:val="0"/>
              <w:adjustRightInd/>
              <w:snapToGrid/>
              <w:spacing w:line="360" w:lineRule="auto"/>
              <w:textAlignment w:val="auto"/>
              <w:rPr>
                <w:rFonts w:hint="eastAsia" w:hAnsi="宋体" w:cs="宋体"/>
                <w:szCs w:val="24"/>
              </w:rPr>
            </w:pPr>
            <w:r>
              <w:rPr>
                <w:rFonts w:hint="eastAsia"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具有相对科学合理的工作进度计划，工作进度计划与实际需求的契合度相对合理，时间节点把控相对准确，对工作推进指导性较强，得</w:t>
            </w:r>
            <w:r>
              <w:rPr>
                <w:rFonts w:hint="eastAsia"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分； </w:t>
            </w:r>
          </w:p>
          <w:p w14:paraId="08C48AFC">
            <w:pPr>
              <w:keepNext w:val="0"/>
              <w:keepLines w:val="0"/>
              <w:pageBreakBefore w:val="0"/>
              <w:kinsoku/>
              <w:wordWrap/>
              <w:overflowPunct/>
              <w:topLinePunct w:val="0"/>
              <w:autoSpaceDE/>
              <w:autoSpaceDN/>
              <w:bidi w:val="0"/>
              <w:adjustRightInd/>
              <w:snapToGrid/>
              <w:spacing w:line="360" w:lineRule="auto"/>
              <w:textAlignment w:val="auto"/>
              <w:rPr>
                <w:rFonts w:hint="eastAsia" w:hAnsi="宋体" w:cs="宋体"/>
                <w:szCs w:val="24"/>
              </w:rPr>
            </w:pP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工作进度计划比较符合实际需求，有相关时间节点的把控要求，对工作推进有一定的指导性，得</w:t>
            </w:r>
            <w:r>
              <w:rPr>
                <w:rFonts w:hint="eastAsia"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分； </w:t>
            </w:r>
          </w:p>
          <w:p w14:paraId="1DE6237D">
            <w:pPr>
              <w:keepNext w:val="0"/>
              <w:keepLines w:val="0"/>
              <w:pageBreakBefore w:val="0"/>
              <w:kinsoku/>
              <w:wordWrap/>
              <w:overflowPunct/>
              <w:topLinePunct w:val="0"/>
              <w:autoSpaceDE/>
              <w:autoSpaceDN/>
              <w:bidi w:val="0"/>
              <w:adjustRightInd/>
              <w:snapToGrid/>
              <w:spacing w:line="360" w:lineRule="auto"/>
              <w:textAlignment w:val="auto"/>
              <w:rPr>
                <w:rFonts w:hint="eastAsia" w:hAnsi="宋体" w:cs="宋体"/>
                <w:szCs w:val="24"/>
              </w:rPr>
            </w:pPr>
            <w:r>
              <w:rPr>
                <w:rFonts w:hint="eastAsia"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工作进度计划基本符合实际需求，相关时间节点的把控要求基本准确，对工作推进相对有指导性，得</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48C14D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lang w:val="en-US" w:eastAsia="zh-CN" w:bidi="ar"/>
              </w:rPr>
              <w:t>未提供相关内容不得分。</w:t>
            </w:r>
          </w:p>
        </w:tc>
        <w:tc>
          <w:tcPr>
            <w:tcW w:w="728" w:type="dxa"/>
            <w:noWrap w:val="0"/>
            <w:vAlign w:val="center"/>
          </w:tcPr>
          <w:p w14:paraId="5B63A1B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bidi="ar-SA"/>
              </w:rPr>
            </w:pPr>
            <w:r>
              <w:rPr>
                <w:rFonts w:hint="eastAsia" w:hAnsi="宋体" w:cs="宋体"/>
                <w:color w:val="000000"/>
                <w:sz w:val="24"/>
                <w:szCs w:val="24"/>
                <w:highlight w:val="none"/>
                <w:lang w:val="en-US" w:eastAsia="zh-CN" w:bidi="ar-SA"/>
              </w:rPr>
              <w:t>10</w:t>
            </w:r>
            <w:r>
              <w:rPr>
                <w:rFonts w:hint="eastAsia" w:ascii="宋体" w:hAnsi="宋体" w:eastAsia="宋体" w:cs="宋体"/>
                <w:color w:val="000000"/>
                <w:sz w:val="24"/>
                <w:szCs w:val="24"/>
                <w:highlight w:val="none"/>
                <w:lang w:val="en-US" w:eastAsia="zh-CN" w:bidi="ar-SA"/>
              </w:rPr>
              <w:t>分</w:t>
            </w:r>
          </w:p>
        </w:tc>
      </w:tr>
      <w:tr w14:paraId="0AC1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777" w:type="dxa"/>
            <w:vMerge w:val="continue"/>
            <w:noWrap w:val="0"/>
            <w:vAlign w:val="center"/>
          </w:tcPr>
          <w:p w14:paraId="28F49A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634" w:type="dxa"/>
            <w:vMerge w:val="continue"/>
            <w:noWrap w:val="0"/>
            <w:vAlign w:val="center"/>
          </w:tcPr>
          <w:p w14:paraId="0AFDE96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733" w:type="dxa"/>
            <w:noWrap w:val="0"/>
            <w:vAlign w:val="center"/>
          </w:tcPr>
          <w:p w14:paraId="680546F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bidi="ar-SA"/>
              </w:rPr>
            </w:pPr>
            <w:r>
              <w:rPr>
                <w:b/>
                <w:bCs/>
              </w:rPr>
              <w:t>服务承诺</w:t>
            </w:r>
          </w:p>
        </w:tc>
        <w:tc>
          <w:tcPr>
            <w:tcW w:w="7100" w:type="dxa"/>
            <w:noWrap w:val="0"/>
            <w:vAlign w:val="center"/>
          </w:tcPr>
          <w:p w14:paraId="03A1FAD9">
            <w:pPr>
              <w:keepNext w:val="0"/>
              <w:keepLines w:val="0"/>
              <w:pageBreakBefore w:val="0"/>
              <w:kinsoku/>
              <w:wordWrap/>
              <w:overflowPunct/>
              <w:topLinePunct w:val="0"/>
              <w:autoSpaceDE/>
              <w:autoSpaceDN/>
              <w:bidi w:val="0"/>
              <w:adjustRightInd/>
              <w:snapToGrid/>
              <w:spacing w:line="360" w:lineRule="auto"/>
              <w:textAlignment w:val="auto"/>
            </w:pPr>
            <w:r>
              <w:rPr>
                <w:rFonts w:hint="eastAsia"/>
                <w:b/>
                <w:bCs/>
                <w:lang w:val="en-US" w:eastAsia="zh-CN"/>
              </w:rPr>
              <w:t>供应商针对本项目有详细、可行的服务承诺，包括前期准备中、组织实施时、提交成果后等其他伴随服务等各项服务承诺及措施，</w:t>
            </w:r>
            <w:r>
              <w:rPr>
                <w:b/>
                <w:bCs/>
              </w:rPr>
              <w:t>按其承诺的合理程度赋分。</w:t>
            </w:r>
            <w:r>
              <w:t xml:space="preserve"> </w:t>
            </w:r>
          </w:p>
          <w:p w14:paraId="79F1FDFD">
            <w:pPr>
              <w:keepNext w:val="0"/>
              <w:keepLines w:val="0"/>
              <w:pageBreakBefore w:val="0"/>
              <w:kinsoku/>
              <w:wordWrap/>
              <w:overflowPunct/>
              <w:topLinePunct w:val="0"/>
              <w:autoSpaceDE/>
              <w:autoSpaceDN/>
              <w:bidi w:val="0"/>
              <w:adjustRightInd/>
              <w:snapToGrid/>
              <w:spacing w:line="360" w:lineRule="auto"/>
              <w:textAlignment w:val="auto"/>
            </w:pPr>
            <w:r>
              <w:t>服务承诺清晰明确、具有针对性得6分；</w:t>
            </w:r>
          </w:p>
          <w:p w14:paraId="053A9340">
            <w:pPr>
              <w:keepNext w:val="0"/>
              <w:keepLines w:val="0"/>
              <w:pageBreakBefore w:val="0"/>
              <w:kinsoku/>
              <w:wordWrap/>
              <w:overflowPunct/>
              <w:topLinePunct w:val="0"/>
              <w:autoSpaceDE/>
              <w:autoSpaceDN/>
              <w:bidi w:val="0"/>
              <w:adjustRightInd/>
              <w:snapToGrid/>
              <w:spacing w:line="360" w:lineRule="auto"/>
              <w:textAlignment w:val="auto"/>
            </w:pPr>
            <w:r>
              <w:t>服务承诺较清晰明确、针对性一般得4分；</w:t>
            </w:r>
          </w:p>
          <w:p w14:paraId="6C3454C5">
            <w:pPr>
              <w:keepNext w:val="0"/>
              <w:keepLines w:val="0"/>
              <w:pageBreakBefore w:val="0"/>
              <w:kinsoku/>
              <w:wordWrap/>
              <w:overflowPunct/>
              <w:topLinePunct w:val="0"/>
              <w:autoSpaceDE/>
              <w:autoSpaceDN/>
              <w:bidi w:val="0"/>
              <w:adjustRightInd/>
              <w:snapToGrid/>
              <w:spacing w:line="360" w:lineRule="auto"/>
              <w:textAlignment w:val="auto"/>
            </w:pPr>
            <w:r>
              <w:t>服务承诺内容不清晰得2分；</w:t>
            </w:r>
          </w:p>
          <w:p w14:paraId="2CE9334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bidi="ar"/>
              </w:rPr>
            </w:pPr>
            <w:r>
              <w:t>未提供的得0分。</w:t>
            </w:r>
          </w:p>
        </w:tc>
        <w:tc>
          <w:tcPr>
            <w:tcW w:w="728" w:type="dxa"/>
            <w:noWrap w:val="0"/>
            <w:vAlign w:val="center"/>
          </w:tcPr>
          <w:p w14:paraId="0CF87E6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hAnsi="宋体" w:cs="宋体"/>
                <w:color w:val="000000"/>
                <w:sz w:val="24"/>
                <w:szCs w:val="24"/>
                <w:highlight w:val="none"/>
                <w:lang w:val="en-US" w:eastAsia="zh-CN" w:bidi="ar-SA"/>
              </w:rPr>
            </w:pPr>
            <w:r>
              <w:rPr>
                <w:rFonts w:hint="eastAsia" w:hAnsi="宋体" w:cs="宋体"/>
                <w:color w:val="000000"/>
                <w:sz w:val="24"/>
                <w:szCs w:val="24"/>
                <w:highlight w:val="none"/>
                <w:lang w:val="en-US" w:eastAsia="zh-CN" w:bidi="ar-SA"/>
              </w:rPr>
              <w:t>6分</w:t>
            </w:r>
          </w:p>
        </w:tc>
      </w:tr>
      <w:tr w14:paraId="388D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777" w:type="dxa"/>
            <w:vMerge w:val="continue"/>
            <w:noWrap w:val="0"/>
            <w:vAlign w:val="center"/>
          </w:tcPr>
          <w:p w14:paraId="6FE650F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634" w:type="dxa"/>
            <w:vMerge w:val="continue"/>
            <w:noWrap w:val="0"/>
            <w:vAlign w:val="center"/>
          </w:tcPr>
          <w:p w14:paraId="511F48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733" w:type="dxa"/>
            <w:noWrap w:val="0"/>
            <w:vAlign w:val="center"/>
          </w:tcPr>
          <w:p w14:paraId="7C9A7934">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highlight w:val="none"/>
                <w:lang w:val="en-US" w:eastAsia="zh-CN"/>
              </w:rPr>
            </w:pPr>
          </w:p>
          <w:p w14:paraId="3D67C710">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合理化建议</w:t>
            </w:r>
          </w:p>
          <w:p w14:paraId="52EFB2F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bidi="ar-SA"/>
              </w:rPr>
            </w:pPr>
          </w:p>
        </w:tc>
        <w:tc>
          <w:tcPr>
            <w:tcW w:w="7100" w:type="dxa"/>
            <w:noWrap w:val="0"/>
            <w:vAlign w:val="center"/>
          </w:tcPr>
          <w:p w14:paraId="309090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hAnsi="宋体" w:cs="宋体"/>
                <w:szCs w:val="24"/>
              </w:rPr>
            </w:pPr>
            <w:r>
              <w:rPr>
                <w:rFonts w:hint="eastAsia" w:ascii="宋体" w:hAnsi="宋体" w:eastAsia="宋体" w:cs="宋体"/>
                <w:b/>
                <w:bCs/>
                <w:color w:val="000000"/>
                <w:kern w:val="0"/>
                <w:sz w:val="24"/>
                <w:szCs w:val="24"/>
                <w:lang w:val="en-US" w:eastAsia="zh-CN" w:bidi="ar"/>
              </w:rPr>
              <w:t>针对本项目实际需求，提供实质性的合理化建议</w:t>
            </w:r>
            <w:r>
              <w:rPr>
                <w:rFonts w:hint="eastAsia" w:hAnsi="宋体" w:cs="宋体"/>
                <w:b/>
                <w:bCs/>
                <w:color w:val="000000"/>
                <w:kern w:val="0"/>
                <w:sz w:val="24"/>
                <w:szCs w:val="24"/>
                <w:lang w:val="en-US" w:eastAsia="zh-CN" w:bidi="ar"/>
              </w:rPr>
              <w:t>：</w:t>
            </w:r>
          </w:p>
          <w:p w14:paraId="488C85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hAnsi="宋体" w:cs="宋体"/>
                <w:szCs w:val="24"/>
              </w:rPr>
            </w:pPr>
            <w:r>
              <w:rPr>
                <w:rFonts w:hint="eastAsia" w:ascii="宋体" w:hAnsi="宋体" w:eastAsia="宋体" w:cs="宋体"/>
                <w:color w:val="000000"/>
                <w:kern w:val="0"/>
                <w:sz w:val="24"/>
                <w:szCs w:val="24"/>
                <w:lang w:val="en-US" w:eastAsia="zh-CN" w:bidi="ar"/>
              </w:rPr>
              <w:t>建议内容科学可行，有针对性且内容丰富，得</w:t>
            </w:r>
            <w:r>
              <w:rPr>
                <w:rFonts w:hint="eastAsia"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分； </w:t>
            </w:r>
          </w:p>
          <w:p w14:paraId="4BD609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hAnsi="宋体" w:cs="宋体"/>
                <w:szCs w:val="24"/>
              </w:rPr>
            </w:pPr>
            <w:r>
              <w:rPr>
                <w:rFonts w:hint="eastAsia" w:ascii="宋体" w:hAnsi="宋体" w:eastAsia="宋体" w:cs="宋体"/>
                <w:color w:val="000000"/>
                <w:kern w:val="0"/>
                <w:sz w:val="24"/>
                <w:szCs w:val="24"/>
                <w:lang w:val="en-US" w:eastAsia="zh-CN" w:bidi="ar"/>
              </w:rPr>
              <w:t>建议内容较为可行，有一定的针对性，得</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6FFEB18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hAnsi="宋体" w:cs="宋体"/>
                <w:szCs w:val="24"/>
              </w:rPr>
            </w:pPr>
            <w:r>
              <w:rPr>
                <w:rFonts w:hint="eastAsia" w:ascii="宋体" w:hAnsi="宋体" w:eastAsia="宋体" w:cs="宋体"/>
                <w:color w:val="000000"/>
                <w:kern w:val="0"/>
                <w:sz w:val="24"/>
                <w:szCs w:val="24"/>
                <w:lang w:val="en-US" w:eastAsia="zh-CN" w:bidi="ar"/>
              </w:rPr>
              <w:t>建议内容基本可行，具有针对性，得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分； </w:t>
            </w:r>
          </w:p>
          <w:p w14:paraId="72A881F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000000"/>
                <w:kern w:val="0"/>
                <w:sz w:val="24"/>
                <w:szCs w:val="24"/>
                <w:lang w:val="en-US" w:eastAsia="zh-CN" w:bidi="ar"/>
              </w:rPr>
              <w:t>未提供相关内容不得分。</w:t>
            </w:r>
          </w:p>
        </w:tc>
        <w:tc>
          <w:tcPr>
            <w:tcW w:w="728" w:type="dxa"/>
            <w:noWrap w:val="0"/>
            <w:vAlign w:val="center"/>
          </w:tcPr>
          <w:p w14:paraId="1670819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bidi="ar-SA"/>
              </w:rPr>
            </w:pPr>
            <w:r>
              <w:rPr>
                <w:rFonts w:hint="eastAsia" w:hAnsi="宋体" w:cs="宋体"/>
                <w:color w:val="000000"/>
                <w:sz w:val="24"/>
                <w:szCs w:val="24"/>
                <w:highlight w:val="none"/>
                <w:lang w:val="en-US" w:eastAsia="zh-CN" w:bidi="ar-SA"/>
              </w:rPr>
              <w:t>5</w:t>
            </w:r>
            <w:r>
              <w:rPr>
                <w:rFonts w:hint="eastAsia" w:ascii="宋体" w:hAnsi="宋体" w:eastAsia="宋体" w:cs="宋体"/>
                <w:color w:val="000000"/>
                <w:sz w:val="24"/>
                <w:szCs w:val="24"/>
                <w:highlight w:val="none"/>
                <w:lang w:val="en-US" w:eastAsia="zh-CN" w:bidi="ar-SA"/>
              </w:rPr>
              <w:t>分</w:t>
            </w:r>
          </w:p>
        </w:tc>
      </w:tr>
      <w:tr w14:paraId="1ABA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gridSpan w:val="2"/>
            <w:noWrap w:val="0"/>
            <w:vAlign w:val="center"/>
          </w:tcPr>
          <w:p w14:paraId="4095A3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4"/>
                <w:szCs w:val="24"/>
                <w:highlight w:val="none"/>
                <w:lang w:bidi="ar-SA"/>
              </w:rPr>
            </w:pPr>
            <w:r>
              <w:rPr>
                <w:rFonts w:hint="eastAsia" w:ascii="宋体" w:hAnsi="宋体" w:eastAsia="宋体" w:cs="宋体"/>
                <w:b/>
                <w:bCs/>
                <w:kern w:val="2"/>
                <w:sz w:val="24"/>
                <w:szCs w:val="24"/>
                <w:highlight w:val="none"/>
                <w:lang w:bidi="ar-SA"/>
              </w:rPr>
              <w:t>业绩</w:t>
            </w:r>
          </w:p>
          <w:p w14:paraId="111D2BD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highlight w:val="none"/>
                <w:lang w:eastAsia="zh-CN" w:bidi="ar-SA"/>
              </w:rPr>
            </w:pPr>
            <w:r>
              <w:rPr>
                <w:rFonts w:hint="eastAsia" w:ascii="宋体" w:hAnsi="宋体" w:eastAsia="宋体" w:cs="宋体"/>
                <w:b/>
                <w:bCs/>
                <w:kern w:val="2"/>
                <w:sz w:val="24"/>
                <w:szCs w:val="24"/>
                <w:highlight w:val="none"/>
                <w:lang w:eastAsia="zh-CN" w:bidi="ar-SA"/>
              </w:rPr>
              <w:t>（</w:t>
            </w:r>
            <w:r>
              <w:rPr>
                <w:rFonts w:hint="eastAsia" w:hAnsi="宋体" w:cs="宋体"/>
                <w:b/>
                <w:bCs/>
                <w:kern w:val="2"/>
                <w:sz w:val="24"/>
                <w:szCs w:val="24"/>
                <w:highlight w:val="none"/>
                <w:lang w:val="en-US" w:eastAsia="zh-CN" w:bidi="ar-SA"/>
              </w:rPr>
              <w:t>10</w:t>
            </w:r>
            <w:r>
              <w:rPr>
                <w:rFonts w:hint="eastAsia" w:ascii="宋体" w:hAnsi="宋体" w:eastAsia="宋体" w:cs="宋体"/>
                <w:b/>
                <w:bCs/>
                <w:kern w:val="2"/>
                <w:sz w:val="24"/>
                <w:szCs w:val="24"/>
                <w:highlight w:val="none"/>
                <w:lang w:val="en-US" w:eastAsia="zh-CN" w:bidi="ar-SA"/>
              </w:rPr>
              <w:t>分</w:t>
            </w:r>
            <w:r>
              <w:rPr>
                <w:rFonts w:hint="eastAsia" w:ascii="宋体" w:hAnsi="宋体" w:eastAsia="宋体" w:cs="宋体"/>
                <w:b/>
                <w:bCs/>
                <w:kern w:val="2"/>
                <w:sz w:val="24"/>
                <w:szCs w:val="24"/>
                <w:highlight w:val="none"/>
                <w:lang w:eastAsia="zh-CN" w:bidi="ar-SA"/>
              </w:rPr>
              <w:t>）</w:t>
            </w:r>
          </w:p>
        </w:tc>
        <w:tc>
          <w:tcPr>
            <w:tcW w:w="7833" w:type="dxa"/>
            <w:gridSpan w:val="2"/>
            <w:noWrap w:val="0"/>
            <w:vAlign w:val="center"/>
          </w:tcPr>
          <w:p w14:paraId="6F4A5CFB">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提供供应商2021年</w:t>
            </w:r>
            <w:r>
              <w:rPr>
                <w:rFonts w:hint="eastAsia" w:hAnsi="宋体" w:cs="宋体"/>
                <w:kern w:val="2"/>
                <w:sz w:val="24"/>
                <w:szCs w:val="24"/>
                <w:highlight w:val="none"/>
                <w:lang w:val="en-US" w:eastAsia="zh-CN" w:bidi="ar-SA"/>
              </w:rPr>
              <w:t>11</w:t>
            </w:r>
            <w:r>
              <w:rPr>
                <w:rFonts w:hint="eastAsia" w:ascii="宋体" w:hAnsi="宋体" w:eastAsia="宋体" w:cs="宋体"/>
                <w:kern w:val="2"/>
                <w:sz w:val="24"/>
                <w:szCs w:val="24"/>
                <w:highlight w:val="none"/>
                <w:lang w:val="en-US" w:eastAsia="zh-CN" w:bidi="ar-SA"/>
              </w:rPr>
              <w:t>月至今类似项目业绩（以合同签订日期为准），每提供1份计2分，满分</w:t>
            </w:r>
            <w:r>
              <w:rPr>
                <w:rFonts w:hint="eastAsia"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分。</w:t>
            </w:r>
          </w:p>
          <w:p w14:paraId="067C23B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bidi="ar-SA"/>
              </w:rPr>
            </w:pPr>
            <w:r>
              <w:rPr>
                <w:rFonts w:hint="eastAsia" w:ascii="宋体" w:hAnsi="宋体" w:eastAsia="宋体" w:cs="宋体"/>
                <w:kern w:val="2"/>
                <w:sz w:val="24"/>
                <w:szCs w:val="24"/>
                <w:highlight w:val="none"/>
                <w:lang w:val="en-US" w:eastAsia="zh-CN" w:bidi="ar-SA"/>
              </w:rPr>
              <w:t>备注：业绩证明（以合同为准，须在磋商响应文件中附合同的扫描件加盖单位公章）弄虚作假者，取消其成交资格。</w:t>
            </w:r>
          </w:p>
        </w:tc>
        <w:tc>
          <w:tcPr>
            <w:tcW w:w="728" w:type="dxa"/>
            <w:noWrap w:val="0"/>
            <w:vAlign w:val="center"/>
          </w:tcPr>
          <w:p w14:paraId="50A499A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bidi="ar-SA"/>
              </w:rPr>
            </w:pPr>
            <w:r>
              <w:rPr>
                <w:rFonts w:hint="eastAsia" w:hAnsi="宋体" w:cs="宋体"/>
                <w:sz w:val="24"/>
                <w:szCs w:val="24"/>
                <w:highlight w:val="none"/>
                <w:lang w:val="en-US" w:eastAsia="zh-CN" w:bidi="ar-SA"/>
              </w:rPr>
              <w:t>10</w:t>
            </w:r>
            <w:r>
              <w:rPr>
                <w:rFonts w:hint="eastAsia" w:ascii="宋体" w:hAnsi="宋体" w:eastAsia="宋体" w:cs="宋体"/>
                <w:sz w:val="24"/>
                <w:szCs w:val="24"/>
                <w:highlight w:val="none"/>
                <w:lang w:bidi="ar-SA"/>
              </w:rPr>
              <w:t>分</w:t>
            </w:r>
          </w:p>
        </w:tc>
      </w:tr>
      <w:tr w14:paraId="070D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2" w:type="dxa"/>
            <w:gridSpan w:val="5"/>
            <w:noWrap w:val="0"/>
            <w:vAlign w:val="center"/>
          </w:tcPr>
          <w:p w14:paraId="44611282">
            <w:pPr>
              <w:keepNext w:val="0"/>
              <w:keepLines w:val="0"/>
              <w:pageBreakBefore w:val="0"/>
              <w:kinsoku/>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1、若出现综合得分并列时，按照最后报价由低到高的顺序推荐，评审得分且最后报价相同的，按照技术指标优劣进行排序，如果还相同，则由全体磋商小组无记名投票，以得票高者排序在先。</w:t>
            </w:r>
          </w:p>
          <w:p w14:paraId="75F18968">
            <w:pPr>
              <w:keepNext w:val="0"/>
              <w:keepLines w:val="0"/>
              <w:pageBreakBefore w:val="0"/>
              <w:kinsoku/>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2、评委打分超过得分界限或未按本方法赋分时，该评委的打分按作废处理。</w:t>
            </w:r>
          </w:p>
          <w:p w14:paraId="2C199DC3">
            <w:pPr>
              <w:keepNext w:val="0"/>
              <w:keepLines w:val="0"/>
              <w:pageBreakBefore w:val="0"/>
              <w:kinsoku/>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3、由于磋商响应文件有矛盾，造成对供应商不利的评标结果，由供应商自负。</w:t>
            </w:r>
          </w:p>
          <w:p w14:paraId="1CB109C9">
            <w:pPr>
              <w:keepNext w:val="0"/>
              <w:keepLines w:val="0"/>
              <w:pageBreakBefore w:val="0"/>
              <w:kinsoku/>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4、评审过程中，若出现特殊情况时，将暂停评标，有关情况的处理待磋商小组确认后，再行评定。</w:t>
            </w:r>
          </w:p>
          <w:p w14:paraId="5499AA66">
            <w:pPr>
              <w:keepNext w:val="0"/>
              <w:keepLines w:val="0"/>
              <w:pageBreakBefore w:val="0"/>
              <w:kinsoku/>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color w:val="000000"/>
                <w:sz w:val="24"/>
                <w:szCs w:val="24"/>
                <w:highlight w:val="none"/>
                <w:lang w:bidi="ar-SA"/>
              </w:rPr>
            </w:pPr>
            <w:r>
              <w:rPr>
                <w:rFonts w:hint="eastAsia" w:ascii="宋体" w:hAnsi="宋体" w:eastAsia="宋体" w:cs="宋体"/>
                <w:sz w:val="24"/>
                <w:szCs w:val="24"/>
                <w:highlight w:val="none"/>
                <w:lang w:bidi="ar-SA"/>
              </w:rPr>
              <w:t>5、计算结果保留两位小数，第三位“四舍五入”。</w:t>
            </w:r>
          </w:p>
        </w:tc>
      </w:tr>
    </w:tbl>
    <w:p w14:paraId="6261DA2D">
      <w:pPr>
        <w:pStyle w:val="15"/>
        <w:spacing w:line="240" w:lineRule="auto"/>
        <w:ind w:left="0" w:leftChars="0" w:firstLine="0" w:firstLineChars="0"/>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bidi="ar-SA"/>
        </w:rPr>
        <w:br w:type="page"/>
      </w:r>
      <w:bookmarkEnd w:id="49"/>
      <w:bookmarkEnd w:id="61"/>
      <w:bookmarkEnd w:id="62"/>
      <w:bookmarkEnd w:id="63"/>
      <w:bookmarkEnd w:id="64"/>
      <w:bookmarkEnd w:id="65"/>
      <w:bookmarkEnd w:id="66"/>
      <w:bookmarkEnd w:id="67"/>
      <w:bookmarkStart w:id="74" w:name="_Toc363474025"/>
      <w:bookmarkStart w:id="75" w:name="_Toc5084"/>
      <w:bookmarkStart w:id="76" w:name="_Toc423973079"/>
      <w:bookmarkStart w:id="77" w:name="_Toc27437"/>
      <w:bookmarkStart w:id="78" w:name="_Toc2120"/>
      <w:bookmarkStart w:id="79" w:name="_Toc403077646"/>
    </w:p>
    <w:p w14:paraId="181CD101">
      <w:pPr>
        <w:spacing w:line="360" w:lineRule="auto"/>
        <w:ind w:firstLine="723" w:firstLineChars="200"/>
        <w:jc w:val="center"/>
        <w:outlineLvl w:val="0"/>
        <w:rPr>
          <w:rFonts w:hint="eastAsia" w:ascii="宋体" w:hAnsi="宋体" w:eastAsia="宋体" w:cs="宋体"/>
          <w:bCs/>
          <w:sz w:val="36"/>
          <w:szCs w:val="36"/>
          <w:highlight w:val="none"/>
          <w:lang w:bidi="ar-SA"/>
        </w:rPr>
      </w:pPr>
      <w:bookmarkStart w:id="80" w:name="_Toc6143"/>
      <w:bookmarkStart w:id="81" w:name="_Toc30593"/>
      <w:r>
        <w:rPr>
          <w:rFonts w:hint="eastAsia" w:ascii="宋体" w:hAnsi="宋体" w:eastAsia="宋体" w:cs="宋体"/>
          <w:b/>
          <w:sz w:val="36"/>
          <w:szCs w:val="36"/>
          <w:highlight w:val="none"/>
          <w:lang w:bidi="ar-SA"/>
        </w:rPr>
        <w:t>第六章  竞争性磋商响应文件格式</w:t>
      </w:r>
      <w:bookmarkEnd w:id="74"/>
      <w:bookmarkEnd w:id="75"/>
      <w:bookmarkEnd w:id="76"/>
      <w:bookmarkEnd w:id="77"/>
      <w:bookmarkEnd w:id="78"/>
      <w:bookmarkEnd w:id="79"/>
      <w:bookmarkEnd w:id="80"/>
      <w:bookmarkEnd w:id="81"/>
    </w:p>
    <w:p w14:paraId="0BD31F30">
      <w:pPr>
        <w:rPr>
          <w:rFonts w:hint="eastAsia" w:ascii="宋体" w:hAnsi="宋体" w:eastAsia="宋体" w:cs="宋体"/>
          <w:highlight w:val="none"/>
          <w:lang w:bidi="ar-SA"/>
        </w:rPr>
      </w:pPr>
    </w:p>
    <w:p w14:paraId="0F6DC5FF">
      <w:pPr>
        <w:rPr>
          <w:rFonts w:hint="eastAsia" w:ascii="宋体" w:hAnsi="宋体" w:eastAsia="宋体" w:cs="宋体"/>
          <w:b/>
          <w:bCs/>
          <w:sz w:val="32"/>
          <w:szCs w:val="32"/>
          <w:highlight w:val="none"/>
          <w:lang w:bidi="ar-SA"/>
        </w:rPr>
      </w:pPr>
      <w:r>
        <w:rPr>
          <w:rFonts w:hint="eastAsia" w:ascii="宋体" w:hAnsi="宋体" w:eastAsia="宋体" w:cs="宋体"/>
          <w:b/>
          <w:bCs/>
          <w:sz w:val="32"/>
          <w:szCs w:val="32"/>
          <w:highlight w:val="none"/>
          <w:lang w:bidi="ar-SA"/>
        </w:rPr>
        <w:t xml:space="preserve">项目编号： </w:t>
      </w:r>
      <w:r>
        <w:rPr>
          <w:rFonts w:hint="eastAsia" w:hAnsi="宋体" w:cs="宋体"/>
          <w:b/>
          <w:bCs/>
          <w:sz w:val="32"/>
          <w:szCs w:val="32"/>
          <w:highlight w:val="none"/>
          <w:lang w:eastAsia="zh-CN" w:bidi="ar-SA"/>
        </w:rPr>
        <w:t>DDXM2024-085</w:t>
      </w:r>
      <w:r>
        <w:rPr>
          <w:rFonts w:hint="eastAsia" w:ascii="宋体" w:hAnsi="宋体" w:eastAsia="宋体" w:cs="宋体"/>
          <w:b/>
          <w:bCs/>
          <w:sz w:val="32"/>
          <w:szCs w:val="32"/>
          <w:highlight w:val="none"/>
          <w:lang w:bidi="ar-SA"/>
        </w:rPr>
        <w:t xml:space="preserve">                          </w:t>
      </w:r>
    </w:p>
    <w:p w14:paraId="4F30A1B8">
      <w:pPr>
        <w:jc w:val="center"/>
        <w:rPr>
          <w:rFonts w:hint="eastAsia" w:ascii="宋体" w:hAnsi="宋体" w:eastAsia="宋体" w:cs="宋体"/>
          <w:b/>
          <w:sz w:val="56"/>
          <w:szCs w:val="56"/>
          <w:highlight w:val="none"/>
          <w:lang w:eastAsia="zh-CN" w:bidi="ar-SA"/>
        </w:rPr>
      </w:pPr>
    </w:p>
    <w:p w14:paraId="35E5685C">
      <w:pPr>
        <w:jc w:val="center"/>
        <w:rPr>
          <w:rFonts w:hint="eastAsia" w:ascii="宋体" w:hAnsi="宋体" w:eastAsia="宋体" w:cs="宋体"/>
          <w:b/>
          <w:sz w:val="56"/>
          <w:szCs w:val="56"/>
          <w:highlight w:val="none"/>
          <w:lang w:eastAsia="zh-CN" w:bidi="ar-SA"/>
        </w:rPr>
      </w:pPr>
    </w:p>
    <w:p w14:paraId="6876AC0B">
      <w:pPr>
        <w:jc w:val="center"/>
        <w:rPr>
          <w:rFonts w:hint="eastAsia" w:ascii="宋体" w:hAnsi="宋体" w:eastAsia="宋体" w:cs="宋体"/>
          <w:highlight w:val="none"/>
          <w:lang w:bidi="ar-SA"/>
        </w:rPr>
      </w:pPr>
      <w:r>
        <w:rPr>
          <w:rFonts w:hint="eastAsia" w:hAnsi="宋体" w:cs="宋体"/>
          <w:b/>
          <w:sz w:val="56"/>
          <w:szCs w:val="56"/>
          <w:highlight w:val="none"/>
          <w:lang w:eastAsia="zh-CN" w:bidi="ar-SA"/>
        </w:rPr>
        <w:t>高庄镇2024年“多规合一”实用性村庄规划编制项目</w:t>
      </w:r>
    </w:p>
    <w:p w14:paraId="5549B4F4">
      <w:pPr>
        <w:pStyle w:val="10"/>
        <w:rPr>
          <w:rFonts w:hint="eastAsia" w:ascii="宋体" w:hAnsi="宋体" w:eastAsia="宋体" w:cs="宋体"/>
          <w:highlight w:val="none"/>
          <w:lang w:bidi="ar-SA"/>
        </w:rPr>
      </w:pPr>
    </w:p>
    <w:p w14:paraId="64A8D3E9">
      <w:pPr>
        <w:jc w:val="center"/>
        <w:rPr>
          <w:rFonts w:hint="eastAsia" w:ascii="宋体" w:hAnsi="宋体" w:eastAsia="宋体" w:cs="宋体"/>
          <w:b/>
          <w:sz w:val="56"/>
          <w:szCs w:val="56"/>
          <w:highlight w:val="none"/>
          <w:lang w:bidi="ar-SA"/>
        </w:rPr>
      </w:pPr>
    </w:p>
    <w:p w14:paraId="144C597D">
      <w:pPr>
        <w:jc w:val="center"/>
        <w:rPr>
          <w:rFonts w:hint="eastAsia" w:ascii="宋体" w:hAnsi="宋体" w:eastAsia="宋体" w:cs="宋体"/>
          <w:b/>
          <w:sz w:val="56"/>
          <w:szCs w:val="56"/>
          <w:highlight w:val="none"/>
          <w:lang w:bidi="ar-SA"/>
        </w:rPr>
      </w:pPr>
      <w:r>
        <w:rPr>
          <w:rFonts w:hint="eastAsia" w:ascii="宋体" w:hAnsi="宋体" w:eastAsia="宋体" w:cs="宋体"/>
          <w:b/>
          <w:sz w:val="56"/>
          <w:szCs w:val="56"/>
          <w:highlight w:val="none"/>
          <w:lang w:bidi="ar-SA"/>
        </w:rPr>
        <w:t>竞争性磋商响应文件</w:t>
      </w:r>
    </w:p>
    <w:p w14:paraId="559FA03C">
      <w:pPr>
        <w:rPr>
          <w:rFonts w:hint="eastAsia" w:ascii="宋体" w:hAnsi="宋体" w:eastAsia="宋体" w:cs="宋体"/>
          <w:b/>
          <w:sz w:val="36"/>
          <w:szCs w:val="36"/>
          <w:highlight w:val="none"/>
          <w:lang w:bidi="ar-SA"/>
        </w:rPr>
      </w:pPr>
      <w:r>
        <w:rPr>
          <w:rFonts w:hint="eastAsia" w:ascii="宋体" w:hAnsi="宋体" w:eastAsia="宋体" w:cs="宋体"/>
          <w:b/>
          <w:sz w:val="36"/>
          <w:szCs w:val="36"/>
          <w:highlight w:val="none"/>
          <w:lang w:bidi="ar-SA"/>
        </w:rPr>
        <w:t xml:space="preserve">               </w:t>
      </w:r>
    </w:p>
    <w:p w14:paraId="68BDDE97">
      <w:pPr>
        <w:pStyle w:val="10"/>
        <w:rPr>
          <w:rFonts w:hint="eastAsia" w:ascii="宋体" w:hAnsi="宋体" w:eastAsia="宋体" w:cs="宋体"/>
          <w:highlight w:val="none"/>
          <w:lang w:bidi="ar-SA"/>
        </w:rPr>
      </w:pPr>
    </w:p>
    <w:p w14:paraId="0A18F50A">
      <w:pPr>
        <w:jc w:val="center"/>
        <w:rPr>
          <w:rFonts w:hint="eastAsia" w:ascii="宋体" w:hAnsi="宋体" w:eastAsia="宋体" w:cs="宋体"/>
          <w:b/>
          <w:sz w:val="36"/>
          <w:szCs w:val="36"/>
          <w:highlight w:val="none"/>
          <w:lang w:bidi="ar-SA"/>
        </w:rPr>
      </w:pPr>
    </w:p>
    <w:p w14:paraId="1C5B429A">
      <w:pPr>
        <w:rPr>
          <w:rFonts w:hint="eastAsia" w:ascii="宋体" w:hAnsi="宋体" w:eastAsia="宋体" w:cs="宋体"/>
          <w:b/>
          <w:sz w:val="36"/>
          <w:szCs w:val="36"/>
          <w:highlight w:val="none"/>
          <w:lang w:bidi="ar-SA"/>
        </w:rPr>
      </w:pPr>
    </w:p>
    <w:p w14:paraId="67087A00">
      <w:pPr>
        <w:rPr>
          <w:rFonts w:hint="eastAsia" w:ascii="宋体" w:hAnsi="宋体" w:eastAsia="宋体" w:cs="宋体"/>
          <w:b/>
          <w:sz w:val="36"/>
          <w:szCs w:val="36"/>
          <w:highlight w:val="none"/>
          <w:lang w:bidi="ar-SA"/>
        </w:rPr>
      </w:pPr>
    </w:p>
    <w:p w14:paraId="6E6AA823">
      <w:pPr>
        <w:rPr>
          <w:rFonts w:hint="eastAsia" w:ascii="宋体" w:hAnsi="宋体" w:eastAsia="宋体" w:cs="宋体"/>
          <w:b/>
          <w:sz w:val="36"/>
          <w:szCs w:val="36"/>
          <w:highlight w:val="none"/>
          <w:lang w:bidi="ar-SA"/>
        </w:rPr>
      </w:pPr>
    </w:p>
    <w:p w14:paraId="1F2FB979">
      <w:pPr>
        <w:rPr>
          <w:rFonts w:hint="eastAsia" w:ascii="宋体" w:hAnsi="宋体" w:eastAsia="宋体" w:cs="宋体"/>
          <w:b/>
          <w:sz w:val="36"/>
          <w:szCs w:val="36"/>
          <w:highlight w:val="none"/>
          <w:lang w:bidi="ar-SA"/>
        </w:rPr>
      </w:pPr>
    </w:p>
    <w:p w14:paraId="2BD99196">
      <w:pPr>
        <w:tabs>
          <w:tab w:val="center" w:pos="5346"/>
        </w:tabs>
        <w:spacing w:line="480" w:lineRule="auto"/>
        <w:jc w:val="center"/>
        <w:rPr>
          <w:rFonts w:hint="eastAsia" w:ascii="宋体" w:hAnsi="宋体" w:eastAsia="宋体" w:cs="宋体"/>
          <w:b/>
          <w:sz w:val="32"/>
          <w:szCs w:val="32"/>
          <w:highlight w:val="none"/>
          <w:lang w:bidi="ar-SA"/>
        </w:rPr>
      </w:pPr>
      <w:r>
        <w:rPr>
          <w:rFonts w:hint="eastAsia" w:ascii="宋体" w:hAnsi="宋体" w:eastAsia="宋体" w:cs="宋体"/>
          <w:b/>
          <w:sz w:val="32"/>
          <w:szCs w:val="32"/>
          <w:highlight w:val="none"/>
          <w:lang w:bidi="ar-SA"/>
        </w:rPr>
        <w:t>供应商名称：</w:t>
      </w:r>
      <w:r>
        <w:rPr>
          <w:rFonts w:hint="eastAsia" w:ascii="宋体" w:hAnsi="宋体" w:eastAsia="宋体" w:cs="宋体"/>
          <w:b/>
          <w:sz w:val="32"/>
          <w:szCs w:val="32"/>
          <w:highlight w:val="none"/>
          <w:u w:val="single"/>
          <w:lang w:bidi="ar-SA"/>
        </w:rPr>
        <w:t xml:space="preserve">                    </w:t>
      </w:r>
      <w:r>
        <w:rPr>
          <w:rFonts w:hint="eastAsia" w:ascii="宋体" w:hAnsi="宋体" w:eastAsia="宋体" w:cs="宋体"/>
          <w:b/>
          <w:sz w:val="32"/>
          <w:szCs w:val="32"/>
          <w:highlight w:val="none"/>
          <w:lang w:bidi="ar-SA"/>
        </w:rPr>
        <w:t>（加盖单位公章）</w:t>
      </w:r>
    </w:p>
    <w:p w14:paraId="36D8448A">
      <w:pPr>
        <w:jc w:val="center"/>
        <w:rPr>
          <w:rFonts w:hint="eastAsia" w:ascii="宋体" w:hAnsi="宋体" w:eastAsia="宋体" w:cs="宋体"/>
          <w:b/>
          <w:sz w:val="44"/>
          <w:highlight w:val="none"/>
          <w:lang w:bidi="ar-SA"/>
        </w:rPr>
      </w:pPr>
      <w:r>
        <w:rPr>
          <w:rFonts w:hint="eastAsia" w:ascii="宋体" w:hAnsi="宋体" w:eastAsia="宋体" w:cs="宋体"/>
          <w:b/>
          <w:sz w:val="32"/>
          <w:szCs w:val="32"/>
          <w:highlight w:val="none"/>
          <w:lang w:bidi="ar-SA"/>
        </w:rPr>
        <w:t xml:space="preserve"> 年   月   日</w:t>
      </w:r>
      <w:r>
        <w:rPr>
          <w:rFonts w:hint="eastAsia" w:ascii="宋体" w:hAnsi="宋体" w:eastAsia="宋体" w:cs="宋体"/>
          <w:b/>
          <w:sz w:val="36"/>
          <w:szCs w:val="36"/>
          <w:highlight w:val="none"/>
          <w:lang w:bidi="ar-SA"/>
        </w:rPr>
        <w:br w:type="page"/>
      </w:r>
      <w:bookmarkStart w:id="82" w:name="_Toc344572156"/>
    </w:p>
    <w:p w14:paraId="16B4272E">
      <w:pPr>
        <w:jc w:val="center"/>
        <w:rPr>
          <w:rFonts w:hint="eastAsia" w:ascii="宋体" w:hAnsi="宋体" w:eastAsia="宋体" w:cs="宋体"/>
          <w:b/>
          <w:sz w:val="44"/>
          <w:highlight w:val="none"/>
          <w:lang w:bidi="ar-SA"/>
        </w:rPr>
      </w:pPr>
      <w:r>
        <w:rPr>
          <w:rFonts w:hint="eastAsia" w:ascii="宋体" w:hAnsi="宋体" w:eastAsia="宋体" w:cs="宋体"/>
          <w:b/>
          <w:sz w:val="44"/>
          <w:highlight w:val="none"/>
          <w:lang w:bidi="ar-SA"/>
        </w:rPr>
        <w:t>目  录</w:t>
      </w:r>
    </w:p>
    <w:p w14:paraId="5E3B8AD2">
      <w:pPr>
        <w:pStyle w:val="7"/>
        <w:ind w:left="0" w:leftChars="0" w:firstLine="0" w:firstLineChars="0"/>
        <w:jc w:val="center"/>
        <w:rPr>
          <w:rFonts w:hint="eastAsia" w:ascii="宋体" w:hAnsi="宋体" w:eastAsia="宋体" w:cs="宋体"/>
          <w:spacing w:val="4"/>
          <w:szCs w:val="24"/>
          <w:highlight w:val="none"/>
          <w:lang w:eastAsia="zh-CN" w:bidi="ar-SA"/>
        </w:rPr>
      </w:pPr>
    </w:p>
    <w:p w14:paraId="3BC66963">
      <w:pPr>
        <w:pStyle w:val="7"/>
        <w:ind w:left="0" w:leftChars="0" w:firstLine="0" w:firstLineChars="0"/>
        <w:jc w:val="center"/>
        <w:rPr>
          <w:rFonts w:hint="eastAsia" w:ascii="宋体" w:hAnsi="宋体" w:eastAsia="宋体" w:cs="宋体"/>
          <w:bCs/>
          <w:sz w:val="44"/>
          <w:highlight w:val="none"/>
          <w:lang w:eastAsia="zh-CN" w:bidi="ar-SA"/>
        </w:rPr>
      </w:pPr>
      <w:r>
        <w:rPr>
          <w:rFonts w:hint="eastAsia" w:ascii="宋体" w:hAnsi="宋体" w:eastAsia="宋体" w:cs="宋体"/>
          <w:spacing w:val="4"/>
          <w:szCs w:val="24"/>
          <w:highlight w:val="none"/>
          <w:lang w:eastAsia="zh-CN" w:bidi="ar-SA"/>
        </w:rPr>
        <w:t>（</w:t>
      </w:r>
      <w:r>
        <w:rPr>
          <w:rFonts w:hint="eastAsia" w:ascii="宋体" w:hAnsi="宋体" w:eastAsia="宋体" w:cs="宋体"/>
          <w:spacing w:val="4"/>
          <w:szCs w:val="24"/>
          <w:highlight w:val="none"/>
          <w:lang w:val="en-US" w:eastAsia="zh-CN" w:bidi="ar-SA"/>
        </w:rPr>
        <w:t>格式自拟</w:t>
      </w:r>
      <w:r>
        <w:rPr>
          <w:rFonts w:hint="eastAsia" w:ascii="宋体" w:hAnsi="宋体" w:eastAsia="宋体" w:cs="宋体"/>
          <w:spacing w:val="4"/>
          <w:szCs w:val="24"/>
          <w:highlight w:val="none"/>
          <w:lang w:eastAsia="zh-CN" w:bidi="ar-SA"/>
        </w:rPr>
        <w:t>）</w:t>
      </w:r>
    </w:p>
    <w:bookmarkEnd w:id="82"/>
    <w:p w14:paraId="506633C0">
      <w:pPr>
        <w:pStyle w:val="10"/>
        <w:rPr>
          <w:rFonts w:hint="eastAsia" w:ascii="宋体" w:hAnsi="宋体" w:eastAsia="宋体" w:cs="宋体"/>
          <w:b/>
          <w:sz w:val="32"/>
          <w:szCs w:val="32"/>
          <w:highlight w:val="none"/>
          <w:lang w:bidi="ar-SA"/>
        </w:rPr>
      </w:pPr>
      <w:bookmarkStart w:id="83" w:name="_Toc403077648"/>
      <w:bookmarkStart w:id="84" w:name="_Toc363474027"/>
      <w:bookmarkStart w:id="85" w:name="_Toc204524343"/>
    </w:p>
    <w:p w14:paraId="68592E64">
      <w:pPr>
        <w:pStyle w:val="10"/>
        <w:rPr>
          <w:rFonts w:hint="eastAsia" w:ascii="宋体" w:hAnsi="宋体" w:eastAsia="宋体" w:cs="宋体"/>
          <w:b/>
          <w:sz w:val="32"/>
          <w:szCs w:val="32"/>
          <w:highlight w:val="none"/>
          <w:lang w:bidi="ar-SA"/>
        </w:rPr>
      </w:pPr>
    </w:p>
    <w:p w14:paraId="33C00A36">
      <w:pPr>
        <w:pStyle w:val="10"/>
        <w:rPr>
          <w:rFonts w:hint="eastAsia" w:ascii="宋体" w:hAnsi="宋体" w:eastAsia="宋体" w:cs="宋体"/>
          <w:b/>
          <w:sz w:val="32"/>
          <w:szCs w:val="32"/>
          <w:highlight w:val="none"/>
          <w:lang w:bidi="ar-SA"/>
        </w:rPr>
      </w:pPr>
    </w:p>
    <w:p w14:paraId="4D30E2AC">
      <w:pPr>
        <w:jc w:val="center"/>
        <w:outlineLvl w:val="1"/>
        <w:rPr>
          <w:rFonts w:hint="eastAsia" w:ascii="宋体" w:hAnsi="宋体" w:eastAsia="宋体" w:cs="宋体"/>
          <w:b/>
          <w:bCs/>
          <w:sz w:val="32"/>
          <w:szCs w:val="32"/>
        </w:rPr>
      </w:pPr>
      <w:bookmarkStart w:id="86" w:name="_Toc24435"/>
      <w:bookmarkStart w:id="87" w:name="_Toc4645"/>
      <w:bookmarkStart w:id="88" w:name="_Toc25568"/>
      <w:bookmarkStart w:id="89" w:name="_Toc11801"/>
      <w:bookmarkStart w:id="90" w:name="_Toc6195"/>
    </w:p>
    <w:p w14:paraId="68C73909">
      <w:pPr>
        <w:jc w:val="center"/>
        <w:outlineLvl w:val="1"/>
        <w:rPr>
          <w:rFonts w:hint="eastAsia" w:ascii="宋体" w:hAnsi="宋体" w:eastAsia="宋体" w:cs="宋体"/>
          <w:b/>
          <w:bCs/>
          <w:sz w:val="32"/>
          <w:szCs w:val="32"/>
        </w:rPr>
      </w:pPr>
    </w:p>
    <w:p w14:paraId="26B3885F">
      <w:pPr>
        <w:jc w:val="center"/>
        <w:outlineLvl w:val="1"/>
        <w:rPr>
          <w:rFonts w:hint="eastAsia" w:ascii="宋体" w:hAnsi="宋体" w:eastAsia="宋体" w:cs="宋体"/>
          <w:b/>
          <w:bCs/>
          <w:sz w:val="32"/>
          <w:szCs w:val="32"/>
        </w:rPr>
      </w:pPr>
    </w:p>
    <w:p w14:paraId="7ED16A89">
      <w:pPr>
        <w:jc w:val="center"/>
        <w:outlineLvl w:val="1"/>
        <w:rPr>
          <w:rFonts w:hint="eastAsia" w:ascii="宋体" w:hAnsi="宋体" w:eastAsia="宋体" w:cs="宋体"/>
          <w:b/>
          <w:bCs/>
          <w:sz w:val="32"/>
          <w:szCs w:val="32"/>
        </w:rPr>
      </w:pPr>
    </w:p>
    <w:p w14:paraId="2E7D26E1">
      <w:pPr>
        <w:jc w:val="center"/>
        <w:outlineLvl w:val="1"/>
        <w:rPr>
          <w:rFonts w:hint="eastAsia" w:ascii="宋体" w:hAnsi="宋体" w:eastAsia="宋体" w:cs="宋体"/>
          <w:b/>
          <w:bCs/>
          <w:sz w:val="32"/>
          <w:szCs w:val="32"/>
        </w:rPr>
      </w:pPr>
    </w:p>
    <w:p w14:paraId="065CB77B">
      <w:pPr>
        <w:jc w:val="center"/>
        <w:outlineLvl w:val="1"/>
        <w:rPr>
          <w:rFonts w:hint="eastAsia" w:ascii="宋体" w:hAnsi="宋体" w:eastAsia="宋体" w:cs="宋体"/>
          <w:b/>
          <w:bCs/>
          <w:sz w:val="32"/>
          <w:szCs w:val="32"/>
        </w:rPr>
      </w:pPr>
    </w:p>
    <w:p w14:paraId="3152C440">
      <w:pPr>
        <w:jc w:val="center"/>
        <w:outlineLvl w:val="1"/>
        <w:rPr>
          <w:rFonts w:hint="eastAsia" w:ascii="宋体" w:hAnsi="宋体" w:eastAsia="宋体" w:cs="宋体"/>
          <w:b/>
          <w:bCs/>
          <w:sz w:val="32"/>
          <w:szCs w:val="32"/>
        </w:rPr>
      </w:pPr>
    </w:p>
    <w:p w14:paraId="43187EBF">
      <w:pPr>
        <w:jc w:val="center"/>
        <w:outlineLvl w:val="1"/>
        <w:rPr>
          <w:rFonts w:hint="eastAsia" w:ascii="宋体" w:hAnsi="宋体" w:eastAsia="宋体" w:cs="宋体"/>
          <w:b/>
          <w:bCs/>
          <w:sz w:val="32"/>
          <w:szCs w:val="32"/>
        </w:rPr>
      </w:pPr>
    </w:p>
    <w:p w14:paraId="3C8914CD">
      <w:pPr>
        <w:jc w:val="center"/>
        <w:outlineLvl w:val="1"/>
        <w:rPr>
          <w:rFonts w:hint="eastAsia" w:ascii="宋体" w:hAnsi="宋体" w:eastAsia="宋体" w:cs="宋体"/>
          <w:b/>
          <w:bCs/>
          <w:sz w:val="32"/>
          <w:szCs w:val="32"/>
        </w:rPr>
      </w:pPr>
    </w:p>
    <w:p w14:paraId="0F7B472C">
      <w:pPr>
        <w:jc w:val="center"/>
        <w:outlineLvl w:val="1"/>
        <w:rPr>
          <w:rFonts w:hint="eastAsia" w:ascii="宋体" w:hAnsi="宋体" w:eastAsia="宋体" w:cs="宋体"/>
          <w:b/>
          <w:bCs/>
          <w:sz w:val="32"/>
          <w:szCs w:val="32"/>
        </w:rPr>
      </w:pPr>
    </w:p>
    <w:p w14:paraId="69E40F0F">
      <w:pPr>
        <w:jc w:val="center"/>
        <w:outlineLvl w:val="1"/>
        <w:rPr>
          <w:rFonts w:hint="eastAsia" w:ascii="宋体" w:hAnsi="宋体" w:eastAsia="宋体" w:cs="宋体"/>
          <w:b/>
          <w:bCs/>
          <w:sz w:val="32"/>
          <w:szCs w:val="32"/>
        </w:rPr>
      </w:pPr>
    </w:p>
    <w:p w14:paraId="4EDEBC97">
      <w:pPr>
        <w:jc w:val="center"/>
        <w:outlineLvl w:val="1"/>
        <w:rPr>
          <w:rFonts w:hint="eastAsia" w:ascii="宋体" w:hAnsi="宋体" w:eastAsia="宋体" w:cs="宋体"/>
          <w:b/>
          <w:bCs/>
          <w:sz w:val="32"/>
          <w:szCs w:val="32"/>
        </w:rPr>
      </w:pPr>
    </w:p>
    <w:p w14:paraId="58F399D7">
      <w:pPr>
        <w:jc w:val="center"/>
        <w:outlineLvl w:val="1"/>
        <w:rPr>
          <w:rFonts w:hint="eastAsia" w:ascii="宋体" w:hAnsi="宋体" w:eastAsia="宋体" w:cs="宋体"/>
          <w:b/>
          <w:bCs/>
          <w:sz w:val="32"/>
          <w:szCs w:val="32"/>
        </w:rPr>
      </w:pPr>
    </w:p>
    <w:p w14:paraId="72B44FA8">
      <w:pPr>
        <w:jc w:val="center"/>
        <w:outlineLvl w:val="1"/>
        <w:rPr>
          <w:rFonts w:hint="eastAsia" w:ascii="宋体" w:hAnsi="宋体" w:eastAsia="宋体" w:cs="宋体"/>
          <w:b/>
          <w:bCs/>
          <w:sz w:val="32"/>
          <w:szCs w:val="32"/>
        </w:rPr>
      </w:pPr>
    </w:p>
    <w:p w14:paraId="53207A75">
      <w:pPr>
        <w:rPr>
          <w:rFonts w:hint="eastAsia" w:ascii="宋体" w:hAnsi="宋体" w:eastAsia="宋体" w:cs="宋体"/>
          <w:b/>
          <w:bCs/>
          <w:sz w:val="32"/>
          <w:szCs w:val="32"/>
        </w:rPr>
      </w:pPr>
      <w:r>
        <w:rPr>
          <w:rFonts w:hint="eastAsia" w:ascii="宋体" w:hAnsi="宋体" w:eastAsia="宋体" w:cs="宋体"/>
          <w:b/>
          <w:bCs/>
          <w:sz w:val="32"/>
          <w:szCs w:val="32"/>
        </w:rPr>
        <w:br w:type="page"/>
      </w:r>
    </w:p>
    <w:p w14:paraId="5748917D">
      <w:pPr>
        <w:jc w:val="center"/>
        <w:outlineLvl w:val="1"/>
        <w:rPr>
          <w:rFonts w:hint="eastAsia" w:ascii="宋体" w:hAnsi="宋体" w:eastAsia="宋体" w:cs="宋体"/>
          <w:b/>
          <w:bCs/>
          <w:sz w:val="32"/>
          <w:szCs w:val="32"/>
          <w:lang w:eastAsia="zh-CN"/>
        </w:rPr>
      </w:pPr>
      <w:r>
        <w:rPr>
          <w:rFonts w:hint="eastAsia" w:ascii="宋体" w:hAnsi="宋体" w:eastAsia="宋体" w:cs="宋体"/>
          <w:b/>
          <w:bCs/>
          <w:sz w:val="32"/>
          <w:szCs w:val="32"/>
        </w:rPr>
        <w:t>一、</w:t>
      </w:r>
      <w:r>
        <w:rPr>
          <w:rFonts w:hint="eastAsia" w:ascii="宋体" w:hAnsi="宋体" w:eastAsia="宋体" w:cs="宋体"/>
          <w:b/>
          <w:bCs/>
          <w:sz w:val="32"/>
          <w:szCs w:val="32"/>
          <w:lang w:eastAsia="zh-CN"/>
        </w:rPr>
        <w:t>磋商响应函</w:t>
      </w:r>
      <w:bookmarkEnd w:id="86"/>
      <w:bookmarkEnd w:id="87"/>
      <w:bookmarkEnd w:id="88"/>
    </w:p>
    <w:p w14:paraId="59CB4245">
      <w:pPr>
        <w:adjustRightInd w:val="0"/>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lang w:eastAsia="zh-CN"/>
        </w:rPr>
        <w:t>陕西鼎端项目管理咨询有限公司</w:t>
      </w:r>
      <w:r>
        <w:rPr>
          <w:rFonts w:hint="eastAsia" w:ascii="宋体" w:hAnsi="宋体" w:eastAsia="宋体" w:cs="宋体"/>
          <w:bCs/>
          <w:color w:val="auto"/>
          <w:sz w:val="24"/>
          <w:szCs w:val="24"/>
          <w:highlight w:val="none"/>
        </w:rPr>
        <w:t>：</w:t>
      </w:r>
    </w:p>
    <w:p w14:paraId="3C56EB8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我单位收到贵单位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名称、项目</w:t>
      </w:r>
      <w:r>
        <w:rPr>
          <w:rFonts w:hint="eastAsia" w:ascii="宋体" w:hAnsi="宋体" w:eastAsia="宋体" w:cs="宋体"/>
          <w:color w:val="auto"/>
          <w:sz w:val="24"/>
          <w:szCs w:val="24"/>
          <w:highlight w:val="none"/>
        </w:rPr>
        <w:t>编号）磋商文件，经详细研究，决定参加本次磋商活动。为此，我方郑重承诺以下诸点，并愿负法律责任。</w:t>
      </w:r>
    </w:p>
    <w:p w14:paraId="5CC1236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1.愿意按照磋商文件中的全部要求，提供合格的产品及服务，全面履行合同规定的责任和义务。</w:t>
      </w:r>
    </w:p>
    <w:p w14:paraId="67FECEB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.我方已详细阅读和核实全部磋商文件内容，完全理解并同意放弃提出含糊不清和误解问题的权力。</w:t>
      </w:r>
    </w:p>
    <w:p w14:paraId="630AC88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.我方在磋商后到承诺的磋商有效期内撤回磋商响应文件，我方的磋商保证金将被没收。</w:t>
      </w:r>
    </w:p>
    <w:p w14:paraId="680F014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.同意向贵方提供贵方可能要求的、与本次磋商有关的任何证明资料。</w:t>
      </w:r>
    </w:p>
    <w:p w14:paraId="1B584AA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.本磋商响应文件的有效期为磋商之日起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天，如成交，有效期将延长至合同终止日为止。</w:t>
      </w:r>
    </w:p>
    <w:p w14:paraId="071D260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.成交后按本磋商文件的规定支付本次磋商应支付或将支付的招标代理服务费。</w:t>
      </w:r>
    </w:p>
    <w:p w14:paraId="6E991B2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.我方与采购人和招标代理机构无任何的隶属关系或者其他利害关系。</w:t>
      </w:r>
    </w:p>
    <w:p w14:paraId="382C452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.保证我方所提供的磋商响应文件、证明资料等真实、可信，否则自愿承担一切后果。</w:t>
      </w:r>
    </w:p>
    <w:p w14:paraId="7A67686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.所有关于本项目的函电，请按下列地址联系：</w:t>
      </w:r>
    </w:p>
    <w:p w14:paraId="6017487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030D2998">
      <w:pPr>
        <w:kinsoku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0CEEEE41">
      <w:pPr>
        <w:kinsoku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4B6718C1">
      <w:pPr>
        <w:kinsoku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6AE452B5">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r>
        <w:rPr>
          <w:rFonts w:hint="eastAsia" w:ascii="宋体" w:hAnsi="宋体" w:eastAsia="宋体" w:cs="宋体"/>
          <w:color w:val="auto"/>
          <w:sz w:val="24"/>
          <w:szCs w:val="24"/>
          <w:highlight w:val="none"/>
          <w:u w:val="single"/>
        </w:rPr>
        <w:t xml:space="preserve">                                     </w:t>
      </w:r>
    </w:p>
    <w:p w14:paraId="2D7EABC6">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CEFB92">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日</w:t>
      </w:r>
    </w:p>
    <w:p w14:paraId="2BCDBBD9">
      <w:pPr>
        <w:pStyle w:val="17"/>
        <w:spacing w:before="0" w:beforeAutospacing="0" w:after="0" w:afterAutospacing="0" w:line="360" w:lineRule="auto"/>
        <w:ind w:firstLine="480" w:firstLineChars="200"/>
        <w:rPr>
          <w:rFonts w:hint="eastAsia" w:ascii="宋体" w:hAnsi="宋体" w:eastAsia="宋体" w:cs="宋体"/>
          <w:u w:val="single"/>
        </w:rPr>
      </w:pPr>
    </w:p>
    <w:p w14:paraId="113D691B">
      <w:pPr>
        <w:spacing w:line="520" w:lineRule="exact"/>
        <w:jc w:val="center"/>
        <w:outlineLvl w:val="1"/>
        <w:rPr>
          <w:rFonts w:hint="eastAsia" w:ascii="宋体" w:hAnsi="宋体" w:eastAsia="宋体" w:cs="宋体"/>
          <w:b/>
          <w:sz w:val="32"/>
          <w:szCs w:val="32"/>
          <w:highlight w:val="none"/>
          <w:lang w:bidi="ar-SA"/>
        </w:rPr>
      </w:pPr>
    </w:p>
    <w:p w14:paraId="1D387D17">
      <w:pPr>
        <w:spacing w:line="520" w:lineRule="exact"/>
        <w:jc w:val="center"/>
        <w:outlineLvl w:val="1"/>
        <w:rPr>
          <w:rFonts w:hint="eastAsia" w:ascii="宋体" w:hAnsi="宋体" w:eastAsia="宋体" w:cs="宋体"/>
          <w:b/>
          <w:sz w:val="32"/>
          <w:szCs w:val="32"/>
          <w:highlight w:val="none"/>
          <w:lang w:bidi="ar-SA"/>
        </w:rPr>
      </w:pPr>
    </w:p>
    <w:bookmarkEnd w:id="83"/>
    <w:bookmarkEnd w:id="84"/>
    <w:bookmarkEnd w:id="89"/>
    <w:bookmarkEnd w:id="90"/>
    <w:p w14:paraId="44686A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highlight w:val="none"/>
          <w:lang w:bidi="ar-SA"/>
        </w:rPr>
      </w:pPr>
      <w:bookmarkStart w:id="91" w:name="_Toc403077651"/>
      <w:bookmarkStart w:id="92" w:name="_Toc32692"/>
      <w:bookmarkStart w:id="93" w:name="_Toc363474030"/>
      <w:bookmarkStart w:id="94" w:name="_Toc22540"/>
    </w:p>
    <w:p w14:paraId="0A5EFC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highlight w:val="none"/>
          <w:lang w:bidi="ar-SA"/>
        </w:rPr>
      </w:pPr>
      <w:r>
        <w:rPr>
          <w:rFonts w:hint="eastAsia" w:ascii="宋体" w:hAnsi="宋体" w:eastAsia="宋体" w:cs="宋体"/>
          <w:b/>
          <w:bCs/>
          <w:sz w:val="32"/>
          <w:highlight w:val="none"/>
          <w:lang w:bidi="ar-SA"/>
        </w:rPr>
        <w:t>二、磋商报价表</w:t>
      </w:r>
      <w:bookmarkEnd w:id="91"/>
      <w:bookmarkEnd w:id="92"/>
      <w:bookmarkEnd w:id="93"/>
      <w:bookmarkEnd w:id="94"/>
    </w:p>
    <w:p w14:paraId="487FF98C">
      <w:pPr>
        <w:spacing w:line="360" w:lineRule="auto"/>
        <w:jc w:val="center"/>
        <w:outlineLvl w:val="2"/>
        <w:rPr>
          <w:rFonts w:hint="eastAsia" w:ascii="宋体" w:hAnsi="宋体" w:eastAsia="宋体" w:cs="宋体"/>
          <w:b/>
          <w:bCs/>
          <w:sz w:val="30"/>
          <w:szCs w:val="30"/>
          <w:highlight w:val="none"/>
          <w:lang w:bidi="ar-SA"/>
        </w:rPr>
      </w:pPr>
      <w:r>
        <w:rPr>
          <w:rFonts w:hint="eastAsia" w:ascii="宋体" w:hAnsi="宋体" w:eastAsia="宋体" w:cs="宋体"/>
          <w:b/>
          <w:bCs/>
          <w:sz w:val="30"/>
          <w:szCs w:val="30"/>
          <w:highlight w:val="none"/>
          <w:lang w:val="en-US" w:eastAsia="zh-CN" w:bidi="ar-SA"/>
        </w:rPr>
        <w:t xml:space="preserve">2.1 </w:t>
      </w:r>
      <w:r>
        <w:rPr>
          <w:rFonts w:hint="eastAsia" w:ascii="宋体" w:hAnsi="宋体" w:eastAsia="宋体" w:cs="宋体"/>
          <w:b/>
          <w:bCs/>
          <w:sz w:val="30"/>
          <w:szCs w:val="30"/>
          <w:highlight w:val="none"/>
          <w:lang w:bidi="ar-SA"/>
        </w:rPr>
        <w:t>报价一览表</w:t>
      </w:r>
    </w:p>
    <w:p w14:paraId="143B8608">
      <w:pPr>
        <w:spacing w:line="480" w:lineRule="auto"/>
        <w:ind w:firstLine="480" w:firstLineChars="200"/>
        <w:jc w:val="left"/>
        <w:rPr>
          <w:rFonts w:hint="eastAsia" w:ascii="宋体" w:hAnsi="宋体" w:eastAsia="宋体" w:cs="宋体"/>
          <w:highlight w:val="none"/>
          <w:lang w:bidi="ar-SA"/>
        </w:rPr>
      </w:pPr>
      <w:r>
        <w:rPr>
          <w:rFonts w:hint="eastAsia" w:ascii="宋体" w:hAnsi="宋体" w:eastAsia="宋体" w:cs="宋体"/>
          <w:highlight w:val="none"/>
          <w:lang w:bidi="ar-SA"/>
        </w:rPr>
        <w:t>项目名称：</w:t>
      </w:r>
      <w:r>
        <w:rPr>
          <w:rFonts w:hint="eastAsia" w:hAnsi="宋体" w:cs="宋体"/>
          <w:highlight w:val="none"/>
          <w:lang w:eastAsia="zh-CN" w:bidi="ar-SA"/>
        </w:rPr>
        <w:t>高庄镇2024年“多规合一”实用性村庄规划编制项目</w:t>
      </w:r>
      <w:r>
        <w:rPr>
          <w:rFonts w:hint="eastAsia" w:ascii="宋体" w:hAnsi="宋体" w:eastAsia="宋体" w:cs="宋体"/>
          <w:highlight w:val="none"/>
          <w:lang w:bidi="ar-SA"/>
        </w:rPr>
        <w:t xml:space="preserve">                                              </w:t>
      </w:r>
    </w:p>
    <w:p w14:paraId="6762C78C">
      <w:pPr>
        <w:spacing w:line="480" w:lineRule="auto"/>
        <w:ind w:firstLine="480" w:firstLineChars="200"/>
        <w:jc w:val="left"/>
        <w:rPr>
          <w:rFonts w:hint="eastAsia" w:ascii="宋体" w:hAnsi="宋体" w:eastAsia="宋体" w:cs="宋体"/>
          <w:highlight w:val="none"/>
          <w:lang w:bidi="ar-SA"/>
        </w:rPr>
      </w:pPr>
      <w:r>
        <w:rPr>
          <w:rFonts w:hint="eastAsia" w:ascii="宋体" w:hAnsi="宋体" w:eastAsia="宋体" w:cs="宋体"/>
          <w:highlight w:val="none"/>
          <w:lang w:bidi="ar-SA"/>
        </w:rPr>
        <w:t>项目编号：</w:t>
      </w:r>
      <w:r>
        <w:rPr>
          <w:rFonts w:hint="eastAsia" w:hAnsi="宋体" w:cs="宋体"/>
          <w:highlight w:val="none"/>
          <w:lang w:eastAsia="zh-CN" w:bidi="ar-SA"/>
        </w:rPr>
        <w:t>DDXM2024-085</w:t>
      </w:r>
    </w:p>
    <w:tbl>
      <w:tblPr>
        <w:tblStyle w:val="18"/>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6345"/>
      </w:tblGrid>
      <w:tr w14:paraId="0CC0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976" w:type="dxa"/>
            <w:vMerge w:val="restart"/>
            <w:noWrap w:val="0"/>
            <w:vAlign w:val="center"/>
          </w:tcPr>
          <w:p w14:paraId="0037B2D1">
            <w:pPr>
              <w:jc w:val="left"/>
              <w:rPr>
                <w:rFonts w:hint="eastAsia" w:ascii="宋体" w:hAnsi="宋体" w:eastAsia="宋体" w:cs="宋体"/>
                <w:sz w:val="22"/>
                <w:szCs w:val="22"/>
              </w:rPr>
            </w:pPr>
            <w:r>
              <w:rPr>
                <w:rFonts w:hint="eastAsia" w:ascii="宋体" w:hAnsi="宋体" w:eastAsia="宋体" w:cs="宋体"/>
                <w:sz w:val="22"/>
                <w:szCs w:val="22"/>
              </w:rPr>
              <w:t>磋商报价（元）</w:t>
            </w:r>
          </w:p>
        </w:tc>
        <w:tc>
          <w:tcPr>
            <w:tcW w:w="6345" w:type="dxa"/>
            <w:noWrap w:val="0"/>
            <w:vAlign w:val="center"/>
          </w:tcPr>
          <w:p w14:paraId="0DEEBFB6">
            <w:pPr>
              <w:rPr>
                <w:rFonts w:hint="eastAsia" w:ascii="宋体" w:hAnsi="宋体" w:eastAsia="宋体" w:cs="宋体"/>
                <w:color w:val="000000"/>
                <w:sz w:val="22"/>
                <w:szCs w:val="22"/>
              </w:rPr>
            </w:pPr>
            <w:r>
              <w:rPr>
                <w:rFonts w:hint="eastAsia" w:ascii="宋体" w:hAnsi="宋体" w:eastAsia="宋体" w:cs="宋体"/>
                <w:color w:val="000000"/>
                <w:sz w:val="22"/>
                <w:szCs w:val="22"/>
              </w:rPr>
              <w:t>大写：</w:t>
            </w:r>
          </w:p>
        </w:tc>
      </w:tr>
      <w:tr w14:paraId="3997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976" w:type="dxa"/>
            <w:vMerge w:val="continue"/>
            <w:noWrap w:val="0"/>
            <w:vAlign w:val="center"/>
          </w:tcPr>
          <w:p w14:paraId="6F98AFBC">
            <w:pPr>
              <w:jc w:val="left"/>
              <w:rPr>
                <w:rFonts w:hint="eastAsia" w:ascii="宋体" w:hAnsi="宋体" w:eastAsia="宋体" w:cs="宋体"/>
                <w:sz w:val="22"/>
                <w:szCs w:val="22"/>
                <w:highlight w:val="yellow"/>
              </w:rPr>
            </w:pPr>
          </w:p>
        </w:tc>
        <w:tc>
          <w:tcPr>
            <w:tcW w:w="6345" w:type="dxa"/>
            <w:noWrap w:val="0"/>
            <w:vAlign w:val="center"/>
          </w:tcPr>
          <w:p w14:paraId="2ECE3377">
            <w:pPr>
              <w:rPr>
                <w:rFonts w:hint="eastAsia" w:ascii="宋体" w:hAnsi="宋体" w:eastAsia="宋体" w:cs="宋体"/>
                <w:color w:val="000000"/>
                <w:sz w:val="22"/>
                <w:szCs w:val="22"/>
              </w:rPr>
            </w:pPr>
            <w:r>
              <w:rPr>
                <w:rFonts w:hint="eastAsia" w:ascii="宋体" w:hAnsi="宋体" w:eastAsia="宋体" w:cs="宋体"/>
                <w:color w:val="000000"/>
                <w:sz w:val="22"/>
                <w:szCs w:val="22"/>
              </w:rPr>
              <w:t>小写：</w:t>
            </w:r>
          </w:p>
        </w:tc>
      </w:tr>
      <w:tr w14:paraId="1E34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976" w:type="dxa"/>
            <w:noWrap w:val="0"/>
            <w:vAlign w:val="center"/>
          </w:tcPr>
          <w:p w14:paraId="6B394DF2">
            <w:pPr>
              <w:jc w:val="left"/>
              <w:rPr>
                <w:rFonts w:hint="eastAsia" w:ascii="宋体" w:hAnsi="宋体" w:eastAsia="宋体" w:cs="宋体"/>
                <w:sz w:val="22"/>
                <w:szCs w:val="22"/>
              </w:rPr>
            </w:pPr>
            <w:r>
              <w:rPr>
                <w:rFonts w:hint="eastAsia" w:ascii="宋体" w:hAnsi="宋体" w:eastAsia="宋体" w:cs="宋体"/>
                <w:sz w:val="22"/>
                <w:szCs w:val="22"/>
              </w:rPr>
              <w:t>服务期</w:t>
            </w:r>
          </w:p>
        </w:tc>
        <w:tc>
          <w:tcPr>
            <w:tcW w:w="6345" w:type="dxa"/>
            <w:noWrap w:val="0"/>
            <w:vAlign w:val="center"/>
          </w:tcPr>
          <w:p w14:paraId="6392D25A">
            <w:pPr>
              <w:jc w:val="center"/>
              <w:rPr>
                <w:rFonts w:hint="eastAsia" w:ascii="宋体" w:hAnsi="宋体" w:eastAsia="宋体" w:cs="宋体"/>
                <w:color w:val="000000"/>
                <w:sz w:val="22"/>
                <w:szCs w:val="22"/>
              </w:rPr>
            </w:pPr>
          </w:p>
        </w:tc>
      </w:tr>
      <w:tr w14:paraId="4C5A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976" w:type="dxa"/>
            <w:noWrap w:val="0"/>
            <w:vAlign w:val="center"/>
          </w:tcPr>
          <w:p w14:paraId="3FE89A52">
            <w:pPr>
              <w:jc w:val="left"/>
              <w:rPr>
                <w:rFonts w:hint="default" w:ascii="宋体" w:hAnsi="宋体" w:eastAsia="宋体" w:cs="宋体"/>
                <w:sz w:val="22"/>
                <w:szCs w:val="22"/>
                <w:lang w:val="en-US" w:eastAsia="zh-CN"/>
              </w:rPr>
            </w:pPr>
            <w:r>
              <w:rPr>
                <w:rFonts w:hint="eastAsia" w:hAnsi="宋体" w:cs="宋体"/>
                <w:sz w:val="22"/>
                <w:szCs w:val="22"/>
                <w:lang w:val="en-US" w:eastAsia="zh-CN"/>
              </w:rPr>
              <w:t>项目负责人</w:t>
            </w:r>
          </w:p>
        </w:tc>
        <w:tc>
          <w:tcPr>
            <w:tcW w:w="6345" w:type="dxa"/>
            <w:noWrap w:val="0"/>
            <w:vAlign w:val="center"/>
          </w:tcPr>
          <w:p w14:paraId="72C914FB">
            <w:pPr>
              <w:jc w:val="center"/>
              <w:rPr>
                <w:rFonts w:hint="eastAsia" w:ascii="宋体" w:hAnsi="宋体" w:eastAsia="宋体" w:cs="宋体"/>
                <w:color w:val="000000"/>
                <w:sz w:val="22"/>
                <w:szCs w:val="22"/>
              </w:rPr>
            </w:pPr>
          </w:p>
        </w:tc>
      </w:tr>
      <w:tr w14:paraId="1BFB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321" w:type="dxa"/>
            <w:gridSpan w:val="2"/>
            <w:noWrap w:val="0"/>
            <w:vAlign w:val="center"/>
          </w:tcPr>
          <w:p w14:paraId="7815B8C4">
            <w:pPr>
              <w:jc w:val="left"/>
              <w:rPr>
                <w:rFonts w:hint="eastAsia" w:ascii="宋体" w:hAnsi="宋体" w:eastAsia="宋体" w:cs="宋体"/>
                <w:color w:val="000000"/>
                <w:sz w:val="22"/>
                <w:szCs w:val="22"/>
              </w:rPr>
            </w:pPr>
            <w:r>
              <w:rPr>
                <w:rFonts w:hint="eastAsia" w:ascii="宋体" w:hAnsi="宋体" w:eastAsia="宋体" w:cs="宋体"/>
                <w:bCs/>
                <w:sz w:val="22"/>
                <w:szCs w:val="22"/>
              </w:rPr>
              <w:t>备注：报价应按总报价填写，精确到小数点后两位，大小写不一致时，以大写为准；</w:t>
            </w:r>
          </w:p>
        </w:tc>
      </w:tr>
    </w:tbl>
    <w:p w14:paraId="7FEC950D">
      <w:pPr>
        <w:rPr>
          <w:rFonts w:hint="eastAsia" w:ascii="宋体" w:hAnsi="宋体" w:eastAsia="宋体" w:cs="宋体"/>
          <w:szCs w:val="24"/>
          <w:highlight w:val="none"/>
          <w:lang w:bidi="ar-SA"/>
        </w:rPr>
      </w:pPr>
    </w:p>
    <w:p w14:paraId="34725F68">
      <w:pPr>
        <w:rPr>
          <w:rFonts w:hint="eastAsia" w:ascii="宋体" w:hAnsi="宋体" w:eastAsia="宋体" w:cs="宋体"/>
          <w:szCs w:val="24"/>
          <w:highlight w:val="none"/>
          <w:lang w:bidi="ar-SA"/>
        </w:rPr>
      </w:pPr>
    </w:p>
    <w:bookmarkEnd w:id="85"/>
    <w:p w14:paraId="2AFC7A40">
      <w:pPr>
        <w:spacing w:line="280" w:lineRule="exact"/>
        <w:ind w:right="617" w:rightChars="257" w:firstLine="4440" w:firstLineChars="1850"/>
        <w:jc w:val="left"/>
        <w:rPr>
          <w:rFonts w:hint="eastAsia" w:ascii="宋体" w:hAnsi="宋体" w:eastAsia="宋体" w:cs="宋体"/>
          <w:sz w:val="24"/>
          <w:szCs w:val="24"/>
        </w:rPr>
      </w:pPr>
      <w:bookmarkStart w:id="95" w:name="_Toc26249"/>
      <w:bookmarkStart w:id="96" w:name="_Toc344572163"/>
      <w:bookmarkStart w:id="97" w:name="_Toc27818"/>
    </w:p>
    <w:p w14:paraId="18CC6FBD">
      <w:pPr>
        <w:spacing w:line="280" w:lineRule="exact"/>
        <w:ind w:right="617" w:rightChars="257" w:firstLine="2880" w:firstLineChars="1200"/>
        <w:jc w:val="left"/>
        <w:rPr>
          <w:rFonts w:hint="eastAsia" w:ascii="宋体" w:hAnsi="宋体" w:eastAsia="宋体" w:cs="宋体"/>
          <w:sz w:val="24"/>
          <w:szCs w:val="24"/>
          <w:u w:val="none"/>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全称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（加盖单位公章）</w:t>
      </w:r>
    </w:p>
    <w:p w14:paraId="0E65F761">
      <w:pPr>
        <w:spacing w:line="280" w:lineRule="exact"/>
        <w:ind w:right="617" w:rightChars="257" w:firstLine="4440" w:firstLineChars="1850"/>
        <w:jc w:val="left"/>
        <w:rPr>
          <w:rFonts w:hint="eastAsia" w:ascii="宋体" w:hAnsi="宋体" w:eastAsia="宋体" w:cs="宋体"/>
          <w:sz w:val="24"/>
          <w:szCs w:val="24"/>
        </w:rPr>
      </w:pPr>
    </w:p>
    <w:p w14:paraId="6BE37E53">
      <w:pPr>
        <w:spacing w:line="280" w:lineRule="exact"/>
        <w:ind w:right="617" w:rightChars="257" w:firstLine="2880" w:firstLineChars="1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签</w:t>
      </w:r>
      <w:r>
        <w:rPr>
          <w:rFonts w:hint="eastAsia" w:ascii="宋体" w:hAnsi="宋体" w:eastAsia="宋体" w:cs="宋体"/>
          <w:sz w:val="24"/>
          <w:szCs w:val="24"/>
          <w:u w:val="none"/>
          <w:lang w:eastAsia="zh-CN"/>
        </w:rPr>
        <w:t>字或盖</w:t>
      </w:r>
      <w:r>
        <w:rPr>
          <w:rFonts w:hint="eastAsia" w:ascii="宋体" w:hAnsi="宋体" w:eastAsia="宋体" w:cs="宋体"/>
          <w:sz w:val="24"/>
          <w:szCs w:val="24"/>
          <w:u w:val="none"/>
        </w:rPr>
        <w:t>章</w:t>
      </w:r>
      <w:r>
        <w:rPr>
          <w:rFonts w:hint="eastAsia" w:ascii="宋体" w:hAnsi="宋体" w:eastAsia="宋体" w:cs="宋体"/>
          <w:sz w:val="24"/>
          <w:szCs w:val="24"/>
          <w:u w:val="none"/>
          <w:lang w:val="en-US" w:eastAsia="zh-CN"/>
        </w:rPr>
        <w:t>）</w:t>
      </w:r>
    </w:p>
    <w:p w14:paraId="1F7969DF">
      <w:pPr>
        <w:spacing w:line="280" w:lineRule="exact"/>
        <w:ind w:right="617" w:rightChars="257"/>
        <w:jc w:val="left"/>
        <w:rPr>
          <w:rFonts w:hint="eastAsia" w:ascii="宋体" w:hAnsi="宋体" w:eastAsia="宋体" w:cs="宋体"/>
          <w:sz w:val="24"/>
          <w:szCs w:val="24"/>
        </w:rPr>
      </w:pPr>
    </w:p>
    <w:p w14:paraId="08F4400B">
      <w:pPr>
        <w:spacing w:line="280" w:lineRule="exact"/>
        <w:ind w:right="617" w:rightChars="257" w:firstLine="2880" w:firstLineChars="1200"/>
        <w:rPr>
          <w:rFonts w:hint="eastAsia" w:ascii="宋体" w:hAnsi="宋体" w:eastAsia="宋体" w:cs="宋体"/>
          <w:b/>
          <w:bCs/>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520639FE">
      <w:pPr>
        <w:pStyle w:val="4"/>
        <w:spacing w:before="156" w:after="312"/>
        <w:jc w:val="center"/>
        <w:rPr>
          <w:rStyle w:val="28"/>
          <w:rFonts w:hint="eastAsia" w:ascii="宋体" w:hAnsi="宋体" w:eastAsia="宋体" w:cs="宋体"/>
          <w:b/>
          <w:bCs/>
          <w:sz w:val="24"/>
          <w:szCs w:val="24"/>
        </w:rPr>
      </w:pPr>
      <w:r>
        <w:rPr>
          <w:rFonts w:hint="eastAsia" w:ascii="宋体" w:hAnsi="宋体" w:eastAsia="宋体" w:cs="宋体"/>
          <w:sz w:val="32"/>
          <w:highlight w:val="none"/>
          <w:lang w:bidi="ar-SA"/>
        </w:rPr>
        <w:br w:type="page"/>
      </w:r>
      <w:r>
        <w:rPr>
          <w:rFonts w:hint="eastAsia" w:ascii="宋体" w:hAnsi="宋体" w:eastAsia="宋体" w:cs="宋体"/>
          <w:b/>
          <w:bCs/>
          <w:kern w:val="0"/>
          <w:sz w:val="30"/>
          <w:szCs w:val="30"/>
          <w:highlight w:val="none"/>
          <w:lang w:val="en-US" w:eastAsia="zh-CN" w:bidi="ar-SA"/>
        </w:rPr>
        <w:t>2.2分项报价表</w:t>
      </w:r>
    </w:p>
    <w:p w14:paraId="3135C7B5">
      <w:pPr>
        <w:jc w:val="center"/>
        <w:rPr>
          <w:rFonts w:hint="eastAsia" w:ascii="宋体" w:hAnsi="宋体" w:eastAsia="宋体" w:cs="宋体"/>
        </w:rPr>
      </w:pPr>
    </w:p>
    <w:p w14:paraId="2A313587">
      <w:pPr>
        <w:jc w:val="center"/>
        <w:rPr>
          <w:rFonts w:hint="eastAsia" w:ascii="宋体" w:hAnsi="宋体" w:eastAsia="宋体" w:cs="宋体"/>
        </w:rPr>
      </w:pPr>
      <w:r>
        <w:rPr>
          <w:rFonts w:hint="eastAsia" w:ascii="宋体" w:hAnsi="宋体" w:eastAsia="宋体" w:cs="宋体"/>
        </w:rPr>
        <w:t>（供应商自行编制）</w:t>
      </w:r>
    </w:p>
    <w:p w14:paraId="6573DED7">
      <w:pPr>
        <w:spacing w:before="156" w:beforeLines="50" w:after="156" w:afterLines="50" w:line="400" w:lineRule="atLeast"/>
        <w:rPr>
          <w:rFonts w:hint="eastAsia" w:ascii="宋体" w:hAnsi="宋体" w:eastAsia="宋体" w:cs="宋体"/>
          <w:color w:val="000000"/>
        </w:rPr>
      </w:pPr>
    </w:p>
    <w:p w14:paraId="3B3A2BC4">
      <w:pPr>
        <w:pStyle w:val="10"/>
        <w:rPr>
          <w:rFonts w:hint="eastAsia" w:ascii="宋体" w:hAnsi="宋体" w:eastAsia="宋体" w:cs="宋体"/>
          <w:color w:val="000000"/>
        </w:rPr>
      </w:pPr>
    </w:p>
    <w:p w14:paraId="3357A2FA">
      <w:pPr>
        <w:rPr>
          <w:rFonts w:hint="eastAsia" w:ascii="宋体" w:hAnsi="宋体" w:eastAsia="宋体" w:cs="宋体"/>
          <w:color w:val="000000"/>
        </w:rPr>
      </w:pPr>
    </w:p>
    <w:p w14:paraId="7B426054">
      <w:pPr>
        <w:pStyle w:val="10"/>
        <w:rPr>
          <w:rFonts w:hint="eastAsia" w:ascii="宋体" w:hAnsi="宋体" w:eastAsia="宋体" w:cs="宋体"/>
          <w:color w:val="000000"/>
        </w:rPr>
      </w:pPr>
    </w:p>
    <w:p w14:paraId="2EF468A5">
      <w:pPr>
        <w:rPr>
          <w:rFonts w:hint="eastAsia" w:ascii="宋体" w:hAnsi="宋体" w:eastAsia="宋体" w:cs="宋体"/>
          <w:color w:val="000000"/>
        </w:rPr>
      </w:pPr>
    </w:p>
    <w:p w14:paraId="0D9C9B87">
      <w:pPr>
        <w:pStyle w:val="10"/>
        <w:rPr>
          <w:rFonts w:hint="eastAsia" w:ascii="宋体" w:hAnsi="宋体" w:eastAsia="宋体" w:cs="宋体"/>
          <w:color w:val="000000"/>
        </w:rPr>
      </w:pPr>
    </w:p>
    <w:p w14:paraId="7AB00906">
      <w:pPr>
        <w:rPr>
          <w:rFonts w:hint="eastAsia" w:ascii="宋体" w:hAnsi="宋体" w:eastAsia="宋体" w:cs="宋体"/>
          <w:color w:val="000000"/>
        </w:rPr>
      </w:pPr>
    </w:p>
    <w:p w14:paraId="531DF20A">
      <w:pPr>
        <w:pStyle w:val="10"/>
        <w:rPr>
          <w:rFonts w:hint="eastAsia" w:ascii="宋体" w:hAnsi="宋体" w:eastAsia="宋体" w:cs="宋体"/>
          <w:color w:val="000000"/>
        </w:rPr>
      </w:pPr>
    </w:p>
    <w:p w14:paraId="2CB03511">
      <w:pPr>
        <w:rPr>
          <w:rFonts w:hint="eastAsia" w:ascii="宋体" w:hAnsi="宋体" w:eastAsia="宋体" w:cs="宋体"/>
          <w:color w:val="000000"/>
        </w:rPr>
      </w:pPr>
    </w:p>
    <w:p w14:paraId="3F26C66C">
      <w:pPr>
        <w:pStyle w:val="10"/>
        <w:rPr>
          <w:rFonts w:hint="eastAsia" w:ascii="宋体" w:hAnsi="宋体" w:eastAsia="宋体" w:cs="宋体"/>
          <w:color w:val="000000"/>
        </w:rPr>
      </w:pPr>
    </w:p>
    <w:p w14:paraId="11D338C4">
      <w:pPr>
        <w:rPr>
          <w:rFonts w:hint="eastAsia" w:ascii="宋体" w:hAnsi="宋体" w:eastAsia="宋体" w:cs="宋体"/>
        </w:rPr>
      </w:pPr>
    </w:p>
    <w:p w14:paraId="0FE45724">
      <w:pPr>
        <w:spacing w:line="280" w:lineRule="exact"/>
        <w:ind w:right="617" w:rightChars="257" w:firstLine="4440" w:firstLineChars="1850"/>
        <w:jc w:val="left"/>
        <w:rPr>
          <w:rFonts w:hint="eastAsia" w:ascii="宋体" w:hAnsi="宋体" w:eastAsia="宋体" w:cs="宋体"/>
          <w:sz w:val="24"/>
          <w:szCs w:val="24"/>
        </w:rPr>
      </w:pPr>
    </w:p>
    <w:p w14:paraId="51C5AF27">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全称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（加盖单位公章）</w:t>
      </w:r>
    </w:p>
    <w:p w14:paraId="78DE9042">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75627520">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签</w:t>
      </w:r>
      <w:r>
        <w:rPr>
          <w:rFonts w:hint="eastAsia" w:ascii="宋体" w:hAnsi="宋体" w:eastAsia="宋体" w:cs="宋体"/>
          <w:sz w:val="24"/>
          <w:szCs w:val="24"/>
          <w:u w:val="none"/>
          <w:lang w:eastAsia="zh-CN"/>
        </w:rPr>
        <w:t>字或盖</w:t>
      </w:r>
      <w:r>
        <w:rPr>
          <w:rFonts w:hint="eastAsia" w:ascii="宋体" w:hAnsi="宋体" w:eastAsia="宋体" w:cs="宋体"/>
          <w:sz w:val="24"/>
          <w:szCs w:val="24"/>
          <w:u w:val="none"/>
        </w:rPr>
        <w:t>章</w:t>
      </w:r>
      <w:r>
        <w:rPr>
          <w:rFonts w:hint="eastAsia" w:ascii="宋体" w:hAnsi="宋体" w:eastAsia="宋体" w:cs="宋体"/>
          <w:sz w:val="24"/>
          <w:szCs w:val="24"/>
          <w:u w:val="none"/>
          <w:lang w:val="en-US" w:eastAsia="zh-CN"/>
        </w:rPr>
        <w:t>）</w:t>
      </w:r>
    </w:p>
    <w:p w14:paraId="77FE344E">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0E547D00">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74EEBB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highlight w:val="none"/>
          <w:lang w:bidi="ar-SA"/>
        </w:rPr>
      </w:pPr>
    </w:p>
    <w:p w14:paraId="4947F777">
      <w:pPr>
        <w:keepLines/>
        <w:pageBreakBefore/>
        <w:jc w:val="center"/>
        <w:outlineLvl w:val="1"/>
        <w:rPr>
          <w:rFonts w:hint="eastAsia" w:ascii="宋体" w:hAnsi="宋体" w:eastAsia="宋体" w:cs="宋体"/>
          <w:b/>
          <w:bCs/>
          <w:sz w:val="32"/>
          <w:szCs w:val="32"/>
        </w:rPr>
      </w:pPr>
      <w:bookmarkStart w:id="98" w:name="_Toc3710"/>
      <w:bookmarkStart w:id="99" w:name="_Toc7828"/>
      <w:bookmarkStart w:id="100" w:name="_Toc30257"/>
      <w:bookmarkStart w:id="101" w:name="_Toc8044"/>
      <w:bookmarkStart w:id="102" w:name="_Toc16495"/>
      <w:bookmarkStart w:id="103" w:name="_Toc13497"/>
      <w:bookmarkStart w:id="104" w:name="_Toc9522"/>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w:t>
      </w:r>
      <w:bookmarkEnd w:id="98"/>
      <w:bookmarkEnd w:id="99"/>
      <w:bookmarkEnd w:id="100"/>
      <w:bookmarkEnd w:id="101"/>
      <w:bookmarkEnd w:id="102"/>
      <w:bookmarkEnd w:id="103"/>
      <w:r>
        <w:rPr>
          <w:rFonts w:hint="eastAsia" w:ascii="宋体" w:hAnsi="宋体" w:eastAsia="宋体" w:cs="宋体"/>
          <w:b/>
          <w:bCs/>
          <w:sz w:val="32"/>
          <w:szCs w:val="32"/>
          <w:lang w:eastAsia="zh-CN"/>
        </w:rPr>
        <w:t>法定代表人授权委托书</w:t>
      </w:r>
      <w:r>
        <w:rPr>
          <w:rFonts w:hint="eastAsia" w:ascii="宋体" w:hAnsi="宋体" w:eastAsia="宋体" w:cs="宋体"/>
          <w:b/>
          <w:bCs/>
          <w:sz w:val="32"/>
          <w:szCs w:val="32"/>
          <w:lang w:val="en-US" w:eastAsia="zh-CN"/>
        </w:rPr>
        <w:t xml:space="preserve">                                        3.1</w:t>
      </w:r>
      <w:r>
        <w:rPr>
          <w:rFonts w:hint="eastAsia" w:ascii="宋体" w:hAnsi="宋体" w:eastAsia="宋体" w:cs="宋体"/>
          <w:b/>
          <w:bCs/>
          <w:sz w:val="32"/>
          <w:szCs w:val="32"/>
        </w:rPr>
        <w:t>法定代表人身份证明</w:t>
      </w:r>
      <w:bookmarkEnd w:id="104"/>
    </w:p>
    <w:p w14:paraId="5AAFFFA8">
      <w:pPr>
        <w:spacing w:line="360" w:lineRule="auto"/>
        <w:ind w:firstLine="480" w:firstLineChars="200"/>
        <w:rPr>
          <w:rFonts w:hint="eastAsia" w:ascii="宋体" w:hAnsi="宋体" w:eastAsia="宋体" w:cs="宋体"/>
        </w:rPr>
      </w:pPr>
    </w:p>
    <w:p w14:paraId="269186A8">
      <w:pPr>
        <w:spacing w:line="480" w:lineRule="auto"/>
        <w:ind w:firstLine="480" w:firstLineChars="200"/>
        <w:rPr>
          <w:rFonts w:hint="eastAsia" w:ascii="宋体" w:hAnsi="宋体" w:eastAsia="宋体" w:cs="宋体"/>
          <w:sz w:val="24"/>
          <w:szCs w:val="24"/>
          <w:u w:val="single"/>
          <w:lang w:val="en-US" w:eastAsia="zh-CN"/>
        </w:rPr>
      </w:pPr>
      <w:bookmarkStart w:id="105" w:name="_Toc1856"/>
      <w:bookmarkStart w:id="106" w:name="_Toc9626"/>
      <w:bookmarkStart w:id="107" w:name="_Toc420591670"/>
      <w:bookmarkStart w:id="108" w:name="_Toc13782"/>
      <w:bookmarkStart w:id="109" w:name="_Toc425240484"/>
      <w:bookmarkStart w:id="110" w:name="_Toc421778389"/>
      <w:bookmarkStart w:id="111" w:name="_Toc13749"/>
      <w:r>
        <w:rPr>
          <w:rFonts w:hint="eastAsia" w:ascii="宋体" w:hAnsi="宋体" w:eastAsia="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lang w:val="en-US" w:eastAsia="zh-CN"/>
        </w:rPr>
        <w:t xml:space="preserve">                                     </w:t>
      </w:r>
    </w:p>
    <w:p w14:paraId="1C52F923">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lang w:val="en-US" w:eastAsia="zh-CN"/>
        </w:rPr>
        <w:t xml:space="preserve">                                       </w:t>
      </w:r>
    </w:p>
    <w:p w14:paraId="227C989E">
      <w:pPr>
        <w:spacing w:line="48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p>
    <w:p w14:paraId="4CBC8800">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成立时间：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rPr>
        <w:t>日</w:t>
      </w:r>
    </w:p>
    <w:p w14:paraId="072B0FA9">
      <w:pPr>
        <w:spacing w:line="480" w:lineRule="auto"/>
        <w:ind w:firstLine="480" w:firstLineChars="200"/>
        <w:rPr>
          <w:rFonts w:hint="eastAsia" w:ascii="宋体" w:hAnsi="宋体" w:eastAsia="宋体" w:cs="宋体"/>
          <w:sz w:val="24"/>
          <w:szCs w:val="24"/>
          <w:u w:val="single"/>
          <w:lang w:val="en-US"/>
        </w:rPr>
      </w:pPr>
      <w:r>
        <w:rPr>
          <w:rFonts w:hint="eastAsia" w:ascii="宋体" w:hAnsi="宋体" w:eastAsia="宋体" w:cs="宋体"/>
          <w:sz w:val="24"/>
          <w:szCs w:val="24"/>
        </w:rPr>
        <w:t>经营期限：</w:t>
      </w:r>
      <w:r>
        <w:rPr>
          <w:rFonts w:hint="eastAsia" w:ascii="宋体" w:hAnsi="宋体" w:eastAsia="宋体" w:cs="宋体"/>
          <w:sz w:val="24"/>
          <w:szCs w:val="24"/>
          <w:u w:val="single"/>
          <w:lang w:val="en-US" w:eastAsia="zh-CN"/>
        </w:rPr>
        <w:t xml:space="preserve">                                       </w:t>
      </w:r>
    </w:p>
    <w:p w14:paraId="62ECA4BF">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的法定代表人</w:t>
      </w:r>
    </w:p>
    <w:p w14:paraId="577DE1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附：法定代表人身份证复印件。（</w:t>
      </w:r>
      <w:r>
        <w:rPr>
          <w:rFonts w:hint="eastAsia" w:ascii="宋体" w:hAnsi="宋体" w:eastAsia="宋体" w:cs="宋体"/>
          <w:sz w:val="24"/>
          <w:szCs w:val="24"/>
          <w:lang w:val="en-US" w:eastAsia="zh-CN"/>
        </w:rPr>
        <w:t>正反面</w:t>
      </w:r>
      <w:r>
        <w:rPr>
          <w:rFonts w:hint="eastAsia" w:ascii="宋体" w:hAnsi="宋体" w:eastAsia="宋体" w:cs="宋体"/>
          <w:sz w:val="24"/>
          <w:szCs w:val="24"/>
        </w:rPr>
        <w:t>）</w:t>
      </w:r>
    </w:p>
    <w:p w14:paraId="462E6059">
      <w:pPr>
        <w:spacing w:line="48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14:paraId="7BB19E6A">
      <w:pPr>
        <w:spacing w:line="360" w:lineRule="auto"/>
        <w:rPr>
          <w:rFonts w:hint="eastAsia" w:ascii="宋体" w:hAnsi="宋体" w:eastAsia="宋体" w:cs="宋体"/>
          <w:sz w:val="24"/>
          <w:szCs w:val="24"/>
        </w:rPr>
      </w:pPr>
    </w:p>
    <w:p w14:paraId="2046BFE2">
      <w:pPr>
        <w:spacing w:line="360" w:lineRule="auto"/>
        <w:ind w:firstLine="480" w:firstLineChars="200"/>
        <w:rPr>
          <w:rFonts w:hint="eastAsia" w:ascii="宋体" w:hAnsi="宋体" w:eastAsia="宋体" w:cs="宋体"/>
          <w:sz w:val="24"/>
          <w:szCs w:val="24"/>
        </w:rPr>
      </w:pPr>
    </w:p>
    <w:p w14:paraId="196C98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全称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加盖单位公章</w:t>
      </w:r>
      <w:r>
        <w:rPr>
          <w:rFonts w:hint="eastAsia" w:ascii="宋体" w:hAnsi="宋体" w:eastAsia="宋体" w:cs="宋体"/>
          <w:sz w:val="24"/>
          <w:szCs w:val="24"/>
        </w:rPr>
        <w:t>）</w:t>
      </w:r>
    </w:p>
    <w:p w14:paraId="1B15A33C">
      <w:pPr>
        <w:keepNext w:val="0"/>
        <w:keepLines w:val="0"/>
        <w:pageBreakBefore w:val="0"/>
        <w:widowControl w:val="0"/>
        <w:kinsoku/>
        <w:wordWrap/>
        <w:overflowPunct/>
        <w:topLinePunct w:val="0"/>
        <w:autoSpaceDE/>
        <w:autoSpaceDN/>
        <w:bidi w:val="0"/>
        <w:adjustRightInd/>
        <w:snapToGrid/>
        <w:spacing w:line="360" w:lineRule="auto"/>
        <w:ind w:right="617" w:rightChars="257"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21D1A538">
      <w:pPr>
        <w:pStyle w:val="10"/>
        <w:rPr>
          <w:rFonts w:hint="eastAsia" w:ascii="宋体" w:hAnsi="宋体" w:eastAsia="宋体" w:cs="宋体"/>
          <w:sz w:val="24"/>
          <w:szCs w:val="24"/>
        </w:rPr>
      </w:pPr>
    </w:p>
    <w:p w14:paraId="239FBFA3">
      <w:pPr>
        <w:pStyle w:val="10"/>
        <w:numPr>
          <w:ilvl w:val="0"/>
          <w:numId w:val="0"/>
        </w:numPr>
        <w:ind w:firstLine="482"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说明：</w:t>
      </w:r>
      <w:r>
        <w:rPr>
          <w:rFonts w:hint="eastAsia" w:ascii="宋体" w:hAnsi="宋体" w:eastAsia="宋体" w:cs="宋体"/>
          <w:b/>
          <w:bCs/>
          <w:color w:val="auto"/>
          <w:sz w:val="24"/>
          <w:szCs w:val="24"/>
          <w:highlight w:val="none"/>
          <w:lang w:val="zh-CN" w:eastAsia="zh-CN"/>
        </w:rPr>
        <w:t>仅限法定代表人参加时提供。</w:t>
      </w:r>
    </w:p>
    <w:p w14:paraId="6F6DDABE">
      <w:pPr>
        <w:keepLines/>
        <w:pageBreakBefore/>
        <w:spacing w:line="360" w:lineRule="auto"/>
        <w:jc w:val="center"/>
        <w:outlineLvl w:val="1"/>
        <w:rPr>
          <w:rFonts w:hint="eastAsia" w:ascii="宋体" w:hAnsi="宋体" w:eastAsia="宋体" w:cs="宋体"/>
          <w:b/>
          <w:bCs/>
          <w:sz w:val="32"/>
          <w:szCs w:val="32"/>
          <w:lang w:eastAsia="zh-CN"/>
        </w:rPr>
      </w:pPr>
      <w:bookmarkStart w:id="112" w:name="_Toc22175"/>
      <w:bookmarkStart w:id="113" w:name="_Toc23944"/>
      <w:r>
        <w:rPr>
          <w:rFonts w:hint="eastAsia" w:ascii="宋体" w:hAnsi="宋体" w:eastAsia="宋体" w:cs="宋体"/>
          <w:b/>
          <w:bCs/>
          <w:sz w:val="32"/>
          <w:szCs w:val="32"/>
          <w:lang w:val="en-US" w:eastAsia="zh-CN"/>
        </w:rPr>
        <w:t>3.2</w:t>
      </w:r>
      <w:r>
        <w:rPr>
          <w:rFonts w:hint="eastAsia" w:ascii="宋体" w:hAnsi="宋体" w:eastAsia="宋体" w:cs="宋体"/>
          <w:b/>
          <w:bCs/>
          <w:sz w:val="32"/>
          <w:szCs w:val="32"/>
        </w:rPr>
        <w:t>、</w:t>
      </w:r>
      <w:bookmarkEnd w:id="105"/>
      <w:bookmarkEnd w:id="106"/>
      <w:bookmarkEnd w:id="107"/>
      <w:bookmarkEnd w:id="108"/>
      <w:bookmarkEnd w:id="109"/>
      <w:bookmarkEnd w:id="110"/>
      <w:bookmarkEnd w:id="111"/>
      <w:bookmarkEnd w:id="112"/>
      <w:bookmarkEnd w:id="113"/>
      <w:r>
        <w:rPr>
          <w:rFonts w:hint="eastAsia" w:ascii="宋体" w:hAnsi="宋体" w:eastAsia="宋体" w:cs="宋体"/>
          <w:b/>
          <w:bCs/>
          <w:sz w:val="32"/>
          <w:szCs w:val="32"/>
          <w:lang w:eastAsia="zh-CN"/>
        </w:rPr>
        <w:t>法定代表人授权委托书</w:t>
      </w:r>
    </w:p>
    <w:p w14:paraId="56C36B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的法定代表人，现委托</w:t>
      </w:r>
      <w:r>
        <w:rPr>
          <w:rFonts w:hint="eastAsia" w:ascii="宋体" w:hAnsi="宋体" w:eastAsia="宋体" w:cs="宋体"/>
          <w:sz w:val="24"/>
          <w:szCs w:val="24"/>
          <w:u w:val="single"/>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为我方代理人。代理人根据授权，以我方名义签署、澄清、说明、补正、递交、撤回、修改</w:t>
      </w:r>
      <w:r>
        <w:rPr>
          <w:rFonts w:hint="eastAsia" w:ascii="宋体" w:hAnsi="宋体" w:eastAsia="宋体" w:cs="宋体"/>
          <w:sz w:val="24"/>
          <w:szCs w:val="24"/>
          <w:u w:val="single"/>
          <w:lang w:val="en-US" w:eastAsia="zh-CN"/>
        </w:rPr>
        <w:t xml:space="preserve"> （项目名称、项目编号）  </w:t>
      </w:r>
      <w:r>
        <w:rPr>
          <w:rFonts w:hint="eastAsia" w:ascii="宋体" w:hAnsi="宋体" w:eastAsia="宋体" w:cs="宋体"/>
          <w:sz w:val="24"/>
          <w:szCs w:val="24"/>
          <w:lang w:eastAsia="zh-CN"/>
        </w:rPr>
        <w:t>竞争性磋商响应文件</w:t>
      </w:r>
      <w:r>
        <w:rPr>
          <w:rFonts w:hint="eastAsia" w:ascii="宋体" w:hAnsi="宋体" w:eastAsia="宋体" w:cs="宋体"/>
          <w:sz w:val="24"/>
          <w:szCs w:val="24"/>
        </w:rPr>
        <w:t>、签订合同和处理有关事宜，其法律后果由我方承担。</w:t>
      </w:r>
    </w:p>
    <w:p w14:paraId="31A04F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14:paraId="1119B3E4">
      <w:pPr>
        <w:spacing w:line="360" w:lineRule="auto"/>
        <w:ind w:firstLine="480" w:firstLineChars="200"/>
        <w:rPr>
          <w:rFonts w:hint="eastAsia" w:ascii="宋体" w:hAnsi="宋体" w:eastAsia="宋体" w:cs="宋体"/>
          <w:color w:val="auto"/>
          <w:sz w:val="24"/>
          <w:szCs w:val="24"/>
          <w:highlight w:val="none"/>
          <w:lang w:val="en-US" w:eastAsia="zh-CN"/>
        </w:rPr>
      </w:pPr>
      <w:bookmarkStart w:id="114" w:name="_Toc214090947"/>
      <w:bookmarkStart w:id="115" w:name="_Toc201637979"/>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lang w:val="en-US" w:eastAsia="zh-CN"/>
        </w:rPr>
        <w:t>与磋商有效期一致</w:t>
      </w:r>
    </w:p>
    <w:p w14:paraId="003F867D">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w:t>
      </w:r>
      <w:r>
        <w:rPr>
          <w:rFonts w:hint="eastAsia" w:ascii="宋体" w:hAnsi="宋体" w:eastAsia="宋体" w:cs="宋体"/>
          <w:sz w:val="24"/>
          <w:szCs w:val="24"/>
          <w:highlight w:val="none"/>
          <w:lang w:eastAsia="zh-CN"/>
        </w:rPr>
        <w:t>字或盖</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被授权人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签字</w:t>
      </w:r>
      <w:r>
        <w:rPr>
          <w:rFonts w:hint="eastAsia" w:ascii="宋体" w:hAnsi="宋体" w:eastAsia="宋体" w:cs="宋体"/>
          <w:sz w:val="24"/>
          <w:szCs w:val="24"/>
          <w:lang w:eastAsia="zh-CN"/>
        </w:rPr>
        <w:t>）</w:t>
      </w:r>
      <w:r>
        <w:rPr>
          <w:rFonts w:hint="eastAsia" w:ascii="宋体" w:hAnsi="宋体" w:eastAsia="宋体" w:cs="宋体"/>
          <w:sz w:val="24"/>
          <w:szCs w:val="24"/>
        </w:rPr>
        <w:t>：</w:t>
      </w:r>
      <w:bookmarkEnd w:id="114"/>
      <w:bookmarkEnd w:id="115"/>
      <w:bookmarkStart w:id="116" w:name="_Toc214090948"/>
      <w:bookmarkStart w:id="117" w:name="_Toc201637980"/>
      <w:r>
        <w:rPr>
          <w:rFonts w:hint="eastAsia" w:ascii="宋体" w:hAnsi="宋体" w:eastAsia="宋体" w:cs="宋体"/>
          <w:sz w:val="24"/>
          <w:szCs w:val="24"/>
          <w:u w:val="single"/>
          <w:lang w:val="en-US" w:eastAsia="zh-CN"/>
        </w:rPr>
        <w:t xml:space="preserve">     </w:t>
      </w:r>
    </w:p>
    <w:p w14:paraId="4DD2FD1A">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职务：</w:t>
      </w:r>
      <w:bookmarkEnd w:id="116"/>
      <w:bookmarkEnd w:id="117"/>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职务：</w:t>
      </w:r>
      <w:bookmarkStart w:id="118" w:name="_Toc214090950"/>
      <w:bookmarkStart w:id="119" w:name="_Toc201637982"/>
      <w:r>
        <w:rPr>
          <w:rFonts w:hint="eastAsia" w:ascii="宋体" w:hAnsi="宋体" w:eastAsia="宋体" w:cs="宋体"/>
          <w:sz w:val="24"/>
          <w:szCs w:val="24"/>
          <w:u w:val="single"/>
          <w:lang w:val="en-US" w:eastAsia="zh-CN"/>
        </w:rPr>
        <w:t xml:space="preserve">                  </w:t>
      </w:r>
    </w:p>
    <w:p w14:paraId="0CF231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附：法定代表人、被授权人身份证复印件。</w:t>
      </w:r>
      <w:bookmarkEnd w:id="118"/>
      <w:bookmarkEnd w:id="119"/>
    </w:p>
    <w:tbl>
      <w:tblPr>
        <w:tblStyle w:val="1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649"/>
      </w:tblGrid>
      <w:tr w14:paraId="67CE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4652" w:type="dxa"/>
            <w:noWrap w:val="0"/>
            <w:vAlign w:val="center"/>
          </w:tcPr>
          <w:p w14:paraId="3E7244AC">
            <w:pPr>
              <w:spacing w:line="360" w:lineRule="auto"/>
              <w:jc w:val="center"/>
              <w:rPr>
                <w:rFonts w:hint="eastAsia" w:ascii="宋体" w:hAnsi="宋体" w:eastAsia="宋体" w:cs="宋体"/>
                <w:sz w:val="24"/>
                <w:szCs w:val="24"/>
              </w:rPr>
            </w:pPr>
            <w:bookmarkStart w:id="120" w:name="_Toc214090951"/>
            <w:bookmarkStart w:id="121" w:name="_Toc201637983"/>
            <w:r>
              <w:rPr>
                <w:rFonts w:hint="eastAsia" w:ascii="宋体" w:hAnsi="宋体" w:eastAsia="宋体" w:cs="宋体"/>
                <w:sz w:val="24"/>
                <w:szCs w:val="24"/>
              </w:rPr>
              <w:t>法定代表人身份证复印件</w:t>
            </w:r>
            <w:bookmarkEnd w:id="120"/>
            <w:bookmarkEnd w:id="121"/>
          </w:p>
          <w:p w14:paraId="270D8CF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正反面</w:t>
            </w:r>
            <w:r>
              <w:rPr>
                <w:rFonts w:hint="eastAsia" w:ascii="宋体" w:hAnsi="宋体" w:eastAsia="宋体" w:cs="宋体"/>
                <w:sz w:val="24"/>
                <w:szCs w:val="24"/>
                <w:lang w:eastAsia="zh-CN"/>
              </w:rPr>
              <w:t>）</w:t>
            </w:r>
          </w:p>
        </w:tc>
        <w:tc>
          <w:tcPr>
            <w:tcW w:w="4649" w:type="dxa"/>
            <w:noWrap w:val="0"/>
            <w:vAlign w:val="center"/>
          </w:tcPr>
          <w:p w14:paraId="2AA20133">
            <w:pPr>
              <w:spacing w:line="360" w:lineRule="auto"/>
              <w:jc w:val="center"/>
              <w:rPr>
                <w:rFonts w:hint="eastAsia" w:ascii="宋体" w:hAnsi="宋体" w:eastAsia="宋体" w:cs="宋体"/>
                <w:sz w:val="24"/>
                <w:szCs w:val="24"/>
              </w:rPr>
            </w:pPr>
            <w:bookmarkStart w:id="122" w:name="_Toc201637985"/>
            <w:bookmarkStart w:id="123" w:name="_Toc214090953"/>
            <w:r>
              <w:rPr>
                <w:rFonts w:hint="eastAsia" w:ascii="宋体" w:hAnsi="宋体" w:eastAsia="宋体" w:cs="宋体"/>
                <w:sz w:val="24"/>
                <w:szCs w:val="24"/>
              </w:rPr>
              <w:t>被授权人身份证复印件</w:t>
            </w:r>
            <w:bookmarkEnd w:id="122"/>
            <w:bookmarkEnd w:id="123"/>
          </w:p>
          <w:p w14:paraId="51C927A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正反面</w:t>
            </w:r>
            <w:r>
              <w:rPr>
                <w:rFonts w:hint="eastAsia" w:ascii="宋体" w:hAnsi="宋体" w:eastAsia="宋体" w:cs="宋体"/>
                <w:sz w:val="24"/>
                <w:szCs w:val="24"/>
                <w:lang w:eastAsia="zh-CN"/>
              </w:rPr>
              <w:t>）</w:t>
            </w:r>
          </w:p>
        </w:tc>
      </w:tr>
    </w:tbl>
    <w:p w14:paraId="3C6F7745">
      <w:pPr>
        <w:spacing w:line="360" w:lineRule="auto"/>
        <w:rPr>
          <w:rFonts w:hint="eastAsia" w:ascii="宋体" w:hAnsi="宋体" w:eastAsia="宋体" w:cs="宋体"/>
          <w:sz w:val="24"/>
          <w:szCs w:val="24"/>
        </w:rPr>
      </w:pPr>
    </w:p>
    <w:p w14:paraId="433392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全称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加盖单位公章</w:t>
      </w:r>
      <w:r>
        <w:rPr>
          <w:rFonts w:hint="eastAsia" w:ascii="宋体" w:hAnsi="宋体" w:eastAsia="宋体" w:cs="宋体"/>
          <w:sz w:val="24"/>
          <w:szCs w:val="24"/>
        </w:rPr>
        <w:t>）</w:t>
      </w:r>
    </w:p>
    <w:p w14:paraId="34DE31BA">
      <w:pPr>
        <w:keepNext w:val="0"/>
        <w:keepLines w:val="0"/>
        <w:pageBreakBefore w:val="0"/>
        <w:widowControl w:val="0"/>
        <w:kinsoku/>
        <w:wordWrap/>
        <w:overflowPunct/>
        <w:topLinePunct w:val="0"/>
        <w:autoSpaceDE/>
        <w:autoSpaceDN/>
        <w:bidi w:val="0"/>
        <w:adjustRightInd/>
        <w:snapToGrid/>
        <w:spacing w:line="360" w:lineRule="auto"/>
        <w:ind w:right="617" w:rightChars="257"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7610725D">
      <w:pPr>
        <w:widowControl/>
        <w:jc w:val="both"/>
        <w:rPr>
          <w:rFonts w:hint="eastAsia" w:ascii="宋体" w:hAnsi="宋体" w:eastAsia="宋体" w:cs="宋体"/>
          <w:b/>
          <w:bCs/>
          <w:color w:val="auto"/>
          <w:sz w:val="24"/>
          <w:szCs w:val="24"/>
          <w:highlight w:val="none"/>
          <w:lang w:eastAsia="zh-CN"/>
        </w:rPr>
      </w:pPr>
    </w:p>
    <w:p w14:paraId="4E3A85F3">
      <w:pPr>
        <w:widowControl/>
        <w:ind w:firstLine="482" w:firstLineChars="200"/>
        <w:jc w:val="both"/>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eastAsia="zh-CN"/>
        </w:rPr>
        <w:t>注：法定代表人参加时无需提供。</w:t>
      </w:r>
    </w:p>
    <w:bookmarkEnd w:id="95"/>
    <w:bookmarkEnd w:id="96"/>
    <w:bookmarkEnd w:id="97"/>
    <w:p w14:paraId="33C355AA">
      <w:pPr>
        <w:spacing w:line="360" w:lineRule="auto"/>
        <w:ind w:firstLine="51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被授权人须提供磋商截止时间前1个月在本公司缴纳的社保证明，未按要求提供的按无效磋商处理。</w:t>
      </w:r>
    </w:p>
    <w:p w14:paraId="4CE809F0">
      <w:pPr>
        <w:rPr>
          <w:rFonts w:hint="eastAsia" w:ascii="宋体" w:hAnsi="宋体" w:eastAsia="宋体" w:cs="宋体"/>
          <w:highlight w:val="none"/>
        </w:rPr>
      </w:pPr>
    </w:p>
    <w:p w14:paraId="20FD5073">
      <w:pPr>
        <w:pStyle w:val="10"/>
        <w:rPr>
          <w:rFonts w:hint="eastAsia" w:ascii="宋体" w:hAnsi="宋体" w:eastAsia="宋体" w:cs="宋体"/>
          <w:highlight w:val="none"/>
        </w:rPr>
      </w:pPr>
    </w:p>
    <w:p w14:paraId="07CA6A08">
      <w:pPr>
        <w:rPr>
          <w:rFonts w:hint="eastAsia" w:ascii="宋体" w:hAnsi="宋体" w:eastAsia="宋体" w:cs="宋体"/>
          <w:highlight w:val="none"/>
        </w:rPr>
      </w:pPr>
    </w:p>
    <w:p w14:paraId="24F812B5">
      <w:pPr>
        <w:pStyle w:val="10"/>
        <w:rPr>
          <w:rFonts w:hint="eastAsia" w:ascii="宋体" w:hAnsi="宋体" w:eastAsia="宋体" w:cs="宋体"/>
          <w:highlight w:val="none"/>
        </w:rPr>
      </w:pPr>
    </w:p>
    <w:p w14:paraId="5A887747">
      <w:pPr>
        <w:rPr>
          <w:rFonts w:hint="eastAsia" w:ascii="宋体" w:hAnsi="宋体" w:eastAsia="宋体" w:cs="宋体"/>
          <w:highlight w:val="none"/>
        </w:rPr>
      </w:pPr>
    </w:p>
    <w:p w14:paraId="2C068AAB">
      <w:pPr>
        <w:pStyle w:val="10"/>
        <w:rPr>
          <w:rFonts w:hint="eastAsia" w:ascii="宋体" w:hAnsi="宋体" w:eastAsia="宋体" w:cs="宋体"/>
          <w:highlight w:val="none"/>
        </w:rPr>
      </w:pPr>
    </w:p>
    <w:p w14:paraId="3FD55A41">
      <w:pPr>
        <w:keepLines/>
        <w:pageBreakBefore/>
        <w:jc w:val="center"/>
        <w:outlineLvl w:val="1"/>
        <w:rPr>
          <w:rFonts w:hint="eastAsia" w:ascii="宋体" w:hAnsi="宋体" w:eastAsia="宋体" w:cs="宋体"/>
          <w:b/>
          <w:bCs/>
          <w:sz w:val="32"/>
          <w:szCs w:val="32"/>
          <w:highlight w:val="none"/>
        </w:rPr>
      </w:pPr>
      <w:bookmarkStart w:id="124" w:name="_Toc6747"/>
      <w:bookmarkStart w:id="125" w:name="_Toc15602"/>
      <w:bookmarkStart w:id="126" w:name="_Toc32698"/>
      <w:bookmarkStart w:id="127" w:name="_Toc21095"/>
      <w:bookmarkStart w:id="128" w:name="_Toc6797"/>
      <w:bookmarkStart w:id="129" w:name="_Toc12190"/>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w:t>
      </w:r>
      <w:bookmarkEnd w:id="124"/>
      <w:bookmarkEnd w:id="125"/>
      <w:bookmarkEnd w:id="126"/>
      <w:bookmarkEnd w:id="127"/>
      <w:bookmarkEnd w:id="128"/>
      <w:bookmarkEnd w:id="129"/>
      <w:r>
        <w:rPr>
          <w:rFonts w:hint="eastAsia" w:ascii="宋体" w:hAnsi="宋体" w:eastAsia="宋体" w:cs="宋体"/>
          <w:b/>
          <w:bCs/>
          <w:sz w:val="32"/>
          <w:szCs w:val="32"/>
          <w:highlight w:val="none"/>
        </w:rPr>
        <w:t>商务部分</w:t>
      </w:r>
    </w:p>
    <w:p w14:paraId="0051AAD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供应商应按照</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文件的要求编制商务要求，主要内容须包括以下几点。</w:t>
      </w:r>
    </w:p>
    <w:p w14:paraId="67FC6946">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、资格审查文件（以下相关资料提供加盖公章的复印件，须清晰可见） </w:t>
      </w:r>
    </w:p>
    <w:p w14:paraId="6D50766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1、供应商具备《中华人民共和国政府采购法》第二十二条</w:t>
      </w:r>
      <w:r>
        <w:rPr>
          <w:rFonts w:hint="eastAsia" w:ascii="宋体" w:hAnsi="宋体" w:eastAsia="宋体" w:cs="宋体"/>
          <w:sz w:val="24"/>
          <w:szCs w:val="24"/>
        </w:rPr>
        <w:t>规定之资格条件。须 提供的证明材料有：</w:t>
      </w:r>
    </w:p>
    <w:p w14:paraId="434ACDB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(1)营业执照等主体资格证明文件：</w:t>
      </w:r>
    </w:p>
    <w:p w14:paraId="6D92F18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供应商为具有独立承担民事责任能力的法人、其他组织或自然人，提供统一社会信用代码的营业执照（事业单位具有有效的事业单位法人证书，自然人提供身份证明）合法有效；</w:t>
      </w:r>
    </w:p>
    <w:p w14:paraId="06218015">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06FCF39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基本资格条件</w:t>
      </w:r>
    </w:p>
    <w:p w14:paraId="15C4694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基本资格条件承诺函</w:t>
      </w:r>
    </w:p>
    <w:p w14:paraId="74D1727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（采购代理机构名称）： </w:t>
      </w:r>
    </w:p>
    <w:p w14:paraId="01105C0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（供应商名称）郑重承诺： </w:t>
      </w:r>
    </w:p>
    <w:p w14:paraId="7EADCEA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我方具有良好的商业信誉和健全的财务会计制度，具有履行合同所必需 的设备和专业技术能力，具有依法缴纳税收和社会保障金的良好记录，参加本项目采购活动前三年内无重大违法活动记录。</w:t>
      </w:r>
    </w:p>
    <w:p w14:paraId="770BA2B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我方未列入在信用中国网站（www.creditchina.gov.cn）“失信被执行 人”、“重大税收违 法案件当事人名单”中，也未列入中国政府采购网 （www.ccgp.gov.cn）“政府采购严重违法失信行 为记录名单”中。 </w:t>
      </w:r>
    </w:p>
    <w:p w14:paraId="1AD9ED7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我方在采购项目评审（评标）环节结束后，随时接受采购人、采购代理 机构的核查验证，配合提供相关证明材料，证明符合《中华人民共和国政府采购 法》规定的投标人基本资格条件。 </w:t>
      </w:r>
    </w:p>
    <w:p w14:paraId="473C6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 xml:space="preserve">我方对以上承诺负全部法律责任。 </w:t>
      </w:r>
    </w:p>
    <w:p w14:paraId="528E46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 xml:space="preserve">特此承诺。 </w:t>
      </w:r>
    </w:p>
    <w:p w14:paraId="25F2F7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p>
    <w:p w14:paraId="54B80C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（供应商公章） </w:t>
      </w:r>
    </w:p>
    <w:p w14:paraId="21E48D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年 月</w:t>
      </w:r>
      <w:r>
        <w:rPr>
          <w:rFonts w:hint="eastAsia" w:ascii="宋体" w:hAnsi="宋体" w:eastAsia="宋体" w:cs="宋体"/>
          <w:sz w:val="24"/>
          <w:szCs w:val="24"/>
          <w:lang w:val="en-US" w:eastAsia="zh-CN"/>
        </w:rPr>
        <w:t xml:space="preserve"> 日</w:t>
      </w:r>
      <w:r>
        <w:rPr>
          <w:rFonts w:hint="eastAsia" w:ascii="宋体" w:hAnsi="宋体" w:eastAsia="宋体" w:cs="宋体"/>
          <w:sz w:val="24"/>
          <w:szCs w:val="24"/>
        </w:rPr>
        <w:t xml:space="preserve"> </w:t>
      </w:r>
    </w:p>
    <w:p w14:paraId="127DA5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说明：供应商应对承诺内容的真实性、合法性、有效性负责。经调查核实为虚假承诺的，视同为“提供虚假材料 谋取中标、成交”的违法行为，依照《中华人民共和国政府采购法》等法律法规追究相应责任。承诺函格式详情见磋商文件第六章响应文件格式。</w:t>
      </w:r>
    </w:p>
    <w:p w14:paraId="3C61D1FB">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 xml:space="preserve">备注：不提供《基本资格条件承诺函》的供应商需提交如下资格证明文件：①财务状况报告：提供经审计的2022年度或2023年度的财务报告或提交响应文件截止时间前六个月内其基本账户开户银行出具的资信证明；其他组织和自然人提供银行出具的资信证明或财务报表（如提供资信证明，须同时提供基本存款账户开户许可证或基本账户信息表）； ②社保缴纳证明：提供2024年1月至今已缴存至少一个月社会保障资金缴纳的有效证明，依法不需要缴纳社会保障资金的单位应提供相关证明材料。③税收缴纳证明：提供2024年1月至今已缴纳的至少一个月的纳税证明或完税证明，依法免税的单位应提供相关证明材料，纳税证明或完税证明上应有代收机构或税务机 关的公章或业务专用章。依法免税的供应商应提供相关文件证明。④ 供应商近3年内，在经营活动中没有重大违法记录：参加本次政府采购活动前3年内在经营活动中没有重大违纪，以及未被列入失信被执行人、重大税收违法失信主体、政府采购严重违法失信行为记录名单的书面声明。⑤所必需的设备和专业技术能力：提供具有履行本合同所必需的设备和专业技术能力的声明。 </w:t>
      </w:r>
    </w:p>
    <w:p w14:paraId="78775FEB">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r>
        <w:rPr>
          <w:rFonts w:hint="eastAsia" w:ascii="宋体" w:hAnsi="宋体" w:eastAsia="宋体" w:cs="宋体"/>
          <w:b/>
          <w:bCs/>
          <w:sz w:val="24"/>
          <w:szCs w:val="24"/>
          <w:highlight w:val="none"/>
          <w:lang w:val="en-US" w:eastAsia="zh-CN"/>
        </w:rPr>
        <w:t>2、特定资格条件：</w:t>
      </w:r>
    </w:p>
    <w:p w14:paraId="3A2C1DCB">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val="en-US" w:eastAsia="zh-CN"/>
        </w:rPr>
        <w:t>(1)信用记录：供应商不得为“信用中国”网站（www.creditchina.gov.cn）中列入失信被执行人、重大税收违法失信主体、政府采购严重违法失信行为记录的供应商。不得为中国政府采购网（www.ccgp.gov.cn）政府采购严重违法失信行为记录名单中被财政部门禁止参加政府采购活动的供应商（提供查询结果网页截图并加盖供应商公章）；</w:t>
      </w:r>
    </w:p>
    <w:p w14:paraId="6B94EB2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hAnsi="宋体" w:cs="宋体"/>
          <w:sz w:val="24"/>
          <w:szCs w:val="24"/>
          <w:highlight w:val="none"/>
          <w:lang w:val="en-US" w:eastAsia="zh-CN"/>
        </w:rPr>
        <w:t>供应商须具有行政主管部门颁发的城乡规划乙级及以上资质或土地规划乙级及以上资质。</w:t>
      </w:r>
    </w:p>
    <w:p w14:paraId="7B01A8E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）拟派项目负责人须具备相关专业中级及以上职称证书。</w:t>
      </w:r>
    </w:p>
    <w:p w14:paraId="643E1E71">
      <w:pPr>
        <w:spacing w:line="408" w:lineRule="auto"/>
        <w:ind w:left="600" w:leftChars="250"/>
        <w:rPr>
          <w:rFonts w:hint="eastAsia" w:ascii="宋体" w:hAnsi="宋体" w:eastAsia="宋体" w:cs="宋体"/>
          <w:sz w:val="24"/>
          <w:szCs w:val="24"/>
        </w:rPr>
      </w:pPr>
    </w:p>
    <w:p w14:paraId="687053E0">
      <w:pPr>
        <w:spacing w:line="408" w:lineRule="auto"/>
        <w:ind w:left="600" w:leftChars="250"/>
        <w:rPr>
          <w:rFonts w:hint="eastAsia" w:ascii="宋体" w:hAnsi="宋体" w:eastAsia="宋体" w:cs="宋体"/>
          <w:sz w:val="24"/>
          <w:szCs w:val="24"/>
        </w:rPr>
      </w:pPr>
    </w:p>
    <w:p w14:paraId="3750C36A">
      <w:pPr>
        <w:spacing w:line="408" w:lineRule="auto"/>
        <w:ind w:left="600" w:leftChars="250"/>
        <w:rPr>
          <w:rFonts w:hint="eastAsia" w:ascii="宋体" w:hAnsi="宋体" w:eastAsia="宋体" w:cs="宋体"/>
          <w:sz w:val="24"/>
          <w:szCs w:val="24"/>
        </w:rPr>
      </w:pPr>
    </w:p>
    <w:p w14:paraId="402379C4">
      <w:pPr>
        <w:spacing w:line="408" w:lineRule="auto"/>
        <w:ind w:left="600" w:leftChars="250"/>
        <w:rPr>
          <w:rFonts w:hint="eastAsia" w:ascii="宋体" w:hAnsi="宋体" w:eastAsia="宋体" w:cs="宋体"/>
          <w:sz w:val="24"/>
          <w:szCs w:val="24"/>
        </w:rPr>
      </w:pPr>
    </w:p>
    <w:p w14:paraId="7CD4C70C">
      <w:pPr>
        <w:spacing w:line="408" w:lineRule="auto"/>
        <w:ind w:left="600" w:leftChars="250"/>
        <w:rPr>
          <w:rFonts w:hint="eastAsia" w:ascii="宋体" w:hAnsi="宋体" w:eastAsia="宋体" w:cs="宋体"/>
          <w:sz w:val="24"/>
          <w:szCs w:val="24"/>
        </w:rPr>
      </w:pPr>
    </w:p>
    <w:p w14:paraId="1B0541C7">
      <w:pPr>
        <w:spacing w:line="408" w:lineRule="auto"/>
        <w:ind w:left="600" w:leftChars="250"/>
        <w:rPr>
          <w:rFonts w:hint="eastAsia" w:ascii="宋体" w:hAnsi="宋体" w:eastAsia="宋体" w:cs="宋体"/>
          <w:sz w:val="24"/>
          <w:szCs w:val="24"/>
        </w:rPr>
      </w:pPr>
    </w:p>
    <w:p w14:paraId="5C2FF8DA">
      <w:pPr>
        <w:spacing w:line="408" w:lineRule="auto"/>
        <w:ind w:left="600" w:leftChars="250"/>
        <w:rPr>
          <w:rFonts w:hint="eastAsia" w:ascii="宋体" w:hAnsi="宋体" w:eastAsia="宋体" w:cs="宋体"/>
          <w:sz w:val="24"/>
          <w:szCs w:val="24"/>
        </w:rPr>
      </w:pPr>
    </w:p>
    <w:p w14:paraId="2069E26A">
      <w:pPr>
        <w:spacing w:line="408" w:lineRule="auto"/>
        <w:ind w:left="600" w:leftChars="250"/>
        <w:rPr>
          <w:rFonts w:hint="eastAsia" w:ascii="宋体" w:hAnsi="宋体" w:eastAsia="宋体" w:cs="宋体"/>
          <w:sz w:val="24"/>
          <w:szCs w:val="24"/>
        </w:rPr>
      </w:pPr>
    </w:p>
    <w:p w14:paraId="7150D8E3">
      <w:pPr>
        <w:spacing w:line="408" w:lineRule="auto"/>
        <w:ind w:left="600" w:leftChars="250"/>
        <w:rPr>
          <w:rFonts w:hint="eastAsia" w:ascii="宋体" w:hAnsi="宋体" w:eastAsia="宋体" w:cs="宋体"/>
          <w:sz w:val="24"/>
          <w:szCs w:val="24"/>
        </w:rPr>
      </w:pPr>
    </w:p>
    <w:p w14:paraId="29E097F6">
      <w:pPr>
        <w:spacing w:line="408" w:lineRule="auto"/>
        <w:ind w:left="600" w:leftChars="250"/>
        <w:rPr>
          <w:rFonts w:hint="eastAsia" w:ascii="宋体" w:hAnsi="宋体" w:eastAsia="宋体" w:cs="宋体"/>
          <w:sz w:val="24"/>
          <w:szCs w:val="24"/>
        </w:rPr>
      </w:pPr>
    </w:p>
    <w:p w14:paraId="55DA6709">
      <w:pPr>
        <w:spacing w:line="408" w:lineRule="auto"/>
        <w:ind w:left="600" w:leftChars="250"/>
        <w:rPr>
          <w:rFonts w:hint="eastAsia" w:ascii="宋体" w:hAnsi="宋体" w:eastAsia="宋体" w:cs="宋体"/>
          <w:sz w:val="24"/>
          <w:szCs w:val="24"/>
        </w:rPr>
      </w:pPr>
    </w:p>
    <w:p w14:paraId="542E12AC">
      <w:pPr>
        <w:spacing w:line="408" w:lineRule="auto"/>
        <w:ind w:left="600" w:leftChars="250"/>
        <w:rPr>
          <w:rFonts w:hint="eastAsia" w:ascii="宋体" w:hAnsi="宋体" w:eastAsia="宋体" w:cs="宋体"/>
          <w:sz w:val="24"/>
          <w:szCs w:val="24"/>
        </w:rPr>
      </w:pPr>
    </w:p>
    <w:p w14:paraId="50F4C298">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sz w:val="28"/>
          <w:szCs w:val="28"/>
          <w:lang w:val="zh-CN" w:eastAsia="zh-CN"/>
        </w:rPr>
      </w:pPr>
    </w:p>
    <w:p w14:paraId="538A989F">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sz w:val="28"/>
          <w:szCs w:val="28"/>
          <w:lang w:val="zh-CN" w:eastAsia="zh-CN"/>
        </w:rPr>
      </w:pPr>
    </w:p>
    <w:p w14:paraId="3A3BA34C">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sz w:val="28"/>
          <w:szCs w:val="28"/>
          <w:lang w:val="zh-CN" w:eastAsia="zh-CN"/>
        </w:rPr>
      </w:pPr>
    </w:p>
    <w:p w14:paraId="1E9A727E">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sz w:val="28"/>
          <w:szCs w:val="28"/>
          <w:lang w:val="zh-CN" w:eastAsia="zh-CN"/>
        </w:rPr>
      </w:pPr>
    </w:p>
    <w:p w14:paraId="4A394D50">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val="zh-CN" w:eastAsia="zh-CN"/>
        </w:rPr>
        <w:t>）供应商企业关系关联</w:t>
      </w:r>
      <w:r>
        <w:rPr>
          <w:rFonts w:hint="eastAsia" w:ascii="宋体" w:hAnsi="宋体" w:eastAsia="宋体" w:cs="宋体"/>
          <w:b/>
          <w:bCs/>
          <w:sz w:val="28"/>
          <w:szCs w:val="28"/>
          <w:lang w:val="en-US" w:eastAsia="zh-CN"/>
        </w:rPr>
        <w:t>声明函</w:t>
      </w:r>
    </w:p>
    <w:p w14:paraId="214F0F54">
      <w:pPr>
        <w:pStyle w:val="10"/>
        <w:rPr>
          <w:rFonts w:hint="eastAsia" w:ascii="宋体" w:hAnsi="宋体" w:eastAsia="宋体" w:cs="宋体"/>
          <w:sz w:val="24"/>
          <w:szCs w:val="24"/>
          <w:lang w:val="zh-CN" w:eastAsia="zh-CN"/>
        </w:rPr>
      </w:pPr>
    </w:p>
    <w:p w14:paraId="76B32A55">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说明：供应商应当如实披露与本单位存在下列关联关系的单位名称：</w:t>
      </w:r>
    </w:p>
    <w:p w14:paraId="45C3C822">
      <w:pPr>
        <w:pStyle w:val="10"/>
        <w:spacing w:after="0" w:line="360" w:lineRule="auto"/>
        <w:rPr>
          <w:rFonts w:hint="eastAsia" w:ascii="宋体" w:hAnsi="宋体" w:eastAsia="宋体" w:cs="宋体"/>
          <w:sz w:val="24"/>
          <w:szCs w:val="24"/>
        </w:rPr>
      </w:pPr>
    </w:p>
    <w:p w14:paraId="666704B2">
      <w:pPr>
        <w:adjustRightInd w:val="0"/>
        <w:snapToGrid w:val="0"/>
        <w:spacing w:line="360" w:lineRule="auto"/>
        <w:jc w:val="left"/>
        <w:rPr>
          <w:rFonts w:hint="eastAsia" w:ascii="宋体" w:hAnsi="宋体" w:eastAsia="宋体" w:cs="宋体"/>
          <w:sz w:val="24"/>
          <w:szCs w:val="24"/>
        </w:rPr>
      </w:pPr>
      <w:bookmarkStart w:id="130" w:name="_Toc2074_WPSOffice_Level2"/>
      <w:bookmarkStart w:id="131" w:name="_Toc31070_WPSOffice_Level2"/>
      <w:r>
        <w:rPr>
          <w:rFonts w:hint="eastAsia" w:ascii="宋体" w:hAnsi="宋体" w:eastAsia="宋体" w:cs="宋体"/>
          <w:sz w:val="24"/>
          <w:szCs w:val="24"/>
        </w:rPr>
        <w:t>（1）与供应商单位法定代表人为同一人的其他单位</w:t>
      </w:r>
      <w:bookmarkEnd w:id="130"/>
      <w:bookmarkEnd w:id="131"/>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48539B8">
      <w:pPr>
        <w:adjustRightInd w:val="0"/>
        <w:snapToGrid w:val="0"/>
        <w:spacing w:line="360" w:lineRule="auto"/>
        <w:jc w:val="left"/>
        <w:rPr>
          <w:rFonts w:hint="eastAsia" w:ascii="宋体" w:hAnsi="宋体" w:eastAsia="宋体" w:cs="宋体"/>
          <w:sz w:val="24"/>
          <w:szCs w:val="24"/>
        </w:rPr>
      </w:pPr>
      <w:bookmarkStart w:id="132" w:name="_Toc27053_WPSOffice_Level2"/>
      <w:bookmarkStart w:id="133" w:name="_Toc889_WPSOffice_Level2"/>
      <w:r>
        <w:rPr>
          <w:rFonts w:hint="eastAsia" w:ascii="宋体" w:hAnsi="宋体" w:eastAsia="宋体" w:cs="宋体"/>
          <w:sz w:val="24"/>
          <w:szCs w:val="24"/>
        </w:rPr>
        <w:t>（2）与供应商存在直接控股、管理关系的其他单位</w:t>
      </w:r>
      <w:bookmarkEnd w:id="132"/>
      <w:bookmarkEnd w:id="133"/>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2A30C45">
      <w:pPr>
        <w:adjustRightInd w:val="0"/>
        <w:snapToGrid w:val="0"/>
        <w:spacing w:line="360" w:lineRule="auto"/>
        <w:ind w:right="120" w:rightChars="50" w:firstLine="544" w:firstLineChars="227"/>
        <w:jc w:val="left"/>
        <w:rPr>
          <w:rFonts w:hint="eastAsia" w:ascii="宋体" w:hAnsi="宋体" w:eastAsia="宋体" w:cs="宋体"/>
          <w:sz w:val="24"/>
          <w:szCs w:val="24"/>
        </w:rPr>
      </w:pPr>
    </w:p>
    <w:p w14:paraId="514C5ADB">
      <w:pPr>
        <w:adjustRightInd w:val="0"/>
        <w:snapToGrid w:val="0"/>
        <w:spacing w:line="360" w:lineRule="auto"/>
        <w:ind w:right="120" w:rightChars="50"/>
        <w:jc w:val="left"/>
        <w:rPr>
          <w:rFonts w:hint="eastAsia" w:ascii="宋体" w:hAnsi="宋体" w:eastAsia="宋体" w:cs="宋体"/>
          <w:sz w:val="24"/>
          <w:szCs w:val="24"/>
        </w:rPr>
      </w:pPr>
      <w:r>
        <w:rPr>
          <w:rFonts w:hint="eastAsia" w:ascii="宋体" w:hAnsi="宋体" w:eastAsia="宋体" w:cs="宋体"/>
          <w:sz w:val="24"/>
          <w:szCs w:val="24"/>
        </w:rPr>
        <w:t>注：若无此情形，写“无”即可</w:t>
      </w:r>
    </w:p>
    <w:p w14:paraId="53ACC94B">
      <w:pPr>
        <w:pStyle w:val="10"/>
        <w:rPr>
          <w:rFonts w:hint="eastAsia" w:ascii="宋体" w:hAnsi="宋体" w:eastAsia="宋体" w:cs="宋体"/>
          <w:sz w:val="24"/>
          <w:szCs w:val="24"/>
        </w:rPr>
      </w:pPr>
    </w:p>
    <w:p w14:paraId="014AD405">
      <w:pPr>
        <w:spacing w:line="360" w:lineRule="auto"/>
        <w:jc w:val="left"/>
        <w:rPr>
          <w:rFonts w:hint="eastAsia" w:ascii="宋体" w:hAnsi="宋体" w:eastAsia="宋体" w:cs="宋体"/>
          <w:sz w:val="24"/>
          <w:szCs w:val="24"/>
        </w:rPr>
      </w:pPr>
    </w:p>
    <w:p w14:paraId="2D0111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p>
    <w:p w14:paraId="345CBD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p>
    <w:p w14:paraId="67D942B2">
      <w:pPr>
        <w:pStyle w:val="10"/>
        <w:rPr>
          <w:rFonts w:hint="eastAsia" w:ascii="宋体" w:hAnsi="宋体" w:eastAsia="宋体" w:cs="宋体"/>
          <w:sz w:val="24"/>
          <w:szCs w:val="24"/>
          <w:lang w:val="en-US" w:eastAsia="zh-CN"/>
        </w:rPr>
      </w:pPr>
    </w:p>
    <w:p w14:paraId="59EC8DF2">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全称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（加盖单位公章）</w:t>
      </w:r>
    </w:p>
    <w:p w14:paraId="1AC81B3A">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393483F2">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签</w:t>
      </w:r>
      <w:r>
        <w:rPr>
          <w:rFonts w:hint="eastAsia" w:ascii="宋体" w:hAnsi="宋体" w:eastAsia="宋体" w:cs="宋体"/>
          <w:sz w:val="24"/>
          <w:szCs w:val="24"/>
          <w:u w:val="none"/>
          <w:lang w:eastAsia="zh-CN"/>
        </w:rPr>
        <w:t>字或盖</w:t>
      </w:r>
      <w:r>
        <w:rPr>
          <w:rFonts w:hint="eastAsia" w:ascii="宋体" w:hAnsi="宋体" w:eastAsia="宋体" w:cs="宋体"/>
          <w:sz w:val="24"/>
          <w:szCs w:val="24"/>
          <w:u w:val="none"/>
        </w:rPr>
        <w:t>章</w:t>
      </w:r>
      <w:r>
        <w:rPr>
          <w:rFonts w:hint="eastAsia" w:ascii="宋体" w:hAnsi="宋体" w:eastAsia="宋体" w:cs="宋体"/>
          <w:sz w:val="24"/>
          <w:szCs w:val="24"/>
          <w:u w:val="none"/>
          <w:lang w:val="en-US" w:eastAsia="zh-CN"/>
        </w:rPr>
        <w:t>）</w:t>
      </w:r>
    </w:p>
    <w:p w14:paraId="6457A523">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39565B00">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797588B3">
      <w:pPr>
        <w:keepLines/>
        <w:pageBreakBefore/>
        <w:numPr>
          <w:ilvl w:val="0"/>
          <w:numId w:val="0"/>
        </w:numPr>
        <w:spacing w:line="360" w:lineRule="auto"/>
        <w:ind w:leftChars="0"/>
        <w:jc w:val="left"/>
        <w:outlineLvl w:val="1"/>
        <w:rPr>
          <w:rFonts w:hint="eastAsia" w:ascii="宋体" w:hAnsi="宋体" w:eastAsia="宋体" w:cs="宋体"/>
          <w:sz w:val="24"/>
          <w:szCs w:val="24"/>
        </w:rPr>
        <w:sectPr>
          <w:footerReference r:id="rId6" w:type="default"/>
          <w:pgSz w:w="11906" w:h="16838"/>
          <w:pgMar w:top="1417" w:right="1417" w:bottom="1417" w:left="1701" w:header="851" w:footer="992" w:gutter="0"/>
          <w:pgNumType w:fmt="decimal" w:start="1"/>
          <w:cols w:space="720" w:num="1"/>
          <w:docGrid w:type="lines" w:linePitch="312" w:charSpace="0"/>
        </w:sectPr>
      </w:pPr>
    </w:p>
    <w:p w14:paraId="17B75C90">
      <w:pPr>
        <w:keepLines/>
        <w:pageBreakBefore/>
        <w:numPr>
          <w:ilvl w:val="0"/>
          <w:numId w:val="0"/>
        </w:numPr>
        <w:spacing w:line="360" w:lineRule="auto"/>
        <w:ind w:leftChars="0"/>
        <w:jc w:val="left"/>
        <w:outlineLvl w:val="1"/>
        <w:rPr>
          <w:rFonts w:hint="eastAsia" w:ascii="宋体" w:hAnsi="宋体" w:eastAsia="宋体" w:cs="宋体"/>
          <w:sz w:val="24"/>
          <w:szCs w:val="24"/>
          <w:lang w:val="en-US" w:eastAsia="zh-CN"/>
        </w:rPr>
        <w:sectPr>
          <w:pgSz w:w="11906" w:h="16838"/>
          <w:pgMar w:top="1417" w:right="1417" w:bottom="1417" w:left="1701" w:header="851" w:footer="992" w:gutter="0"/>
          <w:pgNumType w:fmt="decimal"/>
          <w:cols w:space="720" w:num="1"/>
          <w:docGrid w:type="lines" w:linePitch="312" w:charSpace="0"/>
        </w:sect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w:t>
      </w:r>
      <w:r>
        <w:rPr>
          <w:rFonts w:hint="eastAsia" w:ascii="宋体" w:hAnsi="宋体" w:eastAsia="宋体" w:cs="宋体"/>
          <w:sz w:val="28"/>
          <w:szCs w:val="28"/>
          <w:lang w:val="en-US" w:eastAsia="zh-CN"/>
        </w:rPr>
        <w:t>对</w:t>
      </w:r>
      <w:r>
        <w:rPr>
          <w:rFonts w:hint="eastAsia" w:ascii="宋体" w:hAnsi="宋体" w:eastAsia="宋体" w:cs="宋体"/>
          <w:sz w:val="28"/>
          <w:szCs w:val="28"/>
        </w:rPr>
        <w:t>项目</w:t>
      </w:r>
      <w:r>
        <w:rPr>
          <w:rFonts w:hint="eastAsia" w:ascii="宋体" w:hAnsi="宋体" w:eastAsia="宋体" w:cs="宋体"/>
          <w:sz w:val="28"/>
          <w:szCs w:val="28"/>
          <w:lang w:val="en-US" w:eastAsia="zh-CN"/>
        </w:rPr>
        <w:t>的</w:t>
      </w:r>
      <w:r>
        <w:rPr>
          <w:rFonts w:hint="eastAsia" w:hAnsi="宋体" w:cs="宋体"/>
          <w:sz w:val="28"/>
          <w:szCs w:val="28"/>
          <w:lang w:val="en-US" w:eastAsia="zh-CN"/>
        </w:rPr>
        <w:t>付款</w:t>
      </w:r>
      <w:r>
        <w:rPr>
          <w:rFonts w:hint="eastAsia" w:ascii="宋体" w:hAnsi="宋体" w:eastAsia="宋体" w:cs="宋体"/>
          <w:sz w:val="28"/>
          <w:szCs w:val="28"/>
          <w:lang w:val="en-US" w:eastAsia="zh-CN"/>
        </w:rPr>
        <w:t>方式</w:t>
      </w:r>
      <w:r>
        <w:rPr>
          <w:rFonts w:hint="eastAsia" w:hAnsi="宋体" w:cs="宋体"/>
          <w:sz w:val="28"/>
          <w:szCs w:val="28"/>
          <w:lang w:val="en-US" w:eastAsia="zh-CN"/>
        </w:rPr>
        <w:t>、协作事项</w:t>
      </w:r>
      <w:r>
        <w:rPr>
          <w:rFonts w:hint="eastAsia" w:ascii="宋体" w:hAnsi="宋体" w:eastAsia="宋体" w:cs="宋体"/>
          <w:sz w:val="28"/>
          <w:szCs w:val="28"/>
          <w:lang w:val="en-US" w:eastAsia="zh-CN"/>
        </w:rPr>
        <w:t>、合同期限</w:t>
      </w:r>
      <w:r>
        <w:rPr>
          <w:rFonts w:hint="eastAsia" w:hAnsi="宋体" w:cs="宋体"/>
          <w:sz w:val="28"/>
          <w:szCs w:val="28"/>
          <w:lang w:val="en-US" w:eastAsia="zh-CN"/>
        </w:rPr>
        <w:t>、付款方式</w:t>
      </w:r>
      <w:r>
        <w:rPr>
          <w:rFonts w:hint="eastAsia" w:ascii="宋体" w:hAnsi="宋体" w:eastAsia="宋体" w:cs="宋体"/>
          <w:sz w:val="28"/>
          <w:szCs w:val="28"/>
        </w:rPr>
        <w:t>等合同条款逐条响应；（格式自拟）</w:t>
      </w:r>
    </w:p>
    <w:p w14:paraId="4E5D9049">
      <w:pPr>
        <w:keepNext w:val="0"/>
        <w:keepLines w:val="0"/>
        <w:pageBreakBefore w:val="0"/>
        <w:widowControl w:val="0"/>
        <w:kinsoku/>
        <w:wordWrap/>
        <w:overflowPunct/>
        <w:topLinePunct w:val="0"/>
        <w:autoSpaceDE/>
        <w:autoSpaceDN/>
        <w:bidi w:val="0"/>
        <w:adjustRightInd/>
        <w:snapToGrid/>
        <w:spacing w:before="168" w:beforeLines="50" w:line="360" w:lineRule="auto"/>
        <w:jc w:val="both"/>
        <w:textAlignment w:val="auto"/>
        <w:outlineLvl w:val="9"/>
        <w:rPr>
          <w:rFonts w:hint="eastAsia" w:ascii="宋体" w:hAnsi="宋体" w:eastAsia="宋体" w:cs="宋体"/>
          <w:b w:val="0"/>
          <w:bCs w:val="0"/>
          <w:sz w:val="28"/>
          <w:szCs w:val="28"/>
          <w:lang w:val="zh-CN" w:eastAsia="zh-CN"/>
        </w:rPr>
      </w:pPr>
      <w:r>
        <w:rPr>
          <w:rFonts w:hint="eastAsia" w:ascii="宋体" w:hAnsi="宋体" w:eastAsia="宋体" w:cs="宋体"/>
          <w:b w:val="0"/>
          <w:bCs w:val="0"/>
          <w:sz w:val="28"/>
          <w:szCs w:val="28"/>
          <w:lang w:val="zh-CN" w:eastAsia="zh-CN"/>
        </w:rPr>
        <w:t>（四）供应商业绩情况</w:t>
      </w:r>
    </w:p>
    <w:p w14:paraId="77A4D202">
      <w:pPr>
        <w:spacing w:line="360" w:lineRule="auto"/>
        <w:jc w:val="center"/>
        <w:rPr>
          <w:rFonts w:hint="eastAsia" w:ascii="宋体" w:hAnsi="宋体" w:eastAsia="宋体" w:cs="宋体"/>
          <w:b/>
          <w:bCs/>
          <w:sz w:val="30"/>
          <w:szCs w:val="30"/>
          <w:highlight w:val="none"/>
          <w:lang w:eastAsia="zh-CN"/>
        </w:rPr>
      </w:pPr>
      <w:bookmarkStart w:id="134" w:name="_Toc8555_WPSOffice_Level1"/>
      <w:bookmarkStart w:id="135" w:name="_Toc17675_WPSOffice_Level1"/>
      <w:r>
        <w:rPr>
          <w:rFonts w:hint="eastAsia" w:ascii="宋体" w:hAnsi="宋体" w:eastAsia="宋体" w:cs="宋体"/>
          <w:b/>
          <w:bCs/>
          <w:sz w:val="30"/>
          <w:szCs w:val="30"/>
          <w:highlight w:val="none"/>
        </w:rPr>
        <w:t>供应商业绩情况</w:t>
      </w:r>
      <w:bookmarkEnd w:id="134"/>
      <w:bookmarkEnd w:id="135"/>
      <w:r>
        <w:rPr>
          <w:rFonts w:hint="eastAsia" w:ascii="宋体" w:hAnsi="宋体" w:eastAsia="宋体" w:cs="宋体"/>
          <w:b/>
          <w:bCs/>
          <w:sz w:val="30"/>
          <w:szCs w:val="30"/>
          <w:highlight w:val="none"/>
          <w:lang w:eastAsia="zh-CN"/>
        </w:rPr>
        <w:t>（如有）</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16"/>
        <w:gridCol w:w="1275"/>
        <w:gridCol w:w="1134"/>
        <w:gridCol w:w="1276"/>
        <w:gridCol w:w="1145"/>
        <w:gridCol w:w="11"/>
        <w:gridCol w:w="1406"/>
        <w:gridCol w:w="9"/>
        <w:gridCol w:w="1159"/>
      </w:tblGrid>
      <w:tr w14:paraId="7D6506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tcBorders>
              <w:top w:val="single" w:color="auto" w:sz="4" w:space="0"/>
            </w:tcBorders>
            <w:noWrap w:val="0"/>
            <w:vAlign w:val="center"/>
          </w:tcPr>
          <w:p w14:paraId="195C05D7">
            <w:pPr>
              <w:spacing w:line="400" w:lineRule="exact"/>
              <w:ind w:firstLine="120" w:firstLineChars="50"/>
              <w:rPr>
                <w:rFonts w:hint="eastAsia" w:ascii="宋体" w:hAnsi="宋体" w:eastAsia="宋体" w:cs="宋体"/>
                <w:szCs w:val="24"/>
                <w:highlight w:val="none"/>
              </w:rPr>
            </w:pPr>
            <w:r>
              <w:rPr>
                <w:rFonts w:hint="eastAsia" w:ascii="宋体" w:hAnsi="宋体" w:eastAsia="宋体" w:cs="宋体"/>
                <w:szCs w:val="24"/>
                <w:highlight w:val="none"/>
              </w:rPr>
              <w:t>年份</w:t>
            </w:r>
          </w:p>
        </w:tc>
        <w:tc>
          <w:tcPr>
            <w:tcW w:w="1275" w:type="dxa"/>
            <w:noWrap w:val="0"/>
            <w:vAlign w:val="center"/>
          </w:tcPr>
          <w:p w14:paraId="2842CC07">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rPr>
              <w:t>用户名称</w:t>
            </w:r>
          </w:p>
        </w:tc>
        <w:tc>
          <w:tcPr>
            <w:tcW w:w="1134" w:type="dxa"/>
            <w:noWrap w:val="0"/>
            <w:vAlign w:val="center"/>
          </w:tcPr>
          <w:p w14:paraId="66DE6783">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rPr>
              <w:t>项目名称</w:t>
            </w:r>
          </w:p>
        </w:tc>
        <w:tc>
          <w:tcPr>
            <w:tcW w:w="1276" w:type="dxa"/>
            <w:noWrap w:val="0"/>
            <w:vAlign w:val="center"/>
          </w:tcPr>
          <w:p w14:paraId="13BAADD3">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rPr>
              <w:t>完成时间</w:t>
            </w:r>
          </w:p>
        </w:tc>
        <w:tc>
          <w:tcPr>
            <w:tcW w:w="1145" w:type="dxa"/>
            <w:noWrap w:val="0"/>
            <w:vAlign w:val="center"/>
          </w:tcPr>
          <w:p w14:paraId="5E788DB5">
            <w:pPr>
              <w:spacing w:line="400" w:lineRule="exact"/>
              <w:rPr>
                <w:rFonts w:hint="eastAsia" w:ascii="宋体" w:hAnsi="宋体" w:eastAsia="宋体" w:cs="宋体"/>
                <w:szCs w:val="24"/>
                <w:highlight w:val="none"/>
              </w:rPr>
            </w:pPr>
            <w:r>
              <w:rPr>
                <w:rFonts w:hint="eastAsia" w:ascii="宋体" w:hAnsi="宋体" w:eastAsia="宋体" w:cs="宋体"/>
                <w:szCs w:val="24"/>
                <w:highlight w:val="none"/>
              </w:rPr>
              <w:t>合同金额</w:t>
            </w:r>
          </w:p>
        </w:tc>
        <w:tc>
          <w:tcPr>
            <w:tcW w:w="1426" w:type="dxa"/>
            <w:gridSpan w:val="3"/>
            <w:tcBorders>
              <w:right w:val="single" w:color="auto" w:sz="4" w:space="0"/>
            </w:tcBorders>
            <w:noWrap w:val="0"/>
            <w:vAlign w:val="center"/>
          </w:tcPr>
          <w:p w14:paraId="3756B321">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rPr>
              <w:t>完成项目</w:t>
            </w:r>
          </w:p>
          <w:p w14:paraId="0EABF4A0">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rPr>
              <w:t>质量</w:t>
            </w:r>
          </w:p>
        </w:tc>
        <w:tc>
          <w:tcPr>
            <w:tcW w:w="1159" w:type="dxa"/>
            <w:tcBorders>
              <w:left w:val="single" w:color="auto" w:sz="4" w:space="0"/>
            </w:tcBorders>
            <w:noWrap w:val="0"/>
            <w:vAlign w:val="center"/>
          </w:tcPr>
          <w:p w14:paraId="1B4CBE18">
            <w:pPr>
              <w:spacing w:line="400" w:lineRule="exact"/>
              <w:rPr>
                <w:rFonts w:hint="eastAsia" w:ascii="宋体" w:hAnsi="宋体" w:eastAsia="宋体" w:cs="宋体"/>
                <w:szCs w:val="24"/>
                <w:highlight w:val="none"/>
              </w:rPr>
            </w:pPr>
            <w:r>
              <w:rPr>
                <w:rFonts w:hint="eastAsia" w:ascii="宋体" w:hAnsi="宋体" w:eastAsia="宋体" w:cs="宋体"/>
                <w:szCs w:val="24"/>
                <w:highlight w:val="none"/>
              </w:rPr>
              <w:t xml:space="preserve">   备注</w:t>
            </w:r>
          </w:p>
        </w:tc>
      </w:tr>
      <w:tr w14:paraId="39B388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14:paraId="108A3E44">
            <w:pPr>
              <w:spacing w:line="400" w:lineRule="exact"/>
              <w:jc w:val="center"/>
              <w:rPr>
                <w:rFonts w:hint="eastAsia" w:ascii="宋体" w:hAnsi="宋体" w:eastAsia="宋体" w:cs="宋体"/>
                <w:szCs w:val="24"/>
                <w:highlight w:val="none"/>
              </w:rPr>
            </w:pPr>
          </w:p>
        </w:tc>
        <w:tc>
          <w:tcPr>
            <w:tcW w:w="1275" w:type="dxa"/>
            <w:noWrap w:val="0"/>
            <w:vAlign w:val="center"/>
          </w:tcPr>
          <w:p w14:paraId="5416B8F5">
            <w:pPr>
              <w:spacing w:line="400" w:lineRule="exact"/>
              <w:jc w:val="center"/>
              <w:rPr>
                <w:rFonts w:hint="eastAsia" w:ascii="宋体" w:hAnsi="宋体" w:eastAsia="宋体" w:cs="宋体"/>
                <w:szCs w:val="24"/>
                <w:highlight w:val="none"/>
              </w:rPr>
            </w:pPr>
          </w:p>
        </w:tc>
        <w:tc>
          <w:tcPr>
            <w:tcW w:w="1134" w:type="dxa"/>
            <w:noWrap w:val="0"/>
            <w:vAlign w:val="center"/>
          </w:tcPr>
          <w:p w14:paraId="0657B748">
            <w:pPr>
              <w:spacing w:line="400" w:lineRule="exact"/>
              <w:jc w:val="center"/>
              <w:rPr>
                <w:rFonts w:hint="eastAsia" w:ascii="宋体" w:hAnsi="宋体" w:eastAsia="宋体" w:cs="宋体"/>
                <w:szCs w:val="24"/>
                <w:highlight w:val="none"/>
              </w:rPr>
            </w:pPr>
          </w:p>
        </w:tc>
        <w:tc>
          <w:tcPr>
            <w:tcW w:w="1276" w:type="dxa"/>
            <w:noWrap w:val="0"/>
            <w:vAlign w:val="center"/>
          </w:tcPr>
          <w:p w14:paraId="15575770">
            <w:pPr>
              <w:spacing w:line="400" w:lineRule="exact"/>
              <w:jc w:val="center"/>
              <w:rPr>
                <w:rFonts w:hint="eastAsia" w:ascii="宋体" w:hAnsi="宋体" w:eastAsia="宋体" w:cs="宋体"/>
                <w:szCs w:val="24"/>
                <w:highlight w:val="none"/>
              </w:rPr>
            </w:pPr>
          </w:p>
        </w:tc>
        <w:tc>
          <w:tcPr>
            <w:tcW w:w="1145" w:type="dxa"/>
            <w:noWrap w:val="0"/>
            <w:vAlign w:val="center"/>
          </w:tcPr>
          <w:p w14:paraId="7755CBCD">
            <w:pPr>
              <w:spacing w:line="400" w:lineRule="exact"/>
              <w:jc w:val="center"/>
              <w:rPr>
                <w:rFonts w:hint="eastAsia" w:ascii="宋体" w:hAnsi="宋体" w:eastAsia="宋体" w:cs="宋体"/>
                <w:szCs w:val="24"/>
                <w:highlight w:val="none"/>
              </w:rPr>
            </w:pPr>
          </w:p>
        </w:tc>
        <w:tc>
          <w:tcPr>
            <w:tcW w:w="1426" w:type="dxa"/>
            <w:gridSpan w:val="3"/>
            <w:tcBorders>
              <w:right w:val="single" w:color="auto" w:sz="4" w:space="0"/>
            </w:tcBorders>
            <w:noWrap w:val="0"/>
            <w:vAlign w:val="center"/>
          </w:tcPr>
          <w:p w14:paraId="07BA8553">
            <w:pPr>
              <w:spacing w:line="400" w:lineRule="exact"/>
              <w:jc w:val="center"/>
              <w:rPr>
                <w:rFonts w:hint="eastAsia" w:ascii="宋体" w:hAnsi="宋体" w:eastAsia="宋体" w:cs="宋体"/>
                <w:szCs w:val="24"/>
                <w:highlight w:val="none"/>
              </w:rPr>
            </w:pPr>
          </w:p>
        </w:tc>
        <w:tc>
          <w:tcPr>
            <w:tcW w:w="1159" w:type="dxa"/>
            <w:tcBorders>
              <w:left w:val="single" w:color="auto" w:sz="4" w:space="0"/>
            </w:tcBorders>
            <w:noWrap w:val="0"/>
            <w:vAlign w:val="center"/>
          </w:tcPr>
          <w:p w14:paraId="14C0F08C">
            <w:pPr>
              <w:spacing w:line="400" w:lineRule="exact"/>
              <w:jc w:val="center"/>
              <w:rPr>
                <w:rFonts w:hint="eastAsia" w:ascii="宋体" w:hAnsi="宋体" w:eastAsia="宋体" w:cs="宋体"/>
                <w:szCs w:val="24"/>
                <w:highlight w:val="none"/>
              </w:rPr>
            </w:pPr>
          </w:p>
        </w:tc>
      </w:tr>
      <w:tr w14:paraId="0AECC2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14:paraId="7594B292">
            <w:pPr>
              <w:spacing w:line="400" w:lineRule="exact"/>
              <w:jc w:val="center"/>
              <w:rPr>
                <w:rFonts w:hint="eastAsia" w:ascii="宋体" w:hAnsi="宋体" w:eastAsia="宋体" w:cs="宋体"/>
                <w:szCs w:val="24"/>
                <w:highlight w:val="none"/>
              </w:rPr>
            </w:pPr>
          </w:p>
        </w:tc>
        <w:tc>
          <w:tcPr>
            <w:tcW w:w="1275" w:type="dxa"/>
            <w:noWrap w:val="0"/>
            <w:vAlign w:val="center"/>
          </w:tcPr>
          <w:p w14:paraId="188ABA56">
            <w:pPr>
              <w:spacing w:line="400" w:lineRule="exact"/>
              <w:jc w:val="center"/>
              <w:rPr>
                <w:rFonts w:hint="eastAsia" w:ascii="宋体" w:hAnsi="宋体" w:eastAsia="宋体" w:cs="宋体"/>
                <w:szCs w:val="24"/>
                <w:highlight w:val="none"/>
              </w:rPr>
            </w:pPr>
          </w:p>
        </w:tc>
        <w:tc>
          <w:tcPr>
            <w:tcW w:w="1134" w:type="dxa"/>
            <w:noWrap w:val="0"/>
            <w:vAlign w:val="center"/>
          </w:tcPr>
          <w:p w14:paraId="5B33A0C3">
            <w:pPr>
              <w:spacing w:line="400" w:lineRule="exact"/>
              <w:jc w:val="center"/>
              <w:rPr>
                <w:rFonts w:hint="eastAsia" w:ascii="宋体" w:hAnsi="宋体" w:eastAsia="宋体" w:cs="宋体"/>
                <w:szCs w:val="24"/>
                <w:highlight w:val="none"/>
              </w:rPr>
            </w:pPr>
          </w:p>
        </w:tc>
        <w:tc>
          <w:tcPr>
            <w:tcW w:w="1276" w:type="dxa"/>
            <w:noWrap w:val="0"/>
            <w:vAlign w:val="center"/>
          </w:tcPr>
          <w:p w14:paraId="64B40B9E">
            <w:pPr>
              <w:spacing w:line="400" w:lineRule="exact"/>
              <w:jc w:val="center"/>
              <w:rPr>
                <w:rFonts w:hint="eastAsia" w:ascii="宋体" w:hAnsi="宋体" w:eastAsia="宋体" w:cs="宋体"/>
                <w:szCs w:val="24"/>
                <w:highlight w:val="none"/>
              </w:rPr>
            </w:pPr>
          </w:p>
        </w:tc>
        <w:tc>
          <w:tcPr>
            <w:tcW w:w="1145" w:type="dxa"/>
            <w:noWrap w:val="0"/>
            <w:vAlign w:val="center"/>
          </w:tcPr>
          <w:p w14:paraId="7CBB3577">
            <w:pPr>
              <w:spacing w:line="400" w:lineRule="exact"/>
              <w:jc w:val="center"/>
              <w:rPr>
                <w:rFonts w:hint="eastAsia" w:ascii="宋体" w:hAnsi="宋体" w:eastAsia="宋体" w:cs="宋体"/>
                <w:szCs w:val="24"/>
                <w:highlight w:val="none"/>
              </w:rPr>
            </w:pPr>
          </w:p>
        </w:tc>
        <w:tc>
          <w:tcPr>
            <w:tcW w:w="1426" w:type="dxa"/>
            <w:gridSpan w:val="3"/>
            <w:tcBorders>
              <w:right w:val="single" w:color="auto" w:sz="4" w:space="0"/>
            </w:tcBorders>
            <w:noWrap w:val="0"/>
            <w:vAlign w:val="center"/>
          </w:tcPr>
          <w:p w14:paraId="56FBECA4">
            <w:pPr>
              <w:spacing w:line="400" w:lineRule="exact"/>
              <w:jc w:val="center"/>
              <w:rPr>
                <w:rFonts w:hint="eastAsia" w:ascii="宋体" w:hAnsi="宋体" w:eastAsia="宋体" w:cs="宋体"/>
                <w:szCs w:val="24"/>
                <w:highlight w:val="none"/>
              </w:rPr>
            </w:pPr>
          </w:p>
        </w:tc>
        <w:tc>
          <w:tcPr>
            <w:tcW w:w="1159" w:type="dxa"/>
            <w:tcBorders>
              <w:left w:val="single" w:color="auto" w:sz="4" w:space="0"/>
            </w:tcBorders>
            <w:noWrap w:val="0"/>
            <w:vAlign w:val="center"/>
          </w:tcPr>
          <w:p w14:paraId="046DA840">
            <w:pPr>
              <w:spacing w:line="400" w:lineRule="exact"/>
              <w:jc w:val="center"/>
              <w:rPr>
                <w:rFonts w:hint="eastAsia" w:ascii="宋体" w:hAnsi="宋体" w:eastAsia="宋体" w:cs="宋体"/>
                <w:szCs w:val="24"/>
                <w:highlight w:val="none"/>
              </w:rPr>
            </w:pPr>
          </w:p>
        </w:tc>
      </w:tr>
      <w:tr w14:paraId="179CB1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14:paraId="3E4C00A2">
            <w:pPr>
              <w:spacing w:line="400" w:lineRule="exact"/>
              <w:jc w:val="center"/>
              <w:rPr>
                <w:rFonts w:hint="eastAsia" w:ascii="宋体" w:hAnsi="宋体" w:eastAsia="宋体" w:cs="宋体"/>
                <w:szCs w:val="24"/>
                <w:highlight w:val="none"/>
              </w:rPr>
            </w:pPr>
          </w:p>
        </w:tc>
        <w:tc>
          <w:tcPr>
            <w:tcW w:w="1275" w:type="dxa"/>
            <w:noWrap w:val="0"/>
            <w:vAlign w:val="center"/>
          </w:tcPr>
          <w:p w14:paraId="799D646C">
            <w:pPr>
              <w:spacing w:line="400" w:lineRule="exact"/>
              <w:jc w:val="center"/>
              <w:rPr>
                <w:rFonts w:hint="eastAsia" w:ascii="宋体" w:hAnsi="宋体" w:eastAsia="宋体" w:cs="宋体"/>
                <w:szCs w:val="24"/>
                <w:highlight w:val="none"/>
              </w:rPr>
            </w:pPr>
          </w:p>
        </w:tc>
        <w:tc>
          <w:tcPr>
            <w:tcW w:w="1134" w:type="dxa"/>
            <w:noWrap w:val="0"/>
            <w:vAlign w:val="center"/>
          </w:tcPr>
          <w:p w14:paraId="0E1BF5D6">
            <w:pPr>
              <w:spacing w:line="400" w:lineRule="exact"/>
              <w:jc w:val="center"/>
              <w:rPr>
                <w:rFonts w:hint="eastAsia" w:ascii="宋体" w:hAnsi="宋体" w:eastAsia="宋体" w:cs="宋体"/>
                <w:szCs w:val="24"/>
                <w:highlight w:val="none"/>
              </w:rPr>
            </w:pPr>
          </w:p>
        </w:tc>
        <w:tc>
          <w:tcPr>
            <w:tcW w:w="1276" w:type="dxa"/>
            <w:noWrap w:val="0"/>
            <w:vAlign w:val="center"/>
          </w:tcPr>
          <w:p w14:paraId="186B9CE3">
            <w:pPr>
              <w:spacing w:line="400" w:lineRule="exact"/>
              <w:jc w:val="center"/>
              <w:rPr>
                <w:rFonts w:hint="eastAsia" w:ascii="宋体" w:hAnsi="宋体" w:eastAsia="宋体" w:cs="宋体"/>
                <w:szCs w:val="24"/>
                <w:highlight w:val="none"/>
              </w:rPr>
            </w:pPr>
          </w:p>
        </w:tc>
        <w:tc>
          <w:tcPr>
            <w:tcW w:w="1145" w:type="dxa"/>
            <w:noWrap w:val="0"/>
            <w:vAlign w:val="center"/>
          </w:tcPr>
          <w:p w14:paraId="3EF79C53">
            <w:pPr>
              <w:spacing w:line="400" w:lineRule="exact"/>
              <w:jc w:val="center"/>
              <w:rPr>
                <w:rFonts w:hint="eastAsia" w:ascii="宋体" w:hAnsi="宋体" w:eastAsia="宋体" w:cs="宋体"/>
                <w:szCs w:val="24"/>
                <w:highlight w:val="none"/>
              </w:rPr>
            </w:pPr>
          </w:p>
        </w:tc>
        <w:tc>
          <w:tcPr>
            <w:tcW w:w="1426" w:type="dxa"/>
            <w:gridSpan w:val="3"/>
            <w:tcBorders>
              <w:right w:val="single" w:color="auto" w:sz="4" w:space="0"/>
            </w:tcBorders>
            <w:noWrap w:val="0"/>
            <w:vAlign w:val="center"/>
          </w:tcPr>
          <w:p w14:paraId="294D3FA5">
            <w:pPr>
              <w:spacing w:line="400" w:lineRule="exact"/>
              <w:jc w:val="center"/>
              <w:rPr>
                <w:rFonts w:hint="eastAsia" w:ascii="宋体" w:hAnsi="宋体" w:eastAsia="宋体" w:cs="宋体"/>
                <w:szCs w:val="24"/>
                <w:highlight w:val="none"/>
              </w:rPr>
            </w:pPr>
          </w:p>
        </w:tc>
        <w:tc>
          <w:tcPr>
            <w:tcW w:w="1159" w:type="dxa"/>
            <w:tcBorders>
              <w:left w:val="single" w:color="auto" w:sz="4" w:space="0"/>
            </w:tcBorders>
            <w:noWrap w:val="0"/>
            <w:vAlign w:val="center"/>
          </w:tcPr>
          <w:p w14:paraId="0923BBA9">
            <w:pPr>
              <w:spacing w:line="400" w:lineRule="exact"/>
              <w:jc w:val="center"/>
              <w:rPr>
                <w:rFonts w:hint="eastAsia" w:ascii="宋体" w:hAnsi="宋体" w:eastAsia="宋体" w:cs="宋体"/>
                <w:szCs w:val="24"/>
                <w:highlight w:val="none"/>
              </w:rPr>
            </w:pPr>
          </w:p>
        </w:tc>
      </w:tr>
      <w:tr w14:paraId="670DC9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14:paraId="4BE23EEF">
            <w:pPr>
              <w:spacing w:line="400" w:lineRule="exact"/>
              <w:jc w:val="center"/>
              <w:rPr>
                <w:rFonts w:hint="eastAsia" w:ascii="宋体" w:hAnsi="宋体" w:eastAsia="宋体" w:cs="宋体"/>
                <w:szCs w:val="24"/>
                <w:highlight w:val="none"/>
              </w:rPr>
            </w:pPr>
          </w:p>
        </w:tc>
        <w:tc>
          <w:tcPr>
            <w:tcW w:w="1275" w:type="dxa"/>
            <w:tcBorders>
              <w:right w:val="single" w:color="auto" w:sz="4" w:space="0"/>
            </w:tcBorders>
            <w:noWrap w:val="0"/>
            <w:vAlign w:val="center"/>
          </w:tcPr>
          <w:p w14:paraId="5DF9842B">
            <w:pPr>
              <w:spacing w:line="400" w:lineRule="exact"/>
              <w:jc w:val="center"/>
              <w:rPr>
                <w:rFonts w:hint="eastAsia" w:ascii="宋体" w:hAnsi="宋体" w:eastAsia="宋体" w:cs="宋体"/>
                <w:szCs w:val="24"/>
                <w:highlight w:val="none"/>
              </w:rPr>
            </w:pPr>
          </w:p>
        </w:tc>
        <w:tc>
          <w:tcPr>
            <w:tcW w:w="1134" w:type="dxa"/>
            <w:tcBorders>
              <w:left w:val="single" w:color="auto" w:sz="4" w:space="0"/>
            </w:tcBorders>
            <w:noWrap w:val="0"/>
            <w:vAlign w:val="center"/>
          </w:tcPr>
          <w:p w14:paraId="59F3262A">
            <w:pPr>
              <w:spacing w:line="400" w:lineRule="exact"/>
              <w:jc w:val="center"/>
              <w:rPr>
                <w:rFonts w:hint="eastAsia" w:ascii="宋体" w:hAnsi="宋体" w:eastAsia="宋体" w:cs="宋体"/>
                <w:szCs w:val="24"/>
                <w:highlight w:val="none"/>
              </w:rPr>
            </w:pPr>
          </w:p>
        </w:tc>
        <w:tc>
          <w:tcPr>
            <w:tcW w:w="1276" w:type="dxa"/>
            <w:noWrap w:val="0"/>
            <w:vAlign w:val="center"/>
          </w:tcPr>
          <w:p w14:paraId="652DAC0A">
            <w:pPr>
              <w:spacing w:line="400" w:lineRule="exact"/>
              <w:jc w:val="center"/>
              <w:rPr>
                <w:rFonts w:hint="eastAsia" w:ascii="宋体" w:hAnsi="宋体" w:eastAsia="宋体" w:cs="宋体"/>
                <w:szCs w:val="24"/>
                <w:highlight w:val="none"/>
              </w:rPr>
            </w:pPr>
          </w:p>
        </w:tc>
        <w:tc>
          <w:tcPr>
            <w:tcW w:w="1145" w:type="dxa"/>
            <w:noWrap w:val="0"/>
            <w:vAlign w:val="center"/>
          </w:tcPr>
          <w:p w14:paraId="159754C0">
            <w:pPr>
              <w:spacing w:line="400" w:lineRule="exact"/>
              <w:jc w:val="center"/>
              <w:rPr>
                <w:rFonts w:hint="eastAsia" w:ascii="宋体" w:hAnsi="宋体" w:eastAsia="宋体" w:cs="宋体"/>
                <w:szCs w:val="24"/>
                <w:highlight w:val="none"/>
              </w:rPr>
            </w:pPr>
          </w:p>
        </w:tc>
        <w:tc>
          <w:tcPr>
            <w:tcW w:w="1426" w:type="dxa"/>
            <w:gridSpan w:val="3"/>
            <w:tcBorders>
              <w:right w:val="single" w:color="auto" w:sz="4" w:space="0"/>
            </w:tcBorders>
            <w:noWrap w:val="0"/>
            <w:vAlign w:val="center"/>
          </w:tcPr>
          <w:p w14:paraId="1236FEED">
            <w:pPr>
              <w:spacing w:line="400" w:lineRule="exact"/>
              <w:jc w:val="center"/>
              <w:rPr>
                <w:rFonts w:hint="eastAsia" w:ascii="宋体" w:hAnsi="宋体" w:eastAsia="宋体" w:cs="宋体"/>
                <w:szCs w:val="24"/>
                <w:highlight w:val="none"/>
              </w:rPr>
            </w:pPr>
          </w:p>
        </w:tc>
        <w:tc>
          <w:tcPr>
            <w:tcW w:w="1159" w:type="dxa"/>
            <w:tcBorders>
              <w:left w:val="single" w:color="auto" w:sz="4" w:space="0"/>
            </w:tcBorders>
            <w:noWrap w:val="0"/>
            <w:vAlign w:val="center"/>
          </w:tcPr>
          <w:p w14:paraId="31B7752E">
            <w:pPr>
              <w:spacing w:line="400" w:lineRule="exact"/>
              <w:jc w:val="center"/>
              <w:rPr>
                <w:rFonts w:hint="eastAsia" w:ascii="宋体" w:hAnsi="宋体" w:eastAsia="宋体" w:cs="宋体"/>
                <w:szCs w:val="24"/>
                <w:highlight w:val="none"/>
              </w:rPr>
            </w:pPr>
          </w:p>
        </w:tc>
      </w:tr>
      <w:tr w14:paraId="2B4DE3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tcBorders>
              <w:right w:val="single" w:color="auto" w:sz="4" w:space="0"/>
            </w:tcBorders>
            <w:noWrap w:val="0"/>
            <w:vAlign w:val="center"/>
          </w:tcPr>
          <w:p w14:paraId="187B8FBB">
            <w:pPr>
              <w:spacing w:line="400" w:lineRule="exact"/>
              <w:jc w:val="center"/>
              <w:rPr>
                <w:rFonts w:hint="eastAsia" w:ascii="宋体" w:hAnsi="宋体" w:eastAsia="宋体" w:cs="宋体"/>
                <w:szCs w:val="24"/>
                <w:highlight w:val="none"/>
              </w:rPr>
            </w:pPr>
          </w:p>
        </w:tc>
        <w:tc>
          <w:tcPr>
            <w:tcW w:w="1275" w:type="dxa"/>
            <w:tcBorders>
              <w:left w:val="single" w:color="auto" w:sz="4" w:space="0"/>
              <w:right w:val="single" w:color="auto" w:sz="4" w:space="0"/>
            </w:tcBorders>
            <w:noWrap w:val="0"/>
            <w:vAlign w:val="center"/>
          </w:tcPr>
          <w:p w14:paraId="4C74987D">
            <w:pPr>
              <w:spacing w:line="400" w:lineRule="exact"/>
              <w:jc w:val="center"/>
              <w:rPr>
                <w:rFonts w:hint="eastAsia" w:ascii="宋体" w:hAnsi="宋体" w:eastAsia="宋体" w:cs="宋体"/>
                <w:szCs w:val="24"/>
                <w:highlight w:val="none"/>
              </w:rPr>
            </w:pPr>
          </w:p>
        </w:tc>
        <w:tc>
          <w:tcPr>
            <w:tcW w:w="1134" w:type="dxa"/>
            <w:tcBorders>
              <w:left w:val="single" w:color="auto" w:sz="4" w:space="0"/>
              <w:right w:val="single" w:color="auto" w:sz="4" w:space="0"/>
            </w:tcBorders>
            <w:noWrap w:val="0"/>
            <w:vAlign w:val="center"/>
          </w:tcPr>
          <w:p w14:paraId="34761815">
            <w:pPr>
              <w:spacing w:line="400" w:lineRule="exact"/>
              <w:jc w:val="center"/>
              <w:rPr>
                <w:rFonts w:hint="eastAsia" w:ascii="宋体" w:hAnsi="宋体" w:eastAsia="宋体" w:cs="宋体"/>
                <w:szCs w:val="24"/>
                <w:highlight w:val="none"/>
              </w:rPr>
            </w:pPr>
          </w:p>
        </w:tc>
        <w:tc>
          <w:tcPr>
            <w:tcW w:w="1276" w:type="dxa"/>
            <w:tcBorders>
              <w:left w:val="single" w:color="auto" w:sz="4" w:space="0"/>
              <w:right w:val="single" w:color="auto" w:sz="4" w:space="0"/>
            </w:tcBorders>
            <w:noWrap w:val="0"/>
            <w:vAlign w:val="center"/>
          </w:tcPr>
          <w:p w14:paraId="5F11C039">
            <w:pPr>
              <w:spacing w:line="400" w:lineRule="exact"/>
              <w:jc w:val="center"/>
              <w:rPr>
                <w:rFonts w:hint="eastAsia" w:ascii="宋体" w:hAnsi="宋体" w:eastAsia="宋体" w:cs="宋体"/>
                <w:szCs w:val="24"/>
                <w:highlight w:val="none"/>
              </w:rPr>
            </w:pPr>
          </w:p>
        </w:tc>
        <w:tc>
          <w:tcPr>
            <w:tcW w:w="1156" w:type="dxa"/>
            <w:gridSpan w:val="2"/>
            <w:tcBorders>
              <w:left w:val="single" w:color="auto" w:sz="4" w:space="0"/>
              <w:right w:val="single" w:color="auto" w:sz="4" w:space="0"/>
            </w:tcBorders>
            <w:noWrap w:val="0"/>
            <w:vAlign w:val="center"/>
          </w:tcPr>
          <w:p w14:paraId="1AD65D44">
            <w:pPr>
              <w:spacing w:line="400" w:lineRule="exact"/>
              <w:jc w:val="center"/>
              <w:rPr>
                <w:rFonts w:hint="eastAsia" w:ascii="宋体" w:hAnsi="宋体" w:eastAsia="宋体" w:cs="宋体"/>
                <w:szCs w:val="24"/>
                <w:highlight w:val="none"/>
              </w:rPr>
            </w:pPr>
          </w:p>
        </w:tc>
        <w:tc>
          <w:tcPr>
            <w:tcW w:w="1415" w:type="dxa"/>
            <w:gridSpan w:val="2"/>
            <w:tcBorders>
              <w:left w:val="single" w:color="auto" w:sz="4" w:space="0"/>
              <w:right w:val="single" w:color="auto" w:sz="4" w:space="0"/>
            </w:tcBorders>
            <w:noWrap w:val="0"/>
            <w:vAlign w:val="center"/>
          </w:tcPr>
          <w:p w14:paraId="4DA64282">
            <w:pPr>
              <w:spacing w:line="400" w:lineRule="exact"/>
              <w:jc w:val="center"/>
              <w:rPr>
                <w:rFonts w:hint="eastAsia" w:ascii="宋体" w:hAnsi="宋体" w:eastAsia="宋体" w:cs="宋体"/>
                <w:szCs w:val="24"/>
                <w:highlight w:val="none"/>
              </w:rPr>
            </w:pPr>
          </w:p>
        </w:tc>
        <w:tc>
          <w:tcPr>
            <w:tcW w:w="1159" w:type="dxa"/>
            <w:tcBorders>
              <w:left w:val="single" w:color="auto" w:sz="4" w:space="0"/>
            </w:tcBorders>
            <w:noWrap w:val="0"/>
            <w:vAlign w:val="center"/>
          </w:tcPr>
          <w:p w14:paraId="22F7BDD8">
            <w:pPr>
              <w:spacing w:line="400" w:lineRule="exact"/>
              <w:jc w:val="center"/>
              <w:rPr>
                <w:rFonts w:hint="eastAsia" w:ascii="宋体" w:hAnsi="宋体" w:eastAsia="宋体" w:cs="宋体"/>
                <w:szCs w:val="24"/>
                <w:highlight w:val="none"/>
              </w:rPr>
            </w:pPr>
          </w:p>
        </w:tc>
      </w:tr>
      <w:tr w14:paraId="1AE765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14:paraId="339EEEE1">
            <w:pPr>
              <w:spacing w:line="400" w:lineRule="exact"/>
              <w:jc w:val="center"/>
              <w:rPr>
                <w:rFonts w:hint="eastAsia" w:ascii="宋体" w:hAnsi="宋体" w:eastAsia="宋体" w:cs="宋体"/>
                <w:szCs w:val="24"/>
                <w:highlight w:val="none"/>
              </w:rPr>
            </w:pPr>
          </w:p>
        </w:tc>
        <w:tc>
          <w:tcPr>
            <w:tcW w:w="1275" w:type="dxa"/>
            <w:noWrap w:val="0"/>
            <w:vAlign w:val="center"/>
          </w:tcPr>
          <w:p w14:paraId="6ABC4577">
            <w:pPr>
              <w:spacing w:line="400" w:lineRule="exact"/>
              <w:jc w:val="center"/>
              <w:rPr>
                <w:rFonts w:hint="eastAsia" w:ascii="宋体" w:hAnsi="宋体" w:eastAsia="宋体" w:cs="宋体"/>
                <w:szCs w:val="24"/>
                <w:highlight w:val="none"/>
              </w:rPr>
            </w:pPr>
          </w:p>
        </w:tc>
        <w:tc>
          <w:tcPr>
            <w:tcW w:w="1134" w:type="dxa"/>
            <w:noWrap w:val="0"/>
            <w:vAlign w:val="center"/>
          </w:tcPr>
          <w:p w14:paraId="5C7366C7">
            <w:pPr>
              <w:spacing w:line="400" w:lineRule="exact"/>
              <w:jc w:val="center"/>
              <w:rPr>
                <w:rFonts w:hint="eastAsia" w:ascii="宋体" w:hAnsi="宋体" w:eastAsia="宋体" w:cs="宋体"/>
                <w:szCs w:val="24"/>
                <w:highlight w:val="none"/>
              </w:rPr>
            </w:pPr>
          </w:p>
        </w:tc>
        <w:tc>
          <w:tcPr>
            <w:tcW w:w="1276" w:type="dxa"/>
            <w:noWrap w:val="0"/>
            <w:vAlign w:val="center"/>
          </w:tcPr>
          <w:p w14:paraId="3F232609">
            <w:pPr>
              <w:spacing w:line="400" w:lineRule="exact"/>
              <w:jc w:val="center"/>
              <w:rPr>
                <w:rFonts w:hint="eastAsia" w:ascii="宋体" w:hAnsi="宋体" w:eastAsia="宋体" w:cs="宋体"/>
                <w:szCs w:val="24"/>
                <w:highlight w:val="none"/>
              </w:rPr>
            </w:pPr>
          </w:p>
        </w:tc>
        <w:tc>
          <w:tcPr>
            <w:tcW w:w="1156" w:type="dxa"/>
            <w:gridSpan w:val="2"/>
            <w:tcBorders>
              <w:right w:val="single" w:color="auto" w:sz="4" w:space="0"/>
            </w:tcBorders>
            <w:noWrap w:val="0"/>
            <w:vAlign w:val="center"/>
          </w:tcPr>
          <w:p w14:paraId="5733C3C1">
            <w:pPr>
              <w:spacing w:line="400" w:lineRule="exact"/>
              <w:jc w:val="center"/>
              <w:rPr>
                <w:rFonts w:hint="eastAsia" w:ascii="宋体" w:hAnsi="宋体" w:eastAsia="宋体" w:cs="宋体"/>
                <w:szCs w:val="24"/>
                <w:highlight w:val="none"/>
              </w:rPr>
            </w:pPr>
          </w:p>
        </w:tc>
        <w:tc>
          <w:tcPr>
            <w:tcW w:w="1406" w:type="dxa"/>
            <w:tcBorders>
              <w:left w:val="single" w:color="auto" w:sz="4" w:space="0"/>
              <w:right w:val="single" w:color="auto" w:sz="4" w:space="0"/>
            </w:tcBorders>
            <w:noWrap w:val="0"/>
            <w:vAlign w:val="center"/>
          </w:tcPr>
          <w:p w14:paraId="436750BB">
            <w:pPr>
              <w:spacing w:line="400" w:lineRule="exact"/>
              <w:jc w:val="center"/>
              <w:rPr>
                <w:rFonts w:hint="eastAsia" w:ascii="宋体" w:hAnsi="宋体" w:eastAsia="宋体" w:cs="宋体"/>
                <w:szCs w:val="24"/>
                <w:highlight w:val="none"/>
              </w:rPr>
            </w:pPr>
          </w:p>
        </w:tc>
        <w:tc>
          <w:tcPr>
            <w:tcW w:w="1168" w:type="dxa"/>
            <w:gridSpan w:val="2"/>
            <w:tcBorders>
              <w:left w:val="single" w:color="auto" w:sz="4" w:space="0"/>
            </w:tcBorders>
            <w:noWrap w:val="0"/>
            <w:vAlign w:val="center"/>
          </w:tcPr>
          <w:p w14:paraId="6A1C63AC">
            <w:pPr>
              <w:spacing w:line="400" w:lineRule="exact"/>
              <w:jc w:val="center"/>
              <w:rPr>
                <w:rFonts w:hint="eastAsia" w:ascii="宋体" w:hAnsi="宋体" w:eastAsia="宋体" w:cs="宋体"/>
                <w:szCs w:val="24"/>
                <w:highlight w:val="none"/>
              </w:rPr>
            </w:pPr>
          </w:p>
        </w:tc>
      </w:tr>
    </w:tbl>
    <w:p w14:paraId="13CD22F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注：1.本表后附业绩证明资料加盖供应商公章，签订时间及金额以合同中的内容为准。</w:t>
      </w:r>
    </w:p>
    <w:p w14:paraId="39A0006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2.供应商应如实列出以上情况，如有隐瞒，一经查实将导致其磋商响应文件被拒绝。</w:t>
      </w:r>
    </w:p>
    <w:p w14:paraId="07579CA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3.未按上述要求提供、填写的，评审时不予以考虑。</w:t>
      </w:r>
    </w:p>
    <w:p w14:paraId="18C97DE6">
      <w:pPr>
        <w:rPr>
          <w:rFonts w:hint="eastAsia" w:ascii="宋体" w:hAnsi="宋体" w:eastAsia="宋体" w:cs="宋体"/>
          <w:sz w:val="24"/>
          <w:szCs w:val="24"/>
        </w:rPr>
      </w:pPr>
    </w:p>
    <w:p w14:paraId="1784B7EF">
      <w:pPr>
        <w:pStyle w:val="10"/>
        <w:rPr>
          <w:rFonts w:hint="eastAsia" w:ascii="宋体" w:hAnsi="宋体" w:eastAsia="宋体" w:cs="宋体"/>
          <w:sz w:val="24"/>
          <w:szCs w:val="24"/>
        </w:rPr>
      </w:pPr>
    </w:p>
    <w:p w14:paraId="358F6644">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全称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（加盖单位公章）</w:t>
      </w:r>
    </w:p>
    <w:p w14:paraId="720F8E28">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709BD127">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签</w:t>
      </w:r>
      <w:r>
        <w:rPr>
          <w:rFonts w:hint="eastAsia" w:ascii="宋体" w:hAnsi="宋体" w:eastAsia="宋体" w:cs="宋体"/>
          <w:sz w:val="24"/>
          <w:szCs w:val="24"/>
          <w:u w:val="none"/>
          <w:lang w:eastAsia="zh-CN"/>
        </w:rPr>
        <w:t>字或盖</w:t>
      </w:r>
      <w:r>
        <w:rPr>
          <w:rFonts w:hint="eastAsia" w:ascii="宋体" w:hAnsi="宋体" w:eastAsia="宋体" w:cs="宋体"/>
          <w:sz w:val="24"/>
          <w:szCs w:val="24"/>
          <w:u w:val="none"/>
        </w:rPr>
        <w:t>章</w:t>
      </w:r>
      <w:r>
        <w:rPr>
          <w:rFonts w:hint="eastAsia" w:ascii="宋体" w:hAnsi="宋体" w:eastAsia="宋体" w:cs="宋体"/>
          <w:sz w:val="24"/>
          <w:szCs w:val="24"/>
          <w:u w:val="none"/>
          <w:lang w:val="en-US" w:eastAsia="zh-CN"/>
        </w:rPr>
        <w:t>）</w:t>
      </w:r>
    </w:p>
    <w:p w14:paraId="78BDB52F">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3F1880B9">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F1E0A95">
      <w:pPr>
        <w:rPr>
          <w:rFonts w:hint="eastAsia" w:ascii="宋体" w:hAnsi="宋体" w:eastAsia="宋体" w:cs="宋体"/>
        </w:rPr>
        <w:sectPr>
          <w:pgSz w:w="11906" w:h="16838"/>
          <w:pgMar w:top="1417" w:right="1417" w:bottom="1417" w:left="1701" w:header="851" w:footer="992" w:gutter="0"/>
          <w:pgNumType w:fmt="decimal"/>
          <w:cols w:space="720" w:num="1"/>
          <w:docGrid w:type="lines" w:linePitch="312" w:charSpace="0"/>
        </w:sectPr>
      </w:pPr>
    </w:p>
    <w:p w14:paraId="5AC67267">
      <w:pPr>
        <w:numPr>
          <w:ilvl w:val="0"/>
          <w:numId w:val="10"/>
        </w:numPr>
        <w:rPr>
          <w:rFonts w:hint="eastAsia" w:ascii="宋体" w:hAnsi="宋体" w:eastAsia="宋体" w:cs="宋体"/>
          <w:sz w:val="28"/>
          <w:szCs w:val="28"/>
        </w:rPr>
      </w:pPr>
      <w:r>
        <w:rPr>
          <w:rFonts w:hint="eastAsia" w:ascii="宋体" w:hAnsi="宋体" w:eastAsia="宋体" w:cs="宋体"/>
          <w:sz w:val="28"/>
          <w:szCs w:val="28"/>
        </w:rPr>
        <w:t>其他可以证明供应商实力的文件（如果有，格式自拟）</w:t>
      </w:r>
    </w:p>
    <w:p w14:paraId="14BEC1DF">
      <w:pPr>
        <w:widowControl w:val="0"/>
        <w:numPr>
          <w:ilvl w:val="0"/>
          <w:numId w:val="0"/>
        </w:numPr>
        <w:jc w:val="both"/>
        <w:rPr>
          <w:rFonts w:hint="eastAsia" w:ascii="宋体" w:hAnsi="宋体" w:eastAsia="宋体" w:cs="宋体"/>
          <w:sz w:val="24"/>
          <w:szCs w:val="24"/>
        </w:rPr>
      </w:pPr>
    </w:p>
    <w:p w14:paraId="18DB5A73">
      <w:pPr>
        <w:widowControl w:val="0"/>
        <w:numPr>
          <w:ilvl w:val="0"/>
          <w:numId w:val="0"/>
        </w:numPr>
        <w:jc w:val="both"/>
        <w:rPr>
          <w:rFonts w:hint="eastAsia" w:ascii="宋体" w:hAnsi="宋体" w:eastAsia="宋体" w:cs="宋体"/>
          <w:sz w:val="24"/>
          <w:szCs w:val="24"/>
        </w:rPr>
      </w:pPr>
    </w:p>
    <w:p w14:paraId="27CA20DC">
      <w:pPr>
        <w:widowControl w:val="0"/>
        <w:numPr>
          <w:ilvl w:val="0"/>
          <w:numId w:val="0"/>
        </w:numPr>
        <w:jc w:val="both"/>
        <w:rPr>
          <w:rFonts w:hint="eastAsia" w:ascii="宋体" w:hAnsi="宋体" w:eastAsia="宋体" w:cs="宋体"/>
          <w:sz w:val="24"/>
          <w:szCs w:val="24"/>
        </w:rPr>
      </w:pPr>
    </w:p>
    <w:p w14:paraId="046DC7B1">
      <w:pPr>
        <w:widowControl w:val="0"/>
        <w:numPr>
          <w:ilvl w:val="0"/>
          <w:numId w:val="0"/>
        </w:numPr>
        <w:jc w:val="both"/>
        <w:rPr>
          <w:rFonts w:hint="eastAsia" w:ascii="宋体" w:hAnsi="宋体" w:eastAsia="宋体" w:cs="宋体"/>
          <w:sz w:val="24"/>
          <w:szCs w:val="24"/>
        </w:rPr>
      </w:pPr>
    </w:p>
    <w:p w14:paraId="24E4A78C">
      <w:pPr>
        <w:widowControl w:val="0"/>
        <w:numPr>
          <w:ilvl w:val="0"/>
          <w:numId w:val="0"/>
        </w:numPr>
        <w:jc w:val="both"/>
        <w:rPr>
          <w:rFonts w:hint="eastAsia" w:ascii="宋体" w:hAnsi="宋体" w:eastAsia="宋体" w:cs="宋体"/>
          <w:sz w:val="24"/>
          <w:szCs w:val="24"/>
        </w:rPr>
      </w:pPr>
    </w:p>
    <w:p w14:paraId="0C67020E">
      <w:pPr>
        <w:widowControl w:val="0"/>
        <w:numPr>
          <w:ilvl w:val="0"/>
          <w:numId w:val="0"/>
        </w:numPr>
        <w:jc w:val="both"/>
        <w:rPr>
          <w:rFonts w:hint="eastAsia" w:ascii="宋体" w:hAnsi="宋体" w:eastAsia="宋体" w:cs="宋体"/>
          <w:sz w:val="24"/>
          <w:szCs w:val="24"/>
        </w:rPr>
      </w:pPr>
    </w:p>
    <w:p w14:paraId="537DC391">
      <w:pPr>
        <w:widowControl w:val="0"/>
        <w:numPr>
          <w:ilvl w:val="0"/>
          <w:numId w:val="0"/>
        </w:numPr>
        <w:jc w:val="both"/>
        <w:rPr>
          <w:rFonts w:hint="eastAsia" w:ascii="宋体" w:hAnsi="宋体" w:eastAsia="宋体" w:cs="宋体"/>
          <w:sz w:val="24"/>
          <w:szCs w:val="24"/>
        </w:rPr>
      </w:pPr>
    </w:p>
    <w:p w14:paraId="3B43CE87">
      <w:pPr>
        <w:widowControl w:val="0"/>
        <w:numPr>
          <w:ilvl w:val="0"/>
          <w:numId w:val="0"/>
        </w:numPr>
        <w:jc w:val="both"/>
        <w:rPr>
          <w:rFonts w:hint="eastAsia" w:ascii="宋体" w:hAnsi="宋体" w:eastAsia="宋体" w:cs="宋体"/>
          <w:sz w:val="24"/>
          <w:szCs w:val="24"/>
        </w:rPr>
      </w:pPr>
    </w:p>
    <w:p w14:paraId="50B95DD9">
      <w:pPr>
        <w:widowControl w:val="0"/>
        <w:numPr>
          <w:ilvl w:val="0"/>
          <w:numId w:val="0"/>
        </w:numPr>
        <w:jc w:val="both"/>
        <w:rPr>
          <w:rFonts w:hint="eastAsia" w:ascii="宋体" w:hAnsi="宋体" w:eastAsia="宋体" w:cs="宋体"/>
          <w:sz w:val="24"/>
          <w:szCs w:val="24"/>
        </w:rPr>
      </w:pPr>
    </w:p>
    <w:p w14:paraId="276C252B">
      <w:pPr>
        <w:widowControl w:val="0"/>
        <w:numPr>
          <w:ilvl w:val="0"/>
          <w:numId w:val="0"/>
        </w:numPr>
        <w:jc w:val="both"/>
        <w:rPr>
          <w:rFonts w:hint="eastAsia" w:ascii="宋体" w:hAnsi="宋体" w:eastAsia="宋体" w:cs="宋体"/>
          <w:sz w:val="24"/>
          <w:szCs w:val="24"/>
        </w:rPr>
      </w:pPr>
    </w:p>
    <w:p w14:paraId="56A7A883">
      <w:pPr>
        <w:widowControl w:val="0"/>
        <w:numPr>
          <w:ilvl w:val="0"/>
          <w:numId w:val="0"/>
        </w:numPr>
        <w:jc w:val="both"/>
        <w:rPr>
          <w:rFonts w:hint="eastAsia" w:ascii="宋体" w:hAnsi="宋体" w:eastAsia="宋体" w:cs="宋体"/>
          <w:sz w:val="24"/>
          <w:szCs w:val="24"/>
        </w:rPr>
      </w:pPr>
    </w:p>
    <w:p w14:paraId="64CBF53B">
      <w:pPr>
        <w:widowControl w:val="0"/>
        <w:numPr>
          <w:ilvl w:val="0"/>
          <w:numId w:val="0"/>
        </w:numPr>
        <w:jc w:val="both"/>
        <w:rPr>
          <w:rFonts w:hint="eastAsia" w:ascii="宋体" w:hAnsi="宋体" w:eastAsia="宋体" w:cs="宋体"/>
          <w:sz w:val="24"/>
          <w:szCs w:val="24"/>
        </w:rPr>
      </w:pPr>
    </w:p>
    <w:p w14:paraId="581225B6">
      <w:pPr>
        <w:widowControl w:val="0"/>
        <w:numPr>
          <w:ilvl w:val="0"/>
          <w:numId w:val="0"/>
        </w:numPr>
        <w:jc w:val="both"/>
        <w:rPr>
          <w:rFonts w:hint="eastAsia" w:ascii="宋体" w:hAnsi="宋体" w:eastAsia="宋体" w:cs="宋体"/>
          <w:sz w:val="24"/>
          <w:szCs w:val="24"/>
        </w:rPr>
      </w:pPr>
    </w:p>
    <w:p w14:paraId="46EA48E7">
      <w:pPr>
        <w:widowControl w:val="0"/>
        <w:numPr>
          <w:ilvl w:val="0"/>
          <w:numId w:val="0"/>
        </w:numPr>
        <w:jc w:val="both"/>
        <w:rPr>
          <w:rFonts w:hint="eastAsia" w:ascii="宋体" w:hAnsi="宋体" w:eastAsia="宋体" w:cs="宋体"/>
          <w:sz w:val="24"/>
          <w:szCs w:val="24"/>
        </w:rPr>
      </w:pPr>
    </w:p>
    <w:p w14:paraId="76CE8E7A">
      <w:pPr>
        <w:widowControl w:val="0"/>
        <w:numPr>
          <w:ilvl w:val="0"/>
          <w:numId w:val="0"/>
        </w:numPr>
        <w:jc w:val="both"/>
        <w:rPr>
          <w:rFonts w:hint="eastAsia" w:ascii="宋体" w:hAnsi="宋体" w:eastAsia="宋体" w:cs="宋体"/>
          <w:sz w:val="24"/>
          <w:szCs w:val="24"/>
        </w:rPr>
      </w:pPr>
    </w:p>
    <w:p w14:paraId="3E0C2FE4">
      <w:pPr>
        <w:widowControl w:val="0"/>
        <w:numPr>
          <w:ilvl w:val="0"/>
          <w:numId w:val="0"/>
        </w:numPr>
        <w:jc w:val="both"/>
        <w:rPr>
          <w:rFonts w:hint="eastAsia" w:ascii="宋体" w:hAnsi="宋体" w:eastAsia="宋体" w:cs="宋体"/>
          <w:sz w:val="24"/>
          <w:szCs w:val="24"/>
        </w:rPr>
      </w:pPr>
    </w:p>
    <w:p w14:paraId="05180DBE">
      <w:pPr>
        <w:widowControl w:val="0"/>
        <w:numPr>
          <w:ilvl w:val="0"/>
          <w:numId w:val="0"/>
        </w:numPr>
        <w:jc w:val="both"/>
        <w:rPr>
          <w:rFonts w:hint="eastAsia" w:ascii="宋体" w:hAnsi="宋体" w:eastAsia="宋体" w:cs="宋体"/>
          <w:sz w:val="24"/>
          <w:szCs w:val="24"/>
        </w:rPr>
      </w:pPr>
    </w:p>
    <w:p w14:paraId="24F9392A">
      <w:pPr>
        <w:widowControl w:val="0"/>
        <w:numPr>
          <w:ilvl w:val="0"/>
          <w:numId w:val="0"/>
        </w:numPr>
        <w:jc w:val="both"/>
        <w:rPr>
          <w:rFonts w:hint="eastAsia" w:ascii="宋体" w:hAnsi="宋体" w:eastAsia="宋体" w:cs="宋体"/>
          <w:sz w:val="24"/>
          <w:szCs w:val="24"/>
        </w:rPr>
      </w:pPr>
    </w:p>
    <w:p w14:paraId="0A99122D">
      <w:pPr>
        <w:widowControl w:val="0"/>
        <w:numPr>
          <w:ilvl w:val="0"/>
          <w:numId w:val="0"/>
        </w:numPr>
        <w:jc w:val="both"/>
        <w:rPr>
          <w:rFonts w:hint="eastAsia" w:ascii="宋体" w:hAnsi="宋体" w:eastAsia="宋体" w:cs="宋体"/>
          <w:sz w:val="24"/>
          <w:szCs w:val="24"/>
        </w:rPr>
      </w:pPr>
    </w:p>
    <w:p w14:paraId="213A9CBA">
      <w:pPr>
        <w:widowControl w:val="0"/>
        <w:numPr>
          <w:ilvl w:val="0"/>
          <w:numId w:val="0"/>
        </w:numPr>
        <w:jc w:val="both"/>
        <w:rPr>
          <w:rFonts w:hint="eastAsia" w:ascii="宋体" w:hAnsi="宋体" w:eastAsia="宋体" w:cs="宋体"/>
          <w:sz w:val="24"/>
          <w:szCs w:val="24"/>
        </w:rPr>
      </w:pPr>
    </w:p>
    <w:p w14:paraId="11066286">
      <w:pPr>
        <w:widowControl w:val="0"/>
        <w:numPr>
          <w:ilvl w:val="0"/>
          <w:numId w:val="0"/>
        </w:numPr>
        <w:jc w:val="both"/>
        <w:rPr>
          <w:rFonts w:hint="eastAsia" w:ascii="宋体" w:hAnsi="宋体" w:eastAsia="宋体" w:cs="宋体"/>
          <w:sz w:val="24"/>
          <w:szCs w:val="24"/>
        </w:rPr>
      </w:pPr>
    </w:p>
    <w:p w14:paraId="63DAFEE2">
      <w:pPr>
        <w:widowControl w:val="0"/>
        <w:numPr>
          <w:ilvl w:val="0"/>
          <w:numId w:val="0"/>
        </w:numPr>
        <w:jc w:val="both"/>
        <w:rPr>
          <w:rFonts w:hint="eastAsia" w:ascii="宋体" w:hAnsi="宋体" w:eastAsia="宋体" w:cs="宋体"/>
          <w:sz w:val="24"/>
          <w:szCs w:val="24"/>
        </w:rPr>
      </w:pPr>
    </w:p>
    <w:p w14:paraId="5C484E3A">
      <w:pPr>
        <w:widowControl w:val="0"/>
        <w:numPr>
          <w:ilvl w:val="0"/>
          <w:numId w:val="0"/>
        </w:numPr>
        <w:jc w:val="both"/>
        <w:rPr>
          <w:rFonts w:hint="eastAsia" w:ascii="宋体" w:hAnsi="宋体" w:eastAsia="宋体" w:cs="宋体"/>
          <w:sz w:val="24"/>
          <w:szCs w:val="24"/>
        </w:rPr>
      </w:pPr>
    </w:p>
    <w:p w14:paraId="6B5CC2CA">
      <w:pPr>
        <w:widowControl w:val="0"/>
        <w:numPr>
          <w:ilvl w:val="0"/>
          <w:numId w:val="0"/>
        </w:numPr>
        <w:jc w:val="both"/>
        <w:rPr>
          <w:rFonts w:hint="eastAsia" w:ascii="宋体" w:hAnsi="宋体" w:eastAsia="宋体" w:cs="宋体"/>
          <w:sz w:val="24"/>
          <w:szCs w:val="24"/>
        </w:rPr>
      </w:pPr>
    </w:p>
    <w:p w14:paraId="7C575A0B">
      <w:pPr>
        <w:widowControl w:val="0"/>
        <w:numPr>
          <w:ilvl w:val="0"/>
          <w:numId w:val="0"/>
        </w:numPr>
        <w:jc w:val="both"/>
        <w:rPr>
          <w:rFonts w:hint="eastAsia" w:ascii="宋体" w:hAnsi="宋体" w:eastAsia="宋体" w:cs="宋体"/>
          <w:sz w:val="24"/>
          <w:szCs w:val="24"/>
        </w:rPr>
      </w:pPr>
    </w:p>
    <w:p w14:paraId="4545C46A">
      <w:pPr>
        <w:widowControl w:val="0"/>
        <w:numPr>
          <w:ilvl w:val="0"/>
          <w:numId w:val="0"/>
        </w:numPr>
        <w:jc w:val="both"/>
        <w:rPr>
          <w:rFonts w:hint="eastAsia" w:ascii="宋体" w:hAnsi="宋体" w:eastAsia="宋体" w:cs="宋体"/>
          <w:sz w:val="24"/>
          <w:szCs w:val="24"/>
        </w:rPr>
      </w:pPr>
    </w:p>
    <w:p w14:paraId="63BC0CD7">
      <w:pPr>
        <w:widowControl w:val="0"/>
        <w:numPr>
          <w:ilvl w:val="0"/>
          <w:numId w:val="0"/>
        </w:numPr>
        <w:jc w:val="both"/>
        <w:rPr>
          <w:rFonts w:hint="eastAsia" w:ascii="宋体" w:hAnsi="宋体" w:eastAsia="宋体" w:cs="宋体"/>
          <w:sz w:val="24"/>
          <w:szCs w:val="24"/>
        </w:rPr>
      </w:pPr>
    </w:p>
    <w:p w14:paraId="13D69207">
      <w:pPr>
        <w:widowControl w:val="0"/>
        <w:numPr>
          <w:ilvl w:val="0"/>
          <w:numId w:val="0"/>
        </w:numPr>
        <w:jc w:val="both"/>
        <w:rPr>
          <w:rFonts w:hint="eastAsia" w:ascii="宋体" w:hAnsi="宋体" w:eastAsia="宋体" w:cs="宋体"/>
          <w:sz w:val="24"/>
          <w:szCs w:val="24"/>
        </w:rPr>
      </w:pPr>
    </w:p>
    <w:p w14:paraId="1F071C6E">
      <w:pPr>
        <w:widowControl w:val="0"/>
        <w:numPr>
          <w:ilvl w:val="0"/>
          <w:numId w:val="0"/>
        </w:numPr>
        <w:jc w:val="both"/>
        <w:rPr>
          <w:rFonts w:hint="eastAsia" w:ascii="宋体" w:hAnsi="宋体" w:eastAsia="宋体" w:cs="宋体"/>
          <w:sz w:val="24"/>
          <w:szCs w:val="24"/>
        </w:rPr>
      </w:pPr>
    </w:p>
    <w:p w14:paraId="0BE1DA91">
      <w:pPr>
        <w:widowControl w:val="0"/>
        <w:numPr>
          <w:ilvl w:val="0"/>
          <w:numId w:val="0"/>
        </w:numPr>
        <w:jc w:val="both"/>
        <w:rPr>
          <w:rFonts w:hint="eastAsia" w:ascii="宋体" w:hAnsi="宋体" w:eastAsia="宋体" w:cs="宋体"/>
          <w:sz w:val="24"/>
          <w:szCs w:val="24"/>
        </w:rPr>
      </w:pPr>
    </w:p>
    <w:p w14:paraId="479BB48D">
      <w:pPr>
        <w:widowControl w:val="0"/>
        <w:numPr>
          <w:ilvl w:val="0"/>
          <w:numId w:val="0"/>
        </w:numPr>
        <w:jc w:val="both"/>
        <w:rPr>
          <w:rFonts w:hint="eastAsia" w:ascii="宋体" w:hAnsi="宋体" w:eastAsia="宋体" w:cs="宋体"/>
          <w:sz w:val="24"/>
          <w:szCs w:val="24"/>
        </w:rPr>
      </w:pPr>
    </w:p>
    <w:p w14:paraId="2154DDB5">
      <w:pPr>
        <w:widowControl w:val="0"/>
        <w:numPr>
          <w:ilvl w:val="0"/>
          <w:numId w:val="0"/>
        </w:numPr>
        <w:jc w:val="both"/>
        <w:rPr>
          <w:rFonts w:hint="eastAsia" w:ascii="宋体" w:hAnsi="宋体" w:eastAsia="宋体" w:cs="宋体"/>
          <w:sz w:val="24"/>
          <w:szCs w:val="24"/>
        </w:rPr>
      </w:pPr>
    </w:p>
    <w:p w14:paraId="45F28628">
      <w:pPr>
        <w:widowControl w:val="0"/>
        <w:numPr>
          <w:ilvl w:val="0"/>
          <w:numId w:val="0"/>
        </w:numPr>
        <w:jc w:val="both"/>
        <w:rPr>
          <w:rFonts w:hint="eastAsia" w:ascii="宋体" w:hAnsi="宋体" w:eastAsia="宋体" w:cs="宋体"/>
          <w:sz w:val="24"/>
          <w:szCs w:val="24"/>
        </w:rPr>
      </w:pPr>
    </w:p>
    <w:p w14:paraId="60EAD87D">
      <w:pPr>
        <w:widowControl w:val="0"/>
        <w:numPr>
          <w:ilvl w:val="0"/>
          <w:numId w:val="0"/>
        </w:numPr>
        <w:jc w:val="both"/>
        <w:rPr>
          <w:rFonts w:hint="eastAsia" w:ascii="宋体" w:hAnsi="宋体" w:eastAsia="宋体" w:cs="宋体"/>
          <w:sz w:val="24"/>
          <w:szCs w:val="24"/>
        </w:rPr>
      </w:pPr>
    </w:p>
    <w:p w14:paraId="652EF6EE">
      <w:pPr>
        <w:widowControl w:val="0"/>
        <w:numPr>
          <w:ilvl w:val="0"/>
          <w:numId w:val="0"/>
        </w:numPr>
        <w:jc w:val="both"/>
        <w:rPr>
          <w:rFonts w:hint="eastAsia" w:ascii="宋体" w:hAnsi="宋体" w:eastAsia="宋体" w:cs="宋体"/>
          <w:sz w:val="24"/>
          <w:szCs w:val="24"/>
        </w:rPr>
      </w:pPr>
    </w:p>
    <w:p w14:paraId="170176B7">
      <w:pPr>
        <w:widowControl w:val="0"/>
        <w:numPr>
          <w:ilvl w:val="0"/>
          <w:numId w:val="0"/>
        </w:numPr>
        <w:jc w:val="both"/>
        <w:rPr>
          <w:rFonts w:hint="eastAsia" w:ascii="宋体" w:hAnsi="宋体" w:eastAsia="宋体" w:cs="宋体"/>
          <w:sz w:val="24"/>
          <w:szCs w:val="24"/>
        </w:rPr>
      </w:pPr>
    </w:p>
    <w:p w14:paraId="1BEBBA09">
      <w:pPr>
        <w:widowControl w:val="0"/>
        <w:numPr>
          <w:ilvl w:val="0"/>
          <w:numId w:val="0"/>
        </w:numPr>
        <w:jc w:val="both"/>
        <w:rPr>
          <w:rFonts w:hint="eastAsia" w:ascii="宋体" w:hAnsi="宋体" w:eastAsia="宋体" w:cs="宋体"/>
          <w:sz w:val="24"/>
          <w:szCs w:val="24"/>
        </w:rPr>
      </w:pPr>
    </w:p>
    <w:p w14:paraId="41509055">
      <w:pPr>
        <w:widowControl w:val="0"/>
        <w:numPr>
          <w:ilvl w:val="0"/>
          <w:numId w:val="0"/>
        </w:numPr>
        <w:jc w:val="both"/>
        <w:rPr>
          <w:rFonts w:hint="eastAsia" w:ascii="宋体" w:hAnsi="宋体" w:eastAsia="宋体" w:cs="宋体"/>
          <w:sz w:val="24"/>
          <w:szCs w:val="24"/>
        </w:rPr>
      </w:pPr>
    </w:p>
    <w:p w14:paraId="4C4322F4">
      <w:pPr>
        <w:widowControl w:val="0"/>
        <w:numPr>
          <w:ilvl w:val="0"/>
          <w:numId w:val="0"/>
        </w:numPr>
        <w:jc w:val="both"/>
        <w:rPr>
          <w:rFonts w:hint="eastAsia" w:ascii="宋体" w:hAnsi="宋体" w:eastAsia="宋体" w:cs="宋体"/>
          <w:sz w:val="24"/>
          <w:szCs w:val="24"/>
        </w:rPr>
      </w:pPr>
    </w:p>
    <w:p w14:paraId="55BF5D90">
      <w:pPr>
        <w:widowControl w:val="0"/>
        <w:numPr>
          <w:ilvl w:val="0"/>
          <w:numId w:val="0"/>
        </w:numPr>
        <w:jc w:val="both"/>
        <w:rPr>
          <w:rFonts w:hint="eastAsia" w:ascii="宋体" w:hAnsi="宋体" w:eastAsia="宋体" w:cs="宋体"/>
          <w:sz w:val="24"/>
          <w:szCs w:val="24"/>
        </w:rPr>
      </w:pPr>
    </w:p>
    <w:p w14:paraId="0C5A4992">
      <w:pPr>
        <w:widowControl w:val="0"/>
        <w:numPr>
          <w:ilvl w:val="0"/>
          <w:numId w:val="0"/>
        </w:numPr>
        <w:jc w:val="both"/>
        <w:rPr>
          <w:rFonts w:hint="eastAsia" w:ascii="宋体" w:hAnsi="宋体" w:eastAsia="宋体" w:cs="宋体"/>
          <w:sz w:val="24"/>
          <w:szCs w:val="24"/>
        </w:rPr>
      </w:pPr>
    </w:p>
    <w:p w14:paraId="59D3A6B2">
      <w:pPr>
        <w:widowControl w:val="0"/>
        <w:numPr>
          <w:ilvl w:val="0"/>
          <w:numId w:val="0"/>
        </w:numPr>
        <w:jc w:val="both"/>
        <w:rPr>
          <w:rFonts w:hint="eastAsia" w:ascii="宋体" w:hAnsi="宋体" w:eastAsia="宋体" w:cs="宋体"/>
          <w:sz w:val="24"/>
          <w:szCs w:val="24"/>
        </w:rPr>
      </w:pPr>
    </w:p>
    <w:p w14:paraId="5115E97D">
      <w:pPr>
        <w:widowControl w:val="0"/>
        <w:numPr>
          <w:ilvl w:val="0"/>
          <w:numId w:val="0"/>
        </w:numPr>
        <w:jc w:val="both"/>
        <w:rPr>
          <w:rFonts w:hint="eastAsia" w:ascii="宋体" w:hAnsi="宋体" w:eastAsia="宋体" w:cs="宋体"/>
          <w:sz w:val="24"/>
          <w:szCs w:val="24"/>
        </w:rPr>
      </w:pPr>
    </w:p>
    <w:p w14:paraId="2F6F6357">
      <w:pPr>
        <w:keepNext/>
        <w:spacing w:line="360" w:lineRule="auto"/>
        <w:jc w:val="center"/>
        <w:rPr>
          <w:rFonts w:hint="eastAsia" w:ascii="宋体" w:hAnsi="宋体" w:eastAsia="宋体" w:cs="宋体"/>
          <w:b/>
          <w:bCs/>
          <w:sz w:val="32"/>
          <w:szCs w:val="32"/>
        </w:rPr>
      </w:pPr>
      <w:bookmarkStart w:id="136" w:name="_Toc11718"/>
      <w:r>
        <w:rPr>
          <w:rFonts w:hint="eastAsia" w:ascii="宋体" w:hAnsi="宋体" w:eastAsia="宋体" w:cs="宋体"/>
          <w:b/>
          <w:bCs/>
          <w:sz w:val="32"/>
          <w:szCs w:val="32"/>
        </w:rPr>
        <w:t>六、技术部分</w:t>
      </w:r>
      <w:bookmarkEnd w:id="136"/>
    </w:p>
    <w:p w14:paraId="00A344D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（格式自拟）</w:t>
      </w:r>
    </w:p>
    <w:p w14:paraId="1971CC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供应商按照磋商文件“第</w:t>
      </w:r>
      <w:r>
        <w:rPr>
          <w:rFonts w:hint="eastAsia" w:ascii="宋体" w:hAnsi="宋体" w:eastAsia="宋体" w:cs="宋体"/>
          <w:bCs/>
          <w:color w:val="000000"/>
          <w:sz w:val="24"/>
          <w:szCs w:val="24"/>
          <w:lang w:val="en-US" w:eastAsia="zh-CN"/>
        </w:rPr>
        <w:t>四</w:t>
      </w:r>
      <w:r>
        <w:rPr>
          <w:rFonts w:hint="eastAsia" w:ascii="宋体" w:hAnsi="宋体" w:eastAsia="宋体" w:cs="宋体"/>
          <w:bCs/>
          <w:color w:val="000000"/>
          <w:sz w:val="24"/>
          <w:szCs w:val="24"/>
        </w:rPr>
        <w:t>章 采购内容及技术要求”及磋商文件“第</w:t>
      </w:r>
      <w:r>
        <w:rPr>
          <w:rFonts w:hint="eastAsia" w:ascii="宋体" w:hAnsi="宋体" w:eastAsia="宋体" w:cs="宋体"/>
          <w:bCs/>
          <w:color w:val="000000"/>
          <w:sz w:val="24"/>
          <w:szCs w:val="24"/>
          <w:lang w:val="en-US" w:eastAsia="zh-CN"/>
        </w:rPr>
        <w:t>五</w:t>
      </w:r>
      <w:r>
        <w:rPr>
          <w:rFonts w:hint="eastAsia" w:ascii="宋体" w:hAnsi="宋体" w:eastAsia="宋体" w:cs="宋体"/>
          <w:bCs/>
          <w:color w:val="000000"/>
          <w:sz w:val="24"/>
          <w:szCs w:val="24"/>
        </w:rPr>
        <w:t>章 评审方</w:t>
      </w:r>
      <w:r>
        <w:rPr>
          <w:rFonts w:hint="eastAsia" w:ascii="宋体" w:hAnsi="宋体" w:eastAsia="宋体" w:cs="宋体"/>
          <w:bCs/>
          <w:color w:val="000000"/>
          <w:sz w:val="24"/>
          <w:szCs w:val="24"/>
          <w:lang w:val="en-US" w:eastAsia="zh-CN"/>
        </w:rPr>
        <w:t>法”中的评审细则表编制对应的技术要求。</w:t>
      </w:r>
    </w:p>
    <w:p w14:paraId="22FF66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2.完成下列附件1、附件2、附件3。</w:t>
      </w:r>
    </w:p>
    <w:p w14:paraId="4B45D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Cs/>
          <w:color w:val="000000"/>
          <w:sz w:val="24"/>
          <w:szCs w:val="24"/>
          <w:lang w:val="en-US" w:eastAsia="zh-CN"/>
        </w:rPr>
        <w:t>3.供应商需要说明的其他问题。</w:t>
      </w:r>
    </w:p>
    <w:p w14:paraId="1DD2F6F7">
      <w:pPr>
        <w:widowControl w:val="0"/>
        <w:numPr>
          <w:ilvl w:val="0"/>
          <w:numId w:val="0"/>
        </w:numPr>
        <w:jc w:val="both"/>
        <w:rPr>
          <w:rFonts w:hint="eastAsia" w:ascii="宋体" w:hAnsi="宋体" w:eastAsia="宋体" w:cs="宋体"/>
          <w:sz w:val="24"/>
          <w:szCs w:val="24"/>
        </w:rPr>
      </w:pPr>
    </w:p>
    <w:p w14:paraId="3B516CA6">
      <w:pPr>
        <w:widowControl w:val="0"/>
        <w:numPr>
          <w:ilvl w:val="0"/>
          <w:numId w:val="0"/>
        </w:numPr>
        <w:jc w:val="both"/>
        <w:rPr>
          <w:rFonts w:hint="eastAsia" w:ascii="宋体" w:hAnsi="宋体" w:eastAsia="宋体" w:cs="宋体"/>
          <w:sz w:val="24"/>
          <w:szCs w:val="24"/>
        </w:rPr>
      </w:pPr>
    </w:p>
    <w:p w14:paraId="089D79E5">
      <w:pPr>
        <w:widowControl w:val="0"/>
        <w:numPr>
          <w:ilvl w:val="0"/>
          <w:numId w:val="0"/>
        </w:numPr>
        <w:jc w:val="both"/>
        <w:rPr>
          <w:rFonts w:hint="eastAsia" w:ascii="宋体" w:hAnsi="宋体" w:eastAsia="宋体" w:cs="宋体"/>
          <w:sz w:val="24"/>
          <w:szCs w:val="24"/>
        </w:rPr>
      </w:pPr>
    </w:p>
    <w:p w14:paraId="5F08DCE8">
      <w:pPr>
        <w:pStyle w:val="10"/>
        <w:rPr>
          <w:rFonts w:hint="eastAsia" w:ascii="宋体" w:hAnsi="宋体" w:eastAsia="宋体" w:cs="宋体"/>
          <w:sz w:val="24"/>
          <w:szCs w:val="24"/>
        </w:rPr>
      </w:pPr>
    </w:p>
    <w:p w14:paraId="78FE7B90">
      <w:pPr>
        <w:rPr>
          <w:rFonts w:hint="eastAsia" w:ascii="宋体" w:hAnsi="宋体" w:eastAsia="宋体" w:cs="宋体"/>
          <w:sz w:val="24"/>
          <w:szCs w:val="24"/>
        </w:rPr>
      </w:pPr>
    </w:p>
    <w:p w14:paraId="625ACA7C">
      <w:pPr>
        <w:pStyle w:val="10"/>
        <w:rPr>
          <w:rFonts w:hint="eastAsia" w:ascii="宋体" w:hAnsi="宋体" w:eastAsia="宋体" w:cs="宋体"/>
          <w:sz w:val="24"/>
          <w:szCs w:val="24"/>
        </w:rPr>
      </w:pPr>
    </w:p>
    <w:p w14:paraId="6D8C88C1">
      <w:pPr>
        <w:rPr>
          <w:rFonts w:hint="eastAsia" w:ascii="宋体" w:hAnsi="宋体" w:eastAsia="宋体" w:cs="宋体"/>
          <w:sz w:val="24"/>
          <w:szCs w:val="24"/>
        </w:rPr>
      </w:pPr>
    </w:p>
    <w:p w14:paraId="57E278A5">
      <w:pPr>
        <w:pStyle w:val="10"/>
        <w:rPr>
          <w:rFonts w:hint="eastAsia" w:ascii="宋体" w:hAnsi="宋体" w:eastAsia="宋体" w:cs="宋体"/>
          <w:sz w:val="24"/>
          <w:szCs w:val="24"/>
        </w:rPr>
      </w:pPr>
    </w:p>
    <w:p w14:paraId="2FC75B5A">
      <w:pPr>
        <w:rPr>
          <w:rFonts w:hint="eastAsia" w:ascii="宋体" w:hAnsi="宋体" w:eastAsia="宋体" w:cs="宋体"/>
          <w:sz w:val="24"/>
          <w:szCs w:val="24"/>
        </w:rPr>
      </w:pPr>
    </w:p>
    <w:p w14:paraId="1FF86113">
      <w:pPr>
        <w:pStyle w:val="10"/>
        <w:rPr>
          <w:rFonts w:hint="eastAsia" w:ascii="宋体" w:hAnsi="宋体" w:eastAsia="宋体" w:cs="宋体"/>
          <w:sz w:val="24"/>
          <w:szCs w:val="24"/>
        </w:rPr>
      </w:pPr>
    </w:p>
    <w:p w14:paraId="1B50940B">
      <w:pPr>
        <w:rPr>
          <w:rFonts w:hint="eastAsia" w:ascii="宋体" w:hAnsi="宋体" w:eastAsia="宋体" w:cs="宋体"/>
          <w:sz w:val="24"/>
          <w:szCs w:val="24"/>
        </w:rPr>
      </w:pPr>
    </w:p>
    <w:p w14:paraId="57DBF42C">
      <w:pPr>
        <w:pStyle w:val="10"/>
        <w:rPr>
          <w:rFonts w:hint="eastAsia" w:ascii="宋体" w:hAnsi="宋体" w:eastAsia="宋体" w:cs="宋体"/>
          <w:sz w:val="24"/>
          <w:szCs w:val="24"/>
        </w:rPr>
      </w:pPr>
    </w:p>
    <w:p w14:paraId="2B97590B">
      <w:pPr>
        <w:rPr>
          <w:rFonts w:hint="eastAsia" w:ascii="宋体" w:hAnsi="宋体" w:eastAsia="宋体" w:cs="宋体"/>
          <w:sz w:val="24"/>
          <w:szCs w:val="24"/>
        </w:rPr>
      </w:pPr>
    </w:p>
    <w:p w14:paraId="0685503C">
      <w:pPr>
        <w:pStyle w:val="10"/>
        <w:rPr>
          <w:rFonts w:hint="eastAsia" w:ascii="宋体" w:hAnsi="宋体" w:eastAsia="宋体" w:cs="宋体"/>
          <w:sz w:val="24"/>
          <w:szCs w:val="24"/>
        </w:rPr>
      </w:pPr>
    </w:p>
    <w:p w14:paraId="6F5019E5">
      <w:pPr>
        <w:rPr>
          <w:rFonts w:hint="eastAsia" w:ascii="宋体" w:hAnsi="宋体" w:eastAsia="宋体" w:cs="宋体"/>
          <w:sz w:val="24"/>
          <w:szCs w:val="24"/>
        </w:rPr>
      </w:pPr>
    </w:p>
    <w:p w14:paraId="38896862">
      <w:pPr>
        <w:pStyle w:val="10"/>
        <w:rPr>
          <w:rFonts w:hint="eastAsia" w:ascii="宋体" w:hAnsi="宋体" w:eastAsia="宋体" w:cs="宋体"/>
          <w:sz w:val="24"/>
          <w:szCs w:val="24"/>
        </w:rPr>
      </w:pPr>
    </w:p>
    <w:p w14:paraId="2202AF83">
      <w:pPr>
        <w:rPr>
          <w:rFonts w:hint="eastAsia" w:ascii="宋体" w:hAnsi="宋体" w:eastAsia="宋体" w:cs="宋体"/>
          <w:sz w:val="24"/>
          <w:szCs w:val="24"/>
        </w:rPr>
      </w:pPr>
    </w:p>
    <w:p w14:paraId="36B5B7AC">
      <w:pPr>
        <w:pStyle w:val="10"/>
        <w:rPr>
          <w:rFonts w:hint="eastAsia" w:ascii="宋体" w:hAnsi="宋体" w:eastAsia="宋体" w:cs="宋体"/>
          <w:sz w:val="24"/>
          <w:szCs w:val="24"/>
        </w:rPr>
      </w:pPr>
    </w:p>
    <w:p w14:paraId="0256B088">
      <w:pPr>
        <w:rPr>
          <w:rFonts w:hint="eastAsia" w:ascii="宋体" w:hAnsi="宋体" w:eastAsia="宋体" w:cs="宋体"/>
          <w:sz w:val="24"/>
          <w:szCs w:val="24"/>
        </w:rPr>
      </w:pPr>
    </w:p>
    <w:p w14:paraId="5F34FA8F">
      <w:pPr>
        <w:pStyle w:val="10"/>
        <w:rPr>
          <w:rFonts w:hint="eastAsia" w:ascii="宋体" w:hAnsi="宋体" w:eastAsia="宋体" w:cs="宋体"/>
          <w:sz w:val="24"/>
          <w:szCs w:val="24"/>
        </w:rPr>
      </w:pPr>
    </w:p>
    <w:p w14:paraId="60B87E01">
      <w:pPr>
        <w:rPr>
          <w:rFonts w:hint="eastAsia" w:ascii="宋体" w:hAnsi="宋体" w:eastAsia="宋体" w:cs="宋体"/>
          <w:sz w:val="24"/>
          <w:szCs w:val="24"/>
        </w:rPr>
      </w:pPr>
    </w:p>
    <w:p w14:paraId="743BA860">
      <w:pPr>
        <w:pStyle w:val="10"/>
        <w:rPr>
          <w:rFonts w:hint="eastAsia" w:ascii="宋体" w:hAnsi="宋体" w:eastAsia="宋体" w:cs="宋体"/>
          <w:sz w:val="24"/>
          <w:szCs w:val="24"/>
        </w:rPr>
      </w:pPr>
    </w:p>
    <w:p w14:paraId="1FC639A0">
      <w:pPr>
        <w:rPr>
          <w:rFonts w:hint="eastAsia" w:ascii="宋体" w:hAnsi="宋体" w:eastAsia="宋体" w:cs="宋体"/>
          <w:sz w:val="24"/>
          <w:szCs w:val="24"/>
        </w:rPr>
      </w:pPr>
    </w:p>
    <w:p w14:paraId="32AABA70">
      <w:pPr>
        <w:pStyle w:val="10"/>
        <w:rPr>
          <w:rFonts w:hint="eastAsia" w:ascii="宋体" w:hAnsi="宋体" w:eastAsia="宋体" w:cs="宋体"/>
          <w:sz w:val="24"/>
          <w:szCs w:val="24"/>
        </w:rPr>
      </w:pPr>
    </w:p>
    <w:p w14:paraId="5D8751AC">
      <w:pPr>
        <w:rPr>
          <w:rFonts w:hint="eastAsia" w:ascii="宋体" w:hAnsi="宋体" w:eastAsia="宋体" w:cs="宋体"/>
          <w:sz w:val="24"/>
          <w:szCs w:val="24"/>
        </w:rPr>
      </w:pPr>
    </w:p>
    <w:p w14:paraId="0B94AD42">
      <w:pPr>
        <w:pStyle w:val="10"/>
        <w:rPr>
          <w:rFonts w:hint="eastAsia" w:ascii="宋体" w:hAnsi="宋体" w:eastAsia="宋体" w:cs="宋体"/>
          <w:sz w:val="24"/>
          <w:szCs w:val="24"/>
        </w:rPr>
      </w:pPr>
    </w:p>
    <w:p w14:paraId="51D082BF">
      <w:pPr>
        <w:rPr>
          <w:rFonts w:hint="eastAsia" w:ascii="宋体" w:hAnsi="宋体" w:eastAsia="宋体" w:cs="宋体"/>
          <w:sz w:val="24"/>
          <w:szCs w:val="24"/>
        </w:rPr>
      </w:pPr>
    </w:p>
    <w:p w14:paraId="13278431">
      <w:pPr>
        <w:pStyle w:val="10"/>
        <w:rPr>
          <w:rFonts w:hint="eastAsia" w:ascii="宋体" w:hAnsi="宋体" w:eastAsia="宋体" w:cs="宋体"/>
          <w:sz w:val="24"/>
          <w:szCs w:val="24"/>
        </w:rPr>
      </w:pPr>
    </w:p>
    <w:p w14:paraId="0D7998B2">
      <w:pPr>
        <w:rPr>
          <w:rFonts w:hint="eastAsia" w:ascii="宋体" w:hAnsi="宋体" w:eastAsia="宋体" w:cs="宋体"/>
          <w:sz w:val="24"/>
          <w:szCs w:val="24"/>
        </w:rPr>
      </w:pPr>
    </w:p>
    <w:p w14:paraId="26245F74">
      <w:pPr>
        <w:pStyle w:val="10"/>
        <w:rPr>
          <w:rFonts w:hint="eastAsia" w:ascii="宋体" w:hAnsi="宋体" w:eastAsia="宋体" w:cs="宋体"/>
          <w:sz w:val="24"/>
          <w:szCs w:val="24"/>
        </w:rPr>
      </w:pPr>
    </w:p>
    <w:p w14:paraId="5B1B0471">
      <w:pPr>
        <w:spacing w:line="360" w:lineRule="auto"/>
        <w:jc w:val="left"/>
        <w:rPr>
          <w:rFonts w:hint="eastAsia" w:ascii="宋体" w:hAnsi="宋体" w:eastAsia="宋体" w:cs="宋体"/>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附件1：</w:t>
      </w:r>
    </w:p>
    <w:p w14:paraId="0BB944CA">
      <w:pPr>
        <w:pStyle w:val="12"/>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技术</w:t>
      </w:r>
      <w:r>
        <w:rPr>
          <w:rFonts w:hint="eastAsia" w:ascii="宋体" w:hAnsi="宋体" w:eastAsia="宋体" w:cs="宋体"/>
          <w:b/>
          <w:color w:val="auto"/>
          <w:sz w:val="28"/>
          <w:szCs w:val="28"/>
          <w:highlight w:val="none"/>
          <w:lang w:eastAsia="zh-CN"/>
        </w:rPr>
        <w:t>响应偏离表</w:t>
      </w:r>
    </w:p>
    <w:p w14:paraId="75283FD6">
      <w:pPr>
        <w:pStyle w:val="12"/>
        <w:keepNext w:val="0"/>
        <w:keepLines w:val="0"/>
        <w:pageBreakBefore w:val="0"/>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tbl>
      <w:tblPr>
        <w:tblStyle w:val="18"/>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01"/>
        <w:gridCol w:w="1659"/>
        <w:gridCol w:w="1504"/>
        <w:gridCol w:w="1659"/>
        <w:gridCol w:w="1515"/>
      </w:tblGrid>
      <w:tr w14:paraId="0EA6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4C9AD162">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01" w:type="dxa"/>
            <w:noWrap w:val="0"/>
            <w:vAlign w:val="center"/>
          </w:tcPr>
          <w:p w14:paraId="5D4FD96A">
            <w:pPr>
              <w:pStyle w:val="12"/>
              <w:keepNext w:val="0"/>
              <w:keepLines w:val="0"/>
              <w:pageBreakBefore w:val="0"/>
              <w:kinsoku/>
              <w:wordWrap/>
              <w:overflowPunct/>
              <w:topLinePunct w:val="0"/>
              <w:autoSpaceDE/>
              <w:autoSpaceDN/>
              <w:bidi w:val="0"/>
              <w:spacing w:line="360" w:lineRule="auto"/>
              <w:ind w:right="0" w:rightChars="0"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1659" w:type="dxa"/>
            <w:noWrap w:val="0"/>
            <w:vAlign w:val="center"/>
          </w:tcPr>
          <w:p w14:paraId="0F2A3704">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磋商要求</w:t>
            </w:r>
          </w:p>
        </w:tc>
        <w:tc>
          <w:tcPr>
            <w:tcW w:w="1504" w:type="dxa"/>
            <w:noWrap w:val="0"/>
            <w:vAlign w:val="center"/>
          </w:tcPr>
          <w:p w14:paraId="427A3E5C">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659" w:type="dxa"/>
            <w:noWrap w:val="0"/>
            <w:vAlign w:val="center"/>
          </w:tcPr>
          <w:p w14:paraId="446EEDF9">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515" w:type="dxa"/>
            <w:noWrap w:val="0"/>
            <w:vAlign w:val="center"/>
          </w:tcPr>
          <w:p w14:paraId="7022652F">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3DF5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4FA04AD2">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01" w:type="dxa"/>
            <w:noWrap w:val="0"/>
            <w:vAlign w:val="center"/>
          </w:tcPr>
          <w:p w14:paraId="306DB2B0">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0ACEF294">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04" w:type="dxa"/>
            <w:noWrap w:val="0"/>
            <w:vAlign w:val="center"/>
          </w:tcPr>
          <w:p w14:paraId="1C933212">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606ECA9D">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15" w:type="dxa"/>
            <w:noWrap w:val="0"/>
            <w:vAlign w:val="center"/>
          </w:tcPr>
          <w:p w14:paraId="592D353A">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r>
      <w:tr w14:paraId="4508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132DE05A">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01" w:type="dxa"/>
            <w:noWrap w:val="0"/>
            <w:vAlign w:val="center"/>
          </w:tcPr>
          <w:p w14:paraId="26081E87">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7468745A">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04" w:type="dxa"/>
            <w:noWrap w:val="0"/>
            <w:vAlign w:val="center"/>
          </w:tcPr>
          <w:p w14:paraId="46ECA07D">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0E359054">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15" w:type="dxa"/>
            <w:noWrap w:val="0"/>
            <w:vAlign w:val="center"/>
          </w:tcPr>
          <w:p w14:paraId="0D15380E">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r>
      <w:tr w14:paraId="56C0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5AE25EBC">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01" w:type="dxa"/>
            <w:noWrap w:val="0"/>
            <w:vAlign w:val="center"/>
          </w:tcPr>
          <w:p w14:paraId="22A2665B">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4FEC8E89">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04" w:type="dxa"/>
            <w:noWrap w:val="0"/>
            <w:vAlign w:val="center"/>
          </w:tcPr>
          <w:p w14:paraId="4ABDD420">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69433392">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15" w:type="dxa"/>
            <w:noWrap w:val="0"/>
            <w:vAlign w:val="center"/>
          </w:tcPr>
          <w:p w14:paraId="00CAD0EF">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r>
      <w:tr w14:paraId="1360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18FAA4E2">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01" w:type="dxa"/>
            <w:noWrap w:val="0"/>
            <w:vAlign w:val="center"/>
          </w:tcPr>
          <w:p w14:paraId="0007E433">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4645252F">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04" w:type="dxa"/>
            <w:noWrap w:val="0"/>
            <w:vAlign w:val="center"/>
          </w:tcPr>
          <w:p w14:paraId="75B5FF37">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6EBEF6FC">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15" w:type="dxa"/>
            <w:noWrap w:val="0"/>
            <w:vAlign w:val="center"/>
          </w:tcPr>
          <w:p w14:paraId="31B62122">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r>
      <w:tr w14:paraId="0518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47820E53">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1" w:type="dxa"/>
            <w:noWrap w:val="0"/>
            <w:vAlign w:val="center"/>
          </w:tcPr>
          <w:p w14:paraId="4D4AA63A">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7DBC8242">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04" w:type="dxa"/>
            <w:noWrap w:val="0"/>
            <w:vAlign w:val="center"/>
          </w:tcPr>
          <w:p w14:paraId="6F7D6131">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2FD7B057">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15" w:type="dxa"/>
            <w:noWrap w:val="0"/>
            <w:vAlign w:val="center"/>
          </w:tcPr>
          <w:p w14:paraId="0EA4CEEB">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r>
      <w:tr w14:paraId="5270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41F05E89">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w:t>
            </w:r>
          </w:p>
        </w:tc>
        <w:tc>
          <w:tcPr>
            <w:tcW w:w="1701" w:type="dxa"/>
            <w:noWrap w:val="0"/>
            <w:vAlign w:val="center"/>
          </w:tcPr>
          <w:p w14:paraId="330C5748">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08B2D47D">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04" w:type="dxa"/>
            <w:noWrap w:val="0"/>
            <w:vAlign w:val="center"/>
          </w:tcPr>
          <w:p w14:paraId="1D89A1C6">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659" w:type="dxa"/>
            <w:noWrap w:val="0"/>
            <w:vAlign w:val="center"/>
          </w:tcPr>
          <w:p w14:paraId="2E99A9BC">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c>
          <w:tcPr>
            <w:tcW w:w="1515" w:type="dxa"/>
            <w:noWrap w:val="0"/>
            <w:vAlign w:val="center"/>
          </w:tcPr>
          <w:p w14:paraId="157853B1">
            <w:pPr>
              <w:pStyle w:val="12"/>
              <w:keepNext w:val="0"/>
              <w:keepLines w:val="0"/>
              <w:pageBreakBefore w:val="0"/>
              <w:kinsoku/>
              <w:wordWrap/>
              <w:overflowPunct/>
              <w:topLinePunct w:val="0"/>
              <w:autoSpaceDE/>
              <w:autoSpaceDN/>
              <w:bidi w:val="0"/>
              <w:spacing w:line="360" w:lineRule="auto"/>
              <w:ind w:right="0" w:rightChars="0"/>
              <w:jc w:val="center"/>
              <w:textAlignment w:val="auto"/>
              <w:rPr>
                <w:rFonts w:hint="eastAsia" w:ascii="宋体" w:hAnsi="宋体" w:eastAsia="宋体" w:cs="宋体"/>
                <w:color w:val="auto"/>
                <w:sz w:val="21"/>
                <w:szCs w:val="21"/>
                <w:highlight w:val="none"/>
              </w:rPr>
            </w:pPr>
          </w:p>
        </w:tc>
      </w:tr>
    </w:tbl>
    <w:p w14:paraId="249FE172">
      <w:pPr>
        <w:keepNext w:val="0"/>
        <w:keepLines w:val="0"/>
        <w:pageBreakBefore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保证：除技术偏差表列出的偏差外，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响应</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文件的全部要求。如未填写此表，则视为无偏离。</w:t>
      </w:r>
    </w:p>
    <w:p w14:paraId="2DD5EE7E">
      <w:pPr>
        <w:keepNext w:val="0"/>
        <w:keepLines w:val="0"/>
        <w:pageBreakBefore w:val="0"/>
        <w:widowControl/>
        <w:kinsoku/>
        <w:wordWrap/>
        <w:overflowPunct/>
        <w:topLinePunct w:val="0"/>
        <w:autoSpaceDE/>
        <w:autoSpaceDN/>
        <w:bidi w:val="0"/>
        <w:spacing w:line="360" w:lineRule="auto"/>
        <w:ind w:right="0" w:rightChars="0"/>
        <w:jc w:val="left"/>
        <w:textAlignment w:val="auto"/>
        <w:rPr>
          <w:rFonts w:hint="eastAsia" w:ascii="宋体" w:hAnsi="宋体" w:eastAsia="宋体" w:cs="宋体"/>
          <w:b/>
          <w:color w:val="auto"/>
          <w:szCs w:val="24"/>
          <w:highlight w:val="none"/>
        </w:rPr>
      </w:pPr>
    </w:p>
    <w:p w14:paraId="4AB067C6">
      <w:pPr>
        <w:keepNext w:val="0"/>
        <w:keepLines w:val="0"/>
        <w:pageBreakBefore w:val="0"/>
        <w:kinsoku/>
        <w:wordWrap/>
        <w:overflowPunct/>
        <w:topLinePunct w:val="0"/>
        <w:autoSpaceDE/>
        <w:autoSpaceDN/>
        <w:bidi w:val="0"/>
        <w:spacing w:line="360" w:lineRule="auto"/>
        <w:ind w:right="0" w:rightChars="0"/>
        <w:textAlignment w:val="auto"/>
        <w:rPr>
          <w:rFonts w:hint="eastAsia" w:ascii="宋体" w:hAnsi="宋体" w:eastAsia="宋体" w:cs="宋体"/>
          <w:color w:val="auto"/>
          <w:kern w:val="2"/>
          <w:sz w:val="21"/>
          <w:szCs w:val="21"/>
          <w:highlight w:val="none"/>
        </w:rPr>
      </w:pPr>
    </w:p>
    <w:p w14:paraId="3603C65E">
      <w:pPr>
        <w:keepNext w:val="0"/>
        <w:keepLines w:val="0"/>
        <w:pageBreakBefore w:val="0"/>
        <w:widowControl w:val="0"/>
        <w:kinsoku/>
        <w:wordWrap/>
        <w:overflowPunct/>
        <w:topLinePunct w:val="0"/>
        <w:autoSpaceDE/>
        <w:autoSpaceDN/>
        <w:bidi w:val="0"/>
        <w:adjustRightInd/>
        <w:snapToGrid/>
        <w:spacing w:line="280" w:lineRule="exact"/>
        <w:ind w:right="0" w:rightChars="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全称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（加盖单位公章）</w:t>
      </w:r>
    </w:p>
    <w:p w14:paraId="4145A8B4">
      <w:pPr>
        <w:keepNext w:val="0"/>
        <w:keepLines w:val="0"/>
        <w:pageBreakBefore w:val="0"/>
        <w:widowControl w:val="0"/>
        <w:kinsoku/>
        <w:wordWrap/>
        <w:overflowPunct/>
        <w:topLinePunct w:val="0"/>
        <w:autoSpaceDE/>
        <w:autoSpaceDN/>
        <w:bidi w:val="0"/>
        <w:adjustRightInd/>
        <w:snapToGrid/>
        <w:spacing w:line="280" w:lineRule="exact"/>
        <w:ind w:right="0" w:rightChars="0" w:firstLine="480" w:firstLineChars="200"/>
        <w:jc w:val="left"/>
        <w:textAlignment w:val="auto"/>
        <w:rPr>
          <w:rFonts w:hint="eastAsia" w:ascii="宋体" w:hAnsi="宋体" w:eastAsia="宋体" w:cs="宋体"/>
          <w:sz w:val="24"/>
          <w:szCs w:val="24"/>
        </w:rPr>
      </w:pPr>
    </w:p>
    <w:p w14:paraId="6AE22381">
      <w:pPr>
        <w:keepNext w:val="0"/>
        <w:keepLines w:val="0"/>
        <w:pageBreakBefore w:val="0"/>
        <w:widowControl w:val="0"/>
        <w:kinsoku/>
        <w:wordWrap/>
        <w:overflowPunct/>
        <w:topLinePunct w:val="0"/>
        <w:autoSpaceDE/>
        <w:autoSpaceDN/>
        <w:bidi w:val="0"/>
        <w:adjustRightInd/>
        <w:snapToGrid/>
        <w:spacing w:line="280" w:lineRule="exact"/>
        <w:ind w:right="0" w:rightChars="0"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签</w:t>
      </w:r>
      <w:r>
        <w:rPr>
          <w:rFonts w:hint="eastAsia" w:ascii="宋体" w:hAnsi="宋体" w:eastAsia="宋体" w:cs="宋体"/>
          <w:sz w:val="24"/>
          <w:szCs w:val="24"/>
          <w:u w:val="none"/>
          <w:lang w:eastAsia="zh-CN"/>
        </w:rPr>
        <w:t>字或盖</w:t>
      </w:r>
      <w:r>
        <w:rPr>
          <w:rFonts w:hint="eastAsia" w:ascii="宋体" w:hAnsi="宋体" w:eastAsia="宋体" w:cs="宋体"/>
          <w:sz w:val="24"/>
          <w:szCs w:val="24"/>
          <w:u w:val="none"/>
        </w:rPr>
        <w:t>章</w:t>
      </w:r>
      <w:r>
        <w:rPr>
          <w:rFonts w:hint="eastAsia" w:ascii="宋体" w:hAnsi="宋体" w:eastAsia="宋体" w:cs="宋体"/>
          <w:sz w:val="24"/>
          <w:szCs w:val="24"/>
          <w:u w:val="none"/>
          <w:lang w:val="en-US" w:eastAsia="zh-CN"/>
        </w:rPr>
        <w:t>）</w:t>
      </w:r>
    </w:p>
    <w:p w14:paraId="13E310F5">
      <w:pPr>
        <w:keepNext w:val="0"/>
        <w:keepLines w:val="0"/>
        <w:pageBreakBefore w:val="0"/>
        <w:widowControl w:val="0"/>
        <w:kinsoku/>
        <w:wordWrap/>
        <w:overflowPunct/>
        <w:topLinePunct w:val="0"/>
        <w:autoSpaceDE/>
        <w:autoSpaceDN/>
        <w:bidi w:val="0"/>
        <w:adjustRightInd/>
        <w:snapToGrid/>
        <w:spacing w:line="280" w:lineRule="exact"/>
        <w:ind w:right="0" w:rightChars="0" w:firstLine="480" w:firstLineChars="200"/>
        <w:jc w:val="left"/>
        <w:textAlignment w:val="auto"/>
        <w:rPr>
          <w:rFonts w:hint="eastAsia" w:ascii="宋体" w:hAnsi="宋体" w:eastAsia="宋体" w:cs="宋体"/>
          <w:sz w:val="24"/>
          <w:szCs w:val="24"/>
        </w:rPr>
      </w:pPr>
    </w:p>
    <w:p w14:paraId="14B7C668">
      <w:pPr>
        <w:keepNext w:val="0"/>
        <w:keepLines w:val="0"/>
        <w:pageBreakBefore w:val="0"/>
        <w:widowControl w:val="0"/>
        <w:kinsoku/>
        <w:wordWrap/>
        <w:overflowPunct/>
        <w:topLinePunct w:val="0"/>
        <w:autoSpaceDE/>
        <w:autoSpaceDN/>
        <w:bidi w:val="0"/>
        <w:adjustRightInd/>
        <w:snapToGrid/>
        <w:spacing w:line="280" w:lineRule="exact"/>
        <w:ind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5E0C6C93">
      <w:pPr>
        <w:spacing w:line="360" w:lineRule="auto"/>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附件</w:t>
      </w:r>
      <w:r>
        <w:rPr>
          <w:rFonts w:hint="eastAsia" w:hAnsi="宋体" w:cs="宋体"/>
          <w:b/>
          <w:bCs/>
          <w:color w:val="auto"/>
          <w:sz w:val="30"/>
          <w:szCs w:val="30"/>
          <w:highlight w:val="none"/>
          <w:lang w:val="en-US" w:eastAsia="zh-CN"/>
        </w:rPr>
        <w:t>2</w:t>
      </w:r>
      <w:r>
        <w:rPr>
          <w:rFonts w:hint="eastAsia" w:ascii="宋体" w:hAnsi="宋体" w:eastAsia="宋体" w:cs="宋体"/>
          <w:b/>
          <w:bCs/>
          <w:color w:val="auto"/>
          <w:sz w:val="30"/>
          <w:szCs w:val="30"/>
          <w:highlight w:val="none"/>
        </w:rPr>
        <w:t>：</w:t>
      </w:r>
    </w:p>
    <w:p w14:paraId="29A8921A">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本项目拟投入人员汇总表</w:t>
      </w:r>
    </w:p>
    <w:tbl>
      <w:tblPr>
        <w:tblStyle w:val="18"/>
        <w:tblW w:w="0" w:type="auto"/>
        <w:jc w:val="center"/>
        <w:tblLayout w:type="fixed"/>
        <w:tblCellMar>
          <w:top w:w="0" w:type="dxa"/>
          <w:left w:w="0" w:type="dxa"/>
          <w:bottom w:w="0" w:type="dxa"/>
          <w:right w:w="0" w:type="dxa"/>
        </w:tblCellMar>
      </w:tblPr>
      <w:tblGrid>
        <w:gridCol w:w="611"/>
        <w:gridCol w:w="1083"/>
        <w:gridCol w:w="736"/>
        <w:gridCol w:w="695"/>
        <w:gridCol w:w="614"/>
        <w:gridCol w:w="1037"/>
        <w:gridCol w:w="1273"/>
        <w:gridCol w:w="1016"/>
        <w:gridCol w:w="2072"/>
      </w:tblGrid>
      <w:tr w14:paraId="1C460769">
        <w:tblPrEx>
          <w:tblCellMar>
            <w:top w:w="0" w:type="dxa"/>
            <w:left w:w="0" w:type="dxa"/>
            <w:bottom w:w="0" w:type="dxa"/>
            <w:right w:w="0" w:type="dxa"/>
          </w:tblCellMar>
        </w:tblPrEx>
        <w:trPr>
          <w:trHeight w:val="1027" w:hRule="exact"/>
          <w:jc w:val="center"/>
        </w:trPr>
        <w:tc>
          <w:tcPr>
            <w:tcW w:w="6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06C82C">
            <w:pPr>
              <w:pStyle w:val="29"/>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8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1DD422">
            <w:pPr>
              <w:pStyle w:val="29"/>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928B9B">
            <w:pPr>
              <w:pStyle w:val="29"/>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6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BA002FF">
            <w:pPr>
              <w:pStyle w:val="29"/>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6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98D184">
            <w:pPr>
              <w:pStyle w:val="29"/>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0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6941D4">
            <w:pPr>
              <w:pStyle w:val="29"/>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t>技术</w:t>
            </w:r>
          </w:p>
          <w:p w14:paraId="5A3D12F8">
            <w:pPr>
              <w:pStyle w:val="29"/>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2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1CEFFE">
            <w:pPr>
              <w:pStyle w:val="29"/>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t>资格证</w:t>
            </w:r>
          </w:p>
          <w:p w14:paraId="216C28B8">
            <w:pPr>
              <w:pStyle w:val="29"/>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书种类</w:t>
            </w:r>
          </w:p>
        </w:tc>
        <w:tc>
          <w:tcPr>
            <w:tcW w:w="10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5097E9">
            <w:pPr>
              <w:pStyle w:val="29"/>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t>工作</w:t>
            </w:r>
          </w:p>
          <w:p w14:paraId="761A9526">
            <w:pPr>
              <w:pStyle w:val="29"/>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年限</w:t>
            </w:r>
          </w:p>
        </w:tc>
        <w:tc>
          <w:tcPr>
            <w:tcW w:w="20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F9FFEF">
            <w:pPr>
              <w:pStyle w:val="29"/>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拟担任的职务</w:t>
            </w:r>
          </w:p>
        </w:tc>
      </w:tr>
      <w:tr w14:paraId="486325EA">
        <w:tblPrEx>
          <w:tblCellMar>
            <w:top w:w="0" w:type="dxa"/>
            <w:left w:w="0" w:type="dxa"/>
            <w:bottom w:w="0" w:type="dxa"/>
            <w:right w:w="0" w:type="dxa"/>
          </w:tblCellMar>
        </w:tblPrEx>
        <w:trPr>
          <w:trHeight w:val="1027" w:hRule="exact"/>
          <w:jc w:val="center"/>
        </w:trPr>
        <w:tc>
          <w:tcPr>
            <w:tcW w:w="6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465C93F">
            <w:pPr>
              <w:pStyle w:val="29"/>
              <w:spacing w:line="360" w:lineRule="auto"/>
              <w:ind w:left="0" w:leftChars="0" w:firstLine="480" w:firstLineChars="200"/>
              <w:jc w:val="both"/>
              <w:rPr>
                <w:rFonts w:hint="eastAsia" w:ascii="宋体" w:hAnsi="宋体" w:eastAsia="宋体" w:cs="宋体"/>
                <w:color w:val="auto"/>
                <w:highlight w:val="none"/>
              </w:rPr>
            </w:pPr>
          </w:p>
        </w:tc>
        <w:tc>
          <w:tcPr>
            <w:tcW w:w="108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E7A527">
            <w:pPr>
              <w:pStyle w:val="29"/>
              <w:spacing w:line="360" w:lineRule="auto"/>
              <w:ind w:left="0" w:leftChars="0" w:firstLine="480" w:firstLineChars="200"/>
              <w:jc w:val="both"/>
              <w:rPr>
                <w:rFonts w:hint="eastAsia" w:ascii="宋体" w:hAnsi="宋体" w:eastAsia="宋体" w:cs="宋体"/>
                <w:color w:val="auto"/>
                <w:highlight w:val="none"/>
              </w:rPr>
            </w:pP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EA2BD54">
            <w:pPr>
              <w:pStyle w:val="29"/>
              <w:spacing w:line="360" w:lineRule="auto"/>
              <w:ind w:left="0" w:leftChars="0" w:firstLine="480" w:firstLineChars="200"/>
              <w:jc w:val="both"/>
              <w:rPr>
                <w:rFonts w:hint="eastAsia" w:ascii="宋体" w:hAnsi="宋体" w:eastAsia="宋体" w:cs="宋体"/>
                <w:color w:val="auto"/>
                <w:highlight w:val="none"/>
              </w:rPr>
            </w:pPr>
          </w:p>
        </w:tc>
        <w:tc>
          <w:tcPr>
            <w:tcW w:w="6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90650AF">
            <w:pPr>
              <w:pStyle w:val="29"/>
              <w:spacing w:line="360" w:lineRule="auto"/>
              <w:ind w:left="0" w:leftChars="0" w:firstLine="480" w:firstLineChars="200"/>
              <w:jc w:val="both"/>
              <w:rPr>
                <w:rFonts w:hint="eastAsia" w:ascii="宋体" w:hAnsi="宋体" w:eastAsia="宋体" w:cs="宋体"/>
                <w:color w:val="auto"/>
                <w:highlight w:val="none"/>
              </w:rPr>
            </w:pPr>
          </w:p>
        </w:tc>
        <w:tc>
          <w:tcPr>
            <w:tcW w:w="6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07BA94">
            <w:pPr>
              <w:pStyle w:val="29"/>
              <w:spacing w:line="360" w:lineRule="auto"/>
              <w:ind w:left="0" w:leftChars="0" w:firstLine="480" w:firstLineChars="200"/>
              <w:jc w:val="both"/>
              <w:rPr>
                <w:rFonts w:hint="eastAsia" w:ascii="宋体" w:hAnsi="宋体" w:eastAsia="宋体" w:cs="宋体"/>
                <w:color w:val="auto"/>
                <w:highlight w:val="none"/>
              </w:rPr>
            </w:pPr>
          </w:p>
        </w:tc>
        <w:tc>
          <w:tcPr>
            <w:tcW w:w="10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4DDBE2A">
            <w:pPr>
              <w:pStyle w:val="29"/>
              <w:spacing w:line="360" w:lineRule="auto"/>
              <w:ind w:left="0" w:leftChars="0" w:firstLine="480" w:firstLineChars="200"/>
              <w:jc w:val="both"/>
              <w:rPr>
                <w:rFonts w:hint="eastAsia" w:ascii="宋体" w:hAnsi="宋体" w:eastAsia="宋体" w:cs="宋体"/>
                <w:color w:val="auto"/>
                <w:highlight w:val="none"/>
              </w:rPr>
            </w:pPr>
          </w:p>
        </w:tc>
        <w:tc>
          <w:tcPr>
            <w:tcW w:w="12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0707DC68">
            <w:pPr>
              <w:pStyle w:val="29"/>
              <w:spacing w:line="360" w:lineRule="auto"/>
              <w:ind w:left="0" w:leftChars="0" w:firstLine="480" w:firstLineChars="200"/>
              <w:jc w:val="both"/>
              <w:rPr>
                <w:rFonts w:hint="eastAsia" w:ascii="宋体" w:hAnsi="宋体" w:eastAsia="宋体" w:cs="宋体"/>
                <w:color w:val="auto"/>
                <w:highlight w:val="none"/>
              </w:rPr>
            </w:pPr>
          </w:p>
        </w:tc>
        <w:tc>
          <w:tcPr>
            <w:tcW w:w="10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1117C42">
            <w:pPr>
              <w:pStyle w:val="29"/>
              <w:spacing w:line="360" w:lineRule="auto"/>
              <w:ind w:left="0" w:leftChars="0" w:firstLine="480" w:firstLineChars="200"/>
              <w:jc w:val="both"/>
              <w:rPr>
                <w:rFonts w:hint="eastAsia" w:ascii="宋体" w:hAnsi="宋体" w:eastAsia="宋体" w:cs="宋体"/>
                <w:color w:val="auto"/>
                <w:highlight w:val="none"/>
              </w:rPr>
            </w:pPr>
          </w:p>
        </w:tc>
        <w:tc>
          <w:tcPr>
            <w:tcW w:w="20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BA0BFDB">
            <w:pPr>
              <w:pStyle w:val="29"/>
              <w:spacing w:line="360" w:lineRule="auto"/>
              <w:ind w:left="0" w:leftChars="0" w:firstLine="480" w:firstLineChars="200"/>
              <w:jc w:val="both"/>
              <w:rPr>
                <w:rFonts w:hint="eastAsia" w:ascii="宋体" w:hAnsi="宋体" w:eastAsia="宋体" w:cs="宋体"/>
                <w:color w:val="auto"/>
                <w:highlight w:val="none"/>
              </w:rPr>
            </w:pPr>
          </w:p>
        </w:tc>
      </w:tr>
      <w:tr w14:paraId="465D3A21">
        <w:tblPrEx>
          <w:tblCellMar>
            <w:top w:w="0" w:type="dxa"/>
            <w:left w:w="0" w:type="dxa"/>
            <w:bottom w:w="0" w:type="dxa"/>
            <w:right w:w="0" w:type="dxa"/>
          </w:tblCellMar>
        </w:tblPrEx>
        <w:trPr>
          <w:trHeight w:val="1027" w:hRule="exact"/>
          <w:jc w:val="center"/>
        </w:trPr>
        <w:tc>
          <w:tcPr>
            <w:tcW w:w="6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E8D7573">
            <w:pPr>
              <w:pStyle w:val="29"/>
              <w:spacing w:line="360" w:lineRule="auto"/>
              <w:ind w:left="0" w:leftChars="0" w:firstLine="480" w:firstLineChars="200"/>
              <w:jc w:val="both"/>
              <w:rPr>
                <w:rFonts w:hint="eastAsia" w:ascii="宋体" w:hAnsi="宋体" w:eastAsia="宋体" w:cs="宋体"/>
                <w:color w:val="auto"/>
                <w:highlight w:val="none"/>
              </w:rPr>
            </w:pPr>
          </w:p>
        </w:tc>
        <w:tc>
          <w:tcPr>
            <w:tcW w:w="108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4BCA97A">
            <w:pPr>
              <w:pStyle w:val="29"/>
              <w:spacing w:line="360" w:lineRule="auto"/>
              <w:ind w:left="0" w:leftChars="0" w:firstLine="480" w:firstLineChars="200"/>
              <w:jc w:val="both"/>
              <w:rPr>
                <w:rFonts w:hint="eastAsia" w:ascii="宋体" w:hAnsi="宋体" w:eastAsia="宋体" w:cs="宋体"/>
                <w:color w:val="auto"/>
                <w:highlight w:val="none"/>
              </w:rPr>
            </w:pP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E360C2">
            <w:pPr>
              <w:pStyle w:val="29"/>
              <w:spacing w:line="360" w:lineRule="auto"/>
              <w:ind w:left="0" w:leftChars="0" w:firstLine="480" w:firstLineChars="200"/>
              <w:jc w:val="both"/>
              <w:rPr>
                <w:rFonts w:hint="eastAsia" w:ascii="宋体" w:hAnsi="宋体" w:eastAsia="宋体" w:cs="宋体"/>
                <w:color w:val="auto"/>
                <w:highlight w:val="none"/>
              </w:rPr>
            </w:pPr>
          </w:p>
        </w:tc>
        <w:tc>
          <w:tcPr>
            <w:tcW w:w="6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4FE479">
            <w:pPr>
              <w:pStyle w:val="29"/>
              <w:spacing w:line="360" w:lineRule="auto"/>
              <w:ind w:left="0" w:leftChars="0" w:firstLine="480" w:firstLineChars="200"/>
              <w:jc w:val="both"/>
              <w:rPr>
                <w:rFonts w:hint="eastAsia" w:ascii="宋体" w:hAnsi="宋体" w:eastAsia="宋体" w:cs="宋体"/>
                <w:color w:val="auto"/>
                <w:highlight w:val="none"/>
              </w:rPr>
            </w:pPr>
          </w:p>
        </w:tc>
        <w:tc>
          <w:tcPr>
            <w:tcW w:w="6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93DDBB7">
            <w:pPr>
              <w:pStyle w:val="29"/>
              <w:spacing w:line="360" w:lineRule="auto"/>
              <w:ind w:left="0" w:leftChars="0" w:firstLine="480" w:firstLineChars="200"/>
              <w:jc w:val="both"/>
              <w:rPr>
                <w:rFonts w:hint="eastAsia" w:ascii="宋体" w:hAnsi="宋体" w:eastAsia="宋体" w:cs="宋体"/>
                <w:color w:val="auto"/>
                <w:highlight w:val="none"/>
              </w:rPr>
            </w:pPr>
          </w:p>
        </w:tc>
        <w:tc>
          <w:tcPr>
            <w:tcW w:w="10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59073FC">
            <w:pPr>
              <w:pStyle w:val="29"/>
              <w:spacing w:line="360" w:lineRule="auto"/>
              <w:ind w:left="0" w:leftChars="0" w:firstLine="480" w:firstLineChars="200"/>
              <w:jc w:val="both"/>
              <w:rPr>
                <w:rFonts w:hint="eastAsia" w:ascii="宋体" w:hAnsi="宋体" w:eastAsia="宋体" w:cs="宋体"/>
                <w:color w:val="auto"/>
                <w:highlight w:val="none"/>
              </w:rPr>
            </w:pPr>
          </w:p>
        </w:tc>
        <w:tc>
          <w:tcPr>
            <w:tcW w:w="12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8B16D01">
            <w:pPr>
              <w:pStyle w:val="29"/>
              <w:spacing w:line="360" w:lineRule="auto"/>
              <w:ind w:left="0" w:leftChars="0" w:firstLine="480" w:firstLineChars="200"/>
              <w:jc w:val="both"/>
              <w:rPr>
                <w:rFonts w:hint="eastAsia" w:ascii="宋体" w:hAnsi="宋体" w:eastAsia="宋体" w:cs="宋体"/>
                <w:color w:val="auto"/>
                <w:highlight w:val="none"/>
              </w:rPr>
            </w:pPr>
          </w:p>
        </w:tc>
        <w:tc>
          <w:tcPr>
            <w:tcW w:w="10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4A35F1">
            <w:pPr>
              <w:pStyle w:val="29"/>
              <w:spacing w:line="360" w:lineRule="auto"/>
              <w:ind w:left="0" w:leftChars="0" w:firstLine="480" w:firstLineChars="200"/>
              <w:jc w:val="both"/>
              <w:rPr>
                <w:rFonts w:hint="eastAsia" w:ascii="宋体" w:hAnsi="宋体" w:eastAsia="宋体" w:cs="宋体"/>
                <w:color w:val="auto"/>
                <w:highlight w:val="none"/>
              </w:rPr>
            </w:pPr>
          </w:p>
        </w:tc>
        <w:tc>
          <w:tcPr>
            <w:tcW w:w="20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FAFC275">
            <w:pPr>
              <w:pStyle w:val="29"/>
              <w:spacing w:line="360" w:lineRule="auto"/>
              <w:ind w:left="0" w:leftChars="0" w:firstLine="480" w:firstLineChars="200"/>
              <w:jc w:val="both"/>
              <w:rPr>
                <w:rFonts w:hint="eastAsia" w:ascii="宋体" w:hAnsi="宋体" w:eastAsia="宋体" w:cs="宋体"/>
                <w:color w:val="auto"/>
                <w:highlight w:val="none"/>
              </w:rPr>
            </w:pPr>
          </w:p>
        </w:tc>
      </w:tr>
      <w:tr w14:paraId="4F43B697">
        <w:tblPrEx>
          <w:tblCellMar>
            <w:top w:w="0" w:type="dxa"/>
            <w:left w:w="0" w:type="dxa"/>
            <w:bottom w:w="0" w:type="dxa"/>
            <w:right w:w="0" w:type="dxa"/>
          </w:tblCellMar>
        </w:tblPrEx>
        <w:trPr>
          <w:trHeight w:val="1027" w:hRule="exact"/>
          <w:jc w:val="center"/>
        </w:trPr>
        <w:tc>
          <w:tcPr>
            <w:tcW w:w="6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2DBBD26">
            <w:pPr>
              <w:pStyle w:val="29"/>
              <w:spacing w:line="360" w:lineRule="auto"/>
              <w:ind w:left="0" w:leftChars="0" w:firstLine="480" w:firstLineChars="200"/>
              <w:jc w:val="both"/>
              <w:rPr>
                <w:rFonts w:hint="eastAsia" w:ascii="宋体" w:hAnsi="宋体" w:eastAsia="宋体" w:cs="宋体"/>
                <w:color w:val="auto"/>
                <w:highlight w:val="none"/>
              </w:rPr>
            </w:pPr>
          </w:p>
        </w:tc>
        <w:tc>
          <w:tcPr>
            <w:tcW w:w="108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8C7726">
            <w:pPr>
              <w:pStyle w:val="29"/>
              <w:spacing w:line="360" w:lineRule="auto"/>
              <w:ind w:left="0" w:leftChars="0" w:firstLine="480" w:firstLineChars="200"/>
              <w:jc w:val="both"/>
              <w:rPr>
                <w:rFonts w:hint="eastAsia" w:ascii="宋体" w:hAnsi="宋体" w:eastAsia="宋体" w:cs="宋体"/>
                <w:color w:val="auto"/>
                <w:highlight w:val="none"/>
              </w:rPr>
            </w:pP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1043432">
            <w:pPr>
              <w:pStyle w:val="29"/>
              <w:spacing w:line="360" w:lineRule="auto"/>
              <w:ind w:left="0" w:leftChars="0" w:firstLine="480" w:firstLineChars="200"/>
              <w:jc w:val="both"/>
              <w:rPr>
                <w:rFonts w:hint="eastAsia" w:ascii="宋体" w:hAnsi="宋体" w:eastAsia="宋体" w:cs="宋体"/>
                <w:color w:val="auto"/>
                <w:highlight w:val="none"/>
              </w:rPr>
            </w:pPr>
          </w:p>
        </w:tc>
        <w:tc>
          <w:tcPr>
            <w:tcW w:w="6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A4EA6E">
            <w:pPr>
              <w:pStyle w:val="29"/>
              <w:spacing w:line="360" w:lineRule="auto"/>
              <w:ind w:left="0" w:leftChars="0" w:firstLine="480" w:firstLineChars="200"/>
              <w:jc w:val="both"/>
              <w:rPr>
                <w:rFonts w:hint="eastAsia" w:ascii="宋体" w:hAnsi="宋体" w:eastAsia="宋体" w:cs="宋体"/>
                <w:color w:val="auto"/>
                <w:highlight w:val="none"/>
              </w:rPr>
            </w:pPr>
          </w:p>
        </w:tc>
        <w:tc>
          <w:tcPr>
            <w:tcW w:w="6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4334DBE">
            <w:pPr>
              <w:pStyle w:val="29"/>
              <w:spacing w:line="360" w:lineRule="auto"/>
              <w:ind w:left="0" w:leftChars="0" w:firstLine="480" w:firstLineChars="200"/>
              <w:jc w:val="both"/>
              <w:rPr>
                <w:rFonts w:hint="eastAsia" w:ascii="宋体" w:hAnsi="宋体" w:eastAsia="宋体" w:cs="宋体"/>
                <w:color w:val="auto"/>
                <w:highlight w:val="none"/>
              </w:rPr>
            </w:pPr>
          </w:p>
        </w:tc>
        <w:tc>
          <w:tcPr>
            <w:tcW w:w="10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A31888">
            <w:pPr>
              <w:pStyle w:val="29"/>
              <w:spacing w:line="360" w:lineRule="auto"/>
              <w:ind w:left="0" w:leftChars="0" w:firstLine="480" w:firstLineChars="200"/>
              <w:jc w:val="both"/>
              <w:rPr>
                <w:rFonts w:hint="eastAsia" w:ascii="宋体" w:hAnsi="宋体" w:eastAsia="宋体" w:cs="宋体"/>
                <w:color w:val="auto"/>
                <w:highlight w:val="none"/>
              </w:rPr>
            </w:pPr>
          </w:p>
        </w:tc>
        <w:tc>
          <w:tcPr>
            <w:tcW w:w="12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550A00CB">
            <w:pPr>
              <w:pStyle w:val="29"/>
              <w:spacing w:line="360" w:lineRule="auto"/>
              <w:ind w:left="0" w:leftChars="0" w:firstLine="480" w:firstLineChars="200"/>
              <w:jc w:val="both"/>
              <w:rPr>
                <w:rFonts w:hint="eastAsia" w:ascii="宋体" w:hAnsi="宋体" w:eastAsia="宋体" w:cs="宋体"/>
                <w:color w:val="auto"/>
                <w:highlight w:val="none"/>
              </w:rPr>
            </w:pPr>
          </w:p>
        </w:tc>
        <w:tc>
          <w:tcPr>
            <w:tcW w:w="10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024853B">
            <w:pPr>
              <w:pStyle w:val="29"/>
              <w:spacing w:line="360" w:lineRule="auto"/>
              <w:ind w:left="0" w:leftChars="0" w:firstLine="480" w:firstLineChars="200"/>
              <w:jc w:val="both"/>
              <w:rPr>
                <w:rFonts w:hint="eastAsia" w:ascii="宋体" w:hAnsi="宋体" w:eastAsia="宋体" w:cs="宋体"/>
                <w:color w:val="auto"/>
                <w:highlight w:val="none"/>
              </w:rPr>
            </w:pPr>
          </w:p>
        </w:tc>
        <w:tc>
          <w:tcPr>
            <w:tcW w:w="20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4B504E9">
            <w:pPr>
              <w:pStyle w:val="29"/>
              <w:spacing w:line="360" w:lineRule="auto"/>
              <w:ind w:left="0" w:leftChars="0" w:firstLine="480" w:firstLineChars="200"/>
              <w:jc w:val="both"/>
              <w:rPr>
                <w:rFonts w:hint="eastAsia" w:ascii="宋体" w:hAnsi="宋体" w:eastAsia="宋体" w:cs="宋体"/>
                <w:color w:val="auto"/>
                <w:highlight w:val="none"/>
              </w:rPr>
            </w:pPr>
          </w:p>
        </w:tc>
      </w:tr>
      <w:tr w14:paraId="451F0363">
        <w:tblPrEx>
          <w:tblCellMar>
            <w:top w:w="0" w:type="dxa"/>
            <w:left w:w="0" w:type="dxa"/>
            <w:bottom w:w="0" w:type="dxa"/>
            <w:right w:w="0" w:type="dxa"/>
          </w:tblCellMar>
        </w:tblPrEx>
        <w:trPr>
          <w:trHeight w:val="1027" w:hRule="exact"/>
          <w:jc w:val="center"/>
        </w:trPr>
        <w:tc>
          <w:tcPr>
            <w:tcW w:w="6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A0E2230">
            <w:pPr>
              <w:pStyle w:val="29"/>
              <w:spacing w:line="360" w:lineRule="auto"/>
              <w:ind w:left="0" w:leftChars="0" w:firstLine="480" w:firstLineChars="200"/>
              <w:jc w:val="both"/>
              <w:rPr>
                <w:rFonts w:hint="eastAsia" w:ascii="宋体" w:hAnsi="宋体" w:eastAsia="宋体" w:cs="宋体"/>
                <w:color w:val="auto"/>
                <w:highlight w:val="none"/>
              </w:rPr>
            </w:pPr>
          </w:p>
        </w:tc>
        <w:tc>
          <w:tcPr>
            <w:tcW w:w="108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FE2678E">
            <w:pPr>
              <w:pStyle w:val="29"/>
              <w:spacing w:line="360" w:lineRule="auto"/>
              <w:ind w:left="0" w:leftChars="0" w:firstLine="480" w:firstLineChars="200"/>
              <w:jc w:val="both"/>
              <w:rPr>
                <w:rFonts w:hint="eastAsia" w:ascii="宋体" w:hAnsi="宋体" w:eastAsia="宋体" w:cs="宋体"/>
                <w:color w:val="auto"/>
                <w:highlight w:val="none"/>
              </w:rPr>
            </w:pP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22CC863">
            <w:pPr>
              <w:pStyle w:val="29"/>
              <w:spacing w:line="360" w:lineRule="auto"/>
              <w:ind w:left="0" w:leftChars="0" w:firstLine="480" w:firstLineChars="200"/>
              <w:jc w:val="both"/>
              <w:rPr>
                <w:rFonts w:hint="eastAsia" w:ascii="宋体" w:hAnsi="宋体" w:eastAsia="宋体" w:cs="宋体"/>
                <w:color w:val="auto"/>
                <w:highlight w:val="none"/>
              </w:rPr>
            </w:pPr>
          </w:p>
        </w:tc>
        <w:tc>
          <w:tcPr>
            <w:tcW w:w="6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F60B2">
            <w:pPr>
              <w:pStyle w:val="29"/>
              <w:spacing w:line="360" w:lineRule="auto"/>
              <w:ind w:left="0" w:leftChars="0" w:firstLine="480" w:firstLineChars="200"/>
              <w:jc w:val="both"/>
              <w:rPr>
                <w:rFonts w:hint="eastAsia" w:ascii="宋体" w:hAnsi="宋体" w:eastAsia="宋体" w:cs="宋体"/>
                <w:color w:val="auto"/>
                <w:highlight w:val="none"/>
              </w:rPr>
            </w:pPr>
          </w:p>
        </w:tc>
        <w:tc>
          <w:tcPr>
            <w:tcW w:w="6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3F0C04">
            <w:pPr>
              <w:pStyle w:val="29"/>
              <w:spacing w:line="360" w:lineRule="auto"/>
              <w:ind w:left="0" w:leftChars="0" w:firstLine="480" w:firstLineChars="200"/>
              <w:jc w:val="both"/>
              <w:rPr>
                <w:rFonts w:hint="eastAsia" w:ascii="宋体" w:hAnsi="宋体" w:eastAsia="宋体" w:cs="宋体"/>
                <w:color w:val="auto"/>
                <w:highlight w:val="none"/>
              </w:rPr>
            </w:pPr>
          </w:p>
        </w:tc>
        <w:tc>
          <w:tcPr>
            <w:tcW w:w="10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079046">
            <w:pPr>
              <w:pStyle w:val="29"/>
              <w:spacing w:line="360" w:lineRule="auto"/>
              <w:ind w:left="0" w:leftChars="0" w:firstLine="480" w:firstLineChars="200"/>
              <w:jc w:val="both"/>
              <w:rPr>
                <w:rFonts w:hint="eastAsia" w:ascii="宋体" w:hAnsi="宋体" w:eastAsia="宋体" w:cs="宋体"/>
                <w:color w:val="auto"/>
                <w:highlight w:val="none"/>
              </w:rPr>
            </w:pPr>
          </w:p>
        </w:tc>
        <w:tc>
          <w:tcPr>
            <w:tcW w:w="12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7A235E7A">
            <w:pPr>
              <w:pStyle w:val="29"/>
              <w:spacing w:line="360" w:lineRule="auto"/>
              <w:ind w:left="0" w:leftChars="0" w:firstLine="480" w:firstLineChars="200"/>
              <w:jc w:val="both"/>
              <w:rPr>
                <w:rFonts w:hint="eastAsia" w:ascii="宋体" w:hAnsi="宋体" w:eastAsia="宋体" w:cs="宋体"/>
                <w:color w:val="auto"/>
                <w:highlight w:val="none"/>
              </w:rPr>
            </w:pPr>
          </w:p>
        </w:tc>
        <w:tc>
          <w:tcPr>
            <w:tcW w:w="10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260D25F">
            <w:pPr>
              <w:pStyle w:val="29"/>
              <w:spacing w:line="360" w:lineRule="auto"/>
              <w:ind w:left="0" w:leftChars="0" w:firstLine="480" w:firstLineChars="200"/>
              <w:jc w:val="both"/>
              <w:rPr>
                <w:rFonts w:hint="eastAsia" w:ascii="宋体" w:hAnsi="宋体" w:eastAsia="宋体" w:cs="宋体"/>
                <w:color w:val="auto"/>
                <w:highlight w:val="none"/>
              </w:rPr>
            </w:pPr>
          </w:p>
        </w:tc>
        <w:tc>
          <w:tcPr>
            <w:tcW w:w="20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FD1AA">
            <w:pPr>
              <w:pStyle w:val="29"/>
              <w:spacing w:line="360" w:lineRule="auto"/>
              <w:ind w:left="0" w:leftChars="0" w:firstLine="480" w:firstLineChars="200"/>
              <w:jc w:val="both"/>
              <w:rPr>
                <w:rFonts w:hint="eastAsia" w:ascii="宋体" w:hAnsi="宋体" w:eastAsia="宋体" w:cs="宋体"/>
                <w:color w:val="auto"/>
                <w:highlight w:val="none"/>
              </w:rPr>
            </w:pPr>
          </w:p>
        </w:tc>
      </w:tr>
      <w:tr w14:paraId="60834918">
        <w:tblPrEx>
          <w:tblCellMar>
            <w:top w:w="0" w:type="dxa"/>
            <w:left w:w="0" w:type="dxa"/>
            <w:bottom w:w="0" w:type="dxa"/>
            <w:right w:w="0" w:type="dxa"/>
          </w:tblCellMar>
        </w:tblPrEx>
        <w:trPr>
          <w:trHeight w:val="1027" w:hRule="exact"/>
          <w:jc w:val="center"/>
        </w:trPr>
        <w:tc>
          <w:tcPr>
            <w:tcW w:w="6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37C69E0">
            <w:pPr>
              <w:pStyle w:val="29"/>
              <w:spacing w:line="360" w:lineRule="auto"/>
              <w:ind w:left="0" w:leftChars="0" w:firstLine="480" w:firstLineChars="200"/>
              <w:jc w:val="both"/>
              <w:rPr>
                <w:rFonts w:hint="eastAsia" w:ascii="宋体" w:hAnsi="宋体" w:eastAsia="宋体" w:cs="宋体"/>
                <w:color w:val="auto"/>
                <w:highlight w:val="none"/>
              </w:rPr>
            </w:pPr>
          </w:p>
        </w:tc>
        <w:tc>
          <w:tcPr>
            <w:tcW w:w="108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64856CD">
            <w:pPr>
              <w:pStyle w:val="29"/>
              <w:spacing w:line="360" w:lineRule="auto"/>
              <w:ind w:left="0" w:leftChars="0" w:firstLine="480" w:firstLineChars="200"/>
              <w:jc w:val="both"/>
              <w:rPr>
                <w:rFonts w:hint="eastAsia" w:ascii="宋体" w:hAnsi="宋体" w:eastAsia="宋体" w:cs="宋体"/>
                <w:color w:val="auto"/>
                <w:highlight w:val="none"/>
              </w:rPr>
            </w:pP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71C5965">
            <w:pPr>
              <w:pStyle w:val="29"/>
              <w:spacing w:line="360" w:lineRule="auto"/>
              <w:ind w:left="0" w:leftChars="0" w:firstLine="480" w:firstLineChars="200"/>
              <w:jc w:val="both"/>
              <w:rPr>
                <w:rFonts w:hint="eastAsia" w:ascii="宋体" w:hAnsi="宋体" w:eastAsia="宋体" w:cs="宋体"/>
                <w:color w:val="auto"/>
                <w:highlight w:val="none"/>
              </w:rPr>
            </w:pPr>
          </w:p>
        </w:tc>
        <w:tc>
          <w:tcPr>
            <w:tcW w:w="6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9F0B96">
            <w:pPr>
              <w:pStyle w:val="29"/>
              <w:spacing w:line="360" w:lineRule="auto"/>
              <w:ind w:left="0" w:leftChars="0" w:firstLine="480" w:firstLineChars="200"/>
              <w:jc w:val="both"/>
              <w:rPr>
                <w:rFonts w:hint="eastAsia" w:ascii="宋体" w:hAnsi="宋体" w:eastAsia="宋体" w:cs="宋体"/>
                <w:color w:val="auto"/>
                <w:highlight w:val="none"/>
              </w:rPr>
            </w:pPr>
          </w:p>
        </w:tc>
        <w:tc>
          <w:tcPr>
            <w:tcW w:w="6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8676954">
            <w:pPr>
              <w:pStyle w:val="29"/>
              <w:spacing w:line="360" w:lineRule="auto"/>
              <w:ind w:left="0" w:leftChars="0" w:firstLine="480" w:firstLineChars="200"/>
              <w:jc w:val="both"/>
              <w:rPr>
                <w:rFonts w:hint="eastAsia" w:ascii="宋体" w:hAnsi="宋体" w:eastAsia="宋体" w:cs="宋体"/>
                <w:color w:val="auto"/>
                <w:highlight w:val="none"/>
              </w:rPr>
            </w:pPr>
          </w:p>
        </w:tc>
        <w:tc>
          <w:tcPr>
            <w:tcW w:w="10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46FD446">
            <w:pPr>
              <w:pStyle w:val="29"/>
              <w:spacing w:line="360" w:lineRule="auto"/>
              <w:ind w:left="0" w:leftChars="0" w:firstLine="480" w:firstLineChars="200"/>
              <w:jc w:val="both"/>
              <w:rPr>
                <w:rFonts w:hint="eastAsia" w:ascii="宋体" w:hAnsi="宋体" w:eastAsia="宋体" w:cs="宋体"/>
                <w:color w:val="auto"/>
                <w:highlight w:val="none"/>
              </w:rPr>
            </w:pPr>
          </w:p>
        </w:tc>
        <w:tc>
          <w:tcPr>
            <w:tcW w:w="12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D192682">
            <w:pPr>
              <w:pStyle w:val="29"/>
              <w:spacing w:line="360" w:lineRule="auto"/>
              <w:ind w:left="0" w:leftChars="0" w:firstLine="480" w:firstLineChars="200"/>
              <w:jc w:val="both"/>
              <w:rPr>
                <w:rFonts w:hint="eastAsia" w:ascii="宋体" w:hAnsi="宋体" w:eastAsia="宋体" w:cs="宋体"/>
                <w:color w:val="auto"/>
                <w:highlight w:val="none"/>
              </w:rPr>
            </w:pPr>
          </w:p>
        </w:tc>
        <w:tc>
          <w:tcPr>
            <w:tcW w:w="10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84E84F">
            <w:pPr>
              <w:pStyle w:val="29"/>
              <w:spacing w:line="360" w:lineRule="auto"/>
              <w:ind w:left="0" w:leftChars="0" w:firstLine="480" w:firstLineChars="200"/>
              <w:jc w:val="both"/>
              <w:rPr>
                <w:rFonts w:hint="eastAsia" w:ascii="宋体" w:hAnsi="宋体" w:eastAsia="宋体" w:cs="宋体"/>
                <w:color w:val="auto"/>
                <w:highlight w:val="none"/>
              </w:rPr>
            </w:pPr>
          </w:p>
        </w:tc>
        <w:tc>
          <w:tcPr>
            <w:tcW w:w="20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D27BC53">
            <w:pPr>
              <w:pStyle w:val="29"/>
              <w:spacing w:line="360" w:lineRule="auto"/>
              <w:ind w:left="0" w:leftChars="0" w:firstLine="480" w:firstLineChars="200"/>
              <w:jc w:val="both"/>
              <w:rPr>
                <w:rFonts w:hint="eastAsia" w:ascii="宋体" w:hAnsi="宋体" w:eastAsia="宋体" w:cs="宋体"/>
                <w:color w:val="auto"/>
                <w:highlight w:val="none"/>
              </w:rPr>
            </w:pPr>
          </w:p>
        </w:tc>
      </w:tr>
      <w:tr w14:paraId="308D07B3">
        <w:tblPrEx>
          <w:tblCellMar>
            <w:top w:w="0" w:type="dxa"/>
            <w:left w:w="0" w:type="dxa"/>
            <w:bottom w:w="0" w:type="dxa"/>
            <w:right w:w="0" w:type="dxa"/>
          </w:tblCellMar>
        </w:tblPrEx>
        <w:trPr>
          <w:trHeight w:val="1040" w:hRule="exact"/>
          <w:jc w:val="center"/>
        </w:trPr>
        <w:tc>
          <w:tcPr>
            <w:tcW w:w="6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F723E0D">
            <w:pPr>
              <w:pStyle w:val="29"/>
              <w:spacing w:line="360" w:lineRule="auto"/>
              <w:ind w:left="0" w:leftChars="0" w:firstLine="480" w:firstLineChars="200"/>
              <w:jc w:val="both"/>
              <w:rPr>
                <w:rFonts w:hint="eastAsia" w:ascii="宋体" w:hAnsi="宋体" w:eastAsia="宋体" w:cs="宋体"/>
                <w:color w:val="auto"/>
                <w:highlight w:val="none"/>
              </w:rPr>
            </w:pPr>
          </w:p>
        </w:tc>
        <w:tc>
          <w:tcPr>
            <w:tcW w:w="108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5B1F253">
            <w:pPr>
              <w:pStyle w:val="29"/>
              <w:spacing w:line="360" w:lineRule="auto"/>
              <w:ind w:left="0" w:leftChars="0" w:firstLine="480" w:firstLineChars="200"/>
              <w:jc w:val="both"/>
              <w:rPr>
                <w:rFonts w:hint="eastAsia" w:ascii="宋体" w:hAnsi="宋体" w:eastAsia="宋体" w:cs="宋体"/>
                <w:color w:val="auto"/>
                <w:highlight w:val="none"/>
              </w:rPr>
            </w:pP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3F81478">
            <w:pPr>
              <w:pStyle w:val="29"/>
              <w:spacing w:line="360" w:lineRule="auto"/>
              <w:ind w:left="0" w:leftChars="0" w:firstLine="480" w:firstLineChars="200"/>
              <w:jc w:val="both"/>
              <w:rPr>
                <w:rFonts w:hint="eastAsia" w:ascii="宋体" w:hAnsi="宋体" w:eastAsia="宋体" w:cs="宋体"/>
                <w:color w:val="auto"/>
                <w:highlight w:val="none"/>
              </w:rPr>
            </w:pPr>
          </w:p>
        </w:tc>
        <w:tc>
          <w:tcPr>
            <w:tcW w:w="6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1352922">
            <w:pPr>
              <w:pStyle w:val="29"/>
              <w:spacing w:line="360" w:lineRule="auto"/>
              <w:ind w:left="0" w:leftChars="0" w:firstLine="480" w:firstLineChars="200"/>
              <w:jc w:val="both"/>
              <w:rPr>
                <w:rFonts w:hint="eastAsia" w:ascii="宋体" w:hAnsi="宋体" w:eastAsia="宋体" w:cs="宋体"/>
                <w:color w:val="auto"/>
                <w:highlight w:val="none"/>
              </w:rPr>
            </w:pPr>
          </w:p>
        </w:tc>
        <w:tc>
          <w:tcPr>
            <w:tcW w:w="6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EA82589">
            <w:pPr>
              <w:pStyle w:val="29"/>
              <w:spacing w:line="360" w:lineRule="auto"/>
              <w:ind w:left="0" w:leftChars="0" w:firstLine="480" w:firstLineChars="200"/>
              <w:jc w:val="both"/>
              <w:rPr>
                <w:rFonts w:hint="eastAsia" w:ascii="宋体" w:hAnsi="宋体" w:eastAsia="宋体" w:cs="宋体"/>
                <w:color w:val="auto"/>
                <w:highlight w:val="none"/>
              </w:rPr>
            </w:pPr>
          </w:p>
        </w:tc>
        <w:tc>
          <w:tcPr>
            <w:tcW w:w="10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AC0E446">
            <w:pPr>
              <w:pStyle w:val="29"/>
              <w:spacing w:line="360" w:lineRule="auto"/>
              <w:ind w:left="0" w:leftChars="0" w:firstLine="480" w:firstLineChars="200"/>
              <w:jc w:val="both"/>
              <w:rPr>
                <w:rFonts w:hint="eastAsia" w:ascii="宋体" w:hAnsi="宋体" w:eastAsia="宋体" w:cs="宋体"/>
                <w:color w:val="auto"/>
                <w:highlight w:val="none"/>
              </w:rPr>
            </w:pPr>
          </w:p>
        </w:tc>
        <w:tc>
          <w:tcPr>
            <w:tcW w:w="12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068C25A">
            <w:pPr>
              <w:pStyle w:val="29"/>
              <w:spacing w:line="360" w:lineRule="auto"/>
              <w:ind w:left="0" w:leftChars="0" w:firstLine="480" w:firstLineChars="200"/>
              <w:jc w:val="both"/>
              <w:rPr>
                <w:rFonts w:hint="eastAsia" w:ascii="宋体" w:hAnsi="宋体" w:eastAsia="宋体" w:cs="宋体"/>
                <w:color w:val="auto"/>
                <w:highlight w:val="none"/>
              </w:rPr>
            </w:pPr>
          </w:p>
        </w:tc>
        <w:tc>
          <w:tcPr>
            <w:tcW w:w="10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42C77D">
            <w:pPr>
              <w:pStyle w:val="29"/>
              <w:spacing w:line="360" w:lineRule="auto"/>
              <w:ind w:left="0" w:leftChars="0" w:firstLine="480" w:firstLineChars="200"/>
              <w:jc w:val="both"/>
              <w:rPr>
                <w:rFonts w:hint="eastAsia" w:ascii="宋体" w:hAnsi="宋体" w:eastAsia="宋体" w:cs="宋体"/>
                <w:color w:val="auto"/>
                <w:highlight w:val="none"/>
              </w:rPr>
            </w:pPr>
          </w:p>
        </w:tc>
        <w:tc>
          <w:tcPr>
            <w:tcW w:w="20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E8E5E51">
            <w:pPr>
              <w:pStyle w:val="29"/>
              <w:spacing w:line="360" w:lineRule="auto"/>
              <w:ind w:left="0" w:leftChars="0" w:firstLine="480" w:firstLineChars="200"/>
              <w:jc w:val="both"/>
              <w:rPr>
                <w:rFonts w:hint="eastAsia" w:ascii="宋体" w:hAnsi="宋体" w:eastAsia="宋体" w:cs="宋体"/>
                <w:color w:val="auto"/>
                <w:highlight w:val="none"/>
              </w:rPr>
            </w:pPr>
          </w:p>
        </w:tc>
      </w:tr>
    </w:tbl>
    <w:p w14:paraId="27EB69B9">
      <w:pPr>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4"/>
          <w:highlight w:val="none"/>
        </w:rPr>
        <w:t>注：1.在填写时，如本表不适合投标人实际情况，可根据本表格式自行划表填写。</w:t>
      </w:r>
    </w:p>
    <w:p w14:paraId="5A0FAA77">
      <w:pP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Cs w:val="24"/>
          <w:highlight w:val="none"/>
        </w:rPr>
        <w:t>2.附人员相关证明材料。</w:t>
      </w:r>
    </w:p>
    <w:p w14:paraId="22A24DF8">
      <w:pPr>
        <w:spacing w:line="360" w:lineRule="auto"/>
        <w:jc w:val="left"/>
        <w:rPr>
          <w:rFonts w:hint="eastAsia" w:ascii="宋体" w:hAnsi="宋体" w:eastAsia="宋体" w:cs="宋体"/>
          <w:color w:val="auto"/>
          <w:szCs w:val="24"/>
          <w:highlight w:val="none"/>
        </w:rPr>
      </w:pPr>
    </w:p>
    <w:p w14:paraId="3E0A28BE">
      <w:pPr>
        <w:spacing w:line="360" w:lineRule="auto"/>
        <w:jc w:val="left"/>
        <w:rPr>
          <w:rFonts w:hint="eastAsia" w:ascii="宋体" w:hAnsi="宋体" w:eastAsia="宋体" w:cs="宋体"/>
          <w:color w:val="auto"/>
          <w:szCs w:val="24"/>
          <w:highlight w:val="none"/>
        </w:rPr>
      </w:pPr>
    </w:p>
    <w:p w14:paraId="7B25ABE8">
      <w:pPr>
        <w:pStyle w:val="7"/>
        <w:rPr>
          <w:rFonts w:hint="eastAsia" w:ascii="宋体" w:hAnsi="宋体" w:eastAsia="宋体" w:cs="宋体"/>
          <w:color w:val="auto"/>
          <w:highlight w:val="none"/>
        </w:rPr>
      </w:pPr>
    </w:p>
    <w:p w14:paraId="5E34C6CC">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全称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（加盖单位公章）</w:t>
      </w:r>
    </w:p>
    <w:p w14:paraId="3F1A3F16">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52954C04">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签</w:t>
      </w:r>
      <w:r>
        <w:rPr>
          <w:rFonts w:hint="eastAsia" w:ascii="宋体" w:hAnsi="宋体" w:eastAsia="宋体" w:cs="宋体"/>
          <w:sz w:val="24"/>
          <w:szCs w:val="24"/>
          <w:u w:val="none"/>
          <w:lang w:eastAsia="zh-CN"/>
        </w:rPr>
        <w:t>字或盖</w:t>
      </w:r>
      <w:r>
        <w:rPr>
          <w:rFonts w:hint="eastAsia" w:ascii="宋体" w:hAnsi="宋体" w:eastAsia="宋体" w:cs="宋体"/>
          <w:sz w:val="24"/>
          <w:szCs w:val="24"/>
          <w:u w:val="none"/>
        </w:rPr>
        <w:t>章</w:t>
      </w:r>
      <w:r>
        <w:rPr>
          <w:rFonts w:hint="eastAsia" w:ascii="宋体" w:hAnsi="宋体" w:eastAsia="宋体" w:cs="宋体"/>
          <w:sz w:val="24"/>
          <w:szCs w:val="24"/>
          <w:u w:val="none"/>
          <w:lang w:val="en-US" w:eastAsia="zh-CN"/>
        </w:rPr>
        <w:t>）</w:t>
      </w:r>
    </w:p>
    <w:p w14:paraId="515AD1A7">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703EBA8A">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05A984D">
      <w:pPr>
        <w:spacing w:line="360" w:lineRule="auto"/>
        <w:jc w:val="left"/>
        <w:rPr>
          <w:rFonts w:hint="eastAsia" w:ascii="宋体" w:hAnsi="宋体" w:eastAsia="宋体" w:cs="宋体"/>
          <w:color w:val="auto"/>
          <w:sz w:val="30"/>
          <w:szCs w:val="30"/>
          <w:highlight w:val="none"/>
        </w:rPr>
      </w:pPr>
    </w:p>
    <w:p w14:paraId="36594DBC">
      <w:pPr>
        <w:spacing w:line="360" w:lineRule="auto"/>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rPr>
        <w:t>：</w:t>
      </w:r>
    </w:p>
    <w:p w14:paraId="06527B6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项目负责人简历表</w:t>
      </w:r>
    </w:p>
    <w:tbl>
      <w:tblPr>
        <w:tblStyle w:val="18"/>
        <w:tblW w:w="9004" w:type="dxa"/>
        <w:tblInd w:w="0" w:type="dxa"/>
        <w:tblLayout w:type="fixed"/>
        <w:tblCellMar>
          <w:top w:w="0" w:type="dxa"/>
          <w:left w:w="108" w:type="dxa"/>
          <w:bottom w:w="0" w:type="dxa"/>
          <w:right w:w="108" w:type="dxa"/>
        </w:tblCellMar>
      </w:tblPr>
      <w:tblGrid>
        <w:gridCol w:w="1494"/>
        <w:gridCol w:w="268"/>
        <w:gridCol w:w="1570"/>
        <w:gridCol w:w="1516"/>
        <w:gridCol w:w="1280"/>
        <w:gridCol w:w="43"/>
        <w:gridCol w:w="1700"/>
        <w:gridCol w:w="7"/>
        <w:gridCol w:w="1126"/>
      </w:tblGrid>
      <w:tr w14:paraId="1C5C15F1">
        <w:tblPrEx>
          <w:tblCellMar>
            <w:top w:w="0" w:type="dxa"/>
            <w:left w:w="108" w:type="dxa"/>
            <w:bottom w:w="0" w:type="dxa"/>
            <w:right w:w="108" w:type="dxa"/>
          </w:tblCellMar>
        </w:tblPrEx>
        <w:trPr>
          <w:trHeight w:val="521" w:hRule="atLeast"/>
        </w:trPr>
        <w:tc>
          <w:tcPr>
            <w:tcW w:w="1762" w:type="dxa"/>
            <w:gridSpan w:val="2"/>
            <w:tcBorders>
              <w:top w:val="single" w:color="auto" w:sz="4" w:space="0"/>
              <w:left w:val="single" w:color="auto" w:sz="4" w:space="0"/>
              <w:bottom w:val="single" w:color="auto" w:sz="4" w:space="0"/>
              <w:right w:val="single" w:color="auto" w:sz="4" w:space="0"/>
            </w:tcBorders>
            <w:noWrap w:val="0"/>
            <w:vAlign w:val="center"/>
          </w:tcPr>
          <w:p w14:paraId="1E692D4A">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70" w:type="dxa"/>
            <w:tcBorders>
              <w:top w:val="single" w:color="auto" w:sz="4" w:space="0"/>
              <w:left w:val="nil"/>
              <w:bottom w:val="single" w:color="auto" w:sz="4" w:space="0"/>
              <w:right w:val="single" w:color="auto" w:sz="4" w:space="0"/>
            </w:tcBorders>
            <w:noWrap w:val="0"/>
            <w:vAlign w:val="center"/>
          </w:tcPr>
          <w:p w14:paraId="2827AD2E">
            <w:pPr>
              <w:pStyle w:val="29"/>
              <w:spacing w:line="360" w:lineRule="auto"/>
              <w:ind w:left="0" w:leftChars="0"/>
              <w:rPr>
                <w:rFonts w:hint="eastAsia" w:ascii="宋体" w:hAnsi="宋体" w:eastAsia="宋体" w:cs="宋体"/>
                <w:color w:val="auto"/>
                <w:sz w:val="24"/>
                <w:szCs w:val="24"/>
                <w:highlight w:val="none"/>
              </w:rPr>
            </w:pPr>
          </w:p>
        </w:tc>
        <w:tc>
          <w:tcPr>
            <w:tcW w:w="1516" w:type="dxa"/>
            <w:tcBorders>
              <w:top w:val="single" w:color="auto" w:sz="4" w:space="0"/>
              <w:left w:val="nil"/>
              <w:bottom w:val="single" w:color="auto" w:sz="4" w:space="0"/>
              <w:right w:val="single" w:color="auto" w:sz="4" w:space="0"/>
            </w:tcBorders>
            <w:noWrap w:val="0"/>
            <w:vAlign w:val="center"/>
          </w:tcPr>
          <w:p w14:paraId="2E148D39">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  别</w:t>
            </w:r>
          </w:p>
        </w:tc>
        <w:tc>
          <w:tcPr>
            <w:tcW w:w="1323" w:type="dxa"/>
            <w:gridSpan w:val="2"/>
            <w:tcBorders>
              <w:top w:val="single" w:color="auto" w:sz="4" w:space="0"/>
              <w:left w:val="nil"/>
              <w:bottom w:val="single" w:color="auto" w:sz="4" w:space="0"/>
              <w:right w:val="single" w:color="auto" w:sz="4" w:space="0"/>
            </w:tcBorders>
            <w:noWrap w:val="0"/>
            <w:vAlign w:val="center"/>
          </w:tcPr>
          <w:p w14:paraId="3E8C3611">
            <w:pPr>
              <w:pStyle w:val="29"/>
              <w:spacing w:line="360" w:lineRule="auto"/>
              <w:ind w:left="0" w:leftChars="0"/>
              <w:rPr>
                <w:rFonts w:hint="eastAsia" w:ascii="宋体" w:hAnsi="宋体" w:eastAsia="宋体" w:cs="宋体"/>
                <w:color w:val="auto"/>
                <w:sz w:val="24"/>
                <w:szCs w:val="24"/>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41BE2170">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133" w:type="dxa"/>
            <w:gridSpan w:val="2"/>
            <w:tcBorders>
              <w:top w:val="single" w:color="auto" w:sz="4" w:space="0"/>
              <w:left w:val="nil"/>
              <w:bottom w:val="single" w:color="auto" w:sz="4" w:space="0"/>
              <w:right w:val="single" w:color="auto" w:sz="4" w:space="0"/>
            </w:tcBorders>
            <w:noWrap w:val="0"/>
            <w:vAlign w:val="center"/>
          </w:tcPr>
          <w:p w14:paraId="4F41D01E">
            <w:pPr>
              <w:pStyle w:val="29"/>
              <w:spacing w:line="360" w:lineRule="auto"/>
              <w:ind w:left="0" w:leftChars="0" w:firstLine="480" w:firstLineChars="200"/>
              <w:rPr>
                <w:rFonts w:hint="eastAsia" w:ascii="宋体" w:hAnsi="宋体" w:eastAsia="宋体" w:cs="宋体"/>
                <w:color w:val="auto"/>
                <w:sz w:val="24"/>
                <w:szCs w:val="24"/>
                <w:highlight w:val="none"/>
              </w:rPr>
            </w:pPr>
          </w:p>
        </w:tc>
      </w:tr>
      <w:tr w14:paraId="7B91680B">
        <w:tblPrEx>
          <w:tblCellMar>
            <w:top w:w="0" w:type="dxa"/>
            <w:left w:w="108" w:type="dxa"/>
            <w:bottom w:w="0" w:type="dxa"/>
            <w:right w:w="108" w:type="dxa"/>
          </w:tblCellMar>
        </w:tblPrEx>
        <w:trPr>
          <w:trHeight w:val="522" w:hRule="atLeast"/>
        </w:trPr>
        <w:tc>
          <w:tcPr>
            <w:tcW w:w="1762" w:type="dxa"/>
            <w:gridSpan w:val="2"/>
            <w:tcBorders>
              <w:top w:val="single" w:color="auto" w:sz="4" w:space="0"/>
              <w:left w:val="single" w:color="auto" w:sz="4" w:space="0"/>
              <w:bottom w:val="single" w:color="auto" w:sz="4" w:space="0"/>
              <w:right w:val="single" w:color="auto" w:sz="4" w:space="0"/>
            </w:tcBorders>
            <w:noWrap w:val="0"/>
            <w:vAlign w:val="center"/>
          </w:tcPr>
          <w:p w14:paraId="3F1AEE76">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70" w:type="dxa"/>
            <w:tcBorders>
              <w:top w:val="single" w:color="auto" w:sz="4" w:space="0"/>
              <w:left w:val="nil"/>
              <w:bottom w:val="single" w:color="auto" w:sz="4" w:space="0"/>
              <w:right w:val="single" w:color="auto" w:sz="4" w:space="0"/>
            </w:tcBorders>
            <w:noWrap w:val="0"/>
            <w:vAlign w:val="center"/>
          </w:tcPr>
          <w:p w14:paraId="3E000F25">
            <w:pPr>
              <w:pStyle w:val="29"/>
              <w:spacing w:line="360" w:lineRule="auto"/>
              <w:ind w:left="0" w:leftChars="0"/>
              <w:rPr>
                <w:rFonts w:hint="eastAsia" w:ascii="宋体" w:hAnsi="宋体" w:eastAsia="宋体" w:cs="宋体"/>
                <w:color w:val="auto"/>
                <w:sz w:val="24"/>
                <w:szCs w:val="24"/>
                <w:highlight w:val="none"/>
              </w:rPr>
            </w:pPr>
          </w:p>
        </w:tc>
        <w:tc>
          <w:tcPr>
            <w:tcW w:w="1516" w:type="dxa"/>
            <w:tcBorders>
              <w:top w:val="single" w:color="auto" w:sz="4" w:space="0"/>
              <w:left w:val="nil"/>
              <w:bottom w:val="single" w:color="auto" w:sz="4" w:space="0"/>
              <w:right w:val="single" w:color="auto" w:sz="4" w:space="0"/>
            </w:tcBorders>
            <w:noWrap w:val="0"/>
            <w:vAlign w:val="center"/>
          </w:tcPr>
          <w:p w14:paraId="05C566C2">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323" w:type="dxa"/>
            <w:gridSpan w:val="2"/>
            <w:tcBorders>
              <w:top w:val="single" w:color="auto" w:sz="4" w:space="0"/>
              <w:left w:val="nil"/>
              <w:bottom w:val="single" w:color="auto" w:sz="4" w:space="0"/>
              <w:right w:val="single" w:color="auto" w:sz="4" w:space="0"/>
            </w:tcBorders>
            <w:noWrap w:val="0"/>
            <w:vAlign w:val="center"/>
          </w:tcPr>
          <w:p w14:paraId="3513CCDC">
            <w:pPr>
              <w:pStyle w:val="29"/>
              <w:spacing w:line="360" w:lineRule="auto"/>
              <w:ind w:left="0" w:leftChars="0"/>
              <w:rPr>
                <w:rFonts w:hint="eastAsia" w:ascii="宋体" w:hAnsi="宋体" w:eastAsia="宋体" w:cs="宋体"/>
                <w:color w:val="auto"/>
                <w:sz w:val="24"/>
                <w:szCs w:val="24"/>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649E52C8">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专业/年限</w:t>
            </w:r>
          </w:p>
        </w:tc>
        <w:tc>
          <w:tcPr>
            <w:tcW w:w="1133" w:type="dxa"/>
            <w:gridSpan w:val="2"/>
            <w:tcBorders>
              <w:top w:val="single" w:color="auto" w:sz="4" w:space="0"/>
              <w:left w:val="nil"/>
              <w:bottom w:val="single" w:color="auto" w:sz="4" w:space="0"/>
              <w:right w:val="single" w:color="auto" w:sz="4" w:space="0"/>
            </w:tcBorders>
            <w:noWrap w:val="0"/>
            <w:vAlign w:val="center"/>
          </w:tcPr>
          <w:p w14:paraId="42308ECD">
            <w:pPr>
              <w:pStyle w:val="29"/>
              <w:spacing w:line="360" w:lineRule="auto"/>
              <w:ind w:left="0" w:leftChars="0" w:firstLine="480" w:firstLineChars="200"/>
              <w:rPr>
                <w:rFonts w:hint="eastAsia" w:ascii="宋体" w:hAnsi="宋体" w:eastAsia="宋体" w:cs="宋体"/>
                <w:color w:val="auto"/>
                <w:sz w:val="24"/>
                <w:szCs w:val="24"/>
                <w:highlight w:val="none"/>
              </w:rPr>
            </w:pPr>
          </w:p>
        </w:tc>
      </w:tr>
      <w:tr w14:paraId="67CEB734">
        <w:tblPrEx>
          <w:tblCellMar>
            <w:top w:w="0" w:type="dxa"/>
            <w:left w:w="108" w:type="dxa"/>
            <w:bottom w:w="0" w:type="dxa"/>
            <w:right w:w="108" w:type="dxa"/>
          </w:tblCellMar>
        </w:tblPrEx>
        <w:trPr>
          <w:trHeight w:val="521" w:hRule="atLeast"/>
        </w:trPr>
        <w:tc>
          <w:tcPr>
            <w:tcW w:w="1762" w:type="dxa"/>
            <w:gridSpan w:val="2"/>
            <w:tcBorders>
              <w:top w:val="single" w:color="auto" w:sz="4" w:space="0"/>
              <w:left w:val="single" w:color="auto" w:sz="4" w:space="0"/>
              <w:bottom w:val="single" w:color="auto" w:sz="4" w:space="0"/>
              <w:right w:val="single" w:color="auto" w:sz="4" w:space="0"/>
            </w:tcBorders>
            <w:noWrap w:val="0"/>
            <w:vAlign w:val="center"/>
          </w:tcPr>
          <w:p w14:paraId="5A636B69">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570" w:type="dxa"/>
            <w:tcBorders>
              <w:top w:val="single" w:color="auto" w:sz="4" w:space="0"/>
              <w:left w:val="nil"/>
              <w:bottom w:val="single" w:color="auto" w:sz="4" w:space="0"/>
              <w:right w:val="single" w:color="auto" w:sz="4" w:space="0"/>
            </w:tcBorders>
            <w:noWrap w:val="0"/>
            <w:vAlign w:val="center"/>
          </w:tcPr>
          <w:p w14:paraId="0B9C7E33">
            <w:pPr>
              <w:pStyle w:val="29"/>
              <w:spacing w:line="360" w:lineRule="auto"/>
              <w:ind w:left="0" w:leftChars="0"/>
              <w:rPr>
                <w:rFonts w:hint="eastAsia" w:ascii="宋体" w:hAnsi="宋体" w:eastAsia="宋体" w:cs="宋体"/>
                <w:color w:val="auto"/>
                <w:sz w:val="24"/>
                <w:szCs w:val="24"/>
                <w:highlight w:val="none"/>
              </w:rPr>
            </w:pPr>
          </w:p>
        </w:tc>
        <w:tc>
          <w:tcPr>
            <w:tcW w:w="1516" w:type="dxa"/>
            <w:tcBorders>
              <w:top w:val="single" w:color="auto" w:sz="4" w:space="0"/>
              <w:left w:val="nil"/>
              <w:bottom w:val="single" w:color="auto" w:sz="4" w:space="0"/>
              <w:right w:val="single" w:color="auto" w:sz="4" w:space="0"/>
            </w:tcBorders>
            <w:noWrap w:val="0"/>
            <w:vAlign w:val="center"/>
          </w:tcPr>
          <w:p w14:paraId="4859C37A">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1323" w:type="dxa"/>
            <w:gridSpan w:val="2"/>
            <w:tcBorders>
              <w:top w:val="single" w:color="auto" w:sz="4" w:space="0"/>
              <w:left w:val="nil"/>
              <w:bottom w:val="single" w:color="auto" w:sz="4" w:space="0"/>
              <w:right w:val="single" w:color="auto" w:sz="4" w:space="0"/>
            </w:tcBorders>
            <w:noWrap w:val="0"/>
            <w:vAlign w:val="center"/>
          </w:tcPr>
          <w:p w14:paraId="083E631F">
            <w:pPr>
              <w:pStyle w:val="29"/>
              <w:spacing w:line="360" w:lineRule="auto"/>
              <w:ind w:left="0" w:leftChars="0"/>
              <w:rPr>
                <w:rFonts w:hint="eastAsia" w:ascii="宋体" w:hAnsi="宋体" w:eastAsia="宋体" w:cs="宋体"/>
                <w:color w:val="auto"/>
                <w:sz w:val="24"/>
                <w:szCs w:val="24"/>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589E6E12">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学历/专业</w:t>
            </w:r>
          </w:p>
        </w:tc>
        <w:tc>
          <w:tcPr>
            <w:tcW w:w="1133" w:type="dxa"/>
            <w:gridSpan w:val="2"/>
            <w:tcBorders>
              <w:top w:val="single" w:color="auto" w:sz="4" w:space="0"/>
              <w:left w:val="nil"/>
              <w:bottom w:val="single" w:color="auto" w:sz="4" w:space="0"/>
              <w:right w:val="single" w:color="auto" w:sz="4" w:space="0"/>
            </w:tcBorders>
            <w:noWrap w:val="0"/>
            <w:vAlign w:val="center"/>
          </w:tcPr>
          <w:p w14:paraId="50119F6E">
            <w:pPr>
              <w:pStyle w:val="29"/>
              <w:spacing w:line="360" w:lineRule="auto"/>
              <w:ind w:left="0" w:leftChars="0" w:firstLine="480" w:firstLineChars="200"/>
              <w:rPr>
                <w:rFonts w:hint="eastAsia" w:ascii="宋体" w:hAnsi="宋体" w:eastAsia="宋体" w:cs="宋体"/>
                <w:color w:val="auto"/>
                <w:sz w:val="24"/>
                <w:szCs w:val="24"/>
                <w:highlight w:val="none"/>
              </w:rPr>
            </w:pPr>
          </w:p>
        </w:tc>
      </w:tr>
      <w:tr w14:paraId="120299D2">
        <w:tblPrEx>
          <w:tblCellMar>
            <w:top w:w="0" w:type="dxa"/>
            <w:left w:w="108" w:type="dxa"/>
            <w:bottom w:w="0" w:type="dxa"/>
            <w:right w:w="108" w:type="dxa"/>
          </w:tblCellMar>
        </w:tblPrEx>
        <w:trPr>
          <w:trHeight w:val="521" w:hRule="atLeast"/>
        </w:trPr>
        <w:tc>
          <w:tcPr>
            <w:tcW w:w="1762" w:type="dxa"/>
            <w:gridSpan w:val="2"/>
            <w:tcBorders>
              <w:top w:val="single" w:color="auto" w:sz="4" w:space="0"/>
              <w:left w:val="single" w:color="auto" w:sz="4" w:space="0"/>
              <w:bottom w:val="single" w:color="auto" w:sz="4" w:space="0"/>
              <w:right w:val="single" w:color="auto" w:sz="4" w:space="0"/>
            </w:tcBorders>
            <w:noWrap w:val="0"/>
            <w:vAlign w:val="center"/>
          </w:tcPr>
          <w:p w14:paraId="09E51094">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资格证书</w:t>
            </w:r>
          </w:p>
        </w:tc>
        <w:tc>
          <w:tcPr>
            <w:tcW w:w="1570" w:type="dxa"/>
            <w:tcBorders>
              <w:top w:val="single" w:color="auto" w:sz="4" w:space="0"/>
              <w:left w:val="nil"/>
              <w:bottom w:val="single" w:color="auto" w:sz="4" w:space="0"/>
              <w:right w:val="single" w:color="auto" w:sz="4" w:space="0"/>
            </w:tcBorders>
            <w:noWrap w:val="0"/>
            <w:vAlign w:val="center"/>
          </w:tcPr>
          <w:p w14:paraId="32ABE050">
            <w:pPr>
              <w:pStyle w:val="29"/>
              <w:spacing w:line="360" w:lineRule="auto"/>
              <w:ind w:left="0" w:leftChars="0"/>
              <w:rPr>
                <w:rFonts w:hint="eastAsia" w:ascii="宋体" w:hAnsi="宋体" w:eastAsia="宋体" w:cs="宋体"/>
                <w:color w:val="auto"/>
                <w:sz w:val="24"/>
                <w:szCs w:val="24"/>
                <w:highlight w:val="none"/>
              </w:rPr>
            </w:pPr>
          </w:p>
        </w:tc>
        <w:tc>
          <w:tcPr>
            <w:tcW w:w="1516" w:type="dxa"/>
            <w:tcBorders>
              <w:top w:val="single" w:color="auto" w:sz="4" w:space="0"/>
              <w:left w:val="nil"/>
              <w:bottom w:val="single" w:color="auto" w:sz="4" w:space="0"/>
              <w:right w:val="single" w:color="auto" w:sz="4" w:space="0"/>
            </w:tcBorders>
            <w:noWrap w:val="0"/>
            <w:vAlign w:val="center"/>
          </w:tcPr>
          <w:p w14:paraId="2D66BFD0">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注册时间</w:t>
            </w:r>
          </w:p>
        </w:tc>
        <w:tc>
          <w:tcPr>
            <w:tcW w:w="1323" w:type="dxa"/>
            <w:gridSpan w:val="2"/>
            <w:tcBorders>
              <w:top w:val="single" w:color="auto" w:sz="4" w:space="0"/>
              <w:left w:val="nil"/>
              <w:bottom w:val="single" w:color="auto" w:sz="4" w:space="0"/>
              <w:right w:val="single" w:color="auto" w:sz="4" w:space="0"/>
            </w:tcBorders>
            <w:noWrap w:val="0"/>
            <w:vAlign w:val="center"/>
          </w:tcPr>
          <w:p w14:paraId="46B7BDB4">
            <w:pPr>
              <w:pStyle w:val="29"/>
              <w:spacing w:line="360" w:lineRule="auto"/>
              <w:ind w:left="0" w:leftChars="0"/>
              <w:rPr>
                <w:rFonts w:hint="eastAsia" w:ascii="宋体" w:hAnsi="宋体" w:eastAsia="宋体" w:cs="宋体"/>
                <w:color w:val="auto"/>
                <w:sz w:val="24"/>
                <w:szCs w:val="24"/>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38B5D8C2">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从业时间</w:t>
            </w:r>
          </w:p>
        </w:tc>
        <w:tc>
          <w:tcPr>
            <w:tcW w:w="1133" w:type="dxa"/>
            <w:gridSpan w:val="2"/>
            <w:tcBorders>
              <w:top w:val="single" w:color="auto" w:sz="4" w:space="0"/>
              <w:left w:val="nil"/>
              <w:bottom w:val="single" w:color="auto" w:sz="4" w:space="0"/>
              <w:right w:val="single" w:color="auto" w:sz="4" w:space="0"/>
            </w:tcBorders>
            <w:noWrap w:val="0"/>
            <w:vAlign w:val="center"/>
          </w:tcPr>
          <w:p w14:paraId="518EE071">
            <w:pPr>
              <w:pStyle w:val="29"/>
              <w:spacing w:line="360" w:lineRule="auto"/>
              <w:ind w:left="0" w:leftChars="0" w:firstLine="480" w:firstLineChars="200"/>
              <w:rPr>
                <w:rFonts w:hint="eastAsia" w:ascii="宋体" w:hAnsi="宋体" w:eastAsia="宋体" w:cs="宋体"/>
                <w:color w:val="auto"/>
                <w:sz w:val="24"/>
                <w:szCs w:val="24"/>
                <w:highlight w:val="none"/>
              </w:rPr>
            </w:pPr>
          </w:p>
        </w:tc>
      </w:tr>
      <w:tr w14:paraId="38D40057">
        <w:tblPrEx>
          <w:tblCellMar>
            <w:top w:w="0" w:type="dxa"/>
            <w:left w:w="108" w:type="dxa"/>
            <w:bottom w:w="0" w:type="dxa"/>
            <w:right w:w="108" w:type="dxa"/>
          </w:tblCellMar>
        </w:tblPrEx>
        <w:trPr>
          <w:trHeight w:val="522" w:hRule="atLeast"/>
        </w:trPr>
        <w:tc>
          <w:tcPr>
            <w:tcW w:w="3332" w:type="dxa"/>
            <w:gridSpan w:val="3"/>
            <w:tcBorders>
              <w:top w:val="single" w:color="auto" w:sz="4" w:space="0"/>
              <w:left w:val="single" w:color="auto" w:sz="4" w:space="0"/>
              <w:bottom w:val="single" w:color="auto" w:sz="4" w:space="0"/>
              <w:right w:val="single" w:color="auto" w:sz="4" w:space="0"/>
            </w:tcBorders>
            <w:noWrap w:val="0"/>
            <w:vAlign w:val="center"/>
          </w:tcPr>
          <w:p w14:paraId="6191C30C">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是否属投标人固定雇员</w:t>
            </w:r>
          </w:p>
        </w:tc>
        <w:tc>
          <w:tcPr>
            <w:tcW w:w="1516" w:type="dxa"/>
            <w:tcBorders>
              <w:top w:val="single" w:color="auto" w:sz="4" w:space="0"/>
              <w:left w:val="nil"/>
              <w:bottom w:val="single" w:color="auto" w:sz="4" w:space="0"/>
              <w:right w:val="single" w:color="auto" w:sz="4" w:space="0"/>
            </w:tcBorders>
            <w:noWrap w:val="0"/>
            <w:vAlign w:val="center"/>
          </w:tcPr>
          <w:p w14:paraId="633E827E">
            <w:pPr>
              <w:pStyle w:val="29"/>
              <w:spacing w:line="360" w:lineRule="auto"/>
              <w:ind w:left="0" w:leftChars="0"/>
              <w:rPr>
                <w:rFonts w:hint="eastAsia" w:ascii="宋体" w:hAnsi="宋体" w:eastAsia="宋体" w:cs="宋体"/>
                <w:color w:val="auto"/>
                <w:sz w:val="24"/>
                <w:szCs w:val="24"/>
                <w:highlight w:val="none"/>
              </w:rPr>
            </w:pPr>
          </w:p>
        </w:tc>
        <w:tc>
          <w:tcPr>
            <w:tcW w:w="3023" w:type="dxa"/>
            <w:gridSpan w:val="3"/>
            <w:tcBorders>
              <w:top w:val="single" w:color="auto" w:sz="4" w:space="0"/>
              <w:left w:val="nil"/>
              <w:bottom w:val="single" w:color="auto" w:sz="4" w:space="0"/>
              <w:right w:val="single" w:color="auto" w:sz="4" w:space="0"/>
            </w:tcBorders>
            <w:noWrap w:val="0"/>
            <w:vAlign w:val="center"/>
          </w:tcPr>
          <w:p w14:paraId="66FE7B64">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为投标人服务时间</w:t>
            </w:r>
          </w:p>
        </w:tc>
        <w:tc>
          <w:tcPr>
            <w:tcW w:w="1133" w:type="dxa"/>
            <w:gridSpan w:val="2"/>
            <w:tcBorders>
              <w:top w:val="single" w:color="auto" w:sz="4" w:space="0"/>
              <w:left w:val="nil"/>
              <w:bottom w:val="single" w:color="auto" w:sz="4" w:space="0"/>
              <w:right w:val="single" w:color="auto" w:sz="4" w:space="0"/>
            </w:tcBorders>
            <w:noWrap w:val="0"/>
            <w:vAlign w:val="center"/>
          </w:tcPr>
          <w:p w14:paraId="0F7DDB61">
            <w:pPr>
              <w:pStyle w:val="29"/>
              <w:spacing w:line="360" w:lineRule="auto"/>
              <w:ind w:left="0" w:leftChars="0" w:firstLine="480" w:firstLineChars="200"/>
              <w:rPr>
                <w:rFonts w:hint="eastAsia" w:ascii="宋体" w:hAnsi="宋体" w:eastAsia="宋体" w:cs="宋体"/>
                <w:color w:val="auto"/>
                <w:sz w:val="24"/>
                <w:szCs w:val="24"/>
                <w:highlight w:val="none"/>
              </w:rPr>
            </w:pPr>
          </w:p>
        </w:tc>
      </w:tr>
      <w:tr w14:paraId="3E8D31F1">
        <w:tblPrEx>
          <w:tblCellMar>
            <w:top w:w="0" w:type="dxa"/>
            <w:left w:w="108" w:type="dxa"/>
            <w:bottom w:w="0" w:type="dxa"/>
            <w:right w:w="108" w:type="dxa"/>
          </w:tblCellMar>
        </w:tblPrEx>
        <w:trPr>
          <w:trHeight w:val="521" w:hRule="atLeast"/>
        </w:trPr>
        <w:tc>
          <w:tcPr>
            <w:tcW w:w="3332" w:type="dxa"/>
            <w:gridSpan w:val="3"/>
            <w:tcBorders>
              <w:top w:val="single" w:color="auto" w:sz="4" w:space="0"/>
              <w:left w:val="single" w:color="auto" w:sz="4" w:space="0"/>
              <w:bottom w:val="single" w:color="auto" w:sz="4" w:space="0"/>
              <w:right w:val="single" w:color="auto" w:sz="4" w:space="0"/>
            </w:tcBorders>
            <w:noWrap w:val="0"/>
            <w:vAlign w:val="center"/>
          </w:tcPr>
          <w:p w14:paraId="1C02656A">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拟在本项目担任职务</w:t>
            </w:r>
          </w:p>
        </w:tc>
        <w:tc>
          <w:tcPr>
            <w:tcW w:w="5672" w:type="dxa"/>
            <w:gridSpan w:val="6"/>
            <w:tcBorders>
              <w:top w:val="single" w:color="auto" w:sz="4" w:space="0"/>
              <w:left w:val="nil"/>
              <w:bottom w:val="single" w:color="auto" w:sz="4" w:space="0"/>
              <w:right w:val="single" w:color="auto" w:sz="4" w:space="0"/>
            </w:tcBorders>
            <w:noWrap w:val="0"/>
            <w:vAlign w:val="center"/>
          </w:tcPr>
          <w:p w14:paraId="33D88292">
            <w:pPr>
              <w:pStyle w:val="29"/>
              <w:spacing w:line="360" w:lineRule="auto"/>
              <w:ind w:left="0" w:leftChars="0"/>
              <w:rPr>
                <w:rFonts w:hint="eastAsia" w:ascii="宋体" w:hAnsi="宋体" w:eastAsia="宋体" w:cs="宋体"/>
                <w:color w:val="auto"/>
                <w:sz w:val="24"/>
                <w:szCs w:val="24"/>
                <w:highlight w:val="none"/>
              </w:rPr>
            </w:pPr>
          </w:p>
        </w:tc>
      </w:tr>
      <w:tr w14:paraId="4953B6E0">
        <w:tblPrEx>
          <w:tblCellMar>
            <w:top w:w="0" w:type="dxa"/>
            <w:left w:w="108" w:type="dxa"/>
            <w:bottom w:w="0" w:type="dxa"/>
            <w:right w:w="108" w:type="dxa"/>
          </w:tblCellMar>
        </w:tblPrEx>
        <w:trPr>
          <w:trHeight w:val="546" w:hRule="atLeast"/>
        </w:trPr>
        <w:tc>
          <w:tcPr>
            <w:tcW w:w="9004" w:type="dxa"/>
            <w:gridSpan w:val="9"/>
            <w:tcBorders>
              <w:top w:val="single" w:color="auto" w:sz="4" w:space="0"/>
              <w:left w:val="single" w:color="auto" w:sz="4" w:space="0"/>
              <w:bottom w:val="single" w:color="auto" w:sz="4" w:space="0"/>
              <w:right w:val="single" w:color="auto" w:sz="4" w:space="0"/>
            </w:tcBorders>
            <w:noWrap w:val="0"/>
            <w:vAlign w:val="center"/>
          </w:tcPr>
          <w:p w14:paraId="4D83DDC9">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工作经历</w:t>
            </w:r>
          </w:p>
        </w:tc>
      </w:tr>
      <w:tr w14:paraId="0520F6E4">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205F5C84">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354" w:type="dxa"/>
            <w:gridSpan w:val="3"/>
            <w:tcBorders>
              <w:top w:val="single" w:color="auto" w:sz="4" w:space="0"/>
              <w:left w:val="nil"/>
              <w:bottom w:val="single" w:color="auto" w:sz="4" w:space="0"/>
              <w:right w:val="single" w:color="auto" w:sz="4" w:space="0"/>
            </w:tcBorders>
            <w:noWrap w:val="0"/>
            <w:vAlign w:val="center"/>
          </w:tcPr>
          <w:p w14:paraId="6CB7F834">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p w14:paraId="438A309F">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及当时所在单位</w:t>
            </w:r>
          </w:p>
        </w:tc>
        <w:tc>
          <w:tcPr>
            <w:tcW w:w="1280" w:type="dxa"/>
            <w:tcBorders>
              <w:top w:val="single" w:color="auto" w:sz="4" w:space="0"/>
              <w:left w:val="nil"/>
              <w:bottom w:val="single" w:color="auto" w:sz="4" w:space="0"/>
              <w:right w:val="single" w:color="auto" w:sz="4" w:space="0"/>
            </w:tcBorders>
            <w:noWrap w:val="0"/>
            <w:vAlign w:val="center"/>
          </w:tcPr>
          <w:p w14:paraId="0F5169D9">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w:t>
            </w:r>
          </w:p>
        </w:tc>
        <w:tc>
          <w:tcPr>
            <w:tcW w:w="1750" w:type="dxa"/>
            <w:gridSpan w:val="3"/>
            <w:tcBorders>
              <w:top w:val="single" w:color="auto" w:sz="4" w:space="0"/>
              <w:left w:val="nil"/>
              <w:bottom w:val="single" w:color="auto" w:sz="4" w:space="0"/>
              <w:right w:val="single" w:color="auto" w:sz="4" w:space="0"/>
            </w:tcBorders>
            <w:noWrap w:val="0"/>
            <w:vAlign w:val="center"/>
          </w:tcPr>
          <w:p w14:paraId="33EAFDD6">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主要工作内容</w:t>
            </w:r>
          </w:p>
        </w:tc>
        <w:tc>
          <w:tcPr>
            <w:tcW w:w="1126" w:type="dxa"/>
            <w:tcBorders>
              <w:top w:val="single" w:color="auto" w:sz="4" w:space="0"/>
              <w:left w:val="nil"/>
              <w:bottom w:val="single" w:color="auto" w:sz="4" w:space="0"/>
              <w:right w:val="single" w:color="auto" w:sz="4" w:space="0"/>
            </w:tcBorders>
            <w:noWrap w:val="0"/>
            <w:vAlign w:val="center"/>
          </w:tcPr>
          <w:p w14:paraId="5ACF5DC6">
            <w:pPr>
              <w:pStyle w:val="29"/>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6BF5DEF7">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6E2030D7">
            <w:pPr>
              <w:pStyle w:val="29"/>
              <w:spacing w:line="360" w:lineRule="auto"/>
              <w:ind w:left="0" w:leftChars="0"/>
              <w:jc w:val="both"/>
              <w:rPr>
                <w:rFonts w:hint="eastAsia" w:ascii="宋体" w:hAnsi="宋体" w:eastAsia="宋体" w:cs="宋体"/>
                <w:color w:val="auto"/>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4D07DE80">
            <w:pPr>
              <w:pStyle w:val="29"/>
              <w:spacing w:line="360" w:lineRule="auto"/>
              <w:ind w:left="0" w:leftChars="0"/>
              <w:jc w:val="both"/>
              <w:rPr>
                <w:rFonts w:hint="eastAsia" w:ascii="宋体" w:hAnsi="宋体" w:eastAsia="宋体" w:cs="宋体"/>
                <w:color w:val="auto"/>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3EDC4AD7">
            <w:pPr>
              <w:pStyle w:val="29"/>
              <w:spacing w:line="360" w:lineRule="auto"/>
              <w:ind w:left="0" w:leftChars="0"/>
              <w:jc w:val="both"/>
              <w:rPr>
                <w:rFonts w:hint="eastAsia" w:ascii="宋体" w:hAnsi="宋体" w:eastAsia="宋体" w:cs="宋体"/>
                <w:color w:val="auto"/>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2217DD78">
            <w:pPr>
              <w:pStyle w:val="29"/>
              <w:spacing w:line="360" w:lineRule="auto"/>
              <w:ind w:left="0" w:leftChars="0"/>
              <w:jc w:val="both"/>
              <w:rPr>
                <w:rFonts w:hint="eastAsia" w:ascii="宋体" w:hAnsi="宋体" w:eastAsia="宋体" w:cs="宋体"/>
                <w:color w:val="auto"/>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7576422F">
            <w:pPr>
              <w:pStyle w:val="29"/>
              <w:spacing w:line="360" w:lineRule="auto"/>
              <w:ind w:left="0" w:leftChars="0"/>
              <w:jc w:val="both"/>
              <w:rPr>
                <w:rFonts w:hint="eastAsia" w:ascii="宋体" w:hAnsi="宋体" w:eastAsia="宋体" w:cs="宋体"/>
                <w:color w:val="auto"/>
                <w:sz w:val="24"/>
                <w:szCs w:val="24"/>
                <w:highlight w:val="none"/>
              </w:rPr>
            </w:pPr>
          </w:p>
        </w:tc>
      </w:tr>
      <w:tr w14:paraId="31ED34FE">
        <w:tblPrEx>
          <w:tblCellMar>
            <w:top w:w="0" w:type="dxa"/>
            <w:left w:w="108" w:type="dxa"/>
            <w:bottom w:w="0" w:type="dxa"/>
            <w:right w:w="108" w:type="dxa"/>
          </w:tblCellMar>
        </w:tblPrEx>
        <w:trPr>
          <w:trHeight w:val="547"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371344CF">
            <w:pPr>
              <w:pStyle w:val="29"/>
              <w:spacing w:line="360" w:lineRule="auto"/>
              <w:ind w:left="0" w:leftChars="0"/>
              <w:jc w:val="both"/>
              <w:rPr>
                <w:rFonts w:hint="eastAsia" w:ascii="宋体" w:hAnsi="宋体" w:eastAsia="宋体" w:cs="宋体"/>
                <w:color w:val="auto"/>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7BBF3983">
            <w:pPr>
              <w:pStyle w:val="29"/>
              <w:spacing w:line="360" w:lineRule="auto"/>
              <w:ind w:left="0" w:leftChars="0"/>
              <w:jc w:val="both"/>
              <w:rPr>
                <w:rFonts w:hint="eastAsia" w:ascii="宋体" w:hAnsi="宋体" w:eastAsia="宋体" w:cs="宋体"/>
                <w:color w:val="auto"/>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4C6EBC41">
            <w:pPr>
              <w:pStyle w:val="29"/>
              <w:spacing w:line="360" w:lineRule="auto"/>
              <w:ind w:left="0" w:leftChars="0"/>
              <w:jc w:val="both"/>
              <w:rPr>
                <w:rFonts w:hint="eastAsia" w:ascii="宋体" w:hAnsi="宋体" w:eastAsia="宋体" w:cs="宋体"/>
                <w:color w:val="auto"/>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532023F9">
            <w:pPr>
              <w:pStyle w:val="29"/>
              <w:spacing w:line="360" w:lineRule="auto"/>
              <w:ind w:left="0" w:leftChars="0"/>
              <w:jc w:val="both"/>
              <w:rPr>
                <w:rFonts w:hint="eastAsia" w:ascii="宋体" w:hAnsi="宋体" w:eastAsia="宋体" w:cs="宋体"/>
                <w:color w:val="auto"/>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0BC1B0A6">
            <w:pPr>
              <w:pStyle w:val="29"/>
              <w:spacing w:line="360" w:lineRule="auto"/>
              <w:ind w:left="0" w:leftChars="0"/>
              <w:jc w:val="both"/>
              <w:rPr>
                <w:rFonts w:hint="eastAsia" w:ascii="宋体" w:hAnsi="宋体" w:eastAsia="宋体" w:cs="宋体"/>
                <w:color w:val="auto"/>
                <w:sz w:val="24"/>
                <w:szCs w:val="24"/>
                <w:highlight w:val="none"/>
              </w:rPr>
            </w:pPr>
          </w:p>
        </w:tc>
      </w:tr>
      <w:tr w14:paraId="7DBAD32C">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6789CF8F">
            <w:pPr>
              <w:pStyle w:val="29"/>
              <w:spacing w:line="360" w:lineRule="auto"/>
              <w:ind w:left="0" w:leftChars="0"/>
              <w:jc w:val="both"/>
              <w:rPr>
                <w:rFonts w:hint="eastAsia" w:ascii="宋体" w:hAnsi="宋体" w:eastAsia="宋体" w:cs="宋体"/>
                <w:color w:val="auto"/>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75336F6F">
            <w:pPr>
              <w:pStyle w:val="29"/>
              <w:spacing w:line="360" w:lineRule="auto"/>
              <w:ind w:left="0" w:leftChars="0"/>
              <w:jc w:val="both"/>
              <w:rPr>
                <w:rFonts w:hint="eastAsia" w:ascii="宋体" w:hAnsi="宋体" w:eastAsia="宋体" w:cs="宋体"/>
                <w:color w:val="auto"/>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6F138383">
            <w:pPr>
              <w:pStyle w:val="29"/>
              <w:spacing w:line="360" w:lineRule="auto"/>
              <w:ind w:left="0" w:leftChars="0"/>
              <w:jc w:val="both"/>
              <w:rPr>
                <w:rFonts w:hint="eastAsia" w:ascii="宋体" w:hAnsi="宋体" w:eastAsia="宋体" w:cs="宋体"/>
                <w:color w:val="auto"/>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065C4470">
            <w:pPr>
              <w:pStyle w:val="29"/>
              <w:spacing w:line="360" w:lineRule="auto"/>
              <w:ind w:left="0" w:leftChars="0"/>
              <w:jc w:val="both"/>
              <w:rPr>
                <w:rFonts w:hint="eastAsia" w:ascii="宋体" w:hAnsi="宋体" w:eastAsia="宋体" w:cs="宋体"/>
                <w:color w:val="auto"/>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35C31811">
            <w:pPr>
              <w:pStyle w:val="29"/>
              <w:spacing w:line="360" w:lineRule="auto"/>
              <w:ind w:left="0" w:leftChars="0"/>
              <w:jc w:val="both"/>
              <w:rPr>
                <w:rFonts w:hint="eastAsia" w:ascii="宋体" w:hAnsi="宋体" w:eastAsia="宋体" w:cs="宋体"/>
                <w:color w:val="auto"/>
                <w:sz w:val="24"/>
                <w:szCs w:val="24"/>
                <w:highlight w:val="none"/>
              </w:rPr>
            </w:pPr>
          </w:p>
        </w:tc>
      </w:tr>
      <w:tr w14:paraId="7849E1A1">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46A8AD62">
            <w:pPr>
              <w:pStyle w:val="29"/>
              <w:spacing w:line="360" w:lineRule="auto"/>
              <w:ind w:left="0" w:leftChars="0"/>
              <w:jc w:val="both"/>
              <w:rPr>
                <w:rFonts w:hint="eastAsia" w:ascii="宋体" w:hAnsi="宋体" w:eastAsia="宋体" w:cs="宋体"/>
                <w:color w:val="auto"/>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40E90D37">
            <w:pPr>
              <w:pStyle w:val="29"/>
              <w:spacing w:line="360" w:lineRule="auto"/>
              <w:ind w:left="0" w:leftChars="0"/>
              <w:jc w:val="both"/>
              <w:rPr>
                <w:rFonts w:hint="eastAsia" w:ascii="宋体" w:hAnsi="宋体" w:eastAsia="宋体" w:cs="宋体"/>
                <w:color w:val="auto"/>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61CEEAEA">
            <w:pPr>
              <w:pStyle w:val="29"/>
              <w:spacing w:line="360" w:lineRule="auto"/>
              <w:ind w:left="0" w:leftChars="0"/>
              <w:jc w:val="both"/>
              <w:rPr>
                <w:rFonts w:hint="eastAsia" w:ascii="宋体" w:hAnsi="宋体" w:eastAsia="宋体" w:cs="宋体"/>
                <w:color w:val="auto"/>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236C86B0">
            <w:pPr>
              <w:pStyle w:val="29"/>
              <w:spacing w:line="360" w:lineRule="auto"/>
              <w:ind w:left="0" w:leftChars="0"/>
              <w:jc w:val="both"/>
              <w:rPr>
                <w:rFonts w:hint="eastAsia" w:ascii="宋体" w:hAnsi="宋体" w:eastAsia="宋体" w:cs="宋体"/>
                <w:color w:val="auto"/>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0C824136">
            <w:pPr>
              <w:pStyle w:val="29"/>
              <w:spacing w:line="360" w:lineRule="auto"/>
              <w:ind w:left="0" w:leftChars="0"/>
              <w:jc w:val="both"/>
              <w:rPr>
                <w:rFonts w:hint="eastAsia" w:ascii="宋体" w:hAnsi="宋体" w:eastAsia="宋体" w:cs="宋体"/>
                <w:color w:val="auto"/>
                <w:sz w:val="24"/>
                <w:szCs w:val="24"/>
                <w:highlight w:val="none"/>
              </w:rPr>
            </w:pPr>
          </w:p>
        </w:tc>
      </w:tr>
      <w:tr w14:paraId="2B3F3C76">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38761B85">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3E4BC9EA">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634D26E3">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1A0731A9">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05F3628B">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r>
      <w:tr w14:paraId="6CA23BEB">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356174A4">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6DAA4BB1">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67D1909E">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50FD3540">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3F049858">
            <w:pPr>
              <w:pStyle w:val="29"/>
              <w:spacing w:line="360" w:lineRule="auto"/>
              <w:ind w:left="0" w:leftChars="0" w:firstLine="480" w:firstLineChars="200"/>
              <w:jc w:val="both"/>
              <w:rPr>
                <w:rFonts w:hint="eastAsia" w:ascii="宋体" w:hAnsi="宋体" w:eastAsia="宋体" w:cs="宋体"/>
                <w:color w:val="auto"/>
                <w:sz w:val="24"/>
                <w:szCs w:val="24"/>
                <w:highlight w:val="none"/>
              </w:rPr>
            </w:pPr>
          </w:p>
        </w:tc>
      </w:tr>
    </w:tbl>
    <w:p w14:paraId="57FECCB3">
      <w:pPr>
        <w:pStyle w:val="30"/>
        <w:spacing w:before="0" w:beforeLines="0"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注：附人员相关证明材料。</w:t>
      </w:r>
    </w:p>
    <w:p w14:paraId="618511BD">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lang w:eastAsia="zh-CN"/>
        </w:rPr>
      </w:pPr>
    </w:p>
    <w:p w14:paraId="081C0FAA">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lang w:eastAsia="zh-CN"/>
        </w:rPr>
      </w:pPr>
    </w:p>
    <w:p w14:paraId="0A82F812">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lang w:eastAsia="zh-CN"/>
        </w:rPr>
      </w:pPr>
    </w:p>
    <w:p w14:paraId="13A22E59">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全称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（加盖单位公章）</w:t>
      </w:r>
    </w:p>
    <w:p w14:paraId="1D6EE35C">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0B144D7F">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签</w:t>
      </w:r>
      <w:r>
        <w:rPr>
          <w:rFonts w:hint="eastAsia" w:ascii="宋体" w:hAnsi="宋体" w:eastAsia="宋体" w:cs="宋体"/>
          <w:sz w:val="24"/>
          <w:szCs w:val="24"/>
          <w:u w:val="none"/>
          <w:lang w:eastAsia="zh-CN"/>
        </w:rPr>
        <w:t>字或盖</w:t>
      </w:r>
      <w:r>
        <w:rPr>
          <w:rFonts w:hint="eastAsia" w:ascii="宋体" w:hAnsi="宋体" w:eastAsia="宋体" w:cs="宋体"/>
          <w:sz w:val="24"/>
          <w:szCs w:val="24"/>
          <w:u w:val="none"/>
        </w:rPr>
        <w:t>章</w:t>
      </w:r>
      <w:r>
        <w:rPr>
          <w:rFonts w:hint="eastAsia" w:ascii="宋体" w:hAnsi="宋体" w:eastAsia="宋体" w:cs="宋体"/>
          <w:sz w:val="24"/>
          <w:szCs w:val="24"/>
          <w:u w:val="none"/>
          <w:lang w:val="en-US" w:eastAsia="zh-CN"/>
        </w:rPr>
        <w:t>）</w:t>
      </w:r>
    </w:p>
    <w:p w14:paraId="1D2FE729">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jc w:val="left"/>
        <w:textAlignment w:val="auto"/>
        <w:rPr>
          <w:rFonts w:hint="eastAsia" w:ascii="宋体" w:hAnsi="宋体" w:eastAsia="宋体" w:cs="宋体"/>
          <w:sz w:val="24"/>
          <w:szCs w:val="24"/>
        </w:rPr>
      </w:pPr>
    </w:p>
    <w:p w14:paraId="3994AE8D">
      <w:pPr>
        <w:keepNext w:val="0"/>
        <w:keepLines w:val="0"/>
        <w:pageBreakBefore w:val="0"/>
        <w:widowControl w:val="0"/>
        <w:kinsoku/>
        <w:wordWrap/>
        <w:overflowPunct/>
        <w:topLinePunct w:val="0"/>
        <w:autoSpaceDE/>
        <w:autoSpaceDN/>
        <w:bidi w:val="0"/>
        <w:adjustRightInd/>
        <w:snapToGrid/>
        <w:spacing w:line="280" w:lineRule="exact"/>
        <w:ind w:right="617" w:rightChars="257"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290AD8EA">
      <w:pPr>
        <w:rPr>
          <w:rFonts w:hint="eastAsia" w:ascii="宋体" w:hAnsi="宋体" w:eastAsia="宋体" w:cs="宋体"/>
        </w:rPr>
      </w:pPr>
    </w:p>
    <w:p w14:paraId="3E0478DF">
      <w:pPr>
        <w:rPr>
          <w:rFonts w:hint="eastAsia" w:ascii="宋体" w:hAnsi="宋体" w:eastAsia="宋体" w:cs="宋体"/>
        </w:rPr>
      </w:pPr>
    </w:p>
    <w:p w14:paraId="3B117F12">
      <w:pPr>
        <w:rPr>
          <w:rFonts w:hint="eastAsia" w:ascii="宋体" w:hAnsi="宋体" w:eastAsia="宋体" w:cs="宋体"/>
        </w:rPr>
      </w:pPr>
    </w:p>
    <w:p w14:paraId="6BAA88C1">
      <w:pPr>
        <w:rPr>
          <w:rFonts w:hint="eastAsia" w:ascii="宋体" w:hAnsi="宋体" w:eastAsia="宋体" w:cs="宋体"/>
        </w:rPr>
      </w:pPr>
    </w:p>
    <w:p w14:paraId="06786DFB">
      <w:pPr>
        <w:rPr>
          <w:rFonts w:hint="eastAsia" w:ascii="宋体" w:hAnsi="宋体" w:eastAsia="宋体" w:cs="宋体"/>
        </w:rPr>
      </w:pPr>
    </w:p>
    <w:p w14:paraId="0FDB7587">
      <w:pPr>
        <w:rPr>
          <w:rFonts w:hint="eastAsia" w:ascii="宋体" w:hAnsi="宋体" w:eastAsia="宋体" w:cs="宋体"/>
        </w:rPr>
      </w:pPr>
    </w:p>
    <w:p w14:paraId="1590CC7E">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六、陕</w:t>
      </w:r>
      <w:r>
        <w:rPr>
          <w:rFonts w:hint="eastAsia" w:ascii="宋体" w:hAnsi="宋体" w:eastAsia="宋体" w:cs="宋体"/>
          <w:b/>
          <w:bCs/>
          <w:sz w:val="30"/>
          <w:szCs w:val="30"/>
        </w:rPr>
        <w:t>西省政府采购供应商拒绝政府采购领域商业贿赂承诺书</w:t>
      </w:r>
    </w:p>
    <w:p w14:paraId="6800306D">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为响应党中央、国务院关于治理政府采购领域商业贿赂行为的号召，我公司在此庄严承诺：</w:t>
      </w:r>
    </w:p>
    <w:p w14:paraId="2239E080">
      <w:pPr>
        <w:keepNext w:val="0"/>
        <w:keepLines w:val="0"/>
        <w:pageBreakBefore w:val="0"/>
        <w:widowControl/>
        <w:numPr>
          <w:ilvl w:val="0"/>
          <w:numId w:val="11"/>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在参与政府采购活动中遵纪守法、诚信经营、公平竞标。</w:t>
      </w:r>
    </w:p>
    <w:p w14:paraId="01E07A34">
      <w:pPr>
        <w:keepNext w:val="0"/>
        <w:keepLines w:val="0"/>
        <w:pageBreakBefore w:val="0"/>
        <w:widowControl/>
        <w:numPr>
          <w:ilvl w:val="0"/>
          <w:numId w:val="11"/>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不向政府采购人、采购代理机构和政府采购评审专家进行任何形式的商业贿赂以谋取交易机会。</w:t>
      </w:r>
    </w:p>
    <w:p w14:paraId="0FB4B9BF">
      <w:pPr>
        <w:keepNext w:val="0"/>
        <w:keepLines w:val="0"/>
        <w:pageBreakBefore w:val="0"/>
        <w:widowControl/>
        <w:numPr>
          <w:ilvl w:val="0"/>
          <w:numId w:val="11"/>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不向政府采购代理机构和采购人提供虚假资质文件或采用虚假应标方式参与政府采购市场竞争并谋取中标、成交。</w:t>
      </w:r>
    </w:p>
    <w:p w14:paraId="3252BE8E">
      <w:pPr>
        <w:keepNext w:val="0"/>
        <w:keepLines w:val="0"/>
        <w:pageBreakBefore w:val="0"/>
        <w:widowControl/>
        <w:numPr>
          <w:ilvl w:val="0"/>
          <w:numId w:val="11"/>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不采取“围标、陪标”等商业欺诈手段获得政府采购定单。</w:t>
      </w:r>
    </w:p>
    <w:p w14:paraId="122CDFBD">
      <w:pPr>
        <w:keepNext w:val="0"/>
        <w:keepLines w:val="0"/>
        <w:pageBreakBefore w:val="0"/>
        <w:widowControl/>
        <w:numPr>
          <w:ilvl w:val="0"/>
          <w:numId w:val="11"/>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不采取不正当手段诋毁、排挤其他供应商。</w:t>
      </w:r>
    </w:p>
    <w:p w14:paraId="59A67F8E">
      <w:pPr>
        <w:keepNext w:val="0"/>
        <w:keepLines w:val="0"/>
        <w:pageBreakBefore w:val="0"/>
        <w:widowControl/>
        <w:numPr>
          <w:ilvl w:val="0"/>
          <w:numId w:val="11"/>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不在提供商品和服务时“偷梁换柱、以次充好”损害采购人的合法权益。</w:t>
      </w:r>
    </w:p>
    <w:p w14:paraId="2EC5264C">
      <w:pPr>
        <w:keepNext w:val="0"/>
        <w:keepLines w:val="0"/>
        <w:pageBreakBefore w:val="0"/>
        <w:widowControl/>
        <w:numPr>
          <w:ilvl w:val="0"/>
          <w:numId w:val="11"/>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不与采购人、采购代理机构政府采购评审专家或其它供应商恶意串通，进行质疑和投诉，维护政府采购市场秩序。</w:t>
      </w:r>
    </w:p>
    <w:p w14:paraId="4E9AFA67">
      <w:pPr>
        <w:keepNext w:val="0"/>
        <w:keepLines w:val="0"/>
        <w:pageBreakBefore w:val="0"/>
        <w:widowControl/>
        <w:numPr>
          <w:ilvl w:val="0"/>
          <w:numId w:val="11"/>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尊重和接受政府采购监督管理部门的监督和政府采购代理机构招标采购要求，承担因违约行为给采购人造成的损失。</w:t>
      </w:r>
    </w:p>
    <w:p w14:paraId="4A76D27E">
      <w:pPr>
        <w:keepNext w:val="0"/>
        <w:keepLines w:val="0"/>
        <w:pageBreakBefore w:val="0"/>
        <w:widowControl/>
        <w:numPr>
          <w:ilvl w:val="0"/>
          <w:numId w:val="11"/>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不发生其他有悖于政府采购公开、公平、公正和诚信原则的行为。</w:t>
      </w:r>
      <w:r>
        <w:rPr>
          <w:rFonts w:hint="eastAsia" w:ascii="宋体" w:hAnsi="宋体" w:eastAsia="宋体" w:cs="宋体"/>
          <w:sz w:val="24"/>
          <w:szCs w:val="24"/>
        </w:rPr>
        <w:br w:type="textWrapping"/>
      </w:r>
    </w:p>
    <w:p w14:paraId="4F17AD37">
      <w:pPr>
        <w:widowControl/>
        <w:spacing w:line="408" w:lineRule="auto"/>
        <w:ind w:left="274" w:leftChars="114"/>
        <w:jc w:val="left"/>
        <w:rPr>
          <w:rFonts w:hint="eastAsia" w:ascii="宋体" w:hAnsi="宋体" w:eastAsia="宋体" w:cs="宋体"/>
          <w:sz w:val="24"/>
          <w:szCs w:val="24"/>
        </w:rPr>
      </w:pPr>
      <w:r>
        <w:rPr>
          <w:rFonts w:hint="eastAsia" w:ascii="宋体" w:hAnsi="宋体" w:eastAsia="宋体" w:cs="宋体"/>
          <w:sz w:val="24"/>
          <w:szCs w:val="24"/>
        </w:rPr>
        <w:t>承诺单位：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（盖章）</w:t>
      </w:r>
      <w:r>
        <w:rPr>
          <w:rFonts w:hint="eastAsia" w:ascii="宋体" w:hAnsi="宋体" w:eastAsia="宋体" w:cs="宋体"/>
          <w:sz w:val="24"/>
          <w:szCs w:val="24"/>
        </w:rPr>
        <w:br w:type="textWrapping"/>
      </w:r>
      <w:r>
        <w:rPr>
          <w:rFonts w:hint="eastAsia" w:ascii="宋体" w:hAnsi="宋体" w:eastAsia="宋体" w:cs="宋体"/>
          <w:sz w:val="24"/>
          <w:szCs w:val="24"/>
          <w:lang w:eastAsia="zh-CN"/>
        </w:rPr>
        <w:t>被授权人</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w:t>
      </w:r>
      <w:r>
        <w:rPr>
          <w:rFonts w:hint="eastAsia" w:ascii="宋体" w:hAnsi="宋体" w:eastAsia="宋体" w:cs="宋体"/>
          <w:sz w:val="24"/>
          <w:szCs w:val="24"/>
          <w:lang w:eastAsia="zh-CN"/>
        </w:rPr>
        <w:t>字</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地</w:t>
      </w:r>
      <w:r>
        <w:rPr>
          <w:rFonts w:hint="eastAsia" w:hAnsi="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u w:val="single"/>
          <w:lang w:val="en-US" w:eastAsia="zh-CN"/>
        </w:rPr>
        <w:t xml:space="preserve">                          </w:t>
      </w:r>
    </w:p>
    <w:p w14:paraId="46A94AC4">
      <w:pPr>
        <w:widowControl/>
        <w:spacing w:line="408" w:lineRule="auto"/>
        <w:ind w:left="274" w:leftChars="114"/>
        <w:jc w:val="left"/>
        <w:rPr>
          <w:rFonts w:hint="eastAsia" w:ascii="宋体" w:hAnsi="宋体" w:eastAsia="宋体" w:cs="宋体"/>
          <w:sz w:val="24"/>
          <w:szCs w:val="24"/>
        </w:rPr>
      </w:pPr>
      <w:r>
        <w:rPr>
          <w:rFonts w:hint="eastAsia" w:ascii="宋体" w:hAnsi="宋体" w:eastAsia="宋体" w:cs="宋体"/>
          <w:sz w:val="24"/>
          <w:szCs w:val="24"/>
        </w:rPr>
        <w:t>邮</w:t>
      </w:r>
      <w:r>
        <w:rPr>
          <w:rFonts w:hint="eastAsia" w:hAnsi="宋体" w:cs="宋体"/>
          <w:sz w:val="24"/>
          <w:szCs w:val="24"/>
          <w:lang w:val="en-US" w:eastAsia="zh-CN"/>
        </w:rPr>
        <w:t xml:space="preserve">    </w:t>
      </w:r>
      <w:r>
        <w:rPr>
          <w:rFonts w:hint="eastAsia" w:ascii="宋体" w:hAnsi="宋体" w:eastAsia="宋体" w:cs="宋体"/>
          <w:sz w:val="24"/>
          <w:szCs w:val="24"/>
        </w:rPr>
        <w:t>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br w:type="textWrapping"/>
      </w:r>
      <w:r>
        <w:rPr>
          <w:rFonts w:hint="eastAsia" w:ascii="宋体" w:hAnsi="宋体" w:eastAsia="宋体" w:cs="宋体"/>
          <w:sz w:val="24"/>
          <w:szCs w:val="24"/>
        </w:rPr>
        <w:t>电</w:t>
      </w:r>
      <w:r>
        <w:rPr>
          <w:rFonts w:hint="eastAsia" w:hAnsi="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82276C6">
      <w:pPr>
        <w:spacing w:line="360" w:lineRule="auto"/>
        <w:jc w:val="center"/>
        <w:rPr>
          <w:rFonts w:hint="eastAsia" w:ascii="楷体" w:hAnsi="楷体" w:eastAsia="楷体" w:cs="楷体"/>
          <w:b/>
          <w:bCs/>
          <w:sz w:val="30"/>
          <w:szCs w:val="30"/>
          <w:highlight w:val="none"/>
        </w:rPr>
      </w:pPr>
      <w:bookmarkStart w:id="137" w:name="_Toc31052_WPSOffice_Level1"/>
      <w:bookmarkStart w:id="138" w:name="_Toc19798_WPSOffice_Level1"/>
    </w:p>
    <w:p w14:paraId="76D12724">
      <w:pPr>
        <w:spacing w:line="360" w:lineRule="auto"/>
        <w:jc w:val="center"/>
        <w:rPr>
          <w:rFonts w:hint="eastAsia" w:ascii="楷体" w:hAnsi="楷体" w:eastAsia="楷体" w:cs="楷体"/>
          <w:b/>
          <w:bCs/>
          <w:sz w:val="30"/>
          <w:szCs w:val="30"/>
          <w:highlight w:val="none"/>
        </w:rPr>
      </w:pPr>
    </w:p>
    <w:p w14:paraId="3EE3EEAD">
      <w:pPr>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七、落实政府采购政策须提供的资料及供应商认为有必要提供的其它资料</w:t>
      </w:r>
      <w:bookmarkEnd w:id="137"/>
      <w:bookmarkEnd w:id="138"/>
    </w:p>
    <w:p w14:paraId="19A25B47">
      <w:pPr>
        <w:spacing w:line="360" w:lineRule="auto"/>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r>
        <w:rPr>
          <w:rFonts w:hint="eastAsia" w:ascii="宋体" w:hAnsi="宋体" w:eastAsia="宋体" w:cs="宋体"/>
          <w:b/>
          <w:bCs/>
          <w:sz w:val="30"/>
          <w:szCs w:val="30"/>
          <w:highlight w:val="none"/>
        </w:rPr>
        <w:t>附件</w:t>
      </w:r>
      <w:r>
        <w:rPr>
          <w:rFonts w:hint="eastAsia" w:ascii="宋体" w:hAnsi="宋体" w:eastAsia="宋体" w:cs="宋体"/>
          <w:b/>
          <w:bCs/>
          <w:sz w:val="30"/>
          <w:szCs w:val="30"/>
          <w:highlight w:val="none"/>
          <w:lang w:val="en-US" w:eastAsia="zh-CN"/>
        </w:rPr>
        <w:t>3</w:t>
      </w:r>
      <w:r>
        <w:rPr>
          <w:rFonts w:hint="eastAsia" w:ascii="宋体" w:hAnsi="宋体" w:eastAsia="宋体" w:cs="宋体"/>
          <w:b/>
          <w:bCs/>
          <w:sz w:val="30"/>
          <w:szCs w:val="30"/>
          <w:highlight w:val="none"/>
        </w:rPr>
        <w:t>：（如有）</w:t>
      </w:r>
    </w:p>
    <w:p w14:paraId="1A3C170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中小企业声明函（工程、服务）</w:t>
      </w:r>
    </w:p>
    <w:p w14:paraId="7D74912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A5E39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采购文件所明确的行业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行业；承建（承接）企业为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7703A16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采购文件所明确的行业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行业；承建（承接）企业为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2312AFB8">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775C3DB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7BD5390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515093A7">
      <w:pPr>
        <w:spacing w:line="360" w:lineRule="auto"/>
        <w:ind w:firstLine="3960" w:firstLineChars="16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7BEEE756">
      <w:pPr>
        <w:spacing w:line="360" w:lineRule="auto"/>
        <w:ind w:firstLine="3960" w:firstLineChars="16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950037B">
      <w:pPr>
        <w:adjustRightInd w:val="0"/>
        <w:snapToGrid w:val="0"/>
        <w:spacing w:line="360" w:lineRule="auto"/>
        <w:rPr>
          <w:rFonts w:hint="eastAsia" w:ascii="宋体" w:hAnsi="宋体" w:eastAsia="宋体" w:cs="宋体"/>
          <w:sz w:val="24"/>
          <w:szCs w:val="24"/>
          <w:highlight w:val="none"/>
        </w:rPr>
      </w:pPr>
    </w:p>
    <w:p w14:paraId="66F29F4D">
      <w:pPr>
        <w:adjustRightInd w:val="0"/>
        <w:snapToGrid w:val="0"/>
        <w:spacing w:line="360" w:lineRule="auto"/>
        <w:rPr>
          <w:rFonts w:hint="eastAsia" w:ascii="宋体" w:hAnsi="宋体" w:eastAsia="宋体" w:cs="宋体"/>
          <w:sz w:val="24"/>
          <w:szCs w:val="24"/>
          <w:highlight w:val="none"/>
        </w:rPr>
      </w:pPr>
    </w:p>
    <w:p w14:paraId="3A373157">
      <w:pPr>
        <w:adjustRightInd w:val="0"/>
        <w:snapToGrid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说明：                                  </w:t>
      </w:r>
    </w:p>
    <w:p w14:paraId="00577949">
      <w:pPr>
        <w:adjustRightInd w:val="0"/>
        <w:snapToGrid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从业人员、营业收入、资产总额填报上一年度数据，无上一年度数据的新成立企业可不填报。</w:t>
      </w:r>
    </w:p>
    <w:p w14:paraId="0FF96B18">
      <w:pPr>
        <w:adjustRightInd w:val="0"/>
        <w:snapToGrid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如不是该类企业则不需提供相关声明，若提供虚假材料谋取中标、成交的，将按照《</w:t>
      </w:r>
      <w:r>
        <w:rPr>
          <w:rFonts w:hint="eastAsia" w:ascii="宋体" w:hAnsi="宋体" w:eastAsia="宋体" w:cs="宋体"/>
          <w:spacing w:val="4"/>
          <w:sz w:val="24"/>
          <w:szCs w:val="24"/>
          <w:highlight w:val="none"/>
        </w:rPr>
        <w:t>中华人民共和国政府采购法</w:t>
      </w:r>
      <w:r>
        <w:rPr>
          <w:rFonts w:hint="eastAsia" w:ascii="宋体" w:hAnsi="宋体" w:eastAsia="宋体" w:cs="宋体"/>
          <w:sz w:val="24"/>
          <w:szCs w:val="24"/>
          <w:highlight w:val="none"/>
        </w:rPr>
        <w:t>》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3FC9979">
      <w:pPr>
        <w:spacing w:line="360" w:lineRule="auto"/>
        <w:jc w:val="left"/>
        <w:rPr>
          <w:rFonts w:hint="eastAsia" w:ascii="宋体" w:hAnsi="宋体" w:eastAsia="宋体" w:cs="宋体"/>
          <w:b/>
          <w:bCs/>
          <w:kern w:val="2"/>
          <w:sz w:val="24"/>
          <w:szCs w:val="24"/>
          <w:highlight w:val="none"/>
        </w:rPr>
      </w:pPr>
    </w:p>
    <w:p w14:paraId="3257FC98">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rPr>
        <w:t>附件</w:t>
      </w:r>
      <w:r>
        <w:rPr>
          <w:rFonts w:hint="eastAsia" w:ascii="宋体" w:hAnsi="宋体" w:eastAsia="宋体" w:cs="宋体"/>
          <w:b/>
          <w:bCs/>
          <w:kern w:val="2"/>
          <w:sz w:val="24"/>
          <w:szCs w:val="24"/>
          <w:highlight w:val="none"/>
          <w:lang w:val="en-US" w:eastAsia="zh-CN"/>
        </w:rPr>
        <w:t>4</w:t>
      </w:r>
      <w:r>
        <w:rPr>
          <w:rFonts w:hint="eastAsia" w:ascii="宋体" w:hAnsi="宋体" w:eastAsia="宋体" w:cs="宋体"/>
          <w:b/>
          <w:bCs/>
          <w:kern w:val="2"/>
          <w:sz w:val="24"/>
          <w:szCs w:val="24"/>
          <w:highlight w:val="none"/>
        </w:rPr>
        <w:t>：（如有）</w:t>
      </w:r>
    </w:p>
    <w:p w14:paraId="05BB7C8F">
      <w:pPr>
        <w:autoSpaceDE w:val="0"/>
        <w:autoSpaceDN w:val="0"/>
        <w:adjustRightInd w:val="0"/>
        <w:spacing w:line="360" w:lineRule="auto"/>
        <w:jc w:val="center"/>
        <w:rPr>
          <w:rFonts w:hint="eastAsia" w:ascii="宋体" w:hAnsi="宋体" w:eastAsia="宋体" w:cs="宋体"/>
          <w:b/>
          <w:sz w:val="24"/>
          <w:szCs w:val="24"/>
          <w:highlight w:val="none"/>
          <w:lang w:val="zh-CN"/>
        </w:rPr>
      </w:pPr>
      <w:bookmarkStart w:id="139" w:name="_Toc20308_WPSOffice_Level1"/>
      <w:bookmarkStart w:id="140" w:name="_Toc7170_WPSOffice_Level1"/>
      <w:r>
        <w:rPr>
          <w:rFonts w:hint="eastAsia" w:ascii="宋体" w:hAnsi="宋体" w:eastAsia="宋体" w:cs="宋体"/>
          <w:b/>
          <w:sz w:val="24"/>
          <w:szCs w:val="24"/>
          <w:highlight w:val="none"/>
          <w:lang w:val="zh-CN"/>
        </w:rPr>
        <w:t>残疾人福利性单位声明函</w:t>
      </w:r>
      <w:bookmarkEnd w:id="139"/>
      <w:bookmarkEnd w:id="140"/>
    </w:p>
    <w:p w14:paraId="3C86738D">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val="zh-CN"/>
        </w:rPr>
      </w:pPr>
    </w:p>
    <w:p w14:paraId="55545816">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zh-CN"/>
        </w:rPr>
        <w:t>单位的</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zh-CN"/>
        </w:rPr>
        <w:t>项目采购活动提供本单位制造的货物（由本单位承担工程/提供服务），或者提供其他残疾人福利性单位制造的货物（不包括使用非残疾人福利性单位注册商标的货物）。</w:t>
      </w:r>
    </w:p>
    <w:p w14:paraId="6CC7CCEE">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本单位对上述声明的真实性负责。如有虚假，将依法承担相应责任。</w:t>
      </w:r>
    </w:p>
    <w:p w14:paraId="0CDCEF88">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val="zh-CN"/>
        </w:rPr>
      </w:pPr>
    </w:p>
    <w:p w14:paraId="2D3C8C70">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val="zh-CN"/>
        </w:rPr>
      </w:pPr>
    </w:p>
    <w:p w14:paraId="7019D831">
      <w:pPr>
        <w:autoSpaceDE w:val="0"/>
        <w:autoSpaceDN w:val="0"/>
        <w:adjustRightInd w:val="0"/>
        <w:spacing w:line="360" w:lineRule="auto"/>
        <w:ind w:firstLine="3840" w:firstLineChars="1600"/>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单位名称（盖章）：</w:t>
      </w:r>
    </w:p>
    <w:p w14:paraId="663C4F26">
      <w:pPr>
        <w:autoSpaceDE w:val="0"/>
        <w:autoSpaceDN w:val="0"/>
        <w:adjustRightInd w:val="0"/>
        <w:spacing w:line="360" w:lineRule="auto"/>
        <w:ind w:firstLine="3840" w:firstLineChars="1600"/>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日  期：</w:t>
      </w:r>
    </w:p>
    <w:p w14:paraId="73550978">
      <w:pPr>
        <w:adjustRightInd w:val="0"/>
        <w:snapToGrid w:val="0"/>
        <w:spacing w:line="360" w:lineRule="auto"/>
        <w:jc w:val="left"/>
        <w:rPr>
          <w:rFonts w:hint="eastAsia" w:ascii="宋体" w:hAnsi="宋体" w:eastAsia="宋体" w:cs="宋体"/>
          <w:sz w:val="24"/>
          <w:szCs w:val="24"/>
          <w:highlight w:val="none"/>
        </w:rPr>
      </w:pPr>
    </w:p>
    <w:p w14:paraId="7202E9B7">
      <w:pPr>
        <w:tabs>
          <w:tab w:val="left" w:pos="1620"/>
          <w:tab w:val="left" w:pos="1800"/>
        </w:tabs>
        <w:spacing w:line="360" w:lineRule="auto"/>
        <w:ind w:right="617" w:rightChars="257"/>
        <w:jc w:val="left"/>
        <w:rPr>
          <w:rFonts w:hint="eastAsia" w:ascii="宋体" w:hAnsi="宋体" w:eastAsia="宋体" w:cs="宋体"/>
          <w:sz w:val="24"/>
          <w:szCs w:val="24"/>
          <w:highlight w:val="none"/>
        </w:rPr>
      </w:pPr>
    </w:p>
    <w:p w14:paraId="1174A785">
      <w:pPr>
        <w:autoSpaceDE w:val="0"/>
        <w:autoSpaceDN w:val="0"/>
        <w:adjustRightInd w:val="0"/>
        <w:spacing w:line="360" w:lineRule="auto"/>
        <w:jc w:val="left"/>
        <w:rPr>
          <w:rFonts w:hint="eastAsia" w:ascii="宋体" w:hAnsi="宋体" w:eastAsia="宋体" w:cs="宋体"/>
          <w:bCs/>
          <w:sz w:val="24"/>
          <w:szCs w:val="24"/>
          <w:highlight w:val="none"/>
          <w:lang w:val="zh-CN"/>
        </w:rPr>
      </w:pPr>
    </w:p>
    <w:p w14:paraId="23C27D17">
      <w:pPr>
        <w:autoSpaceDE w:val="0"/>
        <w:autoSpaceDN w:val="0"/>
        <w:adjustRightInd w:val="0"/>
        <w:spacing w:line="360" w:lineRule="auto"/>
        <w:jc w:val="left"/>
        <w:rPr>
          <w:rFonts w:hint="eastAsia" w:ascii="宋体" w:hAnsi="宋体" w:eastAsia="宋体" w:cs="宋体"/>
          <w:bCs/>
          <w:sz w:val="24"/>
          <w:szCs w:val="24"/>
          <w:highlight w:val="none"/>
          <w:lang w:val="zh-CN"/>
        </w:rPr>
      </w:pPr>
    </w:p>
    <w:p w14:paraId="12C59D32">
      <w:pPr>
        <w:autoSpaceDE w:val="0"/>
        <w:autoSpaceDN w:val="0"/>
        <w:adjustRightInd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w:t>
      </w:r>
      <w:r>
        <w:rPr>
          <w:rFonts w:hint="eastAsia" w:ascii="宋体" w:hAnsi="宋体" w:eastAsia="宋体" w:cs="宋体"/>
          <w:bCs/>
          <w:sz w:val="24"/>
          <w:szCs w:val="24"/>
          <w:highlight w:val="none"/>
        </w:rPr>
        <w:t>1.供应商</w:t>
      </w:r>
      <w:r>
        <w:rPr>
          <w:rFonts w:hint="eastAsia" w:ascii="宋体" w:hAnsi="宋体" w:eastAsia="宋体" w:cs="宋体"/>
          <w:bCs/>
          <w:sz w:val="24"/>
          <w:szCs w:val="24"/>
          <w:highlight w:val="none"/>
          <w:lang w:val="zh-CN"/>
        </w:rPr>
        <w:t>应仔细阅读《财政部 民政部 中国残疾人联合会关于促进残疾人就业政府采购政策的通知》，并如实填写本表，符合条件的供应商未按上述要求提供、填写的，评审时不予以考虑。</w:t>
      </w:r>
    </w:p>
    <w:p w14:paraId="2E311CEB">
      <w:pPr>
        <w:autoSpaceDE w:val="0"/>
        <w:autoSpaceDN w:val="0"/>
        <w:adjustRightInd w:val="0"/>
        <w:spacing w:line="360" w:lineRule="auto"/>
        <w:ind w:firstLine="240" w:firstLineChars="100"/>
        <w:jc w:val="left"/>
        <w:rPr>
          <w:rFonts w:hint="eastAsia" w:ascii="宋体" w:hAnsi="宋体" w:eastAsia="宋体" w:cs="宋体"/>
          <w:b/>
          <w:sz w:val="24"/>
          <w:szCs w:val="24"/>
          <w:highlight w:val="none"/>
          <w:lang w:val="zh-CN"/>
        </w:rPr>
      </w:pPr>
      <w:r>
        <w:rPr>
          <w:rFonts w:hint="eastAsia" w:ascii="宋体" w:hAnsi="宋体" w:eastAsia="宋体" w:cs="宋体"/>
          <w:sz w:val="24"/>
          <w:szCs w:val="24"/>
          <w:highlight w:val="none"/>
        </w:rPr>
        <w:t>2.如不是该类企业则不需提供相关声明，若提供虚假材料谋取中标、成交的，将按照《</w:t>
      </w:r>
      <w:r>
        <w:rPr>
          <w:rFonts w:hint="eastAsia" w:ascii="宋体" w:hAnsi="宋体" w:eastAsia="宋体" w:cs="宋体"/>
          <w:spacing w:val="4"/>
          <w:sz w:val="24"/>
          <w:szCs w:val="24"/>
          <w:highlight w:val="none"/>
        </w:rPr>
        <w:t>中华人民共和国政府采购法</w:t>
      </w:r>
      <w:r>
        <w:rPr>
          <w:rFonts w:hint="eastAsia" w:ascii="宋体" w:hAnsi="宋体" w:eastAsia="宋体" w:cs="宋体"/>
          <w:sz w:val="24"/>
          <w:szCs w:val="24"/>
          <w:highlight w:val="none"/>
        </w:rPr>
        <w:t>》第七十七条规定对供应商处以采购金额千分之五以上千分之十以下的罚款，列入不良行为记录名单，在三年内禁止参加政府采购活动，有违法所得的，并处没收违法所得，情节严重的，由工商行政管理机关吊销营业执照；构成犯罪的，依法追究刑事责任。</w:t>
      </w:r>
    </w:p>
    <w:p w14:paraId="3C39CFBF">
      <w:pPr>
        <w:pStyle w:val="10"/>
        <w:spacing w:line="360" w:lineRule="auto"/>
        <w:jc w:val="left"/>
        <w:rPr>
          <w:rFonts w:hint="eastAsia" w:ascii="宋体" w:hAnsi="宋体" w:eastAsia="宋体" w:cs="宋体"/>
          <w:sz w:val="24"/>
          <w:szCs w:val="24"/>
          <w:highlight w:val="none"/>
        </w:rPr>
      </w:pPr>
    </w:p>
    <w:p w14:paraId="4CEE640E">
      <w:pPr>
        <w:pStyle w:val="1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：（如有）</w:t>
      </w:r>
    </w:p>
    <w:p w14:paraId="29A8C00D">
      <w:pPr>
        <w:pStyle w:val="10"/>
        <w:spacing w:line="360" w:lineRule="auto"/>
        <w:jc w:val="center"/>
        <w:rPr>
          <w:rFonts w:hint="eastAsia" w:ascii="宋体" w:hAnsi="宋体" w:eastAsia="宋体" w:cs="宋体"/>
          <w:b/>
          <w:bCs/>
          <w:sz w:val="24"/>
          <w:szCs w:val="24"/>
          <w:highlight w:val="none"/>
        </w:rPr>
      </w:pPr>
      <w:bookmarkStart w:id="141" w:name="_Toc30531_WPSOffice_Level1"/>
      <w:bookmarkStart w:id="142" w:name="_Toc14555_WPSOffice_Level1"/>
      <w:r>
        <w:rPr>
          <w:rFonts w:hint="eastAsia" w:ascii="宋体" w:hAnsi="宋体" w:eastAsia="宋体" w:cs="宋体"/>
          <w:b/>
          <w:bCs/>
          <w:sz w:val="24"/>
          <w:szCs w:val="24"/>
          <w:highlight w:val="none"/>
        </w:rPr>
        <w:t>监狱企业证明文件</w:t>
      </w:r>
      <w:bookmarkEnd w:id="141"/>
      <w:bookmarkEnd w:id="142"/>
    </w:p>
    <w:p w14:paraId="4118DED2">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0EDD90">
      <w:pPr>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监狱企业参加政府采购活动时，应当提供由省级以上监狱管理局、戒毒管理局（含新疆生产建设兵团）出具的属于监狱企业的证明文件。</w:t>
      </w:r>
    </w:p>
    <w:p w14:paraId="68BE8413">
      <w:pPr>
        <w:spacing w:before="156" w:beforeLines="50" w:after="312" w:afterLines="100"/>
        <w:jc w:val="left"/>
        <w:rPr>
          <w:rFonts w:hint="eastAsia" w:ascii="宋体" w:hAnsi="宋体" w:eastAsia="宋体" w:cs="宋体"/>
          <w:b/>
          <w:bCs/>
          <w:sz w:val="24"/>
          <w:szCs w:val="24"/>
          <w:highlight w:val="none"/>
        </w:rPr>
      </w:pPr>
    </w:p>
    <w:p w14:paraId="552DCD23">
      <w:pPr>
        <w:spacing w:before="156" w:beforeLines="50" w:after="312" w:afterLines="100"/>
        <w:jc w:val="left"/>
        <w:rPr>
          <w:rFonts w:hint="eastAsia" w:ascii="宋体" w:hAnsi="宋体" w:eastAsia="宋体" w:cs="宋体"/>
          <w:b/>
          <w:bCs/>
          <w:sz w:val="24"/>
          <w:szCs w:val="24"/>
          <w:highlight w:val="none"/>
        </w:rPr>
      </w:pPr>
    </w:p>
    <w:p w14:paraId="38C11D43">
      <w:pPr>
        <w:spacing w:before="156" w:beforeLines="50" w:after="312" w:afterLines="100"/>
        <w:jc w:val="left"/>
        <w:rPr>
          <w:rFonts w:hint="eastAsia" w:ascii="宋体" w:hAnsi="宋体" w:eastAsia="宋体" w:cs="宋体"/>
          <w:b/>
          <w:bCs/>
          <w:sz w:val="24"/>
          <w:szCs w:val="24"/>
          <w:highlight w:val="none"/>
        </w:rPr>
      </w:pPr>
    </w:p>
    <w:p w14:paraId="4F677DB3">
      <w:pPr>
        <w:spacing w:before="156" w:beforeLines="50" w:after="312" w:afterLines="100"/>
        <w:jc w:val="left"/>
        <w:rPr>
          <w:rFonts w:hint="eastAsia" w:ascii="宋体" w:hAnsi="宋体" w:eastAsia="宋体" w:cs="宋体"/>
          <w:b/>
          <w:bCs/>
          <w:sz w:val="24"/>
          <w:szCs w:val="24"/>
          <w:highlight w:val="none"/>
        </w:rPr>
      </w:pPr>
    </w:p>
    <w:p w14:paraId="2FB4E6C4">
      <w:pPr>
        <w:spacing w:before="156" w:beforeLines="50" w:after="312" w:afterLines="100"/>
        <w:jc w:val="left"/>
        <w:rPr>
          <w:rFonts w:hint="eastAsia" w:ascii="宋体" w:hAnsi="宋体" w:eastAsia="宋体" w:cs="宋体"/>
          <w:b/>
          <w:bCs/>
          <w:sz w:val="24"/>
          <w:szCs w:val="24"/>
          <w:highlight w:val="none"/>
        </w:rPr>
      </w:pPr>
    </w:p>
    <w:p w14:paraId="7DC22426">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14:paraId="675028DF">
      <w:pPr>
        <w:adjustRightInd w:val="0"/>
        <w:snapToGrid w:val="0"/>
        <w:spacing w:line="360" w:lineRule="auto"/>
        <w:ind w:firstLine="525"/>
        <w:rPr>
          <w:rFonts w:hint="eastAsia" w:ascii="宋体" w:hAnsi="宋体" w:eastAsia="宋体" w:cs="宋体"/>
          <w:bCs/>
          <w:sz w:val="24"/>
          <w:szCs w:val="24"/>
          <w:highlight w:val="none"/>
        </w:rPr>
      </w:pPr>
      <w:r>
        <w:rPr>
          <w:rFonts w:hint="eastAsia" w:ascii="宋体" w:hAnsi="宋体" w:eastAsia="宋体" w:cs="宋体"/>
          <w:bCs/>
          <w:sz w:val="24"/>
          <w:szCs w:val="24"/>
          <w:highlight w:val="none"/>
        </w:rPr>
        <w:t>1.无格式要求，由出具监狱企业证明的单位自行拟定；</w:t>
      </w:r>
    </w:p>
    <w:p w14:paraId="5413C6F0">
      <w:pPr>
        <w:adjustRightInd w:val="0"/>
        <w:snapToGrid w:val="0"/>
        <w:spacing w:line="360" w:lineRule="auto"/>
        <w:ind w:firstLine="525"/>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highlight w:val="none"/>
        </w:rPr>
        <w:t>2.如不是该类企业则不需提供相关声明，若提供虚假材料谋取中标、成交的，将按照《</w:t>
      </w:r>
      <w:r>
        <w:rPr>
          <w:rFonts w:hint="eastAsia" w:ascii="宋体" w:hAnsi="宋体" w:eastAsia="宋体" w:cs="宋体"/>
          <w:spacing w:val="4"/>
          <w:sz w:val="24"/>
          <w:szCs w:val="24"/>
          <w:highlight w:val="none"/>
        </w:rPr>
        <w:t>中华人民共和国政府采购法</w:t>
      </w:r>
      <w:r>
        <w:rPr>
          <w:rFonts w:hint="eastAsia" w:ascii="宋体" w:hAnsi="宋体" w:eastAsia="宋体" w:cs="宋体"/>
          <w:sz w:val="24"/>
          <w:szCs w:val="24"/>
          <w:highlight w:val="none"/>
        </w:rPr>
        <w:t>》第七十七条规定对供应商处以采购金额千分之五以上千分之十以下的罚款，列入不良行为记录名单，在三年内禁止参加政府采购活动，有违法所得的，并处没收违法所得，情节严重的，由工商行政管理机关吊销营业执照；构成犯罪的，依法追究刑事责任。</w:t>
      </w:r>
    </w:p>
    <w:p w14:paraId="4A9A6780">
      <w:pPr>
        <w:rPr>
          <w:rFonts w:hint="eastAsia" w:ascii="宋体" w:hAnsi="宋体" w:eastAsia="宋体" w:cs="宋体"/>
        </w:rPr>
      </w:pPr>
    </w:p>
    <w:p w14:paraId="317C6635">
      <w:pPr>
        <w:rPr>
          <w:rFonts w:hint="eastAsia" w:ascii="宋体" w:hAnsi="宋体" w:eastAsia="宋体" w:cs="宋体"/>
        </w:rPr>
      </w:pPr>
    </w:p>
    <w:p w14:paraId="318909F7">
      <w:pPr>
        <w:rPr>
          <w:rFonts w:hint="eastAsia" w:ascii="宋体" w:hAnsi="宋体" w:eastAsia="宋体" w:cs="宋体"/>
        </w:rPr>
      </w:pPr>
    </w:p>
    <w:p w14:paraId="4EBA6AFD"/>
    <w:sectPr>
      <w:headerReference r:id="rId7" w:type="default"/>
      <w:footerReference r:id="rId8" w:type="default"/>
      <w:pgSz w:w="11906" w:h="16838"/>
      <w:pgMar w:top="1417" w:right="1417" w:bottom="1417"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ngXian Regular">
    <w:altName w:val="Microsoft YaHei UI"/>
    <w:panose1 w:val="00000000000000000000"/>
    <w:charset w:val="86"/>
    <w:family w:val="script"/>
    <w:pitch w:val="default"/>
    <w:sig w:usb0="00000000" w:usb1="00000000"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8778">
    <w:pPr>
      <w:pStyle w:val="13"/>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3951">
    <w:pPr>
      <w:pStyle w:val="1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76200" cy="1974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200" cy="197485"/>
                      </a:xfrm>
                      <a:prstGeom prst="rect">
                        <a:avLst/>
                      </a:prstGeom>
                      <a:noFill/>
                      <a:ln>
                        <a:noFill/>
                      </a:ln>
                    </wps:spPr>
                    <wps:txbx>
                      <w:txbxContent>
                        <w:p w14:paraId="5E21620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5.55pt;width:6pt;mso-position-horizontal:left;mso-position-horizontal-relative:margin;mso-wrap-style:none;z-index:251659264;mso-width-relative:page;mso-height-relative:page;" filled="f" stroked="f" coordsize="21600,21600" o:gfxdata="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19XTtAAAAADAQAADwAAAAAAAAABACAAAAAiAAAAZHJzL2Rvd25y&#10;ZXYueG1sUEsBAhQAFAAAAAgAh07iQNCK6RLNAQAAlgMAAA4AAAAAAAAAAQAgAAAAHwEAAGRycy9l&#10;Mm9Eb2MueG1sUEsFBgAAAAAGAAYAWQEAAF4FAAAAAA==&#10;">
              <v:fill on="f" focussize="0,0"/>
              <v:stroke on="f"/>
              <v:imagedata o:title=""/>
              <o:lock v:ext="edit" aspectratio="f"/>
              <v:textbox inset="0mm,0mm,0mm,0mm" style="mso-fit-shape-to-text:t;">
                <w:txbxContent>
                  <w:p w14:paraId="5E21620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5FA69">
    <w:pPr>
      <w:pStyle w:val="13"/>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EC28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2EC28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124E">
    <w:pPr>
      <w:tabs>
        <w:tab w:val="left" w:pos="5646"/>
      </w:tabs>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EECCE">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2EECCE">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8D581">
    <w:pPr>
      <w:spacing w:line="500" w:lineRule="exact"/>
      <w:ind w:left="1530" w:hanging="2040" w:hangingChars="850"/>
      <w:jc w:val="left"/>
      <w:rPr>
        <w:rFonts w:hint="eastAsia" w:ascii="仿宋" w:hAnsi="仿宋" w:eastAsia="仿宋" w:cs="仿宋"/>
        <w:szCs w:val="24"/>
        <w:lang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BC7D">
    <w:pPr>
      <w:spacing w:line="500" w:lineRule="exact"/>
      <w:ind w:left="1530" w:hanging="2040" w:hangingChars="850"/>
      <w:jc w:val="left"/>
      <w:rPr>
        <w:rFonts w:hint="eastAsia" w:ascii="仿宋" w:hAnsi="仿宋" w:eastAsia="仿宋" w:cs="仿宋"/>
        <w:szCs w:val="24"/>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9BC1EECB"/>
    <w:multiLevelType w:val="singleLevel"/>
    <w:tmpl w:val="9BC1EECB"/>
    <w:lvl w:ilvl="0" w:tentative="0">
      <w:start w:val="1"/>
      <w:numFmt w:val="chineseCounting"/>
      <w:suff w:val="nothing"/>
      <w:lvlText w:val="（%1）"/>
      <w:lvlJc w:val="left"/>
      <w:rPr>
        <w:rFonts w:hint="eastAsia"/>
      </w:rPr>
    </w:lvl>
  </w:abstractNum>
  <w:abstractNum w:abstractNumId="2">
    <w:nsid w:val="B871951A"/>
    <w:multiLevelType w:val="singleLevel"/>
    <w:tmpl w:val="B871951A"/>
    <w:lvl w:ilvl="0" w:tentative="0">
      <w:start w:val="1"/>
      <w:numFmt w:val="decimal"/>
      <w:suff w:val="space"/>
      <w:lvlText w:val="%1."/>
      <w:lvlJc w:val="left"/>
    </w:lvl>
  </w:abstractNum>
  <w:abstractNum w:abstractNumId="3">
    <w:nsid w:val="CBED85D6"/>
    <w:multiLevelType w:val="singleLevel"/>
    <w:tmpl w:val="CBED85D6"/>
    <w:lvl w:ilvl="0" w:tentative="0">
      <w:start w:val="1"/>
      <w:numFmt w:val="decimal"/>
      <w:lvlText w:val="%1."/>
      <w:lvlJc w:val="left"/>
      <w:pPr>
        <w:tabs>
          <w:tab w:val="left" w:pos="312"/>
        </w:tabs>
      </w:pPr>
    </w:lvl>
  </w:abstractNum>
  <w:abstractNum w:abstractNumId="4">
    <w:nsid w:val="E0DC7E9A"/>
    <w:multiLevelType w:val="singleLevel"/>
    <w:tmpl w:val="E0DC7E9A"/>
    <w:lvl w:ilvl="0" w:tentative="0">
      <w:start w:val="1"/>
      <w:numFmt w:val="decimal"/>
      <w:suff w:val="nothing"/>
      <w:lvlText w:val="（%1）"/>
      <w:lvlJc w:val="left"/>
      <w:pPr>
        <w:tabs>
          <w:tab w:val="left" w:pos="0"/>
        </w:tabs>
        <w:ind w:left="0" w:firstLine="0"/>
      </w:pPr>
    </w:lvl>
  </w:abstractNum>
  <w:abstractNum w:abstractNumId="5">
    <w:nsid w:val="1F3C67F8"/>
    <w:multiLevelType w:val="singleLevel"/>
    <w:tmpl w:val="1F3C67F8"/>
    <w:lvl w:ilvl="0" w:tentative="0">
      <w:start w:val="1"/>
      <w:numFmt w:val="decimal"/>
      <w:suff w:val="nothing"/>
      <w:lvlText w:val="%1、"/>
      <w:lvlJc w:val="left"/>
      <w:pPr>
        <w:tabs>
          <w:tab w:val="left" w:pos="0"/>
        </w:tabs>
        <w:ind w:left="0" w:firstLine="0"/>
      </w:pPr>
    </w:lvl>
  </w:abstractNum>
  <w:abstractNum w:abstractNumId="6">
    <w:nsid w:val="2166F5B1"/>
    <w:multiLevelType w:val="singleLevel"/>
    <w:tmpl w:val="2166F5B1"/>
    <w:lvl w:ilvl="0" w:tentative="0">
      <w:start w:val="1"/>
      <w:numFmt w:val="chineseCounting"/>
      <w:suff w:val="space"/>
      <w:lvlText w:val="第%1章"/>
      <w:lvlJc w:val="left"/>
      <w:rPr>
        <w:rFonts w:hint="eastAsia"/>
      </w:rPr>
    </w:lvl>
  </w:abstractNum>
  <w:abstractNum w:abstractNumId="7">
    <w:nsid w:val="2FA145E6"/>
    <w:multiLevelType w:val="singleLevel"/>
    <w:tmpl w:val="2FA145E6"/>
    <w:lvl w:ilvl="0" w:tentative="0">
      <w:start w:val="5"/>
      <w:numFmt w:val="chineseCounting"/>
      <w:suff w:val="nothing"/>
      <w:lvlText w:val="（%1）"/>
      <w:lvlJc w:val="left"/>
      <w:rPr>
        <w:rFonts w:hint="eastAsia"/>
        <w:sz w:val="28"/>
        <w:szCs w:val="28"/>
      </w:rPr>
    </w:lvl>
  </w:abstractNum>
  <w:abstractNum w:abstractNumId="8">
    <w:nsid w:val="550BB5CF"/>
    <w:multiLevelType w:val="singleLevel"/>
    <w:tmpl w:val="550BB5CF"/>
    <w:lvl w:ilvl="0" w:tentative="0">
      <w:start w:val="3"/>
      <w:numFmt w:val="chineseCounting"/>
      <w:suff w:val="space"/>
      <w:lvlText w:val="第%1章"/>
      <w:lvlJc w:val="left"/>
      <w:pPr>
        <w:tabs>
          <w:tab w:val="left" w:pos="0"/>
        </w:tabs>
        <w:ind w:left="0" w:firstLine="0"/>
      </w:pPr>
    </w:lvl>
  </w:abstractNum>
  <w:abstractNum w:abstractNumId="9">
    <w:nsid w:val="59CF0981"/>
    <w:multiLevelType w:val="singleLevel"/>
    <w:tmpl w:val="59CF0981"/>
    <w:lvl w:ilvl="0" w:tentative="0">
      <w:start w:val="1"/>
      <w:numFmt w:val="decimal"/>
      <w:suff w:val="nothing"/>
      <w:lvlText w:val="%1、"/>
      <w:lvlJc w:val="left"/>
      <w:pPr>
        <w:tabs>
          <w:tab w:val="left" w:pos="0"/>
        </w:tabs>
        <w:ind w:left="0" w:firstLine="0"/>
      </w:pPr>
    </w:lvl>
  </w:abstractNum>
  <w:abstractNum w:abstractNumId="10">
    <w:nsid w:val="67E2C109"/>
    <w:multiLevelType w:val="singleLevel"/>
    <w:tmpl w:val="67E2C109"/>
    <w:lvl w:ilvl="0" w:tentative="0">
      <w:start w:val="1"/>
      <w:numFmt w:val="decimal"/>
      <w:suff w:val="nothing"/>
      <w:lvlText w:val="%1、"/>
      <w:lvlJc w:val="left"/>
    </w:lvl>
  </w:abstractNum>
  <w:num w:numId="1">
    <w:abstractNumId w:val="6"/>
  </w:num>
  <w:num w:numId="2">
    <w:abstractNumId w:val="4"/>
  </w:num>
  <w:num w:numId="3">
    <w:abstractNumId w:val="5"/>
  </w:num>
  <w:num w:numId="4">
    <w:abstractNumId w:val="8"/>
  </w:num>
  <w:num w:numId="5">
    <w:abstractNumId w:val="9"/>
  </w:num>
  <w:num w:numId="6">
    <w:abstractNumId w:val="10"/>
  </w:num>
  <w:num w:numId="7">
    <w:abstractNumId w:val="3"/>
  </w:num>
  <w:num w:numId="8">
    <w:abstractNumId w:val="1"/>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TkxMGM0MzU1YTIwZGE2ZDQ4ZmFlMDA1OTIyNzMifQ=="/>
  </w:docVars>
  <w:rsids>
    <w:rsidRoot w:val="206B7654"/>
    <w:rsid w:val="02750329"/>
    <w:rsid w:val="028B6CBE"/>
    <w:rsid w:val="028C3991"/>
    <w:rsid w:val="05322502"/>
    <w:rsid w:val="057E4A76"/>
    <w:rsid w:val="06E94E42"/>
    <w:rsid w:val="08033CE1"/>
    <w:rsid w:val="09F31EBB"/>
    <w:rsid w:val="0CCC6D98"/>
    <w:rsid w:val="0DD203DE"/>
    <w:rsid w:val="10B755B5"/>
    <w:rsid w:val="12D90460"/>
    <w:rsid w:val="14BF71E2"/>
    <w:rsid w:val="14FF0B83"/>
    <w:rsid w:val="16302145"/>
    <w:rsid w:val="17336416"/>
    <w:rsid w:val="174D3ABB"/>
    <w:rsid w:val="1A230ABD"/>
    <w:rsid w:val="205401DD"/>
    <w:rsid w:val="206B7654"/>
    <w:rsid w:val="20E1656A"/>
    <w:rsid w:val="219F4AF6"/>
    <w:rsid w:val="229879F0"/>
    <w:rsid w:val="229E2B2D"/>
    <w:rsid w:val="25BA5ED0"/>
    <w:rsid w:val="26864004"/>
    <w:rsid w:val="27746A20"/>
    <w:rsid w:val="27C43035"/>
    <w:rsid w:val="29802F8C"/>
    <w:rsid w:val="2ABD3ED7"/>
    <w:rsid w:val="2B8B773A"/>
    <w:rsid w:val="2C637441"/>
    <w:rsid w:val="2DE2072E"/>
    <w:rsid w:val="30230CE6"/>
    <w:rsid w:val="3191145B"/>
    <w:rsid w:val="31F76A4E"/>
    <w:rsid w:val="32456B21"/>
    <w:rsid w:val="34D67F04"/>
    <w:rsid w:val="35C10BB4"/>
    <w:rsid w:val="39A94698"/>
    <w:rsid w:val="39F74BA5"/>
    <w:rsid w:val="3A974937"/>
    <w:rsid w:val="3ECD2378"/>
    <w:rsid w:val="40FF7830"/>
    <w:rsid w:val="422317DF"/>
    <w:rsid w:val="428B491A"/>
    <w:rsid w:val="431B5DA8"/>
    <w:rsid w:val="44AA56EB"/>
    <w:rsid w:val="44FD023A"/>
    <w:rsid w:val="457E2217"/>
    <w:rsid w:val="47F95F8C"/>
    <w:rsid w:val="481E59F2"/>
    <w:rsid w:val="498808EE"/>
    <w:rsid w:val="4A361719"/>
    <w:rsid w:val="4BB842B7"/>
    <w:rsid w:val="4C001FDF"/>
    <w:rsid w:val="4C231829"/>
    <w:rsid w:val="50153B7F"/>
    <w:rsid w:val="510734C7"/>
    <w:rsid w:val="515E3550"/>
    <w:rsid w:val="53536E98"/>
    <w:rsid w:val="53E64FFD"/>
    <w:rsid w:val="54C94F38"/>
    <w:rsid w:val="55FF3307"/>
    <w:rsid w:val="56D976B4"/>
    <w:rsid w:val="59881254"/>
    <w:rsid w:val="5AF50835"/>
    <w:rsid w:val="5C063701"/>
    <w:rsid w:val="5DB91A03"/>
    <w:rsid w:val="5E651A81"/>
    <w:rsid w:val="5F6F28C6"/>
    <w:rsid w:val="60DA050A"/>
    <w:rsid w:val="610B0DB2"/>
    <w:rsid w:val="617D3332"/>
    <w:rsid w:val="65540C76"/>
    <w:rsid w:val="66106E4C"/>
    <w:rsid w:val="67086F0E"/>
    <w:rsid w:val="69C16311"/>
    <w:rsid w:val="6B7B687F"/>
    <w:rsid w:val="6E625D89"/>
    <w:rsid w:val="6EA63F35"/>
    <w:rsid w:val="6EB55876"/>
    <w:rsid w:val="6FB50225"/>
    <w:rsid w:val="719E138D"/>
    <w:rsid w:val="71C650B7"/>
    <w:rsid w:val="71CF7049"/>
    <w:rsid w:val="73777ED7"/>
    <w:rsid w:val="7471608C"/>
    <w:rsid w:val="74FA6D1C"/>
    <w:rsid w:val="770E3ADA"/>
    <w:rsid w:val="7BB06386"/>
    <w:rsid w:val="7C7C270C"/>
    <w:rsid w:val="7C945CA8"/>
    <w:rsid w:val="7D080444"/>
    <w:rsid w:val="7E614118"/>
    <w:rsid w:val="7FF4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szCs w:val="20"/>
      <w:lang w:val="en-US" w:eastAsia="zh-CN" w:bidi="ar-SA"/>
    </w:rPr>
  </w:style>
  <w:style w:type="paragraph" w:styleId="2">
    <w:name w:val="heading 1"/>
    <w:basedOn w:val="1"/>
    <w:next w:val="1"/>
    <w:link w:val="24"/>
    <w:qFormat/>
    <w:uiPriority w:val="0"/>
    <w:pPr>
      <w:keepNext/>
      <w:widowControl w:val="0"/>
      <w:outlineLvl w:val="0"/>
    </w:pPr>
    <w:rPr>
      <w:rFonts w:ascii="仿宋_GB2312" w:eastAsia="仿宋_GB2312"/>
      <w:b/>
      <w:kern w:val="2"/>
      <w:sz w:val="32"/>
    </w:rPr>
  </w:style>
  <w:style w:type="paragraph" w:styleId="3">
    <w:name w:val="heading 2"/>
    <w:basedOn w:val="1"/>
    <w:next w:val="1"/>
    <w:link w:val="28"/>
    <w:qFormat/>
    <w:uiPriority w:val="0"/>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widowControl w:val="0"/>
      <w:spacing w:before="200" w:line="400" w:lineRule="exact"/>
      <w:jc w:val="center"/>
      <w:outlineLvl w:val="2"/>
    </w:pPr>
    <w:rPr>
      <w:rFonts w:ascii="Times New Roman" w:hAnsi="Times New Roman"/>
      <w:b/>
      <w:bCs/>
      <w:kern w:val="2"/>
      <w:szCs w:val="24"/>
    </w:rPr>
  </w:style>
  <w:style w:type="paragraph" w:styleId="5">
    <w:name w:val="heading 4"/>
    <w:basedOn w:val="1"/>
    <w:next w:val="1"/>
    <w:qFormat/>
    <w:uiPriority w:val="0"/>
    <w:pPr>
      <w:keepNext/>
      <w:keepLines/>
      <w:widowControl w:val="0"/>
      <w:adjustRightInd w:val="0"/>
      <w:spacing w:before="280" w:after="290" w:line="376" w:lineRule="atLeast"/>
      <w:textAlignment w:val="baseline"/>
      <w:outlineLvl w:val="3"/>
    </w:pPr>
    <w:rPr>
      <w:rFonts w:ascii="Cambria" w:hAnsi="Cambria" w:eastAsia="仿宋"/>
      <w:b/>
      <w:bCs/>
      <w:kern w:val="0"/>
      <w:szCs w:val="28"/>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spacing w:line="300" w:lineRule="auto"/>
      <w:ind w:firstLine="200" w:firstLineChars="200"/>
    </w:pPr>
    <w:rPr>
      <w:rFonts w:ascii="Times New Roman" w:hAnsi="Times New Roman"/>
      <w:kern w:val="2"/>
      <w:sz w:val="21"/>
      <w:szCs w:val="24"/>
    </w:rPr>
  </w:style>
  <w:style w:type="paragraph" w:styleId="8">
    <w:name w:val="toc 4"/>
    <w:basedOn w:val="1"/>
    <w:next w:val="1"/>
    <w:unhideWhenUsed/>
    <w:qFormat/>
    <w:uiPriority w:val="39"/>
    <w:pPr>
      <w:ind w:left="1260" w:leftChars="600"/>
    </w:pPr>
  </w:style>
  <w:style w:type="paragraph" w:styleId="9">
    <w:name w:val="annotation text"/>
    <w:basedOn w:val="1"/>
    <w:qFormat/>
    <w:uiPriority w:val="0"/>
    <w:pPr>
      <w:jc w:val="left"/>
    </w:pPr>
    <w:rPr>
      <w:rFonts w:ascii="Times New Roman" w:hAnsi="Times New Roman"/>
      <w:kern w:val="2"/>
      <w:sz w:val="21"/>
      <w:szCs w:val="24"/>
    </w:rPr>
  </w:style>
  <w:style w:type="paragraph" w:styleId="10">
    <w:name w:val="Body Text"/>
    <w:basedOn w:val="1"/>
    <w:next w:val="1"/>
    <w:qFormat/>
    <w:uiPriority w:val="0"/>
    <w:pPr>
      <w:spacing w:after="120"/>
    </w:pPr>
    <w:rPr>
      <w:rFonts w:ascii="Times New Roman" w:hAnsi="Times New Roman"/>
      <w:kern w:val="2"/>
      <w:sz w:val="21"/>
    </w:rPr>
  </w:style>
  <w:style w:type="paragraph" w:styleId="11">
    <w:name w:val="Body Text Indent"/>
    <w:basedOn w:val="1"/>
    <w:next w:val="1"/>
    <w:qFormat/>
    <w:uiPriority w:val="0"/>
    <w:pPr>
      <w:widowControl/>
      <w:ind w:firstLine="233" w:firstLineChars="233"/>
    </w:pPr>
    <w:rPr>
      <w:rFonts w:ascii="Times New Roman" w:hAnsi="Times New Roman"/>
      <w:sz w:val="28"/>
    </w:rPr>
  </w:style>
  <w:style w:type="paragraph" w:styleId="12">
    <w:name w:val="Plain Text"/>
    <w:basedOn w:val="1"/>
    <w:qFormat/>
    <w:uiPriority w:val="0"/>
    <w:rPr>
      <w:kern w:val="2"/>
      <w:sz w:val="21"/>
    </w:rPr>
  </w:style>
  <w:style w:type="paragraph" w:styleId="13">
    <w:name w:val="footer"/>
    <w:basedOn w:val="1"/>
    <w:qFormat/>
    <w:uiPriority w:val="0"/>
    <w:pPr>
      <w:tabs>
        <w:tab w:val="center" w:pos="4153"/>
        <w:tab w:val="right" w:pos="8306"/>
      </w:tabs>
      <w:snapToGrid w:val="0"/>
      <w:jc w:val="left"/>
    </w:pPr>
    <w:rPr>
      <w:rFonts w:ascii="Times New Roman" w:hAnsi="Times New Roman"/>
      <w:kern w:val="2"/>
      <w:sz w:val="18"/>
      <w:szCs w:val="18"/>
    </w:rPr>
  </w:style>
  <w:style w:type="paragraph" w:styleId="14">
    <w:name w:val="toc 1"/>
    <w:basedOn w:val="1"/>
    <w:next w:val="1"/>
    <w:qFormat/>
    <w:uiPriority w:val="0"/>
  </w:style>
  <w:style w:type="paragraph" w:styleId="15">
    <w:name w:val="Body Text Indent 3"/>
    <w:basedOn w:val="1"/>
    <w:qFormat/>
    <w:uiPriority w:val="0"/>
    <w:pPr>
      <w:spacing w:line="410" w:lineRule="exact"/>
      <w:ind w:left="295" w:leftChars="295" w:firstLine="179" w:firstLineChars="179"/>
    </w:pPr>
    <w:rPr>
      <w:spacing w:val="4"/>
      <w:kern w:val="2"/>
      <w:sz w:val="21"/>
    </w:rPr>
  </w:style>
  <w:style w:type="paragraph" w:styleId="16">
    <w:name w:val="toc 2"/>
    <w:basedOn w:val="1"/>
    <w:next w:val="1"/>
    <w:qFormat/>
    <w:uiPriority w:val="0"/>
    <w:pPr>
      <w:ind w:left="200" w:leftChars="200"/>
    </w:pPr>
  </w:style>
  <w:style w:type="paragraph" w:styleId="17">
    <w:name w:val="Normal (Web)"/>
    <w:basedOn w:val="1"/>
    <w:qFormat/>
    <w:uiPriority w:val="0"/>
    <w:pPr>
      <w:widowControl/>
      <w:spacing w:before="100" w:beforeAutospacing="1" w:after="100" w:afterAutospacing="1"/>
      <w:jc w:val="left"/>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0"/>
    <w:rPr>
      <w:color w:val="333333"/>
      <w:u w:val="single"/>
    </w:rPr>
  </w:style>
  <w:style w:type="paragraph" w:customStyle="1" w:styleId="23">
    <w:name w:val="正文 A"/>
    <w:qFormat/>
    <w:uiPriority w:val="0"/>
    <w:pPr>
      <w:widowControl w:val="0"/>
      <w:jc w:val="both"/>
    </w:pPr>
    <w:rPr>
      <w:rFonts w:ascii="DengXian Regular" w:hAnsi="DengXian Regular" w:eastAsia="Arial Unicode MS" w:cs="Arial Unicode MS"/>
      <w:color w:val="000000"/>
      <w:sz w:val="21"/>
      <w:szCs w:val="21"/>
      <w:u w:val="none" w:color="000000"/>
      <w:lang w:val="en-US" w:eastAsia="zh-CN" w:bidi="ar-SA"/>
    </w:rPr>
  </w:style>
  <w:style w:type="character" w:customStyle="1" w:styleId="24">
    <w:name w:val="标题 1 Char"/>
    <w:basedOn w:val="20"/>
    <w:link w:val="2"/>
    <w:qFormat/>
    <w:uiPriority w:val="0"/>
    <w:rPr>
      <w:rFonts w:ascii="仿宋_GB2312" w:eastAsia="仿宋_GB2312"/>
      <w:b/>
      <w:kern w:val="2"/>
      <w:sz w:val="32"/>
    </w:rPr>
  </w:style>
  <w:style w:type="paragraph" w:customStyle="1" w:styleId="25">
    <w:name w:val="Table Paragraph"/>
    <w:basedOn w:val="1"/>
    <w:qFormat/>
    <w:uiPriority w:val="0"/>
    <w:rPr>
      <w:rFonts w:ascii="宋体" w:cs="宋体"/>
      <w:lang w:val="zh-CN" w:eastAsia="zh-CN" w:bidi="zh-CN"/>
    </w:rPr>
  </w:style>
  <w:style w:type="paragraph" w:customStyle="1" w:styleId="26">
    <w:name w:val="List Paragraph1"/>
    <w:basedOn w:val="1"/>
    <w:qFormat/>
    <w:uiPriority w:val="0"/>
    <w:pPr>
      <w:ind w:firstLine="200" w:firstLineChars="200"/>
    </w:pPr>
  </w:style>
  <w:style w:type="paragraph" w:customStyle="1" w:styleId="27">
    <w:name w:val="null3"/>
    <w:qFormat/>
    <w:uiPriority w:val="0"/>
    <w:rPr>
      <w:rFonts w:hint="eastAsia" w:ascii="Calibri" w:hAnsi="Calibri" w:eastAsia="宋体" w:cs="Times New Roman"/>
      <w:lang w:val="en-US" w:eastAsia="zh-Hans"/>
    </w:rPr>
  </w:style>
  <w:style w:type="character" w:customStyle="1" w:styleId="28">
    <w:name w:val="标题 2 字符"/>
    <w:link w:val="3"/>
    <w:qFormat/>
    <w:uiPriority w:val="9"/>
    <w:rPr>
      <w:rFonts w:ascii="Arial" w:hAnsi="Arial"/>
      <w:b/>
      <w:bCs/>
      <w:sz w:val="28"/>
      <w:szCs w:val="32"/>
    </w:rPr>
  </w:style>
  <w:style w:type="paragraph" w:customStyle="1" w:styleId="29">
    <w:name w:val="表格文字中"/>
    <w:basedOn w:val="1"/>
    <w:qFormat/>
    <w:uiPriority w:val="0"/>
    <w:pPr>
      <w:adjustRightInd w:val="0"/>
      <w:snapToGrid w:val="0"/>
      <w:ind w:left="8" w:leftChars="8"/>
      <w:jc w:val="center"/>
    </w:pPr>
    <w:rPr>
      <w:szCs w:val="24"/>
    </w:rPr>
  </w:style>
  <w:style w:type="paragraph" w:customStyle="1" w:styleId="30">
    <w:name w:val="表注1"/>
    <w:basedOn w:val="1"/>
    <w:qFormat/>
    <w:uiPriority w:val="0"/>
    <w:pPr>
      <w:adjustRightInd w:val="0"/>
      <w:snapToGrid w:val="0"/>
      <w:spacing w:before="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18372</Words>
  <Characters>19802</Characters>
  <Lines>0</Lines>
  <Paragraphs>0</Paragraphs>
  <TotalTime>146</TotalTime>
  <ScaleCrop>false</ScaleCrop>
  <LinksUpToDate>false</LinksUpToDate>
  <CharactersWithSpaces>21313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2024-11-08T07:25:00Z</dcterms:created>
  <dc:creator>WPS_1645495754</dc:creator>
  <cp:lastModifiedBy>做１朶美美的太阳花</cp:lastModifiedBy>
  <dcterms:modified xsi:type="dcterms:W3CDTF">2024-11-22T01:45:17Z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0DDEE6970F2D4896BFFAF6EA30216431_11</vt:lpwstr>
  </property>
</Properties>
</file>