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13B42">
      <w:pPr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eastAsia="zh-CN"/>
        </w:rPr>
        <w:t>采购内容及技术要求</w:t>
      </w:r>
    </w:p>
    <w:p w14:paraId="55BD7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一、采购内容及技术要求</w:t>
      </w:r>
    </w:p>
    <w:p w14:paraId="1ECF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1、土地评估</w:t>
      </w:r>
    </w:p>
    <w:p w14:paraId="5172A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受能源金融办委托，为能源金融贸易区（能源金贸片区）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范围内宗地提供土地评估服务。按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能源金融贸易区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园办指定的宗地范围，遵循公正、公平、公开的原则和科学的评估方法，按国家规定，向能源金融贸易园办出具符合规范要求的评估报告。</w:t>
      </w:r>
    </w:p>
    <w:p w14:paraId="324A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2、相关服务</w:t>
      </w:r>
    </w:p>
    <w:p w14:paraId="7D7E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受能源金融办委托，为能源金融贸易区（能源金贸片区）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范围内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政策咨询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提供专业服务，最终按照委托约定的内容提供正式成果（文本及相关附表、附图）。</w:t>
      </w:r>
    </w:p>
    <w:p w14:paraId="4851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3、评估依据及标准</w:t>
      </w:r>
    </w:p>
    <w:p w14:paraId="2015A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包含但不限于下列内容：</w:t>
      </w:r>
    </w:p>
    <w:p w14:paraId="15CB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《中华人民共和国土地管理法》；</w:t>
      </w:r>
    </w:p>
    <w:p w14:paraId="4F45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符合《国有建设用地使用权出让地价评估技术规范》要求；</w:t>
      </w:r>
    </w:p>
    <w:p w14:paraId="73A72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符合中华人民共和国国家标准《城镇土地估价规程》（GB/T 18508-2014）。</w:t>
      </w:r>
    </w:p>
    <w:p w14:paraId="40DF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zh-CN" w:eastAsia="zh-CN"/>
        </w:rPr>
        <w:t>、技术要求</w:t>
      </w:r>
    </w:p>
    <w:p w14:paraId="0F835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接到委托项目通知，必须按约定时间及时与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负责人联系。资料齐全后10个工作日内完成报告，并确保出具的《土地估价报告》、《房地产估价报告》等估价成果并保证技术服务成果的科学性、合理性、准确性，符合审查审批要求，履行备案。</w:t>
      </w:r>
    </w:p>
    <w:p w14:paraId="0832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要求成果符合《城镇土地估价规程》（GB/T18508-2014）、《房地产估价规范》（GB/T50291-2015）、《国土资源部办公厅关于发布〈国有建设用地使用权出让地价评估技术规范〉的通知》（国土资厅发〔2018〕4号）、《国土资源部、财政部、中国人民银行、中国银行业监督管理委员会关于印发&lt;土地储备管理办法&gt;的通知》（国土资规〔2017〕17号）等国家、陕西省、西安市规程、政策、规范性文件要求。</w:t>
      </w:r>
    </w:p>
    <w:p w14:paraId="0E552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其它内容以采购人要求及双方签订的合同中规定内容为准。</w:t>
      </w:r>
    </w:p>
    <w:p w14:paraId="7F80C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5、付款方式</w:t>
      </w:r>
    </w:p>
    <w:p w14:paraId="111B26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</w:rPr>
        <w:t>付款方式：合同签订后，双方每三个月据实结算一次，结算依据为甲方委托书、乙方提交的成果及甲方验收无误的确认单。</w:t>
      </w:r>
    </w:p>
    <w:p w14:paraId="7F71A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备注: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24"/>
        </w:rPr>
        <w:t>季度考核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明细，乙方</w:t>
      </w:r>
      <w:r>
        <w:rPr>
          <w:rFonts w:hint="eastAsia" w:ascii="仿宋" w:hAnsi="仿宋" w:eastAsia="仿宋" w:cs="仿宋"/>
          <w:color w:val="auto"/>
          <w:sz w:val="24"/>
        </w:rPr>
        <w:t>成绩在90分及以上,支付当季结算金额的100%:考核成绩在80-90分之问，支付当季结算金额的 95%;考核成绩在 70-80 分之间,支付当季结算金额的 90%:考核成绩在 60-70 分之间，支付当季结算金额的 85%;考核成绩在60 分以下，支付当季结算金额的 80%。</w:t>
      </w:r>
    </w:p>
    <w:p w14:paraId="63C02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</w:rPr>
        <w:t>双方结算后，甲方支付上三个月服务费用，付款前乙方应向甲方提供该次费用所对应项目的收费明细，并加盖公章。经甲方确认后，乙方应提供符合甲方财务要求的等额合规的增值税普通发票，甲方在收到发票后及时安排付款，否则甲方可拒绝支付该笔款项，且不承担违约责任。</w:t>
      </w:r>
    </w:p>
    <w:p w14:paraId="5D6AF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二、服务期限及项目实施地点</w:t>
      </w:r>
    </w:p>
    <w:p w14:paraId="56B9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1、服务期限：自合同签订之日起1年</w:t>
      </w:r>
    </w:p>
    <w:p w14:paraId="2D0FE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</w:t>
      </w:r>
      <w:bookmarkStart w:id="0" w:name="OLE_LINK2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项目实施地点</w:t>
      </w:r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：陕西省西咸新区</w:t>
      </w:r>
    </w:p>
    <w:p w14:paraId="58DB118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2024年度能源金贸片区计划供应主要为住宅和商服用地。面积800亩，经过初步计算，按照《国家计委、国家土地管理局关于土地价格评估收费的通知》（计价格[1994]2017号），2024年评估费用合计为约133.5万元，按25%的折扣优惠后评估费用合计为100万元。</w:t>
      </w:r>
    </w:p>
    <w:p w14:paraId="27179D4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4、本项目报价方式为折扣后暂定总价（即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133.5万元*供应商所报折扣后价格）。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参照《国家计委、国家土地管理局关于土地价格评估收费的通知》（计价格[1994]2017号）文件的标准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结合市场行情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得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高于标准的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75%取费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保留小数点后（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</w:rPr>
        <w:t>两位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）。</w:t>
      </w:r>
    </w:p>
    <w:p w14:paraId="50ECC0C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5、最终结算根据单宗地块合同结算价格以及实际服务数量据实结算，单宗地块合同结算价格=《关于土地价格评估收费的通知》（计价格[1994]2017号）规定的计费标准*折扣，折扣在合同执行期间不做调整。</w:t>
      </w:r>
    </w:p>
    <w:p w14:paraId="2743FFCD">
      <w:pPr>
        <w:pStyle w:val="2"/>
        <w:spacing w:line="360" w:lineRule="auto"/>
        <w:rPr>
          <w:rFonts w:hint="default"/>
          <w:lang w:val="en-US" w:eastAsia="zh-CN"/>
        </w:rPr>
      </w:pPr>
    </w:p>
    <w:p w14:paraId="0155DB4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GMwOGJiMTk3ZDUwNTg4ZDAzMTc0NDUyMjU2YmIifQ=="/>
  </w:docVars>
  <w:rsids>
    <w:rsidRoot w:val="1BA83F7A"/>
    <w:rsid w:val="1BA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2024-10-14T08:23:00Z</dcterms:created>
  <dc:creator>清欢</dc:creator>
  <cp:lastModifiedBy>清欢</cp:lastModifiedBy>
  <dcterms:modified xsi:type="dcterms:W3CDTF">2024-10-14T08:23:33Z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1B31C44F61BF428CA1C8389059B00537_11</vt:lpwstr>
  </property>
</Properties>
</file>