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SXZCZB2024-ZCCS-1123</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3BA93101">
      <w:pPr>
        <w:jc w:val="center"/>
        <w:rPr>
          <w:rFonts w:hint="eastAsia" w:hAnsi="宋体" w:eastAsia="宋体" w:cs="宋体"/>
          <w:b/>
          <w:bCs/>
          <w:color w:val="auto"/>
          <w:sz w:val="48"/>
          <w:szCs w:val="48"/>
          <w:highlight w:val="none"/>
          <w:lang w:eastAsia="zh-CN"/>
        </w:rPr>
      </w:pPr>
      <w:r>
        <w:rPr>
          <w:rFonts w:hint="eastAsia" w:hAnsi="宋体" w:cs="宋体"/>
          <w:b/>
          <w:bCs/>
          <w:color w:val="auto"/>
          <w:sz w:val="60"/>
          <w:szCs w:val="60"/>
          <w:highlight w:val="none"/>
          <w:lang w:eastAsia="zh-CN"/>
        </w:rPr>
        <w:t>石镇湾潭子楼房外立面亮化工程</w:t>
      </w:r>
    </w:p>
    <w:p w14:paraId="72ACAE46">
      <w:pPr>
        <w:jc w:val="center"/>
        <w:rPr>
          <w:rFonts w:hAnsi="宋体" w:cs="宋体"/>
          <w:b/>
          <w:color w:val="auto"/>
          <w:sz w:val="72"/>
          <w:szCs w:val="72"/>
          <w:highlight w:val="none"/>
        </w:rPr>
      </w:pPr>
    </w:p>
    <w:p w14:paraId="4363D4D3">
      <w:pPr>
        <w:spacing w:line="780" w:lineRule="auto"/>
        <w:jc w:val="center"/>
        <w:rPr>
          <w:rFonts w:hAnsi="宋体" w:cs="宋体"/>
          <w:b/>
          <w:color w:val="auto"/>
          <w:sz w:val="72"/>
          <w:szCs w:val="72"/>
          <w:highlight w:val="none"/>
        </w:rPr>
      </w:pPr>
    </w:p>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9"/>
        <w:rPr>
          <w:color w:val="auto"/>
          <w:highlight w:val="none"/>
        </w:rPr>
      </w:pPr>
    </w:p>
    <w:p w14:paraId="304BFCAF">
      <w:pPr>
        <w:rPr>
          <w:rFonts w:hAnsi="宋体" w:cs="宋体"/>
          <w:b/>
          <w:color w:val="auto"/>
          <w:sz w:val="36"/>
          <w:szCs w:val="36"/>
          <w:highlight w:val="none"/>
        </w:rPr>
      </w:pPr>
    </w:p>
    <w:p w14:paraId="30D2364E">
      <w:pPr>
        <w:pStyle w:val="9"/>
        <w:jc w:val="center"/>
        <w:rPr>
          <w:rFonts w:hAnsi="宋体" w:cs="宋体"/>
          <w:b/>
          <w:color w:val="auto"/>
          <w:sz w:val="32"/>
          <w:szCs w:val="32"/>
          <w:highlight w:val="none"/>
        </w:rPr>
      </w:pPr>
    </w:p>
    <w:p w14:paraId="5093031D">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柞水县城市管理局</w:t>
      </w:r>
    </w:p>
    <w:p w14:paraId="74ED0637">
      <w:pPr>
        <w:ind w:left="2400" w:leftChars="10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9"/>
        <w:spacing w:after="0"/>
        <w:ind w:left="2400" w:leftChars="1000"/>
        <w:rPr>
          <w:rFonts w:ascii="宋体" w:hAnsi="宋体" w:cs="宋体"/>
          <w:b/>
          <w:bCs/>
          <w:color w:val="auto"/>
          <w:sz w:val="28"/>
          <w:szCs w:val="28"/>
          <w:highlight w:val="none"/>
        </w:rPr>
      </w:pPr>
      <w:r>
        <w:rPr>
          <w:rFonts w:hint="eastAsia" w:hAnsi="宋体" w:cs="宋体"/>
          <w:b/>
          <w:bCs/>
          <w:color w:val="auto"/>
          <w:sz w:val="32"/>
          <w:szCs w:val="32"/>
          <w:highlight w:val="none"/>
        </w:rPr>
        <w:t>日    期：二〇二四年</w:t>
      </w:r>
      <w:r>
        <w:rPr>
          <w:rFonts w:hint="eastAsia" w:hAnsi="宋体" w:cs="宋体"/>
          <w:b/>
          <w:bCs/>
          <w:color w:val="auto"/>
          <w:sz w:val="32"/>
          <w:szCs w:val="32"/>
          <w:highlight w:val="none"/>
          <w:lang w:val="en-US" w:eastAsia="zh-CN"/>
        </w:rPr>
        <w:t>十一</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BB01649">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9"/>
        <w:tabs>
          <w:tab w:val="right" w:leader="dot" w:pos="8787"/>
        </w:tabs>
        <w:rPr>
          <w:color w:val="auto"/>
          <w:sz w:val="28"/>
          <w:szCs w:val="28"/>
          <w:highlight w:val="none"/>
        </w:rPr>
      </w:pPr>
      <w:bookmarkStart w:id="1" w:name="_Toc19886"/>
      <w:bookmarkStart w:id="2" w:name="_Toc5293"/>
      <w:bookmarkStart w:id="3" w:name="_Toc16218"/>
      <w:bookmarkStart w:id="4" w:name="_Toc389582033"/>
      <w:bookmarkStart w:id="5" w:name="_Toc20858"/>
      <w:bookmarkStart w:id="6" w:name="_Toc21518"/>
      <w:bookmarkStart w:id="7" w:name="_Toc20652"/>
      <w:bookmarkStart w:id="8" w:name="_Toc27420"/>
      <w:bookmarkStart w:id="9" w:name="_Toc403077638"/>
      <w:bookmarkStart w:id="10" w:name="_Toc363473971"/>
      <w:bookmarkStart w:id="11" w:name="_Toc363474016"/>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1"/>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24</w:t>
      </w:r>
      <w:r>
        <w:rPr>
          <w:color w:val="auto"/>
          <w:sz w:val="28"/>
          <w:szCs w:val="28"/>
          <w:highlight w:val="none"/>
        </w:rPr>
        <w:fldChar w:fldCharType="end"/>
      </w:r>
      <w:r>
        <w:rPr>
          <w:color w:val="auto"/>
          <w:sz w:val="28"/>
          <w:szCs w:val="28"/>
          <w:highlight w:val="none"/>
        </w:rPr>
        <w:fldChar w:fldCharType="end"/>
      </w:r>
    </w:p>
    <w:p w14:paraId="136DDB75">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4526783A">
      <w:pPr>
        <w:pStyle w:val="21"/>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2CCAFEE2">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56</w:t>
      </w:r>
      <w:r>
        <w:rPr>
          <w:color w:val="auto"/>
          <w:sz w:val="28"/>
          <w:szCs w:val="28"/>
          <w:highlight w:val="none"/>
        </w:rPr>
        <w:fldChar w:fldCharType="end"/>
      </w:r>
      <w:r>
        <w:rPr>
          <w:color w:val="auto"/>
          <w:sz w:val="28"/>
          <w:szCs w:val="28"/>
          <w:highlight w:val="none"/>
        </w:rPr>
        <w:fldChar w:fldCharType="end"/>
      </w:r>
    </w:p>
    <w:p w14:paraId="36567641">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68</w:t>
      </w:r>
      <w:r>
        <w:rPr>
          <w:color w:val="auto"/>
          <w:sz w:val="28"/>
          <w:szCs w:val="28"/>
          <w:highlight w:val="none"/>
        </w:rPr>
        <w:fldChar w:fldCharType="end"/>
      </w:r>
      <w:r>
        <w:rPr>
          <w:color w:val="auto"/>
          <w:sz w:val="28"/>
          <w:szCs w:val="28"/>
          <w:highlight w:val="none"/>
        </w:rPr>
        <w:fldChar w:fldCharType="end"/>
      </w:r>
    </w:p>
    <w:p w14:paraId="35C1115D">
      <w:pPr>
        <w:pStyle w:val="19"/>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065007AD">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15104"/>
      <w:bookmarkStart w:id="13" w:name="_Toc423973071"/>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655817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Fonts w:hint="eastAsia" w:ascii="宋体" w:hAnsi="宋体" w:eastAsia="宋体" w:cs="宋体"/>
          <w:b w:val="0"/>
          <w:bCs w:val="0"/>
          <w:sz w:val="24"/>
          <w:szCs w:val="24"/>
        </w:rPr>
      </w:pPr>
      <w:bookmarkStart w:id="14" w:name="_Toc2929"/>
      <w:bookmarkStart w:id="15" w:name="_Toc389582035"/>
      <w:bookmarkStart w:id="16" w:name="_Toc423973072"/>
      <w:bookmarkStart w:id="17" w:name="_Toc29249"/>
      <w:r>
        <w:rPr>
          <w:rStyle w:val="29"/>
          <w:rFonts w:hint="eastAsia" w:ascii="宋体" w:hAnsi="宋体" w:eastAsia="宋体" w:cs="宋体"/>
          <w:b/>
          <w:bCs/>
          <w:i w:val="0"/>
          <w:iCs w:val="0"/>
          <w:caps w:val="0"/>
          <w:color w:val="333333"/>
          <w:spacing w:val="0"/>
          <w:sz w:val="24"/>
          <w:szCs w:val="24"/>
          <w:shd w:val="clear" w:fill="FFFFFF"/>
        </w:rPr>
        <w:t>项目概况</w:t>
      </w:r>
    </w:p>
    <w:p w14:paraId="4CC6FBF3">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cs="宋体"/>
          <w:i w:val="0"/>
          <w:iCs w:val="0"/>
          <w:caps w:val="0"/>
          <w:color w:val="333333"/>
          <w:spacing w:val="0"/>
          <w:sz w:val="24"/>
          <w:szCs w:val="24"/>
          <w:shd w:val="clear" w:fill="FFFFFF"/>
          <w:lang w:eastAsia="zh-CN"/>
        </w:rPr>
        <w:t>石镇湾潭子楼房外立面亮化工程</w:t>
      </w:r>
      <w:r>
        <w:rPr>
          <w:rFonts w:hint="eastAsia" w:ascii="宋体" w:hAnsi="宋体" w:eastAsia="宋体" w:cs="宋体"/>
          <w:i w:val="0"/>
          <w:iCs w:val="0"/>
          <w:caps w:val="0"/>
          <w:color w:val="333333"/>
          <w:spacing w:val="0"/>
          <w:sz w:val="24"/>
          <w:szCs w:val="24"/>
          <w:shd w:val="clear" w:fill="FFFFFF"/>
        </w:rPr>
        <w:t>采购项目的潜在供应商应在陕西省西安市经济技术开发区未央路171-1号银池道拉斯财富中心21楼获取采购文件，并于2024年1</w:t>
      </w:r>
      <w:r>
        <w:rPr>
          <w:rFonts w:hint="eastAsia"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rPr>
        <w:t>月0</w:t>
      </w:r>
      <w:r>
        <w:rPr>
          <w:rFonts w:hint="eastAsia"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rPr>
        <w:t>日 14时00分（北京时间）前提交响应文件。</w:t>
      </w:r>
    </w:p>
    <w:p w14:paraId="008509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一、项目基本情况</w:t>
      </w:r>
    </w:p>
    <w:p w14:paraId="4437D14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项目编号：SXZCZB2024-ZCCS-1123</w:t>
      </w:r>
    </w:p>
    <w:p w14:paraId="6747CE7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项目名称：石镇湾潭子楼房外立面亮化工程</w:t>
      </w:r>
    </w:p>
    <w:p w14:paraId="530EB4DD">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采购方式：竞争性磋商</w:t>
      </w:r>
    </w:p>
    <w:p w14:paraId="59E5D44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预算金额：911,650.38元</w:t>
      </w:r>
    </w:p>
    <w:p w14:paraId="2C5CE49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采购需求：</w:t>
      </w:r>
    </w:p>
    <w:p w14:paraId="1073658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合同包1(石镇湾潭子楼房外立面亮化工程):</w:t>
      </w:r>
    </w:p>
    <w:p w14:paraId="3D1A662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合同包预算金额：911,650.38元</w:t>
      </w:r>
    </w:p>
    <w:p w14:paraId="4DE0DC3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合同包最高限价：911,650.38元</w:t>
      </w:r>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01"/>
        <w:gridCol w:w="1949"/>
        <w:gridCol w:w="1949"/>
        <w:gridCol w:w="722"/>
        <w:gridCol w:w="1312"/>
        <w:gridCol w:w="1440"/>
        <w:gridCol w:w="1440"/>
      </w:tblGrid>
      <w:tr w14:paraId="7661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3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78100D">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品目号</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F3C8D0">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品目名称</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3F631">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采购标的</w:t>
            </w:r>
          </w:p>
        </w:tc>
        <w:tc>
          <w:tcPr>
            <w:tcW w:w="4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29D792">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数量（单位）</w:t>
            </w:r>
          </w:p>
        </w:tc>
        <w:tc>
          <w:tcPr>
            <w:tcW w:w="79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D44763">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技术规格、参数及要求</w:t>
            </w:r>
          </w:p>
        </w:tc>
        <w:tc>
          <w:tcPr>
            <w:tcW w:w="59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660A22">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品目预算(元)</w:t>
            </w:r>
          </w:p>
        </w:tc>
        <w:tc>
          <w:tcPr>
            <w:tcW w:w="59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62427D">
            <w:pPr>
              <w:keepNext w:val="0"/>
              <w:keepLines w:val="0"/>
              <w:widowControl/>
              <w:suppressLineNumbers w:val="0"/>
              <w:wordWrap w:val="0"/>
              <w:spacing w:before="0" w:beforeAutospacing="0" w:after="0" w:afterAutospacing="0" w:line="360" w:lineRule="atLeast"/>
              <w:ind w:left="0" w:right="0"/>
              <w:jc w:val="center"/>
              <w:textAlignment w:val="center"/>
              <w:rPr>
                <w:b/>
                <w:bCs/>
                <w:sz w:val="24"/>
                <w:szCs w:val="24"/>
              </w:rPr>
            </w:pPr>
            <w:r>
              <w:rPr>
                <w:rFonts w:ascii="宋体" w:hAnsi="宋体" w:eastAsia="宋体" w:cs="宋体"/>
                <w:b/>
                <w:bCs/>
                <w:kern w:val="0"/>
                <w:sz w:val="24"/>
                <w:szCs w:val="24"/>
                <w:lang w:val="en-US" w:eastAsia="zh-CN" w:bidi="ar"/>
              </w:rPr>
              <w:t>最高限价(元)</w:t>
            </w:r>
          </w:p>
        </w:tc>
      </w:tr>
      <w:tr w14:paraId="13E3D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3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2125F6">
            <w:pPr>
              <w:keepNext w:val="0"/>
              <w:keepLines w:val="0"/>
              <w:widowControl/>
              <w:suppressLineNumbers w:val="0"/>
              <w:wordWrap w:val="0"/>
              <w:spacing w:before="0" w:beforeAutospacing="0" w:after="0" w:afterAutospacing="0" w:line="360" w:lineRule="atLeast"/>
              <w:ind w:left="0" w:right="0"/>
              <w:jc w:val="center"/>
              <w:textAlignment w:val="center"/>
              <w:rPr>
                <w:sz w:val="24"/>
                <w:szCs w:val="24"/>
              </w:rPr>
            </w:pPr>
            <w:r>
              <w:rPr>
                <w:rFonts w:ascii="宋体" w:hAnsi="宋体" w:eastAsia="宋体" w:cs="宋体"/>
                <w:kern w:val="0"/>
                <w:sz w:val="24"/>
                <w:szCs w:val="24"/>
                <w:lang w:val="en-US" w:eastAsia="zh-CN" w:bidi="ar"/>
              </w:rPr>
              <w:t>1-1</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4EC251">
            <w:pPr>
              <w:keepNext w:val="0"/>
              <w:keepLines w:val="0"/>
              <w:widowControl/>
              <w:suppressLineNumbers w:val="0"/>
              <w:wordWrap w:val="0"/>
              <w:spacing w:before="0" w:beforeAutospacing="0" w:after="0" w:afterAutospacing="0" w:line="360" w:lineRule="atLeast"/>
              <w:ind w:left="0" w:right="0"/>
              <w:jc w:val="center"/>
              <w:textAlignment w:val="center"/>
              <w:rPr>
                <w:sz w:val="24"/>
                <w:szCs w:val="24"/>
              </w:rPr>
            </w:pPr>
            <w:r>
              <w:rPr>
                <w:rFonts w:ascii="宋体" w:hAnsi="宋体" w:eastAsia="宋体" w:cs="宋体"/>
                <w:kern w:val="0"/>
                <w:sz w:val="24"/>
                <w:szCs w:val="24"/>
                <w:lang w:val="en-US" w:eastAsia="zh-CN" w:bidi="ar"/>
              </w:rPr>
              <w:t>其他安装</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39CB7">
            <w:pPr>
              <w:keepNext w:val="0"/>
              <w:keepLines w:val="0"/>
              <w:widowControl/>
              <w:suppressLineNumbers w:val="0"/>
              <w:wordWrap w:val="0"/>
              <w:spacing w:before="0" w:beforeAutospacing="0" w:after="0" w:afterAutospacing="0" w:line="360" w:lineRule="atLeast"/>
              <w:ind w:left="0" w:right="0"/>
              <w:jc w:val="center"/>
              <w:textAlignment w:val="center"/>
              <w:rPr>
                <w:sz w:val="24"/>
                <w:szCs w:val="24"/>
              </w:rPr>
            </w:pPr>
            <w:r>
              <w:rPr>
                <w:rFonts w:ascii="宋体" w:hAnsi="宋体" w:eastAsia="宋体" w:cs="宋体"/>
                <w:kern w:val="0"/>
                <w:sz w:val="24"/>
                <w:szCs w:val="24"/>
                <w:lang w:val="en-US" w:eastAsia="zh-CN" w:bidi="ar"/>
              </w:rPr>
              <w:t>楼房外立面亮化</w:t>
            </w:r>
          </w:p>
        </w:tc>
        <w:tc>
          <w:tcPr>
            <w:tcW w:w="4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F440C0">
            <w:pPr>
              <w:keepNext w:val="0"/>
              <w:keepLines w:val="0"/>
              <w:widowControl/>
              <w:suppressLineNumbers w:val="0"/>
              <w:wordWrap w:val="0"/>
              <w:spacing w:before="0" w:beforeAutospacing="0" w:after="0" w:afterAutospacing="0" w:line="360" w:lineRule="atLeast"/>
              <w:ind w:left="0" w:right="0"/>
              <w:jc w:val="center"/>
              <w:textAlignment w:val="center"/>
              <w:rPr>
                <w:sz w:val="24"/>
                <w:szCs w:val="24"/>
              </w:rPr>
            </w:pPr>
            <w:r>
              <w:rPr>
                <w:rFonts w:ascii="宋体" w:hAnsi="宋体" w:eastAsia="宋体" w:cs="宋体"/>
                <w:kern w:val="0"/>
                <w:sz w:val="24"/>
                <w:szCs w:val="24"/>
                <w:lang w:val="en-US" w:eastAsia="zh-CN" w:bidi="ar"/>
              </w:rPr>
              <w:t>1(批)</w:t>
            </w:r>
          </w:p>
        </w:tc>
        <w:tc>
          <w:tcPr>
            <w:tcW w:w="79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8D4133">
            <w:pPr>
              <w:keepNext w:val="0"/>
              <w:keepLines w:val="0"/>
              <w:widowControl/>
              <w:suppressLineNumbers w:val="0"/>
              <w:wordWrap w:val="0"/>
              <w:spacing w:before="0" w:beforeAutospacing="0" w:after="0" w:afterAutospacing="0" w:line="360" w:lineRule="atLeast"/>
              <w:ind w:left="0" w:right="0"/>
              <w:jc w:val="center"/>
              <w:textAlignment w:val="center"/>
              <w:rPr>
                <w:sz w:val="24"/>
                <w:szCs w:val="24"/>
              </w:rPr>
            </w:pPr>
            <w:r>
              <w:rPr>
                <w:rFonts w:ascii="宋体" w:hAnsi="宋体" w:eastAsia="宋体" w:cs="宋体"/>
                <w:kern w:val="0"/>
                <w:sz w:val="24"/>
                <w:szCs w:val="24"/>
                <w:lang w:val="en-US" w:eastAsia="zh-CN" w:bidi="ar"/>
              </w:rPr>
              <w:t>详见采购文件</w:t>
            </w:r>
          </w:p>
        </w:tc>
        <w:tc>
          <w:tcPr>
            <w:tcW w:w="59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494E28">
            <w:pPr>
              <w:keepNext w:val="0"/>
              <w:keepLines w:val="0"/>
              <w:widowControl/>
              <w:suppressLineNumbers w:val="0"/>
              <w:wordWrap/>
              <w:spacing w:before="0" w:beforeAutospacing="0" w:after="0" w:afterAutospacing="0" w:line="360" w:lineRule="atLeast"/>
              <w:ind w:left="0" w:right="0"/>
              <w:jc w:val="right"/>
              <w:textAlignment w:val="center"/>
              <w:rPr>
                <w:sz w:val="24"/>
                <w:szCs w:val="24"/>
              </w:rPr>
            </w:pPr>
            <w:r>
              <w:rPr>
                <w:rFonts w:ascii="宋体" w:hAnsi="宋体" w:eastAsia="宋体" w:cs="宋体"/>
                <w:kern w:val="0"/>
                <w:sz w:val="24"/>
                <w:szCs w:val="24"/>
                <w:vertAlign w:val="baseline"/>
                <w:lang w:val="en-US" w:eastAsia="zh-CN" w:bidi="ar"/>
              </w:rPr>
              <w:t>911,650.38</w:t>
            </w:r>
          </w:p>
        </w:tc>
        <w:tc>
          <w:tcPr>
            <w:tcW w:w="59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46B3FB">
            <w:pPr>
              <w:keepNext w:val="0"/>
              <w:keepLines w:val="0"/>
              <w:widowControl/>
              <w:suppressLineNumbers w:val="0"/>
              <w:wordWrap/>
              <w:spacing w:before="0" w:beforeAutospacing="0" w:after="0" w:afterAutospacing="0" w:line="360" w:lineRule="atLeast"/>
              <w:ind w:left="0" w:right="0"/>
              <w:jc w:val="right"/>
              <w:textAlignment w:val="center"/>
              <w:rPr>
                <w:sz w:val="24"/>
                <w:szCs w:val="24"/>
              </w:rPr>
            </w:pPr>
            <w:r>
              <w:rPr>
                <w:rFonts w:ascii="宋体" w:hAnsi="宋体" w:eastAsia="宋体" w:cs="宋体"/>
                <w:kern w:val="0"/>
                <w:sz w:val="24"/>
                <w:szCs w:val="24"/>
                <w:vertAlign w:val="baseline"/>
                <w:lang w:val="en-US" w:eastAsia="zh-CN" w:bidi="ar"/>
              </w:rPr>
              <w:t>911,650.38</w:t>
            </w:r>
          </w:p>
        </w:tc>
      </w:tr>
    </w:tbl>
    <w:p w14:paraId="17A67E8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本合同包不接受联合体投标</w:t>
      </w:r>
    </w:p>
    <w:p w14:paraId="3FAE494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333333"/>
          <w:spacing w:val="0"/>
          <w:sz w:val="24"/>
          <w:szCs w:val="24"/>
          <w:shd w:val="clear" w:fill="FFFFFF"/>
          <w:lang w:eastAsia="zh-CN"/>
        </w:rPr>
      </w:pPr>
      <w:r>
        <w:rPr>
          <w:rFonts w:hint="eastAsia" w:cs="宋体"/>
          <w:i w:val="0"/>
          <w:iCs w:val="0"/>
          <w:caps w:val="0"/>
          <w:color w:val="333333"/>
          <w:spacing w:val="0"/>
          <w:sz w:val="24"/>
          <w:szCs w:val="24"/>
          <w:shd w:val="clear" w:fill="FFFFFF"/>
          <w:lang w:eastAsia="zh-CN"/>
        </w:rPr>
        <w:t>合同履行期限：详见磋商文件</w:t>
      </w:r>
    </w:p>
    <w:p w14:paraId="0F83128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二、申请人的资格要求：</w:t>
      </w:r>
    </w:p>
    <w:p w14:paraId="24E892C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144F4D1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3695F3A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w:t>
      </w:r>
      <w:r>
        <w:rPr>
          <w:rFonts w:hint="eastAsia" w:cs="宋体"/>
          <w:i w:val="0"/>
          <w:iCs w:val="0"/>
          <w:caps w:val="0"/>
          <w:color w:val="333333"/>
          <w:spacing w:val="0"/>
          <w:sz w:val="24"/>
          <w:szCs w:val="24"/>
          <w:shd w:val="clear" w:fill="FFFFFF"/>
          <w:lang w:eastAsia="zh-CN"/>
        </w:rPr>
        <w:t>石镇湾潭子楼房外立面亮化工程</w:t>
      </w:r>
      <w:r>
        <w:rPr>
          <w:rFonts w:hint="eastAsia" w:ascii="宋体" w:hAnsi="宋体" w:eastAsia="宋体" w:cs="宋体"/>
          <w:i w:val="0"/>
          <w:iCs w:val="0"/>
          <w:caps w:val="0"/>
          <w:color w:val="333333"/>
          <w:spacing w:val="0"/>
          <w:sz w:val="24"/>
          <w:szCs w:val="24"/>
          <w:shd w:val="clear" w:fill="FFFFFF"/>
        </w:rPr>
        <w:t>)落实政府采购政策需满足的资格要求如下:</w:t>
      </w:r>
    </w:p>
    <w:p w14:paraId="5EB7B82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政府采购促进中小企业发展管理办法》（财库〔2020〕46号）；（2）《财政部司法部关于政府采购支持监狱企业发展有关问题的通知》（财库〔2014〕68号）；（3）《关于促进残疾人就业政府采购政策的通知》（财库〔2017〕141号）；（4）《节能产品政府采购实施意见》（财库〔2004〕185号）；（5）《环境标志产品政府采购实施的意见》（财库〔2006〕90号）；（6）《国务院办公厅关于建立政府强制采购节能产品制度的通知》（国办发〔2007〕51号）；（7）财政部发展改革委生态环境部市场监管总局关于调整优化节能产品、环境标志产品政府采购执行机制的通知（财库〔2019〕9号）；（8）《关于印发环境标志产品政府采购品目清单的通知》（财库〔2019〕18号）；（9）《关于印发节能产品政府采购品目清单的通知》（财库〔2019〕19号）；（10）《市场监督总局关于发布参与实施政府采购节能产品、环境标志产品认证机构名录的公告》2019年第16号；（11）《关于运用政府采购政策支持乡村产业振兴的通知》（财库〔2021〕19号）；（12）陕西省财政厅关于印发《陕西省中小企业政府采购信用融资办法》（陕财办采〔2018〕23号），相关政策、业务流程、办理平台（详见http://www.ccgp-shaanxi.gov.cn/zcdservice/zcd/shanxi/）；（13）《陕西省财政厅关于加快推进我省中小企业政府采购信用融资工作的通知》（陕财办采〔2020〕15号）；（14）《关于进一步加强政府绿色采购有关问题的通知》（陕财办采〔2021〕29号）；（15）《陕西省财政厅陕西省工业和信息化厅关于运用政府采购政策支持首台（套）及创新产品有关事项的通知》（陕财办采〔2021〕17号）；（16）《关于进一步加大政府采购支持中小企业力度的通知》（财库〔2022〕19号）、《关于落实政府采购支持中小企业政策有关事项的通知》（陕财办采函〔2022〕10号）；（17）其他需要落实的政府采购政策。</w:t>
      </w:r>
    </w:p>
    <w:p w14:paraId="1DD56F0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7D3C2A7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w:t>
      </w:r>
      <w:r>
        <w:rPr>
          <w:rFonts w:hint="eastAsia" w:cs="宋体"/>
          <w:i w:val="0"/>
          <w:iCs w:val="0"/>
          <w:caps w:val="0"/>
          <w:color w:val="333333"/>
          <w:spacing w:val="0"/>
          <w:sz w:val="24"/>
          <w:szCs w:val="24"/>
          <w:shd w:val="clear" w:fill="FFFFFF"/>
          <w:lang w:eastAsia="zh-CN"/>
        </w:rPr>
        <w:t>石镇湾潭子楼房外立面亮化工程</w:t>
      </w:r>
      <w:r>
        <w:rPr>
          <w:rFonts w:hint="eastAsia" w:ascii="宋体" w:hAnsi="宋体" w:eastAsia="宋体" w:cs="宋体"/>
          <w:i w:val="0"/>
          <w:iCs w:val="0"/>
          <w:caps w:val="0"/>
          <w:color w:val="333333"/>
          <w:spacing w:val="0"/>
          <w:sz w:val="24"/>
          <w:szCs w:val="24"/>
          <w:shd w:val="clear" w:fill="FFFFFF"/>
        </w:rPr>
        <w:t>)特定资格要求如下:</w:t>
      </w:r>
    </w:p>
    <w:p w14:paraId="0C4F835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1、提供合格有效的法人或者其他组织的营业执照等证明文件，自然人的身份证明。</w:t>
      </w:r>
    </w:p>
    <w:p w14:paraId="72C040A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2、提供法定代表人授权书（附法定代表人、被授权人身份证复印件），（法定代表人直接参加磋商，须提供法定代表人身份证明）；</w:t>
      </w:r>
    </w:p>
    <w:p w14:paraId="4022887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财务状况报告：提供2023年度的财务审计报告（至少包括资产负债表和利润表，成立时间至提交磋商响应文件截止时间不足一年的可提供成立后任意时段的资产负债表），或开标时间前六个月内银行出具的资信证明；</w:t>
      </w:r>
    </w:p>
    <w:p w14:paraId="7F316E7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4、税收缴纳证明：提供磋商截止日前一年内已缴纳的至少一个月的纳税证明或完税证明（任意税种），依法免税的单位应提供相关证明材料；</w:t>
      </w:r>
    </w:p>
    <w:p w14:paraId="47E9A0A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028E253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6、供应商须具备【建筑工程施工总承包三级】及以上资质，并提供有效的安全生产许可证；</w:t>
      </w:r>
    </w:p>
    <w:p w14:paraId="11C5CE2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7、供应商拟派项目经理须具备建筑工程专业二级及以上注册建造师资质、具有安全生产考核合格证（B证），且无在建工程（提供无在建承诺书）；</w:t>
      </w:r>
    </w:p>
    <w:p w14:paraId="4BC0C36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8、提供具有履行本合同所必需的设备和专业技术能力的说明及承诺书；</w:t>
      </w:r>
    </w:p>
    <w:p w14:paraId="5E51F26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9、供应商应通过“信用中国”网站(www.creditchina.gov.cn)、中国政府采购网(www.ccgp.gov.cn)查询相关主体信用记录；</w:t>
      </w:r>
    </w:p>
    <w:p w14:paraId="7DFD46D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10、参加政府采购活动前3年内，在经营活动中没有重大违法记录的书面声明；</w:t>
      </w:r>
    </w:p>
    <w:p w14:paraId="783AD7D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11、供应商应提供中小企业声明函；</w:t>
      </w:r>
    </w:p>
    <w:p w14:paraId="03F2ED4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12、本项目不接受联合体磋商。</w:t>
      </w:r>
    </w:p>
    <w:p w14:paraId="008847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三、获取采购文件</w:t>
      </w:r>
    </w:p>
    <w:p w14:paraId="1E78D3B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时间：2024年11月19日至2024年11月26日，每天上午09:00:00至12:00:00，下午14:00:00至17:00:00（北京时间）</w:t>
      </w:r>
    </w:p>
    <w:p w14:paraId="6C07958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途径：陕西省西安市经济技术开发区未央路171-1号银池道拉斯财富中心21楼</w:t>
      </w:r>
    </w:p>
    <w:p w14:paraId="27AAA5B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方式：现场获取</w:t>
      </w:r>
    </w:p>
    <w:p w14:paraId="74FFD0D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售价：0元</w:t>
      </w:r>
    </w:p>
    <w:p w14:paraId="0E18CA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四、响应文件提交</w:t>
      </w:r>
    </w:p>
    <w:p w14:paraId="7281171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截止时间：2024年12月02日 14时00分00秒（北京时间）</w:t>
      </w:r>
    </w:p>
    <w:p w14:paraId="0CBA879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地点：陕西省西安市经济技术开发区未央路171-1号银池道拉斯财富中心21楼</w:t>
      </w:r>
    </w:p>
    <w:p w14:paraId="742307D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五、开启</w:t>
      </w:r>
    </w:p>
    <w:p w14:paraId="4DB194E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时间：2024年12月02日 14时00分00秒（北京时间）</w:t>
      </w:r>
    </w:p>
    <w:p w14:paraId="77A872B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地点：陕西省西安市经济技术开发区未央路171-1号银池道拉斯财富中心21楼</w:t>
      </w:r>
    </w:p>
    <w:p w14:paraId="0C9B03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六、公告期限</w:t>
      </w:r>
    </w:p>
    <w:p w14:paraId="32EBDFA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自本公告发布之日起3个工作日。</w:t>
      </w:r>
    </w:p>
    <w:p w14:paraId="58FFAB5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七、其他补充事宜</w:t>
      </w:r>
    </w:p>
    <w:p w14:paraId="02D6407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（1）供应商领取采购文件时，请携带单位介绍信及经办人身份证原件及复印件加盖公章；</w:t>
      </w:r>
    </w:p>
    <w:p w14:paraId="2707EA5D">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（2）请供应商按照《陕西省财政厅关于政府采购供应商注册登记有关事项的通知》中的要求，通过陕西省政府采购网（http://www.ccgp-shaanxi.gov.cn/）注册登记加入陕西省政府采购供应商库；</w:t>
      </w:r>
    </w:p>
    <w:p w14:paraId="710E242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（3）本项目专门面向中小企业。</w:t>
      </w:r>
    </w:p>
    <w:p w14:paraId="03E451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jc w:val="left"/>
        <w:textAlignment w:val="auto"/>
        <w:outlineLvl w:val="9"/>
        <w:rPr>
          <w:rStyle w:val="29"/>
          <w:rFonts w:hint="eastAsia" w:ascii="宋体" w:hAnsi="宋体" w:eastAsia="宋体" w:cs="宋体"/>
          <w:b/>
          <w:bCs/>
          <w:i w:val="0"/>
          <w:iCs w:val="0"/>
          <w:caps w:val="0"/>
          <w:color w:val="333333"/>
          <w:spacing w:val="0"/>
          <w:sz w:val="24"/>
          <w:szCs w:val="24"/>
          <w:shd w:val="clear" w:fill="FFFFFF"/>
        </w:rPr>
      </w:pPr>
      <w:r>
        <w:rPr>
          <w:rStyle w:val="29"/>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6CDFA3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738105F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名称：柞水县城市管理局</w:t>
      </w:r>
    </w:p>
    <w:p w14:paraId="0B8DC3D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地址：柞水县北关临河路</w:t>
      </w:r>
    </w:p>
    <w:p w14:paraId="4291356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联系方式：0914-4343103</w:t>
      </w:r>
    </w:p>
    <w:p w14:paraId="5CDF69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4B21E83A">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名称：陕西至诚项目管理集团有限公司</w:t>
      </w:r>
    </w:p>
    <w:p w14:paraId="171EB6F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地址：陕西省西安市经济技术开发区未央路171-1号银池道拉斯财富中心21楼</w:t>
      </w:r>
    </w:p>
    <w:p w14:paraId="662ACD8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联系方式：029-88219779</w:t>
      </w:r>
    </w:p>
    <w:p w14:paraId="1ACCC5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285F13A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项目联系人：康乐、孙洋、常瑛</w:t>
      </w:r>
    </w:p>
    <w:p w14:paraId="3A2277F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电话：029-88219779</w:t>
      </w:r>
    </w:p>
    <w:p w14:paraId="68410407">
      <w:pPr>
        <w:keepNext w:val="0"/>
        <w:keepLines w:val="0"/>
        <w:pageBreakBefore w:val="0"/>
        <w:widowControl/>
        <w:suppressLineNumbers w:val="0"/>
        <w:kinsoku/>
        <w:wordWrap w:val="0"/>
        <w:overflowPunct/>
        <w:topLinePunct w:val="0"/>
        <w:autoSpaceDE/>
        <w:autoSpaceDN/>
        <w:bidi w:val="0"/>
        <w:adjustRightInd/>
        <w:snapToGrid/>
        <w:spacing w:line="360" w:lineRule="auto"/>
        <w:ind w:left="0" w:firstLine="480" w:firstLineChars="200"/>
        <w:jc w:val="both"/>
        <w:textAlignment w:val="auto"/>
        <w:outlineLvl w:val="9"/>
        <w:rPr>
          <w:rFonts w:hint="eastAsia" w:ascii="宋体" w:hAnsi="宋体" w:eastAsia="宋体" w:cs="宋体"/>
          <w:sz w:val="24"/>
          <w:szCs w:val="24"/>
        </w:rPr>
      </w:pPr>
    </w:p>
    <w:p w14:paraId="1BFC99AB">
      <w:pPr>
        <w:keepNext w:val="0"/>
        <w:keepLines w:val="0"/>
        <w:pageBreakBefore w:val="0"/>
        <w:widowControl/>
        <w:suppressLineNumbers w:val="0"/>
        <w:kinsoku/>
        <w:wordWrap w:val="0"/>
        <w:overflowPunct/>
        <w:topLinePunct w:val="0"/>
        <w:autoSpaceDE/>
        <w:autoSpaceDN/>
        <w:bidi w:val="0"/>
        <w:adjustRightInd/>
        <w:snapToGrid/>
        <w:spacing w:line="360" w:lineRule="auto"/>
        <w:ind w:left="0" w:firstLine="480" w:firstLineChars="200"/>
        <w:jc w:val="both"/>
        <w:textAlignment w:val="auto"/>
        <w:outlineLvl w:val="9"/>
        <w:rPr>
          <w:rFonts w:hint="eastAsia" w:ascii="宋体" w:hAnsi="宋体" w:eastAsia="宋体" w:cs="宋体"/>
          <w:sz w:val="24"/>
          <w:szCs w:val="24"/>
        </w:rPr>
      </w:pPr>
    </w:p>
    <w:p w14:paraId="36A1D33E">
      <w:pPr>
        <w:keepNext w:val="0"/>
        <w:keepLines w:val="0"/>
        <w:pageBreakBefore w:val="0"/>
        <w:kinsoku/>
        <w:overflowPunct/>
        <w:topLinePunct w:val="0"/>
        <w:autoSpaceDE/>
        <w:autoSpaceDN/>
        <w:bidi w:val="0"/>
        <w:adjustRightInd/>
        <w:snapToGrid/>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陕西至诚项目管理集团有限公司</w:t>
      </w:r>
    </w:p>
    <w:p w14:paraId="03A031B6">
      <w:pPr>
        <w:keepNext w:val="0"/>
        <w:keepLines w:val="0"/>
        <w:pageBreakBefore w:val="0"/>
        <w:kinsoku/>
        <w:overflowPunct/>
        <w:topLinePunct w:val="0"/>
        <w:autoSpaceDE/>
        <w:autoSpaceDN/>
        <w:bidi w:val="0"/>
        <w:adjustRightInd/>
        <w:snapToGrid/>
        <w:spacing w:line="360" w:lineRule="auto"/>
        <w:ind w:left="0" w:firstLine="480" w:firstLineChars="200"/>
        <w:jc w:val="right"/>
        <w:textAlignment w:val="auto"/>
        <w:outlineLvl w:val="9"/>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2024年1</w:t>
      </w:r>
      <w:r>
        <w:rPr>
          <w:rFonts w:hint="eastAsia" w:hAnsi="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月</w:t>
      </w:r>
      <w:r>
        <w:rPr>
          <w:rFonts w:hint="eastAsia" w:hAnsi="宋体" w:cs="宋体"/>
          <w:i w:val="0"/>
          <w:iCs w:val="0"/>
          <w:caps w:val="0"/>
          <w:color w:val="333333"/>
          <w:spacing w:val="0"/>
          <w:sz w:val="24"/>
          <w:szCs w:val="24"/>
          <w:shd w:val="clear" w:fill="FFFFFF"/>
          <w:lang w:val="en-US" w:eastAsia="zh-CN"/>
        </w:rPr>
        <w:t>19</w:t>
      </w:r>
      <w:r>
        <w:rPr>
          <w:rFonts w:hint="eastAsia" w:ascii="宋体" w:hAnsi="宋体" w:eastAsia="宋体" w:cs="宋体"/>
          <w:i w:val="0"/>
          <w:iCs w:val="0"/>
          <w:caps w:val="0"/>
          <w:color w:val="333333"/>
          <w:spacing w:val="0"/>
          <w:sz w:val="24"/>
          <w:szCs w:val="24"/>
          <w:shd w:val="clear" w:fill="FFFFFF"/>
          <w:lang w:val="en-US" w:eastAsia="zh-CN"/>
        </w:rPr>
        <w:t>日</w:t>
      </w:r>
    </w:p>
    <w:p w14:paraId="76D6918C">
      <w:pPr>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9364"/>
      <w:bookmarkStart w:id="21" w:name="_Toc15286"/>
      <w:bookmarkStart w:id="22" w:name="OLE_LINK2"/>
      <w:bookmarkStart w:id="23" w:name="_Toc423973073"/>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柞水县城市管理局</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Ansi="宋体" w:cs="宋体"/>
                <w:color w:val="auto"/>
                <w:szCs w:val="24"/>
                <w:highlight w:val="none"/>
              </w:rPr>
            </w:pPr>
            <w:r>
              <w:rPr>
                <w:rFonts w:hint="eastAsia" w:hAnsi="宋体" w:cs="宋体"/>
                <w:color w:val="auto"/>
                <w:szCs w:val="24"/>
                <w:highlight w:val="none"/>
              </w:rPr>
              <w:t>地        址：陕西省西安市经济技术开发区未央路171-1号银池道拉斯财富中心21楼</w:t>
            </w:r>
          </w:p>
          <w:p w14:paraId="02707F5A">
            <w:pPr>
              <w:spacing w:line="360" w:lineRule="auto"/>
              <w:rPr>
                <w:rFonts w:hAnsi="宋体" w:cs="宋体"/>
                <w:color w:val="auto"/>
                <w:szCs w:val="24"/>
                <w:highlight w:val="none"/>
              </w:rPr>
            </w:pPr>
            <w:r>
              <w:rPr>
                <w:rFonts w:hint="eastAsia" w:hAnsi="宋体" w:cs="宋体"/>
                <w:color w:val="auto"/>
                <w:szCs w:val="24"/>
                <w:highlight w:val="none"/>
              </w:rPr>
              <w:t>邮        编：710021</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color w:val="auto"/>
                <w:szCs w:val="24"/>
                <w:highlight w:val="none"/>
              </w:rPr>
            </w:pPr>
            <w:r>
              <w:rPr>
                <w:rFonts w:hint="eastAsia" w:hAnsi="宋体" w:cs="宋体"/>
                <w:color w:val="auto"/>
                <w:szCs w:val="24"/>
                <w:highlight w:val="none"/>
              </w:rPr>
              <w:t>特定资格证明文件：</w:t>
            </w:r>
          </w:p>
          <w:p w14:paraId="6F90C161">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1、提供合格有效的法人或者其他组织的营业执照等证明文件，自然人的身份证明。</w:t>
            </w:r>
          </w:p>
          <w:p w14:paraId="08F32590">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2、提供法定代表人授权书（附法定代表人、被授权人身份证复印件），（法定代表人直接参加磋商，须提供法定代表人身份证明）；</w:t>
            </w:r>
          </w:p>
          <w:p w14:paraId="757665C3">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3、财务状况报告：提供2023年度的财务审计报告（至少包括资产负债表和利润表，成立时间至提交磋商响应文件截止时间不足一年的可提供成立后任意时段的资产负债表），或开标时间前六个月内银行出具的资信证明；</w:t>
            </w:r>
          </w:p>
          <w:p w14:paraId="04D956F2">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4、税收缴纳证明：提供磋商截止日前一年内已缴纳的至少一个月的纳税证明或完税证明（任意税种），依法免税的单位应提供相关证明材料；</w:t>
            </w:r>
          </w:p>
          <w:p w14:paraId="6E00D9A2">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3C8AE56E">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6、供应商须具备【建筑工程施工总承包三级】及以上资质，并提供有效的安全生产许可证；</w:t>
            </w:r>
          </w:p>
          <w:p w14:paraId="00F7342B">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7、供应商拟派项目经理须具备建筑工程专业二级及以上注册建造师资质、具有安全生产考核合格证（B证），且无在建工程（提供无在建承诺书）；</w:t>
            </w:r>
          </w:p>
          <w:p w14:paraId="4E1F5849">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8、提供具有履行本合同所必需的设备和专业技术能力的说明及承诺书；</w:t>
            </w:r>
          </w:p>
          <w:p w14:paraId="410FC9CA">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9、供应商应通过“信用中国”网站(www.creditchina.gov.cn)、中国政府采购网(www.ccgp.gov.cn)查询相关主体信用记录；</w:t>
            </w:r>
          </w:p>
          <w:p w14:paraId="71C0C5F9">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10、参加政府采购活动前3年内，在经营活动中没有重大违法记录的书面声明；</w:t>
            </w:r>
          </w:p>
          <w:p w14:paraId="1740B3C6">
            <w:pPr>
              <w:pStyle w:val="22"/>
              <w:wordWrap w:val="0"/>
              <w:spacing w:before="0" w:beforeAutospacing="0" w:after="0" w:afterAutospacing="0" w:line="360" w:lineRule="auto"/>
              <w:ind w:firstLine="480" w:firstLineChars="200"/>
              <w:jc w:val="both"/>
              <w:rPr>
                <w:rFonts w:hint="eastAsia" w:cs="宋体"/>
                <w:color w:val="auto"/>
                <w:highlight w:val="none"/>
              </w:rPr>
            </w:pPr>
            <w:r>
              <w:rPr>
                <w:rFonts w:hint="eastAsia" w:cs="宋体"/>
                <w:color w:val="auto"/>
                <w:highlight w:val="none"/>
              </w:rPr>
              <w:t>11、供应商应提供中小企业声明函；</w:t>
            </w:r>
          </w:p>
          <w:p w14:paraId="370600E9">
            <w:pPr>
              <w:pStyle w:val="22"/>
              <w:wordWrap w:val="0"/>
              <w:spacing w:before="0" w:beforeAutospacing="0" w:after="0" w:afterAutospacing="0" w:line="360" w:lineRule="auto"/>
              <w:ind w:firstLine="480" w:firstLineChars="200"/>
              <w:jc w:val="both"/>
              <w:rPr>
                <w:rFonts w:cs="宋体"/>
                <w:color w:val="auto"/>
                <w:highlight w:val="none"/>
              </w:rPr>
            </w:pPr>
            <w:r>
              <w:rPr>
                <w:rFonts w:hint="eastAsia" w:cs="宋体"/>
                <w:color w:val="auto"/>
                <w:highlight w:val="none"/>
              </w:rPr>
              <w:t>12、本项目不接受联合体磋商。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磋商保证金：无</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）。磋商保证金到达采购代理机构指定账户后，供应商须与陕西至诚项目管理集团有限公司财务部联系确认到账后（联系电话029-88219779），将磋商保证金缴纳凭证复印件粘贴于磋商响应文件规定处。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Ansi="宋体" w:cs="宋体"/>
                <w:color w:val="auto"/>
                <w:szCs w:val="24"/>
                <w:highlight w:val="yellow"/>
              </w:rPr>
            </w:pPr>
            <w:r>
              <w:rPr>
                <w:rFonts w:hint="eastAsia" w:hAnsi="宋体" w:cs="宋体"/>
                <w:color w:val="auto"/>
                <w:szCs w:val="24"/>
                <w:highlight w:val="none"/>
              </w:rPr>
              <w:t>磋商响应文件递交地址：</w:t>
            </w:r>
            <w:r>
              <w:rPr>
                <w:rFonts w:hint="eastAsia" w:cs="宋体"/>
                <w:color w:val="auto"/>
                <w:highlight w:val="none"/>
                <w:shd w:val="clear" w:color="auto" w:fill="FFFFFF"/>
              </w:rPr>
              <w:t>陕西省西安市经济技术开发区未央路171-1号银池道拉斯财富中心21楼</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rPr>
              <w:t>陕西省西安市经济技术开发区未央路171-1号银池道拉斯财富中心21楼</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D20AA14">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29.1</w:t>
            </w:r>
            <w:bookmarkStart w:id="24" w:name="OLE_LINK10"/>
            <w:bookmarkStart w:id="25" w:name="OLE_LINK9"/>
            <w:r>
              <w:rPr>
                <w:rFonts w:hint="eastAsia" w:hAnsi="宋体" w:cs="宋体"/>
                <w:color w:val="auto"/>
                <w:szCs w:val="24"/>
                <w:highlight w:val="none"/>
              </w:rPr>
              <w:t xml:space="preserve"> 招标代理服务费的计算方法：以中标金额为基数，依据国家计委颁布《招标代理服务收费管理暂行办法》（计价格[2002]1980号）文件的有关规定执行。</w:t>
            </w:r>
            <w:bookmarkEnd w:id="24"/>
            <w:bookmarkEnd w:id="25"/>
          </w:p>
          <w:p w14:paraId="4FC3E653">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29.2 成交单位在领取成交通知书前，须向采购代理机构一次性支付代理服务费。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1"/>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9"/>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color w:val="auto"/>
                <w:szCs w:val="24"/>
                <w:highlight w:val="none"/>
              </w:rPr>
            </w:pPr>
            <w:r>
              <w:rPr>
                <w:rFonts w:hint="eastAsia" w:hAnsi="宋体" w:cs="宋体"/>
                <w:color w:val="auto"/>
                <w:szCs w:val="24"/>
                <w:highlight w:val="none"/>
              </w:rPr>
              <w:t>18</w:t>
            </w:r>
          </w:p>
        </w:tc>
        <w:tc>
          <w:tcPr>
            <w:tcW w:w="951" w:type="dxa"/>
            <w:vAlign w:val="center"/>
          </w:tcPr>
          <w:p w14:paraId="1BC9B2B8">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最高</w:t>
            </w:r>
          </w:p>
          <w:p w14:paraId="5A55CB56">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限价</w:t>
            </w:r>
          </w:p>
        </w:tc>
        <w:tc>
          <w:tcPr>
            <w:tcW w:w="7354" w:type="dxa"/>
            <w:vAlign w:val="center"/>
          </w:tcPr>
          <w:p w14:paraId="267B2804">
            <w:pPr>
              <w:spacing w:line="360" w:lineRule="auto"/>
              <w:rPr>
                <w:rFonts w:hint="eastAsia" w:eastAsia="宋体"/>
                <w:color w:val="auto"/>
                <w:szCs w:val="22"/>
                <w:highlight w:val="none"/>
                <w:lang w:eastAsia="zh-CN"/>
              </w:rPr>
            </w:pPr>
            <w:r>
              <w:rPr>
                <w:rFonts w:hint="eastAsia" w:cs="宋体"/>
                <w:color w:val="auto"/>
                <w:szCs w:val="24"/>
                <w:highlight w:val="none"/>
                <w:shd w:val="clear" w:color="auto" w:fill="FFFFFF"/>
                <w:lang w:eastAsia="zh-CN"/>
              </w:rPr>
              <w:t>911,650.38元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color w:val="auto"/>
                <w:szCs w:val="24"/>
                <w:highlight w:val="none"/>
              </w:rPr>
            </w:pPr>
            <w:r>
              <w:rPr>
                <w:rFonts w:hint="eastAsia" w:hAnsi="宋体" w:cs="宋体"/>
                <w:color w:val="auto"/>
                <w:szCs w:val="24"/>
                <w:highlight w:val="none"/>
              </w:rPr>
              <w:t>19</w:t>
            </w:r>
          </w:p>
        </w:tc>
        <w:tc>
          <w:tcPr>
            <w:tcW w:w="951" w:type="dxa"/>
            <w:vAlign w:val="center"/>
          </w:tcPr>
          <w:p w14:paraId="100DF02F">
            <w:pPr>
              <w:widowControl/>
              <w:spacing w:line="360" w:lineRule="auto"/>
              <w:jc w:val="center"/>
              <w:rPr>
                <w:rFonts w:hAnsi="宋体"/>
                <w:color w:val="auto"/>
                <w:szCs w:val="24"/>
                <w:highlight w:val="none"/>
              </w:rPr>
            </w:pPr>
            <w:r>
              <w:rPr>
                <w:rFonts w:hint="eastAsia" w:hAnsi="宋体"/>
                <w:color w:val="auto"/>
                <w:szCs w:val="24"/>
                <w:highlight w:val="none"/>
              </w:rPr>
              <w:t>项目</w:t>
            </w:r>
          </w:p>
          <w:p w14:paraId="3C0FE26A">
            <w:pPr>
              <w:widowControl/>
              <w:spacing w:line="360" w:lineRule="auto"/>
              <w:jc w:val="center"/>
              <w:rPr>
                <w:rFonts w:hAnsi="宋体" w:cs="宋体"/>
                <w:color w:val="auto"/>
                <w:kern w:val="2"/>
                <w:szCs w:val="24"/>
                <w:highlight w:val="none"/>
              </w:rPr>
            </w:pPr>
            <w:r>
              <w:rPr>
                <w:rFonts w:hint="eastAsia" w:hAnsi="宋体"/>
                <w:color w:val="auto"/>
                <w:szCs w:val="24"/>
                <w:highlight w:val="none"/>
              </w:rPr>
              <w:t>性质</w:t>
            </w:r>
          </w:p>
        </w:tc>
        <w:tc>
          <w:tcPr>
            <w:tcW w:w="7354" w:type="dxa"/>
            <w:vAlign w:val="center"/>
          </w:tcPr>
          <w:p w14:paraId="5F400297">
            <w:pPr>
              <w:widowControl/>
              <w:spacing w:line="360" w:lineRule="auto"/>
              <w:rPr>
                <w:color w:val="auto"/>
                <w:szCs w:val="22"/>
                <w:highlight w:val="none"/>
              </w:rPr>
            </w:pPr>
            <w:r>
              <w:rPr>
                <w:rFonts w:hint="eastAsia" w:hAnsi="宋体"/>
                <w:color w:val="auto"/>
                <w:szCs w:val="24"/>
                <w:highlight w:val="none"/>
              </w:rPr>
              <w:t>本项目专门面向中小企业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color w:val="auto"/>
                <w:szCs w:val="24"/>
                <w:highlight w:val="none"/>
              </w:rPr>
            </w:pPr>
            <w:bookmarkStart w:id="26" w:name="_Toc403077639"/>
            <w:bookmarkStart w:id="27" w:name="_Toc363474017"/>
            <w:bookmarkStart w:id="28" w:name="_Toc363473972"/>
            <w:r>
              <w:rPr>
                <w:rFonts w:hint="eastAsia" w:hAnsi="宋体" w:cs="宋体"/>
                <w:color w:val="auto"/>
                <w:szCs w:val="24"/>
                <w:highlight w:val="none"/>
              </w:rPr>
              <w:t>20</w:t>
            </w:r>
          </w:p>
        </w:tc>
        <w:tc>
          <w:tcPr>
            <w:tcW w:w="951" w:type="dxa"/>
            <w:vAlign w:val="center"/>
          </w:tcPr>
          <w:p w14:paraId="08AD3CDC">
            <w:pPr>
              <w:widowControl/>
              <w:spacing w:line="360" w:lineRule="auto"/>
              <w:jc w:val="center"/>
              <w:rPr>
                <w:rFonts w:hAnsi="宋体" w:cs="宋体"/>
                <w:color w:val="auto"/>
                <w:kern w:val="2"/>
                <w:szCs w:val="24"/>
                <w:highlight w:val="none"/>
              </w:rPr>
            </w:pPr>
            <w:r>
              <w:rPr>
                <w:rFonts w:hint="eastAsia" w:hAnsi="宋体"/>
                <w:color w:val="auto"/>
                <w:szCs w:val="24"/>
                <w:highlight w:val="none"/>
                <w:lang w:val="en-US" w:eastAsia="zh-CN"/>
              </w:rPr>
              <w:t>项目</w:t>
            </w:r>
            <w:r>
              <w:rPr>
                <w:rFonts w:hint="eastAsia" w:hAnsi="宋体"/>
                <w:color w:val="auto"/>
                <w:szCs w:val="24"/>
                <w:highlight w:val="none"/>
              </w:rPr>
              <w:t>所属行业</w:t>
            </w:r>
          </w:p>
        </w:tc>
        <w:tc>
          <w:tcPr>
            <w:tcW w:w="7354" w:type="dxa"/>
            <w:vAlign w:val="center"/>
          </w:tcPr>
          <w:p w14:paraId="5E97FBD8">
            <w:pPr>
              <w:widowControl/>
              <w:spacing w:line="360" w:lineRule="auto"/>
              <w:rPr>
                <w:color w:val="auto"/>
                <w:szCs w:val="22"/>
                <w:highlight w:val="none"/>
              </w:rPr>
            </w:pPr>
            <w:r>
              <w:rPr>
                <w:rFonts w:hint="eastAsia"/>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color w:val="auto"/>
                <w:szCs w:val="24"/>
                <w:highlight w:val="none"/>
              </w:rPr>
            </w:pPr>
            <w:r>
              <w:rPr>
                <w:rFonts w:hint="eastAsia" w:hAnsi="宋体" w:cs="宋体"/>
                <w:color w:val="auto"/>
                <w:szCs w:val="24"/>
                <w:highlight w:val="none"/>
              </w:rPr>
              <w:t>23</w:t>
            </w:r>
          </w:p>
        </w:tc>
        <w:tc>
          <w:tcPr>
            <w:tcW w:w="951" w:type="dxa"/>
            <w:vAlign w:val="center"/>
          </w:tcPr>
          <w:p w14:paraId="3D0E7049">
            <w:pPr>
              <w:widowControl/>
              <w:spacing w:line="360" w:lineRule="auto"/>
              <w:jc w:val="center"/>
              <w:rPr>
                <w:rFonts w:hAnsi="宋体"/>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6"/>
      <w:bookmarkEnd w:id="27"/>
      <w:bookmarkEnd w:id="28"/>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1.1本次竞争性磋商所签合同使用自筹资金支付，资金已落实到位。</w:t>
      </w:r>
    </w:p>
    <w:p w14:paraId="45369EEE">
      <w:pPr>
        <w:numPr>
          <w:ilvl w:val="0"/>
          <w:numId w:val="2"/>
        </w:numPr>
        <w:spacing w:line="500" w:lineRule="exact"/>
        <w:rPr>
          <w:rFonts w:hAnsi="宋体" w:cs="宋体"/>
          <w:b/>
          <w:color w:val="auto"/>
          <w:szCs w:val="24"/>
          <w:highlight w:val="none"/>
        </w:rPr>
      </w:pPr>
      <w:bookmarkStart w:id="29" w:name="_Toc403077640"/>
      <w:bookmarkStart w:id="30" w:name="_Toc363473973"/>
      <w:bookmarkStart w:id="31" w:name="_Toc363474018"/>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柞水县城市管理局</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9"/>
      <w:bookmarkEnd w:id="30"/>
      <w:bookmarkEnd w:id="31"/>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2" w:name="_Toc403077641"/>
      <w:bookmarkStart w:id="33" w:name="_Toc363473974"/>
      <w:bookmarkStart w:id="34" w:name="_Toc363474019"/>
      <w:r>
        <w:rPr>
          <w:rFonts w:hint="eastAsia" w:hAnsi="宋体" w:cs="宋体"/>
          <w:b/>
          <w:color w:val="auto"/>
          <w:sz w:val="32"/>
          <w:szCs w:val="32"/>
          <w:highlight w:val="none"/>
        </w:rPr>
        <w:t>三.磋商响应文件的编制</w:t>
      </w:r>
      <w:bookmarkEnd w:id="32"/>
      <w:bookmarkEnd w:id="33"/>
      <w:bookmarkEnd w:id="34"/>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5"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5"/>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6" w:name="_Toc363473976"/>
      <w:bookmarkStart w:id="37" w:name="_Toc363474021"/>
      <w:bookmarkStart w:id="38" w:name="_Toc403077643"/>
      <w:r>
        <w:rPr>
          <w:rFonts w:hint="eastAsia" w:hAnsi="宋体" w:cs="宋体"/>
          <w:b/>
          <w:color w:val="auto"/>
          <w:sz w:val="32"/>
          <w:szCs w:val="32"/>
          <w:highlight w:val="none"/>
        </w:rPr>
        <w:t>五.磋商与评标</w:t>
      </w:r>
      <w:bookmarkEnd w:id="36"/>
      <w:bookmarkEnd w:id="37"/>
      <w:bookmarkEnd w:id="38"/>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3FD56BD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29.1招标代理服务费：以中标金额为基数，依据国家计委颁布《招标代理服务收费管理暂行办法》（计价格[2002]1980号）文件的有关规定执行。</w:t>
      </w:r>
    </w:p>
    <w:p w14:paraId="68348EB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29.2成交单位在领取成交通知书前，须向采购代理机构一次性支付代理服务费。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9"/>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9" w:name="_Toc25783"/>
      <w:bookmarkStart w:id="40" w:name="_Toc403077645"/>
      <w:bookmarkStart w:id="41" w:name="_Toc423973074"/>
      <w:bookmarkStart w:id="42" w:name="_Toc363474023"/>
      <w:r>
        <w:rPr>
          <w:rFonts w:hint="eastAsia" w:ascii="宋体" w:eastAsia="宋体" w:cs="宋体"/>
          <w:bCs/>
          <w:color w:val="auto"/>
          <w:sz w:val="36"/>
          <w:szCs w:val="36"/>
          <w:highlight w:val="none"/>
        </w:rPr>
        <w:br w:type="page"/>
      </w:r>
      <w:bookmarkStart w:id="43"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3"/>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570"/>
        <w:gridCol w:w="6699"/>
        <w:gridCol w:w="760"/>
        <w:gridCol w:w="571"/>
      </w:tblGrid>
      <w:tr w14:paraId="641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471" w:type="dxa"/>
            <w:vAlign w:val="center"/>
          </w:tcPr>
          <w:p w14:paraId="0FB185EB">
            <w:pPr>
              <w:pStyle w:val="14"/>
              <w:ind w:left="5250"/>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类别</w:t>
            </w:r>
          </w:p>
        </w:tc>
        <w:tc>
          <w:tcPr>
            <w:tcW w:w="570" w:type="dxa"/>
            <w:vAlign w:val="center"/>
          </w:tcPr>
          <w:p w14:paraId="075C8A19">
            <w:pPr>
              <w:jc w:val="center"/>
              <w:rPr>
                <w:rFonts w:hAnsi="宋体" w:cs="宋体"/>
                <w:b/>
                <w:bCs/>
                <w:color w:val="auto"/>
                <w:szCs w:val="24"/>
                <w:highlight w:val="none"/>
              </w:rPr>
            </w:pPr>
            <w:r>
              <w:rPr>
                <w:rFonts w:hint="eastAsia" w:hAnsi="宋体" w:cs="宋体"/>
                <w:b/>
                <w:bCs/>
                <w:color w:val="auto"/>
                <w:szCs w:val="24"/>
                <w:highlight w:val="none"/>
              </w:rPr>
              <w:t>总分</w:t>
            </w:r>
          </w:p>
        </w:tc>
        <w:tc>
          <w:tcPr>
            <w:tcW w:w="6699" w:type="dxa"/>
            <w:vAlign w:val="center"/>
          </w:tcPr>
          <w:p w14:paraId="04289259">
            <w:pPr>
              <w:jc w:val="center"/>
              <w:rPr>
                <w:rFonts w:hAnsi="宋体" w:cs="宋体"/>
                <w:b/>
                <w:bCs/>
                <w:color w:val="auto"/>
                <w:szCs w:val="24"/>
                <w:highlight w:val="none"/>
              </w:rPr>
            </w:pPr>
            <w:r>
              <w:rPr>
                <w:rFonts w:hint="eastAsia" w:hAnsi="宋体" w:cs="宋体"/>
                <w:b/>
                <w:bCs/>
                <w:color w:val="auto"/>
                <w:szCs w:val="24"/>
                <w:highlight w:val="none"/>
              </w:rPr>
              <w:t>评审因素</w:t>
            </w:r>
          </w:p>
        </w:tc>
        <w:tc>
          <w:tcPr>
            <w:tcW w:w="760" w:type="dxa"/>
            <w:vAlign w:val="center"/>
          </w:tcPr>
          <w:p w14:paraId="2DAF1AF0">
            <w:pPr>
              <w:jc w:val="center"/>
              <w:rPr>
                <w:rFonts w:hAnsi="宋体" w:cs="宋体"/>
                <w:b/>
                <w:bCs/>
                <w:color w:val="auto"/>
                <w:szCs w:val="24"/>
                <w:highlight w:val="none"/>
              </w:rPr>
            </w:pPr>
            <w:r>
              <w:rPr>
                <w:rFonts w:hint="eastAsia" w:hAnsi="宋体" w:cs="宋体"/>
                <w:b/>
                <w:bCs/>
                <w:color w:val="auto"/>
                <w:szCs w:val="24"/>
                <w:highlight w:val="none"/>
              </w:rPr>
              <w:t>最高</w:t>
            </w:r>
          </w:p>
          <w:p w14:paraId="78D933F2">
            <w:pPr>
              <w:jc w:val="center"/>
              <w:rPr>
                <w:rFonts w:hAnsi="宋体" w:cs="宋体"/>
                <w:b/>
                <w:bCs/>
                <w:color w:val="auto"/>
                <w:szCs w:val="24"/>
                <w:highlight w:val="none"/>
              </w:rPr>
            </w:pPr>
            <w:r>
              <w:rPr>
                <w:rFonts w:hint="eastAsia" w:hAnsi="宋体" w:cs="宋体"/>
                <w:b/>
                <w:bCs/>
                <w:color w:val="auto"/>
                <w:szCs w:val="24"/>
                <w:highlight w:val="none"/>
              </w:rPr>
              <w:t>得分</w:t>
            </w:r>
          </w:p>
        </w:tc>
        <w:tc>
          <w:tcPr>
            <w:tcW w:w="571" w:type="dxa"/>
            <w:vAlign w:val="center"/>
          </w:tcPr>
          <w:p w14:paraId="61E9B731">
            <w:pPr>
              <w:jc w:val="center"/>
              <w:rPr>
                <w:rFonts w:hAnsi="宋体" w:cs="宋体"/>
                <w:b/>
                <w:bCs/>
                <w:color w:val="auto"/>
                <w:szCs w:val="24"/>
                <w:highlight w:val="none"/>
              </w:rPr>
            </w:pPr>
            <w:r>
              <w:rPr>
                <w:rFonts w:hint="eastAsia" w:hAnsi="宋体" w:cs="宋体"/>
                <w:b/>
                <w:bCs/>
                <w:color w:val="auto"/>
                <w:szCs w:val="24"/>
                <w:highlight w:val="none"/>
              </w:rPr>
              <w:t>备注</w:t>
            </w:r>
          </w:p>
        </w:tc>
      </w:tr>
      <w:tr w14:paraId="3F95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471" w:type="dxa"/>
            <w:vAlign w:val="center"/>
          </w:tcPr>
          <w:p w14:paraId="0631C8E4">
            <w:pPr>
              <w:spacing w:line="360" w:lineRule="auto"/>
              <w:jc w:val="center"/>
              <w:rPr>
                <w:rFonts w:hAnsi="宋体" w:cs="宋体"/>
                <w:b/>
                <w:bCs/>
                <w:color w:val="auto"/>
                <w:szCs w:val="24"/>
                <w:highlight w:val="none"/>
              </w:rPr>
            </w:pPr>
            <w:r>
              <w:rPr>
                <w:rFonts w:hint="eastAsia" w:hAnsi="宋体" w:cs="宋体"/>
                <w:b/>
                <w:bCs/>
                <w:color w:val="auto"/>
                <w:szCs w:val="24"/>
                <w:highlight w:val="none"/>
              </w:rPr>
              <w:t>价格</w:t>
            </w:r>
          </w:p>
        </w:tc>
        <w:tc>
          <w:tcPr>
            <w:tcW w:w="570" w:type="dxa"/>
            <w:vAlign w:val="center"/>
          </w:tcPr>
          <w:p w14:paraId="2F9CB396">
            <w:pPr>
              <w:spacing w:line="360" w:lineRule="auto"/>
              <w:rPr>
                <w:rFonts w:hAnsi="宋体" w:cs="宋体"/>
                <w:b/>
                <w:bCs/>
                <w:color w:val="auto"/>
                <w:szCs w:val="24"/>
                <w:highlight w:val="none"/>
              </w:rPr>
            </w:pPr>
            <w:r>
              <w:rPr>
                <w:rFonts w:hint="eastAsia" w:hAnsi="宋体" w:cs="宋体"/>
                <w:b/>
                <w:bCs/>
                <w:color w:val="auto"/>
                <w:szCs w:val="24"/>
                <w:highlight w:val="none"/>
              </w:rPr>
              <w:t>30分</w:t>
            </w:r>
          </w:p>
        </w:tc>
        <w:tc>
          <w:tcPr>
            <w:tcW w:w="6699" w:type="dxa"/>
            <w:vAlign w:val="center"/>
          </w:tcPr>
          <w:p w14:paraId="45C27FBC">
            <w:pPr>
              <w:rPr>
                <w:rFonts w:hAnsi="宋体" w:cs="宋体"/>
                <w:color w:val="auto"/>
                <w:szCs w:val="24"/>
                <w:highlight w:val="none"/>
              </w:rPr>
            </w:pPr>
            <w:r>
              <w:rPr>
                <w:rFonts w:hint="eastAsia" w:hAnsi="宋体" w:cs="宋体"/>
                <w:color w:val="auto"/>
                <w:szCs w:val="24"/>
                <w:highlight w:val="none"/>
              </w:rPr>
              <w:t>满足磋商文件要求且最后报价最低的供应商的价格为磋商基准价</w:t>
            </w:r>
          </w:p>
          <w:p w14:paraId="16AE6B16">
            <w:pPr>
              <w:rPr>
                <w:rFonts w:hAnsi="宋体" w:cs="宋体"/>
                <w:color w:val="auto"/>
                <w:szCs w:val="24"/>
                <w:highlight w:val="none"/>
              </w:rPr>
            </w:pPr>
            <w:r>
              <w:rPr>
                <w:rFonts w:hint="eastAsia" w:hAnsi="宋体" w:cs="宋体"/>
                <w:color w:val="auto"/>
                <w:szCs w:val="24"/>
                <w:highlight w:val="none"/>
              </w:rPr>
              <w:t>得30分，其他各供应商的最后磋商报价得分按下列公式计算：</w:t>
            </w:r>
          </w:p>
          <w:p w14:paraId="0BC4DB77">
            <w:pPr>
              <w:spacing w:line="360" w:lineRule="auto"/>
              <w:rPr>
                <w:rFonts w:hAnsi="宋体" w:cs="宋体"/>
                <w:color w:val="auto"/>
                <w:szCs w:val="24"/>
                <w:highlight w:val="none"/>
              </w:rPr>
            </w:pPr>
            <w:r>
              <w:rPr>
                <w:rFonts w:hint="eastAsia" w:hAnsi="宋体" w:cs="宋体"/>
                <w:color w:val="auto"/>
                <w:szCs w:val="24"/>
                <w:highlight w:val="none"/>
              </w:rPr>
              <w:t>（磋商基准价/最后磋商报价）×30%×100。</w:t>
            </w:r>
          </w:p>
        </w:tc>
        <w:tc>
          <w:tcPr>
            <w:tcW w:w="760" w:type="dxa"/>
            <w:vAlign w:val="center"/>
          </w:tcPr>
          <w:p w14:paraId="1893731D">
            <w:pPr>
              <w:spacing w:line="360" w:lineRule="auto"/>
              <w:rPr>
                <w:rFonts w:hAnsi="宋体" w:cs="宋体"/>
                <w:color w:val="auto"/>
                <w:szCs w:val="24"/>
                <w:highlight w:val="none"/>
              </w:rPr>
            </w:pPr>
            <w:r>
              <w:rPr>
                <w:rFonts w:hint="eastAsia" w:hAnsi="宋体" w:cs="宋体"/>
                <w:color w:val="auto"/>
                <w:szCs w:val="24"/>
                <w:highlight w:val="none"/>
              </w:rPr>
              <w:t>30分</w:t>
            </w:r>
          </w:p>
        </w:tc>
        <w:tc>
          <w:tcPr>
            <w:tcW w:w="571" w:type="dxa"/>
            <w:vMerge w:val="restart"/>
            <w:vAlign w:val="center"/>
          </w:tcPr>
          <w:p w14:paraId="175E4549">
            <w:pPr>
              <w:spacing w:line="360" w:lineRule="auto"/>
              <w:jc w:val="center"/>
              <w:rPr>
                <w:rFonts w:hAnsi="宋体" w:cs="宋体"/>
                <w:color w:val="auto"/>
                <w:szCs w:val="24"/>
                <w:highlight w:val="none"/>
              </w:rPr>
            </w:pPr>
            <w:r>
              <w:rPr>
                <w:rFonts w:hint="eastAsia" w:hAnsi="宋体" w:cs="宋体"/>
                <w:color w:val="auto"/>
                <w:szCs w:val="24"/>
                <w:highlight w:val="none"/>
              </w:rPr>
              <w:t>根</w:t>
            </w:r>
          </w:p>
          <w:p w14:paraId="7F858762">
            <w:pPr>
              <w:spacing w:line="360" w:lineRule="auto"/>
              <w:jc w:val="center"/>
              <w:rPr>
                <w:rFonts w:hAnsi="宋体" w:cs="宋体"/>
                <w:color w:val="auto"/>
                <w:szCs w:val="24"/>
                <w:highlight w:val="none"/>
              </w:rPr>
            </w:pPr>
            <w:r>
              <w:rPr>
                <w:rFonts w:hint="eastAsia" w:hAnsi="宋体" w:cs="宋体"/>
                <w:color w:val="auto"/>
                <w:szCs w:val="24"/>
                <w:highlight w:val="none"/>
              </w:rPr>
              <w:t>据</w:t>
            </w:r>
          </w:p>
          <w:p w14:paraId="228D09B2">
            <w:pPr>
              <w:spacing w:line="360" w:lineRule="auto"/>
              <w:jc w:val="center"/>
              <w:rPr>
                <w:rFonts w:hAnsi="宋体" w:cs="宋体"/>
                <w:color w:val="auto"/>
                <w:szCs w:val="24"/>
                <w:highlight w:val="none"/>
              </w:rPr>
            </w:pPr>
            <w:r>
              <w:rPr>
                <w:rFonts w:hint="eastAsia" w:hAnsi="宋体" w:cs="宋体"/>
                <w:color w:val="auto"/>
                <w:szCs w:val="24"/>
                <w:highlight w:val="none"/>
              </w:rPr>
              <w:t>磋商响应文</w:t>
            </w:r>
          </w:p>
          <w:p w14:paraId="5F2325BD">
            <w:pPr>
              <w:spacing w:line="360" w:lineRule="auto"/>
              <w:jc w:val="center"/>
              <w:rPr>
                <w:rFonts w:hAnsi="宋体" w:cs="宋体"/>
                <w:color w:val="auto"/>
                <w:szCs w:val="24"/>
                <w:highlight w:val="none"/>
              </w:rPr>
            </w:pPr>
            <w:r>
              <w:rPr>
                <w:rFonts w:hint="eastAsia" w:hAnsi="宋体" w:cs="宋体"/>
                <w:color w:val="auto"/>
                <w:szCs w:val="24"/>
                <w:highlight w:val="none"/>
              </w:rPr>
              <w:t>件</w:t>
            </w:r>
          </w:p>
          <w:p w14:paraId="2D6A7B3A">
            <w:pPr>
              <w:spacing w:line="360" w:lineRule="auto"/>
              <w:jc w:val="center"/>
              <w:rPr>
                <w:rFonts w:hAnsi="宋体" w:cs="宋体"/>
                <w:color w:val="auto"/>
                <w:szCs w:val="24"/>
                <w:highlight w:val="none"/>
              </w:rPr>
            </w:pPr>
            <w:r>
              <w:rPr>
                <w:rFonts w:hint="eastAsia" w:hAnsi="宋体" w:cs="宋体"/>
                <w:color w:val="auto"/>
                <w:szCs w:val="24"/>
                <w:highlight w:val="none"/>
              </w:rPr>
              <w:t>的</w:t>
            </w:r>
          </w:p>
          <w:p w14:paraId="49E13E7D">
            <w:pPr>
              <w:spacing w:line="360" w:lineRule="auto"/>
              <w:jc w:val="center"/>
              <w:rPr>
                <w:rFonts w:hAnsi="宋体" w:cs="宋体"/>
                <w:color w:val="auto"/>
                <w:szCs w:val="24"/>
                <w:highlight w:val="none"/>
              </w:rPr>
            </w:pPr>
            <w:r>
              <w:rPr>
                <w:rFonts w:hint="eastAsia" w:hAnsi="宋体" w:cs="宋体"/>
                <w:color w:val="auto"/>
                <w:szCs w:val="24"/>
                <w:highlight w:val="none"/>
              </w:rPr>
              <w:t>响</w:t>
            </w:r>
          </w:p>
          <w:p w14:paraId="53F54848">
            <w:pPr>
              <w:spacing w:line="360" w:lineRule="auto"/>
              <w:jc w:val="center"/>
              <w:rPr>
                <w:rFonts w:hAnsi="宋体" w:cs="宋体"/>
                <w:color w:val="auto"/>
                <w:szCs w:val="24"/>
                <w:highlight w:val="none"/>
              </w:rPr>
            </w:pPr>
            <w:r>
              <w:rPr>
                <w:rFonts w:hint="eastAsia" w:hAnsi="宋体" w:cs="宋体"/>
                <w:color w:val="auto"/>
                <w:szCs w:val="24"/>
                <w:highlight w:val="none"/>
              </w:rPr>
              <w:t>应</w:t>
            </w:r>
          </w:p>
          <w:p w14:paraId="3FC261EF">
            <w:pPr>
              <w:spacing w:line="360" w:lineRule="auto"/>
              <w:jc w:val="center"/>
              <w:rPr>
                <w:rFonts w:hAnsi="宋体" w:cs="宋体"/>
                <w:color w:val="auto"/>
                <w:szCs w:val="24"/>
                <w:highlight w:val="none"/>
              </w:rPr>
            </w:pPr>
            <w:r>
              <w:rPr>
                <w:rFonts w:hint="eastAsia" w:hAnsi="宋体" w:cs="宋体"/>
                <w:color w:val="auto"/>
                <w:szCs w:val="24"/>
                <w:highlight w:val="none"/>
              </w:rPr>
              <w:t>程</w:t>
            </w:r>
          </w:p>
          <w:p w14:paraId="3BF44485">
            <w:pPr>
              <w:spacing w:line="360" w:lineRule="auto"/>
              <w:jc w:val="center"/>
              <w:rPr>
                <w:rFonts w:hAnsi="宋体" w:cs="宋体"/>
                <w:color w:val="auto"/>
                <w:szCs w:val="24"/>
                <w:highlight w:val="none"/>
              </w:rPr>
            </w:pPr>
            <w:r>
              <w:rPr>
                <w:rFonts w:hint="eastAsia" w:hAnsi="宋体" w:cs="宋体"/>
                <w:color w:val="auto"/>
                <w:szCs w:val="24"/>
                <w:highlight w:val="none"/>
              </w:rPr>
              <w:t>度</w:t>
            </w:r>
          </w:p>
          <w:p w14:paraId="75999262">
            <w:pPr>
              <w:spacing w:line="360" w:lineRule="auto"/>
              <w:jc w:val="center"/>
              <w:rPr>
                <w:rFonts w:hAnsi="宋体" w:cs="宋体"/>
                <w:color w:val="auto"/>
                <w:szCs w:val="24"/>
                <w:highlight w:val="none"/>
              </w:rPr>
            </w:pPr>
            <w:r>
              <w:rPr>
                <w:rFonts w:hint="eastAsia" w:hAnsi="宋体" w:cs="宋体"/>
                <w:color w:val="auto"/>
                <w:szCs w:val="24"/>
                <w:highlight w:val="none"/>
              </w:rPr>
              <w:t>，</w:t>
            </w:r>
          </w:p>
          <w:p w14:paraId="133611CC">
            <w:pPr>
              <w:spacing w:line="360" w:lineRule="auto"/>
              <w:jc w:val="center"/>
              <w:rPr>
                <w:rFonts w:hAnsi="宋体" w:cs="宋体"/>
                <w:color w:val="auto"/>
                <w:szCs w:val="24"/>
                <w:highlight w:val="none"/>
              </w:rPr>
            </w:pPr>
            <w:r>
              <w:rPr>
                <w:rFonts w:hint="eastAsia" w:hAnsi="宋体" w:cs="宋体"/>
                <w:color w:val="auto"/>
                <w:szCs w:val="24"/>
                <w:highlight w:val="none"/>
              </w:rPr>
              <w:t>按</w:t>
            </w:r>
          </w:p>
          <w:p w14:paraId="38599CAF">
            <w:pPr>
              <w:spacing w:line="360" w:lineRule="auto"/>
              <w:jc w:val="center"/>
              <w:rPr>
                <w:rFonts w:hAnsi="宋体" w:cs="宋体"/>
                <w:color w:val="auto"/>
                <w:szCs w:val="24"/>
                <w:highlight w:val="none"/>
              </w:rPr>
            </w:pPr>
            <w:r>
              <w:rPr>
                <w:rFonts w:hint="eastAsia" w:hAnsi="宋体" w:cs="宋体"/>
                <w:color w:val="auto"/>
                <w:szCs w:val="24"/>
                <w:highlight w:val="none"/>
              </w:rPr>
              <w:t>差</w:t>
            </w:r>
          </w:p>
          <w:p w14:paraId="77E49D9E">
            <w:pPr>
              <w:spacing w:line="360" w:lineRule="auto"/>
              <w:jc w:val="center"/>
              <w:rPr>
                <w:rFonts w:hAnsi="宋体" w:cs="宋体"/>
                <w:color w:val="auto"/>
                <w:szCs w:val="24"/>
                <w:highlight w:val="none"/>
              </w:rPr>
            </w:pPr>
            <w:r>
              <w:rPr>
                <w:rFonts w:hint="eastAsia" w:hAnsi="宋体" w:cs="宋体"/>
                <w:color w:val="auto"/>
                <w:szCs w:val="24"/>
                <w:highlight w:val="none"/>
              </w:rPr>
              <w:t>别</w:t>
            </w:r>
          </w:p>
          <w:p w14:paraId="170F4254">
            <w:pPr>
              <w:spacing w:line="360" w:lineRule="auto"/>
              <w:jc w:val="center"/>
              <w:rPr>
                <w:rFonts w:hAnsi="宋体" w:cs="宋体"/>
                <w:color w:val="auto"/>
                <w:szCs w:val="24"/>
                <w:highlight w:val="none"/>
              </w:rPr>
            </w:pPr>
            <w:r>
              <w:rPr>
                <w:rFonts w:hint="eastAsia" w:hAnsi="宋体" w:cs="宋体"/>
                <w:color w:val="auto"/>
                <w:szCs w:val="24"/>
                <w:highlight w:val="none"/>
              </w:rPr>
              <w:t>计</w:t>
            </w:r>
          </w:p>
          <w:p w14:paraId="6349D537">
            <w:pPr>
              <w:spacing w:line="360" w:lineRule="auto"/>
              <w:jc w:val="center"/>
              <w:rPr>
                <w:rFonts w:hAnsi="宋体" w:cs="宋体"/>
                <w:color w:val="auto"/>
                <w:szCs w:val="24"/>
                <w:highlight w:val="none"/>
              </w:rPr>
            </w:pPr>
            <w:r>
              <w:rPr>
                <w:rFonts w:hint="eastAsia" w:hAnsi="宋体" w:cs="宋体"/>
                <w:color w:val="auto"/>
                <w:szCs w:val="24"/>
                <w:highlight w:val="none"/>
              </w:rPr>
              <w:t>分</w:t>
            </w:r>
          </w:p>
          <w:p w14:paraId="35817C8F">
            <w:pPr>
              <w:spacing w:line="360" w:lineRule="auto"/>
              <w:jc w:val="center"/>
              <w:rPr>
                <w:rFonts w:hAnsi="宋体" w:cs="宋体"/>
                <w:color w:val="auto"/>
                <w:szCs w:val="24"/>
                <w:highlight w:val="none"/>
              </w:rPr>
            </w:pPr>
            <w:r>
              <w:rPr>
                <w:rFonts w:hint="eastAsia" w:hAnsi="宋体" w:cs="宋体"/>
                <w:color w:val="auto"/>
                <w:szCs w:val="24"/>
                <w:highlight w:val="none"/>
              </w:rPr>
              <w:t>。</w:t>
            </w:r>
          </w:p>
        </w:tc>
      </w:tr>
      <w:tr w14:paraId="567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1" w:type="dxa"/>
            <w:vMerge w:val="restart"/>
            <w:vAlign w:val="center"/>
          </w:tcPr>
          <w:p w14:paraId="37D76E2E">
            <w:pPr>
              <w:spacing w:line="360" w:lineRule="auto"/>
              <w:rPr>
                <w:rFonts w:hAnsi="宋体" w:cs="宋体"/>
                <w:color w:val="auto"/>
                <w:szCs w:val="24"/>
                <w:highlight w:val="none"/>
              </w:rPr>
            </w:pPr>
            <w:r>
              <w:rPr>
                <w:rFonts w:hint="eastAsia" w:hAnsi="宋体" w:cs="宋体"/>
                <w:color w:val="auto"/>
                <w:szCs w:val="24"/>
                <w:highlight w:val="none"/>
              </w:rPr>
              <w:t>施工组织</w:t>
            </w:r>
          </w:p>
        </w:tc>
        <w:tc>
          <w:tcPr>
            <w:tcW w:w="570" w:type="dxa"/>
            <w:vMerge w:val="restart"/>
            <w:vAlign w:val="center"/>
          </w:tcPr>
          <w:p w14:paraId="51CE0F9D">
            <w:pPr>
              <w:spacing w:line="360" w:lineRule="auto"/>
              <w:jc w:val="center"/>
              <w:rPr>
                <w:rFonts w:hAnsi="宋体" w:cs="宋体"/>
                <w:b/>
                <w:bCs/>
                <w:color w:val="auto"/>
                <w:szCs w:val="24"/>
                <w:highlight w:val="none"/>
              </w:rPr>
            </w:pPr>
            <w:r>
              <w:rPr>
                <w:rFonts w:hint="eastAsia" w:hAnsi="宋体" w:cs="宋体"/>
                <w:b/>
                <w:bCs/>
                <w:color w:val="auto"/>
                <w:szCs w:val="24"/>
                <w:highlight w:val="none"/>
              </w:rPr>
              <w:t>60分</w:t>
            </w:r>
          </w:p>
        </w:tc>
        <w:tc>
          <w:tcPr>
            <w:tcW w:w="6699" w:type="dxa"/>
            <w:vAlign w:val="center"/>
          </w:tcPr>
          <w:p w14:paraId="6F98843A">
            <w:pPr>
              <w:spacing w:line="360" w:lineRule="auto"/>
              <w:rPr>
                <w:rFonts w:hAnsi="宋体"/>
                <w:bCs/>
                <w:color w:val="auto"/>
                <w:highlight w:val="none"/>
              </w:rPr>
            </w:pPr>
            <w:r>
              <w:rPr>
                <w:rFonts w:hint="eastAsia" w:hAnsi="宋体"/>
                <w:color w:val="auto"/>
                <w:szCs w:val="24"/>
                <w:highlight w:val="none"/>
              </w:rPr>
              <w:t>根据供应商项目管理架构及项目经理部组成人员组成情况进行综合赋分（1～10分）</w:t>
            </w:r>
          </w:p>
        </w:tc>
        <w:tc>
          <w:tcPr>
            <w:tcW w:w="760" w:type="dxa"/>
            <w:vAlign w:val="center"/>
          </w:tcPr>
          <w:p w14:paraId="0EDAB59A">
            <w:pPr>
              <w:spacing w:line="360" w:lineRule="auto"/>
              <w:rPr>
                <w:rFonts w:hAnsi="宋体" w:cs="宋体"/>
                <w:color w:val="auto"/>
                <w:szCs w:val="24"/>
                <w:highlight w:val="none"/>
              </w:rPr>
            </w:pPr>
            <w:r>
              <w:rPr>
                <w:rFonts w:hint="eastAsia" w:hAnsi="宋体"/>
                <w:color w:val="auto"/>
                <w:szCs w:val="24"/>
                <w:highlight w:val="none"/>
              </w:rPr>
              <w:t>10分</w:t>
            </w:r>
          </w:p>
        </w:tc>
        <w:tc>
          <w:tcPr>
            <w:tcW w:w="571" w:type="dxa"/>
            <w:vMerge w:val="continue"/>
            <w:vAlign w:val="center"/>
          </w:tcPr>
          <w:p w14:paraId="513B14CF">
            <w:pPr>
              <w:spacing w:line="360" w:lineRule="auto"/>
              <w:ind w:left="-108" w:leftChars="-45" w:firstLine="120" w:firstLineChars="50"/>
              <w:rPr>
                <w:rFonts w:hAnsi="宋体" w:cs="宋体"/>
                <w:color w:val="auto"/>
                <w:szCs w:val="24"/>
                <w:highlight w:val="none"/>
              </w:rPr>
            </w:pPr>
          </w:p>
        </w:tc>
      </w:tr>
      <w:tr w14:paraId="1211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71" w:type="dxa"/>
            <w:vMerge w:val="continue"/>
            <w:vAlign w:val="center"/>
          </w:tcPr>
          <w:p w14:paraId="72C86713">
            <w:pPr>
              <w:spacing w:line="360" w:lineRule="auto"/>
              <w:rPr>
                <w:rFonts w:hAnsi="宋体" w:cs="宋体"/>
                <w:color w:val="auto"/>
                <w:szCs w:val="24"/>
                <w:highlight w:val="none"/>
              </w:rPr>
            </w:pPr>
          </w:p>
        </w:tc>
        <w:tc>
          <w:tcPr>
            <w:tcW w:w="570" w:type="dxa"/>
            <w:vMerge w:val="continue"/>
            <w:vAlign w:val="center"/>
          </w:tcPr>
          <w:p w14:paraId="7A1EA582">
            <w:pPr>
              <w:spacing w:line="360" w:lineRule="auto"/>
              <w:jc w:val="center"/>
              <w:rPr>
                <w:rFonts w:hAnsi="宋体" w:cs="宋体"/>
                <w:b/>
                <w:bCs/>
                <w:color w:val="auto"/>
                <w:szCs w:val="24"/>
                <w:highlight w:val="none"/>
              </w:rPr>
            </w:pPr>
          </w:p>
        </w:tc>
        <w:tc>
          <w:tcPr>
            <w:tcW w:w="6699" w:type="dxa"/>
            <w:vAlign w:val="center"/>
          </w:tcPr>
          <w:p w14:paraId="7A553DAE">
            <w:pPr>
              <w:spacing w:line="360" w:lineRule="auto"/>
              <w:rPr>
                <w:rFonts w:hAnsi="宋体"/>
                <w:color w:val="auto"/>
                <w:szCs w:val="24"/>
                <w:highlight w:val="none"/>
              </w:rPr>
            </w:pPr>
            <w:r>
              <w:rPr>
                <w:rFonts w:hint="eastAsia" w:hAnsi="宋体"/>
                <w:color w:val="auto"/>
                <w:szCs w:val="24"/>
                <w:highlight w:val="none"/>
              </w:rPr>
              <w:t>针对本项目制定施工方案，方案全面具体、合理可行，符合相关技术标准要求，依据响应程度进行综合赋分（0-15分）</w:t>
            </w:r>
          </w:p>
        </w:tc>
        <w:tc>
          <w:tcPr>
            <w:tcW w:w="760" w:type="dxa"/>
            <w:vAlign w:val="center"/>
          </w:tcPr>
          <w:p w14:paraId="737A4BA7">
            <w:pPr>
              <w:spacing w:line="360" w:lineRule="auto"/>
              <w:rPr>
                <w:rFonts w:hAnsi="宋体"/>
                <w:color w:val="auto"/>
                <w:szCs w:val="24"/>
                <w:highlight w:val="none"/>
              </w:rPr>
            </w:pPr>
            <w:r>
              <w:rPr>
                <w:rFonts w:hint="eastAsia" w:hAnsi="宋体"/>
                <w:color w:val="auto"/>
                <w:szCs w:val="24"/>
                <w:highlight w:val="none"/>
              </w:rPr>
              <w:t>15分</w:t>
            </w:r>
          </w:p>
        </w:tc>
        <w:tc>
          <w:tcPr>
            <w:tcW w:w="571" w:type="dxa"/>
            <w:vMerge w:val="continue"/>
            <w:vAlign w:val="center"/>
          </w:tcPr>
          <w:p w14:paraId="2D899FED">
            <w:pPr>
              <w:spacing w:line="360" w:lineRule="auto"/>
              <w:ind w:left="-108" w:leftChars="-45" w:firstLine="120" w:firstLineChars="50"/>
              <w:rPr>
                <w:rFonts w:hAnsi="宋体" w:cs="宋体"/>
                <w:color w:val="auto"/>
                <w:szCs w:val="24"/>
                <w:highlight w:val="none"/>
              </w:rPr>
            </w:pPr>
          </w:p>
        </w:tc>
      </w:tr>
      <w:tr w14:paraId="7FE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546525C8">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3FBB207">
            <w:pPr>
              <w:spacing w:line="360" w:lineRule="auto"/>
              <w:ind w:left="-108" w:leftChars="-45" w:firstLine="120" w:firstLineChars="50"/>
              <w:rPr>
                <w:rFonts w:hAnsi="宋体" w:cs="宋体"/>
                <w:color w:val="auto"/>
                <w:szCs w:val="24"/>
                <w:highlight w:val="none"/>
              </w:rPr>
            </w:pPr>
          </w:p>
        </w:tc>
        <w:tc>
          <w:tcPr>
            <w:tcW w:w="6699" w:type="dxa"/>
            <w:vAlign w:val="center"/>
          </w:tcPr>
          <w:p w14:paraId="485C031B">
            <w:pPr>
              <w:spacing w:line="360" w:lineRule="auto"/>
              <w:rPr>
                <w:rFonts w:hAnsi="宋体"/>
                <w:bCs/>
                <w:color w:val="auto"/>
                <w:highlight w:val="none"/>
              </w:rPr>
            </w:pPr>
            <w:r>
              <w:rPr>
                <w:rFonts w:hint="eastAsia" w:hAnsi="宋体"/>
                <w:color w:val="auto"/>
                <w:szCs w:val="24"/>
                <w:highlight w:val="none"/>
              </w:rPr>
              <w:t>根据供应商提供的施工进度计划、主材供应计划进行综合赋分（0～5分）</w:t>
            </w:r>
          </w:p>
        </w:tc>
        <w:tc>
          <w:tcPr>
            <w:tcW w:w="760" w:type="dxa"/>
            <w:vAlign w:val="center"/>
          </w:tcPr>
          <w:p w14:paraId="6DB33231">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3EB84549">
            <w:pPr>
              <w:spacing w:line="360" w:lineRule="auto"/>
              <w:ind w:left="-108" w:leftChars="-45" w:firstLine="120" w:firstLineChars="50"/>
              <w:rPr>
                <w:rFonts w:hAnsi="宋体" w:cs="宋体"/>
                <w:color w:val="auto"/>
                <w:szCs w:val="24"/>
                <w:highlight w:val="none"/>
              </w:rPr>
            </w:pPr>
          </w:p>
        </w:tc>
      </w:tr>
      <w:tr w14:paraId="20D6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2E6FF1D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0A51EB09">
            <w:pPr>
              <w:spacing w:line="360" w:lineRule="auto"/>
              <w:ind w:left="-108" w:leftChars="-45" w:firstLine="120" w:firstLineChars="50"/>
              <w:rPr>
                <w:rFonts w:hAnsi="宋体" w:cs="宋体"/>
                <w:color w:val="auto"/>
                <w:szCs w:val="24"/>
                <w:highlight w:val="none"/>
              </w:rPr>
            </w:pPr>
          </w:p>
        </w:tc>
        <w:tc>
          <w:tcPr>
            <w:tcW w:w="6699" w:type="dxa"/>
            <w:vAlign w:val="center"/>
          </w:tcPr>
          <w:p w14:paraId="2CF2C375">
            <w:pPr>
              <w:spacing w:line="360" w:lineRule="auto"/>
              <w:rPr>
                <w:rFonts w:hAnsi="宋体"/>
                <w:bCs/>
                <w:color w:val="auto"/>
                <w:highlight w:val="none"/>
              </w:rPr>
            </w:pPr>
            <w:r>
              <w:rPr>
                <w:rFonts w:hint="eastAsia" w:hAnsi="宋体"/>
                <w:color w:val="auto"/>
                <w:szCs w:val="24"/>
                <w:highlight w:val="none"/>
              </w:rPr>
              <w:t>根据供应商提供的必备仪器、机械设备配备情况进行赋分（0～5分）</w:t>
            </w:r>
          </w:p>
        </w:tc>
        <w:tc>
          <w:tcPr>
            <w:tcW w:w="760" w:type="dxa"/>
            <w:vAlign w:val="center"/>
          </w:tcPr>
          <w:p w14:paraId="4227315E">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1B1AD0BC">
            <w:pPr>
              <w:spacing w:line="360" w:lineRule="auto"/>
              <w:ind w:left="-108" w:leftChars="-45" w:firstLine="120" w:firstLineChars="50"/>
              <w:rPr>
                <w:rFonts w:hAnsi="宋体" w:cs="宋体"/>
                <w:color w:val="auto"/>
                <w:szCs w:val="24"/>
                <w:highlight w:val="none"/>
              </w:rPr>
            </w:pPr>
          </w:p>
        </w:tc>
      </w:tr>
      <w:tr w14:paraId="684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71" w:type="dxa"/>
            <w:vMerge w:val="continue"/>
            <w:vAlign w:val="center"/>
          </w:tcPr>
          <w:p w14:paraId="7DED53C1">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695DCFF0">
            <w:pPr>
              <w:spacing w:line="360" w:lineRule="auto"/>
              <w:ind w:left="-108" w:leftChars="-45" w:firstLine="120" w:firstLineChars="50"/>
              <w:rPr>
                <w:rFonts w:hAnsi="宋体" w:cs="宋体"/>
                <w:color w:val="auto"/>
                <w:szCs w:val="24"/>
                <w:highlight w:val="none"/>
              </w:rPr>
            </w:pPr>
          </w:p>
        </w:tc>
        <w:tc>
          <w:tcPr>
            <w:tcW w:w="6699" w:type="dxa"/>
            <w:vAlign w:val="center"/>
          </w:tcPr>
          <w:p w14:paraId="4BB2E919">
            <w:pPr>
              <w:spacing w:line="360" w:lineRule="auto"/>
              <w:rPr>
                <w:rFonts w:hAnsi="宋体"/>
                <w:bCs/>
                <w:color w:val="auto"/>
                <w:highlight w:val="none"/>
              </w:rPr>
            </w:pPr>
            <w:r>
              <w:rPr>
                <w:rFonts w:hint="eastAsia" w:hAnsi="宋体"/>
                <w:color w:val="auto"/>
                <w:szCs w:val="24"/>
                <w:highlight w:val="none"/>
              </w:rPr>
              <w:t>根据供应商提供的</w:t>
            </w:r>
            <w:r>
              <w:rPr>
                <w:rFonts w:hint="eastAsia" w:hAnsi="宋体"/>
                <w:bCs/>
                <w:color w:val="auto"/>
                <w:highlight w:val="none"/>
              </w:rPr>
              <w:t>确保工程质量的技术组织措施</w:t>
            </w:r>
            <w:r>
              <w:rPr>
                <w:rFonts w:hint="eastAsia" w:hAnsi="宋体"/>
                <w:color w:val="auto"/>
                <w:szCs w:val="24"/>
                <w:highlight w:val="none"/>
              </w:rPr>
              <w:t>进行综合赋分（0～5分）</w:t>
            </w:r>
          </w:p>
        </w:tc>
        <w:tc>
          <w:tcPr>
            <w:tcW w:w="760" w:type="dxa"/>
            <w:vAlign w:val="center"/>
          </w:tcPr>
          <w:p w14:paraId="7E6D6CD9">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43C43CD5">
            <w:pPr>
              <w:spacing w:line="360" w:lineRule="auto"/>
              <w:ind w:left="-108" w:leftChars="-45" w:firstLine="120" w:firstLineChars="50"/>
              <w:rPr>
                <w:rFonts w:hAnsi="宋体" w:cs="宋体"/>
                <w:color w:val="auto"/>
                <w:szCs w:val="24"/>
                <w:highlight w:val="none"/>
              </w:rPr>
            </w:pPr>
          </w:p>
        </w:tc>
      </w:tr>
      <w:tr w14:paraId="5BD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71" w:type="dxa"/>
            <w:vMerge w:val="continue"/>
            <w:vAlign w:val="center"/>
          </w:tcPr>
          <w:p w14:paraId="19D51E6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47058D99">
            <w:pPr>
              <w:spacing w:line="360" w:lineRule="auto"/>
              <w:ind w:left="-108" w:leftChars="-45" w:firstLine="120" w:firstLineChars="50"/>
              <w:rPr>
                <w:rFonts w:hAnsi="宋体" w:cs="宋体"/>
                <w:color w:val="auto"/>
                <w:szCs w:val="24"/>
                <w:highlight w:val="none"/>
              </w:rPr>
            </w:pPr>
          </w:p>
        </w:tc>
        <w:tc>
          <w:tcPr>
            <w:tcW w:w="6699" w:type="dxa"/>
            <w:vAlign w:val="center"/>
          </w:tcPr>
          <w:p w14:paraId="35297FC0">
            <w:pPr>
              <w:spacing w:line="360" w:lineRule="auto"/>
              <w:rPr>
                <w:rFonts w:hAnsi="宋体"/>
                <w:color w:val="auto"/>
                <w:szCs w:val="24"/>
                <w:highlight w:val="none"/>
              </w:rPr>
            </w:pPr>
            <w:r>
              <w:rPr>
                <w:rFonts w:hint="eastAsia" w:hAnsi="宋体"/>
                <w:color w:val="auto"/>
                <w:szCs w:val="24"/>
                <w:highlight w:val="none"/>
              </w:rPr>
              <w:t>根据供应商提供的</w:t>
            </w:r>
            <w:r>
              <w:rPr>
                <w:rFonts w:hint="eastAsia" w:hAnsi="宋体"/>
                <w:bCs/>
                <w:color w:val="auto"/>
                <w:highlight w:val="none"/>
              </w:rPr>
              <w:t>确保工程工期的技术组织措施</w:t>
            </w:r>
            <w:r>
              <w:rPr>
                <w:rFonts w:hint="eastAsia" w:hAnsi="宋体"/>
                <w:color w:val="auto"/>
                <w:szCs w:val="24"/>
                <w:highlight w:val="none"/>
              </w:rPr>
              <w:t>进行综合赋分（0～5分）</w:t>
            </w:r>
          </w:p>
        </w:tc>
        <w:tc>
          <w:tcPr>
            <w:tcW w:w="760" w:type="dxa"/>
            <w:vAlign w:val="center"/>
          </w:tcPr>
          <w:p w14:paraId="1D356BEB">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53A7F7F0">
            <w:pPr>
              <w:spacing w:line="360" w:lineRule="auto"/>
              <w:ind w:left="-108" w:leftChars="-45" w:firstLine="120" w:firstLineChars="50"/>
              <w:rPr>
                <w:rFonts w:hAnsi="宋体" w:cs="宋体"/>
                <w:color w:val="auto"/>
                <w:szCs w:val="24"/>
                <w:highlight w:val="none"/>
              </w:rPr>
            </w:pPr>
          </w:p>
        </w:tc>
      </w:tr>
      <w:tr w14:paraId="0F6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1" w:type="dxa"/>
            <w:vMerge w:val="continue"/>
            <w:vAlign w:val="center"/>
          </w:tcPr>
          <w:p w14:paraId="0D91530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1561414C">
            <w:pPr>
              <w:spacing w:line="360" w:lineRule="auto"/>
              <w:ind w:left="-108" w:leftChars="-45" w:firstLine="120" w:firstLineChars="50"/>
              <w:rPr>
                <w:rFonts w:hAnsi="宋体" w:cs="宋体"/>
                <w:color w:val="auto"/>
                <w:szCs w:val="24"/>
                <w:highlight w:val="none"/>
              </w:rPr>
            </w:pPr>
          </w:p>
        </w:tc>
        <w:tc>
          <w:tcPr>
            <w:tcW w:w="6699" w:type="dxa"/>
            <w:vAlign w:val="center"/>
          </w:tcPr>
          <w:p w14:paraId="406B9A69">
            <w:pPr>
              <w:spacing w:line="360" w:lineRule="auto"/>
              <w:rPr>
                <w:rFonts w:hAnsi="宋体"/>
                <w:color w:val="auto"/>
                <w:szCs w:val="24"/>
                <w:highlight w:val="none"/>
              </w:rPr>
            </w:pPr>
            <w:r>
              <w:rPr>
                <w:rFonts w:hint="eastAsia" w:hAnsi="宋体"/>
                <w:color w:val="auto"/>
                <w:szCs w:val="24"/>
                <w:highlight w:val="none"/>
              </w:rPr>
              <w:t>根据供应商提供的施工过程中安全施工措施进行综合赋分（0～5分）</w:t>
            </w:r>
          </w:p>
        </w:tc>
        <w:tc>
          <w:tcPr>
            <w:tcW w:w="760" w:type="dxa"/>
            <w:vAlign w:val="center"/>
          </w:tcPr>
          <w:p w14:paraId="102106F1">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6B4F54C3">
            <w:pPr>
              <w:spacing w:line="360" w:lineRule="auto"/>
              <w:ind w:left="-108" w:leftChars="-45" w:firstLine="120" w:firstLineChars="50"/>
              <w:rPr>
                <w:rFonts w:hAnsi="宋体" w:cs="宋体"/>
                <w:color w:val="auto"/>
                <w:szCs w:val="24"/>
                <w:highlight w:val="none"/>
              </w:rPr>
            </w:pPr>
          </w:p>
        </w:tc>
      </w:tr>
      <w:tr w14:paraId="19FF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71" w:type="dxa"/>
            <w:vMerge w:val="continue"/>
            <w:vAlign w:val="center"/>
          </w:tcPr>
          <w:p w14:paraId="7DFEAD0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4975E3F">
            <w:pPr>
              <w:spacing w:line="360" w:lineRule="auto"/>
              <w:ind w:left="-108" w:leftChars="-45" w:firstLine="120" w:firstLineChars="50"/>
              <w:rPr>
                <w:rFonts w:hAnsi="宋体" w:cs="宋体"/>
                <w:color w:val="auto"/>
                <w:szCs w:val="24"/>
                <w:highlight w:val="none"/>
              </w:rPr>
            </w:pPr>
          </w:p>
        </w:tc>
        <w:tc>
          <w:tcPr>
            <w:tcW w:w="6699" w:type="dxa"/>
            <w:vAlign w:val="center"/>
          </w:tcPr>
          <w:p w14:paraId="607BE062">
            <w:pPr>
              <w:spacing w:line="360" w:lineRule="auto"/>
              <w:rPr>
                <w:rFonts w:hAnsi="宋体"/>
                <w:bCs/>
                <w:color w:val="auto"/>
                <w:highlight w:val="none"/>
              </w:rPr>
            </w:pPr>
            <w:r>
              <w:rPr>
                <w:rFonts w:hint="eastAsia" w:hAnsi="宋体"/>
                <w:color w:val="auto"/>
                <w:szCs w:val="24"/>
                <w:highlight w:val="none"/>
              </w:rPr>
              <w:t>根据供应商提供的施工过程中文明、环境施工措施进行综合赋分（0～5分）</w:t>
            </w:r>
          </w:p>
        </w:tc>
        <w:tc>
          <w:tcPr>
            <w:tcW w:w="760" w:type="dxa"/>
            <w:vAlign w:val="center"/>
          </w:tcPr>
          <w:p w14:paraId="2E293E10">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2FCE6F4B">
            <w:pPr>
              <w:spacing w:line="360" w:lineRule="auto"/>
              <w:ind w:left="-108" w:leftChars="-45" w:firstLine="120" w:firstLineChars="50"/>
              <w:rPr>
                <w:rFonts w:hAnsi="宋体" w:cs="宋体"/>
                <w:color w:val="auto"/>
                <w:szCs w:val="24"/>
                <w:highlight w:val="none"/>
              </w:rPr>
            </w:pPr>
          </w:p>
        </w:tc>
      </w:tr>
      <w:tr w14:paraId="7EE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471" w:type="dxa"/>
            <w:vMerge w:val="continue"/>
            <w:vAlign w:val="center"/>
          </w:tcPr>
          <w:p w14:paraId="31A16B9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32923347">
            <w:pPr>
              <w:spacing w:line="360" w:lineRule="auto"/>
              <w:ind w:left="-108" w:leftChars="-45" w:firstLine="120" w:firstLineChars="50"/>
              <w:rPr>
                <w:rFonts w:hAnsi="宋体" w:cs="宋体"/>
                <w:color w:val="auto"/>
                <w:szCs w:val="24"/>
                <w:highlight w:val="none"/>
              </w:rPr>
            </w:pPr>
          </w:p>
        </w:tc>
        <w:tc>
          <w:tcPr>
            <w:tcW w:w="6699" w:type="dxa"/>
            <w:vAlign w:val="center"/>
          </w:tcPr>
          <w:p w14:paraId="0CEE4CB9">
            <w:pPr>
              <w:spacing w:line="360" w:lineRule="auto"/>
              <w:rPr>
                <w:rFonts w:hAnsi="宋体"/>
                <w:color w:val="auto"/>
                <w:szCs w:val="24"/>
                <w:highlight w:val="none"/>
              </w:rPr>
            </w:pPr>
            <w:r>
              <w:rPr>
                <w:rFonts w:hint="eastAsia" w:hAnsi="宋体"/>
                <w:color w:val="auto"/>
                <w:szCs w:val="24"/>
                <w:highlight w:val="none"/>
              </w:rPr>
              <w:t>根据供应商提供的施工过程中突发状况下的应急预案进行综合赋分（0～5分）</w:t>
            </w:r>
          </w:p>
        </w:tc>
        <w:tc>
          <w:tcPr>
            <w:tcW w:w="760" w:type="dxa"/>
            <w:vAlign w:val="center"/>
          </w:tcPr>
          <w:p w14:paraId="4E2EE45F">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5B533E2E">
            <w:pPr>
              <w:spacing w:line="360" w:lineRule="auto"/>
              <w:ind w:left="-108" w:leftChars="-45" w:firstLine="120" w:firstLineChars="50"/>
              <w:rPr>
                <w:rFonts w:hAnsi="宋体" w:cs="宋体"/>
                <w:color w:val="auto"/>
                <w:szCs w:val="24"/>
                <w:highlight w:val="none"/>
              </w:rPr>
            </w:pPr>
          </w:p>
        </w:tc>
      </w:tr>
      <w:tr w14:paraId="08FF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vAlign w:val="center"/>
          </w:tcPr>
          <w:p w14:paraId="6A5143C9">
            <w:pPr>
              <w:spacing w:line="360" w:lineRule="auto"/>
              <w:jc w:val="center"/>
              <w:rPr>
                <w:rFonts w:hAnsi="宋体" w:cs="宋体"/>
                <w:color w:val="auto"/>
                <w:szCs w:val="24"/>
                <w:highlight w:val="none"/>
              </w:rPr>
            </w:pPr>
            <w:r>
              <w:rPr>
                <w:rFonts w:hint="eastAsia" w:hAnsi="宋体" w:cs="宋体"/>
                <w:color w:val="auto"/>
                <w:szCs w:val="24"/>
                <w:highlight w:val="none"/>
              </w:rPr>
              <w:t>履约能力</w:t>
            </w:r>
          </w:p>
        </w:tc>
        <w:tc>
          <w:tcPr>
            <w:tcW w:w="570" w:type="dxa"/>
            <w:vAlign w:val="center"/>
          </w:tcPr>
          <w:p w14:paraId="79FCC31E">
            <w:pPr>
              <w:spacing w:line="360" w:lineRule="auto"/>
              <w:jc w:val="center"/>
              <w:rPr>
                <w:rFonts w:hAnsi="宋体" w:cs="宋体"/>
                <w:b/>
                <w:bCs/>
                <w:color w:val="auto"/>
                <w:szCs w:val="24"/>
                <w:highlight w:val="none"/>
              </w:rPr>
            </w:pPr>
            <w:r>
              <w:rPr>
                <w:rFonts w:hint="eastAsia" w:hAnsi="宋体" w:cs="宋体"/>
                <w:b/>
                <w:bCs/>
                <w:color w:val="auto"/>
                <w:szCs w:val="24"/>
                <w:highlight w:val="none"/>
              </w:rPr>
              <w:t>10分</w:t>
            </w:r>
          </w:p>
        </w:tc>
        <w:tc>
          <w:tcPr>
            <w:tcW w:w="6699" w:type="dxa"/>
            <w:vAlign w:val="center"/>
          </w:tcPr>
          <w:p w14:paraId="5FEFD1BA">
            <w:pPr>
              <w:spacing w:line="560" w:lineRule="exact"/>
              <w:rPr>
                <w:rFonts w:hAnsi="宋体" w:cs="宋体"/>
                <w:color w:val="auto"/>
                <w:szCs w:val="24"/>
                <w:highlight w:val="none"/>
              </w:rPr>
            </w:pPr>
            <w:r>
              <w:rPr>
                <w:rFonts w:hint="eastAsia" w:hAnsi="宋体" w:cs="宋体"/>
                <w:color w:val="auto"/>
                <w:szCs w:val="24"/>
                <w:highlight w:val="none"/>
              </w:rPr>
              <w:t>供应商提供近三年（2021年1月1日至今）的类似项目业绩，每提供一份得2分,满分10分。</w:t>
            </w:r>
          </w:p>
          <w:p w14:paraId="334403D5">
            <w:pPr>
              <w:spacing w:line="560" w:lineRule="exact"/>
              <w:ind w:left="-109"/>
              <w:rPr>
                <w:rFonts w:hAnsi="宋体" w:cs="宋体"/>
                <w:color w:val="auto"/>
                <w:szCs w:val="24"/>
                <w:highlight w:val="none"/>
              </w:rPr>
            </w:pPr>
            <w:r>
              <w:rPr>
                <w:rFonts w:hint="eastAsia" w:hAnsi="宋体" w:cs="宋体"/>
                <w:color w:val="auto"/>
                <w:szCs w:val="24"/>
                <w:highlight w:val="none"/>
              </w:rPr>
              <w:t>业绩证明（须在磋商响应文件中附合同的扫描件或中标通知书扫描件并加盖单位公章），弄虚作假者，取消其成交资格。</w:t>
            </w:r>
          </w:p>
        </w:tc>
        <w:tc>
          <w:tcPr>
            <w:tcW w:w="760" w:type="dxa"/>
            <w:vAlign w:val="center"/>
          </w:tcPr>
          <w:p w14:paraId="5DA17792">
            <w:pPr>
              <w:spacing w:line="360" w:lineRule="auto"/>
              <w:ind w:left="-108" w:leftChars="-45" w:firstLine="120" w:firstLineChars="50"/>
              <w:rPr>
                <w:rFonts w:hAnsi="宋体" w:cs="宋体"/>
                <w:color w:val="auto"/>
                <w:szCs w:val="24"/>
                <w:highlight w:val="none"/>
              </w:rPr>
            </w:pPr>
            <w:r>
              <w:rPr>
                <w:rFonts w:hint="eastAsia" w:hAnsi="宋体" w:cs="宋体"/>
                <w:color w:val="auto"/>
                <w:szCs w:val="24"/>
                <w:highlight w:val="none"/>
              </w:rPr>
              <w:t>10分</w:t>
            </w:r>
          </w:p>
        </w:tc>
        <w:tc>
          <w:tcPr>
            <w:tcW w:w="571" w:type="dxa"/>
            <w:vAlign w:val="center"/>
          </w:tcPr>
          <w:p w14:paraId="0D396CE7">
            <w:pPr>
              <w:spacing w:line="360" w:lineRule="auto"/>
              <w:ind w:left="-108" w:leftChars="-45" w:firstLine="120" w:firstLineChars="50"/>
              <w:rPr>
                <w:rFonts w:hAnsi="宋体" w:cs="宋体"/>
                <w:color w:val="auto"/>
                <w:szCs w:val="24"/>
                <w:highlight w:val="none"/>
              </w:rPr>
            </w:pP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20"/>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4" w:name="_Toc24962"/>
      <w:r>
        <w:rPr>
          <w:rFonts w:hint="eastAsia" w:ascii="宋体" w:eastAsia="宋体" w:cs="宋体"/>
          <w:bCs/>
          <w:color w:val="auto"/>
          <w:szCs w:val="36"/>
          <w:highlight w:val="none"/>
        </w:rPr>
        <w:t>第四章  合同条款及格式</w:t>
      </w:r>
      <w:bookmarkEnd w:id="39"/>
      <w:bookmarkEnd w:id="40"/>
      <w:bookmarkEnd w:id="41"/>
      <w:bookmarkEnd w:id="44"/>
      <w:bookmarkStart w:id="45" w:name="_Toc423973075"/>
      <w:bookmarkStart w:id="46" w:name="_Toc19199"/>
      <w:bookmarkStart w:id="47" w:name="_Toc29888"/>
      <w:bookmarkStart w:id="48" w:name="_Toc389582037"/>
      <w:bookmarkStart w:id="49" w:name="_Toc19246"/>
      <w:bookmarkStart w:id="50" w:name="_Toc8333"/>
      <w:bookmarkStart w:id="51" w:name="_Toc26595"/>
      <w:bookmarkStart w:id="52" w:name="_Toc4679"/>
      <w:bookmarkStart w:id="53" w:name="_Toc31520"/>
    </w:p>
    <w:p w14:paraId="69412191">
      <w:pPr>
        <w:pStyle w:val="3"/>
        <w:jc w:val="center"/>
        <w:rPr>
          <w:rFonts w:ascii="宋体" w:hAnsi="宋体"/>
          <w:color w:val="auto"/>
          <w:highlight w:val="none"/>
        </w:rPr>
      </w:pPr>
      <w:bookmarkStart w:id="54" w:name="_Toc30923"/>
      <w:bookmarkStart w:id="55" w:name="_Toc30560"/>
      <w:bookmarkStart w:id="56" w:name="_Toc6935"/>
      <w:r>
        <w:rPr>
          <w:rFonts w:hint="eastAsia" w:ascii="宋体" w:hAnsi="宋体"/>
          <w:color w:val="auto"/>
          <w:highlight w:val="none"/>
        </w:rPr>
        <w:t>合同条款及格式前附表</w:t>
      </w:r>
      <w:bookmarkEnd w:id="54"/>
      <w:bookmarkEnd w:id="55"/>
      <w:bookmarkEnd w:id="56"/>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采购人：</w:t>
            </w:r>
            <w:r>
              <w:rPr>
                <w:rFonts w:hint="eastAsia" w:hAnsi="宋体" w:cs="宋体"/>
                <w:color w:val="auto"/>
                <w:szCs w:val="21"/>
                <w:highlight w:val="none"/>
                <w:lang w:eastAsia="zh-CN"/>
              </w:rPr>
              <w:t>柞水县城市管理局</w:t>
            </w:r>
          </w:p>
          <w:p w14:paraId="5FE42A23">
            <w:pPr>
              <w:spacing w:line="360" w:lineRule="auto"/>
              <w:rPr>
                <w:rFonts w:hAnsi="宋体" w:cs="宋体"/>
                <w:color w:val="auto"/>
                <w:szCs w:val="21"/>
                <w:highlight w:val="none"/>
              </w:rPr>
            </w:pPr>
            <w:r>
              <w:rPr>
                <w:rFonts w:hint="eastAsia" w:hAnsi="宋体" w:cs="宋体"/>
                <w:color w:val="auto"/>
                <w:szCs w:val="21"/>
                <w:highlight w:val="none"/>
              </w:rPr>
              <w:t>地址：</w:t>
            </w:r>
            <w:r>
              <w:rPr>
                <w:rFonts w:hint="eastAsia" w:hAnsi="宋体" w:cs="宋体"/>
                <w:color w:val="auto"/>
                <w:szCs w:val="21"/>
                <w:highlight w:val="none"/>
                <w:lang w:eastAsia="zh-CN"/>
              </w:rPr>
              <w:t>柞水县北关临河路</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cs="宋体"/>
                <w:color w:val="auto"/>
                <w:highlight w:val="none"/>
                <w:shd w:val="clear" w:color="auto" w:fill="FFFFFF"/>
                <w:lang w:eastAsia="zh-CN"/>
              </w:rPr>
              <w:t>石镇湾潭子楼房外立面亮化工程</w:t>
            </w:r>
          </w:p>
          <w:p w14:paraId="5F4AC650">
            <w:pPr>
              <w:spacing w:line="360" w:lineRule="auto"/>
              <w:rPr>
                <w:rFonts w:hAnsi="宋体" w:cs="宋体"/>
                <w:color w:val="auto"/>
                <w:szCs w:val="21"/>
                <w:highlight w:val="none"/>
              </w:rPr>
            </w:pPr>
            <w:r>
              <w:rPr>
                <w:rFonts w:hint="eastAsia" w:hAnsi="宋体" w:cs="宋体"/>
                <w:color w:val="auto"/>
                <w:szCs w:val="21"/>
                <w:highlight w:val="none"/>
              </w:rPr>
              <w:t>资金来源：</w:t>
            </w:r>
            <w:r>
              <w:rPr>
                <w:rFonts w:hint="eastAsia" w:cs="宋体"/>
                <w:color w:val="auto"/>
                <w:highlight w:val="none"/>
                <w:shd w:val="clear" w:color="auto" w:fill="FFFFFF"/>
              </w:rPr>
              <w:t>自筹资金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rPr>
                <w:rFonts w:hAnsi="宋体" w:cs="宋体"/>
                <w:color w:val="auto"/>
                <w:szCs w:val="21"/>
                <w:highlight w:val="none"/>
              </w:rPr>
            </w:pPr>
            <w:r>
              <w:rPr>
                <w:rFonts w:hint="eastAsia" w:hAnsi="宋体" w:cs="宋体"/>
                <w:color w:val="auto"/>
                <w:szCs w:val="21"/>
                <w:highlight w:val="none"/>
              </w:rPr>
              <w:t>工期：</w:t>
            </w:r>
            <w:r>
              <w:rPr>
                <w:rFonts w:hint="eastAsia" w:hAnsi="宋体" w:cs="宋体"/>
                <w:color w:val="auto"/>
                <w:szCs w:val="21"/>
                <w:highlight w:val="none"/>
                <w:lang w:val="en-US" w:eastAsia="zh-CN"/>
              </w:rPr>
              <w:t>合同签订后20日历日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rPr>
                <w:rFonts w:ascii="宋体" w:hAnsi="宋体" w:cs="宋体"/>
                <w:color w:val="auto"/>
                <w:kern w:val="0"/>
                <w:sz w:val="24"/>
                <w:szCs w:val="21"/>
                <w:highlight w:val="none"/>
              </w:rPr>
            </w:pPr>
            <w:r>
              <w:rPr>
                <w:rFonts w:hint="eastAsia" w:ascii="宋体" w:hAnsi="宋体" w:cs="宋体"/>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rPr>
                <w:rFonts w:hint="default"/>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w:t>
            </w:r>
            <w:bookmarkStart w:id="645" w:name="_GoBack"/>
            <w:bookmarkEnd w:id="645"/>
            <w:r>
              <w:rPr>
                <w:rFonts w:hint="eastAsia" w:hAnsi="宋体" w:cs="宋体"/>
                <w:color w:val="auto"/>
                <w:szCs w:val="21"/>
                <w:highlight w:val="none"/>
              </w:rPr>
              <w:t>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（2）付款方式：</w:t>
            </w:r>
          </w:p>
          <w:p w14:paraId="3FAB5BE0">
            <w:pPr>
              <w:spacing w:line="360" w:lineRule="auto"/>
              <w:ind w:firstLine="480" w:firstLineChars="200"/>
              <w:rPr>
                <w:color w:val="auto"/>
                <w:szCs w:val="22"/>
                <w:highlight w:val="none"/>
              </w:rPr>
            </w:pPr>
            <w:r>
              <w:rPr>
                <w:rFonts w:hint="eastAsia"/>
                <w:color w:val="auto"/>
                <w:szCs w:val="22"/>
                <w:highlight w:val="none"/>
              </w:rPr>
              <w:t>施工项目完成后支付至合同价的</w:t>
            </w:r>
            <w:r>
              <w:rPr>
                <w:rFonts w:hint="eastAsia"/>
                <w:color w:val="auto"/>
                <w:szCs w:val="22"/>
                <w:highlight w:val="none"/>
                <w:lang w:val="en-US" w:eastAsia="zh-CN"/>
              </w:rPr>
              <w:t>7</w:t>
            </w:r>
            <w:r>
              <w:rPr>
                <w:rFonts w:hint="eastAsia"/>
                <w:color w:val="auto"/>
                <w:szCs w:val="22"/>
                <w:highlight w:val="none"/>
              </w:rPr>
              <w:t>0%，工程结算审计完毕后，支付到工程结算审核金额的97%，剩余工程款3%作为质量保证金，</w:t>
            </w:r>
            <w:r>
              <w:rPr>
                <w:rFonts w:hint="eastAsia"/>
                <w:color w:val="auto"/>
                <w:szCs w:val="22"/>
                <w:highlight w:val="none"/>
                <w:lang w:val="en-US" w:eastAsia="zh-CN"/>
              </w:rPr>
              <w:t>缺陷责任期</w:t>
            </w:r>
            <w:r>
              <w:rPr>
                <w:rFonts w:hint="eastAsia"/>
                <w:color w:val="auto"/>
                <w:szCs w:val="22"/>
                <w:highlight w:val="none"/>
              </w:rPr>
              <w:t>满后，无任何质量问题一次性无息结清。（具体以合同签订为准）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jc w:val="left"/>
              <w:rPr>
                <w:rFonts w:hAnsi="宋体" w:cs="宋体"/>
                <w:color w:val="auto"/>
                <w:szCs w:val="21"/>
                <w:highlight w:val="none"/>
              </w:rPr>
            </w:pPr>
            <w:r>
              <w:rPr>
                <w:rFonts w:hint="eastAsia" w:hAnsi="宋体" w:cs="宋体"/>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5"/>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5"/>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5"/>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3"/>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3"/>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7" w:name="_Toc205891759"/>
      <w:bookmarkEnd w:id="57"/>
      <w:bookmarkStart w:id="58" w:name="_Toc107194479"/>
      <w:bookmarkEnd w:id="58"/>
      <w:bookmarkStart w:id="59" w:name="_Toc209339595"/>
      <w:bookmarkEnd w:id="59"/>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60" w:name="_Toc296890982"/>
      <w:bookmarkStart w:id="61" w:name="_Toc296503025"/>
      <w:bookmarkStart w:id="62" w:name="_Toc351203480"/>
      <w:r>
        <w:rPr>
          <w:rFonts w:hint="eastAsia" w:ascii="宋体" w:hAnsi="宋体" w:cs="宋体"/>
          <w:bCs/>
          <w:sz w:val="32"/>
          <w:szCs w:val="32"/>
          <w:highlight w:val="none"/>
        </w:rPr>
        <w:t>第一部分 合同协议书</w:t>
      </w:r>
      <w:bookmarkEnd w:id="60"/>
      <w:bookmarkEnd w:id="61"/>
      <w:bookmarkEnd w:id="62"/>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柞水县城市管理局</w:t>
      </w:r>
      <w:r>
        <w:rPr>
          <w:rFonts w:hint="eastAsia" w:ascii="宋体" w:hAnsi="宋体" w:cs="宋体"/>
          <w:bCs/>
          <w:sz w:val="24"/>
          <w:highlight w:val="none"/>
          <w:u w:val="single"/>
        </w:rPr>
        <w:t xml:space="preserve">               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石镇湾潭子楼房外立面亮化工程</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3"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3"/>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石镇湾潭子楼房外立面亮化工程</w:t>
      </w:r>
      <w:r>
        <w:rPr>
          <w:rFonts w:hint="eastAsia" w:ascii="宋体" w:hAnsi="宋体"/>
          <w:color w:val="000000"/>
          <w:sz w:val="24"/>
          <w:highlight w:val="none"/>
          <w:u w:val="single"/>
        </w:rPr>
        <w:t xml:space="preserve">  </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4"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4"/>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3"/>
      <w:r>
        <w:rPr>
          <w:rFonts w:hint="eastAsia" w:ascii="宋体" w:hAnsi="宋体" w:cs="宋体"/>
          <w:bCs/>
          <w:sz w:val="24"/>
          <w:highlight w:val="none"/>
        </w:rPr>
        <w:t>三、质量标准</w:t>
      </w:r>
      <w:bookmarkEnd w:id="65"/>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4"/>
      <w:r>
        <w:rPr>
          <w:rFonts w:hint="eastAsia" w:ascii="宋体" w:hAnsi="宋体" w:cs="宋体"/>
          <w:bCs/>
          <w:sz w:val="24"/>
          <w:highlight w:val="none"/>
        </w:rPr>
        <w:t>四、签约合同价与合同价格形式</w:t>
      </w:r>
      <w:bookmarkEnd w:id="66"/>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5"/>
      <w:r>
        <w:rPr>
          <w:rFonts w:hint="eastAsia" w:ascii="宋体" w:hAnsi="宋体" w:cs="宋体"/>
          <w:bCs/>
          <w:sz w:val="24"/>
          <w:highlight w:val="none"/>
        </w:rPr>
        <w:t>五、</w:t>
      </w:r>
      <w:bookmarkEnd w:id="67"/>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8" w:name="_Toc351203486"/>
      <w:r>
        <w:rPr>
          <w:rFonts w:hint="eastAsia" w:ascii="宋体" w:hAnsi="宋体" w:cs="宋体"/>
          <w:bCs/>
          <w:sz w:val="24"/>
          <w:highlight w:val="none"/>
        </w:rPr>
        <w:t>六、合同文件构成</w:t>
      </w:r>
      <w:bookmarkEnd w:id="68"/>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7"/>
      <w:r>
        <w:rPr>
          <w:rFonts w:hint="eastAsia" w:ascii="宋体" w:hAnsi="宋体" w:cs="宋体"/>
          <w:bCs/>
          <w:sz w:val="24"/>
          <w:highlight w:val="none"/>
        </w:rPr>
        <w:t>七、承诺</w:t>
      </w:r>
      <w:bookmarkEnd w:id="69"/>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70" w:name="_Toc351203488"/>
      <w:r>
        <w:rPr>
          <w:rFonts w:hint="eastAsia" w:ascii="宋体" w:hAnsi="宋体" w:cs="宋体"/>
          <w:bCs/>
          <w:sz w:val="24"/>
          <w:highlight w:val="none"/>
        </w:rPr>
        <w:t xml:space="preserve">    八、词语含义</w:t>
      </w:r>
      <w:bookmarkEnd w:id="70"/>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89"/>
      <w:r>
        <w:rPr>
          <w:rFonts w:hint="eastAsia" w:ascii="宋体" w:hAnsi="宋体" w:cs="宋体"/>
          <w:bCs/>
          <w:sz w:val="24"/>
          <w:highlight w:val="none"/>
        </w:rPr>
        <w:t>九、签订时间</w:t>
      </w:r>
      <w:bookmarkEnd w:id="71"/>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0"/>
      <w:r>
        <w:rPr>
          <w:rFonts w:hint="eastAsia" w:ascii="宋体" w:hAnsi="宋体" w:cs="宋体"/>
          <w:bCs/>
          <w:sz w:val="24"/>
          <w:highlight w:val="none"/>
        </w:rPr>
        <w:t>十、签订地点</w:t>
      </w:r>
      <w:bookmarkEnd w:id="72"/>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1"/>
      <w:r>
        <w:rPr>
          <w:rFonts w:hint="eastAsia" w:ascii="宋体" w:hAnsi="宋体" w:cs="宋体"/>
          <w:bCs/>
          <w:sz w:val="24"/>
          <w:highlight w:val="none"/>
        </w:rPr>
        <w:t>十一、补充协议</w:t>
      </w:r>
      <w:bookmarkEnd w:id="73"/>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4" w:name="_Toc351203492"/>
      <w:r>
        <w:rPr>
          <w:rFonts w:hint="eastAsia" w:ascii="宋体" w:hAnsi="宋体" w:cs="宋体"/>
          <w:bCs/>
          <w:sz w:val="24"/>
          <w:highlight w:val="none"/>
        </w:rPr>
        <w:t>十二、合同生效</w:t>
      </w:r>
      <w:bookmarkEnd w:id="74"/>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5" w:name="_Toc351203493"/>
      <w:r>
        <w:rPr>
          <w:rFonts w:hint="eastAsia" w:ascii="宋体" w:hAnsi="宋体" w:cs="宋体"/>
          <w:bCs/>
          <w:sz w:val="24"/>
          <w:highlight w:val="none"/>
        </w:rPr>
        <w:t>十三、合同份数</w:t>
      </w:r>
      <w:bookmarkEnd w:id="75"/>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6"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6"/>
      <w:bookmarkStart w:id="77"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7"/>
    <w:p w14:paraId="60B42135">
      <w:pPr>
        <w:rPr>
          <w:rFonts w:hint="eastAsia" w:ascii="宋体" w:hAnsi="宋体" w:cs="宋体"/>
          <w:bCs/>
          <w:sz w:val="32"/>
          <w:szCs w:val="32"/>
          <w:highlight w:val="none"/>
        </w:rPr>
      </w:pPr>
      <w:bookmarkStart w:id="78"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8"/>
    </w:p>
    <w:p w14:paraId="2FB52F0D">
      <w:pPr>
        <w:spacing w:before="120" w:after="120" w:line="360" w:lineRule="auto"/>
        <w:jc w:val="left"/>
        <w:rPr>
          <w:rFonts w:hint="eastAsia" w:ascii="宋体" w:hAnsi="宋体" w:cs="宋体"/>
          <w:bCs/>
          <w:sz w:val="24"/>
          <w:highlight w:val="none"/>
        </w:rPr>
      </w:pPr>
      <w:bookmarkStart w:id="79" w:name="_Toc351203633"/>
      <w:r>
        <w:rPr>
          <w:rFonts w:hint="eastAsia" w:ascii="宋体" w:hAnsi="宋体" w:cs="宋体"/>
          <w:bCs/>
          <w:sz w:val="24"/>
          <w:highlight w:val="none"/>
        </w:rPr>
        <w:t>1</w:t>
      </w:r>
      <w:bookmarkStart w:id="80" w:name="_Toc292559361"/>
      <w:bookmarkStart w:id="81" w:name="_Toc296347155"/>
      <w:bookmarkStart w:id="82" w:name="_Toc296891196"/>
      <w:bookmarkStart w:id="83" w:name="_Toc296944495"/>
      <w:bookmarkStart w:id="84" w:name="_Toc297048342"/>
      <w:bookmarkStart w:id="85" w:name="_Toc292559866"/>
      <w:bookmarkStart w:id="86" w:name="_Toc297120456"/>
      <w:bookmarkStart w:id="87" w:name="_Toc296346657"/>
      <w:bookmarkStart w:id="88" w:name="_Toc296503156"/>
      <w:bookmarkStart w:id="89" w:name="_Toc296890984"/>
      <w:r>
        <w:rPr>
          <w:rFonts w:hint="eastAsia" w:ascii="宋体" w:hAnsi="宋体" w:cs="宋体"/>
          <w:bCs/>
          <w:sz w:val="24"/>
          <w:highlight w:val="none"/>
        </w:rPr>
        <w:t>. 一般约定</w:t>
      </w:r>
      <w:bookmarkEnd w:id="79"/>
    </w:p>
    <w:bookmarkEnd w:id="80"/>
    <w:bookmarkEnd w:id="81"/>
    <w:bookmarkEnd w:id="82"/>
    <w:bookmarkEnd w:id="83"/>
    <w:bookmarkEnd w:id="84"/>
    <w:bookmarkEnd w:id="85"/>
    <w:bookmarkEnd w:id="86"/>
    <w:bookmarkEnd w:id="87"/>
    <w:bookmarkEnd w:id="88"/>
    <w:bookmarkEnd w:id="89"/>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90" w:name="_Toc304295521"/>
      <w:bookmarkStart w:id="91" w:name="_Toc300934943"/>
      <w:bookmarkStart w:id="92" w:name="_Toc312677986"/>
      <w:bookmarkStart w:id="93" w:name="_Toc303539100"/>
      <w:bookmarkStart w:id="94" w:name="_Toc318581155"/>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90"/>
    <w:bookmarkEnd w:id="91"/>
    <w:bookmarkEnd w:id="92"/>
    <w:bookmarkEnd w:id="93"/>
    <w:bookmarkEnd w:id="94"/>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5" w:name="_Toc318581156"/>
      <w:bookmarkStart w:id="96" w:name="_Toc300934944"/>
      <w:bookmarkStart w:id="97" w:name="_Toc304295522"/>
      <w:bookmarkStart w:id="98" w:name="_Toc303539101"/>
      <w:bookmarkStart w:id="99" w:name="_Toc312677987"/>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5"/>
      <w:bookmarkEnd w:id="96"/>
      <w:bookmarkEnd w:id="97"/>
      <w:bookmarkEnd w:id="98"/>
      <w:bookmarkEnd w:id="99"/>
      <w:r>
        <w:rPr>
          <w:rFonts w:hint="eastAsia" w:ascii="宋体" w:hAnsi="宋体" w:cs="宋体"/>
          <w:bCs/>
          <w:sz w:val="24"/>
          <w:highlight w:val="none"/>
        </w:rPr>
        <w:t xml:space="preserve">  </w:t>
      </w:r>
      <w:bookmarkStart w:id="100"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100"/>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101" w:name="_Toc351203634"/>
      <w:r>
        <w:rPr>
          <w:rFonts w:hint="eastAsia" w:ascii="宋体" w:hAnsi="宋体" w:cs="宋体"/>
          <w:bCs/>
          <w:sz w:val="24"/>
          <w:highlight w:val="none"/>
        </w:rPr>
        <w:t>2</w:t>
      </w:r>
      <w:bookmarkStart w:id="102" w:name="_Toc296891197"/>
      <w:bookmarkStart w:id="103" w:name="_Toc292559362"/>
      <w:bookmarkStart w:id="104" w:name="_Toc296347156"/>
      <w:bookmarkStart w:id="105" w:name="_Toc296346658"/>
      <w:bookmarkStart w:id="106" w:name="_Toc296890985"/>
      <w:bookmarkStart w:id="107" w:name="_Toc296944496"/>
      <w:bookmarkStart w:id="108" w:name="_Toc297048343"/>
      <w:bookmarkStart w:id="109" w:name="_Toc292559867"/>
      <w:bookmarkStart w:id="110" w:name="_Toc296503157"/>
      <w:bookmarkStart w:id="111" w:name="_Toc297120457"/>
      <w:r>
        <w:rPr>
          <w:rFonts w:hint="eastAsia" w:ascii="宋体" w:hAnsi="宋体" w:cs="宋体"/>
          <w:bCs/>
          <w:sz w:val="24"/>
          <w:highlight w:val="none"/>
        </w:rPr>
        <w:t>. 发包人</w:t>
      </w:r>
      <w:bookmarkEnd w:id="101"/>
    </w:p>
    <w:bookmarkEnd w:id="102"/>
    <w:bookmarkEnd w:id="103"/>
    <w:bookmarkEnd w:id="104"/>
    <w:bookmarkEnd w:id="105"/>
    <w:bookmarkEnd w:id="106"/>
    <w:bookmarkEnd w:id="107"/>
    <w:bookmarkEnd w:id="108"/>
    <w:bookmarkEnd w:id="109"/>
    <w:bookmarkEnd w:id="110"/>
    <w:bookmarkEnd w:id="111"/>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2" w:name="_Toc351203635"/>
      <w:r>
        <w:rPr>
          <w:rFonts w:hint="eastAsia" w:ascii="宋体" w:hAnsi="宋体" w:cs="宋体"/>
          <w:bCs/>
          <w:sz w:val="24"/>
          <w:highlight w:val="none"/>
        </w:rPr>
        <w:t>3</w:t>
      </w:r>
      <w:bookmarkStart w:id="113" w:name="_Toc297120458"/>
      <w:bookmarkStart w:id="114" w:name="_Toc292559363"/>
      <w:bookmarkStart w:id="115" w:name="_Toc292559868"/>
      <w:bookmarkStart w:id="116" w:name="_Toc296346659"/>
      <w:bookmarkStart w:id="117" w:name="_Toc296944497"/>
      <w:bookmarkStart w:id="118" w:name="_Toc296347157"/>
      <w:bookmarkStart w:id="119" w:name="_Toc297048344"/>
      <w:bookmarkStart w:id="120" w:name="_Toc296503158"/>
      <w:bookmarkStart w:id="121" w:name="_Toc296890986"/>
      <w:bookmarkStart w:id="122" w:name="_Toc296891198"/>
      <w:r>
        <w:rPr>
          <w:rFonts w:hint="eastAsia" w:ascii="宋体" w:hAnsi="宋体" w:cs="宋体"/>
          <w:bCs/>
          <w:sz w:val="24"/>
          <w:highlight w:val="none"/>
        </w:rPr>
        <w:t>. 承包人</w:t>
      </w:r>
      <w:bookmarkEnd w:id="112"/>
    </w:p>
    <w:bookmarkEnd w:id="113"/>
    <w:bookmarkEnd w:id="114"/>
    <w:bookmarkEnd w:id="115"/>
    <w:bookmarkEnd w:id="116"/>
    <w:bookmarkEnd w:id="117"/>
    <w:bookmarkEnd w:id="118"/>
    <w:bookmarkEnd w:id="119"/>
    <w:bookmarkEnd w:id="120"/>
    <w:bookmarkEnd w:id="121"/>
    <w:bookmarkEnd w:id="122"/>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2"/>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2"/>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3" w:name="_Toc297048345"/>
      <w:bookmarkStart w:id="124" w:name="_Toc296891199"/>
      <w:bookmarkStart w:id="125" w:name="_Toc296503159"/>
      <w:bookmarkStart w:id="126" w:name="_Toc303539102"/>
      <w:bookmarkStart w:id="127" w:name="_Toc297216151"/>
      <w:bookmarkStart w:id="128" w:name="_Toc296346660"/>
      <w:bookmarkStart w:id="129" w:name="_Toc292559364"/>
      <w:bookmarkStart w:id="130" w:name="_Toc304295523"/>
      <w:bookmarkStart w:id="131" w:name="_Toc300934945"/>
      <w:bookmarkStart w:id="132" w:name="_Toc312677988"/>
      <w:bookmarkStart w:id="133" w:name="_Toc296347158"/>
      <w:bookmarkStart w:id="134" w:name="_Toc297123492"/>
      <w:bookmarkStart w:id="135" w:name="_Toc296944498"/>
      <w:bookmarkStart w:id="136" w:name="_Toc296890987"/>
      <w:bookmarkStart w:id="137" w:name="_Toc297120459"/>
      <w:bookmarkStart w:id="138" w:name="_Toc292559869"/>
      <w:r>
        <w:rPr>
          <w:rFonts w:hint="eastAsia" w:ascii="宋体" w:hAnsi="宋体" w:cs="宋体"/>
          <w:bCs/>
          <w:sz w:val="24"/>
          <w:highlight w:val="none"/>
        </w:rPr>
        <w:t>.5 分包</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9" w:name="_Toc296346661"/>
      <w:bookmarkStart w:id="140" w:name="_Toc296347159"/>
      <w:bookmarkStart w:id="141" w:name="_Toc296890988"/>
      <w:bookmarkStart w:id="142" w:name="_Toc304295524"/>
      <w:bookmarkStart w:id="143" w:name="_Toc292559870"/>
      <w:bookmarkStart w:id="144" w:name="_Toc297120460"/>
      <w:bookmarkStart w:id="145" w:name="_Toc297123493"/>
      <w:bookmarkStart w:id="146" w:name="_Toc296891200"/>
      <w:bookmarkStart w:id="147" w:name="_Toc296503160"/>
      <w:bookmarkStart w:id="148" w:name="_Toc297048346"/>
      <w:bookmarkStart w:id="149" w:name="_Toc297216152"/>
      <w:bookmarkStart w:id="150" w:name="_Toc296944499"/>
      <w:bookmarkStart w:id="151" w:name="_Toc303539103"/>
      <w:bookmarkStart w:id="152" w:name="_Toc300934946"/>
      <w:bookmarkStart w:id="153" w:name="_Toc292559365"/>
      <w:bookmarkStart w:id="154" w:name="_Toc318581158"/>
      <w:bookmarkStart w:id="155"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6" w:name="_Toc300934947"/>
      <w:bookmarkStart w:id="157" w:name="_Toc297048347"/>
      <w:bookmarkStart w:id="158" w:name="_Toc303539104"/>
      <w:bookmarkStart w:id="159" w:name="_Toc296891201"/>
      <w:bookmarkStart w:id="160" w:name="_Toc297216153"/>
      <w:bookmarkStart w:id="161" w:name="_Toc296890989"/>
      <w:bookmarkStart w:id="162" w:name="_Toc296944500"/>
      <w:bookmarkStart w:id="163" w:name="_Toc297123494"/>
      <w:bookmarkStart w:id="164" w:name="_Toc304295525"/>
      <w:bookmarkStart w:id="165" w:name="_Toc297120461"/>
      <w:bookmarkStart w:id="166" w:name="_Toc296347160"/>
      <w:bookmarkStart w:id="167" w:name="_Toc296346662"/>
      <w:bookmarkStart w:id="168" w:name="_Toc296503161"/>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9" w:name="_Toc318581159"/>
      <w:bookmarkStart w:id="170" w:name="_Toc312677990"/>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9"/>
    <w:bookmarkEnd w:id="170"/>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71" w:name="_Toc351203636"/>
      <w:r>
        <w:rPr>
          <w:rFonts w:hint="eastAsia" w:ascii="宋体" w:hAnsi="宋体" w:cs="宋体"/>
          <w:bCs/>
          <w:sz w:val="24"/>
          <w:highlight w:val="none"/>
        </w:rPr>
        <w:t>4</w:t>
      </w:r>
      <w:bookmarkStart w:id="172" w:name="_Toc292559366"/>
      <w:bookmarkStart w:id="173" w:name="_Toc292559871"/>
      <w:bookmarkStart w:id="174" w:name="_Toc296503162"/>
      <w:bookmarkStart w:id="175" w:name="_Toc296346663"/>
      <w:bookmarkStart w:id="176" w:name="_Toc296890990"/>
      <w:bookmarkStart w:id="177" w:name="_Toc267251413"/>
      <w:bookmarkStart w:id="178" w:name="_Toc296891202"/>
      <w:bookmarkStart w:id="179" w:name="_Toc296347161"/>
      <w:bookmarkStart w:id="180" w:name="_Toc297120462"/>
      <w:bookmarkStart w:id="181" w:name="_Toc296944501"/>
      <w:bookmarkStart w:id="182" w:name="_Toc297048348"/>
      <w:r>
        <w:rPr>
          <w:rFonts w:hint="eastAsia" w:ascii="宋体" w:hAnsi="宋体" w:cs="宋体"/>
          <w:bCs/>
          <w:sz w:val="24"/>
          <w:highlight w:val="none"/>
        </w:rPr>
        <w:t>. 监</w:t>
      </w:r>
      <w:bookmarkEnd w:id="172"/>
      <w:bookmarkEnd w:id="173"/>
      <w:bookmarkEnd w:id="174"/>
      <w:bookmarkEnd w:id="175"/>
      <w:bookmarkEnd w:id="176"/>
      <w:bookmarkEnd w:id="177"/>
      <w:bookmarkEnd w:id="178"/>
      <w:bookmarkEnd w:id="179"/>
      <w:bookmarkEnd w:id="180"/>
      <w:bookmarkEnd w:id="181"/>
      <w:bookmarkEnd w:id="182"/>
      <w:r>
        <w:rPr>
          <w:rFonts w:hint="eastAsia" w:ascii="宋体" w:hAnsi="宋体" w:cs="宋体"/>
          <w:bCs/>
          <w:sz w:val="24"/>
          <w:highlight w:val="none"/>
        </w:rPr>
        <w:t>理人</w:t>
      </w:r>
      <w:bookmarkEnd w:id="171"/>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3"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4" w:name="_Toc351203637"/>
      <w:r>
        <w:rPr>
          <w:rFonts w:hint="eastAsia" w:ascii="宋体" w:hAnsi="宋体" w:cs="宋体"/>
          <w:bCs/>
          <w:sz w:val="24"/>
          <w:highlight w:val="none"/>
        </w:rPr>
        <w:t>5</w:t>
      </w:r>
      <w:bookmarkEnd w:id="183"/>
      <w:bookmarkStart w:id="185" w:name="_Toc297048349"/>
      <w:bookmarkStart w:id="186" w:name="_Toc296890991"/>
      <w:bookmarkStart w:id="187" w:name="_Toc296347162"/>
      <w:bookmarkStart w:id="188" w:name="_Toc292559367"/>
      <w:bookmarkStart w:id="189" w:name="_Toc296891203"/>
      <w:bookmarkStart w:id="190" w:name="_Toc292559872"/>
      <w:bookmarkStart w:id="191" w:name="_Toc296944502"/>
      <w:bookmarkStart w:id="192" w:name="_Toc296346664"/>
      <w:bookmarkStart w:id="193" w:name="_Toc296503163"/>
      <w:bookmarkStart w:id="194" w:name="_Toc297120463"/>
      <w:r>
        <w:rPr>
          <w:rFonts w:hint="eastAsia" w:ascii="宋体" w:hAnsi="宋体" w:cs="宋体"/>
          <w:bCs/>
          <w:sz w:val="24"/>
          <w:highlight w:val="none"/>
        </w:rPr>
        <w:t>. 工程质量</w:t>
      </w:r>
      <w:bookmarkEnd w:id="184"/>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5" w:name="_Toc303539106"/>
      <w:bookmarkStart w:id="196" w:name="_Toc297216155"/>
      <w:bookmarkStart w:id="197" w:name="_Toc312677997"/>
      <w:bookmarkStart w:id="198" w:name="_Toc318581164"/>
      <w:bookmarkStart w:id="199" w:name="_Toc304295527"/>
      <w:bookmarkStart w:id="200" w:name="_Toc297123496"/>
      <w:bookmarkStart w:id="201" w:name="_Toc300934949"/>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2" w:name="_Toc351203638"/>
      <w:r>
        <w:rPr>
          <w:rFonts w:hint="eastAsia" w:ascii="宋体" w:hAnsi="宋体" w:cs="宋体"/>
          <w:bCs/>
          <w:sz w:val="24"/>
          <w:highlight w:val="none"/>
        </w:rPr>
        <w:t>6. 安全文明施工与环境保护</w:t>
      </w:r>
      <w:bookmarkEnd w:id="202"/>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5"/>
    <w:bookmarkEnd w:id="196"/>
    <w:bookmarkEnd w:id="197"/>
    <w:bookmarkEnd w:id="198"/>
    <w:bookmarkEnd w:id="199"/>
    <w:bookmarkEnd w:id="200"/>
    <w:bookmarkEnd w:id="201"/>
    <w:p w14:paraId="2879DE2F">
      <w:pPr>
        <w:spacing w:before="120" w:after="120" w:line="360" w:lineRule="auto"/>
        <w:ind w:firstLine="480" w:firstLineChars="200"/>
        <w:jc w:val="left"/>
        <w:rPr>
          <w:rFonts w:hint="eastAsia" w:ascii="宋体" w:hAnsi="宋体" w:cs="宋体"/>
          <w:bCs/>
          <w:sz w:val="24"/>
          <w:highlight w:val="none"/>
        </w:rPr>
      </w:pPr>
      <w:bookmarkStart w:id="203" w:name="_Toc351203639"/>
      <w:r>
        <w:rPr>
          <w:rFonts w:hint="eastAsia" w:ascii="宋体" w:hAnsi="宋体" w:cs="宋体"/>
          <w:bCs/>
          <w:sz w:val="24"/>
          <w:highlight w:val="none"/>
        </w:rPr>
        <w:t>7. 工期和进度</w:t>
      </w:r>
      <w:bookmarkEnd w:id="203"/>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4" w:name="_Toc300934966"/>
      <w:bookmarkStart w:id="205" w:name="_Toc304295541"/>
      <w:bookmarkStart w:id="206" w:name="_Toc312678005"/>
      <w:bookmarkStart w:id="207" w:name="_Toc312677479"/>
      <w:bookmarkStart w:id="208" w:name="_Toc297216173"/>
      <w:bookmarkStart w:id="209" w:name="_Toc303539123"/>
      <w:bookmarkStart w:id="210" w:name="_Toc297123514"/>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4"/>
    <w:bookmarkEnd w:id="205"/>
    <w:bookmarkEnd w:id="206"/>
    <w:bookmarkEnd w:id="207"/>
    <w:bookmarkEnd w:id="208"/>
    <w:bookmarkEnd w:id="209"/>
    <w:bookmarkEnd w:id="210"/>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1" w:name="_Toc312678010"/>
      <w:bookmarkStart w:id="212" w:name="_Toc297123516"/>
      <w:bookmarkStart w:id="213" w:name="_Toc303539125"/>
      <w:bookmarkStart w:id="214" w:name="_Toc312677484"/>
      <w:bookmarkStart w:id="215" w:name="_Toc300934968"/>
      <w:bookmarkStart w:id="216" w:name="_Toc297216175"/>
      <w:bookmarkStart w:id="217" w:name="_Toc304295546"/>
      <w:r>
        <w:rPr>
          <w:rFonts w:hint="eastAsia" w:ascii="宋体" w:hAnsi="宋体" w:cs="宋体"/>
          <w:bCs/>
          <w:sz w:val="24"/>
          <w:highlight w:val="none"/>
        </w:rPr>
        <w:t>.5 工期延误</w:t>
      </w:r>
    </w:p>
    <w:bookmarkEnd w:id="211"/>
    <w:bookmarkEnd w:id="212"/>
    <w:bookmarkEnd w:id="213"/>
    <w:bookmarkEnd w:id="214"/>
    <w:bookmarkEnd w:id="215"/>
    <w:bookmarkEnd w:id="216"/>
    <w:bookmarkEnd w:id="217"/>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8" w:name="_Toc312678012"/>
      <w:bookmarkStart w:id="219" w:name="_Toc312677486"/>
      <w:bookmarkStart w:id="220" w:name="_Toc318581169"/>
      <w:bookmarkStart w:id="221" w:name="_Toc303539127"/>
      <w:bookmarkStart w:id="222" w:name="_Toc297216177"/>
      <w:bookmarkStart w:id="223" w:name="_Toc300934970"/>
      <w:bookmarkStart w:id="224" w:name="_Toc297123518"/>
      <w:bookmarkStart w:id="225" w:name="_Toc304295548"/>
      <w:r>
        <w:rPr>
          <w:rFonts w:hint="eastAsia" w:ascii="宋体" w:hAnsi="宋体" w:cs="宋体"/>
          <w:bCs/>
          <w:sz w:val="24"/>
          <w:highlight w:val="none"/>
        </w:rPr>
        <w:t>.5.2 因承包人原因导致工期延误</w:t>
      </w:r>
    </w:p>
    <w:bookmarkEnd w:id="218"/>
    <w:bookmarkEnd w:id="219"/>
    <w:bookmarkEnd w:id="220"/>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6" w:name="_Toc312678013"/>
      <w:bookmarkStart w:id="227" w:name="_Toc312677487"/>
      <w:bookmarkStart w:id="228"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21"/>
      <w:bookmarkEnd w:id="222"/>
      <w:bookmarkEnd w:id="223"/>
      <w:bookmarkEnd w:id="224"/>
      <w:bookmarkEnd w:id="225"/>
      <w:bookmarkEnd w:id="226"/>
      <w:bookmarkEnd w:id="227"/>
    </w:p>
    <w:bookmarkEnd w:id="228"/>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9" w:name="_Toc318581171"/>
      <w:bookmarkStart w:id="230"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9"/>
    <w:bookmarkEnd w:id="230"/>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1" w:name="_Toc304295549"/>
      <w:bookmarkStart w:id="232" w:name="_Toc297216178"/>
      <w:bookmarkStart w:id="233" w:name="_Toc297123519"/>
      <w:bookmarkStart w:id="234" w:name="_Toc300934971"/>
      <w:bookmarkStart w:id="235" w:name="_Toc303539128"/>
      <w:bookmarkStart w:id="236" w:name="_Toc312678015"/>
      <w:r>
        <w:rPr>
          <w:rFonts w:hint="eastAsia" w:ascii="宋体" w:hAnsi="宋体" w:cs="宋体"/>
          <w:bCs/>
          <w:sz w:val="24"/>
          <w:highlight w:val="none"/>
        </w:rPr>
        <w:t>.6 不</w:t>
      </w:r>
      <w:bookmarkEnd w:id="231"/>
      <w:bookmarkEnd w:id="232"/>
      <w:bookmarkEnd w:id="233"/>
      <w:bookmarkEnd w:id="234"/>
      <w:bookmarkEnd w:id="235"/>
      <w:bookmarkEnd w:id="236"/>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7" w:name="_Toc304295550"/>
      <w:bookmarkStart w:id="238" w:name="_Toc303539129"/>
      <w:bookmarkStart w:id="239" w:name="_Toc312678016"/>
      <w:bookmarkStart w:id="240" w:name="_Toc318581172"/>
      <w:bookmarkStart w:id="241" w:name="_Toc297123520"/>
      <w:bookmarkStart w:id="242" w:name="_Toc300934972"/>
      <w:bookmarkStart w:id="243" w:name="_Toc297216179"/>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7"/>
    <w:bookmarkEnd w:id="238"/>
    <w:bookmarkEnd w:id="239"/>
    <w:bookmarkEnd w:id="240"/>
    <w:bookmarkEnd w:id="241"/>
    <w:bookmarkEnd w:id="242"/>
    <w:bookmarkEnd w:id="243"/>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4" w:name="_Toc297216180"/>
      <w:bookmarkStart w:id="245" w:name="_Toc304295551"/>
      <w:bookmarkStart w:id="246" w:name="_Toc312678017"/>
      <w:bookmarkStart w:id="247" w:name="_Toc303539130"/>
      <w:bookmarkStart w:id="248" w:name="_Toc297123521"/>
      <w:bookmarkStart w:id="249" w:name="_Toc300934973"/>
      <w:r>
        <w:rPr>
          <w:rFonts w:hint="eastAsia" w:ascii="宋体" w:hAnsi="宋体" w:cs="宋体"/>
          <w:bCs/>
          <w:sz w:val="24"/>
          <w:highlight w:val="none"/>
        </w:rPr>
        <w:t>.7异常恶劣的气候条件</w:t>
      </w:r>
    </w:p>
    <w:bookmarkEnd w:id="244"/>
    <w:bookmarkEnd w:id="245"/>
    <w:bookmarkEnd w:id="246"/>
    <w:bookmarkEnd w:id="247"/>
    <w:bookmarkEnd w:id="248"/>
    <w:bookmarkEnd w:id="249"/>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50" w:name="_Toc351203640"/>
      <w:r>
        <w:rPr>
          <w:rFonts w:hint="eastAsia" w:ascii="宋体" w:hAnsi="宋体" w:cs="宋体"/>
          <w:bCs/>
          <w:sz w:val="24"/>
          <w:highlight w:val="none"/>
        </w:rPr>
        <w:t>8. 材料与设备</w:t>
      </w:r>
      <w:bookmarkEnd w:id="250"/>
    </w:p>
    <w:bookmarkEnd w:id="185"/>
    <w:bookmarkEnd w:id="186"/>
    <w:bookmarkEnd w:id="187"/>
    <w:bookmarkEnd w:id="188"/>
    <w:bookmarkEnd w:id="189"/>
    <w:bookmarkEnd w:id="190"/>
    <w:bookmarkEnd w:id="191"/>
    <w:bookmarkEnd w:id="192"/>
    <w:bookmarkEnd w:id="193"/>
    <w:bookmarkEnd w:id="194"/>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51" w:name="_Toc297120467"/>
      <w:bookmarkStart w:id="252" w:name="_Toc297216186"/>
      <w:bookmarkStart w:id="253" w:name="_Toc280868654"/>
      <w:bookmarkStart w:id="254" w:name="_Toc296891207"/>
      <w:bookmarkStart w:id="255" w:name="_Toc296347166"/>
      <w:bookmarkStart w:id="256" w:name="_Toc292559372"/>
      <w:bookmarkStart w:id="257" w:name="_Toc312678019"/>
      <w:bookmarkStart w:id="258" w:name="_Toc312677493"/>
      <w:bookmarkStart w:id="259" w:name="_Toc296503167"/>
      <w:bookmarkStart w:id="260" w:name="_Toc296346668"/>
      <w:bookmarkStart w:id="261" w:name="_Toc300934979"/>
      <w:bookmarkStart w:id="262" w:name="_Toc297048353"/>
      <w:bookmarkStart w:id="263" w:name="_Toc292559877"/>
      <w:bookmarkStart w:id="264" w:name="_Toc296944506"/>
      <w:bookmarkStart w:id="265" w:name="_Toc304295556"/>
      <w:bookmarkStart w:id="266" w:name="_Toc296890995"/>
      <w:bookmarkStart w:id="267" w:name="_Toc303539136"/>
      <w:bookmarkStart w:id="268" w:name="_Toc297123527"/>
      <w:bookmarkStart w:id="269" w:name="_Toc280868656"/>
      <w:bookmarkStart w:id="270" w:name="_Toc280868655"/>
      <w:bookmarkStart w:id="271" w:name="_Toc267251424"/>
      <w:r>
        <w:rPr>
          <w:rFonts w:hint="eastAsia" w:ascii="宋体" w:hAnsi="宋体" w:cs="宋体"/>
          <w:bCs/>
          <w:sz w:val="24"/>
          <w:highlight w:val="none"/>
        </w:rPr>
        <w:t>.4材料与工程设备的保管与使用</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2" w:name="_Toc292559878"/>
      <w:bookmarkStart w:id="273" w:name="_Toc292559373"/>
      <w:bookmarkStart w:id="274" w:name="_Toc303539137"/>
      <w:bookmarkStart w:id="275" w:name="_Toc312678020"/>
      <w:bookmarkStart w:id="276" w:name="_Toc297216187"/>
      <w:bookmarkStart w:id="277" w:name="_Toc297120468"/>
      <w:bookmarkStart w:id="278" w:name="_Toc304295557"/>
      <w:bookmarkStart w:id="279" w:name="_Toc296891208"/>
      <w:bookmarkStart w:id="280" w:name="_Toc296890996"/>
      <w:bookmarkStart w:id="281" w:name="_Toc300934980"/>
      <w:bookmarkStart w:id="282" w:name="_Toc296944507"/>
      <w:bookmarkStart w:id="283" w:name="_Toc296346669"/>
      <w:bookmarkStart w:id="284" w:name="_Toc296503168"/>
      <w:bookmarkStart w:id="285" w:name="_Toc312677494"/>
      <w:bookmarkStart w:id="286" w:name="_Toc297123528"/>
      <w:bookmarkStart w:id="287" w:name="_Toc297048354"/>
      <w:bookmarkStart w:id="288" w:name="_Toc318581173"/>
      <w:bookmarkStart w:id="289" w:name="_Toc296347167"/>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2"/>
      <w:bookmarkEnd w:id="273"/>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767DD7F3">
      <w:pPr>
        <w:spacing w:before="120" w:after="120" w:line="360" w:lineRule="auto"/>
        <w:jc w:val="left"/>
        <w:rPr>
          <w:rFonts w:hint="eastAsia" w:ascii="宋体" w:hAnsi="宋体" w:cs="宋体"/>
          <w:bCs/>
          <w:sz w:val="24"/>
          <w:highlight w:val="none"/>
        </w:rPr>
      </w:pPr>
      <w:bookmarkStart w:id="290" w:name="_Toc351203641"/>
      <w:r>
        <w:rPr>
          <w:rFonts w:hint="eastAsia" w:ascii="宋体" w:hAnsi="宋体" w:cs="宋体"/>
          <w:bCs/>
          <w:sz w:val="24"/>
          <w:highlight w:val="none"/>
        </w:rPr>
        <w:t>9</w:t>
      </w:r>
      <w:bookmarkEnd w:id="269"/>
      <w:bookmarkEnd w:id="270"/>
      <w:bookmarkEnd w:id="271"/>
      <w:bookmarkStart w:id="291" w:name="_Toc312677495"/>
      <w:bookmarkStart w:id="292" w:name="_Toc297216192"/>
      <w:bookmarkStart w:id="293" w:name="_Toc304295559"/>
      <w:bookmarkStart w:id="294" w:name="_Toc312678021"/>
      <w:bookmarkStart w:id="295" w:name="_Toc300934982"/>
      <w:bookmarkStart w:id="296" w:name="_Toc303539139"/>
      <w:bookmarkStart w:id="297" w:name="_Toc297123533"/>
      <w:bookmarkStart w:id="298" w:name="_Toc296347172"/>
      <w:bookmarkStart w:id="299" w:name="_Toc297048359"/>
      <w:bookmarkStart w:id="300" w:name="_Toc296503173"/>
      <w:bookmarkStart w:id="301" w:name="_Toc292559378"/>
      <w:bookmarkStart w:id="302" w:name="_Toc296944512"/>
      <w:bookmarkStart w:id="303" w:name="_Toc267251428"/>
      <w:bookmarkStart w:id="304" w:name="_Toc297120473"/>
      <w:bookmarkStart w:id="305" w:name="_Toc296346674"/>
      <w:bookmarkStart w:id="306" w:name="_Toc267251427"/>
      <w:bookmarkStart w:id="307" w:name="_Toc296891001"/>
      <w:bookmarkStart w:id="308" w:name="_Toc292559883"/>
      <w:bookmarkStart w:id="309" w:name="_Toc296891213"/>
      <w:r>
        <w:rPr>
          <w:rFonts w:hint="eastAsia" w:ascii="宋体" w:hAnsi="宋体" w:cs="宋体"/>
          <w:bCs/>
          <w:sz w:val="24"/>
          <w:highlight w:val="none"/>
        </w:rPr>
        <w:t>. 试验与检验</w:t>
      </w:r>
      <w:bookmarkEnd w:id="290"/>
    </w:p>
    <w:bookmarkEnd w:id="291"/>
    <w:bookmarkEnd w:id="292"/>
    <w:bookmarkEnd w:id="293"/>
    <w:bookmarkEnd w:id="294"/>
    <w:bookmarkEnd w:id="295"/>
    <w:bookmarkEnd w:id="296"/>
    <w:bookmarkEnd w:id="297"/>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10" w:name="_Toc297216193"/>
      <w:bookmarkStart w:id="311" w:name="_Toc300934983"/>
      <w:bookmarkStart w:id="312" w:name="_Toc303539140"/>
      <w:bookmarkStart w:id="313" w:name="_Toc312677496"/>
      <w:bookmarkStart w:id="314" w:name="_Toc304295560"/>
      <w:bookmarkStart w:id="315" w:name="_Toc312678022"/>
      <w:bookmarkStart w:id="316" w:name="_Toc297123534"/>
      <w:r>
        <w:rPr>
          <w:rFonts w:hint="eastAsia" w:ascii="宋体" w:hAnsi="宋体" w:cs="宋体"/>
          <w:bCs/>
          <w:sz w:val="24"/>
          <w:highlight w:val="none"/>
        </w:rPr>
        <w:t>.1试验设备与试验人员</w:t>
      </w:r>
    </w:p>
    <w:bookmarkEnd w:id="310"/>
    <w:bookmarkEnd w:id="311"/>
    <w:bookmarkEnd w:id="312"/>
    <w:bookmarkEnd w:id="313"/>
    <w:bookmarkEnd w:id="314"/>
    <w:bookmarkEnd w:id="315"/>
    <w:bookmarkEnd w:id="316"/>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7" w:name="_Toc297216194"/>
      <w:bookmarkStart w:id="318" w:name="_Toc300934984"/>
      <w:bookmarkStart w:id="319" w:name="_Toc312678023"/>
      <w:bookmarkStart w:id="320" w:name="_Toc304295561"/>
      <w:bookmarkStart w:id="321" w:name="_Toc297123535"/>
      <w:bookmarkStart w:id="322" w:name="_Toc312677497"/>
      <w:bookmarkStart w:id="323" w:name="_Toc303539141"/>
      <w:bookmarkStart w:id="324"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7"/>
      <w:bookmarkEnd w:id="318"/>
      <w:bookmarkEnd w:id="319"/>
      <w:bookmarkEnd w:id="320"/>
      <w:bookmarkEnd w:id="321"/>
      <w:bookmarkEnd w:id="322"/>
      <w:bookmarkEnd w:id="323"/>
      <w:bookmarkStart w:id="325" w:name="_Toc303539142"/>
      <w:bookmarkStart w:id="326" w:name="_Toc297123536"/>
      <w:bookmarkStart w:id="327" w:name="_Toc304295562"/>
      <w:bookmarkStart w:id="328" w:name="_Toc300934985"/>
      <w:bookmarkStart w:id="329" w:name="_Toc312677498"/>
      <w:bookmarkStart w:id="330" w:name="_Toc312678024"/>
      <w:bookmarkStart w:id="331" w:name="_Toc297216195"/>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4"/>
    <w:bookmarkEnd w:id="325"/>
    <w:bookmarkEnd w:id="326"/>
    <w:bookmarkEnd w:id="327"/>
    <w:bookmarkEnd w:id="328"/>
    <w:bookmarkEnd w:id="329"/>
    <w:bookmarkEnd w:id="330"/>
    <w:bookmarkEnd w:id="331"/>
    <w:p w14:paraId="221F72CD">
      <w:pPr>
        <w:spacing w:before="120" w:after="120" w:line="360" w:lineRule="auto"/>
        <w:jc w:val="left"/>
        <w:rPr>
          <w:rFonts w:hint="eastAsia" w:ascii="宋体" w:hAnsi="宋体" w:cs="宋体"/>
          <w:bCs/>
          <w:sz w:val="24"/>
          <w:highlight w:val="none"/>
        </w:rPr>
      </w:pPr>
      <w:bookmarkStart w:id="332" w:name="_Toc351203642"/>
      <w:r>
        <w:rPr>
          <w:rFonts w:hint="eastAsia" w:ascii="宋体" w:hAnsi="宋体" w:cs="宋体"/>
          <w:bCs/>
          <w:sz w:val="24"/>
          <w:highlight w:val="none"/>
        </w:rPr>
        <w:t>1</w:t>
      </w:r>
      <w:bookmarkEnd w:id="298"/>
      <w:bookmarkEnd w:id="299"/>
      <w:bookmarkEnd w:id="300"/>
      <w:bookmarkEnd w:id="301"/>
      <w:bookmarkEnd w:id="302"/>
      <w:bookmarkEnd w:id="303"/>
      <w:bookmarkEnd w:id="304"/>
      <w:bookmarkEnd w:id="305"/>
      <w:bookmarkEnd w:id="306"/>
      <w:bookmarkEnd w:id="307"/>
      <w:bookmarkEnd w:id="308"/>
      <w:bookmarkEnd w:id="309"/>
      <w:bookmarkStart w:id="333" w:name="_Toc292559398"/>
      <w:bookmarkStart w:id="334" w:name="_Toc296944532"/>
      <w:bookmarkStart w:id="335" w:name="_Toc296346694"/>
      <w:bookmarkStart w:id="336" w:name="_Toc296503193"/>
      <w:bookmarkStart w:id="337" w:name="_Toc297216199"/>
      <w:bookmarkStart w:id="338" w:name="_Toc297123540"/>
      <w:bookmarkStart w:id="339" w:name="_Toc304295566"/>
      <w:bookmarkStart w:id="340" w:name="_Toc296891233"/>
      <w:bookmarkStart w:id="341" w:name="_Toc297048379"/>
      <w:bookmarkStart w:id="342" w:name="_Toc297120493"/>
      <w:bookmarkStart w:id="343" w:name="_Toc296891021"/>
      <w:bookmarkStart w:id="344" w:name="_Toc303539146"/>
      <w:bookmarkStart w:id="345" w:name="_Toc296347192"/>
      <w:bookmarkStart w:id="346" w:name="_Toc300934989"/>
      <w:bookmarkStart w:id="347" w:name="_Toc292559903"/>
      <w:bookmarkStart w:id="348" w:name="_Toc312678025"/>
      <w:bookmarkStart w:id="349" w:name="_Toc312677499"/>
      <w:bookmarkStart w:id="350" w:name="_Toc267251440"/>
      <w:bookmarkStart w:id="351" w:name="_Toc267251437"/>
      <w:bookmarkStart w:id="352" w:name="_Toc267251439"/>
      <w:bookmarkStart w:id="353" w:name="_Toc267251433"/>
      <w:bookmarkStart w:id="354" w:name="_Toc267251435"/>
      <w:bookmarkStart w:id="355" w:name="_Toc267251441"/>
      <w:bookmarkStart w:id="356" w:name="_Toc267251442"/>
      <w:r>
        <w:rPr>
          <w:rFonts w:hint="eastAsia" w:ascii="宋体" w:hAnsi="宋体" w:cs="宋体"/>
          <w:bCs/>
          <w:sz w:val="24"/>
          <w:highlight w:val="none"/>
        </w:rPr>
        <w:t>0. 变更</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7" w:name="_Toc296347193"/>
      <w:bookmarkStart w:id="358" w:name="_Toc312677500"/>
      <w:bookmarkStart w:id="359" w:name="_Toc292559904"/>
      <w:bookmarkStart w:id="360" w:name="_Toc297048380"/>
      <w:bookmarkStart w:id="361" w:name="_Toc292559399"/>
      <w:bookmarkStart w:id="362" w:name="_Toc296503194"/>
      <w:bookmarkStart w:id="363" w:name="_Toc297123541"/>
      <w:bookmarkStart w:id="364" w:name="_Toc296891234"/>
      <w:bookmarkStart w:id="365" w:name="_Toc304295567"/>
      <w:bookmarkStart w:id="366" w:name="_Toc300934990"/>
      <w:bookmarkStart w:id="367" w:name="_Toc303539147"/>
      <w:bookmarkStart w:id="368" w:name="_Toc297216200"/>
      <w:bookmarkStart w:id="369" w:name="_Toc297120494"/>
      <w:bookmarkStart w:id="370" w:name="_Toc312678026"/>
      <w:bookmarkStart w:id="371" w:name="_Toc296944533"/>
      <w:bookmarkStart w:id="372" w:name="_Toc296346695"/>
      <w:bookmarkStart w:id="373" w:name="_Toc296891022"/>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292559907"/>
      <w:bookmarkStart w:id="375" w:name="_Toc297048383"/>
      <w:bookmarkStart w:id="376" w:name="_Toc296347196"/>
      <w:bookmarkStart w:id="377" w:name="_Toc300934993"/>
      <w:bookmarkStart w:id="378" w:name="_Toc296503197"/>
      <w:bookmarkStart w:id="379" w:name="_Toc296944536"/>
      <w:bookmarkStart w:id="380" w:name="_Toc297120497"/>
      <w:bookmarkStart w:id="381" w:name="_Toc303539150"/>
      <w:bookmarkStart w:id="382" w:name="_Toc292559402"/>
      <w:bookmarkStart w:id="383" w:name="_Toc296346698"/>
      <w:bookmarkStart w:id="384" w:name="_Toc296891025"/>
      <w:bookmarkStart w:id="385" w:name="_Toc297216203"/>
      <w:bookmarkStart w:id="386" w:name="_Toc297123544"/>
      <w:bookmarkStart w:id="387" w:name="_Toc296891237"/>
      <w:bookmarkStart w:id="388" w:name="_Toc312678029"/>
      <w:bookmarkStart w:id="389" w:name="_Toc304295570"/>
      <w:bookmarkStart w:id="390" w:name="_Toc312677503"/>
      <w:r>
        <w:rPr>
          <w:rFonts w:hint="eastAsia" w:ascii="宋体" w:hAnsi="宋体" w:cs="宋体"/>
          <w:bCs/>
          <w:sz w:val="24"/>
          <w:highlight w:val="none"/>
        </w:rPr>
        <w:t>0.5承</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1" w:name="_Toc297048389"/>
      <w:bookmarkStart w:id="392" w:name="_Toc296944542"/>
      <w:bookmarkStart w:id="393" w:name="_Toc297120503"/>
      <w:bookmarkStart w:id="394" w:name="_Toc297123545"/>
      <w:bookmarkStart w:id="395" w:name="_Toc303539151"/>
      <w:bookmarkStart w:id="396" w:name="_Toc296346704"/>
      <w:bookmarkStart w:id="397" w:name="_Toc292559913"/>
      <w:bookmarkStart w:id="398" w:name="_Toc292559408"/>
      <w:bookmarkStart w:id="399" w:name="_Toc296503203"/>
      <w:bookmarkStart w:id="400" w:name="_Toc296891031"/>
      <w:bookmarkStart w:id="401" w:name="_Toc296891243"/>
      <w:bookmarkStart w:id="402" w:name="_Toc297216204"/>
      <w:bookmarkStart w:id="403" w:name="_Toc296347202"/>
      <w:bookmarkStart w:id="404" w:name="_Toc300934994"/>
      <w:r>
        <w:rPr>
          <w:rFonts w:hint="eastAsia" w:ascii="宋体" w:hAnsi="宋体" w:cs="宋体"/>
          <w:bCs/>
          <w:sz w:val="24"/>
          <w:highlight w:val="none"/>
        </w:rPr>
        <w:t>包人的合理化建议</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5" w:name="_Toc312678030"/>
      <w:bookmarkStart w:id="406" w:name="_Toc296347203"/>
      <w:bookmarkStart w:id="407" w:name="_Toc304295571"/>
      <w:bookmarkStart w:id="408" w:name="_Toc297216205"/>
      <w:bookmarkStart w:id="409" w:name="_Toc296503204"/>
      <w:bookmarkStart w:id="410" w:name="_Toc292559914"/>
      <w:bookmarkStart w:id="411" w:name="_Toc296891244"/>
      <w:bookmarkStart w:id="412" w:name="_Toc297120504"/>
      <w:bookmarkStart w:id="413" w:name="_Toc296944543"/>
      <w:bookmarkStart w:id="414" w:name="_Toc297048390"/>
      <w:bookmarkStart w:id="415" w:name="_Toc318581175"/>
      <w:bookmarkStart w:id="416" w:name="_Toc296346705"/>
      <w:bookmarkStart w:id="417" w:name="_Toc297123546"/>
      <w:bookmarkStart w:id="418" w:name="_Toc296891032"/>
      <w:bookmarkStart w:id="419" w:name="_Toc292559409"/>
      <w:bookmarkStart w:id="420" w:name="_Toc312677504"/>
      <w:bookmarkStart w:id="421" w:name="_Toc300934995"/>
      <w:bookmarkStart w:id="422" w:name="_Toc303539152"/>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3" w:name="_Toc312677507"/>
      <w:bookmarkStart w:id="424" w:name="_Toc292559404"/>
      <w:bookmarkStart w:id="425" w:name="_Toc297048385"/>
      <w:bookmarkStart w:id="426" w:name="_Toc296503199"/>
      <w:bookmarkStart w:id="427" w:name="_Toc303539154"/>
      <w:bookmarkStart w:id="428" w:name="_Toc296346700"/>
      <w:bookmarkStart w:id="429" w:name="_Toc300934997"/>
      <w:bookmarkStart w:id="430" w:name="_Toc297216207"/>
      <w:bookmarkStart w:id="431" w:name="_Toc297123548"/>
      <w:bookmarkStart w:id="432" w:name="_Toc312678033"/>
      <w:bookmarkStart w:id="433" w:name="_Toc296891239"/>
      <w:bookmarkStart w:id="434" w:name="_Toc292559909"/>
      <w:bookmarkStart w:id="435" w:name="_Toc304295574"/>
      <w:bookmarkStart w:id="436" w:name="_Toc296891027"/>
      <w:bookmarkStart w:id="437" w:name="_Toc297120499"/>
      <w:bookmarkStart w:id="438" w:name="_Toc296347198"/>
      <w:bookmarkStart w:id="439" w:name="_Toc296944538"/>
      <w:r>
        <w:rPr>
          <w:rFonts w:hint="eastAsia" w:ascii="宋体" w:hAnsi="宋体" w:cs="宋体"/>
          <w:bCs/>
          <w:sz w:val="24"/>
          <w:highlight w:val="none"/>
        </w:rPr>
        <w:t>0.7 暂估价</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40" w:name="_Toc312678034"/>
      <w:bookmarkStart w:id="441" w:name="_Toc318581176"/>
      <w:bookmarkStart w:id="442" w:name="_Toc312677508"/>
      <w:r>
        <w:rPr>
          <w:rFonts w:hint="eastAsia" w:ascii="宋体" w:hAnsi="宋体" w:cs="宋体"/>
          <w:bCs/>
          <w:sz w:val="24"/>
          <w:highlight w:val="none"/>
        </w:rPr>
        <w:t>估价材料和工程设备的明细详见附件6：《暂估价一览表》。</w:t>
      </w:r>
    </w:p>
    <w:bookmarkEnd w:id="440"/>
    <w:bookmarkEnd w:id="441"/>
    <w:bookmarkEnd w:id="442"/>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3" w:name="_Toc312678035"/>
      <w:bookmarkStart w:id="444" w:name="_Toc318581177"/>
      <w:bookmarkStart w:id="445" w:name="_Toc312677509"/>
      <w:r>
        <w:rPr>
          <w:rFonts w:hint="eastAsia" w:ascii="宋体" w:hAnsi="宋体" w:cs="宋体"/>
          <w:bCs/>
          <w:sz w:val="24"/>
          <w:highlight w:val="none"/>
        </w:rPr>
        <w:t>0.7.1 依法必须招标的暂估价项目</w:t>
      </w:r>
    </w:p>
    <w:bookmarkEnd w:id="443"/>
    <w:bookmarkEnd w:id="444"/>
    <w:bookmarkEnd w:id="445"/>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6" w:name="_Toc351203643"/>
      <w:r>
        <w:rPr>
          <w:rFonts w:hint="eastAsia" w:ascii="宋体" w:hAnsi="宋体" w:cs="宋体"/>
          <w:bCs/>
          <w:sz w:val="24"/>
          <w:highlight w:val="none"/>
        </w:rPr>
        <w:t>11. 价格调整</w:t>
      </w:r>
      <w:bookmarkEnd w:id="446"/>
    </w:p>
    <w:p w14:paraId="5BB2E714">
      <w:pPr>
        <w:spacing w:after="120" w:line="360" w:lineRule="auto"/>
        <w:ind w:firstLine="480" w:firstLineChars="200"/>
        <w:rPr>
          <w:rFonts w:hint="eastAsia" w:ascii="宋体" w:hAnsi="宋体" w:cs="宋体"/>
          <w:bCs/>
          <w:sz w:val="24"/>
          <w:highlight w:val="none"/>
        </w:rPr>
      </w:pPr>
      <w:bookmarkStart w:id="447" w:name="_Toc296944540"/>
      <w:bookmarkStart w:id="448" w:name="_Toc297216209"/>
      <w:bookmarkStart w:id="449" w:name="_Toc304295577"/>
      <w:bookmarkStart w:id="450" w:name="_Toc292559406"/>
      <w:bookmarkStart w:id="451" w:name="_Toc297048387"/>
      <w:bookmarkStart w:id="452" w:name="_Toc296503201"/>
      <w:bookmarkStart w:id="453" w:name="_Toc303539157"/>
      <w:bookmarkStart w:id="454" w:name="_Toc292559911"/>
      <w:bookmarkStart w:id="455" w:name="_Toc296891029"/>
      <w:bookmarkStart w:id="456" w:name="_Toc296891241"/>
      <w:bookmarkStart w:id="457" w:name="_Toc296347200"/>
      <w:bookmarkStart w:id="458" w:name="_Toc297123550"/>
      <w:bookmarkStart w:id="459" w:name="_Toc312678039"/>
      <w:bookmarkStart w:id="460" w:name="_Toc296346702"/>
      <w:bookmarkStart w:id="461" w:name="_Toc297120501"/>
      <w:bookmarkStart w:id="462" w:name="_Toc300935000"/>
      <w:r>
        <w:rPr>
          <w:rFonts w:hint="eastAsia" w:ascii="宋体" w:hAnsi="宋体" w:cs="宋体"/>
          <w:bCs/>
          <w:sz w:val="24"/>
          <w:highlight w:val="none"/>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0"/>
    <w:bookmarkEnd w:id="351"/>
    <w:bookmarkEnd w:id="352"/>
    <w:bookmarkEnd w:id="353"/>
    <w:bookmarkEnd w:id="354"/>
    <w:bookmarkEnd w:id="355"/>
    <w:p w14:paraId="06BC8C9E">
      <w:pPr>
        <w:spacing w:before="120" w:after="120" w:line="360" w:lineRule="auto"/>
        <w:jc w:val="left"/>
        <w:rPr>
          <w:rFonts w:hint="eastAsia" w:ascii="宋体" w:hAnsi="宋体" w:cs="宋体"/>
          <w:bCs/>
          <w:sz w:val="24"/>
          <w:highlight w:val="none"/>
        </w:rPr>
      </w:pPr>
      <w:bookmarkStart w:id="463" w:name="_Toc296891245"/>
      <w:bookmarkStart w:id="464" w:name="_Toc296891033"/>
      <w:bookmarkStart w:id="465" w:name="_Toc292559410"/>
      <w:bookmarkStart w:id="466" w:name="_Toc296347204"/>
      <w:bookmarkStart w:id="467" w:name="_Toc296503205"/>
      <w:bookmarkStart w:id="468" w:name="_Toc296944544"/>
      <w:bookmarkStart w:id="469" w:name="_Toc297048391"/>
      <w:bookmarkStart w:id="470" w:name="_Toc297120505"/>
      <w:bookmarkStart w:id="471" w:name="_Toc296346706"/>
      <w:bookmarkStart w:id="472" w:name="_Toc292559915"/>
      <w:bookmarkStart w:id="473" w:name="_Toc351203644"/>
      <w:bookmarkStart w:id="474" w:name="_Toc297123552"/>
      <w:bookmarkStart w:id="475" w:name="_Toc304295579"/>
      <w:bookmarkStart w:id="476" w:name="_Toc297216211"/>
      <w:bookmarkStart w:id="477" w:name="_Toc303539159"/>
      <w:bookmarkStart w:id="478" w:name="_Toc300935002"/>
      <w:bookmarkStart w:id="479" w:name="_Toc312678040"/>
      <w:r>
        <w:rPr>
          <w:rFonts w:hint="eastAsia" w:ascii="宋体" w:hAnsi="宋体" w:cs="宋体"/>
          <w:bCs/>
          <w:sz w:val="24"/>
          <w:highlight w:val="none"/>
        </w:rPr>
        <w:t xml:space="preserve">12. </w:t>
      </w:r>
      <w:bookmarkEnd w:id="463"/>
      <w:bookmarkEnd w:id="464"/>
      <w:bookmarkEnd w:id="465"/>
      <w:bookmarkEnd w:id="466"/>
      <w:bookmarkEnd w:id="467"/>
      <w:bookmarkEnd w:id="468"/>
      <w:bookmarkEnd w:id="469"/>
      <w:bookmarkEnd w:id="470"/>
      <w:bookmarkEnd w:id="471"/>
      <w:bookmarkEnd w:id="472"/>
      <w:r>
        <w:rPr>
          <w:rFonts w:hint="eastAsia" w:ascii="宋体" w:hAnsi="宋体" w:cs="宋体"/>
          <w:bCs/>
          <w:sz w:val="24"/>
          <w:highlight w:val="none"/>
        </w:rPr>
        <w:t>合同价格、计量与支付</w:t>
      </w:r>
      <w:bookmarkEnd w:id="473"/>
    </w:p>
    <w:bookmarkEnd w:id="474"/>
    <w:bookmarkEnd w:id="475"/>
    <w:bookmarkEnd w:id="476"/>
    <w:bookmarkEnd w:id="477"/>
    <w:bookmarkEnd w:id="478"/>
    <w:bookmarkEnd w:id="479"/>
    <w:p w14:paraId="2F4F67B1">
      <w:pPr>
        <w:spacing w:after="120" w:line="360" w:lineRule="auto"/>
        <w:ind w:firstLine="480" w:firstLineChars="200"/>
        <w:rPr>
          <w:rFonts w:hint="eastAsia" w:ascii="宋体" w:hAnsi="宋体" w:cs="宋体"/>
          <w:bCs/>
          <w:sz w:val="24"/>
          <w:highlight w:val="none"/>
        </w:rPr>
      </w:pPr>
      <w:bookmarkStart w:id="480" w:name="_Toc292559916"/>
      <w:bookmarkStart w:id="481" w:name="_Toc267251461"/>
      <w:bookmarkStart w:id="482" w:name="_Toc292559411"/>
      <w:bookmarkStart w:id="483" w:name="_Toc297120506"/>
      <w:bookmarkStart w:id="484" w:name="_Toc296347205"/>
      <w:bookmarkStart w:id="485" w:name="_Toc296503206"/>
      <w:bookmarkStart w:id="486" w:name="_Toc296891246"/>
      <w:bookmarkStart w:id="487" w:name="_Toc296346707"/>
      <w:bookmarkStart w:id="488" w:name="_Toc296944545"/>
      <w:bookmarkStart w:id="489" w:name="_Toc296891034"/>
      <w:bookmarkStart w:id="490" w:name="_Toc297048392"/>
      <w:bookmarkStart w:id="491" w:name="_Toc297216212"/>
      <w:bookmarkStart w:id="492" w:name="_Toc303539160"/>
      <w:bookmarkStart w:id="493" w:name="_Toc304295580"/>
      <w:bookmarkStart w:id="494" w:name="_Toc300935003"/>
      <w:bookmarkStart w:id="495" w:name="_Toc312678041"/>
      <w:bookmarkStart w:id="496" w:name="_Toc297123553"/>
      <w:r>
        <w:rPr>
          <w:rFonts w:hint="eastAsia" w:ascii="宋体" w:hAnsi="宋体" w:cs="宋体"/>
          <w:bCs/>
          <w:sz w:val="24"/>
          <w:highlight w:val="none"/>
        </w:rPr>
        <w:t>12.1 合</w:t>
      </w:r>
      <w:bookmarkEnd w:id="480"/>
      <w:bookmarkEnd w:id="481"/>
      <w:bookmarkEnd w:id="482"/>
      <w:r>
        <w:rPr>
          <w:rFonts w:hint="eastAsia" w:ascii="宋体" w:hAnsi="宋体" w:cs="宋体"/>
          <w:bCs/>
          <w:sz w:val="24"/>
          <w:highlight w:val="none"/>
        </w:rPr>
        <w:t>同价</w:t>
      </w:r>
      <w:bookmarkEnd w:id="483"/>
      <w:bookmarkEnd w:id="484"/>
      <w:bookmarkEnd w:id="485"/>
      <w:bookmarkEnd w:id="486"/>
      <w:bookmarkEnd w:id="487"/>
      <w:bookmarkEnd w:id="488"/>
      <w:bookmarkEnd w:id="489"/>
      <w:bookmarkEnd w:id="490"/>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91"/>
    <w:bookmarkEnd w:id="492"/>
    <w:bookmarkEnd w:id="493"/>
    <w:bookmarkEnd w:id="494"/>
    <w:bookmarkEnd w:id="495"/>
    <w:bookmarkEnd w:id="496"/>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7" w:name="_Toc312678042"/>
      <w:bookmarkStart w:id="498" w:name="_Toc303539161"/>
      <w:bookmarkStart w:id="499" w:name="_Toc297123554"/>
      <w:bookmarkStart w:id="500" w:name="_Toc304295581"/>
      <w:bookmarkStart w:id="501" w:name="_Toc297216213"/>
      <w:bookmarkStart w:id="502" w:name="_Toc300935004"/>
      <w:bookmarkStart w:id="503" w:name="_Toc297120507"/>
      <w:bookmarkStart w:id="504" w:name="_Toc296503207"/>
      <w:bookmarkStart w:id="505" w:name="_Toc296944546"/>
      <w:bookmarkStart w:id="506" w:name="_Toc297048393"/>
      <w:bookmarkStart w:id="507" w:name="_Toc292559917"/>
      <w:bookmarkStart w:id="508" w:name="_Toc296346708"/>
      <w:bookmarkStart w:id="509" w:name="_Toc292559412"/>
      <w:bookmarkStart w:id="510" w:name="_Toc296347206"/>
      <w:bookmarkStart w:id="511" w:name="_Toc296891035"/>
      <w:bookmarkStart w:id="512" w:name="_Toc296891247"/>
      <w:r>
        <w:rPr>
          <w:rFonts w:hint="eastAsia" w:ascii="宋体" w:hAnsi="宋体" w:cs="宋体"/>
          <w:bCs/>
          <w:sz w:val="24"/>
          <w:highlight w:val="none"/>
        </w:rPr>
        <w:t>12.2 预付款</w:t>
      </w:r>
    </w:p>
    <w:bookmarkEnd w:id="497"/>
    <w:bookmarkEnd w:id="498"/>
    <w:bookmarkEnd w:id="499"/>
    <w:bookmarkEnd w:id="500"/>
    <w:bookmarkEnd w:id="501"/>
    <w:bookmarkEnd w:id="502"/>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3"/>
    <w:bookmarkEnd w:id="504"/>
    <w:bookmarkEnd w:id="505"/>
    <w:bookmarkEnd w:id="506"/>
    <w:bookmarkEnd w:id="507"/>
    <w:bookmarkEnd w:id="508"/>
    <w:bookmarkEnd w:id="509"/>
    <w:bookmarkEnd w:id="510"/>
    <w:bookmarkEnd w:id="511"/>
    <w:bookmarkEnd w:id="512"/>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3" w:name="_Toc296944550"/>
      <w:bookmarkStart w:id="514" w:name="_Toc296347210"/>
      <w:bookmarkStart w:id="515" w:name="_Toc296503211"/>
      <w:bookmarkStart w:id="516" w:name="_Toc297216215"/>
      <w:bookmarkStart w:id="517" w:name="_Toc296346712"/>
      <w:bookmarkStart w:id="518" w:name="_Toc296891039"/>
      <w:bookmarkStart w:id="519" w:name="_Toc297120511"/>
      <w:bookmarkStart w:id="520" w:name="_Toc297123556"/>
      <w:bookmarkStart w:id="521" w:name="_Toc297048397"/>
      <w:bookmarkStart w:id="522" w:name="_Toc300935006"/>
      <w:bookmarkStart w:id="523" w:name="_Toc292559416"/>
      <w:bookmarkStart w:id="524" w:name="_Toc296891251"/>
      <w:bookmarkStart w:id="525" w:name="_Toc303539163"/>
      <w:bookmarkStart w:id="526" w:name="_Toc292559921"/>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6"/>
    <w:p w14:paraId="279136F7">
      <w:pPr>
        <w:spacing w:before="120" w:after="120" w:line="360" w:lineRule="auto"/>
        <w:jc w:val="left"/>
        <w:rPr>
          <w:rFonts w:hint="eastAsia" w:ascii="宋体" w:hAnsi="宋体" w:cs="宋体"/>
          <w:bCs/>
          <w:sz w:val="24"/>
          <w:highlight w:val="none"/>
        </w:rPr>
      </w:pPr>
      <w:bookmarkStart w:id="527" w:name="_Toc351203645"/>
      <w:bookmarkStart w:id="528" w:name="_Toc297216223"/>
      <w:bookmarkStart w:id="529" w:name="_Toc297048405"/>
      <w:bookmarkStart w:id="530" w:name="_Toc296347218"/>
      <w:bookmarkStart w:id="531" w:name="_Toc292559929"/>
      <w:bookmarkStart w:id="532" w:name="_Toc312678053"/>
      <w:bookmarkStart w:id="533" w:name="_Toc303539172"/>
      <w:bookmarkStart w:id="534" w:name="_Toc300935015"/>
      <w:bookmarkStart w:id="535" w:name="_Toc296891259"/>
      <w:bookmarkStart w:id="536" w:name="_Toc296346720"/>
      <w:bookmarkStart w:id="537" w:name="_Toc297120519"/>
      <w:bookmarkStart w:id="538" w:name="_Toc304295593"/>
      <w:bookmarkStart w:id="539" w:name="_Toc296503219"/>
      <w:bookmarkStart w:id="540" w:name="_Toc297123564"/>
      <w:bookmarkStart w:id="541" w:name="_Toc292559424"/>
      <w:bookmarkStart w:id="542" w:name="_Toc296891047"/>
      <w:bookmarkStart w:id="543" w:name="_Toc296944558"/>
      <w:r>
        <w:rPr>
          <w:rFonts w:hint="eastAsia" w:ascii="宋体" w:hAnsi="宋体" w:cs="宋体"/>
          <w:bCs/>
          <w:sz w:val="24"/>
          <w:highlight w:val="none"/>
        </w:rPr>
        <w:t>13. 验收和工程试车</w:t>
      </w:r>
      <w:bookmarkEnd w:id="527"/>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4" w:name="_Toc297123565"/>
      <w:bookmarkStart w:id="545" w:name="_Toc304295596"/>
      <w:bookmarkStart w:id="546" w:name="_Toc312678056"/>
      <w:bookmarkStart w:id="547" w:name="_Toc296891263"/>
      <w:bookmarkStart w:id="548" w:name="_Toc292559933"/>
      <w:bookmarkStart w:id="549" w:name="_Toc296944562"/>
      <w:bookmarkStart w:id="550" w:name="_Toc297216224"/>
      <w:bookmarkStart w:id="551" w:name="_Toc297120523"/>
      <w:bookmarkStart w:id="552" w:name="_Toc296347222"/>
      <w:bookmarkStart w:id="553" w:name="_Toc303539173"/>
      <w:bookmarkStart w:id="554" w:name="_Toc300935016"/>
      <w:bookmarkStart w:id="555" w:name="_Toc296503223"/>
      <w:bookmarkStart w:id="556" w:name="_Toc297048409"/>
      <w:bookmarkStart w:id="557" w:name="_Toc292559428"/>
      <w:bookmarkStart w:id="558" w:name="_Toc296891051"/>
      <w:bookmarkStart w:id="559" w:name="_Toc296346724"/>
      <w:bookmarkStart w:id="560" w:name="_Toc267251475"/>
      <w:bookmarkStart w:id="561" w:name="_Toc267251472"/>
      <w:bookmarkStart w:id="562" w:name="_Toc267251471"/>
      <w:bookmarkStart w:id="563" w:name="_Toc267251474"/>
      <w:bookmarkStart w:id="564" w:name="_Toc267251476"/>
      <w:bookmarkStart w:id="565" w:name="_Toc267251473"/>
      <w:bookmarkStart w:id="566" w:name="_Toc267251470"/>
      <w:r>
        <w:rPr>
          <w:rFonts w:hint="eastAsia" w:ascii="宋体" w:hAnsi="宋体" w:cs="宋体"/>
          <w:bCs/>
          <w:sz w:val="24"/>
          <w:highlight w:val="none"/>
        </w:rPr>
        <w:t>13.2 竣工验收</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14:paraId="06D440EA">
      <w:pPr>
        <w:spacing w:line="360" w:lineRule="auto"/>
        <w:ind w:firstLine="480" w:firstLineChars="200"/>
        <w:jc w:val="left"/>
        <w:rPr>
          <w:rFonts w:hint="eastAsia" w:ascii="宋体" w:hAnsi="宋体" w:cs="宋体"/>
          <w:bCs/>
          <w:sz w:val="24"/>
          <w:highlight w:val="none"/>
        </w:rPr>
      </w:pPr>
      <w:bookmarkStart w:id="567" w:name="_Toc280868704"/>
      <w:bookmarkStart w:id="568" w:name="_Toc280868705"/>
      <w:bookmarkStart w:id="569" w:name="_Toc280868706"/>
      <w:bookmarkStart w:id="570" w:name="_Toc280868707"/>
      <w:bookmarkStart w:id="571" w:name="_Toc280868708"/>
      <w:bookmarkStart w:id="572" w:name="_Toc280868709"/>
      <w:r>
        <w:rPr>
          <w:rFonts w:hint="eastAsia" w:ascii="宋体" w:hAnsi="宋体" w:cs="宋体"/>
          <w:bCs/>
          <w:sz w:val="24"/>
          <w:highlight w:val="none"/>
        </w:rPr>
        <w:t>13.2.2竣工验收程序</w:t>
      </w:r>
    </w:p>
    <w:bookmarkEnd w:id="567"/>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8"/>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9"/>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70"/>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71"/>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3" w:name="_Toc351203646"/>
      <w:r>
        <w:rPr>
          <w:rFonts w:hint="eastAsia" w:ascii="宋体" w:hAnsi="宋体" w:cs="宋体"/>
          <w:bCs/>
          <w:sz w:val="24"/>
          <w:highlight w:val="none"/>
        </w:rPr>
        <w:t>14. 竣工结算</w:t>
      </w:r>
      <w:bookmarkEnd w:id="573"/>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60"/>
    <w:bookmarkEnd w:id="561"/>
    <w:bookmarkEnd w:id="562"/>
    <w:bookmarkEnd w:id="563"/>
    <w:bookmarkEnd w:id="564"/>
    <w:bookmarkEnd w:id="565"/>
    <w:bookmarkEnd w:id="566"/>
    <w:bookmarkEnd w:id="572"/>
    <w:p w14:paraId="1487BFDB">
      <w:pPr>
        <w:spacing w:before="120" w:after="120" w:line="360" w:lineRule="auto"/>
        <w:jc w:val="left"/>
        <w:rPr>
          <w:rFonts w:hint="eastAsia" w:ascii="宋体" w:hAnsi="宋体" w:cs="宋体"/>
          <w:bCs/>
          <w:sz w:val="24"/>
          <w:highlight w:val="none"/>
        </w:rPr>
      </w:pPr>
      <w:bookmarkStart w:id="574" w:name="_Toc351203647"/>
      <w:bookmarkStart w:id="575" w:name="_Toc267251483"/>
      <w:bookmarkStart w:id="576" w:name="_Toc267251482"/>
      <w:bookmarkStart w:id="577" w:name="_Toc267251484"/>
      <w:bookmarkStart w:id="578" w:name="_Toc267251485"/>
      <w:bookmarkStart w:id="579" w:name="_Toc267251490"/>
      <w:bookmarkStart w:id="580" w:name="_Toc267251488"/>
      <w:bookmarkStart w:id="581" w:name="_Toc267251489"/>
      <w:bookmarkStart w:id="582" w:name="_Toc267251486"/>
      <w:bookmarkStart w:id="583" w:name="_Toc267251491"/>
      <w:bookmarkStart w:id="584" w:name="_Toc267251503"/>
      <w:bookmarkStart w:id="585" w:name="_Toc267251501"/>
      <w:bookmarkStart w:id="586" w:name="_Toc267251492"/>
      <w:bookmarkStart w:id="587" w:name="_Toc267251498"/>
      <w:bookmarkStart w:id="588" w:name="_Toc267251496"/>
      <w:bookmarkStart w:id="589" w:name="_Toc267251495"/>
      <w:bookmarkStart w:id="590" w:name="_Toc267251502"/>
      <w:bookmarkStart w:id="591" w:name="_Toc267251493"/>
      <w:bookmarkStart w:id="592" w:name="_Toc267251499"/>
      <w:bookmarkStart w:id="593" w:name="_Toc267251497"/>
      <w:bookmarkStart w:id="594" w:name="_Toc267251494"/>
      <w:bookmarkStart w:id="595" w:name="_Toc267251504"/>
      <w:bookmarkStart w:id="596" w:name="_Toc267251506"/>
      <w:bookmarkStart w:id="597" w:name="_Toc267251507"/>
      <w:bookmarkStart w:id="598" w:name="_Toc267251508"/>
      <w:bookmarkStart w:id="599" w:name="_Toc267251510"/>
      <w:bookmarkStart w:id="600" w:name="_Toc267251513"/>
      <w:bookmarkStart w:id="601" w:name="_Toc267251509"/>
      <w:bookmarkStart w:id="602" w:name="_Toc267251511"/>
      <w:bookmarkStart w:id="603" w:name="_Toc267251515"/>
      <w:bookmarkStart w:id="604" w:name="_Toc267251514"/>
      <w:r>
        <w:rPr>
          <w:rFonts w:hint="eastAsia" w:ascii="宋体" w:hAnsi="宋体" w:cs="宋体"/>
          <w:bCs/>
          <w:sz w:val="24"/>
          <w:highlight w:val="none"/>
        </w:rPr>
        <w:t>15. 缺陷责任期与保修</w:t>
      </w:r>
      <w:bookmarkEnd w:id="574"/>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5"/>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6"/>
    <w:bookmarkEnd w:id="577"/>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8"/>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9"/>
    <w:bookmarkEnd w:id="580"/>
    <w:bookmarkEnd w:id="581"/>
    <w:bookmarkEnd w:id="582"/>
    <w:p w14:paraId="353E3C91">
      <w:pPr>
        <w:spacing w:before="120" w:after="120" w:line="360" w:lineRule="auto"/>
        <w:jc w:val="left"/>
        <w:rPr>
          <w:rFonts w:hint="eastAsia" w:ascii="宋体" w:hAnsi="宋体" w:cs="宋体"/>
          <w:bCs/>
          <w:sz w:val="24"/>
          <w:highlight w:val="none"/>
        </w:rPr>
      </w:pPr>
      <w:bookmarkStart w:id="605" w:name="_Toc351203648"/>
      <w:bookmarkStart w:id="606" w:name="_Toc280868717"/>
      <w:bookmarkStart w:id="607" w:name="_Toc280868718"/>
      <w:r>
        <w:rPr>
          <w:rFonts w:hint="eastAsia" w:ascii="宋体" w:hAnsi="宋体" w:cs="宋体"/>
          <w:bCs/>
          <w:sz w:val="24"/>
          <w:highlight w:val="none"/>
        </w:rPr>
        <w:t>16. 违约</w:t>
      </w:r>
      <w:bookmarkEnd w:id="605"/>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8" w:name="_Toc351203649"/>
      <w:r>
        <w:rPr>
          <w:rFonts w:hint="eastAsia" w:ascii="宋体" w:hAnsi="宋体" w:cs="宋体"/>
          <w:bCs/>
          <w:sz w:val="24"/>
          <w:highlight w:val="none"/>
        </w:rPr>
        <w:t>17. 不可抗力</w:t>
      </w:r>
      <w:bookmarkEnd w:id="608"/>
      <w:r>
        <w:rPr>
          <w:rFonts w:hint="eastAsia" w:ascii="宋体" w:hAnsi="宋体" w:cs="宋体"/>
          <w:bCs/>
          <w:sz w:val="24"/>
          <w:highlight w:val="none"/>
        </w:rPr>
        <w:t xml:space="preserve"> </w:t>
      </w:r>
      <w:bookmarkEnd w:id="606"/>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9" w:name="_Toc351203650"/>
      <w:r>
        <w:rPr>
          <w:rFonts w:hint="eastAsia" w:ascii="宋体" w:hAnsi="宋体" w:cs="宋体"/>
          <w:bCs/>
          <w:sz w:val="24"/>
          <w:highlight w:val="none"/>
        </w:rPr>
        <w:t>18. 保险</w:t>
      </w:r>
      <w:bookmarkEnd w:id="609"/>
    </w:p>
    <w:bookmarkEnd w:id="607"/>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3"/>
    <w:bookmarkEnd w:id="584"/>
    <w:bookmarkEnd w:id="585"/>
    <w:bookmarkEnd w:id="586"/>
    <w:bookmarkEnd w:id="587"/>
    <w:bookmarkEnd w:id="588"/>
    <w:bookmarkEnd w:id="589"/>
    <w:bookmarkEnd w:id="590"/>
    <w:bookmarkEnd w:id="591"/>
    <w:bookmarkEnd w:id="592"/>
    <w:bookmarkEnd w:id="593"/>
    <w:bookmarkEnd w:id="594"/>
    <w:p w14:paraId="582F3F0C">
      <w:pPr>
        <w:widowControl/>
        <w:spacing w:line="460" w:lineRule="exact"/>
        <w:jc w:val="left"/>
        <w:rPr>
          <w:rFonts w:hint="eastAsia" w:ascii="宋体" w:hAnsi="宋体" w:cs="宋体"/>
          <w:bCs/>
          <w:sz w:val="24"/>
          <w:highlight w:val="none"/>
        </w:rPr>
      </w:pPr>
      <w:bookmarkStart w:id="610" w:name="_Toc351203651"/>
      <w:r>
        <w:rPr>
          <w:rFonts w:hint="eastAsia" w:ascii="宋体" w:hAnsi="宋体" w:cs="宋体"/>
          <w:bCs/>
          <w:sz w:val="24"/>
          <w:highlight w:val="none"/>
        </w:rPr>
        <w:t>20. 争议解决</w:t>
      </w:r>
      <w:bookmarkEnd w:id="610"/>
    </w:p>
    <w:bookmarkEnd w:id="595"/>
    <w:bookmarkEnd w:id="596"/>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7"/>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8"/>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9"/>
      <w:bookmarkEnd w:id="600"/>
      <w:bookmarkEnd w:id="601"/>
      <w:bookmarkEnd w:id="602"/>
      <w:bookmarkEnd w:id="603"/>
      <w:bookmarkEnd w:id="604"/>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2EB8C07B">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5"/>
    <w:bookmarkEnd w:id="46"/>
    <w:bookmarkEnd w:id="47"/>
    <w:bookmarkEnd w:id="48"/>
    <w:bookmarkEnd w:id="49"/>
    <w:bookmarkEnd w:id="50"/>
    <w:bookmarkEnd w:id="51"/>
    <w:bookmarkEnd w:id="52"/>
    <w:bookmarkEnd w:id="53"/>
    <w:p w14:paraId="5BFA6A6D">
      <w:pPr>
        <w:pStyle w:val="2"/>
        <w:jc w:val="center"/>
        <w:rPr>
          <w:rFonts w:ascii="宋体" w:eastAsia="宋体" w:cs="宋体"/>
          <w:bCs/>
          <w:color w:val="auto"/>
          <w:szCs w:val="36"/>
          <w:highlight w:val="none"/>
        </w:rPr>
      </w:pPr>
      <w:bookmarkStart w:id="611" w:name="_Toc27319"/>
      <w:r>
        <w:rPr>
          <w:rFonts w:hint="eastAsia" w:ascii="宋体" w:eastAsia="宋体" w:cs="宋体"/>
          <w:bCs/>
          <w:color w:val="auto"/>
          <w:szCs w:val="36"/>
          <w:highlight w:val="none"/>
        </w:rPr>
        <w:t>第五章  磋商内容及技术要求</w:t>
      </w:r>
      <w:bookmarkEnd w:id="611"/>
      <w:bookmarkStart w:id="612" w:name="_Toc20481"/>
      <w:bookmarkStart w:id="613" w:name="_Toc389582038"/>
      <w:bookmarkStart w:id="614" w:name="_Toc2711"/>
      <w:bookmarkStart w:id="615" w:name="_Toc23856"/>
      <w:bookmarkStart w:id="616" w:name="_Toc11450"/>
      <w:bookmarkStart w:id="617" w:name="_Toc1025"/>
      <w:bookmarkStart w:id="618" w:name="_Toc4053"/>
    </w:p>
    <w:bookmarkEnd w:id="42"/>
    <w:bookmarkEnd w:id="612"/>
    <w:bookmarkEnd w:id="613"/>
    <w:bookmarkEnd w:id="614"/>
    <w:bookmarkEnd w:id="615"/>
    <w:bookmarkEnd w:id="616"/>
    <w:bookmarkEnd w:id="617"/>
    <w:bookmarkEnd w:id="618"/>
    <w:p w14:paraId="1DE943C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8"/>
          <w:szCs w:val="28"/>
        </w:rPr>
      </w:pPr>
      <w:bookmarkStart w:id="619" w:name="_Toc5084"/>
      <w:bookmarkStart w:id="620" w:name="_Toc423973079"/>
      <w:bookmarkStart w:id="621" w:name="_Toc363474025"/>
      <w:bookmarkStart w:id="622" w:name="_Toc403077646"/>
      <w:r>
        <w:rPr>
          <w:rFonts w:hint="eastAsia" w:ascii="宋体" w:hAnsi="宋体" w:eastAsia="宋体" w:cs="宋体"/>
          <w:color w:val="000000"/>
          <w:kern w:val="0"/>
          <w:sz w:val="28"/>
          <w:szCs w:val="28"/>
          <w:lang w:val="en-US" w:eastAsia="zh-CN" w:bidi="ar"/>
        </w:rPr>
        <w:t>一、项目概况：</w:t>
      </w:r>
    </w:p>
    <w:p w14:paraId="42BC073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sz w:val="28"/>
          <w:szCs w:val="28"/>
        </w:rPr>
      </w:pPr>
      <w:r>
        <w:rPr>
          <w:rFonts w:hint="eastAsia" w:hAnsi="宋体" w:cs="宋体"/>
          <w:color w:val="000000"/>
          <w:kern w:val="0"/>
          <w:sz w:val="28"/>
          <w:szCs w:val="28"/>
          <w:lang w:val="en-US" w:eastAsia="zh-CN" w:bidi="ar"/>
        </w:rPr>
        <w:t>石镇湾潭子楼房外立面亮化工程地点位于陕西省商洛市柞水县，包含石镇盘龙桥至湾潭子加油站之间国道边楼房外立面亮化，安装线条、洗墙灯、投影灯及配套设备等内容，根据建设单位提供资料编制。</w:t>
      </w:r>
    </w:p>
    <w:p w14:paraId="1ECFDE9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8"/>
          <w:szCs w:val="28"/>
        </w:rPr>
      </w:pPr>
      <w:r>
        <w:rPr>
          <w:rFonts w:hint="eastAsia" w:ascii="宋体" w:hAnsi="宋体" w:eastAsia="宋体" w:cs="宋体"/>
          <w:color w:val="000000"/>
          <w:kern w:val="0"/>
          <w:sz w:val="28"/>
          <w:szCs w:val="28"/>
          <w:lang w:val="en-US" w:eastAsia="zh-CN" w:bidi="ar"/>
        </w:rPr>
        <w:t>二、编制依据：</w:t>
      </w:r>
    </w:p>
    <w:p w14:paraId="560EAF2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陕西省市政工程价目表》(2009)、《陕西省市政工程消耗量定额》（2004）、《陕西省建设工程工程量清单计价规则(2009)》、《陕西省建筑装饰工程价目表（2009）》、《陕西省安装工程价目表（2009）》、《陕西省建筑工程消耗量定额（2004）》、《陕西省室内装饰工程定额（2002）》、《陕西省安装工程消耗量定额（2004）》、《陕西省建筑工程消耗量补充定额（2004）》、《陕西省安装工程消耗量补充定额（2004）》、《陕西省建筑工程、安装工程参考费率》；</w:t>
      </w:r>
    </w:p>
    <w:p w14:paraId="1ECB083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2、综合人工单价、安全文明施工费（含扬尘污染治理费）执行陕建发【2018】2019号文件；</w:t>
      </w:r>
    </w:p>
    <w:p w14:paraId="7C014F0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3、税金执行陕建发【2019】45号文件；</w:t>
      </w:r>
    </w:p>
    <w:p w14:paraId="14A429D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4、材料价格执行商洛市信息价2024年第2期及当地市场价；</w:t>
      </w:r>
    </w:p>
    <w:p w14:paraId="468E78F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sz w:val="28"/>
          <w:szCs w:val="28"/>
        </w:rPr>
      </w:pPr>
      <w:r>
        <w:rPr>
          <w:rFonts w:hint="eastAsia" w:ascii="宋体" w:hAnsi="宋体" w:eastAsia="宋体" w:cs="宋体"/>
          <w:color w:val="000000"/>
          <w:kern w:val="0"/>
          <w:sz w:val="28"/>
          <w:szCs w:val="28"/>
          <w:lang w:val="en-US" w:eastAsia="zh-CN" w:bidi="ar"/>
        </w:rPr>
        <w:t>5、本限价编制采用广联达计价软件GCCP6.0(6.4100.23.120)。</w:t>
      </w:r>
    </w:p>
    <w:p w14:paraId="7A2D15C8">
      <w:pPr>
        <w:rPr>
          <w:rFonts w:hint="eastAsia" w:hAnsi="宋体" w:cs="宋体"/>
          <w:color w:val="auto"/>
          <w:spacing w:val="4"/>
          <w:szCs w:val="24"/>
          <w:highlight w:val="none"/>
        </w:rPr>
      </w:pPr>
      <w:r>
        <w:rPr>
          <w:rFonts w:hint="eastAsia" w:hAnsi="宋体" w:cs="宋体"/>
          <w:color w:val="auto"/>
          <w:spacing w:val="4"/>
          <w:szCs w:val="24"/>
          <w:highlight w:val="none"/>
        </w:rPr>
        <w:br w:type="page"/>
      </w:r>
    </w:p>
    <w:p w14:paraId="68C6C25D">
      <w:pPr>
        <w:numPr>
          <w:ilvl w:val="0"/>
          <w:numId w:val="0"/>
        </w:numPr>
        <w:tabs>
          <w:tab w:val="left" w:pos="2160"/>
        </w:tabs>
        <w:spacing w:line="360" w:lineRule="auto"/>
        <w:jc w:val="center"/>
        <w:rPr>
          <w:rFonts w:hint="default" w:eastAsia="宋体" w:cs="宋体"/>
          <w:b/>
          <w:bCs/>
          <w:color w:val="auto"/>
          <w:sz w:val="28"/>
          <w:szCs w:val="28"/>
          <w:highlight w:val="none"/>
          <w:lang w:val="en-US" w:eastAsia="zh-CN"/>
        </w:rPr>
      </w:pPr>
      <w:r>
        <w:rPr>
          <w:rFonts w:hint="eastAsia" w:cs="宋体"/>
          <w:b/>
          <w:bCs/>
          <w:color w:val="auto"/>
          <w:sz w:val="28"/>
          <w:szCs w:val="28"/>
          <w:highlight w:val="none"/>
          <w:lang w:val="en-US" w:eastAsia="zh-CN"/>
        </w:rPr>
        <w:t>工程量清单</w:t>
      </w:r>
    </w:p>
    <w:p w14:paraId="063DB3A1">
      <w:pPr>
        <w:numPr>
          <w:ilvl w:val="0"/>
          <w:numId w:val="0"/>
        </w:numPr>
        <w:tabs>
          <w:tab w:val="left" w:pos="2160"/>
        </w:tabs>
        <w:spacing w:line="360" w:lineRule="auto"/>
        <w:jc w:val="center"/>
        <w:rPr>
          <w:rFonts w:hint="eastAsia" w:eastAsia="宋体" w:cs="宋体"/>
          <w:color w:val="auto"/>
          <w:sz w:val="36"/>
          <w:szCs w:val="36"/>
          <w:highlight w:val="none"/>
          <w:lang w:eastAsia="zh-CN"/>
        </w:rPr>
      </w:pPr>
      <w:r>
        <w:rPr>
          <w:rFonts w:hint="eastAsia" w:eastAsia="宋体" w:cs="宋体"/>
          <w:color w:val="auto"/>
          <w:sz w:val="36"/>
          <w:szCs w:val="36"/>
          <w:highlight w:val="none"/>
          <w:lang w:eastAsia="zh-CN"/>
        </w:rPr>
        <w:drawing>
          <wp:inline distT="0" distB="0" distL="114300" distR="114300">
            <wp:extent cx="5756275" cy="8123555"/>
            <wp:effectExtent l="0" t="0" r="15875" b="10795"/>
            <wp:docPr id="18" name="图片 18" descr="石镇湾潭子楼房外立面亮化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石镇湾潭子楼房外立面亮化工程_03"/>
                    <pic:cNvPicPr>
                      <a:picLocks noChangeAspect="1"/>
                    </pic:cNvPicPr>
                  </pic:nvPicPr>
                  <pic:blipFill>
                    <a:blip r:embed="rId15"/>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7" name="图片 17" descr="石镇湾潭子楼房外立面亮化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石镇湾潭子楼房外立面亮化工程_04"/>
                    <pic:cNvPicPr>
                      <a:picLocks noChangeAspect="1"/>
                    </pic:cNvPicPr>
                  </pic:nvPicPr>
                  <pic:blipFill>
                    <a:blip r:embed="rId16"/>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6" name="图片 16" descr="石镇湾潭子楼房外立面亮化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石镇湾潭子楼房外立面亮化工程_05"/>
                    <pic:cNvPicPr>
                      <a:picLocks noChangeAspect="1"/>
                    </pic:cNvPicPr>
                  </pic:nvPicPr>
                  <pic:blipFill>
                    <a:blip r:embed="rId17"/>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5" name="图片 15" descr="石镇湾潭子楼房外立面亮化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石镇湾潭子楼房外立面亮化工程_06"/>
                    <pic:cNvPicPr>
                      <a:picLocks noChangeAspect="1"/>
                    </pic:cNvPicPr>
                  </pic:nvPicPr>
                  <pic:blipFill>
                    <a:blip r:embed="rId18"/>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4" name="图片 14" descr="石镇湾潭子楼房外立面亮化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石镇湾潭子楼房外立面亮化工程_07"/>
                    <pic:cNvPicPr>
                      <a:picLocks noChangeAspect="1"/>
                    </pic:cNvPicPr>
                  </pic:nvPicPr>
                  <pic:blipFill>
                    <a:blip r:embed="rId19"/>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3" name="图片 13" descr="石镇湾潭子楼房外立面亮化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石镇湾潭子楼房外立面亮化工程_08"/>
                    <pic:cNvPicPr>
                      <a:picLocks noChangeAspect="1"/>
                    </pic:cNvPicPr>
                  </pic:nvPicPr>
                  <pic:blipFill>
                    <a:blip r:embed="rId20"/>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2" name="图片 12" descr="石镇湾潭子楼房外立面亮化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镇湾潭子楼房外立面亮化工程_09"/>
                    <pic:cNvPicPr>
                      <a:picLocks noChangeAspect="1"/>
                    </pic:cNvPicPr>
                  </pic:nvPicPr>
                  <pic:blipFill>
                    <a:blip r:embed="rId21"/>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1" name="图片 11" descr="石镇湾潭子楼房外立面亮化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石镇湾潭子楼房外立面亮化工程_10"/>
                    <pic:cNvPicPr>
                      <a:picLocks noChangeAspect="1"/>
                    </pic:cNvPicPr>
                  </pic:nvPicPr>
                  <pic:blipFill>
                    <a:blip r:embed="rId22"/>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9" name="图片 9" descr="石镇湾潭子楼房外立面亮化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石镇湾潭子楼房外立面亮化工程_11"/>
                    <pic:cNvPicPr>
                      <a:picLocks noChangeAspect="1"/>
                    </pic:cNvPicPr>
                  </pic:nvPicPr>
                  <pic:blipFill>
                    <a:blip r:embed="rId23"/>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4" name="图片 4" descr="石镇湾潭子楼房外立面亮化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石镇湾潭子楼房外立面亮化工程_12"/>
                    <pic:cNvPicPr>
                      <a:picLocks noChangeAspect="1"/>
                    </pic:cNvPicPr>
                  </pic:nvPicPr>
                  <pic:blipFill>
                    <a:blip r:embed="rId24"/>
                    <a:stretch>
                      <a:fillRect/>
                    </a:stretch>
                  </pic:blipFill>
                  <pic:spPr>
                    <a:xfrm>
                      <a:off x="0" y="0"/>
                      <a:ext cx="5756275" cy="8123555"/>
                    </a:xfrm>
                    <a:prstGeom prst="rect">
                      <a:avLst/>
                    </a:prstGeom>
                  </pic:spPr>
                </pic:pic>
              </a:graphicData>
            </a:graphic>
          </wp:inline>
        </w:drawing>
      </w:r>
      <w:r>
        <w:rPr>
          <w:rFonts w:hint="eastAsia" w:eastAsia="宋体" w:cs="宋体"/>
          <w:color w:val="auto"/>
          <w:sz w:val="36"/>
          <w:szCs w:val="36"/>
          <w:highlight w:val="none"/>
          <w:lang w:eastAsia="zh-CN"/>
        </w:rPr>
        <w:drawing>
          <wp:inline distT="0" distB="0" distL="114300" distR="114300">
            <wp:extent cx="5756275" cy="8123555"/>
            <wp:effectExtent l="0" t="0" r="15875" b="10795"/>
            <wp:docPr id="1" name="图片 1" descr="石镇湾潭子楼房外立面亮化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石镇湾潭子楼房外立面亮化工程_13"/>
                    <pic:cNvPicPr>
                      <a:picLocks noChangeAspect="1"/>
                    </pic:cNvPicPr>
                  </pic:nvPicPr>
                  <pic:blipFill>
                    <a:blip r:embed="rId25"/>
                    <a:stretch>
                      <a:fillRect/>
                    </a:stretch>
                  </pic:blipFill>
                  <pic:spPr>
                    <a:xfrm>
                      <a:off x="0" y="0"/>
                      <a:ext cx="5756275" cy="8123555"/>
                    </a:xfrm>
                    <a:prstGeom prst="rect">
                      <a:avLst/>
                    </a:prstGeom>
                  </pic:spPr>
                </pic:pic>
              </a:graphicData>
            </a:graphic>
          </wp:inline>
        </w:drawing>
      </w:r>
    </w:p>
    <w:p w14:paraId="67C041BF">
      <w:pPr>
        <w:numPr>
          <w:ilvl w:val="0"/>
          <w:numId w:val="0"/>
        </w:numPr>
        <w:tabs>
          <w:tab w:val="left" w:pos="2160"/>
        </w:tabs>
        <w:spacing w:line="360" w:lineRule="auto"/>
        <w:jc w:val="left"/>
        <w:rPr>
          <w:rFonts w:cs="宋体"/>
          <w:color w:val="auto"/>
          <w:sz w:val="32"/>
          <w:szCs w:val="32"/>
          <w:highlight w:val="none"/>
        </w:rPr>
      </w:pPr>
      <w:r>
        <w:rPr>
          <w:rFonts w:hint="eastAsia" w:cs="宋体"/>
          <w:color w:val="auto"/>
          <w:sz w:val="36"/>
          <w:szCs w:val="36"/>
          <w:highlight w:val="none"/>
        </w:rPr>
        <w:br w:type="page"/>
      </w:r>
    </w:p>
    <w:p w14:paraId="1F29375C">
      <w:pPr>
        <w:pStyle w:val="2"/>
        <w:jc w:val="center"/>
        <w:rPr>
          <w:rFonts w:ascii="宋体" w:eastAsia="宋体" w:cs="宋体"/>
          <w:color w:val="auto"/>
          <w:kern w:val="0"/>
          <w:szCs w:val="32"/>
          <w:highlight w:val="none"/>
        </w:rPr>
      </w:pPr>
      <w:bookmarkStart w:id="623" w:name="_Toc8141"/>
      <w:r>
        <w:rPr>
          <w:rFonts w:hint="eastAsia" w:ascii="宋体" w:eastAsia="宋体" w:cs="宋体"/>
          <w:color w:val="auto"/>
          <w:kern w:val="0"/>
          <w:szCs w:val="32"/>
          <w:highlight w:val="none"/>
        </w:rPr>
        <w:t>第六章  竞争性磋商响应文件格式</w:t>
      </w:r>
      <w:bookmarkEnd w:id="619"/>
      <w:bookmarkEnd w:id="620"/>
      <w:bookmarkEnd w:id="621"/>
      <w:bookmarkEnd w:id="622"/>
      <w:bookmarkEnd w:id="623"/>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SXZCZB2024-ZCCS-1123</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2533F8A2">
      <w:pPr>
        <w:jc w:val="center"/>
        <w:rPr>
          <w:rFonts w:hint="eastAsia" w:eastAsia="宋体" w:cs="宋体"/>
          <w:b/>
          <w:color w:val="auto"/>
          <w:sz w:val="60"/>
          <w:szCs w:val="60"/>
          <w:highlight w:val="none"/>
          <w:shd w:val="clear" w:color="auto" w:fill="FFFFFF"/>
          <w:lang w:eastAsia="zh-CN"/>
        </w:rPr>
      </w:pPr>
      <w:r>
        <w:rPr>
          <w:rFonts w:hint="eastAsia" w:hAnsi="宋体" w:cs="宋体"/>
          <w:b/>
          <w:color w:val="auto"/>
          <w:sz w:val="60"/>
          <w:szCs w:val="60"/>
          <w:highlight w:val="none"/>
          <w:lang w:eastAsia="zh-CN"/>
        </w:rPr>
        <w:t>石镇湾潭子楼房外立面亮化工程</w:t>
      </w:r>
    </w:p>
    <w:p w14:paraId="56E474D8">
      <w:pPr>
        <w:pStyle w:val="9"/>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4"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24"/>
    <w:p w14:paraId="0781C66D">
      <w:pPr>
        <w:pStyle w:val="9"/>
        <w:rPr>
          <w:rFonts w:ascii="宋体" w:hAnsi="宋体" w:cs="宋体"/>
          <w:b/>
          <w:color w:val="auto"/>
          <w:sz w:val="32"/>
          <w:szCs w:val="32"/>
          <w:highlight w:val="none"/>
        </w:rPr>
      </w:pPr>
      <w:bookmarkStart w:id="625" w:name="_Toc403077648"/>
      <w:bookmarkStart w:id="626" w:name="_Toc363474027"/>
      <w:bookmarkStart w:id="627"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5"/>
      <w:bookmarkEnd w:id="626"/>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6"/>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6"/>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8" w:name="_Toc403077651"/>
      <w:bookmarkStart w:id="629" w:name="_Toc363474030"/>
      <w:r>
        <w:rPr>
          <w:rFonts w:hint="eastAsia" w:ascii="宋体" w:hAnsi="宋体" w:cs="宋体"/>
          <w:color w:val="auto"/>
          <w:sz w:val="32"/>
          <w:szCs w:val="32"/>
          <w:highlight w:val="none"/>
        </w:rPr>
        <w:t>二、磋商报价表</w:t>
      </w:r>
      <w:bookmarkEnd w:id="628"/>
      <w:bookmarkEnd w:id="629"/>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6"/>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7"/>
      <w:bookmarkStart w:id="630"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2B86C072">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31" w:name="_Toc9218"/>
      <w:bookmarkStart w:id="632" w:name="_Toc23455"/>
      <w:bookmarkStart w:id="633" w:name="_Toc21284"/>
      <w:bookmarkStart w:id="634" w:name="_Toc1379"/>
      <w:bookmarkStart w:id="635" w:name="_Toc2621"/>
      <w:r>
        <w:rPr>
          <w:rFonts w:hint="eastAsia" w:hAnsi="宋体" w:cs="宋体"/>
          <w:b/>
          <w:bCs/>
          <w:color w:val="auto"/>
          <w:sz w:val="32"/>
          <w:szCs w:val="32"/>
          <w:highlight w:val="none"/>
        </w:rPr>
        <w:t>四、</w:t>
      </w:r>
      <w:bookmarkEnd w:id="631"/>
      <w:bookmarkEnd w:id="632"/>
      <w:bookmarkEnd w:id="633"/>
      <w:bookmarkEnd w:id="634"/>
      <w:bookmarkEnd w:id="635"/>
      <w:r>
        <w:rPr>
          <w:rFonts w:hint="eastAsia" w:hAnsi="宋体" w:cs="宋体"/>
          <w:b/>
          <w:bCs/>
          <w:color w:val="auto"/>
          <w:sz w:val="32"/>
          <w:szCs w:val="32"/>
          <w:highlight w:val="none"/>
        </w:rPr>
        <w:t>商务条款偏离表</w:t>
      </w:r>
    </w:p>
    <w:p w14:paraId="5EAD6D24">
      <w:pPr>
        <w:pStyle w:val="22"/>
        <w:widowControl w:val="0"/>
        <w:spacing w:before="0" w:beforeAutospacing="0" w:after="0" w:afterAutospacing="0"/>
        <w:jc w:val="both"/>
        <w:rPr>
          <w:rFonts w:cs="宋体"/>
          <w:color w:val="auto"/>
          <w:highlight w:val="none"/>
        </w:rPr>
      </w:pPr>
    </w:p>
    <w:p w14:paraId="13B66C49">
      <w:pPr>
        <w:pStyle w:val="22"/>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2"/>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2"/>
        <w:widowControl w:val="0"/>
        <w:spacing w:before="0" w:beforeAutospacing="0" w:after="0" w:afterAutospacing="0"/>
        <w:ind w:firstLine="480" w:firstLineChars="200"/>
        <w:jc w:val="center"/>
        <w:rPr>
          <w:rFonts w:cs="宋体"/>
          <w:color w:val="auto"/>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2"/>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2"/>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2"/>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2"/>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2"/>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2"/>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2"/>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2"/>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2"/>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2"/>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2"/>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2"/>
              <w:widowControl w:val="0"/>
              <w:spacing w:before="0" w:beforeAutospacing="0" w:after="0" w:afterAutospacing="0"/>
              <w:ind w:firstLine="480" w:firstLineChars="200"/>
              <w:jc w:val="center"/>
              <w:rPr>
                <w:rFonts w:cs="宋体"/>
                <w:color w:val="auto"/>
                <w:highlight w:val="none"/>
              </w:rPr>
            </w:pPr>
          </w:p>
        </w:tc>
      </w:tr>
    </w:tbl>
    <w:p w14:paraId="1619C529">
      <w:pPr>
        <w:pStyle w:val="22"/>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22B829D">
      <w:pPr>
        <w:pStyle w:val="22"/>
        <w:widowControl w:val="0"/>
        <w:spacing w:before="0" w:beforeAutospacing="0" w:after="0" w:afterAutospacing="0"/>
        <w:ind w:firstLine="480" w:firstLineChars="200"/>
        <w:jc w:val="center"/>
        <w:rPr>
          <w:rFonts w:cs="宋体"/>
          <w:color w:val="auto"/>
          <w:highlight w:val="none"/>
        </w:rPr>
      </w:pPr>
    </w:p>
    <w:p w14:paraId="2687CFFE">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2"/>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30"/>
    <w:p w14:paraId="5AB88864">
      <w:pPr>
        <w:spacing w:line="360" w:lineRule="auto"/>
        <w:jc w:val="center"/>
        <w:outlineLvl w:val="2"/>
        <w:rPr>
          <w:rFonts w:hAnsi="宋体" w:cs="宋体"/>
          <w:b/>
          <w:bCs/>
          <w:color w:val="auto"/>
          <w:sz w:val="30"/>
          <w:szCs w:val="30"/>
          <w:highlight w:val="none"/>
        </w:rPr>
      </w:pPr>
      <w:bookmarkStart w:id="636" w:name="_Toc363474033"/>
      <w:bookmarkStart w:id="637"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6"/>
      <w:bookmarkEnd w:id="637"/>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8" w:name="_Toc403077657"/>
      <w:bookmarkStart w:id="639" w:name="_Toc363474034"/>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8"/>
      <w:bookmarkEnd w:id="639"/>
    </w:p>
    <w:p w14:paraId="613C0E18">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1、提供合格有效的法人或者其他组织的营业执照等证明文件，自然人的身份证明。</w:t>
      </w:r>
    </w:p>
    <w:p w14:paraId="58EFB742">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2、提供法定代表人授权书（附法定代表人、被授权人身份证复印件），（法定代表人直接参加磋商，须提供法定代表人身份证明）；</w:t>
      </w:r>
    </w:p>
    <w:p w14:paraId="29F7BCFA">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3、财务状况报告：提供2023年度的财务审计报告（至少包括资产负债表和利润表，成立时间至提交磋商响应文件截止时间不足一年的可提供成立后任意时段的资产负债表），或开标时间前六个月内银行出具的资信证明；</w:t>
      </w:r>
    </w:p>
    <w:p w14:paraId="12D1330E">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4、税收缴纳证明：提供磋商截止日前一年内已缴纳的至少一个月的纳税证明或完税证明（任意税种），依法免税的单位应提供相关证明材料；</w:t>
      </w:r>
    </w:p>
    <w:p w14:paraId="09585E6D">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6E438DC9">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6、供应商须具备【建筑工程施工总承包三级】及以上资质，并提供有效的安全生产许可证；</w:t>
      </w:r>
    </w:p>
    <w:p w14:paraId="57A2425C">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7、供应商拟派项目经理须具备建筑工程专业二级及以上注册建造师资质、具有安全生产考核合格证（B证），且无在建工程（提供无在建承诺书）；</w:t>
      </w:r>
    </w:p>
    <w:p w14:paraId="46199FFA">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8、提供具有履行本合同所必需的设备和专业技术能力的说明及承诺书；</w:t>
      </w:r>
    </w:p>
    <w:p w14:paraId="5735FAA2">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9、供应商应通过“信用中国”网站(www.creditchina.gov.cn)、中国政府采购网(www.ccgp.gov.cn)查询相关主体信用记录；</w:t>
      </w:r>
    </w:p>
    <w:p w14:paraId="15AA881C">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10、参加政府采购活动前3年内，在经营活动中没有重大违法记录的书面声明；</w:t>
      </w:r>
    </w:p>
    <w:p w14:paraId="660659D4">
      <w:pPr>
        <w:spacing w:line="560" w:lineRule="exact"/>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11、供应商应提供中小企业声明函；</w:t>
      </w:r>
    </w:p>
    <w:p w14:paraId="1A49EC84">
      <w:pPr>
        <w:spacing w:line="560" w:lineRule="exact"/>
        <w:ind w:firstLine="480" w:firstLineChars="200"/>
        <w:rPr>
          <w:rFonts w:cs="宋体"/>
          <w:color w:val="auto"/>
          <w:highlight w:val="none"/>
          <w:shd w:val="clear" w:color="auto" w:fill="FFFFFF"/>
        </w:rPr>
      </w:pPr>
      <w:r>
        <w:rPr>
          <w:rFonts w:hint="eastAsia" w:cs="宋体"/>
          <w:color w:val="auto"/>
          <w:highlight w:val="none"/>
          <w:shd w:val="clear" w:color="auto" w:fill="FFFFFF"/>
        </w:rPr>
        <w:t>12、本项目不接受联合体磋商。</w:t>
      </w:r>
    </w:p>
    <w:p w14:paraId="53A1AE9F">
      <w:pPr>
        <w:spacing w:line="560" w:lineRule="exact"/>
        <w:rPr>
          <w:rFonts w:hAnsi="宋体" w:cs="宋体"/>
          <w:b/>
          <w:bCs/>
          <w:color w:val="auto"/>
          <w:sz w:val="28"/>
          <w:szCs w:val="28"/>
          <w:highlight w:val="none"/>
        </w:rPr>
      </w:pPr>
      <w:r>
        <w:rPr>
          <w:rFonts w:hint="eastAsia" w:hAnsi="宋体" w:cs="宋体"/>
          <w:b/>
          <w:bCs/>
          <w:color w:val="auto"/>
          <w:sz w:val="28"/>
          <w:szCs w:val="28"/>
          <w:highlight w:val="none"/>
        </w:rPr>
        <w:t>后附相关格式：</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40" w:name="_Toc363474028"/>
      <w:bookmarkStart w:id="641" w:name="_Toc403077649"/>
      <w:r>
        <w:rPr>
          <w:rFonts w:hint="eastAsia" w:hAnsi="宋体" w:cs="宋体"/>
          <w:color w:val="auto"/>
          <w:sz w:val="32"/>
          <w:szCs w:val="32"/>
          <w:highlight w:val="none"/>
        </w:rPr>
        <w:t>法定代表人身份证明/法定代表人授权书</w:t>
      </w:r>
      <w:bookmarkEnd w:id="640"/>
      <w:bookmarkEnd w:id="641"/>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6"/>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6"/>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6"/>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2"/>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2"/>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 xml:space="preserve">如有不实，我方将无条件地退出本项目的采购活动，并遵照《政府采购法》有关“提供虚假材料的规定”接受处罚。 </w:t>
      </w:r>
    </w:p>
    <w:p w14:paraId="09A79C77">
      <w:pPr>
        <w:pStyle w:val="22"/>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2"/>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3"/>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3"/>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3"/>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3"/>
        <w:adjustRightInd w:val="0"/>
        <w:snapToGrid w:val="0"/>
        <w:spacing w:line="720" w:lineRule="exact"/>
        <w:rPr>
          <w:rFonts w:hAnsi="宋体" w:cs="宋体"/>
          <w:color w:val="auto"/>
          <w:spacing w:val="4"/>
          <w:sz w:val="24"/>
          <w:szCs w:val="24"/>
          <w:highlight w:val="none"/>
        </w:rPr>
      </w:pPr>
    </w:p>
    <w:p w14:paraId="4EFF3582">
      <w:pPr>
        <w:pStyle w:val="13"/>
        <w:adjustRightInd w:val="0"/>
        <w:snapToGrid w:val="0"/>
        <w:spacing w:line="720" w:lineRule="exact"/>
        <w:rPr>
          <w:rFonts w:hAnsi="宋体" w:cs="宋体"/>
          <w:color w:val="auto"/>
          <w:spacing w:val="4"/>
          <w:sz w:val="24"/>
          <w:szCs w:val="24"/>
          <w:highlight w:val="none"/>
        </w:rPr>
      </w:pPr>
    </w:p>
    <w:p w14:paraId="1E2D7BB0">
      <w:pPr>
        <w:pStyle w:val="13"/>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42"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2"/>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3" w:name="OLE_LINK13"/>
      <w:bookmarkStart w:id="644" w:name="OLE_LINK14"/>
      <w:r>
        <w:rPr>
          <w:rFonts w:hint="eastAsia" w:hAnsi="宋体" w:cs="宋体"/>
          <w:b/>
          <w:color w:val="auto"/>
          <w:spacing w:val="6"/>
          <w:sz w:val="32"/>
          <w:szCs w:val="32"/>
          <w:highlight w:val="none"/>
        </w:rPr>
        <w:t>残疾人福利性单位声明函</w:t>
      </w:r>
    </w:p>
    <w:bookmarkEnd w:id="643"/>
    <w:bookmarkEnd w:id="644"/>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6"/>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7"/>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7"/>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7"/>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7"/>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7"/>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7"/>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7"/>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7"/>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7"/>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石镇湾潭子楼房外立面亮化工程</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8"/>
      <w:pBdr>
        <w:bottom w:val="none" w:color="auto" w:sz="0" w:space="1"/>
      </w:pBdr>
      <w:jc w:val="both"/>
    </w:pPr>
  </w:p>
  <w:p w14:paraId="3CD0F681">
    <w:pPr>
      <w:pStyle w:val="18"/>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8"/>
      <w:jc w:val="left"/>
      <w:rPr>
        <w:rFonts w:cs="宋体"/>
        <w:bCs/>
        <w:shd w:val="clear" w:color="auto" w:fill="FFFFFF"/>
      </w:rPr>
    </w:pPr>
  </w:p>
  <w:p w14:paraId="70D86DBC">
    <w:pPr>
      <w:pStyle w:val="18"/>
      <w:jc w:val="left"/>
      <w:rPr>
        <w:rFonts w:ascii="宋体" w:hAnsi="宋体" w:cs="宋体"/>
        <w:bCs/>
      </w:rPr>
    </w:pPr>
    <w:r>
      <w:rPr>
        <w:rFonts w:hint="eastAsia" w:ascii="宋体" w:hAnsi="宋体" w:cs="宋体"/>
        <w:bCs/>
        <w:shd w:val="clear" w:color="auto" w:fill="FFFFFF"/>
        <w:lang w:eastAsia="zh-CN"/>
      </w:rPr>
      <w:t>石镇湾潭子楼房外立面亮化工程</w:t>
    </w:r>
    <w:r>
      <w:rPr>
        <w:rFonts w:hint="eastAsia" w:ascii="宋体" w:hAnsi="宋体" w:cs="宋体"/>
        <w:bCs/>
        <w:shd w:val="clear" w:color="auto" w:fill="FFFFFF"/>
      </w:rPr>
      <w:t xml:space="preserve">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8"/>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345DCC0"/>
    <w:multiLevelType w:val="singleLevel"/>
    <w:tmpl w:val="3345DCC0"/>
    <w:lvl w:ilvl="0" w:tentative="0">
      <w:start w:val="1"/>
      <w:numFmt w:val="decimal"/>
      <w:suff w:val="nothing"/>
      <w:lvlText w:val="%1）"/>
      <w:lvlJc w:val="left"/>
    </w:lvl>
  </w:abstractNum>
  <w:abstractNum w:abstractNumId="2">
    <w:nsid w:val="5354ECB6"/>
    <w:multiLevelType w:val="singleLevel"/>
    <w:tmpl w:val="5354ECB6"/>
    <w:lvl w:ilvl="0" w:tentative="0">
      <w:start w:val="1"/>
      <w:numFmt w:val="decimal"/>
      <w:suff w:val="nothing"/>
      <w:lvlText w:val="%1、"/>
      <w:lvlJc w:val="left"/>
    </w:lvl>
  </w:abstractNum>
  <w:abstractNum w:abstractNumId="3">
    <w:nsid w:val="590049E8"/>
    <w:multiLevelType w:val="singleLevel"/>
    <w:tmpl w:val="590049E8"/>
    <w:lvl w:ilvl="0" w:tentative="0">
      <w:start w:val="30"/>
      <w:numFmt w:val="decimal"/>
      <w:suff w:val="nothing"/>
      <w:lvlText w:val="%1."/>
      <w:lvlJc w:val="left"/>
    </w:lvl>
  </w:abstractNum>
  <w:abstractNum w:abstractNumId="4">
    <w:nsid w:val="59B2460E"/>
    <w:multiLevelType w:val="singleLevel"/>
    <w:tmpl w:val="59B2460E"/>
    <w:lvl w:ilvl="0" w:tentative="0">
      <w:start w:val="2"/>
      <w:numFmt w:val="decimal"/>
      <w:suff w:val="nothing"/>
      <w:lvlText w:val="%1."/>
      <w:lvlJc w:val="left"/>
    </w:lvl>
  </w:abstractNum>
  <w:abstractNum w:abstractNumId="5">
    <w:nsid w:val="59CF0981"/>
    <w:multiLevelType w:val="singleLevel"/>
    <w:tmpl w:val="59CF0981"/>
    <w:lvl w:ilvl="0" w:tentative="0">
      <w:start w:val="1"/>
      <w:numFmt w:val="decimal"/>
      <w:suff w:val="nothing"/>
      <w:lvlText w:val="%1、"/>
      <w:lvlJc w:val="left"/>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C33443"/>
    <w:rsid w:val="04441D61"/>
    <w:rsid w:val="044B49A4"/>
    <w:rsid w:val="045301F6"/>
    <w:rsid w:val="04564D84"/>
    <w:rsid w:val="04702B56"/>
    <w:rsid w:val="04F2372E"/>
    <w:rsid w:val="05946029"/>
    <w:rsid w:val="05D75CDB"/>
    <w:rsid w:val="05F17CC7"/>
    <w:rsid w:val="06CA6B1C"/>
    <w:rsid w:val="07906CD7"/>
    <w:rsid w:val="07F774FD"/>
    <w:rsid w:val="08123EB3"/>
    <w:rsid w:val="08A928D1"/>
    <w:rsid w:val="08D21FF8"/>
    <w:rsid w:val="09167A09"/>
    <w:rsid w:val="09930954"/>
    <w:rsid w:val="09DC2A3C"/>
    <w:rsid w:val="0B7B588D"/>
    <w:rsid w:val="0BBB613F"/>
    <w:rsid w:val="0C080095"/>
    <w:rsid w:val="0C646FEE"/>
    <w:rsid w:val="0C851169"/>
    <w:rsid w:val="0C8A2C23"/>
    <w:rsid w:val="0CC63772"/>
    <w:rsid w:val="0CCD033F"/>
    <w:rsid w:val="0CF14A50"/>
    <w:rsid w:val="0EB54E8A"/>
    <w:rsid w:val="0EFF5BF9"/>
    <w:rsid w:val="0F0C5B71"/>
    <w:rsid w:val="0F4F1D25"/>
    <w:rsid w:val="0F997A1F"/>
    <w:rsid w:val="10043C73"/>
    <w:rsid w:val="1095499B"/>
    <w:rsid w:val="11596073"/>
    <w:rsid w:val="11D44776"/>
    <w:rsid w:val="12C617E6"/>
    <w:rsid w:val="13023513"/>
    <w:rsid w:val="130B35CF"/>
    <w:rsid w:val="137F34A0"/>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ED73BF"/>
    <w:rsid w:val="1F1A166D"/>
    <w:rsid w:val="1F3708D8"/>
    <w:rsid w:val="1F374288"/>
    <w:rsid w:val="1F735D22"/>
    <w:rsid w:val="20E04C24"/>
    <w:rsid w:val="21090163"/>
    <w:rsid w:val="21B93AA7"/>
    <w:rsid w:val="22E17783"/>
    <w:rsid w:val="238910E7"/>
    <w:rsid w:val="24AE6EB4"/>
    <w:rsid w:val="24DD1172"/>
    <w:rsid w:val="24F44C86"/>
    <w:rsid w:val="250C0090"/>
    <w:rsid w:val="254F2BF5"/>
    <w:rsid w:val="25D53DF3"/>
    <w:rsid w:val="25E22D30"/>
    <w:rsid w:val="26077449"/>
    <w:rsid w:val="260869F8"/>
    <w:rsid w:val="261A071C"/>
    <w:rsid w:val="26451C3D"/>
    <w:rsid w:val="26597F9E"/>
    <w:rsid w:val="26D7660D"/>
    <w:rsid w:val="27132728"/>
    <w:rsid w:val="2764572C"/>
    <w:rsid w:val="277D689B"/>
    <w:rsid w:val="27FA6F59"/>
    <w:rsid w:val="285679E7"/>
    <w:rsid w:val="28936D4C"/>
    <w:rsid w:val="28957F83"/>
    <w:rsid w:val="28EF66C3"/>
    <w:rsid w:val="29AA0009"/>
    <w:rsid w:val="29F924F7"/>
    <w:rsid w:val="2A0F2E6D"/>
    <w:rsid w:val="2A8B6E31"/>
    <w:rsid w:val="2B60299C"/>
    <w:rsid w:val="2BA1380F"/>
    <w:rsid w:val="2BB46F1D"/>
    <w:rsid w:val="2C363381"/>
    <w:rsid w:val="2D122B4E"/>
    <w:rsid w:val="2D194BD8"/>
    <w:rsid w:val="2D9044BD"/>
    <w:rsid w:val="2DD63386"/>
    <w:rsid w:val="2DD926FC"/>
    <w:rsid w:val="2E0028ED"/>
    <w:rsid w:val="2E265AE2"/>
    <w:rsid w:val="2E746297"/>
    <w:rsid w:val="2EBB3F8C"/>
    <w:rsid w:val="2EED1018"/>
    <w:rsid w:val="2F2533C6"/>
    <w:rsid w:val="2F6D7B0F"/>
    <w:rsid w:val="305024AA"/>
    <w:rsid w:val="306A6183"/>
    <w:rsid w:val="30B96A80"/>
    <w:rsid w:val="31A27A28"/>
    <w:rsid w:val="31C66EC5"/>
    <w:rsid w:val="32271056"/>
    <w:rsid w:val="322E1761"/>
    <w:rsid w:val="32F55B7E"/>
    <w:rsid w:val="330469DC"/>
    <w:rsid w:val="33881EEB"/>
    <w:rsid w:val="33FA289F"/>
    <w:rsid w:val="34681F9A"/>
    <w:rsid w:val="35D00DF7"/>
    <w:rsid w:val="36C9283B"/>
    <w:rsid w:val="372704C2"/>
    <w:rsid w:val="37C06C6F"/>
    <w:rsid w:val="3825367C"/>
    <w:rsid w:val="3840494C"/>
    <w:rsid w:val="384369FD"/>
    <w:rsid w:val="38972D7F"/>
    <w:rsid w:val="38C20ECB"/>
    <w:rsid w:val="39853A08"/>
    <w:rsid w:val="39DB5E8B"/>
    <w:rsid w:val="39FC21BB"/>
    <w:rsid w:val="3A2B3BD2"/>
    <w:rsid w:val="3A570783"/>
    <w:rsid w:val="3AB17101"/>
    <w:rsid w:val="3B1D3741"/>
    <w:rsid w:val="3B2319C9"/>
    <w:rsid w:val="3BFA15F2"/>
    <w:rsid w:val="3C4D31A2"/>
    <w:rsid w:val="3C756255"/>
    <w:rsid w:val="3CB46D7D"/>
    <w:rsid w:val="3D1617E6"/>
    <w:rsid w:val="3E98235C"/>
    <w:rsid w:val="3EE13F16"/>
    <w:rsid w:val="3EF679E5"/>
    <w:rsid w:val="3F76250C"/>
    <w:rsid w:val="3FBE7F13"/>
    <w:rsid w:val="3FD324F1"/>
    <w:rsid w:val="400D7F7B"/>
    <w:rsid w:val="40B91AE2"/>
    <w:rsid w:val="40D047EA"/>
    <w:rsid w:val="40F72913"/>
    <w:rsid w:val="42350551"/>
    <w:rsid w:val="42454848"/>
    <w:rsid w:val="4250579A"/>
    <w:rsid w:val="426E2B33"/>
    <w:rsid w:val="429C29ED"/>
    <w:rsid w:val="42AC4237"/>
    <w:rsid w:val="42EA3D57"/>
    <w:rsid w:val="43A56600"/>
    <w:rsid w:val="43BD799C"/>
    <w:rsid w:val="43E80065"/>
    <w:rsid w:val="43FF654F"/>
    <w:rsid w:val="4440544D"/>
    <w:rsid w:val="44414863"/>
    <w:rsid w:val="448432E2"/>
    <w:rsid w:val="44D4651B"/>
    <w:rsid w:val="44E150AC"/>
    <w:rsid w:val="44E84FB1"/>
    <w:rsid w:val="450E5A3D"/>
    <w:rsid w:val="45221A31"/>
    <w:rsid w:val="4591538C"/>
    <w:rsid w:val="45A060A7"/>
    <w:rsid w:val="45A25BB2"/>
    <w:rsid w:val="45E71F71"/>
    <w:rsid w:val="46A23069"/>
    <w:rsid w:val="46B10F69"/>
    <w:rsid w:val="486852FA"/>
    <w:rsid w:val="48AF5C8A"/>
    <w:rsid w:val="49045422"/>
    <w:rsid w:val="496A6B29"/>
    <w:rsid w:val="49F15A4F"/>
    <w:rsid w:val="4A3104EE"/>
    <w:rsid w:val="4A6312D1"/>
    <w:rsid w:val="4A9B2152"/>
    <w:rsid w:val="4B101917"/>
    <w:rsid w:val="4B8D0E2D"/>
    <w:rsid w:val="4BB46130"/>
    <w:rsid w:val="4C3D0B62"/>
    <w:rsid w:val="4CB7264B"/>
    <w:rsid w:val="4CEF5BAF"/>
    <w:rsid w:val="4D7D3A4A"/>
    <w:rsid w:val="4D850ADA"/>
    <w:rsid w:val="4D9C5FC5"/>
    <w:rsid w:val="4E930995"/>
    <w:rsid w:val="4F8F2829"/>
    <w:rsid w:val="4FB93093"/>
    <w:rsid w:val="51360454"/>
    <w:rsid w:val="51FD4E19"/>
    <w:rsid w:val="523D1183"/>
    <w:rsid w:val="53033E94"/>
    <w:rsid w:val="53351E16"/>
    <w:rsid w:val="53987183"/>
    <w:rsid w:val="54160EF8"/>
    <w:rsid w:val="543D36A4"/>
    <w:rsid w:val="5448127D"/>
    <w:rsid w:val="548F1912"/>
    <w:rsid w:val="55303AEA"/>
    <w:rsid w:val="55657708"/>
    <w:rsid w:val="55B47996"/>
    <w:rsid w:val="561D139E"/>
    <w:rsid w:val="570C6233"/>
    <w:rsid w:val="57F42634"/>
    <w:rsid w:val="58620795"/>
    <w:rsid w:val="5864641D"/>
    <w:rsid w:val="5A5627B7"/>
    <w:rsid w:val="5A691DBF"/>
    <w:rsid w:val="5A752E0B"/>
    <w:rsid w:val="5B4D072D"/>
    <w:rsid w:val="5B547321"/>
    <w:rsid w:val="5C8A33AB"/>
    <w:rsid w:val="5C8A7A34"/>
    <w:rsid w:val="5DA54D35"/>
    <w:rsid w:val="5E4D4776"/>
    <w:rsid w:val="5F555D46"/>
    <w:rsid w:val="5FA60862"/>
    <w:rsid w:val="6090130A"/>
    <w:rsid w:val="60B23606"/>
    <w:rsid w:val="60DA29A7"/>
    <w:rsid w:val="60F577E0"/>
    <w:rsid w:val="610B7306"/>
    <w:rsid w:val="614C44B8"/>
    <w:rsid w:val="64C74F27"/>
    <w:rsid w:val="65622F6B"/>
    <w:rsid w:val="65E507C2"/>
    <w:rsid w:val="66055487"/>
    <w:rsid w:val="66265A06"/>
    <w:rsid w:val="665969A9"/>
    <w:rsid w:val="6750787A"/>
    <w:rsid w:val="67553EFC"/>
    <w:rsid w:val="67A92CBE"/>
    <w:rsid w:val="67F5319A"/>
    <w:rsid w:val="685F19E3"/>
    <w:rsid w:val="687156D7"/>
    <w:rsid w:val="68F04190"/>
    <w:rsid w:val="69016BAE"/>
    <w:rsid w:val="698C108B"/>
    <w:rsid w:val="6A0236F7"/>
    <w:rsid w:val="6A227E13"/>
    <w:rsid w:val="6A256AD2"/>
    <w:rsid w:val="6A49148C"/>
    <w:rsid w:val="6A7A1ED3"/>
    <w:rsid w:val="6A82638A"/>
    <w:rsid w:val="6ACD532A"/>
    <w:rsid w:val="6BAC7F04"/>
    <w:rsid w:val="6BD91AAD"/>
    <w:rsid w:val="6CB56076"/>
    <w:rsid w:val="6D2C1D2E"/>
    <w:rsid w:val="6D741A8D"/>
    <w:rsid w:val="6D8124F7"/>
    <w:rsid w:val="6E606344"/>
    <w:rsid w:val="6F5000CE"/>
    <w:rsid w:val="6FDA32FF"/>
    <w:rsid w:val="6FF934E4"/>
    <w:rsid w:val="70E22485"/>
    <w:rsid w:val="713C6B66"/>
    <w:rsid w:val="71655048"/>
    <w:rsid w:val="71E62861"/>
    <w:rsid w:val="72007C89"/>
    <w:rsid w:val="72DB3D94"/>
    <w:rsid w:val="745F66AB"/>
    <w:rsid w:val="74C11DBF"/>
    <w:rsid w:val="75050630"/>
    <w:rsid w:val="75455AC7"/>
    <w:rsid w:val="764650CA"/>
    <w:rsid w:val="768865A9"/>
    <w:rsid w:val="76B949B4"/>
    <w:rsid w:val="76D96E05"/>
    <w:rsid w:val="77351123"/>
    <w:rsid w:val="773B116D"/>
    <w:rsid w:val="77D00208"/>
    <w:rsid w:val="7880434D"/>
    <w:rsid w:val="7967434B"/>
    <w:rsid w:val="7AD16771"/>
    <w:rsid w:val="7B53073C"/>
    <w:rsid w:val="7B754FDD"/>
    <w:rsid w:val="7BE544EC"/>
    <w:rsid w:val="7CF2547A"/>
    <w:rsid w:val="7D4A23E3"/>
    <w:rsid w:val="7DAC3A9C"/>
    <w:rsid w:val="7E597CD7"/>
    <w:rsid w:val="7E805F67"/>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1"/>
    <w:autoRedefine/>
    <w:qFormat/>
    <w:uiPriority w:val="0"/>
    <w:pPr>
      <w:ind w:left="1083" w:leftChars="30" w:hanging="1020" w:hangingChars="425"/>
    </w:pPr>
    <w:rPr>
      <w:rFonts w:hAnsi="宋体"/>
    </w:rPr>
  </w:style>
  <w:style w:type="paragraph" w:customStyle="1" w:styleId="11">
    <w:name w:val="font5"/>
    <w:basedOn w:val="1"/>
    <w:autoRedefine/>
    <w:qFormat/>
    <w:uiPriority w:val="0"/>
    <w:pPr>
      <w:widowControl/>
      <w:spacing w:before="100" w:beforeAutospacing="1" w:after="100" w:afterAutospacing="1"/>
      <w:jc w:val="left"/>
    </w:pPr>
    <w:rPr>
      <w:rFonts w:hint="eastAsia" w:hAnsi="宋体"/>
    </w:rPr>
  </w:style>
  <w:style w:type="paragraph" w:styleId="12">
    <w:name w:val="index 4"/>
    <w:basedOn w:val="1"/>
    <w:next w:val="1"/>
    <w:autoRedefine/>
    <w:unhideWhenUsed/>
    <w:qFormat/>
    <w:uiPriority w:val="99"/>
    <w:pPr>
      <w:ind w:left="428" w:firstLine="140"/>
    </w:pPr>
  </w:style>
  <w:style w:type="paragraph" w:styleId="13">
    <w:name w:val="Plain Text"/>
    <w:basedOn w:val="1"/>
    <w:next w:val="14"/>
    <w:autoRedefine/>
    <w:qFormat/>
    <w:uiPriority w:val="0"/>
    <w:rPr>
      <w:rFonts w:hAnsi="Courier New"/>
      <w:kern w:val="2"/>
      <w:sz w:val="21"/>
    </w:rPr>
  </w:style>
  <w:style w:type="paragraph" w:styleId="14">
    <w:name w:val="Date"/>
    <w:basedOn w:val="1"/>
    <w:next w:val="1"/>
    <w:autoRedefine/>
    <w:qFormat/>
    <w:uiPriority w:val="0"/>
    <w:rPr>
      <w:rFonts w:ascii="Times New Roman"/>
      <w:kern w:val="2"/>
      <w:sz w:val="28"/>
    </w:rPr>
  </w:style>
  <w:style w:type="paragraph" w:styleId="15">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6">
    <w:name w:val="Balloon Text"/>
    <w:basedOn w:val="1"/>
    <w:link w:val="46"/>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9">
    <w:name w:val="toc 1"/>
    <w:basedOn w:val="1"/>
    <w:next w:val="1"/>
    <w:autoRedefine/>
    <w:unhideWhenUsed/>
    <w:qFormat/>
    <w:uiPriority w:val="0"/>
  </w:style>
  <w:style w:type="paragraph" w:styleId="20">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1">
    <w:name w:val="toc 2"/>
    <w:basedOn w:val="1"/>
    <w:next w:val="1"/>
    <w:autoRedefine/>
    <w:unhideWhenUsed/>
    <w:qFormat/>
    <w:uiPriority w:val="0"/>
    <w:pPr>
      <w:ind w:left="420" w:leftChars="200"/>
    </w:pPr>
  </w:style>
  <w:style w:type="paragraph" w:styleId="22">
    <w:name w:val="Normal (Web)"/>
    <w:basedOn w:val="1"/>
    <w:autoRedefine/>
    <w:qFormat/>
    <w:uiPriority w:val="0"/>
    <w:pPr>
      <w:widowControl/>
      <w:spacing w:before="100" w:beforeAutospacing="1" w:after="100" w:afterAutospacing="1"/>
      <w:jc w:val="left"/>
    </w:pPr>
    <w:rPr>
      <w:rFonts w:hAnsi="宋体"/>
      <w:szCs w:val="24"/>
    </w:rPr>
  </w:style>
  <w:style w:type="paragraph" w:styleId="23">
    <w:name w:val="annotation subject"/>
    <w:basedOn w:val="7"/>
    <w:next w:val="7"/>
    <w:link w:val="45"/>
    <w:qFormat/>
    <w:uiPriority w:val="0"/>
    <w:rPr>
      <w:b/>
      <w:bCs/>
    </w:rPr>
  </w:style>
  <w:style w:type="paragraph" w:styleId="24">
    <w:name w:val="Body Text First Indent"/>
    <w:basedOn w:val="1"/>
    <w:next w:val="1"/>
    <w:autoRedefine/>
    <w:qFormat/>
    <w:uiPriority w:val="0"/>
    <w:pPr>
      <w:adjustRightInd w:val="0"/>
      <w:ind w:firstLine="420"/>
      <w:jc w:val="left"/>
      <w:textAlignment w:val="baseline"/>
    </w:pPr>
    <w:rPr>
      <w:b/>
      <w:sz w:val="21"/>
    </w:rPr>
  </w:style>
  <w:style w:type="paragraph" w:styleId="25">
    <w:name w:val="Body Text First Indent 2"/>
    <w:basedOn w:val="10"/>
    <w:next w:val="24"/>
    <w:autoRedefine/>
    <w:qFormat/>
    <w:uiPriority w:val="0"/>
    <w:pPr>
      <w:spacing w:after="120"/>
      <w:ind w:left="420" w:leftChars="200" w:firstLine="420"/>
    </w:pPr>
    <w:rPr>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bCs/>
    </w:rPr>
  </w:style>
  <w:style w:type="character" w:styleId="30">
    <w:name w:val="page number"/>
    <w:basedOn w:val="28"/>
    <w:autoRedefine/>
    <w:qFormat/>
    <w:uiPriority w:val="0"/>
  </w:style>
  <w:style w:type="character" w:styleId="31">
    <w:name w:val="Hyperlink"/>
    <w:autoRedefine/>
    <w:qFormat/>
    <w:uiPriority w:val="0"/>
    <w:rPr>
      <w:color w:val="333333"/>
      <w:u w:val="single"/>
    </w:rPr>
  </w:style>
  <w:style w:type="character" w:styleId="32">
    <w:name w:val="annotation reference"/>
    <w:basedOn w:val="28"/>
    <w:qFormat/>
    <w:uiPriority w:val="0"/>
    <w:rPr>
      <w:sz w:val="21"/>
      <w:szCs w:val="21"/>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8"/>
    <w:link w:val="7"/>
    <w:qFormat/>
    <w:uiPriority w:val="0"/>
    <w:rPr>
      <w:rFonts w:ascii="宋体"/>
      <w:sz w:val="24"/>
    </w:rPr>
  </w:style>
  <w:style w:type="character" w:customStyle="1" w:styleId="45">
    <w:name w:val="批注主题 字符"/>
    <w:basedOn w:val="44"/>
    <w:link w:val="23"/>
    <w:qFormat/>
    <w:uiPriority w:val="0"/>
    <w:rPr>
      <w:rFonts w:ascii="宋体"/>
      <w:b/>
      <w:bCs/>
      <w:sz w:val="24"/>
    </w:rPr>
  </w:style>
  <w:style w:type="character" w:customStyle="1" w:styleId="46">
    <w:name w:val="批注框文本 字符"/>
    <w:basedOn w:val="28"/>
    <w:link w:val="16"/>
    <w:qFormat/>
    <w:uiPriority w:val="0"/>
    <w:rPr>
      <w:rFonts w:ascii="宋体"/>
      <w:sz w:val="18"/>
      <w:szCs w:val="18"/>
    </w:rPr>
  </w:style>
  <w:style w:type="character" w:customStyle="1" w:styleId="47">
    <w:name w:val="font41"/>
    <w:basedOn w:val="28"/>
    <w:qFormat/>
    <w:uiPriority w:val="0"/>
    <w:rPr>
      <w:rFonts w:hint="eastAsia" w:ascii="等线" w:hAnsi="等线" w:eastAsia="等线" w:cs="等线"/>
      <w:color w:val="FF0000"/>
      <w:sz w:val="22"/>
      <w:szCs w:val="22"/>
      <w:u w:val="none"/>
    </w:rPr>
  </w:style>
  <w:style w:type="character" w:customStyle="1" w:styleId="48">
    <w:name w:val="font01"/>
    <w:basedOn w:val="28"/>
    <w:qFormat/>
    <w:uiPriority w:val="0"/>
    <w:rPr>
      <w:rFonts w:hint="eastAsia" w:ascii="等线" w:hAnsi="等线" w:eastAsia="等线" w:cs="等线"/>
      <w:color w:val="000000"/>
      <w:sz w:val="22"/>
      <w:szCs w:val="22"/>
      <w:u w:val="none"/>
    </w:rPr>
  </w:style>
  <w:style w:type="character" w:customStyle="1" w:styleId="49">
    <w:name w:val="font51"/>
    <w:basedOn w:val="28"/>
    <w:qFormat/>
    <w:uiPriority w:val="0"/>
    <w:rPr>
      <w:rFonts w:ascii="Arial" w:hAnsi="Arial" w:cs="Arial"/>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34</Pages>
  <Words>19566</Words>
  <Characters>21000</Characters>
  <Lines>350</Lines>
  <Paragraphs>98</Paragraphs>
  <TotalTime>67</TotalTime>
  <ScaleCrop>false</ScaleCrop>
  <LinksUpToDate>false</LinksUpToDate>
  <CharactersWithSpaces>21856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救赎</cp:lastModifiedBy>
  <dcterms:modified xsi:type="dcterms:W3CDTF">2024-11-20T03:50:31Z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1B9190ECC7B64EE1829D5BDE9C02510D_13</vt:lpwstr>
  </property>
</Properties>
</file>