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1AB3B">
      <w:pPr>
        <w:spacing w:line="560" w:lineRule="exact"/>
        <w:rPr>
          <w:rFonts w:hint="eastAsia" w:ascii="仿宋" w:hAnsi="仿宋" w:eastAsia="仿宋" w:cs="仿宋"/>
          <w:b/>
          <w:color w:val="auto"/>
          <w:sz w:val="36"/>
          <w:szCs w:val="36"/>
          <w:highlight w:val="none"/>
        </w:rPr>
      </w:pPr>
    </w:p>
    <w:p w14:paraId="3E0A5A2D">
      <w:pPr>
        <w:spacing w:line="560" w:lineRule="exact"/>
        <w:rPr>
          <w:rFonts w:hint="eastAsia" w:ascii="仿宋" w:hAnsi="仿宋" w:eastAsia="仿宋" w:cs="仿宋"/>
          <w:b/>
          <w:color w:val="auto"/>
          <w:sz w:val="36"/>
          <w:szCs w:val="36"/>
          <w:highlight w:val="none"/>
        </w:rPr>
      </w:pPr>
    </w:p>
    <w:p w14:paraId="29EB9DDB">
      <w:pPr>
        <w:spacing w:line="560" w:lineRule="exact"/>
        <w:rPr>
          <w:rFonts w:hint="eastAsia" w:ascii="仿宋" w:hAnsi="仿宋" w:eastAsia="仿宋" w:cs="仿宋"/>
          <w:color w:val="auto"/>
          <w:sz w:val="36"/>
          <w:highlight w:val="none"/>
        </w:rPr>
      </w:pPr>
      <w:r>
        <w:rPr>
          <w:rFonts w:hint="eastAsia" w:ascii="仿宋" w:hAnsi="仿宋" w:eastAsia="仿宋" w:cs="仿宋"/>
          <w:color w:val="auto"/>
          <w:sz w:val="36"/>
          <w:highlight w:val="none"/>
        </w:rPr>
        <w:pict>
          <v:shape id="_x0000_s1036" o:spid="_x0000_s1036" o:spt="202" type="#_x0000_t202" style="position:absolute;left:0pt;margin-left:326.15pt;margin-top:-20.4pt;height:29.15pt;width:117.7pt;z-index:251668480;mso-width-relative:page;mso-height-relative:page;" fillcolor="#FFFFFF" filled="t" stroked="t" coordsize="21600,21600">
            <v:path/>
            <v:fill on="t" color2="#FFFFFF" focussize="0,0"/>
            <v:stroke color="#000000"/>
            <v:imagedata o:title=""/>
            <o:lock v:ext="edit" aspectratio="f"/>
            <v:textbox>
              <w:txbxContent>
                <w:p w14:paraId="37FDADD9">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14:paraId="578F1E50">
      <w:pPr>
        <w:spacing w:line="560" w:lineRule="exact"/>
        <w:ind w:left="-240" w:leftChars="-100" w:firstLine="239" w:firstLineChars="66"/>
        <w:rPr>
          <w:rFonts w:hint="eastAsia" w:ascii="仿宋" w:hAnsi="仿宋" w:eastAsia="仿宋" w:cs="仿宋"/>
          <w:b/>
          <w:color w:val="auto"/>
          <w:sz w:val="15"/>
          <w:szCs w:val="15"/>
          <w:highlight w:val="none"/>
          <w:lang w:eastAsia="zh-CN"/>
        </w:rPr>
      </w:pPr>
      <w:r>
        <w:rPr>
          <w:rFonts w:hint="eastAsia" w:ascii="仿宋" w:hAnsi="仿宋" w:eastAsia="仿宋" w:cs="仿宋"/>
          <w:b/>
          <w:color w:val="auto"/>
          <w:sz w:val="36"/>
          <w:szCs w:val="36"/>
          <w:highlight w:val="none"/>
        </w:rPr>
        <w:t>文件编号:</w:t>
      </w:r>
      <w:r>
        <w:rPr>
          <w:rFonts w:hint="eastAsia" w:ascii="仿宋" w:hAnsi="仿宋" w:eastAsia="仿宋" w:cs="仿宋"/>
          <w:b/>
          <w:color w:val="auto"/>
          <w:sz w:val="36"/>
          <w:szCs w:val="36"/>
          <w:highlight w:val="none"/>
          <w:lang w:eastAsia="zh-CN"/>
        </w:rPr>
        <w:t>HZGH-2024-055</w:t>
      </w:r>
    </w:p>
    <w:p w14:paraId="6195806C">
      <w:pPr>
        <w:widowControl/>
        <w:wordWrap w:val="0"/>
        <w:spacing w:line="560" w:lineRule="exact"/>
        <w:rPr>
          <w:rFonts w:hint="eastAsia" w:ascii="仿宋" w:hAnsi="仿宋" w:eastAsia="仿宋" w:cs="仿宋"/>
          <w:b/>
          <w:bCs/>
          <w:color w:val="auto"/>
          <w:spacing w:val="20"/>
          <w:kern w:val="0"/>
          <w:sz w:val="84"/>
          <w:szCs w:val="84"/>
          <w:highlight w:val="none"/>
        </w:rPr>
      </w:pPr>
    </w:p>
    <w:p w14:paraId="5F9F9B94">
      <w:pPr>
        <w:widowControl/>
        <w:spacing w:line="560" w:lineRule="exact"/>
        <w:jc w:val="both"/>
        <w:rPr>
          <w:rFonts w:hint="eastAsia" w:ascii="仿宋" w:hAnsi="仿宋" w:eastAsia="仿宋" w:cs="仿宋"/>
          <w:b/>
          <w:color w:val="auto"/>
          <w:sz w:val="52"/>
          <w:szCs w:val="52"/>
          <w:highlight w:val="none"/>
        </w:rPr>
      </w:pPr>
    </w:p>
    <w:p w14:paraId="37486CAF">
      <w:pPr>
        <w:spacing w:line="360" w:lineRule="auto"/>
        <w:jc w:val="center"/>
        <w:rPr>
          <w:rFonts w:hint="eastAsia" w:ascii="仿宋" w:hAnsi="仿宋" w:eastAsia="仿宋" w:cs="仿宋"/>
          <w:b/>
          <w:color w:val="auto"/>
          <w:sz w:val="40"/>
          <w:szCs w:val="40"/>
          <w:highlight w:val="none"/>
          <w:shd w:val="clear" w:color="auto" w:fill="FFFFFF"/>
        </w:rPr>
      </w:pPr>
      <w:r>
        <w:rPr>
          <w:rFonts w:hint="eastAsia" w:ascii="仿宋" w:hAnsi="仿宋" w:eastAsia="仿宋" w:cs="仿宋"/>
          <w:b/>
          <w:bCs/>
          <w:color w:val="auto"/>
          <w:sz w:val="52"/>
          <w:szCs w:val="52"/>
          <w:highlight w:val="none"/>
          <w:lang w:eastAsia="zh-CN"/>
        </w:rPr>
        <w:t>登高平台消防车及随车器材采购项目（二次）</w:t>
      </w:r>
    </w:p>
    <w:p w14:paraId="7B9FCB54">
      <w:pPr>
        <w:spacing w:beforeLines="50" w:line="560" w:lineRule="exact"/>
        <w:jc w:val="center"/>
        <w:rPr>
          <w:rFonts w:hint="eastAsia" w:ascii="仿宋" w:hAnsi="仿宋" w:eastAsia="仿宋" w:cs="仿宋"/>
          <w:b/>
          <w:bCs/>
          <w:color w:val="auto"/>
          <w:spacing w:val="20"/>
          <w:kern w:val="0"/>
          <w:sz w:val="72"/>
          <w:szCs w:val="72"/>
          <w:highlight w:val="none"/>
        </w:rPr>
      </w:pPr>
    </w:p>
    <w:p w14:paraId="3DE778DF">
      <w:pPr>
        <w:spacing w:beforeLines="50" w:line="560" w:lineRule="exact"/>
        <w:jc w:val="center"/>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公开招标文件</w:t>
      </w:r>
    </w:p>
    <w:p w14:paraId="26360B53">
      <w:pPr>
        <w:spacing w:beforeLines="70" w:line="560" w:lineRule="exact"/>
        <w:rPr>
          <w:rFonts w:hint="eastAsia" w:ascii="仿宋" w:hAnsi="仿宋" w:eastAsia="仿宋" w:cs="仿宋"/>
          <w:b/>
          <w:bCs/>
          <w:color w:val="auto"/>
          <w:sz w:val="32"/>
          <w:szCs w:val="32"/>
          <w:highlight w:val="none"/>
        </w:rPr>
      </w:pPr>
    </w:p>
    <w:p w14:paraId="25DA0E88">
      <w:pPr>
        <w:spacing w:beforeLines="70" w:line="560" w:lineRule="exact"/>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shd w:val="clear" w:color="auto" w:fill="FFFFFF"/>
          <w:lang w:eastAsia="zh-CN"/>
        </w:rPr>
        <w:drawing>
          <wp:anchor distT="0" distB="0" distL="114300" distR="114300" simplePos="0" relativeHeight="251663360" behindDoc="1" locked="0" layoutInCell="1" allowOverlap="1">
            <wp:simplePos x="0" y="0"/>
            <wp:positionH relativeFrom="column">
              <wp:posOffset>2034540</wp:posOffset>
            </wp:positionH>
            <wp:positionV relativeFrom="paragraph">
              <wp:posOffset>123190</wp:posOffset>
            </wp:positionV>
            <wp:extent cx="1466215" cy="1390650"/>
            <wp:effectExtent l="0" t="0" r="12065" b="0"/>
            <wp:wrapTight wrapText="bothSides">
              <wp:wrapPolygon>
                <wp:start x="0" y="0"/>
                <wp:lineTo x="0" y="21304"/>
                <wp:lineTo x="21329" y="21304"/>
                <wp:lineTo x="21329" y="0"/>
                <wp:lineTo x="0" y="0"/>
              </wp:wrapPolygon>
            </wp:wrapTight>
            <wp:docPr id="1"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eb5700307075d23daf00df32f9f8"/>
                    <pic:cNvPicPr>
                      <a:picLocks noChangeAspect="1"/>
                    </pic:cNvPicPr>
                  </pic:nvPicPr>
                  <pic:blipFill>
                    <a:blip r:embed="rId36"/>
                    <a:stretch>
                      <a:fillRect/>
                    </a:stretch>
                  </pic:blipFill>
                  <pic:spPr>
                    <a:xfrm>
                      <a:off x="0" y="0"/>
                      <a:ext cx="1466215" cy="1390650"/>
                    </a:xfrm>
                    <a:prstGeom prst="rect">
                      <a:avLst/>
                    </a:prstGeom>
                  </pic:spPr>
                </pic:pic>
              </a:graphicData>
            </a:graphic>
          </wp:anchor>
        </w:drawing>
      </w:r>
    </w:p>
    <w:p w14:paraId="4A70D3D4">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069F0AE7">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362357A0">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22FA3389">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005186BA">
      <w:pPr>
        <w:pStyle w:val="16"/>
        <w:rPr>
          <w:rFonts w:hint="eastAsia" w:ascii="仿宋" w:hAnsi="仿宋" w:eastAsia="仿宋" w:cs="仿宋"/>
          <w:color w:val="auto"/>
          <w:highlight w:val="none"/>
          <w:lang w:eastAsia="zh-CN"/>
        </w:rPr>
      </w:pPr>
    </w:p>
    <w:p w14:paraId="5EF85365">
      <w:pPr>
        <w:pStyle w:val="10"/>
        <w:keepNext w:val="0"/>
        <w:keepLines w:val="0"/>
        <w:pageBreakBefore w:val="0"/>
        <w:widowControl w:val="0"/>
        <w:kinsoku/>
        <w:wordWrap/>
        <w:overflowPunct/>
        <w:topLinePunct w:val="0"/>
        <w:autoSpaceDE/>
        <w:autoSpaceDN/>
        <w:bidi w:val="0"/>
        <w:adjustRightInd/>
        <w:snapToGrid/>
        <w:spacing w:line="640" w:lineRule="exact"/>
        <w:ind w:left="0" w:leftChars="0" w:firstLine="1446" w:firstLineChars="45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采购</w:t>
      </w:r>
      <w:r>
        <w:rPr>
          <w:rFonts w:hint="eastAsia" w:ascii="仿宋" w:hAnsi="仿宋" w:eastAsia="仿宋" w:cs="仿宋"/>
          <w:b/>
          <w:bCs/>
          <w:color w:val="auto"/>
          <w:sz w:val="32"/>
          <w:szCs w:val="32"/>
          <w:highlight w:val="none"/>
          <w:lang w:eastAsia="zh-CN"/>
        </w:rPr>
        <w:t>人：镇安县应急管理局</w:t>
      </w:r>
    </w:p>
    <w:p w14:paraId="11B577EC">
      <w:pPr>
        <w:pStyle w:val="1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b/>
          <w:bCs/>
          <w:color w:val="auto"/>
          <w:sz w:val="32"/>
          <w:szCs w:val="32"/>
          <w:highlight w:val="none"/>
          <w:lang w:eastAsia="zh-CN"/>
        </w:rPr>
        <w:t>采购代理机构：华招广和项目管理有限公司</w:t>
      </w:r>
    </w:p>
    <w:p w14:paraId="59CA5C77">
      <w:pPr>
        <w:spacing w:beforeLines="70" w:line="560" w:lineRule="exact"/>
        <w:ind w:firstLine="3213" w:firstLineChars="10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二零</w:t>
      </w:r>
      <w:r>
        <w:rPr>
          <w:rFonts w:hint="eastAsia" w:ascii="仿宋" w:hAnsi="仿宋" w:eastAsia="仿宋" w:cs="仿宋"/>
          <w:b/>
          <w:bCs/>
          <w:color w:val="auto"/>
          <w:sz w:val="32"/>
          <w:szCs w:val="32"/>
          <w:highlight w:val="none"/>
          <w:lang w:val="en-US" w:eastAsia="zh-CN"/>
        </w:rPr>
        <w:t>二四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月</w:t>
      </w:r>
    </w:p>
    <w:p w14:paraId="56A30BA3">
      <w:pPr>
        <w:rPr>
          <w:rFonts w:hint="eastAsia" w:ascii="仿宋" w:hAnsi="仿宋" w:eastAsia="仿宋" w:cs="仿宋"/>
          <w:color w:val="auto"/>
          <w:sz w:val="48"/>
          <w:szCs w:val="4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5" w:h="16840"/>
          <w:pgMar w:top="1417" w:right="1417" w:bottom="1417" w:left="1417" w:header="935" w:footer="771" w:gutter="0"/>
          <w:pgNumType w:fmt="decimal" w:start="1"/>
          <w:cols w:space="0" w:num="1"/>
          <w:titlePg/>
          <w:rtlGutter w:val="0"/>
          <w:docGrid w:linePitch="312" w:charSpace="0"/>
        </w:sectPr>
      </w:pPr>
      <w:r>
        <w:rPr>
          <w:rFonts w:hint="eastAsia" w:ascii="仿宋" w:hAnsi="仿宋" w:eastAsia="仿宋" w:cs="仿宋"/>
          <w:color w:val="auto"/>
          <w:sz w:val="48"/>
          <w:szCs w:val="48"/>
          <w:highlight w:val="none"/>
          <w:lang w:val="zh-CN"/>
        </w:rPr>
        <w:br w:type="page"/>
      </w:r>
    </w:p>
    <w:p w14:paraId="7C6FBAA5">
      <w:pPr>
        <w:jc w:val="center"/>
        <w:rPr>
          <w:rFonts w:hint="eastAsia" w:ascii="仿宋" w:hAnsi="仿宋" w:eastAsia="仿宋" w:cs="仿宋"/>
          <w:color w:val="auto"/>
          <w:sz w:val="48"/>
          <w:szCs w:val="48"/>
          <w:highlight w:val="none"/>
          <w:lang w:val="zh-CN"/>
        </w:rPr>
      </w:pPr>
    </w:p>
    <w:p w14:paraId="6622509A">
      <w:pPr>
        <w:jc w:val="center"/>
        <w:rPr>
          <w:rFonts w:hint="eastAsia" w:ascii="仿宋" w:hAnsi="仿宋" w:eastAsia="仿宋" w:cs="仿宋"/>
          <w:b/>
          <w:color w:val="auto"/>
          <w:spacing w:val="140"/>
          <w:sz w:val="52"/>
          <w:szCs w:val="52"/>
          <w:highlight w:val="none"/>
          <w:u w:val="double"/>
        </w:rPr>
      </w:pPr>
      <w:r>
        <w:rPr>
          <w:rFonts w:hint="eastAsia" w:ascii="仿宋" w:hAnsi="仿宋" w:eastAsia="仿宋" w:cs="仿宋"/>
          <w:b/>
          <w:color w:val="auto"/>
          <w:spacing w:val="140"/>
          <w:sz w:val="52"/>
          <w:szCs w:val="52"/>
          <w:highlight w:val="none"/>
          <w:u w:val="double"/>
        </w:rPr>
        <w:t>特别提示</w:t>
      </w:r>
    </w:p>
    <w:p w14:paraId="77E2E7D4">
      <w:pPr>
        <w:ind w:firstLine="422"/>
        <w:rPr>
          <w:rFonts w:hint="eastAsia" w:ascii="仿宋" w:hAnsi="仿宋" w:eastAsia="仿宋" w:cs="仿宋"/>
          <w:b/>
          <w:color w:val="auto"/>
          <w:sz w:val="21"/>
          <w:szCs w:val="21"/>
          <w:highlight w:val="none"/>
        </w:rPr>
      </w:pPr>
    </w:p>
    <w:p w14:paraId="3119AD12">
      <w:pPr>
        <w:spacing w:line="560" w:lineRule="exact"/>
        <w:ind w:firstLine="422"/>
        <w:rPr>
          <w:rFonts w:hint="eastAsia" w:ascii="仿宋" w:hAnsi="仿宋" w:eastAsia="仿宋" w:cs="仿宋"/>
          <w:b/>
          <w:color w:val="auto"/>
          <w:szCs w:val="24"/>
          <w:highlight w:val="none"/>
        </w:rPr>
      </w:pPr>
    </w:p>
    <w:p w14:paraId="69AAE167">
      <w:pPr>
        <w:spacing w:line="56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各投标人</w:t>
      </w:r>
      <w:r>
        <w:rPr>
          <w:rFonts w:hint="eastAsia" w:ascii="仿宋" w:hAnsi="仿宋" w:eastAsia="仿宋" w:cs="仿宋"/>
          <w:color w:val="auto"/>
          <w:szCs w:val="24"/>
          <w:highlight w:val="none"/>
        </w:rPr>
        <w:t>：在此我们特别善意地提醒您注意！</w:t>
      </w:r>
    </w:p>
    <w:p w14:paraId="39C3DE00">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1、请您仔细地阅读招标文件并正确理解招标文件中各项具体要求。</w:t>
      </w:r>
    </w:p>
    <w:p w14:paraId="21626D77">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2、请您严格按照招标文件载明的投标文件格式要求编制投标文件。</w:t>
      </w:r>
    </w:p>
    <w:p w14:paraId="370A18A1">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3、请您按照招标文件要求密封投标文件。</w:t>
      </w:r>
    </w:p>
    <w:p w14:paraId="34C2C566">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4、请您明确标记投标文件的正本、副本。</w:t>
      </w:r>
    </w:p>
    <w:p w14:paraId="2800A0D7">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5、请于购买招标文件后按照规定及时递交投标保证金。</w:t>
      </w:r>
    </w:p>
    <w:p w14:paraId="0B440CC4">
      <w:pPr>
        <w:tabs>
          <w:tab w:val="left" w:pos="1064"/>
        </w:tabs>
        <w:spacing w:line="560" w:lineRule="exact"/>
        <w:ind w:firstLine="42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6、如在投标文件递交截止时间前放弃本次投标，请以书面形式发出弃标函。</w:t>
      </w:r>
    </w:p>
    <w:p w14:paraId="6C24D4CC">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7、请您于</w:t>
      </w:r>
      <w:r>
        <w:rPr>
          <w:rFonts w:hint="eastAsia" w:ascii="仿宋" w:hAnsi="仿宋" w:eastAsia="仿宋" w:cs="仿宋"/>
          <w:color w:val="auto"/>
          <w:szCs w:val="24"/>
          <w:highlight w:val="none"/>
          <w:lang w:eastAsia="zh-CN"/>
        </w:rPr>
        <w:t>2024年</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lang w:val="en-US" w:eastAsia="zh-CN"/>
        </w:rPr>
        <w:t>13</w:t>
      </w:r>
      <w:r>
        <w:rPr>
          <w:rFonts w:hint="eastAsia" w:ascii="仿宋" w:hAnsi="仿宋" w:eastAsia="仿宋" w:cs="仿宋"/>
          <w:color w:val="auto"/>
          <w:szCs w:val="24"/>
          <w:highlight w:val="none"/>
          <w:lang w:eastAsia="zh-CN"/>
        </w:rPr>
        <w:t>日</w:t>
      </w:r>
      <w:r>
        <w:rPr>
          <w:rFonts w:hint="eastAsia" w:ascii="仿宋" w:hAnsi="仿宋" w:eastAsia="仿宋" w:cs="仿宋"/>
          <w:color w:val="auto"/>
          <w:szCs w:val="24"/>
          <w:highlight w:val="none"/>
          <w:lang w:val="en-US" w:eastAsia="zh-CN"/>
        </w:rPr>
        <w:t>14</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CN"/>
        </w:rPr>
        <w:t>0</w:t>
      </w:r>
      <w:r>
        <w:rPr>
          <w:rFonts w:hint="eastAsia" w:ascii="仿宋" w:hAnsi="仿宋" w:eastAsia="仿宋" w:cs="仿宋"/>
          <w:color w:val="auto"/>
          <w:szCs w:val="24"/>
          <w:highlight w:val="none"/>
        </w:rPr>
        <w:t>前，准时到</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会议室（西安市朱雀大街南段1号汇成天玺C座18层1818室）递交投标文件并参加开标会议，避免迟误。</w:t>
      </w:r>
    </w:p>
    <w:p w14:paraId="5DEB0E48">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8、请您到达开标会议地点后及时到签到处签字登记。</w:t>
      </w:r>
    </w:p>
    <w:p w14:paraId="063117CC">
      <w:pPr>
        <w:tabs>
          <w:tab w:val="left" w:pos="1064"/>
        </w:tabs>
        <w:spacing w:line="560" w:lineRule="exact"/>
        <w:ind w:firstLine="420"/>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请</w:t>
      </w:r>
      <w:r>
        <w:rPr>
          <w:rFonts w:hint="eastAsia" w:ascii="仿宋" w:hAnsi="仿宋" w:eastAsia="仿宋" w:cs="仿宋"/>
          <w:b/>
          <w:bCs/>
          <w:color w:val="auto"/>
          <w:sz w:val="24"/>
          <w:szCs w:val="24"/>
          <w:highlight w:val="none"/>
          <w:lang w:eastAsia="zh-CN"/>
        </w:rPr>
        <w:t>您</w:t>
      </w:r>
      <w:r>
        <w:rPr>
          <w:rFonts w:hint="eastAsia" w:ascii="仿宋" w:hAnsi="仿宋" w:eastAsia="仿宋" w:cs="仿宋"/>
          <w:b/>
          <w:bCs/>
          <w:color w:val="auto"/>
          <w:sz w:val="24"/>
          <w:szCs w:val="24"/>
          <w:highlight w:val="none"/>
        </w:rPr>
        <w:t>按照《陕西省财政厅关于政府采购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注册登记有关事项的通知》中的要求，通过陕西省政府采购网（http://www.ccgp-shaanxi.gov.cn/）注册登记加入陕西省政府采购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库</w:t>
      </w:r>
      <w:r>
        <w:rPr>
          <w:rFonts w:hint="eastAsia" w:ascii="仿宋" w:hAnsi="仿宋" w:eastAsia="仿宋" w:cs="仿宋"/>
          <w:b/>
          <w:bCs/>
          <w:color w:val="auto"/>
          <w:sz w:val="24"/>
          <w:szCs w:val="24"/>
          <w:highlight w:val="none"/>
          <w:lang w:eastAsia="zh-CN"/>
        </w:rPr>
        <w:t>，并接受财政部门的监督管理。</w:t>
      </w:r>
    </w:p>
    <w:p w14:paraId="7AD95AD7">
      <w:pPr>
        <w:tabs>
          <w:tab w:val="left" w:pos="1064"/>
        </w:tabs>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4"/>
          <w:highlight w:val="none"/>
        </w:rPr>
        <w:t>谨记上述提示，将有助您顺利地参加投标。若有什么需要帮助，请您与我们的工作人员联系，我们将竭诚为您服务。</w:t>
      </w:r>
    </w:p>
    <w:p w14:paraId="7724C957">
      <w:pPr>
        <w:rPr>
          <w:rFonts w:hint="eastAsia" w:ascii="仿宋" w:hAnsi="仿宋" w:eastAsia="仿宋" w:cs="仿宋"/>
          <w:color w:val="auto"/>
          <w:sz w:val="48"/>
          <w:szCs w:val="48"/>
          <w:highlight w:val="none"/>
          <w:lang w:val="zh-CN"/>
        </w:rPr>
      </w:pPr>
    </w:p>
    <w:p w14:paraId="127A091E">
      <w:pPr>
        <w:pStyle w:val="36"/>
        <w:spacing w:before="0" w:line="560" w:lineRule="exact"/>
        <w:jc w:val="center"/>
        <w:rPr>
          <w:rFonts w:hint="eastAsia" w:ascii="仿宋" w:hAnsi="仿宋" w:eastAsia="仿宋" w:cs="仿宋"/>
          <w:color w:val="auto"/>
          <w:sz w:val="48"/>
          <w:szCs w:val="48"/>
          <w:highlight w:val="none"/>
          <w:lang w:val="zh-CN"/>
        </w:rPr>
        <w:sectPr>
          <w:headerReference r:id="rId9" w:type="first"/>
          <w:footerReference r:id="rId11" w:type="first"/>
          <w:footerReference r:id="rId10" w:type="default"/>
          <w:pgSz w:w="11905" w:h="16840"/>
          <w:pgMar w:top="1417" w:right="1417" w:bottom="1417" w:left="1417" w:header="935" w:footer="771" w:gutter="0"/>
          <w:pgNumType w:fmt="decimal" w:start="1"/>
          <w:cols w:space="0" w:num="1"/>
          <w:titlePg/>
          <w:rtlGutter w:val="0"/>
          <w:docGrid w:linePitch="312" w:charSpace="0"/>
        </w:sectPr>
      </w:pPr>
    </w:p>
    <w:p w14:paraId="25E86CE9">
      <w:pPr>
        <w:pStyle w:val="36"/>
        <w:spacing w:before="0" w:line="560" w:lineRule="exact"/>
        <w:jc w:val="center"/>
        <w:rPr>
          <w:rFonts w:hint="eastAsia" w:ascii="仿宋" w:hAnsi="仿宋" w:eastAsia="仿宋" w:cs="仿宋"/>
          <w:color w:val="auto"/>
          <w:sz w:val="48"/>
          <w:szCs w:val="48"/>
          <w:highlight w:val="none"/>
          <w:lang w:val="zh-CN"/>
        </w:rPr>
      </w:pPr>
      <w:r>
        <w:rPr>
          <w:rFonts w:hint="eastAsia" w:ascii="仿宋" w:hAnsi="仿宋" w:eastAsia="仿宋" w:cs="仿宋"/>
          <w:color w:val="auto"/>
          <w:sz w:val="48"/>
          <w:szCs w:val="48"/>
          <w:highlight w:val="none"/>
          <w:lang w:val="zh-CN"/>
        </w:rPr>
        <w:t>目 录</w:t>
      </w:r>
    </w:p>
    <w:p w14:paraId="672B4B1C">
      <w:pPr>
        <w:spacing w:line="560" w:lineRule="exact"/>
        <w:rPr>
          <w:rFonts w:hint="eastAsia" w:ascii="仿宋" w:hAnsi="仿宋" w:eastAsia="仿宋" w:cs="仿宋"/>
          <w:color w:val="auto"/>
          <w:highlight w:val="none"/>
          <w:lang w:val="zh-CN"/>
        </w:rPr>
      </w:pPr>
    </w:p>
    <w:p w14:paraId="3108EC2A">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TOC \o "1-3" \h \z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"_Toc22111"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_Toc22111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C75E497">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"_Toc30520"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_Toc30520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8BC764">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"_Toc28725"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一、投标人须知前附表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_Toc28725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919DB3B">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二、项目说明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DFDAD12">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"_Toc19356"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三、招标文件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_Toc19356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3B50B7C">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"_Toc4480"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四、投标文件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_Toc4480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BAA5695">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"_Toc14492"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五、投标担保</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_Toc14492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bookmarkStart w:id="248" w:name="_GoBack"/>
      <w:bookmarkEnd w:id="248"/>
    </w:p>
    <w:p w14:paraId="6DE422A9">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"_Toc22244"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六、投标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_Toc22244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A2B5800">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"_Toc1895"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七、开标、资格审查、评标和定标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_Toc1895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AE380BB">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"_Toc16697"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八、合同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_Toc16697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F4B45EC">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"_Toc10597"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九、合同的履约验收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_Toc10597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DEEE2EB">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"_Toc2283"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十、招标服务费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_Toc2283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B645C01">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"_Toc22375"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rPr>
        <w:t>十一、重新组织采购活动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_Toc22375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BB61837">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"_Toc17723"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十二、询问、质疑与投诉</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_Toc17723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BFF301C">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"_Toc20119"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十</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、拒绝商业贿赂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_Toc20119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0B42EAF">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"_Toc24042"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第三章  采购内容及技术要求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_Toc24042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0916EF8">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第四章  商务要求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8573764">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"_Toc25447"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第五章  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_Toc25447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8E8A4E4">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highlight w:val="none"/>
        </w:rPr>
        <w:sectPr>
          <w:headerReference r:id="rId12" w:type="first"/>
          <w:footerReference r:id="rId14" w:type="first"/>
          <w:footerReference r:id="rId13" w:type="default"/>
          <w:pgSz w:w="11905" w:h="16840"/>
          <w:pgMar w:top="1417" w:right="1417" w:bottom="1417" w:left="1417" w:header="935" w:footer="771" w:gutter="0"/>
          <w:pgNumType w:fmt="decimal" w:start="1"/>
          <w:cols w:space="0" w:num="1"/>
          <w:titlePg/>
          <w:rtlGutter w:val="0"/>
          <w:docGrid w:linePitch="312" w:charSpace="0"/>
        </w:sect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"_Toc19489"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第六章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_Toc19489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A3864A">
      <w:pPr>
        <w:pStyle w:val="2"/>
        <w:numPr>
          <w:ilvl w:val="0"/>
          <w:numId w:val="2"/>
        </w:numPr>
        <w:spacing w:line="560" w:lineRule="exact"/>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end"/>
      </w:r>
      <w:bookmarkStart w:id="0" w:name="_Toc458617452"/>
      <w:bookmarkStart w:id="1" w:name="_Toc30185"/>
      <w:bookmarkStart w:id="2" w:name="_Toc22111"/>
      <w:bookmarkStart w:id="3" w:name="_Toc458617729"/>
      <w:bookmarkStart w:id="4" w:name="_Toc19866"/>
      <w:r>
        <w:rPr>
          <w:rFonts w:hint="eastAsia" w:ascii="仿宋" w:hAnsi="仿宋" w:eastAsia="仿宋" w:cs="仿宋"/>
          <w:color w:val="auto"/>
          <w:highlight w:val="none"/>
        </w:rPr>
        <w:t xml:space="preserve"> 招标公告</w:t>
      </w:r>
      <w:bookmarkEnd w:id="0"/>
      <w:bookmarkEnd w:id="1"/>
      <w:bookmarkEnd w:id="2"/>
      <w:bookmarkEnd w:id="3"/>
      <w:bookmarkEnd w:id="4"/>
    </w:p>
    <w:p w14:paraId="1826F95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Style w:val="26"/>
          <w:rFonts w:hint="eastAsia" w:ascii="仿宋" w:hAnsi="仿宋" w:eastAsia="仿宋" w:cs="仿宋"/>
          <w:b/>
          <w:bCs/>
          <w:color w:val="auto"/>
          <w:sz w:val="24"/>
          <w:szCs w:val="24"/>
          <w:highlight w:val="none"/>
        </w:rPr>
      </w:pPr>
      <w:r>
        <w:rPr>
          <w:rStyle w:val="26"/>
          <w:rFonts w:hint="eastAsia" w:ascii="仿宋" w:hAnsi="仿宋" w:eastAsia="仿宋" w:cs="仿宋"/>
          <w:b/>
          <w:bCs/>
          <w:color w:val="auto"/>
          <w:sz w:val="24"/>
          <w:szCs w:val="24"/>
          <w:highlight w:val="none"/>
        </w:rPr>
        <w:t xml:space="preserve">项目概况 </w:t>
      </w:r>
    </w:p>
    <w:p w14:paraId="01C3674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Style w:val="26"/>
          <w:rFonts w:hint="eastAsia" w:ascii="仿宋" w:hAnsi="仿宋" w:eastAsia="仿宋" w:cs="仿宋"/>
          <w:b/>
          <w:bCs/>
          <w:color w:val="auto"/>
          <w:sz w:val="24"/>
          <w:szCs w:val="24"/>
          <w:highlight w:val="none"/>
        </w:rPr>
      </w:pPr>
      <w:r>
        <w:rPr>
          <w:rStyle w:val="26"/>
          <w:rFonts w:hint="eastAsia" w:ascii="仿宋" w:hAnsi="仿宋" w:eastAsia="仿宋" w:cs="仿宋"/>
          <w:b w:val="0"/>
          <w:bCs w:val="0"/>
          <w:color w:val="auto"/>
          <w:sz w:val="24"/>
          <w:szCs w:val="24"/>
          <w:highlight w:val="none"/>
          <w:lang w:eastAsia="zh-CN"/>
        </w:rPr>
        <w:t>登高平台消防车及随车器材采购项目（二次）</w:t>
      </w:r>
      <w:r>
        <w:rPr>
          <w:rStyle w:val="26"/>
          <w:rFonts w:hint="eastAsia" w:ascii="仿宋" w:hAnsi="仿宋" w:eastAsia="仿宋" w:cs="仿宋"/>
          <w:b w:val="0"/>
          <w:bCs w:val="0"/>
          <w:color w:val="auto"/>
          <w:sz w:val="24"/>
          <w:szCs w:val="24"/>
          <w:highlight w:val="none"/>
        </w:rPr>
        <w:t>招标项目的潜在投标人应在西安市朱雀大街南段1号汇成天玺C座18层1812室获取招标文件，并于</w:t>
      </w:r>
      <w:r>
        <w:rPr>
          <w:rStyle w:val="26"/>
          <w:rFonts w:hint="eastAsia" w:ascii="仿宋" w:hAnsi="仿宋" w:eastAsia="仿宋" w:cs="仿宋"/>
          <w:b w:val="0"/>
          <w:bCs w:val="0"/>
          <w:color w:val="auto"/>
          <w:sz w:val="24"/>
          <w:szCs w:val="24"/>
          <w:highlight w:val="none"/>
          <w:lang w:eastAsia="zh-CN"/>
        </w:rPr>
        <w:t>2024年9月13日</w:t>
      </w:r>
      <w:r>
        <w:rPr>
          <w:rStyle w:val="26"/>
          <w:rFonts w:hint="eastAsia" w:ascii="仿宋" w:hAnsi="仿宋" w:eastAsia="仿宋" w:cs="仿宋"/>
          <w:b w:val="0"/>
          <w:bCs w:val="0"/>
          <w:color w:val="auto"/>
          <w:sz w:val="24"/>
          <w:szCs w:val="24"/>
          <w:highlight w:val="none"/>
        </w:rPr>
        <w:t>1</w:t>
      </w:r>
      <w:r>
        <w:rPr>
          <w:rStyle w:val="26"/>
          <w:rFonts w:hint="eastAsia" w:ascii="仿宋" w:hAnsi="仿宋" w:eastAsia="仿宋" w:cs="仿宋"/>
          <w:b w:val="0"/>
          <w:bCs w:val="0"/>
          <w:color w:val="auto"/>
          <w:sz w:val="24"/>
          <w:szCs w:val="24"/>
          <w:highlight w:val="none"/>
          <w:lang w:val="en-US" w:eastAsia="zh-CN"/>
        </w:rPr>
        <w:t>4</w:t>
      </w:r>
      <w:r>
        <w:rPr>
          <w:rStyle w:val="26"/>
          <w:rFonts w:hint="eastAsia" w:ascii="仿宋" w:hAnsi="仿宋" w:eastAsia="仿宋" w:cs="仿宋"/>
          <w:b w:val="0"/>
          <w:bCs w:val="0"/>
          <w:color w:val="auto"/>
          <w:sz w:val="24"/>
          <w:szCs w:val="24"/>
          <w:highlight w:val="none"/>
        </w:rPr>
        <w:t>时</w:t>
      </w:r>
      <w:r>
        <w:rPr>
          <w:rStyle w:val="26"/>
          <w:rFonts w:hint="eastAsia" w:ascii="仿宋" w:hAnsi="仿宋" w:eastAsia="仿宋" w:cs="仿宋"/>
          <w:b w:val="0"/>
          <w:bCs w:val="0"/>
          <w:color w:val="auto"/>
          <w:sz w:val="24"/>
          <w:szCs w:val="24"/>
          <w:highlight w:val="none"/>
          <w:lang w:val="en-US" w:eastAsia="zh-CN"/>
        </w:rPr>
        <w:t>3</w:t>
      </w:r>
      <w:r>
        <w:rPr>
          <w:rStyle w:val="26"/>
          <w:rFonts w:hint="eastAsia" w:ascii="仿宋" w:hAnsi="仿宋" w:eastAsia="仿宋" w:cs="仿宋"/>
          <w:b w:val="0"/>
          <w:bCs w:val="0"/>
          <w:color w:val="auto"/>
          <w:sz w:val="24"/>
          <w:szCs w:val="24"/>
          <w:highlight w:val="none"/>
        </w:rPr>
        <w:t>0分 （北京时间）前递交投标文件。</w:t>
      </w:r>
      <w:r>
        <w:rPr>
          <w:rStyle w:val="26"/>
          <w:rFonts w:hint="eastAsia" w:ascii="仿宋" w:hAnsi="仿宋" w:eastAsia="仿宋" w:cs="仿宋"/>
          <w:b/>
          <w:bCs/>
          <w:color w:val="auto"/>
          <w:sz w:val="24"/>
          <w:szCs w:val="24"/>
          <w:highlight w:val="none"/>
        </w:rPr>
        <w:t xml:space="preserve"> </w:t>
      </w:r>
    </w:p>
    <w:p w14:paraId="74A07F2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一、项目基本情况</w:t>
      </w:r>
    </w:p>
    <w:p w14:paraId="6CC7C7E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HZGH-2024-055</w:t>
      </w:r>
    </w:p>
    <w:p w14:paraId="573443C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登高平台消防车及随车器材采购项目（二次）</w:t>
      </w:r>
    </w:p>
    <w:p w14:paraId="453CDF9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6CCBBAA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5778000.00</w:t>
      </w:r>
      <w:r>
        <w:rPr>
          <w:rFonts w:hint="eastAsia" w:ascii="仿宋" w:hAnsi="仿宋" w:eastAsia="仿宋" w:cs="仿宋"/>
          <w:color w:val="auto"/>
          <w:sz w:val="24"/>
          <w:szCs w:val="24"/>
          <w:highlight w:val="none"/>
        </w:rPr>
        <w:t>元</w:t>
      </w:r>
    </w:p>
    <w:p w14:paraId="328F31D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1F45E9E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登高平台消防车及随车器材采购项目（二次）</w:t>
      </w:r>
      <w:r>
        <w:rPr>
          <w:rFonts w:hint="eastAsia" w:ascii="仿宋" w:hAnsi="仿宋" w:eastAsia="仿宋" w:cs="仿宋"/>
          <w:i w:val="0"/>
          <w:iCs w:val="0"/>
          <w:caps w:val="0"/>
          <w:color w:val="auto"/>
          <w:spacing w:val="0"/>
          <w:sz w:val="24"/>
          <w:szCs w:val="24"/>
          <w:highlight w:val="none"/>
          <w:shd w:val="clear" w:fill="FFFFFF"/>
        </w:rPr>
        <w:t>):</w:t>
      </w:r>
    </w:p>
    <w:p w14:paraId="55D4AA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i w:val="0"/>
          <w:iCs w:val="0"/>
          <w:caps w:val="0"/>
          <w:color w:val="auto"/>
          <w:spacing w:val="0"/>
          <w:sz w:val="24"/>
          <w:szCs w:val="24"/>
          <w:highlight w:val="none"/>
          <w:shd w:val="clear" w:fill="FFFFFF"/>
          <w:lang w:eastAsia="zh-CN"/>
        </w:rPr>
        <w:t>5778000.00</w:t>
      </w:r>
      <w:r>
        <w:rPr>
          <w:rFonts w:hint="eastAsia" w:ascii="仿宋" w:hAnsi="仿宋" w:eastAsia="仿宋" w:cs="仿宋"/>
          <w:i w:val="0"/>
          <w:iCs w:val="0"/>
          <w:caps w:val="0"/>
          <w:color w:val="auto"/>
          <w:spacing w:val="0"/>
          <w:sz w:val="24"/>
          <w:szCs w:val="24"/>
          <w:highlight w:val="none"/>
          <w:shd w:val="clear" w:fill="FFFFFF"/>
        </w:rPr>
        <w:t>元</w:t>
      </w:r>
    </w:p>
    <w:p w14:paraId="79D36B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i w:val="0"/>
          <w:iCs w:val="0"/>
          <w:caps w:val="0"/>
          <w:color w:val="auto"/>
          <w:spacing w:val="0"/>
          <w:sz w:val="24"/>
          <w:szCs w:val="24"/>
          <w:highlight w:val="none"/>
          <w:shd w:val="clear" w:fill="FFFFFF"/>
          <w:lang w:eastAsia="zh-CN"/>
        </w:rPr>
        <w:t>5778000.00</w:t>
      </w:r>
      <w:r>
        <w:rPr>
          <w:rFonts w:hint="eastAsia" w:ascii="仿宋" w:hAnsi="仿宋" w:eastAsia="仿宋" w:cs="仿宋"/>
          <w:i w:val="0"/>
          <w:iCs w:val="0"/>
          <w:caps w:val="0"/>
          <w:color w:val="auto"/>
          <w:spacing w:val="0"/>
          <w:sz w:val="24"/>
          <w:szCs w:val="24"/>
          <w:highlight w:val="none"/>
          <w:shd w:val="clear" w:fill="FFFFFF"/>
        </w:rPr>
        <w:t>元</w:t>
      </w:r>
    </w:p>
    <w:tbl>
      <w:tblPr>
        <w:tblStyle w:val="2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4"/>
        <w:gridCol w:w="1264"/>
        <w:gridCol w:w="2264"/>
        <w:gridCol w:w="995"/>
        <w:gridCol w:w="1202"/>
        <w:gridCol w:w="1441"/>
        <w:gridCol w:w="1441"/>
      </w:tblGrid>
      <w:tr w14:paraId="16E111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07F7A2">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6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E240F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2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96E77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1BBB2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6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D16816">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F5298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76F30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EA2FF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388EA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3CCB3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消防车</w:t>
            </w:r>
          </w:p>
        </w:tc>
        <w:tc>
          <w:tcPr>
            <w:tcW w:w="2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3E0FE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登高平台消防车及随车器材</w:t>
            </w:r>
          </w:p>
        </w:tc>
        <w:tc>
          <w:tcPr>
            <w:tcW w:w="5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56495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1(台)</w:t>
            </w:r>
          </w:p>
        </w:tc>
        <w:tc>
          <w:tcPr>
            <w:tcW w:w="6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BB447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B63CD4">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5778000.00</w:t>
            </w:r>
          </w:p>
        </w:tc>
        <w:tc>
          <w:tcPr>
            <w:tcW w:w="7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424B21">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5778000.00</w:t>
            </w:r>
          </w:p>
        </w:tc>
      </w:tr>
    </w:tbl>
    <w:p w14:paraId="28867D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14:paraId="7270C00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合同履行期限：</w:t>
      </w:r>
      <w:r>
        <w:rPr>
          <w:rFonts w:hint="eastAsia" w:ascii="仿宋" w:hAnsi="仿宋" w:eastAsia="仿宋" w:cs="仿宋"/>
          <w:i w:val="0"/>
          <w:iCs w:val="0"/>
          <w:caps w:val="0"/>
          <w:color w:val="auto"/>
          <w:spacing w:val="0"/>
          <w:sz w:val="24"/>
          <w:szCs w:val="24"/>
          <w:highlight w:val="none"/>
          <w:shd w:val="clear" w:fill="FFFFFF"/>
          <w:lang w:eastAsia="zh-CN"/>
        </w:rPr>
        <w:t>自合同签订之日起180个日历日内交付完毕。</w:t>
      </w:r>
    </w:p>
    <w:p w14:paraId="10DAAF3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二、申请人的资格要求：</w:t>
      </w:r>
    </w:p>
    <w:p w14:paraId="0187C36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162EAA3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2.落实政府采购政策需满足的资格要求： </w:t>
      </w:r>
    </w:p>
    <w:p w14:paraId="0CCD1AB6">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p w14:paraId="794150BE">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1487479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w:t>
      </w:r>
      <w:r>
        <w:rPr>
          <w:rFonts w:hint="eastAsia" w:ascii="仿宋" w:hAnsi="仿宋" w:eastAsia="仿宋" w:cs="仿宋"/>
          <w:color w:val="auto"/>
          <w:sz w:val="24"/>
          <w:szCs w:val="24"/>
          <w:highlight w:val="none"/>
          <w:lang w:eastAsia="zh-CN"/>
        </w:rPr>
        <w:t>登高平台消防车及随车器材采购项目（二次）</w:t>
      </w:r>
      <w:r>
        <w:rPr>
          <w:rFonts w:hint="eastAsia" w:ascii="仿宋" w:hAnsi="仿宋" w:eastAsia="仿宋" w:cs="仿宋"/>
          <w:color w:val="auto"/>
          <w:sz w:val="24"/>
          <w:szCs w:val="24"/>
          <w:highlight w:val="none"/>
        </w:rPr>
        <w:t>)特定资格要求如下:</w:t>
      </w:r>
    </w:p>
    <w:p w14:paraId="51E3631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14:paraId="0397950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2、被授权人参与投标时需提供法定代表人或负责人授权委托书（附法定代表人或负责人及被授权人身份证复印件）；（被授权人须提供身份证原件，身份证原件可由本人持有）</w:t>
      </w:r>
    </w:p>
    <w:p w14:paraId="61D0CD5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65BF000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、单位负责人为同一人或者存在直接控股、管理关系的不同投标人，不得参加同一合同项下的政府采购活动；（提供书面承诺函，格式自拟加盖投标人公章）</w:t>
      </w:r>
    </w:p>
    <w:p w14:paraId="0A34B5E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、本项目不接受联合体投标。（提供书面承诺函，格式自拟加盖投标人公章）</w:t>
      </w:r>
    </w:p>
    <w:p w14:paraId="6297436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三、获取招标文件</w:t>
      </w:r>
    </w:p>
    <w:p w14:paraId="0237A87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日，每天上午09:00:00 至 12:00:00，下午 14:00:00 至 17:00:00 （北京时间,法定节假日除外）</w:t>
      </w:r>
    </w:p>
    <w:p w14:paraId="462971A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途径</w:t>
      </w:r>
      <w:r>
        <w:rPr>
          <w:rFonts w:hint="eastAsia" w:ascii="仿宋" w:hAnsi="仿宋" w:eastAsia="仿宋" w:cs="仿宋"/>
          <w:color w:val="auto"/>
          <w:sz w:val="24"/>
          <w:szCs w:val="24"/>
          <w:highlight w:val="none"/>
        </w:rPr>
        <w:t>：西安市朱雀大街南段1号汇成天玺C座18层1812室</w:t>
      </w:r>
    </w:p>
    <w:p w14:paraId="1ADF627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方式：现场获取</w:t>
      </w:r>
    </w:p>
    <w:p w14:paraId="321077C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 xml:space="preserve">元 </w:t>
      </w:r>
    </w:p>
    <w:p w14:paraId="3EB1D8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四、提交投标文件截止时间、开标时间和地点</w:t>
      </w:r>
    </w:p>
    <w:p w14:paraId="496586D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eastAsia="zh-CN"/>
        </w:rPr>
        <w:t>2024年9月13日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0分00秒（北京时间）</w:t>
      </w:r>
    </w:p>
    <w:p w14:paraId="4F1C8B2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提交投标文件</w:t>
      </w:r>
      <w:r>
        <w:rPr>
          <w:rFonts w:hint="eastAsia" w:ascii="仿宋" w:hAnsi="仿宋" w:eastAsia="仿宋" w:cs="仿宋"/>
          <w:color w:val="auto"/>
          <w:sz w:val="24"/>
          <w:szCs w:val="24"/>
          <w:highlight w:val="none"/>
        </w:rPr>
        <w:t>地点：西安市朱雀大街南段1号汇成天玺C座18层1818室</w:t>
      </w:r>
    </w:p>
    <w:p w14:paraId="399D449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开标地点：</w:t>
      </w:r>
      <w:r>
        <w:rPr>
          <w:rFonts w:hint="eastAsia" w:ascii="仿宋" w:hAnsi="仿宋" w:eastAsia="仿宋" w:cs="仿宋"/>
          <w:color w:val="auto"/>
          <w:sz w:val="24"/>
          <w:szCs w:val="24"/>
          <w:highlight w:val="none"/>
        </w:rPr>
        <w:t xml:space="preserve">西安市朱雀大街南段1号汇成天玺C座18层1818室 </w:t>
      </w:r>
    </w:p>
    <w:p w14:paraId="66EF614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五、公告期限</w:t>
      </w:r>
    </w:p>
    <w:p w14:paraId="40E3B48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1446604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六、其他补充事宜</w:t>
      </w:r>
    </w:p>
    <w:p w14:paraId="62646C29">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1、落实的政府采购政策：</w:t>
      </w:r>
    </w:p>
    <w:p w14:paraId="308C138B">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（1）《政府采购促进中小企业发展管理办法》的通知--财库〔2020〕46号</w:t>
      </w:r>
    </w:p>
    <w:p w14:paraId="7AA4F19F">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（2）陕西省财政厅关于印发《陕西省中小企业政府采购信用融资办法》--(陕财办采〔2018〕23号)、</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关于进一步加大政府采购支持中小企业力度的通知</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（财库</w:t>
      </w:r>
      <w:r>
        <w:rPr>
          <w:rFonts w:hint="eastAsia" w:ascii="仿宋" w:hAnsi="仿宋" w:eastAsia="仿宋" w:cs="仿宋"/>
          <w:color w:val="auto"/>
          <w:highlight w:val="none"/>
          <w:u w:val="none"/>
          <w:lang w:val="en-US" w:eastAsia="zh-CN"/>
        </w:rPr>
        <w:t>〔</w:t>
      </w:r>
      <w:r>
        <w:rPr>
          <w:rFonts w:hint="eastAsia" w:ascii="仿宋" w:hAnsi="仿宋" w:eastAsia="仿宋" w:cs="仿宋"/>
          <w:color w:val="auto"/>
          <w:szCs w:val="24"/>
          <w:highlight w:val="none"/>
          <w:u w:val="none"/>
          <w:lang w:val="en-US" w:eastAsia="zh-CN"/>
        </w:rPr>
        <w:t>2022</w:t>
      </w:r>
      <w:r>
        <w:rPr>
          <w:rFonts w:hint="eastAsia" w:ascii="仿宋" w:hAnsi="仿宋" w:eastAsia="仿宋" w:cs="仿宋"/>
          <w:color w:val="auto"/>
          <w:highlight w:val="none"/>
          <w:u w:val="none"/>
          <w:lang w:val="en-US" w:eastAsia="zh-CN"/>
        </w:rPr>
        <w:t>〕</w:t>
      </w:r>
      <w:r>
        <w:rPr>
          <w:rFonts w:hint="eastAsia" w:ascii="仿宋" w:hAnsi="仿宋" w:eastAsia="仿宋" w:cs="仿宋"/>
          <w:color w:val="auto"/>
          <w:szCs w:val="24"/>
          <w:highlight w:val="none"/>
          <w:u w:val="none"/>
          <w:lang w:val="en-US" w:eastAsia="zh-CN"/>
        </w:rPr>
        <w:t>19号）</w:t>
      </w:r>
    </w:p>
    <w:p w14:paraId="47E007C0">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（3）《陕西省财政厅关于进一步加大政府采购支持中小企业力度的通知》（陕财办采〔2022〕5号）、《陕西省财政厅关于落实政府采购支持中小企业政策有关事项的通知》（陕财办采函〔2022〕10号）</w:t>
      </w:r>
    </w:p>
    <w:p w14:paraId="5D1228B4">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（4）《陕西省财政厅关于加快推进我省中小企业政府采购信用融资工作的通知》（陕财办采〔2020〕15号）</w:t>
      </w:r>
    </w:p>
    <w:p w14:paraId="3A14B804">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 xml:space="preserve">（5）财政部司法部关于政府采购支持监狱企业发展有关问题的通知--财库〔2014〕68号 </w:t>
      </w:r>
    </w:p>
    <w:p w14:paraId="78999957">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 xml:space="preserve">（6）《国务院办公厅关于建立政府强制采购节能产品制度的通知》--国办发〔2007〕51号 </w:t>
      </w:r>
    </w:p>
    <w:p w14:paraId="1AB4BD02">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 xml:space="preserve">（7）《财政部发展改革委生态环境部市场监督总局关于调整优化节能产品、环境标志产品政府采购执行机制的通知》--（财库[2019]9号） </w:t>
      </w:r>
    </w:p>
    <w:p w14:paraId="181802E7">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（8）《市场监督总局关于发布参与实施政府采购节能产品、环境标志产品认证机构名录的公告》--2019年第16号</w:t>
      </w:r>
    </w:p>
    <w:p w14:paraId="6279E720">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（9）《财政部民政部中国残疾人联合会关于促进残疾人就业政府采购政策的通知》--（财库〔2017〕141号）</w:t>
      </w:r>
    </w:p>
    <w:p w14:paraId="3E53E859">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(10）《财政部国务院扶贫办关于运用政府采购政策支持脱贫攻坚的通知》（财库〔2019〕27号）</w:t>
      </w:r>
    </w:p>
    <w:p w14:paraId="77938BDB">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（11）《关于进一步加强政府绿色采购有关问题的通知》（陕财办采〔2021〕29号）</w:t>
      </w:r>
    </w:p>
    <w:p w14:paraId="552E7BA0">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（12）如有最新颁布的政府采购政策，按最新的文件执行。</w:t>
      </w:r>
    </w:p>
    <w:p w14:paraId="64AFD03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仿宋" w:hAnsi="仿宋" w:eastAsia="仿宋" w:cs="仿宋"/>
          <w:b w:val="0"/>
          <w:bCs w:val="0"/>
          <w:color w:val="auto"/>
          <w:sz w:val="22"/>
          <w:szCs w:val="22"/>
          <w:highlight w:val="none"/>
          <w:u w:val="none"/>
        </w:rPr>
      </w:pPr>
      <w:r>
        <w:rPr>
          <w:rStyle w:val="26"/>
          <w:rFonts w:hint="eastAsia" w:ascii="仿宋" w:hAnsi="仿宋" w:eastAsia="仿宋" w:cs="仿宋"/>
          <w:b w:val="0"/>
          <w:bCs w:val="0"/>
          <w:i w:val="0"/>
          <w:iCs w:val="0"/>
          <w:caps w:val="0"/>
          <w:color w:val="auto"/>
          <w:spacing w:val="0"/>
          <w:kern w:val="0"/>
          <w:sz w:val="24"/>
          <w:szCs w:val="24"/>
          <w:highlight w:val="none"/>
          <w:u w:val="none"/>
          <w:shd w:val="clear" w:color="auto" w:fill="FFFFFF"/>
          <w:lang w:val="en-US" w:eastAsia="zh-CN" w:bidi="ar"/>
        </w:rPr>
        <w:t>2、获取招标文件时（9：00—12：00，14：00--17：00（节假日除外））请携带有效的单位介绍信及被介绍人身份证复印件，加盖投标人公章（鲜章）,可自带 U 盘拷贝电子文件（本项目仅支持现场报名获取，谢绝邮寄）。</w:t>
      </w:r>
    </w:p>
    <w:p w14:paraId="31082E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七、对本次招标提出询问，请按以下方式联系。</w:t>
      </w:r>
    </w:p>
    <w:p w14:paraId="65248D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B8A614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镇安县应急管理局</w:t>
      </w:r>
    </w:p>
    <w:p w14:paraId="5AC7297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陕西省商洛市镇安县永乐街道办西沟路2号</w:t>
      </w:r>
    </w:p>
    <w:p w14:paraId="7A54B3D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联系方式：13991465616</w:t>
      </w:r>
      <w:r>
        <w:rPr>
          <w:rFonts w:hint="eastAsia" w:ascii="仿宋" w:hAnsi="仿宋" w:eastAsia="仿宋" w:cs="仿宋"/>
          <w:color w:val="auto"/>
          <w:sz w:val="24"/>
          <w:szCs w:val="24"/>
          <w:highlight w:val="none"/>
          <w:lang w:eastAsia="zh-CN"/>
        </w:rPr>
        <w:t>、15596282333</w:t>
      </w:r>
    </w:p>
    <w:p w14:paraId="52DFA8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337F98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名称：华招广和项目管理有限公司</w:t>
      </w:r>
    </w:p>
    <w:p w14:paraId="48C1DDA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地址：西安市朱雀大街南段1号汇成天玺C座18层</w:t>
      </w:r>
    </w:p>
    <w:p w14:paraId="66BE37C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联系方式：029-87592321</w:t>
      </w:r>
    </w:p>
    <w:p w14:paraId="595B00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3.项目联系方式 </w:t>
      </w:r>
    </w:p>
    <w:p w14:paraId="2475784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秦工</w:t>
      </w:r>
    </w:p>
    <w:p w14:paraId="33AF213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电话：029-87592321</w:t>
      </w:r>
    </w:p>
    <w:p w14:paraId="5C6BEE92">
      <w:pPr>
        <w:pStyle w:val="1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bCs/>
          <w:color w:val="auto"/>
          <w:kern w:val="0"/>
          <w:sz w:val="24"/>
          <w:szCs w:val="22"/>
          <w:highlight w:val="none"/>
          <w:lang w:val="en-US" w:eastAsia="zh-CN" w:bidi="ar-SA"/>
        </w:rPr>
      </w:pPr>
    </w:p>
    <w:p w14:paraId="5B937E07">
      <w:pPr>
        <w:pStyle w:val="10"/>
        <w:rPr>
          <w:rFonts w:hint="eastAsia" w:ascii="仿宋" w:hAnsi="仿宋" w:eastAsia="仿宋" w:cs="仿宋"/>
          <w:color w:val="auto"/>
          <w:highlight w:val="none"/>
        </w:rPr>
      </w:pPr>
      <w:r>
        <w:rPr>
          <w:rFonts w:hint="eastAsia" w:ascii="仿宋" w:hAnsi="仿宋" w:eastAsia="仿宋" w:cs="仿宋"/>
          <w:b/>
          <w:color w:val="auto"/>
          <w:highlight w:val="none"/>
        </w:rPr>
        <w:pict>
          <v:shape id="Text Box 2" o:spid="_x0000_s1026" o:spt="202" type="#_x0000_t202" style="position:absolute;left:0pt;margin-left:2.65pt;margin-top:3.25pt;height:69.8pt;width:462.95pt;mso-wrap-distance-bottom:0pt;mso-wrap-distance-left:9pt;mso-wrap-distance-right:9pt;mso-wrap-distance-top:0pt;z-index:251660288;mso-width-relative:page;mso-height-relative:page;" fillcolor="#FFFFFF" filled="t" stroked="t" coordsize="21600,21600" o:gfxdata="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iQsT9kAAAAKAQAADwAAAAAAAAABACAAAAAiAAAAZHJzL2Rvd25yZXYueG1sUEsB&#10;AhQAFAAAAAgAh07iQJdzfR30AQAADwQAAA4AAAAAAAAAAQAgAAAAKAEAAGRycy9lMm9Eb2MueG1s&#10;UEsFBgAAAAAGAAYAWQEAAI4FAAAAAA==&#10;">
            <v:path/>
            <v:fill on="t" color2="#FFFFFF" focussize="0,0"/>
            <v:stroke color="#000000" joinstyle="miter"/>
            <v:imagedata o:title=""/>
            <o:lock v:ext="edit" aspectratio="f"/>
            <v:textbox>
              <w:txbxContent>
                <w:p w14:paraId="4E7FA6A9">
                  <w:pPr>
                    <w:spacing w:line="560" w:lineRule="exact"/>
                    <w:rPr>
                      <w:rFonts w:hint="eastAsia" w:ascii="仿宋" w:hAnsi="仿宋" w:eastAsia="仿宋" w:cs="仿宋"/>
                      <w:b/>
                      <w:bCs w:val="0"/>
                      <w:sz w:val="24"/>
                      <w:szCs w:val="24"/>
                    </w:rPr>
                  </w:pPr>
                  <w:r>
                    <w:rPr>
                      <w:rFonts w:hint="eastAsia" w:ascii="仿宋" w:hAnsi="仿宋" w:eastAsia="仿宋" w:cs="仿宋"/>
                      <w:b/>
                      <w:bCs w:val="0"/>
                      <w:sz w:val="24"/>
                      <w:szCs w:val="24"/>
                    </w:rPr>
                    <w:t>温馨提示：购买招标文件后，请仔细阅读，特别注意粗体及划线部分，如有疑问请来电咨询。</w:t>
                  </w:r>
                </w:p>
              </w:txbxContent>
            </v:textbox>
            <w10:wrap type="square"/>
          </v:shape>
        </w:pict>
      </w:r>
    </w:p>
    <w:p w14:paraId="595B1317">
      <w:pPr>
        <w:rPr>
          <w:rFonts w:hint="eastAsia" w:ascii="仿宋" w:hAnsi="仿宋" w:eastAsia="仿宋" w:cs="仿宋"/>
          <w:color w:val="auto"/>
          <w:sz w:val="44"/>
          <w:szCs w:val="44"/>
          <w:highlight w:val="none"/>
        </w:rPr>
      </w:pPr>
      <w:bookmarkStart w:id="5" w:name="_Toc458617453"/>
      <w:bookmarkStart w:id="6" w:name="_Toc30520"/>
      <w:bookmarkStart w:id="7" w:name="_Toc458617730"/>
      <w:r>
        <w:rPr>
          <w:rFonts w:hint="eastAsia" w:ascii="仿宋" w:hAnsi="仿宋" w:eastAsia="仿宋" w:cs="仿宋"/>
          <w:color w:val="auto"/>
          <w:sz w:val="44"/>
          <w:szCs w:val="44"/>
          <w:highlight w:val="none"/>
        </w:rPr>
        <w:br w:type="page"/>
      </w:r>
    </w:p>
    <w:p w14:paraId="48C47F61">
      <w:pPr>
        <w:pStyle w:val="2"/>
        <w:bidi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第二章  投标人须知</w:t>
      </w:r>
      <w:bookmarkEnd w:id="5"/>
      <w:bookmarkEnd w:id="6"/>
      <w:bookmarkEnd w:id="7"/>
    </w:p>
    <w:p w14:paraId="2810CA06">
      <w:pPr>
        <w:pStyle w:val="3"/>
        <w:spacing w:line="360" w:lineRule="auto"/>
        <w:jc w:val="center"/>
        <w:rPr>
          <w:rFonts w:hint="eastAsia" w:ascii="仿宋" w:hAnsi="仿宋" w:eastAsia="仿宋" w:cs="仿宋"/>
          <w:color w:val="auto"/>
          <w:sz w:val="15"/>
          <w:szCs w:val="15"/>
          <w:highlight w:val="none"/>
        </w:rPr>
      </w:pPr>
      <w:bookmarkStart w:id="8" w:name="_Toc458617731"/>
      <w:bookmarkStart w:id="9" w:name="_Toc458617454"/>
      <w:bookmarkStart w:id="10" w:name="_Toc28725"/>
      <w:r>
        <w:rPr>
          <w:rFonts w:hint="eastAsia" w:ascii="仿宋" w:hAnsi="仿宋" w:eastAsia="仿宋" w:cs="仿宋"/>
          <w:color w:val="auto"/>
          <w:sz w:val="28"/>
          <w:szCs w:val="28"/>
          <w:highlight w:val="none"/>
        </w:rPr>
        <w:t>一、投标人须知前附表</w:t>
      </w:r>
      <w:bookmarkEnd w:id="8"/>
      <w:bookmarkEnd w:id="9"/>
      <w:bookmarkEnd w:id="10"/>
    </w:p>
    <w:tbl>
      <w:tblPr>
        <w:tblStyle w:val="2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1"/>
        <w:gridCol w:w="6336"/>
      </w:tblGrid>
      <w:tr w14:paraId="292A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vAlign w:val="center"/>
          </w:tcPr>
          <w:p w14:paraId="24364780">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411" w:type="dxa"/>
            <w:vAlign w:val="center"/>
          </w:tcPr>
          <w:p w14:paraId="7AB1C0A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条款名称</w:t>
            </w:r>
          </w:p>
        </w:tc>
        <w:tc>
          <w:tcPr>
            <w:tcW w:w="6336" w:type="dxa"/>
            <w:vAlign w:val="center"/>
          </w:tcPr>
          <w:p w14:paraId="29FE791D">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说明和要求</w:t>
            </w:r>
          </w:p>
        </w:tc>
      </w:tr>
      <w:tr w14:paraId="1ACC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B7D4477">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2411" w:type="dxa"/>
            <w:vAlign w:val="center"/>
          </w:tcPr>
          <w:p w14:paraId="4FFEF136">
            <w:pPr>
              <w:spacing w:line="560" w:lineRule="exact"/>
              <w:jc w:val="center"/>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采购人</w:t>
            </w:r>
          </w:p>
        </w:tc>
        <w:tc>
          <w:tcPr>
            <w:tcW w:w="6336" w:type="dxa"/>
          </w:tcPr>
          <w:p w14:paraId="37F84E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名    称：</w:t>
            </w:r>
            <w:r>
              <w:rPr>
                <w:rFonts w:hint="eastAsia" w:ascii="仿宋" w:hAnsi="仿宋" w:eastAsia="仿宋" w:cs="仿宋"/>
                <w:strike w:val="0"/>
                <w:dstrike w:val="0"/>
                <w:color w:val="auto"/>
                <w:szCs w:val="24"/>
                <w:highlight w:val="none"/>
                <w:lang w:eastAsia="zh-CN"/>
              </w:rPr>
              <w:t>镇安县应急管理局</w:t>
            </w:r>
          </w:p>
          <w:p w14:paraId="5A3AB0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地    址：</w:t>
            </w:r>
            <w:r>
              <w:rPr>
                <w:rFonts w:hint="eastAsia" w:ascii="仿宋" w:hAnsi="仿宋" w:eastAsia="仿宋" w:cs="仿宋"/>
                <w:strike w:val="0"/>
                <w:dstrike w:val="0"/>
                <w:color w:val="auto"/>
                <w:szCs w:val="24"/>
                <w:highlight w:val="none"/>
                <w:lang w:eastAsia="zh-CN"/>
              </w:rPr>
              <w:t>陕西省商洛市镇安县永乐街道办西沟路2号</w:t>
            </w:r>
          </w:p>
          <w:p w14:paraId="09F891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val="en-US" w:eastAsia="zh-CN"/>
              </w:rPr>
            </w:pPr>
            <w:r>
              <w:rPr>
                <w:rFonts w:hint="eastAsia" w:ascii="仿宋" w:hAnsi="仿宋" w:eastAsia="仿宋" w:cs="仿宋"/>
                <w:strike w:val="0"/>
                <w:dstrike w:val="0"/>
                <w:color w:val="auto"/>
                <w:szCs w:val="24"/>
                <w:highlight w:val="none"/>
              </w:rPr>
              <w:t>联系方式：</w:t>
            </w:r>
            <w:r>
              <w:rPr>
                <w:rFonts w:hint="eastAsia" w:ascii="仿宋" w:hAnsi="仿宋" w:eastAsia="仿宋" w:cs="仿宋"/>
                <w:color w:val="auto"/>
                <w:sz w:val="24"/>
                <w:szCs w:val="24"/>
                <w:highlight w:val="none"/>
              </w:rPr>
              <w:t>13991465616</w:t>
            </w:r>
            <w:r>
              <w:rPr>
                <w:rFonts w:hint="eastAsia" w:ascii="仿宋" w:hAnsi="仿宋" w:eastAsia="仿宋" w:cs="仿宋"/>
                <w:color w:val="auto"/>
                <w:sz w:val="24"/>
                <w:szCs w:val="24"/>
                <w:highlight w:val="none"/>
                <w:lang w:eastAsia="zh-CN"/>
              </w:rPr>
              <w:t>、15596282333</w:t>
            </w:r>
          </w:p>
        </w:tc>
      </w:tr>
      <w:tr w14:paraId="7369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109FD8D">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2411" w:type="dxa"/>
            <w:vAlign w:val="center"/>
          </w:tcPr>
          <w:p w14:paraId="01A5CCF3">
            <w:pPr>
              <w:spacing w:line="560" w:lineRule="exact"/>
              <w:jc w:val="center"/>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采购代理机构</w:t>
            </w:r>
          </w:p>
        </w:tc>
        <w:tc>
          <w:tcPr>
            <w:tcW w:w="6336" w:type="dxa"/>
          </w:tcPr>
          <w:p w14:paraId="59A60AAF">
            <w:pPr>
              <w:spacing w:line="560" w:lineRule="exact"/>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名  称：</w:t>
            </w:r>
            <w:r>
              <w:rPr>
                <w:rFonts w:hint="eastAsia" w:ascii="仿宋" w:hAnsi="仿宋" w:eastAsia="仿宋" w:cs="仿宋"/>
                <w:strike w:val="0"/>
                <w:dstrike w:val="0"/>
                <w:color w:val="auto"/>
                <w:szCs w:val="24"/>
                <w:highlight w:val="none"/>
                <w:lang w:eastAsia="zh-CN"/>
              </w:rPr>
              <w:t>华招广和项目管理有限公司</w:t>
            </w:r>
          </w:p>
          <w:p w14:paraId="0177E1AE">
            <w:pPr>
              <w:spacing w:line="560" w:lineRule="exact"/>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地  址：西安市朱雀大街南段1号汇成天玺C座18层</w:t>
            </w:r>
          </w:p>
          <w:p w14:paraId="37248C72">
            <w:pPr>
              <w:spacing w:line="560" w:lineRule="exact"/>
              <w:rPr>
                <w:rFonts w:hint="eastAsia" w:ascii="仿宋" w:hAnsi="仿宋" w:eastAsia="仿宋" w:cs="仿宋"/>
                <w:strike w:val="0"/>
                <w:dstrike w:val="0"/>
                <w:color w:val="auto"/>
                <w:szCs w:val="24"/>
                <w:highlight w:val="none"/>
                <w:u w:val="wavyHeavy" w:color="FF0000"/>
                <w:lang w:eastAsia="zh-CN"/>
              </w:rPr>
            </w:pPr>
            <w:r>
              <w:rPr>
                <w:rFonts w:hint="eastAsia" w:ascii="仿宋" w:hAnsi="仿宋" w:eastAsia="仿宋" w:cs="仿宋"/>
                <w:strike w:val="0"/>
                <w:dstrike w:val="0"/>
                <w:color w:val="auto"/>
                <w:szCs w:val="24"/>
                <w:highlight w:val="none"/>
              </w:rPr>
              <w:t>联系人：</w:t>
            </w:r>
            <w:r>
              <w:rPr>
                <w:rFonts w:hint="eastAsia" w:ascii="仿宋" w:hAnsi="仿宋" w:eastAsia="仿宋" w:cs="仿宋"/>
                <w:strike w:val="0"/>
                <w:dstrike w:val="0"/>
                <w:color w:val="auto"/>
                <w:szCs w:val="24"/>
                <w:highlight w:val="none"/>
                <w:lang w:eastAsia="zh-CN"/>
              </w:rPr>
              <w:t>秦工</w:t>
            </w:r>
          </w:p>
          <w:p w14:paraId="40B31EFE">
            <w:pPr>
              <w:spacing w:line="560" w:lineRule="exact"/>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联系方式：029-87592321</w:t>
            </w:r>
          </w:p>
        </w:tc>
      </w:tr>
      <w:tr w14:paraId="5D32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6709312">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2411" w:type="dxa"/>
            <w:vAlign w:val="center"/>
          </w:tcPr>
          <w:p w14:paraId="4DC26F35">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监督管理机构</w:t>
            </w:r>
          </w:p>
        </w:tc>
        <w:tc>
          <w:tcPr>
            <w:tcW w:w="6336" w:type="dxa"/>
          </w:tcPr>
          <w:p w14:paraId="2DB52568">
            <w:pPr>
              <w:spacing w:line="56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镇安县财政局</w:t>
            </w:r>
          </w:p>
        </w:tc>
      </w:tr>
      <w:tr w14:paraId="0F44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D3503D0">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2411" w:type="dxa"/>
            <w:vAlign w:val="center"/>
          </w:tcPr>
          <w:p w14:paraId="35F32778">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w:t>
            </w:r>
          </w:p>
        </w:tc>
        <w:tc>
          <w:tcPr>
            <w:tcW w:w="6336" w:type="dxa"/>
            <w:vAlign w:val="top"/>
          </w:tcPr>
          <w:p w14:paraId="1560A0C3">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招标</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并且符合招标文件规定资格条件和参加投标竞争的法人或其他组织。</w:t>
            </w:r>
          </w:p>
        </w:tc>
      </w:tr>
      <w:tr w14:paraId="3F42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55A7859">
            <w:pPr>
              <w:spacing w:line="560" w:lineRule="exact"/>
              <w:jc w:val="center"/>
              <w:rPr>
                <w:rFonts w:hint="eastAsia" w:ascii="仿宋" w:hAnsi="仿宋" w:eastAsia="仿宋" w:cs="仿宋"/>
                <w:strike w:val="0"/>
                <w:dstrike w:val="0"/>
                <w:color w:val="auto"/>
                <w:szCs w:val="24"/>
                <w:highlight w:val="none"/>
                <w:u w:val="none"/>
                <w:lang w:eastAsia="zh-CN"/>
              </w:rPr>
            </w:pPr>
            <w:r>
              <w:rPr>
                <w:rFonts w:hint="eastAsia" w:ascii="仿宋" w:hAnsi="仿宋" w:eastAsia="仿宋" w:cs="仿宋"/>
                <w:strike w:val="0"/>
                <w:dstrike w:val="0"/>
                <w:color w:val="auto"/>
                <w:szCs w:val="24"/>
                <w:highlight w:val="none"/>
                <w:u w:val="none"/>
                <w:lang w:val="en-US" w:eastAsia="zh-CN"/>
              </w:rPr>
              <w:t>5</w:t>
            </w:r>
          </w:p>
        </w:tc>
        <w:tc>
          <w:tcPr>
            <w:tcW w:w="2411" w:type="dxa"/>
            <w:vAlign w:val="center"/>
          </w:tcPr>
          <w:p w14:paraId="67907595">
            <w:pPr>
              <w:spacing w:line="560" w:lineRule="exact"/>
              <w:jc w:val="center"/>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投标人资格要求</w:t>
            </w:r>
          </w:p>
        </w:tc>
        <w:tc>
          <w:tcPr>
            <w:tcW w:w="6336" w:type="dxa"/>
          </w:tcPr>
          <w:p w14:paraId="2095F6B6">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（1）基本资格条件：符合《中华人民共和国政府采购法》第二十二条的规定：</w:t>
            </w:r>
          </w:p>
          <w:p w14:paraId="50BE1B37">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 xml:space="preserve">1、具有独立承担民事责任能力的法人、其他组织或自然人，并出具合法有效的营业执照或事业单位法人证书等国家规定的相关证明，自然人参与的提供其身份证明；  </w:t>
            </w:r>
          </w:p>
          <w:p w14:paraId="0E4E902F">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 xml:space="preserve">2、财务状况报告：提供具有财务审计资质单位出具的2022年度或2023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14:paraId="48186C1E">
            <w:pPr>
              <w:pStyle w:val="3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3、税收缴纳证明：</w:t>
            </w:r>
            <w:r>
              <w:rPr>
                <w:rFonts w:hint="eastAsia" w:ascii="仿宋" w:hAnsi="仿宋" w:eastAsia="仿宋" w:cs="仿宋"/>
                <w:strike w:val="0"/>
                <w:dstrike w:val="0"/>
                <w:color w:val="auto"/>
                <w:sz w:val="24"/>
                <w:highlight w:val="none"/>
                <w:u w:val="none"/>
                <w:lang w:eastAsia="zh-CN"/>
              </w:rPr>
              <w:t>提供202</w:t>
            </w:r>
            <w:r>
              <w:rPr>
                <w:rFonts w:hint="eastAsia" w:ascii="仿宋" w:hAnsi="仿宋" w:eastAsia="仿宋" w:cs="仿宋"/>
                <w:strike w:val="0"/>
                <w:dstrike w:val="0"/>
                <w:color w:val="auto"/>
                <w:sz w:val="24"/>
                <w:highlight w:val="none"/>
                <w:u w:val="none"/>
                <w:lang w:val="en-US" w:eastAsia="zh-CN"/>
              </w:rPr>
              <w:t>3</w:t>
            </w:r>
            <w:r>
              <w:rPr>
                <w:rFonts w:hint="eastAsia" w:ascii="仿宋" w:hAnsi="仿宋" w:eastAsia="仿宋" w:cs="仿宋"/>
                <w:strike w:val="0"/>
                <w:dstrike w:val="0"/>
                <w:color w:val="auto"/>
                <w:sz w:val="24"/>
                <w:highlight w:val="none"/>
                <w:u w:val="none"/>
                <w:lang w:eastAsia="zh-CN"/>
              </w:rPr>
              <w:t>年1月1日至今任意一个月已缴纳的纳税证明或完税证明（包含增值税、企业所得税、营业税至少一种）</w:t>
            </w:r>
            <w:r>
              <w:rPr>
                <w:rFonts w:hint="eastAsia" w:ascii="仿宋" w:hAnsi="仿宋" w:eastAsia="仿宋" w:cs="仿宋"/>
                <w:strike w:val="0"/>
                <w:dstrike w:val="0"/>
                <w:color w:val="auto"/>
                <w:sz w:val="24"/>
                <w:highlight w:val="none"/>
                <w:u w:val="none"/>
              </w:rPr>
              <w:t>；（依法免税的投标人应提供相关文件证明</w:t>
            </w:r>
            <w:r>
              <w:rPr>
                <w:rFonts w:hint="eastAsia" w:ascii="仿宋" w:hAnsi="仿宋" w:eastAsia="仿宋" w:cs="仿宋"/>
                <w:strike w:val="0"/>
                <w:dstrike w:val="0"/>
                <w:color w:val="auto"/>
                <w:sz w:val="24"/>
                <w:highlight w:val="none"/>
                <w:u w:val="none"/>
                <w:lang w:eastAsia="zh-CN"/>
              </w:rPr>
              <w:t>）</w:t>
            </w:r>
          </w:p>
          <w:p w14:paraId="01F48683">
            <w:pPr>
              <w:pStyle w:val="3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4、社会保障资金缴纳证明：</w:t>
            </w:r>
            <w:r>
              <w:rPr>
                <w:rFonts w:hint="eastAsia" w:ascii="仿宋" w:hAnsi="仿宋" w:eastAsia="仿宋" w:cs="仿宋"/>
                <w:strike w:val="0"/>
                <w:dstrike w:val="0"/>
                <w:color w:val="auto"/>
                <w:sz w:val="24"/>
                <w:highlight w:val="none"/>
                <w:u w:val="none"/>
                <w:lang w:eastAsia="zh-CN"/>
              </w:rPr>
              <w:t>提供202</w:t>
            </w:r>
            <w:r>
              <w:rPr>
                <w:rFonts w:hint="eastAsia" w:ascii="仿宋" w:hAnsi="仿宋" w:eastAsia="仿宋" w:cs="仿宋"/>
                <w:strike w:val="0"/>
                <w:dstrike w:val="0"/>
                <w:color w:val="auto"/>
                <w:sz w:val="24"/>
                <w:highlight w:val="none"/>
                <w:u w:val="none"/>
                <w:lang w:val="en-US" w:eastAsia="zh-CN"/>
              </w:rPr>
              <w:t>3</w:t>
            </w:r>
            <w:r>
              <w:rPr>
                <w:rFonts w:hint="eastAsia" w:ascii="仿宋" w:hAnsi="仿宋" w:eastAsia="仿宋" w:cs="仿宋"/>
                <w:strike w:val="0"/>
                <w:dstrike w:val="0"/>
                <w:color w:val="auto"/>
                <w:sz w:val="24"/>
                <w:highlight w:val="none"/>
                <w:u w:val="none"/>
                <w:lang w:eastAsia="zh-CN"/>
              </w:rPr>
              <w:t>年1月1日至今任意一个月的社保缴费凭据或社保机构开具的社会保险参保缴费情况证明</w:t>
            </w:r>
            <w:r>
              <w:rPr>
                <w:rFonts w:hint="eastAsia" w:ascii="仿宋" w:hAnsi="仿宋" w:eastAsia="仿宋" w:cs="仿宋"/>
                <w:strike w:val="0"/>
                <w:dstrike w:val="0"/>
                <w:color w:val="auto"/>
                <w:sz w:val="24"/>
                <w:highlight w:val="none"/>
                <w:u w:val="none"/>
              </w:rPr>
              <w:t>；（依法不需要缴纳社会保障资金的投标人应提供相关证明）</w:t>
            </w:r>
          </w:p>
          <w:p w14:paraId="08F315A6">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5、提供具有履行本合同所必需的设备和专业技术能力的说明及承诺；（格式自拟，加盖投标人公章）</w:t>
            </w:r>
          </w:p>
          <w:p w14:paraId="51F7DC60">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6、提供参加政府采购活动前三年内在经营活动中没有重大违法记录的书面声明。（格式自拟，加盖投标人公章）</w:t>
            </w:r>
          </w:p>
          <w:p w14:paraId="1A7D3210">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（2）、特定资格条件：</w:t>
            </w:r>
          </w:p>
          <w:p w14:paraId="13766113">
            <w:pPr>
              <w:spacing w:line="560" w:lineRule="exact"/>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1、法定代表人或负责人参与投标时需提供法定代表人或负责人资格证明书（附法定代表人或负责人身份证复印件）；（法定代表人或负责人须提供身份证原件，身份证原件可由本人持有）</w:t>
            </w:r>
          </w:p>
          <w:p w14:paraId="017598BB">
            <w:pPr>
              <w:spacing w:line="560" w:lineRule="exact"/>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2、被授权人参与投标时需提供法定代表人或负责人授权委托书（附法定代表人或负责人及被授权人身份证复印件）；（被授权人须提供身份证原件，身份证原件可由本人持有）</w:t>
            </w:r>
          </w:p>
          <w:p w14:paraId="1A4B4BA2">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仿宋" w:hAnsi="仿宋" w:eastAsia="仿宋" w:cs="仿宋"/>
                <w:strike w:val="0"/>
                <w:dstrike w:val="0"/>
                <w:color w:val="auto"/>
                <w:szCs w:val="24"/>
                <w:highlight w:val="none"/>
                <w:u w:val="none"/>
              </w:rPr>
              <w:br w:type="textWrapping"/>
            </w:r>
            <w:r>
              <w:rPr>
                <w:rFonts w:hint="eastAsia" w:ascii="仿宋" w:hAnsi="仿宋" w:eastAsia="仿宋" w:cs="仿宋"/>
                <w:strike w:val="0"/>
                <w:dstrike w:val="0"/>
                <w:color w:val="auto"/>
                <w:szCs w:val="24"/>
                <w:highlight w:val="none"/>
                <w:u w:val="none"/>
                <w:lang w:val="en-US" w:eastAsia="zh-CN"/>
              </w:rPr>
              <w:t>4</w:t>
            </w:r>
            <w:r>
              <w:rPr>
                <w:rFonts w:hint="eastAsia" w:ascii="仿宋" w:hAnsi="仿宋" w:eastAsia="仿宋" w:cs="仿宋"/>
                <w:strike w:val="0"/>
                <w:dstrike w:val="0"/>
                <w:color w:val="auto"/>
                <w:szCs w:val="24"/>
                <w:highlight w:val="none"/>
                <w:u w:val="none"/>
              </w:rPr>
              <w:t>、单位负责人为同一人或者存在直接控股、管理关系的不同投标人，不得参加同一合同项下的政府采购活动；（提供书面承诺函，格式自拟加盖投标人公章）</w:t>
            </w:r>
            <w:r>
              <w:rPr>
                <w:rFonts w:hint="eastAsia" w:ascii="仿宋" w:hAnsi="仿宋" w:eastAsia="仿宋" w:cs="仿宋"/>
                <w:strike w:val="0"/>
                <w:dstrike w:val="0"/>
                <w:color w:val="auto"/>
                <w:szCs w:val="24"/>
                <w:highlight w:val="none"/>
                <w:u w:val="none"/>
              </w:rPr>
              <w:br w:type="textWrapping"/>
            </w:r>
            <w:r>
              <w:rPr>
                <w:rFonts w:hint="eastAsia" w:ascii="仿宋" w:hAnsi="仿宋" w:eastAsia="仿宋" w:cs="仿宋"/>
                <w:strike w:val="0"/>
                <w:dstrike w:val="0"/>
                <w:color w:val="auto"/>
                <w:szCs w:val="24"/>
                <w:highlight w:val="none"/>
                <w:u w:val="none"/>
                <w:lang w:val="en-US" w:eastAsia="zh-CN"/>
              </w:rPr>
              <w:t>5</w:t>
            </w:r>
            <w:r>
              <w:rPr>
                <w:rFonts w:hint="eastAsia" w:ascii="仿宋" w:hAnsi="仿宋" w:eastAsia="仿宋" w:cs="仿宋"/>
                <w:strike w:val="0"/>
                <w:dstrike w:val="0"/>
                <w:color w:val="auto"/>
                <w:szCs w:val="24"/>
                <w:highlight w:val="none"/>
                <w:u w:val="none"/>
              </w:rPr>
              <w:t>、本项目不接受联合体投标。（提供书面承诺函，格式自拟加盖投标人公章）</w:t>
            </w:r>
          </w:p>
        </w:tc>
      </w:tr>
      <w:tr w14:paraId="5FDC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4EF31DD">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6</w:t>
            </w:r>
          </w:p>
        </w:tc>
        <w:tc>
          <w:tcPr>
            <w:tcW w:w="2411" w:type="dxa"/>
            <w:vAlign w:val="center"/>
          </w:tcPr>
          <w:p w14:paraId="12EB48EF">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交货期、交货地点</w:t>
            </w:r>
          </w:p>
        </w:tc>
        <w:tc>
          <w:tcPr>
            <w:tcW w:w="6336" w:type="dxa"/>
            <w:vAlign w:val="top"/>
          </w:tcPr>
          <w:p w14:paraId="7FF6903F">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rPr>
              <w:t>交货期：</w:t>
            </w:r>
            <w:r>
              <w:rPr>
                <w:rFonts w:hint="eastAsia" w:ascii="仿宋" w:hAnsi="仿宋" w:eastAsia="仿宋" w:cs="仿宋"/>
                <w:color w:val="auto"/>
                <w:szCs w:val="24"/>
                <w:highlight w:val="none"/>
                <w:lang w:eastAsia="zh-CN"/>
              </w:rPr>
              <w:t>自合同签订之日起180个日历日内交付完毕</w:t>
            </w:r>
            <w:r>
              <w:rPr>
                <w:rFonts w:hint="eastAsia" w:ascii="仿宋" w:hAnsi="仿宋" w:eastAsia="仿宋" w:cs="仿宋"/>
                <w:color w:val="auto"/>
                <w:szCs w:val="24"/>
                <w:highlight w:val="none"/>
              </w:rPr>
              <w:t>。</w:t>
            </w:r>
          </w:p>
          <w:p w14:paraId="5E1FAD71">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交货地点：</w:t>
            </w:r>
            <w:r>
              <w:rPr>
                <w:rFonts w:hint="eastAsia" w:ascii="仿宋" w:hAnsi="仿宋" w:eastAsia="仿宋" w:cs="仿宋"/>
                <w:color w:val="auto"/>
                <w:szCs w:val="24"/>
                <w:highlight w:val="none"/>
                <w:lang w:eastAsia="zh-CN"/>
              </w:rPr>
              <w:t>镇安县应急管理局</w:t>
            </w:r>
            <w:r>
              <w:rPr>
                <w:rFonts w:hint="eastAsia" w:ascii="仿宋" w:hAnsi="仿宋" w:eastAsia="仿宋" w:cs="仿宋"/>
                <w:color w:val="auto"/>
                <w:szCs w:val="24"/>
                <w:highlight w:val="none"/>
              </w:rPr>
              <w:t>指定地点。</w:t>
            </w:r>
          </w:p>
        </w:tc>
      </w:tr>
      <w:tr w14:paraId="3964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28E71D4">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7</w:t>
            </w:r>
          </w:p>
        </w:tc>
        <w:tc>
          <w:tcPr>
            <w:tcW w:w="2411" w:type="dxa"/>
            <w:vAlign w:val="center"/>
          </w:tcPr>
          <w:p w14:paraId="2C914841">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联合体投标</w:t>
            </w:r>
          </w:p>
        </w:tc>
        <w:tc>
          <w:tcPr>
            <w:tcW w:w="6336" w:type="dxa"/>
            <w:vAlign w:val="top"/>
          </w:tcPr>
          <w:p w14:paraId="7F26B247">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w:t>
            </w:r>
          </w:p>
        </w:tc>
      </w:tr>
      <w:tr w14:paraId="370A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DD7207E">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8</w:t>
            </w:r>
          </w:p>
        </w:tc>
        <w:tc>
          <w:tcPr>
            <w:tcW w:w="2411" w:type="dxa"/>
            <w:vAlign w:val="center"/>
          </w:tcPr>
          <w:p w14:paraId="66608DA8">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现场勘查、标前答疑会</w:t>
            </w:r>
          </w:p>
        </w:tc>
        <w:tc>
          <w:tcPr>
            <w:tcW w:w="6336" w:type="dxa"/>
            <w:vAlign w:val="center"/>
          </w:tcPr>
          <w:p w14:paraId="0EE2DD15">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不统一组织。投标人认为有必要可自行勘查，并承担所有费用及风险。</w:t>
            </w:r>
          </w:p>
        </w:tc>
      </w:tr>
      <w:tr w14:paraId="4A86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62982F9">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9</w:t>
            </w:r>
          </w:p>
        </w:tc>
        <w:tc>
          <w:tcPr>
            <w:tcW w:w="2411" w:type="dxa"/>
            <w:vAlign w:val="center"/>
          </w:tcPr>
          <w:p w14:paraId="3839BEED">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构成招标文件的其他文件</w:t>
            </w:r>
          </w:p>
        </w:tc>
        <w:tc>
          <w:tcPr>
            <w:tcW w:w="6336" w:type="dxa"/>
            <w:vAlign w:val="top"/>
          </w:tcPr>
          <w:p w14:paraId="4D94095A">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招标文件的澄清、修改书及有关补充通知为招标文件的有效组成部分。</w:t>
            </w:r>
          </w:p>
        </w:tc>
      </w:tr>
      <w:tr w14:paraId="6B70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vAlign w:val="center"/>
          </w:tcPr>
          <w:p w14:paraId="25812538">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0</w:t>
            </w:r>
          </w:p>
        </w:tc>
        <w:tc>
          <w:tcPr>
            <w:tcW w:w="2411" w:type="dxa"/>
            <w:vAlign w:val="center"/>
          </w:tcPr>
          <w:p w14:paraId="5DCF9274">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投标有效期</w:t>
            </w:r>
          </w:p>
        </w:tc>
        <w:tc>
          <w:tcPr>
            <w:tcW w:w="6336" w:type="dxa"/>
            <w:vAlign w:val="top"/>
          </w:tcPr>
          <w:p w14:paraId="633D28C3">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自提交投标文件的截止之日起90个日历日</w:t>
            </w:r>
          </w:p>
        </w:tc>
      </w:tr>
      <w:tr w14:paraId="2547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C4B9C99">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w:t>
            </w:r>
          </w:p>
        </w:tc>
        <w:tc>
          <w:tcPr>
            <w:tcW w:w="2411" w:type="dxa"/>
            <w:vAlign w:val="center"/>
          </w:tcPr>
          <w:p w14:paraId="6B32CBEA">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投标担保</w:t>
            </w:r>
          </w:p>
        </w:tc>
        <w:tc>
          <w:tcPr>
            <w:tcW w:w="6336" w:type="dxa"/>
            <w:vAlign w:val="top"/>
          </w:tcPr>
          <w:p w14:paraId="2D0E676F">
            <w:pPr>
              <w:pStyle w:val="1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4"/>
                <w:highlight w:val="none"/>
                <w:lang w:val="en-US" w:eastAsia="zh-CN"/>
              </w:rPr>
              <w:t>无</w:t>
            </w:r>
          </w:p>
        </w:tc>
      </w:tr>
      <w:tr w14:paraId="1143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7B6F6EF">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12</w:t>
            </w:r>
          </w:p>
        </w:tc>
        <w:tc>
          <w:tcPr>
            <w:tcW w:w="2411" w:type="dxa"/>
            <w:vAlign w:val="center"/>
          </w:tcPr>
          <w:p w14:paraId="32B5DF5C">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汇款账户</w:t>
            </w:r>
          </w:p>
        </w:tc>
        <w:tc>
          <w:tcPr>
            <w:tcW w:w="6336" w:type="dxa"/>
            <w:vAlign w:val="top"/>
          </w:tcPr>
          <w:p w14:paraId="504A9DFC">
            <w:pPr>
              <w:pStyle w:val="37"/>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中国</w:t>
            </w:r>
            <w:r>
              <w:rPr>
                <w:rFonts w:hint="eastAsia" w:ascii="仿宋" w:hAnsi="仿宋" w:eastAsia="仿宋" w:cs="仿宋"/>
                <w:color w:val="auto"/>
                <w:sz w:val="24"/>
                <w:szCs w:val="24"/>
                <w:highlight w:val="none"/>
                <w:lang w:eastAsia="zh-CN"/>
              </w:rPr>
              <w:t>建设</w:t>
            </w:r>
            <w:r>
              <w:rPr>
                <w:rFonts w:hint="eastAsia" w:ascii="仿宋" w:hAnsi="仿宋" w:eastAsia="仿宋" w:cs="仿宋"/>
                <w:color w:val="auto"/>
                <w:sz w:val="24"/>
                <w:szCs w:val="24"/>
                <w:highlight w:val="none"/>
              </w:rPr>
              <w:t>银行：</w:t>
            </w:r>
            <w:r>
              <w:rPr>
                <w:rFonts w:hint="eastAsia" w:ascii="仿宋" w:hAnsi="仿宋" w:eastAsia="仿宋" w:cs="仿宋"/>
                <w:b w:val="0"/>
                <w:bCs w:val="0"/>
                <w:color w:val="auto"/>
                <w:sz w:val="24"/>
                <w:szCs w:val="24"/>
                <w:highlight w:val="none"/>
              </w:rPr>
              <w:t>招标服务费</w:t>
            </w:r>
            <w:r>
              <w:rPr>
                <w:rFonts w:hint="eastAsia" w:ascii="仿宋" w:hAnsi="仿宋" w:eastAsia="仿宋" w:cs="仿宋"/>
                <w:color w:val="auto"/>
                <w:sz w:val="24"/>
                <w:szCs w:val="24"/>
                <w:highlight w:val="none"/>
                <w:lang w:eastAsia="zh-CN"/>
              </w:rPr>
              <w:t>（交纳账户）</w:t>
            </w:r>
          </w:p>
          <w:p w14:paraId="1995DA4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华招广和项目管理有限公司</w:t>
            </w:r>
          </w:p>
          <w:p w14:paraId="72D6FF5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中国建设银行股份有限公司西安金泰假日花城支行</w:t>
            </w:r>
          </w:p>
          <w:p w14:paraId="2E4EC1B1">
            <w:pPr>
              <w:pStyle w:val="37"/>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帐  号：</w:t>
            </w:r>
            <w:r>
              <w:rPr>
                <w:rFonts w:hint="eastAsia" w:ascii="仿宋" w:hAnsi="仿宋" w:eastAsia="仿宋" w:cs="仿宋"/>
                <w:color w:val="auto"/>
                <w:sz w:val="24"/>
                <w:szCs w:val="24"/>
                <w:highlight w:val="none"/>
                <w:lang w:val="en-US" w:eastAsia="zh-CN"/>
              </w:rPr>
              <w:t>6105 0186 5800 0000 0059</w:t>
            </w:r>
          </w:p>
          <w:p w14:paraId="79276A1B">
            <w:pPr>
              <w:pStyle w:val="37"/>
              <w:spacing w:line="560" w:lineRule="exact"/>
              <w:ind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rPr>
              <w:t>注:招标服务费仅限于通过对公账户以转账形式交纳。</w:t>
            </w:r>
          </w:p>
        </w:tc>
      </w:tr>
      <w:tr w14:paraId="511E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14:paraId="23A22596">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13</w:t>
            </w:r>
          </w:p>
        </w:tc>
        <w:tc>
          <w:tcPr>
            <w:tcW w:w="2411" w:type="dxa"/>
            <w:vAlign w:val="center"/>
          </w:tcPr>
          <w:p w14:paraId="19128FD8">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备选投标方案</w:t>
            </w:r>
          </w:p>
          <w:p w14:paraId="4FAF35F7">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和报价</w:t>
            </w:r>
          </w:p>
        </w:tc>
        <w:tc>
          <w:tcPr>
            <w:tcW w:w="6336" w:type="dxa"/>
            <w:vAlign w:val="center"/>
          </w:tcPr>
          <w:p w14:paraId="54948B61">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不接受备选投标方案和多个报价。</w:t>
            </w:r>
          </w:p>
        </w:tc>
      </w:tr>
      <w:tr w14:paraId="38A8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FA74ECC">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14</w:t>
            </w:r>
          </w:p>
        </w:tc>
        <w:tc>
          <w:tcPr>
            <w:tcW w:w="2411" w:type="dxa"/>
            <w:vAlign w:val="center"/>
          </w:tcPr>
          <w:p w14:paraId="56D80A1F">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盖章签字</w:t>
            </w:r>
          </w:p>
        </w:tc>
        <w:tc>
          <w:tcPr>
            <w:tcW w:w="6336" w:type="dxa"/>
            <w:vAlign w:val="center"/>
          </w:tcPr>
          <w:p w14:paraId="7A191171">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tc>
      </w:tr>
      <w:tr w14:paraId="0497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88674A">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15</w:t>
            </w:r>
          </w:p>
        </w:tc>
        <w:tc>
          <w:tcPr>
            <w:tcW w:w="2411" w:type="dxa"/>
            <w:vAlign w:val="center"/>
          </w:tcPr>
          <w:p w14:paraId="7AEC1EA2">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投标文件数量、装订</w:t>
            </w:r>
          </w:p>
        </w:tc>
        <w:tc>
          <w:tcPr>
            <w:tcW w:w="6336" w:type="dxa"/>
            <w:vAlign w:val="center"/>
          </w:tcPr>
          <w:p w14:paraId="2BE888F9">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密封要求：</w:t>
            </w:r>
            <w:r>
              <w:rPr>
                <w:rFonts w:hint="eastAsia" w:ascii="仿宋" w:hAnsi="仿宋" w:eastAsia="仿宋" w:cs="仿宋"/>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14:paraId="1A8B87D6">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装订要求：</w:t>
            </w:r>
            <w:r>
              <w:rPr>
                <w:rFonts w:hint="eastAsia" w:ascii="仿宋" w:hAnsi="仿宋" w:eastAsia="仿宋" w:cs="仿宋"/>
                <w:color w:val="auto"/>
                <w:szCs w:val="24"/>
                <w:highlight w:val="none"/>
              </w:rPr>
              <w:t>投标文件一律采用书籍（胶装）方式装订</w:t>
            </w:r>
            <w:r>
              <w:rPr>
                <w:rFonts w:hint="eastAsia" w:ascii="仿宋" w:hAnsi="仿宋" w:eastAsia="仿宋" w:cs="仿宋"/>
                <w:color w:val="auto"/>
                <w:szCs w:val="24"/>
                <w:highlight w:val="none"/>
                <w:lang w:eastAsia="zh-CN"/>
              </w:rPr>
              <w:t>，在投标文件书脊处写明项目名称、项目编号及投标人名称</w:t>
            </w:r>
            <w:r>
              <w:rPr>
                <w:rFonts w:hint="eastAsia" w:ascii="仿宋" w:hAnsi="仿宋" w:eastAsia="仿宋" w:cs="仿宋"/>
                <w:color w:val="auto"/>
                <w:szCs w:val="24"/>
                <w:highlight w:val="none"/>
              </w:rPr>
              <w:t>。投标文件正本一份，副本四份，电子</w:t>
            </w:r>
            <w:r>
              <w:rPr>
                <w:rFonts w:hint="eastAsia" w:ascii="仿宋" w:hAnsi="仿宋" w:eastAsia="仿宋" w:cs="仿宋"/>
                <w:color w:val="auto"/>
                <w:szCs w:val="24"/>
                <w:highlight w:val="none"/>
                <w:lang w:val="en-US" w:eastAsia="zh-CN"/>
              </w:rPr>
              <w:t>文件</w:t>
            </w:r>
            <w:r>
              <w:rPr>
                <w:rFonts w:hint="eastAsia" w:ascii="仿宋" w:hAnsi="仿宋" w:eastAsia="仿宋" w:cs="仿宋"/>
                <w:color w:val="auto"/>
                <w:szCs w:val="24"/>
                <w:highlight w:val="none"/>
              </w:rPr>
              <w:t>一份（</w:t>
            </w:r>
            <w:r>
              <w:rPr>
                <w:rFonts w:hint="eastAsia" w:ascii="仿宋" w:hAnsi="仿宋" w:eastAsia="仿宋" w:cs="仿宋"/>
                <w:color w:val="auto"/>
                <w:szCs w:val="24"/>
                <w:highlight w:val="none"/>
                <w:lang w:eastAsia="zh-CN"/>
              </w:rPr>
              <w:t>用</w:t>
            </w:r>
            <w:r>
              <w:rPr>
                <w:rFonts w:hint="eastAsia" w:ascii="仿宋" w:hAnsi="仿宋" w:eastAsia="仿宋" w:cs="仿宋"/>
                <w:color w:val="auto"/>
                <w:szCs w:val="24"/>
                <w:highlight w:val="none"/>
              </w:rPr>
              <w:t>U盘或移动硬盘</w:t>
            </w:r>
            <w:r>
              <w:rPr>
                <w:rFonts w:hint="eastAsia" w:ascii="仿宋" w:hAnsi="仿宋" w:eastAsia="仿宋" w:cs="仿宋"/>
                <w:color w:val="auto"/>
                <w:szCs w:val="24"/>
                <w:highlight w:val="none"/>
                <w:lang w:eastAsia="zh-CN"/>
              </w:rPr>
              <w:t>拷贝</w:t>
            </w:r>
            <w:r>
              <w:rPr>
                <w:rFonts w:hint="eastAsia" w:ascii="仿宋" w:hAnsi="仿宋" w:eastAsia="仿宋" w:cs="仿宋"/>
                <w:color w:val="auto"/>
                <w:szCs w:val="24"/>
                <w:highlight w:val="none"/>
              </w:rPr>
              <w:t>），电子版投标文件提供投标文件正本的word版本及PDF版本（PDF文件为完整签字、盖章的正本扫描件）</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“开标一览表”一份。纸质投标文件均须A4纸打印</w:t>
            </w:r>
            <w:r>
              <w:rPr>
                <w:rFonts w:hint="eastAsia" w:ascii="仿宋" w:hAnsi="仿宋" w:eastAsia="仿宋" w:cs="仿宋"/>
                <w:color w:val="auto"/>
                <w:szCs w:val="24"/>
                <w:highlight w:val="none"/>
                <w:lang w:eastAsia="zh-CN"/>
              </w:rPr>
              <w:t>（提倡双面打印）</w:t>
            </w:r>
            <w:r>
              <w:rPr>
                <w:rFonts w:hint="eastAsia" w:ascii="仿宋" w:hAnsi="仿宋" w:eastAsia="仿宋" w:cs="仿宋"/>
                <w:color w:val="auto"/>
                <w:szCs w:val="24"/>
                <w:highlight w:val="none"/>
              </w:rPr>
              <w:t>，分别各自装订成册并编制目录和页码。电子</w:t>
            </w:r>
            <w:r>
              <w:rPr>
                <w:rFonts w:hint="eastAsia" w:ascii="仿宋" w:hAnsi="仿宋" w:eastAsia="仿宋" w:cs="仿宋"/>
                <w:color w:val="auto"/>
                <w:szCs w:val="24"/>
                <w:highlight w:val="none"/>
                <w:lang w:eastAsia="zh-CN"/>
              </w:rPr>
              <w:t>文件</w:t>
            </w:r>
            <w:r>
              <w:rPr>
                <w:rFonts w:hint="eastAsia" w:ascii="仿宋" w:hAnsi="仿宋" w:eastAsia="仿宋" w:cs="仿宋"/>
                <w:color w:val="auto"/>
                <w:szCs w:val="24"/>
                <w:highlight w:val="none"/>
              </w:rPr>
              <w:t>放置“开标一览表”标袋内。</w:t>
            </w:r>
          </w:p>
        </w:tc>
      </w:tr>
      <w:tr w14:paraId="7A6C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6A2B506">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16</w:t>
            </w:r>
          </w:p>
        </w:tc>
        <w:tc>
          <w:tcPr>
            <w:tcW w:w="2411" w:type="dxa"/>
            <w:vAlign w:val="center"/>
          </w:tcPr>
          <w:p w14:paraId="720627E0">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投标报价</w:t>
            </w:r>
          </w:p>
        </w:tc>
        <w:tc>
          <w:tcPr>
            <w:tcW w:w="6336" w:type="dxa"/>
            <w:vAlign w:val="center"/>
          </w:tcPr>
          <w:p w14:paraId="396E3A32">
            <w:pPr>
              <w:pStyle w:val="38"/>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rPr>
              <w:t>本项目属于交钥匙项目，投标报价=设备价（含税）</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运输费+安装费+调试费+培训费+产品辅材费+售后服务费+保险费+相关伴随费用等。</w:t>
            </w:r>
          </w:p>
        </w:tc>
      </w:tr>
      <w:tr w14:paraId="5E68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15C2127">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17</w:t>
            </w:r>
          </w:p>
        </w:tc>
        <w:tc>
          <w:tcPr>
            <w:tcW w:w="2411" w:type="dxa"/>
            <w:vAlign w:val="center"/>
          </w:tcPr>
          <w:p w14:paraId="17C4E121">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评标办法及标准</w:t>
            </w:r>
          </w:p>
        </w:tc>
        <w:tc>
          <w:tcPr>
            <w:tcW w:w="6336" w:type="dxa"/>
            <w:vAlign w:val="center"/>
          </w:tcPr>
          <w:p w14:paraId="4140C006">
            <w:pPr>
              <w:pStyle w:val="38"/>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详见招标文件第二章。</w:t>
            </w:r>
          </w:p>
        </w:tc>
      </w:tr>
      <w:tr w14:paraId="13F8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7B6FD05">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18</w:t>
            </w:r>
          </w:p>
        </w:tc>
        <w:tc>
          <w:tcPr>
            <w:tcW w:w="2411" w:type="dxa"/>
            <w:vAlign w:val="center"/>
          </w:tcPr>
          <w:p w14:paraId="15D907FA">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投标人信用信息</w:t>
            </w:r>
            <w:r>
              <w:rPr>
                <w:rFonts w:hint="eastAsia" w:ascii="仿宋" w:hAnsi="仿宋" w:eastAsia="仿宋" w:cs="仿宋"/>
                <w:color w:val="auto"/>
                <w:szCs w:val="24"/>
                <w:highlight w:val="none"/>
                <w:lang w:eastAsia="zh-CN"/>
              </w:rPr>
              <w:t>查询及特别说明</w:t>
            </w:r>
          </w:p>
        </w:tc>
        <w:tc>
          <w:tcPr>
            <w:tcW w:w="6336" w:type="dxa"/>
            <w:vAlign w:val="center"/>
          </w:tcPr>
          <w:p w14:paraId="2750B666">
            <w:pPr>
              <w:pStyle w:val="38"/>
              <w:numPr>
                <w:ilvl w:val="0"/>
                <w:numId w:val="3"/>
              </w:num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采购代理机构将于本项目投标截止日在‘信用中国’网站、‘中国政府采购网’网站等渠道对供应商进行信用记录查询，查询的信用记录将进行打印存档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凡被列入失信被执行人、重大税收违法案件当事人名单、政府采购严重违法失信行为记录名单的，视为存在不良信用记录，参与本项目的将被拒绝。</w:t>
            </w:r>
          </w:p>
          <w:p w14:paraId="65CCD3F9">
            <w:pPr>
              <w:pStyle w:val="38"/>
              <w:numPr>
                <w:ilvl w:val="0"/>
                <w:numId w:val="3"/>
              </w:num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投标人如在中标通知书发出前出现违法失信行为，采购人仍有权利提请评标委员会取消其中标资格</w:t>
            </w:r>
            <w:r>
              <w:rPr>
                <w:rFonts w:hint="eastAsia" w:ascii="仿宋" w:hAnsi="仿宋" w:eastAsia="仿宋" w:cs="仿宋"/>
                <w:color w:val="auto"/>
                <w:sz w:val="24"/>
                <w:szCs w:val="24"/>
                <w:highlight w:val="none"/>
                <w:lang w:eastAsia="zh-CN"/>
              </w:rPr>
              <w:t>。</w:t>
            </w:r>
          </w:p>
        </w:tc>
      </w:tr>
      <w:tr w14:paraId="541F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1F5C8E6">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19</w:t>
            </w:r>
          </w:p>
        </w:tc>
        <w:tc>
          <w:tcPr>
            <w:tcW w:w="2411" w:type="dxa"/>
            <w:vAlign w:val="center"/>
          </w:tcPr>
          <w:p w14:paraId="4C42048D">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其它事项</w:t>
            </w:r>
          </w:p>
        </w:tc>
        <w:tc>
          <w:tcPr>
            <w:tcW w:w="6336" w:type="dxa"/>
            <w:vAlign w:val="center"/>
          </w:tcPr>
          <w:p w14:paraId="6B436135">
            <w:pPr>
              <w:adjustRightInd w:val="0"/>
              <w:snapToGrid w:val="0"/>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本次采购、投标报价、评审和合同授予均以项目为单位，投标人必须就一个完整项目进行响应。中标投标人与采购人在中标通知书发出</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天内签订合同，不及时签订视为自动放弃。非经采购人同意，本项目不允许中标后另行转包或者分包。</w:t>
            </w:r>
            <w:r>
              <w:rPr>
                <w:rFonts w:hint="eastAsia" w:ascii="仿宋" w:hAnsi="仿宋" w:eastAsia="仿宋" w:cs="仿宋"/>
                <w:color w:val="auto"/>
                <w:kern w:val="0"/>
                <w:szCs w:val="24"/>
                <w:highlight w:val="none"/>
              </w:rPr>
              <w:t>中标人无正当理由不得放弃中标。</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tc>
      </w:tr>
      <w:tr w14:paraId="442B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90457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20</w:t>
            </w:r>
          </w:p>
        </w:tc>
        <w:tc>
          <w:tcPr>
            <w:tcW w:w="2411" w:type="dxa"/>
            <w:vAlign w:val="center"/>
          </w:tcPr>
          <w:p w14:paraId="139992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本项目是否专门面向中小企业</w:t>
            </w:r>
          </w:p>
        </w:tc>
        <w:tc>
          <w:tcPr>
            <w:tcW w:w="6336" w:type="dxa"/>
            <w:vAlign w:val="center"/>
          </w:tcPr>
          <w:p w14:paraId="689100AA">
            <w:pPr>
              <w:pStyle w:val="3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rPr>
              <w:t>□是   ☑否</w:t>
            </w:r>
          </w:p>
        </w:tc>
      </w:tr>
      <w:tr w14:paraId="5692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59FF732">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p>
        </w:tc>
        <w:tc>
          <w:tcPr>
            <w:tcW w:w="2411" w:type="dxa"/>
            <w:vAlign w:val="center"/>
          </w:tcPr>
          <w:p w14:paraId="38EBDA68">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本项目所属行业</w:t>
            </w:r>
          </w:p>
        </w:tc>
        <w:tc>
          <w:tcPr>
            <w:tcW w:w="6336" w:type="dxa"/>
            <w:vAlign w:val="center"/>
          </w:tcPr>
          <w:p w14:paraId="5FBE4472">
            <w:pPr>
              <w:adjustRightInd w:val="0"/>
              <w:snapToGrid w:val="0"/>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工业</w:t>
            </w:r>
          </w:p>
        </w:tc>
      </w:tr>
    </w:tbl>
    <w:p w14:paraId="33122975">
      <w:pPr>
        <w:keepNext/>
        <w:keepLines/>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159827C5">
      <w:pPr>
        <w:pStyle w:val="3"/>
        <w:spacing w:line="560" w:lineRule="exact"/>
        <w:rPr>
          <w:rFonts w:hint="eastAsia" w:ascii="仿宋" w:hAnsi="仿宋" w:eastAsia="仿宋" w:cs="仿宋"/>
          <w:color w:val="auto"/>
          <w:kern w:val="0"/>
          <w:sz w:val="28"/>
          <w:szCs w:val="28"/>
          <w:highlight w:val="none"/>
        </w:rPr>
      </w:pPr>
      <w:bookmarkStart w:id="11" w:name="_Toc1429"/>
      <w:r>
        <w:rPr>
          <w:rFonts w:hint="eastAsia" w:ascii="仿宋" w:hAnsi="仿宋" w:eastAsia="仿宋" w:cs="仿宋"/>
          <w:color w:val="auto"/>
          <w:kern w:val="0"/>
          <w:sz w:val="28"/>
          <w:szCs w:val="28"/>
          <w:highlight w:val="none"/>
        </w:rPr>
        <w:t>二、项目说明</w:t>
      </w:r>
      <w:bookmarkEnd w:id="11"/>
    </w:p>
    <w:p w14:paraId="4DFE51F2">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1、本项目说明详见投标人须知前附表。</w:t>
      </w:r>
      <w:bookmarkStart w:id="12" w:name="_Toc458617455"/>
      <w:bookmarkStart w:id="13" w:name="_Toc458617732"/>
    </w:p>
    <w:p w14:paraId="45AF37E9">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2、本项目按照《中华人民共和国政府采购法》等有关法律、行政法规和部门规章，通过公开招标方式择优选定中标人。</w:t>
      </w:r>
    </w:p>
    <w:bookmarkEnd w:id="12"/>
    <w:bookmarkEnd w:id="13"/>
    <w:p w14:paraId="228696F8">
      <w:pPr>
        <w:pStyle w:val="3"/>
        <w:spacing w:line="560" w:lineRule="exact"/>
        <w:rPr>
          <w:rFonts w:hint="eastAsia" w:ascii="仿宋" w:hAnsi="仿宋" w:eastAsia="仿宋" w:cs="仿宋"/>
          <w:color w:val="auto"/>
          <w:kern w:val="0"/>
          <w:sz w:val="28"/>
          <w:szCs w:val="28"/>
          <w:highlight w:val="none"/>
        </w:rPr>
      </w:pPr>
      <w:bookmarkStart w:id="14" w:name="_Toc458617456"/>
      <w:bookmarkStart w:id="15" w:name="_Toc19356"/>
      <w:bookmarkStart w:id="16" w:name="_Toc458617733"/>
      <w:r>
        <w:rPr>
          <w:rFonts w:hint="eastAsia" w:ascii="仿宋" w:hAnsi="仿宋" w:eastAsia="仿宋" w:cs="仿宋"/>
          <w:color w:val="auto"/>
          <w:kern w:val="0"/>
          <w:sz w:val="28"/>
          <w:szCs w:val="28"/>
          <w:highlight w:val="none"/>
        </w:rPr>
        <w:t>三、招标文件</w:t>
      </w:r>
      <w:bookmarkEnd w:id="14"/>
      <w:bookmarkEnd w:id="15"/>
      <w:bookmarkEnd w:id="16"/>
    </w:p>
    <w:p w14:paraId="7EBD9D6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1、招标文件购买：投标人须经过正常渠道购买招标文件，且投标人名称与登记领取招标文件的单位名称一致，否则将作为无效投标处理。</w:t>
      </w:r>
    </w:p>
    <w:p w14:paraId="4FFB73E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2、招标文件的组成：包括目录中所列的前五章。 </w:t>
      </w:r>
    </w:p>
    <w:p w14:paraId="23113C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3、投标人应认真审阅和充分理解招标文件所有的事项、格式、条款和规范要求等，在投标文件中对招标文件的各方面都做出实质性的响应，按照招标文件的要求提交全部资料。</w:t>
      </w:r>
    </w:p>
    <w:p w14:paraId="379C021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4、招标文件的澄清或修改：</w:t>
      </w:r>
    </w:p>
    <w:p w14:paraId="4094E18B">
      <w:pPr>
        <w:spacing w:line="560" w:lineRule="exact"/>
        <w:ind w:firstLine="480" w:firstLineChars="200"/>
        <w:rPr>
          <w:rFonts w:hint="eastAsia" w:ascii="仿宋" w:hAnsi="仿宋" w:eastAsia="仿宋" w:cs="仿宋"/>
          <w:b/>
          <w:color w:val="auto"/>
          <w:kern w:val="0"/>
          <w:sz w:val="18"/>
          <w:szCs w:val="18"/>
          <w:highlight w:val="none"/>
          <w:u w:color="FF0000"/>
        </w:rPr>
      </w:pPr>
      <w:bookmarkStart w:id="17" w:name="_Toc458617457"/>
      <w:bookmarkStart w:id="18" w:name="_Toc458617734"/>
      <w:r>
        <w:rPr>
          <w:rFonts w:hint="eastAsia" w:ascii="仿宋" w:hAnsi="仿宋" w:eastAsia="仿宋" w:cs="仿宋"/>
          <w:color w:val="auto"/>
          <w:szCs w:val="24"/>
          <w:highlight w:val="none"/>
        </w:rPr>
        <w:t>4-1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09D388D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7FDAACD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5、投标人若对招标文件有任何疑问，可以以书面形式向采购代理机构提出询问。</w:t>
      </w:r>
    </w:p>
    <w:p w14:paraId="6A21183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6、投标人认为招标文件使自己的权益受到损害的，在收到采购文件之日</w:t>
      </w:r>
      <w:r>
        <w:rPr>
          <w:rFonts w:hint="eastAsia" w:ascii="仿宋" w:hAnsi="仿宋" w:eastAsia="仿宋" w:cs="仿宋"/>
          <w:color w:val="auto"/>
          <w:kern w:val="0"/>
          <w:szCs w:val="24"/>
          <w:highlight w:val="none"/>
        </w:rPr>
        <w:t>起七个工作日内</w:t>
      </w:r>
      <w:r>
        <w:rPr>
          <w:rFonts w:hint="eastAsia" w:ascii="仿宋" w:hAnsi="仿宋" w:eastAsia="仿宋" w:cs="仿宋"/>
          <w:color w:val="auto"/>
          <w:szCs w:val="24"/>
          <w:highlight w:val="none"/>
        </w:rPr>
        <w:t>以书面形式向采购代理机构提出质疑，逾期提出的无效，</w:t>
      </w:r>
      <w:bookmarkStart w:id="19" w:name="OLE_LINK6"/>
      <w:r>
        <w:rPr>
          <w:rFonts w:hint="eastAsia" w:ascii="仿宋" w:hAnsi="仿宋" w:eastAsia="仿宋" w:cs="仿宋"/>
          <w:color w:val="auto"/>
          <w:szCs w:val="24"/>
          <w:highlight w:val="none"/>
        </w:rPr>
        <w:t>因此带来的一切不利后果由投标人自负。</w:t>
      </w:r>
      <w:bookmarkEnd w:id="19"/>
    </w:p>
    <w:p w14:paraId="479F20D1">
      <w:pPr>
        <w:kinsoku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7、在投标截止时间前，根据招标工作进展实际情况，采购人可酌情延长提交投标文件的截止时间，若延长将另行以书面形式通知各投标人并在原信息发布媒体上发布变更公告。</w:t>
      </w:r>
      <w:bookmarkStart w:id="20" w:name="OLE_LINK7"/>
      <w:r>
        <w:rPr>
          <w:rFonts w:hint="eastAsia" w:ascii="仿宋" w:hAnsi="仿宋" w:eastAsia="仿宋" w:cs="仿宋"/>
          <w:color w:val="auto"/>
          <w:szCs w:val="24"/>
          <w:highlight w:val="none"/>
        </w:rPr>
        <w:t>采购代理机构和投标人的权利和义务将受到新的截止期的约束。</w:t>
      </w:r>
    </w:p>
    <w:bookmarkEnd w:id="20"/>
    <w:p w14:paraId="1DA0685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8、投标人必须从采购代理机构购买招标文件，投标人自行转让或复制招标文件视为无效。招标文件售后不退，仅作为本次招标使用。</w:t>
      </w:r>
    </w:p>
    <w:p w14:paraId="718B523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9、如发现招标文件内容与现行法律法规不相符的情况，以现行法律法规为准。</w:t>
      </w:r>
    </w:p>
    <w:p w14:paraId="769FCF6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10、现场勘查、标前答疑会：见须知前附表。</w:t>
      </w:r>
    </w:p>
    <w:p w14:paraId="1AAD18A0">
      <w:pPr>
        <w:pStyle w:val="3"/>
        <w:spacing w:line="560" w:lineRule="exact"/>
        <w:rPr>
          <w:rFonts w:hint="eastAsia" w:ascii="仿宋" w:hAnsi="仿宋" w:eastAsia="仿宋" w:cs="仿宋"/>
          <w:color w:val="auto"/>
          <w:kern w:val="0"/>
          <w:sz w:val="28"/>
          <w:szCs w:val="28"/>
          <w:highlight w:val="none"/>
        </w:rPr>
      </w:pPr>
      <w:bookmarkStart w:id="21" w:name="_Toc4480"/>
      <w:r>
        <w:rPr>
          <w:rFonts w:hint="eastAsia" w:ascii="仿宋" w:hAnsi="仿宋" w:eastAsia="仿宋" w:cs="仿宋"/>
          <w:color w:val="auto"/>
          <w:kern w:val="0"/>
          <w:sz w:val="28"/>
          <w:szCs w:val="28"/>
          <w:highlight w:val="none"/>
        </w:rPr>
        <w:t>四、投标文件</w:t>
      </w:r>
      <w:bookmarkEnd w:id="17"/>
      <w:bookmarkEnd w:id="18"/>
      <w:bookmarkEnd w:id="21"/>
    </w:p>
    <w:p w14:paraId="51378D23">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xml:space="preserve">、投标文件的组成 </w:t>
      </w:r>
    </w:p>
    <w:p w14:paraId="2BF8C00A">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-1、投标函（格式）</w:t>
      </w:r>
    </w:p>
    <w:p w14:paraId="6565C791">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-2、开标一览表（格式）</w:t>
      </w:r>
    </w:p>
    <w:p w14:paraId="3865E4FE">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-3、投标分项报价表（格式）</w:t>
      </w:r>
    </w:p>
    <w:p w14:paraId="2ECB1C9F">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w:t>
      </w:r>
      <w:r>
        <w:rPr>
          <w:rFonts w:hint="eastAsia" w:ascii="仿宋" w:hAnsi="仿宋" w:eastAsia="仿宋" w:cs="仿宋"/>
          <w:color w:val="auto"/>
          <w:szCs w:val="24"/>
          <w:highlight w:val="none"/>
        </w:rPr>
        <w:t>选配件报价表（格式，若有）</w:t>
      </w:r>
    </w:p>
    <w:p w14:paraId="3F93CDF3">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、货物说明一览表（格式）</w:t>
      </w:r>
    </w:p>
    <w:p w14:paraId="15425D38">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、技术响应及偏离表（格式）</w:t>
      </w:r>
    </w:p>
    <w:p w14:paraId="6D73F95F">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、商务响应及偏离表（格式）</w:t>
      </w:r>
    </w:p>
    <w:p w14:paraId="3FD3F0A9">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、资格证明文件</w:t>
      </w:r>
    </w:p>
    <w:p w14:paraId="6483A37F">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9</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eastAsia="zh-CN"/>
        </w:rPr>
        <w:t>20</w:t>
      </w:r>
      <w:r>
        <w:rPr>
          <w:rFonts w:hint="eastAsia" w:ascii="仿宋" w:hAnsi="仿宋" w:eastAsia="仿宋" w:cs="仿宋"/>
          <w:color w:val="auto"/>
          <w:kern w:val="0"/>
          <w:szCs w:val="24"/>
          <w:highlight w:val="none"/>
          <w:lang w:val="en-US" w:eastAsia="zh-CN"/>
        </w:rPr>
        <w:t>21</w:t>
      </w:r>
      <w:r>
        <w:rPr>
          <w:rFonts w:hint="eastAsia" w:ascii="仿宋" w:hAnsi="仿宋" w:eastAsia="仿宋" w:cs="仿宋"/>
          <w:color w:val="auto"/>
          <w:kern w:val="0"/>
          <w:szCs w:val="24"/>
          <w:highlight w:val="none"/>
          <w:lang w:eastAsia="zh-CN"/>
        </w:rPr>
        <w:t>年1月1日</w:t>
      </w:r>
      <w:r>
        <w:rPr>
          <w:rFonts w:hint="eastAsia" w:ascii="仿宋" w:hAnsi="仿宋" w:eastAsia="仿宋" w:cs="仿宋"/>
          <w:color w:val="auto"/>
          <w:kern w:val="0"/>
          <w:szCs w:val="24"/>
          <w:highlight w:val="none"/>
        </w:rPr>
        <w:t>至今</w:t>
      </w:r>
      <w:r>
        <w:rPr>
          <w:rFonts w:hint="eastAsia" w:ascii="仿宋" w:hAnsi="仿宋" w:eastAsia="仿宋" w:cs="仿宋"/>
          <w:color w:val="auto"/>
          <w:kern w:val="0"/>
          <w:szCs w:val="24"/>
          <w:highlight w:val="none"/>
          <w:lang w:eastAsia="zh-CN"/>
        </w:rPr>
        <w:t>类似项目业绩</w:t>
      </w:r>
      <w:r>
        <w:rPr>
          <w:rFonts w:hint="eastAsia" w:ascii="仿宋" w:hAnsi="仿宋" w:eastAsia="仿宋" w:cs="仿宋"/>
          <w:color w:val="auto"/>
          <w:kern w:val="0"/>
          <w:szCs w:val="24"/>
          <w:highlight w:val="none"/>
        </w:rPr>
        <w:t>（以合同为准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复印件加盖公章</w:t>
      </w:r>
      <w:r>
        <w:rPr>
          <w:rFonts w:hint="eastAsia" w:ascii="仿宋" w:hAnsi="仿宋" w:eastAsia="仿宋" w:cs="仿宋"/>
          <w:color w:val="auto"/>
          <w:kern w:val="0"/>
          <w:szCs w:val="24"/>
          <w:highlight w:val="none"/>
        </w:rPr>
        <w:t>）</w:t>
      </w:r>
    </w:p>
    <w:p w14:paraId="43684023">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0</w:t>
      </w:r>
      <w:r>
        <w:rPr>
          <w:rFonts w:hint="eastAsia" w:ascii="仿宋" w:hAnsi="仿宋" w:eastAsia="仿宋" w:cs="仿宋"/>
          <w:color w:val="auto"/>
          <w:kern w:val="0"/>
          <w:szCs w:val="24"/>
          <w:highlight w:val="none"/>
        </w:rPr>
        <w:t>、产品的合法渠道证明文件</w:t>
      </w:r>
    </w:p>
    <w:p w14:paraId="4B78FBD4">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、项目实施方案</w:t>
      </w:r>
    </w:p>
    <w:p w14:paraId="11F02FD6">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、产品的技术文件</w:t>
      </w:r>
    </w:p>
    <w:p w14:paraId="12010BA6">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、质量保证</w:t>
      </w:r>
    </w:p>
    <w:p w14:paraId="001325C8">
      <w:pPr>
        <w:spacing w:line="560" w:lineRule="exact"/>
        <w:ind w:firstLine="240" w:firstLineChars="10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、售后服务</w:t>
      </w:r>
      <w:r>
        <w:rPr>
          <w:rFonts w:hint="eastAsia" w:ascii="仿宋" w:hAnsi="仿宋" w:eastAsia="仿宋" w:cs="仿宋"/>
          <w:color w:val="auto"/>
          <w:kern w:val="0"/>
          <w:szCs w:val="24"/>
          <w:highlight w:val="none"/>
          <w:lang w:eastAsia="zh-CN"/>
        </w:rPr>
        <w:t>及培训计划</w:t>
      </w:r>
    </w:p>
    <w:p w14:paraId="2C959429">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、招标文件要求的其他证明资料及投标人认为需要提供的资料。</w:t>
      </w:r>
    </w:p>
    <w:p w14:paraId="3669628E">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、投标文件编写说明</w:t>
      </w:r>
    </w:p>
    <w:p w14:paraId="77F8E130">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-1、投标文件</w:t>
      </w:r>
      <w:r>
        <w:rPr>
          <w:rFonts w:hint="eastAsia" w:ascii="仿宋" w:hAnsi="仿宋" w:eastAsia="仿宋" w:cs="仿宋"/>
          <w:color w:val="auto"/>
          <w:kern w:val="0"/>
          <w:szCs w:val="24"/>
          <w:highlight w:val="none"/>
        </w:rPr>
        <w:t>格式：投标文件应当按照招标文件给定的格式和要求编制，格式之外的可自行编写。</w:t>
      </w:r>
    </w:p>
    <w:p w14:paraId="2C0F2700">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-2、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p w14:paraId="738D1E10">
      <w:pPr>
        <w:spacing w:line="560" w:lineRule="exact"/>
        <w:ind w:firstLine="240" w:firstLineChars="100"/>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-3、投标文件正本中的法人授权书须为原件，其它资质证明文件为复印件加盖投标人公章（鲜章）。副本可以是正本的复印件。如果正本与副本不一致，以正本为准。</w:t>
      </w:r>
    </w:p>
    <w:p w14:paraId="3ABF9B08">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-4、投标文件的正本和副本均需打印或用不褪色、不变质的墨水书写。</w:t>
      </w:r>
    </w:p>
    <w:p w14:paraId="2FB0659E">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-5、投标文件因书写潦草、内容表达不清、印章或证明材料内容模糊难辨等导致的不利后果由投标人自行承担。</w:t>
      </w:r>
    </w:p>
    <w:p w14:paraId="2D51598D">
      <w:pPr>
        <w:spacing w:line="560" w:lineRule="exact"/>
        <w:ind w:firstLine="240" w:firstLineChars="1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-6、投标文件电子版内容须与投标文件纸质版正本中的内容一致。</w:t>
      </w:r>
    </w:p>
    <w:p w14:paraId="1D563393">
      <w:pPr>
        <w:spacing w:line="560" w:lineRule="exact"/>
        <w:ind w:firstLine="232" w:firstLineChars="100"/>
        <w:rPr>
          <w:rFonts w:hint="eastAsia" w:ascii="仿宋" w:hAnsi="仿宋" w:eastAsia="仿宋" w:cs="仿宋"/>
          <w:color w:val="auto"/>
          <w:szCs w:val="24"/>
          <w:highlight w:val="none"/>
        </w:rPr>
      </w:pPr>
      <w:r>
        <w:rPr>
          <w:rFonts w:hint="eastAsia" w:ascii="仿宋" w:hAnsi="仿宋" w:eastAsia="仿宋" w:cs="仿宋"/>
          <w:color w:val="auto"/>
          <w:spacing w:val="-4"/>
          <w:szCs w:val="24"/>
          <w:highlight w:val="none"/>
          <w:lang w:val="en-US" w:eastAsia="zh-CN"/>
        </w:rPr>
        <w:t>2</w:t>
      </w:r>
      <w:r>
        <w:rPr>
          <w:rFonts w:hint="eastAsia" w:ascii="仿宋" w:hAnsi="仿宋" w:eastAsia="仿宋" w:cs="仿宋"/>
          <w:color w:val="auto"/>
          <w:spacing w:val="-4"/>
          <w:szCs w:val="24"/>
          <w:highlight w:val="none"/>
        </w:rPr>
        <w:t>-7、“开标一览表”为在开标会议上唱标的内</w:t>
      </w:r>
      <w:r>
        <w:rPr>
          <w:rFonts w:hint="eastAsia" w:ascii="仿宋" w:hAnsi="仿宋" w:eastAsia="仿宋" w:cs="仿宋"/>
          <w:color w:val="auto"/>
          <w:szCs w:val="24"/>
          <w:highlight w:val="none"/>
        </w:rPr>
        <w:t>容，按格式要求填写，并单独密封提交，同时应保证“开标一览表”在投标文件正、副本中仍有且一致。如果不一致，以唱标内容为准。</w:t>
      </w:r>
    </w:p>
    <w:p w14:paraId="441B8747">
      <w:pPr>
        <w:spacing w:line="560" w:lineRule="exact"/>
        <w:ind w:firstLine="240" w:firstLineChars="1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2-8、</w:t>
      </w:r>
      <w:r>
        <w:rPr>
          <w:rFonts w:hint="eastAsia" w:ascii="仿宋" w:hAnsi="仿宋" w:eastAsia="仿宋" w:cs="仿宋"/>
          <w:color w:val="auto"/>
          <w:szCs w:val="24"/>
          <w:highlight w:val="none"/>
        </w:rPr>
        <w:t>开标一览表</w:t>
      </w:r>
      <w:r>
        <w:rPr>
          <w:rFonts w:hint="eastAsia" w:ascii="仿宋" w:hAnsi="仿宋" w:eastAsia="仿宋" w:cs="仿宋"/>
          <w:color w:val="auto"/>
          <w:szCs w:val="24"/>
          <w:highlight w:val="none"/>
          <w:lang w:eastAsia="zh-CN"/>
        </w:rPr>
        <w:t>必须由法定代表人或被授权人签字并加盖投标人公章，否则将</w:t>
      </w:r>
      <w:r>
        <w:rPr>
          <w:rFonts w:hint="eastAsia" w:ascii="仿宋" w:hAnsi="仿宋" w:eastAsia="仿宋" w:cs="仿宋"/>
          <w:color w:val="auto"/>
          <w:szCs w:val="24"/>
          <w:highlight w:val="none"/>
          <w:lang w:val="en-US" w:eastAsia="zh-CN"/>
        </w:rPr>
        <w:t>作为无效投标处理</w:t>
      </w:r>
      <w:r>
        <w:rPr>
          <w:rFonts w:hint="eastAsia" w:ascii="仿宋" w:hAnsi="仿宋" w:eastAsia="仿宋" w:cs="仿宋"/>
          <w:color w:val="auto"/>
          <w:szCs w:val="24"/>
          <w:highlight w:val="none"/>
          <w:lang w:eastAsia="zh-CN"/>
        </w:rPr>
        <w:t>。</w:t>
      </w:r>
    </w:p>
    <w:p w14:paraId="6C73F712">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、投标文件的装订及密封</w:t>
      </w:r>
    </w:p>
    <w:p w14:paraId="21723E64">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密封要求：</w:t>
      </w:r>
      <w:r>
        <w:rPr>
          <w:rFonts w:hint="eastAsia" w:ascii="仿宋" w:hAnsi="仿宋" w:eastAsia="仿宋" w:cs="仿宋"/>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14:paraId="7601139F">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装订要求：</w:t>
      </w:r>
      <w:r>
        <w:rPr>
          <w:rFonts w:hint="eastAsia" w:ascii="仿宋" w:hAnsi="仿宋" w:eastAsia="仿宋" w:cs="仿宋"/>
          <w:color w:val="auto"/>
          <w:szCs w:val="24"/>
          <w:highlight w:val="none"/>
        </w:rPr>
        <w:t>投标文件一律采用书籍（胶装）方式装订</w:t>
      </w:r>
      <w:r>
        <w:rPr>
          <w:rFonts w:hint="eastAsia" w:ascii="仿宋" w:hAnsi="仿宋" w:eastAsia="仿宋" w:cs="仿宋"/>
          <w:color w:val="auto"/>
          <w:szCs w:val="24"/>
          <w:highlight w:val="none"/>
          <w:lang w:eastAsia="zh-CN"/>
        </w:rPr>
        <w:t>，在投标文件书脊处必须写明项目名称、项目编号及投标人名称</w:t>
      </w:r>
      <w:r>
        <w:rPr>
          <w:rFonts w:hint="eastAsia" w:ascii="仿宋" w:hAnsi="仿宋" w:eastAsia="仿宋" w:cs="仿宋"/>
          <w:color w:val="auto"/>
          <w:szCs w:val="24"/>
          <w:highlight w:val="none"/>
        </w:rPr>
        <w:t>。投标文件正本一份，副本四份</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电子文件一份（</w:t>
      </w:r>
      <w:r>
        <w:rPr>
          <w:rFonts w:hint="eastAsia" w:ascii="仿宋" w:hAnsi="仿宋" w:eastAsia="仿宋" w:cs="仿宋"/>
          <w:color w:val="auto"/>
          <w:szCs w:val="24"/>
          <w:highlight w:val="none"/>
          <w:lang w:eastAsia="zh-CN"/>
        </w:rPr>
        <w:t>用</w:t>
      </w:r>
      <w:r>
        <w:rPr>
          <w:rFonts w:hint="eastAsia" w:ascii="仿宋" w:hAnsi="仿宋" w:eastAsia="仿宋" w:cs="仿宋"/>
          <w:color w:val="auto"/>
          <w:szCs w:val="24"/>
          <w:highlight w:val="none"/>
        </w:rPr>
        <w:t>U盘或移动硬盘</w:t>
      </w:r>
      <w:r>
        <w:rPr>
          <w:rFonts w:hint="eastAsia" w:ascii="仿宋" w:hAnsi="仿宋" w:eastAsia="仿宋" w:cs="仿宋"/>
          <w:color w:val="auto"/>
          <w:szCs w:val="24"/>
          <w:highlight w:val="none"/>
          <w:lang w:eastAsia="zh-CN"/>
        </w:rPr>
        <w:t>拷贝</w:t>
      </w:r>
      <w:r>
        <w:rPr>
          <w:rFonts w:hint="eastAsia" w:ascii="仿宋" w:hAnsi="仿宋" w:eastAsia="仿宋" w:cs="仿宋"/>
          <w:color w:val="auto"/>
          <w:szCs w:val="24"/>
          <w:highlight w:val="none"/>
        </w:rPr>
        <w:t>，谢绝光盘），电子版投标文件提供投标文件正本的word版本及PDF版本（PDF文件为完整签字、盖章的正本扫描件），“开标一览表”一份。纸质投标文件均须A4纸打印</w:t>
      </w:r>
      <w:r>
        <w:rPr>
          <w:rFonts w:hint="eastAsia" w:ascii="仿宋" w:hAnsi="仿宋" w:eastAsia="仿宋" w:cs="仿宋"/>
          <w:color w:val="auto"/>
          <w:szCs w:val="24"/>
          <w:highlight w:val="none"/>
          <w:lang w:eastAsia="zh-CN"/>
        </w:rPr>
        <w:t>（提倡双面打印）</w:t>
      </w:r>
      <w:r>
        <w:rPr>
          <w:rFonts w:hint="eastAsia" w:ascii="仿宋" w:hAnsi="仿宋" w:eastAsia="仿宋" w:cs="仿宋"/>
          <w:color w:val="auto"/>
          <w:szCs w:val="24"/>
          <w:highlight w:val="none"/>
        </w:rPr>
        <w:t>，分别各自装订成册并编制目录和页码</w:t>
      </w:r>
      <w:r>
        <w:rPr>
          <w:rFonts w:hint="eastAsia" w:ascii="仿宋" w:hAnsi="仿宋" w:eastAsia="仿宋" w:cs="仿宋"/>
          <w:color w:val="auto"/>
          <w:szCs w:val="24"/>
          <w:highlight w:val="none"/>
          <w:lang w:eastAsia="zh-CN"/>
        </w:rPr>
        <w:t>，产品彩页、厂家授权等证明材料原件除外</w:t>
      </w:r>
      <w:r>
        <w:rPr>
          <w:rFonts w:hint="eastAsia" w:ascii="仿宋" w:hAnsi="仿宋" w:eastAsia="仿宋" w:cs="仿宋"/>
          <w:color w:val="auto"/>
          <w:szCs w:val="24"/>
          <w:highlight w:val="none"/>
        </w:rPr>
        <w:t>。电子版放置“开标一览表”标袋内。</w:t>
      </w:r>
    </w:p>
    <w:p w14:paraId="15480781">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、投标文件的计量单位</w:t>
      </w:r>
    </w:p>
    <w:p w14:paraId="742965F8">
      <w:pPr>
        <w:spacing w:line="560" w:lineRule="exact"/>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投标文件中所使用的计量单位，除有特殊要求外，均采用国家法定计量单位。</w:t>
      </w:r>
    </w:p>
    <w:p w14:paraId="78D1DB62">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、投标报价</w:t>
      </w:r>
    </w:p>
    <w:p w14:paraId="3279B7D2">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-1、投标货币：人民币      单位:元（保留小数点后两位）。</w:t>
      </w:r>
    </w:p>
    <w:p w14:paraId="45212FFF">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-2、投标</w:t>
      </w:r>
      <w:bookmarkStart w:id="22" w:name="OLE_LINK11"/>
      <w:r>
        <w:rPr>
          <w:rFonts w:hint="eastAsia" w:ascii="仿宋" w:hAnsi="仿宋" w:eastAsia="仿宋" w:cs="仿宋"/>
          <w:color w:val="auto"/>
          <w:szCs w:val="24"/>
          <w:highlight w:val="none"/>
        </w:rPr>
        <w:t>报价是指产品到达使用地点，达到正常使用条件下的所有费用，包括产品的报价及所发生的运杂费（含保险）、现场安装调试费及按现行税收政策征收的一切税费等。以招标文件的内容和要求作为投标依据。</w:t>
      </w:r>
    </w:p>
    <w:p w14:paraId="7898DA35">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-3、本项目为交钥匙项目，投标报价=设备价（含税）</w:t>
      </w:r>
      <w:r>
        <w:rPr>
          <w:rFonts w:hint="eastAsia" w:ascii="仿宋" w:hAnsi="仿宋" w:eastAsia="仿宋" w:cs="仿宋"/>
          <w:b w:val="0"/>
          <w:bCs w:val="0"/>
          <w:color w:val="auto"/>
          <w:kern w:val="2"/>
          <w:sz w:val="24"/>
          <w:szCs w:val="24"/>
          <w:highlight w:val="none"/>
          <w:lang w:val="en-US" w:eastAsia="zh-CN"/>
        </w:rPr>
        <w:t>+</w:t>
      </w:r>
      <w:r>
        <w:rPr>
          <w:rFonts w:hint="eastAsia" w:ascii="仿宋" w:hAnsi="仿宋" w:eastAsia="仿宋" w:cs="仿宋"/>
          <w:b/>
          <w:color w:val="auto"/>
          <w:szCs w:val="24"/>
          <w:highlight w:val="none"/>
        </w:rPr>
        <w:t>运输费+安装费+调试费+培训费+产品辅材费+售后服务费+保险费+相关伴随费用等。</w:t>
      </w:r>
    </w:p>
    <w:bookmarkEnd w:id="22"/>
    <w:p w14:paraId="3A7A551E">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-4、投标人须对《采购内容及技术要求》中任何货物需求和服务要求进行完整报价，采购代理机构拒绝只对部分货物和服务进行报价的投标。投标人应在投标文件中的投标报价表上标明对本次招标拟提供货物和服务的单价及总价。任何有选择的报价将不予接受，每项货物和服务只允许有一个报价，并且在合同履行过程中是固定不变的。</w:t>
      </w:r>
    </w:p>
    <w:p w14:paraId="6A2B5C29">
      <w:pPr>
        <w:spacing w:line="560" w:lineRule="exact"/>
        <w:ind w:firstLine="588" w:firstLineChars="245"/>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5-5、</w:t>
      </w:r>
      <w:r>
        <w:rPr>
          <w:rFonts w:hint="eastAsia" w:ascii="仿宋" w:hAnsi="仿宋" w:eastAsia="仿宋" w:cs="仿宋"/>
          <w:color w:val="auto"/>
          <w:szCs w:val="24"/>
          <w:highlight w:val="none"/>
        </w:rPr>
        <w:t>不接受超过招标文件中规定的预算金额或者最高限价的报价、可变动性报价、赠送及“零”报价，</w:t>
      </w:r>
      <w:r>
        <w:rPr>
          <w:rFonts w:hint="eastAsia" w:ascii="仿宋" w:hAnsi="仿宋" w:eastAsia="仿宋" w:cs="仿宋"/>
          <w:b/>
          <w:bCs/>
          <w:color w:val="auto"/>
          <w:szCs w:val="24"/>
          <w:highlight w:val="none"/>
        </w:rPr>
        <w:t>否则视为无效投标</w:t>
      </w:r>
      <w:r>
        <w:rPr>
          <w:rFonts w:hint="eastAsia" w:ascii="仿宋" w:hAnsi="仿宋" w:eastAsia="仿宋" w:cs="仿宋"/>
          <w:color w:val="auto"/>
          <w:szCs w:val="24"/>
          <w:highlight w:val="none"/>
        </w:rPr>
        <w:t>。</w:t>
      </w:r>
    </w:p>
    <w:p w14:paraId="3E87EFC8">
      <w:pPr>
        <w:spacing w:line="560" w:lineRule="exact"/>
        <w:ind w:firstLine="588" w:firstLineChars="245"/>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、投标人要按所报产品分项报价表内容填写货物品名、单价及总价、制造厂家等内容，并由法人代表或被授权人签署。投标分项报价表上的价格应按下列要求分项填写：</w:t>
      </w:r>
    </w:p>
    <w:p w14:paraId="1CA37361">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（1）所投货物的设备价</w:t>
      </w:r>
    </w:p>
    <w:p w14:paraId="760AC675">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（2）备品备件价（根据招标文件要求和货物技术状况列出质量保证期内需要的备品备件清单和价格）</w:t>
      </w:r>
    </w:p>
    <w:p w14:paraId="65606029">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（3）专用工具价（如果需要使用）</w:t>
      </w:r>
    </w:p>
    <w:p w14:paraId="3B15B265">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（4）安装调试费用</w:t>
      </w:r>
    </w:p>
    <w:p w14:paraId="05F54AB6">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（5）货物运至指定地点的运输（含保险）费用</w:t>
      </w:r>
    </w:p>
    <w:p w14:paraId="3914BD22">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（6）售后服务费</w:t>
      </w:r>
    </w:p>
    <w:p w14:paraId="513F9EEE">
      <w:pPr>
        <w:spacing w:line="560" w:lineRule="exact"/>
        <w:ind w:firstLine="470" w:firstLineChars="196"/>
        <w:rPr>
          <w:rFonts w:hint="eastAsia" w:ascii="仿宋" w:hAnsi="仿宋" w:eastAsia="仿宋" w:cs="仿宋"/>
          <w:color w:val="auto"/>
          <w:highlight w:val="none"/>
        </w:rPr>
      </w:pPr>
      <w:r>
        <w:rPr>
          <w:rFonts w:hint="eastAsia" w:ascii="仿宋" w:hAnsi="仿宋" w:eastAsia="仿宋" w:cs="仿宋"/>
          <w:color w:val="auto"/>
          <w:szCs w:val="24"/>
          <w:highlight w:val="none"/>
        </w:rPr>
        <w:t>（7）培训费</w:t>
      </w:r>
    </w:p>
    <w:p w14:paraId="209AB8DE">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（8）招标文件要求的所有伴随服务的费用</w:t>
      </w:r>
      <w:r>
        <w:rPr>
          <w:rFonts w:hint="eastAsia" w:ascii="仿宋" w:hAnsi="仿宋" w:eastAsia="仿宋" w:cs="仿宋"/>
          <w:color w:val="auto"/>
          <w:szCs w:val="24"/>
          <w:highlight w:val="none"/>
        </w:rPr>
        <w:tab/>
      </w:r>
    </w:p>
    <w:p w14:paraId="5E002CE5">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（9）所有根据合同或其它原因应由投标人支付的税款和其它应交纳的费用都要包括在投标人提交的投标价格中。</w:t>
      </w:r>
    </w:p>
    <w:p w14:paraId="21AC11D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、投标人所报的投标价在合同执行过程中是固定不变的，不得以任何理由予以变更。任何包含价格调整要求的投标，将被认为是非响应性投标而予以拒绝。</w:t>
      </w:r>
    </w:p>
    <w:p w14:paraId="7AB6173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、选配件是投标产品的附件，仅作为采购人后期选择购买，其报价不包含在本次投标总价内。</w:t>
      </w:r>
    </w:p>
    <w:p w14:paraId="77DBB0E9">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、对投标人的其他要求：</w:t>
      </w:r>
    </w:p>
    <w:p w14:paraId="43DF882D">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-1、投标人不得以他人名义投标和串通投标。</w:t>
      </w:r>
    </w:p>
    <w:p w14:paraId="73563AA2">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-2、必须根据招标文件要求进行生产、供货等。</w:t>
      </w:r>
    </w:p>
    <w:p w14:paraId="52B5BCEF">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-3、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14:paraId="6E8F7F97">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-4、接受采购人委托的相关单位对货物内容、质量、进度、实施方案、价款支付与结算审核等的监督和管理。</w:t>
      </w:r>
    </w:p>
    <w:p w14:paraId="0D1B55AE">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60172E27">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4B07E34A">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-7、投标人不能以“赠送”、“赠予”等任何名义提供货物和服务以规避招标文件的约束。否则，将作为无效投标处理。投标人的行为将作为以不正当手段排挤其他投标人认定。</w:t>
      </w:r>
      <w:bookmarkStart w:id="23" w:name="_Toc458617735"/>
      <w:bookmarkStart w:id="24" w:name="_Toc458617458"/>
    </w:p>
    <w:p w14:paraId="25D9FC55">
      <w:pPr>
        <w:pStyle w:val="3"/>
        <w:spacing w:line="560" w:lineRule="exact"/>
        <w:rPr>
          <w:rFonts w:hint="eastAsia" w:ascii="仿宋" w:hAnsi="仿宋" w:eastAsia="仿宋" w:cs="仿宋"/>
          <w:color w:val="auto"/>
          <w:kern w:val="0"/>
          <w:sz w:val="28"/>
          <w:szCs w:val="28"/>
          <w:highlight w:val="none"/>
        </w:rPr>
      </w:pPr>
      <w:bookmarkStart w:id="25" w:name="_Toc14492"/>
      <w:r>
        <w:rPr>
          <w:rFonts w:hint="eastAsia" w:ascii="仿宋" w:hAnsi="仿宋" w:eastAsia="仿宋" w:cs="仿宋"/>
          <w:color w:val="auto"/>
          <w:kern w:val="0"/>
          <w:sz w:val="28"/>
          <w:szCs w:val="28"/>
          <w:highlight w:val="none"/>
        </w:rPr>
        <w:t>五、投标担保</w:t>
      </w:r>
      <w:bookmarkEnd w:id="23"/>
      <w:bookmarkEnd w:id="24"/>
      <w:bookmarkEnd w:id="25"/>
    </w:p>
    <w:p w14:paraId="48867C57">
      <w:pPr>
        <w:spacing w:line="560" w:lineRule="exact"/>
        <w:ind w:left="1294" w:leftChars="239" w:hanging="720" w:hangingChars="300"/>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val="en-US" w:eastAsia="zh-CN"/>
        </w:rPr>
        <w:t>无</w:t>
      </w:r>
    </w:p>
    <w:p w14:paraId="2BCE7AF0">
      <w:pPr>
        <w:pStyle w:val="3"/>
        <w:spacing w:line="560" w:lineRule="exact"/>
        <w:rPr>
          <w:rFonts w:hint="eastAsia" w:ascii="仿宋" w:hAnsi="仿宋" w:eastAsia="仿宋" w:cs="仿宋"/>
          <w:color w:val="auto"/>
          <w:kern w:val="0"/>
          <w:sz w:val="28"/>
          <w:szCs w:val="28"/>
          <w:highlight w:val="none"/>
        </w:rPr>
      </w:pPr>
      <w:bookmarkStart w:id="26" w:name="_Toc458617736"/>
      <w:bookmarkStart w:id="27" w:name="_Toc458617459"/>
      <w:bookmarkStart w:id="28" w:name="_Toc22244"/>
      <w:r>
        <w:rPr>
          <w:rFonts w:hint="eastAsia" w:ascii="仿宋" w:hAnsi="仿宋" w:eastAsia="仿宋" w:cs="仿宋"/>
          <w:color w:val="auto"/>
          <w:kern w:val="0"/>
          <w:sz w:val="28"/>
          <w:szCs w:val="28"/>
          <w:highlight w:val="none"/>
        </w:rPr>
        <w:t>六、投标</w:t>
      </w:r>
      <w:bookmarkEnd w:id="26"/>
      <w:bookmarkEnd w:id="27"/>
      <w:bookmarkEnd w:id="28"/>
    </w:p>
    <w:p w14:paraId="2BA69AB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1、投标文件的提交：</w:t>
      </w:r>
    </w:p>
    <w:p w14:paraId="0F2E972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1-1、投标人应在投标截止时间前将投标文件密封送达投标地点；</w:t>
      </w:r>
    </w:p>
    <w:p w14:paraId="0C43598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1-2、逾期送达或者未按照招标文件要求密封的投标文件，将被拒收；</w:t>
      </w:r>
    </w:p>
    <w:p w14:paraId="2B04B5A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、本次招标不接受邮寄的投标文件。</w:t>
      </w:r>
    </w:p>
    <w:p w14:paraId="5B2BC06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2、投标文件的补充、修改与撤回：</w:t>
      </w:r>
    </w:p>
    <w:p w14:paraId="14FAD2C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投标人在提交投标文件以后到投标截止时间之前,可以书面形式补充、修改或撤回已提交的投标文件，并以书面形式通知采购代理机构。补充、修改的内容应当按招标文件要求密封、签署、盖章，并作为投标文件的组成部分；补充、修改的内容与相应文件不一致的，以补充、修改的内容为准。</w:t>
      </w:r>
    </w:p>
    <w:p w14:paraId="7ACA874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2-2、投标人提出修改要求的，须在投标截止时间前密封送到采购代理机构，并在封面上加注“修改”字样。</w:t>
      </w:r>
    </w:p>
    <w:p w14:paraId="1919B7B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投标人提出撤标要求的，须在投标截止时间前以书面形式（经由法定代表人或被授权人签字）通知采购代理机构。如采取传真形式撤回投标，随后必须补充有法定代表人或被授权人签署的要求撤回投标的正式文件。采购代理机构摄像留存后，将要“撤回”的投标文件（包含纸质及电子版）退还投标人，投标人签字确认领取。</w:t>
      </w:r>
    </w:p>
    <w:p w14:paraId="6B8D0B3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2-4、投标截止时间之后，投标人不得补充、修改投标文件。</w:t>
      </w:r>
    </w:p>
    <w:p w14:paraId="6963744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2-5、在投标截止时间至投标有效期满之前，投标人不得撤回其投标文件。</w:t>
      </w:r>
    </w:p>
    <w:p w14:paraId="284049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3、投标有效期：</w:t>
      </w:r>
    </w:p>
    <w:p w14:paraId="3971E340">
      <w:pPr>
        <w:pStyle w:val="37"/>
        <w:spacing w:line="560" w:lineRule="exact"/>
        <w:ind w:firstLine="464"/>
        <w:rPr>
          <w:rFonts w:hint="eastAsia" w:ascii="仿宋" w:hAnsi="仿宋" w:eastAsia="仿宋" w:cs="仿宋"/>
          <w:color w:val="auto"/>
          <w:kern w:val="2"/>
          <w:sz w:val="24"/>
          <w:szCs w:val="24"/>
          <w:highlight w:val="none"/>
        </w:rPr>
      </w:pPr>
      <w:r>
        <w:rPr>
          <w:rFonts w:hint="eastAsia" w:ascii="仿宋" w:hAnsi="仿宋" w:eastAsia="仿宋" w:cs="仿宋"/>
          <w:color w:val="auto"/>
          <w:spacing w:val="-4"/>
          <w:sz w:val="24"/>
          <w:szCs w:val="24"/>
          <w:highlight w:val="none"/>
        </w:rPr>
        <w:t>3-1、自提交投标文件的截止之日起90个日历日。</w:t>
      </w:r>
      <w:bookmarkStart w:id="29" w:name="OLE_LINK15"/>
      <w:r>
        <w:rPr>
          <w:rFonts w:hint="eastAsia" w:ascii="仿宋" w:hAnsi="仿宋" w:eastAsia="仿宋" w:cs="仿宋"/>
          <w:color w:val="auto"/>
          <w:spacing w:val="-4"/>
          <w:sz w:val="24"/>
          <w:szCs w:val="24"/>
          <w:highlight w:val="none"/>
        </w:rPr>
        <w:t>投标人投标有效期短于招标文件规定</w:t>
      </w:r>
      <w:r>
        <w:rPr>
          <w:rFonts w:hint="eastAsia" w:ascii="仿宋" w:hAnsi="仿宋" w:eastAsia="仿宋" w:cs="仿宋"/>
          <w:color w:val="auto"/>
          <w:kern w:val="2"/>
          <w:sz w:val="24"/>
          <w:szCs w:val="24"/>
          <w:highlight w:val="none"/>
        </w:rPr>
        <w:t>的投标有效期，按无效投标处理。中标单位的投标有效期延长至合同执行完毕。</w:t>
      </w:r>
    </w:p>
    <w:p w14:paraId="30BB25B1">
      <w:pPr>
        <w:pStyle w:val="37"/>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3-2、在原投标有效期结束前，采购代理机构可要求投标人延长投标有效期。拒绝延长投标有效期的投标人不得参与该项目后续采购活动。同意延长投标有效期的投标人不得修改投标文件的实质性内容。</w:t>
      </w:r>
      <w:bookmarkEnd w:id="29"/>
      <w:bookmarkStart w:id="30" w:name="_Toc458617737"/>
      <w:bookmarkStart w:id="31" w:name="_Toc458617460"/>
    </w:p>
    <w:p w14:paraId="3E0E3F78">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rPr>
        <w:t>4、投标人</w:t>
      </w:r>
      <w:r>
        <w:rPr>
          <w:rFonts w:hint="eastAsia" w:ascii="仿宋" w:hAnsi="仿宋" w:eastAsia="仿宋" w:cs="仿宋"/>
          <w:color w:val="auto"/>
          <w:kern w:val="2"/>
          <w:sz w:val="24"/>
          <w:szCs w:val="24"/>
          <w:highlight w:val="none"/>
        </w:rPr>
        <w:t>有下列情形之一的，属于恶意串通，对其依照《中华人民共和国政府采购法》第七十七条第一款的规定追究法律责任，投标无效：</w:t>
      </w:r>
    </w:p>
    <w:p w14:paraId="3CD8C755">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4-1、投标人直接或者间接从采购人或采购代理机构处获得其他投标人的相关情况并修改其投标文件；</w:t>
      </w:r>
    </w:p>
    <w:p w14:paraId="4887BC79">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4-2、投标人按照采购人或采购代理机构的授意撤换、修改投标文件；</w:t>
      </w:r>
    </w:p>
    <w:p w14:paraId="050B3C9C">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4-3、投标人之间协商报价、技术方案等投标文件的实质性内容；</w:t>
      </w:r>
    </w:p>
    <w:p w14:paraId="412C1366">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4-4、属于同一集团、协会、商会等组织成员的投标人按照该组织要求协同参加政府采购活动；</w:t>
      </w:r>
    </w:p>
    <w:p w14:paraId="46E0C769">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4-5、投标人之间事先约定由某一特定投标人中标；</w:t>
      </w:r>
    </w:p>
    <w:p w14:paraId="2E9B6A1B">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4-6、投标人之间商定部分投标人放弃参加政府采购活动或放弃中标；</w:t>
      </w:r>
    </w:p>
    <w:p w14:paraId="03772721">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4-7、投标人相互之间，为谋求特定投标人中标或排斥其他投标人的其他串通行为。</w:t>
      </w:r>
    </w:p>
    <w:p w14:paraId="50297DDE">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5、有下列情形之一的，视为投标人串通投标，其投标无效：</w:t>
      </w:r>
    </w:p>
    <w:p w14:paraId="3E537DAA">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5-1、不同投标人的投标文件由同一单位或者个人编制；</w:t>
      </w:r>
    </w:p>
    <w:p w14:paraId="34D82F05">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5-2、不同投标人委托同一单位或者个人办理投标事宜；</w:t>
      </w:r>
    </w:p>
    <w:p w14:paraId="0434B8FC">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5-3、不同投标人的投标文件载明的项目管理成员或者联系人为同一人；</w:t>
      </w:r>
    </w:p>
    <w:p w14:paraId="37981C2E">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5-4、不同投标人的投标文件异常一致或者投标报价呈现规律性差异；</w:t>
      </w:r>
    </w:p>
    <w:p w14:paraId="68055C97">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5-5、不同投标人的投标文件相互混装；</w:t>
      </w:r>
    </w:p>
    <w:p w14:paraId="68BF7DE8">
      <w:pPr>
        <w:pStyle w:val="3"/>
        <w:spacing w:line="560" w:lineRule="exact"/>
        <w:rPr>
          <w:rFonts w:hint="eastAsia" w:ascii="仿宋" w:hAnsi="仿宋" w:eastAsia="仿宋" w:cs="仿宋"/>
          <w:color w:val="auto"/>
          <w:kern w:val="0"/>
          <w:sz w:val="28"/>
          <w:szCs w:val="28"/>
          <w:highlight w:val="none"/>
        </w:rPr>
      </w:pPr>
      <w:bookmarkStart w:id="32" w:name="_Toc1895"/>
      <w:r>
        <w:rPr>
          <w:rFonts w:hint="eastAsia" w:ascii="仿宋" w:hAnsi="仿宋" w:eastAsia="仿宋" w:cs="仿宋"/>
          <w:color w:val="auto"/>
          <w:kern w:val="0"/>
          <w:sz w:val="28"/>
          <w:szCs w:val="28"/>
          <w:highlight w:val="none"/>
        </w:rPr>
        <w:t>七、开标、资格审查、评标和定标</w:t>
      </w:r>
      <w:bookmarkEnd w:id="30"/>
      <w:bookmarkEnd w:id="31"/>
      <w:bookmarkEnd w:id="32"/>
    </w:p>
    <w:p w14:paraId="191D5DBB">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bCs/>
          <w:color w:val="auto"/>
          <w:szCs w:val="24"/>
          <w:highlight w:val="none"/>
        </w:rPr>
        <w:t>1、开标</w:t>
      </w:r>
    </w:p>
    <w:p w14:paraId="4606A03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1-1、采购代理机构按招标文件规定的时间和地点组织开标。</w:t>
      </w:r>
    </w:p>
    <w:p w14:paraId="37C07A1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1-2、所有参会人员应签名报到，以证明其出席。投标人未参加开标的，视同认可开标结果。</w:t>
      </w:r>
    </w:p>
    <w:p w14:paraId="78A1D91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1-3、开标会议由采购代理机构主持。主持人宣读开标会议开始，宣读会场纪律，宣布参加会议的投标人名单。</w:t>
      </w:r>
    </w:p>
    <w:p w14:paraId="16057368">
      <w:pPr>
        <w:spacing w:line="560" w:lineRule="exact"/>
        <w:ind w:firstLine="480" w:firstLineChars="200"/>
        <w:rPr>
          <w:rFonts w:hint="eastAsia" w:ascii="仿宋" w:hAnsi="仿宋" w:eastAsia="仿宋" w:cs="仿宋"/>
          <w:strike w:val="0"/>
          <w:color w:val="auto"/>
          <w:szCs w:val="24"/>
          <w:highlight w:val="none"/>
        </w:rPr>
      </w:pPr>
      <w:r>
        <w:rPr>
          <w:rFonts w:hint="eastAsia" w:ascii="仿宋" w:hAnsi="仿宋" w:eastAsia="仿宋" w:cs="仿宋"/>
          <w:color w:val="auto"/>
          <w:szCs w:val="24"/>
          <w:highlight w:val="none"/>
        </w:rPr>
        <w:t>1-4、投标人的法定代表人或被授权人与监标人当众检查所有投标文件的密封情况，签字确认并宣读检查结果。</w:t>
      </w:r>
    </w:p>
    <w:p w14:paraId="68A1FEF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采购代理机构依照提交的“开标一览表”的摆放顺序当众拆封，宣读投标人名称、投标价格和投标文件的其它主要内容并做记录。投标人确认无误后，由投标人的法定代表人或被授权人及监标人签字确认唱标内容。如投标人对宣读的“开标一览表”上的内容有异议，应在获得主持人同意后当场提出，如属于宣读错误，经现场监督人员核实后，当场予以更正。</w:t>
      </w:r>
    </w:p>
    <w:p w14:paraId="3475353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1-6、主持人宣布开标会议结束，所有投标人离场。</w:t>
      </w:r>
    </w:p>
    <w:p w14:paraId="35E7E77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1-7、采购代理机构对开标过程进行全程录音录像，并存档备查。</w:t>
      </w:r>
    </w:p>
    <w:p w14:paraId="140C72F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-8、采购代理机构对开标过程进行文字记录，由参加开标的各投标人代表和相关工作人员签字确认，并存档备查。投标人代表对开标过程和开标记录有疑义的，以及认为采购人、采购代理机构相关工作人员有需要回避的情形的，应当场提出询问或回避申请。</w:t>
      </w:r>
    </w:p>
    <w:p w14:paraId="1F2AF025">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2、资格审查</w:t>
      </w:r>
    </w:p>
    <w:p w14:paraId="61CF7ECB">
      <w:pPr>
        <w:spacing w:line="560" w:lineRule="exact"/>
        <w:ind w:firstLine="482" w:firstLineChars="200"/>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开标结束后，由采购人依法对投标人的资格进行审查，审查合格的投标人方可进入评标阶段，缺项或一项不符合要求即不合格，不合格的投标人其投标无效。资格证明文件须装订在每份</w:t>
      </w:r>
      <w:r>
        <w:rPr>
          <w:rFonts w:hint="eastAsia" w:ascii="仿宋" w:hAnsi="仿宋" w:eastAsia="仿宋" w:cs="仿宋"/>
          <w:b/>
          <w:bCs/>
          <w:color w:val="auto"/>
          <w:szCs w:val="24"/>
          <w:highlight w:val="none"/>
          <w:lang w:val="en-US" w:eastAsia="zh-CN"/>
        </w:rPr>
        <w:t>投标</w:t>
      </w:r>
      <w:r>
        <w:rPr>
          <w:rFonts w:hint="eastAsia" w:ascii="仿宋" w:hAnsi="仿宋" w:eastAsia="仿宋" w:cs="仿宋"/>
          <w:b/>
          <w:bCs/>
          <w:color w:val="auto"/>
          <w:szCs w:val="24"/>
          <w:highlight w:val="none"/>
        </w:rPr>
        <w:t>文件中。资格审查以</w:t>
      </w:r>
      <w:r>
        <w:rPr>
          <w:rFonts w:hint="eastAsia" w:ascii="仿宋" w:hAnsi="仿宋" w:eastAsia="仿宋" w:cs="仿宋"/>
          <w:b/>
          <w:bCs/>
          <w:color w:val="auto"/>
          <w:szCs w:val="24"/>
          <w:highlight w:val="none"/>
          <w:lang w:val="en-US" w:eastAsia="zh-CN"/>
        </w:rPr>
        <w:t>投标</w:t>
      </w:r>
      <w:r>
        <w:rPr>
          <w:rFonts w:hint="eastAsia" w:ascii="仿宋" w:hAnsi="仿宋" w:eastAsia="仿宋" w:cs="仿宋"/>
          <w:b/>
          <w:bCs/>
          <w:color w:val="auto"/>
          <w:szCs w:val="24"/>
          <w:highlight w:val="none"/>
        </w:rPr>
        <w:t>文件“正本”为准</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rPr>
        <w:t>逾期不接受任何补充材料：</w:t>
      </w:r>
    </w:p>
    <w:p w14:paraId="777B21E5">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（1）基本资格条件：符合《中华人民共和国政府采购法》第二十二条的规定：</w:t>
      </w:r>
    </w:p>
    <w:p w14:paraId="1A8D5F2B">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 xml:space="preserve">1、具有独立承担民事责任能力的法人、其他组织或自然人，并出具合法有效的营业执照或事业单位法人证书等国家规定的相关证明，自然人参与的提供其身份证明。 </w:t>
      </w:r>
    </w:p>
    <w:p w14:paraId="53DAD608">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2、财务状况报告：</w:t>
      </w:r>
      <w:r>
        <w:rPr>
          <w:rFonts w:hint="eastAsia" w:ascii="仿宋" w:hAnsi="仿宋" w:eastAsia="仿宋" w:cs="仿宋"/>
          <w:b w:val="0"/>
          <w:bCs/>
          <w:color w:val="auto"/>
          <w:szCs w:val="24"/>
          <w:highlight w:val="none"/>
          <w:lang w:eastAsia="zh-CN"/>
        </w:rPr>
        <w:t>提供具有财务审计资质单位出具的2022年度或2023年度财务报告</w:t>
      </w:r>
      <w:r>
        <w:rPr>
          <w:rFonts w:hint="eastAsia" w:ascii="仿宋" w:hAnsi="仿宋" w:eastAsia="仿宋" w:cs="仿宋"/>
          <w:b w:val="0"/>
          <w:bCs/>
          <w:color w:val="auto"/>
          <w:szCs w:val="24"/>
          <w:highlight w:val="none"/>
        </w:rPr>
        <w:t>（成立时间至开标时间不足一年的可提供成立后任意时段的资产负债表）或开标前六个月内其基本账户银行出具的资信证明（附开户许可证或基本账户证明）或政府采购信用担保机构出具的投标担保函。</w:t>
      </w:r>
    </w:p>
    <w:p w14:paraId="79FBB36E">
      <w:pPr>
        <w:pStyle w:val="37"/>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3、税收缴纳证明：</w:t>
      </w:r>
      <w:r>
        <w:rPr>
          <w:rFonts w:hint="eastAsia" w:ascii="仿宋" w:hAnsi="仿宋" w:eastAsia="仿宋" w:cs="仿宋"/>
          <w:color w:val="auto"/>
          <w:sz w:val="24"/>
          <w:highlight w:val="none"/>
          <w:lang w:eastAsia="zh-CN"/>
        </w:rPr>
        <w:t>提供202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年1月1日至今任意一个月已缴纳的纳税证明或完税证明（包含增值税、企业所得税、营业税至少一种）</w:t>
      </w:r>
      <w:r>
        <w:rPr>
          <w:rFonts w:hint="eastAsia" w:ascii="仿宋" w:hAnsi="仿宋" w:eastAsia="仿宋" w:cs="仿宋"/>
          <w:color w:val="auto"/>
          <w:sz w:val="24"/>
          <w:highlight w:val="none"/>
        </w:rPr>
        <w:t>；（依法免税的投标人应提供相关文件证明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E5A6C1E">
      <w:pPr>
        <w:pStyle w:val="37"/>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color w:val="auto"/>
          <w:sz w:val="24"/>
          <w:highlight w:val="none"/>
        </w:rPr>
        <w:t>4、社会保障资金缴纳证明：</w:t>
      </w:r>
      <w:r>
        <w:rPr>
          <w:rFonts w:hint="eastAsia" w:ascii="仿宋" w:hAnsi="仿宋" w:eastAsia="仿宋" w:cs="仿宋"/>
          <w:color w:val="auto"/>
          <w:sz w:val="24"/>
          <w:highlight w:val="none"/>
          <w:lang w:eastAsia="zh-CN"/>
        </w:rPr>
        <w:t>提供202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年1月1日至今任意一个月的社保缴费凭据或社保机构开具的社会保险参保缴费情况证明</w:t>
      </w:r>
      <w:r>
        <w:rPr>
          <w:rFonts w:hint="eastAsia" w:ascii="仿宋" w:hAnsi="仿宋" w:eastAsia="仿宋" w:cs="仿宋"/>
          <w:color w:val="auto"/>
          <w:sz w:val="24"/>
          <w:highlight w:val="none"/>
        </w:rPr>
        <w:t>；（依法不需要缴纳社会保障资金的投标人应提供相关证明）。</w:t>
      </w:r>
    </w:p>
    <w:p w14:paraId="0C4CDB90">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rPr>
        <w:t>5、提供具有履行本合同所必需的设备和专业技术能力的说明及承诺；（格式自拟，加盖投标人公章）</w:t>
      </w:r>
    </w:p>
    <w:p w14:paraId="43CDAE79">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6、提供参加政府采购活动前三年内在经营活动中没有重大违法记录的书面声明。（格式自拟，加盖投标人公章）</w:t>
      </w:r>
    </w:p>
    <w:p w14:paraId="39A804F3">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（2）、特定资格条件：</w:t>
      </w:r>
    </w:p>
    <w:p w14:paraId="258B945B">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14:paraId="62DD66F8">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b w:val="0"/>
          <w:bCs/>
          <w:color w:val="auto"/>
          <w:szCs w:val="24"/>
          <w:highlight w:val="none"/>
        </w:rPr>
        <w:t>2、被授权人参与投标时需提供法定代表人或负责人授权委托书（附法定代表人或负责人及被授权人身份证复印件）；（被授权人须提供身份证原件，身份证原件可由本人持有）</w:t>
      </w:r>
    </w:p>
    <w:p w14:paraId="7405466D">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3</w:t>
      </w:r>
      <w:r>
        <w:rPr>
          <w:rFonts w:hint="eastAsia" w:ascii="仿宋" w:hAnsi="仿宋" w:eastAsia="仿宋" w:cs="仿宋"/>
          <w:b w:val="0"/>
          <w:bCs/>
          <w:color w:val="auto"/>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6A2673F5">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4</w:t>
      </w:r>
      <w:r>
        <w:rPr>
          <w:rFonts w:hint="eastAsia" w:ascii="仿宋" w:hAnsi="仿宋" w:eastAsia="仿宋" w:cs="仿宋"/>
          <w:b w:val="0"/>
          <w:bCs/>
          <w:color w:val="auto"/>
          <w:szCs w:val="24"/>
          <w:highlight w:val="none"/>
        </w:rPr>
        <w:t>、单位负责人为同一人或者存在直接控股、管理关系的不同投标人，不得参加同一合同项下的政府采购活动；（提供书面承诺函，格式自拟加盖投标人公章）</w:t>
      </w:r>
    </w:p>
    <w:p w14:paraId="4C9836E7">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5</w:t>
      </w:r>
      <w:r>
        <w:rPr>
          <w:rFonts w:hint="eastAsia" w:ascii="仿宋" w:hAnsi="仿宋" w:eastAsia="仿宋" w:cs="仿宋"/>
          <w:b w:val="0"/>
          <w:bCs/>
          <w:color w:val="auto"/>
          <w:szCs w:val="24"/>
          <w:highlight w:val="none"/>
        </w:rPr>
        <w:t>、本项目不接受联合体投标；（提供书面承诺函，格式自拟加盖投标人公章）</w:t>
      </w:r>
    </w:p>
    <w:p w14:paraId="73EBF9A6">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3、评标</w:t>
      </w:r>
    </w:p>
    <w:p w14:paraId="1A13CBA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w:t>
      </w:r>
      <w:r>
        <w:rPr>
          <w:rFonts w:hint="eastAsia" w:ascii="仿宋" w:hAnsi="仿宋" w:eastAsia="仿宋" w:cs="仿宋"/>
          <w:bCs/>
          <w:color w:val="auto"/>
          <w:szCs w:val="24"/>
          <w:highlight w:val="none"/>
        </w:rPr>
        <w:t>评标委员会</w:t>
      </w:r>
    </w:p>
    <w:p w14:paraId="1EE7D90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（1）采购代理机构根据《中华人民共和国政府采购法》及其实施条例、《政府采购货物和服务招标投标管理办法》（财政部令第87号）等规定，依法组建评标委员会。</w:t>
      </w:r>
    </w:p>
    <w:p w14:paraId="7445E49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（2）采购人派代表进入评标委员会时，须向采购代理机构出具授权函。</w:t>
      </w:r>
    </w:p>
    <w:p w14:paraId="2E797A7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（3）评标委员会应推荐一名评审专家担任评审组长，并由评审组长牵头组织该项目评审工作，采购人代表不得担任评审组长。</w:t>
      </w:r>
    </w:p>
    <w:p w14:paraId="21A3807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（4）评标委员会成员不得参加开标活动。</w:t>
      </w:r>
    </w:p>
    <w:p w14:paraId="06EEE50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（5）评标委员会成员应当遵守并履行下列职责义务：</w:t>
      </w:r>
    </w:p>
    <w:p w14:paraId="14D6E27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a、遵纪守法，客观、公正、认真负责地履行职责，根据招标文件规定的评标程序、评标方法和评标标准审查投标文件；</w:t>
      </w:r>
    </w:p>
    <w:p w14:paraId="7685FD1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b、符合性审查、评价投标文件是否符合招标文件的商务、技术等实质性要求；</w:t>
      </w:r>
    </w:p>
    <w:p w14:paraId="7533CC6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c、要求投标人对投标文件有关事项作出澄清或者说明；</w:t>
      </w:r>
    </w:p>
    <w:p w14:paraId="1D37635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d、对投标文件进行比较和评价；</w:t>
      </w:r>
    </w:p>
    <w:p w14:paraId="0144953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e、确定中标候选人名单，以及根据采购人委托直接确定中标人；</w:t>
      </w:r>
    </w:p>
    <w:p w14:paraId="228AB15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f、向采购人、采购代理机构或者有关部门报告评标中发现的违法行为； </w:t>
      </w:r>
    </w:p>
    <w:p w14:paraId="126FC91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g、对评标过程及各投标人的商业机密予以保密；</w:t>
      </w:r>
    </w:p>
    <w:p w14:paraId="321A970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h、配合采购人、采购代理机构答复各投标人提出的质疑；</w:t>
      </w:r>
    </w:p>
    <w:p w14:paraId="6B3384E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i、配合各部门的投诉处理和监督检查工作。</w:t>
      </w:r>
    </w:p>
    <w:p w14:paraId="1802749A">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3-2、在政府采购活动中，采购人员及相关人员（包括评标委员会）与投标人有下列利害关系之一的，应当回避：</w:t>
      </w:r>
    </w:p>
    <w:p w14:paraId="1CA00F60">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（1）参加采购活动前3年内与投标人存在劳动关系；</w:t>
      </w:r>
    </w:p>
    <w:p w14:paraId="72585CD1">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（2）参加采购活动前3年内担任投标人的董事、监事；</w:t>
      </w:r>
    </w:p>
    <w:p w14:paraId="25E43D00">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（3）参加采购活动前3年内是投标人的控股股东或者实际控制人；</w:t>
      </w:r>
    </w:p>
    <w:p w14:paraId="28A88279">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（4）与投标人的法定代表人或者负责人有夫妻、直系血亲、三代以内旁系血亲或者近姻亲关系；</w:t>
      </w:r>
    </w:p>
    <w:p w14:paraId="68AC72D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（5）与投标人有其他可能影响政府采购活动公平、公正进行的关系。</w:t>
      </w:r>
    </w:p>
    <w:p w14:paraId="2E6CF946">
      <w:pPr>
        <w:spacing w:line="560" w:lineRule="exact"/>
        <w:ind w:firstLine="480" w:firstLineChars="200"/>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3-3、采购人、采购代理机构应当采取必要的措施，保证评标在严格保密的情况下进行。除采购人代表、评标现场组织人员外，采购人的其他工作人员以及与评标工作无关的人员不得进入评标现场。</w:t>
      </w:r>
    </w:p>
    <w:p w14:paraId="0402AAB7">
      <w:pPr>
        <w:spacing w:line="560" w:lineRule="exact"/>
        <w:ind w:firstLine="480" w:firstLineChars="200"/>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3-4、有关人员对评标情况以及在评标过程中获悉的国家秘密、商业秘密负有保密责任。</w:t>
      </w:r>
    </w:p>
    <w:p w14:paraId="4692C9F4">
      <w:pPr>
        <w:spacing w:line="56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、评标原则：</w:t>
      </w:r>
      <w:r>
        <w:rPr>
          <w:rFonts w:hint="eastAsia" w:ascii="仿宋" w:hAnsi="仿宋" w:eastAsia="仿宋" w:cs="仿宋"/>
          <w:color w:val="auto"/>
          <w:szCs w:val="24"/>
          <w:highlight w:val="none"/>
        </w:rPr>
        <w:t>坚持公平、公正、科学、择优原则，禁止不正当竞争。</w:t>
      </w:r>
    </w:p>
    <w:p w14:paraId="2824FA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6</w:t>
      </w:r>
      <w:r>
        <w:rPr>
          <w:rFonts w:hint="eastAsia" w:ascii="仿宋" w:hAnsi="仿宋" w:eastAsia="仿宋" w:cs="仿宋"/>
          <w:bCs/>
          <w:color w:val="auto"/>
          <w:szCs w:val="24"/>
          <w:highlight w:val="none"/>
        </w:rPr>
        <w:t>、评标办法</w:t>
      </w:r>
      <w:r>
        <w:rPr>
          <w:rFonts w:hint="eastAsia" w:ascii="仿宋" w:hAnsi="仿宋" w:eastAsia="仿宋" w:cs="仿宋"/>
          <w:color w:val="auto"/>
          <w:szCs w:val="24"/>
          <w:highlight w:val="none"/>
        </w:rPr>
        <w:t>：本次招标采用综合评分法（详见本节评分标准）。</w:t>
      </w:r>
    </w:p>
    <w:p w14:paraId="04437E73">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、评标工作程序：</w:t>
      </w:r>
      <w:r>
        <w:rPr>
          <w:rFonts w:hint="eastAsia" w:ascii="仿宋" w:hAnsi="仿宋" w:eastAsia="仿宋" w:cs="仿宋"/>
          <w:color w:val="auto"/>
          <w:szCs w:val="24"/>
          <w:highlight w:val="none"/>
        </w:rPr>
        <w:t>符合性审查、澄清、评价、推荐中标候选人的工作程序进行评标。</w:t>
      </w:r>
    </w:p>
    <w:p w14:paraId="08FC76D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-1、投标文件符合性审查</w:t>
      </w:r>
    </w:p>
    <w:p w14:paraId="36B1A0BE">
      <w:pPr>
        <w:spacing w:line="560" w:lineRule="exact"/>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依据招标文件的规定，对资格合格者投标文件的完整性、有效性和对招标文件的响应程度进行审查，以确定是否对招标文件的实质性内容做出响应，包含但不限于以下内容，未通过审查的按无效投标处理：</w:t>
      </w:r>
    </w:p>
    <w:p w14:paraId="3DCB081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（1）投标人名称与购买招标文件的单位名称</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一致；</w:t>
      </w:r>
    </w:p>
    <w:p w14:paraId="5FFCBA9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未</w:t>
      </w:r>
      <w:r>
        <w:rPr>
          <w:rFonts w:hint="eastAsia" w:ascii="仿宋" w:hAnsi="仿宋" w:eastAsia="仿宋" w:cs="仿宋"/>
          <w:color w:val="auto"/>
          <w:szCs w:val="24"/>
          <w:highlight w:val="none"/>
        </w:rPr>
        <w:t>按照招标文件的要求盖章签字；</w:t>
      </w:r>
    </w:p>
    <w:p w14:paraId="2DD74BA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符合招标文件要求的数量；</w:t>
      </w:r>
    </w:p>
    <w:p w14:paraId="3D54E2F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）针对同一项目提交两份或多份内容不同的投标文件，未书面声明哪一份是有效的或出现选择性报价的；</w:t>
      </w:r>
    </w:p>
    <w:p w14:paraId="368EEB6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xml:space="preserve">）投标报价超过采购预算； </w:t>
      </w:r>
    </w:p>
    <w:p w14:paraId="3697308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）投标有效期</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符合招标文件的要求；</w:t>
      </w:r>
    </w:p>
    <w:p w14:paraId="497515A2">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（7）未对招标文件商务要求作出明确且实质性响应。</w:t>
      </w:r>
    </w:p>
    <w:p w14:paraId="1159D538">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未对招标文件技术要求作出明确响应，对不得偏离的要求未作出实质性响应；</w:t>
      </w:r>
    </w:p>
    <w:p w14:paraId="141D802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法律、法规和</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文供规定的其他无效投标情形</w:t>
      </w:r>
      <w:r>
        <w:rPr>
          <w:rFonts w:hint="eastAsia" w:ascii="仿宋" w:hAnsi="仿宋" w:eastAsia="仿宋" w:cs="仿宋"/>
          <w:color w:val="auto"/>
          <w:sz w:val="24"/>
          <w:highlight w:val="none"/>
          <w:lang w:eastAsia="zh-CN"/>
        </w:rPr>
        <w:t>。</w:t>
      </w:r>
    </w:p>
    <w:p w14:paraId="0A51731D">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-2、投标文件的澄清：</w:t>
      </w:r>
    </w:p>
    <w:p w14:paraId="101F44B4">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045A1F0E">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（2）书写错误的评审标准：</w:t>
      </w:r>
    </w:p>
    <w:p w14:paraId="5747166B">
      <w:pPr>
        <w:overflowPunct w:val="0"/>
        <w:adjustRightInd w:val="0"/>
        <w:snapToGrid w:val="0"/>
        <w:spacing w:line="56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评标委员会在评标过程中，发现投标文件出现下列情况之一者，按以下原则修正：</w:t>
      </w:r>
    </w:p>
    <w:p w14:paraId="26A8AA78">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a、</w:t>
      </w:r>
      <w:r>
        <w:rPr>
          <w:rFonts w:hint="eastAsia" w:ascii="仿宋" w:hAnsi="仿宋" w:eastAsia="仿宋" w:cs="仿宋"/>
          <w:color w:val="auto"/>
          <w:szCs w:val="24"/>
          <w:highlight w:val="none"/>
        </w:rPr>
        <w:t>投标文件有关内容与“开标一览表”不一致的，以“开标一览表”为准</w:t>
      </w:r>
      <w:r>
        <w:rPr>
          <w:rFonts w:hint="eastAsia" w:ascii="仿宋" w:hAnsi="仿宋" w:eastAsia="仿宋" w:cs="仿宋"/>
          <w:color w:val="auto"/>
          <w:highlight w:val="none"/>
        </w:rPr>
        <w:t>；</w:t>
      </w:r>
    </w:p>
    <w:p w14:paraId="54B043B8">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b、</w:t>
      </w:r>
      <w:r>
        <w:rPr>
          <w:rFonts w:hint="eastAsia" w:ascii="仿宋" w:hAnsi="仿宋" w:eastAsia="仿宋" w:cs="仿宋"/>
          <w:color w:val="auto"/>
          <w:szCs w:val="24"/>
          <w:highlight w:val="none"/>
        </w:rPr>
        <w:t>大写金额与小写金额不一致的，以大写金额为准</w:t>
      </w:r>
      <w:r>
        <w:rPr>
          <w:rFonts w:hint="eastAsia" w:ascii="仿宋" w:hAnsi="仿宋" w:eastAsia="仿宋" w:cs="仿宋"/>
          <w:color w:val="auto"/>
          <w:highlight w:val="none"/>
        </w:rPr>
        <w:t>；</w:t>
      </w:r>
    </w:p>
    <w:p w14:paraId="29380025">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c、单价金额小数点或者百分比有明显错位的，以“</w:t>
      </w:r>
      <w:r>
        <w:rPr>
          <w:rFonts w:hint="eastAsia" w:ascii="仿宋" w:hAnsi="仿宋" w:eastAsia="仿宋" w:cs="仿宋"/>
          <w:color w:val="auto"/>
          <w:szCs w:val="24"/>
          <w:highlight w:val="none"/>
        </w:rPr>
        <w:t>开标一览表</w:t>
      </w:r>
      <w:r>
        <w:rPr>
          <w:rFonts w:hint="eastAsia" w:ascii="仿宋" w:hAnsi="仿宋" w:eastAsia="仿宋" w:cs="仿宋"/>
          <w:color w:val="auto"/>
          <w:highlight w:val="none"/>
        </w:rPr>
        <w:t>”的总价为准，并修改单价；</w:t>
      </w:r>
    </w:p>
    <w:p w14:paraId="14F439D6">
      <w:pPr>
        <w:overflowPunct w:val="0"/>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d、总价金额与按</w:t>
      </w:r>
      <w:r>
        <w:rPr>
          <w:rFonts w:hint="eastAsia" w:ascii="仿宋" w:hAnsi="仿宋" w:eastAsia="仿宋" w:cs="仿宋"/>
          <w:color w:val="auto"/>
          <w:szCs w:val="24"/>
          <w:highlight w:val="none"/>
        </w:rPr>
        <w:t>单价汇总金额不一致的，以单价乘以数量的计算结果为准</w:t>
      </w:r>
      <w:r>
        <w:rPr>
          <w:rFonts w:hint="eastAsia" w:ascii="仿宋" w:hAnsi="仿宋" w:eastAsia="仿宋" w:cs="仿宋"/>
          <w:color w:val="auto"/>
          <w:highlight w:val="none"/>
        </w:rPr>
        <w:t>；</w:t>
      </w:r>
    </w:p>
    <w:p w14:paraId="5B51C830">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e、</w:t>
      </w:r>
      <w:r>
        <w:rPr>
          <w:rFonts w:hint="eastAsia" w:ascii="仿宋" w:hAnsi="仿宋" w:eastAsia="仿宋" w:cs="仿宋"/>
          <w:color w:val="auto"/>
          <w:szCs w:val="24"/>
          <w:highlight w:val="none"/>
        </w:rPr>
        <w:t>投标文件图表与文字不符时，以文字为准</w:t>
      </w:r>
      <w:r>
        <w:rPr>
          <w:rFonts w:hint="eastAsia" w:ascii="仿宋" w:hAnsi="仿宋" w:eastAsia="仿宋" w:cs="仿宋"/>
          <w:color w:val="auto"/>
          <w:highlight w:val="none"/>
        </w:rPr>
        <w:t>；</w:t>
      </w:r>
    </w:p>
    <w:p w14:paraId="4B2B2E2B">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f、投标文件正本与副本不符时，以正本为准；</w:t>
      </w:r>
    </w:p>
    <w:p w14:paraId="5A25FA40">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g、对不同文字文本投标文件的解释发生异议的，以中文文本为准；</w:t>
      </w:r>
    </w:p>
    <w:p w14:paraId="67E33080">
      <w:pPr>
        <w:overflowPunct w:val="0"/>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h、</w:t>
      </w:r>
      <w:r>
        <w:rPr>
          <w:rFonts w:hint="eastAsia" w:ascii="仿宋" w:hAnsi="仿宋" w:eastAsia="仿宋" w:cs="仿宋"/>
          <w:color w:val="auto"/>
          <w:szCs w:val="24"/>
          <w:highlight w:val="none"/>
        </w:rPr>
        <w:t>多处内容交叉不符时，以评标委员会评审结果为准。</w:t>
      </w:r>
    </w:p>
    <w:p w14:paraId="2CF8A324">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注：按上述方法修正的内容（其中，同时出现上述a至d两种以上不一致的，按上述规定的顺序修正），经投标人确认后产生约束力，投标人不确认的，其投标无效。</w:t>
      </w:r>
    </w:p>
    <w:p w14:paraId="1EF23501">
      <w:pPr>
        <w:spacing w:line="560" w:lineRule="exact"/>
        <w:ind w:firstLine="465"/>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FF3E10">
      <w:pPr>
        <w:spacing w:line="560" w:lineRule="exact"/>
        <w:ind w:firstLine="465"/>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-3、评价：</w:t>
      </w:r>
    </w:p>
    <w:p w14:paraId="5B1C604B">
      <w:pPr>
        <w:spacing w:line="560" w:lineRule="exact"/>
        <w:ind w:firstLine="465"/>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（1）评标委员会评审投标文件符合性只根据投标文件本身的内容，而不寻求其他外部证据。</w:t>
      </w:r>
    </w:p>
    <w:p w14:paraId="52A25F36">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（2）</w:t>
      </w:r>
      <w:r>
        <w:rPr>
          <w:rFonts w:hint="eastAsia" w:ascii="仿宋" w:hAnsi="仿宋" w:eastAsia="仿宋" w:cs="仿宋"/>
          <w:color w:val="auto"/>
          <w:highlight w:val="none"/>
        </w:rPr>
        <w:t>评标采取逐项分步评审方式，每一步评审不符合者，不进入下一步评审，全部评审合格的投标人进行最后的综合评审和打分，按最后得分由高向低排序，推荐中标候选人。</w:t>
      </w:r>
    </w:p>
    <w:p w14:paraId="0A897B1E">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（3）其他需说明的情况：</w:t>
      </w:r>
    </w:p>
    <w:p w14:paraId="52B9306C">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a、对于投标文件中不构成实质性偏差的小的不正规、不一致或不规则，采购人可以接受，但这种接受不能损害或影响任何投标人的相对排序；</w:t>
      </w:r>
    </w:p>
    <w:p w14:paraId="6EE105C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b、最低报价不是中标的唯一条件；</w:t>
      </w:r>
    </w:p>
    <w:p w14:paraId="5B9C8633">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c、如果投标实质上没有响应招标文件的要求，其投标将被拒绝，投标人不得通过修正或撤消不合要求的偏离或保留从而使其投标成为实质上响应的投标。</w:t>
      </w:r>
    </w:p>
    <w:p w14:paraId="2F24CFF6">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d、</w:t>
      </w:r>
      <w:r>
        <w:rPr>
          <w:rFonts w:hint="eastAsia" w:ascii="仿宋" w:hAnsi="仿宋" w:eastAsia="仿宋" w:cs="仿宋"/>
          <w:color w:val="auto"/>
          <w:szCs w:val="24"/>
          <w:highlight w:val="none"/>
        </w:rPr>
        <w:t>无论投标的结果如何，投标期间一切费用自理。</w:t>
      </w:r>
    </w:p>
    <w:p w14:paraId="5D92EC7B">
      <w:pPr>
        <w:spacing w:line="560" w:lineRule="exact"/>
        <w:ind w:firstLine="600" w:firstLineChars="24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8</w:t>
      </w:r>
      <w:r>
        <w:rPr>
          <w:rFonts w:hint="eastAsia" w:ascii="仿宋" w:hAnsi="仿宋" w:eastAsia="仿宋" w:cs="仿宋"/>
          <w:b/>
          <w:color w:val="auto"/>
          <w:szCs w:val="24"/>
          <w:highlight w:val="none"/>
        </w:rPr>
        <w:t>、评分标准：</w:t>
      </w:r>
    </w:p>
    <w:tbl>
      <w:tblPr>
        <w:tblStyle w:val="23"/>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66"/>
        <w:gridCol w:w="8084"/>
      </w:tblGrid>
      <w:tr w14:paraId="6C8D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1648E800">
            <w:pPr>
              <w:shd w:val="clear"/>
              <w:spacing w:line="560" w:lineRule="exact"/>
              <w:ind w:right="-108" w:rightChars="-45"/>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报价</w:t>
            </w:r>
          </w:p>
        </w:tc>
        <w:tc>
          <w:tcPr>
            <w:tcW w:w="766" w:type="dxa"/>
            <w:vAlign w:val="center"/>
          </w:tcPr>
          <w:p w14:paraId="4926082F">
            <w:pPr>
              <w:shd w:val="clear"/>
              <w:spacing w:line="560" w:lineRule="exact"/>
              <w:ind w:left="-134" w:leftChars="-56" w:right="-108" w:rightChars="-45"/>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30分</w:t>
            </w:r>
          </w:p>
        </w:tc>
        <w:tc>
          <w:tcPr>
            <w:tcW w:w="8084" w:type="dxa"/>
            <w:vAlign w:val="center"/>
          </w:tcPr>
          <w:p w14:paraId="0A10BB15">
            <w:pPr>
              <w:pStyle w:val="39"/>
              <w:shd w:val="clear"/>
              <w:spacing w:line="560" w:lineRule="exac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按照财政部《政府采购货物和服务招标投标管理办法》（财政部令第87号）的有关规定：</w:t>
            </w:r>
            <w:r>
              <w:rPr>
                <w:rFonts w:hint="eastAsia" w:ascii="仿宋" w:hAnsi="仿宋" w:eastAsia="仿宋" w:cs="仿宋"/>
                <w:color w:val="auto"/>
                <w:kern w:val="2"/>
                <w:sz w:val="24"/>
                <w:szCs w:val="24"/>
                <w:highlight w:val="none"/>
              </w:rPr>
              <w:t>价格分采用低价优先法计算，即满足招标文件要求且投标价格最低的投标报价为评标基准价，其价格分为满分。其他投标人的价格分统一按照下列公式计算：</w:t>
            </w:r>
          </w:p>
          <w:p w14:paraId="2D9DA71B">
            <w:pPr>
              <w:widowControl/>
              <w:shd w:val="clear"/>
              <w:spacing w:line="56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投标报价得分=（评标基准价/投标报价）×价格权值×100</w:t>
            </w:r>
          </w:p>
          <w:p w14:paraId="2B773302">
            <w:pPr>
              <w:widowControl/>
              <w:shd w:val="clear"/>
              <w:spacing w:line="560" w:lineRule="exact"/>
              <w:jc w:val="left"/>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rPr>
              <w:t>（因落实政府采购政策进行价格调整的，以调整后的价格计算评标基准价和投标报价，详见3-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-1至3-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 xml:space="preserve">  </w:t>
            </w:r>
          </w:p>
        </w:tc>
      </w:tr>
      <w:tr w14:paraId="5869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027AA84F">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技术</w:t>
            </w:r>
          </w:p>
          <w:p w14:paraId="08D83C75">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响应</w:t>
            </w:r>
          </w:p>
        </w:tc>
        <w:tc>
          <w:tcPr>
            <w:tcW w:w="766" w:type="dxa"/>
            <w:vAlign w:val="center"/>
          </w:tcPr>
          <w:p w14:paraId="625AF04D">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33</w:t>
            </w:r>
            <w:r>
              <w:rPr>
                <w:rFonts w:hint="eastAsia" w:ascii="仿宋" w:hAnsi="仿宋" w:eastAsia="仿宋" w:cs="仿宋"/>
                <w:color w:val="auto"/>
                <w:kern w:val="0"/>
                <w:szCs w:val="24"/>
                <w:highlight w:val="none"/>
              </w:rPr>
              <w:t>分</w:t>
            </w:r>
          </w:p>
        </w:tc>
        <w:tc>
          <w:tcPr>
            <w:tcW w:w="8084" w:type="dxa"/>
          </w:tcPr>
          <w:p w14:paraId="1D43B31C">
            <w:pPr>
              <w:widowControl/>
              <w:numPr>
                <w:ilvl w:val="0"/>
                <w:numId w:val="4"/>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投标人所投产品的技术参数和性能要求完全满足招标文件要求的得</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eastAsia="zh-CN"/>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项参数为重要参数，</w:t>
            </w:r>
            <w:r>
              <w:rPr>
                <w:rFonts w:hint="eastAsia" w:ascii="仿宋" w:hAnsi="仿宋" w:eastAsia="仿宋" w:cs="仿宋"/>
                <w:color w:val="auto"/>
                <w:szCs w:val="24"/>
                <w:highlight w:val="none"/>
                <w:lang w:eastAsia="zh-CN"/>
              </w:rPr>
              <w:t>每负偏离一项扣</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分，</w:t>
            </w:r>
            <w:r>
              <w:rPr>
                <w:rFonts w:hint="eastAsia" w:ascii="仿宋" w:hAnsi="仿宋" w:eastAsia="仿宋" w:cs="仿宋"/>
                <w:color w:val="auto"/>
                <w:szCs w:val="24"/>
                <w:highlight w:val="none"/>
                <w:lang w:val="en-US" w:eastAsia="zh-CN"/>
              </w:rPr>
              <w:t>非</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项参数</w:t>
            </w:r>
            <w:r>
              <w:rPr>
                <w:rFonts w:hint="eastAsia" w:ascii="仿宋" w:hAnsi="仿宋" w:eastAsia="仿宋" w:cs="仿宋"/>
                <w:color w:val="auto"/>
                <w:szCs w:val="24"/>
                <w:highlight w:val="none"/>
                <w:lang w:eastAsia="zh-CN"/>
              </w:rPr>
              <w:t>每负偏离一项扣</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分，扣完为止；</w:t>
            </w:r>
          </w:p>
          <w:p w14:paraId="34FFFC00">
            <w:pPr>
              <w:widowControl/>
              <w:numPr>
                <w:ilvl w:val="0"/>
                <w:numId w:val="4"/>
              </w:numPr>
              <w:shd w:val="clear"/>
              <w:spacing w:line="560" w:lineRule="exact"/>
              <w:ind w:left="0" w:leftChars="0" w:firstLine="0" w:firstLine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核心产品</w:t>
            </w:r>
            <w:r>
              <w:rPr>
                <w:rFonts w:hint="eastAsia" w:ascii="仿宋" w:hAnsi="仿宋" w:eastAsia="仿宋" w:cs="仿宋"/>
                <w:color w:val="auto"/>
                <w:szCs w:val="24"/>
                <w:highlight w:val="none"/>
              </w:rPr>
              <w:t>提供充足的佐证材料（</w:t>
            </w:r>
            <w:r>
              <w:rPr>
                <w:rFonts w:hint="eastAsia" w:ascii="仿宋" w:hAnsi="仿宋" w:eastAsia="仿宋" w:cs="仿宋"/>
                <w:color w:val="auto"/>
                <w:szCs w:val="24"/>
                <w:highlight w:val="none"/>
                <w:lang w:val="en-US" w:eastAsia="zh-CN"/>
              </w:rPr>
              <w:t>权威机构出具的</w:t>
            </w:r>
            <w:r>
              <w:rPr>
                <w:rFonts w:hint="eastAsia" w:ascii="仿宋" w:hAnsi="仿宋" w:eastAsia="仿宋" w:cs="仿宋"/>
                <w:color w:val="auto"/>
                <w:szCs w:val="24"/>
                <w:highlight w:val="none"/>
              </w:rPr>
              <w:t>检测报告、官网截图</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彩页、</w:t>
            </w:r>
            <w:r>
              <w:rPr>
                <w:rFonts w:hint="eastAsia" w:ascii="仿宋" w:hAnsi="仿宋" w:eastAsia="仿宋" w:cs="仿宋"/>
                <w:color w:val="auto"/>
                <w:szCs w:val="24"/>
                <w:highlight w:val="none"/>
                <w:lang w:eastAsia="zh-CN"/>
              </w:rPr>
              <w:t>说明书</w:t>
            </w:r>
            <w:r>
              <w:rPr>
                <w:rFonts w:hint="eastAsia" w:ascii="仿宋" w:hAnsi="仿宋" w:eastAsia="仿宋" w:cs="仿宋"/>
                <w:color w:val="auto"/>
                <w:szCs w:val="24"/>
                <w:highlight w:val="none"/>
              </w:rPr>
              <w:t>等）予以佐证，佐证材料应编制在投标文件中，投标人自行承担因佐证材料不全而被视为技术参数</w:t>
            </w:r>
            <w:r>
              <w:rPr>
                <w:rFonts w:hint="eastAsia" w:ascii="仿宋" w:hAnsi="仿宋" w:eastAsia="仿宋" w:cs="仿宋"/>
                <w:color w:val="auto"/>
                <w:szCs w:val="24"/>
                <w:highlight w:val="none"/>
                <w:lang w:eastAsia="zh-CN"/>
              </w:rPr>
              <w:t>负偏离</w:t>
            </w:r>
            <w:r>
              <w:rPr>
                <w:rFonts w:hint="eastAsia" w:ascii="仿宋" w:hAnsi="仿宋" w:eastAsia="仿宋" w:cs="仿宋"/>
                <w:color w:val="auto"/>
                <w:szCs w:val="24"/>
                <w:highlight w:val="none"/>
              </w:rPr>
              <w:t>的风险</w:t>
            </w:r>
            <w:r>
              <w:rPr>
                <w:rFonts w:hint="eastAsia" w:ascii="仿宋" w:hAnsi="仿宋" w:eastAsia="仿宋" w:cs="仿宋"/>
                <w:color w:val="auto"/>
                <w:szCs w:val="24"/>
                <w:highlight w:val="none"/>
                <w:lang w:eastAsia="zh-CN"/>
              </w:rPr>
              <w:t>；</w:t>
            </w:r>
          </w:p>
          <w:p w14:paraId="61528248">
            <w:pPr>
              <w:widowControl/>
              <w:numPr>
                <w:ilvl w:val="0"/>
                <w:numId w:val="0"/>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满足用户实际使用需求且技术资料齐全</w:t>
            </w:r>
            <w:r>
              <w:rPr>
                <w:rFonts w:hint="eastAsia" w:ascii="仿宋" w:hAnsi="仿宋" w:eastAsia="仿宋" w:cs="仿宋"/>
                <w:color w:val="auto"/>
                <w:szCs w:val="24"/>
                <w:highlight w:val="none"/>
                <w:lang w:val="en-US" w:eastAsia="zh-CN"/>
              </w:rPr>
              <w:t>计8</w:t>
            </w:r>
            <w:r>
              <w:rPr>
                <w:rFonts w:hint="eastAsia" w:ascii="仿宋" w:hAnsi="仿宋" w:eastAsia="仿宋" w:cs="仿宋"/>
                <w:color w:val="auto"/>
                <w:szCs w:val="24"/>
                <w:highlight w:val="none"/>
                <w:lang w:eastAsia="zh-CN"/>
              </w:rPr>
              <w:t>分；</w:t>
            </w:r>
          </w:p>
          <w:p w14:paraId="6AD1CFF6">
            <w:pPr>
              <w:widowControl/>
              <w:numPr>
                <w:ilvl w:val="0"/>
                <w:numId w:val="0"/>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基本</w:t>
            </w:r>
            <w:r>
              <w:rPr>
                <w:rFonts w:hint="eastAsia" w:ascii="仿宋" w:hAnsi="仿宋" w:eastAsia="仿宋" w:cs="仿宋"/>
                <w:color w:val="auto"/>
                <w:szCs w:val="24"/>
                <w:highlight w:val="none"/>
                <w:lang w:eastAsia="zh-CN"/>
              </w:rPr>
              <w:t>满足用户使用需求，</w:t>
            </w:r>
            <w:r>
              <w:rPr>
                <w:rFonts w:hint="eastAsia" w:ascii="仿宋" w:hAnsi="仿宋" w:eastAsia="仿宋" w:cs="仿宋"/>
                <w:color w:val="auto"/>
                <w:szCs w:val="24"/>
                <w:highlight w:val="none"/>
                <w:lang w:val="en-US" w:eastAsia="zh-CN"/>
              </w:rPr>
              <w:t>有简单的</w:t>
            </w:r>
            <w:r>
              <w:rPr>
                <w:rFonts w:hint="eastAsia" w:ascii="仿宋" w:hAnsi="仿宋" w:eastAsia="仿宋" w:cs="仿宋"/>
                <w:color w:val="auto"/>
                <w:szCs w:val="24"/>
                <w:highlight w:val="none"/>
                <w:lang w:eastAsia="zh-CN"/>
              </w:rPr>
              <w:t>技术资料</w:t>
            </w:r>
            <w:r>
              <w:rPr>
                <w:rFonts w:hint="eastAsia" w:ascii="仿宋" w:hAnsi="仿宋" w:eastAsia="仿宋" w:cs="仿宋"/>
                <w:color w:val="auto"/>
                <w:szCs w:val="24"/>
                <w:highlight w:val="none"/>
                <w:lang w:val="en-US" w:eastAsia="zh-CN"/>
              </w:rPr>
              <w:t>计4</w:t>
            </w:r>
            <w:r>
              <w:rPr>
                <w:rFonts w:hint="eastAsia" w:ascii="仿宋" w:hAnsi="仿宋" w:eastAsia="仿宋" w:cs="仿宋"/>
                <w:color w:val="auto"/>
                <w:szCs w:val="24"/>
                <w:highlight w:val="none"/>
                <w:lang w:eastAsia="zh-CN"/>
              </w:rPr>
              <w:t>分；</w:t>
            </w:r>
          </w:p>
          <w:p w14:paraId="20649A56">
            <w:pPr>
              <w:numPr>
                <w:ilvl w:val="0"/>
                <w:numId w:val="0"/>
              </w:numPr>
              <w:spacing w:line="52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基本</w:t>
            </w:r>
            <w:r>
              <w:rPr>
                <w:rFonts w:hint="eastAsia" w:ascii="仿宋" w:hAnsi="仿宋" w:eastAsia="仿宋" w:cs="仿宋"/>
                <w:color w:val="auto"/>
                <w:szCs w:val="24"/>
                <w:highlight w:val="none"/>
                <w:lang w:eastAsia="zh-CN"/>
              </w:rPr>
              <w:t>满足用户使用需求，技术资料</w:t>
            </w:r>
            <w:r>
              <w:rPr>
                <w:rFonts w:hint="eastAsia" w:ascii="仿宋" w:hAnsi="仿宋" w:eastAsia="仿宋" w:cs="仿宋"/>
                <w:color w:val="auto"/>
                <w:szCs w:val="24"/>
                <w:highlight w:val="none"/>
                <w:lang w:val="en-US" w:eastAsia="zh-CN"/>
              </w:rPr>
              <w:t>较少计1</w:t>
            </w:r>
            <w:r>
              <w:rPr>
                <w:rFonts w:hint="eastAsia" w:ascii="仿宋" w:hAnsi="仿宋" w:eastAsia="仿宋" w:cs="仿宋"/>
                <w:color w:val="auto"/>
                <w:szCs w:val="24"/>
                <w:highlight w:val="none"/>
                <w:lang w:eastAsia="zh-CN"/>
              </w:rPr>
              <w:t>分；</w:t>
            </w:r>
          </w:p>
          <w:p w14:paraId="04837844">
            <w:pPr>
              <w:widowControl/>
              <w:numPr>
                <w:ilvl w:val="0"/>
                <w:numId w:val="4"/>
              </w:numPr>
              <w:shd w:val="clear"/>
              <w:spacing w:line="560" w:lineRule="exact"/>
              <w:ind w:left="0" w:leftChars="0" w:firstLine="0" w:firstLine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非核心产品</w:t>
            </w:r>
            <w:r>
              <w:rPr>
                <w:rFonts w:hint="eastAsia" w:ascii="仿宋" w:hAnsi="仿宋" w:eastAsia="仿宋" w:cs="仿宋"/>
                <w:color w:val="auto"/>
                <w:szCs w:val="24"/>
                <w:highlight w:val="none"/>
              </w:rPr>
              <w:t>有详细的使用说明介绍，技术指标满足</w:t>
            </w:r>
            <w:r>
              <w:rPr>
                <w:rFonts w:hint="eastAsia" w:ascii="仿宋" w:hAnsi="仿宋" w:eastAsia="仿宋" w:cs="仿宋"/>
                <w:color w:val="auto"/>
                <w:szCs w:val="24"/>
                <w:highlight w:val="none"/>
                <w:lang w:val="en-US" w:eastAsia="zh-CN"/>
              </w:rPr>
              <w:t>招标</w:t>
            </w:r>
            <w:r>
              <w:rPr>
                <w:rFonts w:hint="eastAsia" w:ascii="仿宋" w:hAnsi="仿宋" w:eastAsia="仿宋" w:cs="仿宋"/>
                <w:color w:val="auto"/>
                <w:szCs w:val="24"/>
                <w:highlight w:val="none"/>
              </w:rPr>
              <w:t>文件要求及用户实际使用需求且技术资料齐全，</w:t>
            </w:r>
            <w:r>
              <w:rPr>
                <w:rFonts w:hint="eastAsia" w:ascii="仿宋" w:hAnsi="仿宋" w:eastAsia="仿宋" w:cs="仿宋"/>
                <w:color w:val="auto"/>
                <w:szCs w:val="24"/>
                <w:highlight w:val="none"/>
                <w:lang w:val="en-US" w:eastAsia="zh-CN"/>
              </w:rPr>
              <w:t>提供</w:t>
            </w:r>
            <w:r>
              <w:rPr>
                <w:rFonts w:hint="eastAsia" w:ascii="仿宋" w:hAnsi="仿宋" w:eastAsia="仿宋" w:cs="仿宋"/>
                <w:color w:val="auto"/>
                <w:szCs w:val="24"/>
                <w:highlight w:val="none"/>
              </w:rPr>
              <w:t>佐证材料（</w:t>
            </w:r>
            <w:r>
              <w:rPr>
                <w:rFonts w:hint="eastAsia" w:ascii="仿宋" w:hAnsi="仿宋" w:eastAsia="仿宋" w:cs="仿宋"/>
                <w:color w:val="auto"/>
                <w:szCs w:val="24"/>
                <w:highlight w:val="none"/>
                <w:lang w:val="en-US" w:eastAsia="zh-CN"/>
              </w:rPr>
              <w:t>权威机构出具的</w:t>
            </w:r>
            <w:r>
              <w:rPr>
                <w:rFonts w:hint="eastAsia" w:ascii="仿宋" w:hAnsi="仿宋" w:eastAsia="仿宋" w:cs="仿宋"/>
                <w:color w:val="auto"/>
                <w:szCs w:val="24"/>
                <w:highlight w:val="none"/>
              </w:rPr>
              <w:t>检测报告、官网截图</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彩页、</w:t>
            </w:r>
            <w:r>
              <w:rPr>
                <w:rFonts w:hint="eastAsia" w:ascii="仿宋" w:hAnsi="仿宋" w:eastAsia="仿宋" w:cs="仿宋"/>
                <w:color w:val="auto"/>
                <w:szCs w:val="24"/>
                <w:highlight w:val="none"/>
                <w:lang w:eastAsia="zh-CN"/>
              </w:rPr>
              <w:t>说明书</w:t>
            </w:r>
            <w:r>
              <w:rPr>
                <w:rFonts w:hint="eastAsia" w:ascii="仿宋" w:hAnsi="仿宋" w:eastAsia="仿宋" w:cs="仿宋"/>
                <w:color w:val="auto"/>
                <w:szCs w:val="24"/>
                <w:highlight w:val="none"/>
              </w:rPr>
              <w:t>等）予以佐证，佐证材料应编制在投标文件中，投标人自行承担因佐证材料不全而被视为技术参数</w:t>
            </w:r>
            <w:r>
              <w:rPr>
                <w:rFonts w:hint="eastAsia" w:ascii="仿宋" w:hAnsi="仿宋" w:eastAsia="仿宋" w:cs="仿宋"/>
                <w:color w:val="auto"/>
                <w:szCs w:val="24"/>
                <w:highlight w:val="none"/>
                <w:lang w:eastAsia="zh-CN"/>
              </w:rPr>
              <w:t>负偏离</w:t>
            </w:r>
            <w:r>
              <w:rPr>
                <w:rFonts w:hint="eastAsia" w:ascii="仿宋" w:hAnsi="仿宋" w:eastAsia="仿宋" w:cs="仿宋"/>
                <w:color w:val="auto"/>
                <w:szCs w:val="24"/>
                <w:highlight w:val="none"/>
              </w:rPr>
              <w:t>的风险</w:t>
            </w:r>
            <w:r>
              <w:rPr>
                <w:rFonts w:hint="eastAsia" w:ascii="仿宋" w:hAnsi="仿宋" w:eastAsia="仿宋" w:cs="仿宋"/>
                <w:color w:val="auto"/>
                <w:szCs w:val="24"/>
                <w:highlight w:val="none"/>
                <w:lang w:eastAsia="zh-CN"/>
              </w:rPr>
              <w:t>；</w:t>
            </w:r>
          </w:p>
          <w:p w14:paraId="631A12D8">
            <w:pPr>
              <w:widowControl/>
              <w:numPr>
                <w:ilvl w:val="0"/>
                <w:numId w:val="0"/>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满足用户实际使用需求且技术资料齐全</w:t>
            </w:r>
            <w:r>
              <w:rPr>
                <w:rFonts w:hint="eastAsia" w:ascii="仿宋" w:hAnsi="仿宋" w:eastAsia="仿宋" w:cs="仿宋"/>
                <w:color w:val="auto"/>
                <w:szCs w:val="24"/>
                <w:highlight w:val="none"/>
                <w:lang w:val="en-US" w:eastAsia="zh-CN"/>
              </w:rPr>
              <w:t>计3</w:t>
            </w:r>
            <w:r>
              <w:rPr>
                <w:rFonts w:hint="eastAsia" w:ascii="仿宋" w:hAnsi="仿宋" w:eastAsia="仿宋" w:cs="仿宋"/>
                <w:color w:val="auto"/>
                <w:szCs w:val="24"/>
                <w:highlight w:val="none"/>
                <w:lang w:eastAsia="zh-CN"/>
              </w:rPr>
              <w:t>分；</w:t>
            </w:r>
          </w:p>
          <w:p w14:paraId="5719236D">
            <w:pPr>
              <w:widowControl/>
              <w:numPr>
                <w:ilvl w:val="0"/>
                <w:numId w:val="0"/>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基本</w:t>
            </w:r>
            <w:r>
              <w:rPr>
                <w:rFonts w:hint="eastAsia" w:ascii="仿宋" w:hAnsi="仿宋" w:eastAsia="仿宋" w:cs="仿宋"/>
                <w:color w:val="auto"/>
                <w:szCs w:val="24"/>
                <w:highlight w:val="none"/>
                <w:lang w:eastAsia="zh-CN"/>
              </w:rPr>
              <w:t>满足用户使用需求，</w:t>
            </w:r>
            <w:r>
              <w:rPr>
                <w:rFonts w:hint="eastAsia" w:ascii="仿宋" w:hAnsi="仿宋" w:eastAsia="仿宋" w:cs="仿宋"/>
                <w:color w:val="auto"/>
                <w:szCs w:val="24"/>
                <w:highlight w:val="none"/>
                <w:lang w:val="en-US" w:eastAsia="zh-CN"/>
              </w:rPr>
              <w:t>有简单的</w:t>
            </w:r>
            <w:r>
              <w:rPr>
                <w:rFonts w:hint="eastAsia" w:ascii="仿宋" w:hAnsi="仿宋" w:eastAsia="仿宋" w:cs="仿宋"/>
                <w:color w:val="auto"/>
                <w:szCs w:val="24"/>
                <w:highlight w:val="none"/>
                <w:lang w:eastAsia="zh-CN"/>
              </w:rPr>
              <w:t>技术资料</w:t>
            </w:r>
            <w:r>
              <w:rPr>
                <w:rFonts w:hint="eastAsia" w:ascii="仿宋" w:hAnsi="仿宋" w:eastAsia="仿宋" w:cs="仿宋"/>
                <w:color w:val="auto"/>
                <w:szCs w:val="24"/>
                <w:highlight w:val="none"/>
                <w:lang w:val="en-US" w:eastAsia="zh-CN"/>
              </w:rPr>
              <w:t>计2</w:t>
            </w:r>
            <w:r>
              <w:rPr>
                <w:rFonts w:hint="eastAsia" w:ascii="仿宋" w:hAnsi="仿宋" w:eastAsia="仿宋" w:cs="仿宋"/>
                <w:color w:val="auto"/>
                <w:szCs w:val="24"/>
                <w:highlight w:val="none"/>
                <w:lang w:eastAsia="zh-CN"/>
              </w:rPr>
              <w:t>分；</w:t>
            </w:r>
          </w:p>
          <w:p w14:paraId="1178A7E0">
            <w:pPr>
              <w:numPr>
                <w:ilvl w:val="0"/>
                <w:numId w:val="0"/>
              </w:numPr>
              <w:spacing w:line="52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基本</w:t>
            </w:r>
            <w:r>
              <w:rPr>
                <w:rFonts w:hint="eastAsia" w:ascii="仿宋" w:hAnsi="仿宋" w:eastAsia="仿宋" w:cs="仿宋"/>
                <w:color w:val="auto"/>
                <w:szCs w:val="24"/>
                <w:highlight w:val="none"/>
                <w:lang w:eastAsia="zh-CN"/>
              </w:rPr>
              <w:t>满足用户使用需求，技术资料</w:t>
            </w:r>
            <w:r>
              <w:rPr>
                <w:rFonts w:hint="eastAsia" w:ascii="仿宋" w:hAnsi="仿宋" w:eastAsia="仿宋" w:cs="仿宋"/>
                <w:color w:val="auto"/>
                <w:szCs w:val="24"/>
                <w:highlight w:val="none"/>
                <w:lang w:val="en-US" w:eastAsia="zh-CN"/>
              </w:rPr>
              <w:t>较少计1</w:t>
            </w:r>
            <w:r>
              <w:rPr>
                <w:rFonts w:hint="eastAsia" w:ascii="仿宋" w:hAnsi="仿宋" w:eastAsia="仿宋" w:cs="仿宋"/>
                <w:color w:val="auto"/>
                <w:szCs w:val="24"/>
                <w:highlight w:val="none"/>
                <w:lang w:eastAsia="zh-CN"/>
              </w:rPr>
              <w:t>分；</w:t>
            </w:r>
          </w:p>
          <w:p w14:paraId="5B1F73F1">
            <w:pPr>
              <w:numPr>
                <w:ilvl w:val="0"/>
                <w:numId w:val="0"/>
              </w:numPr>
              <w:spacing w:line="52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未提供不计分。</w:t>
            </w:r>
          </w:p>
          <w:p w14:paraId="7425F789">
            <w:pPr>
              <w:numPr>
                <w:ilvl w:val="0"/>
                <w:numId w:val="0"/>
              </w:numPr>
              <w:spacing w:line="5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4、所投车辆车型在国家发改委或工信部发布的《车辆生产企业及产品目录》内的计2分。（提供国家发改委或工业和信息化部发布的车型车辆公告目录）</w:t>
            </w:r>
          </w:p>
        </w:tc>
      </w:tr>
      <w:tr w14:paraId="5E7B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359A6617">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项目实施方案</w:t>
            </w:r>
          </w:p>
        </w:tc>
        <w:tc>
          <w:tcPr>
            <w:tcW w:w="766" w:type="dxa"/>
            <w:vAlign w:val="center"/>
          </w:tcPr>
          <w:p w14:paraId="65578AAC">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分</w:t>
            </w:r>
          </w:p>
        </w:tc>
        <w:tc>
          <w:tcPr>
            <w:tcW w:w="8084" w:type="dxa"/>
          </w:tcPr>
          <w:p w14:paraId="774CFA6B">
            <w:pPr>
              <w:widowControl/>
              <w:shd w:val="clear"/>
              <w:spacing w:line="56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项目组织实施计划完整可行，资金等保障措施可靠，能够保证按期供货，具有明确的项目组织机构及实施方案，评标委员会从以下方面进行比较后赋分。（</w:t>
            </w:r>
            <w:r>
              <w:rPr>
                <w:rFonts w:hint="eastAsia" w:ascii="仿宋" w:hAnsi="仿宋" w:eastAsia="仿宋" w:cs="仿宋"/>
                <w:color w:val="auto"/>
                <w:szCs w:val="24"/>
                <w:highlight w:val="none"/>
                <w:lang w:val="en-US" w:eastAsia="zh-CN"/>
              </w:rPr>
              <w:t>13</w:t>
            </w:r>
            <w:r>
              <w:rPr>
                <w:rFonts w:hint="eastAsia" w:ascii="仿宋" w:hAnsi="仿宋" w:eastAsia="仿宋" w:cs="仿宋"/>
                <w:color w:val="auto"/>
                <w:szCs w:val="24"/>
                <w:highlight w:val="none"/>
              </w:rPr>
              <w:t>分）</w:t>
            </w:r>
          </w:p>
          <w:p w14:paraId="7E5B3973">
            <w:pPr>
              <w:widowControl/>
              <w:numPr>
                <w:ilvl w:val="0"/>
                <w:numId w:val="5"/>
              </w:numPr>
              <w:shd w:val="clear"/>
              <w:spacing w:line="560" w:lineRule="exact"/>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备货、供货进度及保证措施</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根据</w:t>
            </w:r>
            <w:r>
              <w:rPr>
                <w:rFonts w:hint="eastAsia" w:ascii="仿宋" w:hAnsi="仿宋" w:eastAsia="仿宋" w:cs="仿宋"/>
                <w:bCs/>
                <w:color w:val="auto"/>
                <w:sz w:val="24"/>
                <w:szCs w:val="24"/>
                <w:highlight w:val="none"/>
              </w:rPr>
              <w:t>完整性</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color w:val="auto"/>
                <w:sz w:val="24"/>
                <w:szCs w:val="24"/>
                <w:highlight w:val="none"/>
              </w:rPr>
              <w:t>可实施性</w:t>
            </w:r>
            <w:r>
              <w:rPr>
                <w:rFonts w:hint="eastAsia" w:ascii="仿宋" w:hAnsi="仿宋" w:eastAsia="仿宋" w:cs="仿宋"/>
                <w:color w:val="auto"/>
                <w:sz w:val="24"/>
                <w:szCs w:val="24"/>
                <w:highlight w:val="none"/>
                <w:lang w:val="en-US" w:eastAsia="zh-CN"/>
              </w:rPr>
              <w:t>计0-5分；</w:t>
            </w:r>
          </w:p>
          <w:p w14:paraId="3E7850DD">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拟投入本项目的</w:t>
            </w:r>
            <w:r>
              <w:rPr>
                <w:rFonts w:hint="eastAsia" w:ascii="仿宋" w:hAnsi="仿宋" w:eastAsia="仿宋" w:cs="仿宋"/>
                <w:color w:val="auto"/>
                <w:szCs w:val="24"/>
                <w:highlight w:val="none"/>
                <w:lang w:eastAsia="zh-CN"/>
              </w:rPr>
              <w:t>技术、管理</w:t>
            </w:r>
            <w:r>
              <w:rPr>
                <w:rFonts w:hint="eastAsia" w:ascii="仿宋" w:hAnsi="仿宋" w:eastAsia="仿宋" w:cs="仿宋"/>
                <w:color w:val="auto"/>
                <w:szCs w:val="24"/>
                <w:highlight w:val="none"/>
              </w:rPr>
              <w:t>人员安排及责任制度</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根据</w:t>
            </w:r>
            <w:r>
              <w:rPr>
                <w:rFonts w:hint="eastAsia" w:ascii="仿宋" w:hAnsi="仿宋" w:eastAsia="仿宋" w:cs="仿宋"/>
                <w:bCs/>
                <w:color w:val="auto"/>
                <w:sz w:val="24"/>
                <w:szCs w:val="24"/>
                <w:highlight w:val="none"/>
              </w:rPr>
              <w:t>完整性</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color w:val="auto"/>
                <w:sz w:val="24"/>
                <w:szCs w:val="24"/>
                <w:highlight w:val="none"/>
                <w:lang w:val="en-US" w:eastAsia="zh-CN"/>
              </w:rPr>
              <w:t>合理性计0-4分；</w:t>
            </w:r>
          </w:p>
          <w:p w14:paraId="1B8442AA">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安装、检测、调试措施</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根据</w:t>
            </w:r>
            <w:r>
              <w:rPr>
                <w:rFonts w:hint="eastAsia" w:ascii="仿宋" w:hAnsi="仿宋" w:eastAsia="仿宋" w:cs="仿宋"/>
                <w:bCs/>
                <w:color w:val="auto"/>
                <w:sz w:val="24"/>
                <w:szCs w:val="24"/>
                <w:highlight w:val="none"/>
              </w:rPr>
              <w:t>完整性</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color w:val="auto"/>
                <w:sz w:val="24"/>
                <w:szCs w:val="24"/>
                <w:highlight w:val="none"/>
              </w:rPr>
              <w:t>可实施性</w:t>
            </w:r>
            <w:r>
              <w:rPr>
                <w:rFonts w:hint="eastAsia" w:ascii="仿宋" w:hAnsi="仿宋" w:eastAsia="仿宋" w:cs="仿宋"/>
                <w:color w:val="auto"/>
                <w:sz w:val="24"/>
                <w:szCs w:val="24"/>
                <w:highlight w:val="none"/>
                <w:lang w:val="en-US" w:eastAsia="zh-CN"/>
              </w:rPr>
              <w:t>计0-4分；</w:t>
            </w:r>
          </w:p>
          <w:p w14:paraId="05F55474">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未提供不计分。</w:t>
            </w:r>
          </w:p>
        </w:tc>
      </w:tr>
      <w:tr w14:paraId="30B3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756FE17B">
            <w:pPr>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质量</w:t>
            </w:r>
          </w:p>
          <w:p w14:paraId="62FE26DE">
            <w:pPr>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w:t>
            </w:r>
          </w:p>
        </w:tc>
        <w:tc>
          <w:tcPr>
            <w:tcW w:w="766" w:type="dxa"/>
            <w:vAlign w:val="center"/>
          </w:tcPr>
          <w:p w14:paraId="0241F36B">
            <w:pPr>
              <w:shd w:val="clear"/>
              <w:spacing w:line="560" w:lineRule="exact"/>
              <w:ind w:right="-95"/>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w:t>
            </w:r>
          </w:p>
        </w:tc>
        <w:tc>
          <w:tcPr>
            <w:tcW w:w="8084" w:type="dxa"/>
            <w:vAlign w:val="center"/>
          </w:tcPr>
          <w:p w14:paraId="7D0A346B">
            <w:pPr>
              <w:pStyle w:val="39"/>
              <w:shd w:val="clear"/>
              <w:spacing w:line="560" w:lineRule="exact"/>
              <w:jc w:val="left"/>
              <w:rPr>
                <w:rFonts w:hint="eastAsia" w:ascii="仿宋" w:hAnsi="仿宋" w:eastAsia="仿宋" w:cs="仿宋"/>
                <w:color w:val="auto"/>
                <w:kern w:val="0"/>
                <w:sz w:val="24"/>
                <w:szCs w:val="32"/>
                <w:highlight w:val="none"/>
                <w:lang w:eastAsia="zh-CN"/>
              </w:rPr>
            </w:pPr>
            <w:r>
              <w:rPr>
                <w:rFonts w:hint="eastAsia" w:ascii="仿宋" w:hAnsi="仿宋" w:eastAsia="仿宋" w:cs="仿宋"/>
                <w:color w:val="auto"/>
                <w:kern w:val="0"/>
                <w:sz w:val="24"/>
                <w:szCs w:val="32"/>
                <w:highlight w:val="none"/>
              </w:rPr>
              <w:t>所投产品制造厂家有可靠、完善的管理制度；有具体可行的质量保证承诺，保证使用单位能熟练操作维护和正常使用，提供相应的</w:t>
            </w:r>
            <w:r>
              <w:rPr>
                <w:rFonts w:hint="eastAsia" w:ascii="仿宋" w:hAnsi="仿宋" w:eastAsia="仿宋" w:cs="仿宋"/>
                <w:color w:val="auto"/>
                <w:kern w:val="0"/>
                <w:sz w:val="24"/>
                <w:szCs w:val="32"/>
                <w:highlight w:val="none"/>
                <w:lang w:eastAsia="zh-CN"/>
              </w:rPr>
              <w:t>保证措施：</w:t>
            </w:r>
          </w:p>
          <w:p w14:paraId="04F206DF">
            <w:pPr>
              <w:pStyle w:val="39"/>
              <w:shd w:val="clear"/>
              <w:spacing w:line="560" w:lineRule="exact"/>
              <w:jc w:val="left"/>
              <w:rPr>
                <w:rFonts w:hint="eastAsia" w:ascii="仿宋" w:hAnsi="仿宋" w:eastAsia="仿宋" w:cs="仿宋"/>
                <w:color w:val="auto"/>
                <w:kern w:val="0"/>
                <w:sz w:val="24"/>
                <w:szCs w:val="32"/>
                <w:highlight w:val="none"/>
                <w:lang w:eastAsia="zh-CN"/>
              </w:rPr>
            </w:pPr>
            <w:r>
              <w:rPr>
                <w:rFonts w:hint="eastAsia" w:ascii="仿宋" w:hAnsi="仿宋" w:eastAsia="仿宋" w:cs="仿宋"/>
                <w:color w:val="auto"/>
                <w:kern w:val="0"/>
                <w:sz w:val="24"/>
                <w:szCs w:val="32"/>
                <w:highlight w:val="none"/>
                <w:lang w:val="en-US" w:eastAsia="zh-CN"/>
              </w:rPr>
              <w:t>根据其承诺及</w:t>
            </w:r>
            <w:r>
              <w:rPr>
                <w:rFonts w:hint="eastAsia" w:ascii="仿宋" w:hAnsi="仿宋" w:eastAsia="仿宋" w:cs="仿宋"/>
                <w:color w:val="auto"/>
                <w:kern w:val="0"/>
                <w:sz w:val="24"/>
                <w:szCs w:val="32"/>
                <w:highlight w:val="none"/>
                <w:lang w:eastAsia="zh-CN"/>
              </w:rPr>
              <w:t>保证措施</w:t>
            </w:r>
            <w:r>
              <w:rPr>
                <w:rFonts w:hint="eastAsia" w:ascii="仿宋" w:hAnsi="仿宋" w:eastAsia="仿宋" w:cs="仿宋"/>
                <w:color w:val="auto"/>
                <w:kern w:val="0"/>
                <w:sz w:val="24"/>
                <w:szCs w:val="32"/>
                <w:highlight w:val="none"/>
                <w:lang w:val="en-US" w:eastAsia="zh-CN"/>
              </w:rPr>
              <w:t>的</w:t>
            </w:r>
            <w:r>
              <w:rPr>
                <w:rFonts w:hint="eastAsia" w:ascii="仿宋" w:hAnsi="仿宋" w:eastAsia="仿宋" w:cs="仿宋"/>
                <w:color w:val="auto"/>
                <w:kern w:val="0"/>
                <w:sz w:val="24"/>
                <w:szCs w:val="32"/>
                <w:highlight w:val="none"/>
                <w:lang w:eastAsia="zh-CN"/>
              </w:rPr>
              <w:t>完善</w:t>
            </w:r>
            <w:r>
              <w:rPr>
                <w:rFonts w:hint="eastAsia" w:ascii="仿宋" w:hAnsi="仿宋" w:eastAsia="仿宋" w:cs="仿宋"/>
                <w:color w:val="auto"/>
                <w:kern w:val="0"/>
                <w:sz w:val="24"/>
                <w:szCs w:val="32"/>
                <w:highlight w:val="none"/>
                <w:lang w:val="en-US" w:eastAsia="zh-CN"/>
              </w:rPr>
              <w:t>性及</w:t>
            </w:r>
            <w:r>
              <w:rPr>
                <w:rFonts w:hint="eastAsia" w:ascii="仿宋" w:hAnsi="仿宋" w:eastAsia="仿宋" w:cs="仿宋"/>
                <w:color w:val="auto"/>
                <w:kern w:val="0"/>
                <w:sz w:val="24"/>
                <w:szCs w:val="32"/>
                <w:highlight w:val="none"/>
                <w:lang w:eastAsia="zh-CN"/>
              </w:rPr>
              <w:t>可行性</w:t>
            </w:r>
            <w:r>
              <w:rPr>
                <w:rFonts w:hint="eastAsia" w:ascii="仿宋" w:hAnsi="仿宋" w:eastAsia="仿宋" w:cs="仿宋"/>
                <w:color w:val="auto"/>
                <w:kern w:val="0"/>
                <w:sz w:val="24"/>
                <w:szCs w:val="32"/>
                <w:highlight w:val="none"/>
                <w:lang w:val="en-US" w:eastAsia="zh-CN"/>
              </w:rPr>
              <w:t>计0-5</w:t>
            </w:r>
            <w:r>
              <w:rPr>
                <w:rFonts w:hint="eastAsia" w:ascii="仿宋" w:hAnsi="仿宋" w:eastAsia="仿宋" w:cs="仿宋"/>
                <w:color w:val="auto"/>
                <w:kern w:val="0"/>
                <w:sz w:val="24"/>
                <w:szCs w:val="32"/>
                <w:highlight w:val="none"/>
                <w:lang w:eastAsia="zh-CN"/>
              </w:rPr>
              <w:t>分；</w:t>
            </w:r>
          </w:p>
          <w:p w14:paraId="0BC6AA01">
            <w:pPr>
              <w:pStyle w:val="39"/>
              <w:shd w:val="clear"/>
              <w:spacing w:line="560" w:lineRule="exact"/>
              <w:jc w:val="left"/>
              <w:rPr>
                <w:rFonts w:hint="eastAsia" w:ascii="仿宋" w:hAnsi="仿宋" w:eastAsia="仿宋" w:cs="仿宋"/>
                <w:color w:val="auto"/>
                <w:kern w:val="0"/>
                <w:szCs w:val="24"/>
                <w:highlight w:val="none"/>
              </w:rPr>
            </w:pPr>
            <w:r>
              <w:rPr>
                <w:rFonts w:hint="eastAsia" w:ascii="仿宋" w:hAnsi="仿宋" w:eastAsia="仿宋" w:cs="仿宋"/>
                <w:color w:val="auto"/>
                <w:kern w:val="0"/>
                <w:sz w:val="24"/>
                <w:szCs w:val="32"/>
                <w:highlight w:val="none"/>
                <w:lang w:eastAsia="zh-CN"/>
              </w:rPr>
              <w:t>未提供不计分。</w:t>
            </w:r>
          </w:p>
        </w:tc>
      </w:tr>
      <w:tr w14:paraId="6B59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76C7FBB9">
            <w:pPr>
              <w:pageBreakBefore w:val="0"/>
              <w:shd w:val="clear"/>
              <w:bidi w:val="0"/>
              <w:spacing w:line="56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产品</w:t>
            </w:r>
          </w:p>
          <w:p w14:paraId="0588ACB1">
            <w:pPr>
              <w:pageBreakBefore w:val="0"/>
              <w:shd w:val="clear"/>
              <w:bidi w:val="0"/>
              <w:spacing w:line="560" w:lineRule="exact"/>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渠道</w:t>
            </w:r>
          </w:p>
        </w:tc>
        <w:tc>
          <w:tcPr>
            <w:tcW w:w="766" w:type="dxa"/>
            <w:vAlign w:val="center"/>
          </w:tcPr>
          <w:p w14:paraId="353ED2B8">
            <w:pPr>
              <w:pageBreakBefore w:val="0"/>
              <w:shd w:val="clear"/>
              <w:bidi w:val="0"/>
              <w:spacing w:line="560" w:lineRule="exact"/>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分</w:t>
            </w:r>
          </w:p>
        </w:tc>
        <w:tc>
          <w:tcPr>
            <w:tcW w:w="8084" w:type="dxa"/>
            <w:vAlign w:val="center"/>
          </w:tcPr>
          <w:p w14:paraId="6BAB2D42">
            <w:pPr>
              <w:shd w:val="clea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能提供所投产品的合法来源渠道证明文件（不限于产品制造商授权、销售协议、代理协议等），根据</w:t>
            </w:r>
            <w:r>
              <w:rPr>
                <w:rFonts w:hint="eastAsia" w:ascii="仿宋" w:hAnsi="仿宋" w:eastAsia="仿宋" w:cs="仿宋"/>
                <w:color w:val="auto"/>
                <w:szCs w:val="24"/>
                <w:highlight w:val="none"/>
                <w:lang w:eastAsia="zh-CN"/>
              </w:rPr>
              <w:t>多寡</w:t>
            </w:r>
            <w:r>
              <w:rPr>
                <w:rFonts w:hint="eastAsia" w:ascii="仿宋" w:hAnsi="仿宋" w:eastAsia="仿宋" w:cs="仿宋"/>
                <w:color w:val="auto"/>
                <w:szCs w:val="24"/>
                <w:highlight w:val="none"/>
              </w:rPr>
              <w:t>程度计0-</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分。</w:t>
            </w:r>
          </w:p>
        </w:tc>
      </w:tr>
      <w:tr w14:paraId="66BE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shd w:val="clear" w:color="auto" w:fill="FFFFFF"/>
            <w:vAlign w:val="center"/>
          </w:tcPr>
          <w:p w14:paraId="3728A633">
            <w:pPr>
              <w:widowControl/>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业绩</w:t>
            </w:r>
          </w:p>
        </w:tc>
        <w:tc>
          <w:tcPr>
            <w:tcW w:w="766" w:type="dxa"/>
            <w:shd w:val="clear" w:color="auto" w:fill="FFFFFF"/>
            <w:vAlign w:val="center"/>
          </w:tcPr>
          <w:p w14:paraId="06DD19B7">
            <w:pPr>
              <w:widowControl/>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w:t>
            </w:r>
          </w:p>
        </w:tc>
        <w:tc>
          <w:tcPr>
            <w:tcW w:w="8084" w:type="dxa"/>
            <w:shd w:val="clear" w:color="auto" w:fill="FFFFFF"/>
            <w:vAlign w:val="center"/>
          </w:tcPr>
          <w:p w14:paraId="17F6CA69">
            <w:pPr>
              <w:shd w:val="clear"/>
              <w:spacing w:line="560" w:lineRule="exac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以合同复印件形式提供投标人</w:t>
            </w:r>
            <w:r>
              <w:rPr>
                <w:rFonts w:hint="eastAsia" w:ascii="仿宋" w:hAnsi="仿宋" w:eastAsia="仿宋" w:cs="仿宋"/>
                <w:color w:val="auto"/>
                <w:kern w:val="0"/>
                <w:szCs w:val="24"/>
                <w:highlight w:val="none"/>
                <w:lang w:eastAsia="zh-CN"/>
              </w:rPr>
              <w:t>20</w:t>
            </w:r>
            <w:r>
              <w:rPr>
                <w:rFonts w:hint="eastAsia" w:ascii="仿宋" w:hAnsi="仿宋" w:eastAsia="仿宋" w:cs="仿宋"/>
                <w:color w:val="auto"/>
                <w:kern w:val="0"/>
                <w:szCs w:val="24"/>
                <w:highlight w:val="none"/>
                <w:lang w:val="en-US" w:eastAsia="zh-CN"/>
              </w:rPr>
              <w:t>21</w:t>
            </w:r>
            <w:r>
              <w:rPr>
                <w:rFonts w:hint="eastAsia" w:ascii="仿宋" w:hAnsi="仿宋" w:eastAsia="仿宋" w:cs="仿宋"/>
                <w:color w:val="auto"/>
                <w:kern w:val="0"/>
                <w:szCs w:val="24"/>
                <w:highlight w:val="none"/>
                <w:lang w:eastAsia="zh-CN"/>
              </w:rPr>
              <w:t>年1月1日</w:t>
            </w:r>
            <w:r>
              <w:rPr>
                <w:rFonts w:hint="eastAsia" w:ascii="仿宋" w:hAnsi="仿宋" w:eastAsia="仿宋" w:cs="仿宋"/>
                <w:color w:val="auto"/>
                <w:kern w:val="0"/>
                <w:szCs w:val="24"/>
                <w:highlight w:val="none"/>
              </w:rPr>
              <w:t>至今</w:t>
            </w:r>
            <w:r>
              <w:rPr>
                <w:rFonts w:hint="eastAsia" w:ascii="仿宋" w:hAnsi="仿宋" w:eastAsia="仿宋" w:cs="仿宋"/>
                <w:color w:val="auto"/>
                <w:kern w:val="0"/>
                <w:szCs w:val="24"/>
                <w:highlight w:val="none"/>
                <w:lang w:eastAsia="zh-CN"/>
              </w:rPr>
              <w:t>类似项目业绩</w:t>
            </w:r>
            <w:r>
              <w:rPr>
                <w:rFonts w:hint="eastAsia" w:ascii="仿宋" w:hAnsi="仿宋" w:eastAsia="仿宋" w:cs="仿宋"/>
                <w:color w:val="auto"/>
                <w:kern w:val="0"/>
                <w:szCs w:val="24"/>
                <w:highlight w:val="none"/>
              </w:rPr>
              <w:t>，每份计</w:t>
            </w: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分，计满</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分为止。</w:t>
            </w:r>
          </w:p>
          <w:p w14:paraId="1D779A0F">
            <w:pPr>
              <w:shd w:val="clear"/>
              <w:spacing w:line="560" w:lineRule="exac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注：投标人需提供采购合同（含采购设备品牌型号页、配置清单页、签字盖章页）复印件，否则业绩不予认可。</w:t>
            </w:r>
          </w:p>
        </w:tc>
      </w:tr>
      <w:tr w14:paraId="7A33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3C67033F">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售后服务</w:t>
            </w:r>
            <w:r>
              <w:rPr>
                <w:rFonts w:hint="eastAsia" w:ascii="仿宋" w:hAnsi="仿宋" w:eastAsia="仿宋" w:cs="仿宋"/>
                <w:color w:val="auto"/>
                <w:kern w:val="0"/>
                <w:szCs w:val="24"/>
                <w:highlight w:val="none"/>
                <w:lang w:val="en-US" w:eastAsia="zh-CN"/>
              </w:rPr>
              <w:t>及培训计划</w:t>
            </w:r>
          </w:p>
        </w:tc>
        <w:tc>
          <w:tcPr>
            <w:tcW w:w="766" w:type="dxa"/>
            <w:vAlign w:val="center"/>
          </w:tcPr>
          <w:p w14:paraId="2D2E5C5D">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12</w:t>
            </w:r>
            <w:r>
              <w:rPr>
                <w:rFonts w:hint="eastAsia" w:ascii="仿宋" w:hAnsi="仿宋" w:eastAsia="仿宋" w:cs="仿宋"/>
                <w:color w:val="auto"/>
                <w:kern w:val="0"/>
                <w:szCs w:val="24"/>
                <w:highlight w:val="none"/>
              </w:rPr>
              <w:t>分</w:t>
            </w:r>
          </w:p>
        </w:tc>
        <w:tc>
          <w:tcPr>
            <w:tcW w:w="8084" w:type="dxa"/>
            <w:vAlign w:val="center"/>
          </w:tcPr>
          <w:p w14:paraId="4D70D68D">
            <w:pPr>
              <w:numPr>
                <w:ilvl w:val="0"/>
                <w:numId w:val="0"/>
              </w:numPr>
              <w:shd w:val="clear"/>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售后服务方案详细、具体、可行（包括投标人售后服务网点的设定、拟投入售后服务人员配置情况、项目交付用户后出现故障响应时间等）</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根据方案的</w:t>
            </w:r>
            <w:r>
              <w:rPr>
                <w:rFonts w:hint="eastAsia" w:ascii="仿宋" w:hAnsi="仿宋" w:eastAsia="仿宋" w:cs="仿宋"/>
                <w:bCs/>
                <w:color w:val="auto"/>
                <w:sz w:val="24"/>
                <w:szCs w:val="24"/>
                <w:highlight w:val="none"/>
              </w:rPr>
              <w:t>完整性</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color w:val="auto"/>
                <w:sz w:val="24"/>
                <w:szCs w:val="24"/>
                <w:highlight w:val="none"/>
                <w:lang w:val="en-US" w:eastAsia="zh-CN"/>
              </w:rPr>
              <w:t>合理性计0-4分</w:t>
            </w:r>
            <w:r>
              <w:rPr>
                <w:rFonts w:hint="eastAsia" w:ascii="仿宋" w:hAnsi="仿宋" w:eastAsia="仿宋" w:cs="仿宋"/>
                <w:color w:val="auto"/>
                <w:szCs w:val="24"/>
                <w:highlight w:val="none"/>
                <w:lang w:val="en-US" w:eastAsia="zh-CN"/>
              </w:rPr>
              <w:t>；</w:t>
            </w:r>
          </w:p>
          <w:p w14:paraId="71227978">
            <w:pPr>
              <w:numPr>
                <w:ilvl w:val="0"/>
                <w:numId w:val="0"/>
              </w:numPr>
              <w:shd w:val="clea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未提供不计分。</w:t>
            </w:r>
          </w:p>
          <w:p w14:paraId="0B6C286B">
            <w:pPr>
              <w:numPr>
                <w:ilvl w:val="0"/>
                <w:numId w:val="0"/>
              </w:numPr>
              <w:shd w:val="clear"/>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售后服务承诺及保证措施详细、具体，备品备件及耗材情况明确</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根据承诺及措施详细程度，</w:t>
            </w:r>
            <w:r>
              <w:rPr>
                <w:rFonts w:hint="eastAsia" w:ascii="仿宋" w:hAnsi="仿宋" w:eastAsia="仿宋" w:cs="仿宋"/>
                <w:color w:val="auto"/>
                <w:szCs w:val="24"/>
                <w:highlight w:val="none"/>
              </w:rPr>
              <w:t>备品备件及耗材</w:t>
            </w:r>
            <w:r>
              <w:rPr>
                <w:rFonts w:hint="eastAsia" w:ascii="仿宋" w:hAnsi="仿宋" w:eastAsia="仿宋" w:cs="仿宋"/>
                <w:color w:val="auto"/>
                <w:szCs w:val="24"/>
                <w:highlight w:val="none"/>
                <w:lang w:val="en-US" w:eastAsia="zh-CN"/>
              </w:rPr>
              <w:t>内容</w:t>
            </w:r>
            <w:r>
              <w:rPr>
                <w:rFonts w:hint="eastAsia" w:ascii="仿宋" w:hAnsi="仿宋" w:eastAsia="仿宋" w:cs="仿宋"/>
                <w:color w:val="auto"/>
                <w:sz w:val="24"/>
                <w:szCs w:val="24"/>
                <w:highlight w:val="none"/>
                <w:lang w:val="en-US" w:eastAsia="zh-CN"/>
              </w:rPr>
              <w:t>的完整性</w:t>
            </w:r>
            <w:r>
              <w:rPr>
                <w:rFonts w:hint="eastAsia" w:ascii="仿宋" w:hAnsi="仿宋" w:eastAsia="仿宋" w:cs="仿宋"/>
                <w:color w:val="auto"/>
                <w:szCs w:val="24"/>
                <w:highlight w:val="none"/>
                <w:lang w:val="en-US" w:eastAsia="zh-CN"/>
              </w:rPr>
              <w:t xml:space="preserve">计0-4分； </w:t>
            </w:r>
          </w:p>
          <w:p w14:paraId="52111DFA">
            <w:pPr>
              <w:numPr>
                <w:ilvl w:val="0"/>
                <w:numId w:val="0"/>
              </w:numPr>
              <w:shd w:val="clea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未提供不计分。</w:t>
            </w:r>
          </w:p>
          <w:p w14:paraId="425DBFDC">
            <w:pPr>
              <w:numPr>
                <w:ilvl w:val="0"/>
                <w:numId w:val="0"/>
              </w:numPr>
              <w:shd w:val="clear"/>
              <w:spacing w:line="560" w:lineRule="exact"/>
              <w:ind w:left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提供详尽的培训方案及培训计划，并列出培训的具体内容及方式，确保使用人员能够独立操作，并进行简单故障排查处理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根据方案的</w:t>
            </w:r>
            <w:r>
              <w:rPr>
                <w:rFonts w:hint="eastAsia" w:ascii="仿宋" w:hAnsi="仿宋" w:eastAsia="仿宋" w:cs="仿宋"/>
                <w:bCs/>
                <w:color w:val="auto"/>
                <w:sz w:val="24"/>
                <w:szCs w:val="24"/>
                <w:highlight w:val="none"/>
              </w:rPr>
              <w:t>完整性</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color w:val="auto"/>
                <w:sz w:val="24"/>
                <w:szCs w:val="24"/>
                <w:highlight w:val="none"/>
                <w:lang w:val="en-US" w:eastAsia="zh-CN"/>
              </w:rPr>
              <w:t>合理性计0-4分；</w:t>
            </w:r>
          </w:p>
          <w:p w14:paraId="79CFF041">
            <w:pPr>
              <w:numPr>
                <w:ilvl w:val="0"/>
                <w:numId w:val="0"/>
              </w:numPr>
              <w:shd w:val="clear"/>
              <w:spacing w:line="560" w:lineRule="exact"/>
              <w:ind w:left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未提供不计分。</w:t>
            </w:r>
          </w:p>
        </w:tc>
      </w:tr>
    </w:tbl>
    <w:p w14:paraId="7017A3AE">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注：1）评委打分超过得分界限或未按本方法赋分时，该评委的打分按废票处理。</w:t>
      </w:r>
    </w:p>
    <w:p w14:paraId="479D2A3F">
      <w:pPr>
        <w:numPr>
          <w:ilvl w:val="0"/>
          <w:numId w:val="6"/>
        </w:num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各种计算数字均保留两位小数，第三位“四舍五入”。 </w:t>
      </w:r>
    </w:p>
    <w:p w14:paraId="4FF94110">
      <w:pPr>
        <w:spacing w:line="560" w:lineRule="exact"/>
        <w:ind w:firstLine="482" w:firstLine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3）特殊情况处理</w:t>
      </w:r>
      <w:r>
        <w:rPr>
          <w:rFonts w:hint="eastAsia" w:ascii="仿宋" w:hAnsi="仿宋" w:eastAsia="仿宋" w:cs="仿宋"/>
          <w:color w:val="auto"/>
          <w:szCs w:val="24"/>
          <w:highlight w:val="none"/>
        </w:rPr>
        <w:t>：</w:t>
      </w:r>
    </w:p>
    <w:p w14:paraId="21122D4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a、当投标人某评分项出现未报、漏报或零报价时，该分项得零分，并不参与投标报价分的计算。</w:t>
      </w:r>
    </w:p>
    <w:p w14:paraId="6EE108F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b、相同品牌产品</w:t>
      </w:r>
    </w:p>
    <w:p w14:paraId="510F5D9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4E58E5C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非单一产品采购项目，多家投标人提供的核心产品品牌</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核心产品为消防车</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相同的，按照前款规定处理。</w:t>
      </w:r>
    </w:p>
    <w:p w14:paraId="36BD78B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18B3A90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d、评标过程中，若出现本评标方法以外的特殊情况时，将暂停评标，待评委商榷后再进行复会。</w:t>
      </w:r>
    </w:p>
    <w:p w14:paraId="13D3E354">
      <w:pPr>
        <w:spacing w:line="560" w:lineRule="exact"/>
        <w:ind w:firstLine="600" w:firstLineChars="249"/>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、政府采购政策评分标准</w:t>
      </w:r>
    </w:p>
    <w:p w14:paraId="38079E2C">
      <w:pPr>
        <w:spacing w:line="56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-1、小微企业的价格评分标准</w:t>
      </w:r>
    </w:p>
    <w:p w14:paraId="7973FF4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（1）根据《政府采购促进中小企业发展管理办法》（财库【2020】46号）的办法</w:t>
      </w:r>
      <w:r>
        <w:rPr>
          <w:rFonts w:hint="eastAsia" w:ascii="仿宋" w:hAnsi="仿宋" w:eastAsia="仿宋" w:cs="仿宋"/>
          <w:color w:val="auto"/>
          <w:szCs w:val="24"/>
          <w:highlight w:val="none"/>
          <w:lang w:eastAsia="zh-CN"/>
        </w:rPr>
        <w:t>及</w:t>
      </w:r>
      <w:bookmarkStart w:id="33" w:name="_Toc14639"/>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关于进一步加大政府采购支持中小企业力度的通知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（财库</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2022</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19号）</w:t>
      </w:r>
      <w:bookmarkEnd w:id="33"/>
      <w:r>
        <w:rPr>
          <w:rFonts w:hint="eastAsia" w:ascii="仿宋" w:hAnsi="仿宋" w:eastAsia="仿宋" w:cs="仿宋"/>
          <w:color w:val="auto"/>
          <w:szCs w:val="24"/>
          <w:highlight w:val="none"/>
          <w:lang w:val="en-US" w:eastAsia="zh-CN"/>
        </w:rPr>
        <w:t>的通知</w:t>
      </w:r>
      <w:r>
        <w:rPr>
          <w:rFonts w:hint="eastAsia" w:ascii="仿宋" w:hAnsi="仿宋" w:eastAsia="仿宋" w:cs="仿宋"/>
          <w:color w:val="auto"/>
          <w:szCs w:val="24"/>
          <w:highlight w:val="none"/>
        </w:rPr>
        <w:t>，对于</w:t>
      </w:r>
      <w:r>
        <w:rPr>
          <w:rFonts w:hint="eastAsia" w:ascii="仿宋" w:hAnsi="仿宋" w:eastAsia="仿宋" w:cs="仿宋"/>
          <w:color w:val="auto"/>
          <w:szCs w:val="24"/>
          <w:highlight w:val="none"/>
          <w:lang w:val="en-US" w:eastAsia="zh-CN"/>
        </w:rPr>
        <w:t>非</w:t>
      </w:r>
      <w:r>
        <w:rPr>
          <w:rFonts w:hint="eastAsia" w:ascii="仿宋" w:hAnsi="仿宋" w:eastAsia="仿宋" w:cs="仿宋"/>
          <w:color w:val="auto"/>
          <w:szCs w:val="24"/>
          <w:highlight w:val="none"/>
        </w:rPr>
        <w:t>专门面向中小企业采购的项目或者采购包,对小型、微型企业产品的价格给予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14:paraId="00A185F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（2）联合体共同参加非专门面向中小企业的政府采购活动，联合协议中约定，小型和微型企业的协议合同金额占到联合体协议合同金额的30%以上的，可给予联合体</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%的价格扣除，用扣除后的价格参与评审，其评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w:t>
      </w:r>
    </w:p>
    <w:p w14:paraId="41BDE37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）参加本项目的小微企业须提供《</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未提供的不视为小微企业。本项目提供的货物不包括使用大型企业注册商标的货物，小型、微型企业提供中型企业制造的货物的，视同为中型企业。投标人须做出承诺，保证真实性，如有虚假，将依法承担相应责任。</w:t>
      </w:r>
    </w:p>
    <w:p w14:paraId="2ADA827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）小微企业按</w:t>
      </w:r>
      <w:r>
        <w:rPr>
          <w:rFonts w:hint="eastAsia" w:ascii="仿宋" w:hAnsi="仿宋" w:eastAsia="仿宋" w:cs="仿宋"/>
          <w:color w:val="auto"/>
          <w:szCs w:val="24"/>
          <w:highlight w:val="none"/>
          <w:lang w:eastAsia="zh-CN"/>
        </w:rPr>
        <w:t>《政府采购促进中小企业发展管理办法》的通知--财库[2020]46号</w:t>
      </w:r>
      <w:r>
        <w:rPr>
          <w:rFonts w:hint="eastAsia" w:ascii="仿宋" w:hAnsi="仿宋" w:eastAsia="仿宋" w:cs="仿宋"/>
          <w:color w:val="auto"/>
          <w:szCs w:val="24"/>
          <w:highlight w:val="none"/>
        </w:rPr>
        <w:t>和《工业和信息化部、国家统计局、国家发展和改革委员会、财政部关于印发&lt;中小企业划型标准规定&gt;的通知》（工信部联企业【2011】300号）文件规定标准确认。</w:t>
      </w:r>
    </w:p>
    <w:p w14:paraId="27ED0DE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-2、监狱企业的价格评分标准</w:t>
      </w:r>
    </w:p>
    <w:p w14:paraId="297CB2C7">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（1）在政府采购活动中，监狱企业视同小型、微型企业，享受预留份额、评审中价格扣除等政府采购促进中小企业发展的政府采购政策。对监狱企业产品的价格给予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p w14:paraId="0CC072EB">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（2）监狱企业</w:t>
      </w:r>
      <w:r>
        <w:rPr>
          <w:rFonts w:hint="eastAsia" w:ascii="仿宋" w:hAnsi="仿宋" w:eastAsia="仿宋" w:cs="仿宋"/>
          <w:color w:val="auto"/>
          <w:kern w:val="0"/>
          <w:szCs w:val="24"/>
          <w:highlight w:val="none"/>
        </w:rPr>
        <w:t xml:space="preserve">属于小型、微型企业的，不重复享受政策。 </w:t>
      </w:r>
    </w:p>
    <w:p w14:paraId="26435B87">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（3）监狱企业参加政府采购活动时，应当提供由省级以上监狱管理局、戒毒管理局（含新疆生产建设兵团）出具的属于监狱企业的证明文件。</w:t>
      </w:r>
    </w:p>
    <w:p w14:paraId="0FEA6B0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（4）监狱企业按《财政部、司法部关于政府采购支持监狱企业发展有关问题的通知》（财库〔2014〕68号）文件规定标准执行。</w:t>
      </w:r>
    </w:p>
    <w:p w14:paraId="6D34A853">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-3、残疾人福利性单位的价格评分标准</w:t>
      </w:r>
    </w:p>
    <w:p w14:paraId="161B33CF">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（1）在政府采购活动中，残疾人福利性单位视同小型、微型企业，享受预留份额、评审中价格扣除等政府采购促进中小企业发展的政府采购政策。对残疾人福利性单位产品的价格给予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p>
    <w:p w14:paraId="3A19E153">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残疾人福利性单位属于小型、微型企业的，不重复享受政策。</w:t>
      </w:r>
    </w:p>
    <w:p w14:paraId="14C58F41">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符合条件的残疾人福利性单位在参加政府采购活动时，应当提供本通知规定的《残疾人福利性单位声明函》，并对声明的真实性负责，</w:t>
      </w:r>
      <w:r>
        <w:rPr>
          <w:rFonts w:hint="eastAsia" w:ascii="仿宋" w:hAnsi="仿宋" w:eastAsia="仿宋" w:cs="仿宋"/>
          <w:color w:val="auto"/>
          <w:szCs w:val="24"/>
          <w:highlight w:val="none"/>
        </w:rPr>
        <w:t>未提供的不视为</w:t>
      </w:r>
      <w:r>
        <w:rPr>
          <w:rFonts w:hint="eastAsia" w:ascii="仿宋" w:hAnsi="仿宋" w:eastAsia="仿宋" w:cs="仿宋"/>
          <w:color w:val="auto"/>
          <w:kern w:val="0"/>
          <w:szCs w:val="24"/>
          <w:highlight w:val="none"/>
        </w:rPr>
        <w:t xml:space="preserve">残疾人福利性单位。 </w:t>
      </w:r>
    </w:p>
    <w:p w14:paraId="054422AA">
      <w:pPr>
        <w:spacing w:line="56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-4、节能产品、环境标志产品政策</w:t>
      </w:r>
    </w:p>
    <w:p w14:paraId="2498A17B">
      <w:pPr>
        <w:keepNext w:val="0"/>
        <w:keepLines w:val="0"/>
        <w:pageBreakBefore w:val="0"/>
        <w:widowControl w:val="0"/>
        <w:kinsoku/>
        <w:wordWrap/>
        <w:overflowPunct/>
        <w:topLinePunct w:val="0"/>
        <w:autoSpaceDE w:val="0"/>
        <w:autoSpaceDN w:val="0"/>
        <w:bidi w:val="0"/>
        <w:adjustRightInd w:val="0"/>
        <w:snapToGrid/>
        <w:spacing w:line="640" w:lineRule="exact"/>
        <w:ind w:left="0" w:leftChars="0" w:firstLine="720" w:firstLineChars="3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节能产品、</w:t>
      </w:r>
      <w:r>
        <w:rPr>
          <w:rFonts w:hint="eastAsia" w:ascii="仿宋" w:hAnsi="仿宋" w:eastAsia="仿宋" w:cs="仿宋"/>
          <w:color w:val="auto"/>
          <w:szCs w:val="24"/>
          <w:highlight w:val="none"/>
        </w:rPr>
        <w:t>环境标志产品</w:t>
      </w:r>
      <w:r>
        <w:rPr>
          <w:rFonts w:hint="eastAsia" w:ascii="仿宋" w:hAnsi="仿宋" w:eastAsia="仿宋" w:cs="仿宋"/>
          <w:bCs/>
          <w:color w:val="auto"/>
          <w:highlight w:val="none"/>
        </w:rPr>
        <w:t>根据《国务院办公厅关于建立政府强制采购节能产品制度的通知》（</w:t>
      </w:r>
      <w:r>
        <w:rPr>
          <w:rFonts w:hint="eastAsia" w:ascii="仿宋" w:hAnsi="仿宋" w:eastAsia="仿宋" w:cs="仿宋"/>
          <w:color w:val="auto"/>
          <w:szCs w:val="24"/>
          <w:highlight w:val="none"/>
        </w:rPr>
        <w:t>国办发〔2007〕51号</w:t>
      </w:r>
      <w:r>
        <w:rPr>
          <w:rFonts w:hint="eastAsia" w:ascii="仿宋" w:hAnsi="仿宋" w:eastAsia="仿宋" w:cs="仿宋"/>
          <w:bCs/>
          <w:color w:val="auto"/>
          <w:highlight w:val="none"/>
        </w:rPr>
        <w:t>）、《财政部、发展改革委、生态环境部、市场监管总局关于调整优化节能产品、环境标志产品政府采购执行机制的通知》（</w:t>
      </w:r>
      <w:r>
        <w:rPr>
          <w:rFonts w:hint="eastAsia" w:ascii="仿宋" w:hAnsi="仿宋" w:eastAsia="仿宋" w:cs="仿宋"/>
          <w:color w:val="auto"/>
          <w:szCs w:val="24"/>
          <w:highlight w:val="none"/>
        </w:rPr>
        <w:t>财库〔2019〕9号）、《关于印发节能产品政府采购品目清单的通知》（财库〔2019〕19号）、《关于印发环境标志产品政府采购品目清单的通知》（财库〔2019〕18号）</w:t>
      </w:r>
      <w:r>
        <w:rPr>
          <w:rFonts w:hint="eastAsia" w:ascii="仿宋" w:hAnsi="仿宋" w:eastAsia="仿宋" w:cs="仿宋"/>
          <w:bCs/>
          <w:color w:val="auto"/>
          <w:highlight w:val="none"/>
        </w:rPr>
        <w:t>的</w:t>
      </w:r>
      <w:r>
        <w:rPr>
          <w:rFonts w:hint="eastAsia" w:ascii="仿宋" w:hAnsi="仿宋" w:eastAsia="仿宋" w:cs="仿宋"/>
          <w:color w:val="auto"/>
          <w:szCs w:val="24"/>
          <w:highlight w:val="none"/>
        </w:rPr>
        <w:t>有关规定执行</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 xml:space="preserve"> </w:t>
      </w:r>
    </w:p>
    <w:p w14:paraId="7F9FF155">
      <w:pPr>
        <w:pageBreakBefore w:val="0"/>
        <w:kinsoku/>
        <w:topLinePunct w:val="0"/>
        <w:autoSpaceDE/>
        <w:autoSpaceDN/>
        <w:bidi w:val="0"/>
        <w:spacing w:line="56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3-10、</w:t>
      </w:r>
      <w:bookmarkStart w:id="34" w:name="_Toc14886425"/>
      <w:bookmarkStart w:id="35" w:name="_Toc22138"/>
      <w:r>
        <w:rPr>
          <w:rFonts w:hint="eastAsia" w:ascii="仿宋" w:hAnsi="仿宋" w:eastAsia="仿宋" w:cs="仿宋"/>
          <w:b/>
          <w:color w:val="auto"/>
          <w:sz w:val="24"/>
          <w:highlight w:val="none"/>
          <w:lang w:val="en-US" w:eastAsia="zh-CN"/>
        </w:rPr>
        <w:t>信用担保</w:t>
      </w:r>
      <w:bookmarkEnd w:id="34"/>
      <w:bookmarkEnd w:id="35"/>
      <w:r>
        <w:rPr>
          <w:rFonts w:hint="eastAsia" w:ascii="仿宋" w:hAnsi="仿宋" w:eastAsia="仿宋" w:cs="仿宋"/>
          <w:b/>
          <w:color w:val="auto"/>
          <w:sz w:val="24"/>
          <w:highlight w:val="none"/>
          <w:lang w:val="en-US" w:eastAsia="zh-CN"/>
        </w:rPr>
        <w:t>及融资</w:t>
      </w:r>
    </w:p>
    <w:p w14:paraId="38551C2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61E94EA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投标人在缴纳投标保证金时可自愿选择通过担保机构保函的形式缴纳；中标人如果需要融资贷款服务</w:t>
      </w:r>
      <w:r>
        <w:rPr>
          <w:rFonts w:hint="eastAsia" w:ascii="仿宋" w:hAnsi="仿宋" w:eastAsia="仿宋" w:cs="仿宋"/>
          <w:color w:val="auto"/>
          <w:sz w:val="24"/>
          <w:szCs w:val="24"/>
          <w:highlight w:val="none"/>
          <w:lang w:eastAsia="zh-CN"/>
        </w:rPr>
        <w:t>需求</w:t>
      </w:r>
      <w:r>
        <w:rPr>
          <w:rFonts w:hint="eastAsia" w:ascii="仿宋" w:hAnsi="仿宋" w:eastAsia="仿宋" w:cs="仿宋"/>
          <w:color w:val="auto"/>
          <w:sz w:val="24"/>
          <w:szCs w:val="24"/>
          <w:highlight w:val="none"/>
        </w:rPr>
        <w:t>的，可凭中标通知书、政府采购合同等相关资料，按照文件规定的相关政策、业务流程申请办理，具体规定可登陆陕西省政府采购信用融资平台（http://www.ccgp-shaanxi.gov.cn/zcdservice/zcd/shanxi/）查询了解</w:t>
      </w:r>
      <w:r>
        <w:rPr>
          <w:rFonts w:hint="eastAsia" w:ascii="仿宋" w:hAnsi="仿宋" w:eastAsia="仿宋" w:cs="仿宋"/>
          <w:color w:val="auto"/>
          <w:sz w:val="24"/>
          <w:highlight w:val="none"/>
        </w:rPr>
        <w:t>。</w:t>
      </w:r>
    </w:p>
    <w:p w14:paraId="479D3363">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w:t>
      </w:r>
      <w:r>
        <w:rPr>
          <w:rFonts w:hint="eastAsia" w:ascii="仿宋" w:hAnsi="仿宋" w:eastAsia="仿宋" w:cs="仿宋"/>
          <w:b/>
          <w:bCs/>
          <w:color w:val="auto"/>
          <w:szCs w:val="24"/>
          <w:highlight w:val="none"/>
        </w:rPr>
        <w:t>定标</w:t>
      </w:r>
    </w:p>
    <w:p w14:paraId="08CD0CB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4-1、定标程序</w:t>
      </w:r>
    </w:p>
    <w:p w14:paraId="7F4D2059">
      <w:pPr>
        <w:numPr>
          <w:ilvl w:val="0"/>
          <w:numId w:val="7"/>
        </w:num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36" w:name="OLE_LINK4"/>
      <w:r>
        <w:rPr>
          <w:rFonts w:hint="eastAsia" w:ascii="仿宋" w:hAnsi="仿宋" w:eastAsia="仿宋" w:cs="仿宋"/>
          <w:color w:val="auto"/>
          <w:szCs w:val="24"/>
          <w:highlight w:val="none"/>
        </w:rPr>
        <w:t>评标</w:t>
      </w:r>
      <w:bookmarkEnd w:id="36"/>
      <w:r>
        <w:rPr>
          <w:rFonts w:hint="eastAsia" w:ascii="仿宋" w:hAnsi="仿宋" w:eastAsia="仿宋" w:cs="仿宋"/>
          <w:color w:val="auto"/>
          <w:szCs w:val="24"/>
          <w:highlight w:val="none"/>
        </w:rPr>
        <w:t>报告。</w:t>
      </w:r>
    </w:p>
    <w:p w14:paraId="3ED483F7">
      <w:pPr>
        <w:numPr>
          <w:ilvl w:val="0"/>
          <w:numId w:val="7"/>
        </w:numPr>
        <w:spacing w:line="560" w:lineRule="exact"/>
        <w:ind w:firstLine="480" w:firstLineChars="200"/>
        <w:rPr>
          <w:rFonts w:hint="eastAsia" w:ascii="仿宋" w:hAnsi="仿宋" w:eastAsia="仿宋" w:cs="仿宋"/>
          <w:color w:val="auto"/>
          <w:szCs w:val="24"/>
          <w:highlight w:val="none"/>
        </w:rPr>
      </w:pPr>
      <w:bookmarkStart w:id="37" w:name="OLE_LINK18"/>
      <w:r>
        <w:rPr>
          <w:rFonts w:hint="eastAsia" w:ascii="仿宋" w:hAnsi="仿宋" w:eastAsia="仿宋" w:cs="仿宋"/>
          <w:color w:val="auto"/>
          <w:szCs w:val="24"/>
          <w:highlight w:val="none"/>
        </w:rPr>
        <w:t>评标委员会成员应当在评标报告上签字，对自己的评审意见承担法律责任。</w:t>
      </w:r>
      <w:r>
        <w:rPr>
          <w:rFonts w:hint="eastAsia" w:ascii="仿宋" w:hAnsi="仿宋" w:eastAsia="仿宋" w:cs="仿宋"/>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37"/>
    <w:p w14:paraId="5BF75333">
      <w:pPr>
        <w:numPr>
          <w:ilvl w:val="0"/>
          <w:numId w:val="7"/>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782E450F">
      <w:pPr>
        <w:numPr>
          <w:ilvl w:val="0"/>
          <w:numId w:val="7"/>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采购代理机构接到采购人的《定标复函》后，在2个工作日内，将中标结果在陕西省政府采购网上进行公告。公告发布1个工作日，其他投标人若有异议，按《政府采购法》第52条执行。</w:t>
      </w:r>
    </w:p>
    <w:p w14:paraId="180ADA80">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4-2、中标人确定后，采购人和采购代理机构对未中标原因不作任何解释，投标文件不予退还（含纸质及电子版文件）。</w:t>
      </w:r>
    </w:p>
    <w:p w14:paraId="41A701FA">
      <w:pPr>
        <w:adjustRightInd w:val="0"/>
        <w:snapToGrid w:val="0"/>
        <w:spacing w:line="560" w:lineRule="exact"/>
        <w:ind w:firstLine="482" w:firstLineChars="200"/>
        <w:rPr>
          <w:rFonts w:hint="eastAsia" w:ascii="仿宋" w:hAnsi="仿宋" w:eastAsia="仿宋" w:cs="仿宋"/>
          <w:color w:val="auto"/>
          <w:szCs w:val="24"/>
          <w:highlight w:val="none"/>
        </w:rPr>
      </w:pPr>
      <w:bookmarkStart w:id="38" w:name="_Toc458617738"/>
      <w:bookmarkStart w:id="39" w:name="_Toc458617461"/>
      <w:r>
        <w:rPr>
          <w:rFonts w:hint="eastAsia" w:ascii="仿宋" w:hAnsi="仿宋" w:eastAsia="仿宋" w:cs="仿宋"/>
          <w:b/>
          <w:color w:val="auto"/>
          <w:szCs w:val="24"/>
          <w:highlight w:val="none"/>
        </w:rPr>
        <w:t>5、投标无效的情形：</w:t>
      </w:r>
    </w:p>
    <w:p w14:paraId="7C5E8040">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、投标文件未按招标文件要求签署、盖章的；</w:t>
      </w:r>
    </w:p>
    <w:p w14:paraId="54E401F9">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、不具备招标文件中规定的资格要求的；</w:t>
      </w:r>
    </w:p>
    <w:p w14:paraId="1066B345">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、报价超过招标文件中规定的预算金额的；</w:t>
      </w:r>
    </w:p>
    <w:p w14:paraId="7943157E">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、投标文件含有采购人不能接受的附加条件的；</w:t>
      </w:r>
    </w:p>
    <w:p w14:paraId="07EF18AF">
      <w:pPr>
        <w:adjustRightInd w:val="0"/>
        <w:snapToGri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提供虚假材料谋取中标的；</w:t>
      </w:r>
    </w:p>
    <w:p w14:paraId="24391935">
      <w:pPr>
        <w:adjustRightInd w:val="0"/>
        <w:snapToGri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、采取不正当手段诋毁、排挤其他投标人的；</w:t>
      </w:r>
    </w:p>
    <w:p w14:paraId="54BF0CC7">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5-</w:t>
      </w:r>
      <w:r>
        <w:rPr>
          <w:rFonts w:hint="eastAsia" w:ascii="仿宋" w:hAnsi="仿宋" w:eastAsia="仿宋" w:cs="仿宋"/>
          <w:color w:val="auto"/>
          <w:kern w:val="0"/>
          <w:szCs w:val="24"/>
          <w:highlight w:val="none"/>
          <w:lang w:val="en-US" w:eastAsia="zh-CN"/>
        </w:rPr>
        <w:t>7</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法律、法规和招标文件规定的其他无效情形。</w:t>
      </w:r>
    </w:p>
    <w:p w14:paraId="54C02726">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6、中标通知</w:t>
      </w:r>
      <w:bookmarkEnd w:id="38"/>
      <w:bookmarkEnd w:id="39"/>
      <w:r>
        <w:rPr>
          <w:rFonts w:hint="eastAsia" w:ascii="仿宋" w:hAnsi="仿宋" w:eastAsia="仿宋" w:cs="仿宋"/>
          <w:b/>
          <w:color w:val="auto"/>
          <w:szCs w:val="24"/>
          <w:highlight w:val="none"/>
        </w:rPr>
        <w:t>书及未中标通知书</w:t>
      </w:r>
    </w:p>
    <w:p w14:paraId="6342A96E">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6-1、中标通知书及未中标通知书将在中标公告发布的同时由采购代理机构发出。</w:t>
      </w:r>
    </w:p>
    <w:p w14:paraId="5858CEBA">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6-2、中标人应在接到采购代理机构通知之日起七日内领取中标通知书。</w:t>
      </w:r>
      <w:bookmarkStart w:id="40" w:name="_Toc458617790"/>
      <w:bookmarkStart w:id="41" w:name="_Toc458617462"/>
      <w:bookmarkStart w:id="42" w:name="_Toc458617739"/>
    </w:p>
    <w:p w14:paraId="21024011">
      <w:pPr>
        <w:adjustRightInd w:val="0"/>
        <w:snapToGri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6-3、</w:t>
      </w:r>
      <w:r>
        <w:rPr>
          <w:rFonts w:hint="eastAsia" w:ascii="仿宋" w:hAnsi="仿宋" w:eastAsia="仿宋" w:cs="仿宋"/>
          <w:color w:val="auto"/>
          <w:kern w:val="0"/>
          <w:szCs w:val="24"/>
          <w:highlight w:val="none"/>
        </w:rPr>
        <w:t>中标通知书发出后，采购人不得违法改变中标结果，中标人无正当理由不得弃中标。</w:t>
      </w:r>
    </w:p>
    <w:p w14:paraId="404DBF41">
      <w:pPr>
        <w:pStyle w:val="3"/>
        <w:spacing w:line="560" w:lineRule="exact"/>
        <w:rPr>
          <w:rFonts w:hint="eastAsia" w:ascii="仿宋" w:hAnsi="仿宋" w:eastAsia="仿宋" w:cs="仿宋"/>
          <w:color w:val="auto"/>
          <w:kern w:val="0"/>
          <w:sz w:val="28"/>
          <w:szCs w:val="28"/>
          <w:highlight w:val="none"/>
        </w:rPr>
      </w:pPr>
      <w:bookmarkStart w:id="43" w:name="_Toc16697"/>
      <w:r>
        <w:rPr>
          <w:rFonts w:hint="eastAsia" w:ascii="仿宋" w:hAnsi="仿宋" w:eastAsia="仿宋" w:cs="仿宋"/>
          <w:color w:val="auto"/>
          <w:kern w:val="0"/>
          <w:sz w:val="28"/>
          <w:szCs w:val="28"/>
          <w:highlight w:val="none"/>
        </w:rPr>
        <w:t>八、合同</w:t>
      </w:r>
      <w:bookmarkEnd w:id="40"/>
      <w:bookmarkEnd w:id="41"/>
      <w:bookmarkEnd w:id="42"/>
      <w:bookmarkEnd w:id="43"/>
    </w:p>
    <w:p w14:paraId="55C6073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1、中标人在收到中标通知书后</w:t>
      </w:r>
      <w:r>
        <w:rPr>
          <w:rFonts w:hint="eastAsia" w:ascii="仿宋" w:hAnsi="仿宋" w:eastAsia="仿宋" w:cs="仿宋"/>
          <w:color w:val="auto"/>
          <w:szCs w:val="24"/>
          <w:highlight w:val="none"/>
          <w:lang w:val="en-US" w:eastAsia="zh-CN"/>
        </w:rPr>
        <w:t>二十五</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）个日历日内，应按招标文件的要求与采购人签订合同。</w:t>
      </w:r>
    </w:p>
    <w:p w14:paraId="0EB2774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2、中标人因自身原因不按规定与采购人签订供货合同或者拒绝与采购人签订合同的，则采购人将废除授标。给采购人造成损失的，还应当对超过部分予以赔偿，并依法承担相应法律责任。</w:t>
      </w:r>
      <w:r>
        <w:rPr>
          <w:rFonts w:hint="eastAsia" w:ascii="仿宋" w:hAnsi="仿宋" w:eastAsia="仿宋" w:cs="仿宋"/>
          <w:color w:val="auto"/>
          <w:highlight w:val="none"/>
        </w:rPr>
        <w:t>同时，采购人可以按照评审报告推荐的中标候选人名单排序，确定下一候选人为中标人，</w:t>
      </w:r>
      <w:r>
        <w:rPr>
          <w:rFonts w:hint="eastAsia" w:ascii="仿宋" w:hAnsi="仿宋" w:eastAsia="仿宋" w:cs="仿宋"/>
          <w:color w:val="auto"/>
          <w:szCs w:val="24"/>
          <w:highlight w:val="none"/>
        </w:rPr>
        <w:t>以此类推，</w:t>
      </w:r>
      <w:r>
        <w:rPr>
          <w:rFonts w:hint="eastAsia" w:ascii="仿宋" w:hAnsi="仿宋" w:eastAsia="仿宋" w:cs="仿宋"/>
          <w:color w:val="auto"/>
          <w:highlight w:val="none"/>
        </w:rPr>
        <w:t>也可以重新开展政府采购活动。</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p w14:paraId="5D3E06F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3、中标通知书将是合同的重要组成部分。招标文件、中标人的投标文件及评议过程中有关的澄清文件均作为合同附件。</w:t>
      </w:r>
    </w:p>
    <w:p w14:paraId="69427C4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Pr>
          <w:rFonts w:hint="eastAsia" w:ascii="仿宋" w:hAnsi="仿宋" w:eastAsia="仿宋" w:cs="仿宋"/>
          <w:color w:val="auto"/>
          <w:szCs w:val="24"/>
          <w:highlight w:val="none"/>
          <w:lang w:eastAsia="zh-CN"/>
        </w:rPr>
        <w:t>《政府采购促进中小企业发展管理办法》的通知--财库[2020]46号</w:t>
      </w:r>
      <w:r>
        <w:rPr>
          <w:rFonts w:hint="eastAsia" w:ascii="仿宋" w:hAnsi="仿宋" w:eastAsia="仿宋" w:cs="仿宋"/>
          <w:color w:val="auto"/>
          <w:szCs w:val="24"/>
          <w:highlight w:val="none"/>
        </w:rPr>
        <w:t>规定的政策获取政府采购合同后，小型、微型企业不得分包或转包给大型、中型企业，中型企业不得分包或转包给大型企业。</w:t>
      </w:r>
    </w:p>
    <w:p w14:paraId="154FC9D1">
      <w:pPr>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5、所签订的合同不得对招标文件确定的事项和中标人投标文件作实质性修改。</w:t>
      </w:r>
    </w:p>
    <w:p w14:paraId="0DC94FB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6、采购人需追加与合同标的相同的货物、工程或服务的，在不改变合同其他条款的前提下，可以与中标人协商签订补充合同，但所有补充合同的采购金额不得超过原合同采购金额的百分之十。</w:t>
      </w:r>
      <w:bookmarkStart w:id="44" w:name="_Toc458617463"/>
      <w:bookmarkStart w:id="45" w:name="_Toc458617740"/>
    </w:p>
    <w:p w14:paraId="36C9C31D">
      <w:pPr>
        <w:pStyle w:val="3"/>
        <w:spacing w:line="560" w:lineRule="exact"/>
        <w:rPr>
          <w:rFonts w:hint="eastAsia" w:ascii="仿宋" w:hAnsi="仿宋" w:eastAsia="仿宋" w:cs="仿宋"/>
          <w:color w:val="auto"/>
          <w:kern w:val="0"/>
          <w:sz w:val="28"/>
          <w:szCs w:val="28"/>
          <w:highlight w:val="none"/>
        </w:rPr>
      </w:pPr>
      <w:bookmarkStart w:id="46" w:name="_Toc10597"/>
      <w:r>
        <w:rPr>
          <w:rFonts w:hint="eastAsia" w:ascii="仿宋" w:hAnsi="仿宋" w:eastAsia="仿宋" w:cs="仿宋"/>
          <w:color w:val="auto"/>
          <w:kern w:val="0"/>
          <w:sz w:val="28"/>
          <w:szCs w:val="28"/>
          <w:highlight w:val="none"/>
        </w:rPr>
        <w:t>九、合同的履约验收</w:t>
      </w:r>
      <w:bookmarkEnd w:id="46"/>
    </w:p>
    <w:p w14:paraId="612B640E">
      <w:pPr>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采购人应按照政府采购合同约定的技术、服务、安全标准组织对投标人每一项技术、服务、安全标准的履约情况进行验收，并出具验收书。</w:t>
      </w:r>
    </w:p>
    <w:p w14:paraId="44F7E361">
      <w:pPr>
        <w:pStyle w:val="3"/>
        <w:spacing w:line="560" w:lineRule="exact"/>
        <w:rPr>
          <w:rFonts w:hint="eastAsia" w:ascii="仿宋" w:hAnsi="仿宋" w:eastAsia="仿宋" w:cs="仿宋"/>
          <w:color w:val="auto"/>
          <w:kern w:val="0"/>
          <w:sz w:val="28"/>
          <w:szCs w:val="28"/>
          <w:highlight w:val="none"/>
        </w:rPr>
      </w:pPr>
      <w:bookmarkStart w:id="47" w:name="_Toc2283"/>
      <w:r>
        <w:rPr>
          <w:rFonts w:hint="eastAsia" w:ascii="仿宋" w:hAnsi="仿宋" w:eastAsia="仿宋" w:cs="仿宋"/>
          <w:color w:val="auto"/>
          <w:kern w:val="0"/>
          <w:sz w:val="28"/>
          <w:szCs w:val="28"/>
          <w:highlight w:val="none"/>
        </w:rPr>
        <w:t>十、招标服务费</w:t>
      </w:r>
      <w:bookmarkEnd w:id="44"/>
      <w:bookmarkEnd w:id="45"/>
      <w:bookmarkEnd w:id="47"/>
    </w:p>
    <w:p w14:paraId="21A4359A">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bCs/>
          <w:color w:val="auto"/>
          <w:szCs w:val="24"/>
          <w:highlight w:val="none"/>
        </w:rPr>
        <w:t>1、</w:t>
      </w:r>
      <w:r>
        <w:rPr>
          <w:rFonts w:hint="eastAsia" w:ascii="仿宋" w:hAnsi="仿宋" w:eastAsia="仿宋" w:cs="仿宋"/>
          <w:color w:val="auto"/>
          <w:szCs w:val="24"/>
          <w:highlight w:val="none"/>
        </w:rPr>
        <w:t>中标人在领取中标通知书时，</w:t>
      </w:r>
      <w:bookmarkStart w:id="48" w:name="_Toc188808820"/>
      <w:bookmarkStart w:id="49" w:name="_Toc193126874"/>
      <w:bookmarkStart w:id="50" w:name="_Toc193187089"/>
      <w:bookmarkStart w:id="51" w:name="_Toc194663910"/>
      <w:r>
        <w:rPr>
          <w:rFonts w:hint="eastAsia" w:ascii="仿宋" w:hAnsi="仿宋" w:eastAsia="仿宋" w:cs="仿宋"/>
          <w:color w:val="auto"/>
          <w:szCs w:val="24"/>
          <w:highlight w:val="none"/>
        </w:rPr>
        <w:t>向</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交纳招标服务费。</w:t>
      </w:r>
      <w:r>
        <w:rPr>
          <w:rFonts w:hint="eastAsia" w:ascii="仿宋" w:hAnsi="仿宋" w:eastAsia="仿宋" w:cs="仿宋"/>
          <w:color w:val="auto"/>
          <w:szCs w:val="24"/>
          <w:highlight w:val="none"/>
          <w:lang w:eastAsia="zh-CN"/>
        </w:rPr>
        <w:t>服务费收费标准参照原</w:t>
      </w:r>
      <w:r>
        <w:rPr>
          <w:rFonts w:hint="eastAsia" w:ascii="仿宋" w:hAnsi="仿宋" w:eastAsia="仿宋" w:cs="仿宋"/>
          <w:color w:val="auto"/>
          <w:szCs w:val="24"/>
          <w:highlight w:val="none"/>
        </w:rPr>
        <w:t>《国家计委关于印发&lt;招标代理服务收费管理暂行办法&gt;的通知》(计价格〔2002〕1980号)</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《国家发展改革委关于降低部分建设项目收费标准规范收费行为等有关问题的通知》(发改价格〔2011〕534号)</w:t>
      </w:r>
      <w:r>
        <w:rPr>
          <w:rFonts w:hint="eastAsia" w:ascii="仿宋" w:hAnsi="仿宋" w:eastAsia="仿宋" w:cs="仿宋"/>
          <w:color w:val="auto"/>
          <w:szCs w:val="24"/>
          <w:highlight w:val="none"/>
          <w:lang w:eastAsia="zh-CN"/>
        </w:rPr>
        <w:t>以及财政部关于印发&lt;政府采购代理机构管理暂行办法&gt;的通知》（财库〔2018〕</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号）规定执行。</w:t>
      </w:r>
    </w:p>
    <w:p w14:paraId="0F5E39D6">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2、招标服务费应采用转账形式交纳。</w:t>
      </w:r>
      <w:r>
        <w:rPr>
          <w:rFonts w:hint="eastAsia" w:ascii="仿宋" w:hAnsi="仿宋" w:eastAsia="仿宋" w:cs="仿宋"/>
          <w:color w:val="auto"/>
          <w:szCs w:val="24"/>
          <w:highlight w:val="none"/>
          <w:lang w:val="en-US" w:eastAsia="zh-CN"/>
        </w:rPr>
        <w:t xml:space="preserve"> </w:t>
      </w:r>
    </w:p>
    <w:p w14:paraId="6D6DD924">
      <w:pPr>
        <w:pStyle w:val="3"/>
        <w:spacing w:line="560" w:lineRule="exact"/>
        <w:rPr>
          <w:rFonts w:hint="eastAsia" w:ascii="仿宋" w:hAnsi="仿宋" w:eastAsia="仿宋" w:cs="仿宋"/>
          <w:color w:val="auto"/>
          <w:kern w:val="0"/>
          <w:sz w:val="28"/>
          <w:szCs w:val="28"/>
          <w:highlight w:val="none"/>
        </w:rPr>
      </w:pPr>
      <w:bookmarkStart w:id="52" w:name="_Toc458617741"/>
      <w:bookmarkStart w:id="53" w:name="_Toc458617464"/>
      <w:bookmarkStart w:id="54" w:name="_Toc22375"/>
      <w:r>
        <w:rPr>
          <w:rFonts w:hint="eastAsia" w:ascii="仿宋" w:hAnsi="仿宋" w:eastAsia="仿宋" w:cs="仿宋"/>
          <w:color w:val="auto"/>
          <w:kern w:val="0"/>
          <w:sz w:val="28"/>
          <w:szCs w:val="28"/>
          <w:highlight w:val="none"/>
        </w:rPr>
        <w:t>十一、</w:t>
      </w:r>
      <w:bookmarkEnd w:id="48"/>
      <w:bookmarkEnd w:id="49"/>
      <w:bookmarkEnd w:id="50"/>
      <w:bookmarkEnd w:id="51"/>
      <w:bookmarkEnd w:id="52"/>
      <w:bookmarkEnd w:id="53"/>
      <w:r>
        <w:rPr>
          <w:rFonts w:hint="eastAsia" w:ascii="仿宋" w:hAnsi="仿宋" w:eastAsia="仿宋" w:cs="仿宋"/>
          <w:color w:val="auto"/>
          <w:kern w:val="0"/>
          <w:sz w:val="28"/>
          <w:szCs w:val="28"/>
          <w:highlight w:val="none"/>
        </w:rPr>
        <w:t>重新组织采购活动</w:t>
      </w:r>
      <w:bookmarkEnd w:id="54"/>
    </w:p>
    <w:p w14:paraId="63E83948">
      <w:pPr>
        <w:spacing w:line="560" w:lineRule="exact"/>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如果发生下列情况之一，采购人和采购代理机构将按《</w:t>
      </w:r>
      <w:r>
        <w:rPr>
          <w:rFonts w:hint="eastAsia" w:ascii="仿宋" w:hAnsi="仿宋" w:eastAsia="仿宋" w:cs="仿宋"/>
          <w:color w:val="auto"/>
          <w:szCs w:val="24"/>
          <w:highlight w:val="none"/>
          <w:lang w:eastAsia="zh-CN"/>
        </w:rPr>
        <w:t>中华人民共和国</w:t>
      </w:r>
      <w:r>
        <w:rPr>
          <w:rFonts w:hint="eastAsia" w:ascii="仿宋" w:hAnsi="仿宋" w:eastAsia="仿宋" w:cs="仿宋"/>
          <w:color w:val="auto"/>
          <w:szCs w:val="24"/>
          <w:highlight w:val="none"/>
        </w:rPr>
        <w:t>政府采购法》、《政府采购货物和服务招标投标管理办法》（财政部第87号）重新组织采购活动：</w:t>
      </w:r>
    </w:p>
    <w:p w14:paraId="7D455720">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（1）因重大变故，采购任务取消的；</w:t>
      </w:r>
    </w:p>
    <w:p w14:paraId="3E75D293">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（2）招标文件存在不合理条款或者招标程序不符合规定的；</w:t>
      </w:r>
    </w:p>
    <w:p w14:paraId="09E4137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96"/>
          <w:szCs w:val="24"/>
          <w:highlight w:val="none"/>
        </w:rPr>
        <w:t>（3）</w:t>
      </w:r>
      <w:r>
        <w:rPr>
          <w:rFonts w:hint="eastAsia" w:ascii="仿宋" w:hAnsi="仿宋" w:eastAsia="仿宋" w:cs="仿宋"/>
          <w:color w:val="auto"/>
          <w:szCs w:val="24"/>
          <w:highlight w:val="none"/>
        </w:rPr>
        <w:t>出现影响采购公正的违法、违规行为的；</w:t>
      </w:r>
    </w:p>
    <w:p w14:paraId="50C17BA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（4）投标截止后投标人不足3家或者通过资格审查或符合性审查的投标人不足3家的；</w:t>
      </w:r>
    </w:p>
    <w:p w14:paraId="37733BC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（5）所有投标人的报价均超出采购预算或最高限价，采购人不能支付的。</w:t>
      </w:r>
    </w:p>
    <w:p w14:paraId="0AC978E0">
      <w:pPr>
        <w:pStyle w:val="3"/>
        <w:tabs>
          <w:tab w:val="left" w:pos="6899"/>
        </w:tabs>
        <w:spacing w:line="560" w:lineRule="exact"/>
        <w:rPr>
          <w:rFonts w:hint="eastAsia" w:ascii="仿宋" w:hAnsi="仿宋" w:eastAsia="仿宋" w:cs="仿宋"/>
          <w:color w:val="auto"/>
          <w:kern w:val="0"/>
          <w:sz w:val="28"/>
          <w:szCs w:val="28"/>
          <w:highlight w:val="none"/>
        </w:rPr>
      </w:pPr>
      <w:bookmarkStart w:id="55" w:name="_Toc458617742"/>
      <w:bookmarkStart w:id="56" w:name="_Toc458617465"/>
      <w:bookmarkStart w:id="57" w:name="_Toc17723"/>
      <w:r>
        <w:rPr>
          <w:rFonts w:hint="eastAsia" w:ascii="仿宋" w:hAnsi="仿宋" w:eastAsia="仿宋" w:cs="仿宋"/>
          <w:color w:val="auto"/>
          <w:kern w:val="0"/>
          <w:sz w:val="28"/>
          <w:szCs w:val="28"/>
          <w:highlight w:val="none"/>
        </w:rPr>
        <w:t>十二、</w:t>
      </w:r>
      <w:bookmarkEnd w:id="55"/>
      <w:bookmarkEnd w:id="56"/>
      <w:bookmarkStart w:id="58" w:name="_Toc458617743"/>
      <w:bookmarkStart w:id="59" w:name="_Toc458617466"/>
      <w:r>
        <w:rPr>
          <w:rFonts w:hint="eastAsia" w:ascii="仿宋" w:hAnsi="仿宋" w:eastAsia="仿宋" w:cs="仿宋"/>
          <w:color w:val="auto"/>
          <w:kern w:val="0"/>
          <w:sz w:val="28"/>
          <w:szCs w:val="28"/>
          <w:highlight w:val="none"/>
        </w:rPr>
        <w:t>询问、质疑与投诉</w:t>
      </w:r>
      <w:bookmarkEnd w:id="57"/>
      <w:r>
        <w:rPr>
          <w:rFonts w:hint="eastAsia" w:ascii="仿宋" w:hAnsi="仿宋" w:eastAsia="仿宋" w:cs="仿宋"/>
          <w:color w:val="auto"/>
          <w:kern w:val="0"/>
          <w:sz w:val="28"/>
          <w:szCs w:val="28"/>
          <w:highlight w:val="none"/>
        </w:rPr>
        <w:tab/>
      </w:r>
    </w:p>
    <w:p w14:paraId="72050C9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1、询问</w:t>
      </w:r>
    </w:p>
    <w:p w14:paraId="1270E61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投标人对政府采购活动事项有疑问的，可以向采购人、采购代理机构提出询问。</w:t>
      </w:r>
    </w:p>
    <w:p w14:paraId="0D18C6E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2、质疑</w:t>
      </w:r>
    </w:p>
    <w:p w14:paraId="10A705F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投标人认为招标文件、招标过程和中标结果使自己的权益受到损害的，可以在知道或者应知其权益受到损害之日起七个工作日内，以书面形式向采购人或采购代理机构提出质疑，逾期质疑无效。投标人应知其权益受到损害之日，是指：</w:t>
      </w:r>
    </w:p>
    <w:p w14:paraId="4B97E8F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pacing w:val="-11"/>
          <w:highlight w:val="none"/>
        </w:rPr>
      </w:pPr>
      <w:r>
        <w:rPr>
          <w:rFonts w:hint="eastAsia" w:ascii="仿宋" w:hAnsi="仿宋" w:eastAsia="仿宋" w:cs="仿宋"/>
          <w:color w:val="auto"/>
          <w:highlight w:val="none"/>
        </w:rPr>
        <w:t>（1）</w:t>
      </w:r>
      <w:r>
        <w:rPr>
          <w:rFonts w:hint="eastAsia" w:ascii="仿宋" w:hAnsi="仿宋" w:eastAsia="仿宋" w:cs="仿宋"/>
          <w:color w:val="auto"/>
          <w:spacing w:val="-11"/>
          <w:highlight w:val="none"/>
        </w:rPr>
        <w:t>对采购文件提出质疑的，为收到采购文件之日或者采购文件公告期限届满之日；</w:t>
      </w:r>
    </w:p>
    <w:p w14:paraId="13AA8E7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260B1FB2">
      <w:pPr>
        <w:keepNext w:val="0"/>
        <w:keepLines w:val="0"/>
        <w:pageBreakBefore w:val="0"/>
        <w:kinsoku/>
        <w:wordWrap/>
        <w:overflowPunct/>
        <w:topLinePunct w:val="0"/>
        <w:autoSpaceDE/>
        <w:autoSpaceDN/>
        <w:bidi w:val="0"/>
        <w:adjustRightInd/>
        <w:snapToGrid/>
        <w:spacing w:line="560" w:lineRule="exact"/>
        <w:ind w:firstLine="240" w:firstLineChars="100"/>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rPr>
        <w:t xml:space="preserve">  （3）对中标或者成交结果提出质疑的，为中标或者成交结果公告期限届满之日。</w:t>
      </w:r>
      <w:r>
        <w:rPr>
          <w:rFonts w:hint="eastAsia" w:ascii="仿宋" w:hAnsi="仿宋" w:eastAsia="仿宋" w:cs="仿宋"/>
          <w:color w:val="auto"/>
          <w:kern w:val="0"/>
          <w:szCs w:val="24"/>
          <w:highlight w:val="none"/>
        </w:rPr>
        <w:t xml:space="preserve"> </w:t>
      </w:r>
    </w:p>
    <w:p w14:paraId="589EEE5D">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2-2、投标人须在法</w:t>
      </w:r>
      <w:r>
        <w:rPr>
          <w:rFonts w:hint="eastAsia" w:ascii="仿宋" w:hAnsi="仿宋" w:eastAsia="仿宋" w:cs="仿宋"/>
          <w:color w:val="auto"/>
          <w:szCs w:val="24"/>
          <w:highlight w:val="none"/>
        </w:rPr>
        <w:t>定质疑期内一次性提出针对同一采购程序环节的质疑。</w:t>
      </w:r>
    </w:p>
    <w:p w14:paraId="2811ACE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2-3、投标人须按照财政部发布的《政府采购</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质疑函范本》及其制作说明提出质疑，详见“中国政府采购网（www.ccgp.gov.cn）”下载专区。</w:t>
      </w:r>
    </w:p>
    <w:p w14:paraId="5E5B790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4D8D526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14:paraId="4C7C68E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 xml:space="preserve">2-6、投标人应在法定期限内以书面形式提出质疑，联系人： </w:t>
      </w:r>
      <w:r>
        <w:rPr>
          <w:rFonts w:hint="eastAsia" w:ascii="仿宋" w:hAnsi="仿宋" w:eastAsia="仿宋" w:cs="仿宋"/>
          <w:color w:val="auto"/>
          <w:szCs w:val="24"/>
          <w:highlight w:val="none"/>
          <w:lang w:eastAsia="zh-CN"/>
        </w:rPr>
        <w:t>秦工</w:t>
      </w:r>
      <w:r>
        <w:rPr>
          <w:rFonts w:hint="eastAsia" w:ascii="仿宋" w:hAnsi="仿宋" w:eastAsia="仿宋" w:cs="仿宋"/>
          <w:color w:val="auto"/>
          <w:szCs w:val="24"/>
          <w:highlight w:val="none"/>
        </w:rPr>
        <w:t>，联系方式：029-87592321，地址：</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（西安市朱雀大街南段1号汇成天玺C座18层1812室）。</w:t>
      </w:r>
    </w:p>
    <w:p w14:paraId="0FB3DD1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3、投诉</w:t>
      </w:r>
    </w:p>
    <w:p w14:paraId="51276E50">
      <w:pPr>
        <w:pStyle w:val="37"/>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-1、质疑投标人对采购人、采购代理机构的答复不满意或者采购人、采购代理机构未在规定的时间内作出答复的，可按《政府采购法》第55条和《政府采购质疑和投诉办法》（财政部令第94号）第17条等有关规定执行。</w:t>
      </w:r>
    </w:p>
    <w:p w14:paraId="15B7A63E">
      <w:pPr>
        <w:pStyle w:val="37"/>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3-2、本项目质疑投标人对采购人、采购代理机构的答复不满意或者采购人、采购代理机构未在规定时间内作出答复的，可在15个工作日内向</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u w:val="single" w:color="auto"/>
          <w:lang w:val="en-US" w:eastAsia="zh-CN"/>
        </w:rPr>
        <w:t>镇安县财政局</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rPr>
        <w:t>提起投诉。</w:t>
      </w:r>
    </w:p>
    <w:p w14:paraId="6AC3C4B4">
      <w:pPr>
        <w:pStyle w:val="3"/>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28"/>
          <w:szCs w:val="28"/>
          <w:highlight w:val="none"/>
        </w:rPr>
      </w:pPr>
      <w:bookmarkStart w:id="60" w:name="_Toc20119"/>
      <w:r>
        <w:rPr>
          <w:rFonts w:hint="eastAsia" w:ascii="仿宋" w:hAnsi="仿宋" w:eastAsia="仿宋" w:cs="仿宋"/>
          <w:color w:val="auto"/>
          <w:kern w:val="0"/>
          <w:sz w:val="28"/>
          <w:szCs w:val="28"/>
          <w:highlight w:val="none"/>
        </w:rPr>
        <w:t>十</w:t>
      </w:r>
      <w:r>
        <w:rPr>
          <w:rFonts w:hint="eastAsia" w:ascii="仿宋" w:hAnsi="仿宋" w:eastAsia="仿宋" w:cs="仿宋"/>
          <w:color w:val="auto"/>
          <w:kern w:val="0"/>
          <w:sz w:val="28"/>
          <w:szCs w:val="28"/>
          <w:highlight w:val="none"/>
          <w:lang w:val="en-US" w:eastAsia="zh-CN"/>
        </w:rPr>
        <w:t>三</w:t>
      </w:r>
      <w:r>
        <w:rPr>
          <w:rFonts w:hint="eastAsia" w:ascii="仿宋" w:hAnsi="仿宋" w:eastAsia="仿宋" w:cs="仿宋"/>
          <w:color w:val="auto"/>
          <w:kern w:val="0"/>
          <w:sz w:val="28"/>
          <w:szCs w:val="28"/>
          <w:highlight w:val="none"/>
        </w:rPr>
        <w:t>、拒绝商业贿赂</w:t>
      </w:r>
      <w:bookmarkEnd w:id="58"/>
      <w:bookmarkEnd w:id="59"/>
      <w:bookmarkEnd w:id="60"/>
    </w:p>
    <w:p w14:paraId="19FF7FF6">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1、遵照陕西省财政厅的规定，采购人、采购代理机构、投标人和评审专家在招投标活动中，都要签订相应的《拒绝政府采购领域商业贿赂承诺书》，并对违反承诺的行为承担全部责任。</w:t>
      </w:r>
    </w:p>
    <w:p w14:paraId="7FB60137">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2、投标人必须填写《拒绝政府采购领域商业贿赂承诺书》并附在投标文件中，同时应保证投标文件正、副本中一致。</w:t>
      </w:r>
    </w:p>
    <w:p w14:paraId="4C62C97A">
      <w:pPr>
        <w:keepNext/>
        <w:keepLines/>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highlight w:val="none"/>
        </w:rPr>
      </w:pPr>
      <w:bookmarkStart w:id="61" w:name="_Toc458617744"/>
      <w:bookmarkStart w:id="62" w:name="_Toc458617467"/>
    </w:p>
    <w:p w14:paraId="1F0903F9">
      <w:pPr>
        <w:rPr>
          <w:rFonts w:hint="eastAsia" w:ascii="仿宋" w:hAnsi="仿宋" w:eastAsia="仿宋" w:cs="仿宋"/>
          <w:color w:val="auto"/>
          <w:highlight w:val="none"/>
        </w:rPr>
        <w:sectPr>
          <w:headerReference r:id="rId16" w:type="first"/>
          <w:footerReference r:id="rId18" w:type="first"/>
          <w:headerReference r:id="rId15" w:type="default"/>
          <w:footerReference r:id="rId17" w:type="default"/>
          <w:pgSz w:w="11905" w:h="16840"/>
          <w:pgMar w:top="1417" w:right="1417" w:bottom="1417" w:left="1417" w:header="935" w:footer="771" w:gutter="0"/>
          <w:pgNumType w:fmt="decimal" w:start="4"/>
          <w:cols w:space="0" w:num="1"/>
          <w:titlePg/>
          <w:rtlGutter w:val="0"/>
          <w:docGrid w:linePitch="312" w:charSpace="0"/>
        </w:sectPr>
      </w:pPr>
    </w:p>
    <w:bookmarkEnd w:id="61"/>
    <w:bookmarkEnd w:id="62"/>
    <w:p w14:paraId="7CEC4A9E">
      <w:pPr>
        <w:pStyle w:val="2"/>
        <w:numPr>
          <w:ilvl w:val="0"/>
          <w:numId w:val="8"/>
        </w:numPr>
        <w:spacing w:line="480" w:lineRule="auto"/>
        <w:jc w:val="center"/>
        <w:rPr>
          <w:rFonts w:hint="eastAsia" w:ascii="仿宋" w:hAnsi="仿宋" w:eastAsia="仿宋" w:cs="仿宋"/>
          <w:color w:val="auto"/>
          <w:kern w:val="0"/>
          <w:highlight w:val="none"/>
        </w:rPr>
      </w:pPr>
      <w:bookmarkStart w:id="63" w:name="_Toc24042"/>
      <w:r>
        <w:rPr>
          <w:rFonts w:hint="eastAsia" w:ascii="仿宋" w:hAnsi="仿宋" w:eastAsia="仿宋" w:cs="仿宋"/>
          <w:color w:val="auto"/>
          <w:kern w:val="0"/>
          <w:highlight w:val="none"/>
        </w:rPr>
        <w:t xml:space="preserve"> 采购内容及技术要求</w:t>
      </w:r>
      <w:bookmarkEnd w:id="63"/>
      <w:bookmarkStart w:id="64" w:name="_Toc458617745"/>
      <w:bookmarkStart w:id="65" w:name="_Toc458617468"/>
      <w:bookmarkStart w:id="66" w:name="_Toc492"/>
    </w:p>
    <w:bookmarkEnd w:id="64"/>
    <w:bookmarkEnd w:id="65"/>
    <w:bookmarkEnd w:id="66"/>
    <w:p w14:paraId="45EFC697">
      <w:pPr>
        <w:spacing w:line="360" w:lineRule="auto"/>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shd w:val="clear" w:color="auto" w:fill="FFFFFF"/>
          <w:lang w:eastAsia="zh-CN"/>
        </w:rPr>
        <w:t>（</w:t>
      </w:r>
      <w:r>
        <w:rPr>
          <w:rFonts w:hint="eastAsia" w:ascii="仿宋" w:hAnsi="仿宋" w:eastAsia="仿宋" w:cs="仿宋"/>
          <w:b/>
          <w:bCs/>
          <w:color w:val="auto"/>
          <w:sz w:val="28"/>
          <w:szCs w:val="28"/>
          <w:highlight w:val="none"/>
          <w:shd w:val="clear" w:color="auto" w:fill="FFFFFF"/>
          <w:lang w:val="en-US" w:eastAsia="zh-CN"/>
        </w:rPr>
        <w:t>一</w:t>
      </w:r>
      <w:r>
        <w:rPr>
          <w:rFonts w:hint="eastAsia" w:ascii="仿宋" w:hAnsi="仿宋" w:eastAsia="仿宋" w:cs="仿宋"/>
          <w:b/>
          <w:bCs/>
          <w:color w:val="auto"/>
          <w:sz w:val="28"/>
          <w:szCs w:val="28"/>
          <w:highlight w:val="none"/>
          <w:shd w:val="clear" w:color="auto" w:fill="FFFFFF"/>
          <w:lang w:eastAsia="zh-CN"/>
        </w:rPr>
        <w:t>）</w:t>
      </w:r>
      <w:r>
        <w:rPr>
          <w:rFonts w:hint="eastAsia" w:ascii="仿宋" w:hAnsi="仿宋" w:eastAsia="仿宋" w:cs="仿宋"/>
          <w:b/>
          <w:bCs/>
          <w:color w:val="auto"/>
          <w:sz w:val="28"/>
          <w:szCs w:val="28"/>
          <w:highlight w:val="none"/>
        </w:rPr>
        <w:t>55米登高平台消防车</w:t>
      </w:r>
      <w:r>
        <w:rPr>
          <w:rFonts w:hint="eastAsia" w:ascii="仿宋" w:hAnsi="仿宋" w:eastAsia="仿宋" w:cs="仿宋"/>
          <w:b/>
          <w:bCs/>
          <w:color w:val="auto"/>
          <w:sz w:val="28"/>
          <w:szCs w:val="28"/>
          <w:highlight w:val="none"/>
          <w:shd w:val="clear" w:color="auto" w:fill="FFFFFF"/>
          <w:lang w:eastAsia="zh-CN"/>
        </w:rPr>
        <w:t>（</w:t>
      </w:r>
      <w:r>
        <w:rPr>
          <w:rFonts w:hint="eastAsia" w:ascii="仿宋" w:hAnsi="仿宋" w:eastAsia="仿宋" w:cs="仿宋"/>
          <w:b/>
          <w:bCs/>
          <w:color w:val="auto"/>
          <w:sz w:val="28"/>
          <w:szCs w:val="28"/>
          <w:highlight w:val="none"/>
          <w:shd w:val="clear" w:color="auto" w:fill="FFFFFF"/>
          <w:lang w:val="en-US" w:eastAsia="zh-CN"/>
        </w:rPr>
        <w:t>核心产品</w:t>
      </w:r>
      <w:r>
        <w:rPr>
          <w:rFonts w:hint="eastAsia" w:ascii="仿宋" w:hAnsi="仿宋" w:eastAsia="仿宋" w:cs="仿宋"/>
          <w:b/>
          <w:bCs/>
          <w:color w:val="auto"/>
          <w:sz w:val="28"/>
          <w:szCs w:val="28"/>
          <w:highlight w:val="none"/>
          <w:shd w:val="clear" w:color="auto" w:fill="FFFFFF"/>
          <w:lang w:eastAsia="zh-CN"/>
        </w:rPr>
        <w:t>）</w:t>
      </w:r>
    </w:p>
    <w:p w14:paraId="3A06050A">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一.整车参数：</w:t>
      </w:r>
    </w:p>
    <w:p w14:paraId="7CAB97DE">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1、整车执行标准：</w:t>
      </w:r>
    </w:p>
    <w:p w14:paraId="6308508D">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符合GB7956.1-2014 《消防车第1 部分： 通用技术条件》和GB7956.12-2015《消防车第12 部分：举高消防车》的规定；</w:t>
      </w:r>
    </w:p>
    <w:p w14:paraId="601465B6">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 符合GA39－2016 的规定；</w:t>
      </w:r>
    </w:p>
    <w:p w14:paraId="773B9A39">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 按标准配齐随车器材，器材布置紧凑、装夹牢固，取用方便，使用防锈、防振、防脱落、防划伤的专用夹具固定器材表中所有器材。凡国家强制认证的产品须提供检测报告。</w:t>
      </w:r>
    </w:p>
    <w:p w14:paraId="4C6C70F9">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2、产品检验报告：产品具有产品型式试验检验报告、产品定型实验报告，整车须在工业和信息化部公布的《道路机动车辆生产企业及产品公告》目录内，确保能够挂应急牌照。</w:t>
      </w:r>
    </w:p>
    <w:p w14:paraId="1AB5DE06">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3、燃油种类：柴油，排放标准符合国六标准；</w:t>
      </w:r>
    </w:p>
    <w:p w14:paraId="74339BD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4、整车外形尺寸 (长×宽×高) ：≤12000×2550×4000mm；</w:t>
      </w:r>
    </w:p>
    <w:p w14:paraId="326B60FD">
      <w:pPr>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5、▲底盘型号：进口二类底盘（提供海关进口证明）；</w:t>
      </w:r>
    </w:p>
    <w:p w14:paraId="4088656B">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6、比功率:≥8kw/t；</w:t>
      </w:r>
    </w:p>
    <w:p w14:paraId="3C60147C">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r>
        <w:rPr>
          <w:rFonts w:hint="eastAsia" w:ascii="仿宋" w:hAnsi="仿宋" w:eastAsia="仿宋" w:cs="仿宋"/>
          <w:bCs/>
          <w:color w:val="auto"/>
          <w:szCs w:val="24"/>
          <w:highlight w:val="none"/>
        </w:rPr>
        <w:t>发动机额定功率：≥340kw；</w:t>
      </w:r>
    </w:p>
    <w:p w14:paraId="38D1E892">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8、驾乘员人员：</w:t>
      </w:r>
      <w:r>
        <w:rPr>
          <w:rFonts w:hint="eastAsia" w:ascii="仿宋" w:hAnsi="仿宋" w:eastAsia="仿宋" w:cs="仿宋"/>
          <w:bCs/>
          <w:color w:val="auto"/>
          <w:szCs w:val="24"/>
          <w:highlight w:val="none"/>
        </w:rPr>
        <w:t>≥</w:t>
      </w:r>
      <w:r>
        <w:rPr>
          <w:rFonts w:hint="eastAsia" w:ascii="仿宋" w:hAnsi="仿宋" w:eastAsia="仿宋" w:cs="仿宋"/>
          <w:color w:val="auto"/>
          <w:szCs w:val="24"/>
          <w:highlight w:val="none"/>
        </w:rPr>
        <w:t>2人；</w:t>
      </w:r>
    </w:p>
    <w:p w14:paraId="57121F84">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9、变速箱：自动变速箱；</w:t>
      </w:r>
    </w:p>
    <w:p w14:paraId="6D63C58E">
      <w:pPr>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10、▲工作斗额定荷载：≥500kg；</w:t>
      </w:r>
    </w:p>
    <w:p w14:paraId="134694B7">
      <w:pPr>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11、▲工作斗面积：≥2m²；</w:t>
      </w:r>
    </w:p>
    <w:p w14:paraId="7044745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12、最大允许风速: ≥12m/s；</w:t>
      </w:r>
    </w:p>
    <w:p w14:paraId="7FFBA86A">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13、油箱容量：≥400L。</w:t>
      </w:r>
    </w:p>
    <w:p w14:paraId="45A22A9B">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二.支撑系统：</w:t>
      </w:r>
    </w:p>
    <w:p w14:paraId="225095AE">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1、支腿型式：H型、或X型；</w:t>
      </w:r>
    </w:p>
    <w:p w14:paraId="33B1C00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2、支腿横向跨距：前：≤8100mm，后：≤8100mm；</w:t>
      </w:r>
    </w:p>
    <w:p w14:paraId="6AB2A23E">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3、支腿纵向跨距：左：≤9000mm，右：≤9000mm；</w:t>
      </w:r>
    </w:p>
    <w:p w14:paraId="39910371">
      <w:pPr>
        <w:spacing w:line="360" w:lineRule="auto"/>
        <w:ind w:firstLine="475" w:firstLineChars="197"/>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4、▲支腿全展及调平时间：≤30s；</w:t>
      </w:r>
    </w:p>
    <w:p w14:paraId="71665E42">
      <w:pPr>
        <w:spacing w:line="360" w:lineRule="auto"/>
        <w:ind w:firstLine="475" w:firstLineChars="197"/>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5、▲智能支撑：具备智能支撑技术，支腿根据作业场地能够任意跨距支撑、最小横向跨距3.5m，臂架能够根据支腿跨距自适应匹配安全作业范围，确保整车始终在安全范围内进行作业，增加登高车的场地适应性。</w:t>
      </w:r>
    </w:p>
    <w:p w14:paraId="5BED5EE8">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三.臂架系统：</w:t>
      </w:r>
    </w:p>
    <w:p w14:paraId="76F75E97">
      <w:pPr>
        <w:spacing w:line="360" w:lineRule="auto"/>
        <w:ind w:firstLine="468" w:firstLineChars="195"/>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1、最大工作高度：≥55m；</w:t>
      </w:r>
    </w:p>
    <w:p w14:paraId="46CB68F2">
      <w:pPr>
        <w:spacing w:line="360" w:lineRule="auto"/>
        <w:ind w:firstLine="470" w:firstLineChars="196"/>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2、最大工作幅度：≥23m；</w:t>
      </w:r>
    </w:p>
    <w:p w14:paraId="63B55F52">
      <w:pPr>
        <w:spacing w:line="360" w:lineRule="auto"/>
        <w:ind w:firstLine="472" w:firstLineChars="196"/>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3、▲臂架展开组合动作时间：≤170s；</w:t>
      </w:r>
    </w:p>
    <w:p w14:paraId="6CE51F6F">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4、臂架节数：≥5节；</w:t>
      </w:r>
    </w:p>
    <w:p w14:paraId="78463324">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5、回转角度：360°无限回转；</w:t>
      </w:r>
    </w:p>
    <w:p w14:paraId="0D56744A">
      <w:pPr>
        <w:spacing w:line="360" w:lineRule="auto"/>
        <w:ind w:firstLine="477" w:firstLineChars="198"/>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6、▲臂架虚拟墙功能：可以通过一键操作控制臂架进行自主动作，实现工作斗保持同一高度水平前后平移运动，以及工作斗沿着建筑物外墙立面垂直上下运动。</w:t>
      </w:r>
    </w:p>
    <w:p w14:paraId="655AEBEF">
      <w:pPr>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7、▲臂架智能巡航功能：对于救援人数较多的情况下，通过一键操作可以实现将被困人员从救援点与地面安全点之间往复多次救援，减少操作人员的操作步骤，提高操作安全性。</w:t>
      </w:r>
    </w:p>
    <w:p w14:paraId="4E378CF6">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四.消防系统：</w:t>
      </w:r>
    </w:p>
    <w:p w14:paraId="6BA942DB">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1、消防泵：</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进口品牌</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14:paraId="2E90753F">
      <w:pPr>
        <w:spacing w:line="360" w:lineRule="auto"/>
        <w:ind w:firstLine="482" w:firstLineChars="200"/>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2、▲消防泵裸泵流量（1.0MPa）：≥100 L/s；</w:t>
      </w:r>
    </w:p>
    <w:p w14:paraId="232AF5D9">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3、消防炮：</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进口品牌</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14:paraId="3AADC23B">
      <w:pPr>
        <w:spacing w:line="360" w:lineRule="auto"/>
        <w:ind w:firstLine="482" w:firstLineChars="200"/>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4、▲消防炮裸炮流量：≥80 L/s；</w:t>
      </w:r>
    </w:p>
    <w:p w14:paraId="733FBB6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5、介质为水时，消防炮最大射程：≥70m（以整车试验报告为准）；</w:t>
      </w:r>
    </w:p>
    <w:p w14:paraId="4B9BBEF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6、消防炮水平回转角范围：≥（-45°—﹢45°）；</w:t>
      </w:r>
    </w:p>
    <w:p w14:paraId="0729369F">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7、消防炮俯仰回转角范围：≥（-45°—﹢45°）；</w:t>
      </w:r>
    </w:p>
    <w:p w14:paraId="5839C0E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8、喷淋保护系统：具有自保喷淋系统。</w:t>
      </w:r>
    </w:p>
    <w:p w14:paraId="6DF7C2A5">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五.液压系统：</w:t>
      </w:r>
    </w:p>
    <w:p w14:paraId="3463DA94">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1、系统最大压力：≥20MPa；</w:t>
      </w:r>
    </w:p>
    <w:p w14:paraId="1AAA78A1">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2、液压系统型式：变量泵+比例阀系统；</w:t>
      </w:r>
    </w:p>
    <w:p w14:paraId="7BF5C86D">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3、臂架操作阀：液压先导高性能电磁比例阀；</w:t>
      </w:r>
    </w:p>
    <w:p w14:paraId="74D3F99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4、支腿操作阀：电磁比例阀，支腿自动展开调平；</w:t>
      </w:r>
    </w:p>
    <w:p w14:paraId="5DA7E20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5、应急泵：汽油发动机应急泵组1个（进口）；</w:t>
      </w:r>
    </w:p>
    <w:p w14:paraId="3B0D7741">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6、滤油器：泵进口吸油过滤器，泵出口高压滤油器，油箱回油滤油器；</w:t>
      </w:r>
    </w:p>
    <w:p w14:paraId="18BB16B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7、应急操作：启动辅助动力后，在臂架展开姿态下，应急操作使某一臂架有收回动作的步骤≤2 个步骤；</w:t>
      </w:r>
    </w:p>
    <w:p w14:paraId="410A982F">
      <w:pPr>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w:t>
      </w:r>
      <w:r>
        <w:rPr>
          <w:rFonts w:hint="eastAsia" w:ascii="仿宋" w:hAnsi="仿宋" w:eastAsia="仿宋" w:cs="仿宋"/>
          <w:b/>
          <w:bCs/>
          <w:color w:val="auto"/>
          <w:szCs w:val="24"/>
          <w:highlight w:val="none"/>
        </w:rPr>
        <w:t>液压动力源模块：工作斗具有液压动力源快速接口、输出压力22MPa，可为常规液压工具提供动力；配置超高压转换模块、输出压力≥72MPa，可驱动超高压液压属具作业。</w:t>
      </w:r>
    </w:p>
    <w:p w14:paraId="516B970A">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六.安全保护系统：</w:t>
      </w:r>
    </w:p>
    <w:p w14:paraId="3D605F8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1、工作幅度限制：车辆根据一号臂的不同变幅角度，不同的回转角度，都有一个确定的幅度限制。</w:t>
      </w:r>
    </w:p>
    <w:p w14:paraId="0DC877F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1"/>
          <w:highlight w:val="none"/>
        </w:rPr>
        <w:t>软腿控制：在操作上车过程中，当任一支腿出现不受力情况，有声光报警信号,并且臂架不能继续向危险方向运动。</w:t>
      </w:r>
    </w:p>
    <w:p w14:paraId="352E956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1"/>
          <w:highlight w:val="none"/>
        </w:rPr>
        <w:t>上、下车互锁装置：当下车支腿没有可靠支撑地面或下车未调平时，上车一切动作不能执行；当臂架没有落回臂架支架内时，下车一切动作不能执行。</w:t>
      </w:r>
    </w:p>
    <w:p w14:paraId="579BDA8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1"/>
          <w:highlight w:val="none"/>
        </w:rPr>
        <w:t>臂架变幅、伸缩至极限位置的减速停止装置：当车辆臂架接近变幅边界角度、臂架）全缩或全伸时，动作速度自动减小，到达极限时动作自动停止。</w:t>
      </w:r>
    </w:p>
    <w:p w14:paraId="45B9F0A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1"/>
          <w:highlight w:val="none"/>
        </w:rPr>
        <w:t>臂架中位回落保护装置：当臂架与平台在侧面或上面接近驾驶室时，只有当臂架与平台全部归位，对中后方可回落臂架到臂架支架上。</w:t>
      </w:r>
    </w:p>
    <w:p w14:paraId="18EA6501">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1"/>
          <w:highlight w:val="none"/>
        </w:rPr>
        <w:t>平台防碰保护：平台前方、下方、左方和右方雷达防碰装置，当平台接近障碍物时，会自动停止向不安全方向的全部动作；屏幕会出现相应的图标及文字提示。</w:t>
      </w:r>
    </w:p>
    <w:p w14:paraId="4C46C31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r>
        <w:rPr>
          <w:rFonts w:hint="eastAsia" w:ascii="仿宋" w:hAnsi="仿宋" w:eastAsia="仿宋" w:cs="仿宋"/>
          <w:color w:val="auto"/>
          <w:szCs w:val="21"/>
          <w:highlight w:val="none"/>
        </w:rPr>
        <w:t>工作平台超载控制：当工作平台上的负载超重时，屏幕会出现相应的图标及文字提示，同时报警，此时应减少工作平台上的负载。</w:t>
      </w:r>
    </w:p>
    <w:p w14:paraId="3810FE9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r>
        <w:rPr>
          <w:rFonts w:hint="eastAsia" w:ascii="仿宋" w:hAnsi="仿宋" w:eastAsia="仿宋" w:cs="仿宋"/>
          <w:color w:val="auto"/>
          <w:szCs w:val="21"/>
          <w:highlight w:val="none"/>
        </w:rPr>
        <w:t>保护驾驶室控制：当臂架在驾驶室上面55°、左右各60°范围内时，限制臂架动作，避免臂架或工作平台等与驾驶室发生碰撞而产生损坏，屏幕会出现相应的图标及文字提示，同时报警。</w:t>
      </w:r>
    </w:p>
    <w:p w14:paraId="6DFBCE1E">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七.器材箱：</w:t>
      </w:r>
    </w:p>
    <w:p w14:paraId="297D2969">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1、器材箱材质：骨架采用高强度铝合金专用型材，蒙板为全铝合金板且内蒙皮进行阳极氧化处理；</w:t>
      </w:r>
    </w:p>
    <w:p w14:paraId="538D91E5">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2、器材箱结构：器材箱骨架采用高强度铝合金型材，内藏式，蒙板与骨架之间采用高强度结构用粘结胶粘结，车身外表面光滑、平整、美观，有效减震，避免松动；</w:t>
      </w:r>
    </w:p>
    <w:p w14:paraId="6D7C632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3、卷帘门：采用带锁铝合金卷帘门，卷帘门可用1把钥匙开启，启闭轻便灵活，密封性好，具有防水、防尘功能；每个器材箱内有照明灯，由卷帘门开闭控制。</w:t>
      </w:r>
    </w:p>
    <w:p w14:paraId="30756DA3">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八.电路、气路系统:</w:t>
      </w:r>
    </w:p>
    <w:p w14:paraId="55611D7E">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1、电路系统：电气设备，符合国家相关标准；警灯、爆闪灯为红色</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带倒车影像（含雷达），360°行车记录仪，车载台，增加车门、安全带蜂鸣器；所有操作开关、仪表、器材架及车辆均有符合标准、规范的铭牌标志，显示值采用中国通用图标符号和计量标准，各类标牌牢固、清晰；</w:t>
      </w:r>
    </w:p>
    <w:p w14:paraId="0F6BAC30">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消防控制系统及仪表板：对各消防部件智能化控制，整体设置于车尾或车辆侧中部；控制面板上所有手柄、按钮、开关和指示灯应标注有中文标识；显著位置设有管路布置图及操作、维护说明；可以读液位、转速、压力、真空压力、水泵转速等数据；</w:t>
      </w:r>
    </w:p>
    <w:p w14:paraId="1AADBC0A">
      <w:pPr>
        <w:spacing w:line="360" w:lineRule="auto"/>
        <w:ind w:firstLine="477" w:firstLineChars="198"/>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w:t>
      </w:r>
      <w:r>
        <w:rPr>
          <w:rFonts w:hint="eastAsia" w:ascii="仿宋" w:hAnsi="仿宋" w:eastAsia="仿宋" w:cs="仿宋"/>
          <w:b/>
          <w:color w:val="auto"/>
          <w:szCs w:val="24"/>
          <w:highlight w:val="none"/>
        </w:rPr>
        <w:t>▲</w:t>
      </w:r>
      <w:r>
        <w:rPr>
          <w:rFonts w:hint="eastAsia" w:ascii="仿宋" w:hAnsi="仿宋" w:eastAsia="仿宋" w:cs="仿宋"/>
          <w:b/>
          <w:bCs/>
          <w:color w:val="auto"/>
          <w:szCs w:val="24"/>
          <w:highlight w:val="none"/>
        </w:rPr>
        <w:t>快速充气充电装置：安装快速充气充电装置，可对车辆蓄电池进行智能充电，对制动储气罐进行智能充气补气，可自动分离、也可手动分离。</w:t>
      </w:r>
    </w:p>
    <w:p w14:paraId="6C650096">
      <w:pPr>
        <w:spacing w:line="360" w:lineRule="auto"/>
        <w:rPr>
          <w:rFonts w:hint="eastAsia" w:ascii="仿宋" w:hAnsi="仿宋" w:eastAsia="仿宋" w:cs="仿宋"/>
          <w:b/>
          <w:bCs/>
          <w:color w:val="auto"/>
          <w:szCs w:val="24"/>
          <w:highlight w:val="none"/>
        </w:rPr>
      </w:pPr>
      <w:r>
        <w:rPr>
          <w:rFonts w:hint="eastAsia" w:ascii="仿宋" w:hAnsi="仿宋" w:eastAsia="仿宋" w:cs="仿宋"/>
          <w:b/>
          <w:color w:val="auto"/>
          <w:szCs w:val="24"/>
          <w:highlight w:val="none"/>
        </w:rPr>
        <w:t>九.车身外观:</w:t>
      </w:r>
    </w:p>
    <w:p w14:paraId="535FDBE4">
      <w:pPr>
        <w:spacing w:line="360" w:lineRule="auto"/>
        <w:ind w:firstLine="475" w:firstLineChars="198"/>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1、车身外观：外观喷涂消防红色，车身外表面光滑、平整、美观。</w:t>
      </w:r>
    </w:p>
    <w:p w14:paraId="337A703F">
      <w:pPr>
        <w:spacing w:line="360" w:lineRule="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十.随机附件:</w:t>
      </w:r>
    </w:p>
    <w:tbl>
      <w:tblPr>
        <w:tblStyle w:val="23"/>
        <w:tblW w:w="4999" w:type="pct"/>
        <w:tblInd w:w="0" w:type="dxa"/>
        <w:tblLayout w:type="autofit"/>
        <w:tblCellMar>
          <w:top w:w="0" w:type="dxa"/>
          <w:left w:w="108" w:type="dxa"/>
          <w:bottom w:w="0" w:type="dxa"/>
          <w:right w:w="108" w:type="dxa"/>
        </w:tblCellMar>
      </w:tblPr>
      <w:tblGrid>
        <w:gridCol w:w="977"/>
        <w:gridCol w:w="4887"/>
        <w:gridCol w:w="3421"/>
      </w:tblGrid>
      <w:tr w14:paraId="07528257">
        <w:tblPrEx>
          <w:tblCellMar>
            <w:top w:w="0" w:type="dxa"/>
            <w:left w:w="108" w:type="dxa"/>
            <w:bottom w:w="0" w:type="dxa"/>
            <w:right w:w="108" w:type="dxa"/>
          </w:tblCellMar>
        </w:tblPrEx>
        <w:trPr>
          <w:trHeight w:val="270" w:hRule="atLeast"/>
        </w:trPr>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836F0">
            <w:pPr>
              <w:widowControl/>
              <w:spacing w:line="360" w:lineRule="auto"/>
              <w:jc w:val="cente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序号</w:t>
            </w:r>
          </w:p>
        </w:tc>
        <w:tc>
          <w:tcPr>
            <w:tcW w:w="2631" w:type="pct"/>
            <w:tcBorders>
              <w:top w:val="single" w:color="auto" w:sz="4" w:space="0"/>
              <w:left w:val="nil"/>
              <w:bottom w:val="single" w:color="auto" w:sz="4" w:space="0"/>
              <w:right w:val="single" w:color="auto" w:sz="4" w:space="0"/>
            </w:tcBorders>
            <w:shd w:val="clear" w:color="auto" w:fill="auto"/>
            <w:vAlign w:val="center"/>
          </w:tcPr>
          <w:p w14:paraId="2FDB5AE7">
            <w:pPr>
              <w:widowControl/>
              <w:spacing w:line="360" w:lineRule="auto"/>
              <w:jc w:val="cente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名称规格与型号</w:t>
            </w:r>
          </w:p>
        </w:tc>
        <w:tc>
          <w:tcPr>
            <w:tcW w:w="1842" w:type="pct"/>
            <w:tcBorders>
              <w:top w:val="single" w:color="auto" w:sz="4" w:space="0"/>
              <w:left w:val="nil"/>
              <w:bottom w:val="single" w:color="auto" w:sz="4" w:space="0"/>
              <w:right w:val="single" w:color="auto" w:sz="4" w:space="0"/>
            </w:tcBorders>
            <w:shd w:val="clear" w:color="auto" w:fill="auto"/>
            <w:vAlign w:val="center"/>
          </w:tcPr>
          <w:p w14:paraId="3962C860">
            <w:pPr>
              <w:widowControl/>
              <w:spacing w:line="360" w:lineRule="auto"/>
              <w:jc w:val="cente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数量/单位</w:t>
            </w:r>
          </w:p>
        </w:tc>
      </w:tr>
      <w:tr w14:paraId="6F01EFFA">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7EDA6D01">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p>
        </w:tc>
        <w:tc>
          <w:tcPr>
            <w:tcW w:w="2631" w:type="pct"/>
            <w:tcBorders>
              <w:top w:val="nil"/>
              <w:left w:val="nil"/>
              <w:bottom w:val="single" w:color="auto" w:sz="4" w:space="0"/>
              <w:right w:val="single" w:color="auto" w:sz="4" w:space="0"/>
            </w:tcBorders>
            <w:shd w:val="clear" w:color="auto" w:fill="auto"/>
            <w:vAlign w:val="center"/>
          </w:tcPr>
          <w:p w14:paraId="574EF231">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内六角扳手3-17</w:t>
            </w:r>
          </w:p>
        </w:tc>
        <w:tc>
          <w:tcPr>
            <w:tcW w:w="1842" w:type="pct"/>
            <w:tcBorders>
              <w:top w:val="nil"/>
              <w:left w:val="nil"/>
              <w:bottom w:val="single" w:color="auto" w:sz="4" w:space="0"/>
              <w:right w:val="single" w:color="auto" w:sz="4" w:space="0"/>
            </w:tcBorders>
            <w:shd w:val="clear" w:color="auto" w:fill="auto"/>
            <w:vAlign w:val="center"/>
          </w:tcPr>
          <w:p w14:paraId="7356356F">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1套</w:t>
            </w:r>
          </w:p>
        </w:tc>
      </w:tr>
      <w:tr w14:paraId="0BE492C0">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5B8972E7">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w:t>
            </w:r>
          </w:p>
        </w:tc>
        <w:tc>
          <w:tcPr>
            <w:tcW w:w="2631" w:type="pct"/>
            <w:tcBorders>
              <w:top w:val="nil"/>
              <w:left w:val="nil"/>
              <w:bottom w:val="single" w:color="auto" w:sz="4" w:space="0"/>
              <w:right w:val="single" w:color="auto" w:sz="4" w:space="0"/>
            </w:tcBorders>
            <w:shd w:val="clear" w:color="auto" w:fill="auto"/>
            <w:vAlign w:val="center"/>
          </w:tcPr>
          <w:p w14:paraId="1378B4D8">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活扳手6 寸</w:t>
            </w:r>
          </w:p>
        </w:tc>
        <w:tc>
          <w:tcPr>
            <w:tcW w:w="1842" w:type="pct"/>
            <w:tcBorders>
              <w:top w:val="nil"/>
              <w:left w:val="nil"/>
              <w:bottom w:val="single" w:color="auto" w:sz="4" w:space="0"/>
              <w:right w:val="single" w:color="auto" w:sz="4" w:space="0"/>
            </w:tcBorders>
            <w:shd w:val="clear" w:color="auto" w:fill="auto"/>
            <w:vAlign w:val="center"/>
          </w:tcPr>
          <w:p w14:paraId="15711DC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2AC67F59">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03A4FB2B">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w:t>
            </w:r>
          </w:p>
        </w:tc>
        <w:tc>
          <w:tcPr>
            <w:tcW w:w="2631" w:type="pct"/>
            <w:tcBorders>
              <w:top w:val="nil"/>
              <w:left w:val="nil"/>
              <w:bottom w:val="single" w:color="auto" w:sz="4" w:space="0"/>
              <w:right w:val="single" w:color="auto" w:sz="4" w:space="0"/>
            </w:tcBorders>
            <w:shd w:val="clear" w:color="auto" w:fill="auto"/>
            <w:vAlign w:val="center"/>
          </w:tcPr>
          <w:p w14:paraId="1786C8C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活扳手12 寸</w:t>
            </w:r>
          </w:p>
        </w:tc>
        <w:tc>
          <w:tcPr>
            <w:tcW w:w="1842" w:type="pct"/>
            <w:tcBorders>
              <w:top w:val="nil"/>
              <w:left w:val="nil"/>
              <w:bottom w:val="single" w:color="auto" w:sz="4" w:space="0"/>
              <w:right w:val="single" w:color="auto" w:sz="4" w:space="0"/>
            </w:tcBorders>
            <w:shd w:val="clear" w:color="auto" w:fill="auto"/>
            <w:vAlign w:val="center"/>
          </w:tcPr>
          <w:p w14:paraId="32C9849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53C639D3">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55CB78A7">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w:t>
            </w:r>
          </w:p>
        </w:tc>
        <w:tc>
          <w:tcPr>
            <w:tcW w:w="2631" w:type="pct"/>
            <w:tcBorders>
              <w:top w:val="nil"/>
              <w:left w:val="nil"/>
              <w:bottom w:val="single" w:color="auto" w:sz="4" w:space="0"/>
              <w:right w:val="single" w:color="auto" w:sz="4" w:space="0"/>
            </w:tcBorders>
            <w:shd w:val="clear" w:color="auto" w:fill="auto"/>
            <w:vAlign w:val="center"/>
          </w:tcPr>
          <w:p w14:paraId="433AC43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一字螺丝刀150×6</w:t>
            </w:r>
          </w:p>
        </w:tc>
        <w:tc>
          <w:tcPr>
            <w:tcW w:w="1842" w:type="pct"/>
            <w:tcBorders>
              <w:top w:val="nil"/>
              <w:left w:val="nil"/>
              <w:bottom w:val="single" w:color="auto" w:sz="4" w:space="0"/>
              <w:right w:val="single" w:color="auto" w:sz="4" w:space="0"/>
            </w:tcBorders>
            <w:shd w:val="clear" w:color="auto" w:fill="auto"/>
            <w:vAlign w:val="center"/>
          </w:tcPr>
          <w:p w14:paraId="6623F04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51333C14">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7FC8864B">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w:t>
            </w:r>
          </w:p>
        </w:tc>
        <w:tc>
          <w:tcPr>
            <w:tcW w:w="2631" w:type="pct"/>
            <w:tcBorders>
              <w:top w:val="nil"/>
              <w:left w:val="nil"/>
              <w:bottom w:val="single" w:color="auto" w:sz="4" w:space="0"/>
              <w:right w:val="single" w:color="auto" w:sz="4" w:space="0"/>
            </w:tcBorders>
            <w:shd w:val="clear" w:color="auto" w:fill="auto"/>
            <w:vAlign w:val="center"/>
          </w:tcPr>
          <w:p w14:paraId="4A810D0A">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十字形螺丝刀150×6</w:t>
            </w:r>
          </w:p>
        </w:tc>
        <w:tc>
          <w:tcPr>
            <w:tcW w:w="1842" w:type="pct"/>
            <w:tcBorders>
              <w:top w:val="nil"/>
              <w:left w:val="nil"/>
              <w:bottom w:val="single" w:color="auto" w:sz="4" w:space="0"/>
              <w:right w:val="single" w:color="auto" w:sz="4" w:space="0"/>
            </w:tcBorders>
            <w:shd w:val="clear" w:color="auto" w:fill="auto"/>
            <w:vAlign w:val="center"/>
          </w:tcPr>
          <w:p w14:paraId="2EBD3BE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135E2825">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471B8A60">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6</w:t>
            </w:r>
          </w:p>
        </w:tc>
        <w:tc>
          <w:tcPr>
            <w:tcW w:w="2631" w:type="pct"/>
            <w:tcBorders>
              <w:top w:val="nil"/>
              <w:left w:val="nil"/>
              <w:bottom w:val="single" w:color="auto" w:sz="4" w:space="0"/>
              <w:right w:val="single" w:color="auto" w:sz="4" w:space="0"/>
            </w:tcBorders>
            <w:shd w:val="clear" w:color="auto" w:fill="auto"/>
            <w:vAlign w:val="center"/>
          </w:tcPr>
          <w:p w14:paraId="45C7AFEF">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黄油枪</w:t>
            </w:r>
          </w:p>
        </w:tc>
        <w:tc>
          <w:tcPr>
            <w:tcW w:w="1842" w:type="pct"/>
            <w:tcBorders>
              <w:top w:val="nil"/>
              <w:left w:val="nil"/>
              <w:bottom w:val="single" w:color="auto" w:sz="4" w:space="0"/>
              <w:right w:val="single" w:color="auto" w:sz="4" w:space="0"/>
            </w:tcBorders>
            <w:shd w:val="clear" w:color="auto" w:fill="auto"/>
            <w:vAlign w:val="center"/>
          </w:tcPr>
          <w:p w14:paraId="47A827A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1F7FA543">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632CB3E7">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7</w:t>
            </w:r>
          </w:p>
        </w:tc>
        <w:tc>
          <w:tcPr>
            <w:tcW w:w="2631" w:type="pct"/>
            <w:tcBorders>
              <w:top w:val="nil"/>
              <w:left w:val="nil"/>
              <w:bottom w:val="single" w:color="auto" w:sz="4" w:space="0"/>
              <w:right w:val="single" w:color="auto" w:sz="4" w:space="0"/>
            </w:tcBorders>
            <w:shd w:val="clear" w:color="auto" w:fill="auto"/>
            <w:vAlign w:val="center"/>
          </w:tcPr>
          <w:p w14:paraId="217396E8">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鲤鱼钳8 寸</w:t>
            </w:r>
          </w:p>
        </w:tc>
        <w:tc>
          <w:tcPr>
            <w:tcW w:w="1842" w:type="pct"/>
            <w:tcBorders>
              <w:top w:val="nil"/>
              <w:left w:val="nil"/>
              <w:bottom w:val="single" w:color="auto" w:sz="4" w:space="0"/>
              <w:right w:val="single" w:color="auto" w:sz="4" w:space="0"/>
            </w:tcBorders>
            <w:shd w:val="clear" w:color="auto" w:fill="auto"/>
            <w:vAlign w:val="center"/>
          </w:tcPr>
          <w:p w14:paraId="12050455">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73291406">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21F9B9FA">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8</w:t>
            </w:r>
          </w:p>
        </w:tc>
        <w:tc>
          <w:tcPr>
            <w:tcW w:w="2631" w:type="pct"/>
            <w:tcBorders>
              <w:top w:val="nil"/>
              <w:left w:val="nil"/>
              <w:bottom w:val="single" w:color="auto" w:sz="4" w:space="0"/>
              <w:right w:val="single" w:color="auto" w:sz="4" w:space="0"/>
            </w:tcBorders>
            <w:shd w:val="clear" w:color="auto" w:fill="auto"/>
            <w:vAlign w:val="center"/>
          </w:tcPr>
          <w:p w14:paraId="0CCDE90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消防安全腰带组件</w:t>
            </w:r>
          </w:p>
        </w:tc>
        <w:tc>
          <w:tcPr>
            <w:tcW w:w="1842" w:type="pct"/>
            <w:tcBorders>
              <w:top w:val="nil"/>
              <w:left w:val="nil"/>
              <w:bottom w:val="single" w:color="auto" w:sz="4" w:space="0"/>
              <w:right w:val="single" w:color="auto" w:sz="4" w:space="0"/>
            </w:tcBorders>
            <w:shd w:val="clear" w:color="auto" w:fill="auto"/>
            <w:vAlign w:val="center"/>
          </w:tcPr>
          <w:p w14:paraId="7489224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5根</w:t>
            </w:r>
          </w:p>
        </w:tc>
      </w:tr>
      <w:tr w14:paraId="112AD5D9">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45CCE36B">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9</w:t>
            </w:r>
          </w:p>
        </w:tc>
        <w:tc>
          <w:tcPr>
            <w:tcW w:w="2631" w:type="pct"/>
            <w:tcBorders>
              <w:top w:val="nil"/>
              <w:left w:val="nil"/>
              <w:bottom w:val="single" w:color="auto" w:sz="4" w:space="0"/>
              <w:right w:val="single" w:color="auto" w:sz="4" w:space="0"/>
            </w:tcBorders>
            <w:shd w:val="clear" w:color="auto" w:fill="auto"/>
            <w:vAlign w:val="center"/>
          </w:tcPr>
          <w:p w14:paraId="23182886">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勾头扳手90-155</w:t>
            </w:r>
          </w:p>
        </w:tc>
        <w:tc>
          <w:tcPr>
            <w:tcW w:w="1842" w:type="pct"/>
            <w:tcBorders>
              <w:top w:val="nil"/>
              <w:left w:val="nil"/>
              <w:bottom w:val="single" w:color="auto" w:sz="4" w:space="0"/>
              <w:right w:val="single" w:color="auto" w:sz="4" w:space="0"/>
            </w:tcBorders>
            <w:shd w:val="clear" w:color="auto" w:fill="auto"/>
            <w:vAlign w:val="center"/>
          </w:tcPr>
          <w:p w14:paraId="79817BC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56D170AB">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61BD0DE1">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10</w:t>
            </w:r>
          </w:p>
        </w:tc>
        <w:tc>
          <w:tcPr>
            <w:tcW w:w="2631" w:type="pct"/>
            <w:tcBorders>
              <w:top w:val="nil"/>
              <w:left w:val="nil"/>
              <w:bottom w:val="single" w:color="auto" w:sz="4" w:space="0"/>
              <w:right w:val="single" w:color="auto" w:sz="4" w:space="0"/>
            </w:tcBorders>
            <w:shd w:val="clear" w:color="auto" w:fill="auto"/>
            <w:vAlign w:val="center"/>
          </w:tcPr>
          <w:p w14:paraId="5C1CE32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水带包布</w:t>
            </w:r>
          </w:p>
        </w:tc>
        <w:tc>
          <w:tcPr>
            <w:tcW w:w="1842" w:type="pct"/>
            <w:tcBorders>
              <w:top w:val="nil"/>
              <w:left w:val="nil"/>
              <w:bottom w:val="single" w:color="auto" w:sz="4" w:space="0"/>
              <w:right w:val="single" w:color="auto" w:sz="4" w:space="0"/>
            </w:tcBorders>
            <w:shd w:val="clear" w:color="auto" w:fill="auto"/>
            <w:vAlign w:val="center"/>
          </w:tcPr>
          <w:p w14:paraId="501F3312">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8件</w:t>
            </w:r>
          </w:p>
        </w:tc>
      </w:tr>
      <w:tr w14:paraId="63C862BB">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45BEB964">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11</w:t>
            </w:r>
          </w:p>
        </w:tc>
        <w:tc>
          <w:tcPr>
            <w:tcW w:w="2631" w:type="pct"/>
            <w:tcBorders>
              <w:top w:val="nil"/>
              <w:left w:val="nil"/>
              <w:bottom w:val="single" w:color="auto" w:sz="4" w:space="0"/>
              <w:right w:val="single" w:color="auto" w:sz="4" w:space="0"/>
            </w:tcBorders>
            <w:shd w:val="clear" w:color="auto" w:fill="auto"/>
            <w:vAlign w:val="center"/>
          </w:tcPr>
          <w:p w14:paraId="582B1C30">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水带护桥</w:t>
            </w:r>
          </w:p>
        </w:tc>
        <w:tc>
          <w:tcPr>
            <w:tcW w:w="1842" w:type="pct"/>
            <w:tcBorders>
              <w:top w:val="nil"/>
              <w:left w:val="nil"/>
              <w:bottom w:val="single" w:color="auto" w:sz="4" w:space="0"/>
              <w:right w:val="single" w:color="auto" w:sz="4" w:space="0"/>
            </w:tcBorders>
            <w:shd w:val="clear" w:color="auto" w:fill="auto"/>
            <w:vAlign w:val="center"/>
          </w:tcPr>
          <w:p w14:paraId="74397A86">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3件</w:t>
            </w:r>
          </w:p>
        </w:tc>
      </w:tr>
      <w:tr w14:paraId="3DA9CA12">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1D5CE11F">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12</w:t>
            </w:r>
          </w:p>
        </w:tc>
        <w:tc>
          <w:tcPr>
            <w:tcW w:w="2631" w:type="pct"/>
            <w:tcBorders>
              <w:top w:val="nil"/>
              <w:left w:val="nil"/>
              <w:bottom w:val="single" w:color="auto" w:sz="4" w:space="0"/>
              <w:right w:val="single" w:color="auto" w:sz="4" w:space="0"/>
            </w:tcBorders>
            <w:shd w:val="clear" w:color="auto" w:fill="auto"/>
            <w:vAlign w:val="center"/>
          </w:tcPr>
          <w:p w14:paraId="387E0959">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地上消防栓扳手</w:t>
            </w:r>
          </w:p>
        </w:tc>
        <w:tc>
          <w:tcPr>
            <w:tcW w:w="1842" w:type="pct"/>
            <w:tcBorders>
              <w:top w:val="nil"/>
              <w:left w:val="nil"/>
              <w:bottom w:val="single" w:color="auto" w:sz="4" w:space="0"/>
              <w:right w:val="single" w:color="auto" w:sz="4" w:space="0"/>
            </w:tcBorders>
            <w:shd w:val="clear" w:color="auto" w:fill="auto"/>
            <w:vAlign w:val="center"/>
          </w:tcPr>
          <w:p w14:paraId="621AA82F">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6E588897">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707CA3DF">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13</w:t>
            </w:r>
          </w:p>
        </w:tc>
        <w:tc>
          <w:tcPr>
            <w:tcW w:w="2631" w:type="pct"/>
            <w:tcBorders>
              <w:top w:val="nil"/>
              <w:left w:val="nil"/>
              <w:bottom w:val="single" w:color="auto" w:sz="4" w:space="0"/>
              <w:right w:val="single" w:color="auto" w:sz="4" w:space="0"/>
            </w:tcBorders>
            <w:shd w:val="clear" w:color="auto" w:fill="auto"/>
            <w:vAlign w:val="center"/>
          </w:tcPr>
          <w:p w14:paraId="26635AE5">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地下消防栓扳手</w:t>
            </w:r>
          </w:p>
        </w:tc>
        <w:tc>
          <w:tcPr>
            <w:tcW w:w="1842" w:type="pct"/>
            <w:tcBorders>
              <w:top w:val="nil"/>
              <w:left w:val="nil"/>
              <w:bottom w:val="single" w:color="auto" w:sz="4" w:space="0"/>
              <w:right w:val="single" w:color="auto" w:sz="4" w:space="0"/>
            </w:tcBorders>
            <w:shd w:val="clear" w:color="auto" w:fill="auto"/>
            <w:vAlign w:val="center"/>
          </w:tcPr>
          <w:p w14:paraId="25FC87C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54584B90">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1E522555">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14</w:t>
            </w:r>
          </w:p>
        </w:tc>
        <w:tc>
          <w:tcPr>
            <w:tcW w:w="2631" w:type="pct"/>
            <w:tcBorders>
              <w:top w:val="nil"/>
              <w:left w:val="nil"/>
              <w:bottom w:val="single" w:color="auto" w:sz="4" w:space="0"/>
              <w:right w:val="single" w:color="auto" w:sz="4" w:space="0"/>
            </w:tcBorders>
            <w:shd w:val="clear" w:color="auto" w:fill="auto"/>
            <w:vAlign w:val="center"/>
          </w:tcPr>
          <w:p w14:paraId="15DC8D3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资料配送拉杆包</w:t>
            </w:r>
          </w:p>
        </w:tc>
        <w:tc>
          <w:tcPr>
            <w:tcW w:w="1842" w:type="pct"/>
            <w:tcBorders>
              <w:top w:val="nil"/>
              <w:left w:val="nil"/>
              <w:bottom w:val="single" w:color="auto" w:sz="4" w:space="0"/>
              <w:right w:val="single" w:color="auto" w:sz="4" w:space="0"/>
            </w:tcBorders>
            <w:shd w:val="clear" w:color="auto" w:fill="auto"/>
            <w:vAlign w:val="center"/>
          </w:tcPr>
          <w:p w14:paraId="38E55CC6">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656FD3FC">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0BD408B6">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15</w:t>
            </w:r>
          </w:p>
        </w:tc>
        <w:tc>
          <w:tcPr>
            <w:tcW w:w="2631" w:type="pct"/>
            <w:tcBorders>
              <w:top w:val="nil"/>
              <w:left w:val="nil"/>
              <w:bottom w:val="single" w:color="auto" w:sz="4" w:space="0"/>
              <w:right w:val="single" w:color="auto" w:sz="4" w:space="0"/>
            </w:tcBorders>
            <w:shd w:val="clear" w:color="auto" w:fill="auto"/>
            <w:vAlign w:val="center"/>
          </w:tcPr>
          <w:p w14:paraId="67E0C09C">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手提式防爆探照灯</w:t>
            </w:r>
          </w:p>
        </w:tc>
        <w:tc>
          <w:tcPr>
            <w:tcW w:w="1842" w:type="pct"/>
            <w:tcBorders>
              <w:top w:val="nil"/>
              <w:left w:val="nil"/>
              <w:bottom w:val="single" w:color="auto" w:sz="4" w:space="0"/>
              <w:right w:val="single" w:color="auto" w:sz="4" w:space="0"/>
            </w:tcBorders>
            <w:shd w:val="clear" w:color="auto" w:fill="auto"/>
            <w:vAlign w:val="center"/>
          </w:tcPr>
          <w:p w14:paraId="397E712C">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2只</w:t>
            </w:r>
          </w:p>
        </w:tc>
      </w:tr>
      <w:tr w14:paraId="4C2566BA">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31BF6444">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16</w:t>
            </w:r>
          </w:p>
        </w:tc>
        <w:tc>
          <w:tcPr>
            <w:tcW w:w="2631" w:type="pct"/>
            <w:tcBorders>
              <w:top w:val="nil"/>
              <w:left w:val="nil"/>
              <w:bottom w:val="single" w:color="auto" w:sz="4" w:space="0"/>
              <w:right w:val="single" w:color="auto" w:sz="4" w:space="0"/>
            </w:tcBorders>
            <w:shd w:val="clear" w:color="auto" w:fill="auto"/>
            <w:vAlign w:val="center"/>
          </w:tcPr>
          <w:p w14:paraId="4B2C4D8F">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干粉灭火器1.5Kg</w:t>
            </w:r>
          </w:p>
        </w:tc>
        <w:tc>
          <w:tcPr>
            <w:tcW w:w="1842" w:type="pct"/>
            <w:tcBorders>
              <w:top w:val="nil"/>
              <w:left w:val="nil"/>
              <w:bottom w:val="single" w:color="auto" w:sz="4" w:space="0"/>
              <w:right w:val="single" w:color="auto" w:sz="4" w:space="0"/>
            </w:tcBorders>
            <w:shd w:val="clear" w:color="auto" w:fill="auto"/>
            <w:vAlign w:val="center"/>
          </w:tcPr>
          <w:p w14:paraId="4A5A9E20">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1具</w:t>
            </w:r>
          </w:p>
        </w:tc>
      </w:tr>
      <w:tr w14:paraId="03661F70">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030B22C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17</w:t>
            </w:r>
          </w:p>
        </w:tc>
        <w:tc>
          <w:tcPr>
            <w:tcW w:w="2631" w:type="pct"/>
            <w:tcBorders>
              <w:top w:val="nil"/>
              <w:left w:val="nil"/>
              <w:bottom w:val="single" w:color="auto" w:sz="4" w:space="0"/>
              <w:right w:val="single" w:color="auto" w:sz="4" w:space="0"/>
            </w:tcBorders>
            <w:shd w:val="clear" w:color="auto" w:fill="auto"/>
            <w:vAlign w:val="center"/>
          </w:tcPr>
          <w:p w14:paraId="4CA171C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消防气动阀门手动操作杆</w:t>
            </w:r>
          </w:p>
        </w:tc>
        <w:tc>
          <w:tcPr>
            <w:tcW w:w="1842" w:type="pct"/>
            <w:tcBorders>
              <w:top w:val="nil"/>
              <w:left w:val="nil"/>
              <w:bottom w:val="single" w:color="auto" w:sz="4" w:space="0"/>
              <w:right w:val="single" w:color="auto" w:sz="4" w:space="0"/>
            </w:tcBorders>
            <w:shd w:val="clear" w:color="auto" w:fill="auto"/>
            <w:vAlign w:val="center"/>
          </w:tcPr>
          <w:p w14:paraId="7B1E75F9">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2件</w:t>
            </w:r>
          </w:p>
        </w:tc>
      </w:tr>
      <w:tr w14:paraId="790EE646">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32D24E87">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18</w:t>
            </w:r>
          </w:p>
        </w:tc>
        <w:tc>
          <w:tcPr>
            <w:tcW w:w="2631" w:type="pct"/>
            <w:tcBorders>
              <w:top w:val="nil"/>
              <w:left w:val="nil"/>
              <w:bottom w:val="single" w:color="auto" w:sz="4" w:space="0"/>
              <w:right w:val="single" w:color="auto" w:sz="4" w:space="0"/>
            </w:tcBorders>
            <w:shd w:val="clear" w:color="auto" w:fill="auto"/>
            <w:vAlign w:val="center"/>
          </w:tcPr>
          <w:p w14:paraId="7A4F2E31">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II150/80×2-1.6 二集水器（快插）</w:t>
            </w:r>
          </w:p>
        </w:tc>
        <w:tc>
          <w:tcPr>
            <w:tcW w:w="1842" w:type="pct"/>
            <w:tcBorders>
              <w:top w:val="nil"/>
              <w:left w:val="nil"/>
              <w:bottom w:val="single" w:color="auto" w:sz="4" w:space="0"/>
              <w:right w:val="single" w:color="auto" w:sz="4" w:space="0"/>
            </w:tcBorders>
            <w:shd w:val="clear" w:color="auto" w:fill="auto"/>
            <w:vAlign w:val="center"/>
          </w:tcPr>
          <w:p w14:paraId="45050920">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2只</w:t>
            </w:r>
          </w:p>
        </w:tc>
      </w:tr>
      <w:tr w14:paraId="4BB3047C">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0D8E6E1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19</w:t>
            </w:r>
          </w:p>
        </w:tc>
        <w:tc>
          <w:tcPr>
            <w:tcW w:w="2631" w:type="pct"/>
            <w:tcBorders>
              <w:top w:val="nil"/>
              <w:left w:val="nil"/>
              <w:bottom w:val="single" w:color="auto" w:sz="4" w:space="0"/>
              <w:right w:val="single" w:color="auto" w:sz="4" w:space="0"/>
            </w:tcBorders>
            <w:shd w:val="clear" w:color="auto" w:fill="auto"/>
            <w:vAlign w:val="center"/>
          </w:tcPr>
          <w:p w14:paraId="39D1FA4B">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卡式消防水带20-80-20</w:t>
            </w:r>
          </w:p>
        </w:tc>
        <w:tc>
          <w:tcPr>
            <w:tcW w:w="1842" w:type="pct"/>
            <w:tcBorders>
              <w:top w:val="nil"/>
              <w:left w:val="nil"/>
              <w:bottom w:val="single" w:color="auto" w:sz="4" w:space="0"/>
              <w:right w:val="single" w:color="auto" w:sz="4" w:space="0"/>
            </w:tcBorders>
            <w:shd w:val="clear" w:color="auto" w:fill="auto"/>
            <w:vAlign w:val="center"/>
          </w:tcPr>
          <w:p w14:paraId="732C8BE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4根</w:t>
            </w:r>
          </w:p>
        </w:tc>
      </w:tr>
      <w:tr w14:paraId="14F4F606">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521E6412">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20</w:t>
            </w:r>
          </w:p>
        </w:tc>
        <w:tc>
          <w:tcPr>
            <w:tcW w:w="2631" w:type="pct"/>
            <w:tcBorders>
              <w:top w:val="nil"/>
              <w:left w:val="nil"/>
              <w:bottom w:val="single" w:color="auto" w:sz="4" w:space="0"/>
              <w:right w:val="single" w:color="auto" w:sz="4" w:space="0"/>
            </w:tcBorders>
            <w:shd w:val="clear" w:color="auto" w:fill="auto"/>
            <w:vAlign w:val="center"/>
          </w:tcPr>
          <w:p w14:paraId="1245FFE0">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卡式异径接口KJK65 雌/80 雄</w:t>
            </w:r>
          </w:p>
        </w:tc>
        <w:tc>
          <w:tcPr>
            <w:tcW w:w="1842" w:type="pct"/>
            <w:tcBorders>
              <w:top w:val="nil"/>
              <w:left w:val="nil"/>
              <w:bottom w:val="single" w:color="auto" w:sz="4" w:space="0"/>
              <w:right w:val="single" w:color="auto" w:sz="4" w:space="0"/>
            </w:tcBorders>
            <w:shd w:val="clear" w:color="auto" w:fill="auto"/>
            <w:vAlign w:val="center"/>
          </w:tcPr>
          <w:p w14:paraId="1CF10195">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4件</w:t>
            </w:r>
          </w:p>
        </w:tc>
      </w:tr>
      <w:tr w14:paraId="2FD12ED5">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56B27E20">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21</w:t>
            </w:r>
          </w:p>
        </w:tc>
        <w:tc>
          <w:tcPr>
            <w:tcW w:w="2631" w:type="pct"/>
            <w:tcBorders>
              <w:top w:val="nil"/>
              <w:left w:val="nil"/>
              <w:bottom w:val="single" w:color="auto" w:sz="4" w:space="0"/>
              <w:right w:val="single" w:color="auto" w:sz="4" w:space="0"/>
            </w:tcBorders>
            <w:shd w:val="clear" w:color="auto" w:fill="auto"/>
            <w:vAlign w:val="center"/>
          </w:tcPr>
          <w:p w14:paraId="2AAB8F4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异型接口KXK80 内扣/80 雌</w:t>
            </w:r>
          </w:p>
        </w:tc>
        <w:tc>
          <w:tcPr>
            <w:tcW w:w="1842" w:type="pct"/>
            <w:tcBorders>
              <w:top w:val="nil"/>
              <w:left w:val="nil"/>
              <w:bottom w:val="single" w:color="auto" w:sz="4" w:space="0"/>
              <w:right w:val="single" w:color="auto" w:sz="4" w:space="0"/>
            </w:tcBorders>
            <w:shd w:val="clear" w:color="auto" w:fill="auto"/>
            <w:vAlign w:val="center"/>
          </w:tcPr>
          <w:p w14:paraId="14C85A1C">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4件</w:t>
            </w:r>
          </w:p>
        </w:tc>
      </w:tr>
      <w:tr w14:paraId="5FCA14F8">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3625A3C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22</w:t>
            </w:r>
          </w:p>
        </w:tc>
        <w:tc>
          <w:tcPr>
            <w:tcW w:w="2631" w:type="pct"/>
            <w:tcBorders>
              <w:top w:val="nil"/>
              <w:left w:val="nil"/>
              <w:bottom w:val="single" w:color="auto" w:sz="4" w:space="0"/>
              <w:right w:val="single" w:color="auto" w:sz="4" w:space="0"/>
            </w:tcBorders>
            <w:shd w:val="clear" w:color="auto" w:fill="auto"/>
            <w:vAlign w:val="center"/>
          </w:tcPr>
          <w:p w14:paraId="4D47DCA9">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异型接口KXK65 内扣/80 雌</w:t>
            </w:r>
          </w:p>
        </w:tc>
        <w:tc>
          <w:tcPr>
            <w:tcW w:w="1842" w:type="pct"/>
            <w:tcBorders>
              <w:top w:val="nil"/>
              <w:left w:val="nil"/>
              <w:bottom w:val="single" w:color="auto" w:sz="4" w:space="0"/>
              <w:right w:val="single" w:color="auto" w:sz="4" w:space="0"/>
            </w:tcBorders>
            <w:shd w:val="clear" w:color="auto" w:fill="auto"/>
            <w:vAlign w:val="center"/>
          </w:tcPr>
          <w:p w14:paraId="5BDF9278">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4件</w:t>
            </w:r>
          </w:p>
        </w:tc>
      </w:tr>
      <w:tr w14:paraId="25452C09">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30F7CAC2">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23</w:t>
            </w:r>
          </w:p>
        </w:tc>
        <w:tc>
          <w:tcPr>
            <w:tcW w:w="2631" w:type="pct"/>
            <w:tcBorders>
              <w:top w:val="nil"/>
              <w:left w:val="nil"/>
              <w:bottom w:val="single" w:color="auto" w:sz="4" w:space="0"/>
              <w:right w:val="single" w:color="auto" w:sz="4" w:space="0"/>
            </w:tcBorders>
            <w:shd w:val="clear" w:color="auto" w:fill="auto"/>
            <w:vAlign w:val="center"/>
          </w:tcPr>
          <w:p w14:paraId="6C5AB72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车载台(兼容350M、370M)</w:t>
            </w:r>
          </w:p>
        </w:tc>
        <w:tc>
          <w:tcPr>
            <w:tcW w:w="1842" w:type="pct"/>
            <w:tcBorders>
              <w:top w:val="nil"/>
              <w:left w:val="nil"/>
              <w:bottom w:val="single" w:color="auto" w:sz="4" w:space="0"/>
              <w:right w:val="single" w:color="auto" w:sz="4" w:space="0"/>
            </w:tcBorders>
            <w:shd w:val="clear" w:color="auto" w:fill="auto"/>
            <w:vAlign w:val="center"/>
          </w:tcPr>
          <w:p w14:paraId="138381CB">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1个</w:t>
            </w:r>
          </w:p>
        </w:tc>
      </w:tr>
    </w:tbl>
    <w:p w14:paraId="7A105DA2">
      <w:pPr>
        <w:spacing w:line="360" w:lineRule="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十一.随车文件:</w:t>
      </w:r>
    </w:p>
    <w:tbl>
      <w:tblPr>
        <w:tblStyle w:val="23"/>
        <w:tblW w:w="4999" w:type="pct"/>
        <w:tblInd w:w="0" w:type="dxa"/>
        <w:tblLayout w:type="autofit"/>
        <w:tblCellMar>
          <w:top w:w="0" w:type="dxa"/>
          <w:left w:w="108" w:type="dxa"/>
          <w:bottom w:w="0" w:type="dxa"/>
          <w:right w:w="108" w:type="dxa"/>
        </w:tblCellMar>
      </w:tblPr>
      <w:tblGrid>
        <w:gridCol w:w="977"/>
        <w:gridCol w:w="8308"/>
      </w:tblGrid>
      <w:tr w14:paraId="1D57F853">
        <w:tblPrEx>
          <w:tblCellMar>
            <w:top w:w="0" w:type="dxa"/>
            <w:left w:w="108" w:type="dxa"/>
            <w:bottom w:w="0" w:type="dxa"/>
            <w:right w:w="108" w:type="dxa"/>
          </w:tblCellMar>
        </w:tblPrEx>
        <w:trPr>
          <w:trHeight w:val="240" w:hRule="atLeast"/>
        </w:trPr>
        <w:tc>
          <w:tcPr>
            <w:tcW w:w="526" w:type="pct"/>
            <w:tcBorders>
              <w:top w:val="single" w:color="auto" w:sz="4" w:space="0"/>
              <w:left w:val="single" w:color="auto" w:sz="4" w:space="0"/>
              <w:bottom w:val="single" w:color="auto" w:sz="4" w:space="0"/>
              <w:right w:val="single" w:color="auto" w:sz="4" w:space="0"/>
            </w:tcBorders>
            <w:shd w:val="clear" w:color="auto" w:fill="auto"/>
            <w:vAlign w:val="bottom"/>
          </w:tcPr>
          <w:p w14:paraId="77A21159">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0782329E">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消防车产品型式试验报告；</w:t>
            </w:r>
          </w:p>
        </w:tc>
      </w:tr>
      <w:tr w14:paraId="4CC0DB87">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429A9878">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2524FB68">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消防泵、消防炮相关报告证书底盘使用说明书；</w:t>
            </w:r>
          </w:p>
        </w:tc>
      </w:tr>
      <w:tr w14:paraId="7F78B03D">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30BB444E">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4AB1D1B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底盘使用说明书；</w:t>
            </w:r>
          </w:p>
        </w:tc>
      </w:tr>
      <w:tr w14:paraId="5E68774A">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78C30980">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3518891C">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底盘维修手册；</w:t>
            </w:r>
          </w:p>
        </w:tc>
      </w:tr>
      <w:tr w14:paraId="0438153D">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38A30863">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4E164024">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底盘质量保修卡；</w:t>
            </w:r>
          </w:p>
        </w:tc>
      </w:tr>
      <w:tr w14:paraId="794C8699">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7C30876F">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6</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4480C0DB">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底盘合格证明资料；</w:t>
            </w:r>
          </w:p>
        </w:tc>
      </w:tr>
      <w:tr w14:paraId="298B49A4">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25F576E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7</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640E3B85">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底盘零配件目录；</w:t>
            </w:r>
          </w:p>
        </w:tc>
      </w:tr>
      <w:tr w14:paraId="271FCB82">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2206E85F">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8</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2B39DCB3">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发动机号码拓印件；</w:t>
            </w:r>
          </w:p>
        </w:tc>
      </w:tr>
      <w:tr w14:paraId="2A91ADBC">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3EDA0EAC">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9</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158E63C3">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底盘号码拓印件；</w:t>
            </w:r>
          </w:p>
        </w:tc>
      </w:tr>
      <w:tr w14:paraId="6DA3D0C1">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026F9791">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10</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27F2C388">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消防车操作使用说明书；</w:t>
            </w:r>
          </w:p>
        </w:tc>
      </w:tr>
      <w:tr w14:paraId="21830078">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07872D6E">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11</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5C22F3A4">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消防车消防器材清单；</w:t>
            </w:r>
          </w:p>
        </w:tc>
      </w:tr>
      <w:tr w14:paraId="35E11638">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72583D21">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12</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6C0F8E45">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消防车合格证；</w:t>
            </w:r>
          </w:p>
        </w:tc>
      </w:tr>
      <w:tr w14:paraId="721775F2">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3510F645">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13</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09A15329">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消防车交接清单。</w:t>
            </w:r>
          </w:p>
        </w:tc>
      </w:tr>
    </w:tbl>
    <w:p w14:paraId="227F6D5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58BF281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（二）器材清单</w:t>
      </w:r>
    </w:p>
    <w:tbl>
      <w:tblPr>
        <w:tblStyle w:val="23"/>
        <w:tblW w:w="5444" w:type="pc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4"/>
        <w:gridCol w:w="2476"/>
        <w:gridCol w:w="5957"/>
        <w:gridCol w:w="995"/>
      </w:tblGrid>
      <w:tr w14:paraId="2CA4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38" w:type="pct"/>
            <w:shd w:val="clear" w:color="auto" w:fill="auto"/>
            <w:noWrap/>
            <w:vAlign w:val="center"/>
          </w:tcPr>
          <w:p w14:paraId="49E9017F">
            <w:pPr>
              <w:keepNext w:val="0"/>
              <w:keepLines w:val="0"/>
              <w:widowControl/>
              <w:suppressLineNumbers w:val="0"/>
              <w:jc w:val="center"/>
              <w:textAlignment w:val="center"/>
              <w:rPr>
                <w:rFonts w:hint="eastAsia" w:ascii="仿宋" w:hAnsi="仿宋" w:eastAsia="仿宋" w:cs="仿宋"/>
                <w:b/>
                <w:bCs/>
                <w:color w:val="auto"/>
                <w:sz w:val="20"/>
                <w:highlight w:val="none"/>
                <w:lang w:val="en-US" w:eastAsia="zh-CN"/>
              </w:rPr>
            </w:pPr>
            <w:r>
              <w:rPr>
                <w:rFonts w:hint="eastAsia" w:ascii="仿宋" w:hAnsi="仿宋" w:eastAsia="仿宋" w:cs="仿宋"/>
                <w:b/>
                <w:bCs/>
                <w:color w:val="auto"/>
                <w:sz w:val="20"/>
                <w:highlight w:val="none"/>
                <w:lang w:val="en-US" w:eastAsia="zh-CN"/>
              </w:rPr>
              <w:t>序号</w:t>
            </w:r>
          </w:p>
        </w:tc>
        <w:tc>
          <w:tcPr>
            <w:tcW w:w="1224" w:type="pct"/>
            <w:shd w:val="clear" w:color="auto" w:fill="auto"/>
            <w:noWrap/>
            <w:vAlign w:val="center"/>
          </w:tcPr>
          <w:p w14:paraId="50003E55">
            <w:pPr>
              <w:keepNext w:val="0"/>
              <w:keepLines w:val="0"/>
              <w:widowControl/>
              <w:suppressLineNumbers w:val="0"/>
              <w:jc w:val="center"/>
              <w:textAlignment w:val="center"/>
              <w:rPr>
                <w:rFonts w:hint="eastAsia" w:ascii="仿宋" w:hAnsi="仿宋" w:eastAsia="仿宋" w:cs="仿宋"/>
                <w:b/>
                <w:bCs/>
                <w:color w:val="auto"/>
                <w:sz w:val="20"/>
                <w:highlight w:val="none"/>
                <w:lang w:val="en-US" w:eastAsia="zh-CN"/>
              </w:rPr>
            </w:pPr>
            <w:r>
              <w:rPr>
                <w:rFonts w:hint="eastAsia" w:ascii="仿宋" w:hAnsi="仿宋" w:eastAsia="仿宋" w:cs="仿宋"/>
                <w:b/>
                <w:bCs/>
                <w:color w:val="auto"/>
                <w:sz w:val="20"/>
                <w:highlight w:val="none"/>
                <w:lang w:val="en-US" w:eastAsia="zh-CN"/>
              </w:rPr>
              <w:t>名称</w:t>
            </w:r>
          </w:p>
        </w:tc>
        <w:tc>
          <w:tcPr>
            <w:tcW w:w="2945" w:type="pct"/>
            <w:shd w:val="clear" w:color="auto" w:fill="auto"/>
            <w:noWrap/>
            <w:vAlign w:val="center"/>
          </w:tcPr>
          <w:p w14:paraId="63A29E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b/>
                <w:bCs/>
                <w:color w:val="auto"/>
                <w:sz w:val="20"/>
                <w:highlight w:val="none"/>
              </w:rPr>
              <w:t>规格</w:t>
            </w:r>
            <w:r>
              <w:rPr>
                <w:rFonts w:hint="eastAsia" w:ascii="仿宋" w:hAnsi="仿宋" w:eastAsia="仿宋" w:cs="仿宋"/>
                <w:b/>
                <w:bCs/>
                <w:color w:val="auto"/>
                <w:sz w:val="20"/>
                <w:highlight w:val="none"/>
                <w:lang w:val="en-US" w:eastAsia="zh-CN"/>
              </w:rPr>
              <w:t>参数</w:t>
            </w:r>
          </w:p>
        </w:tc>
        <w:tc>
          <w:tcPr>
            <w:tcW w:w="491" w:type="pct"/>
            <w:shd w:val="clear" w:color="auto" w:fill="auto"/>
            <w:noWrap/>
            <w:vAlign w:val="center"/>
          </w:tcPr>
          <w:p w14:paraId="1D12EB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color w:val="auto"/>
                <w:sz w:val="20"/>
                <w:highlight w:val="none"/>
              </w:rPr>
              <w:t>数量/单位</w:t>
            </w:r>
          </w:p>
        </w:tc>
      </w:tr>
      <w:tr w14:paraId="3594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38" w:type="pct"/>
            <w:shd w:val="clear" w:color="auto" w:fill="auto"/>
            <w:noWrap/>
            <w:vAlign w:val="center"/>
          </w:tcPr>
          <w:p w14:paraId="18B9A3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224" w:type="pct"/>
            <w:shd w:val="clear" w:color="auto" w:fill="auto"/>
            <w:noWrap/>
            <w:vAlign w:val="center"/>
          </w:tcPr>
          <w:p w14:paraId="328EC07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指挥中心大屏及智能化管理平台</w:t>
            </w:r>
          </w:p>
        </w:tc>
        <w:tc>
          <w:tcPr>
            <w:tcW w:w="2945" w:type="pct"/>
            <w:shd w:val="clear" w:color="auto" w:fill="auto"/>
            <w:noWrap/>
            <w:vAlign w:val="center"/>
          </w:tcPr>
          <w:p w14:paraId="5821E03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指挥中心大屏及智能化管理平台</w:t>
            </w:r>
          </w:p>
          <w:p w14:paraId="4FA0972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1、屏幕为国内行业知名品牌；分辨率：≥2K</w:t>
            </w:r>
          </w:p>
          <w:p w14:paraId="0A8D63B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2、单块拼接显示器尺寸≥48寸，数量≥9块</w:t>
            </w:r>
          </w:p>
          <w:p w14:paraId="784022B4">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3、拼接处理器≥4套；</w:t>
            </w:r>
          </w:p>
          <w:p w14:paraId="18AC308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4、支架为液压支架；</w:t>
            </w:r>
          </w:p>
          <w:p w14:paraId="241A497A">
            <w:pPr>
              <w:keepNext w:val="0"/>
              <w:keepLines w:val="0"/>
              <w:widowControl/>
              <w:suppressLineNumbers w:val="0"/>
              <w:spacing w:line="360" w:lineRule="auto"/>
              <w:jc w:val="left"/>
              <w:textAlignment w:val="center"/>
              <w:rPr>
                <w:rFonts w:hint="eastAsia"/>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5、带有控制系统和专用线缆。</w:t>
            </w:r>
          </w:p>
        </w:tc>
        <w:tc>
          <w:tcPr>
            <w:tcW w:w="491" w:type="pct"/>
            <w:shd w:val="clear" w:color="auto" w:fill="auto"/>
            <w:noWrap/>
            <w:vAlign w:val="center"/>
          </w:tcPr>
          <w:p w14:paraId="2F1060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r>
      <w:tr w14:paraId="0997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338" w:type="pct"/>
            <w:shd w:val="clear" w:color="auto" w:fill="auto"/>
            <w:noWrap/>
            <w:vAlign w:val="center"/>
          </w:tcPr>
          <w:p w14:paraId="1B4EE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224" w:type="pct"/>
            <w:shd w:val="clear" w:color="auto" w:fill="auto"/>
            <w:noWrap/>
            <w:vAlign w:val="center"/>
          </w:tcPr>
          <w:p w14:paraId="57F018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热成像空气呼吸器</w:t>
            </w:r>
          </w:p>
        </w:tc>
        <w:tc>
          <w:tcPr>
            <w:tcW w:w="2945" w:type="pct"/>
            <w:shd w:val="clear" w:color="auto" w:fill="auto"/>
            <w:vAlign w:val="center"/>
          </w:tcPr>
          <w:p w14:paraId="5B919A6A">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1、采样帧速：≥25 帧∕秒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2、探测器分辨率：≥320×240像素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3、显示分辨率：≥1024×768 像素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4、具有OSD功能，视频内叠加有模式、温度、电池电量等信息，可实时追踪画面上温度最低/高点、并显示其温度。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5、设备具有双向WIFI功能，能够通过设备无线配置和读取存储数据。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6、配套符合国家XF124-2013《正压式消防空气呼吸器》标准，通过3C认证的空气呼吸器。</w:t>
            </w:r>
          </w:p>
        </w:tc>
        <w:tc>
          <w:tcPr>
            <w:tcW w:w="491" w:type="pct"/>
            <w:shd w:val="clear" w:color="auto" w:fill="auto"/>
            <w:vAlign w:val="center"/>
          </w:tcPr>
          <w:p w14:paraId="6427D4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2套</w:t>
            </w:r>
          </w:p>
        </w:tc>
      </w:tr>
      <w:tr w14:paraId="1BDF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4" w:hRule="atLeast"/>
        </w:trPr>
        <w:tc>
          <w:tcPr>
            <w:tcW w:w="338" w:type="pct"/>
            <w:shd w:val="clear" w:color="auto" w:fill="auto"/>
            <w:noWrap/>
            <w:vAlign w:val="center"/>
          </w:tcPr>
          <w:p w14:paraId="400A54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224" w:type="pct"/>
            <w:shd w:val="clear" w:color="auto" w:fill="auto"/>
            <w:vAlign w:val="center"/>
          </w:tcPr>
          <w:p w14:paraId="1701338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移动空气压缩机</w:t>
            </w:r>
          </w:p>
        </w:tc>
        <w:tc>
          <w:tcPr>
            <w:tcW w:w="2945" w:type="pct"/>
            <w:shd w:val="clear" w:color="auto" w:fill="auto"/>
            <w:vAlign w:val="center"/>
          </w:tcPr>
          <w:p w14:paraId="7D30AC1F">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1、3级3缸压缩、风冷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2、具有级间和末级油水分离器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3、具有级间和末级手动冷凝排污器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4、压缩机排量：300升/分钟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5、工作压力：225-330bar</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6、整机重量：≤112kg</w:t>
            </w:r>
          </w:p>
        </w:tc>
        <w:tc>
          <w:tcPr>
            <w:tcW w:w="491" w:type="pct"/>
            <w:shd w:val="clear" w:color="auto" w:fill="auto"/>
            <w:vAlign w:val="center"/>
          </w:tcPr>
          <w:p w14:paraId="4AB28A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r>
      <w:tr w14:paraId="2658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338" w:type="pct"/>
            <w:shd w:val="clear" w:color="auto" w:fill="auto"/>
            <w:noWrap/>
            <w:vAlign w:val="center"/>
          </w:tcPr>
          <w:p w14:paraId="04CC1C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224" w:type="pct"/>
            <w:shd w:val="clear" w:color="auto" w:fill="auto"/>
            <w:vAlign w:val="center"/>
          </w:tcPr>
          <w:p w14:paraId="1DE0CB6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消防救生气垫</w:t>
            </w:r>
          </w:p>
        </w:tc>
        <w:tc>
          <w:tcPr>
            <w:tcW w:w="2945" w:type="pct"/>
            <w:shd w:val="clear" w:color="auto" w:fill="auto"/>
            <w:vAlign w:val="center"/>
          </w:tcPr>
          <w:p w14:paraId="706D781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1、符合XF631-2006《消防救生气垫》标准。消防救生气垫，是营救从高处下跳的人员的救生充气软垫。适用于高层建筑遇险人员的地面救护。</w:t>
            </w:r>
          </w:p>
          <w:p w14:paraId="1F78342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2、外形尺寸(m)：(6±0.2)x(8±0.2)x(2.1±0.1)</w:t>
            </w:r>
          </w:p>
          <w:p w14:paraId="631F3C5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3、最大救生高度：16米</w:t>
            </w:r>
          </w:p>
          <w:p w14:paraId="6156024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4、气垫承接面面料的氧指数：≥26</w:t>
            </w:r>
          </w:p>
          <w:p w14:paraId="57AAA92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5、主体原材料抗拉强力:径向≥28KN/m、纬向≥25KN/m</w:t>
            </w:r>
          </w:p>
          <w:p w14:paraId="54D15B7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6、充气时间：≤50s</w:t>
            </w:r>
          </w:p>
          <w:p w14:paraId="7FD57BC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7、补气时间：≤25s</w:t>
            </w:r>
          </w:p>
          <w:p w14:paraId="53D49CD8">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提供证明材料（不限于检验报告）及消防产品认证证书。</w:t>
            </w:r>
          </w:p>
        </w:tc>
        <w:tc>
          <w:tcPr>
            <w:tcW w:w="491" w:type="pct"/>
            <w:shd w:val="clear" w:color="auto" w:fill="auto"/>
            <w:vAlign w:val="center"/>
          </w:tcPr>
          <w:p w14:paraId="58DCFA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r>
      <w:tr w14:paraId="6C14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38" w:type="pct"/>
            <w:shd w:val="clear" w:color="auto" w:fill="auto"/>
            <w:noWrap/>
            <w:vAlign w:val="center"/>
          </w:tcPr>
          <w:p w14:paraId="331EB5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24" w:type="pct"/>
            <w:shd w:val="clear" w:color="auto" w:fill="auto"/>
            <w:vAlign w:val="center"/>
          </w:tcPr>
          <w:p w14:paraId="061EA53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车载通讯电台</w:t>
            </w:r>
          </w:p>
        </w:tc>
        <w:tc>
          <w:tcPr>
            <w:tcW w:w="2945" w:type="pct"/>
            <w:shd w:val="clear" w:color="auto" w:fill="auto"/>
            <w:noWrap/>
            <w:vAlign w:val="center"/>
          </w:tcPr>
          <w:p w14:paraId="112D36C8">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1、具备多种工作模式，能够在不同的网络制式下正常使用，适应不同的应用场景，至少具备模拟常规、模拟集群、数字常规和数字集群4种工作模式；</w:t>
            </w:r>
          </w:p>
          <w:p w14:paraId="29B9A2B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2、车载台须具备工作模式自动切换功能，能够数字集群和模拟集群、常规之间的自适应，满足复杂环境下的应用需求；</w:t>
            </w:r>
          </w:p>
          <w:p w14:paraId="6CC41AC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3、屏幕尺寸≥2.0寸；</w:t>
            </w:r>
          </w:p>
          <w:p w14:paraId="0FB6652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4、车载台组呼容量≥1024，组群数量≥64，每个组群可添加组数≥16；</w:t>
            </w:r>
          </w:p>
          <w:p w14:paraId="463C553A">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5、频率范围：350-400MHz</w:t>
            </w:r>
          </w:p>
          <w:p w14:paraId="5014509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6、车载台收件箱可存储短消息数量≥50条</w:t>
            </w:r>
          </w:p>
          <w:p w14:paraId="2C712AB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7、输出功率：5-25W</w:t>
            </w:r>
          </w:p>
          <w:p w14:paraId="26A8A753">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8、防尘防水等级≥IP54</w:t>
            </w:r>
          </w:p>
        </w:tc>
        <w:tc>
          <w:tcPr>
            <w:tcW w:w="491" w:type="pct"/>
            <w:shd w:val="clear" w:color="auto" w:fill="auto"/>
            <w:noWrap/>
            <w:vAlign w:val="center"/>
          </w:tcPr>
          <w:p w14:paraId="00325D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5台</w:t>
            </w:r>
          </w:p>
        </w:tc>
      </w:tr>
    </w:tbl>
    <w:p w14:paraId="74F80DAC">
      <w:pPr>
        <w:rPr>
          <w:rFonts w:hint="eastAsia" w:ascii="仿宋" w:hAnsi="仿宋" w:eastAsia="仿宋" w:cs="仿宋"/>
          <w:color w:val="auto"/>
          <w:highlight w:val="none"/>
        </w:rPr>
      </w:pPr>
    </w:p>
    <w:p w14:paraId="1B7B320C">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为重要参数，负偏离依据评分标准进行相应的扣分；</w:t>
      </w:r>
    </w:p>
    <w:p w14:paraId="2711DC80">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项参数须提供佐证材料</w:t>
      </w:r>
      <w:r>
        <w:rPr>
          <w:rFonts w:hint="eastAsia" w:ascii="仿宋" w:hAnsi="仿宋" w:eastAsia="仿宋" w:cs="仿宋"/>
          <w:color w:val="auto"/>
          <w:szCs w:val="24"/>
          <w:highlight w:val="none"/>
        </w:rPr>
        <w:t>（不限于检测报告、官网和功能截图、彩页、说明书等相关资料）</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不能提供佐证材料的，按负偏离计算。</w:t>
      </w:r>
      <w:r>
        <w:rPr>
          <w:rFonts w:hint="eastAsia" w:ascii="仿宋" w:hAnsi="仿宋" w:eastAsia="仿宋" w:cs="仿宋"/>
          <w:color w:val="auto"/>
          <w:highlight w:val="none"/>
        </w:rPr>
        <w:br w:type="page"/>
      </w:r>
    </w:p>
    <w:p w14:paraId="064CFEE5">
      <w:pPr>
        <w:pStyle w:val="2"/>
        <w:bidi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第四章  商务要求</w:t>
      </w:r>
    </w:p>
    <w:p w14:paraId="19762394">
      <w:pPr>
        <w:spacing w:line="560" w:lineRule="exact"/>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一、交货期及地点：</w:t>
      </w:r>
    </w:p>
    <w:p w14:paraId="05213FB4">
      <w:pPr>
        <w:adjustRightInd w:val="0"/>
        <w:snapToGrid w:val="0"/>
        <w:spacing w:line="560" w:lineRule="exact"/>
        <w:ind w:firstLine="600" w:firstLineChars="250"/>
        <w:rPr>
          <w:rFonts w:hint="eastAsia" w:ascii="仿宋" w:hAnsi="仿宋" w:eastAsia="仿宋" w:cs="仿宋"/>
          <w:color w:val="auto"/>
          <w:szCs w:val="24"/>
          <w:highlight w:val="none"/>
        </w:rPr>
      </w:pPr>
      <w:bookmarkStart w:id="67" w:name="_Toc167712839"/>
      <w:bookmarkStart w:id="68" w:name="_Toc167714037"/>
      <w:bookmarkStart w:id="69" w:name="_Toc167715234"/>
      <w:r>
        <w:rPr>
          <w:rFonts w:hint="eastAsia" w:ascii="仿宋" w:hAnsi="仿宋" w:eastAsia="仿宋" w:cs="仿宋"/>
          <w:color w:val="auto"/>
          <w:szCs w:val="24"/>
          <w:highlight w:val="none"/>
        </w:rPr>
        <w:t>1、交货期：</w:t>
      </w:r>
      <w:bookmarkEnd w:id="67"/>
      <w:bookmarkEnd w:id="68"/>
      <w:bookmarkEnd w:id="69"/>
      <w:r>
        <w:rPr>
          <w:rFonts w:hint="eastAsia" w:ascii="仿宋" w:hAnsi="仿宋" w:eastAsia="仿宋" w:cs="仿宋"/>
          <w:color w:val="auto"/>
          <w:szCs w:val="24"/>
          <w:highlight w:val="none"/>
          <w:lang w:eastAsia="zh-CN"/>
        </w:rPr>
        <w:t>自合同签订之日起180个日历日内交付完毕</w:t>
      </w:r>
      <w:r>
        <w:rPr>
          <w:rFonts w:hint="eastAsia" w:ascii="仿宋" w:hAnsi="仿宋" w:eastAsia="仿宋" w:cs="仿宋"/>
          <w:color w:val="auto"/>
          <w:szCs w:val="24"/>
          <w:highlight w:val="none"/>
        </w:rPr>
        <w:t>。</w:t>
      </w:r>
    </w:p>
    <w:p w14:paraId="4B188A2F">
      <w:pPr>
        <w:adjustRightInd w:val="0"/>
        <w:snapToGrid w:val="0"/>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2、交货地点：</w:t>
      </w:r>
      <w:r>
        <w:rPr>
          <w:rFonts w:hint="eastAsia" w:ascii="仿宋" w:hAnsi="仿宋" w:eastAsia="仿宋" w:cs="仿宋"/>
          <w:color w:val="auto"/>
          <w:szCs w:val="24"/>
          <w:highlight w:val="none"/>
          <w:lang w:eastAsia="zh-CN"/>
        </w:rPr>
        <w:t>镇安县应急管理局</w:t>
      </w:r>
      <w:r>
        <w:rPr>
          <w:rFonts w:hint="eastAsia" w:ascii="仿宋" w:hAnsi="仿宋" w:eastAsia="仿宋" w:cs="仿宋"/>
          <w:color w:val="auto"/>
          <w:szCs w:val="24"/>
          <w:highlight w:val="none"/>
        </w:rPr>
        <w:t>指定地点。</w:t>
      </w:r>
    </w:p>
    <w:p w14:paraId="1D93649D">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二、包装、运输、安装、调试及培训要求：</w:t>
      </w:r>
    </w:p>
    <w:p w14:paraId="0CBA3FC7">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1、包装：应采取防潮、防晒、防腐蚀、防震动及防止其它损坏的必要措施。中标人应承担由于其包装或防护措施不妥而引起的货物锈蚀、损坏和丢失等任何损失造成的责任或费用。</w:t>
      </w:r>
    </w:p>
    <w:p w14:paraId="2CDCE4B5">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当货物（产品）包装使用塑料、纸质、木材等包装材料时，除应当按照国家、行业规定的包装标准进行包装外，还需按照《商品包装政府采购需求标准（试行）》（财办库[2020]）123号）规定的环保要求进行包装。</w:t>
      </w:r>
    </w:p>
    <w:p w14:paraId="0226CDAF">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当货物（产品）采用快递交货方式时，快递包装除应当按照国家、行业规定的包装标准进行包装外，还需按照《快递包装政府采购需求标准（试行）》（财办库[2020]）123号）规定的环保要求进行包装。</w:t>
      </w:r>
    </w:p>
    <w:p w14:paraId="13F8EE2F">
      <w:pPr>
        <w:spacing w:line="560" w:lineRule="exact"/>
        <w:ind w:firstLine="600" w:firstLineChars="25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2、运输：</w:t>
      </w:r>
      <w:r>
        <w:rPr>
          <w:rFonts w:hint="eastAsia" w:ascii="仿宋" w:hAnsi="仿宋" w:eastAsia="仿宋" w:cs="仿宋"/>
          <w:color w:val="auto"/>
          <w:kern w:val="0"/>
          <w:szCs w:val="24"/>
          <w:highlight w:val="none"/>
        </w:rPr>
        <w:t>选择运输风险小、运费低、距离短的运输路线。运杂费一次包死在总价内，包括生产厂到施工现场所需的装卸、运输（含保险费）、现场保管费、二次倒运费、吊装费等费用。</w:t>
      </w:r>
    </w:p>
    <w:p w14:paraId="3393352C">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3、安装、调试及培训：中标人负责所有设备的安装、调试、培训工作，所有费用一次包死在总价内。</w:t>
      </w:r>
      <w:bookmarkStart w:id="70" w:name="_Toc167715259"/>
      <w:bookmarkStart w:id="71" w:name="_Toc167712864"/>
      <w:bookmarkStart w:id="72" w:name="_Toc167714062"/>
      <w:r>
        <w:rPr>
          <w:rFonts w:hint="eastAsia" w:ascii="仿宋" w:hAnsi="仿宋" w:eastAsia="仿宋" w:cs="仿宋"/>
          <w:color w:val="auto"/>
          <w:szCs w:val="24"/>
          <w:highlight w:val="none"/>
        </w:rPr>
        <w:t>每套设备安装调试完毕后，中标人必须安排技术人员对使用单位的设备管理人员进行操作应用及维护保养方面的技能培训</w:t>
      </w:r>
      <w:bookmarkEnd w:id="70"/>
      <w:bookmarkEnd w:id="71"/>
      <w:bookmarkEnd w:id="72"/>
      <w:r>
        <w:rPr>
          <w:rFonts w:hint="eastAsia" w:ascii="仿宋" w:hAnsi="仿宋" w:eastAsia="仿宋" w:cs="仿宋"/>
          <w:color w:val="auto"/>
          <w:szCs w:val="24"/>
          <w:highlight w:val="none"/>
        </w:rPr>
        <w:t>，使其掌握基本技能。</w:t>
      </w:r>
    </w:p>
    <w:p w14:paraId="66FD201D">
      <w:pPr>
        <w:adjustRightInd w:val="0"/>
        <w:snapToGrid w:val="0"/>
        <w:spacing w:line="560" w:lineRule="exact"/>
        <w:rPr>
          <w:rFonts w:hint="eastAsia" w:ascii="仿宋" w:hAnsi="仿宋" w:eastAsia="仿宋" w:cs="仿宋"/>
          <w:b/>
          <w:color w:val="auto"/>
          <w:szCs w:val="24"/>
          <w:highlight w:val="none"/>
          <w:u w:val="wavyHeavy" w:color="FF0000"/>
        </w:rPr>
      </w:pPr>
      <w:r>
        <w:rPr>
          <w:rFonts w:hint="eastAsia" w:ascii="仿宋" w:hAnsi="仿宋" w:eastAsia="仿宋" w:cs="仿宋"/>
          <w:b/>
          <w:color w:val="auto"/>
          <w:szCs w:val="24"/>
          <w:highlight w:val="none"/>
        </w:rPr>
        <w:t>三、付款方式：</w:t>
      </w:r>
    </w:p>
    <w:p w14:paraId="78F9D115">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bookmarkStart w:id="73" w:name="_Toc167712842"/>
      <w:bookmarkStart w:id="74" w:name="_Toc167715237"/>
      <w:bookmarkStart w:id="75" w:name="_Toc167714040"/>
      <w:r>
        <w:rPr>
          <w:rFonts w:hint="eastAsia" w:ascii="仿宋" w:hAnsi="仿宋" w:eastAsia="仿宋" w:cs="仿宋"/>
          <w:color w:val="auto"/>
          <w:szCs w:val="24"/>
          <w:highlight w:val="none"/>
          <w:lang w:val="en-US" w:eastAsia="zh-CN"/>
        </w:rPr>
        <w:t>1、中标单位领取通知书后与甲方签订供货合同，乙方向甲方提供合同金额5%的履约担保（履约保证金提交的方式为银行转账或金融机构出具的履约保函）；</w:t>
      </w:r>
    </w:p>
    <w:p w14:paraId="606A329D">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2、甲方在收到乙方的履约担保后，向乙方支付合同金额的40% ；</w:t>
      </w:r>
    </w:p>
    <w:p w14:paraId="39D30779">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3、货到甲方指定地点并经验收（安装）合格后满一年，甲方再向乙方支付合同总价30% ；</w:t>
      </w:r>
    </w:p>
    <w:p w14:paraId="334BC3E5">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4、自验收（安装）合格后满两年，甲方向乙方支付剩余30%的部分，同时，货物无任何质量问题及违约扣款，甲方全额退回履约担保。</w:t>
      </w:r>
    </w:p>
    <w:p w14:paraId="339142B6">
      <w:pPr>
        <w:adjustRightInd w:val="0"/>
        <w:snapToGrid w:val="0"/>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四、验收</w:t>
      </w:r>
      <w:bookmarkEnd w:id="73"/>
      <w:bookmarkEnd w:id="74"/>
      <w:bookmarkEnd w:id="75"/>
      <w:bookmarkStart w:id="76" w:name="_Toc167712843"/>
      <w:bookmarkStart w:id="77" w:name="_Toc167715238"/>
      <w:bookmarkStart w:id="78" w:name="_Toc167714041"/>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rPr>
        <w:tab/>
      </w:r>
    </w:p>
    <w:p w14:paraId="2A6979C6">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1、项目验收分初验和终验:</w:t>
      </w:r>
      <w:bookmarkEnd w:id="76"/>
      <w:bookmarkEnd w:id="77"/>
      <w:bookmarkEnd w:id="78"/>
      <w:bookmarkStart w:id="79" w:name="_Toc167715239"/>
      <w:bookmarkStart w:id="80" w:name="_Toc167714042"/>
      <w:bookmarkStart w:id="81" w:name="_Toc167712844"/>
    </w:p>
    <w:bookmarkEnd w:id="79"/>
    <w:bookmarkEnd w:id="80"/>
    <w:bookmarkEnd w:id="81"/>
    <w:p w14:paraId="1F98C181">
      <w:pPr>
        <w:spacing w:line="560" w:lineRule="exact"/>
        <w:ind w:firstLine="480" w:firstLineChars="200"/>
        <w:rPr>
          <w:rFonts w:hint="eastAsia" w:ascii="仿宋" w:hAnsi="仿宋" w:eastAsia="仿宋" w:cs="仿宋"/>
          <w:color w:val="auto"/>
          <w:szCs w:val="24"/>
          <w:highlight w:val="none"/>
        </w:rPr>
      </w:pPr>
      <w:bookmarkStart w:id="82" w:name="_Toc167715241"/>
      <w:bookmarkStart w:id="83" w:name="_Toc167712846"/>
      <w:bookmarkStart w:id="84" w:name="_Toc167714044"/>
      <w:r>
        <w:rPr>
          <w:rFonts w:hint="eastAsia" w:ascii="仿宋" w:hAnsi="仿宋" w:eastAsia="仿宋" w:cs="仿宋"/>
          <w:color w:val="auto"/>
          <w:szCs w:val="24"/>
          <w:highlight w:val="none"/>
        </w:rPr>
        <w:t>初验：货物到达交货地点后，由使用单位根据合同对货物（设备）的名称、品牌、规格、型号、产地、数量进行检查。</w:t>
      </w:r>
    </w:p>
    <w:p w14:paraId="6D1C775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终验：所有货物(设备)安装、调试完毕，正常使用</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2、验收不合格的中标单位，必须在接到通知后7个日历日内确保货物通过验收。如接到通知后7个日历日内验收仍不合格，采购人可提出索赔或取消其供货合同。采购人可以按照评审报告推荐的中标候选人名单排序，确定下一候选人为中标单位。</w:t>
      </w:r>
    </w:p>
    <w:p w14:paraId="21B544B7">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3、验收依据</w:t>
      </w:r>
      <w:bookmarkEnd w:id="82"/>
      <w:bookmarkEnd w:id="83"/>
      <w:bookmarkEnd w:id="84"/>
      <w:bookmarkStart w:id="85" w:name="_Toc167714045"/>
      <w:bookmarkStart w:id="86" w:name="_Toc167712847"/>
      <w:bookmarkStart w:id="87" w:name="_Toc167715242"/>
    </w:p>
    <w:p w14:paraId="75E9913F">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（1）合同文本及合同补充文件（条款）</w:t>
      </w:r>
      <w:bookmarkEnd w:id="85"/>
      <w:bookmarkEnd w:id="86"/>
      <w:bookmarkEnd w:id="87"/>
      <w:r>
        <w:rPr>
          <w:rFonts w:hint="eastAsia" w:ascii="仿宋" w:hAnsi="仿宋" w:eastAsia="仿宋" w:cs="仿宋"/>
          <w:color w:val="auto"/>
          <w:szCs w:val="24"/>
          <w:highlight w:val="none"/>
        </w:rPr>
        <w:t xml:space="preserve">； </w:t>
      </w:r>
    </w:p>
    <w:p w14:paraId="57DA9D9E">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（2）产品的合法来源渠道证明文件、响应功能证明材料；</w:t>
      </w:r>
    </w:p>
    <w:p w14:paraId="68D28B27">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（3）招标文件；</w:t>
      </w:r>
    </w:p>
    <w:p w14:paraId="3380D9DE">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（4）中标人的投标文件；</w:t>
      </w:r>
    </w:p>
    <w:p w14:paraId="4B979C40">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（5）货物清单；</w:t>
      </w:r>
    </w:p>
    <w:p w14:paraId="290C7551">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（6）生产厂家的企业资质、货物的执行标准。</w:t>
      </w:r>
    </w:p>
    <w:p w14:paraId="3EABA92B">
      <w:pPr>
        <w:spacing w:line="560" w:lineRule="exact"/>
        <w:rPr>
          <w:rFonts w:hint="eastAsia" w:ascii="仿宋" w:hAnsi="仿宋" w:eastAsia="仿宋" w:cs="仿宋"/>
          <w:b/>
          <w:color w:val="auto"/>
          <w:szCs w:val="24"/>
          <w:highlight w:val="none"/>
        </w:rPr>
      </w:pPr>
      <w:bookmarkStart w:id="88" w:name="_Toc167714047"/>
      <w:bookmarkStart w:id="89" w:name="_Toc167712849"/>
      <w:bookmarkStart w:id="90" w:name="_Toc167715244"/>
      <w:r>
        <w:rPr>
          <w:rFonts w:hint="eastAsia" w:ascii="仿宋" w:hAnsi="仿宋" w:eastAsia="仿宋" w:cs="仿宋"/>
          <w:b/>
          <w:color w:val="auto"/>
          <w:szCs w:val="24"/>
          <w:highlight w:val="none"/>
        </w:rPr>
        <w:t>五、</w:t>
      </w:r>
      <w:bookmarkEnd w:id="88"/>
      <w:bookmarkEnd w:id="89"/>
      <w:bookmarkEnd w:id="90"/>
      <w:bookmarkStart w:id="91" w:name="_Toc167715248"/>
      <w:bookmarkStart w:id="92" w:name="_Toc167714051"/>
      <w:bookmarkStart w:id="93" w:name="_Toc167712853"/>
      <w:r>
        <w:rPr>
          <w:rFonts w:hint="eastAsia" w:ascii="仿宋" w:hAnsi="仿宋" w:eastAsia="仿宋" w:cs="仿宋"/>
          <w:b/>
          <w:color w:val="auto"/>
          <w:szCs w:val="24"/>
          <w:highlight w:val="none"/>
        </w:rPr>
        <w:t>质量保证</w:t>
      </w:r>
      <w:bookmarkEnd w:id="91"/>
      <w:bookmarkEnd w:id="92"/>
      <w:bookmarkEnd w:id="93"/>
    </w:p>
    <w:p w14:paraId="48B67E19">
      <w:pPr>
        <w:spacing w:line="560" w:lineRule="exact"/>
        <w:ind w:firstLine="472" w:firstLineChars="196"/>
        <w:rPr>
          <w:rFonts w:hint="eastAsia" w:ascii="仿宋" w:hAnsi="仿宋" w:eastAsia="仿宋" w:cs="仿宋"/>
          <w:color w:val="auto"/>
          <w:szCs w:val="24"/>
          <w:highlight w:val="none"/>
        </w:rPr>
      </w:pPr>
      <w:bookmarkStart w:id="94" w:name="_Toc167715252"/>
      <w:bookmarkStart w:id="95" w:name="_Toc167712857"/>
      <w:bookmarkStart w:id="96" w:name="_Toc167714055"/>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消防车</w:t>
      </w:r>
      <w:r>
        <w:rPr>
          <w:rFonts w:hint="eastAsia" w:ascii="仿宋" w:hAnsi="仿宋" w:eastAsia="仿宋" w:cs="仿宋"/>
          <w:b/>
          <w:color w:val="auto"/>
          <w:szCs w:val="24"/>
          <w:highlight w:val="none"/>
        </w:rPr>
        <w:t>质保期为终验合格后不少于</w:t>
      </w:r>
      <w:r>
        <w:rPr>
          <w:rFonts w:hint="eastAsia" w:ascii="仿宋" w:hAnsi="仿宋" w:eastAsia="仿宋" w:cs="仿宋"/>
          <w:b/>
          <w:color w:val="auto"/>
          <w:szCs w:val="24"/>
          <w:highlight w:val="none"/>
          <w:lang w:val="en-US" w:eastAsia="zh-CN"/>
        </w:rPr>
        <w:t>5年，器材装备质保期为</w:t>
      </w:r>
      <w:r>
        <w:rPr>
          <w:rFonts w:hint="eastAsia" w:ascii="仿宋" w:hAnsi="仿宋" w:eastAsia="仿宋" w:cs="仿宋"/>
          <w:b/>
          <w:color w:val="auto"/>
          <w:szCs w:val="24"/>
          <w:highlight w:val="none"/>
        </w:rPr>
        <w:t>终验合格后不少于</w:t>
      </w:r>
      <w:r>
        <w:rPr>
          <w:rFonts w:hint="eastAsia" w:ascii="仿宋" w:hAnsi="仿宋" w:eastAsia="仿宋" w:cs="仿宋"/>
          <w:b/>
          <w:color w:val="auto"/>
          <w:szCs w:val="24"/>
          <w:highlight w:val="none"/>
          <w:lang w:val="en-US" w:eastAsia="zh-CN"/>
        </w:rPr>
        <w:t>3年</w:t>
      </w:r>
      <w:r>
        <w:rPr>
          <w:rFonts w:hint="eastAsia" w:ascii="仿宋" w:hAnsi="仿宋" w:eastAsia="仿宋" w:cs="仿宋"/>
          <w:b w:val="0"/>
          <w:bCs/>
          <w:color w:val="auto"/>
          <w:szCs w:val="24"/>
          <w:highlight w:val="none"/>
        </w:rPr>
        <w:t>（参数中有具体要求的，按参数要求提供质保）</w:t>
      </w:r>
      <w:r>
        <w:rPr>
          <w:rFonts w:hint="eastAsia" w:ascii="仿宋" w:hAnsi="仿宋" w:eastAsia="仿宋" w:cs="仿宋"/>
          <w:b/>
          <w:bCs w:val="0"/>
          <w:color w:val="auto"/>
          <w:szCs w:val="24"/>
          <w:highlight w:val="none"/>
        </w:rPr>
        <w:t>。</w:t>
      </w:r>
      <w:r>
        <w:rPr>
          <w:rFonts w:hint="eastAsia" w:ascii="仿宋" w:hAnsi="仿宋" w:eastAsia="仿宋" w:cs="仿宋"/>
          <w:color w:val="auto"/>
          <w:kern w:val="0"/>
          <w:szCs w:val="24"/>
          <w:highlight w:val="none"/>
        </w:rPr>
        <w:t>中标人承诺的质保时间超过招标文件要求的，按其承诺时间质保。</w:t>
      </w:r>
    </w:p>
    <w:p w14:paraId="3CB8319B">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2、中标人承诺的质保期起始时间为终验合格之日。</w:t>
      </w:r>
      <w:bookmarkStart w:id="97" w:name="_Toc167714053"/>
      <w:bookmarkStart w:id="98" w:name="_Toc167715250"/>
      <w:bookmarkStart w:id="99" w:name="_Toc167712855"/>
    </w:p>
    <w:p w14:paraId="70FBF944">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3、所有产品质量必须符合国家有关规范和相关政策。所有设备及辅材必须是未使用过的新产品，质量优良、渠道正当，配置合理。</w:t>
      </w:r>
      <w:bookmarkEnd w:id="97"/>
      <w:bookmarkEnd w:id="98"/>
      <w:bookmarkEnd w:id="99"/>
      <w:bookmarkStart w:id="100" w:name="_Toc167712856"/>
      <w:bookmarkStart w:id="101" w:name="_Toc167715251"/>
      <w:bookmarkStart w:id="102" w:name="_Toc167714054"/>
    </w:p>
    <w:p w14:paraId="74860CB7">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4、质保期出现的质量问题由中标人负责解决并承担所有费用。质保期后如需更换零部件，中标人应以优惠价提供。</w:t>
      </w:r>
      <w:bookmarkEnd w:id="100"/>
      <w:bookmarkEnd w:id="101"/>
      <w:bookmarkEnd w:id="102"/>
    </w:p>
    <w:bookmarkEnd w:id="94"/>
    <w:bookmarkEnd w:id="95"/>
    <w:bookmarkEnd w:id="96"/>
    <w:p w14:paraId="72BE8B35">
      <w:pPr>
        <w:adjustRightInd w:val="0"/>
        <w:spacing w:line="560" w:lineRule="exact"/>
        <w:rPr>
          <w:rFonts w:hint="eastAsia" w:ascii="仿宋" w:hAnsi="仿宋" w:eastAsia="仿宋" w:cs="仿宋"/>
          <w:b/>
          <w:color w:val="auto"/>
          <w:szCs w:val="24"/>
          <w:highlight w:val="none"/>
        </w:rPr>
      </w:pPr>
      <w:bookmarkStart w:id="103" w:name="_Toc167715263"/>
      <w:bookmarkStart w:id="104" w:name="_Toc167714066"/>
      <w:bookmarkStart w:id="105" w:name="_Toc167712868"/>
      <w:r>
        <w:rPr>
          <w:rFonts w:hint="eastAsia" w:ascii="仿宋" w:hAnsi="仿宋" w:eastAsia="仿宋" w:cs="仿宋"/>
          <w:b/>
          <w:color w:val="auto"/>
          <w:szCs w:val="24"/>
          <w:highlight w:val="none"/>
        </w:rPr>
        <w:t>六、合同实施：</w:t>
      </w:r>
      <w:bookmarkEnd w:id="103"/>
      <w:bookmarkEnd w:id="104"/>
      <w:bookmarkEnd w:id="105"/>
      <w:bookmarkStart w:id="106" w:name="_Toc167715264"/>
      <w:bookmarkStart w:id="107" w:name="_Toc167714067"/>
      <w:bookmarkStart w:id="108" w:name="_Toc167712869"/>
    </w:p>
    <w:p w14:paraId="4EE57D80">
      <w:pPr>
        <w:adjustRightIn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 </w:t>
      </w:r>
      <w:bookmarkEnd w:id="106"/>
      <w:bookmarkEnd w:id="107"/>
      <w:bookmarkEnd w:id="108"/>
      <w:r>
        <w:rPr>
          <w:rFonts w:hint="eastAsia" w:ascii="仿宋" w:hAnsi="仿宋" w:eastAsia="仿宋" w:cs="仿宋"/>
          <w:color w:val="auto"/>
          <w:szCs w:val="24"/>
          <w:highlight w:val="none"/>
        </w:rPr>
        <w:t>、中标人应在合同签订后7个日历日内安排人员（项目组成人员简历表所列）与使用单位就送货、安装、调试、培训等工作进行安排、部署。</w:t>
      </w:r>
      <w:bookmarkStart w:id="109" w:name="_Toc167715265"/>
      <w:bookmarkStart w:id="110" w:name="_Toc167712870"/>
      <w:bookmarkStart w:id="111" w:name="_Toc167714068"/>
    </w:p>
    <w:p w14:paraId="55CE46C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bookmarkEnd w:id="109"/>
      <w:bookmarkEnd w:id="110"/>
      <w:bookmarkEnd w:id="111"/>
      <w:r>
        <w:rPr>
          <w:rFonts w:hint="eastAsia" w:ascii="仿宋" w:hAnsi="仿宋" w:eastAsia="仿宋" w:cs="仿宋"/>
          <w:color w:val="auto"/>
          <w:szCs w:val="24"/>
          <w:highlight w:val="none"/>
        </w:rPr>
        <w:t xml:space="preserve"> 、若未能在交货期内完成合同规定的义务，由此对采购人造成的延误和一切损失，由中标人承担和赔偿。</w:t>
      </w:r>
    </w:p>
    <w:p w14:paraId="155215A9">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七、违约责任：</w:t>
      </w:r>
    </w:p>
    <w:p w14:paraId="1BC275BC">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1、按《</w:t>
      </w:r>
      <w:r>
        <w:rPr>
          <w:rFonts w:hint="eastAsia" w:ascii="仿宋" w:hAnsi="仿宋" w:eastAsia="仿宋" w:cs="仿宋"/>
          <w:color w:val="auto"/>
          <w:szCs w:val="24"/>
          <w:highlight w:val="none"/>
          <w:lang w:eastAsia="zh-CN"/>
        </w:rPr>
        <w:t>中华人民共和国民法典</w:t>
      </w:r>
      <w:r>
        <w:rPr>
          <w:rFonts w:hint="eastAsia" w:ascii="仿宋" w:hAnsi="仿宋" w:eastAsia="仿宋" w:cs="仿宋"/>
          <w:color w:val="auto"/>
          <w:szCs w:val="24"/>
          <w:highlight w:val="none"/>
        </w:rPr>
        <w:t>》中的相关条款执行。</w:t>
      </w:r>
    </w:p>
    <w:p w14:paraId="784AC5DC">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2、未按合同要求提供产品或设备质量不能满足技术要求，采购人有权终止合同，并对供方违约行为进行追究，同时按《政府采购法》的有关规定进行处罚。</w:t>
      </w:r>
    </w:p>
    <w:p w14:paraId="05FA2EC1">
      <w:pPr>
        <w:spacing w:line="56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highlight w:val="none"/>
        </w:rPr>
        <w:pict>
          <v:shape id="_x0000_s1027" o:spid="_x0000_s1027" o:spt="202" type="#_x0000_t202" style="position:absolute;left:0pt;margin-left:3.25pt;margin-top:25.95pt;height:38.85pt;width:432.1pt;mso-wrap-distance-bottom:0pt;mso-wrap-distance-left:9pt;mso-wrap-distance-right:9pt;mso-wrap-distance-top:0pt;z-index:251661312;mso-width-relative:page;mso-height-relative:page;" coordsize="21600,21600" o:gfxdata="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zCkNcAAAAIAQAADwAAAAAAAAABACAAAAAiAAAAZHJzL2Rvd25yZXYueG1sUEsB&#10;AhQAFAAAAAgAh07iQDFgcG72AQAAEAQAAA4AAAAAAAAAAQAgAAAAJgEAAGRycy9lMm9Eb2MueG1s&#10;UEsFBgAAAAAGAAYAWQEAAI4FAAAAAA==&#10;">
            <v:path/>
            <v:fill focussize="0,0"/>
            <v:stroke joinstyle="miter"/>
            <v:imagedata o:title=""/>
            <o:lock v:ext="edit"/>
            <v:textbox>
              <w:txbxContent>
                <w:p w14:paraId="7594EB67">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w:r>
    </w:p>
    <w:p w14:paraId="68B44C8F">
      <w:pPr>
        <w:spacing w:line="560" w:lineRule="exact"/>
        <w:jc w:val="center"/>
        <w:rPr>
          <w:rFonts w:hint="eastAsia" w:ascii="仿宋" w:hAnsi="仿宋" w:eastAsia="仿宋" w:cs="仿宋"/>
          <w:b/>
          <w:color w:val="auto"/>
          <w:sz w:val="44"/>
          <w:szCs w:val="44"/>
          <w:highlight w:val="none"/>
        </w:rPr>
      </w:pPr>
    </w:p>
    <w:p w14:paraId="4C551B2C">
      <w:pPr>
        <w:spacing w:line="560" w:lineRule="exact"/>
        <w:jc w:val="center"/>
        <w:rPr>
          <w:rFonts w:hint="eastAsia" w:ascii="仿宋" w:hAnsi="仿宋" w:eastAsia="仿宋" w:cs="仿宋"/>
          <w:b/>
          <w:color w:val="auto"/>
          <w:sz w:val="44"/>
          <w:szCs w:val="44"/>
          <w:highlight w:val="none"/>
        </w:rPr>
      </w:pPr>
    </w:p>
    <w:p w14:paraId="04A9C1EE">
      <w:pPr>
        <w:spacing w:line="560" w:lineRule="exact"/>
        <w:jc w:val="center"/>
        <w:rPr>
          <w:rFonts w:hint="eastAsia" w:ascii="仿宋" w:hAnsi="仿宋" w:eastAsia="仿宋" w:cs="仿宋"/>
          <w:b/>
          <w:color w:val="auto"/>
          <w:sz w:val="44"/>
          <w:szCs w:val="44"/>
          <w:highlight w:val="none"/>
        </w:rPr>
      </w:pPr>
    </w:p>
    <w:p w14:paraId="72F55828">
      <w:pPr>
        <w:spacing w:line="560" w:lineRule="exact"/>
        <w:jc w:val="center"/>
        <w:rPr>
          <w:rFonts w:hint="eastAsia" w:ascii="仿宋" w:hAnsi="仿宋" w:eastAsia="仿宋" w:cs="仿宋"/>
          <w:b/>
          <w:color w:val="auto"/>
          <w:sz w:val="44"/>
          <w:szCs w:val="44"/>
          <w:highlight w:val="none"/>
        </w:rPr>
      </w:pPr>
    </w:p>
    <w:p w14:paraId="787BFE1E">
      <w:pPr>
        <w:spacing w:line="560" w:lineRule="exact"/>
        <w:jc w:val="center"/>
        <w:rPr>
          <w:rFonts w:hint="eastAsia" w:ascii="仿宋" w:hAnsi="仿宋" w:eastAsia="仿宋" w:cs="仿宋"/>
          <w:b/>
          <w:color w:val="auto"/>
          <w:sz w:val="44"/>
          <w:szCs w:val="44"/>
          <w:highlight w:val="none"/>
        </w:rPr>
      </w:pPr>
    </w:p>
    <w:p w14:paraId="220F43EF">
      <w:pPr>
        <w:spacing w:line="560" w:lineRule="exact"/>
        <w:jc w:val="center"/>
        <w:rPr>
          <w:rFonts w:hint="eastAsia" w:ascii="仿宋" w:hAnsi="仿宋" w:eastAsia="仿宋" w:cs="仿宋"/>
          <w:b/>
          <w:color w:val="auto"/>
          <w:sz w:val="44"/>
          <w:szCs w:val="44"/>
          <w:highlight w:val="none"/>
        </w:rPr>
      </w:pPr>
    </w:p>
    <w:p w14:paraId="590B5FE2">
      <w:pPr>
        <w:rPr>
          <w:rFonts w:hint="eastAsia" w:ascii="仿宋" w:hAnsi="仿宋" w:eastAsia="仿宋" w:cs="仿宋"/>
          <w:color w:val="auto"/>
          <w:highlight w:val="none"/>
        </w:rPr>
      </w:pPr>
      <w:bookmarkStart w:id="112" w:name="_Toc458617746"/>
      <w:bookmarkStart w:id="113" w:name="_Toc458617469"/>
      <w:r>
        <w:rPr>
          <w:rFonts w:hint="eastAsia" w:ascii="仿宋" w:hAnsi="仿宋" w:eastAsia="仿宋" w:cs="仿宋"/>
          <w:color w:val="auto"/>
          <w:highlight w:val="none"/>
        </w:rPr>
        <w:br w:type="page"/>
      </w:r>
    </w:p>
    <w:p w14:paraId="77B0702A">
      <w:pPr>
        <w:pStyle w:val="2"/>
        <w:spacing w:line="560" w:lineRule="exact"/>
        <w:jc w:val="center"/>
        <w:rPr>
          <w:rFonts w:hint="eastAsia" w:ascii="仿宋" w:hAnsi="仿宋" w:eastAsia="仿宋" w:cs="仿宋"/>
          <w:color w:val="auto"/>
          <w:szCs w:val="24"/>
          <w:highlight w:val="none"/>
          <w:lang w:eastAsia="zh-CN"/>
        </w:rPr>
      </w:pPr>
      <w:bookmarkStart w:id="114" w:name="_Toc25447"/>
      <w:r>
        <w:rPr>
          <w:rFonts w:hint="eastAsia" w:ascii="仿宋" w:hAnsi="仿宋" w:eastAsia="仿宋" w:cs="仿宋"/>
          <w:color w:val="auto"/>
          <w:highlight w:val="none"/>
        </w:rPr>
        <w:t>第五章  合同条款</w:t>
      </w:r>
      <w:bookmarkEnd w:id="112"/>
      <w:bookmarkEnd w:id="113"/>
      <w:bookmarkEnd w:id="114"/>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lang w:val="en-US" w:eastAsia="zh-CN"/>
        </w:rPr>
        <w:t>仅供参考</w:t>
      </w:r>
      <w:r>
        <w:rPr>
          <w:rFonts w:hint="eastAsia" w:ascii="仿宋" w:hAnsi="仿宋" w:eastAsia="仿宋" w:cs="仿宋"/>
          <w:color w:val="auto"/>
          <w:sz w:val="36"/>
          <w:szCs w:val="36"/>
          <w:highlight w:val="none"/>
          <w:lang w:eastAsia="zh-CN"/>
        </w:rPr>
        <w:t>）</w:t>
      </w:r>
    </w:p>
    <w:p w14:paraId="69BE4C76">
      <w:pPr>
        <w:keepNext w:val="0"/>
        <w:keepLines w:val="0"/>
        <w:pageBreakBefore w:val="0"/>
        <w:kinsoku/>
        <w:overflowPunct/>
        <w:bidi w:val="0"/>
        <w:spacing w:line="540" w:lineRule="exact"/>
        <w:textAlignment w:val="auto"/>
        <w:rPr>
          <w:rFonts w:hint="eastAsia" w:ascii="仿宋" w:hAnsi="仿宋" w:eastAsia="仿宋" w:cs="仿宋"/>
          <w:b/>
          <w:color w:val="auto"/>
          <w:sz w:val="18"/>
          <w:szCs w:val="18"/>
          <w:highlight w:val="none"/>
          <w:u w:color="FF0000"/>
        </w:rPr>
      </w:pPr>
      <w:r>
        <w:rPr>
          <w:rFonts w:hint="eastAsia" w:ascii="仿宋" w:hAnsi="仿宋" w:eastAsia="仿宋" w:cs="仿宋"/>
          <w:color w:val="auto"/>
          <w:szCs w:val="24"/>
          <w:highlight w:val="none"/>
        </w:rPr>
        <w:t>一、供货合同格式</w:t>
      </w:r>
    </w:p>
    <w:p w14:paraId="26346280">
      <w:pPr>
        <w:keepNext w:val="0"/>
        <w:keepLines w:val="0"/>
        <w:pageBreakBefore w:val="0"/>
        <w:widowControl/>
        <w:kinsoku/>
        <w:wordWrap w:val="0"/>
        <w:overflowPunct/>
        <w:topLinePunct/>
        <w:bidi w:val="0"/>
        <w:spacing w:line="540" w:lineRule="exact"/>
        <w:ind w:right="-226" w:rightChars="-94" w:firstLine="480" w:firstLineChars="2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eastAsia="zh-CN"/>
        </w:rPr>
        <w:t>登高平台消防车及随车器材采购项目（二次）</w:t>
      </w:r>
      <w:r>
        <w:rPr>
          <w:rFonts w:hint="eastAsia" w:ascii="仿宋" w:hAnsi="仿宋" w:eastAsia="仿宋" w:cs="仿宋"/>
          <w:color w:val="auto"/>
          <w:szCs w:val="24"/>
          <w:highlight w:val="none"/>
        </w:rPr>
        <w:t xml:space="preserve"> (文件编号：</w:t>
      </w:r>
      <w:r>
        <w:rPr>
          <w:rFonts w:hint="eastAsia" w:ascii="仿宋" w:hAnsi="仿宋" w:eastAsia="仿宋" w:cs="仿宋"/>
          <w:color w:val="auto"/>
          <w:szCs w:val="24"/>
          <w:highlight w:val="none"/>
          <w:lang w:eastAsia="zh-CN"/>
        </w:rPr>
        <w:t>HZGH-2024-055</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lang w:eastAsia="zh-CN"/>
        </w:rPr>
        <w:t>镇安县财政局</w:t>
      </w:r>
      <w:r>
        <w:rPr>
          <w:rFonts w:hint="eastAsia" w:ascii="仿宋" w:hAnsi="仿宋" w:eastAsia="仿宋" w:cs="仿宋"/>
          <w:color w:val="auto"/>
          <w:szCs w:val="24"/>
          <w:highlight w:val="none"/>
        </w:rPr>
        <w:t>的监督管理</w:t>
      </w:r>
      <w:r>
        <w:rPr>
          <w:rFonts w:hint="eastAsia" w:ascii="仿宋" w:hAnsi="仿宋" w:eastAsia="仿宋" w:cs="仿宋"/>
          <w:color w:val="auto"/>
          <w:kern w:val="0"/>
          <w:szCs w:val="24"/>
          <w:highlight w:val="none"/>
        </w:rPr>
        <w:t>下，由</w:t>
      </w:r>
      <w:r>
        <w:rPr>
          <w:rFonts w:hint="eastAsia" w:ascii="仿宋" w:hAnsi="仿宋" w:eastAsia="仿宋" w:cs="仿宋"/>
          <w:color w:val="auto"/>
          <w:kern w:val="0"/>
          <w:szCs w:val="24"/>
          <w:highlight w:val="none"/>
          <w:lang w:eastAsia="zh-CN"/>
        </w:rPr>
        <w:t>华招广和项目管理有限公司</w:t>
      </w:r>
      <w:r>
        <w:rPr>
          <w:rFonts w:hint="eastAsia" w:ascii="仿宋" w:hAnsi="仿宋" w:eastAsia="仿宋" w:cs="仿宋"/>
          <w:color w:val="auto"/>
          <w:kern w:val="0"/>
          <w:szCs w:val="24"/>
          <w:highlight w:val="none"/>
        </w:rPr>
        <w:t>组织公开招标。</w:t>
      </w:r>
      <w:r>
        <w:rPr>
          <w:rFonts w:hint="eastAsia" w:ascii="仿宋" w:hAnsi="仿宋" w:eastAsia="仿宋" w:cs="仿宋"/>
          <w:color w:val="auto"/>
          <w:kern w:val="0"/>
          <w:szCs w:val="24"/>
          <w:highlight w:val="none"/>
          <w:lang w:eastAsia="zh-CN"/>
        </w:rPr>
        <w:t>镇安县应急管理局</w:t>
      </w:r>
      <w:r>
        <w:rPr>
          <w:rFonts w:hint="eastAsia" w:ascii="仿宋" w:hAnsi="仿宋" w:eastAsia="仿宋" w:cs="仿宋"/>
          <w:color w:val="auto"/>
          <w:kern w:val="0"/>
          <w:szCs w:val="24"/>
          <w:highlight w:val="none"/>
        </w:rPr>
        <w:t>(以下简称“买方”)确定 (中标单位名称) （以下简称“卖方”）为中标单位。</w:t>
      </w:r>
    </w:p>
    <w:p w14:paraId="10F5B905">
      <w:pPr>
        <w:keepNext w:val="0"/>
        <w:keepLines w:val="0"/>
        <w:pageBreakBefore w:val="0"/>
        <w:kinsoku/>
        <w:overflowPunct/>
        <w:bidi w:val="0"/>
        <w:spacing w:line="540" w:lineRule="exact"/>
        <w:ind w:right="240" w:rightChars="10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依据《</w:t>
      </w:r>
      <w:r>
        <w:rPr>
          <w:rFonts w:hint="eastAsia" w:ascii="仿宋" w:hAnsi="仿宋" w:eastAsia="仿宋" w:cs="仿宋"/>
          <w:color w:val="auto"/>
          <w:kern w:val="0"/>
          <w:szCs w:val="24"/>
          <w:highlight w:val="none"/>
          <w:lang w:eastAsia="zh-CN"/>
        </w:rPr>
        <w:t>中华人民共和国民法典</w:t>
      </w:r>
      <w:r>
        <w:rPr>
          <w:rFonts w:hint="eastAsia" w:ascii="仿宋" w:hAnsi="仿宋" w:eastAsia="仿宋" w:cs="仿宋"/>
          <w:color w:val="auto"/>
          <w:kern w:val="0"/>
          <w:szCs w:val="24"/>
          <w:highlight w:val="none"/>
        </w:rPr>
        <w:t>》、《中华人民共和国政府采购法》《中华人民共和国政府采购法实施条例》，买方通过公开招标采购</w:t>
      </w:r>
      <w:r>
        <w:rPr>
          <w:rFonts w:hint="eastAsia" w:ascii="仿宋" w:hAnsi="仿宋" w:eastAsia="仿宋" w:cs="仿宋"/>
          <w:color w:val="auto"/>
          <w:kern w:val="0"/>
          <w:szCs w:val="24"/>
          <w:highlight w:val="none"/>
          <w:u w:val="single"/>
        </w:rPr>
        <w:t xml:space="preserve">（货物名称） </w:t>
      </w:r>
      <w:r>
        <w:rPr>
          <w:rFonts w:hint="eastAsia" w:ascii="仿宋" w:hAnsi="仿宋" w:eastAsia="仿宋" w:cs="仿宋"/>
          <w:color w:val="auto"/>
          <w:kern w:val="0"/>
          <w:szCs w:val="24"/>
          <w:highlight w:val="none"/>
        </w:rPr>
        <w:t>，并接受了卖方以价格</w:t>
      </w:r>
      <w:r>
        <w:rPr>
          <w:rFonts w:hint="eastAsia" w:ascii="仿宋" w:hAnsi="仿宋" w:eastAsia="仿宋" w:cs="仿宋"/>
          <w:color w:val="auto"/>
          <w:kern w:val="0"/>
          <w:szCs w:val="24"/>
          <w:highlight w:val="none"/>
          <w:u w:val="single"/>
        </w:rPr>
        <w:t>(中标金额大写)</w:t>
      </w:r>
      <w:r>
        <w:rPr>
          <w:rFonts w:hint="eastAsia" w:ascii="仿宋" w:hAnsi="仿宋" w:eastAsia="仿宋" w:cs="仿宋"/>
          <w:color w:val="auto"/>
          <w:kern w:val="0"/>
          <w:szCs w:val="24"/>
          <w:highlight w:val="none"/>
        </w:rPr>
        <w:t>(以下简称“合同价”)提供的产品及服务。</w:t>
      </w:r>
    </w:p>
    <w:p w14:paraId="3B119754">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bookmarkStart w:id="115" w:name="_Toc194663916"/>
      <w:bookmarkStart w:id="116" w:name="_Toc188808831"/>
      <w:bookmarkStart w:id="117" w:name="_Toc193187095"/>
      <w:bookmarkStart w:id="118" w:name="_Toc193126879"/>
      <w:r>
        <w:rPr>
          <w:rFonts w:hint="eastAsia" w:ascii="仿宋" w:hAnsi="仿宋" w:eastAsia="仿宋" w:cs="仿宋"/>
          <w:color w:val="auto"/>
          <w:szCs w:val="24"/>
          <w:highlight w:val="none"/>
        </w:rPr>
        <w:t>本合同在此声明如下：</w:t>
      </w:r>
    </w:p>
    <w:p w14:paraId="39FE6DBE">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1、本合同中的词语和术语的含义与合同条款中定义的相同。</w:t>
      </w:r>
    </w:p>
    <w:p w14:paraId="734947DD">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2、下述文件是本合同的一部分，并与本合同一起阅读和解释：</w:t>
      </w:r>
    </w:p>
    <w:p w14:paraId="7A5DCBD5">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1）合同条款</w:t>
      </w:r>
    </w:p>
    <w:p w14:paraId="645C004D">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2）合同条款附件</w:t>
      </w:r>
    </w:p>
    <w:p w14:paraId="12480409">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附件1—设备清单</w:t>
      </w:r>
    </w:p>
    <w:p w14:paraId="1654F65D">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附件2—质量保证承诺</w:t>
      </w:r>
    </w:p>
    <w:p w14:paraId="2B613EBB">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附件3—售后服务方案</w:t>
      </w:r>
    </w:p>
    <w:p w14:paraId="2B9598AC">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附件4—培训计划</w:t>
      </w:r>
    </w:p>
    <w:p w14:paraId="56763496">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w:t>
      </w:r>
    </w:p>
    <w:p w14:paraId="264F8BD7">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4）招标文件</w:t>
      </w:r>
    </w:p>
    <w:p w14:paraId="29C3329A">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5）投标文件</w:t>
      </w:r>
    </w:p>
    <w:p w14:paraId="6937EC15">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3、考虑到买方将按照本合同向卖方支付货款，卖方在此保证全部按照合同的规定向买方提供货物和服务，并修补缺陷。</w:t>
      </w:r>
    </w:p>
    <w:p w14:paraId="6BF18435">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4、考虑到卖方提供的货物和服务并修补缺陷，买方在此保证按照合同规定的时间和方式向卖方支付合同价或其他按合同规定应支付的金额。</w:t>
      </w:r>
    </w:p>
    <w:p w14:paraId="3B62D67E">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5、付款方式：</w:t>
      </w:r>
    </w:p>
    <w:p w14:paraId="3B21F8B2">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5-1、中标单位领取通知书后与甲方签订供货合同，乙方向甲方提供合同金额5%的履约担保（履约保证金提交的方式为银行转账或金融机构出具的履约保函）；</w:t>
      </w:r>
    </w:p>
    <w:p w14:paraId="7C1F9F0F">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5-2、甲方在收到乙方的履约担保后，向乙方支付合同金额的40% ；</w:t>
      </w:r>
    </w:p>
    <w:p w14:paraId="0785EEFF">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5-3、货到甲方指定地点并经验收（安装）合格后满一年，甲方再向乙方支付合同总价30% ；</w:t>
      </w:r>
    </w:p>
    <w:p w14:paraId="5C376A6E">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5-4、自验收（安装）合格后满两年，甲方向乙方支付剩余30%的部分，同时，货物无任何质量问题及违约扣款，甲方全额退回履约担保。</w:t>
      </w:r>
    </w:p>
    <w:p w14:paraId="50C1669A">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6、交 货 期：</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7D224AC7">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交货地点：</w:t>
      </w:r>
      <w:r>
        <w:rPr>
          <w:rFonts w:hint="eastAsia" w:ascii="仿宋" w:hAnsi="仿宋" w:eastAsia="仿宋" w:cs="仿宋"/>
          <w:color w:val="auto"/>
          <w:szCs w:val="24"/>
          <w:highlight w:val="none"/>
          <w:lang w:eastAsia="zh-CN"/>
        </w:rPr>
        <w:t>镇安县应急管理局</w:t>
      </w:r>
      <w:r>
        <w:rPr>
          <w:rFonts w:hint="eastAsia" w:ascii="仿宋" w:hAnsi="仿宋" w:eastAsia="仿宋" w:cs="仿宋"/>
          <w:color w:val="auto"/>
          <w:szCs w:val="24"/>
          <w:highlight w:val="none"/>
        </w:rPr>
        <w:t xml:space="preserve">指定地点。                           </w:t>
      </w:r>
    </w:p>
    <w:p w14:paraId="36618717">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7、本合同一式伍份，其中，买方贰份，卖方贰份，采购代理机构备案壹份。</w:t>
      </w:r>
    </w:p>
    <w:p w14:paraId="625C6B72">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8、本合同由买卖双方共同签字盖章，自买卖双方签字盖章之日起生效。</w:t>
      </w:r>
    </w:p>
    <w:tbl>
      <w:tblPr>
        <w:tblStyle w:val="23"/>
        <w:tblpPr w:leftFromText="180" w:rightFromText="180" w:vertAnchor="text" w:horzAnchor="margin" w:tblpX="406" w:tblpY="58"/>
        <w:tblOverlap w:val="never"/>
        <w:tblW w:w="16233" w:type="dxa"/>
        <w:tblInd w:w="0" w:type="dxa"/>
        <w:tblLayout w:type="fixed"/>
        <w:tblCellMar>
          <w:top w:w="0" w:type="dxa"/>
          <w:left w:w="108" w:type="dxa"/>
          <w:bottom w:w="0" w:type="dxa"/>
          <w:right w:w="108" w:type="dxa"/>
        </w:tblCellMar>
      </w:tblPr>
      <w:tblGrid>
        <w:gridCol w:w="4425"/>
        <w:gridCol w:w="3936"/>
        <w:gridCol w:w="3936"/>
        <w:gridCol w:w="3936"/>
      </w:tblGrid>
      <w:tr w14:paraId="69B8EE10">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7F34C49A">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买方名称： </w:t>
            </w:r>
          </w:p>
          <w:p w14:paraId="0F71E6A2">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w:t>
            </w:r>
          </w:p>
          <w:p w14:paraId="199E4901">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邮    编：</w:t>
            </w:r>
          </w:p>
          <w:p w14:paraId="4FA9A1A5">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    话：</w:t>
            </w:r>
          </w:p>
          <w:p w14:paraId="3E825374">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    真：</w:t>
            </w:r>
          </w:p>
          <w:p w14:paraId="10464E58">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p>
          <w:p w14:paraId="77FC45D8">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p>
          <w:p w14:paraId="01AC1409">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代表签字：</w:t>
            </w:r>
          </w:p>
          <w:p w14:paraId="5BD9C798">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盖章：</w:t>
            </w:r>
          </w:p>
          <w:p w14:paraId="2234411F">
            <w:pPr>
              <w:keepNext w:val="0"/>
              <w:keepLines w:val="0"/>
              <w:pageBreakBefore w:val="0"/>
              <w:kinsoku/>
              <w:overflowPunct/>
              <w:autoSpaceDE w:val="0"/>
              <w:autoSpaceDN w:val="0"/>
              <w:bidi w:val="0"/>
              <w:spacing w:line="5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     </w:t>
            </w:r>
          </w:p>
        </w:tc>
        <w:tc>
          <w:tcPr>
            <w:tcW w:w="3936" w:type="dxa"/>
            <w:tcMar>
              <w:top w:w="113" w:type="dxa"/>
              <w:left w:w="113" w:type="dxa"/>
              <w:bottom w:w="113" w:type="dxa"/>
              <w:right w:w="113" w:type="dxa"/>
            </w:tcMar>
          </w:tcPr>
          <w:p w14:paraId="1811D37B">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卖方名称：</w:t>
            </w:r>
          </w:p>
          <w:p w14:paraId="47E35AC8">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w:t>
            </w:r>
          </w:p>
          <w:p w14:paraId="74364CF2">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邮    编： </w:t>
            </w:r>
          </w:p>
          <w:p w14:paraId="1942C499">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电    话： </w:t>
            </w:r>
          </w:p>
          <w:p w14:paraId="6DD696C4">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传    真：  </w:t>
            </w:r>
          </w:p>
          <w:p w14:paraId="5EBA0151">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w:t>
            </w:r>
          </w:p>
          <w:p w14:paraId="6B622196">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帐    号：</w:t>
            </w:r>
          </w:p>
          <w:p w14:paraId="7A49A48F">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代表签字</w:t>
            </w:r>
          </w:p>
          <w:p w14:paraId="13D8CA35">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盖章：</w:t>
            </w:r>
          </w:p>
          <w:p w14:paraId="6EC93E82">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w:t>
            </w:r>
          </w:p>
        </w:tc>
        <w:tc>
          <w:tcPr>
            <w:tcW w:w="3936" w:type="dxa"/>
            <w:tcMar>
              <w:top w:w="113" w:type="dxa"/>
              <w:left w:w="113" w:type="dxa"/>
              <w:bottom w:w="113" w:type="dxa"/>
              <w:right w:w="113" w:type="dxa"/>
            </w:tcMar>
          </w:tcPr>
          <w:p w14:paraId="0A9FB606">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p>
        </w:tc>
        <w:tc>
          <w:tcPr>
            <w:tcW w:w="3936" w:type="dxa"/>
            <w:tcMar>
              <w:top w:w="113" w:type="dxa"/>
              <w:left w:w="113" w:type="dxa"/>
              <w:bottom w:w="113" w:type="dxa"/>
              <w:right w:w="113" w:type="dxa"/>
            </w:tcMar>
          </w:tcPr>
          <w:p w14:paraId="51D2CF73">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p>
        </w:tc>
      </w:tr>
      <w:bookmarkEnd w:id="115"/>
      <w:bookmarkEnd w:id="116"/>
      <w:bookmarkEnd w:id="117"/>
      <w:bookmarkEnd w:id="118"/>
    </w:tbl>
    <w:p w14:paraId="6E1CAC5B">
      <w:pPr>
        <w:spacing w:line="560" w:lineRule="exact"/>
        <w:rPr>
          <w:rFonts w:hint="eastAsia" w:ascii="仿宋" w:hAnsi="仿宋" w:eastAsia="仿宋" w:cs="仿宋"/>
          <w:color w:val="auto"/>
          <w:szCs w:val="24"/>
          <w:highlight w:val="none"/>
        </w:rPr>
      </w:pPr>
    </w:p>
    <w:p w14:paraId="262B46CA">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0EBC6E99">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二、合同条款</w:t>
      </w:r>
    </w:p>
    <w:p w14:paraId="0A6ADE8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1、定义</w:t>
      </w:r>
    </w:p>
    <w:p w14:paraId="12C89E6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本合同下列术语应解释为：</w:t>
      </w:r>
    </w:p>
    <w:p w14:paraId="611837A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1-1、“合同”系指买卖双方签署的、合同格式中载明的买卖双方所达成的协议，包括所有的附件、附录和招标文件所提到的构成合同的所有文件。</w:t>
      </w:r>
    </w:p>
    <w:p w14:paraId="21B275D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1-2、“合同价”系指根据本合同规定卖方在正确地完全履行合同义务后买方应支付给卖方的价款。</w:t>
      </w:r>
    </w:p>
    <w:p w14:paraId="2A0BD39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1-3、“货物”系指卖方根据本合同规定须向买方提供的一切产品、部件或其它材料。</w:t>
      </w:r>
    </w:p>
    <w:p w14:paraId="0FC62A1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1-4、“服务”系指根据本合同规定卖方承担与供货有关的辅助服务如运输、保险以及其它的伴随服务，例如调试、提供技术援助、培训和合同中规定卖方应承担的其它义务。</w:t>
      </w:r>
    </w:p>
    <w:p w14:paraId="2179C07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r>
        <w:rPr>
          <w:rFonts w:hint="eastAsia" w:ascii="仿宋" w:hAnsi="仿宋" w:eastAsia="仿宋" w:cs="仿宋"/>
          <w:color w:val="auto"/>
          <w:kern w:val="0"/>
          <w:szCs w:val="24"/>
          <w:highlight w:val="none"/>
        </w:rPr>
        <w:t>项目现场”系指本合同项下货物安装、运行的场地。</w:t>
      </w:r>
    </w:p>
    <w:p w14:paraId="444A4D0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1-6、“合同条款”系指本合同条款。</w:t>
      </w:r>
    </w:p>
    <w:p w14:paraId="016A252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1-7、“买方”是指购买货物和服务的单位即</w:t>
      </w:r>
      <w:r>
        <w:rPr>
          <w:rFonts w:hint="eastAsia" w:ascii="仿宋" w:hAnsi="仿宋" w:eastAsia="仿宋" w:cs="仿宋"/>
          <w:color w:val="auto"/>
          <w:szCs w:val="24"/>
          <w:highlight w:val="none"/>
          <w:lang w:eastAsia="zh-CN"/>
        </w:rPr>
        <w:t>镇安县应急管理局</w:t>
      </w:r>
      <w:r>
        <w:rPr>
          <w:rFonts w:hint="eastAsia" w:ascii="仿宋" w:hAnsi="仿宋" w:eastAsia="仿宋" w:cs="仿宋"/>
          <w:color w:val="auto"/>
          <w:szCs w:val="24"/>
          <w:highlight w:val="none"/>
        </w:rPr>
        <w:t>。</w:t>
      </w:r>
    </w:p>
    <w:p w14:paraId="343467A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1-8、“卖方”是指提供本合同内的货物和服务的公司或其它实体即中标人。</w:t>
      </w:r>
    </w:p>
    <w:p w14:paraId="02CBC24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1-9、“天”指日历天数。</w:t>
      </w:r>
    </w:p>
    <w:p w14:paraId="576BCE6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2、适用性</w:t>
      </w:r>
    </w:p>
    <w:p w14:paraId="2A9C4A8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本合同条款适用于没有被本项目招标文件规定条款、卖方的投标文件承诺条款所取代的范围。</w:t>
      </w:r>
    </w:p>
    <w:p w14:paraId="1C21780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szCs w:val="24"/>
          <w:highlight w:val="none"/>
        </w:rPr>
        <w:t>使用合同文件和资料</w:t>
      </w:r>
    </w:p>
    <w:p w14:paraId="7BE73DC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14:paraId="23EE156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3-2、没有买方事先书面同意，除了履行本合同之外，卖方不应使用合同条款第3-1条所列举的任何文件和资料。</w:t>
      </w:r>
    </w:p>
    <w:p w14:paraId="25D55E8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3-3、除了合同本身以外，合同条款第3-1条所列举的任何文件是买方的财产。如果买方有要求，卖方在完成合同后应将这些文件及全部复制件还给买方。</w:t>
      </w:r>
    </w:p>
    <w:p w14:paraId="16DA3CE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4、专利权</w:t>
      </w:r>
    </w:p>
    <w:p w14:paraId="4E30ED9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卖方应保证，买方在使用该产品或产品的任何一部分，免受第三方提出的侵犯（其专利权）、商标权、著作权或其它知识产权的起诉。</w:t>
      </w:r>
    </w:p>
    <w:p w14:paraId="42426F3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5、技术规格</w:t>
      </w:r>
    </w:p>
    <w:p w14:paraId="044FC12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本合同下交付的货物必须等同或优于本项目招标文件《技术规格与要求》所述的标准。若卖方在其投标文件中承诺的技术标准优于本项目招标文件《技术规格与要求》所述标准的，按投标文件的承诺执行。</w:t>
      </w:r>
    </w:p>
    <w:p w14:paraId="331BEE7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6、检验和测试</w:t>
      </w:r>
    </w:p>
    <w:p w14:paraId="667B71A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6-1、买方或其代表应有权检验和测试产品及其部件，以确认所供产品是否符合合同规格的要求，并且不承担额外的费用。买方要求进行的检验和测试，以及在何处进行这些检验和测试，以书面形式通知卖方。</w:t>
      </w:r>
    </w:p>
    <w:p w14:paraId="7F55E54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6-2、检验和测试在买方指定的交货地点进行。</w:t>
      </w:r>
    </w:p>
    <w:p w14:paraId="1DB7B75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6-3、如果任何被检验或测试的产品或部件不能满足招标文件及合同的要求，买方可以拒绝接受该产品或部件，卖方应更换被拒绝的产品或部件，或者免费进行必要的修改以满足规格的要求。</w:t>
      </w:r>
    </w:p>
    <w:p w14:paraId="2746572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14:paraId="1E1DD4C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6-5、如果在产品使用寿命期内，根据检验结果，发现产品的质量或规格与合同要求不符，或被证实有缺陷，包含潜在的缺陷或使用不合适的材料，买方应向卖方提出索赔。</w:t>
      </w:r>
    </w:p>
    <w:p w14:paraId="2F8FA54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7、包装及运输</w:t>
      </w:r>
    </w:p>
    <w:p w14:paraId="2C42DDC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7-1、卖方负责货物到达交货地点前的所有包装、运输、装卸及保险事项，相关费用应包括在合同总价中。</w:t>
      </w:r>
    </w:p>
    <w:p w14:paraId="182C817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14:paraId="20D6D1F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7-3、货物的运输方式由卖方自行选择，但包装必须满足货物运输和装卸的要求，保证买方收到的是无任何损伤的货物。否则，因此造成的损失由卖方自行承担。 </w:t>
      </w:r>
    </w:p>
    <w:p w14:paraId="13F7434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8、伴随服务</w:t>
      </w:r>
    </w:p>
    <w:p w14:paraId="7E519EA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8-1、卖方必须在合同生效后三十 (30)天内向买方提交所供货物的技术文件（中文技术文件），例如：产品说明、图纸、操作手册、使用说明、维护手册和／或服务指南等。</w:t>
      </w:r>
    </w:p>
    <w:p w14:paraId="46E3E7DF">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8-2、卖方应向买方提供下列所有服务，包括本项目招标文件“商务条款”与“技术规格与要求”中规定的附加服务（如果有的话）：</w:t>
      </w:r>
    </w:p>
    <w:p w14:paraId="636CBCE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（1）实施或监督所供货物的现场组装 和/或试运行；</w:t>
      </w:r>
    </w:p>
    <w:p w14:paraId="43F235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（2）提供货物组装 和/或 维修所需的工具；</w:t>
      </w:r>
    </w:p>
    <w:p w14:paraId="5985C24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（3）为所供货物的每一适当的单台设备提供详细的操作和维护手册；</w:t>
      </w:r>
    </w:p>
    <w:p w14:paraId="2F0C2F4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 xml:space="preserve">（4）在双方商定的一定期限内对所供货物实施运行或监督或维护或修理，但前提条件是该服务并不能免除卖方在合同保证期内所承担的义务；  </w:t>
      </w:r>
    </w:p>
    <w:p w14:paraId="5C7C289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（5）在卖方或制造厂和/或在项目现场就所供货物的组装、试运行、运行、维护和/或修理、软硬件升级对买方人员进行培训。</w:t>
      </w:r>
    </w:p>
    <w:p w14:paraId="4BBFF3A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8-3、卖方应提供本项目招标文件“商务条款”和“技术规格与要求”中规定的所有服务。为履行要求的伴随服务的报价或双方商定的费用应包括在合同价中。</w:t>
      </w:r>
    </w:p>
    <w:p w14:paraId="667D4AC1">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8-4、如果卖方或制造厂提供的伴随服务的费用未含在货物的合同价中，双方应事先就其达成协议，但其费用单价不应超过卖方向其他人提供类似服务所收取的现行单价。</w:t>
      </w:r>
    </w:p>
    <w:p w14:paraId="6A8F4F6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9、备品备件</w:t>
      </w:r>
    </w:p>
    <w:p w14:paraId="4CE1FF1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9-1、卖方可能被要求提供下列与备品备件有关的材料、通知和资料：</w:t>
      </w:r>
    </w:p>
    <w:p w14:paraId="2FEB172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（1）买方从卖方选购备品备件，但前提条件是该选择并不能免除卖方在合同保证期内所承担的义务；</w:t>
      </w:r>
    </w:p>
    <w:p w14:paraId="0B39043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（2）在备品备件停止生产的情况下，卖方应事先将要停止生产的计划通知买方使买方有足够的时间采购所需的备品备件；</w:t>
      </w:r>
    </w:p>
    <w:p w14:paraId="61EDC18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（3）在备品备件停止生产后，如果买方要求，卖方应免费向买方提供备品备件的蓝图、图纸和规格。</w:t>
      </w:r>
    </w:p>
    <w:p w14:paraId="0897F34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9-2、卖方应按照本项目招标文件“商务条款”和“技术规格与要求”中的规定提供所需的备品备件。</w:t>
      </w:r>
    </w:p>
    <w:p w14:paraId="3CC64F6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10、质量保证</w:t>
      </w:r>
    </w:p>
    <w:p w14:paraId="62FB657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10-1、质量保证期为终验合格之日起</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个月。</w:t>
      </w:r>
    </w:p>
    <w:p w14:paraId="03112C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14:paraId="2FAE150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10-3、根据检验结果或者在质量保证期内，如果货物的数量、质量或规格与合同不符，或证实货物是有缺陷的，包括潜在的缺陷，买方应尽快以书面形式向卖方提出所发现的缺陷。</w:t>
      </w:r>
    </w:p>
    <w:p w14:paraId="257A1EE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10-4、卖方收到通知后应在招标文件规定的时间内以合理的速度免费维修或更换有缺陷的货物或部件。</w:t>
      </w:r>
    </w:p>
    <w:p w14:paraId="2E0B53B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10-5、如果卖方收到通知后在招标文件规定的时间内没有及时修补缺陷，买方可提出索赔，并可采取必要的补救措施，但其风险和费用将由卖方承担，买方根据合同规定对卖方行使的其他权力不受影响。</w:t>
      </w:r>
    </w:p>
    <w:p w14:paraId="0C2D06F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11、索赔</w:t>
      </w:r>
    </w:p>
    <w:p w14:paraId="297276E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11-1、如果卖方对偏差负有责任，而买方在安装、调试、验收和质量保证期内提出了索赔，卖方应按照买方同意的下列一种或几种方式结合起来解决索赔事宜：</w:t>
      </w:r>
    </w:p>
    <w:p w14:paraId="3AD7868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卖方同意退货并用合同规定的货币将货款退还给买方，并承担由此发生的一切损失和费用，包括利息、银行手续费、运费、保险费、检验费、仓储费、装卸费以及为看管和保护退回货物所需的其它必要费用。</w:t>
      </w:r>
    </w:p>
    <w:p w14:paraId="76648ED0">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（2）根据货物的偏差情况、损坏程度、以及买方所遭受损失的金额，经买卖双方商定降低货物的价格。</w:t>
      </w:r>
    </w:p>
    <w:p w14:paraId="3BB71F57">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14:paraId="06B6DC6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14:paraId="634C0CF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12、变更指令</w:t>
      </w:r>
    </w:p>
    <w:p w14:paraId="0F6EE92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12-1、买方可以在任何时候书面向卖方发出指令，在本合同的一般范围内变更下述一项或几项：</w:t>
      </w:r>
    </w:p>
    <w:p w14:paraId="141B3CBE">
      <w:pPr>
        <w:autoSpaceDN w:val="0"/>
        <w:adjustRightInd w:val="0"/>
        <w:spacing w:line="560" w:lineRule="exact"/>
        <w:ind w:firstLine="480" w:firstLineChars="200"/>
        <w:rPr>
          <w:rFonts w:hint="eastAsia" w:ascii="仿宋" w:hAnsi="仿宋" w:eastAsia="仿宋" w:cs="仿宋"/>
          <w:color w:val="auto"/>
          <w:spacing w:val="-4"/>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spacing w:val="-4"/>
          <w:kern w:val="0"/>
          <w:szCs w:val="24"/>
          <w:highlight w:val="none"/>
        </w:rPr>
        <w:t>本合同项下提供的货物是专为买方制造时，变更图纸、设计或规格；</w:t>
      </w:r>
    </w:p>
    <w:p w14:paraId="48029221">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（2）运输或包装的方法；</w:t>
      </w:r>
    </w:p>
    <w:p w14:paraId="50E9134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（3）交货地点；</w:t>
      </w:r>
    </w:p>
    <w:p w14:paraId="3BDBDA6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（4）卖方提供的服务。</w:t>
      </w:r>
    </w:p>
    <w:p w14:paraId="089D9F36">
      <w:pPr>
        <w:autoSpaceDN w:val="0"/>
        <w:adjustRightInd w:val="0"/>
        <w:spacing w:line="560" w:lineRule="exact"/>
        <w:ind w:firstLine="464" w:firstLineChars="200"/>
        <w:rPr>
          <w:rFonts w:hint="eastAsia" w:ascii="仿宋" w:hAnsi="仿宋" w:eastAsia="仿宋" w:cs="仿宋"/>
          <w:color w:val="auto"/>
          <w:kern w:val="0"/>
          <w:szCs w:val="24"/>
          <w:highlight w:val="none"/>
        </w:rPr>
      </w:pPr>
      <w:r>
        <w:rPr>
          <w:rFonts w:hint="eastAsia" w:ascii="仿宋" w:hAnsi="仿宋" w:eastAsia="仿宋" w:cs="仿宋"/>
          <w:color w:val="auto"/>
          <w:spacing w:val="-4"/>
          <w:kern w:val="0"/>
          <w:szCs w:val="24"/>
          <w:highlight w:val="none"/>
        </w:rPr>
        <w:t>12-2、</w:t>
      </w:r>
      <w:r>
        <w:rPr>
          <w:rFonts w:hint="eastAsia" w:ascii="仿宋" w:hAnsi="仿宋" w:eastAsia="仿宋" w:cs="仿宋"/>
          <w:color w:val="auto"/>
          <w:kern w:val="0"/>
          <w:szCs w:val="24"/>
          <w:highlight w:val="none"/>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14:paraId="7C30DCAB">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13、合同修改</w:t>
      </w:r>
    </w:p>
    <w:p w14:paraId="3F9B3C8B">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除了合同条款第12条的情况，不应对合同条款进行任何变更或修改，除非双方同意并签订书面的合同修改书。</w:t>
      </w:r>
    </w:p>
    <w:p w14:paraId="30F44957">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14、转让</w:t>
      </w:r>
    </w:p>
    <w:p w14:paraId="261203C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未经买方事先书面同意，卖方不得部分转让或全部转让其应履行的合同义务。</w:t>
      </w:r>
    </w:p>
    <w:p w14:paraId="639A3ECD">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15、卖方履约延误</w:t>
      </w:r>
    </w:p>
    <w:p w14:paraId="16B1CF1F">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15-1、卖方应按照本项目招标文件“商务条款”中规定的交货时间交货和提供服务。</w:t>
      </w:r>
    </w:p>
    <w:p w14:paraId="5BC4F814">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0201522">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15-3、除合同条款第20条规定的情况外,除非拖延是根据合同条款第15-2条的规定取得同意而不收取误期赔偿费之外，卖方延误交货，将按合同条款第17条的规定被收取误期赔偿费。</w:t>
      </w:r>
    </w:p>
    <w:p w14:paraId="26D78BE1">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16、验收</w:t>
      </w:r>
    </w:p>
    <w:p w14:paraId="5F85B52A">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16-1、项目验收分初验和终验:</w:t>
      </w:r>
    </w:p>
    <w:p w14:paraId="1C692B4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初验：货物到达交货地点后，由使用单位根据合同对货物（设备）的名称、品牌、规格、型号、产地、数量进行检查。</w:t>
      </w:r>
    </w:p>
    <w:p w14:paraId="04E5F66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终验：所有货物(设备)安装、调试完毕，正常使用10个日历日后，由采购人进行终验（最终验收），合格后签发《终验合格单》。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14:paraId="6F1D1D20">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16-3、验收依据</w:t>
      </w:r>
    </w:p>
    <w:p w14:paraId="03B5A71D">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（1）合同文本及合同补充文件（条款）； </w:t>
      </w:r>
    </w:p>
    <w:p w14:paraId="46C59308">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（2）产品的合法来源渠道证明文件、响应功能证明材料；</w:t>
      </w:r>
    </w:p>
    <w:p w14:paraId="4FA6243D">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（3）招标文件；</w:t>
      </w:r>
    </w:p>
    <w:p w14:paraId="4CCC1FE5">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（4）中标人的投标文件；</w:t>
      </w:r>
    </w:p>
    <w:p w14:paraId="1A9DC81B">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（5）货物清单；</w:t>
      </w:r>
    </w:p>
    <w:p w14:paraId="23F837E5">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（6）生产厂家的企业资质、货物的执行标准。</w:t>
      </w:r>
    </w:p>
    <w:p w14:paraId="4406186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17、误期赔偿费</w:t>
      </w:r>
    </w:p>
    <w:p w14:paraId="029E1807">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除合同条款第19条规定的情况外，如果卖方没有按照合同规定的时间交货和提供服务，买方应在不影响</w:t>
      </w:r>
      <w:r>
        <w:rPr>
          <w:rFonts w:hint="eastAsia" w:ascii="仿宋" w:hAnsi="仿宋" w:eastAsia="仿宋" w:cs="仿宋"/>
          <w:color w:val="auto"/>
          <w:kern w:val="0"/>
          <w:szCs w:val="24"/>
          <w:highlight w:val="none"/>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14:paraId="6E4F0AEC">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18、违约终止合同</w:t>
      </w:r>
    </w:p>
    <w:p w14:paraId="40ED102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18-1、在买方对卖方违约而采取的任何补救措施不受影响的情况下，买方可向卖方发出书面违约通知书，提出终止部分或全部合同：</w:t>
      </w:r>
    </w:p>
    <w:p w14:paraId="3FCE824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（1）如果卖方未能在合同规定的期限内或买方根据合同条款第15-2条的规定同意延长的期限内提供部分或全部货物；或</w:t>
      </w:r>
      <w:r>
        <w:rPr>
          <w:rFonts w:hint="eastAsia" w:ascii="仿宋" w:hAnsi="仿宋" w:eastAsia="仿宋" w:cs="仿宋"/>
          <w:color w:val="auto"/>
          <w:szCs w:val="24"/>
          <w:highlight w:val="none"/>
        </w:rPr>
        <w:t>误期赔偿费达到最高限额。</w:t>
      </w:r>
    </w:p>
    <w:p w14:paraId="0D394B3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（2）如果卖方未能履行合同规定的其它任何义务。</w:t>
      </w:r>
    </w:p>
    <w:p w14:paraId="26F14481">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（3）如果买方认为卖方在本合同的竞争和实施过程中有腐败和欺诈行为。为此目的，定义下述条件：</w:t>
      </w:r>
    </w:p>
    <w:p w14:paraId="278E365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“腐败行为”是指提供、给予、接受或索取任何有价值的物品来影响买方在采购过程或合同实施过程中的行为。</w:t>
      </w:r>
    </w:p>
    <w:p w14:paraId="578611A2">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“欺诈行为”是指为了影响采购过程或合同实施过程而谎报或隐瞒事实，损害买方利益的行为。</w:t>
      </w:r>
    </w:p>
    <w:p w14:paraId="3D14A91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75DC128F">
      <w:pPr>
        <w:tabs>
          <w:tab w:val="left" w:pos="5700"/>
        </w:tabs>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19、不可抗力</w:t>
      </w:r>
      <w:r>
        <w:rPr>
          <w:rFonts w:hint="eastAsia" w:ascii="仿宋" w:hAnsi="仿宋" w:eastAsia="仿宋" w:cs="仿宋"/>
          <w:color w:val="auto"/>
          <w:kern w:val="0"/>
          <w:szCs w:val="24"/>
          <w:highlight w:val="none"/>
        </w:rPr>
        <w:tab/>
      </w:r>
    </w:p>
    <w:p w14:paraId="0FA5911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1E263A5B">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6E2DA71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19-3、因合同一方迟延履行合同后发生不可抗力的，不能免除迟延履行方的相应责任。</w:t>
      </w:r>
    </w:p>
    <w:p w14:paraId="1EB6F3E2">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20、因破产而终止合同</w:t>
      </w:r>
    </w:p>
    <w:p w14:paraId="437A998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如果卖方破产或无清偿能力，买方可在任何时候以书面形式通知卖方，提出终止合同而不给卖方补偿。该合同的终止将不损害或影响买方已经采取或将要采取的任何行动或补救措施的权力。</w:t>
      </w:r>
    </w:p>
    <w:p w14:paraId="155285F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21、因买方的便利而终止合同</w:t>
      </w:r>
    </w:p>
    <w:p w14:paraId="13D9F34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21-1、买方可在任何时候出于自身的便利向卖方发出书面通知全部或部分终止合同，终止通知应明确该终止合同是出于买方的便利，并明确合同终止的程度，以及终止的生效日期。</w:t>
      </w:r>
    </w:p>
    <w:p w14:paraId="37170B6C">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21-2、对卖方收到终止通知后三十（30）天内已完成并准备装运的货物，买方应按原合同价格和条款予以接收，对于剩下的货物，买方可：</w:t>
      </w:r>
    </w:p>
    <w:p w14:paraId="3D2A2FD0">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（1）仅对部分货物按照原来的合同价格和条款予以接受；</w:t>
      </w:r>
    </w:p>
    <w:p w14:paraId="47432CA2">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（2）取消对所剩货物的采购，并按双方商定的金额向卖方支付部分完成的货物和服务以及卖方以前已采购的材料和部件的费用。</w:t>
      </w:r>
    </w:p>
    <w:p w14:paraId="3523E6BD">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22、争议的解决</w:t>
      </w:r>
    </w:p>
    <w:p w14:paraId="4D6A8A1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因执行本合同所发生的或与本合同有关的一切争议,双方应通过友好协商解决。如果协商开始后六十（60）天还不能解决，双方可依以下一种方式解决：</w:t>
      </w:r>
    </w:p>
    <w:p w14:paraId="43B94AA7">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22-1、双方达成仲裁协议，向约定的仲裁委员会申请仲裁。</w:t>
      </w:r>
    </w:p>
    <w:p w14:paraId="284A41B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22-2、向有管辖权的人民法院起诉。</w:t>
      </w:r>
    </w:p>
    <w:p w14:paraId="57A6F79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23、适用法律</w:t>
      </w:r>
    </w:p>
    <w:p w14:paraId="2469C3A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本合同应按照中华人民共和国的现行法律进行解释。</w:t>
      </w:r>
    </w:p>
    <w:p w14:paraId="2A2F44E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24、通知</w:t>
      </w:r>
    </w:p>
    <w:p w14:paraId="697C0DB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24-1、本合同一方给对方的通知应用书面形式送到合同专用条款中规定的对方的地址。传真要经书面确认。</w:t>
      </w:r>
    </w:p>
    <w:p w14:paraId="55EFA4B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24-2、通知以送到日期或通知书的生效日期为生效日期，两者中以晚的一个日期为准。</w:t>
      </w:r>
    </w:p>
    <w:p w14:paraId="1E237812">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25、税款</w:t>
      </w:r>
    </w:p>
    <w:p w14:paraId="3393268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25-1、按照中华人民共和国税法和有关部门的规定，买方需交纳的与本合同有关的一切税费均应由买方负担。</w:t>
      </w:r>
    </w:p>
    <w:p w14:paraId="4EF30E6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25-2、按照中华人民共和国税法和有关部门的规定，卖方需交纳的与本合同有关的一切税费均应由卖方负担。</w:t>
      </w:r>
    </w:p>
    <w:p w14:paraId="7131250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26、合同生效</w:t>
      </w:r>
    </w:p>
    <w:p w14:paraId="6CE98D25">
      <w:pPr>
        <w:adjustRightInd w:val="0"/>
        <w:snapToGrid w:val="0"/>
        <w:spacing w:line="560" w:lineRule="exact"/>
        <w:ind w:firstLine="480" w:firstLineChars="200"/>
        <w:rPr>
          <w:rFonts w:hint="eastAsia" w:ascii="仿宋" w:hAnsi="仿宋" w:eastAsia="仿宋" w:cs="仿宋"/>
          <w:b/>
          <w:color w:val="auto"/>
          <w:sz w:val="18"/>
          <w:szCs w:val="18"/>
          <w:highlight w:val="none"/>
          <w:u w:color="FF0000"/>
        </w:rPr>
      </w:pPr>
      <w:r>
        <w:rPr>
          <w:rFonts w:hint="eastAsia" w:ascii="仿宋" w:hAnsi="仿宋" w:eastAsia="仿宋" w:cs="仿宋"/>
          <w:color w:val="auto"/>
          <w:kern w:val="0"/>
          <w:szCs w:val="24"/>
          <w:highlight w:val="none"/>
        </w:rPr>
        <w:t>本合同由买卖双方共同签字盖章，自买卖双方签字盖章之日起生效。</w:t>
      </w:r>
    </w:p>
    <w:p w14:paraId="3D2BD6A6">
      <w:pPr>
        <w:adjustRightInd w:val="0"/>
        <w:snapToGrid w:val="0"/>
        <w:spacing w:line="560" w:lineRule="exact"/>
        <w:ind w:firstLine="361" w:firstLineChars="200"/>
        <w:rPr>
          <w:rFonts w:hint="eastAsia" w:ascii="仿宋" w:hAnsi="仿宋" w:eastAsia="仿宋" w:cs="仿宋"/>
          <w:b/>
          <w:color w:val="auto"/>
          <w:sz w:val="18"/>
          <w:szCs w:val="18"/>
          <w:highlight w:val="none"/>
          <w:u w:color="FF0000"/>
        </w:rPr>
      </w:pPr>
      <w:r>
        <w:rPr>
          <w:rFonts w:hint="eastAsia" w:ascii="仿宋" w:hAnsi="仿宋" w:eastAsia="仿宋" w:cs="仿宋"/>
          <w:b/>
          <w:color w:val="auto"/>
          <w:sz w:val="18"/>
          <w:szCs w:val="18"/>
          <w:highlight w:val="none"/>
          <w:u w:color="FF0000"/>
        </w:rPr>
        <w:br w:type="page"/>
      </w:r>
    </w:p>
    <w:p w14:paraId="63D45469">
      <w:pPr>
        <w:pStyle w:val="2"/>
        <w:bidi w:val="0"/>
        <w:spacing w:line="360" w:lineRule="auto"/>
        <w:jc w:val="center"/>
        <w:rPr>
          <w:rFonts w:hint="eastAsia" w:ascii="仿宋" w:hAnsi="仿宋" w:eastAsia="仿宋" w:cs="仿宋"/>
          <w:color w:val="auto"/>
          <w:highlight w:val="none"/>
        </w:rPr>
        <w:sectPr>
          <w:footerReference r:id="rId19" w:type="first"/>
          <w:pgSz w:w="11905" w:h="16840"/>
          <w:pgMar w:top="1417" w:right="1417" w:bottom="1417" w:left="1417" w:header="935" w:footer="907" w:gutter="0"/>
          <w:pgNumType w:fmt="decimal"/>
          <w:cols w:space="0" w:num="1"/>
          <w:titlePg/>
          <w:rtlGutter w:val="0"/>
          <w:docGrid w:linePitch="312" w:charSpace="0"/>
        </w:sectPr>
      </w:pPr>
      <w:bookmarkStart w:id="119" w:name="_Toc458617747"/>
      <w:bookmarkStart w:id="120" w:name="_Toc458617470"/>
    </w:p>
    <w:p w14:paraId="1712C7F8">
      <w:pPr>
        <w:pStyle w:val="2"/>
        <w:numPr>
          <w:ilvl w:val="0"/>
          <w:numId w:val="9"/>
        </w:numPr>
        <w:spacing w:line="5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121" w:name="_Toc19489"/>
      <w:r>
        <w:rPr>
          <w:rFonts w:hint="eastAsia" w:ascii="仿宋" w:hAnsi="仿宋" w:eastAsia="仿宋" w:cs="仿宋"/>
          <w:color w:val="auto"/>
          <w:highlight w:val="none"/>
        </w:rPr>
        <w:t>投标文件格式</w:t>
      </w:r>
      <w:bookmarkEnd w:id="119"/>
      <w:bookmarkEnd w:id="120"/>
      <w:bookmarkEnd w:id="121"/>
    </w:p>
    <w:p w14:paraId="4A7BC3A2">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投标文件编制说明</w:t>
      </w:r>
    </w:p>
    <w:p w14:paraId="76C6AD1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1、投标文件应当按照招标文件给定的格式和要求编制，格式之外的可自行编写。</w:t>
      </w:r>
    </w:p>
    <w:p w14:paraId="6645E95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按照招标文件的规定和要求在投标文件中指定的页面落款处加盖公章（鲜章）并由法定代表人或被授权人签字（或盖章）。招标文件凡是要求法定代表人签字或盖章之处，非法人单位的负责人均参照执行。</w:t>
      </w:r>
    </w:p>
    <w:p w14:paraId="065EA6A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3、纸质投标文件均须A4纸打印（提倡双面打印），分别各自装订成册并编制目录和页码，产品彩页、厂家授权等证明材料原件除外。</w:t>
      </w:r>
    </w:p>
    <w:p w14:paraId="1581C6E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4、投标文件正本中的法人授权书须为原件，其它资质证明文件为复印件加盖投标人公章（鲜章）。副本可以是正本的复印件。</w:t>
      </w:r>
    </w:p>
    <w:p w14:paraId="0E4CBEBD">
      <w:pPr>
        <w:spacing w:line="560" w:lineRule="exact"/>
        <w:ind w:left="240" w:leftChars="10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1542BC99">
      <w:pPr>
        <w:pStyle w:val="10"/>
        <w:rPr>
          <w:rFonts w:hint="eastAsia" w:ascii="仿宋" w:hAnsi="仿宋" w:eastAsia="仿宋" w:cs="仿宋"/>
          <w:color w:val="auto"/>
          <w:highlight w:val="none"/>
        </w:rPr>
      </w:pPr>
    </w:p>
    <w:p w14:paraId="4BEC26FE">
      <w:pPr>
        <w:spacing w:line="560" w:lineRule="exact"/>
        <w:ind w:firstLine="4003" w:firstLineChars="1246"/>
        <w:rPr>
          <w:rFonts w:hint="eastAsia" w:ascii="仿宋" w:hAnsi="仿宋" w:eastAsia="仿宋" w:cs="仿宋"/>
          <w:b/>
          <w:color w:val="auto"/>
          <w:sz w:val="32"/>
          <w:szCs w:val="32"/>
          <w:highlight w:val="none"/>
        </w:rPr>
      </w:pPr>
    </w:p>
    <w:p w14:paraId="351C07E2">
      <w:pPr>
        <w:spacing w:line="560" w:lineRule="exact"/>
        <w:ind w:firstLine="4003" w:firstLineChars="1246"/>
        <w:rPr>
          <w:rFonts w:hint="eastAsia" w:ascii="仿宋" w:hAnsi="仿宋" w:eastAsia="仿宋" w:cs="仿宋"/>
          <w:b/>
          <w:color w:val="auto"/>
          <w:sz w:val="32"/>
          <w:szCs w:val="32"/>
          <w:highlight w:val="none"/>
        </w:rPr>
      </w:pPr>
    </w:p>
    <w:p w14:paraId="01B2BDD5">
      <w:pPr>
        <w:spacing w:line="560" w:lineRule="exact"/>
        <w:ind w:firstLine="4003" w:firstLineChars="1246"/>
        <w:rPr>
          <w:rFonts w:hint="eastAsia" w:ascii="仿宋" w:hAnsi="仿宋" w:eastAsia="仿宋" w:cs="仿宋"/>
          <w:b/>
          <w:color w:val="auto"/>
          <w:sz w:val="32"/>
          <w:szCs w:val="32"/>
          <w:highlight w:val="none"/>
        </w:rPr>
      </w:pPr>
    </w:p>
    <w:p w14:paraId="065A6359">
      <w:pPr>
        <w:spacing w:line="560" w:lineRule="exact"/>
        <w:ind w:firstLine="4003" w:firstLineChars="1246"/>
        <w:rPr>
          <w:rFonts w:hint="eastAsia" w:ascii="仿宋" w:hAnsi="仿宋" w:eastAsia="仿宋" w:cs="仿宋"/>
          <w:b/>
          <w:color w:val="auto"/>
          <w:sz w:val="32"/>
          <w:szCs w:val="32"/>
          <w:highlight w:val="none"/>
        </w:rPr>
      </w:pPr>
    </w:p>
    <w:p w14:paraId="2743EB2E">
      <w:pPr>
        <w:spacing w:line="560" w:lineRule="exact"/>
        <w:ind w:firstLine="4003" w:firstLineChars="1246"/>
        <w:rPr>
          <w:rFonts w:hint="eastAsia" w:ascii="仿宋" w:hAnsi="仿宋" w:eastAsia="仿宋" w:cs="仿宋"/>
          <w:b/>
          <w:color w:val="auto"/>
          <w:sz w:val="32"/>
          <w:szCs w:val="32"/>
          <w:highlight w:val="none"/>
        </w:rPr>
      </w:pPr>
    </w:p>
    <w:p w14:paraId="70BE1DC6">
      <w:pPr>
        <w:spacing w:line="560" w:lineRule="exact"/>
        <w:ind w:firstLine="4003" w:firstLineChars="1246"/>
        <w:rPr>
          <w:rFonts w:hint="eastAsia" w:ascii="仿宋" w:hAnsi="仿宋" w:eastAsia="仿宋" w:cs="仿宋"/>
          <w:b/>
          <w:color w:val="auto"/>
          <w:sz w:val="32"/>
          <w:szCs w:val="32"/>
          <w:highlight w:val="none"/>
        </w:rPr>
      </w:pPr>
    </w:p>
    <w:p w14:paraId="431E1AF0">
      <w:pPr>
        <w:spacing w:line="560" w:lineRule="exact"/>
        <w:ind w:firstLine="4003" w:firstLineChars="1246"/>
        <w:rPr>
          <w:rFonts w:hint="eastAsia" w:ascii="仿宋" w:hAnsi="仿宋" w:eastAsia="仿宋" w:cs="仿宋"/>
          <w:b/>
          <w:color w:val="auto"/>
          <w:sz w:val="32"/>
          <w:szCs w:val="32"/>
          <w:highlight w:val="none"/>
        </w:rPr>
      </w:pPr>
    </w:p>
    <w:p w14:paraId="4BE60480">
      <w:pPr>
        <w:spacing w:line="560" w:lineRule="exact"/>
        <w:ind w:firstLine="4003" w:firstLineChars="1246"/>
        <w:rPr>
          <w:rFonts w:hint="eastAsia" w:ascii="仿宋" w:hAnsi="仿宋" w:eastAsia="仿宋" w:cs="仿宋"/>
          <w:b/>
          <w:color w:val="auto"/>
          <w:sz w:val="32"/>
          <w:szCs w:val="32"/>
          <w:highlight w:val="none"/>
        </w:rPr>
      </w:pPr>
    </w:p>
    <w:p w14:paraId="7F383E18">
      <w:pPr>
        <w:spacing w:line="560" w:lineRule="exact"/>
        <w:ind w:firstLine="4003" w:firstLineChars="1246"/>
        <w:rPr>
          <w:rFonts w:hint="eastAsia" w:ascii="仿宋" w:hAnsi="仿宋" w:eastAsia="仿宋" w:cs="仿宋"/>
          <w:b/>
          <w:color w:val="auto"/>
          <w:sz w:val="32"/>
          <w:szCs w:val="32"/>
          <w:highlight w:val="none"/>
        </w:rPr>
      </w:pPr>
    </w:p>
    <w:p w14:paraId="0C4BFC32">
      <w:pPr>
        <w:pStyle w:val="10"/>
        <w:rPr>
          <w:rFonts w:hint="eastAsia" w:ascii="仿宋" w:hAnsi="仿宋" w:eastAsia="仿宋" w:cs="仿宋"/>
          <w:color w:val="auto"/>
          <w:highlight w:val="none"/>
        </w:rPr>
      </w:pPr>
    </w:p>
    <w:p w14:paraId="55658862">
      <w:pPr>
        <w:spacing w:line="6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2F2E5DA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89716D6">
      <w:pPr>
        <w:spacing w:line="640" w:lineRule="exact"/>
        <w:jc w:val="right"/>
        <w:rPr>
          <w:rFonts w:hint="eastAsia" w:ascii="仿宋" w:hAnsi="仿宋" w:eastAsia="仿宋" w:cs="仿宋"/>
          <w:b/>
          <w:color w:val="auto"/>
          <w:sz w:val="36"/>
          <w:szCs w:val="36"/>
          <w:highlight w:val="none"/>
        </w:rPr>
      </w:pPr>
      <w:r>
        <w:rPr>
          <w:rFonts w:hint="eastAsia" w:ascii="仿宋" w:hAnsi="仿宋" w:eastAsia="仿宋" w:cs="仿宋"/>
          <w:color w:val="auto"/>
          <w:sz w:val="36"/>
          <w:highlight w:val="none"/>
        </w:rPr>
        <w:pict>
          <v:shape id="_x0000_s1037" o:spid="_x0000_s1037" o:spt="202" type="#_x0000_t202" style="position:absolute;left:0pt;margin-left:326.1pt;margin-top:12pt;height:29.15pt;width:117.7pt;z-index:251671552;mso-width-relative:page;mso-height-relative:page;" fillcolor="#FFFFFF" filled="t" stroked="t" coordsize="21600,21600">
            <v:path/>
            <v:fill on="t" color2="#FFFFFF" focussize="0,0"/>
            <v:stroke color="#000000"/>
            <v:imagedata o:title=""/>
            <o:lock v:ext="edit" aspectratio="f"/>
            <v:textbox>
              <w:txbxContent>
                <w:p w14:paraId="083DC770">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14:paraId="18BDFD04">
      <w:pPr>
        <w:spacing w:line="56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2E8719B5">
      <w:pPr>
        <w:spacing w:line="560" w:lineRule="exact"/>
        <w:rPr>
          <w:rFonts w:hint="eastAsia" w:ascii="仿宋" w:hAnsi="仿宋" w:eastAsia="仿宋" w:cs="仿宋"/>
          <w:b/>
          <w:color w:val="auto"/>
          <w:sz w:val="36"/>
          <w:szCs w:val="36"/>
          <w:highlight w:val="none"/>
        </w:rPr>
      </w:pPr>
    </w:p>
    <w:p w14:paraId="2BE9D7B6">
      <w:pPr>
        <w:spacing w:line="560" w:lineRule="exact"/>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 xml:space="preserve">文件编号: </w:t>
      </w:r>
      <w:r>
        <w:rPr>
          <w:rFonts w:hint="eastAsia" w:ascii="仿宋" w:hAnsi="仿宋" w:eastAsia="仿宋" w:cs="仿宋"/>
          <w:b/>
          <w:color w:val="auto"/>
          <w:sz w:val="36"/>
          <w:szCs w:val="36"/>
          <w:highlight w:val="none"/>
          <w:lang w:eastAsia="zh-CN"/>
        </w:rPr>
        <w:t>HZGH-2024-055</w:t>
      </w:r>
      <w:r>
        <w:rPr>
          <w:rFonts w:hint="eastAsia" w:ascii="仿宋" w:hAnsi="仿宋" w:eastAsia="仿宋" w:cs="仿宋"/>
          <w:b/>
          <w:color w:val="auto"/>
          <w:sz w:val="36"/>
          <w:szCs w:val="36"/>
          <w:highlight w:val="none"/>
          <w:lang w:val="en-US" w:eastAsia="zh-CN"/>
        </w:rPr>
        <w:t xml:space="preserve">                正/副本</w:t>
      </w:r>
    </w:p>
    <w:p w14:paraId="428BD27B">
      <w:pPr>
        <w:spacing w:line="560" w:lineRule="exact"/>
        <w:rPr>
          <w:rFonts w:hint="eastAsia" w:ascii="仿宋" w:hAnsi="仿宋" w:eastAsia="仿宋" w:cs="仿宋"/>
          <w:b/>
          <w:color w:val="auto"/>
          <w:sz w:val="36"/>
          <w:szCs w:val="36"/>
          <w:highlight w:val="none"/>
        </w:rPr>
      </w:pPr>
    </w:p>
    <w:p w14:paraId="2B6526AF">
      <w:pPr>
        <w:pStyle w:val="16"/>
        <w:rPr>
          <w:rFonts w:hint="eastAsia" w:ascii="仿宋" w:hAnsi="仿宋" w:eastAsia="仿宋" w:cs="仿宋"/>
          <w:color w:val="auto"/>
          <w:highlight w:val="none"/>
        </w:rPr>
      </w:pPr>
    </w:p>
    <w:p w14:paraId="35592457">
      <w:pPr>
        <w:spacing w:beforeLines="50" w:line="560" w:lineRule="exact"/>
        <w:ind w:right="-998" w:rightChars="-416"/>
        <w:rPr>
          <w:rFonts w:hint="eastAsia" w:ascii="仿宋" w:hAnsi="仿宋" w:eastAsia="仿宋" w:cs="仿宋"/>
          <w:b/>
          <w:bCs/>
          <w:color w:val="auto"/>
          <w:spacing w:val="52"/>
          <w:kern w:val="0"/>
          <w:sz w:val="15"/>
          <w:szCs w:val="15"/>
          <w:highlight w:val="none"/>
        </w:rPr>
      </w:pPr>
    </w:p>
    <w:p w14:paraId="17FDE4BA">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eastAsia" w:ascii="仿宋" w:hAnsi="仿宋" w:eastAsia="仿宋" w:cs="仿宋"/>
          <w:b/>
          <w:color w:val="auto"/>
          <w:spacing w:val="-22"/>
          <w:sz w:val="56"/>
          <w:szCs w:val="56"/>
          <w:highlight w:val="none"/>
          <w:shd w:val="clear" w:color="auto" w:fill="FFFFFF"/>
          <w:lang w:eastAsia="zh-CN"/>
        </w:rPr>
      </w:pPr>
      <w:r>
        <w:rPr>
          <w:rFonts w:hint="eastAsia" w:ascii="仿宋" w:hAnsi="仿宋" w:eastAsia="仿宋" w:cs="仿宋"/>
          <w:b/>
          <w:color w:val="auto"/>
          <w:spacing w:val="-22"/>
          <w:sz w:val="56"/>
          <w:szCs w:val="56"/>
          <w:highlight w:val="none"/>
          <w:shd w:val="clear" w:color="auto" w:fill="FFFFFF"/>
          <w:lang w:eastAsia="zh-CN"/>
        </w:rPr>
        <w:t>登高平台消防车及随车器材采购项目</w:t>
      </w:r>
    </w:p>
    <w:p w14:paraId="5F9F297E">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eastAsia" w:ascii="仿宋" w:hAnsi="仿宋" w:eastAsia="仿宋" w:cs="仿宋"/>
          <w:b/>
          <w:color w:val="auto"/>
          <w:spacing w:val="-22"/>
          <w:sz w:val="56"/>
          <w:szCs w:val="56"/>
          <w:highlight w:val="none"/>
          <w:shd w:val="clear" w:color="auto" w:fill="FFFFFF"/>
          <w:lang w:eastAsia="zh-CN"/>
        </w:rPr>
      </w:pPr>
      <w:r>
        <w:rPr>
          <w:rFonts w:hint="eastAsia" w:ascii="仿宋" w:hAnsi="仿宋" w:eastAsia="仿宋" w:cs="仿宋"/>
          <w:b/>
          <w:color w:val="auto"/>
          <w:spacing w:val="-22"/>
          <w:sz w:val="56"/>
          <w:szCs w:val="56"/>
          <w:highlight w:val="none"/>
          <w:shd w:val="clear" w:color="auto" w:fill="FFFFFF"/>
          <w:lang w:eastAsia="zh-CN"/>
        </w:rPr>
        <w:t>（二次）</w:t>
      </w:r>
    </w:p>
    <w:p w14:paraId="7B59E1BD">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p>
    <w:p w14:paraId="3F267994">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投标文件</w:t>
      </w:r>
    </w:p>
    <w:p w14:paraId="553D8212">
      <w:pPr>
        <w:spacing w:line="560" w:lineRule="exact"/>
        <w:rPr>
          <w:rFonts w:hint="eastAsia" w:ascii="仿宋" w:hAnsi="仿宋" w:eastAsia="仿宋" w:cs="仿宋"/>
          <w:color w:val="auto"/>
          <w:sz w:val="32"/>
          <w:highlight w:val="none"/>
        </w:rPr>
      </w:pPr>
    </w:p>
    <w:p w14:paraId="6E605988">
      <w:pPr>
        <w:spacing w:line="560" w:lineRule="exact"/>
        <w:rPr>
          <w:rFonts w:hint="eastAsia" w:ascii="仿宋" w:hAnsi="仿宋" w:eastAsia="仿宋" w:cs="仿宋"/>
          <w:color w:val="auto"/>
          <w:sz w:val="32"/>
          <w:highlight w:val="none"/>
        </w:rPr>
      </w:pPr>
    </w:p>
    <w:p w14:paraId="5AFBF1A3">
      <w:pPr>
        <w:pStyle w:val="10"/>
        <w:rPr>
          <w:rFonts w:hint="eastAsia" w:ascii="仿宋" w:hAnsi="仿宋" w:eastAsia="仿宋" w:cs="仿宋"/>
          <w:color w:val="auto"/>
          <w:sz w:val="32"/>
          <w:highlight w:val="none"/>
        </w:rPr>
      </w:pPr>
    </w:p>
    <w:p w14:paraId="1AAEEB45">
      <w:pPr>
        <w:rPr>
          <w:rFonts w:hint="eastAsia" w:ascii="仿宋" w:hAnsi="仿宋" w:eastAsia="仿宋" w:cs="仿宋"/>
          <w:color w:val="auto"/>
          <w:sz w:val="32"/>
          <w:highlight w:val="none"/>
        </w:rPr>
      </w:pPr>
    </w:p>
    <w:p w14:paraId="51024DFC">
      <w:pPr>
        <w:pStyle w:val="16"/>
        <w:rPr>
          <w:rFonts w:hint="eastAsia" w:ascii="仿宋" w:hAnsi="仿宋" w:eastAsia="仿宋" w:cs="仿宋"/>
          <w:color w:val="auto"/>
          <w:sz w:val="32"/>
          <w:highlight w:val="none"/>
        </w:rPr>
      </w:pPr>
    </w:p>
    <w:p w14:paraId="659A5061">
      <w:pPr>
        <w:rPr>
          <w:rFonts w:hint="eastAsia" w:ascii="仿宋" w:hAnsi="仿宋" w:eastAsia="仿宋" w:cs="仿宋"/>
          <w:color w:val="auto"/>
          <w:highlight w:val="none"/>
        </w:rPr>
      </w:pPr>
    </w:p>
    <w:p w14:paraId="77574BEC">
      <w:pPr>
        <w:rPr>
          <w:rFonts w:hint="eastAsia" w:ascii="仿宋" w:hAnsi="仿宋" w:eastAsia="仿宋" w:cs="仿宋"/>
          <w:color w:val="auto"/>
          <w:highlight w:val="none"/>
        </w:rPr>
      </w:pPr>
    </w:p>
    <w:p w14:paraId="5A1FB16E">
      <w:pPr>
        <w:spacing w:beforeLines="70" w:line="560" w:lineRule="exact"/>
        <w:ind w:firstLine="1634" w:firstLineChars="550"/>
        <w:rPr>
          <w:rFonts w:hint="eastAsia" w:ascii="仿宋" w:hAnsi="仿宋" w:eastAsia="仿宋" w:cs="仿宋"/>
          <w:b/>
          <w:bCs/>
          <w:color w:val="auto"/>
          <w:spacing w:val="8"/>
          <w:sz w:val="28"/>
          <w:szCs w:val="28"/>
          <w:highlight w:val="none"/>
          <w:u w:val="single"/>
        </w:rPr>
      </w:pPr>
      <w:r>
        <w:rPr>
          <w:rFonts w:hint="eastAsia" w:ascii="仿宋" w:hAnsi="仿宋" w:eastAsia="仿宋" w:cs="仿宋"/>
          <w:b/>
          <w:color w:val="auto"/>
          <w:spacing w:val="8"/>
          <w:sz w:val="28"/>
          <w:szCs w:val="28"/>
          <w:highlight w:val="none"/>
        </w:rPr>
        <w:t>投 标 单 位：</w:t>
      </w:r>
      <w:r>
        <w:rPr>
          <w:rFonts w:hint="eastAsia" w:ascii="仿宋" w:hAnsi="仿宋" w:eastAsia="仿宋" w:cs="仿宋"/>
          <w:b/>
          <w:color w:val="auto"/>
          <w:spacing w:val="8"/>
          <w:sz w:val="28"/>
          <w:szCs w:val="28"/>
          <w:highlight w:val="none"/>
          <w:u w:val="single"/>
        </w:rPr>
        <w:t xml:space="preserve">                       </w:t>
      </w:r>
      <w:r>
        <w:rPr>
          <w:rFonts w:hint="eastAsia" w:ascii="仿宋" w:hAnsi="仿宋" w:eastAsia="仿宋" w:cs="仿宋"/>
          <w:b/>
          <w:color w:val="auto"/>
          <w:spacing w:val="8"/>
          <w:sz w:val="28"/>
          <w:szCs w:val="28"/>
          <w:highlight w:val="none"/>
        </w:rPr>
        <w:t xml:space="preserve">                       </w:t>
      </w:r>
    </w:p>
    <w:p w14:paraId="275DA0ED">
      <w:pPr>
        <w:spacing w:beforeLines="70" w:line="560" w:lineRule="exact"/>
        <w:ind w:firstLine="1661" w:firstLineChars="591"/>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采购代理机构：</w:t>
      </w:r>
      <w:r>
        <w:rPr>
          <w:rFonts w:hint="eastAsia" w:ascii="仿宋" w:hAnsi="仿宋" w:eastAsia="仿宋" w:cs="仿宋"/>
          <w:b/>
          <w:color w:val="auto"/>
          <w:sz w:val="28"/>
          <w:szCs w:val="28"/>
          <w:highlight w:val="none"/>
          <w:u w:val="single"/>
        </w:rPr>
        <w:t xml:space="preserve">                          </w:t>
      </w:r>
    </w:p>
    <w:p w14:paraId="7C25C9D3">
      <w:pPr>
        <w:spacing w:line="560" w:lineRule="exact"/>
        <w:ind w:firstLine="1661" w:firstLineChars="591"/>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bookmarkStart w:id="122" w:name="_Toc173549978"/>
      <w:bookmarkStart w:id="123" w:name="_Toc193187097"/>
      <w:bookmarkStart w:id="124" w:name="_Toc175032437"/>
      <w:bookmarkStart w:id="125" w:name="_Toc170980552"/>
      <w:bookmarkStart w:id="126" w:name="_Toc169838532"/>
      <w:bookmarkStart w:id="127" w:name="_Toc169846776"/>
      <w:bookmarkStart w:id="128" w:name="_Toc188808833"/>
      <w:bookmarkStart w:id="129" w:name="_Toc167590775"/>
      <w:bookmarkStart w:id="130" w:name="_Toc170980453"/>
      <w:bookmarkStart w:id="131" w:name="_Toc193126881"/>
      <w:bookmarkStart w:id="132" w:name="_Toc167591043"/>
      <w:bookmarkStart w:id="133" w:name="_Toc194663918"/>
      <w:bookmarkStart w:id="134" w:name="_Toc154482479"/>
      <w:bookmarkStart w:id="135" w:name="_Toc167591144"/>
      <w:bookmarkStart w:id="136" w:name="_Toc169846873"/>
      <w:bookmarkStart w:id="137" w:name="_Toc175033592"/>
      <w:bookmarkStart w:id="138" w:name="_Toc167591492"/>
      <w:bookmarkStart w:id="139" w:name="_Toc167849360"/>
      <w:bookmarkStart w:id="140" w:name="_Toc167591330"/>
    </w:p>
    <w:p w14:paraId="17C0D51F">
      <w:pPr>
        <w:spacing w:line="560" w:lineRule="exact"/>
        <w:ind w:left="240" w:leftChars="100" w:firstLine="4003" w:firstLineChars="1246"/>
        <w:rPr>
          <w:rFonts w:hint="eastAsia" w:ascii="仿宋" w:hAnsi="仿宋" w:eastAsia="仿宋" w:cs="仿宋"/>
          <w:b/>
          <w:color w:val="auto"/>
          <w:sz w:val="32"/>
          <w:szCs w:val="32"/>
          <w:highlight w:val="none"/>
        </w:rPr>
      </w:pPr>
    </w:p>
    <w:p w14:paraId="0ACC302A">
      <w:pPr>
        <w:rPr>
          <w:rFonts w:hint="eastAsia" w:ascii="仿宋" w:hAnsi="仿宋" w:eastAsia="仿宋" w:cs="仿宋"/>
          <w:color w:val="auto"/>
          <w:highlight w:val="none"/>
        </w:rPr>
      </w:pPr>
    </w:p>
    <w:p w14:paraId="37EC9654">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EBE9083">
      <w:pPr>
        <w:spacing w:line="5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40D30E09">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w:t>
      </w:r>
    </w:p>
    <w:p w14:paraId="38A0AB03">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2．开标一览表（格式）</w:t>
      </w:r>
    </w:p>
    <w:p w14:paraId="472FC1E7">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3．投标分项报价表（格式）</w:t>
      </w:r>
    </w:p>
    <w:p w14:paraId="66F8BC9B">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选配件报价表（格式，若有）</w:t>
      </w:r>
    </w:p>
    <w:p w14:paraId="204C5F32">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．货物说明一览表（格式）</w:t>
      </w:r>
    </w:p>
    <w:p w14:paraId="39BFBB79">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．技术规格响应偏离表（格式）</w:t>
      </w:r>
    </w:p>
    <w:p w14:paraId="1900FEA1">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．商务条款响应偏离表（格式）</w:t>
      </w:r>
    </w:p>
    <w:p w14:paraId="3DEE95B6">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 资格证明文件</w:t>
      </w:r>
    </w:p>
    <w:p w14:paraId="0863C97F">
      <w:pPr>
        <w:autoSpaceDE w:val="0"/>
        <w:autoSpaceDN w:val="0"/>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20</w:t>
      </w:r>
      <w:r>
        <w:rPr>
          <w:rFonts w:hint="eastAsia" w:ascii="仿宋" w:hAnsi="仿宋" w:eastAsia="仿宋" w:cs="仿宋"/>
          <w:color w:val="auto"/>
          <w:szCs w:val="24"/>
          <w:highlight w:val="none"/>
          <w:lang w:val="en-US" w:eastAsia="zh-CN"/>
        </w:rPr>
        <w:t>21</w:t>
      </w:r>
      <w:r>
        <w:rPr>
          <w:rFonts w:hint="eastAsia" w:ascii="仿宋" w:hAnsi="仿宋" w:eastAsia="仿宋" w:cs="仿宋"/>
          <w:color w:val="auto"/>
          <w:szCs w:val="24"/>
          <w:highlight w:val="none"/>
          <w:lang w:eastAsia="zh-CN"/>
        </w:rPr>
        <w:t>年1月1日</w:t>
      </w:r>
      <w:r>
        <w:rPr>
          <w:rFonts w:hint="eastAsia" w:ascii="仿宋" w:hAnsi="仿宋" w:eastAsia="仿宋" w:cs="仿宋"/>
          <w:color w:val="auto"/>
          <w:szCs w:val="24"/>
          <w:highlight w:val="none"/>
        </w:rPr>
        <w:t>至今</w:t>
      </w:r>
      <w:r>
        <w:rPr>
          <w:rFonts w:hint="eastAsia" w:ascii="仿宋" w:hAnsi="仿宋" w:eastAsia="仿宋" w:cs="仿宋"/>
          <w:color w:val="auto"/>
          <w:szCs w:val="24"/>
          <w:highlight w:val="none"/>
          <w:lang w:eastAsia="zh-CN"/>
        </w:rPr>
        <w:t>类似项目业绩</w:t>
      </w:r>
      <w:r>
        <w:rPr>
          <w:rFonts w:hint="eastAsia" w:ascii="仿宋" w:hAnsi="仿宋" w:eastAsia="仿宋" w:cs="仿宋"/>
          <w:color w:val="auto"/>
          <w:szCs w:val="24"/>
          <w:highlight w:val="none"/>
        </w:rPr>
        <w:t>（以合同为准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复印件加盖公章</w:t>
      </w:r>
      <w:r>
        <w:rPr>
          <w:rFonts w:hint="eastAsia" w:ascii="仿宋" w:hAnsi="仿宋" w:eastAsia="仿宋" w:cs="仿宋"/>
          <w:color w:val="auto"/>
          <w:szCs w:val="24"/>
          <w:highlight w:val="none"/>
        </w:rPr>
        <w:t>）</w:t>
      </w:r>
    </w:p>
    <w:p w14:paraId="1B56098F">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 产品的合法渠道证明文件</w:t>
      </w:r>
    </w:p>
    <w:p w14:paraId="50D0AA30">
      <w:pPr>
        <w:spacing w:line="500" w:lineRule="exact"/>
        <w:ind w:firstLine="1200" w:firstLineChars="5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项目实施方案</w:t>
      </w:r>
    </w:p>
    <w:p w14:paraId="44A249D3">
      <w:pPr>
        <w:spacing w:line="500" w:lineRule="exact"/>
        <w:ind w:firstLine="1200" w:firstLineChars="500"/>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产品的技术文件</w:t>
      </w:r>
    </w:p>
    <w:p w14:paraId="25F67090">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 质量保证</w:t>
      </w:r>
    </w:p>
    <w:p w14:paraId="17EF0081">
      <w:pPr>
        <w:spacing w:line="500" w:lineRule="exact"/>
        <w:ind w:firstLine="1200" w:firstLineChars="5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售后服务</w:t>
      </w:r>
      <w:r>
        <w:rPr>
          <w:rFonts w:hint="eastAsia" w:ascii="仿宋" w:hAnsi="仿宋" w:eastAsia="仿宋" w:cs="仿宋"/>
          <w:color w:val="auto"/>
          <w:szCs w:val="24"/>
          <w:highlight w:val="none"/>
          <w:lang w:eastAsia="zh-CN"/>
        </w:rPr>
        <w:t>及培训计划</w:t>
      </w:r>
    </w:p>
    <w:p w14:paraId="0833158C">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投标人认为有必要说明的事宜（若有）</w:t>
      </w:r>
    </w:p>
    <w:p w14:paraId="2554E9C0">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投标人承诺书</w:t>
      </w:r>
      <w:r>
        <w:rPr>
          <w:rFonts w:hint="eastAsia" w:ascii="仿宋" w:hAnsi="仿宋" w:eastAsia="仿宋" w:cs="仿宋"/>
          <w:color w:val="auto"/>
          <w:szCs w:val="24"/>
          <w:highlight w:val="none"/>
        </w:rPr>
        <w:t>（格式）</w:t>
      </w:r>
    </w:p>
    <w:p w14:paraId="7FD49F86">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企业声明函》（格式，若有）</w:t>
      </w:r>
    </w:p>
    <w:p w14:paraId="38BA972E">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.《残疾人福利性单位声明函》</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Start w:id="141" w:name="_Toc458617471"/>
      <w:bookmarkStart w:id="142" w:name="_Toc1386"/>
      <w:bookmarkStart w:id="143" w:name="_Toc25120"/>
      <w:bookmarkStart w:id="144" w:name="_Toc193187098"/>
      <w:bookmarkStart w:id="145" w:name="_Toc188808834"/>
      <w:bookmarkStart w:id="146" w:name="_Toc194663919"/>
      <w:bookmarkStart w:id="147" w:name="_Toc193126882"/>
      <w:r>
        <w:rPr>
          <w:rFonts w:hint="eastAsia" w:ascii="仿宋" w:hAnsi="仿宋" w:eastAsia="仿宋" w:cs="仿宋"/>
          <w:color w:val="auto"/>
          <w:szCs w:val="24"/>
          <w:highlight w:val="none"/>
        </w:rPr>
        <w:t>（格式，若有）</w:t>
      </w:r>
    </w:p>
    <w:p w14:paraId="00240A04">
      <w:pPr>
        <w:autoSpaceDE w:val="0"/>
        <w:autoSpaceDN w:val="0"/>
        <w:spacing w:line="500" w:lineRule="exact"/>
        <w:ind w:left="240" w:leftChars="100" w:firstLine="960" w:firstLineChars="4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《监狱、戒毒企业声明函》（格式，若有）</w:t>
      </w:r>
    </w:p>
    <w:p w14:paraId="3F55777E">
      <w:pPr>
        <w:pStyle w:val="10"/>
        <w:rPr>
          <w:rFonts w:hint="eastAsia" w:ascii="仿宋" w:hAnsi="仿宋" w:eastAsia="仿宋" w:cs="仿宋"/>
          <w:color w:val="auto"/>
          <w:highlight w:val="none"/>
        </w:rPr>
      </w:pPr>
    </w:p>
    <w:p w14:paraId="78BB2BAA">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273B9901">
      <w:pPr>
        <w:pStyle w:val="37"/>
        <w:spacing w:line="5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1.投标函</w:t>
      </w:r>
      <w:bookmarkEnd w:id="141"/>
      <w:bookmarkEnd w:id="142"/>
      <w:bookmarkEnd w:id="143"/>
      <w:r>
        <w:rPr>
          <w:rFonts w:hint="eastAsia" w:ascii="仿宋" w:hAnsi="仿宋" w:eastAsia="仿宋" w:cs="仿宋"/>
          <w:bCs/>
          <w:color w:val="auto"/>
          <w:sz w:val="22"/>
          <w:szCs w:val="20"/>
          <w:highlight w:val="none"/>
        </w:rPr>
        <w:t>（格式）</w:t>
      </w:r>
    </w:p>
    <w:p w14:paraId="789E02A3">
      <w:pPr>
        <w:spacing w:line="560" w:lineRule="exact"/>
        <w:ind w:left="240" w:leftChars="100"/>
        <w:rPr>
          <w:rFonts w:hint="eastAsia" w:ascii="仿宋" w:hAnsi="仿宋" w:eastAsia="仿宋" w:cs="仿宋"/>
          <w:color w:val="auto"/>
          <w:szCs w:val="21"/>
          <w:highlight w:val="none"/>
        </w:rPr>
      </w:pPr>
    </w:p>
    <w:p w14:paraId="7032065F">
      <w:pPr>
        <w:spacing w:line="560" w:lineRule="exact"/>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致：</w:t>
      </w:r>
      <w:r>
        <w:rPr>
          <w:rFonts w:hint="eastAsia" w:ascii="仿宋" w:hAnsi="仿宋" w:eastAsia="仿宋" w:cs="仿宋"/>
          <w:b/>
          <w:color w:val="auto"/>
          <w:szCs w:val="24"/>
          <w:highlight w:val="none"/>
          <w:lang w:eastAsia="zh-CN"/>
        </w:rPr>
        <w:t>华招广和项目管理有限公司</w:t>
      </w:r>
    </w:p>
    <w:p w14:paraId="4321E3A8">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根据贵单位</w:t>
      </w:r>
      <w:r>
        <w:rPr>
          <w:rFonts w:hint="eastAsia" w:ascii="仿宋" w:hAnsi="仿宋" w:eastAsia="仿宋" w:cs="仿宋"/>
          <w:color w:val="auto"/>
          <w:szCs w:val="24"/>
          <w:highlight w:val="none"/>
          <w:u w:val="single"/>
        </w:rPr>
        <w:t xml:space="preserve">         （招标项目名称）    </w:t>
      </w:r>
      <w:r>
        <w:rPr>
          <w:rFonts w:hint="eastAsia" w:ascii="仿宋" w:hAnsi="仿宋" w:eastAsia="仿宋" w:cs="仿宋"/>
          <w:color w:val="auto"/>
          <w:szCs w:val="24"/>
          <w:highlight w:val="none"/>
        </w:rPr>
        <w:t>项目</w:t>
      </w:r>
      <w:r>
        <w:rPr>
          <w:rFonts w:hint="eastAsia" w:ascii="仿宋" w:hAnsi="仿宋" w:eastAsia="仿宋" w:cs="仿宋"/>
          <w:color w:val="auto"/>
          <w:szCs w:val="24"/>
          <w:highlight w:val="none"/>
          <w:u w:val="single"/>
        </w:rPr>
        <w:t>（项目编号）</w:t>
      </w:r>
      <w:r>
        <w:rPr>
          <w:rFonts w:hint="eastAsia" w:ascii="仿宋" w:hAnsi="仿宋" w:eastAsia="仿宋" w:cs="仿宋"/>
          <w:color w:val="auto"/>
          <w:szCs w:val="24"/>
          <w:highlight w:val="none"/>
        </w:rPr>
        <w:t>的招标公告，我方代表</w:t>
      </w:r>
      <w:r>
        <w:rPr>
          <w:rFonts w:hint="eastAsia" w:ascii="仿宋" w:hAnsi="仿宋" w:eastAsia="仿宋" w:cs="仿宋"/>
          <w:color w:val="auto"/>
          <w:szCs w:val="24"/>
          <w:highlight w:val="none"/>
          <w:u w:val="single"/>
        </w:rPr>
        <w:t xml:space="preserve">   （姓名、职务）   </w:t>
      </w:r>
      <w:r>
        <w:rPr>
          <w:rFonts w:hint="eastAsia" w:ascii="仿宋" w:hAnsi="仿宋" w:eastAsia="仿宋" w:cs="仿宋"/>
          <w:color w:val="auto"/>
          <w:szCs w:val="24"/>
          <w:highlight w:val="none"/>
        </w:rPr>
        <w:t>经正式授权并代表</w:t>
      </w:r>
      <w:r>
        <w:rPr>
          <w:rFonts w:hint="eastAsia" w:ascii="仿宋" w:hAnsi="仿宋" w:eastAsia="仿宋" w:cs="仿宋"/>
          <w:color w:val="auto"/>
          <w:szCs w:val="24"/>
          <w:highlight w:val="none"/>
          <w:u w:val="single"/>
        </w:rPr>
        <w:t xml:space="preserve">     （投标人名称）     </w:t>
      </w:r>
      <w:r>
        <w:rPr>
          <w:rFonts w:hint="eastAsia" w:ascii="仿宋" w:hAnsi="仿宋" w:eastAsia="仿宋" w:cs="仿宋"/>
          <w:color w:val="auto"/>
          <w:szCs w:val="24"/>
          <w:highlight w:val="none"/>
        </w:rPr>
        <w:t>就该项目进行投标。</w:t>
      </w:r>
    </w:p>
    <w:p w14:paraId="5C6351F5">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在此，我方郑重声明以下诸点，并负法律责任：</w:t>
      </w:r>
    </w:p>
    <w:p w14:paraId="084EA27F">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1、我方提交的投标文件正本一份，副本四份，电子文件一份，“开标一览表”一份。</w:t>
      </w:r>
    </w:p>
    <w:p w14:paraId="25E8D9D4">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2、我方所附投标报价表中应提交和交付的货物/服务投标总价为人民币：</w:t>
      </w:r>
      <w:r>
        <w:rPr>
          <w:rFonts w:hint="eastAsia" w:ascii="仿宋" w:hAnsi="仿宋" w:eastAsia="仿宋" w:cs="仿宋"/>
          <w:color w:val="auto"/>
          <w:szCs w:val="24"/>
          <w:highlight w:val="none"/>
          <w:u w:val="single"/>
        </w:rPr>
        <w:t>（同时用汉字大写和数字表示的投标总价）</w:t>
      </w:r>
      <w:r>
        <w:rPr>
          <w:rFonts w:hint="eastAsia" w:ascii="仿宋" w:hAnsi="仿宋" w:eastAsia="仿宋" w:cs="仿宋"/>
          <w:color w:val="auto"/>
          <w:szCs w:val="24"/>
          <w:highlight w:val="none"/>
        </w:rPr>
        <w:t>。该报价一次报死，不受市场因素的影响。</w:t>
      </w:r>
    </w:p>
    <w:p w14:paraId="41CB1360">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3、我方已详细审查全部招标文件，完全理解并同意放弃对这方面有不明及误解质疑的权力。</w:t>
      </w:r>
    </w:p>
    <w:p w14:paraId="7561C98A">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4、我方完全理解并同意招标文件中有关拒绝投标的条款。</w:t>
      </w:r>
    </w:p>
    <w:p w14:paraId="00198A0F">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5、我方同意按照要求提供投标有关的一切数据或资料。</w:t>
      </w:r>
    </w:p>
    <w:p w14:paraId="0E673FBA">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6、我方将按招标文件的规定履行合同责任和义务。</w:t>
      </w:r>
    </w:p>
    <w:p w14:paraId="546725EE">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7、我方完全理解最低报价不是中标的唯一条件，采购人有权选择质优价廉的货物/服务。</w:t>
      </w:r>
    </w:p>
    <w:p w14:paraId="04982B14">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8、我方同意按招标文件规定，遵守贵方有关招标的各项规定。</w:t>
      </w:r>
    </w:p>
    <w:p w14:paraId="2CB31326">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9、若我方中标，我方保证按有关规定向贵方支付招标服务费。</w:t>
      </w:r>
    </w:p>
    <w:p w14:paraId="72267A68">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10、投标有效期为自提交投标文件的截止之日起90个日历日。</w:t>
      </w:r>
    </w:p>
    <w:p w14:paraId="419EB70C">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11、所有关于本项目的函电，请按下列地址联系：</w:t>
      </w:r>
    </w:p>
    <w:p w14:paraId="79C01F7A">
      <w:pPr>
        <w:spacing w:line="560" w:lineRule="exact"/>
        <w:ind w:firstLine="480" w:firstLineChars="200"/>
        <w:rPr>
          <w:rFonts w:hint="eastAsia" w:ascii="仿宋" w:hAnsi="仿宋" w:eastAsia="仿宋" w:cs="仿宋"/>
          <w:color w:val="auto"/>
          <w:szCs w:val="24"/>
          <w:highlight w:val="none"/>
        </w:rPr>
      </w:pPr>
    </w:p>
    <w:p w14:paraId="6A827776">
      <w:pPr>
        <w:spacing w:line="560" w:lineRule="exact"/>
        <w:ind w:firstLine="480" w:firstLineChars="200"/>
        <w:rPr>
          <w:rFonts w:hint="eastAsia" w:ascii="仿宋" w:hAnsi="仿宋" w:eastAsia="仿宋" w:cs="仿宋"/>
          <w:color w:val="auto"/>
          <w:szCs w:val="24"/>
          <w:highlight w:val="none"/>
        </w:rPr>
      </w:pPr>
    </w:p>
    <w:p w14:paraId="79E90311">
      <w:pPr>
        <w:spacing w:line="560" w:lineRule="exact"/>
        <w:rPr>
          <w:rFonts w:hint="eastAsia" w:ascii="仿宋" w:hAnsi="仿宋" w:eastAsia="仿宋" w:cs="仿宋"/>
          <w:color w:val="auto"/>
          <w:szCs w:val="24"/>
          <w:highlight w:val="none"/>
        </w:rPr>
      </w:pPr>
    </w:p>
    <w:p w14:paraId="12DE6388">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投标人名称（公章）：</w:t>
      </w:r>
      <w:r>
        <w:rPr>
          <w:rFonts w:hint="eastAsia" w:ascii="仿宋" w:hAnsi="仿宋" w:eastAsia="仿宋" w:cs="仿宋"/>
          <w:color w:val="auto"/>
          <w:szCs w:val="24"/>
          <w:highlight w:val="none"/>
          <w:u w:val="single"/>
        </w:rPr>
        <w:t xml:space="preserve">                                </w:t>
      </w:r>
    </w:p>
    <w:p w14:paraId="0375A8F3">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详 细 地 址：</w:t>
      </w:r>
      <w:r>
        <w:rPr>
          <w:rFonts w:hint="eastAsia" w:ascii="仿宋" w:hAnsi="仿宋" w:eastAsia="仿宋" w:cs="仿宋"/>
          <w:color w:val="auto"/>
          <w:szCs w:val="24"/>
          <w:highlight w:val="none"/>
          <w:u w:val="single"/>
        </w:rPr>
        <w:t xml:space="preserve">                                      </w:t>
      </w:r>
    </w:p>
    <w:p w14:paraId="038FD8C7">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邮 政 编 码：</w:t>
      </w:r>
      <w:r>
        <w:rPr>
          <w:rFonts w:hint="eastAsia" w:ascii="仿宋" w:hAnsi="仿宋" w:eastAsia="仿宋" w:cs="仿宋"/>
          <w:color w:val="auto"/>
          <w:szCs w:val="24"/>
          <w:highlight w:val="none"/>
          <w:u w:val="single"/>
        </w:rPr>
        <w:t xml:space="preserve">                   </w:t>
      </w:r>
    </w:p>
    <w:p w14:paraId="48C081FA">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电       话：</w:t>
      </w:r>
      <w:r>
        <w:rPr>
          <w:rFonts w:hint="eastAsia" w:ascii="仿宋" w:hAnsi="仿宋" w:eastAsia="仿宋" w:cs="仿宋"/>
          <w:color w:val="auto"/>
          <w:szCs w:val="24"/>
          <w:highlight w:val="none"/>
          <w:u w:val="single"/>
          <w:lang w:val="zh-CN"/>
        </w:rPr>
        <w:t xml:space="preserve">                   </w:t>
      </w:r>
    </w:p>
    <w:p w14:paraId="7A067E67">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传       真：</w:t>
      </w:r>
      <w:r>
        <w:rPr>
          <w:rFonts w:hint="eastAsia" w:ascii="仿宋" w:hAnsi="仿宋" w:eastAsia="仿宋" w:cs="仿宋"/>
          <w:color w:val="auto"/>
          <w:szCs w:val="24"/>
          <w:highlight w:val="none"/>
          <w:u w:val="single"/>
          <w:lang w:val="zh-CN"/>
        </w:rPr>
        <w:t xml:space="preserve">                   </w:t>
      </w:r>
    </w:p>
    <w:p w14:paraId="75F84BF5">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电 子 邮 件：</w:t>
      </w:r>
      <w:r>
        <w:rPr>
          <w:rFonts w:hint="eastAsia" w:ascii="仿宋" w:hAnsi="仿宋" w:eastAsia="仿宋" w:cs="仿宋"/>
          <w:color w:val="auto"/>
          <w:szCs w:val="24"/>
          <w:highlight w:val="none"/>
          <w:u w:val="single"/>
        </w:rPr>
        <w:t xml:space="preserve">                   </w:t>
      </w:r>
    </w:p>
    <w:p w14:paraId="0BBD4CBD">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开 户 银 行：</w:t>
      </w:r>
      <w:r>
        <w:rPr>
          <w:rFonts w:hint="eastAsia" w:ascii="仿宋" w:hAnsi="仿宋" w:eastAsia="仿宋" w:cs="仿宋"/>
          <w:color w:val="auto"/>
          <w:szCs w:val="24"/>
          <w:highlight w:val="none"/>
          <w:u w:val="single"/>
          <w:lang w:val="zh-CN"/>
        </w:rPr>
        <w:t xml:space="preserve">                   </w:t>
      </w:r>
    </w:p>
    <w:p w14:paraId="6689879A">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帐       号：</w:t>
      </w:r>
      <w:r>
        <w:rPr>
          <w:rFonts w:hint="eastAsia" w:ascii="仿宋" w:hAnsi="仿宋" w:eastAsia="仿宋" w:cs="仿宋"/>
          <w:color w:val="auto"/>
          <w:szCs w:val="24"/>
          <w:highlight w:val="none"/>
          <w:u w:val="single"/>
          <w:lang w:val="zh-CN"/>
        </w:rPr>
        <w:t xml:space="preserve">                   </w:t>
      </w:r>
    </w:p>
    <w:p w14:paraId="604114D0">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w:t>
      </w:r>
    </w:p>
    <w:p w14:paraId="79D2B155">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5E2ABAED">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57D5CFC4">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2F929598">
      <w:pPr>
        <w:autoSpaceDE w:val="0"/>
        <w:autoSpaceDN w:val="0"/>
        <w:adjustRightInd w:val="0"/>
        <w:spacing w:line="560" w:lineRule="exact"/>
        <w:rPr>
          <w:rFonts w:hint="eastAsia" w:ascii="仿宋" w:hAnsi="仿宋" w:eastAsia="仿宋" w:cs="仿宋"/>
          <w:color w:val="auto"/>
          <w:szCs w:val="24"/>
          <w:highlight w:val="none"/>
          <w:lang w:val="zh-CN"/>
        </w:rPr>
      </w:pPr>
    </w:p>
    <w:p w14:paraId="394B85F5">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1100F626">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3634E17B">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43E6F800">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1F06C86C">
      <w:pPr>
        <w:autoSpaceDE w:val="0"/>
        <w:autoSpaceDN w:val="0"/>
        <w:adjustRightInd w:val="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u w:val="single"/>
        </w:rPr>
        <w:t xml:space="preserve">               </w:t>
      </w:r>
    </w:p>
    <w:p w14:paraId="71FCBF28">
      <w:pPr>
        <w:autoSpaceDE w:val="0"/>
        <w:autoSpaceDN w:val="0"/>
        <w:adjustRightInd w:val="0"/>
        <w:spacing w:line="560" w:lineRule="exact"/>
        <w:ind w:left="240" w:leftChars="100" w:firstLine="3960" w:firstLineChars="1650"/>
        <w:rPr>
          <w:rFonts w:hint="eastAsia" w:ascii="仿宋" w:hAnsi="仿宋" w:eastAsia="仿宋" w:cs="仿宋"/>
          <w:color w:val="auto"/>
          <w:szCs w:val="24"/>
          <w:highlight w:val="none"/>
          <w:u w:val="single"/>
          <w:lang w:val="zh-CN"/>
        </w:rPr>
      </w:pPr>
      <w:r>
        <w:rPr>
          <w:rFonts w:hint="eastAsia" w:ascii="仿宋" w:hAnsi="仿宋" w:eastAsia="仿宋" w:cs="仿宋"/>
          <w:color w:val="auto"/>
          <w:szCs w:val="24"/>
          <w:highlight w:val="none"/>
          <w:lang w:val="zh-CN"/>
        </w:rPr>
        <w:t>联系电话/手机：</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rPr>
        <w:t xml:space="preserve">  </w:t>
      </w:r>
    </w:p>
    <w:p w14:paraId="24E6A6C1">
      <w:pPr>
        <w:spacing w:line="560" w:lineRule="exact"/>
        <w:ind w:left="240" w:leftChars="100"/>
        <w:jc w:val="center"/>
        <w:rPr>
          <w:rFonts w:hint="eastAsia" w:ascii="仿宋" w:hAnsi="仿宋" w:eastAsia="仿宋" w:cs="仿宋"/>
          <w:color w:val="auto"/>
          <w:szCs w:val="24"/>
          <w:highlight w:val="none"/>
        </w:rPr>
        <w:sectPr>
          <w:footerReference r:id="rId20" w:type="firs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日</w:t>
      </w:r>
    </w:p>
    <w:bookmarkEnd w:id="144"/>
    <w:bookmarkEnd w:id="145"/>
    <w:bookmarkEnd w:id="146"/>
    <w:bookmarkEnd w:id="147"/>
    <w:p w14:paraId="01489FD2">
      <w:pPr>
        <w:pStyle w:val="37"/>
        <w:spacing w:line="560" w:lineRule="exact"/>
        <w:ind w:firstLine="0" w:firstLineChars="0"/>
        <w:rPr>
          <w:rFonts w:hint="eastAsia" w:ascii="仿宋" w:hAnsi="仿宋" w:eastAsia="仿宋" w:cs="仿宋"/>
          <w:bCs/>
          <w:color w:val="auto"/>
          <w:sz w:val="24"/>
          <w:szCs w:val="21"/>
          <w:highlight w:val="none"/>
        </w:rPr>
      </w:pPr>
      <w:bookmarkStart w:id="148" w:name="_Toc5497"/>
      <w:bookmarkStart w:id="149" w:name="_Toc458617472"/>
      <w:bookmarkStart w:id="150" w:name="_Toc6986"/>
      <w:bookmarkStart w:id="151" w:name="_Toc188808840"/>
      <w:bookmarkStart w:id="152" w:name="_Toc193126889"/>
      <w:bookmarkStart w:id="153" w:name="_Toc194663926"/>
      <w:bookmarkStart w:id="154" w:name="_Toc193187105"/>
      <w:r>
        <w:rPr>
          <w:rFonts w:hint="eastAsia" w:ascii="仿宋" w:hAnsi="仿宋" w:eastAsia="仿宋" w:cs="仿宋"/>
          <w:b/>
          <w:color w:val="auto"/>
          <w:highlight w:val="none"/>
        </w:rPr>
        <w:t>2.开标一览表</w:t>
      </w:r>
      <w:bookmarkEnd w:id="148"/>
      <w:bookmarkEnd w:id="149"/>
      <w:bookmarkEnd w:id="150"/>
      <w:r>
        <w:rPr>
          <w:rFonts w:hint="eastAsia" w:ascii="仿宋" w:hAnsi="仿宋" w:eastAsia="仿宋" w:cs="仿宋"/>
          <w:bCs/>
          <w:color w:val="auto"/>
          <w:sz w:val="24"/>
          <w:szCs w:val="21"/>
          <w:highlight w:val="none"/>
        </w:rPr>
        <w:t>（格式）</w:t>
      </w:r>
    </w:p>
    <w:p w14:paraId="54B6613D">
      <w:pPr>
        <w:spacing w:line="560" w:lineRule="exact"/>
        <w:ind w:left="240" w:leftChars="100"/>
        <w:jc w:val="center"/>
        <w:rPr>
          <w:rFonts w:hint="eastAsia" w:ascii="仿宋" w:hAnsi="仿宋" w:eastAsia="仿宋" w:cs="仿宋"/>
          <w:b/>
          <w:bCs/>
          <w:color w:val="auto"/>
          <w:sz w:val="36"/>
          <w:szCs w:val="21"/>
          <w:highlight w:val="none"/>
        </w:rPr>
      </w:pPr>
    </w:p>
    <w:p w14:paraId="481716FE">
      <w:pPr>
        <w:spacing w:line="560" w:lineRule="exact"/>
        <w:rPr>
          <w:rFonts w:hint="eastAsia" w:ascii="仿宋" w:hAnsi="仿宋" w:eastAsia="仿宋" w:cs="仿宋"/>
          <w:b/>
          <w:bCs/>
          <w:color w:val="auto"/>
          <w:sz w:val="36"/>
          <w:szCs w:val="21"/>
          <w:highlight w:val="none"/>
        </w:rPr>
      </w:pPr>
    </w:p>
    <w:p w14:paraId="5A6EA7B6">
      <w:pPr>
        <w:spacing w:line="560" w:lineRule="exact"/>
        <w:ind w:firstLine="120" w:firstLineChars="50"/>
        <w:rPr>
          <w:rFonts w:hint="eastAsia" w:ascii="仿宋" w:hAnsi="仿宋" w:eastAsia="仿宋" w:cs="仿宋"/>
          <w:bCs/>
          <w:color w:val="auto"/>
          <w:kern w:val="0"/>
          <w:szCs w:val="24"/>
          <w:highlight w:val="none"/>
          <w:u w:val="single"/>
        </w:rPr>
      </w:pPr>
      <w:r>
        <w:rPr>
          <w:rFonts w:hint="eastAsia" w:ascii="仿宋" w:hAnsi="仿宋" w:eastAsia="仿宋" w:cs="仿宋"/>
          <w:bCs/>
          <w:color w:val="auto"/>
          <w:kern w:val="0"/>
          <w:szCs w:val="24"/>
          <w:highlight w:val="none"/>
        </w:rPr>
        <w:t>投标人名称：</w:t>
      </w:r>
      <w:r>
        <w:rPr>
          <w:rFonts w:hint="eastAsia" w:ascii="仿宋" w:hAnsi="仿宋" w:eastAsia="仿宋" w:cs="仿宋"/>
          <w:bCs/>
          <w:color w:val="auto"/>
          <w:kern w:val="0"/>
          <w:szCs w:val="24"/>
          <w:highlight w:val="none"/>
          <w:u w:val="single"/>
        </w:rPr>
        <w:t xml:space="preserve">                    </w:t>
      </w:r>
      <w:r>
        <w:rPr>
          <w:rFonts w:hint="eastAsia" w:ascii="仿宋" w:hAnsi="仿宋" w:eastAsia="仿宋" w:cs="仿宋"/>
          <w:bCs/>
          <w:color w:val="auto"/>
          <w:kern w:val="0"/>
          <w:szCs w:val="24"/>
          <w:highlight w:val="none"/>
        </w:rPr>
        <w:t xml:space="preserve">                                                   </w:t>
      </w:r>
    </w:p>
    <w:tbl>
      <w:tblPr>
        <w:tblStyle w:val="23"/>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5"/>
        <w:gridCol w:w="4401"/>
        <w:gridCol w:w="3969"/>
        <w:gridCol w:w="3412"/>
      </w:tblGrid>
      <w:tr w14:paraId="4BCF0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85" w:type="dxa"/>
            <w:vAlign w:val="center"/>
          </w:tcPr>
          <w:p w14:paraId="660804DF">
            <w:pPr>
              <w:spacing w:line="560" w:lineRule="exact"/>
              <w:ind w:right="163" w:rightChars="68" w:firstLine="118" w:firstLineChars="4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项目编号</w:t>
            </w:r>
          </w:p>
        </w:tc>
        <w:tc>
          <w:tcPr>
            <w:tcW w:w="4401" w:type="dxa"/>
            <w:vAlign w:val="center"/>
          </w:tcPr>
          <w:p w14:paraId="07D49C3C">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投标总价</w:t>
            </w:r>
          </w:p>
          <w:p w14:paraId="718067F3">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3969" w:type="dxa"/>
            <w:tcMar>
              <w:top w:w="57" w:type="dxa"/>
              <w:left w:w="28" w:type="dxa"/>
              <w:bottom w:w="57" w:type="dxa"/>
              <w:right w:w="28" w:type="dxa"/>
            </w:tcMar>
            <w:vAlign w:val="center"/>
          </w:tcPr>
          <w:p w14:paraId="015D4706">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r>
              <w:rPr>
                <w:rFonts w:hint="eastAsia" w:ascii="仿宋" w:hAnsi="仿宋" w:eastAsia="仿宋" w:cs="仿宋"/>
                <w:b/>
                <w:color w:val="auto"/>
                <w:szCs w:val="24"/>
                <w:highlight w:val="none"/>
                <w:lang w:val="en-US" w:eastAsia="zh-CN"/>
              </w:rPr>
              <w:t>日历日</w:t>
            </w:r>
            <w:r>
              <w:rPr>
                <w:rFonts w:hint="eastAsia" w:ascii="仿宋" w:hAnsi="仿宋" w:eastAsia="仿宋" w:cs="仿宋"/>
                <w:b/>
                <w:color w:val="auto"/>
                <w:szCs w:val="24"/>
                <w:highlight w:val="none"/>
              </w:rPr>
              <w:t>）</w:t>
            </w:r>
          </w:p>
        </w:tc>
        <w:tc>
          <w:tcPr>
            <w:tcW w:w="3412" w:type="dxa"/>
            <w:tcMar>
              <w:top w:w="57" w:type="dxa"/>
              <w:left w:w="28" w:type="dxa"/>
              <w:bottom w:w="57" w:type="dxa"/>
              <w:right w:w="28" w:type="dxa"/>
            </w:tcMar>
            <w:vAlign w:val="center"/>
          </w:tcPr>
          <w:p w14:paraId="664DB379">
            <w:pPr>
              <w:spacing w:line="560" w:lineRule="exact"/>
              <w:ind w:left="240" w:leftChars="10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质保期</w:t>
            </w:r>
          </w:p>
        </w:tc>
      </w:tr>
      <w:tr w14:paraId="136DED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85" w:type="dxa"/>
            <w:vMerge w:val="restart"/>
            <w:vAlign w:val="center"/>
          </w:tcPr>
          <w:p w14:paraId="738E39B3">
            <w:pPr>
              <w:spacing w:line="560" w:lineRule="exact"/>
              <w:ind w:left="240" w:leftChars="100"/>
              <w:jc w:val="center"/>
              <w:rPr>
                <w:rFonts w:hint="eastAsia" w:ascii="仿宋" w:hAnsi="仿宋" w:eastAsia="仿宋" w:cs="仿宋"/>
                <w:color w:val="auto"/>
                <w:szCs w:val="24"/>
                <w:highlight w:val="none"/>
              </w:rPr>
            </w:pPr>
          </w:p>
        </w:tc>
        <w:tc>
          <w:tcPr>
            <w:tcW w:w="4401" w:type="dxa"/>
            <w:vAlign w:val="center"/>
          </w:tcPr>
          <w:p w14:paraId="185E67F9">
            <w:pPr>
              <w:spacing w:line="560" w:lineRule="exact"/>
              <w:ind w:left="240" w:leftChars="100"/>
              <w:jc w:val="center"/>
              <w:rPr>
                <w:rFonts w:hint="eastAsia" w:ascii="仿宋" w:hAnsi="仿宋" w:eastAsia="仿宋" w:cs="仿宋"/>
                <w:color w:val="auto"/>
                <w:szCs w:val="24"/>
                <w:highlight w:val="none"/>
              </w:rPr>
            </w:pPr>
          </w:p>
        </w:tc>
        <w:tc>
          <w:tcPr>
            <w:tcW w:w="3969" w:type="dxa"/>
            <w:tcMar>
              <w:top w:w="57" w:type="dxa"/>
              <w:left w:w="28" w:type="dxa"/>
              <w:bottom w:w="57" w:type="dxa"/>
              <w:right w:w="28" w:type="dxa"/>
            </w:tcMar>
            <w:vAlign w:val="center"/>
          </w:tcPr>
          <w:p w14:paraId="61EC999E">
            <w:pPr>
              <w:spacing w:line="560" w:lineRule="exact"/>
              <w:ind w:left="240" w:leftChars="100"/>
              <w:jc w:val="center"/>
              <w:rPr>
                <w:rFonts w:hint="eastAsia" w:ascii="仿宋" w:hAnsi="仿宋" w:eastAsia="仿宋" w:cs="仿宋"/>
                <w:color w:val="auto"/>
                <w:szCs w:val="24"/>
                <w:highlight w:val="none"/>
              </w:rPr>
            </w:pPr>
          </w:p>
        </w:tc>
        <w:tc>
          <w:tcPr>
            <w:tcW w:w="3412" w:type="dxa"/>
            <w:tcMar>
              <w:top w:w="57" w:type="dxa"/>
              <w:left w:w="28" w:type="dxa"/>
              <w:bottom w:w="57" w:type="dxa"/>
              <w:right w:w="28" w:type="dxa"/>
            </w:tcMar>
            <w:vAlign w:val="center"/>
          </w:tcPr>
          <w:p w14:paraId="6900F839">
            <w:pPr>
              <w:spacing w:line="560" w:lineRule="exact"/>
              <w:ind w:left="240" w:leftChars="100"/>
              <w:jc w:val="center"/>
              <w:rPr>
                <w:rFonts w:hint="eastAsia" w:ascii="仿宋" w:hAnsi="仿宋" w:eastAsia="仿宋" w:cs="仿宋"/>
                <w:color w:val="auto"/>
                <w:szCs w:val="24"/>
                <w:highlight w:val="none"/>
              </w:rPr>
            </w:pPr>
          </w:p>
        </w:tc>
      </w:tr>
      <w:tr w14:paraId="307445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85" w:type="dxa"/>
            <w:vMerge w:val="continue"/>
            <w:tcMar>
              <w:top w:w="57" w:type="dxa"/>
              <w:left w:w="28" w:type="dxa"/>
              <w:bottom w:w="57" w:type="dxa"/>
              <w:right w:w="28" w:type="dxa"/>
            </w:tcMar>
            <w:vAlign w:val="center"/>
          </w:tcPr>
          <w:p w14:paraId="3192F706">
            <w:pPr>
              <w:spacing w:line="560" w:lineRule="exact"/>
              <w:ind w:left="240" w:leftChars="100"/>
              <w:rPr>
                <w:rFonts w:hint="eastAsia" w:ascii="仿宋" w:hAnsi="仿宋" w:eastAsia="仿宋" w:cs="仿宋"/>
                <w:color w:val="auto"/>
                <w:szCs w:val="24"/>
                <w:highlight w:val="none"/>
              </w:rPr>
            </w:pPr>
          </w:p>
        </w:tc>
        <w:tc>
          <w:tcPr>
            <w:tcW w:w="11782" w:type="dxa"/>
            <w:gridSpan w:val="3"/>
            <w:tcBorders>
              <w:top w:val="single" w:color="auto" w:sz="4" w:space="0"/>
            </w:tcBorders>
            <w:vAlign w:val="center"/>
          </w:tcPr>
          <w:p w14:paraId="571CE353">
            <w:pPr>
              <w:spacing w:line="560" w:lineRule="exact"/>
              <w:ind w:left="240" w:left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（大写）                                </w:t>
            </w:r>
          </w:p>
        </w:tc>
      </w:tr>
    </w:tbl>
    <w:p w14:paraId="70857A3F">
      <w:pPr>
        <w:spacing w:line="560" w:lineRule="exact"/>
        <w:ind w:left="240" w:leftChars="100" w:firstLine="480" w:firstLineChars="200"/>
        <w:rPr>
          <w:rFonts w:hint="eastAsia" w:ascii="仿宋" w:hAnsi="仿宋" w:eastAsia="仿宋" w:cs="仿宋"/>
          <w:color w:val="auto"/>
          <w:szCs w:val="24"/>
          <w:highlight w:val="none"/>
        </w:rPr>
      </w:pPr>
    </w:p>
    <w:p w14:paraId="5C166FC9">
      <w:pPr>
        <w:spacing w:line="560" w:lineRule="exact"/>
        <w:rPr>
          <w:rFonts w:hint="eastAsia" w:ascii="仿宋" w:hAnsi="仿宋" w:eastAsia="仿宋" w:cs="仿宋"/>
          <w:color w:val="auto"/>
          <w:szCs w:val="24"/>
          <w:highlight w:val="none"/>
        </w:rPr>
      </w:pPr>
    </w:p>
    <w:p w14:paraId="2C0FDC96">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644215FB">
      <w:pPr>
        <w:rPr>
          <w:rFonts w:hint="eastAsia" w:ascii="仿宋" w:hAnsi="仿宋" w:eastAsia="仿宋" w:cs="仿宋"/>
          <w:b/>
          <w:color w:val="auto"/>
          <w:highlight w:val="none"/>
        </w:rPr>
      </w:pPr>
      <w:bookmarkStart w:id="155" w:name="_Toc10249"/>
      <w:bookmarkStart w:id="156" w:name="_Toc458617473"/>
      <w:bookmarkStart w:id="157" w:name="_Toc9029"/>
      <w:bookmarkStart w:id="158" w:name="_Toc193187101"/>
      <w:bookmarkStart w:id="159" w:name="_Toc175033596"/>
      <w:bookmarkStart w:id="160" w:name="_Toc170980457"/>
      <w:bookmarkStart w:id="161" w:name="_Toc193126885"/>
      <w:bookmarkStart w:id="162" w:name="_Toc167591148"/>
      <w:bookmarkStart w:id="163" w:name="_Toc194663922"/>
      <w:bookmarkStart w:id="164" w:name="_Toc167591496"/>
      <w:bookmarkStart w:id="165" w:name="_Toc167590779"/>
      <w:bookmarkStart w:id="166" w:name="_Toc167591047"/>
      <w:bookmarkStart w:id="167" w:name="_Toc154482483"/>
      <w:bookmarkStart w:id="168" w:name="_Toc170980556"/>
      <w:bookmarkStart w:id="169" w:name="_Toc173549982"/>
      <w:bookmarkStart w:id="170" w:name="_Toc175032441"/>
      <w:bookmarkStart w:id="171" w:name="_Toc167849364"/>
      <w:bookmarkStart w:id="172" w:name="_Toc169846877"/>
      <w:bookmarkStart w:id="173" w:name="_Toc188808836"/>
      <w:bookmarkStart w:id="174" w:name="_Toc167591334"/>
      <w:bookmarkStart w:id="175" w:name="_Toc169838536"/>
      <w:bookmarkStart w:id="176" w:name="_Toc169846780"/>
      <w:r>
        <w:rPr>
          <w:rFonts w:hint="eastAsia" w:ascii="仿宋" w:hAnsi="仿宋" w:eastAsia="仿宋" w:cs="仿宋"/>
          <w:b/>
          <w:color w:val="auto"/>
          <w:highlight w:val="none"/>
        </w:rPr>
        <w:br w:type="page"/>
      </w:r>
    </w:p>
    <w:p w14:paraId="3E71AF19">
      <w:pPr>
        <w:pStyle w:val="37"/>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3.投标分项报价表</w:t>
      </w:r>
      <w:bookmarkEnd w:id="155"/>
      <w:bookmarkEnd w:id="156"/>
      <w:bookmarkEnd w:id="157"/>
      <w:r>
        <w:rPr>
          <w:rFonts w:hint="eastAsia" w:ascii="仿宋" w:hAnsi="仿宋" w:eastAsia="仿宋" w:cs="仿宋"/>
          <w:bCs/>
          <w:color w:val="auto"/>
          <w:sz w:val="24"/>
          <w:szCs w:val="21"/>
          <w:highlight w:val="none"/>
        </w:rPr>
        <w:t>（格式）</w:t>
      </w:r>
    </w:p>
    <w:p w14:paraId="1104A0DD">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tbl>
      <w:tblPr>
        <w:tblStyle w:val="23"/>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713"/>
        <w:gridCol w:w="1385"/>
        <w:gridCol w:w="1719"/>
        <w:gridCol w:w="943"/>
        <w:gridCol w:w="851"/>
        <w:gridCol w:w="1720"/>
        <w:gridCol w:w="1750"/>
        <w:gridCol w:w="1522"/>
      </w:tblGrid>
      <w:tr w14:paraId="14F6B5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1" w:type="dxa"/>
            <w:vAlign w:val="center"/>
          </w:tcPr>
          <w:p w14:paraId="0BBA37F5">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319" w:type="dxa"/>
            <w:vAlign w:val="center"/>
          </w:tcPr>
          <w:p w14:paraId="41911C52">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13" w:type="dxa"/>
            <w:vAlign w:val="center"/>
          </w:tcPr>
          <w:p w14:paraId="22C856CE">
            <w:pPr>
              <w:spacing w:line="560" w:lineRule="exact"/>
              <w:ind w:firstLine="116" w:firstLineChars="48"/>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385" w:type="dxa"/>
            <w:vAlign w:val="center"/>
          </w:tcPr>
          <w:p w14:paraId="58BC5077">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719" w:type="dxa"/>
            <w:vAlign w:val="center"/>
          </w:tcPr>
          <w:p w14:paraId="6CC6D9D0">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43" w:type="dxa"/>
            <w:tcBorders>
              <w:top w:val="single" w:color="auto" w:sz="4" w:space="0"/>
            </w:tcBorders>
            <w:vAlign w:val="center"/>
          </w:tcPr>
          <w:p w14:paraId="54E58967">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851" w:type="dxa"/>
            <w:tcBorders>
              <w:top w:val="single" w:color="auto" w:sz="4" w:space="0"/>
            </w:tcBorders>
            <w:vAlign w:val="center"/>
          </w:tcPr>
          <w:p w14:paraId="6C5E3167">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20" w:type="dxa"/>
            <w:tcMar>
              <w:top w:w="28" w:type="dxa"/>
              <w:left w:w="57" w:type="dxa"/>
              <w:bottom w:w="28" w:type="dxa"/>
              <w:right w:w="57" w:type="dxa"/>
            </w:tcMar>
            <w:vAlign w:val="center"/>
          </w:tcPr>
          <w:p w14:paraId="5C2FD5E6">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66E36960">
            <w:pPr>
              <w:spacing w:line="560" w:lineRule="exact"/>
              <w:ind w:left="53" w:leftChars="2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50" w:type="dxa"/>
            <w:tcMar>
              <w:top w:w="28" w:type="dxa"/>
              <w:left w:w="57" w:type="dxa"/>
              <w:bottom w:w="28" w:type="dxa"/>
              <w:right w:w="57" w:type="dxa"/>
            </w:tcMar>
            <w:vAlign w:val="center"/>
          </w:tcPr>
          <w:p w14:paraId="7AB3F8B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14A46020">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522" w:type="dxa"/>
            <w:tcMar>
              <w:top w:w="28" w:type="dxa"/>
              <w:left w:w="57" w:type="dxa"/>
              <w:bottom w:w="28" w:type="dxa"/>
              <w:right w:w="57" w:type="dxa"/>
            </w:tcMar>
            <w:vAlign w:val="center"/>
          </w:tcPr>
          <w:p w14:paraId="1C7888B8">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备注</w:t>
            </w:r>
          </w:p>
        </w:tc>
      </w:tr>
      <w:tr w14:paraId="2423A4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71" w:type="dxa"/>
            <w:tcBorders>
              <w:bottom w:val="single" w:color="auto" w:sz="4" w:space="0"/>
            </w:tcBorders>
            <w:tcMar>
              <w:left w:w="57" w:type="dxa"/>
              <w:right w:w="57" w:type="dxa"/>
            </w:tcMar>
            <w:vAlign w:val="center"/>
          </w:tcPr>
          <w:p w14:paraId="368A7916">
            <w:pPr>
              <w:spacing w:line="560" w:lineRule="exact"/>
              <w:ind w:left="240" w:leftChars="100"/>
              <w:jc w:val="center"/>
              <w:rPr>
                <w:rFonts w:hint="eastAsia" w:ascii="仿宋" w:hAnsi="仿宋" w:eastAsia="仿宋" w:cs="仿宋"/>
                <w:color w:val="auto"/>
                <w:szCs w:val="24"/>
                <w:highlight w:val="none"/>
              </w:rPr>
            </w:pPr>
          </w:p>
        </w:tc>
        <w:tc>
          <w:tcPr>
            <w:tcW w:w="2319" w:type="dxa"/>
            <w:tcBorders>
              <w:bottom w:val="single" w:color="auto" w:sz="4" w:space="0"/>
            </w:tcBorders>
            <w:tcMar>
              <w:left w:w="57" w:type="dxa"/>
              <w:right w:w="57" w:type="dxa"/>
            </w:tcMar>
            <w:vAlign w:val="center"/>
          </w:tcPr>
          <w:p w14:paraId="15225BE1">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4E1473AF">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36F16F7D">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0EF27484">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31CC6034">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0412379E">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694E3DB3">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4CA1EA2C">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4D54D900">
            <w:pPr>
              <w:spacing w:line="560" w:lineRule="exact"/>
              <w:ind w:left="240" w:leftChars="100"/>
              <w:rPr>
                <w:rFonts w:hint="eastAsia" w:ascii="仿宋" w:hAnsi="仿宋" w:eastAsia="仿宋" w:cs="仿宋"/>
                <w:color w:val="auto"/>
                <w:szCs w:val="24"/>
                <w:highlight w:val="none"/>
              </w:rPr>
            </w:pPr>
          </w:p>
        </w:tc>
      </w:tr>
      <w:tr w14:paraId="0610AC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1" w:type="dxa"/>
            <w:tcBorders>
              <w:bottom w:val="single" w:color="auto" w:sz="4" w:space="0"/>
            </w:tcBorders>
            <w:tcMar>
              <w:left w:w="57" w:type="dxa"/>
              <w:right w:w="57" w:type="dxa"/>
            </w:tcMar>
            <w:vAlign w:val="center"/>
          </w:tcPr>
          <w:p w14:paraId="38358639">
            <w:pPr>
              <w:spacing w:line="560" w:lineRule="exact"/>
              <w:ind w:left="240" w:leftChars="100"/>
              <w:jc w:val="center"/>
              <w:rPr>
                <w:rFonts w:hint="eastAsia" w:ascii="仿宋" w:hAnsi="仿宋" w:eastAsia="仿宋" w:cs="仿宋"/>
                <w:color w:val="auto"/>
                <w:szCs w:val="24"/>
                <w:highlight w:val="none"/>
              </w:rPr>
            </w:pPr>
          </w:p>
        </w:tc>
        <w:tc>
          <w:tcPr>
            <w:tcW w:w="2319" w:type="dxa"/>
            <w:tcBorders>
              <w:bottom w:val="single" w:color="auto" w:sz="4" w:space="0"/>
            </w:tcBorders>
            <w:tcMar>
              <w:left w:w="57" w:type="dxa"/>
              <w:right w:w="57" w:type="dxa"/>
            </w:tcMar>
            <w:vAlign w:val="center"/>
          </w:tcPr>
          <w:p w14:paraId="65FADE76">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051A0037">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44F03AAF">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6A4CB2FE">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30473DD1">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54F2BBC3">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2B40C449">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1D469FCC">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5DFA8B10">
            <w:pPr>
              <w:spacing w:line="560" w:lineRule="exact"/>
              <w:ind w:left="240" w:leftChars="100"/>
              <w:rPr>
                <w:rFonts w:hint="eastAsia" w:ascii="仿宋" w:hAnsi="仿宋" w:eastAsia="仿宋" w:cs="仿宋"/>
                <w:color w:val="auto"/>
                <w:szCs w:val="24"/>
                <w:highlight w:val="none"/>
              </w:rPr>
            </w:pPr>
          </w:p>
        </w:tc>
      </w:tr>
      <w:tr w14:paraId="6C8ED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5FC9F1B4">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1EE8BFE8">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71B51C72">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0E1294AD">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07D34F9B">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6EB81665">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01B9BFD7">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4EC171C0">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5784001D">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08B64C77">
            <w:pPr>
              <w:spacing w:line="560" w:lineRule="exact"/>
              <w:ind w:left="240" w:leftChars="100"/>
              <w:rPr>
                <w:rFonts w:hint="eastAsia" w:ascii="仿宋" w:hAnsi="仿宋" w:eastAsia="仿宋" w:cs="仿宋"/>
                <w:color w:val="auto"/>
                <w:szCs w:val="24"/>
                <w:highlight w:val="none"/>
              </w:rPr>
            </w:pPr>
          </w:p>
        </w:tc>
      </w:tr>
      <w:tr w14:paraId="79F0D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7440B879">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1DAF31D3">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39ACFEAE">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50AA41FF">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6636DBE2">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6374FBC4">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6C9B3E42">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00CAD3C7">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6369DE69">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75FD4537">
            <w:pPr>
              <w:spacing w:line="560" w:lineRule="exact"/>
              <w:ind w:left="240" w:leftChars="100"/>
              <w:rPr>
                <w:rFonts w:hint="eastAsia" w:ascii="仿宋" w:hAnsi="仿宋" w:eastAsia="仿宋" w:cs="仿宋"/>
                <w:color w:val="auto"/>
                <w:szCs w:val="24"/>
                <w:highlight w:val="none"/>
              </w:rPr>
            </w:pPr>
          </w:p>
        </w:tc>
      </w:tr>
      <w:tr w14:paraId="16D7F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7C3E5CD5">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52C9ADF9">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409319DB">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78C6D948">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6274586A">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42C10786">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tcBorders>
            <w:tcMar>
              <w:left w:w="57" w:type="dxa"/>
              <w:right w:w="57" w:type="dxa"/>
            </w:tcMar>
            <w:vAlign w:val="center"/>
          </w:tcPr>
          <w:p w14:paraId="0DBFC9F6">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69AA7793">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30207DF1">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225BFB35">
            <w:pPr>
              <w:spacing w:line="560" w:lineRule="exact"/>
              <w:ind w:left="240" w:leftChars="100"/>
              <w:rPr>
                <w:rFonts w:hint="eastAsia" w:ascii="仿宋" w:hAnsi="仿宋" w:eastAsia="仿宋" w:cs="仿宋"/>
                <w:color w:val="auto"/>
                <w:szCs w:val="24"/>
                <w:highlight w:val="none"/>
              </w:rPr>
            </w:pPr>
          </w:p>
        </w:tc>
      </w:tr>
      <w:tr w14:paraId="2CA954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0A4413CC">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306A30C3">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650BD59D">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17FA2885">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26EF7453">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350BF80B">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38C248D8">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47A7C7F8">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56CD1CEF">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33776148">
            <w:pPr>
              <w:spacing w:line="560" w:lineRule="exact"/>
              <w:ind w:left="240" w:leftChars="100"/>
              <w:rPr>
                <w:rFonts w:hint="eastAsia" w:ascii="仿宋" w:hAnsi="仿宋" w:eastAsia="仿宋" w:cs="仿宋"/>
                <w:color w:val="auto"/>
                <w:szCs w:val="24"/>
                <w:highlight w:val="none"/>
              </w:rPr>
            </w:pPr>
          </w:p>
        </w:tc>
      </w:tr>
      <w:tr w14:paraId="01ADD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2E099FD4">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37BB347C">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3868F73F">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65CD5D74">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5F60759F">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738E88BC">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02B74349">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59B91D36">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269A8BC0">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5B513583">
            <w:pPr>
              <w:spacing w:line="560" w:lineRule="exact"/>
              <w:ind w:left="240" w:leftChars="100"/>
              <w:rPr>
                <w:rFonts w:hint="eastAsia" w:ascii="仿宋" w:hAnsi="仿宋" w:eastAsia="仿宋" w:cs="仿宋"/>
                <w:color w:val="auto"/>
                <w:szCs w:val="24"/>
                <w:highlight w:val="none"/>
              </w:rPr>
            </w:pPr>
          </w:p>
        </w:tc>
      </w:tr>
      <w:tr w14:paraId="6FD4E7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1" w:type="dxa"/>
            <w:tcMar>
              <w:left w:w="57" w:type="dxa"/>
              <w:right w:w="57" w:type="dxa"/>
            </w:tcMar>
            <w:vAlign w:val="center"/>
          </w:tcPr>
          <w:p w14:paraId="240FBBCF">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13C3A9AB">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2DC2F091">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47053759">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1D812554">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79C500FF">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29AD428C">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01059449">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1B4B8A3D">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4E663130">
            <w:pPr>
              <w:spacing w:line="560" w:lineRule="exact"/>
              <w:ind w:left="240" w:leftChars="100"/>
              <w:rPr>
                <w:rFonts w:hint="eastAsia" w:ascii="仿宋" w:hAnsi="仿宋" w:eastAsia="仿宋" w:cs="仿宋"/>
                <w:color w:val="auto"/>
                <w:szCs w:val="24"/>
                <w:highlight w:val="none"/>
              </w:rPr>
            </w:pPr>
          </w:p>
        </w:tc>
      </w:tr>
      <w:tr w14:paraId="5F97A5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tcMar>
              <w:left w:w="57" w:type="dxa"/>
              <w:right w:w="57" w:type="dxa"/>
            </w:tcMar>
            <w:vAlign w:val="center"/>
          </w:tcPr>
          <w:p w14:paraId="73A99721">
            <w:pPr>
              <w:spacing w:line="560" w:lineRule="exact"/>
              <w:ind w:left="240" w:leftChars="1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总 计（人民币元）</w:t>
            </w:r>
          </w:p>
        </w:tc>
        <w:tc>
          <w:tcPr>
            <w:tcW w:w="10081" w:type="dxa"/>
            <w:gridSpan w:val="7"/>
            <w:tcMar>
              <w:left w:w="57" w:type="dxa"/>
              <w:right w:w="57" w:type="dxa"/>
            </w:tcMar>
            <w:vAlign w:val="center"/>
          </w:tcPr>
          <w:p w14:paraId="303BA76B">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5132C7E4">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bl>
    <w:p w14:paraId="29B272A4">
      <w:pPr>
        <w:pStyle w:val="37"/>
        <w:spacing w:line="560" w:lineRule="exact"/>
        <w:ind w:firstLine="0" w:firstLineChars="0"/>
        <w:rPr>
          <w:rFonts w:hint="eastAsia" w:ascii="仿宋" w:hAnsi="仿宋" w:eastAsia="仿宋" w:cs="仿宋"/>
          <w:color w:val="auto"/>
          <w:szCs w:val="24"/>
          <w:highlight w:val="none"/>
          <w:u w:val="single"/>
        </w:rPr>
      </w:pPr>
      <w:r>
        <w:rPr>
          <w:rFonts w:hint="eastAsia" w:ascii="仿宋" w:hAnsi="仿宋" w:eastAsia="仿宋" w:cs="仿宋"/>
          <w:color w:val="auto"/>
          <w:sz w:val="24"/>
          <w:szCs w:val="24"/>
          <w:highlight w:val="none"/>
          <w:lang w:val="zh-CN"/>
        </w:rPr>
        <w:t>法定代表人或被授权人（签字或盖章）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（投标人单位公章）                     日 期：</w:t>
      </w:r>
      <w:r>
        <w:rPr>
          <w:rFonts w:hint="eastAsia" w:ascii="仿宋" w:hAnsi="仿宋" w:eastAsia="仿宋" w:cs="仿宋"/>
          <w:color w:val="auto"/>
          <w:szCs w:val="24"/>
          <w:highlight w:val="none"/>
          <w:u w:val="single"/>
        </w:rPr>
        <w:t xml:space="preserve">            </w:t>
      </w:r>
    </w:p>
    <w:p w14:paraId="1A37C8B5">
      <w:pPr>
        <w:rPr>
          <w:rFonts w:hint="eastAsia" w:ascii="仿宋" w:hAnsi="仿宋" w:eastAsia="仿宋" w:cs="仿宋"/>
          <w:b/>
          <w:color w:val="auto"/>
          <w:highlight w:val="none"/>
        </w:rPr>
      </w:pPr>
      <w:bookmarkStart w:id="177" w:name="_Toc4842"/>
      <w:bookmarkStart w:id="178" w:name="_Toc458617474"/>
      <w:bookmarkStart w:id="179" w:name="_Toc193187100"/>
      <w:bookmarkStart w:id="180" w:name="_Toc193126884"/>
      <w:bookmarkStart w:id="181" w:name="_Toc194663921"/>
      <w:bookmarkStart w:id="182" w:name="_Toc17354"/>
      <w:r>
        <w:rPr>
          <w:rFonts w:hint="eastAsia" w:ascii="仿宋" w:hAnsi="仿宋" w:eastAsia="仿宋" w:cs="仿宋"/>
          <w:b/>
          <w:color w:val="auto"/>
          <w:highlight w:val="none"/>
        </w:rPr>
        <w:br w:type="page"/>
      </w:r>
    </w:p>
    <w:p w14:paraId="0FACCF50">
      <w:pPr>
        <w:pStyle w:val="37"/>
        <w:spacing w:line="560" w:lineRule="exact"/>
        <w:ind w:firstLineChars="71"/>
        <w:rPr>
          <w:rFonts w:hint="eastAsia" w:ascii="仿宋" w:hAnsi="仿宋" w:eastAsia="仿宋" w:cs="仿宋"/>
          <w:color w:val="auto"/>
          <w:sz w:val="24"/>
          <w:szCs w:val="24"/>
          <w:highlight w:val="none"/>
        </w:rPr>
      </w:pP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.选配件报价表</w:t>
      </w:r>
      <w:bookmarkEnd w:id="177"/>
      <w:bookmarkEnd w:id="178"/>
      <w:bookmarkEnd w:id="179"/>
      <w:bookmarkEnd w:id="180"/>
      <w:bookmarkEnd w:id="181"/>
      <w:bookmarkEnd w:id="182"/>
      <w:r>
        <w:rPr>
          <w:rFonts w:hint="eastAsia" w:ascii="仿宋" w:hAnsi="仿宋" w:eastAsia="仿宋" w:cs="仿宋"/>
          <w:bCs/>
          <w:color w:val="auto"/>
          <w:sz w:val="24"/>
          <w:szCs w:val="24"/>
          <w:highlight w:val="none"/>
        </w:rPr>
        <w:t>（格式，若有）</w:t>
      </w:r>
    </w:p>
    <w:p w14:paraId="59957E02">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W w:w="146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14:paraId="303290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53CC715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843" w:type="dxa"/>
            <w:vAlign w:val="center"/>
          </w:tcPr>
          <w:p w14:paraId="18170532">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01" w:type="dxa"/>
            <w:vAlign w:val="center"/>
          </w:tcPr>
          <w:p w14:paraId="268834FD">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417" w:type="dxa"/>
            <w:vAlign w:val="center"/>
          </w:tcPr>
          <w:p w14:paraId="2703D03B">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843" w:type="dxa"/>
            <w:vAlign w:val="center"/>
          </w:tcPr>
          <w:p w14:paraId="05458919">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92" w:type="dxa"/>
            <w:vAlign w:val="center"/>
          </w:tcPr>
          <w:p w14:paraId="0727FA64">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1134" w:type="dxa"/>
            <w:vAlign w:val="center"/>
          </w:tcPr>
          <w:p w14:paraId="3AA0F149">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01" w:type="dxa"/>
            <w:vAlign w:val="center"/>
          </w:tcPr>
          <w:p w14:paraId="246ED8A4">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5E873AC2">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01" w:type="dxa"/>
            <w:vAlign w:val="center"/>
          </w:tcPr>
          <w:p w14:paraId="091A017A">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343B281E">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428" w:type="dxa"/>
            <w:vAlign w:val="center"/>
          </w:tcPr>
          <w:p w14:paraId="644495B9">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 注</w:t>
            </w:r>
          </w:p>
        </w:tc>
      </w:tr>
      <w:tr w14:paraId="07E884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2819C4B9">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7F77ECD8">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4C64B63C">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60074FD6">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0655D27A">
            <w:pPr>
              <w:spacing w:line="560" w:lineRule="exact"/>
              <w:ind w:left="240" w:leftChars="100"/>
              <w:rPr>
                <w:rFonts w:hint="eastAsia" w:ascii="仿宋" w:hAnsi="仿宋" w:eastAsia="仿宋" w:cs="仿宋"/>
                <w:color w:val="auto"/>
                <w:szCs w:val="24"/>
                <w:highlight w:val="none"/>
              </w:rPr>
            </w:pPr>
          </w:p>
        </w:tc>
        <w:tc>
          <w:tcPr>
            <w:tcW w:w="992" w:type="dxa"/>
            <w:vAlign w:val="center"/>
          </w:tcPr>
          <w:p w14:paraId="68BA9FC9">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155A2EA1">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40F68471">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165419AC">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77CA77AB">
            <w:pPr>
              <w:spacing w:line="560" w:lineRule="exact"/>
              <w:ind w:left="240" w:leftChars="100"/>
              <w:rPr>
                <w:rFonts w:hint="eastAsia" w:ascii="仿宋" w:hAnsi="仿宋" w:eastAsia="仿宋" w:cs="仿宋"/>
                <w:color w:val="auto"/>
                <w:szCs w:val="24"/>
                <w:highlight w:val="none"/>
              </w:rPr>
            </w:pPr>
          </w:p>
        </w:tc>
      </w:tr>
      <w:tr w14:paraId="6C12FE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0D7DC1EF">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1E1A9CA5">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DA36FE7">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1CFFCB04">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5E037125">
            <w:pPr>
              <w:spacing w:line="560" w:lineRule="exact"/>
              <w:ind w:left="240" w:leftChars="100"/>
              <w:rPr>
                <w:rFonts w:hint="eastAsia" w:ascii="仿宋" w:hAnsi="仿宋" w:eastAsia="仿宋" w:cs="仿宋"/>
                <w:color w:val="auto"/>
                <w:szCs w:val="24"/>
                <w:highlight w:val="none"/>
              </w:rPr>
            </w:pPr>
          </w:p>
        </w:tc>
        <w:tc>
          <w:tcPr>
            <w:tcW w:w="992" w:type="dxa"/>
            <w:vAlign w:val="center"/>
          </w:tcPr>
          <w:p w14:paraId="0463D4A3">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19AB6F1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67818C12">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4CA3E6D7">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457BCE0B">
            <w:pPr>
              <w:spacing w:line="560" w:lineRule="exact"/>
              <w:ind w:left="240" w:leftChars="100"/>
              <w:rPr>
                <w:rFonts w:hint="eastAsia" w:ascii="仿宋" w:hAnsi="仿宋" w:eastAsia="仿宋" w:cs="仿宋"/>
                <w:color w:val="auto"/>
                <w:szCs w:val="24"/>
                <w:highlight w:val="none"/>
              </w:rPr>
            </w:pPr>
          </w:p>
        </w:tc>
      </w:tr>
      <w:tr w14:paraId="3BE2C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69FD7B66">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10A914E8">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B549760">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3E429DA7">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470222A0">
            <w:pPr>
              <w:spacing w:line="560" w:lineRule="exact"/>
              <w:ind w:left="240" w:leftChars="100"/>
              <w:rPr>
                <w:rFonts w:hint="eastAsia" w:ascii="仿宋" w:hAnsi="仿宋" w:eastAsia="仿宋" w:cs="仿宋"/>
                <w:color w:val="auto"/>
                <w:szCs w:val="24"/>
                <w:highlight w:val="none"/>
              </w:rPr>
            </w:pPr>
          </w:p>
        </w:tc>
        <w:tc>
          <w:tcPr>
            <w:tcW w:w="992" w:type="dxa"/>
            <w:vAlign w:val="center"/>
          </w:tcPr>
          <w:p w14:paraId="2D19B020">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42C9971D">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169AA32F">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6517C257">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4B6D0F53">
            <w:pPr>
              <w:spacing w:line="560" w:lineRule="exact"/>
              <w:ind w:left="240" w:leftChars="100"/>
              <w:rPr>
                <w:rFonts w:hint="eastAsia" w:ascii="仿宋" w:hAnsi="仿宋" w:eastAsia="仿宋" w:cs="仿宋"/>
                <w:color w:val="auto"/>
                <w:szCs w:val="24"/>
                <w:highlight w:val="none"/>
              </w:rPr>
            </w:pPr>
          </w:p>
        </w:tc>
      </w:tr>
      <w:tr w14:paraId="6B85E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vAlign w:val="center"/>
          </w:tcPr>
          <w:p w14:paraId="64ED6732">
            <w:pPr>
              <w:spacing w:line="560" w:lineRule="exact"/>
              <w:ind w:left="240" w:leftChars="100"/>
              <w:jc w:val="center"/>
              <w:rPr>
                <w:rFonts w:hint="eastAsia" w:ascii="仿宋" w:hAnsi="仿宋" w:eastAsia="仿宋" w:cs="仿宋"/>
                <w:color w:val="auto"/>
                <w:szCs w:val="24"/>
                <w:highlight w:val="none"/>
              </w:rPr>
            </w:pPr>
          </w:p>
        </w:tc>
        <w:tc>
          <w:tcPr>
            <w:tcW w:w="1843" w:type="dxa"/>
            <w:tcBorders>
              <w:bottom w:val="single" w:color="auto" w:sz="4" w:space="0"/>
            </w:tcBorders>
            <w:vAlign w:val="center"/>
          </w:tcPr>
          <w:p w14:paraId="0AD55DF7">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61527B0B">
            <w:pPr>
              <w:spacing w:line="560" w:lineRule="exact"/>
              <w:ind w:left="240" w:leftChars="100"/>
              <w:rPr>
                <w:rFonts w:hint="eastAsia" w:ascii="仿宋" w:hAnsi="仿宋" w:eastAsia="仿宋" w:cs="仿宋"/>
                <w:color w:val="auto"/>
                <w:szCs w:val="24"/>
                <w:highlight w:val="none"/>
              </w:rPr>
            </w:pPr>
          </w:p>
        </w:tc>
        <w:tc>
          <w:tcPr>
            <w:tcW w:w="1417" w:type="dxa"/>
            <w:tcBorders>
              <w:bottom w:val="single" w:color="auto" w:sz="4" w:space="0"/>
            </w:tcBorders>
            <w:vAlign w:val="center"/>
          </w:tcPr>
          <w:p w14:paraId="3C937FE7">
            <w:pPr>
              <w:spacing w:line="560" w:lineRule="exact"/>
              <w:ind w:left="240" w:leftChars="100"/>
              <w:rPr>
                <w:rFonts w:hint="eastAsia" w:ascii="仿宋" w:hAnsi="仿宋" w:eastAsia="仿宋" w:cs="仿宋"/>
                <w:color w:val="auto"/>
                <w:szCs w:val="24"/>
                <w:highlight w:val="none"/>
              </w:rPr>
            </w:pPr>
          </w:p>
        </w:tc>
        <w:tc>
          <w:tcPr>
            <w:tcW w:w="1843" w:type="dxa"/>
            <w:tcBorders>
              <w:bottom w:val="single" w:color="auto" w:sz="4" w:space="0"/>
            </w:tcBorders>
            <w:vAlign w:val="center"/>
          </w:tcPr>
          <w:p w14:paraId="5022CA21">
            <w:pPr>
              <w:spacing w:line="560" w:lineRule="exact"/>
              <w:ind w:left="240" w:leftChars="100"/>
              <w:rPr>
                <w:rFonts w:hint="eastAsia" w:ascii="仿宋" w:hAnsi="仿宋" w:eastAsia="仿宋" w:cs="仿宋"/>
                <w:color w:val="auto"/>
                <w:szCs w:val="24"/>
                <w:highlight w:val="none"/>
              </w:rPr>
            </w:pPr>
          </w:p>
        </w:tc>
        <w:tc>
          <w:tcPr>
            <w:tcW w:w="992" w:type="dxa"/>
            <w:tcBorders>
              <w:bottom w:val="single" w:color="auto" w:sz="4" w:space="0"/>
            </w:tcBorders>
            <w:vAlign w:val="center"/>
          </w:tcPr>
          <w:p w14:paraId="06AAF8F3">
            <w:pPr>
              <w:spacing w:line="560" w:lineRule="exact"/>
              <w:ind w:left="240" w:leftChars="100"/>
              <w:rPr>
                <w:rFonts w:hint="eastAsia" w:ascii="仿宋" w:hAnsi="仿宋" w:eastAsia="仿宋" w:cs="仿宋"/>
                <w:color w:val="auto"/>
                <w:szCs w:val="24"/>
                <w:highlight w:val="none"/>
              </w:rPr>
            </w:pPr>
          </w:p>
        </w:tc>
        <w:tc>
          <w:tcPr>
            <w:tcW w:w="1134" w:type="dxa"/>
            <w:tcBorders>
              <w:bottom w:val="single" w:color="auto" w:sz="4" w:space="0"/>
            </w:tcBorders>
            <w:vAlign w:val="center"/>
          </w:tcPr>
          <w:p w14:paraId="3D4CCFCE">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773B2343">
            <w:pPr>
              <w:spacing w:line="560" w:lineRule="exact"/>
              <w:ind w:left="240" w:leftChars="100"/>
              <w:jc w:val="center"/>
              <w:rPr>
                <w:rFonts w:hint="eastAsia" w:ascii="仿宋" w:hAnsi="仿宋" w:eastAsia="仿宋" w:cs="仿宋"/>
                <w:color w:val="auto"/>
                <w:szCs w:val="24"/>
                <w:highlight w:val="none"/>
              </w:rPr>
            </w:pPr>
          </w:p>
        </w:tc>
        <w:tc>
          <w:tcPr>
            <w:tcW w:w="1701" w:type="dxa"/>
            <w:tcBorders>
              <w:bottom w:val="single" w:color="auto" w:sz="4" w:space="0"/>
            </w:tcBorders>
            <w:vAlign w:val="center"/>
          </w:tcPr>
          <w:p w14:paraId="2472A0C7">
            <w:pPr>
              <w:spacing w:line="560" w:lineRule="exact"/>
              <w:ind w:left="240" w:leftChars="100"/>
              <w:rPr>
                <w:rFonts w:hint="eastAsia" w:ascii="仿宋" w:hAnsi="仿宋" w:eastAsia="仿宋" w:cs="仿宋"/>
                <w:color w:val="auto"/>
                <w:szCs w:val="24"/>
                <w:highlight w:val="none"/>
              </w:rPr>
            </w:pPr>
          </w:p>
        </w:tc>
        <w:tc>
          <w:tcPr>
            <w:tcW w:w="1428" w:type="dxa"/>
            <w:tcBorders>
              <w:bottom w:val="single" w:color="auto" w:sz="4" w:space="0"/>
            </w:tcBorders>
            <w:vAlign w:val="center"/>
          </w:tcPr>
          <w:p w14:paraId="1ED5C6E7">
            <w:pPr>
              <w:spacing w:line="560" w:lineRule="exact"/>
              <w:ind w:left="240" w:leftChars="100"/>
              <w:rPr>
                <w:rFonts w:hint="eastAsia" w:ascii="仿宋" w:hAnsi="仿宋" w:eastAsia="仿宋" w:cs="仿宋"/>
                <w:color w:val="auto"/>
                <w:szCs w:val="24"/>
                <w:highlight w:val="none"/>
              </w:rPr>
            </w:pPr>
          </w:p>
        </w:tc>
      </w:tr>
      <w:tr w14:paraId="1549C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5E3B978F">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48752CE4">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25A25D3">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376256AA">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7513B5E0">
            <w:pPr>
              <w:spacing w:line="560" w:lineRule="exact"/>
              <w:ind w:left="240" w:leftChars="100"/>
              <w:rPr>
                <w:rFonts w:hint="eastAsia" w:ascii="仿宋" w:hAnsi="仿宋" w:eastAsia="仿宋" w:cs="仿宋"/>
                <w:color w:val="auto"/>
                <w:szCs w:val="24"/>
                <w:highlight w:val="none"/>
              </w:rPr>
            </w:pPr>
          </w:p>
        </w:tc>
        <w:tc>
          <w:tcPr>
            <w:tcW w:w="992" w:type="dxa"/>
            <w:vAlign w:val="center"/>
          </w:tcPr>
          <w:p w14:paraId="00B96F9C">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56BB2717">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7BF8495">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50CE9488">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3F1C7FEE">
            <w:pPr>
              <w:spacing w:line="560" w:lineRule="exact"/>
              <w:ind w:left="240" w:leftChars="100"/>
              <w:rPr>
                <w:rFonts w:hint="eastAsia" w:ascii="仿宋" w:hAnsi="仿宋" w:eastAsia="仿宋" w:cs="仿宋"/>
                <w:color w:val="auto"/>
                <w:szCs w:val="24"/>
                <w:highlight w:val="none"/>
              </w:rPr>
            </w:pPr>
          </w:p>
        </w:tc>
      </w:tr>
      <w:tr w14:paraId="2F7C5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44CCBE8C">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3FC00E07">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3C761AB5">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0AA6C330">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5B1FFF5B">
            <w:pPr>
              <w:spacing w:line="560" w:lineRule="exact"/>
              <w:ind w:left="240" w:leftChars="100"/>
              <w:rPr>
                <w:rFonts w:hint="eastAsia" w:ascii="仿宋" w:hAnsi="仿宋" w:eastAsia="仿宋" w:cs="仿宋"/>
                <w:color w:val="auto"/>
                <w:szCs w:val="24"/>
                <w:highlight w:val="none"/>
              </w:rPr>
            </w:pPr>
          </w:p>
        </w:tc>
        <w:tc>
          <w:tcPr>
            <w:tcW w:w="992" w:type="dxa"/>
            <w:vAlign w:val="center"/>
          </w:tcPr>
          <w:p w14:paraId="52E3E47D">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0FAF68E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C5F387D">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5AA73BB9">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3EF3F736">
            <w:pPr>
              <w:spacing w:line="560" w:lineRule="exact"/>
              <w:ind w:left="240" w:leftChars="100"/>
              <w:rPr>
                <w:rFonts w:hint="eastAsia" w:ascii="仿宋" w:hAnsi="仿宋" w:eastAsia="仿宋" w:cs="仿宋"/>
                <w:color w:val="auto"/>
                <w:szCs w:val="24"/>
                <w:highlight w:val="none"/>
              </w:rPr>
            </w:pPr>
          </w:p>
        </w:tc>
      </w:tr>
      <w:tr w14:paraId="55B872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0E8C4F55">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798C9F49">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EB2324B">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3DF001FC">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224477A7">
            <w:pPr>
              <w:spacing w:line="560" w:lineRule="exact"/>
              <w:ind w:left="240" w:leftChars="100"/>
              <w:rPr>
                <w:rFonts w:hint="eastAsia" w:ascii="仿宋" w:hAnsi="仿宋" w:eastAsia="仿宋" w:cs="仿宋"/>
                <w:color w:val="auto"/>
                <w:szCs w:val="24"/>
                <w:highlight w:val="none"/>
              </w:rPr>
            </w:pPr>
          </w:p>
        </w:tc>
        <w:tc>
          <w:tcPr>
            <w:tcW w:w="992" w:type="dxa"/>
            <w:vAlign w:val="center"/>
          </w:tcPr>
          <w:p w14:paraId="6BFA1355">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52EED7BF">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56A9B13">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12255758">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0EFCCFBE">
            <w:pPr>
              <w:spacing w:line="560" w:lineRule="exact"/>
              <w:ind w:left="240" w:leftChars="100"/>
              <w:rPr>
                <w:rFonts w:hint="eastAsia" w:ascii="仿宋" w:hAnsi="仿宋" w:eastAsia="仿宋" w:cs="仿宋"/>
                <w:color w:val="auto"/>
                <w:szCs w:val="24"/>
                <w:highlight w:val="none"/>
              </w:rPr>
            </w:pPr>
          </w:p>
        </w:tc>
      </w:tr>
      <w:tr w14:paraId="3224A5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03F820ED">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0F312AC7">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05BF2B0">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2E3D7666">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57B98803">
            <w:pPr>
              <w:spacing w:line="560" w:lineRule="exact"/>
              <w:ind w:left="240" w:leftChars="100"/>
              <w:rPr>
                <w:rFonts w:hint="eastAsia" w:ascii="仿宋" w:hAnsi="仿宋" w:eastAsia="仿宋" w:cs="仿宋"/>
                <w:color w:val="auto"/>
                <w:szCs w:val="24"/>
                <w:highlight w:val="none"/>
              </w:rPr>
            </w:pPr>
          </w:p>
        </w:tc>
        <w:tc>
          <w:tcPr>
            <w:tcW w:w="992" w:type="dxa"/>
            <w:vAlign w:val="center"/>
          </w:tcPr>
          <w:p w14:paraId="6E913569">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4DCA9846">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52A1D4D0">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71006B21">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186A987F">
            <w:pPr>
              <w:spacing w:line="560" w:lineRule="exact"/>
              <w:ind w:left="240" w:leftChars="100"/>
              <w:rPr>
                <w:rFonts w:hint="eastAsia" w:ascii="仿宋" w:hAnsi="仿宋" w:eastAsia="仿宋" w:cs="仿宋"/>
                <w:color w:val="auto"/>
                <w:szCs w:val="24"/>
                <w:highlight w:val="none"/>
              </w:rPr>
            </w:pPr>
          </w:p>
        </w:tc>
      </w:tr>
    </w:tbl>
    <w:p w14:paraId="06D90121">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4F87DCB4">
      <w:pPr>
        <w:pStyle w:val="37"/>
        <w:spacing w:line="560" w:lineRule="exact"/>
        <w:ind w:firstLine="170" w:firstLineChars="71"/>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u w:val="single"/>
        </w:rPr>
        <w:br w:type="page"/>
      </w:r>
      <w:bookmarkStart w:id="183" w:name="_Toc10875"/>
      <w:bookmarkStart w:id="184" w:name="_Toc458617475"/>
      <w:bookmarkStart w:id="185" w:name="_Toc16402"/>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.货物说明一览表</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83"/>
      <w:bookmarkEnd w:id="184"/>
      <w:bookmarkEnd w:id="185"/>
      <w:r>
        <w:rPr>
          <w:rFonts w:hint="eastAsia" w:ascii="仿宋" w:hAnsi="仿宋" w:eastAsia="仿宋" w:cs="仿宋"/>
          <w:bCs/>
          <w:color w:val="auto"/>
          <w:sz w:val="24"/>
          <w:szCs w:val="21"/>
          <w:highlight w:val="none"/>
        </w:rPr>
        <w:t>（格式）</w:t>
      </w:r>
    </w:p>
    <w:p w14:paraId="78C6E7C1">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p>
    <w:tbl>
      <w:tblPr>
        <w:tblStyle w:val="23"/>
        <w:tblW w:w="139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080"/>
        <w:gridCol w:w="1234"/>
      </w:tblGrid>
      <w:tr w14:paraId="65E187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vAlign w:val="center"/>
          </w:tcPr>
          <w:p w14:paraId="7D44C4C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160" w:type="dxa"/>
            <w:vAlign w:val="center"/>
          </w:tcPr>
          <w:p w14:paraId="49DEF82F">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620" w:type="dxa"/>
            <w:vAlign w:val="center"/>
          </w:tcPr>
          <w:p w14:paraId="58608E3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5040" w:type="dxa"/>
            <w:vAlign w:val="center"/>
          </w:tcPr>
          <w:p w14:paraId="219F6BF0">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配置、规格及主要技术参数</w:t>
            </w:r>
          </w:p>
        </w:tc>
        <w:tc>
          <w:tcPr>
            <w:tcW w:w="1800" w:type="dxa"/>
            <w:vAlign w:val="center"/>
          </w:tcPr>
          <w:p w14:paraId="628E2422">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080" w:type="dxa"/>
            <w:tcMar>
              <w:top w:w="28" w:type="dxa"/>
              <w:left w:w="57" w:type="dxa"/>
              <w:bottom w:w="28" w:type="dxa"/>
              <w:right w:w="57" w:type="dxa"/>
            </w:tcMar>
            <w:vAlign w:val="center"/>
          </w:tcPr>
          <w:p w14:paraId="04ADA03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234" w:type="dxa"/>
            <w:tcMar>
              <w:top w:w="28" w:type="dxa"/>
              <w:left w:w="57" w:type="dxa"/>
              <w:bottom w:w="28" w:type="dxa"/>
              <w:right w:w="57" w:type="dxa"/>
            </w:tcMar>
            <w:vAlign w:val="center"/>
          </w:tcPr>
          <w:p w14:paraId="2192F137">
            <w:pPr>
              <w:spacing w:line="560" w:lineRule="exact"/>
              <w:ind w:left="-24" w:leftChars="-1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tc>
      </w:tr>
      <w:tr w14:paraId="182A0B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3461E5F4">
            <w:pPr>
              <w:spacing w:line="560" w:lineRule="exact"/>
              <w:ind w:left="240" w:leftChars="100"/>
              <w:jc w:val="center"/>
              <w:rPr>
                <w:rFonts w:hint="eastAsia" w:ascii="仿宋" w:hAnsi="仿宋" w:eastAsia="仿宋" w:cs="仿宋"/>
                <w:color w:val="auto"/>
                <w:szCs w:val="24"/>
                <w:highlight w:val="none"/>
              </w:rPr>
            </w:pPr>
          </w:p>
        </w:tc>
        <w:tc>
          <w:tcPr>
            <w:tcW w:w="2160" w:type="dxa"/>
          </w:tcPr>
          <w:p w14:paraId="685B1CD2">
            <w:pPr>
              <w:spacing w:line="560" w:lineRule="exact"/>
              <w:ind w:left="240" w:leftChars="100"/>
              <w:rPr>
                <w:rFonts w:hint="eastAsia" w:ascii="仿宋" w:hAnsi="仿宋" w:eastAsia="仿宋" w:cs="仿宋"/>
                <w:color w:val="auto"/>
                <w:szCs w:val="24"/>
                <w:highlight w:val="none"/>
              </w:rPr>
            </w:pPr>
          </w:p>
        </w:tc>
        <w:tc>
          <w:tcPr>
            <w:tcW w:w="1620" w:type="dxa"/>
          </w:tcPr>
          <w:p w14:paraId="7312EE5E">
            <w:pPr>
              <w:spacing w:line="560" w:lineRule="exact"/>
              <w:ind w:left="240" w:leftChars="100"/>
              <w:rPr>
                <w:rFonts w:hint="eastAsia" w:ascii="仿宋" w:hAnsi="仿宋" w:eastAsia="仿宋" w:cs="仿宋"/>
                <w:color w:val="auto"/>
                <w:szCs w:val="24"/>
                <w:highlight w:val="none"/>
                <w:u w:val="single"/>
              </w:rPr>
            </w:pPr>
          </w:p>
        </w:tc>
        <w:tc>
          <w:tcPr>
            <w:tcW w:w="5040" w:type="dxa"/>
          </w:tcPr>
          <w:p w14:paraId="027C436C">
            <w:pPr>
              <w:spacing w:line="560" w:lineRule="exact"/>
              <w:ind w:left="240" w:leftChars="100"/>
              <w:rPr>
                <w:rFonts w:hint="eastAsia" w:ascii="仿宋" w:hAnsi="仿宋" w:eastAsia="仿宋" w:cs="仿宋"/>
                <w:color w:val="auto"/>
                <w:szCs w:val="24"/>
                <w:highlight w:val="none"/>
                <w:u w:val="single"/>
              </w:rPr>
            </w:pPr>
          </w:p>
        </w:tc>
        <w:tc>
          <w:tcPr>
            <w:tcW w:w="1800" w:type="dxa"/>
          </w:tcPr>
          <w:p w14:paraId="604D7632">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1621252E">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150498F6">
            <w:pPr>
              <w:spacing w:line="560" w:lineRule="exact"/>
              <w:ind w:left="240" w:leftChars="100"/>
              <w:rPr>
                <w:rFonts w:hint="eastAsia" w:ascii="仿宋" w:hAnsi="仿宋" w:eastAsia="仿宋" w:cs="仿宋"/>
                <w:color w:val="auto"/>
                <w:szCs w:val="24"/>
                <w:highlight w:val="none"/>
                <w:u w:val="single"/>
              </w:rPr>
            </w:pPr>
          </w:p>
        </w:tc>
      </w:tr>
      <w:tr w14:paraId="3EFB4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6A58BA4E">
            <w:pPr>
              <w:spacing w:line="560" w:lineRule="exact"/>
              <w:ind w:left="240" w:leftChars="100"/>
              <w:jc w:val="center"/>
              <w:rPr>
                <w:rFonts w:hint="eastAsia" w:ascii="仿宋" w:hAnsi="仿宋" w:eastAsia="仿宋" w:cs="仿宋"/>
                <w:color w:val="auto"/>
                <w:szCs w:val="24"/>
                <w:highlight w:val="none"/>
              </w:rPr>
            </w:pPr>
          </w:p>
        </w:tc>
        <w:tc>
          <w:tcPr>
            <w:tcW w:w="2160" w:type="dxa"/>
          </w:tcPr>
          <w:p w14:paraId="7C938582">
            <w:pPr>
              <w:spacing w:line="560" w:lineRule="exact"/>
              <w:ind w:left="240" w:leftChars="100"/>
              <w:rPr>
                <w:rFonts w:hint="eastAsia" w:ascii="仿宋" w:hAnsi="仿宋" w:eastAsia="仿宋" w:cs="仿宋"/>
                <w:color w:val="auto"/>
                <w:szCs w:val="24"/>
                <w:highlight w:val="none"/>
              </w:rPr>
            </w:pPr>
          </w:p>
        </w:tc>
        <w:tc>
          <w:tcPr>
            <w:tcW w:w="1620" w:type="dxa"/>
          </w:tcPr>
          <w:p w14:paraId="4B8900D5">
            <w:pPr>
              <w:spacing w:line="560" w:lineRule="exact"/>
              <w:ind w:left="240" w:leftChars="100"/>
              <w:rPr>
                <w:rFonts w:hint="eastAsia" w:ascii="仿宋" w:hAnsi="仿宋" w:eastAsia="仿宋" w:cs="仿宋"/>
                <w:color w:val="auto"/>
                <w:szCs w:val="24"/>
                <w:highlight w:val="none"/>
                <w:u w:val="single"/>
              </w:rPr>
            </w:pPr>
          </w:p>
        </w:tc>
        <w:tc>
          <w:tcPr>
            <w:tcW w:w="5040" w:type="dxa"/>
          </w:tcPr>
          <w:p w14:paraId="399587EA">
            <w:pPr>
              <w:spacing w:line="560" w:lineRule="exact"/>
              <w:ind w:left="240" w:leftChars="100"/>
              <w:rPr>
                <w:rFonts w:hint="eastAsia" w:ascii="仿宋" w:hAnsi="仿宋" w:eastAsia="仿宋" w:cs="仿宋"/>
                <w:color w:val="auto"/>
                <w:szCs w:val="24"/>
                <w:highlight w:val="none"/>
                <w:u w:val="single"/>
              </w:rPr>
            </w:pPr>
          </w:p>
        </w:tc>
        <w:tc>
          <w:tcPr>
            <w:tcW w:w="1800" w:type="dxa"/>
          </w:tcPr>
          <w:p w14:paraId="1257093A">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0A23D57A">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7AE1B91D">
            <w:pPr>
              <w:spacing w:line="560" w:lineRule="exact"/>
              <w:ind w:left="240" w:leftChars="100"/>
              <w:rPr>
                <w:rFonts w:hint="eastAsia" w:ascii="仿宋" w:hAnsi="仿宋" w:eastAsia="仿宋" w:cs="仿宋"/>
                <w:color w:val="auto"/>
                <w:szCs w:val="24"/>
                <w:highlight w:val="none"/>
                <w:u w:val="single"/>
              </w:rPr>
            </w:pPr>
          </w:p>
        </w:tc>
      </w:tr>
      <w:tr w14:paraId="1A3DB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68C4BB22">
            <w:pPr>
              <w:spacing w:line="560" w:lineRule="exact"/>
              <w:ind w:left="240" w:leftChars="100"/>
              <w:jc w:val="center"/>
              <w:rPr>
                <w:rFonts w:hint="eastAsia" w:ascii="仿宋" w:hAnsi="仿宋" w:eastAsia="仿宋" w:cs="仿宋"/>
                <w:color w:val="auto"/>
                <w:szCs w:val="24"/>
                <w:highlight w:val="none"/>
              </w:rPr>
            </w:pPr>
          </w:p>
        </w:tc>
        <w:tc>
          <w:tcPr>
            <w:tcW w:w="2160" w:type="dxa"/>
          </w:tcPr>
          <w:p w14:paraId="5A4893C8">
            <w:pPr>
              <w:spacing w:line="560" w:lineRule="exact"/>
              <w:ind w:left="240" w:leftChars="100"/>
              <w:rPr>
                <w:rFonts w:hint="eastAsia" w:ascii="仿宋" w:hAnsi="仿宋" w:eastAsia="仿宋" w:cs="仿宋"/>
                <w:color w:val="auto"/>
                <w:szCs w:val="24"/>
                <w:highlight w:val="none"/>
              </w:rPr>
            </w:pPr>
          </w:p>
        </w:tc>
        <w:tc>
          <w:tcPr>
            <w:tcW w:w="1620" w:type="dxa"/>
          </w:tcPr>
          <w:p w14:paraId="197396A7">
            <w:pPr>
              <w:spacing w:line="560" w:lineRule="exact"/>
              <w:ind w:left="240" w:leftChars="100"/>
              <w:rPr>
                <w:rFonts w:hint="eastAsia" w:ascii="仿宋" w:hAnsi="仿宋" w:eastAsia="仿宋" w:cs="仿宋"/>
                <w:color w:val="auto"/>
                <w:szCs w:val="24"/>
                <w:highlight w:val="none"/>
                <w:u w:val="single"/>
              </w:rPr>
            </w:pPr>
          </w:p>
        </w:tc>
        <w:tc>
          <w:tcPr>
            <w:tcW w:w="5040" w:type="dxa"/>
          </w:tcPr>
          <w:p w14:paraId="1486709A">
            <w:pPr>
              <w:spacing w:line="560" w:lineRule="exact"/>
              <w:ind w:left="240" w:leftChars="100"/>
              <w:rPr>
                <w:rFonts w:hint="eastAsia" w:ascii="仿宋" w:hAnsi="仿宋" w:eastAsia="仿宋" w:cs="仿宋"/>
                <w:color w:val="auto"/>
                <w:szCs w:val="24"/>
                <w:highlight w:val="none"/>
                <w:u w:val="single"/>
              </w:rPr>
            </w:pPr>
          </w:p>
        </w:tc>
        <w:tc>
          <w:tcPr>
            <w:tcW w:w="1800" w:type="dxa"/>
          </w:tcPr>
          <w:p w14:paraId="5680E4D7">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2483E57">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13E5BADA">
            <w:pPr>
              <w:spacing w:line="560" w:lineRule="exact"/>
              <w:ind w:left="240" w:leftChars="100"/>
              <w:rPr>
                <w:rFonts w:hint="eastAsia" w:ascii="仿宋" w:hAnsi="仿宋" w:eastAsia="仿宋" w:cs="仿宋"/>
                <w:color w:val="auto"/>
                <w:szCs w:val="24"/>
                <w:highlight w:val="none"/>
                <w:u w:val="single"/>
              </w:rPr>
            </w:pPr>
          </w:p>
        </w:tc>
      </w:tr>
      <w:tr w14:paraId="26399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41DBA4E">
            <w:pPr>
              <w:spacing w:line="560" w:lineRule="exact"/>
              <w:ind w:left="240" w:leftChars="100"/>
              <w:jc w:val="center"/>
              <w:rPr>
                <w:rFonts w:hint="eastAsia" w:ascii="仿宋" w:hAnsi="仿宋" w:eastAsia="仿宋" w:cs="仿宋"/>
                <w:color w:val="auto"/>
                <w:szCs w:val="24"/>
                <w:highlight w:val="none"/>
              </w:rPr>
            </w:pPr>
          </w:p>
        </w:tc>
        <w:tc>
          <w:tcPr>
            <w:tcW w:w="2160" w:type="dxa"/>
          </w:tcPr>
          <w:p w14:paraId="3B1E593F">
            <w:pPr>
              <w:spacing w:line="560" w:lineRule="exact"/>
              <w:ind w:left="240" w:leftChars="100"/>
              <w:rPr>
                <w:rFonts w:hint="eastAsia" w:ascii="仿宋" w:hAnsi="仿宋" w:eastAsia="仿宋" w:cs="仿宋"/>
                <w:color w:val="auto"/>
                <w:szCs w:val="24"/>
                <w:highlight w:val="none"/>
              </w:rPr>
            </w:pPr>
          </w:p>
        </w:tc>
        <w:tc>
          <w:tcPr>
            <w:tcW w:w="1620" w:type="dxa"/>
          </w:tcPr>
          <w:p w14:paraId="308F1B79">
            <w:pPr>
              <w:spacing w:line="560" w:lineRule="exact"/>
              <w:ind w:left="240" w:leftChars="100"/>
              <w:rPr>
                <w:rFonts w:hint="eastAsia" w:ascii="仿宋" w:hAnsi="仿宋" w:eastAsia="仿宋" w:cs="仿宋"/>
                <w:color w:val="auto"/>
                <w:szCs w:val="24"/>
                <w:highlight w:val="none"/>
                <w:u w:val="single"/>
              </w:rPr>
            </w:pPr>
          </w:p>
        </w:tc>
        <w:tc>
          <w:tcPr>
            <w:tcW w:w="5040" w:type="dxa"/>
          </w:tcPr>
          <w:p w14:paraId="43EE9939">
            <w:pPr>
              <w:spacing w:line="560" w:lineRule="exact"/>
              <w:ind w:left="240" w:leftChars="100"/>
              <w:rPr>
                <w:rFonts w:hint="eastAsia" w:ascii="仿宋" w:hAnsi="仿宋" w:eastAsia="仿宋" w:cs="仿宋"/>
                <w:color w:val="auto"/>
                <w:szCs w:val="24"/>
                <w:highlight w:val="none"/>
                <w:u w:val="single"/>
              </w:rPr>
            </w:pPr>
          </w:p>
        </w:tc>
        <w:tc>
          <w:tcPr>
            <w:tcW w:w="1800" w:type="dxa"/>
          </w:tcPr>
          <w:p w14:paraId="2A691BAA">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2585A37F">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8DF30C4">
            <w:pPr>
              <w:spacing w:line="560" w:lineRule="exact"/>
              <w:ind w:left="240" w:leftChars="100"/>
              <w:rPr>
                <w:rFonts w:hint="eastAsia" w:ascii="仿宋" w:hAnsi="仿宋" w:eastAsia="仿宋" w:cs="仿宋"/>
                <w:color w:val="auto"/>
                <w:szCs w:val="24"/>
                <w:highlight w:val="none"/>
                <w:u w:val="single"/>
              </w:rPr>
            </w:pPr>
          </w:p>
        </w:tc>
      </w:tr>
      <w:tr w14:paraId="2849C2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263B2E2">
            <w:pPr>
              <w:spacing w:line="560" w:lineRule="exact"/>
              <w:ind w:left="240" w:leftChars="100"/>
              <w:jc w:val="center"/>
              <w:rPr>
                <w:rFonts w:hint="eastAsia" w:ascii="仿宋" w:hAnsi="仿宋" w:eastAsia="仿宋" w:cs="仿宋"/>
                <w:color w:val="auto"/>
                <w:szCs w:val="24"/>
                <w:highlight w:val="none"/>
              </w:rPr>
            </w:pPr>
          </w:p>
        </w:tc>
        <w:tc>
          <w:tcPr>
            <w:tcW w:w="2160" w:type="dxa"/>
          </w:tcPr>
          <w:p w14:paraId="1DF7E70A">
            <w:pPr>
              <w:spacing w:line="560" w:lineRule="exact"/>
              <w:ind w:left="240" w:leftChars="100"/>
              <w:rPr>
                <w:rFonts w:hint="eastAsia" w:ascii="仿宋" w:hAnsi="仿宋" w:eastAsia="仿宋" w:cs="仿宋"/>
                <w:color w:val="auto"/>
                <w:szCs w:val="24"/>
                <w:highlight w:val="none"/>
              </w:rPr>
            </w:pPr>
          </w:p>
        </w:tc>
        <w:tc>
          <w:tcPr>
            <w:tcW w:w="1620" w:type="dxa"/>
          </w:tcPr>
          <w:p w14:paraId="5F930A2D">
            <w:pPr>
              <w:spacing w:line="560" w:lineRule="exact"/>
              <w:ind w:left="240" w:leftChars="100"/>
              <w:rPr>
                <w:rFonts w:hint="eastAsia" w:ascii="仿宋" w:hAnsi="仿宋" w:eastAsia="仿宋" w:cs="仿宋"/>
                <w:color w:val="auto"/>
                <w:szCs w:val="24"/>
                <w:highlight w:val="none"/>
                <w:u w:val="single"/>
              </w:rPr>
            </w:pPr>
          </w:p>
        </w:tc>
        <w:tc>
          <w:tcPr>
            <w:tcW w:w="5040" w:type="dxa"/>
          </w:tcPr>
          <w:p w14:paraId="3C3E9643">
            <w:pPr>
              <w:spacing w:line="560" w:lineRule="exact"/>
              <w:ind w:left="240" w:leftChars="100"/>
              <w:rPr>
                <w:rFonts w:hint="eastAsia" w:ascii="仿宋" w:hAnsi="仿宋" w:eastAsia="仿宋" w:cs="仿宋"/>
                <w:color w:val="auto"/>
                <w:szCs w:val="24"/>
                <w:highlight w:val="none"/>
                <w:u w:val="single"/>
              </w:rPr>
            </w:pPr>
          </w:p>
        </w:tc>
        <w:tc>
          <w:tcPr>
            <w:tcW w:w="1800" w:type="dxa"/>
          </w:tcPr>
          <w:p w14:paraId="4C31858B">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54502BE9">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5A46B1DB">
            <w:pPr>
              <w:spacing w:line="560" w:lineRule="exact"/>
              <w:ind w:left="240" w:leftChars="100"/>
              <w:rPr>
                <w:rFonts w:hint="eastAsia" w:ascii="仿宋" w:hAnsi="仿宋" w:eastAsia="仿宋" w:cs="仿宋"/>
                <w:color w:val="auto"/>
                <w:szCs w:val="24"/>
                <w:highlight w:val="none"/>
                <w:u w:val="single"/>
              </w:rPr>
            </w:pPr>
          </w:p>
        </w:tc>
      </w:tr>
      <w:tr w14:paraId="600810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27DDE0C3">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5A5CD92C">
            <w:pPr>
              <w:spacing w:line="560" w:lineRule="exact"/>
              <w:ind w:left="240" w:leftChars="100"/>
              <w:rPr>
                <w:rFonts w:hint="eastAsia" w:ascii="仿宋" w:hAnsi="仿宋" w:eastAsia="仿宋" w:cs="仿宋"/>
                <w:color w:val="auto"/>
                <w:szCs w:val="24"/>
                <w:highlight w:val="none"/>
              </w:rPr>
            </w:pPr>
          </w:p>
        </w:tc>
        <w:tc>
          <w:tcPr>
            <w:tcW w:w="1620" w:type="dxa"/>
          </w:tcPr>
          <w:p w14:paraId="57D8E91A">
            <w:pPr>
              <w:spacing w:line="560" w:lineRule="exact"/>
              <w:ind w:left="240" w:leftChars="100"/>
              <w:rPr>
                <w:rFonts w:hint="eastAsia" w:ascii="仿宋" w:hAnsi="仿宋" w:eastAsia="仿宋" w:cs="仿宋"/>
                <w:color w:val="auto"/>
                <w:szCs w:val="24"/>
                <w:highlight w:val="none"/>
                <w:u w:val="single"/>
              </w:rPr>
            </w:pPr>
          </w:p>
        </w:tc>
        <w:tc>
          <w:tcPr>
            <w:tcW w:w="5040" w:type="dxa"/>
          </w:tcPr>
          <w:p w14:paraId="7275F0FA">
            <w:pPr>
              <w:spacing w:line="560" w:lineRule="exact"/>
              <w:ind w:left="240" w:leftChars="100"/>
              <w:rPr>
                <w:rFonts w:hint="eastAsia" w:ascii="仿宋" w:hAnsi="仿宋" w:eastAsia="仿宋" w:cs="仿宋"/>
                <w:color w:val="auto"/>
                <w:szCs w:val="24"/>
                <w:highlight w:val="none"/>
                <w:u w:val="single"/>
              </w:rPr>
            </w:pPr>
          </w:p>
        </w:tc>
        <w:tc>
          <w:tcPr>
            <w:tcW w:w="1800" w:type="dxa"/>
          </w:tcPr>
          <w:p w14:paraId="250E111E">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9F26A82">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75B5003E">
            <w:pPr>
              <w:spacing w:line="560" w:lineRule="exact"/>
              <w:ind w:left="240" w:leftChars="100"/>
              <w:rPr>
                <w:rFonts w:hint="eastAsia" w:ascii="仿宋" w:hAnsi="仿宋" w:eastAsia="仿宋" w:cs="仿宋"/>
                <w:color w:val="auto"/>
                <w:szCs w:val="24"/>
                <w:highlight w:val="none"/>
                <w:u w:val="single"/>
              </w:rPr>
            </w:pPr>
          </w:p>
        </w:tc>
      </w:tr>
      <w:tr w14:paraId="2FDE7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59046AE9">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025E8EA4">
            <w:pPr>
              <w:spacing w:line="560" w:lineRule="exact"/>
              <w:ind w:left="240" w:leftChars="100"/>
              <w:rPr>
                <w:rFonts w:hint="eastAsia" w:ascii="仿宋" w:hAnsi="仿宋" w:eastAsia="仿宋" w:cs="仿宋"/>
                <w:color w:val="auto"/>
                <w:szCs w:val="24"/>
                <w:highlight w:val="none"/>
              </w:rPr>
            </w:pPr>
          </w:p>
        </w:tc>
        <w:tc>
          <w:tcPr>
            <w:tcW w:w="1620" w:type="dxa"/>
          </w:tcPr>
          <w:p w14:paraId="4C663332">
            <w:pPr>
              <w:spacing w:line="560" w:lineRule="exact"/>
              <w:ind w:left="240" w:leftChars="100"/>
              <w:rPr>
                <w:rFonts w:hint="eastAsia" w:ascii="仿宋" w:hAnsi="仿宋" w:eastAsia="仿宋" w:cs="仿宋"/>
                <w:color w:val="auto"/>
                <w:szCs w:val="24"/>
                <w:highlight w:val="none"/>
                <w:u w:val="single"/>
              </w:rPr>
            </w:pPr>
          </w:p>
        </w:tc>
        <w:tc>
          <w:tcPr>
            <w:tcW w:w="5040" w:type="dxa"/>
          </w:tcPr>
          <w:p w14:paraId="0B820DB3">
            <w:pPr>
              <w:spacing w:line="560" w:lineRule="exact"/>
              <w:ind w:left="240" w:leftChars="100"/>
              <w:rPr>
                <w:rFonts w:hint="eastAsia" w:ascii="仿宋" w:hAnsi="仿宋" w:eastAsia="仿宋" w:cs="仿宋"/>
                <w:color w:val="auto"/>
                <w:szCs w:val="24"/>
                <w:highlight w:val="none"/>
                <w:u w:val="single"/>
              </w:rPr>
            </w:pPr>
          </w:p>
        </w:tc>
        <w:tc>
          <w:tcPr>
            <w:tcW w:w="1800" w:type="dxa"/>
          </w:tcPr>
          <w:p w14:paraId="5A3430B6">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326C1C3">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51A07867">
            <w:pPr>
              <w:spacing w:line="560" w:lineRule="exact"/>
              <w:ind w:left="240" w:leftChars="100"/>
              <w:rPr>
                <w:rFonts w:hint="eastAsia" w:ascii="仿宋" w:hAnsi="仿宋" w:eastAsia="仿宋" w:cs="仿宋"/>
                <w:color w:val="auto"/>
                <w:szCs w:val="24"/>
                <w:highlight w:val="none"/>
                <w:u w:val="single"/>
              </w:rPr>
            </w:pPr>
          </w:p>
        </w:tc>
      </w:tr>
      <w:tr w14:paraId="3779E7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1A3903A">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435C45A3">
            <w:pPr>
              <w:spacing w:line="560" w:lineRule="exact"/>
              <w:ind w:left="240" w:leftChars="100"/>
              <w:rPr>
                <w:rFonts w:hint="eastAsia" w:ascii="仿宋" w:hAnsi="仿宋" w:eastAsia="仿宋" w:cs="仿宋"/>
                <w:color w:val="auto"/>
                <w:szCs w:val="24"/>
                <w:highlight w:val="none"/>
              </w:rPr>
            </w:pPr>
          </w:p>
        </w:tc>
        <w:tc>
          <w:tcPr>
            <w:tcW w:w="1620" w:type="dxa"/>
          </w:tcPr>
          <w:p w14:paraId="63759AD2">
            <w:pPr>
              <w:spacing w:line="560" w:lineRule="exact"/>
              <w:ind w:left="240" w:leftChars="100"/>
              <w:rPr>
                <w:rFonts w:hint="eastAsia" w:ascii="仿宋" w:hAnsi="仿宋" w:eastAsia="仿宋" w:cs="仿宋"/>
                <w:color w:val="auto"/>
                <w:szCs w:val="24"/>
                <w:highlight w:val="none"/>
                <w:u w:val="single"/>
              </w:rPr>
            </w:pPr>
          </w:p>
        </w:tc>
        <w:tc>
          <w:tcPr>
            <w:tcW w:w="5040" w:type="dxa"/>
          </w:tcPr>
          <w:p w14:paraId="12266AEA">
            <w:pPr>
              <w:spacing w:line="560" w:lineRule="exact"/>
              <w:ind w:left="240" w:leftChars="100"/>
              <w:rPr>
                <w:rFonts w:hint="eastAsia" w:ascii="仿宋" w:hAnsi="仿宋" w:eastAsia="仿宋" w:cs="仿宋"/>
                <w:color w:val="auto"/>
                <w:szCs w:val="24"/>
                <w:highlight w:val="none"/>
                <w:u w:val="single"/>
              </w:rPr>
            </w:pPr>
          </w:p>
        </w:tc>
        <w:tc>
          <w:tcPr>
            <w:tcW w:w="1800" w:type="dxa"/>
          </w:tcPr>
          <w:p w14:paraId="4227EB2E">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4F858E12">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38209D19">
            <w:pPr>
              <w:spacing w:line="560" w:lineRule="exact"/>
              <w:ind w:left="240" w:leftChars="100"/>
              <w:rPr>
                <w:rFonts w:hint="eastAsia" w:ascii="仿宋" w:hAnsi="仿宋" w:eastAsia="仿宋" w:cs="仿宋"/>
                <w:color w:val="auto"/>
                <w:szCs w:val="24"/>
                <w:highlight w:val="none"/>
                <w:u w:val="single"/>
              </w:rPr>
            </w:pPr>
          </w:p>
        </w:tc>
      </w:tr>
      <w:tr w14:paraId="512989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AB15CE4">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52E6D7B8">
            <w:pPr>
              <w:spacing w:line="560" w:lineRule="exact"/>
              <w:ind w:left="240" w:leftChars="100"/>
              <w:rPr>
                <w:rFonts w:hint="eastAsia" w:ascii="仿宋" w:hAnsi="仿宋" w:eastAsia="仿宋" w:cs="仿宋"/>
                <w:color w:val="auto"/>
                <w:szCs w:val="24"/>
                <w:highlight w:val="none"/>
              </w:rPr>
            </w:pPr>
          </w:p>
        </w:tc>
        <w:tc>
          <w:tcPr>
            <w:tcW w:w="1620" w:type="dxa"/>
          </w:tcPr>
          <w:p w14:paraId="55F651C2">
            <w:pPr>
              <w:spacing w:line="560" w:lineRule="exact"/>
              <w:ind w:left="240" w:leftChars="100"/>
              <w:rPr>
                <w:rFonts w:hint="eastAsia" w:ascii="仿宋" w:hAnsi="仿宋" w:eastAsia="仿宋" w:cs="仿宋"/>
                <w:color w:val="auto"/>
                <w:szCs w:val="24"/>
                <w:highlight w:val="none"/>
                <w:u w:val="single"/>
              </w:rPr>
            </w:pPr>
          </w:p>
        </w:tc>
        <w:tc>
          <w:tcPr>
            <w:tcW w:w="5040" w:type="dxa"/>
          </w:tcPr>
          <w:p w14:paraId="310F73DA">
            <w:pPr>
              <w:spacing w:line="560" w:lineRule="exact"/>
              <w:ind w:left="240" w:leftChars="100"/>
              <w:rPr>
                <w:rFonts w:hint="eastAsia" w:ascii="仿宋" w:hAnsi="仿宋" w:eastAsia="仿宋" w:cs="仿宋"/>
                <w:color w:val="auto"/>
                <w:szCs w:val="24"/>
                <w:highlight w:val="none"/>
                <w:u w:val="single"/>
              </w:rPr>
            </w:pPr>
          </w:p>
        </w:tc>
        <w:tc>
          <w:tcPr>
            <w:tcW w:w="1800" w:type="dxa"/>
          </w:tcPr>
          <w:p w14:paraId="6604C42E">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68962959">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8E3B36E">
            <w:pPr>
              <w:spacing w:line="560" w:lineRule="exact"/>
              <w:ind w:left="240" w:leftChars="100"/>
              <w:rPr>
                <w:rFonts w:hint="eastAsia" w:ascii="仿宋" w:hAnsi="仿宋" w:eastAsia="仿宋" w:cs="仿宋"/>
                <w:color w:val="auto"/>
                <w:szCs w:val="24"/>
                <w:highlight w:val="none"/>
                <w:u w:val="single"/>
              </w:rPr>
            </w:pPr>
          </w:p>
        </w:tc>
      </w:tr>
    </w:tbl>
    <w:p w14:paraId="02495D01">
      <w:pPr>
        <w:spacing w:line="560" w:lineRule="exact"/>
        <w:ind w:left="240" w:leftChars="100" w:firstLine="480" w:firstLineChars="200"/>
        <w:rPr>
          <w:rFonts w:hint="eastAsia" w:ascii="仿宋" w:hAnsi="仿宋" w:eastAsia="仿宋" w:cs="仿宋"/>
          <w:color w:val="auto"/>
          <w:highlight w:val="none"/>
          <w:u w:val="single"/>
        </w:rPr>
        <w:sectPr>
          <w:headerReference r:id="rId22" w:type="first"/>
          <w:footerReference r:id="rId24" w:type="first"/>
          <w:headerReference r:id="rId21" w:type="default"/>
          <w:footerReference r:id="rId23" w:type="default"/>
          <w:pgSz w:w="16840" w:h="11905" w:orient="landscape"/>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bookmarkStart w:id="186" w:name="_Toc193187102"/>
      <w:bookmarkStart w:id="187" w:name="_Toc194663923"/>
      <w:bookmarkStart w:id="188" w:name="_Toc193126886"/>
      <w:bookmarkStart w:id="189" w:name="_Toc188808837"/>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p>
    <w:bookmarkEnd w:id="186"/>
    <w:bookmarkEnd w:id="187"/>
    <w:bookmarkEnd w:id="188"/>
    <w:bookmarkEnd w:id="189"/>
    <w:p w14:paraId="5D192F43">
      <w:pPr>
        <w:pStyle w:val="37"/>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.技术规格响应偏离表</w:t>
      </w:r>
      <w:r>
        <w:rPr>
          <w:rFonts w:hint="eastAsia" w:ascii="仿宋" w:hAnsi="仿宋" w:eastAsia="仿宋" w:cs="仿宋"/>
          <w:bCs/>
          <w:color w:val="auto"/>
          <w:sz w:val="24"/>
          <w:szCs w:val="21"/>
          <w:highlight w:val="none"/>
        </w:rPr>
        <w:t>（格式）</w:t>
      </w:r>
    </w:p>
    <w:p w14:paraId="1371BC23">
      <w:pPr>
        <w:spacing w:line="560" w:lineRule="exact"/>
        <w:jc w:val="lef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pPr w:leftFromText="180" w:rightFromText="180" w:vertAnchor="text" w:horzAnchor="margin" w:tblpY="162"/>
        <w:tblOverlap w:val="never"/>
        <w:tblW w:w="89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93"/>
        <w:gridCol w:w="2319"/>
        <w:gridCol w:w="2018"/>
        <w:gridCol w:w="1582"/>
        <w:gridCol w:w="1119"/>
      </w:tblGrid>
      <w:tr w14:paraId="49C34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EAF5ED7">
            <w:pPr>
              <w:spacing w:line="560" w:lineRule="exact"/>
              <w:ind w:left="46" w:leftChars="1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193" w:type="dxa"/>
            <w:tcMar>
              <w:top w:w="57" w:type="dxa"/>
              <w:left w:w="28" w:type="dxa"/>
              <w:bottom w:w="57" w:type="dxa"/>
              <w:right w:w="28" w:type="dxa"/>
            </w:tcMar>
            <w:vAlign w:val="center"/>
          </w:tcPr>
          <w:p w14:paraId="0E528D36">
            <w:pPr>
              <w:spacing w:line="560" w:lineRule="exact"/>
              <w:jc w:val="center"/>
              <w:rPr>
                <w:rFonts w:hint="eastAsia"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名称</w:t>
            </w:r>
          </w:p>
        </w:tc>
        <w:tc>
          <w:tcPr>
            <w:tcW w:w="2319" w:type="dxa"/>
            <w:tcMar>
              <w:top w:w="57" w:type="dxa"/>
              <w:left w:w="28" w:type="dxa"/>
              <w:bottom w:w="57" w:type="dxa"/>
              <w:right w:w="28" w:type="dxa"/>
            </w:tcMar>
            <w:vAlign w:val="center"/>
          </w:tcPr>
          <w:p w14:paraId="7E9CE814">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招标文件技术需求</w:t>
            </w:r>
          </w:p>
        </w:tc>
        <w:tc>
          <w:tcPr>
            <w:tcW w:w="2018" w:type="dxa"/>
            <w:tcMar>
              <w:top w:w="57" w:type="dxa"/>
              <w:left w:w="28" w:type="dxa"/>
              <w:bottom w:w="57" w:type="dxa"/>
              <w:right w:w="28" w:type="dxa"/>
            </w:tcMar>
            <w:vAlign w:val="center"/>
          </w:tcPr>
          <w:p w14:paraId="0B8F929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投标文件技术响应</w:t>
            </w:r>
          </w:p>
        </w:tc>
        <w:tc>
          <w:tcPr>
            <w:tcW w:w="1582" w:type="dxa"/>
            <w:tcMar>
              <w:top w:w="57" w:type="dxa"/>
              <w:left w:w="28" w:type="dxa"/>
              <w:bottom w:w="57" w:type="dxa"/>
              <w:right w:w="28" w:type="dxa"/>
            </w:tcMar>
            <w:vAlign w:val="center"/>
          </w:tcPr>
          <w:p w14:paraId="78A7F895">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119" w:type="dxa"/>
            <w:tcMar>
              <w:top w:w="57" w:type="dxa"/>
              <w:left w:w="28" w:type="dxa"/>
              <w:bottom w:w="57" w:type="dxa"/>
              <w:right w:w="28" w:type="dxa"/>
            </w:tcMar>
            <w:vAlign w:val="center"/>
          </w:tcPr>
          <w:p w14:paraId="3D29D180">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2CD7E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tcBorders>
              <w:bottom w:val="single" w:color="auto" w:sz="4" w:space="0"/>
            </w:tcBorders>
            <w:tcMar>
              <w:top w:w="57" w:type="dxa"/>
              <w:left w:w="28" w:type="dxa"/>
              <w:bottom w:w="57" w:type="dxa"/>
              <w:right w:w="28" w:type="dxa"/>
            </w:tcMar>
            <w:vAlign w:val="center"/>
          </w:tcPr>
          <w:p w14:paraId="504B62E2">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6737BB94">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00129AEE">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1ADA7414">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1CB90ABB">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31A556BB">
            <w:pPr>
              <w:spacing w:line="560" w:lineRule="exact"/>
              <w:rPr>
                <w:rFonts w:hint="eastAsia" w:ascii="仿宋" w:hAnsi="仿宋" w:eastAsia="仿宋" w:cs="仿宋"/>
                <w:color w:val="auto"/>
                <w:szCs w:val="24"/>
                <w:highlight w:val="none"/>
              </w:rPr>
            </w:pPr>
          </w:p>
        </w:tc>
      </w:tr>
      <w:tr w14:paraId="3D4F0B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144297B9">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4882D03D">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46B189D8">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54B4154">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2DBF124">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A01C857">
            <w:pPr>
              <w:spacing w:line="560" w:lineRule="exact"/>
              <w:rPr>
                <w:rFonts w:hint="eastAsia" w:ascii="仿宋" w:hAnsi="仿宋" w:eastAsia="仿宋" w:cs="仿宋"/>
                <w:color w:val="auto"/>
                <w:szCs w:val="24"/>
                <w:highlight w:val="none"/>
              </w:rPr>
            </w:pPr>
          </w:p>
        </w:tc>
      </w:tr>
      <w:tr w14:paraId="16E4D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3B899076">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0898F1D4">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09D6C3B0">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7B12E4FF">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00E9E6CF">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2782752">
            <w:pPr>
              <w:spacing w:line="560" w:lineRule="exact"/>
              <w:rPr>
                <w:rFonts w:hint="eastAsia" w:ascii="仿宋" w:hAnsi="仿宋" w:eastAsia="仿宋" w:cs="仿宋"/>
                <w:color w:val="auto"/>
                <w:szCs w:val="24"/>
                <w:highlight w:val="none"/>
              </w:rPr>
            </w:pPr>
          </w:p>
        </w:tc>
      </w:tr>
      <w:tr w14:paraId="363B0E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39C0D21A">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58F5B1AA">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7E64EE00">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EFCFA31">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869902E">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74E3A0E8">
            <w:pPr>
              <w:spacing w:line="560" w:lineRule="exact"/>
              <w:rPr>
                <w:rFonts w:hint="eastAsia" w:ascii="仿宋" w:hAnsi="仿宋" w:eastAsia="仿宋" w:cs="仿宋"/>
                <w:color w:val="auto"/>
                <w:szCs w:val="24"/>
                <w:highlight w:val="none"/>
              </w:rPr>
            </w:pPr>
          </w:p>
        </w:tc>
      </w:tr>
      <w:tr w14:paraId="3F197B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2B97214A">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72C36021">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5166012E">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13EF0AAF">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4D391B71">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0F38C75B">
            <w:pPr>
              <w:spacing w:line="560" w:lineRule="exact"/>
              <w:rPr>
                <w:rFonts w:hint="eastAsia" w:ascii="仿宋" w:hAnsi="仿宋" w:eastAsia="仿宋" w:cs="仿宋"/>
                <w:color w:val="auto"/>
                <w:szCs w:val="24"/>
                <w:highlight w:val="none"/>
              </w:rPr>
            </w:pPr>
          </w:p>
        </w:tc>
      </w:tr>
      <w:tr w14:paraId="02D1C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2D3C1EA6">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3F51C9D7">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02338329">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025CA613">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4396B9B1">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785F1A0A">
            <w:pPr>
              <w:spacing w:line="560" w:lineRule="exact"/>
              <w:rPr>
                <w:rFonts w:hint="eastAsia" w:ascii="仿宋" w:hAnsi="仿宋" w:eastAsia="仿宋" w:cs="仿宋"/>
                <w:color w:val="auto"/>
                <w:szCs w:val="24"/>
                <w:highlight w:val="none"/>
              </w:rPr>
            </w:pPr>
          </w:p>
        </w:tc>
      </w:tr>
      <w:tr w14:paraId="0F5B9B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386258A3">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6BD6283C">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2B49B58B">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52923EEE">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6FA38AF2">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6E61BC9">
            <w:pPr>
              <w:spacing w:line="560" w:lineRule="exact"/>
              <w:rPr>
                <w:rFonts w:hint="eastAsia" w:ascii="仿宋" w:hAnsi="仿宋" w:eastAsia="仿宋" w:cs="仿宋"/>
                <w:color w:val="auto"/>
                <w:szCs w:val="24"/>
                <w:highlight w:val="none"/>
              </w:rPr>
            </w:pPr>
          </w:p>
        </w:tc>
      </w:tr>
      <w:tr w14:paraId="3E635B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2" w:type="dxa"/>
            <w:tcBorders>
              <w:bottom w:val="single" w:color="auto" w:sz="4" w:space="0"/>
            </w:tcBorders>
            <w:tcMar>
              <w:top w:w="57" w:type="dxa"/>
              <w:left w:w="28" w:type="dxa"/>
              <w:bottom w:w="57" w:type="dxa"/>
              <w:right w:w="28" w:type="dxa"/>
            </w:tcMar>
            <w:vAlign w:val="center"/>
          </w:tcPr>
          <w:p w14:paraId="02B7D955">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069570C3">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51D48527">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695BB1F3">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6B4F38D5">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00CFE07F">
            <w:pPr>
              <w:spacing w:line="560" w:lineRule="exact"/>
              <w:rPr>
                <w:rFonts w:hint="eastAsia" w:ascii="仿宋" w:hAnsi="仿宋" w:eastAsia="仿宋" w:cs="仿宋"/>
                <w:color w:val="auto"/>
                <w:szCs w:val="24"/>
                <w:highlight w:val="none"/>
              </w:rPr>
            </w:pPr>
          </w:p>
        </w:tc>
      </w:tr>
      <w:tr w14:paraId="3020E2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403141AF">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79750DA1">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E12AEA1">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4A978FF8">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0EB32113">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3713210C">
            <w:pPr>
              <w:spacing w:line="560" w:lineRule="exact"/>
              <w:rPr>
                <w:rFonts w:hint="eastAsia" w:ascii="仿宋" w:hAnsi="仿宋" w:eastAsia="仿宋" w:cs="仿宋"/>
                <w:color w:val="auto"/>
                <w:szCs w:val="24"/>
                <w:highlight w:val="none"/>
              </w:rPr>
            </w:pPr>
          </w:p>
        </w:tc>
      </w:tr>
      <w:tr w14:paraId="779ED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F31DAAB">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436EED1C">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679724D">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4FF1F639">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5CBC2C2A">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6DA9BC1">
            <w:pPr>
              <w:spacing w:line="560" w:lineRule="exact"/>
              <w:rPr>
                <w:rFonts w:hint="eastAsia" w:ascii="仿宋" w:hAnsi="仿宋" w:eastAsia="仿宋" w:cs="仿宋"/>
                <w:color w:val="auto"/>
                <w:szCs w:val="24"/>
                <w:highlight w:val="none"/>
              </w:rPr>
            </w:pPr>
          </w:p>
        </w:tc>
      </w:tr>
      <w:tr w14:paraId="3643D7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2" w:type="dxa"/>
            <w:tcBorders>
              <w:bottom w:val="single" w:color="auto" w:sz="4" w:space="0"/>
            </w:tcBorders>
            <w:tcMar>
              <w:top w:w="57" w:type="dxa"/>
              <w:left w:w="28" w:type="dxa"/>
              <w:bottom w:w="57" w:type="dxa"/>
              <w:right w:w="28" w:type="dxa"/>
            </w:tcMar>
            <w:vAlign w:val="center"/>
          </w:tcPr>
          <w:p w14:paraId="1C10F300">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4A2FD588">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532717C8">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15E7B470">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1CDEA4CF">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29448C3C">
            <w:pPr>
              <w:spacing w:line="560" w:lineRule="exact"/>
              <w:rPr>
                <w:rFonts w:hint="eastAsia" w:ascii="仿宋" w:hAnsi="仿宋" w:eastAsia="仿宋" w:cs="仿宋"/>
                <w:color w:val="auto"/>
                <w:szCs w:val="24"/>
                <w:highlight w:val="none"/>
              </w:rPr>
            </w:pPr>
          </w:p>
        </w:tc>
      </w:tr>
      <w:tr w14:paraId="0F200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4BF68115">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2E934225">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3D0E749">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5CA926E">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7E0DF61">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AC81C27">
            <w:pPr>
              <w:spacing w:line="560" w:lineRule="exact"/>
              <w:rPr>
                <w:rFonts w:hint="eastAsia" w:ascii="仿宋" w:hAnsi="仿宋" w:eastAsia="仿宋" w:cs="仿宋"/>
                <w:color w:val="auto"/>
                <w:szCs w:val="24"/>
                <w:highlight w:val="none"/>
              </w:rPr>
            </w:pPr>
          </w:p>
        </w:tc>
      </w:tr>
      <w:tr w14:paraId="347C64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57D80586">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631AE506">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40A25C2D">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56E2BE78">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3E307875">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675B4D83">
            <w:pPr>
              <w:spacing w:line="560" w:lineRule="exact"/>
              <w:rPr>
                <w:rFonts w:hint="eastAsia" w:ascii="仿宋" w:hAnsi="仿宋" w:eastAsia="仿宋" w:cs="仿宋"/>
                <w:color w:val="auto"/>
                <w:szCs w:val="24"/>
                <w:highlight w:val="none"/>
              </w:rPr>
            </w:pPr>
          </w:p>
        </w:tc>
      </w:tr>
    </w:tbl>
    <w:p w14:paraId="67303329">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b/>
          <w:bCs/>
          <w:color w:val="auto"/>
          <w:sz w:val="18"/>
          <w:szCs w:val="18"/>
          <w:highlight w:val="none"/>
          <w:u w:val="none"/>
          <w:lang w:val="en-US" w:eastAsia="zh-CN"/>
        </w:rPr>
      </w:pPr>
      <w:r>
        <w:rPr>
          <w:rFonts w:hint="eastAsia" w:ascii="仿宋" w:hAnsi="仿宋" w:eastAsia="仿宋" w:cs="仿宋"/>
          <w:b/>
          <w:bCs/>
          <w:color w:val="auto"/>
          <w:sz w:val="18"/>
          <w:szCs w:val="18"/>
          <w:highlight w:val="none"/>
          <w:u w:val="none"/>
          <w:lang w:eastAsia="zh-CN"/>
        </w:rPr>
        <w:t>注：本表请按项目的实际技术参数，逐条对应招标文件第三章《</w:t>
      </w:r>
      <w:r>
        <w:rPr>
          <w:rFonts w:hint="eastAsia" w:ascii="仿宋" w:hAnsi="仿宋" w:eastAsia="仿宋" w:cs="仿宋"/>
          <w:b/>
          <w:bCs/>
          <w:color w:val="auto"/>
          <w:sz w:val="18"/>
          <w:szCs w:val="18"/>
          <w:highlight w:val="none"/>
          <w:u w:val="none"/>
          <w:lang w:val="en-US" w:eastAsia="zh-CN"/>
        </w:rPr>
        <w:t>采购内容及技术要求</w:t>
      </w:r>
      <w:r>
        <w:rPr>
          <w:rFonts w:hint="eastAsia" w:ascii="仿宋" w:hAnsi="仿宋" w:eastAsia="仿宋" w:cs="仿宋"/>
          <w:b/>
          <w:bCs/>
          <w:color w:val="auto"/>
          <w:sz w:val="18"/>
          <w:szCs w:val="18"/>
          <w:highlight w:val="none"/>
          <w:u w:val="none"/>
          <w:lang w:eastAsia="zh-CN"/>
        </w:rPr>
        <w:t>》</w:t>
      </w:r>
      <w:r>
        <w:rPr>
          <w:rFonts w:hint="eastAsia" w:ascii="仿宋" w:hAnsi="仿宋" w:eastAsia="仿宋" w:cs="仿宋"/>
          <w:b/>
          <w:bCs/>
          <w:color w:val="auto"/>
          <w:sz w:val="18"/>
          <w:szCs w:val="18"/>
          <w:highlight w:val="none"/>
          <w:u w:val="none"/>
          <w:lang w:val="en-US" w:eastAsia="zh-CN"/>
        </w:rPr>
        <w:t>认真填写，偏离情况填写：优于、等于或低于，偏离说明对偏离情况做出详细说明。</w:t>
      </w:r>
    </w:p>
    <w:p w14:paraId="2C14511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w:t>
      </w:r>
    </w:p>
    <w:p w14:paraId="0BA7285A">
      <w:pPr>
        <w:spacing w:line="560" w:lineRule="exact"/>
        <w:ind w:firstLine="360" w:firstLineChars="15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日 期：</w:t>
      </w:r>
      <w:bookmarkStart w:id="190" w:name="_Toc188808838"/>
      <w:bookmarkStart w:id="191" w:name="_Toc194663924"/>
      <w:bookmarkStart w:id="192" w:name="_Toc193187103"/>
      <w:bookmarkStart w:id="193" w:name="_Toc193126887"/>
      <w:r>
        <w:rPr>
          <w:rFonts w:hint="eastAsia" w:ascii="仿宋" w:hAnsi="仿宋" w:eastAsia="仿宋" w:cs="仿宋"/>
          <w:color w:val="auto"/>
          <w:szCs w:val="24"/>
          <w:highlight w:val="none"/>
        </w:rPr>
        <w:t xml:space="preserve">   </w:t>
      </w:r>
    </w:p>
    <w:p w14:paraId="746A4C72">
      <w:pPr>
        <w:pStyle w:val="37"/>
        <w:spacing w:line="560" w:lineRule="exact"/>
        <w:ind w:firstLineChars="71"/>
        <w:rPr>
          <w:rFonts w:hint="eastAsia" w:ascii="仿宋" w:hAnsi="仿宋" w:eastAsia="仿宋" w:cs="仿宋"/>
          <w:b/>
          <w:color w:val="auto"/>
          <w:highlight w:val="none"/>
        </w:rPr>
      </w:pPr>
      <w:bookmarkStart w:id="194" w:name="_Toc2240"/>
      <w:bookmarkStart w:id="195" w:name="_Toc458617476"/>
      <w:bookmarkStart w:id="196" w:name="_Toc11969"/>
    </w:p>
    <w:p w14:paraId="3BB9B5F8">
      <w:pPr>
        <w:pStyle w:val="37"/>
        <w:spacing w:line="560" w:lineRule="exact"/>
        <w:ind w:firstLineChars="71"/>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.商务条款响应偏离表</w:t>
      </w:r>
      <w:bookmarkEnd w:id="190"/>
      <w:bookmarkEnd w:id="191"/>
      <w:bookmarkEnd w:id="192"/>
      <w:bookmarkEnd w:id="193"/>
      <w:bookmarkEnd w:id="194"/>
      <w:bookmarkEnd w:id="195"/>
      <w:bookmarkEnd w:id="196"/>
      <w:r>
        <w:rPr>
          <w:rFonts w:hint="eastAsia" w:ascii="仿宋" w:hAnsi="仿宋" w:eastAsia="仿宋" w:cs="仿宋"/>
          <w:bCs/>
          <w:color w:val="auto"/>
          <w:sz w:val="24"/>
          <w:szCs w:val="21"/>
          <w:highlight w:val="none"/>
        </w:rPr>
        <w:t>（格式）</w:t>
      </w:r>
    </w:p>
    <w:p w14:paraId="3F6A9851">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W w:w="90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58"/>
        <w:gridCol w:w="2506"/>
        <w:gridCol w:w="1454"/>
        <w:gridCol w:w="1454"/>
      </w:tblGrid>
      <w:tr w14:paraId="087CA2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7677516">
            <w:pPr>
              <w:spacing w:line="560" w:lineRule="exact"/>
              <w:ind w:left="-110" w:leftChars="-4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 序号</w:t>
            </w:r>
          </w:p>
        </w:tc>
        <w:tc>
          <w:tcPr>
            <w:tcW w:w="2858" w:type="dxa"/>
            <w:tcMar>
              <w:top w:w="57" w:type="dxa"/>
              <w:left w:w="28" w:type="dxa"/>
              <w:bottom w:w="57" w:type="dxa"/>
              <w:right w:w="28" w:type="dxa"/>
            </w:tcMar>
            <w:vAlign w:val="center"/>
          </w:tcPr>
          <w:p w14:paraId="272800D5">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招标文件商务要求</w:t>
            </w:r>
          </w:p>
        </w:tc>
        <w:tc>
          <w:tcPr>
            <w:tcW w:w="2506" w:type="dxa"/>
            <w:tcMar>
              <w:top w:w="57" w:type="dxa"/>
              <w:left w:w="28" w:type="dxa"/>
              <w:bottom w:w="57" w:type="dxa"/>
              <w:right w:w="28" w:type="dxa"/>
            </w:tcMar>
            <w:vAlign w:val="center"/>
          </w:tcPr>
          <w:p w14:paraId="3D99258D">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投标文件商务响应</w:t>
            </w:r>
          </w:p>
        </w:tc>
        <w:tc>
          <w:tcPr>
            <w:tcW w:w="1454" w:type="dxa"/>
            <w:tcMar>
              <w:top w:w="57" w:type="dxa"/>
              <w:left w:w="28" w:type="dxa"/>
              <w:bottom w:w="57" w:type="dxa"/>
              <w:right w:w="28" w:type="dxa"/>
            </w:tcMar>
            <w:vAlign w:val="center"/>
          </w:tcPr>
          <w:p w14:paraId="4EB045D6">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454" w:type="dxa"/>
            <w:tcMar>
              <w:top w:w="57" w:type="dxa"/>
              <w:left w:w="28" w:type="dxa"/>
              <w:bottom w:w="57" w:type="dxa"/>
              <w:right w:w="28" w:type="dxa"/>
            </w:tcMar>
            <w:vAlign w:val="center"/>
          </w:tcPr>
          <w:p w14:paraId="26658747">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04A9CA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dxa"/>
            <w:tcBorders>
              <w:bottom w:val="single" w:color="auto" w:sz="4" w:space="0"/>
            </w:tcBorders>
            <w:tcMar>
              <w:top w:w="57" w:type="dxa"/>
              <w:left w:w="28" w:type="dxa"/>
              <w:bottom w:w="57" w:type="dxa"/>
              <w:right w:w="28" w:type="dxa"/>
            </w:tcMar>
            <w:vAlign w:val="center"/>
          </w:tcPr>
          <w:p w14:paraId="10D9C32E">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2B6FA94B">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3F416A0E">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5AA5D1DE">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718416E3">
            <w:pPr>
              <w:spacing w:line="560" w:lineRule="exact"/>
              <w:ind w:left="240" w:leftChars="100"/>
              <w:rPr>
                <w:rFonts w:hint="eastAsia" w:ascii="仿宋" w:hAnsi="仿宋" w:eastAsia="仿宋" w:cs="仿宋"/>
                <w:color w:val="auto"/>
                <w:szCs w:val="24"/>
                <w:highlight w:val="none"/>
              </w:rPr>
            </w:pPr>
          </w:p>
        </w:tc>
      </w:tr>
      <w:tr w14:paraId="3FAAC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 w:type="dxa"/>
            <w:tcBorders>
              <w:bottom w:val="single" w:color="auto" w:sz="4" w:space="0"/>
            </w:tcBorders>
            <w:tcMar>
              <w:top w:w="57" w:type="dxa"/>
              <w:left w:w="28" w:type="dxa"/>
              <w:bottom w:w="57" w:type="dxa"/>
              <w:right w:w="28" w:type="dxa"/>
            </w:tcMar>
            <w:vAlign w:val="center"/>
          </w:tcPr>
          <w:p w14:paraId="30EB88EF">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46DB09E4">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115FFC5A">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2DA11714">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16A0F1F3">
            <w:pPr>
              <w:spacing w:line="560" w:lineRule="exact"/>
              <w:ind w:left="240" w:leftChars="100"/>
              <w:rPr>
                <w:rFonts w:hint="eastAsia" w:ascii="仿宋" w:hAnsi="仿宋" w:eastAsia="仿宋" w:cs="仿宋"/>
                <w:color w:val="auto"/>
                <w:szCs w:val="24"/>
                <w:highlight w:val="none"/>
              </w:rPr>
            </w:pPr>
          </w:p>
        </w:tc>
      </w:tr>
      <w:tr w14:paraId="11292F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71DA3D3">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A6E04BE">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64450D24">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5EA7CF64">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B037246">
            <w:pPr>
              <w:spacing w:line="560" w:lineRule="exact"/>
              <w:ind w:left="240" w:leftChars="100"/>
              <w:rPr>
                <w:rFonts w:hint="eastAsia" w:ascii="仿宋" w:hAnsi="仿宋" w:eastAsia="仿宋" w:cs="仿宋"/>
                <w:color w:val="auto"/>
                <w:szCs w:val="24"/>
                <w:highlight w:val="none"/>
              </w:rPr>
            </w:pPr>
          </w:p>
        </w:tc>
      </w:tr>
      <w:tr w14:paraId="062C9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F5359CA">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4B39E0E1">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614901C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75BEBC24">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4D0FFF5">
            <w:pPr>
              <w:spacing w:line="560" w:lineRule="exact"/>
              <w:ind w:left="240" w:leftChars="100"/>
              <w:rPr>
                <w:rFonts w:hint="eastAsia" w:ascii="仿宋" w:hAnsi="仿宋" w:eastAsia="仿宋" w:cs="仿宋"/>
                <w:color w:val="auto"/>
                <w:szCs w:val="24"/>
                <w:highlight w:val="none"/>
              </w:rPr>
            </w:pPr>
          </w:p>
        </w:tc>
      </w:tr>
      <w:tr w14:paraId="4935B4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1EBACDC7">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77103F1A">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38FB224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2B12AEB3">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56A43595">
            <w:pPr>
              <w:spacing w:line="560" w:lineRule="exact"/>
              <w:ind w:left="240" w:leftChars="100"/>
              <w:rPr>
                <w:rFonts w:hint="eastAsia" w:ascii="仿宋" w:hAnsi="仿宋" w:eastAsia="仿宋" w:cs="仿宋"/>
                <w:color w:val="auto"/>
                <w:szCs w:val="24"/>
                <w:highlight w:val="none"/>
              </w:rPr>
            </w:pPr>
          </w:p>
        </w:tc>
      </w:tr>
      <w:tr w14:paraId="4DC9DD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4205AF8">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9624F1D">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5134FC71">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869B58A">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1F12ACE">
            <w:pPr>
              <w:spacing w:line="560" w:lineRule="exact"/>
              <w:ind w:left="240" w:leftChars="100"/>
              <w:rPr>
                <w:rFonts w:hint="eastAsia" w:ascii="仿宋" w:hAnsi="仿宋" w:eastAsia="仿宋" w:cs="仿宋"/>
                <w:color w:val="auto"/>
                <w:szCs w:val="24"/>
                <w:highlight w:val="none"/>
              </w:rPr>
            </w:pPr>
          </w:p>
        </w:tc>
      </w:tr>
      <w:tr w14:paraId="2ADEBB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72647734">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24DD516">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2B7476C2">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447E752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372267C">
            <w:pPr>
              <w:spacing w:line="560" w:lineRule="exact"/>
              <w:ind w:left="240" w:leftChars="100"/>
              <w:rPr>
                <w:rFonts w:hint="eastAsia" w:ascii="仿宋" w:hAnsi="仿宋" w:eastAsia="仿宋" w:cs="仿宋"/>
                <w:color w:val="auto"/>
                <w:szCs w:val="24"/>
                <w:highlight w:val="none"/>
              </w:rPr>
            </w:pPr>
          </w:p>
        </w:tc>
      </w:tr>
      <w:tr w14:paraId="253A4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F08992B">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6979D725">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172358DD">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31825C6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4319B42">
            <w:pPr>
              <w:spacing w:line="560" w:lineRule="exact"/>
              <w:ind w:left="240" w:leftChars="100"/>
              <w:rPr>
                <w:rFonts w:hint="eastAsia" w:ascii="仿宋" w:hAnsi="仿宋" w:eastAsia="仿宋" w:cs="仿宋"/>
                <w:color w:val="auto"/>
                <w:szCs w:val="24"/>
                <w:highlight w:val="none"/>
              </w:rPr>
            </w:pPr>
          </w:p>
        </w:tc>
      </w:tr>
      <w:tr w14:paraId="7C690F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6B60145">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5660C405">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4B05EE8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5B9C2BD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2641D606">
            <w:pPr>
              <w:spacing w:line="560" w:lineRule="exact"/>
              <w:ind w:left="240" w:leftChars="100"/>
              <w:rPr>
                <w:rFonts w:hint="eastAsia" w:ascii="仿宋" w:hAnsi="仿宋" w:eastAsia="仿宋" w:cs="仿宋"/>
                <w:color w:val="auto"/>
                <w:szCs w:val="24"/>
                <w:highlight w:val="none"/>
              </w:rPr>
            </w:pPr>
          </w:p>
        </w:tc>
      </w:tr>
      <w:tr w14:paraId="4C4978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EB21EC9">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897FAF5">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63B785CF">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9AB4CDE">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AC66A5F">
            <w:pPr>
              <w:spacing w:line="560" w:lineRule="exact"/>
              <w:ind w:left="240" w:leftChars="100"/>
              <w:rPr>
                <w:rFonts w:hint="eastAsia" w:ascii="仿宋" w:hAnsi="仿宋" w:eastAsia="仿宋" w:cs="仿宋"/>
                <w:color w:val="auto"/>
                <w:szCs w:val="24"/>
                <w:highlight w:val="none"/>
              </w:rPr>
            </w:pPr>
          </w:p>
        </w:tc>
      </w:tr>
      <w:tr w14:paraId="65C530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3577303">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708A83E6">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3E5F9D40">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4A749CFF">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5B002A07">
            <w:pPr>
              <w:spacing w:line="560" w:lineRule="exact"/>
              <w:ind w:left="240" w:leftChars="100"/>
              <w:rPr>
                <w:rFonts w:hint="eastAsia" w:ascii="仿宋" w:hAnsi="仿宋" w:eastAsia="仿宋" w:cs="仿宋"/>
                <w:color w:val="auto"/>
                <w:szCs w:val="24"/>
                <w:highlight w:val="none"/>
              </w:rPr>
            </w:pPr>
          </w:p>
        </w:tc>
      </w:tr>
      <w:tr w14:paraId="553F2B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1D1F2137">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734AC9F">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79221AC1">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C260DD8">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34459A35">
            <w:pPr>
              <w:spacing w:line="560" w:lineRule="exact"/>
              <w:ind w:left="240" w:leftChars="100"/>
              <w:rPr>
                <w:rFonts w:hint="eastAsia" w:ascii="仿宋" w:hAnsi="仿宋" w:eastAsia="仿宋" w:cs="仿宋"/>
                <w:color w:val="auto"/>
                <w:szCs w:val="24"/>
                <w:highlight w:val="none"/>
              </w:rPr>
            </w:pPr>
          </w:p>
        </w:tc>
      </w:tr>
    </w:tbl>
    <w:p w14:paraId="4B9C32D2">
      <w:pPr>
        <w:spacing w:line="560" w:lineRule="exact"/>
        <w:ind w:left="240" w:leftChars="100"/>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eastAsia="zh-CN"/>
        </w:rPr>
        <w:t>注：本表按照招标文件第四章《</w:t>
      </w:r>
      <w:r>
        <w:rPr>
          <w:rFonts w:hint="eastAsia" w:ascii="仿宋" w:hAnsi="仿宋" w:eastAsia="仿宋" w:cs="仿宋"/>
          <w:b/>
          <w:bCs/>
          <w:color w:val="auto"/>
          <w:sz w:val="20"/>
          <w:szCs w:val="20"/>
          <w:highlight w:val="none"/>
          <w:lang w:val="en-US" w:eastAsia="zh-CN"/>
        </w:rPr>
        <w:t>商务要求</w:t>
      </w:r>
      <w:r>
        <w:rPr>
          <w:rFonts w:hint="eastAsia" w:ascii="仿宋" w:hAnsi="仿宋" w:eastAsia="仿宋" w:cs="仿宋"/>
          <w:b/>
          <w:bCs/>
          <w:color w:val="auto"/>
          <w:sz w:val="20"/>
          <w:szCs w:val="20"/>
          <w:highlight w:val="none"/>
          <w:lang w:eastAsia="zh-CN"/>
        </w:rPr>
        <w:t>》</w:t>
      </w:r>
      <w:r>
        <w:rPr>
          <w:rFonts w:hint="eastAsia" w:ascii="仿宋" w:hAnsi="仿宋" w:eastAsia="仿宋" w:cs="仿宋"/>
          <w:b/>
          <w:bCs/>
          <w:color w:val="auto"/>
          <w:sz w:val="20"/>
          <w:szCs w:val="20"/>
          <w:highlight w:val="none"/>
          <w:lang w:val="en-US" w:eastAsia="zh-CN"/>
        </w:rPr>
        <w:t>逐条响应，否则按无效投标处理。偏离情况填写：优于、等于或低于，偏离说明对偏离情况做出详细说明。</w:t>
      </w:r>
    </w:p>
    <w:p w14:paraId="6A78439E">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（投标人单位公章）  </w:t>
      </w:r>
    </w:p>
    <w:p w14:paraId="10449D89">
      <w:pPr>
        <w:spacing w:line="560" w:lineRule="exact"/>
        <w:ind w:left="240" w:leftChars="100" w:firstLine="120" w:firstLineChars="50"/>
        <w:rPr>
          <w:rFonts w:hint="eastAsia" w:ascii="仿宋" w:hAnsi="仿宋" w:eastAsia="仿宋" w:cs="仿宋"/>
          <w:color w:val="auto"/>
          <w:highlight w:val="none"/>
          <w:u w:val="single"/>
        </w:rPr>
      </w:pPr>
      <w:r>
        <w:rPr>
          <w:rFonts w:hint="eastAsia" w:ascii="仿宋" w:hAnsi="仿宋" w:eastAsia="仿宋" w:cs="仿宋"/>
          <w:color w:val="auto"/>
          <w:szCs w:val="24"/>
          <w:highlight w:val="none"/>
        </w:rPr>
        <w:t>日 期：</w:t>
      </w:r>
      <w:r>
        <w:rPr>
          <w:rFonts w:hint="eastAsia" w:ascii="仿宋" w:hAnsi="仿宋" w:eastAsia="仿宋" w:cs="仿宋"/>
          <w:color w:val="auto"/>
          <w:highlight w:val="none"/>
          <w:u w:val="single"/>
        </w:rPr>
        <w:t xml:space="preserve">            </w:t>
      </w:r>
    </w:p>
    <w:p w14:paraId="31D20BFB">
      <w:pPr>
        <w:spacing w:line="560" w:lineRule="exact"/>
        <w:rPr>
          <w:rFonts w:hint="eastAsia" w:ascii="仿宋" w:hAnsi="仿宋" w:eastAsia="仿宋" w:cs="仿宋"/>
          <w:b/>
          <w:color w:val="auto"/>
          <w:kern w:val="0"/>
          <w:sz w:val="28"/>
          <w:highlight w:val="none"/>
        </w:rPr>
      </w:pPr>
      <w:r>
        <w:rPr>
          <w:rFonts w:hint="eastAsia" w:ascii="仿宋" w:hAnsi="仿宋" w:eastAsia="仿宋" w:cs="仿宋"/>
          <w:color w:val="auto"/>
          <w:szCs w:val="21"/>
          <w:highlight w:val="none"/>
          <w:u w:val="single"/>
        </w:rPr>
        <w:br w:type="page"/>
      </w:r>
    </w:p>
    <w:p w14:paraId="28402F04">
      <w:pPr>
        <w:pStyle w:val="37"/>
        <w:spacing w:line="560" w:lineRule="exact"/>
        <w:ind w:firstLineChars="71"/>
        <w:rPr>
          <w:rFonts w:hint="eastAsia" w:ascii="仿宋" w:hAnsi="仿宋" w:eastAsia="仿宋" w:cs="仿宋"/>
          <w:b/>
          <w:color w:val="auto"/>
          <w:highlight w:val="none"/>
          <w:u w:val="wavyHeavy" w:color="FF0000"/>
        </w:rPr>
      </w:pPr>
      <w:bookmarkStart w:id="197" w:name="_Toc458617478"/>
      <w:bookmarkStart w:id="198" w:name="_Toc5659"/>
      <w:bookmarkStart w:id="199" w:name="_Toc28085"/>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rPr>
        <w:t>.资格证明文件</w:t>
      </w:r>
      <w:bookmarkEnd w:id="151"/>
      <w:bookmarkEnd w:id="152"/>
      <w:bookmarkEnd w:id="153"/>
      <w:bookmarkEnd w:id="154"/>
      <w:bookmarkEnd w:id="197"/>
      <w:bookmarkEnd w:id="198"/>
      <w:bookmarkEnd w:id="199"/>
    </w:p>
    <w:p w14:paraId="2EEF75C0">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（1）基本资格条件：符合《中华人民共和国政府采购法》第二十二条的规定：</w:t>
      </w:r>
    </w:p>
    <w:p w14:paraId="5EE70BE0">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1、具有独立承担民事责任能力的法人、其他组织或自然人，并出具合法有效的营业执照或事业单位法人证书等国家规定的相关证明，自然人参与的提供其身份证明。  </w:t>
      </w:r>
    </w:p>
    <w:p w14:paraId="3A8724A4">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2、财务状况报告：</w:t>
      </w:r>
      <w:r>
        <w:rPr>
          <w:rFonts w:hint="eastAsia" w:ascii="仿宋" w:hAnsi="仿宋" w:eastAsia="仿宋" w:cs="仿宋"/>
          <w:color w:val="auto"/>
          <w:sz w:val="24"/>
          <w:highlight w:val="none"/>
          <w:lang w:eastAsia="zh-CN"/>
        </w:rPr>
        <w:t>提供具有财务审计资质单位出具的2022年度或2023年度财务报告</w:t>
      </w:r>
      <w:r>
        <w:rPr>
          <w:rFonts w:hint="eastAsia" w:ascii="仿宋" w:hAnsi="仿宋" w:eastAsia="仿宋" w:cs="仿宋"/>
          <w:color w:val="auto"/>
          <w:sz w:val="24"/>
          <w:highlight w:val="none"/>
        </w:rPr>
        <w:t xml:space="preserve">（成立时间至开标时间不足一年的可提供成立后任意时段的资产负债表）或开标前六个月内其基本账户银行出具的资信证明（附开户许可证或基本账户证明）或政府采购信用担保机构出具的投标担保函。 </w:t>
      </w:r>
    </w:p>
    <w:p w14:paraId="4FDEBE4A">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税收缴纳证明：提供202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年1月1日至今任意一个月已缴纳的纳税证明或完税证明（包含增值税、企业所得税、营业税至少一种）；（依法免税的投标人应提供相关文件证明）</w:t>
      </w:r>
      <w:r>
        <w:rPr>
          <w:rFonts w:hint="eastAsia" w:ascii="仿宋" w:hAnsi="仿宋" w:eastAsia="仿宋" w:cs="仿宋"/>
          <w:color w:val="auto"/>
          <w:sz w:val="24"/>
          <w:highlight w:val="none"/>
        </w:rPr>
        <w:t xml:space="preserve"> </w:t>
      </w:r>
    </w:p>
    <w:p w14:paraId="1D8C305A">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社会保障资金缴纳证明：提供202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年1月1日至今任意一个月的社保缴费凭据或社保机构开具的社会保险参保缴费情况证明；（依法不需要缴纳社会保障资金的投标人应提供相关证明）。</w:t>
      </w:r>
      <w:r>
        <w:rPr>
          <w:rFonts w:hint="eastAsia" w:ascii="仿宋" w:hAnsi="仿宋" w:eastAsia="仿宋" w:cs="仿宋"/>
          <w:color w:val="auto"/>
          <w:sz w:val="24"/>
          <w:highlight w:val="none"/>
        </w:rPr>
        <w:t xml:space="preserve"> </w:t>
      </w:r>
    </w:p>
    <w:p w14:paraId="40E78E95">
      <w:pPr>
        <w:pStyle w:val="37"/>
        <w:spacing w:line="52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5、提供具有履行本合同所必需的设备和专业技术能力的说明及承诺；（格式自拟，加盖投标人公章）</w:t>
      </w:r>
    </w:p>
    <w:p w14:paraId="47DB7AD3">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6、提供参加政府采购活动前三年内在经营活动中没有重大违法记录的书面声明。（格式自拟，加盖投标人公章）</w:t>
      </w:r>
    </w:p>
    <w:p w14:paraId="7D609B50">
      <w:pPr>
        <w:spacing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（2）、特定资格条件：</w:t>
      </w:r>
    </w:p>
    <w:p w14:paraId="6FFDE87D">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1、法定代表人或负责人参与投标时需提供法定代表人或负责人资格证明书（附法定代表人或负责人身份证复印件）；（法定代表人或负责人须提供身份证原件，身份证原件可由本人持有）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auto"/>
          <w:sz w:val="24"/>
          <w:highlight w:val="none"/>
          <w:lang w:val="en-US" w:eastAsia="zh-CN"/>
        </w:rPr>
        <w:t>(格式后附）</w:t>
      </w:r>
    </w:p>
    <w:p w14:paraId="67B18349">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2、被授权人参与投标时需提供法定代表人或负责人授权委托书（附法定代表人或负责人及被授权人身份证复印件）；（被授权人须提供身份证原件，身份证原件可由本人持有）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color w:val="auto"/>
          <w:sz w:val="24"/>
          <w:highlight w:val="none"/>
          <w:lang w:val="en-US" w:eastAsia="zh-CN"/>
        </w:rPr>
        <w:t>(格式后附）</w:t>
      </w:r>
    </w:p>
    <w:p w14:paraId="6E898766">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05865980">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、单位负责人为同一人或者存在直接控股、管理关系的不同投标人，不得参加同一合同项下的政府采购活动；（提供书面承诺函，格式自拟加盖投标人公章）</w:t>
      </w:r>
    </w:p>
    <w:p w14:paraId="0C259228">
      <w:pPr>
        <w:pStyle w:val="37"/>
        <w:spacing w:line="520" w:lineRule="exact"/>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5、本项目不接受联合体投标；</w:t>
      </w:r>
      <w:r>
        <w:rPr>
          <w:rFonts w:hint="eastAsia" w:ascii="仿宋" w:hAnsi="仿宋" w:eastAsia="仿宋" w:cs="仿宋"/>
          <w:color w:val="auto"/>
          <w:sz w:val="24"/>
          <w:highlight w:val="none"/>
        </w:rPr>
        <w:t>（提供书面承诺函，格式自拟加盖投标人公章）</w:t>
      </w:r>
    </w:p>
    <w:p w14:paraId="4D9F77FD">
      <w:pPr>
        <w:pStyle w:val="1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4359A756">
      <w:pPr>
        <w:rPr>
          <w:rFonts w:hint="eastAsia" w:ascii="仿宋" w:hAnsi="仿宋" w:eastAsia="仿宋" w:cs="仿宋"/>
          <w:color w:val="auto"/>
          <w:szCs w:val="24"/>
          <w:highlight w:val="none"/>
        </w:rPr>
      </w:pPr>
    </w:p>
    <w:p w14:paraId="75113EAC">
      <w:pPr>
        <w:pStyle w:val="10"/>
        <w:rPr>
          <w:rFonts w:hint="eastAsia" w:ascii="仿宋" w:hAnsi="仿宋" w:eastAsia="仿宋" w:cs="仿宋"/>
          <w:color w:val="auto"/>
          <w:highlight w:val="none"/>
        </w:rPr>
      </w:pPr>
    </w:p>
    <w:p w14:paraId="351877C5">
      <w:pPr>
        <w:pStyle w:val="10"/>
        <w:rPr>
          <w:rFonts w:hint="eastAsia" w:ascii="仿宋" w:hAnsi="仿宋" w:eastAsia="仿宋" w:cs="仿宋"/>
          <w:color w:val="auto"/>
          <w:highlight w:val="none"/>
        </w:rPr>
      </w:pPr>
    </w:p>
    <w:p w14:paraId="71C787A4">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59B52B7A">
      <w:pPr>
        <w:spacing w:line="560" w:lineRule="exact"/>
        <w:ind w:left="240" w:leftChars="100"/>
        <w:jc w:val="center"/>
        <w:rPr>
          <w:rFonts w:hint="eastAsia" w:ascii="仿宋" w:hAnsi="仿宋" w:eastAsia="仿宋" w:cs="仿宋"/>
          <w:b/>
          <w:bCs/>
          <w:color w:val="auto"/>
          <w:sz w:val="28"/>
          <w:szCs w:val="28"/>
          <w:highlight w:val="none"/>
        </w:rPr>
      </w:pPr>
      <w:bookmarkStart w:id="200" w:name="_Toc47418732"/>
      <w:bookmarkStart w:id="201" w:name="_Toc49019498"/>
      <w:bookmarkStart w:id="202" w:name="_Toc49019237"/>
      <w:bookmarkStart w:id="203" w:name="_Toc47418939"/>
      <w:bookmarkStart w:id="204" w:name="_Toc47418256"/>
      <w:bookmarkStart w:id="205" w:name="_Toc47261886"/>
      <w:bookmarkStart w:id="206" w:name="_Toc47262070"/>
      <w:bookmarkStart w:id="207" w:name="_Toc48791236"/>
      <w:bookmarkStart w:id="208" w:name="_Toc47261691"/>
      <w:bookmarkStart w:id="209" w:name="_Toc48995852"/>
      <w:r>
        <w:rPr>
          <w:rFonts w:hint="eastAsia" w:ascii="仿宋" w:hAnsi="仿宋" w:eastAsia="仿宋" w:cs="仿宋"/>
          <w:b/>
          <w:bCs/>
          <w:color w:val="auto"/>
          <w:sz w:val="28"/>
          <w:szCs w:val="28"/>
          <w:highlight w:val="none"/>
        </w:rPr>
        <w:t>法定代表人资格证明书</w:t>
      </w:r>
    </w:p>
    <w:tbl>
      <w:tblPr>
        <w:tblStyle w:val="2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650"/>
      </w:tblGrid>
      <w:tr w14:paraId="224A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2" w:type="dxa"/>
            <w:gridSpan w:val="5"/>
          </w:tcPr>
          <w:p w14:paraId="08AA8A4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5FCE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420F15C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8421" w:type="dxa"/>
            <w:gridSpan w:val="4"/>
          </w:tcPr>
          <w:p w14:paraId="47DFFA9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8F5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0A28297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8421" w:type="dxa"/>
            <w:gridSpan w:val="4"/>
          </w:tcPr>
          <w:p w14:paraId="292A818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399C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3629569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   限</w:t>
            </w:r>
          </w:p>
        </w:tc>
        <w:tc>
          <w:tcPr>
            <w:tcW w:w="8421" w:type="dxa"/>
            <w:gridSpan w:val="4"/>
            <w:vAlign w:val="center"/>
          </w:tcPr>
          <w:p w14:paraId="2FCE096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办理本次招标采购项目的投标、联系、洽谈、签约、执行等具体事务，签署全部有关文件、文书、协议及合同。</w:t>
            </w:r>
          </w:p>
        </w:tc>
      </w:tr>
      <w:tr w14:paraId="53A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577F39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有效期</w:t>
            </w:r>
          </w:p>
        </w:tc>
        <w:tc>
          <w:tcPr>
            <w:tcW w:w="8421" w:type="dxa"/>
            <w:gridSpan w:val="4"/>
            <w:vAlign w:val="center"/>
          </w:tcPr>
          <w:p w14:paraId="0C967F0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自提交投标文件的截止之日起90个日历日</w:t>
            </w:r>
          </w:p>
        </w:tc>
      </w:tr>
      <w:tr w14:paraId="2526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C10112C">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w:t>
            </w:r>
          </w:p>
          <w:p w14:paraId="08E84BE8">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信息</w:t>
            </w:r>
          </w:p>
        </w:tc>
        <w:tc>
          <w:tcPr>
            <w:tcW w:w="2470" w:type="dxa"/>
          </w:tcPr>
          <w:p w14:paraId="68DF7767">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5951" w:type="dxa"/>
            <w:gridSpan w:val="3"/>
          </w:tcPr>
          <w:p w14:paraId="73FD99C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703C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7530EA3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6638394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5951" w:type="dxa"/>
            <w:gridSpan w:val="3"/>
          </w:tcPr>
          <w:p w14:paraId="283618F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98B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C2153D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19C38A3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5951" w:type="dxa"/>
            <w:gridSpan w:val="3"/>
          </w:tcPr>
          <w:p w14:paraId="1ABAF23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8F7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BAAADC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1EF8EEC5">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工商登记机关</w:t>
            </w:r>
          </w:p>
        </w:tc>
        <w:tc>
          <w:tcPr>
            <w:tcW w:w="5951" w:type="dxa"/>
            <w:gridSpan w:val="3"/>
          </w:tcPr>
          <w:p w14:paraId="6EF5818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1DE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84DAD1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084B95C8">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网        址</w:t>
            </w:r>
          </w:p>
        </w:tc>
        <w:tc>
          <w:tcPr>
            <w:tcW w:w="5951" w:type="dxa"/>
            <w:gridSpan w:val="3"/>
          </w:tcPr>
          <w:p w14:paraId="24314A9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0218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23B4569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w:t>
            </w:r>
          </w:p>
          <w:p w14:paraId="6B6A58F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表人</w:t>
            </w:r>
          </w:p>
        </w:tc>
        <w:tc>
          <w:tcPr>
            <w:tcW w:w="2470" w:type="dxa"/>
          </w:tcPr>
          <w:p w14:paraId="1C95C64E">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    名</w:t>
            </w:r>
          </w:p>
        </w:tc>
        <w:tc>
          <w:tcPr>
            <w:tcW w:w="1965" w:type="dxa"/>
          </w:tcPr>
          <w:p w14:paraId="48C487F9">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30537A3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650" w:type="dxa"/>
          </w:tcPr>
          <w:p w14:paraId="5D9DFB2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603B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4A9E8CC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671AFFD7">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    务</w:t>
            </w:r>
          </w:p>
        </w:tc>
        <w:tc>
          <w:tcPr>
            <w:tcW w:w="1965" w:type="dxa"/>
          </w:tcPr>
          <w:p w14:paraId="653F1BD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4FDC148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联系电话</w:t>
            </w:r>
          </w:p>
        </w:tc>
        <w:tc>
          <w:tcPr>
            <w:tcW w:w="2650" w:type="dxa"/>
          </w:tcPr>
          <w:p w14:paraId="6D83C3B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280E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768BC79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345ADF11">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传    真</w:t>
            </w:r>
          </w:p>
        </w:tc>
        <w:tc>
          <w:tcPr>
            <w:tcW w:w="5951" w:type="dxa"/>
            <w:gridSpan w:val="3"/>
          </w:tcPr>
          <w:p w14:paraId="3DA0E0D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6459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0A6EFC7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5CDA01B1">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5951" w:type="dxa"/>
            <w:gridSpan w:val="3"/>
          </w:tcPr>
          <w:p w14:paraId="0521636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3AA9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0042" w:type="dxa"/>
            <w:gridSpan w:val="5"/>
          </w:tcPr>
          <w:p w14:paraId="5A55B98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2748B5E5">
            <w:pPr>
              <w:tabs>
                <w:tab w:val="right" w:leader="dot" w:pos="9022"/>
              </w:tabs>
              <w:autoSpaceDE w:val="0"/>
              <w:autoSpaceDN w:val="0"/>
              <w:adjustRightInd w:val="0"/>
              <w:spacing w:line="560" w:lineRule="exact"/>
              <w:jc w:val="center"/>
              <w:rPr>
                <w:rFonts w:hint="eastAsia" w:ascii="仿宋" w:hAnsi="仿宋" w:eastAsia="仿宋" w:cs="仿宋"/>
                <w:color w:val="auto"/>
                <w:spacing w:val="-4"/>
                <w:szCs w:val="24"/>
                <w:highlight w:val="none"/>
              </w:rPr>
            </w:pPr>
          </w:p>
          <w:p w14:paraId="6613A3F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color w:val="auto"/>
                <w:spacing w:val="-4"/>
                <w:szCs w:val="24"/>
                <w:highlight w:val="none"/>
              </w:rPr>
              <w:t>二代身份证正、反两面都需复印</w:t>
            </w:r>
          </w:p>
          <w:p w14:paraId="03650D0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tc>
      </w:tr>
      <w:tr w14:paraId="5C36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53571B0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r>
      <w:tr w14:paraId="041A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6AA38C48">
            <w:pPr>
              <w:spacing w:line="560" w:lineRule="exac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p>
        </w:tc>
      </w:tr>
    </w:tbl>
    <w:p w14:paraId="1D3D49D7">
      <w:pPr>
        <w:spacing w:line="560" w:lineRule="exact"/>
        <w:ind w:left="240" w:leftChars="100"/>
        <w:jc w:val="center"/>
        <w:rPr>
          <w:rFonts w:hint="eastAsia" w:ascii="仿宋" w:hAnsi="仿宋" w:eastAsia="仿宋" w:cs="仿宋"/>
          <w:b/>
          <w:bCs/>
          <w:color w:val="auto"/>
          <w:szCs w:val="24"/>
          <w:highlight w:val="none"/>
        </w:rPr>
      </w:pPr>
      <w:r>
        <w:rPr>
          <w:rFonts w:hint="eastAsia" w:ascii="仿宋" w:hAnsi="仿宋" w:eastAsia="仿宋" w:cs="仿宋"/>
          <w:color w:val="auto"/>
          <w:kern w:val="0"/>
          <w:sz w:val="24"/>
          <w:highlight w:val="none"/>
          <w:u w:val="none"/>
        </w:rPr>
        <w:t>（法定代表人直接投标，只须提供法定代表人证明书及身份证原件）</w:t>
      </w:r>
      <w:r>
        <w:rPr>
          <w:rFonts w:hint="eastAsia" w:ascii="仿宋" w:hAnsi="仿宋" w:eastAsia="仿宋" w:cs="仿宋"/>
          <w:b/>
          <w:bCs/>
          <w:color w:val="auto"/>
          <w:szCs w:val="24"/>
          <w:highlight w:val="none"/>
        </w:rPr>
        <w:br w:type="page"/>
      </w:r>
    </w:p>
    <w:p w14:paraId="6C9270E3">
      <w:pPr>
        <w:spacing w:line="560" w:lineRule="exact"/>
        <w:ind w:left="240" w:left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tbl>
      <w:tblPr>
        <w:tblStyle w:val="2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7355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1E8A03B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54F0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817765D">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w:t>
            </w:r>
          </w:p>
          <w:p w14:paraId="2789B90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权项</w:t>
            </w:r>
          </w:p>
          <w:p w14:paraId="4C340D6D">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目与</w:t>
            </w:r>
          </w:p>
          <w:p w14:paraId="702B7BF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内容</w:t>
            </w:r>
          </w:p>
        </w:tc>
        <w:tc>
          <w:tcPr>
            <w:tcW w:w="1355" w:type="dxa"/>
          </w:tcPr>
          <w:p w14:paraId="3DA46254">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7138" w:type="dxa"/>
            <w:gridSpan w:val="5"/>
          </w:tcPr>
          <w:p w14:paraId="1BF1A8D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3AE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FC2EE3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14:paraId="01B2B32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7138" w:type="dxa"/>
            <w:gridSpan w:val="5"/>
          </w:tcPr>
          <w:p w14:paraId="0BCC2643">
            <w:pPr>
              <w:tabs>
                <w:tab w:val="right" w:leader="dot" w:pos="9022"/>
              </w:tabs>
              <w:autoSpaceDE w:val="0"/>
              <w:autoSpaceDN w:val="0"/>
              <w:adjustRightInd w:val="0"/>
              <w:spacing w:line="560" w:lineRule="exact"/>
              <w:ind w:firstLine="1200" w:firstLineChars="500"/>
              <w:jc w:val="left"/>
              <w:rPr>
                <w:rFonts w:hint="eastAsia" w:ascii="仿宋" w:hAnsi="仿宋" w:eastAsia="仿宋" w:cs="仿宋"/>
                <w:bCs/>
                <w:caps/>
                <w:color w:val="auto"/>
                <w:szCs w:val="24"/>
                <w:highlight w:val="none"/>
              </w:rPr>
            </w:pPr>
          </w:p>
        </w:tc>
      </w:tr>
      <w:tr w14:paraId="4F9B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95BD4C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3688CF79">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授权范围</w:t>
            </w:r>
          </w:p>
        </w:tc>
        <w:tc>
          <w:tcPr>
            <w:tcW w:w="7138" w:type="dxa"/>
            <w:gridSpan w:val="5"/>
          </w:tcPr>
          <w:p w14:paraId="3608134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全权办理本次招标采购项目的投标、联系、洽谈、签约、执行等具体事务，签署全部有关文件、文书、协议及合同。</w:t>
            </w:r>
          </w:p>
        </w:tc>
      </w:tr>
      <w:tr w14:paraId="1F51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D493FC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14:paraId="60FEAED9">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法律责任</w:t>
            </w:r>
          </w:p>
        </w:tc>
        <w:tc>
          <w:tcPr>
            <w:tcW w:w="7138" w:type="dxa"/>
            <w:gridSpan w:val="5"/>
          </w:tcPr>
          <w:p w14:paraId="345733D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本公司对被授权人在本项目中的签名承担全部法律责任。</w:t>
            </w:r>
          </w:p>
        </w:tc>
      </w:tr>
      <w:tr w14:paraId="3059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C477DB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59089A2A">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授权期限</w:t>
            </w:r>
          </w:p>
        </w:tc>
        <w:tc>
          <w:tcPr>
            <w:tcW w:w="7138" w:type="dxa"/>
            <w:gridSpan w:val="5"/>
            <w:vAlign w:val="center"/>
          </w:tcPr>
          <w:p w14:paraId="2405A606">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本授权书</w:t>
            </w:r>
            <w:r>
              <w:rPr>
                <w:rFonts w:hint="eastAsia" w:ascii="仿宋" w:hAnsi="仿宋" w:eastAsia="仿宋" w:cs="仿宋"/>
                <w:color w:val="auto"/>
                <w:szCs w:val="24"/>
                <w:highlight w:val="none"/>
              </w:rPr>
              <w:t>自提交投标文件的截止之日起90个日历日</w:t>
            </w:r>
          </w:p>
        </w:tc>
      </w:tr>
      <w:tr w14:paraId="4ACF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665723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企业信息</w:t>
            </w:r>
          </w:p>
        </w:tc>
        <w:tc>
          <w:tcPr>
            <w:tcW w:w="2489" w:type="dxa"/>
            <w:gridSpan w:val="2"/>
          </w:tcPr>
          <w:p w14:paraId="511FD186">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6004" w:type="dxa"/>
            <w:gridSpan w:val="4"/>
            <w:vAlign w:val="center"/>
          </w:tcPr>
          <w:p w14:paraId="0099D77F">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3C4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CB18454">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14:paraId="496A2B4C">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6004" w:type="dxa"/>
            <w:gridSpan w:val="4"/>
            <w:vAlign w:val="center"/>
          </w:tcPr>
          <w:p w14:paraId="03175977">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630D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EE4811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14:paraId="2CD61EDA">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6004" w:type="dxa"/>
            <w:gridSpan w:val="4"/>
            <w:vAlign w:val="center"/>
          </w:tcPr>
          <w:p w14:paraId="25DE8B27">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799C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55C90F7">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w:t>
            </w:r>
          </w:p>
        </w:tc>
        <w:tc>
          <w:tcPr>
            <w:tcW w:w="1355" w:type="dxa"/>
            <w:vAlign w:val="center"/>
          </w:tcPr>
          <w:p w14:paraId="2F262AC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2E4237B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07A50611">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7219174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14:paraId="101C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3EB4045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72F008B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5139B244">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2778D72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vAlign w:val="center"/>
          </w:tcPr>
          <w:p w14:paraId="28C7FA02">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19E4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C354B4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w:t>
            </w:r>
          </w:p>
        </w:tc>
        <w:tc>
          <w:tcPr>
            <w:tcW w:w="1355" w:type="dxa"/>
            <w:vAlign w:val="center"/>
          </w:tcPr>
          <w:p w14:paraId="29E372B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3793AB2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786F4BE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165EC54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14:paraId="484E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0690CE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07EE19BD">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48E0EAB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750B5B49">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tcPr>
          <w:p w14:paraId="6A6AEEAD">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49B0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3E94407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8493" w:type="dxa"/>
            <w:gridSpan w:val="6"/>
          </w:tcPr>
          <w:p w14:paraId="51B43984">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11B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899" w:type="dxa"/>
            <w:gridSpan w:val="4"/>
            <w:vAlign w:val="center"/>
          </w:tcPr>
          <w:p w14:paraId="357392B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665E7DF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14:paraId="14116F6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0BDAC024">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38E90BC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5296" w:type="dxa"/>
            <w:gridSpan w:val="3"/>
            <w:vAlign w:val="center"/>
          </w:tcPr>
          <w:p w14:paraId="6F1A0FE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被授权人身份证复印件</w:t>
            </w:r>
          </w:p>
          <w:p w14:paraId="11041E1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14:paraId="3D1E123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6E6A1AA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4E8E32E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2B67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vAlign w:val="center"/>
          </w:tcPr>
          <w:p w14:paraId="509B828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c>
          <w:tcPr>
            <w:tcW w:w="5296" w:type="dxa"/>
            <w:gridSpan w:val="3"/>
            <w:vAlign w:val="center"/>
          </w:tcPr>
          <w:p w14:paraId="61E9D54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被授权人签字或盖章：</w:t>
            </w:r>
          </w:p>
        </w:tc>
      </w:tr>
      <w:tr w14:paraId="2E29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14:paraId="35F627D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投标人名称：</w:t>
            </w:r>
            <w:r>
              <w:rPr>
                <w:rFonts w:hint="eastAsia" w:ascii="仿宋" w:hAnsi="仿宋" w:eastAsia="仿宋" w:cs="仿宋"/>
                <w:bCs/>
                <w:caps/>
                <w:color w:val="auto"/>
                <w:szCs w:val="24"/>
                <w:highlight w:val="none"/>
                <w:u w:val="single"/>
              </w:rPr>
              <w:t xml:space="preserve">             </w:t>
            </w:r>
            <w:r>
              <w:rPr>
                <w:rFonts w:hint="eastAsia" w:ascii="仿宋" w:hAnsi="仿宋" w:eastAsia="仿宋" w:cs="仿宋"/>
                <w:bCs/>
                <w:caps/>
                <w:color w:val="auto"/>
                <w:szCs w:val="24"/>
                <w:highlight w:val="none"/>
              </w:rPr>
              <w:t>（投标人单位公章）     日 期：</w:t>
            </w:r>
          </w:p>
        </w:tc>
      </w:tr>
      <w:bookmarkEnd w:id="200"/>
      <w:bookmarkEnd w:id="201"/>
      <w:bookmarkEnd w:id="202"/>
      <w:bookmarkEnd w:id="203"/>
      <w:bookmarkEnd w:id="204"/>
      <w:bookmarkEnd w:id="205"/>
      <w:bookmarkEnd w:id="206"/>
      <w:bookmarkEnd w:id="207"/>
      <w:bookmarkEnd w:id="208"/>
      <w:bookmarkEnd w:id="209"/>
    </w:tbl>
    <w:p w14:paraId="76261165">
      <w:pPr>
        <w:pStyle w:val="37"/>
        <w:spacing w:line="560" w:lineRule="exact"/>
        <w:ind w:firstLine="0" w:firstLineChars="0"/>
        <w:jc w:val="center"/>
        <w:rPr>
          <w:rFonts w:hint="eastAsia" w:ascii="仿宋" w:hAnsi="仿宋" w:eastAsia="仿宋" w:cs="仿宋"/>
          <w:b/>
          <w:color w:val="auto"/>
          <w:highlight w:val="none"/>
        </w:rPr>
      </w:pPr>
      <w:r>
        <w:rPr>
          <w:rFonts w:hint="eastAsia" w:ascii="仿宋" w:hAnsi="仿宋" w:eastAsia="仿宋" w:cs="仿宋"/>
          <w:bCs/>
          <w:caps/>
          <w:color w:val="auto"/>
          <w:szCs w:val="24"/>
          <w:highlight w:val="none"/>
        </w:rPr>
        <w:t xml:space="preserve"> </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none"/>
          <w:lang w:eastAsia="zh-CN"/>
        </w:rPr>
        <w:t>被授权人投标时</w:t>
      </w:r>
      <w:r>
        <w:rPr>
          <w:rFonts w:hint="eastAsia" w:ascii="仿宋" w:hAnsi="仿宋" w:eastAsia="仿宋" w:cs="仿宋"/>
          <w:color w:val="auto"/>
          <w:kern w:val="0"/>
          <w:sz w:val="24"/>
          <w:highlight w:val="none"/>
          <w:u w:val="none"/>
        </w:rPr>
        <w:t>，须提供</w:t>
      </w:r>
      <w:r>
        <w:rPr>
          <w:rFonts w:hint="eastAsia" w:ascii="仿宋" w:hAnsi="仿宋" w:eastAsia="仿宋" w:cs="仿宋"/>
          <w:color w:val="auto"/>
          <w:kern w:val="0"/>
          <w:sz w:val="24"/>
          <w:highlight w:val="none"/>
          <w:u w:val="none"/>
          <w:lang w:eastAsia="zh-CN"/>
        </w:rPr>
        <w:t>法定代表人授权委托书</w:t>
      </w:r>
      <w:r>
        <w:rPr>
          <w:rFonts w:hint="eastAsia" w:ascii="仿宋" w:hAnsi="仿宋" w:eastAsia="仿宋" w:cs="仿宋"/>
          <w:color w:val="auto"/>
          <w:kern w:val="0"/>
          <w:sz w:val="24"/>
          <w:highlight w:val="none"/>
          <w:u w:val="none"/>
        </w:rPr>
        <w:t>及</w:t>
      </w:r>
      <w:r>
        <w:rPr>
          <w:rFonts w:hint="eastAsia" w:ascii="仿宋" w:hAnsi="仿宋" w:eastAsia="仿宋" w:cs="仿宋"/>
          <w:color w:val="auto"/>
          <w:kern w:val="0"/>
          <w:sz w:val="24"/>
          <w:highlight w:val="none"/>
          <w:u w:val="none"/>
          <w:lang w:eastAsia="zh-CN"/>
        </w:rPr>
        <w:t>被授权人身份证</w:t>
      </w:r>
      <w:r>
        <w:rPr>
          <w:rFonts w:hint="eastAsia" w:ascii="仿宋" w:hAnsi="仿宋" w:eastAsia="仿宋" w:cs="仿宋"/>
          <w:color w:val="auto"/>
          <w:kern w:val="0"/>
          <w:sz w:val="24"/>
          <w:highlight w:val="none"/>
          <w:u w:val="none"/>
        </w:rPr>
        <w:t>原件）</w:t>
      </w:r>
    </w:p>
    <w:p w14:paraId="698D1D46">
      <w:pPr>
        <w:pStyle w:val="37"/>
        <w:spacing w:line="560" w:lineRule="exact"/>
        <w:ind w:left="0" w:leftChars="0" w:firstLine="0" w:firstLineChars="0"/>
        <w:rPr>
          <w:rFonts w:hint="eastAsia" w:ascii="仿宋" w:hAnsi="仿宋" w:eastAsia="仿宋" w:cs="仿宋"/>
          <w:b/>
          <w:color w:val="auto"/>
          <w:sz w:val="20"/>
          <w:szCs w:val="16"/>
          <w:highlight w:val="none"/>
        </w:rPr>
      </w:pPr>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20</w:t>
      </w:r>
      <w:r>
        <w:rPr>
          <w:rFonts w:hint="eastAsia" w:ascii="仿宋" w:hAnsi="仿宋" w:eastAsia="仿宋" w:cs="仿宋"/>
          <w:b/>
          <w:color w:val="auto"/>
          <w:highlight w:val="none"/>
          <w:lang w:val="en-US" w:eastAsia="zh-CN"/>
        </w:rPr>
        <w:t>21</w:t>
      </w:r>
      <w:r>
        <w:rPr>
          <w:rFonts w:hint="eastAsia" w:ascii="仿宋" w:hAnsi="仿宋" w:eastAsia="仿宋" w:cs="仿宋"/>
          <w:b/>
          <w:color w:val="auto"/>
          <w:highlight w:val="none"/>
          <w:lang w:eastAsia="zh-CN"/>
        </w:rPr>
        <w:t>年1月1日</w:t>
      </w:r>
      <w:r>
        <w:rPr>
          <w:rFonts w:hint="eastAsia" w:ascii="仿宋" w:hAnsi="仿宋" w:eastAsia="仿宋" w:cs="仿宋"/>
          <w:b/>
          <w:color w:val="auto"/>
          <w:highlight w:val="none"/>
        </w:rPr>
        <w:t>至今</w:t>
      </w:r>
      <w:bookmarkStart w:id="210" w:name="_Toc188808842"/>
      <w:bookmarkStart w:id="211" w:name="_Toc193126891"/>
      <w:r>
        <w:rPr>
          <w:rFonts w:hint="eastAsia" w:ascii="仿宋" w:hAnsi="仿宋" w:eastAsia="仿宋" w:cs="仿宋"/>
          <w:b/>
          <w:color w:val="auto"/>
          <w:highlight w:val="none"/>
          <w:lang w:eastAsia="zh-CN"/>
        </w:rPr>
        <w:t>类似项目业绩</w:t>
      </w:r>
      <w:r>
        <w:rPr>
          <w:rFonts w:hint="eastAsia" w:ascii="仿宋" w:hAnsi="仿宋" w:eastAsia="仿宋" w:cs="仿宋"/>
          <w:b/>
          <w:color w:val="auto"/>
          <w:highlight w:val="none"/>
        </w:rPr>
        <w:t>（以合同为准</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复印件加盖公章</w:t>
      </w:r>
      <w:r>
        <w:rPr>
          <w:rFonts w:hint="eastAsia" w:ascii="仿宋" w:hAnsi="仿宋" w:eastAsia="仿宋" w:cs="仿宋"/>
          <w:b/>
          <w:color w:val="auto"/>
          <w:highlight w:val="none"/>
        </w:rPr>
        <w:t>）</w:t>
      </w:r>
    </w:p>
    <w:p w14:paraId="48624028">
      <w:pPr>
        <w:pStyle w:val="37"/>
        <w:spacing w:line="560" w:lineRule="exact"/>
        <w:ind w:firstLine="0" w:firstLineChars="0"/>
        <w:rPr>
          <w:rFonts w:hint="eastAsia" w:ascii="仿宋" w:hAnsi="仿宋" w:eastAsia="仿宋" w:cs="仿宋"/>
          <w:b/>
          <w:color w:val="auto"/>
          <w:szCs w:val="28"/>
          <w:highlight w:val="none"/>
        </w:rPr>
      </w:pPr>
      <w:bookmarkStart w:id="212" w:name="_Toc458617479"/>
      <w:bookmarkStart w:id="213" w:name="_Toc14386"/>
      <w:bookmarkStart w:id="214" w:name="_Toc937"/>
    </w:p>
    <w:p w14:paraId="2C344B82">
      <w:pPr>
        <w:pStyle w:val="37"/>
        <w:spacing w:line="560" w:lineRule="exact"/>
        <w:ind w:firstLine="0" w:firstLineChars="0"/>
        <w:rPr>
          <w:rFonts w:hint="eastAsia" w:ascii="仿宋" w:hAnsi="仿宋" w:eastAsia="仿宋" w:cs="仿宋"/>
          <w:b/>
          <w:color w:val="auto"/>
          <w:szCs w:val="28"/>
          <w:highlight w:val="none"/>
        </w:rPr>
      </w:pPr>
    </w:p>
    <w:p w14:paraId="1D16BCF1">
      <w:pPr>
        <w:pStyle w:val="37"/>
        <w:spacing w:line="560" w:lineRule="exact"/>
        <w:ind w:left="0" w:leftChars="0" w:firstLine="0" w:firstLineChars="0"/>
        <w:rPr>
          <w:rFonts w:hint="eastAsia" w:ascii="仿宋" w:hAnsi="仿宋" w:eastAsia="仿宋" w:cs="仿宋"/>
          <w:b/>
          <w:bCs/>
          <w:color w:val="auto"/>
          <w:sz w:val="28"/>
          <w:szCs w:val="28"/>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.产品的合法渠道证明文件</w:t>
      </w:r>
      <w:bookmarkEnd w:id="212"/>
      <w:bookmarkEnd w:id="213"/>
      <w:bookmarkEnd w:id="214"/>
      <w:bookmarkStart w:id="215" w:name="_Toc193126901"/>
      <w:bookmarkStart w:id="216" w:name="_Toc194663938"/>
      <w:bookmarkStart w:id="217" w:name="_Toc193187107"/>
      <w:bookmarkStart w:id="218" w:name="_Toc23126"/>
      <w:bookmarkStart w:id="219" w:name="_Toc23774"/>
      <w:bookmarkStart w:id="220" w:name="_Toc458617480"/>
    </w:p>
    <w:p w14:paraId="2DBDC61C">
      <w:pPr>
        <w:pStyle w:val="10"/>
        <w:rPr>
          <w:rFonts w:hint="eastAsia" w:ascii="仿宋" w:hAnsi="仿宋" w:eastAsia="仿宋" w:cs="仿宋"/>
          <w:color w:val="auto"/>
          <w:highlight w:val="none"/>
        </w:rPr>
      </w:pPr>
    </w:p>
    <w:p w14:paraId="11E33CBC">
      <w:pPr>
        <w:pStyle w:val="37"/>
        <w:spacing w:line="560" w:lineRule="exact"/>
        <w:ind w:firstLineChars="71"/>
        <w:rPr>
          <w:rFonts w:hint="eastAsia" w:ascii="仿宋" w:hAnsi="仿宋" w:eastAsia="仿宋" w:cs="仿宋"/>
          <w:b/>
          <w:color w:val="auto"/>
          <w:highlight w:val="none"/>
        </w:rPr>
      </w:pPr>
    </w:p>
    <w:p w14:paraId="4C1501C9">
      <w:pPr>
        <w:pStyle w:val="37"/>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bookmarkEnd w:id="215"/>
      <w:bookmarkEnd w:id="216"/>
      <w:bookmarkEnd w:id="217"/>
      <w:r>
        <w:rPr>
          <w:rFonts w:hint="eastAsia" w:ascii="仿宋" w:hAnsi="仿宋" w:eastAsia="仿宋" w:cs="仿宋"/>
          <w:b/>
          <w:color w:val="auto"/>
          <w:highlight w:val="none"/>
        </w:rPr>
        <w:t>项目实施方案</w:t>
      </w:r>
    </w:p>
    <w:bookmarkEnd w:id="218"/>
    <w:bookmarkEnd w:id="219"/>
    <w:bookmarkEnd w:id="220"/>
    <w:p w14:paraId="04F9B32E">
      <w:pPr>
        <w:pStyle w:val="37"/>
        <w:spacing w:line="560" w:lineRule="exact"/>
        <w:ind w:firstLineChars="71"/>
        <w:rPr>
          <w:rFonts w:hint="eastAsia" w:ascii="仿宋" w:hAnsi="仿宋" w:eastAsia="仿宋" w:cs="仿宋"/>
          <w:b/>
          <w:color w:val="auto"/>
          <w:szCs w:val="28"/>
          <w:highlight w:val="none"/>
        </w:rPr>
      </w:pPr>
      <w:bookmarkStart w:id="221" w:name="_Toc193187108"/>
      <w:bookmarkStart w:id="222" w:name="_Toc194663939"/>
      <w:bookmarkStart w:id="223" w:name="_Toc188808852"/>
      <w:bookmarkStart w:id="224" w:name="_Toc193126902"/>
    </w:p>
    <w:p w14:paraId="75E24FF3">
      <w:pPr>
        <w:pStyle w:val="37"/>
        <w:spacing w:line="560" w:lineRule="exact"/>
        <w:ind w:left="0" w:leftChars="0" w:firstLine="0" w:firstLineChars="0"/>
        <w:rPr>
          <w:rFonts w:hint="eastAsia" w:ascii="仿宋" w:hAnsi="仿宋" w:eastAsia="仿宋" w:cs="仿宋"/>
          <w:b/>
          <w:color w:val="auto"/>
          <w:szCs w:val="28"/>
          <w:highlight w:val="none"/>
        </w:rPr>
      </w:pPr>
    </w:p>
    <w:p w14:paraId="734185BF">
      <w:pPr>
        <w:pStyle w:val="37"/>
        <w:spacing w:line="560" w:lineRule="exact"/>
        <w:ind w:left="0" w:leftChars="0" w:firstLine="0" w:firstLineChars="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1</w:t>
      </w:r>
      <w:r>
        <w:rPr>
          <w:rFonts w:hint="eastAsia" w:ascii="仿宋" w:hAnsi="仿宋" w:eastAsia="仿宋" w:cs="仿宋"/>
          <w:b/>
          <w:color w:val="auto"/>
          <w:szCs w:val="28"/>
          <w:highlight w:val="none"/>
          <w:lang w:val="en-US" w:eastAsia="zh-CN"/>
        </w:rPr>
        <w:t>2</w:t>
      </w:r>
      <w:r>
        <w:rPr>
          <w:rFonts w:hint="eastAsia" w:ascii="仿宋" w:hAnsi="仿宋" w:eastAsia="仿宋" w:cs="仿宋"/>
          <w:b/>
          <w:color w:val="auto"/>
          <w:szCs w:val="28"/>
          <w:highlight w:val="none"/>
        </w:rPr>
        <w:t>.</w:t>
      </w:r>
      <w:r>
        <w:rPr>
          <w:rFonts w:hint="eastAsia" w:ascii="仿宋" w:hAnsi="仿宋" w:eastAsia="仿宋" w:cs="仿宋"/>
          <w:b/>
          <w:color w:val="auto"/>
          <w:highlight w:val="none"/>
        </w:rPr>
        <w:t>产品的技术文件</w:t>
      </w:r>
    </w:p>
    <w:p w14:paraId="6CE35BBF">
      <w:pPr>
        <w:pStyle w:val="37"/>
        <w:spacing w:line="560" w:lineRule="exact"/>
        <w:ind w:left="0" w:leftChars="0" w:firstLine="0" w:firstLineChars="0"/>
        <w:rPr>
          <w:rFonts w:hint="eastAsia" w:ascii="仿宋" w:hAnsi="仿宋" w:eastAsia="仿宋" w:cs="仿宋"/>
          <w:b/>
          <w:color w:val="auto"/>
          <w:highlight w:val="none"/>
        </w:rPr>
      </w:pPr>
      <w:bookmarkStart w:id="225" w:name="_Toc17505"/>
      <w:bookmarkStart w:id="226" w:name="_Toc458617481"/>
      <w:bookmarkStart w:id="227" w:name="_Toc8306"/>
    </w:p>
    <w:p w14:paraId="49528E16">
      <w:pPr>
        <w:pStyle w:val="37"/>
        <w:spacing w:line="560" w:lineRule="exact"/>
        <w:ind w:firstLineChars="71"/>
        <w:rPr>
          <w:rFonts w:hint="eastAsia" w:ascii="仿宋" w:hAnsi="仿宋" w:eastAsia="仿宋" w:cs="仿宋"/>
          <w:b/>
          <w:color w:val="auto"/>
          <w:highlight w:val="none"/>
        </w:rPr>
      </w:pPr>
    </w:p>
    <w:p w14:paraId="058DD44C">
      <w:pPr>
        <w:pStyle w:val="37"/>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.质量保证</w:t>
      </w:r>
      <w:bookmarkEnd w:id="221"/>
      <w:bookmarkEnd w:id="222"/>
      <w:bookmarkEnd w:id="223"/>
      <w:bookmarkEnd w:id="224"/>
      <w:bookmarkEnd w:id="225"/>
      <w:bookmarkEnd w:id="226"/>
      <w:bookmarkEnd w:id="227"/>
      <w:bookmarkStart w:id="228" w:name="_Toc193126904"/>
      <w:bookmarkStart w:id="229" w:name="_Toc188808854"/>
      <w:bookmarkStart w:id="230" w:name="_Toc194663941"/>
      <w:bookmarkStart w:id="231" w:name="_Toc193187110"/>
      <w:r>
        <w:rPr>
          <w:rFonts w:hint="eastAsia" w:ascii="仿宋" w:hAnsi="仿宋" w:eastAsia="仿宋" w:cs="仿宋"/>
          <w:b/>
          <w:color w:val="auto"/>
          <w:highlight w:val="none"/>
        </w:rPr>
        <w:t xml:space="preserve">承诺 </w:t>
      </w:r>
    </w:p>
    <w:p w14:paraId="5B17F4D2">
      <w:pPr>
        <w:spacing w:line="560" w:lineRule="exact"/>
        <w:outlineLvl w:val="1"/>
        <w:rPr>
          <w:rFonts w:hint="eastAsia" w:ascii="仿宋" w:hAnsi="仿宋" w:eastAsia="仿宋" w:cs="仿宋"/>
          <w:b/>
          <w:color w:val="auto"/>
          <w:sz w:val="28"/>
          <w:szCs w:val="28"/>
          <w:highlight w:val="none"/>
        </w:rPr>
      </w:pPr>
    </w:p>
    <w:p w14:paraId="7AE6A390">
      <w:pPr>
        <w:pStyle w:val="14"/>
        <w:rPr>
          <w:rFonts w:hint="eastAsia" w:ascii="仿宋" w:hAnsi="仿宋" w:eastAsia="仿宋" w:cs="仿宋"/>
          <w:color w:val="auto"/>
          <w:highlight w:val="none"/>
        </w:rPr>
      </w:pPr>
    </w:p>
    <w:p w14:paraId="3EAC6F06">
      <w:pPr>
        <w:pStyle w:val="14"/>
        <w:rPr>
          <w:rFonts w:hint="eastAsia" w:ascii="仿宋" w:hAnsi="仿宋" w:eastAsia="仿宋" w:cs="仿宋"/>
          <w:color w:val="auto"/>
          <w:highlight w:val="none"/>
        </w:rPr>
      </w:pPr>
    </w:p>
    <w:p w14:paraId="7BA00ACD">
      <w:pPr>
        <w:rPr>
          <w:rFonts w:hint="eastAsia" w:ascii="仿宋" w:hAnsi="仿宋" w:eastAsia="仿宋" w:cs="仿宋"/>
          <w:color w:val="auto"/>
          <w:highlight w:val="none"/>
        </w:rPr>
      </w:pPr>
    </w:p>
    <w:p w14:paraId="4976D497">
      <w:pPr>
        <w:pStyle w:val="37"/>
        <w:spacing w:line="560" w:lineRule="exact"/>
        <w:ind w:left="0" w:leftChars="0" w:firstLine="0" w:firstLineChars="0"/>
        <w:rPr>
          <w:rFonts w:hint="eastAsia" w:ascii="仿宋" w:hAnsi="仿宋" w:eastAsia="仿宋" w:cs="仿宋"/>
          <w:b/>
          <w:color w:val="auto"/>
          <w:highlight w:val="none"/>
        </w:rPr>
      </w:pPr>
      <w:bookmarkStart w:id="232" w:name="_Toc2456"/>
      <w:bookmarkStart w:id="233" w:name="_Toc458617482"/>
      <w:bookmarkStart w:id="234" w:name="_Toc21757"/>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.售后服务</w:t>
      </w:r>
      <w:bookmarkEnd w:id="228"/>
      <w:bookmarkEnd w:id="229"/>
      <w:bookmarkEnd w:id="230"/>
      <w:bookmarkEnd w:id="231"/>
      <w:bookmarkEnd w:id="232"/>
      <w:bookmarkEnd w:id="233"/>
      <w:bookmarkEnd w:id="234"/>
      <w:bookmarkStart w:id="235" w:name="_Toc11302"/>
      <w:bookmarkStart w:id="236" w:name="_Toc6260"/>
      <w:bookmarkStart w:id="237" w:name="_Toc458617483"/>
      <w:bookmarkStart w:id="238" w:name="_Toc193187111"/>
      <w:bookmarkStart w:id="239" w:name="_Toc188808855"/>
      <w:bookmarkStart w:id="240" w:name="_Toc193126905"/>
      <w:bookmarkStart w:id="241" w:name="_Toc194663942"/>
      <w:r>
        <w:rPr>
          <w:rFonts w:hint="eastAsia" w:ascii="仿宋" w:hAnsi="仿宋" w:eastAsia="仿宋" w:cs="仿宋"/>
          <w:b/>
          <w:color w:val="auto"/>
          <w:highlight w:val="none"/>
          <w:lang w:eastAsia="zh-CN"/>
        </w:rPr>
        <w:t>及</w:t>
      </w:r>
      <w:r>
        <w:rPr>
          <w:rFonts w:hint="eastAsia" w:ascii="仿宋" w:hAnsi="仿宋" w:eastAsia="仿宋" w:cs="仿宋"/>
          <w:b/>
          <w:color w:val="auto"/>
          <w:highlight w:val="none"/>
        </w:rPr>
        <w:t>培训计划</w:t>
      </w:r>
      <w:bookmarkEnd w:id="235"/>
      <w:bookmarkEnd w:id="236"/>
      <w:bookmarkEnd w:id="237"/>
    </w:p>
    <w:p w14:paraId="01317DB3">
      <w:pPr>
        <w:pStyle w:val="37"/>
        <w:spacing w:line="560" w:lineRule="exact"/>
        <w:ind w:firstLine="0" w:firstLineChars="0"/>
        <w:rPr>
          <w:rFonts w:hint="eastAsia" w:ascii="仿宋" w:hAnsi="仿宋" w:eastAsia="仿宋" w:cs="仿宋"/>
          <w:b/>
          <w:color w:val="auto"/>
          <w:highlight w:val="none"/>
        </w:rPr>
      </w:pPr>
      <w:bookmarkStart w:id="242" w:name="_Toc458617484"/>
      <w:bookmarkStart w:id="243" w:name="_Toc27682"/>
      <w:bookmarkStart w:id="244" w:name="_Toc6949"/>
    </w:p>
    <w:p w14:paraId="44A3712B">
      <w:pPr>
        <w:pStyle w:val="37"/>
        <w:spacing w:line="560" w:lineRule="exact"/>
        <w:ind w:firstLine="0" w:firstLineChars="0"/>
        <w:rPr>
          <w:rFonts w:hint="eastAsia" w:ascii="仿宋" w:hAnsi="仿宋" w:eastAsia="仿宋" w:cs="仿宋"/>
          <w:b/>
          <w:color w:val="auto"/>
          <w:highlight w:val="none"/>
        </w:rPr>
      </w:pPr>
    </w:p>
    <w:p w14:paraId="208D9CB6">
      <w:pPr>
        <w:pStyle w:val="37"/>
        <w:spacing w:line="560" w:lineRule="exact"/>
        <w:ind w:left="0" w:leftChars="0"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.投标人认为有必要补充说明的事宜</w:t>
      </w:r>
      <w:bookmarkEnd w:id="242"/>
      <w:bookmarkEnd w:id="243"/>
      <w:bookmarkEnd w:id="244"/>
      <w:r>
        <w:rPr>
          <w:rFonts w:hint="eastAsia" w:ascii="仿宋" w:hAnsi="仿宋" w:eastAsia="仿宋" w:cs="仿宋"/>
          <w:bCs/>
          <w:color w:val="auto"/>
          <w:sz w:val="24"/>
          <w:szCs w:val="21"/>
          <w:highlight w:val="none"/>
        </w:rPr>
        <w:t>（若有）</w:t>
      </w:r>
    </w:p>
    <w:p w14:paraId="35CA6D70">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1C4D6C84">
      <w:pPr>
        <w:pStyle w:val="37"/>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6</w:t>
      </w:r>
      <w:r>
        <w:rPr>
          <w:rFonts w:hint="eastAsia" w:ascii="仿宋" w:hAnsi="仿宋" w:eastAsia="仿宋" w:cs="仿宋"/>
          <w:b/>
          <w:bCs/>
          <w:color w:val="auto"/>
          <w:szCs w:val="28"/>
          <w:highlight w:val="none"/>
        </w:rPr>
        <w:t>.</w:t>
      </w:r>
      <w:bookmarkEnd w:id="238"/>
      <w:bookmarkEnd w:id="239"/>
      <w:bookmarkEnd w:id="240"/>
      <w:bookmarkEnd w:id="241"/>
      <w:r>
        <w:rPr>
          <w:rFonts w:hint="eastAsia" w:ascii="仿宋" w:hAnsi="仿宋" w:eastAsia="仿宋" w:cs="仿宋"/>
          <w:b/>
          <w:bCs/>
          <w:color w:val="auto"/>
          <w:szCs w:val="28"/>
          <w:highlight w:val="none"/>
          <w:lang w:eastAsia="zh-CN"/>
        </w:rPr>
        <w:t>投标人承诺书</w:t>
      </w:r>
    </w:p>
    <w:p w14:paraId="225A2667">
      <w:pPr>
        <w:widowControl/>
        <w:spacing w:line="560" w:lineRule="exact"/>
        <w:rPr>
          <w:rFonts w:hint="eastAsia" w:ascii="仿宋" w:hAnsi="仿宋" w:eastAsia="仿宋" w:cs="仿宋"/>
          <w:b/>
          <w:bCs/>
          <w:color w:val="auto"/>
          <w:kern w:val="0"/>
          <w:sz w:val="32"/>
          <w:szCs w:val="32"/>
          <w:highlight w:val="none"/>
        </w:rPr>
      </w:pPr>
    </w:p>
    <w:p w14:paraId="55091EB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0"/>
          <w:szCs w:val="30"/>
          <w:highlight w:val="none"/>
        </w:rPr>
        <w:t xml:space="preserve"> </w:t>
      </w:r>
      <w:r>
        <w:rPr>
          <w:rFonts w:hint="eastAsia" w:ascii="仿宋" w:hAnsi="仿宋" w:eastAsia="仿宋" w:cs="仿宋"/>
          <w:b/>
          <w:bCs/>
          <w:color w:val="auto"/>
          <w:kern w:val="0"/>
          <w:sz w:val="28"/>
          <w:szCs w:val="28"/>
          <w:highlight w:val="none"/>
        </w:rPr>
        <w:t>陕西省政府采购投标人</w:t>
      </w:r>
    </w:p>
    <w:p w14:paraId="068230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拒绝政府采购领域商业贿赂承诺书Ⅰ</w:t>
      </w:r>
    </w:p>
    <w:p w14:paraId="690DE68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kern w:val="0"/>
          <w:highlight w:val="none"/>
        </w:rPr>
      </w:pPr>
    </w:p>
    <w:p w14:paraId="09581FE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为响应党中央、国务院关于治理政府采购领域商业贿赂行为的号召，</w:t>
      </w:r>
      <w:r>
        <w:rPr>
          <w:rFonts w:hint="eastAsia" w:ascii="仿宋" w:hAnsi="仿宋" w:eastAsia="仿宋" w:cs="仿宋"/>
          <w:color w:val="auto"/>
          <w:kern w:val="0"/>
          <w:highlight w:val="none"/>
        </w:rPr>
        <w:t xml:space="preserve">我单位作为     </w:t>
      </w:r>
      <w:r>
        <w:rPr>
          <w:rFonts w:hint="eastAsia" w:ascii="仿宋" w:hAnsi="仿宋" w:eastAsia="仿宋" w:cs="仿宋"/>
          <w:color w:val="auto"/>
          <w:kern w:val="0"/>
          <w:highlight w:val="none"/>
          <w:u w:val="single"/>
        </w:rPr>
        <w:t xml:space="preserve">（项目名称）         </w:t>
      </w:r>
      <w:r>
        <w:rPr>
          <w:rFonts w:hint="eastAsia" w:ascii="仿宋" w:hAnsi="仿宋" w:eastAsia="仿宋" w:cs="仿宋"/>
          <w:color w:val="auto"/>
          <w:kern w:val="0"/>
          <w:highlight w:val="none"/>
        </w:rPr>
        <w:t xml:space="preserve"> 的投标人，</w:t>
      </w:r>
      <w:r>
        <w:rPr>
          <w:rFonts w:hint="eastAsia" w:ascii="仿宋" w:hAnsi="仿宋" w:eastAsia="仿宋" w:cs="仿宋"/>
          <w:color w:val="auto"/>
          <w:kern w:val="0"/>
          <w:szCs w:val="24"/>
          <w:highlight w:val="none"/>
        </w:rPr>
        <w:t xml:space="preserve">在此庄严承诺： </w:t>
      </w:r>
    </w:p>
    <w:p w14:paraId="7BF2FBD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1、在参与政府采购活动中遵纪守法、诚信经营、公平竞标。 </w:t>
      </w:r>
    </w:p>
    <w:p w14:paraId="621190B7">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2、不向采购人、采购代理机构和政府采购评审专家进行任何形式的商业贿赂以谋取交易机会。 </w:t>
      </w:r>
    </w:p>
    <w:p w14:paraId="64AB30D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3、不向政府采购采购代理机构和采购人提供虚假资质文件或采用虚假应标方式参与政府采购市场竞争并谋取中标、成交。 </w:t>
      </w:r>
    </w:p>
    <w:p w14:paraId="205DE7D2">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4、不采取“围标、陪标”等商业欺诈手段获得政府采购定单。 </w:t>
      </w:r>
    </w:p>
    <w:p w14:paraId="0CA5669C">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5、不采取不正当手段低毁、排挤其他投标人。 </w:t>
      </w:r>
    </w:p>
    <w:p w14:paraId="0CFA2122">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6、不在提供商品和服务时“偷梁换柱、以次充好”损害采购人的合法权益。 </w:t>
      </w:r>
    </w:p>
    <w:p w14:paraId="3C11562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7、不与采购人、采购代理机构政府采购评审专家或其它投标人恶意串通，进行质疑和投诉，维护政府采购市场秩序。 </w:t>
      </w:r>
    </w:p>
    <w:p w14:paraId="4AFA557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8、尊重和接受政府采购监督管理部门的监督和政府采购代理机构招标要求，承担因违约行为给采购人造成的损失。 </w:t>
      </w:r>
    </w:p>
    <w:p w14:paraId="603F35C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9、不发生其他有悖于政府采购公开、公平、公正和诚信原则的行为。 </w:t>
      </w:r>
    </w:p>
    <w:p w14:paraId="5EF3544F">
      <w:pPr>
        <w:pStyle w:val="16"/>
        <w:rPr>
          <w:rFonts w:hint="eastAsia" w:ascii="仿宋" w:hAnsi="仿宋" w:eastAsia="仿宋" w:cs="仿宋"/>
          <w:color w:val="auto"/>
          <w:highlight w:val="none"/>
          <w:lang w:eastAsia="zh-CN"/>
        </w:rPr>
      </w:pPr>
    </w:p>
    <w:p w14:paraId="6FCFCE04">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14:paraId="3D2DEAE7">
      <w:pP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br w:type="page"/>
      </w:r>
    </w:p>
    <w:p w14:paraId="443A5F6C">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承诺单位：</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（盖章） </w:t>
      </w:r>
    </w:p>
    <w:p w14:paraId="51F6D201">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全权代表：</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（签字） </w:t>
      </w:r>
    </w:p>
    <w:p w14:paraId="6FB1EDAB">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地　　址：</w:t>
      </w:r>
      <w:r>
        <w:rPr>
          <w:rFonts w:hint="eastAsia" w:ascii="仿宋" w:hAnsi="仿宋" w:eastAsia="仿宋" w:cs="仿宋"/>
          <w:color w:val="auto"/>
          <w:kern w:val="0"/>
          <w:szCs w:val="24"/>
          <w:highlight w:val="none"/>
          <w:u w:val="single"/>
        </w:rPr>
        <w:t xml:space="preserve">                              </w:t>
      </w:r>
    </w:p>
    <w:p w14:paraId="0CB2C177">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u w:val="single"/>
          <w:lang w:eastAsia="zh-CN"/>
        </w:rPr>
      </w:pPr>
      <w:r>
        <w:rPr>
          <w:rFonts w:hint="eastAsia" w:ascii="仿宋" w:hAnsi="仿宋" w:eastAsia="仿宋" w:cs="仿宋"/>
          <w:color w:val="auto"/>
          <w:kern w:val="0"/>
          <w:szCs w:val="24"/>
          <w:highlight w:val="none"/>
        </w:rPr>
        <w:t>邮    编：</w:t>
      </w:r>
      <w:r>
        <w:rPr>
          <w:rFonts w:hint="eastAsia" w:ascii="仿宋" w:hAnsi="仿宋" w:eastAsia="仿宋" w:cs="仿宋"/>
          <w:color w:val="auto"/>
          <w:kern w:val="0"/>
          <w:szCs w:val="24"/>
          <w:highlight w:val="none"/>
          <w:u w:val="single"/>
        </w:rPr>
        <w:t xml:space="preserve">　　                     　　 </w:t>
      </w:r>
    </w:p>
    <w:p w14:paraId="0DD16A3D">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电　　话：</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　　 </w:t>
      </w:r>
    </w:p>
    <w:p w14:paraId="773AA87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p>
    <w:p w14:paraId="3960B30F">
      <w:pPr>
        <w:keepNext w:val="0"/>
        <w:keepLines w:val="0"/>
        <w:pageBreakBefore w:val="0"/>
        <w:kinsoku/>
        <w:wordWrap/>
        <w:overflowPunct/>
        <w:topLinePunct w:val="0"/>
        <w:autoSpaceDE/>
        <w:autoSpaceDN/>
        <w:bidi w:val="0"/>
        <w:adjustRightInd/>
        <w:snapToGrid/>
        <w:spacing w:line="560" w:lineRule="exact"/>
        <w:ind w:firstLine="4920" w:firstLineChars="2050"/>
        <w:textAlignment w:val="auto"/>
        <w:rPr>
          <w:rFonts w:hint="eastAsia" w:ascii="仿宋" w:hAnsi="仿宋" w:eastAsia="仿宋" w:cs="仿宋"/>
          <w:color w:val="auto"/>
          <w:kern w:val="0"/>
          <w:szCs w:val="24"/>
          <w:highlight w:val="none"/>
        </w:rPr>
        <w:sectPr>
          <w:headerReference r:id="rId26" w:type="first"/>
          <w:footerReference r:id="rId28" w:type="first"/>
          <w:headerReference r:id="rId25" w:type="default"/>
          <w:footerReference r:id="rId27" w:type="defaul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kern w:val="0"/>
          <w:szCs w:val="24"/>
          <w:highlight w:val="none"/>
        </w:rPr>
        <w:t>年　　月　　日</w:t>
      </w:r>
    </w:p>
    <w:bookmarkEnd w:id="210"/>
    <w:bookmarkEnd w:id="211"/>
    <w:p w14:paraId="1495584C">
      <w:pPr>
        <w:spacing w:line="360" w:lineRule="atLeast"/>
        <w:jc w:val="center"/>
        <w:rPr>
          <w:rFonts w:hint="eastAsia" w:ascii="仿宋" w:hAnsi="仿宋" w:eastAsia="仿宋" w:cs="仿宋"/>
          <w:b/>
          <w:color w:val="auto"/>
          <w:sz w:val="32"/>
          <w:szCs w:val="32"/>
          <w:highlight w:val="none"/>
        </w:rPr>
      </w:pPr>
      <w:bookmarkStart w:id="245" w:name="_Toc458617748"/>
      <w:r>
        <w:rPr>
          <w:rFonts w:hint="eastAsia" w:ascii="仿宋" w:hAnsi="仿宋" w:eastAsia="仿宋" w:cs="仿宋"/>
          <w:b/>
          <w:color w:val="auto"/>
          <w:sz w:val="32"/>
          <w:szCs w:val="32"/>
          <w:highlight w:val="none"/>
        </w:rPr>
        <w:t>承诺书Ⅱ</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246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E5054C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5DAC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3DF85EE1">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作为参加贵公司组织的招标采购项目的投标人，本公司承诺：在参加本项目招标之前不存在被依法禁止经营行为、财产被接管或冻结的情况，如有隐瞒实情，愿承担一切责任及后果。</w:t>
            </w:r>
          </w:p>
        </w:tc>
      </w:tr>
      <w:tr w14:paraId="01B6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25E970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5AD4BAC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19FC2F7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5EDC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4603C63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FE665D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6725B32C">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17979CCC">
      <w:pPr>
        <w:spacing w:line="360" w:lineRule="atLeast"/>
        <w:jc w:val="center"/>
        <w:rPr>
          <w:rFonts w:hint="eastAsia" w:ascii="仿宋" w:hAnsi="仿宋" w:eastAsia="仿宋" w:cs="仿宋"/>
          <w:b/>
          <w:color w:val="auto"/>
          <w:sz w:val="32"/>
          <w:szCs w:val="32"/>
          <w:highlight w:val="none"/>
        </w:rPr>
      </w:pPr>
    </w:p>
    <w:p w14:paraId="120CC6B0">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承诺书Ⅲ</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F0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B6A4094">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76C2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2D58682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作为参加贵公司组织的招标采购项目的投标人，本公司郑重申告并承诺：近三年受到有关行政主管部门的行政处理、不良行为记录为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tc>
      </w:tr>
      <w:tr w14:paraId="57CF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545D7445">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2E9AB95D">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2458C9DF">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0EA9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700F8FC9">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324361B4">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2E53DF25">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CFE72E9">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承诺书Ⅳ</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E19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DC73E6A">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123C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5D6EFB7D">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作为参加贵公司组织的招标采购项目的投标人，本公司郑重申告：近三年因产品供货问题（水货、替代品、次品、翻新品等）的不法行为记录为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p w14:paraId="1F40B9FF">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本公司承诺：本次投标产品为正品行货。</w:t>
            </w:r>
          </w:p>
        </w:tc>
      </w:tr>
      <w:tr w14:paraId="362A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629C6AF5">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63F8C02B">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765ABE0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3BEC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1AC7273F">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D5E36D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489087F2">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2D7661ED">
      <w:pPr>
        <w:spacing w:line="360" w:lineRule="auto"/>
        <w:ind w:right="480"/>
        <w:rPr>
          <w:rFonts w:hint="eastAsia" w:ascii="仿宋" w:hAnsi="仿宋" w:eastAsia="仿宋" w:cs="仿宋"/>
          <w:color w:val="auto"/>
          <w:sz w:val="24"/>
          <w:szCs w:val="28"/>
          <w:highlight w:val="none"/>
        </w:rPr>
      </w:pPr>
    </w:p>
    <w:p w14:paraId="636C3F7C">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w:t>
      </w:r>
      <w:r>
        <w:rPr>
          <w:rFonts w:hint="eastAsia" w:ascii="仿宋" w:hAnsi="仿宋" w:eastAsia="仿宋" w:cs="仿宋"/>
          <w:b/>
          <w:color w:val="auto"/>
          <w:sz w:val="36"/>
          <w:szCs w:val="36"/>
          <w:highlight w:val="none"/>
        </w:rPr>
        <w:fldChar w:fldCharType="begin"/>
      </w:r>
      <w:r>
        <w:rPr>
          <w:rFonts w:hint="eastAsia" w:ascii="仿宋" w:hAnsi="仿宋" w:eastAsia="仿宋" w:cs="仿宋"/>
          <w:b/>
          <w:color w:val="auto"/>
          <w:sz w:val="36"/>
          <w:szCs w:val="36"/>
          <w:highlight w:val="none"/>
        </w:rPr>
        <w:instrText xml:space="preserve"> = 5 \* ROMAN </w:instrText>
      </w:r>
      <w:r>
        <w:rPr>
          <w:rFonts w:hint="eastAsia" w:ascii="仿宋" w:hAnsi="仿宋" w:eastAsia="仿宋" w:cs="仿宋"/>
          <w:b/>
          <w:color w:val="auto"/>
          <w:sz w:val="36"/>
          <w:szCs w:val="36"/>
          <w:highlight w:val="none"/>
        </w:rPr>
        <w:fldChar w:fldCharType="separate"/>
      </w:r>
      <w:r>
        <w:rPr>
          <w:rFonts w:hint="eastAsia" w:ascii="仿宋" w:hAnsi="仿宋" w:eastAsia="仿宋" w:cs="仿宋"/>
          <w:b/>
          <w:color w:val="auto"/>
          <w:sz w:val="36"/>
          <w:szCs w:val="36"/>
          <w:highlight w:val="none"/>
        </w:rPr>
        <w:t>V</w:t>
      </w:r>
      <w:r>
        <w:rPr>
          <w:rFonts w:hint="eastAsia" w:ascii="仿宋" w:hAnsi="仿宋" w:eastAsia="仿宋" w:cs="仿宋"/>
          <w:b/>
          <w:color w:val="auto"/>
          <w:sz w:val="36"/>
          <w:szCs w:val="36"/>
          <w:highlight w:val="none"/>
        </w:rPr>
        <w:fldChar w:fldCharType="end"/>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A13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6F0B619B">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2DEC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3744ED7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作为参加贵公司组织的招标采购项目的投标人，本公司承诺：参加本次投标提交的所有资格条件证明文件、业绩证明文件及其他证明文件是真实的、有效的，如有隐瞒实情，愿承担一切责任及后果。</w:t>
            </w:r>
          </w:p>
        </w:tc>
      </w:tr>
      <w:tr w14:paraId="06B2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0" w:type="dxa"/>
            <w:vAlign w:val="center"/>
          </w:tcPr>
          <w:p w14:paraId="1068DF04">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0BB15E4C">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633A7FEA">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3B9D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240" w:type="dxa"/>
            <w:vAlign w:val="center"/>
          </w:tcPr>
          <w:p w14:paraId="77E036FE">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155DD54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7BB27411">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CB9B286">
      <w:pPr>
        <w:spacing w:line="360" w:lineRule="atLeast"/>
        <w:jc w:val="center"/>
        <w:rPr>
          <w:rFonts w:hint="eastAsia" w:ascii="仿宋" w:hAnsi="仿宋" w:eastAsia="仿宋" w:cs="仿宋"/>
          <w:b/>
          <w:color w:val="auto"/>
          <w:sz w:val="32"/>
          <w:szCs w:val="32"/>
          <w:highlight w:val="none"/>
        </w:rPr>
      </w:pPr>
    </w:p>
    <w:p w14:paraId="4CA2A012">
      <w:pP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br w:type="page"/>
      </w:r>
    </w:p>
    <w:p w14:paraId="5493EEB5">
      <w:pPr>
        <w:spacing w:line="360" w:lineRule="atLeast"/>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承诺书Ⅵ</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362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EDB6AFE">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7054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7057CDEA">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作为参加贵公司组织的招标采购项目的投标人，本公司承诺：</w:t>
            </w:r>
            <w:r>
              <w:rPr>
                <w:rFonts w:hint="eastAsia" w:ascii="仿宋" w:hAnsi="仿宋" w:eastAsia="仿宋" w:cs="仿宋"/>
                <w:color w:val="auto"/>
                <w:sz w:val="24"/>
                <w:highlight w:val="none"/>
                <w:lang w:eastAsia="zh-CN"/>
              </w:rPr>
              <w:t>我单位法人代表及主要负责人所在的公司在近三年内没有违法违规行为，</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，我单位自愿放弃本次项目的投标。</w:t>
            </w:r>
          </w:p>
        </w:tc>
      </w:tr>
      <w:tr w14:paraId="3113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EE32B3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3481706B">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3713431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3463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435D98B">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CD5FFEC">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0859A7B1">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9038987">
      <w:pPr>
        <w:rPr>
          <w:rFonts w:hint="eastAsia" w:ascii="仿宋" w:hAnsi="仿宋" w:eastAsia="仿宋" w:cs="仿宋"/>
          <w:b/>
          <w:bCs/>
          <w:color w:val="auto"/>
          <w:szCs w:val="28"/>
          <w:highlight w:val="none"/>
          <w:lang w:val="en-US" w:eastAsia="zh-CN"/>
        </w:rPr>
      </w:pPr>
    </w:p>
    <w:p w14:paraId="18AF5F66">
      <w:pPr>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br w:type="page"/>
      </w:r>
    </w:p>
    <w:p w14:paraId="51A67E76">
      <w:pPr>
        <w:pStyle w:val="37"/>
        <w:spacing w:line="560" w:lineRule="exact"/>
        <w:ind w:firstLine="174" w:firstLineChars="62"/>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17</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中小</w:t>
      </w:r>
      <w:r>
        <w:rPr>
          <w:rFonts w:hint="eastAsia" w:ascii="仿宋" w:hAnsi="仿宋" w:eastAsia="仿宋" w:cs="仿宋"/>
          <w:b/>
          <w:bCs/>
          <w:color w:val="auto"/>
          <w:szCs w:val="28"/>
          <w:highlight w:val="none"/>
        </w:rPr>
        <w:t>企业声明函》</w:t>
      </w:r>
      <w:bookmarkEnd w:id="245"/>
      <w:bookmarkStart w:id="246" w:name="OLE_LINK19"/>
      <w:r>
        <w:rPr>
          <w:rFonts w:hint="eastAsia" w:ascii="仿宋" w:hAnsi="仿宋" w:eastAsia="仿宋" w:cs="仿宋"/>
          <w:color w:val="auto"/>
          <w:sz w:val="24"/>
          <w:szCs w:val="22"/>
          <w:highlight w:val="none"/>
        </w:rPr>
        <w:t>（格式，若有）</w:t>
      </w:r>
    </w:p>
    <w:bookmarkEnd w:id="246"/>
    <w:p w14:paraId="0187636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eastAsia="zh-CN"/>
        </w:rPr>
        <w:t>中小</w:t>
      </w:r>
      <w:r>
        <w:rPr>
          <w:rFonts w:hint="eastAsia" w:ascii="仿宋" w:hAnsi="仿宋" w:eastAsia="仿宋" w:cs="仿宋"/>
          <w:b/>
          <w:bCs/>
          <w:color w:val="auto"/>
          <w:kern w:val="0"/>
          <w:sz w:val="28"/>
          <w:szCs w:val="28"/>
          <w:highlight w:val="none"/>
        </w:rPr>
        <w:t>企业声明函</w:t>
      </w:r>
      <w:r>
        <w:rPr>
          <w:rFonts w:hint="eastAsia" w:ascii="仿宋" w:hAnsi="仿宋" w:eastAsia="仿宋" w:cs="仿宋"/>
          <w:b/>
          <w:bCs/>
          <w:color w:val="auto"/>
          <w:kern w:val="0"/>
          <w:sz w:val="28"/>
          <w:szCs w:val="28"/>
          <w:highlight w:val="none"/>
          <w:lang w:val="en-US" w:eastAsia="zh-CN"/>
        </w:rPr>
        <w:t>(货物）</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lang w:val="en-US" w:eastAsia="zh-CN"/>
        </w:rPr>
        <w:t>中小</w:t>
      </w:r>
      <w:r>
        <w:rPr>
          <w:rFonts w:hint="eastAsia" w:ascii="仿宋" w:hAnsi="仿宋" w:eastAsia="仿宋" w:cs="仿宋"/>
          <w:b/>
          <w:color w:val="auto"/>
          <w:spacing w:val="6"/>
          <w:sz w:val="22"/>
          <w:szCs w:val="22"/>
          <w:highlight w:val="none"/>
        </w:rPr>
        <w:t>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p w14:paraId="580D66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lang w:eastAsia="zh-CN"/>
        </w:rPr>
        <w:t>华招广和项目管理有限公司</w:t>
      </w:r>
    </w:p>
    <w:p w14:paraId="456FE887">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color w:val="auto"/>
          <w:szCs w:val="24"/>
          <w:highlight w:val="none"/>
          <w:u w:val="none"/>
          <w:lang w:val="en-US" w:eastAsia="zh-CN"/>
        </w:rPr>
      </w:pPr>
      <w:r>
        <w:rPr>
          <w:rFonts w:hint="eastAsia" w:ascii="仿宋" w:hAnsi="仿宋" w:eastAsia="仿宋" w:cs="仿宋"/>
          <w:color w:val="auto"/>
          <w:szCs w:val="24"/>
          <w:highlight w:val="none"/>
        </w:rPr>
        <w:t>本公司郑重声明，根据《政府采购促进中小企业发展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办法》（财库【20</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号）的规定，本公司</w:t>
      </w:r>
      <w:r>
        <w:rPr>
          <w:rFonts w:hint="eastAsia" w:ascii="仿宋" w:hAnsi="仿宋" w:eastAsia="仿宋" w:cs="仿宋"/>
          <w:color w:val="auto"/>
          <w:szCs w:val="24"/>
          <w:highlight w:val="none"/>
          <w:lang w:eastAsia="zh-CN"/>
        </w:rPr>
        <w:t>参加</w:t>
      </w:r>
      <w:r>
        <w:rPr>
          <w:rFonts w:hint="eastAsia" w:ascii="仿宋" w:hAnsi="仿宋" w:eastAsia="仿宋" w:cs="仿宋"/>
          <w:color w:val="auto"/>
          <w:szCs w:val="24"/>
          <w:highlight w:val="none"/>
          <w:u w:val="single"/>
          <w:lang w:val="en-US" w:eastAsia="zh-CN"/>
        </w:rPr>
        <w:t xml:space="preserve"> （单位名称）</w:t>
      </w:r>
      <w:r>
        <w:rPr>
          <w:rFonts w:hint="eastAsia" w:ascii="仿宋" w:hAnsi="仿宋" w:eastAsia="仿宋" w:cs="仿宋"/>
          <w:color w:val="auto"/>
          <w:szCs w:val="24"/>
          <w:highlight w:val="none"/>
          <w:u w:val="none"/>
          <w:lang w:val="en-US" w:eastAsia="zh-CN"/>
        </w:rPr>
        <w:t xml:space="preserve"> 的</w:t>
      </w:r>
      <w:r>
        <w:rPr>
          <w:rFonts w:hint="eastAsia" w:ascii="仿宋" w:hAnsi="仿宋" w:eastAsia="仿宋" w:cs="仿宋"/>
          <w:color w:val="auto"/>
          <w:szCs w:val="24"/>
          <w:highlight w:val="none"/>
          <w:u w:val="single"/>
          <w:lang w:val="en-US" w:eastAsia="zh-CN"/>
        </w:rPr>
        <w:t>（项目名称）</w:t>
      </w:r>
      <w:r>
        <w:rPr>
          <w:rFonts w:hint="eastAsia" w:ascii="仿宋" w:hAnsi="仿宋" w:eastAsia="仿宋" w:cs="仿宋"/>
          <w:color w:val="auto"/>
          <w:szCs w:val="24"/>
          <w:highlight w:val="none"/>
          <w:u w:val="none"/>
          <w:lang w:val="en-US" w:eastAsia="zh-CN"/>
        </w:rPr>
        <w:t>采购活动，提供的货物全部由符合政策要求的中小企业制造。相关企业的具体情况如下：</w:t>
      </w:r>
    </w:p>
    <w:p w14:paraId="74842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u w:val="none"/>
          <w:lang w:val="en-US" w:eastAsia="zh-CN"/>
        </w:rPr>
        <w:t>1.</w:t>
      </w:r>
      <w:r>
        <w:rPr>
          <w:rFonts w:hint="eastAsia" w:ascii="仿宋" w:hAnsi="仿宋" w:eastAsia="仿宋" w:cs="仿宋"/>
          <w:color w:val="auto"/>
          <w:szCs w:val="24"/>
          <w:highlight w:val="none"/>
          <w:u w:val="single"/>
          <w:lang w:val="en-US" w:eastAsia="zh-CN"/>
        </w:rPr>
        <w:t xml:space="preserve">（标的名称） </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none"/>
          <w:lang w:val="en-US" w:eastAsia="zh-CN"/>
        </w:rPr>
        <w:t>万元</w:t>
      </w:r>
      <w:r>
        <w:rPr>
          <w:rFonts w:hint="eastAsia" w:ascii="仿宋" w:hAnsi="仿宋" w:eastAsia="仿宋" w:cs="仿宋"/>
          <w:color w:val="auto"/>
          <w:szCs w:val="24"/>
          <w:highlight w:val="none"/>
          <w:lang w:val="en-US" w:eastAsia="zh-CN"/>
        </w:rPr>
        <w:t>，资产总额为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w:t>
      </w:r>
      <w:r>
        <w:rPr>
          <w:rFonts w:hint="eastAsia" w:ascii="仿宋" w:hAnsi="仿宋" w:eastAsia="仿宋" w:cs="仿宋"/>
          <w:color w:val="auto"/>
          <w:szCs w:val="24"/>
          <w:highlight w:val="none"/>
          <w:vertAlign w:val="superscript"/>
          <w:lang w:val="en-US" w:eastAsia="zh-CN"/>
        </w:rPr>
        <w:t>1</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1485C044">
      <w:pPr>
        <w:keepNext w:val="0"/>
        <w:keepLines w:val="0"/>
        <w:pageBreakBefore w:val="0"/>
        <w:widowControl w:val="0"/>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u w:val="single"/>
          <w:lang w:val="en-US" w:eastAsia="zh-CN"/>
        </w:rPr>
        <w:t xml:space="preserve"> （标的名称）</w:t>
      </w:r>
      <w:r>
        <w:rPr>
          <w:rFonts w:hint="eastAsia" w:ascii="仿宋" w:hAnsi="仿宋" w:eastAsia="仿宋" w:cs="仿宋"/>
          <w:color w:val="auto"/>
          <w:szCs w:val="24"/>
          <w:highlight w:val="none"/>
          <w:lang w:val="en-US" w:eastAsia="zh-CN"/>
        </w:rPr>
        <w:t xml:space="preserve"> ，属于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20DD45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w:t>
      </w:r>
    </w:p>
    <w:p w14:paraId="110FDB6F">
      <w:pPr>
        <w:pStyle w:val="10"/>
        <w:keepNext w:val="0"/>
        <w:keepLines w:val="0"/>
        <w:pageBreakBefore w:val="0"/>
        <w:widowControl w:val="0"/>
        <w:kinsoku/>
        <w:wordWrap/>
        <w:overflowPunct/>
        <w:topLinePunct w:val="0"/>
        <w:autoSpaceDE/>
        <w:autoSpaceDN/>
        <w:bidi w:val="0"/>
        <w:adjustRightInd/>
        <w:snapToGrid/>
        <w:spacing w:before="105" w:line="560" w:lineRule="exact"/>
        <w:ind w:right="417" w:firstLine="645"/>
        <w:jc w:val="both"/>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以上企业，不属于大企业的分支机构，不存在控股股东为大企业的情形，也不存在与大企业的负责人为同一人的情形。</w:t>
      </w:r>
    </w:p>
    <w:p w14:paraId="5C4FFFEA">
      <w:pPr>
        <w:pStyle w:val="10"/>
        <w:keepNext w:val="0"/>
        <w:keepLines w:val="0"/>
        <w:pageBreakBefore w:val="0"/>
        <w:widowControl w:val="0"/>
        <w:kinsoku/>
        <w:wordWrap/>
        <w:overflowPunct/>
        <w:topLinePunct w:val="0"/>
        <w:autoSpaceDE/>
        <w:autoSpaceDN/>
        <w:bidi w:val="0"/>
        <w:adjustRightInd/>
        <w:snapToGrid/>
        <w:spacing w:line="560" w:lineRule="exact"/>
        <w:ind w:right="372" w:firstLine="645"/>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本企业对上述声明内容的真实性负责。如有虚假，将依法承担相应责任。</w:t>
      </w:r>
    </w:p>
    <w:p w14:paraId="210E6074">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企业名称（盖章）：</w:t>
      </w:r>
    </w:p>
    <w:p w14:paraId="33D668F4">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日期：</w:t>
      </w:r>
    </w:p>
    <w:p w14:paraId="3D5122B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pict>
          <v:shape id="_x0000_s1035" o:spid="_x0000_s1035" o:spt="202" type="#_x0000_t202" style="position:absolute;left:0pt;margin-left:94.55pt;margin-top:688.15pt;height:28.85pt;width:395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14:paraId="0F3F4D6E">
                  <w:pPr>
                    <w:spacing w:before="5"/>
                    <w:ind w:left="20" w:right="0" w:firstLine="0"/>
                    <w:jc w:val="left"/>
                    <w:rPr>
                      <w:rFonts w:hint="eastAsia" w:ascii="宋体" w:eastAsia="宋体"/>
                      <w:sz w:val="18"/>
                      <w:szCs w:val="22"/>
                    </w:rPr>
                  </w:pPr>
                  <w:r>
                    <w:rPr>
                      <w:rFonts w:hint="eastAsia" w:ascii="楷体" w:hAnsi="楷体" w:eastAsia="楷体" w:cs="楷体"/>
                      <w:position w:val="6"/>
                      <w:sz w:val="11"/>
                      <w:szCs w:val="22"/>
                    </w:rPr>
                    <w:t>1</w:t>
                  </w:r>
                  <w:r>
                    <w:rPr>
                      <w:rFonts w:hint="eastAsia" w:ascii="楷体" w:hAnsi="楷体" w:eastAsia="楷体" w:cs="楷体"/>
                      <w:sz w:val="18"/>
                      <w:szCs w:val="22"/>
                    </w:rPr>
                    <w:t>从业人员、营业收入、资产总额填报上一年度数据，无上一年度数据的新成立企业可不填报。</w:t>
                  </w:r>
                </w:p>
                <w:p w14:paraId="3EA085B6">
                  <w:pPr>
                    <w:spacing w:before="8"/>
                    <w:ind w:left="866" w:right="0" w:firstLine="0"/>
                    <w:jc w:val="center"/>
                    <w:rPr>
                      <w:rFonts w:ascii="Calibri"/>
                      <w:sz w:val="18"/>
                    </w:rPr>
                  </w:pPr>
                </w:p>
              </w:txbxContent>
            </v:textbox>
          </v:shape>
        </w:pict>
      </w:r>
    </w:p>
    <w:p w14:paraId="49FD8758">
      <w:pPr>
        <w:rPr>
          <w:rFonts w:hint="eastAsia" w:ascii="仿宋" w:hAnsi="仿宋" w:eastAsia="仿宋" w:cs="仿宋"/>
          <w:color w:val="auto"/>
          <w:kern w:val="2"/>
          <w:sz w:val="24"/>
          <w:szCs w:val="24"/>
          <w:highlight w:val="none"/>
          <w:u w:val="none"/>
          <w:lang w:val="en-US" w:eastAsia="zh-CN" w:bidi="ar-SA"/>
        </w:rPr>
      </w:pPr>
    </w:p>
    <w:p w14:paraId="7F5DB145">
      <w:pPr>
        <w:spacing w:line="480" w:lineRule="exact"/>
        <w:ind w:firstLine="241" w:firstLineChars="100"/>
        <w:rPr>
          <w:rFonts w:hint="eastAsia" w:ascii="仿宋" w:hAnsi="仿宋" w:eastAsia="仿宋" w:cs="仿宋"/>
          <w:b/>
          <w:color w:val="auto"/>
          <w:sz w:val="24"/>
          <w:highlight w:val="none"/>
          <w:lang w:val="en-US" w:eastAsia="zh-CN"/>
        </w:rPr>
      </w:pPr>
    </w:p>
    <w:p w14:paraId="0D5B9090">
      <w:pPr>
        <w:pStyle w:val="10"/>
        <w:rPr>
          <w:rFonts w:hint="eastAsia" w:ascii="仿宋" w:hAnsi="仿宋" w:eastAsia="仿宋" w:cs="仿宋"/>
          <w:color w:val="auto"/>
          <w:highlight w:val="none"/>
          <w:lang w:val="en-US" w:eastAsia="zh-CN"/>
        </w:rPr>
        <w:sectPr>
          <w:footerReference r:id="rId29" w:type="default"/>
          <w:pgSz w:w="11905" w:h="16840"/>
          <w:pgMar w:top="1417" w:right="1417" w:bottom="1417" w:left="1417" w:header="935" w:footer="907" w:gutter="0"/>
          <w:pgNumType w:fmt="decimal"/>
          <w:cols w:space="0" w:num="1"/>
          <w:titlePg/>
          <w:rtlGutter w:val="0"/>
          <w:docGrid w:linePitch="0" w:charSpace="0"/>
        </w:sectPr>
      </w:pPr>
    </w:p>
    <w:p w14:paraId="037D643A">
      <w:pPr>
        <w:pStyle w:val="37"/>
        <w:spacing w:line="560" w:lineRule="exact"/>
        <w:ind w:firstLine="174" w:firstLineChars="62"/>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val="en-US" w:eastAsia="zh-CN"/>
        </w:rPr>
        <w:t>18</w:t>
      </w:r>
      <w:r>
        <w:rPr>
          <w:rFonts w:hint="eastAsia" w:ascii="仿宋" w:hAnsi="仿宋" w:eastAsia="仿宋" w:cs="仿宋"/>
          <w:b/>
          <w:bCs/>
          <w:color w:val="auto"/>
          <w:szCs w:val="28"/>
          <w:highlight w:val="none"/>
        </w:rPr>
        <w:t>.《残疾人福利性单位声明函》</w:t>
      </w:r>
      <w:r>
        <w:rPr>
          <w:rFonts w:hint="eastAsia" w:ascii="仿宋" w:hAnsi="仿宋" w:eastAsia="仿宋" w:cs="仿宋"/>
          <w:color w:val="auto"/>
          <w:sz w:val="24"/>
          <w:szCs w:val="24"/>
          <w:highlight w:val="none"/>
        </w:rPr>
        <w:t>（格式，若有）</w:t>
      </w:r>
    </w:p>
    <w:p w14:paraId="2237E039">
      <w:pPr>
        <w:spacing w:line="560" w:lineRule="exact"/>
        <w:jc w:val="center"/>
        <w:rPr>
          <w:rFonts w:hint="eastAsia" w:ascii="仿宋" w:hAnsi="仿宋" w:eastAsia="仿宋" w:cs="仿宋"/>
          <w:b/>
          <w:color w:val="auto"/>
          <w:spacing w:val="6"/>
          <w:szCs w:val="24"/>
          <w:highlight w:val="none"/>
        </w:rPr>
      </w:pPr>
      <w:bookmarkStart w:id="247" w:name="OLE_LINK14"/>
    </w:p>
    <w:p w14:paraId="26E712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pacing w:val="6"/>
          <w:szCs w:val="24"/>
          <w:highlight w:val="none"/>
        </w:rPr>
      </w:pPr>
      <w:r>
        <w:rPr>
          <w:rFonts w:hint="eastAsia" w:ascii="仿宋" w:hAnsi="仿宋" w:eastAsia="仿宋" w:cs="仿宋"/>
          <w:b/>
          <w:color w:val="auto"/>
          <w:spacing w:val="6"/>
          <w:szCs w:val="24"/>
          <w:highlight w:val="none"/>
        </w:rPr>
        <w:t>残疾人福利性单位声明函</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rPr>
        <w:t>残疾人福利企业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bookmarkEnd w:id="247"/>
    <w:p w14:paraId="614733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pacing w:val="6"/>
          <w:szCs w:val="24"/>
          <w:highlight w:val="none"/>
        </w:rPr>
      </w:pPr>
    </w:p>
    <w:p w14:paraId="238F3DC8">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本单位郑重声明，根据《财政部 民政部 中国残疾人联合会关于促进残疾人就业政府采购政策的通知》（财库</w:t>
      </w:r>
      <w:r>
        <w:rPr>
          <w:rFonts w:hint="eastAsia" w:ascii="仿宋" w:hAnsi="仿宋" w:eastAsia="仿宋" w:cs="仿宋"/>
          <w:color w:val="auto"/>
          <w:szCs w:val="24"/>
          <w:highlight w:val="none"/>
        </w:rPr>
        <w:t>〔2017〕 141</w:t>
      </w:r>
      <w:r>
        <w:rPr>
          <w:rFonts w:hint="eastAsia" w:ascii="仿宋" w:hAnsi="仿宋" w:eastAsia="仿宋" w:cs="仿宋"/>
          <w:color w:val="auto"/>
          <w:spacing w:val="6"/>
          <w:szCs w:val="24"/>
          <w:highlight w:val="none"/>
        </w:rPr>
        <w:t>号）的规定，本单位为符合条件的残疾人福利性单位，且本单位参加</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单位的</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项目采购活动提供本单位制造的货物（由本单位承担工程/提供服务），或者提供其他残疾人福利性单位制造的货物（不包括使用非残疾人福利性单位注册商标的货物）。</w:t>
      </w:r>
    </w:p>
    <w:p w14:paraId="7B3534C8">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本单位对上述声明的真实性负责。如有虚假，将依法承担相应责任。</w:t>
      </w:r>
    </w:p>
    <w:p w14:paraId="097C9B8A">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14:paraId="7A173B54">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14:paraId="6D3C666A">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u w:val="single"/>
        </w:rPr>
      </w:pPr>
      <w:r>
        <w:rPr>
          <w:rFonts w:hint="eastAsia" w:ascii="仿宋" w:hAnsi="仿宋" w:eastAsia="仿宋" w:cs="仿宋"/>
          <w:color w:val="auto"/>
          <w:spacing w:val="6"/>
          <w:szCs w:val="24"/>
          <w:highlight w:val="none"/>
        </w:rPr>
        <w:t xml:space="preserve">              单位名称（盖章）：</w:t>
      </w:r>
      <w:r>
        <w:rPr>
          <w:rFonts w:hint="eastAsia" w:ascii="仿宋" w:hAnsi="仿宋" w:eastAsia="仿宋" w:cs="仿宋"/>
          <w:color w:val="auto"/>
          <w:spacing w:val="6"/>
          <w:szCs w:val="24"/>
          <w:highlight w:val="none"/>
          <w:u w:val="single"/>
        </w:rPr>
        <w:t xml:space="preserve">              </w:t>
      </w:r>
    </w:p>
    <w:p w14:paraId="49CE1386">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日  期：</w:t>
      </w:r>
      <w:r>
        <w:rPr>
          <w:rFonts w:hint="eastAsia" w:ascii="仿宋" w:hAnsi="仿宋" w:eastAsia="仿宋" w:cs="仿宋"/>
          <w:color w:val="auto"/>
          <w:spacing w:val="6"/>
          <w:szCs w:val="24"/>
          <w:highlight w:val="none"/>
          <w:u w:val="single"/>
        </w:rPr>
        <w:t xml:space="preserve">            </w:t>
      </w:r>
    </w:p>
    <w:p w14:paraId="57A312F2">
      <w:pPr>
        <w:spacing w:line="480" w:lineRule="exact"/>
        <w:rPr>
          <w:rFonts w:hint="eastAsia" w:ascii="仿宋" w:hAnsi="仿宋" w:eastAsia="仿宋" w:cs="仿宋"/>
          <w:b/>
          <w:color w:val="auto"/>
          <w:sz w:val="24"/>
          <w:highlight w:val="none"/>
          <w:lang w:val="en-US" w:eastAsia="zh-CN"/>
        </w:rPr>
      </w:pPr>
    </w:p>
    <w:p w14:paraId="7CAED6F4">
      <w:pPr>
        <w:spacing w:line="480" w:lineRule="exact"/>
        <w:rPr>
          <w:rFonts w:hint="eastAsia" w:ascii="仿宋" w:hAnsi="仿宋" w:eastAsia="仿宋" w:cs="仿宋"/>
          <w:b/>
          <w:color w:val="auto"/>
          <w:sz w:val="24"/>
          <w:highlight w:val="none"/>
          <w:lang w:val="en-US" w:eastAsia="zh-CN"/>
        </w:rPr>
      </w:pPr>
    </w:p>
    <w:p w14:paraId="1E2879EE">
      <w:pPr>
        <w:spacing w:line="480" w:lineRule="exact"/>
        <w:rPr>
          <w:rFonts w:hint="eastAsia" w:ascii="仿宋" w:hAnsi="仿宋" w:eastAsia="仿宋" w:cs="仿宋"/>
          <w:b/>
          <w:color w:val="auto"/>
          <w:sz w:val="24"/>
          <w:highlight w:val="none"/>
          <w:lang w:val="en-US" w:eastAsia="zh-CN"/>
        </w:rPr>
      </w:pPr>
    </w:p>
    <w:p w14:paraId="1BF74E41">
      <w:pPr>
        <w:spacing w:line="360" w:lineRule="auto"/>
        <w:ind w:firstLine="422" w:firstLineChars="200"/>
        <w:rPr>
          <w:rFonts w:hint="eastAsia" w:ascii="仿宋" w:hAnsi="仿宋" w:eastAsia="仿宋" w:cs="仿宋"/>
          <w:b/>
          <w:bCs w:val="0"/>
          <w:color w:val="auto"/>
          <w:kern w:val="0"/>
          <w:sz w:val="21"/>
          <w:szCs w:val="20"/>
          <w:highlight w:val="none"/>
          <w:lang w:val="zh-CN"/>
        </w:rPr>
      </w:pPr>
      <w:r>
        <w:rPr>
          <w:rFonts w:hint="eastAsia" w:ascii="仿宋" w:hAnsi="仿宋" w:eastAsia="仿宋" w:cs="仿宋"/>
          <w:b/>
          <w:bCs w:val="0"/>
          <w:color w:val="auto"/>
          <w:kern w:val="0"/>
          <w:sz w:val="21"/>
          <w:szCs w:val="20"/>
          <w:highlight w:val="none"/>
          <w:lang w:val="zh-CN"/>
        </w:rPr>
        <w:t>备注：投标人提供的《残疾人福利性单位声明函》必须真实有效，如果被举报经查实出具虚假声明函的，将被取消投标资格，并按有关规定予以处理。</w:t>
      </w:r>
    </w:p>
    <w:p w14:paraId="7DD6873A">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br w:type="page"/>
      </w:r>
    </w:p>
    <w:p w14:paraId="5ECCC4AD">
      <w:pPr>
        <w:pStyle w:val="37"/>
        <w:spacing w:line="5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19</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监狱、戒毒企业</w:t>
      </w:r>
      <w:r>
        <w:rPr>
          <w:rFonts w:hint="eastAsia" w:ascii="仿宋" w:hAnsi="仿宋" w:eastAsia="仿宋" w:cs="仿宋"/>
          <w:b/>
          <w:bCs/>
          <w:color w:val="auto"/>
          <w:szCs w:val="28"/>
          <w:highlight w:val="none"/>
        </w:rPr>
        <w:t>声明函》</w:t>
      </w:r>
      <w:r>
        <w:rPr>
          <w:rFonts w:hint="eastAsia" w:ascii="仿宋" w:hAnsi="仿宋" w:eastAsia="仿宋" w:cs="仿宋"/>
          <w:color w:val="auto"/>
          <w:sz w:val="24"/>
          <w:szCs w:val="24"/>
          <w:highlight w:val="none"/>
        </w:rPr>
        <w:t>（格式，若有）</w:t>
      </w:r>
    </w:p>
    <w:p w14:paraId="1D2C99F3">
      <w:pPr>
        <w:keepNext w:val="0"/>
        <w:keepLines w:val="0"/>
        <w:pageBreakBefore w:val="0"/>
        <w:widowControl w:val="0"/>
        <w:kinsoku/>
        <w:wordWrap/>
        <w:overflowPunct/>
        <w:topLinePunct w:val="0"/>
        <w:autoSpaceDE/>
        <w:autoSpaceDN/>
        <w:bidi w:val="0"/>
        <w:adjustRightInd/>
        <w:snapToGrid w:val="0"/>
        <w:spacing w:line="640" w:lineRule="exact"/>
        <w:ind w:firstLine="1512" w:firstLineChars="6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7142F606">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auto"/>
          <w:spacing w:val="6"/>
          <w:sz w:val="21"/>
          <w:szCs w:val="21"/>
          <w:highlight w:val="none"/>
          <w:u w:val="double"/>
          <w:lang w:val="zh-CN"/>
        </w:rPr>
      </w:pPr>
      <w:r>
        <w:rPr>
          <w:rFonts w:hint="eastAsia" w:ascii="仿宋" w:hAnsi="仿宋" w:eastAsia="仿宋" w:cs="仿宋"/>
          <w:b/>
          <w:color w:val="auto"/>
          <w:kern w:val="0"/>
          <w:sz w:val="28"/>
          <w:szCs w:val="28"/>
          <w:highlight w:val="none"/>
          <w:lang w:val="zh-CN"/>
        </w:rPr>
        <w:t>监狱、戒毒企业声明函</w:t>
      </w:r>
      <w:r>
        <w:rPr>
          <w:rFonts w:hint="eastAsia" w:ascii="仿宋" w:hAnsi="仿宋" w:eastAsia="仿宋" w:cs="仿宋"/>
          <w:b/>
          <w:strike w:val="0"/>
          <w:dstrike w:val="0"/>
          <w:color w:val="auto"/>
          <w:spacing w:val="6"/>
          <w:sz w:val="21"/>
          <w:szCs w:val="21"/>
          <w:highlight w:val="none"/>
          <w:u w:val="none"/>
          <w:lang w:val="zh-CN"/>
        </w:rPr>
        <w:t>（非监狱、戒毒企业不填写）</w:t>
      </w:r>
    </w:p>
    <w:p w14:paraId="7DCA8AF4">
      <w:pPr>
        <w:keepNext w:val="0"/>
        <w:keepLines w:val="0"/>
        <w:pageBreakBefore w:val="0"/>
        <w:widowControl w:val="0"/>
        <w:kinsoku/>
        <w:wordWrap/>
        <w:overflowPunct/>
        <w:topLinePunct w:val="0"/>
        <w:autoSpaceDE/>
        <w:autoSpaceDN/>
        <w:bidi w:val="0"/>
        <w:adjustRightInd/>
        <w:spacing w:line="6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428FCFDC">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w:t>
      </w:r>
      <w:r>
        <w:rPr>
          <w:rFonts w:hint="eastAsia" w:ascii="仿宋" w:hAnsi="仿宋" w:eastAsia="仿宋" w:cs="仿宋"/>
          <w:color w:val="auto"/>
          <w:spacing w:val="-4"/>
          <w:kern w:val="0"/>
          <w:sz w:val="24"/>
          <w:highlight w:val="none"/>
        </w:rPr>
        <w:t>财政部 司法部 关于政府采购支持监狱企业发展有关问题的通知</w:t>
      </w:r>
      <w:r>
        <w:rPr>
          <w:rFonts w:hint="eastAsia" w:ascii="仿宋" w:hAnsi="仿宋" w:eastAsia="仿宋" w:cs="仿宋"/>
          <w:color w:val="auto"/>
          <w:sz w:val="24"/>
          <w:highlight w:val="none"/>
        </w:rPr>
        <w:t>》（财库〔2014〕68号）的规定，本单位为符合条件的监狱、戒毒企业，且本单位参加的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项目采购活动提供本单位制造的货物（由本单位承担工程/提供服务），或者提供其他监狱、戒毒企业制造的货物（不包括使用非监狱、戒毒企业注册商标的货物）。</w:t>
      </w:r>
    </w:p>
    <w:p w14:paraId="36C5D521">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4A3AD40">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6CA9B796">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2B476EA6">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投标人全称（公章）：</w:t>
      </w:r>
      <w:r>
        <w:rPr>
          <w:rFonts w:hint="eastAsia" w:ascii="仿宋" w:hAnsi="仿宋" w:eastAsia="仿宋" w:cs="仿宋"/>
          <w:color w:val="auto"/>
          <w:sz w:val="24"/>
          <w:highlight w:val="none"/>
          <w:u w:val="single"/>
        </w:rPr>
        <w:t xml:space="preserve">                   </w:t>
      </w:r>
    </w:p>
    <w:p w14:paraId="7119C786">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B3FD693">
      <w:pPr>
        <w:spacing w:line="360" w:lineRule="auto"/>
        <w:ind w:firstLine="504" w:firstLineChars="200"/>
        <w:rPr>
          <w:rFonts w:hint="eastAsia" w:ascii="仿宋" w:hAnsi="仿宋" w:eastAsia="仿宋" w:cs="仿宋"/>
          <w:b w:val="0"/>
          <w:bCs/>
          <w:color w:val="auto"/>
          <w:spacing w:val="6"/>
          <w:sz w:val="24"/>
          <w:highlight w:val="none"/>
          <w:shd w:val="pct10" w:color="auto" w:fill="FFFFFF"/>
        </w:rPr>
      </w:pPr>
    </w:p>
    <w:p w14:paraId="0C59F6AB">
      <w:pPr>
        <w:spacing w:line="360" w:lineRule="auto"/>
        <w:ind w:firstLine="444" w:firstLineChars="200"/>
        <w:rPr>
          <w:rFonts w:hint="eastAsia" w:ascii="仿宋" w:hAnsi="仿宋" w:eastAsia="仿宋" w:cs="仿宋"/>
          <w:b w:val="0"/>
          <w:bCs/>
          <w:color w:val="auto"/>
          <w:spacing w:val="6"/>
          <w:sz w:val="21"/>
          <w:szCs w:val="20"/>
          <w:highlight w:val="none"/>
          <w:shd w:val="pct10" w:color="auto" w:fill="FFFFFF"/>
        </w:rPr>
      </w:pPr>
    </w:p>
    <w:p w14:paraId="25C52C37">
      <w:pPr>
        <w:pStyle w:val="10"/>
        <w:rPr>
          <w:rFonts w:hint="eastAsia" w:ascii="仿宋" w:hAnsi="仿宋" w:eastAsia="仿宋" w:cs="仿宋"/>
          <w:b w:val="0"/>
          <w:bCs/>
          <w:color w:val="auto"/>
          <w:spacing w:val="6"/>
          <w:sz w:val="21"/>
          <w:szCs w:val="20"/>
          <w:highlight w:val="none"/>
          <w:shd w:val="pct10" w:color="auto" w:fill="FFFFFF"/>
        </w:rPr>
      </w:pPr>
    </w:p>
    <w:p w14:paraId="6A6DE609">
      <w:pPr>
        <w:rPr>
          <w:rFonts w:hint="eastAsia" w:ascii="仿宋" w:hAnsi="仿宋" w:eastAsia="仿宋" w:cs="仿宋"/>
          <w:color w:val="auto"/>
          <w:highlight w:val="none"/>
        </w:rPr>
      </w:pPr>
    </w:p>
    <w:p w14:paraId="03A15916">
      <w:pPr>
        <w:rPr>
          <w:rFonts w:hint="eastAsia" w:ascii="仿宋" w:hAnsi="仿宋" w:eastAsia="仿宋" w:cs="仿宋"/>
          <w:color w:val="auto"/>
          <w:sz w:val="28"/>
          <w:szCs w:val="28"/>
          <w:highlight w:val="none"/>
        </w:rPr>
        <w:sectPr>
          <w:headerReference r:id="rId30" w:type="first"/>
          <w:footerReference r:id="rId31" w:type="firs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b/>
          <w:bCs w:val="0"/>
          <w:color w:val="auto"/>
          <w:kern w:val="0"/>
          <w:sz w:val="21"/>
          <w:szCs w:val="20"/>
          <w:highlight w:val="none"/>
          <w:lang w:val="zh-CN"/>
        </w:rPr>
        <w:t>备注：投标人提供的《</w:t>
      </w:r>
      <w:r>
        <w:rPr>
          <w:rFonts w:hint="eastAsia" w:ascii="仿宋" w:hAnsi="仿宋" w:eastAsia="仿宋" w:cs="仿宋"/>
          <w:b/>
          <w:bCs w:val="0"/>
          <w:color w:val="auto"/>
          <w:sz w:val="21"/>
          <w:szCs w:val="20"/>
          <w:highlight w:val="none"/>
        </w:rPr>
        <w:t>监狱、戒毒企业</w:t>
      </w:r>
      <w:r>
        <w:rPr>
          <w:rFonts w:hint="eastAsia" w:ascii="仿宋" w:hAnsi="仿宋" w:eastAsia="仿宋" w:cs="仿宋"/>
          <w:b/>
          <w:bCs w:val="0"/>
          <w:color w:val="auto"/>
          <w:kern w:val="0"/>
          <w:sz w:val="21"/>
          <w:szCs w:val="20"/>
          <w:highlight w:val="none"/>
          <w:lang w:val="zh-CN"/>
        </w:rPr>
        <w:t>声明函》必须真实有效，</w:t>
      </w:r>
      <w:r>
        <w:rPr>
          <w:rFonts w:hint="eastAsia" w:ascii="仿宋" w:hAnsi="仿宋" w:eastAsia="仿宋" w:cs="仿宋"/>
          <w:b/>
          <w:bCs w:val="0"/>
          <w:color w:val="auto"/>
          <w:sz w:val="21"/>
          <w:szCs w:val="20"/>
          <w:highlight w:val="none"/>
        </w:rPr>
        <w:t>投标人应当提供由省级以上监狱管理局、戒毒管理局(含新疆生产建设兵团)出具的属于监狱企业的证明文件。</w:t>
      </w:r>
    </w:p>
    <w:p w14:paraId="357BFFF1">
      <w:pPr>
        <w:pStyle w:val="37"/>
        <w:spacing w:line="560" w:lineRule="exact"/>
        <w:ind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eastAsia="zh-CN"/>
        </w:rPr>
        <w:t>封袋正面标识式样</w:t>
      </w:r>
    </w:p>
    <w:p w14:paraId="2B3A629E">
      <w:pPr>
        <w:rPr>
          <w:rFonts w:hint="eastAsia" w:ascii="仿宋" w:hAnsi="仿宋" w:eastAsia="仿宋" w:cs="仿宋"/>
          <w:color w:val="auto"/>
          <w:highlight w:val="none"/>
        </w:rPr>
      </w:pPr>
    </w:p>
    <w:p w14:paraId="10C7B318">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投标文件封袋正面标识式样</w:t>
      </w:r>
    </w:p>
    <w:p w14:paraId="4EF950AF">
      <w:pPr>
        <w:rPr>
          <w:rFonts w:hint="eastAsia" w:ascii="仿宋" w:hAnsi="仿宋" w:eastAsia="仿宋" w:cs="仿宋"/>
          <w:color w:val="auto"/>
          <w:highlight w:val="none"/>
        </w:rPr>
      </w:pPr>
      <w:r>
        <w:rPr>
          <w:rFonts w:hint="eastAsia" w:ascii="仿宋" w:hAnsi="仿宋" w:eastAsia="仿宋" w:cs="仿宋"/>
          <w:b/>
          <w:color w:val="auto"/>
          <w:sz w:val="24"/>
          <w:highlight w:val="none"/>
        </w:rPr>
        <w:pict>
          <v:shape id="_x0000_s1038" o:spid="_x0000_s1038" o:spt="202" type="#_x0000_t202" style="position:absolute;left:0pt;margin-left:-16.15pt;margin-top:13.25pt;height:606.8pt;width:447.15pt;z-index:251672576;mso-width-relative:page;mso-height-relative:page;" coordsize="21600,21600">
            <v:path/>
            <v:fill focussize="0,0"/>
            <v:stroke/>
            <v:imagedata o:title=""/>
            <o:lock v:ext="edit" grouping="f" rotation="f" text="f" aspectratio="f"/>
            <v:textbox>
              <w:txbxContent>
                <w:p w14:paraId="124EECA9">
                  <w:pPr>
                    <w:rPr>
                      <w:rFonts w:hint="eastAsia" w:ascii="仿宋" w:hAnsi="仿宋" w:eastAsia="仿宋" w:cs="仿宋"/>
                      <w:color w:val="00B0F0"/>
                      <w:sz w:val="28"/>
                      <w:szCs w:val="28"/>
                    </w:rPr>
                  </w:pPr>
                </w:p>
                <w:p w14:paraId="65E8984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w:t>
                  </w:r>
                  <w:r>
                    <w:rPr>
                      <w:rFonts w:hint="eastAsia" w:ascii="仿宋" w:hAnsi="仿宋" w:eastAsia="仿宋" w:cs="仿宋"/>
                      <w:sz w:val="28"/>
                      <w:szCs w:val="28"/>
                    </w:rPr>
                    <w:t>有限公司</w:t>
                  </w:r>
                </w:p>
                <w:p w14:paraId="6BA4F21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502A030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64152684">
                  <w:pPr>
                    <w:jc w:val="center"/>
                    <w:rPr>
                      <w:rFonts w:hint="eastAsia" w:ascii="仿宋" w:hAnsi="仿宋" w:eastAsia="仿宋" w:cs="仿宋"/>
                      <w:b/>
                      <w:sz w:val="44"/>
                      <w:szCs w:val="44"/>
                    </w:rPr>
                  </w:pPr>
                </w:p>
                <w:p w14:paraId="4C718EC2">
                  <w:pPr>
                    <w:jc w:val="center"/>
                    <w:rPr>
                      <w:rFonts w:hint="eastAsia" w:ascii="仿宋" w:hAnsi="仿宋" w:eastAsia="仿宋" w:cs="仿宋"/>
                      <w:b/>
                      <w:sz w:val="44"/>
                      <w:szCs w:val="44"/>
                    </w:rPr>
                  </w:pPr>
                </w:p>
                <w:p w14:paraId="1A510B0E">
                  <w:pPr>
                    <w:jc w:val="center"/>
                    <w:rPr>
                      <w:rFonts w:hint="eastAsia" w:ascii="仿宋" w:hAnsi="仿宋" w:eastAsia="仿宋" w:cs="仿宋"/>
                      <w:b/>
                      <w:sz w:val="44"/>
                      <w:szCs w:val="44"/>
                    </w:rPr>
                  </w:pPr>
                </w:p>
                <w:p w14:paraId="400020FA">
                  <w:pPr>
                    <w:jc w:val="center"/>
                    <w:rPr>
                      <w:rFonts w:hint="eastAsia" w:ascii="仿宋" w:hAnsi="仿宋" w:eastAsia="仿宋" w:cs="仿宋"/>
                      <w:b/>
                      <w:sz w:val="44"/>
                      <w:szCs w:val="44"/>
                    </w:rPr>
                  </w:pPr>
                </w:p>
                <w:p w14:paraId="36842416">
                  <w:pPr>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14:paraId="510A4807">
                  <w:pPr>
                    <w:rPr>
                      <w:rFonts w:hint="eastAsia" w:ascii="仿宋" w:hAnsi="仿宋" w:eastAsia="仿宋" w:cs="仿宋"/>
                      <w:sz w:val="28"/>
                      <w:szCs w:val="28"/>
                    </w:rPr>
                  </w:pPr>
                </w:p>
                <w:p w14:paraId="1599A011">
                  <w:pPr>
                    <w:rPr>
                      <w:rFonts w:hint="eastAsia" w:ascii="仿宋" w:hAnsi="仿宋" w:eastAsia="仿宋" w:cs="仿宋"/>
                      <w:sz w:val="28"/>
                      <w:szCs w:val="28"/>
                    </w:rPr>
                  </w:pPr>
                </w:p>
                <w:p w14:paraId="0D2131F7">
                  <w:pPr>
                    <w:rPr>
                      <w:rFonts w:hint="eastAsia" w:ascii="仿宋" w:hAnsi="仿宋" w:eastAsia="仿宋" w:cs="仿宋"/>
                      <w:sz w:val="28"/>
                      <w:szCs w:val="28"/>
                    </w:rPr>
                  </w:pPr>
                </w:p>
                <w:p w14:paraId="32996DC3">
                  <w:pPr>
                    <w:rPr>
                      <w:rFonts w:hint="eastAsia" w:ascii="仿宋" w:hAnsi="仿宋" w:eastAsia="仿宋" w:cs="仿宋"/>
                      <w:sz w:val="28"/>
                      <w:szCs w:val="28"/>
                    </w:rPr>
                  </w:pPr>
                </w:p>
                <w:p w14:paraId="22756122">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2A4E72B8">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EF0D94">
                  <w:pPr>
                    <w:pStyle w:val="10"/>
                    <w:jc w:val="center"/>
                    <w:rPr>
                      <w:rFonts w:hint="eastAsia" w:ascii="仿宋" w:hAnsi="仿宋" w:eastAsia="仿宋" w:cs="仿宋"/>
                      <w:color w:val="auto"/>
                    </w:rPr>
                  </w:pPr>
                </w:p>
                <w:p w14:paraId="6F545044">
                  <w:pPr>
                    <w:pStyle w:val="10"/>
                    <w:jc w:val="center"/>
                    <w:rPr>
                      <w:rFonts w:hint="eastAsia" w:ascii="仿宋" w:hAnsi="仿宋" w:eastAsia="仿宋" w:cs="仿宋"/>
                      <w:color w:val="auto"/>
                    </w:rPr>
                  </w:pPr>
                </w:p>
                <w:p w14:paraId="4C9A17AB">
                  <w:pPr>
                    <w:pStyle w:val="10"/>
                    <w:jc w:val="center"/>
                    <w:rPr>
                      <w:rFonts w:hint="eastAsia" w:ascii="仿宋" w:hAnsi="仿宋" w:eastAsia="仿宋" w:cs="仿宋"/>
                      <w:color w:val="auto"/>
                    </w:rPr>
                  </w:pPr>
                </w:p>
                <w:p w14:paraId="0527A6EB">
                  <w:pPr>
                    <w:pStyle w:val="10"/>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46562FA7">
                  <w:pPr>
                    <w:pStyle w:val="10"/>
                    <w:rPr>
                      <w:rFonts w:hint="eastAsia" w:ascii="仿宋" w:hAnsi="仿宋" w:eastAsia="仿宋" w:cs="仿宋"/>
                      <w:color w:val="00B0F0"/>
                    </w:rPr>
                  </w:pPr>
                </w:p>
                <w:p w14:paraId="4F087F7C">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w:r>
    </w:p>
    <w:p w14:paraId="2EEEFC27">
      <w:pPr>
        <w:snapToGrid w:val="0"/>
        <w:spacing w:line="560" w:lineRule="exact"/>
        <w:rPr>
          <w:rFonts w:hint="eastAsia" w:ascii="仿宋" w:hAnsi="仿宋" w:eastAsia="仿宋" w:cs="仿宋"/>
          <w:b/>
          <w:bCs/>
          <w:color w:val="auto"/>
          <w:kern w:val="0"/>
          <w:sz w:val="28"/>
          <w:szCs w:val="28"/>
          <w:highlight w:val="none"/>
        </w:rPr>
      </w:pPr>
    </w:p>
    <w:p w14:paraId="6C9221DB">
      <w:pPr>
        <w:widowControl/>
        <w:spacing w:line="560" w:lineRule="exact"/>
        <w:ind w:left="480" w:leftChars="200"/>
        <w:rPr>
          <w:rFonts w:hint="eastAsia" w:ascii="仿宋" w:hAnsi="仿宋" w:eastAsia="仿宋" w:cs="仿宋"/>
          <w:color w:val="auto"/>
          <w:szCs w:val="24"/>
          <w:highlight w:val="none"/>
        </w:rPr>
      </w:pPr>
    </w:p>
    <w:p w14:paraId="35736931">
      <w:pPr>
        <w:widowControl/>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1FCFED17">
      <w:pPr>
        <w:pStyle w:val="10"/>
        <w:rPr>
          <w:rFonts w:hint="eastAsia" w:ascii="仿宋" w:hAnsi="仿宋" w:eastAsia="仿宋" w:cs="仿宋"/>
          <w:color w:val="auto"/>
          <w:highlight w:val="none"/>
        </w:rPr>
      </w:pPr>
    </w:p>
    <w:p w14:paraId="6C309A60">
      <w:pPr>
        <w:rPr>
          <w:rFonts w:hint="eastAsia" w:ascii="仿宋" w:hAnsi="仿宋" w:eastAsia="仿宋" w:cs="仿宋"/>
          <w:color w:val="auto"/>
          <w:highlight w:val="none"/>
        </w:rPr>
      </w:pPr>
    </w:p>
    <w:p w14:paraId="5C2195A1">
      <w:pPr>
        <w:spacing w:line="560" w:lineRule="exact"/>
        <w:rPr>
          <w:rFonts w:hint="eastAsia" w:ascii="仿宋" w:hAnsi="仿宋" w:eastAsia="仿宋" w:cs="仿宋"/>
          <w:b/>
          <w:color w:val="auto"/>
          <w:sz w:val="44"/>
          <w:szCs w:val="44"/>
          <w:highlight w:val="none"/>
        </w:rPr>
      </w:pPr>
    </w:p>
    <w:p w14:paraId="13937266">
      <w:pPr>
        <w:pStyle w:val="10"/>
        <w:rPr>
          <w:rFonts w:hint="eastAsia" w:ascii="仿宋" w:hAnsi="仿宋" w:eastAsia="仿宋" w:cs="仿宋"/>
          <w:color w:val="auto"/>
          <w:highlight w:val="none"/>
        </w:rPr>
      </w:pPr>
    </w:p>
    <w:p w14:paraId="246828B8">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757A3A4F">
      <w:pP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开标一览表</w:t>
      </w:r>
      <w:r>
        <w:rPr>
          <w:rFonts w:hint="eastAsia" w:ascii="仿宋" w:hAnsi="仿宋" w:eastAsia="仿宋" w:cs="仿宋"/>
          <w:b/>
          <w:color w:val="auto"/>
          <w:sz w:val="24"/>
          <w:highlight w:val="none"/>
        </w:rPr>
        <w:t>正面标识式样</w:t>
      </w:r>
    </w:p>
    <w:p w14:paraId="3A1C3FBF">
      <w:pPr>
        <w:rPr>
          <w:rFonts w:hint="eastAsia" w:ascii="仿宋" w:hAnsi="仿宋" w:eastAsia="仿宋" w:cs="仿宋"/>
          <w:b/>
          <w:color w:val="auto"/>
          <w:sz w:val="44"/>
          <w:szCs w:val="44"/>
          <w:highlight w:val="none"/>
        </w:rPr>
      </w:pPr>
      <w:r>
        <w:rPr>
          <w:rFonts w:hint="eastAsia" w:ascii="仿宋" w:hAnsi="仿宋" w:eastAsia="仿宋" w:cs="仿宋"/>
          <w:color w:val="auto"/>
          <w:highlight w:val="none"/>
        </w:rPr>
        <w:pict>
          <v:shape id="_x0000_s1040" o:spid="_x0000_s1040" o:spt="202" type="#_x0000_t202" style="position:absolute;left:0pt;margin-left:7.45pt;margin-top:14.65pt;height:641.25pt;width:440.6pt;z-index:251673600;mso-width-relative:page;mso-height-relative:page;" coordsize="21600,21600">
            <v:path/>
            <v:fill focussize="0,0"/>
            <v:stroke/>
            <v:imagedata o:title=""/>
            <o:lock v:ext="edit" grouping="f" rotation="f" text="f" aspectratio="f"/>
            <v:textbox>
              <w:txbxContent>
                <w:p w14:paraId="45C2CD86">
                  <w:pPr>
                    <w:rPr>
                      <w:sz w:val="28"/>
                      <w:szCs w:val="28"/>
                    </w:rPr>
                  </w:pPr>
                </w:p>
                <w:p w14:paraId="071E8ACF">
                  <w:pPr>
                    <w:rPr>
                      <w:sz w:val="28"/>
                      <w:szCs w:val="28"/>
                    </w:rPr>
                  </w:pPr>
                </w:p>
                <w:p w14:paraId="09FA71AE">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1696F307">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365E367A">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0139AF7E">
                  <w:pPr>
                    <w:jc w:val="center"/>
                    <w:rPr>
                      <w:rFonts w:hint="eastAsia" w:ascii="仿宋" w:hAnsi="仿宋" w:eastAsia="仿宋" w:cs="仿宋"/>
                      <w:b/>
                      <w:sz w:val="44"/>
                      <w:szCs w:val="44"/>
                    </w:rPr>
                  </w:pPr>
                </w:p>
                <w:p w14:paraId="245E7CFB">
                  <w:pPr>
                    <w:jc w:val="center"/>
                    <w:rPr>
                      <w:rFonts w:hint="eastAsia" w:ascii="仿宋" w:hAnsi="仿宋" w:eastAsia="仿宋" w:cs="仿宋"/>
                      <w:b/>
                      <w:sz w:val="44"/>
                      <w:szCs w:val="44"/>
                    </w:rPr>
                  </w:pPr>
                </w:p>
                <w:p w14:paraId="09A7FAC9">
                  <w:pPr>
                    <w:jc w:val="center"/>
                    <w:rPr>
                      <w:rFonts w:hint="eastAsia" w:ascii="仿宋" w:hAnsi="仿宋" w:eastAsia="仿宋" w:cs="仿宋"/>
                      <w:b/>
                      <w:sz w:val="44"/>
                      <w:szCs w:val="44"/>
                    </w:rPr>
                  </w:pPr>
                </w:p>
                <w:p w14:paraId="0972CD93">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开标一览表</w:t>
                  </w:r>
                </w:p>
                <w:p w14:paraId="2EF841C1">
                  <w:pPr>
                    <w:pStyle w:val="10"/>
                    <w:rPr>
                      <w:rFonts w:hint="eastAsia" w:ascii="仿宋" w:hAnsi="仿宋" w:eastAsia="仿宋" w:cs="仿宋"/>
                      <w:color w:val="auto"/>
                    </w:rPr>
                  </w:pPr>
                </w:p>
                <w:p w14:paraId="31895592">
                  <w:pPr>
                    <w:rPr>
                      <w:rFonts w:hint="eastAsia" w:ascii="仿宋" w:hAnsi="仿宋" w:eastAsia="仿宋" w:cs="仿宋"/>
                    </w:rPr>
                  </w:pPr>
                </w:p>
                <w:p w14:paraId="0EBBF6B8">
                  <w:pPr>
                    <w:pStyle w:val="10"/>
                    <w:rPr>
                      <w:rFonts w:hint="eastAsia" w:ascii="仿宋" w:hAnsi="仿宋" w:eastAsia="仿宋" w:cs="仿宋"/>
                      <w:color w:val="auto"/>
                    </w:rPr>
                  </w:pPr>
                </w:p>
                <w:p w14:paraId="7C967E41">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39C64B97">
                  <w:pPr>
                    <w:pStyle w:val="10"/>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14:paraId="6AFDCAB3">
                  <w:pPr>
                    <w:rPr>
                      <w:rFonts w:hint="eastAsia" w:ascii="仿宋" w:hAnsi="仿宋" w:eastAsia="仿宋" w:cs="仿宋"/>
                      <w:sz w:val="28"/>
                      <w:szCs w:val="28"/>
                    </w:rPr>
                  </w:pPr>
                  <w:r>
                    <w:rPr>
                      <w:rFonts w:hint="eastAsia" w:ascii="仿宋" w:hAnsi="仿宋" w:eastAsia="仿宋" w:cs="仿宋"/>
                      <w:sz w:val="28"/>
                      <w:szCs w:val="28"/>
                    </w:rPr>
                    <w:t xml:space="preserve">                   </w:t>
                  </w:r>
                </w:p>
                <w:p w14:paraId="660897FC">
                  <w:pPr>
                    <w:pStyle w:val="10"/>
                    <w:rPr>
                      <w:rFonts w:hint="eastAsia" w:ascii="仿宋" w:hAnsi="仿宋" w:eastAsia="仿宋" w:cs="仿宋"/>
                      <w:color w:val="auto"/>
                    </w:rPr>
                  </w:pPr>
                </w:p>
                <w:p w14:paraId="63B233C6">
                  <w:pPr>
                    <w:rPr>
                      <w:rFonts w:hint="eastAsia" w:ascii="仿宋" w:hAnsi="仿宋" w:eastAsia="仿宋" w:cs="仿宋"/>
                    </w:rPr>
                  </w:pPr>
                </w:p>
                <w:p w14:paraId="3E26C443">
                  <w:pPr>
                    <w:pStyle w:val="10"/>
                    <w:rPr>
                      <w:rFonts w:hint="eastAsia" w:ascii="仿宋" w:hAnsi="仿宋" w:eastAsia="仿宋" w:cs="仿宋"/>
                      <w:color w:val="auto"/>
                    </w:rPr>
                  </w:pPr>
                </w:p>
                <w:p w14:paraId="7256B94D">
                  <w:pPr>
                    <w:jc w:val="center"/>
                    <w:rPr>
                      <w:rFonts w:hint="eastAsia" w:ascii="仿宋" w:hAnsi="仿宋" w:eastAsia="仿宋" w:cs="仿宋"/>
                    </w:rPr>
                  </w:pPr>
                  <w:r>
                    <w:rPr>
                      <w:rFonts w:hint="eastAsia" w:ascii="仿宋" w:hAnsi="仿宋" w:eastAsia="仿宋" w:cs="仿宋"/>
                    </w:rPr>
                    <w:t>在****年*月*日*时*分之前不得启封</w:t>
                  </w:r>
                </w:p>
              </w:txbxContent>
            </v:textbox>
          </v:shape>
        </w:pict>
      </w:r>
      <w:r>
        <w:rPr>
          <w:rFonts w:hint="eastAsia" w:ascii="仿宋" w:hAnsi="仿宋" w:eastAsia="仿宋" w:cs="仿宋"/>
          <w:b/>
          <w:color w:val="auto"/>
          <w:sz w:val="44"/>
          <w:szCs w:val="44"/>
          <w:highlight w:val="none"/>
        </w:rPr>
        <w:br w:type="page"/>
      </w:r>
    </w:p>
    <w:p w14:paraId="598D9EAD">
      <w:pPr>
        <w:bidi w:val="0"/>
        <w:jc w:val="left"/>
        <w:rPr>
          <w:rFonts w:hint="eastAsia" w:ascii="仿宋" w:hAnsi="仿宋" w:eastAsia="仿宋" w:cs="仿宋"/>
          <w:color w:val="auto"/>
          <w:kern w:val="2"/>
          <w:sz w:val="24"/>
          <w:szCs w:val="22"/>
          <w:highlight w:val="none"/>
          <w:lang w:val="en-US" w:eastAsia="zh-CN" w:bidi="ar-SA"/>
        </w:rPr>
      </w:pPr>
    </w:p>
    <w:p w14:paraId="46927AD2">
      <w:pPr>
        <w:spacing w:line="560" w:lineRule="exact"/>
        <w:jc w:val="center"/>
        <w:rPr>
          <w:rFonts w:hint="eastAsia" w:ascii="仿宋" w:hAnsi="仿宋" w:eastAsia="仿宋" w:cs="仿宋"/>
          <w:b/>
          <w:color w:val="auto"/>
          <w:sz w:val="44"/>
          <w:szCs w:val="44"/>
          <w:highlight w:val="none"/>
        </w:rPr>
      </w:pPr>
    </w:p>
    <w:p w14:paraId="405E373E">
      <w:pPr>
        <w:pStyle w:val="5"/>
        <w:rPr>
          <w:rFonts w:hint="eastAsia" w:ascii="仿宋" w:hAnsi="仿宋" w:eastAsia="仿宋" w:cs="仿宋"/>
          <w:color w:val="auto"/>
          <w:highlight w:val="none"/>
          <w:lang w:val="zh-CN" w:eastAsia="zh-CN"/>
        </w:rPr>
      </w:pPr>
    </w:p>
    <w:p w14:paraId="5C21B638">
      <w:pPr>
        <w:pStyle w:val="5"/>
        <w:rPr>
          <w:rFonts w:hint="eastAsia" w:ascii="仿宋" w:hAnsi="仿宋" w:eastAsia="仿宋" w:cs="仿宋"/>
          <w:color w:val="auto"/>
          <w:highlight w:val="none"/>
          <w:lang w:val="zh-CN" w:eastAsia="zh-CN"/>
        </w:rPr>
      </w:pPr>
    </w:p>
    <w:p w14:paraId="3E38D322">
      <w:pPr>
        <w:rPr>
          <w:rFonts w:hint="eastAsia" w:ascii="仿宋" w:hAnsi="仿宋" w:eastAsia="仿宋" w:cs="仿宋"/>
          <w:color w:val="auto"/>
          <w:highlight w:val="none"/>
          <w:lang w:val="zh-CN" w:eastAsia="zh-CN"/>
        </w:rPr>
      </w:pPr>
    </w:p>
    <w:p w14:paraId="7880776E">
      <w:pPr>
        <w:pStyle w:val="5"/>
        <w:rPr>
          <w:rFonts w:hint="eastAsia" w:ascii="仿宋" w:hAnsi="仿宋" w:eastAsia="仿宋" w:cs="仿宋"/>
          <w:color w:val="auto"/>
          <w:highlight w:val="none"/>
          <w:lang w:val="zh-CN" w:eastAsia="zh-CN"/>
        </w:rPr>
      </w:pPr>
    </w:p>
    <w:p w14:paraId="2B25D53B">
      <w:pPr>
        <w:rPr>
          <w:rFonts w:hint="eastAsia" w:ascii="仿宋" w:hAnsi="仿宋" w:eastAsia="仿宋" w:cs="仿宋"/>
          <w:color w:val="auto"/>
          <w:highlight w:val="none"/>
          <w:lang w:val="zh-CN" w:eastAsia="zh-CN"/>
        </w:rPr>
      </w:pPr>
    </w:p>
    <w:p w14:paraId="5F79EA24">
      <w:pPr>
        <w:pStyle w:val="5"/>
        <w:rPr>
          <w:rFonts w:hint="eastAsia" w:ascii="仿宋" w:hAnsi="仿宋" w:eastAsia="仿宋" w:cs="仿宋"/>
          <w:color w:val="auto"/>
          <w:highlight w:val="none"/>
          <w:lang w:val="zh-CN" w:eastAsia="zh-CN"/>
        </w:rPr>
      </w:pPr>
    </w:p>
    <w:p w14:paraId="00E424AA">
      <w:pPr>
        <w:rPr>
          <w:rFonts w:hint="eastAsia" w:ascii="仿宋" w:hAnsi="仿宋" w:eastAsia="仿宋" w:cs="仿宋"/>
          <w:color w:val="auto"/>
          <w:highlight w:val="none"/>
          <w:lang w:val="zh-CN" w:eastAsia="zh-CN"/>
        </w:rPr>
      </w:pPr>
    </w:p>
    <w:p w14:paraId="78AC9AC7">
      <w:pPr>
        <w:pStyle w:val="5"/>
        <w:rPr>
          <w:rFonts w:hint="eastAsia" w:ascii="仿宋" w:hAnsi="仿宋" w:eastAsia="仿宋" w:cs="仿宋"/>
          <w:color w:val="auto"/>
          <w:highlight w:val="none"/>
          <w:lang w:val="zh-CN" w:eastAsia="zh-CN"/>
        </w:rPr>
      </w:pPr>
    </w:p>
    <w:p w14:paraId="6F01EB0C">
      <w:pPr>
        <w:rPr>
          <w:rFonts w:hint="eastAsia" w:ascii="仿宋" w:hAnsi="仿宋" w:eastAsia="仿宋" w:cs="仿宋"/>
          <w:color w:val="auto"/>
          <w:highlight w:val="none"/>
          <w:lang w:val="zh-CN" w:eastAsia="zh-CN"/>
        </w:rPr>
      </w:pPr>
    </w:p>
    <w:p w14:paraId="4097D31E">
      <w:pPr>
        <w:rPr>
          <w:rFonts w:hint="eastAsia" w:ascii="仿宋" w:hAnsi="仿宋" w:eastAsia="仿宋" w:cs="仿宋"/>
          <w:color w:val="auto"/>
          <w:highlight w:val="none"/>
          <w:lang w:val="zh-CN" w:eastAsia="zh-CN"/>
        </w:rPr>
      </w:pPr>
    </w:p>
    <w:p w14:paraId="51D56D50">
      <w:pPr>
        <w:jc w:val="center"/>
        <w:rPr>
          <w:rFonts w:hint="eastAsia" w:ascii="仿宋" w:hAnsi="仿宋" w:eastAsia="仿宋" w:cs="仿宋"/>
          <w:b/>
          <w:bCs/>
          <w:color w:val="auto"/>
          <w:sz w:val="48"/>
          <w:szCs w:val="48"/>
          <w:highlight w:val="none"/>
          <w:lang w:val="zh-CN" w:eastAsia="zh-CN"/>
        </w:rPr>
      </w:pPr>
    </w:p>
    <w:p w14:paraId="77330B56">
      <w:pPr>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zh-CN" w:eastAsia="zh-CN"/>
        </w:rPr>
        <w:t>为政府采购</w:t>
      </w:r>
      <w:r>
        <w:rPr>
          <w:rFonts w:hint="eastAsia" w:ascii="仿宋" w:hAnsi="仿宋" w:eastAsia="仿宋" w:cs="仿宋"/>
          <w:b/>
          <w:bCs/>
          <w:i/>
          <w:iCs/>
          <w:color w:val="auto"/>
          <w:sz w:val="48"/>
          <w:szCs w:val="48"/>
          <w:highlight w:val="none"/>
          <w:lang w:val="en-US" w:eastAsia="zh-CN"/>
        </w:rPr>
        <w:t xml:space="preserve">  我们更专心</w:t>
      </w:r>
    </w:p>
    <w:p w14:paraId="0B203E00">
      <w:pPr>
        <w:pStyle w:val="5"/>
        <w:rPr>
          <w:rFonts w:hint="eastAsia" w:ascii="仿宋" w:hAnsi="仿宋" w:eastAsia="仿宋" w:cs="仿宋"/>
          <w:i/>
          <w:iCs/>
          <w:color w:val="auto"/>
          <w:sz w:val="28"/>
          <w:szCs w:val="22"/>
          <w:highlight w:val="none"/>
          <w:u w:val="none"/>
          <w:lang w:val="en-US" w:eastAsia="zh-CN"/>
        </w:rPr>
      </w:pPr>
      <w:r>
        <w:rPr>
          <w:rFonts w:hint="eastAsia" w:ascii="仿宋" w:hAnsi="仿宋" w:eastAsia="仿宋" w:cs="仿宋"/>
          <w:b/>
          <w:bCs/>
          <w:i/>
          <w:iCs/>
          <w:color w:val="auto"/>
          <w:sz w:val="48"/>
          <w:szCs w:val="48"/>
          <w:highlight w:val="none"/>
          <w:u w:val="none"/>
          <w:lang w:val="en-US" w:eastAsia="zh-CN"/>
        </w:rPr>
        <w:t xml:space="preserve">        </w:t>
      </w:r>
      <w:r>
        <w:rPr>
          <w:rFonts w:hint="eastAsia" w:ascii="仿宋" w:hAnsi="仿宋" w:eastAsia="仿宋" w:cs="仿宋"/>
          <w:b/>
          <w:bCs/>
          <w:i/>
          <w:iCs/>
          <w:color w:val="auto"/>
          <w:sz w:val="48"/>
          <w:szCs w:val="48"/>
          <w:highlight w:val="none"/>
          <w:u w:val="single"/>
          <w:lang w:val="en-US" w:eastAsia="zh-CN"/>
        </w:rPr>
        <w:t xml:space="preserve">                      </w:t>
      </w:r>
      <w:r>
        <w:rPr>
          <w:rFonts w:hint="eastAsia" w:ascii="仿宋" w:hAnsi="仿宋" w:eastAsia="仿宋" w:cs="仿宋"/>
          <w:b/>
          <w:bCs/>
          <w:i/>
          <w:iCs/>
          <w:color w:val="auto"/>
          <w:sz w:val="48"/>
          <w:szCs w:val="48"/>
          <w:highlight w:val="none"/>
          <w:u w:val="none"/>
          <w:lang w:val="en-US" w:eastAsia="zh-CN"/>
        </w:rPr>
        <w:t xml:space="preserve">      </w:t>
      </w:r>
    </w:p>
    <w:p w14:paraId="63FA64A0">
      <w:pPr>
        <w:pStyle w:val="5"/>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en-US" w:eastAsia="zh-CN"/>
        </w:rPr>
        <w:t>做政府采购  我们更用心</w:t>
      </w:r>
    </w:p>
    <w:p w14:paraId="1A7A3535">
      <w:pPr>
        <w:pStyle w:val="5"/>
        <w:rPr>
          <w:rFonts w:hint="eastAsia" w:ascii="仿宋" w:hAnsi="仿宋" w:eastAsia="仿宋" w:cs="仿宋"/>
          <w:color w:val="auto"/>
          <w:highlight w:val="none"/>
          <w:lang w:val="zh-CN" w:eastAsia="zh-CN"/>
        </w:rPr>
      </w:pPr>
    </w:p>
    <w:p w14:paraId="056483B8">
      <w:pPr>
        <w:rPr>
          <w:rFonts w:hint="eastAsia" w:ascii="仿宋" w:hAnsi="仿宋" w:eastAsia="仿宋" w:cs="仿宋"/>
          <w:color w:val="auto"/>
          <w:highlight w:val="none"/>
          <w:lang w:val="zh-CN" w:eastAsia="zh-CN"/>
        </w:rPr>
      </w:pPr>
    </w:p>
    <w:p w14:paraId="1B8D9165">
      <w:pPr>
        <w:pStyle w:val="5"/>
        <w:rPr>
          <w:rFonts w:hint="eastAsia" w:ascii="仿宋" w:hAnsi="仿宋" w:eastAsia="仿宋" w:cs="仿宋"/>
          <w:color w:val="auto"/>
          <w:highlight w:val="none"/>
          <w:lang w:val="zh-CN" w:eastAsia="zh-CN"/>
        </w:rPr>
      </w:pPr>
    </w:p>
    <w:p w14:paraId="7EA0ACD8">
      <w:pPr>
        <w:rPr>
          <w:rFonts w:hint="eastAsia" w:ascii="仿宋" w:hAnsi="仿宋" w:eastAsia="仿宋" w:cs="仿宋"/>
          <w:color w:val="auto"/>
          <w:highlight w:val="none"/>
          <w:lang w:val="zh-CN" w:eastAsia="zh-CN"/>
        </w:rPr>
      </w:pPr>
    </w:p>
    <w:p w14:paraId="18F44307">
      <w:pPr>
        <w:rPr>
          <w:rFonts w:hint="eastAsia" w:ascii="仿宋" w:hAnsi="仿宋" w:eastAsia="仿宋" w:cs="仿宋"/>
          <w:color w:val="auto"/>
          <w:highlight w:val="none"/>
          <w:lang w:val="zh-CN" w:eastAsia="zh-CN"/>
        </w:rPr>
      </w:pPr>
    </w:p>
    <w:p w14:paraId="34515DCD">
      <w:pPr>
        <w:pStyle w:val="5"/>
        <w:rPr>
          <w:rFonts w:hint="eastAsia" w:ascii="仿宋" w:hAnsi="仿宋" w:eastAsia="仿宋" w:cs="仿宋"/>
          <w:color w:val="auto"/>
          <w:highlight w:val="none"/>
          <w:lang w:val="zh-CN" w:eastAsia="zh-CN"/>
        </w:rPr>
      </w:pPr>
    </w:p>
    <w:p w14:paraId="71971C81">
      <w:pPr>
        <w:rPr>
          <w:rFonts w:hint="eastAsia" w:ascii="仿宋" w:hAnsi="仿宋" w:eastAsia="仿宋" w:cs="仿宋"/>
          <w:color w:val="auto"/>
          <w:highlight w:val="none"/>
          <w:u w:val="single"/>
          <w:lang w:val="zh-CN" w:eastAsia="zh-CN"/>
        </w:rPr>
      </w:pPr>
    </w:p>
    <w:p w14:paraId="220EB168">
      <w:pPr>
        <w:pStyle w:val="5"/>
        <w:rPr>
          <w:rFonts w:hint="eastAsia" w:ascii="仿宋" w:hAnsi="仿宋" w:eastAsia="仿宋" w:cs="仿宋"/>
          <w:color w:val="auto"/>
          <w:highlight w:val="none"/>
          <w:lang w:val="zh-CN" w:eastAsia="zh-CN"/>
        </w:rPr>
      </w:pPr>
    </w:p>
    <w:p w14:paraId="760F8206">
      <w:pPr>
        <w:rPr>
          <w:rFonts w:hint="eastAsia" w:ascii="仿宋" w:hAnsi="仿宋" w:eastAsia="仿宋" w:cs="仿宋"/>
          <w:color w:val="auto"/>
          <w:sz w:val="40"/>
          <w:szCs w:val="40"/>
          <w:highlight w:val="none"/>
          <w:u w:val="none"/>
          <w:lang w:val="zh-CN" w:eastAsia="zh-CN"/>
        </w:rPr>
      </w:pPr>
      <w:r>
        <w:rPr>
          <w:rFonts w:hint="eastAsia" w:ascii="仿宋" w:hAnsi="仿宋" w:eastAsia="仿宋" w:cs="仿宋"/>
          <w:color w:val="auto"/>
          <w:sz w:val="40"/>
          <w:szCs w:val="40"/>
          <w:highlight w:val="none"/>
          <w:u w:val="none"/>
          <w:lang w:val="zh-CN" w:eastAsia="zh-CN"/>
        </w:rPr>
        <w:t>华招广和项目管理有限公司</w:t>
      </w:r>
    </w:p>
    <w:p w14:paraId="58C8C8A7">
      <w:pPr>
        <w:pStyle w:val="5"/>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single"/>
          <w:lang w:val="en-US" w:eastAsia="zh-CN"/>
        </w:rPr>
        <w:t xml:space="preserve">                                                         </w:t>
      </w:r>
    </w:p>
    <w:p w14:paraId="2DE12C81">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none"/>
          <w:lang w:val="zh-CN" w:eastAsia="zh-CN"/>
        </w:rPr>
        <w:t>地</w:t>
      </w:r>
      <w:r>
        <w:rPr>
          <w:rFonts w:hint="eastAsia" w:ascii="仿宋" w:hAnsi="仿宋" w:eastAsia="仿宋" w:cs="仿宋"/>
          <w:b w:val="0"/>
          <w:bCs/>
          <w:color w:val="auto"/>
          <w:sz w:val="24"/>
          <w:szCs w:val="24"/>
          <w:highlight w:val="none"/>
          <w:u w:val="none"/>
          <w:lang w:val="en-US" w:eastAsia="zh-CN"/>
        </w:rPr>
        <w:t xml:space="preserve">    </w:t>
      </w:r>
      <w:r>
        <w:rPr>
          <w:rFonts w:hint="eastAsia" w:ascii="仿宋" w:hAnsi="仿宋" w:eastAsia="仿宋" w:cs="仿宋"/>
          <w:b w:val="0"/>
          <w:bCs/>
          <w:color w:val="auto"/>
          <w:sz w:val="24"/>
          <w:szCs w:val="24"/>
          <w:highlight w:val="none"/>
          <w:u w:val="none"/>
          <w:lang w:val="zh-CN" w:eastAsia="zh-CN"/>
        </w:rPr>
        <w:t>址：</w:t>
      </w:r>
      <w:r>
        <w:rPr>
          <w:rFonts w:hint="eastAsia" w:ascii="仿宋" w:hAnsi="仿宋" w:eastAsia="仿宋" w:cs="仿宋"/>
          <w:b w:val="0"/>
          <w:bCs/>
          <w:color w:val="auto"/>
          <w:sz w:val="24"/>
          <w:szCs w:val="24"/>
          <w:highlight w:val="none"/>
        </w:rPr>
        <w:t>西安市朱雀大街南段1号汇成天玺C座18层</w:t>
      </w:r>
    </w:p>
    <w:p w14:paraId="4747568F">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编：</w:t>
      </w:r>
      <w:r>
        <w:rPr>
          <w:rFonts w:hint="eastAsia" w:ascii="仿宋" w:hAnsi="仿宋" w:eastAsia="仿宋" w:cs="仿宋"/>
          <w:color w:val="auto"/>
          <w:sz w:val="24"/>
          <w:szCs w:val="24"/>
          <w:highlight w:val="none"/>
          <w:lang w:val="en-US" w:eastAsia="zh-CN"/>
        </w:rPr>
        <w:t>710000</w:t>
      </w:r>
    </w:p>
    <w:p w14:paraId="19C55833">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电</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话：</w:t>
      </w:r>
      <w:r>
        <w:rPr>
          <w:rFonts w:hint="eastAsia" w:ascii="仿宋" w:hAnsi="仿宋" w:eastAsia="仿宋" w:cs="仿宋"/>
          <w:b w:val="0"/>
          <w:bCs/>
          <w:color w:val="auto"/>
          <w:sz w:val="24"/>
          <w:szCs w:val="24"/>
          <w:highlight w:val="none"/>
          <w:lang w:val="en-US" w:eastAsia="zh-CN"/>
        </w:rPr>
        <w:t>029-87592321</w:t>
      </w:r>
    </w:p>
    <w:p w14:paraId="70DCDFDF">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电子邮箱：</w:t>
      </w:r>
      <w:r>
        <w:rPr>
          <w:rFonts w:hint="eastAsia" w:ascii="仿宋" w:hAnsi="仿宋" w:eastAsia="仿宋" w:cs="仿宋"/>
          <w:color w:val="auto"/>
          <w:sz w:val="24"/>
          <w:szCs w:val="24"/>
          <w:highlight w:val="none"/>
          <w:lang w:val="en-US" w:eastAsia="zh-CN"/>
        </w:rPr>
        <w:t>hzghxmglyxgs@163.com</w:t>
      </w:r>
    </w:p>
    <w:p w14:paraId="0F95D240">
      <w:pPr>
        <w:pStyle w:val="5"/>
        <w:jc w:val="both"/>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 xml:space="preserve">                                                        </w:t>
      </w:r>
    </w:p>
    <w:p w14:paraId="7F421999">
      <w:pPr>
        <w:pStyle w:val="5"/>
        <w:jc w:val="both"/>
        <w:rPr>
          <w:rFonts w:hint="eastAsia" w:ascii="仿宋" w:hAnsi="仿宋" w:eastAsia="仿宋" w:cs="仿宋"/>
          <w:color w:val="auto"/>
          <w:highlight w:val="none"/>
        </w:rPr>
      </w:pPr>
    </w:p>
    <w:sectPr>
      <w:headerReference r:id="rId32" w:type="first"/>
      <w:footerReference r:id="rId34" w:type="first"/>
      <w:footerReference r:id="rId33" w:type="default"/>
      <w:pgSz w:w="11905" w:h="16840"/>
      <w:pgMar w:top="1417" w:right="1417" w:bottom="1417" w:left="1417" w:header="935" w:footer="10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7B823">
    <w:pPr>
      <w:spacing w:line="280" w:lineRule="exact"/>
      <w:rPr>
        <w:rFonts w:ascii="楷体" w:hAnsi="楷体" w:eastAsia="楷体" w:cs="楷体"/>
        <w:b/>
        <w:sz w:val="18"/>
        <w:szCs w:val="18"/>
        <w:u w:val="single"/>
      </w:rPr>
    </w:pPr>
  </w:p>
  <w:p w14:paraId="4D382BFE">
    <w:pPr>
      <w:spacing w:line="280" w:lineRule="exact"/>
      <w:rPr>
        <w:rFonts w:ascii="楷体" w:hAnsi="楷体" w:eastAsia="楷体" w:cs="楷体"/>
        <w:b/>
        <w:sz w:val="18"/>
        <w:szCs w:val="18"/>
        <w:u w:val="single"/>
      </w:rPr>
    </w:pPr>
  </w:p>
  <w:p w14:paraId="202E81F1">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0190">
    <w:pPr>
      <w:spacing w:line="280" w:lineRule="exact"/>
      <w:rPr>
        <w:b/>
        <w:sz w:val="18"/>
        <w:szCs w:val="18"/>
      </w:rPr>
    </w:pPr>
  </w:p>
  <w:p w14:paraId="7A7724C9">
    <w:pPr>
      <w:spacing w:line="280" w:lineRule="exact"/>
      <w:ind w:left="361" w:hanging="400" w:hangingChars="200"/>
      <w:jc w:val="center"/>
      <w:rPr>
        <w:rFonts w:ascii="楷体" w:hAnsi="楷体" w:eastAsia="楷体" w:cs="楷体"/>
        <w:b/>
        <w:sz w:val="20"/>
        <w:szCs w:val="20"/>
        <w:u w:val="single"/>
      </w:rPr>
    </w:pPr>
    <w:r>
      <w:rPr>
        <w:rFonts w:hint="eastAsia" w:ascii="仿宋" w:hAnsi="仿宋" w:eastAsia="仿宋" w:cs="仿宋"/>
        <w:b w:val="0"/>
        <w:bCs/>
        <w:sz w:val="20"/>
        <w:szCs w:val="20"/>
        <w:u w:val="single"/>
        <w:lang w:eastAsia="zh-CN"/>
      </w:rPr>
      <w:t>华招广和项目管理有限公司</w:t>
    </w:r>
    <w:r>
      <w:rPr>
        <w:rFonts w:hint="eastAsia" w:ascii="仿宋" w:hAnsi="仿宋" w:eastAsia="仿宋" w:cs="仿宋"/>
        <w:b w:val="0"/>
        <w:bCs/>
        <w:sz w:val="20"/>
        <w:szCs w:val="20"/>
        <w:u w:val="single"/>
        <w:lang w:val="en-US" w:eastAsia="zh-CN"/>
      </w:rPr>
      <w:t xml:space="preserve"> </w:t>
    </w:r>
    <w:r>
      <w:rPr>
        <w:rFonts w:hint="eastAsia" w:ascii="仿宋" w:hAnsi="仿宋" w:eastAsia="仿宋" w:cs="仿宋"/>
        <w:b w:val="0"/>
        <w:bCs/>
        <w:sz w:val="20"/>
        <w:szCs w:val="20"/>
        <w:u w:val="single"/>
      </w:rPr>
      <w:t xml:space="preserve"> 地 址：西安市朱雀大街南段1号汇成天玺C座18层电 话：029-85566819</w:t>
    </w:r>
  </w:p>
  <w:p w14:paraId="0E190D6A">
    <w:pPr>
      <w:spacing w:line="280" w:lineRule="exact"/>
      <w:ind w:left="360" w:hanging="360" w:hangingChars="200"/>
      <w:rPr>
        <w:rFonts w:ascii="楷体" w:hAnsi="楷体" w:eastAsia="楷体" w:cs="楷体"/>
        <w:b/>
        <w:sz w:val="18"/>
        <w:szCs w:val="18"/>
        <w:u w:val="single"/>
      </w:rPr>
    </w:pPr>
    <w:r>
      <w:rPr>
        <w:sz w:val="18"/>
      </w:rPr>
      <w:pict>
        <v:shape id="_x0000_s2068" o:spid="_x0000_s2068"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weight="0.5pt"/>
          <v:imagedata o:title=""/>
          <o:lock v:ext="edit" aspectratio="f"/>
          <v:textbox inset="0mm,0mm,0mm,0mm" style="mso-fit-shape-to-text:t;">
            <w:txbxContent>
              <w:p w14:paraId="6D4AE87E">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4ABD8862">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F4AAB">
    <w:pPr>
      <w:spacing w:line="280" w:lineRule="exact"/>
      <w:rPr>
        <w:b/>
        <w:sz w:val="18"/>
        <w:szCs w:val="18"/>
      </w:rPr>
    </w:pPr>
  </w:p>
  <w:p w14:paraId="74EBD468">
    <w:pPr>
      <w:spacing w:line="280" w:lineRule="exact"/>
      <w:ind w:left="361" w:hanging="400" w:hangingChars="200"/>
      <w:jc w:val="center"/>
      <w:rPr>
        <w:rFonts w:ascii="楷体" w:hAnsi="楷体" w:eastAsia="楷体" w:cs="楷体"/>
        <w:b/>
        <w:sz w:val="20"/>
        <w:szCs w:val="20"/>
        <w:u w:val="single"/>
      </w:rPr>
    </w:pPr>
    <w:r>
      <w:rPr>
        <w:rFonts w:hint="eastAsia" w:ascii="仿宋" w:hAnsi="仿宋" w:eastAsia="仿宋" w:cs="仿宋"/>
        <w:b w:val="0"/>
        <w:bCs/>
        <w:sz w:val="20"/>
        <w:szCs w:val="20"/>
        <w:u w:val="single"/>
        <w:lang w:eastAsia="zh-CN"/>
      </w:rPr>
      <w:t>华招广和项目管理有限公司</w:t>
    </w:r>
    <w:r>
      <w:rPr>
        <w:rFonts w:hint="eastAsia" w:ascii="仿宋" w:hAnsi="仿宋" w:eastAsia="仿宋" w:cs="仿宋"/>
        <w:b w:val="0"/>
        <w:bCs/>
        <w:sz w:val="20"/>
        <w:szCs w:val="20"/>
        <w:u w:val="single"/>
        <w:lang w:val="en-US" w:eastAsia="zh-CN"/>
      </w:rPr>
      <w:t xml:space="preserve"> </w:t>
    </w:r>
    <w:r>
      <w:rPr>
        <w:rFonts w:hint="eastAsia" w:ascii="仿宋" w:hAnsi="仿宋" w:eastAsia="仿宋" w:cs="仿宋"/>
        <w:b w:val="0"/>
        <w:bCs/>
        <w:sz w:val="20"/>
        <w:szCs w:val="20"/>
        <w:u w:val="single"/>
      </w:rPr>
      <w:t xml:space="preserve"> 地 址：西安市朱雀大街南段1号汇成天玺C座18层电 话：029-85566819</w:t>
    </w:r>
  </w:p>
  <w:p w14:paraId="786E48FF">
    <w:pPr>
      <w:spacing w:line="280" w:lineRule="exact"/>
      <w:ind w:left="360" w:hanging="360" w:hangingChars="200"/>
      <w:rPr>
        <w:rFonts w:ascii="楷体" w:hAnsi="楷体" w:eastAsia="楷体" w:cs="楷体"/>
        <w:b/>
        <w:sz w:val="18"/>
        <w:szCs w:val="18"/>
        <w:u w:val="single"/>
      </w:rPr>
    </w:pPr>
    <w:r>
      <w:rPr>
        <w:sz w:val="18"/>
      </w:rPr>
      <w:pict>
        <v:shape id="_x0000_s2059" o:spid="_x0000_s205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0.5pt"/>
          <v:imagedata o:title=""/>
          <o:lock v:ext="edit" aspectratio="f"/>
          <v:textbox inset="0mm,0mm,0mm,0mm" style="mso-fit-shape-to-text:t;">
            <w:txbxContent>
              <w:p w14:paraId="65248E2C">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0FB1CDF0">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E7BA">
    <w:pPr>
      <w:pStyle w:val="14"/>
      <w:rPr>
        <w:rFonts w:ascii="宋体" w:hAnsi="宋体"/>
        <w:b/>
      </w:rPr>
    </w:pPr>
  </w:p>
  <w:p w14:paraId="76CF88B1">
    <w:pPr>
      <w:tabs>
        <w:tab w:val="center" w:pos="7063"/>
        <w:tab w:val="left" w:pos="13313"/>
      </w:tabs>
      <w:spacing w:line="280" w:lineRule="exact"/>
      <w:jc w:val="left"/>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lang w:eastAsia="zh-CN"/>
      </w:rPr>
      <w:tab/>
    </w: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r>
      <w:rPr>
        <w:rFonts w:hint="eastAsia" w:ascii="仿宋" w:hAnsi="仿宋" w:eastAsia="仿宋" w:cs="仿宋"/>
        <w:b w:val="0"/>
        <w:bCs/>
        <w:sz w:val="18"/>
        <w:szCs w:val="18"/>
        <w:u w:val="single"/>
        <w:lang w:eastAsia="zh-CN"/>
      </w:rPr>
      <w:tab/>
    </w:r>
  </w:p>
  <w:p w14:paraId="20B6F6C0">
    <w:pPr>
      <w:spacing w:line="280" w:lineRule="exact"/>
      <w:jc w:val="center"/>
      <w:rPr>
        <w:rFonts w:ascii="楷体" w:hAnsi="楷体" w:eastAsia="楷体" w:cs="楷体"/>
        <w:b/>
        <w:sz w:val="18"/>
        <w:szCs w:val="18"/>
        <w:u w:val="single"/>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14:paraId="347D981E">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AC464">
    <w:pPr>
      <w:pStyle w:val="14"/>
      <w:rPr>
        <w:rFonts w:ascii="楷体" w:hAnsi="楷体" w:eastAsia="楷体" w:cs="楷体"/>
        <w:b/>
      </w:rPr>
    </w:pPr>
  </w:p>
  <w:p w14:paraId="459EA642">
    <w:pPr>
      <w:spacing w:line="280" w:lineRule="exact"/>
      <w:jc w:val="center"/>
      <w:rPr>
        <w:rFonts w:hint="eastAsia" w:ascii="仿宋" w:hAnsi="仿宋" w:eastAsia="仿宋" w:cs="仿宋"/>
        <w:b/>
        <w:sz w:val="18"/>
        <w:szCs w:val="18"/>
        <w:u w:val="single"/>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地 址：西安市朱雀大街南段1号汇成天玺C座18层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电 话：029-85566819</w:t>
    </w:r>
  </w:p>
  <w:p w14:paraId="4EC2D14D">
    <w:pPr>
      <w:spacing w:line="280" w:lineRule="exact"/>
      <w:jc w:val="center"/>
      <w:rPr>
        <w:rFonts w:hint="eastAsia" w:ascii="仿宋" w:hAnsi="仿宋" w:eastAsia="仿宋" w:cs="仿宋"/>
        <w:b/>
        <w:sz w:val="18"/>
        <w:szCs w:val="18"/>
        <w:u w:val="single"/>
      </w:rPr>
    </w:pPr>
    <w:r>
      <w:rPr>
        <w:rFonts w:hint="eastAsia" w:ascii="仿宋" w:hAnsi="仿宋" w:eastAsia="仿宋" w:cs="仿宋"/>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551FA18B">
                <w:pPr>
                  <w:pStyle w:val="14"/>
                  <w:rPr>
                    <w:rFonts w:ascii="楷体" w:hAnsi="楷体" w:eastAsia="楷体" w:cs="楷体"/>
                  </w:rPr>
                </w:pPr>
                <w:r>
                  <w:rPr>
                    <w:rFonts w:ascii="楷体" w:hAnsi="楷体" w:eastAsia="楷体" w:cs="楷体"/>
                  </w:rPr>
                  <w:t xml:space="preserve">第 </w:t>
                </w:r>
                <w:r>
                  <w:rPr>
                    <w:rFonts w:ascii="楷体" w:hAnsi="楷体" w:eastAsia="楷体" w:cs="楷体"/>
                  </w:rPr>
                  <w:fldChar w:fldCharType="begin"/>
                </w:r>
                <w:r>
                  <w:rPr>
                    <w:rFonts w:ascii="楷体" w:hAnsi="楷体" w:eastAsia="楷体" w:cs="楷体"/>
                  </w:rPr>
                  <w:instrText xml:space="preserve"> PAGE  \* MERGEFORMAT </w:instrText>
                </w:r>
                <w:r>
                  <w:rPr>
                    <w:rFonts w:ascii="楷体" w:hAnsi="楷体" w:eastAsia="楷体" w:cs="楷体"/>
                  </w:rPr>
                  <w:fldChar w:fldCharType="separate"/>
                </w:r>
                <w:r>
                  <w:rPr>
                    <w:rFonts w:ascii="楷体" w:hAnsi="楷体" w:eastAsia="楷体" w:cs="楷体"/>
                  </w:rPr>
                  <w:t>76</w:t>
                </w:r>
                <w:r>
                  <w:rPr>
                    <w:rFonts w:ascii="楷体" w:hAnsi="楷体" w:eastAsia="楷体" w:cs="楷体"/>
                  </w:rPr>
                  <w:fldChar w:fldCharType="end"/>
                </w:r>
                <w:r>
                  <w:rPr>
                    <w:rFonts w:ascii="楷体" w:hAnsi="楷体" w:eastAsia="楷体" w:cs="楷体"/>
                  </w:rPr>
                  <w:t xml:space="preserve"> 页 共 </w:t>
                </w:r>
                <w:r>
                  <w:rPr>
                    <w:rFonts w:ascii="楷体" w:hAnsi="楷体" w:eastAsia="楷体" w:cs="楷体"/>
                  </w:rPr>
                  <w:fldChar w:fldCharType="begin"/>
                </w:r>
                <w:r>
                  <w:rPr>
                    <w:rFonts w:ascii="楷体" w:hAnsi="楷体" w:eastAsia="楷体" w:cs="楷体"/>
                  </w:rPr>
                  <w:instrText xml:space="preserve"> NUMPAGES  \* MERGEFORMAT </w:instrText>
                </w:r>
                <w:r>
                  <w:rPr>
                    <w:rFonts w:ascii="楷体" w:hAnsi="楷体" w:eastAsia="楷体" w:cs="楷体"/>
                  </w:rPr>
                  <w:fldChar w:fldCharType="separate"/>
                </w:r>
                <w:r>
                  <w:rPr>
                    <w:rFonts w:ascii="楷体" w:hAnsi="楷体" w:eastAsia="楷体" w:cs="楷体"/>
                  </w:rPr>
                  <w:t>102</w:t>
                </w:r>
                <w:r>
                  <w:rPr>
                    <w:rFonts w:ascii="楷体" w:hAnsi="楷体" w:eastAsia="楷体" w:cs="楷体"/>
                  </w:rPr>
                  <w:fldChar w:fldCharType="end"/>
                </w:r>
                <w:r>
                  <w:rPr>
                    <w:rFonts w:ascii="楷体" w:hAnsi="楷体" w:eastAsia="楷体" w:cs="楷体"/>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C3BA">
    <w:pPr>
      <w:pStyle w:val="14"/>
      <w:tabs>
        <w:tab w:val="left" w:pos="1359"/>
        <w:tab w:val="clear" w:pos="4153"/>
      </w:tabs>
      <w:spacing w:line="360" w:lineRule="auto"/>
      <w:rPr>
        <w:rFonts w:ascii="楷体" w:hAnsi="楷体" w:eastAsia="楷体" w:cs="楷体"/>
        <w:b/>
        <w:sz w:val="18"/>
        <w:szCs w:val="18"/>
        <w:u w:val="single"/>
      </w:rPr>
    </w:pPr>
    <w:r>
      <w:rPr>
        <w:rFonts w:hint="eastAsia" w:ascii="仿宋" w:hAnsi="仿宋" w:eastAsia="仿宋" w:cs="仿宋"/>
        <w:sz w:val="18"/>
      </w:rPr>
      <w:pict>
        <v:shape id="_x0000_s2054" o:spid="_x0000_s2054" o:spt="202" type="#_x0000_t202" style="position:absolute;left:0pt;margin-left:191.85pt;margin-top:12.2pt;height:18.2pt;width:81pt;mso-position-horizontal-relative:margin;z-index:251664384;mso-width-relative:page;mso-height-relative:page;" filled="f" stroked="f" coordsize="21600,21600">
          <v:path/>
          <v:fill on="f" focussize="0,0"/>
          <v:stroke on="f" weight="0.5pt"/>
          <v:imagedata o:title=""/>
          <o:lock v:ext="edit" aspectratio="f"/>
          <v:textbox inset="0mm,0mm,0mm,0mm">
            <w:txbxContent>
              <w:p w14:paraId="31234B4B">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话：029-85566819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B727">
    <w:pPr>
      <w:pStyle w:val="14"/>
      <w:rPr>
        <w:rFonts w:ascii="宋体" w:hAnsi="宋体"/>
        <w:b/>
      </w:rPr>
    </w:pPr>
  </w:p>
  <w:p w14:paraId="6D7DA32B">
    <w:pPr>
      <w:spacing w:line="280" w:lineRule="exact"/>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电 话：029-85566819</w:t>
    </w:r>
  </w:p>
  <w:p w14:paraId="4010C646">
    <w:pPr>
      <w:spacing w:line="280" w:lineRule="exact"/>
      <w:rPr>
        <w:rFonts w:hint="eastAsia" w:ascii="仿宋" w:hAnsi="仿宋" w:eastAsia="仿宋" w:cs="仿宋"/>
        <w:b w:val="0"/>
        <w:bCs/>
        <w:sz w:val="18"/>
        <w:szCs w:val="18"/>
        <w:u w:val="single"/>
      </w:rPr>
    </w:pPr>
    <w:r>
      <w:rPr>
        <w:rFonts w:hint="eastAsia" w:ascii="仿宋" w:hAnsi="仿宋" w:eastAsia="仿宋" w:cs="仿宋"/>
        <w:b w:val="0"/>
        <w:bCs/>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14:paraId="697707AA">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AB23">
    <w:pPr>
      <w:pStyle w:val="10"/>
      <w:spacing w:line="240" w:lineRule="auto"/>
      <w:ind w:left="0"/>
      <w:rPr>
        <w:b/>
        <w:bCs/>
        <w:sz w:val="18"/>
        <w:szCs w:val="18"/>
      </w:rPr>
    </w:pPr>
    <w:r>
      <w:rPr>
        <w:rFonts w:hint="eastAsia" w:ascii="仿宋" w:hAnsi="仿宋" w:eastAsia="仿宋" w:cs="仿宋"/>
        <w:b/>
        <w:bCs/>
        <w:sz w:val="18"/>
        <w:szCs w:val="18"/>
      </w:rPr>
      <w:pict>
        <v:shape id="_x0000_s2055" o:spid="_x0000_s2055" o:spt="202" type="#_x0000_t202" style="position:absolute;left:0pt;margin-left:187.1pt;margin-top:16.85pt;height:144pt;width:144p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1FFEBF46">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sz w:val="18"/>
        <w:szCs w:val="18"/>
        <w:u w:val="single"/>
        <w:lang w:eastAsia="zh-CN"/>
      </w:rPr>
      <w:t>华招广和项目管理有限公司</w:t>
    </w:r>
    <w:r>
      <w:rPr>
        <w:rFonts w:hint="eastAsia" w:ascii="仿宋" w:hAnsi="仿宋" w:eastAsia="仿宋" w:cs="仿宋"/>
        <w:b/>
        <w:bCs/>
        <w:sz w:val="18"/>
        <w:szCs w:val="18"/>
        <w:u w:val="single"/>
      </w:rPr>
      <w:t xml:space="preserve">      地 址：西安市朱雀大街南段1号汇成天玺C座18层     电 话：029-85566819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AB09">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pPr>
    <w:r>
      <w:rPr>
        <w:sz w:val="18"/>
      </w:rPr>
      <w:pict>
        <v:shape id="_x0000_s2066" o:spid="_x0000_s2066" o:spt="202" type="#_x0000_t202" style="position:absolute;left:0pt;margin-left:186.15pt;margin-top:18.75pt;height:144pt;width:144pt;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5B50C608">
                <w:pPr>
                  <w:pStyle w:val="14"/>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E1AC">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rPr>
        <w:rFonts w:hint="eastAsia"/>
      </w:rPr>
    </w:pPr>
    <w:r>
      <w:rPr>
        <w:sz w:val="18"/>
      </w:rPr>
      <w:pict>
        <v:shape id="_x0000_s2067" o:spid="_x0000_s2067" o:spt="202" type="#_x0000_t202" style="position:absolute;left:0pt;margin-left:182.4pt;margin-top:20.6pt;height:144pt;width:144pt;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41C9BB76">
                <w:pPr>
                  <w:pStyle w:val="14"/>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EFAF">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14:paraId="0DE9E28C">
    <w:pPr>
      <w:spacing w:line="280" w:lineRule="exact"/>
      <w:jc w:val="center"/>
      <w:rPr>
        <w:rFonts w:ascii="楷体" w:hAnsi="楷体" w:eastAsia="楷体" w:cs="楷体"/>
        <w:b/>
        <w:sz w:val="18"/>
        <w:szCs w:val="18"/>
      </w:rPr>
    </w:pPr>
    <w:r>
      <w:rPr>
        <w:sz w:val="18"/>
      </w:rPr>
      <w:pict>
        <v:shape id="_x0000_s2058" o:spid="_x0000_s20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1B30C4B0">
                <w:pPr>
                  <w:pStyle w:val="14"/>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AF6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CF99">
    <w:pPr>
      <w:spacing w:line="2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0557">
    <w:pPr>
      <w:spacing w:line="280" w:lineRule="exact"/>
      <w:rPr>
        <w:rFonts w:ascii="楷体" w:hAnsi="楷体" w:eastAsia="楷体" w:cs="楷体"/>
        <w:b/>
        <w:sz w:val="18"/>
        <w:szCs w:val="18"/>
        <w:u w:val="single"/>
      </w:rPr>
    </w:pPr>
  </w:p>
  <w:p w14:paraId="0964684A">
    <w:pPr>
      <w:spacing w:line="280" w:lineRule="exact"/>
      <w:rPr>
        <w:rFonts w:ascii="楷体" w:hAnsi="楷体" w:eastAsia="楷体" w:cs="楷体"/>
        <w:b/>
        <w:sz w:val="18"/>
        <w:szCs w:val="18"/>
        <w:u w:val="single"/>
      </w:rPr>
    </w:pPr>
  </w:p>
  <w:p w14:paraId="410D1281">
    <w:pPr>
      <w:spacing w:line="280" w:lineRule="exact"/>
      <w:rPr>
        <w:rFonts w:ascii="宋体" w:hAnsi="宋体"/>
        <w:b/>
        <w:sz w:val="21"/>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1541">
    <w:pPr>
      <w:spacing w:line="2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2F17">
    <w:pPr>
      <w:spacing w:line="280" w:lineRule="exact"/>
      <w:rPr>
        <w:rFonts w:ascii="楷体" w:hAnsi="楷体" w:eastAsia="楷体" w:cs="楷体"/>
        <w:b/>
        <w:sz w:val="18"/>
        <w:szCs w:val="18"/>
        <w:u w:val="single"/>
      </w:rPr>
    </w:pPr>
  </w:p>
  <w:p w14:paraId="21180FD6">
    <w:pPr>
      <w:spacing w:line="280" w:lineRule="exact"/>
      <w:ind w:left="361" w:hanging="361" w:hangingChars="200"/>
      <w:rPr>
        <w:rFonts w:ascii="楷体" w:hAnsi="楷体" w:eastAsia="楷体" w:cs="楷体"/>
        <w:b/>
        <w:sz w:val="18"/>
        <w:szCs w:val="18"/>
        <w:u w:val="single"/>
      </w:rPr>
    </w:pP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rPr>
      <w:t xml:space="preserve">    地 址：西安市朱雀大街南段1号汇成天玺C座18层     电 话：029-85566819</w:t>
    </w:r>
  </w:p>
  <w:p w14:paraId="5374CD17">
    <w:pPr>
      <w:spacing w:line="280" w:lineRule="exact"/>
      <w:rPr>
        <w:rFonts w:ascii="楷体" w:hAnsi="楷体" w:eastAsia="楷体" w:cs="楷体"/>
        <w:b/>
        <w:sz w:val="18"/>
        <w:szCs w:val="18"/>
        <w:u w:val="single"/>
      </w:rPr>
    </w:pPr>
  </w:p>
  <w:p w14:paraId="4E318E0E">
    <w:pPr>
      <w:spacing w:line="280" w:lineRule="exact"/>
      <w:rPr>
        <w:rFonts w:ascii="宋体" w:hAnsi="宋体"/>
        <w:b/>
        <w:sz w:val="21"/>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281D">
    <w:pPr>
      <w:spacing w:line="280" w:lineRule="exact"/>
      <w:ind w:left="361" w:hanging="361" w:hangingChars="200"/>
      <w:rPr>
        <w:rFonts w:ascii="楷体" w:hAnsi="楷体" w:eastAsia="楷体" w:cs="楷体"/>
        <w:b/>
        <w:sz w:val="18"/>
        <w:szCs w:val="18"/>
        <w:u w:val="single"/>
      </w:rPr>
    </w:pPr>
  </w:p>
  <w:p w14:paraId="0C47117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FAA0">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14:paraId="330806F1">
    <w:pPr>
      <w:spacing w:line="280" w:lineRule="exact"/>
      <w:rPr>
        <w:rFonts w:ascii="宋体" w:hAnsi="宋体"/>
        <w:b/>
        <w:sz w:val="21"/>
        <w:szCs w:val="16"/>
      </w:rPr>
    </w:pPr>
    <w:r>
      <w:rPr>
        <w:sz w:val="18"/>
      </w:rPr>
      <w:pict>
        <v:shape id="_x0000_s2050" o:spid="_x0000_s205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14:paraId="6BDC82E2">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2D40">
    <w:pPr>
      <w:spacing w:line="280" w:lineRule="exact"/>
      <w:rPr>
        <w:b/>
        <w:sz w:val="18"/>
        <w:szCs w:val="18"/>
      </w:rPr>
    </w:pPr>
  </w:p>
  <w:p w14:paraId="634EBA70">
    <w:pPr>
      <w:spacing w:line="280" w:lineRule="exact"/>
      <w:ind w:left="361" w:hanging="360" w:hangingChars="200"/>
      <w:rPr>
        <w:rFonts w:ascii="楷体" w:hAnsi="楷体" w:eastAsia="楷体" w:cs="楷体"/>
        <w:b/>
        <w:sz w:val="18"/>
        <w:szCs w:val="18"/>
        <w:u w:val="single"/>
      </w:rPr>
    </w:pP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p>
  <w:p w14:paraId="5C7EC99A">
    <w:pPr>
      <w:spacing w:line="280" w:lineRule="exact"/>
      <w:ind w:left="360" w:hanging="360" w:hangingChars="200"/>
      <w:rPr>
        <w:rFonts w:ascii="楷体" w:hAnsi="楷体" w:eastAsia="楷体" w:cs="楷体"/>
        <w:b/>
        <w:sz w:val="18"/>
        <w:szCs w:val="18"/>
        <w:u w:val="single"/>
      </w:rPr>
    </w:pPr>
    <w:r>
      <w:rPr>
        <w:sz w:val="18"/>
      </w:rP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14:paraId="1BD5D9B0">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1B1A0903">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364F4">
    <w:pPr>
      <w:pStyle w:val="15"/>
      <w:pBdr>
        <w:bottom w:val="none" w:color="auto" w:sz="0" w:space="1"/>
      </w:pBdr>
      <w:spacing w:line="440" w:lineRule="exact"/>
      <w:jc w:val="left"/>
      <w:rPr>
        <w:rFonts w:ascii="楷体" w:hAnsi="楷体" w:eastAsia="楷体" w:cs="楷体"/>
      </w:rPr>
    </w:pPr>
    <w:r>
      <w:rPr>
        <w:rFonts w:hint="eastAsia" w:ascii="仿宋" w:hAnsi="仿宋" w:eastAsia="仿宋" w:cs="仿宋"/>
        <w:b w:val="0"/>
        <w:bCs/>
        <w:u w:val="single"/>
        <w:lang w:eastAsia="zh-CN"/>
      </w:rPr>
      <w:t>登高平台消防车及随车器材采购项目（二次）</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公开招标文件        </w:t>
    </w:r>
    <w:r>
      <w:rPr>
        <w:rFonts w:hint="eastAsia" w:ascii="楷体" w:hAnsi="楷体" w:eastAsia="楷体" w:cs="楷体"/>
        <w:b/>
        <w:u w:val="single"/>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B457">
    <w:pPr>
      <w:pStyle w:val="15"/>
    </w:pPr>
    <w:r>
      <w:rPr>
        <w:rFonts w:hint="eastAsia" w:ascii="仿宋" w:hAnsi="仿宋" w:eastAsia="仿宋" w:cs="仿宋"/>
        <w:b/>
        <w:bCs w:val="0"/>
        <w:u w:val="none"/>
        <w:lang w:eastAsia="zh-CN"/>
      </w:rPr>
      <w:t>登高平台消防车及随车器材采购项目（二次）</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48BA">
    <w:pPr>
      <w:pStyle w:val="15"/>
      <w:jc w:val="both"/>
      <w:rPr>
        <w:rFonts w:hint="eastAsia"/>
        <w:lang w:eastAsia="zh-CN"/>
      </w:rPr>
    </w:pPr>
    <w:r>
      <w:rPr>
        <w:rFonts w:hint="eastAsia" w:ascii="仿宋" w:hAnsi="仿宋" w:eastAsia="仿宋" w:cs="仿宋"/>
        <w:b/>
        <w:bCs w:val="0"/>
        <w:u w:val="none"/>
        <w:lang w:eastAsia="zh-CN"/>
      </w:rPr>
      <w:t>登高平台消防车及随车器材采购项目（二次）</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w:t>
    </w:r>
    <w:r>
      <w:rPr>
        <w:rFonts w:hint="eastAsia" w:ascii="楷体" w:hAnsi="楷体" w:eastAsia="楷体" w:cs="楷体"/>
        <w:b/>
        <w:u w:val="non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DF34">
    <w:pPr>
      <w:pStyle w:val="15"/>
      <w:jc w:val="both"/>
      <w:rPr>
        <w:rFonts w:hint="eastAsia"/>
        <w:b/>
        <w:bCs w:val="0"/>
        <w:lang w:eastAsia="zh-CN"/>
      </w:rPr>
    </w:pPr>
    <w:r>
      <w:rPr>
        <w:rFonts w:hint="eastAsia" w:ascii="仿宋" w:hAnsi="仿宋" w:eastAsia="仿宋" w:cs="仿宋"/>
        <w:b/>
        <w:bCs w:val="0"/>
        <w:u w:val="none"/>
        <w:lang w:eastAsia="zh-CN"/>
      </w:rPr>
      <w:t>登高平台消防车及随车器材采购项目（二次）</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A093">
    <w:pPr>
      <w:pStyle w:val="15"/>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jc w:val="both"/>
      <w:textAlignment w:val="auto"/>
      <w:rPr>
        <w:rFonts w:hint="eastAsia"/>
        <w:u w:val="none"/>
        <w:lang w:eastAsia="zh-CN"/>
      </w:rPr>
    </w:pPr>
    <w:r>
      <w:rPr>
        <w:rFonts w:hint="eastAsia" w:ascii="仿宋" w:hAnsi="仿宋" w:eastAsia="仿宋" w:cs="仿宋"/>
        <w:b/>
        <w:bCs w:val="0"/>
        <w:u w:val="none"/>
        <w:lang w:eastAsia="zh-CN"/>
      </w:rPr>
      <w:t>登高平台消防车及随车器材采购项目（二次）</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w:t>
    </w:r>
    <w:r>
      <w:rPr>
        <w:rFonts w:hint="eastAsia" w:ascii="楷体" w:hAnsi="楷体" w:eastAsia="楷体" w:cs="楷体"/>
        <w:b/>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37AB">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CA29">
    <w:pPr>
      <w:pStyle w:val="15"/>
      <w:pBdr>
        <w:bottom w:val="none" w:color="auto" w:sz="0" w:space="1"/>
      </w:pBdr>
      <w:spacing w:line="440" w:lineRule="exact"/>
      <w:jc w:val="both"/>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D257">
    <w:pPr>
      <w:pStyle w:val="15"/>
      <w:pBdr>
        <w:bottom w:val="none" w:color="auto" w:sz="0" w:space="1"/>
      </w:pBdr>
      <w:spacing w:line="440" w:lineRule="exact"/>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CE3">
    <w:pPr>
      <w:pStyle w:val="15"/>
      <w:pBdr>
        <w:bottom w:val="none" w:color="auto" w:sz="0" w:space="1"/>
      </w:pBdr>
      <w:spacing w:line="440" w:lineRule="exact"/>
      <w:jc w:val="both"/>
      <w:rPr>
        <w:rFonts w:ascii="宋体" w:hAnsi="宋体"/>
      </w:rPr>
    </w:pPr>
    <w:r>
      <w:rPr>
        <w:rFonts w:hint="eastAsia" w:ascii="仿宋" w:hAnsi="仿宋" w:eastAsia="仿宋" w:cs="仿宋"/>
        <w:b w:val="0"/>
        <w:bCs/>
        <w:u w:val="single"/>
        <w:lang w:eastAsia="zh-CN"/>
      </w:rPr>
      <w:t>登高平台消防车及随车器材采购项目（二次）</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CFFA">
    <w:pPr>
      <w:pStyle w:val="15"/>
      <w:pBdr>
        <w:bottom w:val="none" w:color="auto" w:sz="0" w:space="1"/>
      </w:pBdr>
      <w:spacing w:line="440" w:lineRule="exact"/>
      <w:jc w:val="center"/>
      <w:rPr>
        <w:rFonts w:ascii="楷体" w:hAnsi="楷体" w:eastAsia="楷体" w:cs="楷体"/>
        <w:b/>
        <w:bCs w:val="0"/>
        <w:sz w:val="20"/>
        <w:szCs w:val="20"/>
      </w:rPr>
    </w:pPr>
    <w:r>
      <w:rPr>
        <w:rFonts w:hint="eastAsia" w:ascii="仿宋" w:hAnsi="仿宋" w:eastAsia="仿宋" w:cs="仿宋"/>
        <w:b/>
        <w:bCs w:val="0"/>
        <w:sz w:val="18"/>
        <w:szCs w:val="18"/>
        <w:u w:val="single"/>
        <w:lang w:eastAsia="zh-CN"/>
      </w:rPr>
      <w:t>登高平台消防车及随车器材采购项目（二次）</w:t>
    </w:r>
    <w:r>
      <w:rPr>
        <w:rFonts w:hint="eastAsia" w:ascii="仿宋" w:hAnsi="仿宋" w:eastAsia="仿宋" w:cs="仿宋"/>
        <w:b/>
        <w:bCs w:val="0"/>
        <w:sz w:val="18"/>
        <w:szCs w:val="18"/>
        <w:u w:val="single"/>
      </w:rPr>
      <w:t xml:space="preserve">  </w:t>
    </w:r>
    <w:r>
      <w:rPr>
        <w:rFonts w:hint="eastAsia" w:ascii="仿宋" w:hAnsi="仿宋" w:eastAsia="仿宋" w:cs="仿宋"/>
        <w:b/>
        <w:bCs w:val="0"/>
        <w:sz w:val="18"/>
        <w:szCs w:val="18"/>
        <w:u w:val="single"/>
        <w:lang w:val="en-US" w:eastAsia="zh-CN"/>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CBDBF">
    <w:pPr>
      <w:pStyle w:val="15"/>
      <w:pBdr>
        <w:bottom w:val="none" w:color="auto" w:sz="0" w:space="1"/>
      </w:pBdr>
      <w:spacing w:line="440" w:lineRule="exact"/>
      <w:jc w:val="center"/>
      <w:rPr>
        <w:rFonts w:hint="eastAsia" w:ascii="宋体" w:hAnsi="宋体" w:eastAsia="楷体"/>
        <w:b/>
        <w:bCs w:val="0"/>
        <w:u w:val="single"/>
        <w:lang w:eastAsia="zh-CN"/>
      </w:rPr>
    </w:pPr>
    <w:r>
      <w:rPr>
        <w:rFonts w:hint="eastAsia" w:ascii="仿宋" w:hAnsi="仿宋" w:eastAsia="仿宋" w:cs="仿宋"/>
        <w:b/>
        <w:bCs w:val="0"/>
        <w:u w:val="single"/>
        <w:lang w:eastAsia="zh-CN"/>
      </w:rPr>
      <w:t>登高平台消防车及随车器材采购项目（二次）</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AEFF">
    <w:pPr>
      <w:pStyle w:val="15"/>
      <w:pBdr>
        <w:bottom w:val="none" w:color="auto" w:sz="0" w:space="1"/>
      </w:pBdr>
      <w:spacing w:line="440" w:lineRule="exact"/>
      <w:jc w:val="center"/>
      <w:rPr>
        <w:rFonts w:ascii="楷体" w:hAnsi="楷体" w:eastAsia="楷体" w:cs="楷体"/>
      </w:rPr>
    </w:pPr>
    <w:r>
      <w:rPr>
        <w:rFonts w:hint="eastAsia" w:ascii="仿宋" w:hAnsi="仿宋" w:eastAsia="仿宋" w:cs="仿宋"/>
        <w:b/>
        <w:bCs w:val="0"/>
        <w:sz w:val="18"/>
        <w:szCs w:val="18"/>
        <w:u w:val="single"/>
        <w:lang w:eastAsia="zh-CN"/>
      </w:rPr>
      <w:t>登高平台消防车及随车器材采购项目（二次）</w:t>
    </w:r>
    <w:r>
      <w:rPr>
        <w:rFonts w:hint="eastAsia" w:ascii="仿宋" w:hAnsi="仿宋" w:eastAsia="仿宋" w:cs="仿宋"/>
        <w:b/>
        <w:bCs w:val="0"/>
        <w:sz w:val="18"/>
        <w:szCs w:val="18"/>
        <w:u w:val="single"/>
      </w:rPr>
      <w:t xml:space="preserve">  </w:t>
    </w:r>
    <w:r>
      <w:rPr>
        <w:rFonts w:hint="eastAsia" w:ascii="仿宋" w:hAnsi="仿宋" w:eastAsia="仿宋" w:cs="仿宋"/>
        <w:b/>
        <w:bCs w:val="0"/>
        <w:sz w:val="18"/>
        <w:szCs w:val="18"/>
        <w:u w:val="single"/>
        <w:lang w:val="en-US" w:eastAsia="zh-CN"/>
      </w:rPr>
      <w:t xml:space="preserve">                                                   公开招标文件</w:t>
    </w:r>
    <w:r>
      <w:rPr>
        <w:rFonts w:hint="eastAsia" w:ascii="楷体" w:hAnsi="楷体" w:eastAsia="楷体" w:cs="楷体"/>
        <w:b/>
        <w:u w:val="none"/>
        <w:lang w:val="en-US" w:eastAsia="zh-CN"/>
      </w:rPr>
      <w:t xml:space="preserve">                                                                                              </w:t>
    </w:r>
    <w:r>
      <w:rPr>
        <w:rFonts w:hint="eastAsia" w:ascii="楷体" w:hAnsi="楷体" w:eastAsia="楷体" w:cs="楷体"/>
        <w:b/>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6D42">
    <w:pPr>
      <w:pStyle w:val="15"/>
      <w:pBdr>
        <w:bottom w:val="single" w:color="auto" w:sz="4" w:space="1"/>
      </w:pBdr>
      <w:jc w:val="both"/>
      <w:rPr>
        <w:rFonts w:hint="eastAsia"/>
        <w:lang w:eastAsia="zh-CN"/>
      </w:rPr>
    </w:pPr>
    <w:r>
      <w:rPr>
        <w:rFonts w:hint="eastAsia" w:ascii="仿宋" w:hAnsi="仿宋" w:eastAsia="仿宋" w:cs="仿宋"/>
        <w:b/>
        <w:bCs w:val="0"/>
        <w:u w:val="none"/>
        <w:lang w:eastAsia="zh-CN"/>
      </w:rPr>
      <w:t>登高平台消防车及随车器材采购项目（二次）</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r>
      <w:rPr>
        <w:rFonts w:hint="eastAsia" w:ascii="楷体" w:hAnsi="楷体" w:eastAsia="楷体" w:cs="楷体"/>
        <w:b/>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CD9BD"/>
    <w:multiLevelType w:val="singleLevel"/>
    <w:tmpl w:val="C66CD9BD"/>
    <w:lvl w:ilvl="0" w:tentative="0">
      <w:start w:val="1"/>
      <w:numFmt w:val="decimal"/>
      <w:suff w:val="nothing"/>
      <w:lvlText w:val="%1、"/>
      <w:lvlJc w:val="left"/>
    </w:lvl>
  </w:abstractNum>
  <w:abstractNum w:abstractNumId="1">
    <w:nsid w:val="F18A55C3"/>
    <w:multiLevelType w:val="singleLevel"/>
    <w:tmpl w:val="F18A55C3"/>
    <w:lvl w:ilvl="0" w:tentative="0">
      <w:start w:val="1"/>
      <w:numFmt w:val="decimal"/>
      <w:suff w:val="nothing"/>
      <w:lvlText w:val="%1、"/>
      <w:lvlJc w:val="left"/>
    </w:lvl>
  </w:abstractNum>
  <w:abstractNum w:abstractNumId="2">
    <w:nsid w:val="F8DC9CD1"/>
    <w:multiLevelType w:val="singleLevel"/>
    <w:tmpl w:val="F8DC9CD1"/>
    <w:lvl w:ilvl="0" w:tentative="0">
      <w:start w:val="6"/>
      <w:numFmt w:val="chineseCounting"/>
      <w:suff w:val="space"/>
      <w:lvlText w:val="第%1章"/>
      <w:lvlJc w:val="left"/>
      <w:rPr>
        <w:rFonts w:hint="eastAsia"/>
      </w:rPr>
    </w:lvl>
  </w:abstractNum>
  <w:abstractNum w:abstractNumId="3">
    <w:nsid w:val="0000000E"/>
    <w:multiLevelType w:val="singleLevel"/>
    <w:tmpl w:val="0000000E"/>
    <w:lvl w:ilvl="0" w:tentative="0">
      <w:start w:val="2"/>
      <w:numFmt w:val="decimal"/>
      <w:suff w:val="nothing"/>
      <w:lvlText w:val="%1）"/>
      <w:lvlJc w:val="left"/>
    </w:lvl>
  </w:abstractNum>
  <w:abstractNum w:abstractNumId="4">
    <w:nsid w:val="01041D89"/>
    <w:multiLevelType w:val="singleLevel"/>
    <w:tmpl w:val="01041D89"/>
    <w:lvl w:ilvl="0" w:tentative="0">
      <w:start w:val="1"/>
      <w:numFmt w:val="chineseCounting"/>
      <w:suff w:val="space"/>
      <w:lvlText w:val="第%1章"/>
      <w:lvlJc w:val="left"/>
      <w:rPr>
        <w:rFonts w:hint="eastAsia"/>
      </w:rPr>
    </w:lvl>
  </w:abstractNum>
  <w:abstractNum w:abstractNumId="5">
    <w:nsid w:val="2776DE3B"/>
    <w:multiLevelType w:val="singleLevel"/>
    <w:tmpl w:val="2776DE3B"/>
    <w:lvl w:ilvl="0" w:tentative="0">
      <w:start w:val="1"/>
      <w:numFmt w:val="decimal"/>
      <w:suff w:val="nothing"/>
      <w:lvlText w:val="%1、"/>
      <w:lvlJc w:val="left"/>
    </w:lvl>
  </w:abstractNum>
  <w:abstractNum w:abstractNumId="6">
    <w:nsid w:val="576A36EB"/>
    <w:multiLevelType w:val="singleLevel"/>
    <w:tmpl w:val="576A36EB"/>
    <w:lvl w:ilvl="0" w:tentative="0">
      <w:start w:val="1"/>
      <w:numFmt w:val="decimal"/>
      <w:suff w:val="nothing"/>
      <w:lvlText w:val="（%1）"/>
      <w:lvlJc w:val="left"/>
    </w:lvl>
  </w:abstractNum>
  <w:abstractNum w:abstractNumId="7">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6131D8C7"/>
    <w:multiLevelType w:val="singleLevel"/>
    <w:tmpl w:val="6131D8C7"/>
    <w:lvl w:ilvl="0" w:tentative="0">
      <w:start w:val="3"/>
      <w:numFmt w:val="chineseCounting"/>
      <w:suff w:val="space"/>
      <w:lvlText w:val="第%1章"/>
      <w:lvlJc w:val="left"/>
    </w:lvl>
  </w:abstractNum>
  <w:num w:numId="1">
    <w:abstractNumId w:val="7"/>
  </w:num>
  <w:num w:numId="2">
    <w:abstractNumId w:val="4"/>
  </w:num>
  <w:num w:numId="3">
    <w:abstractNumId w:val="0"/>
  </w:num>
  <w:num w:numId="4">
    <w:abstractNumId w:val="5"/>
  </w:num>
  <w:num w:numId="5">
    <w:abstractNumId w:val="1"/>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3NGJjMGQzZWYzNDQwZWRlNWQxZGM5MzZkYzAzMzkifQ=="/>
  </w:docVars>
  <w:rsids>
    <w:rsidRoot w:val="00172A27"/>
    <w:rsid w:val="001332BF"/>
    <w:rsid w:val="00212B6B"/>
    <w:rsid w:val="002D1185"/>
    <w:rsid w:val="003F04EF"/>
    <w:rsid w:val="00415775"/>
    <w:rsid w:val="00415DA5"/>
    <w:rsid w:val="00437251"/>
    <w:rsid w:val="004F223F"/>
    <w:rsid w:val="0054681D"/>
    <w:rsid w:val="00622852"/>
    <w:rsid w:val="006512A4"/>
    <w:rsid w:val="006E4C02"/>
    <w:rsid w:val="0075377D"/>
    <w:rsid w:val="007B1225"/>
    <w:rsid w:val="007B30B1"/>
    <w:rsid w:val="008563F8"/>
    <w:rsid w:val="009140CB"/>
    <w:rsid w:val="00A86B23"/>
    <w:rsid w:val="00B507E4"/>
    <w:rsid w:val="00CA45D3"/>
    <w:rsid w:val="00D04A1F"/>
    <w:rsid w:val="00E84244"/>
    <w:rsid w:val="00F35AEF"/>
    <w:rsid w:val="00FE4037"/>
    <w:rsid w:val="01055DED"/>
    <w:rsid w:val="012357C5"/>
    <w:rsid w:val="0124044D"/>
    <w:rsid w:val="012F172C"/>
    <w:rsid w:val="012F2A87"/>
    <w:rsid w:val="013B4745"/>
    <w:rsid w:val="013F27E7"/>
    <w:rsid w:val="014C0D5E"/>
    <w:rsid w:val="01523E16"/>
    <w:rsid w:val="015509EB"/>
    <w:rsid w:val="015A1E1B"/>
    <w:rsid w:val="0167398B"/>
    <w:rsid w:val="016D5D6E"/>
    <w:rsid w:val="01770D23"/>
    <w:rsid w:val="01792237"/>
    <w:rsid w:val="017D4B6D"/>
    <w:rsid w:val="018B4AD5"/>
    <w:rsid w:val="01A9549C"/>
    <w:rsid w:val="01B444B0"/>
    <w:rsid w:val="01B93012"/>
    <w:rsid w:val="01DC0309"/>
    <w:rsid w:val="01E07E04"/>
    <w:rsid w:val="01E72F16"/>
    <w:rsid w:val="01F6245E"/>
    <w:rsid w:val="020B2B51"/>
    <w:rsid w:val="022C51CF"/>
    <w:rsid w:val="02372C95"/>
    <w:rsid w:val="023D0CA8"/>
    <w:rsid w:val="025C1772"/>
    <w:rsid w:val="0272187E"/>
    <w:rsid w:val="0273481D"/>
    <w:rsid w:val="027B5DA6"/>
    <w:rsid w:val="028E56AC"/>
    <w:rsid w:val="029C5C96"/>
    <w:rsid w:val="029D4595"/>
    <w:rsid w:val="029E1D87"/>
    <w:rsid w:val="02AB1482"/>
    <w:rsid w:val="02C11121"/>
    <w:rsid w:val="02CA10BB"/>
    <w:rsid w:val="02D83BE4"/>
    <w:rsid w:val="02E00A2B"/>
    <w:rsid w:val="02E24518"/>
    <w:rsid w:val="02EA5B34"/>
    <w:rsid w:val="02F219E1"/>
    <w:rsid w:val="02FE10CF"/>
    <w:rsid w:val="03092897"/>
    <w:rsid w:val="03114ED8"/>
    <w:rsid w:val="031C45A2"/>
    <w:rsid w:val="03226876"/>
    <w:rsid w:val="032822E5"/>
    <w:rsid w:val="033E3C8D"/>
    <w:rsid w:val="034C72DC"/>
    <w:rsid w:val="0363799C"/>
    <w:rsid w:val="03666CBA"/>
    <w:rsid w:val="03804B01"/>
    <w:rsid w:val="03927018"/>
    <w:rsid w:val="03EC461B"/>
    <w:rsid w:val="03F25C0E"/>
    <w:rsid w:val="0402140E"/>
    <w:rsid w:val="040E606A"/>
    <w:rsid w:val="0413485F"/>
    <w:rsid w:val="042302C3"/>
    <w:rsid w:val="04286C44"/>
    <w:rsid w:val="04681381"/>
    <w:rsid w:val="047000DE"/>
    <w:rsid w:val="048076C9"/>
    <w:rsid w:val="049A59B2"/>
    <w:rsid w:val="04A35E84"/>
    <w:rsid w:val="04DC01EC"/>
    <w:rsid w:val="04EF0188"/>
    <w:rsid w:val="050359C4"/>
    <w:rsid w:val="05145A42"/>
    <w:rsid w:val="05243AD3"/>
    <w:rsid w:val="05244660"/>
    <w:rsid w:val="053B7608"/>
    <w:rsid w:val="0544323B"/>
    <w:rsid w:val="055B54AB"/>
    <w:rsid w:val="055F0593"/>
    <w:rsid w:val="057C07ED"/>
    <w:rsid w:val="0582059A"/>
    <w:rsid w:val="05881D5D"/>
    <w:rsid w:val="059A78A9"/>
    <w:rsid w:val="059F6C93"/>
    <w:rsid w:val="05C32147"/>
    <w:rsid w:val="05CC27DB"/>
    <w:rsid w:val="05DC421B"/>
    <w:rsid w:val="05E12F78"/>
    <w:rsid w:val="05E338DE"/>
    <w:rsid w:val="05E85EDC"/>
    <w:rsid w:val="05EF4934"/>
    <w:rsid w:val="05FB470C"/>
    <w:rsid w:val="063B2138"/>
    <w:rsid w:val="06424AAD"/>
    <w:rsid w:val="066702F8"/>
    <w:rsid w:val="06671B17"/>
    <w:rsid w:val="067261DB"/>
    <w:rsid w:val="06730A9B"/>
    <w:rsid w:val="06842B31"/>
    <w:rsid w:val="068968D6"/>
    <w:rsid w:val="068C0996"/>
    <w:rsid w:val="06942BE2"/>
    <w:rsid w:val="069A21EB"/>
    <w:rsid w:val="06AD6D7A"/>
    <w:rsid w:val="06B1749B"/>
    <w:rsid w:val="06B90E07"/>
    <w:rsid w:val="06DB69A0"/>
    <w:rsid w:val="06E174F0"/>
    <w:rsid w:val="073B1519"/>
    <w:rsid w:val="074309B5"/>
    <w:rsid w:val="074D45F0"/>
    <w:rsid w:val="075238C8"/>
    <w:rsid w:val="075409F1"/>
    <w:rsid w:val="077716F8"/>
    <w:rsid w:val="0784427C"/>
    <w:rsid w:val="079C558D"/>
    <w:rsid w:val="07A86BC0"/>
    <w:rsid w:val="07B06814"/>
    <w:rsid w:val="07B1292F"/>
    <w:rsid w:val="07B83524"/>
    <w:rsid w:val="07ED6184"/>
    <w:rsid w:val="07EE7F5B"/>
    <w:rsid w:val="07FF518E"/>
    <w:rsid w:val="081859DF"/>
    <w:rsid w:val="081E722F"/>
    <w:rsid w:val="08263A7B"/>
    <w:rsid w:val="08343F08"/>
    <w:rsid w:val="08390C7A"/>
    <w:rsid w:val="084F5E63"/>
    <w:rsid w:val="087361B7"/>
    <w:rsid w:val="08865858"/>
    <w:rsid w:val="08C40321"/>
    <w:rsid w:val="08C916A1"/>
    <w:rsid w:val="08D93C4A"/>
    <w:rsid w:val="08F62F8E"/>
    <w:rsid w:val="09132E62"/>
    <w:rsid w:val="091A2465"/>
    <w:rsid w:val="092F3308"/>
    <w:rsid w:val="0952618D"/>
    <w:rsid w:val="096F0401"/>
    <w:rsid w:val="09875E86"/>
    <w:rsid w:val="098E3A7F"/>
    <w:rsid w:val="09917F6C"/>
    <w:rsid w:val="09AF7900"/>
    <w:rsid w:val="09B84246"/>
    <w:rsid w:val="09EE72C6"/>
    <w:rsid w:val="0A0018ED"/>
    <w:rsid w:val="0A0C6A2E"/>
    <w:rsid w:val="0A1B5312"/>
    <w:rsid w:val="0A2817E2"/>
    <w:rsid w:val="0A405FB1"/>
    <w:rsid w:val="0A4A708E"/>
    <w:rsid w:val="0A4B6101"/>
    <w:rsid w:val="0A530AAC"/>
    <w:rsid w:val="0A5663A8"/>
    <w:rsid w:val="0A5D6092"/>
    <w:rsid w:val="0A783EE1"/>
    <w:rsid w:val="0A841FD0"/>
    <w:rsid w:val="0A8660B1"/>
    <w:rsid w:val="0A9E5956"/>
    <w:rsid w:val="0AA4705C"/>
    <w:rsid w:val="0AB80DB3"/>
    <w:rsid w:val="0AC05AD3"/>
    <w:rsid w:val="0AD66945"/>
    <w:rsid w:val="0ADE612F"/>
    <w:rsid w:val="0AE37403"/>
    <w:rsid w:val="0AEE0C79"/>
    <w:rsid w:val="0AF812C0"/>
    <w:rsid w:val="0AFC0079"/>
    <w:rsid w:val="0AFD2C46"/>
    <w:rsid w:val="0B1434B9"/>
    <w:rsid w:val="0B1801AC"/>
    <w:rsid w:val="0B295D9A"/>
    <w:rsid w:val="0B297899"/>
    <w:rsid w:val="0B394155"/>
    <w:rsid w:val="0B3B7FFF"/>
    <w:rsid w:val="0B8D1D0D"/>
    <w:rsid w:val="0BC065FD"/>
    <w:rsid w:val="0BC742BD"/>
    <w:rsid w:val="0BD42F9A"/>
    <w:rsid w:val="0BF7122A"/>
    <w:rsid w:val="0BF76B33"/>
    <w:rsid w:val="0C1B324A"/>
    <w:rsid w:val="0C2A4A9B"/>
    <w:rsid w:val="0C2C5130"/>
    <w:rsid w:val="0C394E6F"/>
    <w:rsid w:val="0C50326D"/>
    <w:rsid w:val="0C654F6B"/>
    <w:rsid w:val="0C7C3AF1"/>
    <w:rsid w:val="0C7F7B3F"/>
    <w:rsid w:val="0C8D0FFD"/>
    <w:rsid w:val="0C9F35C5"/>
    <w:rsid w:val="0CA34C15"/>
    <w:rsid w:val="0CB02C73"/>
    <w:rsid w:val="0CB4444F"/>
    <w:rsid w:val="0CCA7874"/>
    <w:rsid w:val="0CCE1649"/>
    <w:rsid w:val="0CD143AE"/>
    <w:rsid w:val="0CD35D61"/>
    <w:rsid w:val="0CDD25B5"/>
    <w:rsid w:val="0CFD5D54"/>
    <w:rsid w:val="0D0509C0"/>
    <w:rsid w:val="0D0A04D3"/>
    <w:rsid w:val="0D141443"/>
    <w:rsid w:val="0D2A3412"/>
    <w:rsid w:val="0D3C343A"/>
    <w:rsid w:val="0D68320E"/>
    <w:rsid w:val="0D6F3E84"/>
    <w:rsid w:val="0D7414F9"/>
    <w:rsid w:val="0D7504FF"/>
    <w:rsid w:val="0D7541CB"/>
    <w:rsid w:val="0D771362"/>
    <w:rsid w:val="0D7B584C"/>
    <w:rsid w:val="0D971B21"/>
    <w:rsid w:val="0DC066B8"/>
    <w:rsid w:val="0DCD4963"/>
    <w:rsid w:val="0DDC6F83"/>
    <w:rsid w:val="0DF37BA7"/>
    <w:rsid w:val="0E0241F9"/>
    <w:rsid w:val="0E035AFD"/>
    <w:rsid w:val="0E0C77C9"/>
    <w:rsid w:val="0E1C5299"/>
    <w:rsid w:val="0E492B32"/>
    <w:rsid w:val="0E50645E"/>
    <w:rsid w:val="0E516D66"/>
    <w:rsid w:val="0E56494C"/>
    <w:rsid w:val="0E613CA6"/>
    <w:rsid w:val="0E687109"/>
    <w:rsid w:val="0EAE1199"/>
    <w:rsid w:val="0EC45296"/>
    <w:rsid w:val="0ECD1414"/>
    <w:rsid w:val="0ED717DB"/>
    <w:rsid w:val="0EDC0DEC"/>
    <w:rsid w:val="0F032FD0"/>
    <w:rsid w:val="0F0F5F79"/>
    <w:rsid w:val="0F1C53D9"/>
    <w:rsid w:val="0F22324D"/>
    <w:rsid w:val="0F394994"/>
    <w:rsid w:val="0F3B7A08"/>
    <w:rsid w:val="0F473211"/>
    <w:rsid w:val="0F517930"/>
    <w:rsid w:val="0F6E0F54"/>
    <w:rsid w:val="0F730FDF"/>
    <w:rsid w:val="0F851B60"/>
    <w:rsid w:val="0FA8768E"/>
    <w:rsid w:val="0FAB058B"/>
    <w:rsid w:val="0FC95A74"/>
    <w:rsid w:val="0FD348E1"/>
    <w:rsid w:val="0FDD068A"/>
    <w:rsid w:val="0FE04DF9"/>
    <w:rsid w:val="0FE42502"/>
    <w:rsid w:val="0FF2353C"/>
    <w:rsid w:val="0FFF026C"/>
    <w:rsid w:val="10366258"/>
    <w:rsid w:val="10533972"/>
    <w:rsid w:val="107408FA"/>
    <w:rsid w:val="10871698"/>
    <w:rsid w:val="108D5328"/>
    <w:rsid w:val="10A34A02"/>
    <w:rsid w:val="10B20DC4"/>
    <w:rsid w:val="10BC3591"/>
    <w:rsid w:val="10BE4AFC"/>
    <w:rsid w:val="10BF4AC4"/>
    <w:rsid w:val="10C71E23"/>
    <w:rsid w:val="10DD5A17"/>
    <w:rsid w:val="10E60340"/>
    <w:rsid w:val="10F62C44"/>
    <w:rsid w:val="10F70157"/>
    <w:rsid w:val="11026414"/>
    <w:rsid w:val="11040411"/>
    <w:rsid w:val="11097885"/>
    <w:rsid w:val="11196266"/>
    <w:rsid w:val="112C3F71"/>
    <w:rsid w:val="113863E8"/>
    <w:rsid w:val="11423D95"/>
    <w:rsid w:val="11440F71"/>
    <w:rsid w:val="11625C09"/>
    <w:rsid w:val="11686CB0"/>
    <w:rsid w:val="1194672F"/>
    <w:rsid w:val="11AE5A5C"/>
    <w:rsid w:val="11B22024"/>
    <w:rsid w:val="11E2074A"/>
    <w:rsid w:val="11E410CE"/>
    <w:rsid w:val="11EB0E21"/>
    <w:rsid w:val="12194051"/>
    <w:rsid w:val="12441018"/>
    <w:rsid w:val="12636497"/>
    <w:rsid w:val="12802962"/>
    <w:rsid w:val="12837C26"/>
    <w:rsid w:val="1288628B"/>
    <w:rsid w:val="128F4B3E"/>
    <w:rsid w:val="12931771"/>
    <w:rsid w:val="1297299C"/>
    <w:rsid w:val="129C1085"/>
    <w:rsid w:val="12A24466"/>
    <w:rsid w:val="12AB57C6"/>
    <w:rsid w:val="12B916D9"/>
    <w:rsid w:val="12C62D16"/>
    <w:rsid w:val="12C66E1B"/>
    <w:rsid w:val="12E0108A"/>
    <w:rsid w:val="12E5382D"/>
    <w:rsid w:val="12F72695"/>
    <w:rsid w:val="130C1DB4"/>
    <w:rsid w:val="132E72DF"/>
    <w:rsid w:val="13427DB4"/>
    <w:rsid w:val="13435AC3"/>
    <w:rsid w:val="13456171"/>
    <w:rsid w:val="137D3F12"/>
    <w:rsid w:val="1381103D"/>
    <w:rsid w:val="13813A05"/>
    <w:rsid w:val="13974ECE"/>
    <w:rsid w:val="13A0181A"/>
    <w:rsid w:val="13A5784A"/>
    <w:rsid w:val="13BA1D03"/>
    <w:rsid w:val="13C52B29"/>
    <w:rsid w:val="13DF4459"/>
    <w:rsid w:val="13FE4229"/>
    <w:rsid w:val="14090F70"/>
    <w:rsid w:val="140A6FFA"/>
    <w:rsid w:val="14181698"/>
    <w:rsid w:val="14192869"/>
    <w:rsid w:val="14215C1B"/>
    <w:rsid w:val="142E6F39"/>
    <w:rsid w:val="143A24B3"/>
    <w:rsid w:val="14404038"/>
    <w:rsid w:val="14442427"/>
    <w:rsid w:val="1450503A"/>
    <w:rsid w:val="145B4368"/>
    <w:rsid w:val="146107D5"/>
    <w:rsid w:val="146D0D6E"/>
    <w:rsid w:val="148467C3"/>
    <w:rsid w:val="14C00317"/>
    <w:rsid w:val="14D07C41"/>
    <w:rsid w:val="14D110EB"/>
    <w:rsid w:val="14E94C0C"/>
    <w:rsid w:val="14EA7F1C"/>
    <w:rsid w:val="14ED2ACB"/>
    <w:rsid w:val="14F345D7"/>
    <w:rsid w:val="14F372D7"/>
    <w:rsid w:val="15000AB2"/>
    <w:rsid w:val="1506296A"/>
    <w:rsid w:val="151B3FA6"/>
    <w:rsid w:val="15206496"/>
    <w:rsid w:val="152278DB"/>
    <w:rsid w:val="15293666"/>
    <w:rsid w:val="154E568E"/>
    <w:rsid w:val="15612E6D"/>
    <w:rsid w:val="157647B4"/>
    <w:rsid w:val="157E0E4B"/>
    <w:rsid w:val="15816A00"/>
    <w:rsid w:val="158F0C46"/>
    <w:rsid w:val="15BD216B"/>
    <w:rsid w:val="15C70A44"/>
    <w:rsid w:val="15E17FEB"/>
    <w:rsid w:val="15FA64EA"/>
    <w:rsid w:val="16070E41"/>
    <w:rsid w:val="161E1E16"/>
    <w:rsid w:val="16357A0B"/>
    <w:rsid w:val="16446C59"/>
    <w:rsid w:val="164C117E"/>
    <w:rsid w:val="16605739"/>
    <w:rsid w:val="1688735E"/>
    <w:rsid w:val="168A026F"/>
    <w:rsid w:val="1697633D"/>
    <w:rsid w:val="16B85F78"/>
    <w:rsid w:val="16BA7252"/>
    <w:rsid w:val="16C53D60"/>
    <w:rsid w:val="16CB2E16"/>
    <w:rsid w:val="16EE2F79"/>
    <w:rsid w:val="16F4105E"/>
    <w:rsid w:val="17090F66"/>
    <w:rsid w:val="17102234"/>
    <w:rsid w:val="171505C0"/>
    <w:rsid w:val="17162CA4"/>
    <w:rsid w:val="17185EF0"/>
    <w:rsid w:val="171921EC"/>
    <w:rsid w:val="173338BA"/>
    <w:rsid w:val="173510B8"/>
    <w:rsid w:val="1750478E"/>
    <w:rsid w:val="175301E9"/>
    <w:rsid w:val="17625B4B"/>
    <w:rsid w:val="17646E49"/>
    <w:rsid w:val="176C1469"/>
    <w:rsid w:val="17892EE2"/>
    <w:rsid w:val="17AE1FA3"/>
    <w:rsid w:val="17BC0CF5"/>
    <w:rsid w:val="17BE36CE"/>
    <w:rsid w:val="17DE12E7"/>
    <w:rsid w:val="17EE3867"/>
    <w:rsid w:val="17F20DEB"/>
    <w:rsid w:val="17F6732D"/>
    <w:rsid w:val="18116E71"/>
    <w:rsid w:val="181C111E"/>
    <w:rsid w:val="18275A8E"/>
    <w:rsid w:val="183B5375"/>
    <w:rsid w:val="18513CDE"/>
    <w:rsid w:val="18527BFC"/>
    <w:rsid w:val="1855203D"/>
    <w:rsid w:val="185F4462"/>
    <w:rsid w:val="18825D67"/>
    <w:rsid w:val="18836302"/>
    <w:rsid w:val="18865395"/>
    <w:rsid w:val="18874B24"/>
    <w:rsid w:val="188A78FE"/>
    <w:rsid w:val="18900317"/>
    <w:rsid w:val="18BA0CCF"/>
    <w:rsid w:val="18CB7939"/>
    <w:rsid w:val="18CE7630"/>
    <w:rsid w:val="18E35026"/>
    <w:rsid w:val="18E51E11"/>
    <w:rsid w:val="18E84F59"/>
    <w:rsid w:val="18FA4C52"/>
    <w:rsid w:val="190F021E"/>
    <w:rsid w:val="191275CB"/>
    <w:rsid w:val="19177932"/>
    <w:rsid w:val="191D31E8"/>
    <w:rsid w:val="192D1987"/>
    <w:rsid w:val="192D2635"/>
    <w:rsid w:val="19383276"/>
    <w:rsid w:val="1943640C"/>
    <w:rsid w:val="194C6169"/>
    <w:rsid w:val="19680D42"/>
    <w:rsid w:val="196977F2"/>
    <w:rsid w:val="196C4F56"/>
    <w:rsid w:val="197B498D"/>
    <w:rsid w:val="199C65D8"/>
    <w:rsid w:val="19A93FB3"/>
    <w:rsid w:val="19AD6C6F"/>
    <w:rsid w:val="19B6156E"/>
    <w:rsid w:val="19C169F0"/>
    <w:rsid w:val="19E1220D"/>
    <w:rsid w:val="19E768A4"/>
    <w:rsid w:val="1A053724"/>
    <w:rsid w:val="1A0A2802"/>
    <w:rsid w:val="1A20007A"/>
    <w:rsid w:val="1A2127C9"/>
    <w:rsid w:val="1A3441CE"/>
    <w:rsid w:val="1A3A0D62"/>
    <w:rsid w:val="1A422589"/>
    <w:rsid w:val="1A435612"/>
    <w:rsid w:val="1A4C6DBB"/>
    <w:rsid w:val="1A4F2F04"/>
    <w:rsid w:val="1A5C3EFC"/>
    <w:rsid w:val="1A655C5C"/>
    <w:rsid w:val="1A74734D"/>
    <w:rsid w:val="1A80467A"/>
    <w:rsid w:val="1A8E2FFB"/>
    <w:rsid w:val="1A9A6CA4"/>
    <w:rsid w:val="1AA014F2"/>
    <w:rsid w:val="1AAE69FD"/>
    <w:rsid w:val="1AC93AAC"/>
    <w:rsid w:val="1AE72B08"/>
    <w:rsid w:val="1AFF2903"/>
    <w:rsid w:val="1B060011"/>
    <w:rsid w:val="1B1B4F5A"/>
    <w:rsid w:val="1B503750"/>
    <w:rsid w:val="1B50707D"/>
    <w:rsid w:val="1B525722"/>
    <w:rsid w:val="1B730FBA"/>
    <w:rsid w:val="1B781C93"/>
    <w:rsid w:val="1B87230D"/>
    <w:rsid w:val="1BBB35A3"/>
    <w:rsid w:val="1BBD281B"/>
    <w:rsid w:val="1BE0539F"/>
    <w:rsid w:val="1BEA36C9"/>
    <w:rsid w:val="1C152E24"/>
    <w:rsid w:val="1C1B7095"/>
    <w:rsid w:val="1C2D5F08"/>
    <w:rsid w:val="1C330BE1"/>
    <w:rsid w:val="1C331FB5"/>
    <w:rsid w:val="1C372579"/>
    <w:rsid w:val="1C383C46"/>
    <w:rsid w:val="1C4673D1"/>
    <w:rsid w:val="1C632A91"/>
    <w:rsid w:val="1C745FAB"/>
    <w:rsid w:val="1C817A29"/>
    <w:rsid w:val="1C865987"/>
    <w:rsid w:val="1CBD2F9B"/>
    <w:rsid w:val="1CC542FF"/>
    <w:rsid w:val="1CCD1B66"/>
    <w:rsid w:val="1CDC25B0"/>
    <w:rsid w:val="1CF562EB"/>
    <w:rsid w:val="1D04432C"/>
    <w:rsid w:val="1D0F6716"/>
    <w:rsid w:val="1D172126"/>
    <w:rsid w:val="1D383A92"/>
    <w:rsid w:val="1D3A4269"/>
    <w:rsid w:val="1D58544F"/>
    <w:rsid w:val="1D61602F"/>
    <w:rsid w:val="1D7157E9"/>
    <w:rsid w:val="1D895941"/>
    <w:rsid w:val="1D9474D1"/>
    <w:rsid w:val="1DA60DBD"/>
    <w:rsid w:val="1DA975B6"/>
    <w:rsid w:val="1DB45E8F"/>
    <w:rsid w:val="1DD161C7"/>
    <w:rsid w:val="1DDF4275"/>
    <w:rsid w:val="1DFC4345"/>
    <w:rsid w:val="1E290DC9"/>
    <w:rsid w:val="1E2C5F17"/>
    <w:rsid w:val="1E4F6E0B"/>
    <w:rsid w:val="1E5A2FDA"/>
    <w:rsid w:val="1E5C4B51"/>
    <w:rsid w:val="1E636E30"/>
    <w:rsid w:val="1E6964CA"/>
    <w:rsid w:val="1E6A399F"/>
    <w:rsid w:val="1E7237CC"/>
    <w:rsid w:val="1E80551E"/>
    <w:rsid w:val="1E867E3E"/>
    <w:rsid w:val="1EA74D18"/>
    <w:rsid w:val="1EAA4AFF"/>
    <w:rsid w:val="1EB06311"/>
    <w:rsid w:val="1EC60C39"/>
    <w:rsid w:val="1ED01E7C"/>
    <w:rsid w:val="1ED11AC5"/>
    <w:rsid w:val="1ED3701A"/>
    <w:rsid w:val="1ED400B8"/>
    <w:rsid w:val="1ED40BEC"/>
    <w:rsid w:val="1EE12E22"/>
    <w:rsid w:val="1EF601FB"/>
    <w:rsid w:val="1F097C64"/>
    <w:rsid w:val="1F1B7BE1"/>
    <w:rsid w:val="1F292DC2"/>
    <w:rsid w:val="1F2E69D8"/>
    <w:rsid w:val="1F554D19"/>
    <w:rsid w:val="1F6223AD"/>
    <w:rsid w:val="1FA37E2C"/>
    <w:rsid w:val="1FD3721C"/>
    <w:rsid w:val="1FDA5EC4"/>
    <w:rsid w:val="1FEA44CB"/>
    <w:rsid w:val="1FF752B6"/>
    <w:rsid w:val="1FFB7F79"/>
    <w:rsid w:val="1FFD1DA0"/>
    <w:rsid w:val="202B1E56"/>
    <w:rsid w:val="203B5D40"/>
    <w:rsid w:val="20520BA1"/>
    <w:rsid w:val="20525340"/>
    <w:rsid w:val="20731008"/>
    <w:rsid w:val="207A09BE"/>
    <w:rsid w:val="20DD65CC"/>
    <w:rsid w:val="20EC3370"/>
    <w:rsid w:val="20F81C87"/>
    <w:rsid w:val="210C37AF"/>
    <w:rsid w:val="212479FC"/>
    <w:rsid w:val="2125239E"/>
    <w:rsid w:val="213071C1"/>
    <w:rsid w:val="213345E1"/>
    <w:rsid w:val="214D44F3"/>
    <w:rsid w:val="217E72AA"/>
    <w:rsid w:val="219C2D85"/>
    <w:rsid w:val="21A470C7"/>
    <w:rsid w:val="21A5220F"/>
    <w:rsid w:val="21A76E86"/>
    <w:rsid w:val="21A9409D"/>
    <w:rsid w:val="21C93E43"/>
    <w:rsid w:val="21D9248D"/>
    <w:rsid w:val="21ED33E6"/>
    <w:rsid w:val="21FB7029"/>
    <w:rsid w:val="220C2809"/>
    <w:rsid w:val="22151983"/>
    <w:rsid w:val="221F065E"/>
    <w:rsid w:val="2238284E"/>
    <w:rsid w:val="224D5266"/>
    <w:rsid w:val="22631FB1"/>
    <w:rsid w:val="226B006C"/>
    <w:rsid w:val="227C2CCE"/>
    <w:rsid w:val="228C7A05"/>
    <w:rsid w:val="22972603"/>
    <w:rsid w:val="22AB2F38"/>
    <w:rsid w:val="22AE02AF"/>
    <w:rsid w:val="22BB79DA"/>
    <w:rsid w:val="22C30BD7"/>
    <w:rsid w:val="22D06515"/>
    <w:rsid w:val="22D5669C"/>
    <w:rsid w:val="22DD7278"/>
    <w:rsid w:val="22EB2228"/>
    <w:rsid w:val="230070D9"/>
    <w:rsid w:val="23371C43"/>
    <w:rsid w:val="233D6F48"/>
    <w:rsid w:val="234D186E"/>
    <w:rsid w:val="235360D7"/>
    <w:rsid w:val="235D306F"/>
    <w:rsid w:val="2362550E"/>
    <w:rsid w:val="2374115A"/>
    <w:rsid w:val="23865F50"/>
    <w:rsid w:val="238E2AF8"/>
    <w:rsid w:val="23B221C1"/>
    <w:rsid w:val="23B501F5"/>
    <w:rsid w:val="23B77F19"/>
    <w:rsid w:val="23B94AAA"/>
    <w:rsid w:val="23BD6FE3"/>
    <w:rsid w:val="23CB1C0B"/>
    <w:rsid w:val="23E87193"/>
    <w:rsid w:val="240406AE"/>
    <w:rsid w:val="24060E09"/>
    <w:rsid w:val="240E33FD"/>
    <w:rsid w:val="241035B6"/>
    <w:rsid w:val="24173B5E"/>
    <w:rsid w:val="242D1523"/>
    <w:rsid w:val="24350B84"/>
    <w:rsid w:val="243F3724"/>
    <w:rsid w:val="24416D82"/>
    <w:rsid w:val="245840A6"/>
    <w:rsid w:val="24831C33"/>
    <w:rsid w:val="248C32DF"/>
    <w:rsid w:val="248D64FB"/>
    <w:rsid w:val="249C21F4"/>
    <w:rsid w:val="24C061DB"/>
    <w:rsid w:val="24C063A4"/>
    <w:rsid w:val="24C40077"/>
    <w:rsid w:val="24F03545"/>
    <w:rsid w:val="25064086"/>
    <w:rsid w:val="2508510A"/>
    <w:rsid w:val="250F557F"/>
    <w:rsid w:val="25203CCD"/>
    <w:rsid w:val="252D413F"/>
    <w:rsid w:val="252E255C"/>
    <w:rsid w:val="2536380C"/>
    <w:rsid w:val="25430663"/>
    <w:rsid w:val="256154CC"/>
    <w:rsid w:val="25665B84"/>
    <w:rsid w:val="25693605"/>
    <w:rsid w:val="256B38EE"/>
    <w:rsid w:val="256C2323"/>
    <w:rsid w:val="257F78F7"/>
    <w:rsid w:val="25921625"/>
    <w:rsid w:val="259454BD"/>
    <w:rsid w:val="25A02751"/>
    <w:rsid w:val="25A51CCF"/>
    <w:rsid w:val="25B52913"/>
    <w:rsid w:val="25C3506D"/>
    <w:rsid w:val="25DD6823"/>
    <w:rsid w:val="25E505BC"/>
    <w:rsid w:val="25E649CE"/>
    <w:rsid w:val="25F57456"/>
    <w:rsid w:val="25F609E6"/>
    <w:rsid w:val="260A4725"/>
    <w:rsid w:val="260B64D3"/>
    <w:rsid w:val="26380130"/>
    <w:rsid w:val="26452162"/>
    <w:rsid w:val="265274BF"/>
    <w:rsid w:val="265570F7"/>
    <w:rsid w:val="265F7849"/>
    <w:rsid w:val="2664440E"/>
    <w:rsid w:val="26792478"/>
    <w:rsid w:val="269C5F46"/>
    <w:rsid w:val="26A11214"/>
    <w:rsid w:val="26AA3247"/>
    <w:rsid w:val="26AD7B8E"/>
    <w:rsid w:val="26BF7B51"/>
    <w:rsid w:val="26C6302D"/>
    <w:rsid w:val="26CE14DA"/>
    <w:rsid w:val="26EB5B51"/>
    <w:rsid w:val="26EE5A36"/>
    <w:rsid w:val="26EF4DE2"/>
    <w:rsid w:val="26F50BDB"/>
    <w:rsid w:val="26FE4E7F"/>
    <w:rsid w:val="270513CC"/>
    <w:rsid w:val="272A5FBD"/>
    <w:rsid w:val="272C4EF1"/>
    <w:rsid w:val="272E10E9"/>
    <w:rsid w:val="2730233A"/>
    <w:rsid w:val="27513170"/>
    <w:rsid w:val="2759523E"/>
    <w:rsid w:val="275B0BB9"/>
    <w:rsid w:val="27775B13"/>
    <w:rsid w:val="27870A9C"/>
    <w:rsid w:val="278C6260"/>
    <w:rsid w:val="278D0C17"/>
    <w:rsid w:val="27925D43"/>
    <w:rsid w:val="27AB7A4E"/>
    <w:rsid w:val="27AF2CA0"/>
    <w:rsid w:val="27B76F7E"/>
    <w:rsid w:val="27C90A53"/>
    <w:rsid w:val="27CE17BE"/>
    <w:rsid w:val="2801667A"/>
    <w:rsid w:val="280E56A9"/>
    <w:rsid w:val="28172BDD"/>
    <w:rsid w:val="2849353B"/>
    <w:rsid w:val="285B02BE"/>
    <w:rsid w:val="28612FE4"/>
    <w:rsid w:val="28811AC2"/>
    <w:rsid w:val="28941480"/>
    <w:rsid w:val="289C575D"/>
    <w:rsid w:val="28A21EE1"/>
    <w:rsid w:val="28A4544E"/>
    <w:rsid w:val="28A50596"/>
    <w:rsid w:val="28A86B5F"/>
    <w:rsid w:val="28CB4833"/>
    <w:rsid w:val="28E97F29"/>
    <w:rsid w:val="29253FFF"/>
    <w:rsid w:val="292672E2"/>
    <w:rsid w:val="292809E6"/>
    <w:rsid w:val="2938145D"/>
    <w:rsid w:val="29422464"/>
    <w:rsid w:val="294301B4"/>
    <w:rsid w:val="29481585"/>
    <w:rsid w:val="294A6AD1"/>
    <w:rsid w:val="294F363A"/>
    <w:rsid w:val="29843C2C"/>
    <w:rsid w:val="299B3C02"/>
    <w:rsid w:val="29AA0B85"/>
    <w:rsid w:val="29B01376"/>
    <w:rsid w:val="29B05C8A"/>
    <w:rsid w:val="29CB6F7F"/>
    <w:rsid w:val="29CC694D"/>
    <w:rsid w:val="29D33A58"/>
    <w:rsid w:val="29E90A73"/>
    <w:rsid w:val="29EF290B"/>
    <w:rsid w:val="2A004A26"/>
    <w:rsid w:val="2A2361E0"/>
    <w:rsid w:val="2A377938"/>
    <w:rsid w:val="2A39304D"/>
    <w:rsid w:val="2A3A1778"/>
    <w:rsid w:val="2A5A1271"/>
    <w:rsid w:val="2A5B5A23"/>
    <w:rsid w:val="2AA00955"/>
    <w:rsid w:val="2ACD779E"/>
    <w:rsid w:val="2AD61463"/>
    <w:rsid w:val="2ADE6251"/>
    <w:rsid w:val="2B01663B"/>
    <w:rsid w:val="2B0330EB"/>
    <w:rsid w:val="2B0D2B5D"/>
    <w:rsid w:val="2B3F0DEA"/>
    <w:rsid w:val="2B4F0E68"/>
    <w:rsid w:val="2B5330CD"/>
    <w:rsid w:val="2B5B34E9"/>
    <w:rsid w:val="2B6C5905"/>
    <w:rsid w:val="2B716D0A"/>
    <w:rsid w:val="2B8E79ED"/>
    <w:rsid w:val="2B9745EB"/>
    <w:rsid w:val="2B9F34D7"/>
    <w:rsid w:val="2BF043F9"/>
    <w:rsid w:val="2BF84B95"/>
    <w:rsid w:val="2BFA3C7B"/>
    <w:rsid w:val="2C2B420A"/>
    <w:rsid w:val="2C5177DB"/>
    <w:rsid w:val="2C5746C9"/>
    <w:rsid w:val="2C6A4DE8"/>
    <w:rsid w:val="2C786E76"/>
    <w:rsid w:val="2C87159A"/>
    <w:rsid w:val="2C8B6126"/>
    <w:rsid w:val="2C987202"/>
    <w:rsid w:val="2C9A5B1B"/>
    <w:rsid w:val="2C9B7A2E"/>
    <w:rsid w:val="2C9F6F49"/>
    <w:rsid w:val="2CA510FE"/>
    <w:rsid w:val="2CBA6142"/>
    <w:rsid w:val="2CC01447"/>
    <w:rsid w:val="2CC44802"/>
    <w:rsid w:val="2CD836F5"/>
    <w:rsid w:val="2CD94046"/>
    <w:rsid w:val="2CDE08B9"/>
    <w:rsid w:val="2CF76A56"/>
    <w:rsid w:val="2CFD1BFC"/>
    <w:rsid w:val="2D0D31CA"/>
    <w:rsid w:val="2D1813B0"/>
    <w:rsid w:val="2D2D7366"/>
    <w:rsid w:val="2D5D7B79"/>
    <w:rsid w:val="2D637222"/>
    <w:rsid w:val="2D7B4BF1"/>
    <w:rsid w:val="2DA51213"/>
    <w:rsid w:val="2DBC364F"/>
    <w:rsid w:val="2DBE4625"/>
    <w:rsid w:val="2DC055B8"/>
    <w:rsid w:val="2DC113FE"/>
    <w:rsid w:val="2DD15DA4"/>
    <w:rsid w:val="2E2D1F06"/>
    <w:rsid w:val="2E407B36"/>
    <w:rsid w:val="2E487979"/>
    <w:rsid w:val="2E506092"/>
    <w:rsid w:val="2E626225"/>
    <w:rsid w:val="2E631B17"/>
    <w:rsid w:val="2E6C4E49"/>
    <w:rsid w:val="2E757732"/>
    <w:rsid w:val="2E7B0F51"/>
    <w:rsid w:val="2E7E6BE3"/>
    <w:rsid w:val="2E8F5A76"/>
    <w:rsid w:val="2E9E012E"/>
    <w:rsid w:val="2EB251DE"/>
    <w:rsid w:val="2EBB453E"/>
    <w:rsid w:val="2ED32D30"/>
    <w:rsid w:val="2F01235C"/>
    <w:rsid w:val="2F385590"/>
    <w:rsid w:val="2F385D91"/>
    <w:rsid w:val="2F3B117B"/>
    <w:rsid w:val="2F437B85"/>
    <w:rsid w:val="2F442969"/>
    <w:rsid w:val="2F5F4D24"/>
    <w:rsid w:val="2F726093"/>
    <w:rsid w:val="2F783A2A"/>
    <w:rsid w:val="2F7E20B0"/>
    <w:rsid w:val="2F8F7D10"/>
    <w:rsid w:val="2F906FF8"/>
    <w:rsid w:val="2FE06533"/>
    <w:rsid w:val="2FF729FF"/>
    <w:rsid w:val="300D684B"/>
    <w:rsid w:val="301069EF"/>
    <w:rsid w:val="3012492F"/>
    <w:rsid w:val="301B091F"/>
    <w:rsid w:val="30292A80"/>
    <w:rsid w:val="303C0946"/>
    <w:rsid w:val="305129F5"/>
    <w:rsid w:val="30546F10"/>
    <w:rsid w:val="30607673"/>
    <w:rsid w:val="307125A3"/>
    <w:rsid w:val="30804691"/>
    <w:rsid w:val="30A16DC3"/>
    <w:rsid w:val="30B43F6C"/>
    <w:rsid w:val="30CC528D"/>
    <w:rsid w:val="30CD4E6D"/>
    <w:rsid w:val="30DC11B0"/>
    <w:rsid w:val="30E66B9A"/>
    <w:rsid w:val="30E82D1B"/>
    <w:rsid w:val="30E952C1"/>
    <w:rsid w:val="30EE5C9D"/>
    <w:rsid w:val="30F300DB"/>
    <w:rsid w:val="310C74DD"/>
    <w:rsid w:val="31332454"/>
    <w:rsid w:val="3133496E"/>
    <w:rsid w:val="313703B3"/>
    <w:rsid w:val="31377547"/>
    <w:rsid w:val="313C4765"/>
    <w:rsid w:val="313E0380"/>
    <w:rsid w:val="31536540"/>
    <w:rsid w:val="3157169C"/>
    <w:rsid w:val="316F12FA"/>
    <w:rsid w:val="317F1F84"/>
    <w:rsid w:val="317F52E7"/>
    <w:rsid w:val="319E21A8"/>
    <w:rsid w:val="31B448F8"/>
    <w:rsid w:val="31C4112D"/>
    <w:rsid w:val="31C613CE"/>
    <w:rsid w:val="31CF19CB"/>
    <w:rsid w:val="31D245A1"/>
    <w:rsid w:val="3210318C"/>
    <w:rsid w:val="32121212"/>
    <w:rsid w:val="3218445A"/>
    <w:rsid w:val="32246337"/>
    <w:rsid w:val="3228271D"/>
    <w:rsid w:val="323D6705"/>
    <w:rsid w:val="32756B2E"/>
    <w:rsid w:val="32B93E22"/>
    <w:rsid w:val="32CB3E15"/>
    <w:rsid w:val="32FF13C6"/>
    <w:rsid w:val="331862A7"/>
    <w:rsid w:val="332330F3"/>
    <w:rsid w:val="332E0AFE"/>
    <w:rsid w:val="334E2B10"/>
    <w:rsid w:val="335B32D0"/>
    <w:rsid w:val="338D5193"/>
    <w:rsid w:val="33944C88"/>
    <w:rsid w:val="339A6860"/>
    <w:rsid w:val="33A3621B"/>
    <w:rsid w:val="33D1366F"/>
    <w:rsid w:val="33D23C1C"/>
    <w:rsid w:val="33D9318C"/>
    <w:rsid w:val="33E47652"/>
    <w:rsid w:val="33F84719"/>
    <w:rsid w:val="33FE6DB1"/>
    <w:rsid w:val="3403693D"/>
    <w:rsid w:val="343D19BC"/>
    <w:rsid w:val="34511E57"/>
    <w:rsid w:val="345B07DB"/>
    <w:rsid w:val="34602BF4"/>
    <w:rsid w:val="3461567F"/>
    <w:rsid w:val="346B13B4"/>
    <w:rsid w:val="34784159"/>
    <w:rsid w:val="34834764"/>
    <w:rsid w:val="34864294"/>
    <w:rsid w:val="348A089D"/>
    <w:rsid w:val="349419A1"/>
    <w:rsid w:val="34954270"/>
    <w:rsid w:val="34AF7F0F"/>
    <w:rsid w:val="34BF3CD1"/>
    <w:rsid w:val="34ED489E"/>
    <w:rsid w:val="34F75FCE"/>
    <w:rsid w:val="34FB56A9"/>
    <w:rsid w:val="34FF0821"/>
    <w:rsid w:val="350E66D5"/>
    <w:rsid w:val="35125D28"/>
    <w:rsid w:val="352552E3"/>
    <w:rsid w:val="35292E4E"/>
    <w:rsid w:val="352A6222"/>
    <w:rsid w:val="3552741C"/>
    <w:rsid w:val="35543CEB"/>
    <w:rsid w:val="3575320F"/>
    <w:rsid w:val="35880003"/>
    <w:rsid w:val="358B37A9"/>
    <w:rsid w:val="35957E0B"/>
    <w:rsid w:val="35AF5004"/>
    <w:rsid w:val="35B00755"/>
    <w:rsid w:val="35C672EF"/>
    <w:rsid w:val="35D37514"/>
    <w:rsid w:val="36031236"/>
    <w:rsid w:val="360432C6"/>
    <w:rsid w:val="361643BC"/>
    <w:rsid w:val="3635517E"/>
    <w:rsid w:val="365D70AD"/>
    <w:rsid w:val="367C41EA"/>
    <w:rsid w:val="368708DF"/>
    <w:rsid w:val="368E4B68"/>
    <w:rsid w:val="36BB53A8"/>
    <w:rsid w:val="36BE5E23"/>
    <w:rsid w:val="36BF5033"/>
    <w:rsid w:val="36E30215"/>
    <w:rsid w:val="36FF448C"/>
    <w:rsid w:val="37046530"/>
    <w:rsid w:val="372C5176"/>
    <w:rsid w:val="373107F6"/>
    <w:rsid w:val="37371245"/>
    <w:rsid w:val="374970B3"/>
    <w:rsid w:val="374F1BF5"/>
    <w:rsid w:val="375607F8"/>
    <w:rsid w:val="375C07E0"/>
    <w:rsid w:val="378620B5"/>
    <w:rsid w:val="37896CF9"/>
    <w:rsid w:val="379301A5"/>
    <w:rsid w:val="37D5200F"/>
    <w:rsid w:val="37DB6D52"/>
    <w:rsid w:val="37E6048F"/>
    <w:rsid w:val="37EC3B69"/>
    <w:rsid w:val="37EF0D21"/>
    <w:rsid w:val="37F0245C"/>
    <w:rsid w:val="38097EDE"/>
    <w:rsid w:val="380C7A67"/>
    <w:rsid w:val="38351594"/>
    <w:rsid w:val="383B7389"/>
    <w:rsid w:val="383C1711"/>
    <w:rsid w:val="38413AE0"/>
    <w:rsid w:val="386E6D96"/>
    <w:rsid w:val="387434A8"/>
    <w:rsid w:val="387C333D"/>
    <w:rsid w:val="3881462B"/>
    <w:rsid w:val="389D76B7"/>
    <w:rsid w:val="38A87967"/>
    <w:rsid w:val="38B14AD4"/>
    <w:rsid w:val="38BE4D8A"/>
    <w:rsid w:val="38D73CFB"/>
    <w:rsid w:val="38D96215"/>
    <w:rsid w:val="38DC3260"/>
    <w:rsid w:val="390E1E02"/>
    <w:rsid w:val="3915015C"/>
    <w:rsid w:val="392628AE"/>
    <w:rsid w:val="392751D2"/>
    <w:rsid w:val="39406108"/>
    <w:rsid w:val="39497683"/>
    <w:rsid w:val="39695EA8"/>
    <w:rsid w:val="397A53E5"/>
    <w:rsid w:val="398B6386"/>
    <w:rsid w:val="39A668D6"/>
    <w:rsid w:val="39BE3330"/>
    <w:rsid w:val="39C35DCF"/>
    <w:rsid w:val="39C728BC"/>
    <w:rsid w:val="39D57530"/>
    <w:rsid w:val="3A0674A4"/>
    <w:rsid w:val="3A0D43C8"/>
    <w:rsid w:val="3A1362FF"/>
    <w:rsid w:val="3A28763D"/>
    <w:rsid w:val="3A40613F"/>
    <w:rsid w:val="3A475A72"/>
    <w:rsid w:val="3A4A0105"/>
    <w:rsid w:val="3A5272F0"/>
    <w:rsid w:val="3A5D320E"/>
    <w:rsid w:val="3A6E4CBE"/>
    <w:rsid w:val="3A734C3F"/>
    <w:rsid w:val="3A880C34"/>
    <w:rsid w:val="3A8B11DE"/>
    <w:rsid w:val="3AAC7568"/>
    <w:rsid w:val="3AB12744"/>
    <w:rsid w:val="3AF15D15"/>
    <w:rsid w:val="3AF71F37"/>
    <w:rsid w:val="3AFB7764"/>
    <w:rsid w:val="3AFE2B26"/>
    <w:rsid w:val="3AFF1AE7"/>
    <w:rsid w:val="3B0566D6"/>
    <w:rsid w:val="3B0D7B4F"/>
    <w:rsid w:val="3B1E39AD"/>
    <w:rsid w:val="3B1F1BAD"/>
    <w:rsid w:val="3B314084"/>
    <w:rsid w:val="3B400C2A"/>
    <w:rsid w:val="3B4902C5"/>
    <w:rsid w:val="3B491FFF"/>
    <w:rsid w:val="3B576456"/>
    <w:rsid w:val="3B5A5BE4"/>
    <w:rsid w:val="3B676B03"/>
    <w:rsid w:val="3B705648"/>
    <w:rsid w:val="3B853139"/>
    <w:rsid w:val="3B8B3101"/>
    <w:rsid w:val="3B99017C"/>
    <w:rsid w:val="3B9B4AB5"/>
    <w:rsid w:val="3B9D0916"/>
    <w:rsid w:val="3B9E48BA"/>
    <w:rsid w:val="3BB05953"/>
    <w:rsid w:val="3BC11D04"/>
    <w:rsid w:val="3BC34FD9"/>
    <w:rsid w:val="3BC56483"/>
    <w:rsid w:val="3BCB62E9"/>
    <w:rsid w:val="3BCF25C4"/>
    <w:rsid w:val="3BDB41B0"/>
    <w:rsid w:val="3BE12916"/>
    <w:rsid w:val="3BEC5070"/>
    <w:rsid w:val="3BF61A45"/>
    <w:rsid w:val="3BFC0ABB"/>
    <w:rsid w:val="3BFE1F4A"/>
    <w:rsid w:val="3C207D13"/>
    <w:rsid w:val="3C3B203F"/>
    <w:rsid w:val="3C3C316B"/>
    <w:rsid w:val="3C514A37"/>
    <w:rsid w:val="3C5C3D07"/>
    <w:rsid w:val="3C5E7F90"/>
    <w:rsid w:val="3C756E3E"/>
    <w:rsid w:val="3C7C153C"/>
    <w:rsid w:val="3C802B2B"/>
    <w:rsid w:val="3C8214A5"/>
    <w:rsid w:val="3C836BC3"/>
    <w:rsid w:val="3CA06481"/>
    <w:rsid w:val="3CA52204"/>
    <w:rsid w:val="3CAE6D48"/>
    <w:rsid w:val="3CB44FCF"/>
    <w:rsid w:val="3CE547C2"/>
    <w:rsid w:val="3CF9519B"/>
    <w:rsid w:val="3D0A7808"/>
    <w:rsid w:val="3D0E3359"/>
    <w:rsid w:val="3D1B69F5"/>
    <w:rsid w:val="3D265052"/>
    <w:rsid w:val="3D3B6738"/>
    <w:rsid w:val="3D42011F"/>
    <w:rsid w:val="3D6E3256"/>
    <w:rsid w:val="3D80309E"/>
    <w:rsid w:val="3D9C3270"/>
    <w:rsid w:val="3DCC4131"/>
    <w:rsid w:val="3DD07E50"/>
    <w:rsid w:val="3DF90A01"/>
    <w:rsid w:val="3E0878BC"/>
    <w:rsid w:val="3E0C4F21"/>
    <w:rsid w:val="3E122E4D"/>
    <w:rsid w:val="3E136A36"/>
    <w:rsid w:val="3E160C8A"/>
    <w:rsid w:val="3E171CB9"/>
    <w:rsid w:val="3E2312D7"/>
    <w:rsid w:val="3E387F22"/>
    <w:rsid w:val="3E40319B"/>
    <w:rsid w:val="3E570181"/>
    <w:rsid w:val="3E812F4E"/>
    <w:rsid w:val="3E836939"/>
    <w:rsid w:val="3E8454A0"/>
    <w:rsid w:val="3E930956"/>
    <w:rsid w:val="3E9A677D"/>
    <w:rsid w:val="3EC0465A"/>
    <w:rsid w:val="3EC771AC"/>
    <w:rsid w:val="3ECB2DBD"/>
    <w:rsid w:val="3ECD05CA"/>
    <w:rsid w:val="3EDC3C7D"/>
    <w:rsid w:val="3EE4627D"/>
    <w:rsid w:val="3EFD11FA"/>
    <w:rsid w:val="3F0C53C6"/>
    <w:rsid w:val="3F1E6A7C"/>
    <w:rsid w:val="3F2102B1"/>
    <w:rsid w:val="3F210EC9"/>
    <w:rsid w:val="3F27793E"/>
    <w:rsid w:val="3F2B7A13"/>
    <w:rsid w:val="3F335F63"/>
    <w:rsid w:val="3F483382"/>
    <w:rsid w:val="3F571E72"/>
    <w:rsid w:val="3F596CF5"/>
    <w:rsid w:val="3F650911"/>
    <w:rsid w:val="3FA60E7C"/>
    <w:rsid w:val="3FC43688"/>
    <w:rsid w:val="3FC5258F"/>
    <w:rsid w:val="3FCE1901"/>
    <w:rsid w:val="3FF33B69"/>
    <w:rsid w:val="3FFC3900"/>
    <w:rsid w:val="4009429C"/>
    <w:rsid w:val="402970A9"/>
    <w:rsid w:val="40417811"/>
    <w:rsid w:val="404F6E14"/>
    <w:rsid w:val="405B2791"/>
    <w:rsid w:val="40606C2F"/>
    <w:rsid w:val="407B1A4D"/>
    <w:rsid w:val="408049E1"/>
    <w:rsid w:val="408137B6"/>
    <w:rsid w:val="408A2B7E"/>
    <w:rsid w:val="409D3C6E"/>
    <w:rsid w:val="40A64900"/>
    <w:rsid w:val="40AB1595"/>
    <w:rsid w:val="40AF007F"/>
    <w:rsid w:val="40BF627F"/>
    <w:rsid w:val="40C81049"/>
    <w:rsid w:val="40CE0ED0"/>
    <w:rsid w:val="40E10A8C"/>
    <w:rsid w:val="410D6A4B"/>
    <w:rsid w:val="410F6A02"/>
    <w:rsid w:val="411141F8"/>
    <w:rsid w:val="41291E14"/>
    <w:rsid w:val="414413B8"/>
    <w:rsid w:val="41465FC8"/>
    <w:rsid w:val="414A7CB0"/>
    <w:rsid w:val="4156445A"/>
    <w:rsid w:val="416A10A3"/>
    <w:rsid w:val="417A5FF0"/>
    <w:rsid w:val="41826AE7"/>
    <w:rsid w:val="418402D9"/>
    <w:rsid w:val="418F7DB9"/>
    <w:rsid w:val="419B175C"/>
    <w:rsid w:val="41B67136"/>
    <w:rsid w:val="41D72072"/>
    <w:rsid w:val="41F528B8"/>
    <w:rsid w:val="41FA48BA"/>
    <w:rsid w:val="421D53C4"/>
    <w:rsid w:val="4228529E"/>
    <w:rsid w:val="422D25F9"/>
    <w:rsid w:val="42307F0D"/>
    <w:rsid w:val="423546AB"/>
    <w:rsid w:val="424D7A5D"/>
    <w:rsid w:val="42516D59"/>
    <w:rsid w:val="42625183"/>
    <w:rsid w:val="426B045B"/>
    <w:rsid w:val="42760EAB"/>
    <w:rsid w:val="42807E2C"/>
    <w:rsid w:val="42874D2A"/>
    <w:rsid w:val="428A21A6"/>
    <w:rsid w:val="428B390F"/>
    <w:rsid w:val="42966D5D"/>
    <w:rsid w:val="429D0D37"/>
    <w:rsid w:val="42AB1075"/>
    <w:rsid w:val="42B03B3D"/>
    <w:rsid w:val="42B23D5F"/>
    <w:rsid w:val="42D17CD5"/>
    <w:rsid w:val="42DB2D12"/>
    <w:rsid w:val="42DD389C"/>
    <w:rsid w:val="42DE2AAC"/>
    <w:rsid w:val="42F94AE0"/>
    <w:rsid w:val="43086A11"/>
    <w:rsid w:val="43087C4A"/>
    <w:rsid w:val="431471CA"/>
    <w:rsid w:val="432C0C29"/>
    <w:rsid w:val="433520F6"/>
    <w:rsid w:val="433C731A"/>
    <w:rsid w:val="433E1A96"/>
    <w:rsid w:val="43664B49"/>
    <w:rsid w:val="436D590E"/>
    <w:rsid w:val="43816903"/>
    <w:rsid w:val="43941D03"/>
    <w:rsid w:val="43A64235"/>
    <w:rsid w:val="43A8691C"/>
    <w:rsid w:val="43B31BF9"/>
    <w:rsid w:val="43C50F67"/>
    <w:rsid w:val="43D33898"/>
    <w:rsid w:val="43D94BB8"/>
    <w:rsid w:val="43EA0F1F"/>
    <w:rsid w:val="43EE116D"/>
    <w:rsid w:val="43F65F5C"/>
    <w:rsid w:val="43FF315E"/>
    <w:rsid w:val="440B77FD"/>
    <w:rsid w:val="440D7164"/>
    <w:rsid w:val="441D50EC"/>
    <w:rsid w:val="4426056C"/>
    <w:rsid w:val="44330DA2"/>
    <w:rsid w:val="44337092"/>
    <w:rsid w:val="4436153A"/>
    <w:rsid w:val="44363141"/>
    <w:rsid w:val="443F4C85"/>
    <w:rsid w:val="44515DC7"/>
    <w:rsid w:val="4454229E"/>
    <w:rsid w:val="445E05A4"/>
    <w:rsid w:val="44626645"/>
    <w:rsid w:val="44690EA9"/>
    <w:rsid w:val="449648D0"/>
    <w:rsid w:val="44986654"/>
    <w:rsid w:val="449B7DBF"/>
    <w:rsid w:val="44DC29EB"/>
    <w:rsid w:val="44DD1A31"/>
    <w:rsid w:val="44F73CE5"/>
    <w:rsid w:val="44F84650"/>
    <w:rsid w:val="44FD4940"/>
    <w:rsid w:val="450C60C9"/>
    <w:rsid w:val="452615A5"/>
    <w:rsid w:val="452911C3"/>
    <w:rsid w:val="453110FA"/>
    <w:rsid w:val="45380EAE"/>
    <w:rsid w:val="454C6201"/>
    <w:rsid w:val="454E0A80"/>
    <w:rsid w:val="45607318"/>
    <w:rsid w:val="456848E6"/>
    <w:rsid w:val="456B0E9A"/>
    <w:rsid w:val="457A56BB"/>
    <w:rsid w:val="457F0835"/>
    <w:rsid w:val="4587221E"/>
    <w:rsid w:val="45901F42"/>
    <w:rsid w:val="45BD1FBC"/>
    <w:rsid w:val="45C86488"/>
    <w:rsid w:val="45CD3F04"/>
    <w:rsid w:val="45D40490"/>
    <w:rsid w:val="45D4449A"/>
    <w:rsid w:val="45D75901"/>
    <w:rsid w:val="45DC4C85"/>
    <w:rsid w:val="45DD1704"/>
    <w:rsid w:val="45DE6F05"/>
    <w:rsid w:val="45ED2C31"/>
    <w:rsid w:val="45F11042"/>
    <w:rsid w:val="460652C7"/>
    <w:rsid w:val="46091005"/>
    <w:rsid w:val="46383D12"/>
    <w:rsid w:val="464F6AD1"/>
    <w:rsid w:val="465E7D59"/>
    <w:rsid w:val="466573DB"/>
    <w:rsid w:val="466B6068"/>
    <w:rsid w:val="4670684F"/>
    <w:rsid w:val="467F6055"/>
    <w:rsid w:val="46914468"/>
    <w:rsid w:val="46992809"/>
    <w:rsid w:val="46AB11F1"/>
    <w:rsid w:val="46B74038"/>
    <w:rsid w:val="46D34DBD"/>
    <w:rsid w:val="46DD5893"/>
    <w:rsid w:val="46E121E3"/>
    <w:rsid w:val="46E804A0"/>
    <w:rsid w:val="46F705B5"/>
    <w:rsid w:val="47182C2B"/>
    <w:rsid w:val="471C2E4A"/>
    <w:rsid w:val="471E4A10"/>
    <w:rsid w:val="47283607"/>
    <w:rsid w:val="47365880"/>
    <w:rsid w:val="473E2208"/>
    <w:rsid w:val="474156B1"/>
    <w:rsid w:val="47470C00"/>
    <w:rsid w:val="47617BC5"/>
    <w:rsid w:val="47726B9D"/>
    <w:rsid w:val="47754A35"/>
    <w:rsid w:val="477570E2"/>
    <w:rsid w:val="477804F9"/>
    <w:rsid w:val="47A54B82"/>
    <w:rsid w:val="47B34FC5"/>
    <w:rsid w:val="47B55A11"/>
    <w:rsid w:val="47C1116A"/>
    <w:rsid w:val="47DB0AEF"/>
    <w:rsid w:val="47ED3E2A"/>
    <w:rsid w:val="482468EA"/>
    <w:rsid w:val="48256827"/>
    <w:rsid w:val="48426317"/>
    <w:rsid w:val="48427ACE"/>
    <w:rsid w:val="4848607E"/>
    <w:rsid w:val="48504E40"/>
    <w:rsid w:val="485275A0"/>
    <w:rsid w:val="486D3064"/>
    <w:rsid w:val="486E2084"/>
    <w:rsid w:val="48945CB4"/>
    <w:rsid w:val="489D1D0E"/>
    <w:rsid w:val="48A10C08"/>
    <w:rsid w:val="48AE76E2"/>
    <w:rsid w:val="48B7515A"/>
    <w:rsid w:val="48BB4EC6"/>
    <w:rsid w:val="48C267D2"/>
    <w:rsid w:val="48CD6A98"/>
    <w:rsid w:val="48DB2CE5"/>
    <w:rsid w:val="48DD1AEA"/>
    <w:rsid w:val="48ED73F7"/>
    <w:rsid w:val="494D34B4"/>
    <w:rsid w:val="49531DF8"/>
    <w:rsid w:val="496421BE"/>
    <w:rsid w:val="497854A4"/>
    <w:rsid w:val="499B4C71"/>
    <w:rsid w:val="499E5BE3"/>
    <w:rsid w:val="49B8210F"/>
    <w:rsid w:val="49BB234A"/>
    <w:rsid w:val="49C63487"/>
    <w:rsid w:val="49DD4B67"/>
    <w:rsid w:val="49E60E0F"/>
    <w:rsid w:val="49E65861"/>
    <w:rsid w:val="4A01680F"/>
    <w:rsid w:val="4A0270C9"/>
    <w:rsid w:val="4A047EDF"/>
    <w:rsid w:val="4A3E42B1"/>
    <w:rsid w:val="4A531EA6"/>
    <w:rsid w:val="4A540A2C"/>
    <w:rsid w:val="4A583F0B"/>
    <w:rsid w:val="4A5D08DF"/>
    <w:rsid w:val="4A7A41D7"/>
    <w:rsid w:val="4A807380"/>
    <w:rsid w:val="4A840EEF"/>
    <w:rsid w:val="4A8B1860"/>
    <w:rsid w:val="4A946414"/>
    <w:rsid w:val="4A955A6C"/>
    <w:rsid w:val="4A982852"/>
    <w:rsid w:val="4AAE2BCA"/>
    <w:rsid w:val="4ABD4214"/>
    <w:rsid w:val="4AFA208B"/>
    <w:rsid w:val="4B0A3310"/>
    <w:rsid w:val="4B186354"/>
    <w:rsid w:val="4B20492F"/>
    <w:rsid w:val="4B3576CB"/>
    <w:rsid w:val="4B3D1E78"/>
    <w:rsid w:val="4B444FB2"/>
    <w:rsid w:val="4B595064"/>
    <w:rsid w:val="4B672180"/>
    <w:rsid w:val="4B6E1D26"/>
    <w:rsid w:val="4B807E8F"/>
    <w:rsid w:val="4B920889"/>
    <w:rsid w:val="4B996870"/>
    <w:rsid w:val="4BA46E08"/>
    <w:rsid w:val="4BBE7AF0"/>
    <w:rsid w:val="4BC73B78"/>
    <w:rsid w:val="4BC77460"/>
    <w:rsid w:val="4BCF201E"/>
    <w:rsid w:val="4BDC1A12"/>
    <w:rsid w:val="4BE732F2"/>
    <w:rsid w:val="4C0D46FC"/>
    <w:rsid w:val="4C4C4528"/>
    <w:rsid w:val="4C510A38"/>
    <w:rsid w:val="4C573346"/>
    <w:rsid w:val="4C6435A9"/>
    <w:rsid w:val="4C6F418B"/>
    <w:rsid w:val="4C82601B"/>
    <w:rsid w:val="4C8330E1"/>
    <w:rsid w:val="4C885559"/>
    <w:rsid w:val="4C8E77FD"/>
    <w:rsid w:val="4CA14226"/>
    <w:rsid w:val="4CAD6AA6"/>
    <w:rsid w:val="4CAF216E"/>
    <w:rsid w:val="4CB058CB"/>
    <w:rsid w:val="4CB620E8"/>
    <w:rsid w:val="4CB90C56"/>
    <w:rsid w:val="4CBD1C7E"/>
    <w:rsid w:val="4CD5793B"/>
    <w:rsid w:val="4CD80E01"/>
    <w:rsid w:val="4CDE02B9"/>
    <w:rsid w:val="4CFB5C1C"/>
    <w:rsid w:val="4D0F78F1"/>
    <w:rsid w:val="4D4D0E1D"/>
    <w:rsid w:val="4D4D4426"/>
    <w:rsid w:val="4D4E796F"/>
    <w:rsid w:val="4D4F6EEF"/>
    <w:rsid w:val="4D5D085A"/>
    <w:rsid w:val="4D807194"/>
    <w:rsid w:val="4D9438AB"/>
    <w:rsid w:val="4D995F1E"/>
    <w:rsid w:val="4DC75FAC"/>
    <w:rsid w:val="4DCD3B45"/>
    <w:rsid w:val="4DD32B18"/>
    <w:rsid w:val="4DD521DA"/>
    <w:rsid w:val="4DE407A5"/>
    <w:rsid w:val="4DEC558E"/>
    <w:rsid w:val="4DF22D5D"/>
    <w:rsid w:val="4E042BDF"/>
    <w:rsid w:val="4E0E54C5"/>
    <w:rsid w:val="4E1227F0"/>
    <w:rsid w:val="4E2D7430"/>
    <w:rsid w:val="4E332B5E"/>
    <w:rsid w:val="4E487814"/>
    <w:rsid w:val="4E4F6905"/>
    <w:rsid w:val="4E8A7219"/>
    <w:rsid w:val="4E997E3B"/>
    <w:rsid w:val="4E9B5FEF"/>
    <w:rsid w:val="4ECE0CD5"/>
    <w:rsid w:val="4ED22A57"/>
    <w:rsid w:val="4ED92E23"/>
    <w:rsid w:val="4EE514E1"/>
    <w:rsid w:val="4EE964BF"/>
    <w:rsid w:val="4F0B12EB"/>
    <w:rsid w:val="4F306048"/>
    <w:rsid w:val="4F313C6F"/>
    <w:rsid w:val="4F416BC0"/>
    <w:rsid w:val="4F4B17C3"/>
    <w:rsid w:val="4F5545D7"/>
    <w:rsid w:val="4F6A2B78"/>
    <w:rsid w:val="4F762AE3"/>
    <w:rsid w:val="4F8C33D2"/>
    <w:rsid w:val="4F9F3258"/>
    <w:rsid w:val="4F9F3566"/>
    <w:rsid w:val="4FAF0352"/>
    <w:rsid w:val="4FB3614F"/>
    <w:rsid w:val="4FB82BD0"/>
    <w:rsid w:val="4FBC4B75"/>
    <w:rsid w:val="4FF11CEF"/>
    <w:rsid w:val="4FFA0AF3"/>
    <w:rsid w:val="502B58CD"/>
    <w:rsid w:val="503324EC"/>
    <w:rsid w:val="503E4E84"/>
    <w:rsid w:val="50432740"/>
    <w:rsid w:val="504D48EB"/>
    <w:rsid w:val="506177CB"/>
    <w:rsid w:val="506D1CE6"/>
    <w:rsid w:val="50756606"/>
    <w:rsid w:val="507C3FF5"/>
    <w:rsid w:val="50950193"/>
    <w:rsid w:val="50B535BC"/>
    <w:rsid w:val="50B82E88"/>
    <w:rsid w:val="50C3182D"/>
    <w:rsid w:val="50C32A0E"/>
    <w:rsid w:val="50C866AA"/>
    <w:rsid w:val="50D05E44"/>
    <w:rsid w:val="50D530A4"/>
    <w:rsid w:val="50D7600E"/>
    <w:rsid w:val="50DB448D"/>
    <w:rsid w:val="50E5416E"/>
    <w:rsid w:val="511E7282"/>
    <w:rsid w:val="516548A9"/>
    <w:rsid w:val="51772D88"/>
    <w:rsid w:val="517C6CD3"/>
    <w:rsid w:val="5180691B"/>
    <w:rsid w:val="518220A6"/>
    <w:rsid w:val="519679D9"/>
    <w:rsid w:val="51995C67"/>
    <w:rsid w:val="51D53DE8"/>
    <w:rsid w:val="51E23E78"/>
    <w:rsid w:val="51E64A93"/>
    <w:rsid w:val="51E963CB"/>
    <w:rsid w:val="520170F5"/>
    <w:rsid w:val="52123177"/>
    <w:rsid w:val="521F4AC1"/>
    <w:rsid w:val="522B490F"/>
    <w:rsid w:val="522C4379"/>
    <w:rsid w:val="52315D30"/>
    <w:rsid w:val="524E2361"/>
    <w:rsid w:val="52985353"/>
    <w:rsid w:val="529F24A2"/>
    <w:rsid w:val="52AA7CFA"/>
    <w:rsid w:val="52B171E6"/>
    <w:rsid w:val="52BC4786"/>
    <w:rsid w:val="52DB122A"/>
    <w:rsid w:val="52E13D67"/>
    <w:rsid w:val="52E27A56"/>
    <w:rsid w:val="52E80195"/>
    <w:rsid w:val="52E82C9B"/>
    <w:rsid w:val="52E846A6"/>
    <w:rsid w:val="52F64BDB"/>
    <w:rsid w:val="531D3476"/>
    <w:rsid w:val="532129F8"/>
    <w:rsid w:val="533233B6"/>
    <w:rsid w:val="5333575C"/>
    <w:rsid w:val="53431BBB"/>
    <w:rsid w:val="5345258D"/>
    <w:rsid w:val="534E32E5"/>
    <w:rsid w:val="53501C8A"/>
    <w:rsid w:val="537C2D95"/>
    <w:rsid w:val="53921F79"/>
    <w:rsid w:val="53942A5B"/>
    <w:rsid w:val="539A0A2E"/>
    <w:rsid w:val="539B0D65"/>
    <w:rsid w:val="539C7BB1"/>
    <w:rsid w:val="53A254EF"/>
    <w:rsid w:val="53B74C02"/>
    <w:rsid w:val="53C63F53"/>
    <w:rsid w:val="53CA60F3"/>
    <w:rsid w:val="53E37A46"/>
    <w:rsid w:val="53E60B87"/>
    <w:rsid w:val="53E813CD"/>
    <w:rsid w:val="54147818"/>
    <w:rsid w:val="54284D48"/>
    <w:rsid w:val="542C0D25"/>
    <w:rsid w:val="543036B4"/>
    <w:rsid w:val="54507C6E"/>
    <w:rsid w:val="54523FAB"/>
    <w:rsid w:val="54606D4B"/>
    <w:rsid w:val="546F563B"/>
    <w:rsid w:val="54737B83"/>
    <w:rsid w:val="54767A69"/>
    <w:rsid w:val="54771DDB"/>
    <w:rsid w:val="54800851"/>
    <w:rsid w:val="548D1DAF"/>
    <w:rsid w:val="549239F0"/>
    <w:rsid w:val="549E6667"/>
    <w:rsid w:val="54B83081"/>
    <w:rsid w:val="54C811C0"/>
    <w:rsid w:val="54CD7213"/>
    <w:rsid w:val="54D27679"/>
    <w:rsid w:val="54FA20B3"/>
    <w:rsid w:val="552D41F8"/>
    <w:rsid w:val="5530235E"/>
    <w:rsid w:val="553A11F2"/>
    <w:rsid w:val="554A1014"/>
    <w:rsid w:val="554D547D"/>
    <w:rsid w:val="555812FC"/>
    <w:rsid w:val="558504DB"/>
    <w:rsid w:val="5599207C"/>
    <w:rsid w:val="55BA23F6"/>
    <w:rsid w:val="55C17A4A"/>
    <w:rsid w:val="55C776A4"/>
    <w:rsid w:val="55C86FE2"/>
    <w:rsid w:val="55D93944"/>
    <w:rsid w:val="55E0012B"/>
    <w:rsid w:val="55E1095C"/>
    <w:rsid w:val="55E22738"/>
    <w:rsid w:val="55E53654"/>
    <w:rsid w:val="55F16398"/>
    <w:rsid w:val="55F66200"/>
    <w:rsid w:val="55FA5978"/>
    <w:rsid w:val="560471D1"/>
    <w:rsid w:val="5620288D"/>
    <w:rsid w:val="56262D0A"/>
    <w:rsid w:val="562F094C"/>
    <w:rsid w:val="56303DF0"/>
    <w:rsid w:val="563C241F"/>
    <w:rsid w:val="5645459C"/>
    <w:rsid w:val="564845D6"/>
    <w:rsid w:val="56497A16"/>
    <w:rsid w:val="564B1CD3"/>
    <w:rsid w:val="56523972"/>
    <w:rsid w:val="56526786"/>
    <w:rsid w:val="568D4159"/>
    <w:rsid w:val="569017FC"/>
    <w:rsid w:val="56AA326E"/>
    <w:rsid w:val="56B557FE"/>
    <w:rsid w:val="56B86A4A"/>
    <w:rsid w:val="56C90586"/>
    <w:rsid w:val="56D20E62"/>
    <w:rsid w:val="56E53FAA"/>
    <w:rsid w:val="56F15FB4"/>
    <w:rsid w:val="57032FAA"/>
    <w:rsid w:val="57083A80"/>
    <w:rsid w:val="570F4518"/>
    <w:rsid w:val="57101FBF"/>
    <w:rsid w:val="57192727"/>
    <w:rsid w:val="572C1D0F"/>
    <w:rsid w:val="572E2ABD"/>
    <w:rsid w:val="57393751"/>
    <w:rsid w:val="57511B9A"/>
    <w:rsid w:val="57537352"/>
    <w:rsid w:val="575B1004"/>
    <w:rsid w:val="5771718C"/>
    <w:rsid w:val="577D318D"/>
    <w:rsid w:val="5791578D"/>
    <w:rsid w:val="57986AAA"/>
    <w:rsid w:val="57A273D9"/>
    <w:rsid w:val="57AF5A40"/>
    <w:rsid w:val="57C97408"/>
    <w:rsid w:val="57D4123A"/>
    <w:rsid w:val="57EC1C9C"/>
    <w:rsid w:val="58022941"/>
    <w:rsid w:val="580632C8"/>
    <w:rsid w:val="580A59C7"/>
    <w:rsid w:val="580C02FC"/>
    <w:rsid w:val="58277B25"/>
    <w:rsid w:val="5830410B"/>
    <w:rsid w:val="58310F67"/>
    <w:rsid w:val="583A1FAC"/>
    <w:rsid w:val="583E68FD"/>
    <w:rsid w:val="5846711A"/>
    <w:rsid w:val="58553838"/>
    <w:rsid w:val="585A1073"/>
    <w:rsid w:val="585D5C86"/>
    <w:rsid w:val="587E5B83"/>
    <w:rsid w:val="588C01E0"/>
    <w:rsid w:val="589A6EED"/>
    <w:rsid w:val="58A54D70"/>
    <w:rsid w:val="58BE78AD"/>
    <w:rsid w:val="58CA70BC"/>
    <w:rsid w:val="58CF664E"/>
    <w:rsid w:val="58D161EE"/>
    <w:rsid w:val="58DC20DE"/>
    <w:rsid w:val="58E56323"/>
    <w:rsid w:val="58EC223F"/>
    <w:rsid w:val="58ED1D81"/>
    <w:rsid w:val="58ED6689"/>
    <w:rsid w:val="59031290"/>
    <w:rsid w:val="590F1BC4"/>
    <w:rsid w:val="5919022D"/>
    <w:rsid w:val="591D661A"/>
    <w:rsid w:val="592A6680"/>
    <w:rsid w:val="59402032"/>
    <w:rsid w:val="59464947"/>
    <w:rsid w:val="594A6B94"/>
    <w:rsid w:val="594D270F"/>
    <w:rsid w:val="595405FB"/>
    <w:rsid w:val="59797E10"/>
    <w:rsid w:val="598007BD"/>
    <w:rsid w:val="59821BF3"/>
    <w:rsid w:val="59831117"/>
    <w:rsid w:val="599D1711"/>
    <w:rsid w:val="59A32903"/>
    <w:rsid w:val="59B25B64"/>
    <w:rsid w:val="59B65B0A"/>
    <w:rsid w:val="59DD38F5"/>
    <w:rsid w:val="59E72771"/>
    <w:rsid w:val="59EF4473"/>
    <w:rsid w:val="59FB19D7"/>
    <w:rsid w:val="59FC1DF4"/>
    <w:rsid w:val="5A0170D0"/>
    <w:rsid w:val="5A207B2C"/>
    <w:rsid w:val="5A2D57D7"/>
    <w:rsid w:val="5A3C0B29"/>
    <w:rsid w:val="5A4D5D2C"/>
    <w:rsid w:val="5A556EDF"/>
    <w:rsid w:val="5A5D1EE9"/>
    <w:rsid w:val="5A646519"/>
    <w:rsid w:val="5A6E4321"/>
    <w:rsid w:val="5A6F07AD"/>
    <w:rsid w:val="5A743B23"/>
    <w:rsid w:val="5A786D03"/>
    <w:rsid w:val="5A8810C1"/>
    <w:rsid w:val="5A953CA8"/>
    <w:rsid w:val="5AA20354"/>
    <w:rsid w:val="5AA4013C"/>
    <w:rsid w:val="5AAA217B"/>
    <w:rsid w:val="5ADD173D"/>
    <w:rsid w:val="5B1D4B5D"/>
    <w:rsid w:val="5B245381"/>
    <w:rsid w:val="5B266B67"/>
    <w:rsid w:val="5B3F2FF5"/>
    <w:rsid w:val="5BA004B1"/>
    <w:rsid w:val="5BA64A59"/>
    <w:rsid w:val="5BB42013"/>
    <w:rsid w:val="5BC71BFF"/>
    <w:rsid w:val="5BCE3661"/>
    <w:rsid w:val="5BDE4B2E"/>
    <w:rsid w:val="5BE6497C"/>
    <w:rsid w:val="5BF53D6D"/>
    <w:rsid w:val="5BF66452"/>
    <w:rsid w:val="5BFE2754"/>
    <w:rsid w:val="5C00251E"/>
    <w:rsid w:val="5C0C5517"/>
    <w:rsid w:val="5C105DB6"/>
    <w:rsid w:val="5C243A94"/>
    <w:rsid w:val="5C362DC6"/>
    <w:rsid w:val="5C513933"/>
    <w:rsid w:val="5C684A5F"/>
    <w:rsid w:val="5C6C2D78"/>
    <w:rsid w:val="5C7C22C9"/>
    <w:rsid w:val="5C7E45B0"/>
    <w:rsid w:val="5CCB049C"/>
    <w:rsid w:val="5CD246B1"/>
    <w:rsid w:val="5D104C52"/>
    <w:rsid w:val="5D1610E5"/>
    <w:rsid w:val="5D1F134D"/>
    <w:rsid w:val="5D225E96"/>
    <w:rsid w:val="5D5479DF"/>
    <w:rsid w:val="5D8B235F"/>
    <w:rsid w:val="5D935CC9"/>
    <w:rsid w:val="5D9929C5"/>
    <w:rsid w:val="5DA1690A"/>
    <w:rsid w:val="5DA344BD"/>
    <w:rsid w:val="5DAB1604"/>
    <w:rsid w:val="5DAC7F7B"/>
    <w:rsid w:val="5DC00E21"/>
    <w:rsid w:val="5DEF4991"/>
    <w:rsid w:val="5E004546"/>
    <w:rsid w:val="5E223849"/>
    <w:rsid w:val="5E31684C"/>
    <w:rsid w:val="5E52320C"/>
    <w:rsid w:val="5E64188D"/>
    <w:rsid w:val="5E6B6BD9"/>
    <w:rsid w:val="5E9D2BEC"/>
    <w:rsid w:val="5EB805C9"/>
    <w:rsid w:val="5EEC5CE5"/>
    <w:rsid w:val="5EF731E5"/>
    <w:rsid w:val="5F004E6E"/>
    <w:rsid w:val="5F010358"/>
    <w:rsid w:val="5F095904"/>
    <w:rsid w:val="5F1B299E"/>
    <w:rsid w:val="5F232B8A"/>
    <w:rsid w:val="5F285753"/>
    <w:rsid w:val="5F3B01E3"/>
    <w:rsid w:val="5F3D041A"/>
    <w:rsid w:val="5F416DD5"/>
    <w:rsid w:val="5F454D59"/>
    <w:rsid w:val="5F4F0951"/>
    <w:rsid w:val="5F660454"/>
    <w:rsid w:val="5F89663A"/>
    <w:rsid w:val="5FA25FD2"/>
    <w:rsid w:val="5FAF21EE"/>
    <w:rsid w:val="5FAF3AE3"/>
    <w:rsid w:val="5FD84CCD"/>
    <w:rsid w:val="5FD95DF5"/>
    <w:rsid w:val="5FE17C6A"/>
    <w:rsid w:val="60153E06"/>
    <w:rsid w:val="601B7860"/>
    <w:rsid w:val="603A6C4E"/>
    <w:rsid w:val="607F4815"/>
    <w:rsid w:val="60C66FF8"/>
    <w:rsid w:val="60C715F3"/>
    <w:rsid w:val="60C831F4"/>
    <w:rsid w:val="60CA46DE"/>
    <w:rsid w:val="60DA1FB7"/>
    <w:rsid w:val="60DB227B"/>
    <w:rsid w:val="60E2185B"/>
    <w:rsid w:val="610145CE"/>
    <w:rsid w:val="61045E17"/>
    <w:rsid w:val="61097C32"/>
    <w:rsid w:val="610C045C"/>
    <w:rsid w:val="612C2C0F"/>
    <w:rsid w:val="61360CD6"/>
    <w:rsid w:val="6139596E"/>
    <w:rsid w:val="6143048E"/>
    <w:rsid w:val="614E3D5A"/>
    <w:rsid w:val="61541D0C"/>
    <w:rsid w:val="616113F3"/>
    <w:rsid w:val="616926CF"/>
    <w:rsid w:val="616E4608"/>
    <w:rsid w:val="618E5BFD"/>
    <w:rsid w:val="61955C9E"/>
    <w:rsid w:val="61964B23"/>
    <w:rsid w:val="61AC2EA4"/>
    <w:rsid w:val="61BF0A39"/>
    <w:rsid w:val="61D23AE4"/>
    <w:rsid w:val="61D74436"/>
    <w:rsid w:val="61DF72E6"/>
    <w:rsid w:val="61FC40A6"/>
    <w:rsid w:val="620A7850"/>
    <w:rsid w:val="621D6280"/>
    <w:rsid w:val="62232E5A"/>
    <w:rsid w:val="62845FB8"/>
    <w:rsid w:val="62925A24"/>
    <w:rsid w:val="62947959"/>
    <w:rsid w:val="629F4600"/>
    <w:rsid w:val="62B27BC4"/>
    <w:rsid w:val="62B3264F"/>
    <w:rsid w:val="62B87B19"/>
    <w:rsid w:val="62C15A67"/>
    <w:rsid w:val="62CC63A3"/>
    <w:rsid w:val="62D13DAB"/>
    <w:rsid w:val="62D5208D"/>
    <w:rsid w:val="62D949A4"/>
    <w:rsid w:val="63035AB9"/>
    <w:rsid w:val="6308497A"/>
    <w:rsid w:val="630A00B2"/>
    <w:rsid w:val="63117187"/>
    <w:rsid w:val="633D44AA"/>
    <w:rsid w:val="63687677"/>
    <w:rsid w:val="638130A6"/>
    <w:rsid w:val="638F1AF4"/>
    <w:rsid w:val="63AA5BC2"/>
    <w:rsid w:val="63B4356F"/>
    <w:rsid w:val="63CF48F8"/>
    <w:rsid w:val="63F840D4"/>
    <w:rsid w:val="641D14C4"/>
    <w:rsid w:val="642719FF"/>
    <w:rsid w:val="643F3DC8"/>
    <w:rsid w:val="644B3147"/>
    <w:rsid w:val="6465549E"/>
    <w:rsid w:val="646C3009"/>
    <w:rsid w:val="64735320"/>
    <w:rsid w:val="64B30238"/>
    <w:rsid w:val="64C91BF5"/>
    <w:rsid w:val="64D01B87"/>
    <w:rsid w:val="64D178B9"/>
    <w:rsid w:val="64D77A7E"/>
    <w:rsid w:val="64E73DF1"/>
    <w:rsid w:val="64F0414B"/>
    <w:rsid w:val="64FD3107"/>
    <w:rsid w:val="64FF1C3C"/>
    <w:rsid w:val="65012D42"/>
    <w:rsid w:val="650A75D2"/>
    <w:rsid w:val="65143021"/>
    <w:rsid w:val="651E54C6"/>
    <w:rsid w:val="652A63DB"/>
    <w:rsid w:val="652F58D3"/>
    <w:rsid w:val="653E1ABB"/>
    <w:rsid w:val="655B7102"/>
    <w:rsid w:val="656575F4"/>
    <w:rsid w:val="656738B8"/>
    <w:rsid w:val="657021F5"/>
    <w:rsid w:val="65713C4C"/>
    <w:rsid w:val="65722B1B"/>
    <w:rsid w:val="65B826BD"/>
    <w:rsid w:val="65C26555"/>
    <w:rsid w:val="65DC7921"/>
    <w:rsid w:val="65E317A8"/>
    <w:rsid w:val="65ED6C11"/>
    <w:rsid w:val="65FC7C13"/>
    <w:rsid w:val="6613537E"/>
    <w:rsid w:val="66152556"/>
    <w:rsid w:val="66300342"/>
    <w:rsid w:val="66334C1F"/>
    <w:rsid w:val="663A3856"/>
    <w:rsid w:val="663B51C1"/>
    <w:rsid w:val="665A29E1"/>
    <w:rsid w:val="666329BA"/>
    <w:rsid w:val="66680388"/>
    <w:rsid w:val="667416AB"/>
    <w:rsid w:val="667C4915"/>
    <w:rsid w:val="668019A3"/>
    <w:rsid w:val="66A546B3"/>
    <w:rsid w:val="66A912E3"/>
    <w:rsid w:val="66AB6843"/>
    <w:rsid w:val="66B42F90"/>
    <w:rsid w:val="66B75538"/>
    <w:rsid w:val="66BF1DB2"/>
    <w:rsid w:val="66DC6596"/>
    <w:rsid w:val="66FC4AAF"/>
    <w:rsid w:val="66FC5136"/>
    <w:rsid w:val="66FD4E0B"/>
    <w:rsid w:val="670901AC"/>
    <w:rsid w:val="672A302E"/>
    <w:rsid w:val="673C2070"/>
    <w:rsid w:val="67491773"/>
    <w:rsid w:val="675121D1"/>
    <w:rsid w:val="6767500B"/>
    <w:rsid w:val="676F41FA"/>
    <w:rsid w:val="67793F09"/>
    <w:rsid w:val="67841E7B"/>
    <w:rsid w:val="67945E5C"/>
    <w:rsid w:val="67C63136"/>
    <w:rsid w:val="67C80E4D"/>
    <w:rsid w:val="67D172DA"/>
    <w:rsid w:val="67F22E4A"/>
    <w:rsid w:val="67F24D27"/>
    <w:rsid w:val="67F42206"/>
    <w:rsid w:val="683D0B85"/>
    <w:rsid w:val="684E52DE"/>
    <w:rsid w:val="6859024B"/>
    <w:rsid w:val="68636054"/>
    <w:rsid w:val="6889707C"/>
    <w:rsid w:val="68914153"/>
    <w:rsid w:val="68920C43"/>
    <w:rsid w:val="68A0408F"/>
    <w:rsid w:val="68AB04A4"/>
    <w:rsid w:val="68BC6927"/>
    <w:rsid w:val="68C06D09"/>
    <w:rsid w:val="68D15127"/>
    <w:rsid w:val="68E1674A"/>
    <w:rsid w:val="68EF2603"/>
    <w:rsid w:val="69025AEA"/>
    <w:rsid w:val="69072D46"/>
    <w:rsid w:val="692C4039"/>
    <w:rsid w:val="692D5F29"/>
    <w:rsid w:val="692E2855"/>
    <w:rsid w:val="695D40C5"/>
    <w:rsid w:val="69731484"/>
    <w:rsid w:val="69757FA5"/>
    <w:rsid w:val="69835459"/>
    <w:rsid w:val="6994351D"/>
    <w:rsid w:val="699B55F7"/>
    <w:rsid w:val="69CA04A8"/>
    <w:rsid w:val="69D9013F"/>
    <w:rsid w:val="69F741A2"/>
    <w:rsid w:val="69FE6E97"/>
    <w:rsid w:val="6A185E40"/>
    <w:rsid w:val="6A1C73EF"/>
    <w:rsid w:val="6A1D5127"/>
    <w:rsid w:val="6A3949FB"/>
    <w:rsid w:val="6A3A6264"/>
    <w:rsid w:val="6A457C16"/>
    <w:rsid w:val="6A550048"/>
    <w:rsid w:val="6A6857B4"/>
    <w:rsid w:val="6A6B5D71"/>
    <w:rsid w:val="6A8E0CFE"/>
    <w:rsid w:val="6AA24327"/>
    <w:rsid w:val="6AA81A91"/>
    <w:rsid w:val="6AAB53B4"/>
    <w:rsid w:val="6AC41808"/>
    <w:rsid w:val="6ADB74E4"/>
    <w:rsid w:val="6AE0238F"/>
    <w:rsid w:val="6AF46091"/>
    <w:rsid w:val="6B195886"/>
    <w:rsid w:val="6B447524"/>
    <w:rsid w:val="6B854DB8"/>
    <w:rsid w:val="6BA05817"/>
    <w:rsid w:val="6BEE1234"/>
    <w:rsid w:val="6C0C10C6"/>
    <w:rsid w:val="6C1A02D9"/>
    <w:rsid w:val="6C1F4FB5"/>
    <w:rsid w:val="6C2C5A83"/>
    <w:rsid w:val="6C385E5A"/>
    <w:rsid w:val="6C4E481F"/>
    <w:rsid w:val="6C5C7602"/>
    <w:rsid w:val="6C5E67E5"/>
    <w:rsid w:val="6C867BD8"/>
    <w:rsid w:val="6C897CC8"/>
    <w:rsid w:val="6C8D7504"/>
    <w:rsid w:val="6C8E7FF3"/>
    <w:rsid w:val="6C937EAD"/>
    <w:rsid w:val="6CA32D3B"/>
    <w:rsid w:val="6CB055BD"/>
    <w:rsid w:val="6CB56456"/>
    <w:rsid w:val="6CB95002"/>
    <w:rsid w:val="6CCC3A0B"/>
    <w:rsid w:val="6CCF41D4"/>
    <w:rsid w:val="6CE5509D"/>
    <w:rsid w:val="6CEA61B3"/>
    <w:rsid w:val="6D1022EC"/>
    <w:rsid w:val="6D113871"/>
    <w:rsid w:val="6D1B703E"/>
    <w:rsid w:val="6D2546CA"/>
    <w:rsid w:val="6D2C4E96"/>
    <w:rsid w:val="6D2F429A"/>
    <w:rsid w:val="6D445346"/>
    <w:rsid w:val="6D4C40EA"/>
    <w:rsid w:val="6D514A2B"/>
    <w:rsid w:val="6D535020"/>
    <w:rsid w:val="6D6479C3"/>
    <w:rsid w:val="6D792082"/>
    <w:rsid w:val="6D857BC4"/>
    <w:rsid w:val="6D954F12"/>
    <w:rsid w:val="6DAC0736"/>
    <w:rsid w:val="6DB93DFC"/>
    <w:rsid w:val="6DCC2FA8"/>
    <w:rsid w:val="6DCD71EF"/>
    <w:rsid w:val="6DCF0384"/>
    <w:rsid w:val="6DD4077E"/>
    <w:rsid w:val="6DD742F7"/>
    <w:rsid w:val="6DDA142E"/>
    <w:rsid w:val="6DE27BA2"/>
    <w:rsid w:val="6DF712F5"/>
    <w:rsid w:val="6E47267B"/>
    <w:rsid w:val="6E540736"/>
    <w:rsid w:val="6E601F9E"/>
    <w:rsid w:val="6E6925E9"/>
    <w:rsid w:val="6E916B4D"/>
    <w:rsid w:val="6EBD2E31"/>
    <w:rsid w:val="6EC707CC"/>
    <w:rsid w:val="6EE710C0"/>
    <w:rsid w:val="6EED4691"/>
    <w:rsid w:val="6F037511"/>
    <w:rsid w:val="6F087CC4"/>
    <w:rsid w:val="6F1268A1"/>
    <w:rsid w:val="6F151728"/>
    <w:rsid w:val="6F3D79B6"/>
    <w:rsid w:val="6F664487"/>
    <w:rsid w:val="6F6E474D"/>
    <w:rsid w:val="6F6F3E14"/>
    <w:rsid w:val="6F830F20"/>
    <w:rsid w:val="6F8664ED"/>
    <w:rsid w:val="6FC337BC"/>
    <w:rsid w:val="6FC47F24"/>
    <w:rsid w:val="6FC667B7"/>
    <w:rsid w:val="6FD04AE8"/>
    <w:rsid w:val="6FD33091"/>
    <w:rsid w:val="6FDC162A"/>
    <w:rsid w:val="6FDC44E0"/>
    <w:rsid w:val="6FDD6525"/>
    <w:rsid w:val="6FE30F1E"/>
    <w:rsid w:val="6FF9505C"/>
    <w:rsid w:val="703A3132"/>
    <w:rsid w:val="703A3AFA"/>
    <w:rsid w:val="703A4681"/>
    <w:rsid w:val="703F2826"/>
    <w:rsid w:val="70457B12"/>
    <w:rsid w:val="707E05D0"/>
    <w:rsid w:val="70811B26"/>
    <w:rsid w:val="7098054A"/>
    <w:rsid w:val="70A10F09"/>
    <w:rsid w:val="70A91B7D"/>
    <w:rsid w:val="70BE59BC"/>
    <w:rsid w:val="70C20CEE"/>
    <w:rsid w:val="70C7327A"/>
    <w:rsid w:val="70DD3E23"/>
    <w:rsid w:val="70F34FCA"/>
    <w:rsid w:val="70F5772C"/>
    <w:rsid w:val="70FE77FA"/>
    <w:rsid w:val="710B4AA8"/>
    <w:rsid w:val="71243530"/>
    <w:rsid w:val="71362CEA"/>
    <w:rsid w:val="713A2991"/>
    <w:rsid w:val="714300F4"/>
    <w:rsid w:val="714609F9"/>
    <w:rsid w:val="715765A8"/>
    <w:rsid w:val="717552D6"/>
    <w:rsid w:val="7181116E"/>
    <w:rsid w:val="71A06F30"/>
    <w:rsid w:val="71C85D97"/>
    <w:rsid w:val="71DF1321"/>
    <w:rsid w:val="72190478"/>
    <w:rsid w:val="721D327C"/>
    <w:rsid w:val="722C7603"/>
    <w:rsid w:val="72352E2A"/>
    <w:rsid w:val="723751A3"/>
    <w:rsid w:val="725B3487"/>
    <w:rsid w:val="726308E2"/>
    <w:rsid w:val="726B400C"/>
    <w:rsid w:val="726E6079"/>
    <w:rsid w:val="72744F0E"/>
    <w:rsid w:val="72785D98"/>
    <w:rsid w:val="7296203B"/>
    <w:rsid w:val="729B5B36"/>
    <w:rsid w:val="72B35287"/>
    <w:rsid w:val="72C30A05"/>
    <w:rsid w:val="72C31732"/>
    <w:rsid w:val="72E555C8"/>
    <w:rsid w:val="72E57670"/>
    <w:rsid w:val="72E849C4"/>
    <w:rsid w:val="72FF46E8"/>
    <w:rsid w:val="7318135E"/>
    <w:rsid w:val="732348BD"/>
    <w:rsid w:val="73470B82"/>
    <w:rsid w:val="73556C95"/>
    <w:rsid w:val="735D56FE"/>
    <w:rsid w:val="736639D2"/>
    <w:rsid w:val="736C5E03"/>
    <w:rsid w:val="73A6170B"/>
    <w:rsid w:val="73C969BA"/>
    <w:rsid w:val="73D42779"/>
    <w:rsid w:val="73DD51A0"/>
    <w:rsid w:val="73E32F46"/>
    <w:rsid w:val="73E5115F"/>
    <w:rsid w:val="73F05C68"/>
    <w:rsid w:val="73FB6E93"/>
    <w:rsid w:val="73FF497F"/>
    <w:rsid w:val="7410293E"/>
    <w:rsid w:val="74176E58"/>
    <w:rsid w:val="74267DF1"/>
    <w:rsid w:val="742817A0"/>
    <w:rsid w:val="74355268"/>
    <w:rsid w:val="744D7375"/>
    <w:rsid w:val="745A3FA1"/>
    <w:rsid w:val="745A54CE"/>
    <w:rsid w:val="747353EF"/>
    <w:rsid w:val="747B608F"/>
    <w:rsid w:val="74866F5F"/>
    <w:rsid w:val="74974E4F"/>
    <w:rsid w:val="749A6BDF"/>
    <w:rsid w:val="749B2AEE"/>
    <w:rsid w:val="74A521A7"/>
    <w:rsid w:val="74AF0D4A"/>
    <w:rsid w:val="74BE2458"/>
    <w:rsid w:val="74C10DD9"/>
    <w:rsid w:val="74C33E4E"/>
    <w:rsid w:val="74C45CA6"/>
    <w:rsid w:val="74D07EF1"/>
    <w:rsid w:val="74D359E3"/>
    <w:rsid w:val="74DB0660"/>
    <w:rsid w:val="74F75D5F"/>
    <w:rsid w:val="75080509"/>
    <w:rsid w:val="751520A8"/>
    <w:rsid w:val="7532425C"/>
    <w:rsid w:val="7543351B"/>
    <w:rsid w:val="755620AE"/>
    <w:rsid w:val="755E374E"/>
    <w:rsid w:val="756056DD"/>
    <w:rsid w:val="75844AE0"/>
    <w:rsid w:val="758516A6"/>
    <w:rsid w:val="759762C9"/>
    <w:rsid w:val="7598328E"/>
    <w:rsid w:val="75986D1A"/>
    <w:rsid w:val="759D618A"/>
    <w:rsid w:val="75A97067"/>
    <w:rsid w:val="75AE319A"/>
    <w:rsid w:val="75B11ED2"/>
    <w:rsid w:val="75B24EF7"/>
    <w:rsid w:val="75BF1E0A"/>
    <w:rsid w:val="75CC0C58"/>
    <w:rsid w:val="75DF7A1C"/>
    <w:rsid w:val="75F31826"/>
    <w:rsid w:val="762A110B"/>
    <w:rsid w:val="762F41B1"/>
    <w:rsid w:val="76355800"/>
    <w:rsid w:val="763F7CD2"/>
    <w:rsid w:val="7646502B"/>
    <w:rsid w:val="76520811"/>
    <w:rsid w:val="7653028C"/>
    <w:rsid w:val="766742B8"/>
    <w:rsid w:val="76802AA6"/>
    <w:rsid w:val="7698687A"/>
    <w:rsid w:val="769B6DFE"/>
    <w:rsid w:val="76AC0DE3"/>
    <w:rsid w:val="76AC2FAB"/>
    <w:rsid w:val="76C555D2"/>
    <w:rsid w:val="77115B9B"/>
    <w:rsid w:val="7721368A"/>
    <w:rsid w:val="773027D1"/>
    <w:rsid w:val="773B1476"/>
    <w:rsid w:val="77401D44"/>
    <w:rsid w:val="774A0D27"/>
    <w:rsid w:val="775E6259"/>
    <w:rsid w:val="77606B82"/>
    <w:rsid w:val="777D59E2"/>
    <w:rsid w:val="7784439D"/>
    <w:rsid w:val="7790268A"/>
    <w:rsid w:val="7796561D"/>
    <w:rsid w:val="77BF11BB"/>
    <w:rsid w:val="77C807D0"/>
    <w:rsid w:val="77D914A6"/>
    <w:rsid w:val="77F33EA5"/>
    <w:rsid w:val="77F57B49"/>
    <w:rsid w:val="77FC726A"/>
    <w:rsid w:val="78015423"/>
    <w:rsid w:val="7803361B"/>
    <w:rsid w:val="78065E21"/>
    <w:rsid w:val="78092026"/>
    <w:rsid w:val="7825083A"/>
    <w:rsid w:val="78337982"/>
    <w:rsid w:val="78443A4F"/>
    <w:rsid w:val="785B5E7F"/>
    <w:rsid w:val="786F030A"/>
    <w:rsid w:val="78974E9C"/>
    <w:rsid w:val="78AD3A04"/>
    <w:rsid w:val="78C2184C"/>
    <w:rsid w:val="79070BEF"/>
    <w:rsid w:val="79084E2A"/>
    <w:rsid w:val="790C6BE5"/>
    <w:rsid w:val="79304A13"/>
    <w:rsid w:val="79423DE2"/>
    <w:rsid w:val="795466FB"/>
    <w:rsid w:val="796171A5"/>
    <w:rsid w:val="797C46A7"/>
    <w:rsid w:val="797F058B"/>
    <w:rsid w:val="79983DBB"/>
    <w:rsid w:val="799E3886"/>
    <w:rsid w:val="79AB3CFB"/>
    <w:rsid w:val="79AC51A9"/>
    <w:rsid w:val="79AC5821"/>
    <w:rsid w:val="79B4774B"/>
    <w:rsid w:val="79B93659"/>
    <w:rsid w:val="79D66388"/>
    <w:rsid w:val="79ED09E8"/>
    <w:rsid w:val="79FA3CE1"/>
    <w:rsid w:val="7A200DCD"/>
    <w:rsid w:val="7A2A3475"/>
    <w:rsid w:val="7A2C0B7F"/>
    <w:rsid w:val="7A51609D"/>
    <w:rsid w:val="7A603AC5"/>
    <w:rsid w:val="7A7A449B"/>
    <w:rsid w:val="7A8A3D33"/>
    <w:rsid w:val="7A8D418E"/>
    <w:rsid w:val="7A94376E"/>
    <w:rsid w:val="7A9D1AF2"/>
    <w:rsid w:val="7AA049F7"/>
    <w:rsid w:val="7AAB1305"/>
    <w:rsid w:val="7AB33BBE"/>
    <w:rsid w:val="7AC5733B"/>
    <w:rsid w:val="7ACD5297"/>
    <w:rsid w:val="7AD73021"/>
    <w:rsid w:val="7AE658A6"/>
    <w:rsid w:val="7AF028DE"/>
    <w:rsid w:val="7AFD2567"/>
    <w:rsid w:val="7B330527"/>
    <w:rsid w:val="7B3D7962"/>
    <w:rsid w:val="7B3E5193"/>
    <w:rsid w:val="7B681689"/>
    <w:rsid w:val="7B76061B"/>
    <w:rsid w:val="7BAD023F"/>
    <w:rsid w:val="7BB65DD0"/>
    <w:rsid w:val="7BC1580A"/>
    <w:rsid w:val="7BDB07B3"/>
    <w:rsid w:val="7C0844BB"/>
    <w:rsid w:val="7C3519A7"/>
    <w:rsid w:val="7C467E54"/>
    <w:rsid w:val="7C504E5F"/>
    <w:rsid w:val="7C636D7B"/>
    <w:rsid w:val="7C66727A"/>
    <w:rsid w:val="7C6D6003"/>
    <w:rsid w:val="7C87012C"/>
    <w:rsid w:val="7C8A5BC2"/>
    <w:rsid w:val="7CC448B2"/>
    <w:rsid w:val="7CC661DC"/>
    <w:rsid w:val="7CC959C7"/>
    <w:rsid w:val="7CEF347D"/>
    <w:rsid w:val="7CF6186E"/>
    <w:rsid w:val="7CFE2AF1"/>
    <w:rsid w:val="7D047736"/>
    <w:rsid w:val="7D0A382D"/>
    <w:rsid w:val="7D11179C"/>
    <w:rsid w:val="7D2F4329"/>
    <w:rsid w:val="7D3704C0"/>
    <w:rsid w:val="7D414A16"/>
    <w:rsid w:val="7D4E5163"/>
    <w:rsid w:val="7D512740"/>
    <w:rsid w:val="7D7E6ECE"/>
    <w:rsid w:val="7D9C4976"/>
    <w:rsid w:val="7DAF3DF1"/>
    <w:rsid w:val="7DC7520F"/>
    <w:rsid w:val="7DDA3896"/>
    <w:rsid w:val="7DE13763"/>
    <w:rsid w:val="7DEC7CA4"/>
    <w:rsid w:val="7DEE020F"/>
    <w:rsid w:val="7DF56D2F"/>
    <w:rsid w:val="7DFA2799"/>
    <w:rsid w:val="7E0B2A9C"/>
    <w:rsid w:val="7E0E6C77"/>
    <w:rsid w:val="7E1C414C"/>
    <w:rsid w:val="7E3048C1"/>
    <w:rsid w:val="7E515808"/>
    <w:rsid w:val="7E5704FB"/>
    <w:rsid w:val="7E5C3572"/>
    <w:rsid w:val="7E5E3D70"/>
    <w:rsid w:val="7E830CAF"/>
    <w:rsid w:val="7E8B0B81"/>
    <w:rsid w:val="7E8F2D75"/>
    <w:rsid w:val="7EA454A5"/>
    <w:rsid w:val="7EE1772D"/>
    <w:rsid w:val="7EF805C1"/>
    <w:rsid w:val="7F007CB5"/>
    <w:rsid w:val="7F162CCF"/>
    <w:rsid w:val="7F1718AA"/>
    <w:rsid w:val="7F3535AD"/>
    <w:rsid w:val="7F4B382D"/>
    <w:rsid w:val="7F51576B"/>
    <w:rsid w:val="7F5760BD"/>
    <w:rsid w:val="7F676991"/>
    <w:rsid w:val="7F6A322B"/>
    <w:rsid w:val="7F7A726C"/>
    <w:rsid w:val="7F892996"/>
    <w:rsid w:val="7F8F2E0F"/>
    <w:rsid w:val="7F9978A1"/>
    <w:rsid w:val="7F9C2283"/>
    <w:rsid w:val="7FA51862"/>
    <w:rsid w:val="7FB47F73"/>
    <w:rsid w:val="7FB61109"/>
    <w:rsid w:val="7FD75502"/>
    <w:rsid w:val="7FDC6271"/>
    <w:rsid w:val="7FE9630A"/>
    <w:rsid w:val="7FF22503"/>
    <w:rsid w:val="7FF8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autoRedefine/>
    <w:qFormat/>
    <w:uiPriority w:val="0"/>
    <w:pPr>
      <w:keepNext/>
      <w:keepLines/>
      <w:spacing w:line="576" w:lineRule="auto"/>
      <w:outlineLvl w:val="0"/>
    </w:pPr>
    <w:rPr>
      <w:rFonts w:eastAsia="宋体"/>
      <w:b/>
      <w:bCs/>
      <w:kern w:val="44"/>
      <w:sz w:val="44"/>
      <w:szCs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3" w:lineRule="auto"/>
      <w:outlineLvl w:val="2"/>
    </w:pPr>
    <w:rPr>
      <w:b/>
      <w:sz w:val="28"/>
    </w:rPr>
  </w:style>
  <w:style w:type="paragraph" w:styleId="5">
    <w:name w:val="heading 4"/>
    <w:basedOn w:val="1"/>
    <w:next w:val="1"/>
    <w:autoRedefine/>
    <w:qFormat/>
    <w:uiPriority w:val="0"/>
    <w:pPr>
      <w:keepNext/>
      <w:keepLines/>
      <w:jc w:val="left"/>
      <w:outlineLvl w:val="3"/>
    </w:pPr>
    <w:rPr>
      <w:rFonts w:hint="eastAsia" w:ascii="Arial" w:hAnsi="Arial" w:eastAsia="宋体" w:cs="Times New Roman"/>
      <w:b/>
      <w:sz w:val="32"/>
    </w:rPr>
  </w:style>
  <w:style w:type="paragraph" w:styleId="6">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7">
    <w:name w:val="Note Heading"/>
    <w:basedOn w:val="1"/>
    <w:next w:val="1"/>
    <w:autoRedefine/>
    <w:qFormat/>
    <w:uiPriority w:val="0"/>
    <w:pPr>
      <w:jc w:val="center"/>
    </w:pPr>
  </w:style>
  <w:style w:type="paragraph" w:styleId="8">
    <w:name w:val="Normal Indent"/>
    <w:basedOn w:val="1"/>
    <w:autoRedefine/>
    <w:qFormat/>
    <w:uiPriority w:val="0"/>
    <w:pPr>
      <w:ind w:firstLine="420"/>
    </w:pPr>
    <w:rPr>
      <w:rFonts w:ascii="Times New Roman" w:hAnsi="Times New Roman"/>
      <w:sz w:val="21"/>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rPr>
      <w:rFonts w:hAnsi="Times New Roman"/>
    </w:rPr>
  </w:style>
  <w:style w:type="paragraph" w:styleId="11">
    <w:name w:val="Body Text Indent"/>
    <w:basedOn w:val="1"/>
    <w:autoRedefine/>
    <w:qFormat/>
    <w:uiPriority w:val="0"/>
    <w:pPr>
      <w:spacing w:after="120" w:afterLines="0"/>
      <w:ind w:left="420" w:leftChars="200"/>
    </w:pPr>
  </w:style>
  <w:style w:type="paragraph" w:styleId="12">
    <w:name w:val="Plain Text"/>
    <w:basedOn w:val="1"/>
    <w:autoRedefine/>
    <w:qFormat/>
    <w:uiPriority w:val="0"/>
    <w:rPr>
      <w:rFonts w:ascii="宋体" w:hAnsi="Courier New" w:eastAsia="宋体"/>
      <w:sz w:val="21"/>
    </w:rPr>
  </w:style>
  <w:style w:type="paragraph" w:styleId="13">
    <w:name w:val="Date"/>
    <w:basedOn w:val="1"/>
    <w:next w:val="1"/>
    <w:autoRedefine/>
    <w:qFormat/>
    <w:uiPriority w:val="0"/>
    <w:rPr>
      <w:szCs w:val="20"/>
    </w:rPr>
  </w:style>
  <w:style w:type="paragraph" w:styleId="14">
    <w:name w:val="footer"/>
    <w:basedOn w:val="1"/>
    <w:autoRedefine/>
    <w:qFormat/>
    <w:uiPriority w:val="0"/>
    <w:pPr>
      <w:tabs>
        <w:tab w:val="center" w:pos="4153"/>
        <w:tab w:val="right" w:pos="8306"/>
      </w:tabs>
      <w:snapToGrid w:val="0"/>
      <w:jc w:val="left"/>
    </w:pPr>
    <w:rPr>
      <w:rFonts w:eastAsia="宋体"/>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sz w:val="21"/>
      <w:szCs w:val="24"/>
    </w:rPr>
  </w:style>
  <w:style w:type="paragraph" w:styleId="17">
    <w:name w:val="toc 2"/>
    <w:basedOn w:val="1"/>
    <w:next w:val="1"/>
    <w:autoRedefine/>
    <w:qFormat/>
    <w:uiPriority w:val="0"/>
    <w:pPr>
      <w:ind w:left="420" w:leftChars="200"/>
    </w:pPr>
    <w:rPr>
      <w:sz w:val="21"/>
      <w:szCs w:val="24"/>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autoRedefine/>
    <w:qFormat/>
    <w:uiPriority w:val="0"/>
    <w:pPr>
      <w:jc w:val="left"/>
    </w:pPr>
    <w:rPr>
      <w:rFonts w:cs="Times New Roman"/>
      <w:kern w:val="0"/>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w:basedOn w:val="10"/>
    <w:autoRedefine/>
    <w:unhideWhenUsed/>
    <w:qFormat/>
    <w:uiPriority w:val="99"/>
    <w:pPr>
      <w:ind w:firstLine="420" w:firstLineChars="100"/>
    </w:pPr>
  </w:style>
  <w:style w:type="paragraph" w:styleId="22">
    <w:name w:val="Body Text First Indent 2"/>
    <w:basedOn w:val="11"/>
    <w:autoRedefine/>
    <w:qFormat/>
    <w:uiPriority w:val="0"/>
    <w:pPr>
      <w:tabs>
        <w:tab w:val="left" w:pos="4900"/>
      </w:tabs>
      <w:ind w:firstLine="420" w:firstLineChars="200"/>
    </w:pPr>
  </w:style>
  <w:style w:type="table" w:styleId="24">
    <w:name w:val="Table Grid"/>
    <w:basedOn w:val="23"/>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style>
  <w:style w:type="character" w:styleId="30">
    <w:name w:val="HTML Definition"/>
    <w:basedOn w:val="25"/>
    <w:autoRedefine/>
    <w:qFormat/>
    <w:uiPriority w:val="0"/>
    <w:rPr>
      <w:i/>
      <w:iCs/>
    </w:rPr>
  </w:style>
  <w:style w:type="character" w:styleId="31">
    <w:name w:val="Hyperlink"/>
    <w:basedOn w:val="25"/>
    <w:autoRedefine/>
    <w:qFormat/>
    <w:uiPriority w:val="0"/>
    <w:rPr>
      <w:rFonts w:ascii="宋体" w:hAnsi="宋体" w:eastAsia="宋体"/>
      <w:b/>
      <w:color w:val="0000FF"/>
      <w:kern w:val="2"/>
      <w:sz w:val="24"/>
      <w:szCs w:val="24"/>
      <w:u w:val="single"/>
      <w:lang w:val="en-US" w:eastAsia="zh-CN" w:bidi="ar-SA"/>
    </w:rPr>
  </w:style>
  <w:style w:type="character" w:styleId="32">
    <w:name w:val="HTML Code"/>
    <w:basedOn w:val="25"/>
    <w:autoRedefine/>
    <w:qFormat/>
    <w:uiPriority w:val="0"/>
    <w:rPr>
      <w:rFonts w:hint="default" w:ascii="Menlo" w:hAnsi="Menlo" w:eastAsia="Menlo" w:cs="Menlo"/>
      <w:color w:val="C7254E"/>
      <w:sz w:val="21"/>
      <w:szCs w:val="21"/>
      <w:shd w:val="clear" w:color="auto" w:fill="F9F2F4"/>
    </w:rPr>
  </w:style>
  <w:style w:type="character" w:styleId="33">
    <w:name w:val="HTML Keyboard"/>
    <w:basedOn w:val="25"/>
    <w:autoRedefine/>
    <w:qFormat/>
    <w:uiPriority w:val="0"/>
    <w:rPr>
      <w:rFonts w:ascii="Menlo" w:hAnsi="Menlo" w:eastAsia="Menlo" w:cs="Menlo"/>
      <w:color w:val="FFFFFF"/>
      <w:sz w:val="21"/>
      <w:szCs w:val="21"/>
      <w:shd w:val="clear" w:color="auto" w:fill="333333"/>
    </w:rPr>
  </w:style>
  <w:style w:type="character" w:styleId="34">
    <w:name w:val="HTML Sample"/>
    <w:basedOn w:val="25"/>
    <w:autoRedefine/>
    <w:qFormat/>
    <w:uiPriority w:val="0"/>
    <w:rPr>
      <w:rFonts w:hint="default" w:ascii="Menlo" w:hAnsi="Menlo" w:eastAsia="Menlo" w:cs="Menlo"/>
      <w:sz w:val="21"/>
      <w:szCs w:val="21"/>
    </w:rPr>
  </w:style>
  <w:style w:type="paragraph" w:customStyle="1" w:styleId="35">
    <w:name w:val="正文缩进1"/>
    <w:basedOn w:val="1"/>
    <w:autoRedefine/>
    <w:qFormat/>
    <w:uiPriority w:val="0"/>
    <w:pPr>
      <w:ind w:firstLine="420" w:firstLineChars="200"/>
    </w:pPr>
  </w:style>
  <w:style w:type="paragraph" w:customStyle="1" w:styleId="36">
    <w:name w:val="_Style 5"/>
    <w:basedOn w:val="2"/>
    <w:next w:val="1"/>
    <w:autoRedefine/>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7">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8">
    <w:name w:val="p15"/>
    <w:basedOn w:val="1"/>
    <w:autoRedefine/>
    <w:qFormat/>
    <w:uiPriority w:val="99"/>
    <w:pPr>
      <w:widowControl/>
    </w:pPr>
    <w:rPr>
      <w:kern w:val="0"/>
      <w:sz w:val="21"/>
      <w:szCs w:val="21"/>
    </w:rPr>
  </w:style>
  <w:style w:type="paragraph" w:customStyle="1" w:styleId="39">
    <w:name w:val="正文 New"/>
    <w:autoRedefine/>
    <w:qFormat/>
    <w:uiPriority w:val="99"/>
    <w:pPr>
      <w:widowControl w:val="0"/>
      <w:jc w:val="both"/>
    </w:pPr>
    <w:rPr>
      <w:rFonts w:ascii="Calibri" w:hAnsi="Calibri" w:eastAsiaTheme="minorEastAsia" w:cstheme="minorBidi"/>
      <w:sz w:val="21"/>
      <w:szCs w:val="22"/>
      <w:lang w:val="en-US" w:eastAsia="zh-CN" w:bidi="ar-SA"/>
    </w:rPr>
  </w:style>
  <w:style w:type="character" w:customStyle="1" w:styleId="40">
    <w:name w:val="old"/>
    <w:basedOn w:val="25"/>
    <w:autoRedefine/>
    <w:qFormat/>
    <w:uiPriority w:val="0"/>
    <w:rPr>
      <w:color w:val="999999"/>
    </w:rPr>
  </w:style>
  <w:style w:type="character" w:customStyle="1" w:styleId="41">
    <w:name w:val="hover3"/>
    <w:basedOn w:val="25"/>
    <w:autoRedefine/>
    <w:qFormat/>
    <w:uiPriority w:val="0"/>
    <w:rPr>
      <w:shd w:val="clear" w:color="auto" w:fill="EEEEEE"/>
    </w:rPr>
  </w:style>
  <w:style w:type="character" w:customStyle="1" w:styleId="42">
    <w:name w:val="glyphicon4"/>
    <w:basedOn w:val="25"/>
    <w:autoRedefine/>
    <w:qFormat/>
    <w:uiPriority w:val="0"/>
  </w:style>
  <w:style w:type="character" w:customStyle="1" w:styleId="43">
    <w:name w:val="hour_am"/>
    <w:basedOn w:val="25"/>
    <w:autoRedefine/>
    <w:qFormat/>
    <w:uiPriority w:val="0"/>
  </w:style>
  <w:style w:type="character" w:customStyle="1" w:styleId="44">
    <w:name w:val="hour_pm"/>
    <w:basedOn w:val="25"/>
    <w:autoRedefine/>
    <w:qFormat/>
    <w:uiPriority w:val="0"/>
  </w:style>
  <w:style w:type="character" w:customStyle="1" w:styleId="45">
    <w:name w:val="button"/>
    <w:basedOn w:val="25"/>
    <w:autoRedefine/>
    <w:qFormat/>
    <w:uiPriority w:val="0"/>
  </w:style>
  <w:style w:type="character" w:customStyle="1" w:styleId="46">
    <w:name w:val="tmpztreemove_arrow"/>
    <w:basedOn w:val="25"/>
    <w:autoRedefine/>
    <w:qFormat/>
    <w:uiPriority w:val="0"/>
    <w:rPr>
      <w:shd w:val="clear" w:color="auto" w:fill="FFFFFF"/>
    </w:rPr>
  </w:style>
  <w:style w:type="character" w:customStyle="1" w:styleId="47">
    <w:name w:val="indent"/>
    <w:basedOn w:val="25"/>
    <w:autoRedefine/>
    <w:qFormat/>
    <w:uiPriority w:val="0"/>
  </w:style>
  <w:style w:type="paragraph" w:customStyle="1" w:styleId="48">
    <w:name w:val="title1"/>
    <w:basedOn w:val="1"/>
    <w:autoRedefine/>
    <w:qFormat/>
    <w:uiPriority w:val="0"/>
    <w:pPr>
      <w:spacing w:before="150" w:line="450" w:lineRule="atLeast"/>
      <w:jc w:val="left"/>
    </w:pPr>
    <w:rPr>
      <w:rFonts w:cs="Times New Roman"/>
      <w:b/>
      <w:kern w:val="0"/>
      <w:szCs w:val="24"/>
    </w:rPr>
  </w:style>
  <w:style w:type="paragraph" w:customStyle="1" w:styleId="4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List Paragraph"/>
    <w:basedOn w:val="1"/>
    <w:autoRedefine/>
    <w:qFormat/>
    <w:uiPriority w:val="34"/>
    <w:pPr>
      <w:ind w:firstLine="420" w:firstLineChars="200"/>
    </w:pPr>
  </w:style>
  <w:style w:type="paragraph" w:customStyle="1" w:styleId="51">
    <w:name w:val="List Paragraph_0ebf999d-180a-4a52-88b1-358b0e0eb422"/>
    <w:basedOn w:val="1"/>
    <w:autoRedefine/>
    <w:qFormat/>
    <w:uiPriority w:val="0"/>
    <w:pPr>
      <w:ind w:firstLine="420" w:firstLineChars="200"/>
    </w:pPr>
    <w:rPr>
      <w:rFonts w:ascii="Calibri" w:hAnsi="Calibri" w:eastAsia="宋体" w:cs="Times New Roman"/>
      <w:sz w:val="21"/>
      <w:szCs w:val="21"/>
    </w:rPr>
  </w:style>
  <w:style w:type="paragraph" w:customStyle="1" w:styleId="52">
    <w:name w:val="正文 A"/>
    <w:autoRedefine/>
    <w:qFormat/>
    <w:uiPriority w:val="0"/>
    <w:pPr>
      <w:framePr w:wrap="around" w:vAnchor="margin" w:hAnchor="text" w:yAlign="top"/>
      <w:widowControl w:val="0"/>
      <w:jc w:val="both"/>
    </w:pPr>
    <w:rPr>
      <w:rFonts w:ascii="Times New Roman" w:hAnsi="Times New Roman" w:eastAsia="Times New Roman" w:cs="Arial Unicode MS"/>
      <w:color w:val="000000"/>
      <w:kern w:val="2"/>
      <w:sz w:val="21"/>
      <w:szCs w:val="21"/>
      <w:u w:val="none" w:color="000000"/>
      <w:lang w:val="en-US" w:eastAsia="zh-CN" w:bidi="ar-SA"/>
    </w:rPr>
  </w:style>
  <w:style w:type="character" w:customStyle="1" w:styleId="53">
    <w:name w:val="NormalCharacter"/>
    <w:autoRedefine/>
    <w:qFormat/>
    <w:uiPriority w:val="0"/>
  </w:style>
  <w:style w:type="paragraph" w:customStyle="1" w:styleId="54">
    <w:name w:val="列出段落1"/>
    <w:basedOn w:val="1"/>
    <w:autoRedefine/>
    <w:qFormat/>
    <w:uiPriority w:val="0"/>
    <w:pPr>
      <w:ind w:firstLine="420" w:firstLineChars="200"/>
    </w:pPr>
    <w:rPr>
      <w:rFonts w:ascii="Calibri" w:hAnsi="Calibri" w:cs="黑体"/>
      <w:szCs w:val="22"/>
    </w:rPr>
  </w:style>
  <w:style w:type="paragraph" w:customStyle="1" w:styleId="55">
    <w:name w:val="Table Paragraph"/>
    <w:basedOn w:val="1"/>
    <w:autoRedefine/>
    <w:qFormat/>
    <w:uiPriority w:val="1"/>
    <w:pPr>
      <w:autoSpaceDE w:val="0"/>
      <w:autoSpaceDN w:val="0"/>
      <w:spacing w:before="137"/>
      <w:ind w:left="108"/>
      <w:jc w:val="center"/>
    </w:pPr>
    <w:rPr>
      <w:rFonts w:ascii="宋体" w:hAnsi="宋体" w:cs="宋体"/>
      <w:kern w:val="0"/>
      <w:sz w:val="22"/>
      <w:szCs w:val="22"/>
      <w:lang w:val="zh-CN" w:bidi="zh-CN"/>
    </w:rPr>
  </w:style>
  <w:style w:type="paragraph" w:customStyle="1" w:styleId="5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7">
    <w:name w:val="彩色列表 - 强调文字颜色 11"/>
    <w:basedOn w:val="1"/>
    <w:autoRedefine/>
    <w:qFormat/>
    <w:uiPriority w:val="34"/>
    <w:pPr>
      <w:ind w:firstLine="420" w:firstLineChars="200"/>
    </w:pPr>
    <w:rPr>
      <w:rFonts w:ascii="Calibri" w:hAnsi="Calibri"/>
      <w:szCs w:val="22"/>
    </w:rPr>
  </w:style>
  <w:style w:type="character" w:customStyle="1" w:styleId="58">
    <w:name w:val="font01"/>
    <w:basedOn w:val="25"/>
    <w:autoRedefine/>
    <w:qFormat/>
    <w:uiPriority w:val="0"/>
    <w:rPr>
      <w:rFonts w:hint="default" w:ascii="Arial" w:hAnsi="Arial" w:cs="Arial"/>
      <w:color w:val="000000"/>
      <w:sz w:val="22"/>
      <w:szCs w:val="22"/>
      <w:u w:val="none"/>
    </w:rPr>
  </w:style>
  <w:style w:type="character" w:customStyle="1" w:styleId="59">
    <w:name w:val="font41"/>
    <w:basedOn w:val="25"/>
    <w:autoRedefine/>
    <w:qFormat/>
    <w:uiPriority w:val="0"/>
    <w:rPr>
      <w:rFonts w:hint="default" w:ascii="Arial" w:hAnsi="Arial" w:cs="Arial"/>
      <w:color w:val="000000"/>
      <w:sz w:val="22"/>
      <w:szCs w:val="22"/>
      <w:u w:val="none"/>
    </w:rPr>
  </w:style>
  <w:style w:type="character" w:customStyle="1" w:styleId="60">
    <w:name w:val="font101"/>
    <w:basedOn w:val="25"/>
    <w:autoRedefine/>
    <w:qFormat/>
    <w:uiPriority w:val="0"/>
    <w:rPr>
      <w:rFonts w:ascii="Arial" w:hAnsi="Arial" w:cs="Arial"/>
      <w:color w:val="000000"/>
      <w:sz w:val="20"/>
      <w:szCs w:val="20"/>
      <w:u w:val="none"/>
    </w:rPr>
  </w:style>
  <w:style w:type="character" w:customStyle="1" w:styleId="61">
    <w:name w:val="font61"/>
    <w:basedOn w:val="25"/>
    <w:autoRedefine/>
    <w:qFormat/>
    <w:uiPriority w:val="0"/>
    <w:rPr>
      <w:rFonts w:hint="eastAsia" w:ascii="仿宋" w:hAnsi="仿宋" w:eastAsia="仿宋" w:cs="仿宋"/>
      <w:color w:val="000000"/>
      <w:sz w:val="20"/>
      <w:szCs w:val="20"/>
      <w:u w:val="none"/>
    </w:rPr>
  </w:style>
  <w:style w:type="paragraph" w:customStyle="1" w:styleId="6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标题 5（有编号）（绿盟科技）"/>
    <w:basedOn w:val="1"/>
    <w:next w:val="64"/>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64">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65">
    <w:name w:val="font11"/>
    <w:basedOn w:val="25"/>
    <w:autoRedefine/>
    <w:qFormat/>
    <w:uiPriority w:val="0"/>
    <w:rPr>
      <w:rFonts w:hint="eastAsia" w:ascii="宋体" w:hAnsi="宋体" w:eastAsia="宋体" w:cs="宋体"/>
      <w:color w:val="000000"/>
      <w:sz w:val="22"/>
      <w:szCs w:val="22"/>
      <w:u w:val="none"/>
    </w:rPr>
  </w:style>
  <w:style w:type="character" w:customStyle="1" w:styleId="66">
    <w:name w:val="nth-of-type(1)"/>
    <w:basedOn w:val="25"/>
    <w:autoRedefine/>
    <w:qFormat/>
    <w:uiPriority w:val="0"/>
  </w:style>
  <w:style w:type="character" w:customStyle="1" w:styleId="67">
    <w:name w:val="nth-of-type(1)1"/>
    <w:basedOn w:val="25"/>
    <w:autoRedefine/>
    <w:qFormat/>
    <w:uiPriority w:val="0"/>
  </w:style>
  <w:style w:type="character" w:customStyle="1" w:styleId="68">
    <w:name w:val="nth-of-type(1)2"/>
    <w:basedOn w:val="25"/>
    <w:autoRedefine/>
    <w:qFormat/>
    <w:uiPriority w:val="0"/>
  </w:style>
  <w:style w:type="character" w:customStyle="1" w:styleId="69">
    <w:name w:val="nth-of-type(1)3"/>
    <w:basedOn w:val="25"/>
    <w:autoRedefine/>
    <w:qFormat/>
    <w:uiPriority w:val="0"/>
  </w:style>
  <w:style w:type="character" w:customStyle="1" w:styleId="70">
    <w:name w:val="nth-of-type(1)4"/>
    <w:basedOn w:val="25"/>
    <w:autoRedefine/>
    <w:qFormat/>
    <w:uiPriority w:val="0"/>
  </w:style>
  <w:style w:type="character" w:customStyle="1" w:styleId="71">
    <w:name w:val="nth-of-type(1)5"/>
    <w:basedOn w:val="25"/>
    <w:autoRedefine/>
    <w:qFormat/>
    <w:uiPriority w:val="0"/>
  </w:style>
  <w:style w:type="character" w:customStyle="1" w:styleId="72">
    <w:name w:val="nth-of-type(1)6"/>
    <w:basedOn w:val="25"/>
    <w:autoRedefine/>
    <w:qFormat/>
    <w:uiPriority w:val="0"/>
    <w:rPr>
      <w:rFonts w:ascii="SourceHanSansCN-Regular" w:hAnsi="SourceHanSansCN-Regular" w:eastAsia="SourceHanSansCN-Regular" w:cs="SourceHanSansCN-Regular"/>
      <w:color w:val="FB560A"/>
      <w:sz w:val="21"/>
      <w:szCs w:val="21"/>
    </w:rPr>
  </w:style>
  <w:style w:type="character" w:customStyle="1" w:styleId="73">
    <w:name w:val="nth-of-type(1)7"/>
    <w:basedOn w:val="25"/>
    <w:autoRedefine/>
    <w:qFormat/>
    <w:uiPriority w:val="0"/>
  </w:style>
  <w:style w:type="character" w:customStyle="1" w:styleId="74">
    <w:name w:val="nth-of-type(1)8"/>
    <w:basedOn w:val="25"/>
    <w:autoRedefine/>
    <w:qFormat/>
    <w:uiPriority w:val="0"/>
  </w:style>
  <w:style w:type="character" w:customStyle="1" w:styleId="75">
    <w:name w:val="nth-of-type(1)9"/>
    <w:basedOn w:val="25"/>
    <w:autoRedefine/>
    <w:qFormat/>
    <w:uiPriority w:val="0"/>
  </w:style>
  <w:style w:type="character" w:customStyle="1" w:styleId="76">
    <w:name w:val="nth-of-type(1)10"/>
    <w:basedOn w:val="25"/>
    <w:autoRedefine/>
    <w:qFormat/>
    <w:uiPriority w:val="0"/>
  </w:style>
  <w:style w:type="character" w:customStyle="1" w:styleId="77">
    <w:name w:val="nth-of-type(1)11"/>
    <w:basedOn w:val="25"/>
    <w:autoRedefine/>
    <w:qFormat/>
    <w:uiPriority w:val="0"/>
  </w:style>
  <w:style w:type="character" w:customStyle="1" w:styleId="78">
    <w:name w:val="nth-of-type(1)12"/>
    <w:basedOn w:val="25"/>
    <w:autoRedefine/>
    <w:qFormat/>
    <w:uiPriority w:val="0"/>
  </w:style>
  <w:style w:type="character" w:customStyle="1" w:styleId="79">
    <w:name w:val="nth-of-type(1)13"/>
    <w:basedOn w:val="25"/>
    <w:autoRedefine/>
    <w:qFormat/>
    <w:uiPriority w:val="0"/>
    <w:rPr>
      <w:sz w:val="21"/>
      <w:szCs w:val="21"/>
    </w:rPr>
  </w:style>
  <w:style w:type="character" w:customStyle="1" w:styleId="80">
    <w:name w:val="nth-of-type(1)14"/>
    <w:basedOn w:val="25"/>
    <w:autoRedefine/>
    <w:qFormat/>
    <w:uiPriority w:val="0"/>
  </w:style>
  <w:style w:type="character" w:customStyle="1" w:styleId="81">
    <w:name w:val="nth-of-type(1)15"/>
    <w:basedOn w:val="25"/>
    <w:autoRedefine/>
    <w:qFormat/>
    <w:uiPriority w:val="0"/>
  </w:style>
  <w:style w:type="character" w:customStyle="1" w:styleId="82">
    <w:name w:val="nth-of-type(1)16"/>
    <w:basedOn w:val="25"/>
    <w:autoRedefine/>
    <w:qFormat/>
    <w:uiPriority w:val="0"/>
  </w:style>
  <w:style w:type="character" w:customStyle="1" w:styleId="83">
    <w:name w:val="nth-of-type(1)17"/>
    <w:basedOn w:val="25"/>
    <w:autoRedefine/>
    <w:qFormat/>
    <w:uiPriority w:val="0"/>
  </w:style>
  <w:style w:type="character" w:customStyle="1" w:styleId="84">
    <w:name w:val="nth-of-type(1)18"/>
    <w:basedOn w:val="25"/>
    <w:autoRedefine/>
    <w:qFormat/>
    <w:uiPriority w:val="0"/>
  </w:style>
  <w:style w:type="character" w:customStyle="1" w:styleId="85">
    <w:name w:val="hover25"/>
    <w:basedOn w:val="25"/>
    <w:autoRedefine/>
    <w:qFormat/>
    <w:uiPriority w:val="0"/>
    <w:rPr>
      <w:color w:val="167AE0"/>
    </w:rPr>
  </w:style>
  <w:style w:type="character" w:customStyle="1" w:styleId="86">
    <w:name w:val="layui-this"/>
    <w:basedOn w:val="25"/>
    <w:autoRedefine/>
    <w:qFormat/>
    <w:uiPriority w:val="0"/>
    <w:rPr>
      <w:bdr w:val="single" w:color="EEEEEE" w:sz="6" w:space="0"/>
      <w:shd w:val="clear" w:fill="FFFFFF"/>
    </w:rPr>
  </w:style>
  <w:style w:type="character" w:customStyle="1" w:styleId="87">
    <w:name w:val="nth-of-type(5)"/>
    <w:basedOn w:val="25"/>
    <w:autoRedefine/>
    <w:qFormat/>
    <w:uiPriority w:val="0"/>
  </w:style>
  <w:style w:type="character" w:customStyle="1" w:styleId="88">
    <w:name w:val="nth-of-type(5)1"/>
    <w:basedOn w:val="25"/>
    <w:autoRedefine/>
    <w:qFormat/>
    <w:uiPriority w:val="0"/>
  </w:style>
  <w:style w:type="character" w:customStyle="1" w:styleId="89">
    <w:name w:val="nth-of-type(5)2"/>
    <w:basedOn w:val="25"/>
    <w:autoRedefine/>
    <w:qFormat/>
    <w:uiPriority w:val="0"/>
  </w:style>
  <w:style w:type="character" w:customStyle="1" w:styleId="90">
    <w:name w:val="nth-of-type(5)3"/>
    <w:basedOn w:val="25"/>
    <w:autoRedefine/>
    <w:qFormat/>
    <w:uiPriority w:val="0"/>
  </w:style>
  <w:style w:type="character" w:customStyle="1" w:styleId="91">
    <w:name w:val="nth-of-type(5)4"/>
    <w:basedOn w:val="25"/>
    <w:autoRedefine/>
    <w:qFormat/>
    <w:uiPriority w:val="0"/>
    <w:rPr>
      <w:sz w:val="21"/>
      <w:szCs w:val="21"/>
    </w:rPr>
  </w:style>
  <w:style w:type="character" w:customStyle="1" w:styleId="92">
    <w:name w:val="nth-of-type(5)5"/>
    <w:basedOn w:val="25"/>
    <w:autoRedefine/>
    <w:qFormat/>
    <w:uiPriority w:val="0"/>
  </w:style>
  <w:style w:type="character" w:customStyle="1" w:styleId="93">
    <w:name w:val="nth-of-type(5)6"/>
    <w:basedOn w:val="25"/>
    <w:autoRedefine/>
    <w:qFormat/>
    <w:uiPriority w:val="0"/>
  </w:style>
  <w:style w:type="character" w:customStyle="1" w:styleId="94">
    <w:name w:val="nth-of-type(2)"/>
    <w:basedOn w:val="25"/>
    <w:autoRedefine/>
    <w:qFormat/>
    <w:uiPriority w:val="0"/>
  </w:style>
  <w:style w:type="character" w:customStyle="1" w:styleId="95">
    <w:name w:val="nth-of-type(2)1"/>
    <w:basedOn w:val="25"/>
    <w:autoRedefine/>
    <w:qFormat/>
    <w:uiPriority w:val="0"/>
  </w:style>
  <w:style w:type="character" w:customStyle="1" w:styleId="96">
    <w:name w:val="nth-of-type(2)2"/>
    <w:basedOn w:val="25"/>
    <w:autoRedefine/>
    <w:qFormat/>
    <w:uiPriority w:val="0"/>
  </w:style>
  <w:style w:type="character" w:customStyle="1" w:styleId="97">
    <w:name w:val="nth-of-type(2)3"/>
    <w:basedOn w:val="25"/>
    <w:autoRedefine/>
    <w:qFormat/>
    <w:uiPriority w:val="0"/>
  </w:style>
  <w:style w:type="character" w:customStyle="1" w:styleId="98">
    <w:name w:val="nth-of-type(2)4"/>
    <w:basedOn w:val="25"/>
    <w:autoRedefine/>
    <w:qFormat/>
    <w:uiPriority w:val="0"/>
  </w:style>
  <w:style w:type="character" w:customStyle="1" w:styleId="99">
    <w:name w:val="nth-of-type(2)5"/>
    <w:basedOn w:val="25"/>
    <w:autoRedefine/>
    <w:qFormat/>
    <w:uiPriority w:val="0"/>
  </w:style>
  <w:style w:type="character" w:customStyle="1" w:styleId="100">
    <w:name w:val="nth-of-type(2)6"/>
    <w:basedOn w:val="25"/>
    <w:autoRedefine/>
    <w:qFormat/>
    <w:uiPriority w:val="0"/>
  </w:style>
  <w:style w:type="character" w:customStyle="1" w:styleId="101">
    <w:name w:val="nth-of-type(2)7"/>
    <w:basedOn w:val="25"/>
    <w:autoRedefine/>
    <w:qFormat/>
    <w:uiPriority w:val="0"/>
  </w:style>
  <w:style w:type="character" w:customStyle="1" w:styleId="102">
    <w:name w:val="nth-of-type(2)8"/>
    <w:basedOn w:val="25"/>
    <w:autoRedefine/>
    <w:qFormat/>
    <w:uiPriority w:val="0"/>
  </w:style>
  <w:style w:type="character" w:customStyle="1" w:styleId="103">
    <w:name w:val="nth-of-type(2)9"/>
    <w:basedOn w:val="25"/>
    <w:autoRedefine/>
    <w:qFormat/>
    <w:uiPriority w:val="0"/>
  </w:style>
  <w:style w:type="character" w:customStyle="1" w:styleId="104">
    <w:name w:val="nth-of-type(2)10"/>
    <w:basedOn w:val="25"/>
    <w:autoRedefine/>
    <w:qFormat/>
    <w:uiPriority w:val="0"/>
    <w:rPr>
      <w:sz w:val="21"/>
      <w:szCs w:val="21"/>
    </w:rPr>
  </w:style>
  <w:style w:type="character" w:customStyle="1" w:styleId="105">
    <w:name w:val="nth-of-type(2)11"/>
    <w:basedOn w:val="25"/>
    <w:autoRedefine/>
    <w:qFormat/>
    <w:uiPriority w:val="0"/>
  </w:style>
  <w:style w:type="character" w:customStyle="1" w:styleId="106">
    <w:name w:val="nth-of-type(2)12"/>
    <w:basedOn w:val="25"/>
    <w:autoRedefine/>
    <w:qFormat/>
    <w:uiPriority w:val="0"/>
  </w:style>
  <w:style w:type="character" w:customStyle="1" w:styleId="107">
    <w:name w:val="nth-of-type(2)13"/>
    <w:basedOn w:val="25"/>
    <w:autoRedefine/>
    <w:qFormat/>
    <w:uiPriority w:val="0"/>
  </w:style>
  <w:style w:type="character" w:customStyle="1" w:styleId="108">
    <w:name w:val="nth-of-type(2)14"/>
    <w:basedOn w:val="25"/>
    <w:autoRedefine/>
    <w:qFormat/>
    <w:uiPriority w:val="0"/>
  </w:style>
  <w:style w:type="character" w:customStyle="1" w:styleId="109">
    <w:name w:val="before2"/>
    <w:basedOn w:val="25"/>
    <w:autoRedefine/>
    <w:qFormat/>
    <w:uiPriority w:val="0"/>
    <w:rPr>
      <w:shd w:val="clear" w:fill="C20E0C"/>
    </w:rPr>
  </w:style>
  <w:style w:type="character" w:customStyle="1" w:styleId="110">
    <w:name w:val="nth-of-type(4)"/>
    <w:basedOn w:val="25"/>
    <w:autoRedefine/>
    <w:qFormat/>
    <w:uiPriority w:val="0"/>
  </w:style>
  <w:style w:type="character" w:customStyle="1" w:styleId="111">
    <w:name w:val="nth-of-type(4)1"/>
    <w:basedOn w:val="25"/>
    <w:autoRedefine/>
    <w:qFormat/>
    <w:uiPriority w:val="0"/>
  </w:style>
  <w:style w:type="character" w:customStyle="1" w:styleId="112">
    <w:name w:val="nth-of-type(4)2"/>
    <w:basedOn w:val="25"/>
    <w:autoRedefine/>
    <w:qFormat/>
    <w:uiPriority w:val="0"/>
  </w:style>
  <w:style w:type="character" w:customStyle="1" w:styleId="113">
    <w:name w:val="nth-of-type(4)3"/>
    <w:basedOn w:val="25"/>
    <w:autoRedefine/>
    <w:qFormat/>
    <w:uiPriority w:val="0"/>
  </w:style>
  <w:style w:type="character" w:customStyle="1" w:styleId="114">
    <w:name w:val="nth-of-type(4)4"/>
    <w:basedOn w:val="25"/>
    <w:autoRedefine/>
    <w:qFormat/>
    <w:uiPriority w:val="0"/>
    <w:rPr>
      <w:sz w:val="21"/>
      <w:szCs w:val="21"/>
    </w:rPr>
  </w:style>
  <w:style w:type="character" w:customStyle="1" w:styleId="115">
    <w:name w:val="nth-of-type(4)5"/>
    <w:basedOn w:val="25"/>
    <w:autoRedefine/>
    <w:qFormat/>
    <w:uiPriority w:val="0"/>
  </w:style>
  <w:style w:type="character" w:customStyle="1" w:styleId="116">
    <w:name w:val="nth-of-type(4)6"/>
    <w:basedOn w:val="25"/>
    <w:autoRedefine/>
    <w:qFormat/>
    <w:uiPriority w:val="0"/>
  </w:style>
  <w:style w:type="character" w:customStyle="1" w:styleId="117">
    <w:name w:val="nth-of-type(4)7"/>
    <w:basedOn w:val="25"/>
    <w:autoRedefine/>
    <w:qFormat/>
    <w:uiPriority w:val="0"/>
  </w:style>
  <w:style w:type="character" w:customStyle="1" w:styleId="118">
    <w:name w:val="nth-of-type(4)8"/>
    <w:basedOn w:val="25"/>
    <w:autoRedefine/>
    <w:qFormat/>
    <w:uiPriority w:val="0"/>
  </w:style>
  <w:style w:type="character" w:customStyle="1" w:styleId="119">
    <w:name w:val="nth-of-type(6)"/>
    <w:basedOn w:val="25"/>
    <w:autoRedefine/>
    <w:qFormat/>
    <w:uiPriority w:val="0"/>
  </w:style>
  <w:style w:type="character" w:customStyle="1" w:styleId="120">
    <w:name w:val="nth-of-type(6)1"/>
    <w:basedOn w:val="25"/>
    <w:autoRedefine/>
    <w:qFormat/>
    <w:uiPriority w:val="0"/>
    <w:rPr>
      <w:color w:val="0082DF"/>
    </w:rPr>
  </w:style>
  <w:style w:type="character" w:customStyle="1" w:styleId="121">
    <w:name w:val="nth-of-type(6)2"/>
    <w:basedOn w:val="25"/>
    <w:autoRedefine/>
    <w:qFormat/>
    <w:uiPriority w:val="0"/>
  </w:style>
  <w:style w:type="character" w:customStyle="1" w:styleId="122">
    <w:name w:val="nth-of-type(6)3"/>
    <w:basedOn w:val="25"/>
    <w:autoRedefine/>
    <w:qFormat/>
    <w:uiPriority w:val="0"/>
  </w:style>
  <w:style w:type="character" w:customStyle="1" w:styleId="123">
    <w:name w:val="nth-of-type(6)4"/>
    <w:basedOn w:val="25"/>
    <w:autoRedefine/>
    <w:qFormat/>
    <w:uiPriority w:val="0"/>
  </w:style>
  <w:style w:type="character" w:customStyle="1" w:styleId="124">
    <w:name w:val="nth-of-type(6)5"/>
    <w:basedOn w:val="25"/>
    <w:autoRedefine/>
    <w:qFormat/>
    <w:uiPriority w:val="0"/>
  </w:style>
  <w:style w:type="character" w:customStyle="1" w:styleId="125">
    <w:name w:val="nth-of-type(8)"/>
    <w:basedOn w:val="25"/>
    <w:autoRedefine/>
    <w:qFormat/>
    <w:uiPriority w:val="0"/>
  </w:style>
  <w:style w:type="character" w:customStyle="1" w:styleId="126">
    <w:name w:val="lineshow"/>
    <w:basedOn w:val="25"/>
    <w:autoRedefine/>
    <w:qFormat/>
    <w:uiPriority w:val="0"/>
  </w:style>
  <w:style w:type="character" w:customStyle="1" w:styleId="127">
    <w:name w:val="lineshow1"/>
    <w:basedOn w:val="25"/>
    <w:autoRedefine/>
    <w:qFormat/>
    <w:uiPriority w:val="0"/>
  </w:style>
  <w:style w:type="character" w:customStyle="1" w:styleId="128">
    <w:name w:val="nth-child(3)"/>
    <w:basedOn w:val="25"/>
    <w:autoRedefine/>
    <w:qFormat/>
    <w:uiPriority w:val="0"/>
  </w:style>
  <w:style w:type="character" w:customStyle="1" w:styleId="129">
    <w:name w:val="nth-of-type(7)"/>
    <w:basedOn w:val="25"/>
    <w:autoRedefine/>
    <w:qFormat/>
    <w:uiPriority w:val="0"/>
  </w:style>
  <w:style w:type="character" w:customStyle="1" w:styleId="130">
    <w:name w:val="nth-of-type(7)1"/>
    <w:basedOn w:val="25"/>
    <w:autoRedefine/>
    <w:qFormat/>
    <w:uiPriority w:val="0"/>
  </w:style>
  <w:style w:type="character" w:customStyle="1" w:styleId="131">
    <w:name w:val="nth-of-type(7)2"/>
    <w:basedOn w:val="25"/>
    <w:autoRedefine/>
    <w:qFormat/>
    <w:uiPriority w:val="0"/>
  </w:style>
  <w:style w:type="character" w:customStyle="1" w:styleId="132">
    <w:name w:val="nth-of-type(3)"/>
    <w:basedOn w:val="25"/>
    <w:autoRedefine/>
    <w:qFormat/>
    <w:uiPriority w:val="0"/>
  </w:style>
  <w:style w:type="character" w:customStyle="1" w:styleId="133">
    <w:name w:val="nth-of-type(3)1"/>
    <w:basedOn w:val="25"/>
    <w:autoRedefine/>
    <w:qFormat/>
    <w:uiPriority w:val="0"/>
  </w:style>
  <w:style w:type="character" w:customStyle="1" w:styleId="134">
    <w:name w:val="nth-of-type(3)2"/>
    <w:basedOn w:val="25"/>
    <w:autoRedefine/>
    <w:qFormat/>
    <w:uiPriority w:val="0"/>
  </w:style>
  <w:style w:type="character" w:customStyle="1" w:styleId="135">
    <w:name w:val="nth-of-type(3)3"/>
    <w:basedOn w:val="25"/>
    <w:autoRedefine/>
    <w:qFormat/>
    <w:uiPriority w:val="0"/>
    <w:rPr>
      <w:sz w:val="21"/>
      <w:szCs w:val="21"/>
    </w:rPr>
  </w:style>
  <w:style w:type="character" w:customStyle="1" w:styleId="136">
    <w:name w:val="nth-of-type(3)4"/>
    <w:basedOn w:val="25"/>
    <w:autoRedefine/>
    <w:qFormat/>
    <w:uiPriority w:val="0"/>
  </w:style>
  <w:style w:type="character" w:customStyle="1" w:styleId="137">
    <w:name w:val="nth-of-type(3)5"/>
    <w:basedOn w:val="25"/>
    <w:autoRedefine/>
    <w:qFormat/>
    <w:uiPriority w:val="0"/>
  </w:style>
  <w:style w:type="character" w:customStyle="1" w:styleId="138">
    <w:name w:val="nth-of-type(3)6"/>
    <w:basedOn w:val="25"/>
    <w:autoRedefine/>
    <w:qFormat/>
    <w:uiPriority w:val="0"/>
  </w:style>
  <w:style w:type="character" w:customStyle="1" w:styleId="139">
    <w:name w:val="nth-of-type(3)7"/>
    <w:basedOn w:val="25"/>
    <w:autoRedefine/>
    <w:qFormat/>
    <w:uiPriority w:val="0"/>
  </w:style>
  <w:style w:type="character" w:customStyle="1" w:styleId="140">
    <w:name w:val="nth-of-type(9)"/>
    <w:basedOn w:val="25"/>
    <w:autoRedefine/>
    <w:qFormat/>
    <w:uiPriority w:val="0"/>
  </w:style>
  <w:style w:type="character" w:customStyle="1" w:styleId="141">
    <w:name w:val="nth-of-type(10)"/>
    <w:basedOn w:val="25"/>
    <w:autoRedefine/>
    <w:qFormat/>
    <w:uiPriority w:val="0"/>
  </w:style>
  <w:style w:type="character" w:customStyle="1" w:styleId="142">
    <w:name w:val="titleshow"/>
    <w:basedOn w:val="25"/>
    <w:autoRedefine/>
    <w:qFormat/>
    <w:uiPriority w:val="0"/>
    <w:rPr>
      <w:color w:val="3E464C"/>
    </w:rPr>
  </w:style>
  <w:style w:type="character" w:customStyle="1" w:styleId="143">
    <w:name w:val="nth-child(2)"/>
    <w:basedOn w:val="25"/>
    <w:autoRedefine/>
    <w:qFormat/>
    <w:uiPriority w:val="0"/>
  </w:style>
  <w:style w:type="character" w:customStyle="1" w:styleId="144">
    <w:name w:val="last-child1"/>
    <w:basedOn w:val="25"/>
    <w:autoRedefine/>
    <w:qFormat/>
    <w:uiPriority w:val="0"/>
    <w:rPr>
      <w:color w:val="FFFFFF"/>
    </w:rPr>
  </w:style>
  <w:style w:type="character" w:customStyle="1" w:styleId="145">
    <w:name w:val="last-child2"/>
    <w:basedOn w:val="25"/>
    <w:autoRedefine/>
    <w:qFormat/>
    <w:uiPriority w:val="0"/>
  </w:style>
  <w:style w:type="character" w:customStyle="1" w:styleId="146">
    <w:name w:val="last-child3"/>
    <w:basedOn w:val="25"/>
    <w:autoRedefine/>
    <w:qFormat/>
    <w:uiPriority w:val="0"/>
  </w:style>
  <w:style w:type="character" w:customStyle="1" w:styleId="147">
    <w:name w:val="nth-child(1)"/>
    <w:basedOn w:val="25"/>
    <w:autoRedefine/>
    <w:qFormat/>
    <w:uiPriority w:val="0"/>
  </w:style>
  <w:style w:type="character" w:customStyle="1" w:styleId="148">
    <w:name w:val="first-child1"/>
    <w:basedOn w:val="25"/>
    <w:autoRedefine/>
    <w:qFormat/>
    <w:uiPriority w:val="0"/>
  </w:style>
  <w:style w:type="character" w:customStyle="1" w:styleId="149">
    <w:name w:val="first-child2"/>
    <w:basedOn w:val="25"/>
    <w:autoRedefine/>
    <w:qFormat/>
    <w:uiPriority w:val="0"/>
  </w:style>
  <w:style w:type="character" w:customStyle="1" w:styleId="150">
    <w:name w:val="first-child3"/>
    <w:basedOn w:val="25"/>
    <w:autoRedefine/>
    <w:qFormat/>
    <w:uiPriority w:val="0"/>
  </w:style>
  <w:style w:type="character" w:customStyle="1" w:styleId="151">
    <w:name w:val="first-child4"/>
    <w:basedOn w:val="25"/>
    <w:autoRedefine/>
    <w:qFormat/>
    <w:uiPriority w:val="0"/>
  </w:style>
  <w:style w:type="character" w:customStyle="1" w:styleId="152">
    <w:name w:val="layui-laypage-curr"/>
    <w:basedOn w:val="2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2068"/>
    <customShpInfo spid="_x0000_s2059"/>
    <customShpInfo spid="_x0000_s2052"/>
    <customShpInfo spid="_x0000_s2051"/>
    <customShpInfo spid="_x0000_s2054"/>
    <customShpInfo spid="_x0000_s2053"/>
    <customShpInfo spid="_x0000_s2055" textRotate="1"/>
    <customShpInfo spid="_x0000_s2066" textRotate="1"/>
    <customShpInfo spid="_x0000_s2067" textRotate="1"/>
    <customShpInfo spid="_x0000_s2058" textRotate="1"/>
    <customShpInfo spid="_x0000_s1036"/>
    <customShpInfo spid="_x0000_s1026"/>
    <customShpInfo spid="_x0000_s1027"/>
    <customShpInfo spid="_x0000_s1037"/>
    <customShpInfo spid="_x0000_s1035"/>
    <customShpInfo spid="_x0000_s1038"/>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Micorosoft</Company>
  <Pages>84</Pages>
  <Words>36087</Words>
  <Characters>37849</Characters>
  <Lines>1</Lines>
  <Paragraphs>1</Paragraphs>
  <TotalTime>30</TotalTime>
  <ScaleCrop>false</ScaleCrop>
  <LinksUpToDate>false</LinksUpToDate>
  <CharactersWithSpaces>40141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QinL109</cp:lastModifiedBy>
  <cp:lastPrinted>2024-08-23T08:03:00Z</cp:lastPrinted>
  <dcterms:modified xsi:type="dcterms:W3CDTF">2024-09-12T01:59:09Z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E244BE1521F748C4B7CE0919B350EA60</vt:lpwstr>
  </property>
  <property fmtid="{D5CDD505-2E9C-101B-9397-08002B2CF9AE}" pid="4" name="commondata">
    <vt:lpwstr>eyJoZGlkIjoiZDA1NjllZTBmZjRkODQ4Yzg1ZWZjMzk1NDljZWE0OWQifQ==</vt:lpwstr>
  </property>
</Properties>
</file>