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E779A">
      <w:pPr>
        <w:rPr>
          <w:rFonts w:hint="eastAsia" w:hAnsi="宋体" w:cs="宋体"/>
          <w:b/>
          <w:sz w:val="36"/>
          <w:highlight w:val="none"/>
        </w:rPr>
      </w:pPr>
      <w:r>
        <w:rPr>
          <w:rFonts w:hint="eastAsia" w:hAnsi="宋体" w:cs="宋体"/>
          <w:b/>
          <w:bCs/>
          <w:kern w:val="2"/>
          <w:sz w:val="32"/>
          <w:szCs w:val="32"/>
          <w:highlight w:val="none"/>
        </w:rPr>
        <w:t>项目编号:SXZCZB2024-ZCGK-1224</w:t>
      </w:r>
    </w:p>
    <w:p w14:paraId="738F0617">
      <w:pPr>
        <w:rPr>
          <w:rFonts w:hint="eastAsia" w:hAnsi="宋体" w:cs="宋体"/>
          <w:b/>
          <w:sz w:val="36"/>
          <w:highlight w:val="none"/>
        </w:rPr>
      </w:pPr>
    </w:p>
    <w:p w14:paraId="50E99492">
      <w:pPr>
        <w:tabs>
          <w:tab w:val="left" w:pos="3375"/>
        </w:tabs>
        <w:rPr>
          <w:rFonts w:hint="eastAsia" w:hAnsi="宋体" w:cs="宋体"/>
          <w:highlight w:val="none"/>
        </w:rPr>
      </w:pPr>
      <w:r>
        <w:rPr>
          <w:rFonts w:hint="eastAsia" w:hAnsi="宋体" w:cs="宋体"/>
          <w:highlight w:val="none"/>
        </w:rPr>
        <w:tab/>
      </w:r>
    </w:p>
    <w:p w14:paraId="2BF57464">
      <w:pPr>
        <w:jc w:val="center"/>
        <w:rPr>
          <w:rFonts w:hint="eastAsia" w:hAnsi="宋体" w:cs="宋体"/>
          <w:b/>
          <w:sz w:val="52"/>
          <w:szCs w:val="52"/>
          <w:highlight w:val="none"/>
        </w:rPr>
      </w:pPr>
    </w:p>
    <w:p w14:paraId="027EE185">
      <w:pPr>
        <w:jc w:val="center"/>
        <w:rPr>
          <w:rFonts w:hint="eastAsia" w:hAnsi="宋体" w:cs="宋体"/>
          <w:b/>
          <w:sz w:val="72"/>
          <w:szCs w:val="72"/>
          <w:highlight w:val="none"/>
        </w:rPr>
      </w:pPr>
    </w:p>
    <w:p w14:paraId="589E5FD7">
      <w:pPr>
        <w:jc w:val="center"/>
        <w:rPr>
          <w:rFonts w:hint="eastAsia" w:hAnsi="宋体" w:cs="宋体"/>
          <w:b/>
          <w:sz w:val="48"/>
          <w:szCs w:val="48"/>
          <w:highlight w:val="none"/>
        </w:rPr>
      </w:pPr>
      <w:r>
        <w:rPr>
          <w:rFonts w:hint="eastAsia" w:hAnsi="宋体" w:cs="宋体"/>
          <w:b/>
          <w:sz w:val="72"/>
          <w:szCs w:val="72"/>
          <w:highlight w:val="none"/>
        </w:rPr>
        <w:t>心电网络及远程影像诊断中心采购项目</w:t>
      </w:r>
    </w:p>
    <w:p w14:paraId="4ECFA19C">
      <w:pPr>
        <w:pStyle w:val="10"/>
        <w:jc w:val="center"/>
        <w:rPr>
          <w:rFonts w:hint="eastAsia" w:hAnsi="宋体" w:cs="宋体"/>
          <w:b/>
          <w:sz w:val="48"/>
          <w:szCs w:val="48"/>
          <w:highlight w:val="none"/>
        </w:rPr>
      </w:pPr>
    </w:p>
    <w:p w14:paraId="0E77BABC">
      <w:pPr>
        <w:spacing w:line="780" w:lineRule="auto"/>
        <w:jc w:val="center"/>
        <w:rPr>
          <w:rFonts w:hint="eastAsia" w:hAnsi="宋体" w:cs="宋体"/>
          <w:b/>
          <w:sz w:val="88"/>
          <w:szCs w:val="88"/>
          <w:highlight w:val="none"/>
        </w:rPr>
      </w:pPr>
    </w:p>
    <w:p w14:paraId="224388B4">
      <w:pPr>
        <w:pStyle w:val="13"/>
        <w:rPr>
          <w:highlight w:val="none"/>
        </w:rPr>
      </w:pPr>
    </w:p>
    <w:p w14:paraId="13E02308">
      <w:pPr>
        <w:spacing w:line="780" w:lineRule="auto"/>
        <w:jc w:val="center"/>
        <w:rPr>
          <w:rFonts w:hint="eastAsia" w:hAnsi="宋体" w:cs="宋体"/>
          <w:b/>
          <w:sz w:val="88"/>
          <w:szCs w:val="88"/>
          <w:highlight w:val="none"/>
        </w:rPr>
      </w:pPr>
      <w:r>
        <w:rPr>
          <w:rFonts w:hint="eastAsia" w:hAnsi="宋体" w:cs="宋体"/>
          <w:b/>
          <w:sz w:val="56"/>
          <w:szCs w:val="56"/>
          <w:highlight w:val="none"/>
        </w:rPr>
        <w:t>招 标 文 件</w:t>
      </w:r>
    </w:p>
    <w:p w14:paraId="18ACA1E1">
      <w:pPr>
        <w:rPr>
          <w:rFonts w:hint="eastAsia" w:hAnsi="宋体" w:cs="宋体"/>
          <w:highlight w:val="none"/>
        </w:rPr>
      </w:pPr>
      <w:bookmarkStart w:id="0" w:name="_Toc363463325"/>
    </w:p>
    <w:p w14:paraId="31CB0284">
      <w:pPr>
        <w:rPr>
          <w:rFonts w:hint="eastAsia" w:hAnsi="宋体" w:cs="宋体"/>
          <w:highlight w:val="none"/>
        </w:rPr>
      </w:pPr>
    </w:p>
    <w:bookmarkEnd w:id="0"/>
    <w:p w14:paraId="542C4A42">
      <w:pPr>
        <w:rPr>
          <w:rFonts w:hint="eastAsia" w:hAnsi="宋体" w:cs="宋体"/>
          <w:sz w:val="18"/>
          <w:szCs w:val="18"/>
          <w:highlight w:val="none"/>
        </w:rPr>
      </w:pPr>
    </w:p>
    <w:p w14:paraId="4229AAAE">
      <w:pPr>
        <w:rPr>
          <w:rFonts w:hint="eastAsia" w:hAnsi="宋体" w:cs="宋体"/>
          <w:sz w:val="18"/>
          <w:szCs w:val="18"/>
          <w:highlight w:val="none"/>
        </w:rPr>
      </w:pPr>
    </w:p>
    <w:p w14:paraId="5385B3D8">
      <w:pPr>
        <w:rPr>
          <w:rFonts w:hint="eastAsia" w:hAnsi="宋体" w:cs="宋体"/>
          <w:sz w:val="18"/>
          <w:szCs w:val="18"/>
          <w:highlight w:val="none"/>
        </w:rPr>
      </w:pPr>
    </w:p>
    <w:p w14:paraId="4B514F1E">
      <w:pPr>
        <w:rPr>
          <w:rFonts w:hint="eastAsia" w:hAnsi="宋体" w:cs="宋体"/>
          <w:sz w:val="18"/>
          <w:szCs w:val="18"/>
          <w:highlight w:val="none"/>
        </w:rPr>
      </w:pPr>
    </w:p>
    <w:p w14:paraId="09551016">
      <w:pPr>
        <w:rPr>
          <w:rFonts w:hint="eastAsia" w:hAnsi="宋体" w:cs="宋体"/>
          <w:sz w:val="18"/>
          <w:szCs w:val="18"/>
          <w:highlight w:val="none"/>
        </w:rPr>
      </w:pPr>
    </w:p>
    <w:p w14:paraId="1F56DBD5">
      <w:pPr>
        <w:rPr>
          <w:rFonts w:hint="eastAsia" w:hAnsi="宋体" w:cs="宋体"/>
          <w:sz w:val="18"/>
          <w:szCs w:val="18"/>
          <w:highlight w:val="none"/>
        </w:rPr>
      </w:pPr>
    </w:p>
    <w:p w14:paraId="623C4AED">
      <w:pPr>
        <w:pStyle w:val="7"/>
        <w:ind w:firstLine="0" w:firstLineChars="0"/>
        <w:rPr>
          <w:rFonts w:hint="eastAsia" w:hAnsi="宋体" w:cs="宋体"/>
          <w:sz w:val="18"/>
          <w:szCs w:val="18"/>
          <w:highlight w:val="none"/>
        </w:rPr>
      </w:pPr>
    </w:p>
    <w:p w14:paraId="3E134A0D">
      <w:pPr>
        <w:tabs>
          <w:tab w:val="left" w:pos="525"/>
        </w:tabs>
        <w:ind w:left="-2" w:leftChars="-1" w:firstLine="1"/>
        <w:jc w:val="center"/>
        <w:rPr>
          <w:rFonts w:hint="eastAsia" w:hAnsi="宋体" w:cs="宋体"/>
          <w:b/>
          <w:bCs/>
          <w:kern w:val="2"/>
          <w:sz w:val="32"/>
          <w:szCs w:val="32"/>
          <w:highlight w:val="none"/>
        </w:rPr>
      </w:pPr>
      <w:r>
        <w:rPr>
          <w:rFonts w:hint="eastAsia" w:hAnsi="宋体" w:cs="宋体"/>
          <w:b/>
          <w:bCs/>
          <w:kern w:val="2"/>
          <w:sz w:val="32"/>
          <w:szCs w:val="32"/>
          <w:highlight w:val="none"/>
        </w:rPr>
        <w:t>陕西至诚项目管理集团有限公司</w:t>
      </w:r>
    </w:p>
    <w:p w14:paraId="3C605FE8">
      <w:pPr>
        <w:tabs>
          <w:tab w:val="left" w:pos="525"/>
        </w:tabs>
        <w:ind w:left="-2" w:leftChars="-1" w:firstLine="1"/>
        <w:jc w:val="center"/>
        <w:rPr>
          <w:rFonts w:hint="eastAsia" w:hAnsi="宋体" w:cs="宋体"/>
          <w:b/>
          <w:sz w:val="44"/>
          <w:szCs w:val="44"/>
          <w:highlight w:val="none"/>
        </w:rPr>
        <w:sectPr>
          <w:headerReference r:id="rId4" w:type="first"/>
          <w:footerReference r:id="rId6" w:type="first"/>
          <w:headerReference r:id="rId3" w:type="default"/>
          <w:footerReference r:id="rId5" w:type="default"/>
          <w:pgSz w:w="11906" w:h="16838"/>
          <w:pgMar w:top="1361" w:right="1417" w:bottom="1361" w:left="1417" w:header="1134" w:footer="992" w:gutter="0"/>
          <w:pgNumType w:start="1"/>
          <w:cols w:space="720" w:num="1"/>
          <w:titlePg/>
          <w:docGrid w:type="lines" w:linePitch="333" w:charSpace="0"/>
        </w:sectPr>
      </w:pPr>
      <w:r>
        <w:rPr>
          <w:rFonts w:hint="eastAsia" w:hAnsi="宋体" w:cs="宋体"/>
          <w:b/>
          <w:bCs/>
          <w:kern w:val="2"/>
          <w:sz w:val="32"/>
          <w:szCs w:val="32"/>
          <w:highlight w:val="none"/>
        </w:rPr>
        <w:t>二〇二四年十二月</w:t>
      </w:r>
    </w:p>
    <w:p w14:paraId="5457C78D">
      <w:pPr>
        <w:spacing w:before="166" w:beforeLines="50" w:line="360" w:lineRule="auto"/>
        <w:jc w:val="center"/>
        <w:rPr>
          <w:rFonts w:hint="eastAsia" w:hAnsi="宋体" w:cs="宋体"/>
          <w:b/>
          <w:sz w:val="44"/>
          <w:szCs w:val="44"/>
          <w:highlight w:val="none"/>
        </w:rPr>
      </w:pPr>
      <w:r>
        <w:rPr>
          <w:rFonts w:hint="eastAsia" w:hAnsi="宋体" w:cs="宋体"/>
          <w:b/>
          <w:sz w:val="44"/>
          <w:szCs w:val="44"/>
          <w:highlight w:val="none"/>
        </w:rPr>
        <w:t>目   录</w:t>
      </w:r>
    </w:p>
    <w:p w14:paraId="468F46A9">
      <w:pPr>
        <w:pStyle w:val="15"/>
        <w:tabs>
          <w:tab w:val="right" w:leader="dot" w:pos="9355"/>
          <w:tab w:val="clear" w:pos="1418"/>
          <w:tab w:val="clear" w:pos="8302"/>
        </w:tabs>
        <w:spacing w:line="480" w:lineRule="auto"/>
        <w:rPr>
          <w:sz w:val="28"/>
          <w:szCs w:val="28"/>
          <w:highlight w:val="none"/>
        </w:rPr>
      </w:pPr>
      <w:bookmarkStart w:id="1" w:name="_Toc5293"/>
      <w:bookmarkStart w:id="2" w:name="_Toc20858"/>
      <w:bookmarkStart w:id="3" w:name="_Toc389582033"/>
      <w:bookmarkStart w:id="4" w:name="_Toc16218"/>
      <w:bookmarkStart w:id="5" w:name="_Toc20652"/>
      <w:bookmarkStart w:id="6" w:name="_Toc21518"/>
      <w:bookmarkStart w:id="7" w:name="_Toc19886"/>
      <w:bookmarkStart w:id="8" w:name="_Toc426457691"/>
      <w:bookmarkStart w:id="9" w:name="_Toc403077638"/>
      <w:bookmarkStart w:id="10" w:name="_Toc363473971"/>
      <w:bookmarkStart w:id="11" w:name="_Toc363474016"/>
      <w:r>
        <w:rPr>
          <w:rFonts w:hint="eastAsia" w:hAnsi="宋体" w:cs="宋体"/>
          <w:sz w:val="28"/>
          <w:szCs w:val="28"/>
          <w:highlight w:val="none"/>
        </w:rPr>
        <w:fldChar w:fldCharType="begin"/>
      </w:r>
      <w:r>
        <w:rPr>
          <w:rFonts w:hint="eastAsia" w:hAnsi="宋体" w:cs="宋体"/>
          <w:sz w:val="28"/>
          <w:szCs w:val="28"/>
          <w:highlight w:val="none"/>
        </w:rPr>
        <w:instrText xml:space="preserve">TOC \o "1-4" \h \u </w:instrText>
      </w:r>
      <w:r>
        <w:rPr>
          <w:rFonts w:hint="eastAsia" w:hAnsi="宋体" w:cs="宋体"/>
          <w:sz w:val="28"/>
          <w:szCs w:val="28"/>
          <w:highlight w:val="none"/>
        </w:rPr>
        <w:fldChar w:fldCharType="separate"/>
      </w:r>
      <w:r>
        <w:rPr>
          <w:highlight w:val="none"/>
        </w:rPr>
        <w:fldChar w:fldCharType="begin"/>
      </w:r>
      <w:r>
        <w:rPr>
          <w:highlight w:val="none"/>
        </w:rPr>
        <w:instrText xml:space="preserve"> HYPERLINK \l "_Toc2548" </w:instrText>
      </w:r>
      <w:r>
        <w:rPr>
          <w:highlight w:val="none"/>
        </w:rPr>
        <w:fldChar w:fldCharType="separate"/>
      </w:r>
      <w:r>
        <w:rPr>
          <w:rFonts w:hint="eastAsia" w:cs="宋体"/>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_Toc2548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0196A474">
      <w:pPr>
        <w:pStyle w:val="15"/>
        <w:tabs>
          <w:tab w:val="right" w:leader="dot" w:pos="9355"/>
          <w:tab w:val="clear" w:pos="1418"/>
          <w:tab w:val="clear" w:pos="8302"/>
        </w:tabs>
        <w:spacing w:line="480" w:lineRule="auto"/>
        <w:rPr>
          <w:sz w:val="28"/>
          <w:szCs w:val="28"/>
          <w:highlight w:val="none"/>
        </w:rPr>
      </w:pPr>
      <w:r>
        <w:rPr>
          <w:highlight w:val="none"/>
        </w:rPr>
        <w:fldChar w:fldCharType="begin"/>
      </w:r>
      <w:r>
        <w:rPr>
          <w:highlight w:val="none"/>
        </w:rPr>
        <w:instrText xml:space="preserve"> HYPERLINK \l "_Toc4706" </w:instrText>
      </w:r>
      <w:r>
        <w:rPr>
          <w:highlight w:val="none"/>
        </w:rPr>
        <w:fldChar w:fldCharType="separate"/>
      </w:r>
      <w:r>
        <w:rPr>
          <w:rFonts w:hint="eastAsia" w:hAnsi="宋体" w:cs="宋体"/>
          <w:sz w:val="28"/>
          <w:szCs w:val="28"/>
          <w:highlight w:val="none"/>
        </w:rPr>
        <w:t>第二</w:t>
      </w:r>
      <w:r>
        <w:rPr>
          <w:rFonts w:hint="eastAsia" w:cs="宋体"/>
          <w:sz w:val="28"/>
          <w:szCs w:val="28"/>
          <w:highlight w:val="none"/>
        </w:rPr>
        <w:t>章  投标人须知</w:t>
      </w:r>
      <w:r>
        <w:rPr>
          <w:sz w:val="28"/>
          <w:szCs w:val="28"/>
          <w:highlight w:val="none"/>
        </w:rPr>
        <w:tab/>
      </w:r>
      <w:r>
        <w:rPr>
          <w:sz w:val="28"/>
          <w:szCs w:val="28"/>
          <w:highlight w:val="none"/>
        </w:rPr>
        <w:fldChar w:fldCharType="begin"/>
      </w:r>
      <w:r>
        <w:rPr>
          <w:sz w:val="28"/>
          <w:szCs w:val="28"/>
          <w:highlight w:val="none"/>
        </w:rPr>
        <w:instrText xml:space="preserve"> PAGEREF _Toc4706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0B2FAE91">
      <w:pPr>
        <w:pStyle w:val="16"/>
        <w:tabs>
          <w:tab w:val="right" w:leader="dot" w:pos="9355"/>
          <w:tab w:val="clear" w:pos="8302"/>
        </w:tabs>
        <w:spacing w:line="480" w:lineRule="auto"/>
        <w:ind w:left="480"/>
        <w:rPr>
          <w:sz w:val="28"/>
          <w:szCs w:val="28"/>
          <w:highlight w:val="none"/>
        </w:rPr>
      </w:pPr>
      <w:r>
        <w:rPr>
          <w:highlight w:val="none"/>
        </w:rPr>
        <w:fldChar w:fldCharType="begin"/>
      </w:r>
      <w:r>
        <w:rPr>
          <w:highlight w:val="none"/>
        </w:rPr>
        <w:instrText xml:space="preserve"> HYPERLINK \l "_Toc10162" </w:instrText>
      </w:r>
      <w:r>
        <w:rPr>
          <w:highlight w:val="none"/>
        </w:rPr>
        <w:fldChar w:fldCharType="separate"/>
      </w:r>
      <w:r>
        <w:rPr>
          <w:rFonts w:hint="eastAsia" w:hAnsi="宋体" w:cs="宋体"/>
          <w:sz w:val="28"/>
          <w:szCs w:val="28"/>
          <w:highlight w:val="none"/>
        </w:rPr>
        <w:t>投标人须知前附表</w:t>
      </w:r>
      <w:r>
        <w:rPr>
          <w:sz w:val="28"/>
          <w:szCs w:val="28"/>
          <w:highlight w:val="none"/>
        </w:rPr>
        <w:tab/>
      </w:r>
      <w:r>
        <w:rPr>
          <w:sz w:val="28"/>
          <w:szCs w:val="28"/>
          <w:highlight w:val="none"/>
        </w:rPr>
        <w:fldChar w:fldCharType="begin"/>
      </w:r>
      <w:r>
        <w:rPr>
          <w:sz w:val="28"/>
          <w:szCs w:val="28"/>
          <w:highlight w:val="none"/>
        </w:rPr>
        <w:instrText xml:space="preserve"> PAGEREF _Toc10162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3F489B89">
      <w:pPr>
        <w:pStyle w:val="15"/>
        <w:tabs>
          <w:tab w:val="right" w:leader="dot" w:pos="9355"/>
          <w:tab w:val="clear" w:pos="1418"/>
          <w:tab w:val="clear" w:pos="8302"/>
        </w:tabs>
        <w:spacing w:line="480" w:lineRule="auto"/>
        <w:rPr>
          <w:sz w:val="28"/>
          <w:szCs w:val="28"/>
          <w:highlight w:val="none"/>
        </w:rPr>
      </w:pPr>
      <w:r>
        <w:rPr>
          <w:highlight w:val="none"/>
        </w:rPr>
        <w:fldChar w:fldCharType="begin"/>
      </w:r>
      <w:r>
        <w:rPr>
          <w:highlight w:val="none"/>
        </w:rPr>
        <w:instrText xml:space="preserve"> HYPERLINK \l "_Toc17384" </w:instrText>
      </w:r>
      <w:r>
        <w:rPr>
          <w:highlight w:val="none"/>
        </w:rPr>
        <w:fldChar w:fldCharType="separate"/>
      </w:r>
      <w:r>
        <w:rPr>
          <w:rFonts w:hint="eastAsia" w:hAnsi="宋体" w:cs="宋体"/>
          <w:sz w:val="28"/>
          <w:szCs w:val="28"/>
          <w:highlight w:val="none"/>
        </w:rPr>
        <w:t>第三章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_Toc17384 \h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14:paraId="5F83B836">
      <w:pPr>
        <w:pStyle w:val="16"/>
        <w:tabs>
          <w:tab w:val="right" w:leader="dot" w:pos="9355"/>
          <w:tab w:val="clear" w:pos="8302"/>
        </w:tabs>
        <w:spacing w:line="480" w:lineRule="auto"/>
        <w:ind w:left="480"/>
        <w:rPr>
          <w:sz w:val="28"/>
          <w:szCs w:val="28"/>
          <w:highlight w:val="none"/>
        </w:rPr>
      </w:pPr>
      <w:r>
        <w:rPr>
          <w:highlight w:val="none"/>
        </w:rPr>
        <w:fldChar w:fldCharType="begin"/>
      </w:r>
      <w:r>
        <w:rPr>
          <w:highlight w:val="none"/>
        </w:rPr>
        <w:instrText xml:space="preserve"> HYPERLINK \l "_Toc25352" </w:instrText>
      </w:r>
      <w:r>
        <w:rPr>
          <w:highlight w:val="none"/>
        </w:rPr>
        <w:fldChar w:fldCharType="separate"/>
      </w:r>
      <w:r>
        <w:rPr>
          <w:rFonts w:hint="eastAsia"/>
          <w:sz w:val="28"/>
          <w:szCs w:val="28"/>
          <w:highlight w:val="none"/>
        </w:rPr>
        <w:t>合同条款及格式前附表</w:t>
      </w:r>
      <w:r>
        <w:rPr>
          <w:sz w:val="28"/>
          <w:szCs w:val="28"/>
          <w:highlight w:val="none"/>
        </w:rPr>
        <w:tab/>
      </w:r>
      <w:r>
        <w:rPr>
          <w:sz w:val="28"/>
          <w:szCs w:val="28"/>
          <w:highlight w:val="none"/>
        </w:rPr>
        <w:fldChar w:fldCharType="begin"/>
      </w:r>
      <w:r>
        <w:rPr>
          <w:sz w:val="28"/>
          <w:szCs w:val="28"/>
          <w:highlight w:val="none"/>
        </w:rPr>
        <w:instrText xml:space="preserve"> PAGEREF _Toc25352 \h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14:paraId="5B3EE541">
      <w:pPr>
        <w:pStyle w:val="15"/>
        <w:tabs>
          <w:tab w:val="right" w:leader="dot" w:pos="9355"/>
          <w:tab w:val="clear" w:pos="1418"/>
          <w:tab w:val="clear" w:pos="8302"/>
        </w:tabs>
        <w:spacing w:line="480" w:lineRule="auto"/>
        <w:rPr>
          <w:sz w:val="28"/>
          <w:szCs w:val="28"/>
          <w:highlight w:val="none"/>
        </w:rPr>
      </w:pPr>
      <w:r>
        <w:rPr>
          <w:highlight w:val="none"/>
        </w:rPr>
        <w:fldChar w:fldCharType="begin"/>
      </w:r>
      <w:r>
        <w:rPr>
          <w:highlight w:val="none"/>
        </w:rPr>
        <w:instrText xml:space="preserve"> HYPERLINK \l "_Toc20944" </w:instrText>
      </w:r>
      <w:r>
        <w:rPr>
          <w:highlight w:val="none"/>
        </w:rPr>
        <w:fldChar w:fldCharType="separate"/>
      </w:r>
      <w:r>
        <w:rPr>
          <w:rFonts w:hint="eastAsia" w:cs="宋体"/>
          <w:sz w:val="28"/>
          <w:szCs w:val="28"/>
          <w:highlight w:val="none"/>
        </w:rPr>
        <w:t xml:space="preserve">第四章  </w:t>
      </w:r>
      <w:r>
        <w:rPr>
          <w:rFonts w:hint="eastAsia" w:hAnsi="宋体" w:cs="宋体"/>
          <w:sz w:val="28"/>
          <w:szCs w:val="28"/>
          <w:highlight w:val="none"/>
        </w:rPr>
        <w:t>采购内容及技术要求</w:t>
      </w:r>
      <w:r>
        <w:rPr>
          <w:sz w:val="28"/>
          <w:szCs w:val="28"/>
          <w:highlight w:val="none"/>
        </w:rPr>
        <w:tab/>
      </w:r>
      <w:r>
        <w:rPr>
          <w:sz w:val="28"/>
          <w:szCs w:val="28"/>
          <w:highlight w:val="none"/>
        </w:rPr>
        <w:fldChar w:fldCharType="begin"/>
      </w:r>
      <w:r>
        <w:rPr>
          <w:sz w:val="28"/>
          <w:szCs w:val="28"/>
          <w:highlight w:val="none"/>
        </w:rPr>
        <w:instrText xml:space="preserve"> PAGEREF _Toc20944 \h </w:instrText>
      </w:r>
      <w:r>
        <w:rPr>
          <w:sz w:val="28"/>
          <w:szCs w:val="28"/>
          <w:highlight w:val="none"/>
        </w:rPr>
        <w:fldChar w:fldCharType="separate"/>
      </w:r>
      <w:r>
        <w:rPr>
          <w:sz w:val="28"/>
          <w:szCs w:val="28"/>
          <w:highlight w:val="none"/>
        </w:rPr>
        <w:t>38</w:t>
      </w:r>
      <w:r>
        <w:rPr>
          <w:sz w:val="28"/>
          <w:szCs w:val="28"/>
          <w:highlight w:val="none"/>
        </w:rPr>
        <w:fldChar w:fldCharType="end"/>
      </w:r>
      <w:r>
        <w:rPr>
          <w:sz w:val="28"/>
          <w:szCs w:val="28"/>
          <w:highlight w:val="none"/>
        </w:rPr>
        <w:fldChar w:fldCharType="end"/>
      </w:r>
    </w:p>
    <w:p w14:paraId="16EDCF33">
      <w:pPr>
        <w:pStyle w:val="15"/>
        <w:tabs>
          <w:tab w:val="right" w:leader="dot" w:pos="9355"/>
          <w:tab w:val="clear" w:pos="1418"/>
          <w:tab w:val="clear" w:pos="8302"/>
        </w:tabs>
        <w:spacing w:line="480" w:lineRule="auto"/>
        <w:rPr>
          <w:sz w:val="28"/>
          <w:szCs w:val="28"/>
          <w:highlight w:val="none"/>
        </w:rPr>
      </w:pPr>
      <w:r>
        <w:rPr>
          <w:highlight w:val="none"/>
        </w:rPr>
        <w:fldChar w:fldCharType="begin"/>
      </w:r>
      <w:r>
        <w:rPr>
          <w:highlight w:val="none"/>
        </w:rPr>
        <w:instrText xml:space="preserve"> HYPERLINK \l "_Toc27316" </w:instrText>
      </w:r>
      <w:r>
        <w:rPr>
          <w:highlight w:val="none"/>
        </w:rPr>
        <w:fldChar w:fldCharType="separate"/>
      </w:r>
      <w:r>
        <w:rPr>
          <w:rFonts w:hint="eastAsia" w:hAnsi="宋体" w:cs="宋体"/>
          <w:sz w:val="28"/>
          <w:szCs w:val="28"/>
          <w:highlight w:val="none"/>
        </w:rPr>
        <w:t>第五章</w:t>
      </w:r>
      <w:r>
        <w:rPr>
          <w:rFonts w:hint="eastAsia" w:cs="宋体"/>
          <w:sz w:val="28"/>
          <w:szCs w:val="28"/>
          <w:highlight w:val="none"/>
        </w:rPr>
        <w:t xml:space="preserve">  </w:t>
      </w:r>
      <w:r>
        <w:rPr>
          <w:rFonts w:hint="eastAsia" w:hAnsi="宋体" w:cs="宋体"/>
          <w:sz w:val="28"/>
          <w:szCs w:val="28"/>
          <w:highlight w:val="none"/>
        </w:rPr>
        <w:t>评标方法</w:t>
      </w:r>
      <w:r>
        <w:rPr>
          <w:sz w:val="28"/>
          <w:szCs w:val="28"/>
          <w:highlight w:val="none"/>
        </w:rPr>
        <w:tab/>
      </w:r>
      <w:r>
        <w:rPr>
          <w:sz w:val="28"/>
          <w:szCs w:val="28"/>
          <w:highlight w:val="none"/>
        </w:rPr>
        <w:fldChar w:fldCharType="begin"/>
      </w:r>
      <w:r>
        <w:rPr>
          <w:sz w:val="28"/>
          <w:szCs w:val="28"/>
          <w:highlight w:val="none"/>
        </w:rPr>
        <w:instrText xml:space="preserve"> PAGEREF _Toc27316 \h </w:instrText>
      </w:r>
      <w:r>
        <w:rPr>
          <w:sz w:val="28"/>
          <w:szCs w:val="28"/>
          <w:highlight w:val="none"/>
        </w:rPr>
        <w:fldChar w:fldCharType="separate"/>
      </w:r>
      <w:r>
        <w:rPr>
          <w:sz w:val="28"/>
          <w:szCs w:val="28"/>
          <w:highlight w:val="none"/>
        </w:rPr>
        <w:t>76</w:t>
      </w:r>
      <w:r>
        <w:rPr>
          <w:sz w:val="28"/>
          <w:szCs w:val="28"/>
          <w:highlight w:val="none"/>
        </w:rPr>
        <w:fldChar w:fldCharType="end"/>
      </w:r>
      <w:r>
        <w:rPr>
          <w:sz w:val="28"/>
          <w:szCs w:val="28"/>
          <w:highlight w:val="none"/>
        </w:rPr>
        <w:fldChar w:fldCharType="end"/>
      </w:r>
    </w:p>
    <w:p w14:paraId="3C32902C">
      <w:pPr>
        <w:pStyle w:val="15"/>
        <w:tabs>
          <w:tab w:val="right" w:leader="dot" w:pos="9355"/>
          <w:tab w:val="clear" w:pos="1418"/>
          <w:tab w:val="clear" w:pos="8302"/>
        </w:tabs>
        <w:spacing w:line="480" w:lineRule="auto"/>
        <w:rPr>
          <w:sz w:val="28"/>
          <w:szCs w:val="28"/>
          <w:highlight w:val="none"/>
        </w:rPr>
      </w:pPr>
      <w:r>
        <w:rPr>
          <w:highlight w:val="none"/>
        </w:rPr>
        <w:fldChar w:fldCharType="begin"/>
      </w:r>
      <w:r>
        <w:rPr>
          <w:highlight w:val="none"/>
        </w:rPr>
        <w:instrText xml:space="preserve"> HYPERLINK \l "_Toc21314" </w:instrText>
      </w:r>
      <w:r>
        <w:rPr>
          <w:highlight w:val="none"/>
        </w:rPr>
        <w:fldChar w:fldCharType="separate"/>
      </w:r>
      <w:r>
        <w:rPr>
          <w:rFonts w:hint="eastAsia" w:cs="宋体"/>
          <w:bCs/>
          <w:sz w:val="28"/>
          <w:szCs w:val="28"/>
          <w:highlight w:val="none"/>
        </w:rPr>
        <w:t>第六章  投标文件构成及格式</w:t>
      </w:r>
      <w:r>
        <w:rPr>
          <w:sz w:val="28"/>
          <w:szCs w:val="28"/>
          <w:highlight w:val="none"/>
        </w:rPr>
        <w:tab/>
      </w:r>
      <w:r>
        <w:rPr>
          <w:sz w:val="28"/>
          <w:szCs w:val="28"/>
          <w:highlight w:val="none"/>
        </w:rPr>
        <w:fldChar w:fldCharType="begin"/>
      </w:r>
      <w:r>
        <w:rPr>
          <w:sz w:val="28"/>
          <w:szCs w:val="28"/>
          <w:highlight w:val="none"/>
        </w:rPr>
        <w:instrText xml:space="preserve"> PAGEREF _Toc21314 \h </w:instrText>
      </w:r>
      <w:r>
        <w:rPr>
          <w:sz w:val="28"/>
          <w:szCs w:val="28"/>
          <w:highlight w:val="none"/>
        </w:rPr>
        <w:fldChar w:fldCharType="separate"/>
      </w:r>
      <w:r>
        <w:rPr>
          <w:sz w:val="28"/>
          <w:szCs w:val="28"/>
          <w:highlight w:val="none"/>
        </w:rPr>
        <w:t>83</w:t>
      </w:r>
      <w:r>
        <w:rPr>
          <w:sz w:val="28"/>
          <w:szCs w:val="28"/>
          <w:highlight w:val="none"/>
        </w:rPr>
        <w:fldChar w:fldCharType="end"/>
      </w:r>
      <w:r>
        <w:rPr>
          <w:sz w:val="28"/>
          <w:szCs w:val="28"/>
          <w:highlight w:val="none"/>
        </w:rPr>
        <w:fldChar w:fldCharType="end"/>
      </w:r>
    </w:p>
    <w:p w14:paraId="54A73092">
      <w:pPr>
        <w:pStyle w:val="15"/>
        <w:spacing w:line="480" w:lineRule="auto"/>
        <w:rPr>
          <w:rFonts w:hint="eastAsia" w:hAnsi="宋体" w:cs="宋体"/>
          <w:sz w:val="21"/>
          <w:szCs w:val="21"/>
          <w:highlight w:val="none"/>
        </w:rPr>
        <w:sectPr>
          <w:headerReference r:id="rId8" w:type="first"/>
          <w:footerReference r:id="rId10" w:type="first"/>
          <w:headerReference r:id="rId7" w:type="default"/>
          <w:footerReference r:id="rId9" w:type="default"/>
          <w:pgSz w:w="11906" w:h="16838"/>
          <w:pgMar w:top="1361" w:right="1417" w:bottom="1361" w:left="1417" w:header="1134" w:footer="992" w:gutter="0"/>
          <w:pgNumType w:start="1"/>
          <w:cols w:space="720" w:num="1"/>
          <w:titlePg/>
          <w:docGrid w:type="lines" w:linePitch="333" w:charSpace="0"/>
        </w:sectPr>
      </w:pPr>
      <w:r>
        <w:rPr>
          <w:rFonts w:hint="eastAsia" w:hAnsi="宋体" w:cs="宋体"/>
          <w:sz w:val="28"/>
          <w:szCs w:val="28"/>
          <w:highlight w:val="none"/>
        </w:rPr>
        <w:fldChar w:fldCharType="end"/>
      </w:r>
    </w:p>
    <w:p w14:paraId="5DDCF81D">
      <w:pPr>
        <w:pStyle w:val="2"/>
        <w:spacing w:after="333" w:afterLines="100" w:line="500" w:lineRule="exact"/>
        <w:jc w:val="center"/>
        <w:rPr>
          <w:rFonts w:hint="eastAsia" w:ascii="宋体" w:eastAsia="宋体" w:cs="宋体"/>
          <w:sz w:val="36"/>
          <w:szCs w:val="36"/>
          <w:highlight w:val="none"/>
        </w:rPr>
      </w:pPr>
      <w:bookmarkStart w:id="12" w:name="_Toc26849"/>
      <w:bookmarkStart w:id="13" w:name="_Toc23576"/>
      <w:bookmarkStart w:id="14" w:name="_Toc28504"/>
      <w:bookmarkStart w:id="15" w:name="_Toc2548"/>
      <w:bookmarkStart w:id="16" w:name="_Toc31289"/>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bookmarkEnd w:id="16"/>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206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012758C4">
            <w:pPr>
              <w:pStyle w:val="6"/>
              <w:widowControl/>
              <w:spacing w:before="150" w:beforeAutospacing="0" w:after="150" w:afterAutospacing="0" w:line="30" w:lineRule="atLeast"/>
              <w:textAlignment w:val="baseline"/>
              <w:rPr>
                <w:b w:val="0"/>
                <w:bCs w:val="0"/>
                <w:sz w:val="21"/>
                <w:szCs w:val="21"/>
                <w:highlight w:val="none"/>
              </w:rPr>
            </w:pPr>
            <w:r>
              <w:rPr>
                <w:rStyle w:val="21"/>
                <w:b/>
                <w:bCs/>
                <w:color w:val="333333"/>
                <w:sz w:val="21"/>
                <w:szCs w:val="21"/>
                <w:highlight w:val="none"/>
                <w:shd w:val="clear" w:color="auto" w:fill="FFFFFF"/>
              </w:rPr>
              <w:t>项目概况</w:t>
            </w:r>
          </w:p>
          <w:p w14:paraId="5D84FDB7">
            <w:pPr>
              <w:pStyle w:val="17"/>
              <w:spacing w:before="150" w:beforeAutospacing="0" w:after="150" w:afterAutospacing="0" w:line="480" w:lineRule="atLeast"/>
              <w:ind w:firstLine="480"/>
              <w:jc w:val="both"/>
              <w:textAlignment w:val="baseline"/>
              <w:rPr>
                <w:rStyle w:val="21"/>
                <w:rFonts w:hint="eastAsia" w:cs="宋体"/>
                <w:color w:val="333333"/>
                <w:sz w:val="21"/>
                <w:szCs w:val="21"/>
                <w:highlight w:val="none"/>
                <w:shd w:val="clear" w:color="auto" w:fill="FFFFFF"/>
              </w:rPr>
            </w:pPr>
            <w:r>
              <w:rPr>
                <w:rFonts w:hint="eastAsia" w:cs="宋体"/>
                <w:color w:val="333333"/>
                <w:highlight w:val="none"/>
                <w:shd w:val="clear" w:color="auto" w:fill="FFFFFF"/>
              </w:rPr>
              <w:t>心电网络及远程影像诊断中心采购项目招标项目的潜在投标人应在陕西省商洛市镇安县永乐镇新城社区碾子湾刘家小区9楼908室获取招标文件，并于2025年01月08日 14时00分。（北京时间）前递交投标文件。</w:t>
            </w:r>
          </w:p>
        </w:tc>
      </w:tr>
    </w:tbl>
    <w:p w14:paraId="5468E1DF">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一、项目基本情况</w:t>
      </w:r>
    </w:p>
    <w:p w14:paraId="56ADFA22">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项目编号：SXZCZB2024-ZCGK-1224</w:t>
      </w:r>
    </w:p>
    <w:p w14:paraId="6B61C72F">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项目名称：心电网络及远程影像诊断中心采购项目</w:t>
      </w:r>
    </w:p>
    <w:p w14:paraId="2123584D">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采购方式：公开招标</w:t>
      </w:r>
    </w:p>
    <w:p w14:paraId="63FF501F">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预算金额：929,321.00元</w:t>
      </w:r>
    </w:p>
    <w:p w14:paraId="54B1A069">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采购需求：</w:t>
      </w:r>
    </w:p>
    <w:p w14:paraId="3D63AC3E">
      <w:pPr>
        <w:pStyle w:val="17"/>
        <w:spacing w:before="0" w:beforeAutospacing="0" w:after="0" w:afterAutospacing="0" w:line="480" w:lineRule="atLeast"/>
        <w:ind w:firstLine="480"/>
        <w:jc w:val="both"/>
        <w:textAlignment w:val="baseline"/>
        <w:rPr>
          <w:rFonts w:hint="eastAsia" w:cs="宋体"/>
          <w:highlight w:val="none"/>
        </w:rPr>
      </w:pPr>
      <w:r>
        <w:rPr>
          <w:rFonts w:hint="eastAsia" w:cs="宋体"/>
          <w:color w:val="333333"/>
          <w:highlight w:val="none"/>
          <w:shd w:val="clear" w:color="auto" w:fill="FFFFFF"/>
        </w:rPr>
        <w:t>合同包1(12通道心电图机（带网络）采购项目):</w:t>
      </w:r>
    </w:p>
    <w:p w14:paraId="33D3A708">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合同包预算金额：110,000.00元</w:t>
      </w:r>
    </w:p>
    <w:p w14:paraId="59BBB5F2">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合同包最高限价：110,000.00元</w:t>
      </w:r>
    </w:p>
    <w:tbl>
      <w:tblPr>
        <w:tblStyle w:val="18"/>
        <w:tblW w:w="4998" w:type="pct"/>
        <w:tblInd w:w="0" w:type="dxa"/>
        <w:tblLayout w:type="autofit"/>
        <w:tblCellMar>
          <w:top w:w="0" w:type="dxa"/>
          <w:left w:w="0" w:type="dxa"/>
          <w:bottom w:w="0" w:type="dxa"/>
          <w:right w:w="0" w:type="dxa"/>
        </w:tblCellMar>
      </w:tblPr>
      <w:tblGrid>
        <w:gridCol w:w="549"/>
        <w:gridCol w:w="2025"/>
        <w:gridCol w:w="2025"/>
        <w:gridCol w:w="729"/>
        <w:gridCol w:w="1400"/>
        <w:gridCol w:w="1290"/>
        <w:gridCol w:w="1290"/>
      </w:tblGrid>
      <w:tr w14:paraId="79D3F065">
        <w:tblPrEx>
          <w:tblCellMar>
            <w:top w:w="0" w:type="dxa"/>
            <w:left w:w="0" w:type="dxa"/>
            <w:bottom w:w="0" w:type="dxa"/>
            <w:right w:w="0" w:type="dxa"/>
          </w:tblCellMar>
        </w:tblPrEx>
        <w:trPr>
          <w:trHeight w:val="728" w:hRule="atLeast"/>
          <w:tblHeader/>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3FEF2A">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品目号</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6E776">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品目名称</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AA8577">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采购标的</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CEF9C7">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数量（单位）</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510F13">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技术规格、参数及要求</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C2632">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品目预算(元)</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1FAEC">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最高限价(元)</w:t>
            </w:r>
          </w:p>
        </w:tc>
      </w:tr>
      <w:tr w14:paraId="11CFB644">
        <w:tblPrEx>
          <w:tblCellMar>
            <w:top w:w="0" w:type="dxa"/>
            <w:left w:w="0" w:type="dxa"/>
            <w:bottom w:w="0" w:type="dxa"/>
            <w:right w:w="0" w:type="dxa"/>
          </w:tblCellMar>
        </w:tblPrEx>
        <w:trPr>
          <w:trHeight w:val="480" w:hRule="atLeast"/>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BA4987">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lang w:bidi="ar"/>
              </w:rPr>
              <w:t>1-1</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39D2E">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rPr>
              <w:t>医用电子生理参数检测仪器设备</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D1BF15">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rPr>
              <w:t>12通道心电图机（带网络）采购项目</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9C6C82">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lang w:bidi="ar"/>
              </w:rPr>
              <w:t>5(台)</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FB95F0">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lang w:bidi="ar"/>
              </w:rPr>
              <w:t>详见采购文件</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B3E270">
            <w:pPr>
              <w:widowControl/>
              <w:spacing w:line="360" w:lineRule="atLeast"/>
              <w:jc w:val="right"/>
              <w:textAlignment w:val="center"/>
              <w:rPr>
                <w:rFonts w:hint="eastAsia" w:hAnsi="宋体" w:cs="宋体"/>
                <w:sz w:val="21"/>
                <w:szCs w:val="21"/>
                <w:highlight w:val="none"/>
              </w:rPr>
            </w:pPr>
            <w:r>
              <w:rPr>
                <w:rFonts w:hint="eastAsia" w:hAnsi="宋体" w:cs="宋体"/>
                <w:sz w:val="21"/>
                <w:szCs w:val="21"/>
                <w:highlight w:val="none"/>
                <w:lang w:bidi="ar"/>
              </w:rPr>
              <w:t>110,000.00</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02E31E">
            <w:pPr>
              <w:widowControl/>
              <w:spacing w:line="360" w:lineRule="atLeast"/>
              <w:jc w:val="right"/>
              <w:textAlignment w:val="center"/>
              <w:rPr>
                <w:rFonts w:hint="eastAsia" w:hAnsi="宋体" w:cs="宋体"/>
                <w:sz w:val="21"/>
                <w:szCs w:val="21"/>
                <w:highlight w:val="none"/>
              </w:rPr>
            </w:pPr>
            <w:r>
              <w:rPr>
                <w:rFonts w:hint="eastAsia" w:hAnsi="宋体" w:cs="宋体"/>
                <w:sz w:val="21"/>
                <w:szCs w:val="21"/>
                <w:highlight w:val="none"/>
                <w:lang w:bidi="ar"/>
              </w:rPr>
              <w:t>110,000.00</w:t>
            </w:r>
          </w:p>
        </w:tc>
      </w:tr>
    </w:tbl>
    <w:p w14:paraId="6890034D">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本合同包不接受联合体投标</w:t>
      </w:r>
    </w:p>
    <w:p w14:paraId="77DB8E71">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合同履行期限：无</w:t>
      </w:r>
    </w:p>
    <w:p w14:paraId="3CF46D5A">
      <w:pPr>
        <w:pStyle w:val="17"/>
        <w:spacing w:before="0" w:beforeAutospacing="0" w:after="0" w:afterAutospacing="0" w:line="480" w:lineRule="atLeast"/>
        <w:ind w:firstLine="630"/>
        <w:jc w:val="both"/>
        <w:textAlignment w:val="baseline"/>
        <w:rPr>
          <w:rFonts w:hint="eastAsia" w:cs="宋体"/>
          <w:color w:val="333333"/>
          <w:highlight w:val="none"/>
          <w:shd w:val="clear" w:color="auto" w:fill="FFFFFF"/>
        </w:rPr>
      </w:pPr>
      <w:r>
        <w:rPr>
          <w:rFonts w:hint="eastAsia" w:cs="宋体"/>
          <w:color w:val="333333"/>
          <w:highlight w:val="none"/>
          <w:shd w:val="clear" w:color="auto" w:fill="FFFFFF"/>
        </w:rPr>
        <w:t>合同包2(远程影像诊断中心采购项目):</w:t>
      </w:r>
    </w:p>
    <w:p w14:paraId="0813E98B">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合同包预算金额：819,321.00元</w:t>
      </w:r>
    </w:p>
    <w:p w14:paraId="7EF336C9">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合同包最高限价：819,321.00元</w:t>
      </w:r>
    </w:p>
    <w:tbl>
      <w:tblPr>
        <w:tblStyle w:val="18"/>
        <w:tblW w:w="4998" w:type="pct"/>
        <w:tblInd w:w="0" w:type="dxa"/>
        <w:tblLayout w:type="autofit"/>
        <w:tblCellMar>
          <w:top w:w="0" w:type="dxa"/>
          <w:left w:w="0" w:type="dxa"/>
          <w:bottom w:w="0" w:type="dxa"/>
          <w:right w:w="0" w:type="dxa"/>
        </w:tblCellMar>
      </w:tblPr>
      <w:tblGrid>
        <w:gridCol w:w="549"/>
        <w:gridCol w:w="2025"/>
        <w:gridCol w:w="2025"/>
        <w:gridCol w:w="729"/>
        <w:gridCol w:w="1400"/>
        <w:gridCol w:w="1290"/>
        <w:gridCol w:w="1290"/>
      </w:tblGrid>
      <w:tr w14:paraId="2F1B7CB1">
        <w:tblPrEx>
          <w:tblCellMar>
            <w:top w:w="0" w:type="dxa"/>
            <w:left w:w="0" w:type="dxa"/>
            <w:bottom w:w="0" w:type="dxa"/>
            <w:right w:w="0" w:type="dxa"/>
          </w:tblCellMar>
        </w:tblPrEx>
        <w:trPr>
          <w:trHeight w:val="728" w:hRule="atLeast"/>
          <w:tblHeader/>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89AD30">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品目号</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C5E121">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品目名称</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5A8EE6">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采购标的</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28D436">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数量（单位）</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620078">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技术规格、参数及要求</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B8E82A">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品目预算(元)</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AF74AA">
            <w:pPr>
              <w:widowControl/>
              <w:wordWrap w:val="0"/>
              <w:spacing w:line="360" w:lineRule="atLeast"/>
              <w:jc w:val="center"/>
              <w:textAlignment w:val="center"/>
              <w:rPr>
                <w:rFonts w:hint="eastAsia" w:hAnsi="宋体" w:cs="宋体"/>
                <w:b/>
                <w:bCs/>
                <w:sz w:val="21"/>
                <w:szCs w:val="21"/>
                <w:highlight w:val="none"/>
              </w:rPr>
            </w:pPr>
            <w:r>
              <w:rPr>
                <w:rFonts w:hint="eastAsia" w:hAnsi="宋体" w:cs="宋体"/>
                <w:b/>
                <w:bCs/>
                <w:sz w:val="21"/>
                <w:szCs w:val="21"/>
                <w:highlight w:val="none"/>
                <w:lang w:bidi="ar"/>
              </w:rPr>
              <w:t>最高限价(元)</w:t>
            </w:r>
          </w:p>
        </w:tc>
      </w:tr>
      <w:tr w14:paraId="2BA4F1AF">
        <w:tblPrEx>
          <w:tblCellMar>
            <w:top w:w="0" w:type="dxa"/>
            <w:left w:w="0" w:type="dxa"/>
            <w:bottom w:w="0" w:type="dxa"/>
            <w:right w:w="0" w:type="dxa"/>
          </w:tblCellMar>
        </w:tblPrEx>
        <w:trPr>
          <w:trHeight w:val="480" w:hRule="atLeast"/>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B7176">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lang w:bidi="ar"/>
              </w:rPr>
              <w:t>2-1</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C8992">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rPr>
              <w:t>应用软件</w:t>
            </w:r>
          </w:p>
        </w:tc>
        <w:tc>
          <w:tcPr>
            <w:tcW w:w="11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866760">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rPr>
              <w:t>远程影像诊断中心采购项目</w:t>
            </w:r>
          </w:p>
        </w:tc>
        <w:tc>
          <w:tcPr>
            <w:tcW w:w="4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38B6B2">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lang w:bidi="ar"/>
              </w:rPr>
              <w:t>1(项)</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5CF4B">
            <w:pPr>
              <w:widowControl/>
              <w:wordWrap w:val="0"/>
              <w:spacing w:line="360" w:lineRule="atLeast"/>
              <w:jc w:val="center"/>
              <w:textAlignment w:val="center"/>
              <w:rPr>
                <w:rFonts w:hint="eastAsia" w:hAnsi="宋体" w:cs="宋体"/>
                <w:sz w:val="21"/>
                <w:szCs w:val="21"/>
                <w:highlight w:val="none"/>
              </w:rPr>
            </w:pPr>
            <w:r>
              <w:rPr>
                <w:rFonts w:hint="eastAsia" w:hAnsi="宋体" w:cs="宋体"/>
                <w:sz w:val="21"/>
                <w:szCs w:val="21"/>
                <w:highlight w:val="none"/>
                <w:lang w:bidi="ar"/>
              </w:rPr>
              <w:t>详见采购文件</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AE10D7">
            <w:pPr>
              <w:widowControl/>
              <w:spacing w:line="360" w:lineRule="atLeast"/>
              <w:jc w:val="right"/>
              <w:textAlignment w:val="center"/>
              <w:rPr>
                <w:rFonts w:hint="eastAsia" w:hAnsi="宋体" w:cs="宋体"/>
                <w:sz w:val="21"/>
                <w:szCs w:val="21"/>
                <w:highlight w:val="none"/>
              </w:rPr>
            </w:pPr>
            <w:r>
              <w:rPr>
                <w:rFonts w:hint="eastAsia" w:hAnsi="宋体" w:cs="宋体"/>
                <w:sz w:val="21"/>
                <w:szCs w:val="21"/>
                <w:highlight w:val="none"/>
                <w:lang w:bidi="ar"/>
              </w:rPr>
              <w:t>819,321.00</w:t>
            </w:r>
          </w:p>
        </w:tc>
        <w:tc>
          <w:tcPr>
            <w:tcW w:w="5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C8E277">
            <w:pPr>
              <w:widowControl/>
              <w:spacing w:line="360" w:lineRule="atLeast"/>
              <w:jc w:val="right"/>
              <w:textAlignment w:val="center"/>
              <w:rPr>
                <w:rFonts w:hint="eastAsia" w:hAnsi="宋体" w:cs="宋体"/>
                <w:sz w:val="21"/>
                <w:szCs w:val="21"/>
                <w:highlight w:val="none"/>
              </w:rPr>
            </w:pPr>
            <w:r>
              <w:rPr>
                <w:rFonts w:hint="eastAsia" w:hAnsi="宋体" w:cs="宋体"/>
                <w:sz w:val="21"/>
                <w:szCs w:val="21"/>
                <w:highlight w:val="none"/>
                <w:lang w:bidi="ar"/>
              </w:rPr>
              <w:t>819,321.00</w:t>
            </w:r>
          </w:p>
        </w:tc>
      </w:tr>
    </w:tbl>
    <w:p w14:paraId="71D88330">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本合同包不接受联合体投标</w:t>
      </w:r>
    </w:p>
    <w:p w14:paraId="1A2DC69F">
      <w:pPr>
        <w:pStyle w:val="17"/>
        <w:spacing w:before="0" w:beforeAutospacing="0" w:after="0" w:afterAutospacing="0" w:line="480" w:lineRule="atLeast"/>
        <w:ind w:firstLine="630"/>
        <w:jc w:val="both"/>
        <w:textAlignment w:val="baseline"/>
        <w:rPr>
          <w:rFonts w:hint="eastAsia" w:cs="宋体"/>
          <w:highlight w:val="none"/>
        </w:rPr>
      </w:pPr>
      <w:r>
        <w:rPr>
          <w:rFonts w:hint="eastAsia" w:cs="宋体"/>
          <w:color w:val="333333"/>
          <w:highlight w:val="none"/>
          <w:shd w:val="clear" w:color="auto" w:fill="FFFFFF"/>
        </w:rPr>
        <w:t>合同履行期限：无</w:t>
      </w:r>
    </w:p>
    <w:p w14:paraId="692970BD">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二、申请人的资格要求：</w:t>
      </w:r>
    </w:p>
    <w:p w14:paraId="75D6FE97">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1.满足《中华人民共和国政府采购法》第二十二条规定;</w:t>
      </w:r>
    </w:p>
    <w:p w14:paraId="53F1D154">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2.落实政府采购政策需满足的资格要求：</w:t>
      </w:r>
    </w:p>
    <w:p w14:paraId="7EF861B2">
      <w:pPr>
        <w:pStyle w:val="17"/>
        <w:spacing w:before="0" w:beforeAutospacing="0" w:after="0" w:afterAutospacing="0" w:line="480" w:lineRule="atLeast"/>
        <w:ind w:firstLine="480"/>
        <w:jc w:val="both"/>
        <w:textAlignment w:val="baseline"/>
        <w:rPr>
          <w:rFonts w:hint="eastAsia" w:cs="宋体"/>
          <w:highlight w:val="none"/>
        </w:rPr>
      </w:pPr>
      <w:r>
        <w:rPr>
          <w:rFonts w:hint="eastAsia" w:cs="宋体"/>
          <w:color w:val="333333"/>
          <w:highlight w:val="none"/>
          <w:shd w:val="clear" w:color="auto" w:fill="FFFFFF"/>
        </w:rPr>
        <w:t>合同包1(12通道心电图机（带网络）采购项目)落实政府采购政策需满足的资格要求如下:</w:t>
      </w:r>
    </w:p>
    <w:p w14:paraId="19C8F63B">
      <w:pPr>
        <w:pStyle w:val="17"/>
        <w:spacing w:before="0" w:beforeAutospacing="0" w:after="0" w:afterAutospacing="0" w:line="480" w:lineRule="atLeast"/>
        <w:ind w:left="480"/>
        <w:jc w:val="both"/>
        <w:textAlignment w:val="baseline"/>
        <w:rPr>
          <w:rFonts w:hint="eastAsia" w:cs="宋体"/>
          <w:highlight w:val="none"/>
        </w:rPr>
      </w:pPr>
      <w:r>
        <w:rPr>
          <w:rFonts w:hint="eastAsia" w:cs="宋体"/>
          <w:color w:val="333333"/>
          <w:highlight w:val="none"/>
          <w:shd w:val="clear" w:color="auto" w:fill="FFFFFF"/>
        </w:rPr>
        <w:t>（1）《政府采购促进中小企业发展管理办法》（财库〔2020〕46号）；</w:t>
      </w:r>
      <w:r>
        <w:rPr>
          <w:rFonts w:hint="eastAsia" w:cs="宋体"/>
          <w:color w:val="333333"/>
          <w:highlight w:val="none"/>
          <w:shd w:val="clear" w:color="auto" w:fill="FFFFFF"/>
        </w:rPr>
        <w:br w:type="textWrapping"/>
      </w:r>
      <w:r>
        <w:rPr>
          <w:rFonts w:hint="eastAsia" w:cs="宋体"/>
          <w:color w:val="333333"/>
          <w:highlight w:val="none"/>
          <w:shd w:val="clear" w:color="auto" w:fill="FFFFFF"/>
        </w:rPr>
        <w:t>（2）《财政部司法部关于政府采购支持监狱企业发展有关问题的通知》（财库〔2014〕68号）；</w:t>
      </w:r>
      <w:r>
        <w:rPr>
          <w:rFonts w:hint="eastAsia" w:cs="宋体"/>
          <w:color w:val="333333"/>
          <w:highlight w:val="none"/>
          <w:shd w:val="clear" w:color="auto" w:fill="FFFFFF"/>
        </w:rPr>
        <w:br w:type="textWrapping"/>
      </w:r>
      <w:r>
        <w:rPr>
          <w:rFonts w:hint="eastAsia" w:cs="宋体"/>
          <w:color w:val="333333"/>
          <w:highlight w:val="none"/>
          <w:shd w:val="clear" w:color="auto" w:fill="FFFFFF"/>
        </w:rPr>
        <w:t>（3）《关于促进残疾人就业政府采购政策的通知》（财库〔2017〕141号）；</w:t>
      </w:r>
      <w:r>
        <w:rPr>
          <w:rFonts w:hint="eastAsia" w:cs="宋体"/>
          <w:color w:val="333333"/>
          <w:highlight w:val="none"/>
          <w:shd w:val="clear" w:color="auto" w:fill="FFFFFF"/>
        </w:rPr>
        <w:br w:type="textWrapping"/>
      </w:r>
      <w:r>
        <w:rPr>
          <w:rFonts w:hint="eastAsia" w:cs="宋体"/>
          <w:color w:val="333333"/>
          <w:highlight w:val="none"/>
          <w:shd w:val="clear" w:color="auto" w:fill="FFFFFF"/>
        </w:rPr>
        <w:t>（4）《节能产品政府采购实施意见》（财库〔2004〕185号）；</w:t>
      </w:r>
      <w:r>
        <w:rPr>
          <w:rFonts w:hint="eastAsia" w:cs="宋体"/>
          <w:color w:val="333333"/>
          <w:highlight w:val="none"/>
          <w:shd w:val="clear" w:color="auto" w:fill="FFFFFF"/>
        </w:rPr>
        <w:br w:type="textWrapping"/>
      </w:r>
      <w:r>
        <w:rPr>
          <w:rFonts w:hint="eastAsia" w:cs="宋体"/>
          <w:color w:val="333333"/>
          <w:highlight w:val="none"/>
          <w:shd w:val="clear" w:color="auto" w:fill="FFFFFF"/>
        </w:rPr>
        <w:t>（5）《环境标志产品政府采购实施的意见》（财库〔2006〕90号）；</w:t>
      </w:r>
      <w:r>
        <w:rPr>
          <w:rFonts w:hint="eastAsia" w:cs="宋体"/>
          <w:color w:val="333333"/>
          <w:highlight w:val="none"/>
          <w:shd w:val="clear" w:color="auto" w:fill="FFFFFF"/>
        </w:rPr>
        <w:br w:type="textWrapping"/>
      </w:r>
      <w:r>
        <w:rPr>
          <w:rFonts w:hint="eastAsia" w:cs="宋体"/>
          <w:color w:val="333333"/>
          <w:highlight w:val="none"/>
          <w:shd w:val="clear" w:color="auto" w:fill="FFFFFF"/>
        </w:rPr>
        <w:t>（6）《国务院办公厅关于建立政府强制采购节能产品制度的通知》（国办发〔2007〕51号）；</w:t>
      </w:r>
      <w:r>
        <w:rPr>
          <w:rFonts w:hint="eastAsia" w:cs="宋体"/>
          <w:color w:val="333333"/>
          <w:highlight w:val="none"/>
          <w:shd w:val="clear" w:color="auto" w:fill="FFFFFF"/>
        </w:rPr>
        <w:br w:type="textWrapping"/>
      </w:r>
      <w:r>
        <w:rPr>
          <w:rFonts w:hint="eastAsia" w:cs="宋体"/>
          <w:color w:val="333333"/>
          <w:highlight w:val="none"/>
          <w:shd w:val="clear" w:color="auto" w:fill="FFFFFF"/>
        </w:rPr>
        <w:t>（7）财政部发展改革委生态环境部市场监管总局关于调整优化节能产品、环境标志产品政府采购执行机制的通知（财库〔2019〕9</w:t>
      </w:r>
      <w:r>
        <w:rPr>
          <w:rFonts w:hint="eastAsia" w:cs="宋体"/>
          <w:color w:val="333333"/>
          <w:highlight w:val="none"/>
          <w:shd w:val="clear" w:color="auto" w:fill="FFFFFF"/>
        </w:rPr>
        <w:br w:type="textWrapping"/>
      </w:r>
      <w:r>
        <w:rPr>
          <w:rFonts w:hint="eastAsia" w:cs="宋体"/>
          <w:color w:val="333333"/>
          <w:highlight w:val="none"/>
          <w:shd w:val="clear" w:color="auto" w:fill="FFFFFF"/>
        </w:rPr>
        <w:t>号）；</w:t>
      </w:r>
      <w:r>
        <w:rPr>
          <w:rFonts w:hint="eastAsia" w:cs="宋体"/>
          <w:color w:val="333333"/>
          <w:highlight w:val="none"/>
          <w:shd w:val="clear" w:color="auto" w:fill="FFFFFF"/>
        </w:rPr>
        <w:br w:type="textWrapping"/>
      </w:r>
      <w:r>
        <w:rPr>
          <w:rFonts w:hint="eastAsia" w:cs="宋体"/>
          <w:color w:val="333333"/>
          <w:highlight w:val="none"/>
          <w:shd w:val="clear" w:color="auto" w:fill="FFFFFF"/>
        </w:rPr>
        <w:t>（8）《关于印发环境标志产品政府采购品目清单的通知》--（财库〔2019〕18号）；</w:t>
      </w:r>
      <w:r>
        <w:rPr>
          <w:rFonts w:hint="eastAsia" w:cs="宋体"/>
          <w:color w:val="333333"/>
          <w:highlight w:val="none"/>
          <w:shd w:val="clear" w:color="auto" w:fill="FFFFFF"/>
        </w:rPr>
        <w:br w:type="textWrapping"/>
      </w:r>
      <w:r>
        <w:rPr>
          <w:rFonts w:hint="eastAsia" w:cs="宋体"/>
          <w:color w:val="333333"/>
          <w:highlight w:val="none"/>
          <w:shd w:val="clear" w:color="auto" w:fill="FFFFFF"/>
        </w:rPr>
        <w:t>（9）《关于印发节能产品政府采购品目清单的通知》--（财库〔2019〕19号）；</w:t>
      </w:r>
      <w:r>
        <w:rPr>
          <w:rFonts w:hint="eastAsia" w:cs="宋体"/>
          <w:color w:val="333333"/>
          <w:highlight w:val="none"/>
          <w:shd w:val="clear" w:color="auto" w:fill="FFFFFF"/>
        </w:rPr>
        <w:br w:type="textWrapping"/>
      </w:r>
      <w:r>
        <w:rPr>
          <w:rFonts w:hint="eastAsia" w:cs="宋体"/>
          <w:color w:val="333333"/>
          <w:highlight w:val="none"/>
          <w:shd w:val="clear" w:color="auto" w:fill="FFFFFF"/>
        </w:rPr>
        <w:t>（10）《市场监督总局关于发布参与实施政府采购节能产品、环境标志产品认证机构名录的公告》—2019年第16号；</w:t>
      </w:r>
      <w:r>
        <w:rPr>
          <w:rFonts w:hint="eastAsia" w:cs="宋体"/>
          <w:color w:val="333333"/>
          <w:highlight w:val="none"/>
          <w:shd w:val="clear" w:color="auto" w:fill="FFFFFF"/>
        </w:rPr>
        <w:br w:type="textWrapping"/>
      </w:r>
      <w:r>
        <w:rPr>
          <w:rFonts w:hint="eastAsia" w:cs="宋体"/>
          <w:color w:val="333333"/>
          <w:highlight w:val="none"/>
          <w:shd w:val="clear" w:color="auto" w:fill="FFFFFF"/>
        </w:rPr>
        <w:t>（11）《关于运用政府采购政策支持乡村产业振兴的通知》（财库〔2021〕19号）；</w:t>
      </w:r>
      <w:r>
        <w:rPr>
          <w:rFonts w:hint="eastAsia" w:cs="宋体"/>
          <w:color w:val="333333"/>
          <w:highlight w:val="none"/>
          <w:shd w:val="clear" w:color="auto" w:fill="FFFFFF"/>
        </w:rPr>
        <w:br w:type="textWrapping"/>
      </w:r>
      <w:r>
        <w:rPr>
          <w:rFonts w:hint="eastAsia" w:cs="宋体"/>
          <w:color w:val="333333"/>
          <w:highlight w:val="none"/>
          <w:shd w:val="clear" w:color="auto" w:fill="FFFFFF"/>
        </w:rPr>
        <w:t>（12）陕西省财政厅关于印发《陕西省中小企业政府采购信用融资办法》（陕财办采〔2018〕23号），相关政策、业务流程、办理</w:t>
      </w:r>
      <w:r>
        <w:rPr>
          <w:rFonts w:hint="eastAsia" w:cs="宋体"/>
          <w:color w:val="333333"/>
          <w:highlight w:val="none"/>
          <w:shd w:val="clear" w:color="auto" w:fill="FFFFFF"/>
        </w:rPr>
        <w:br w:type="textWrapping"/>
      </w:r>
      <w:r>
        <w:rPr>
          <w:rFonts w:hint="eastAsia" w:cs="宋体"/>
          <w:color w:val="333333"/>
          <w:highlight w:val="none"/>
          <w:shd w:val="clear" w:color="auto" w:fill="FFFFFF"/>
        </w:rPr>
        <w:t>平台（详见http://www.ccgp-shaanxi.gov.cn/zcdservice/zcd/shanxi/）；</w:t>
      </w:r>
      <w:r>
        <w:rPr>
          <w:rFonts w:hint="eastAsia" w:cs="宋体"/>
          <w:color w:val="333333"/>
          <w:highlight w:val="none"/>
          <w:shd w:val="clear" w:color="auto" w:fill="FFFFFF"/>
        </w:rPr>
        <w:br w:type="textWrapping"/>
      </w:r>
      <w:r>
        <w:rPr>
          <w:rFonts w:hint="eastAsia" w:cs="宋体"/>
          <w:color w:val="333333"/>
          <w:highlight w:val="none"/>
          <w:shd w:val="clear" w:color="auto" w:fill="FFFFFF"/>
        </w:rPr>
        <w:t>（13）《陕西省财政厅关于加快推进我省中小企业政府采购信用融资工作的通知》（陕财办采〔2020〕15号）；</w:t>
      </w:r>
      <w:r>
        <w:rPr>
          <w:rFonts w:hint="eastAsia" w:cs="宋体"/>
          <w:color w:val="333333"/>
          <w:highlight w:val="none"/>
          <w:shd w:val="clear" w:color="auto" w:fill="FFFFFF"/>
        </w:rPr>
        <w:br w:type="textWrapping"/>
      </w:r>
      <w:r>
        <w:rPr>
          <w:rFonts w:hint="eastAsia" w:cs="宋体"/>
          <w:color w:val="333333"/>
          <w:highlight w:val="none"/>
          <w:shd w:val="clear" w:color="auto" w:fill="FFFFFF"/>
        </w:rPr>
        <w:t>（14）《关于进一步加强政府绿色采购有关问题的通知》（陕财办采〔2021〕29号）；</w:t>
      </w:r>
      <w:r>
        <w:rPr>
          <w:rFonts w:hint="eastAsia" w:cs="宋体"/>
          <w:color w:val="333333"/>
          <w:highlight w:val="none"/>
          <w:shd w:val="clear" w:color="auto" w:fill="FFFFFF"/>
        </w:rPr>
        <w:br w:type="textWrapping"/>
      </w:r>
      <w:r>
        <w:rPr>
          <w:rFonts w:hint="eastAsia" w:cs="宋体"/>
          <w:color w:val="333333"/>
          <w:highlight w:val="none"/>
          <w:shd w:val="clear" w:color="auto" w:fill="FFFFFF"/>
        </w:rPr>
        <w:t>（15）《陕西省财政厅陕西省工业和信息化厅关于运用政府采购政策支持首台（套）及创新产品有关事项的通知》（陕财办采〔202</w:t>
      </w:r>
      <w:r>
        <w:rPr>
          <w:rFonts w:hint="eastAsia" w:cs="宋体"/>
          <w:color w:val="333333"/>
          <w:highlight w:val="none"/>
          <w:shd w:val="clear" w:color="auto" w:fill="FFFFFF"/>
        </w:rPr>
        <w:br w:type="textWrapping"/>
      </w:r>
      <w:r>
        <w:rPr>
          <w:rFonts w:hint="eastAsia" w:cs="宋体"/>
          <w:color w:val="333333"/>
          <w:highlight w:val="none"/>
          <w:shd w:val="clear" w:color="auto" w:fill="FFFFFF"/>
        </w:rPr>
        <w:t>1〕17号）；</w:t>
      </w:r>
      <w:r>
        <w:rPr>
          <w:rFonts w:hint="eastAsia" w:cs="宋体"/>
          <w:color w:val="333333"/>
          <w:highlight w:val="none"/>
          <w:shd w:val="clear" w:color="auto" w:fill="FFFFFF"/>
        </w:rPr>
        <w:br w:type="textWrapping"/>
      </w:r>
      <w:r>
        <w:rPr>
          <w:rFonts w:hint="eastAsia" w:cs="宋体"/>
          <w:color w:val="333333"/>
          <w:highlight w:val="none"/>
          <w:shd w:val="clear" w:color="auto" w:fill="FFFFFF"/>
        </w:rPr>
        <w:t>（16）《关于进一步加大政府采购支持中小企业力度的通知》（财库〔2022〕19号）、《关于落实政府采购支持中小企业政策有关</w:t>
      </w:r>
      <w:r>
        <w:rPr>
          <w:rFonts w:hint="eastAsia" w:cs="宋体"/>
          <w:color w:val="333333"/>
          <w:highlight w:val="none"/>
          <w:shd w:val="clear" w:color="auto" w:fill="FFFFFF"/>
        </w:rPr>
        <w:br w:type="textWrapping"/>
      </w:r>
      <w:r>
        <w:rPr>
          <w:rFonts w:hint="eastAsia" w:cs="宋体"/>
          <w:color w:val="333333"/>
          <w:highlight w:val="none"/>
          <w:shd w:val="clear" w:color="auto" w:fill="FFFFFF"/>
        </w:rPr>
        <w:t>事项的通知》（陕财办采函〔2022〕10号）；</w:t>
      </w:r>
      <w:r>
        <w:rPr>
          <w:rFonts w:hint="eastAsia" w:cs="宋体"/>
          <w:color w:val="333333"/>
          <w:highlight w:val="none"/>
          <w:shd w:val="clear" w:color="auto" w:fill="FFFFFF"/>
        </w:rPr>
        <w:br w:type="textWrapping"/>
      </w:r>
      <w:r>
        <w:rPr>
          <w:rFonts w:hint="eastAsia" w:cs="宋体"/>
          <w:color w:val="333333"/>
          <w:highlight w:val="none"/>
          <w:shd w:val="clear" w:color="auto" w:fill="FFFFFF"/>
        </w:rPr>
        <w:t>（17）其他需要落实的政府采购政策。</w:t>
      </w:r>
    </w:p>
    <w:p w14:paraId="4D9B05FB">
      <w:pPr>
        <w:pStyle w:val="17"/>
        <w:spacing w:before="0" w:beforeAutospacing="0" w:after="0" w:afterAutospacing="0" w:line="480" w:lineRule="atLeast"/>
        <w:ind w:firstLine="480"/>
        <w:jc w:val="both"/>
        <w:textAlignment w:val="baseline"/>
        <w:rPr>
          <w:rFonts w:hint="eastAsia" w:cs="宋体"/>
          <w:highlight w:val="none"/>
        </w:rPr>
      </w:pPr>
      <w:r>
        <w:rPr>
          <w:rFonts w:hint="eastAsia" w:cs="宋体"/>
          <w:color w:val="333333"/>
          <w:highlight w:val="none"/>
          <w:shd w:val="clear" w:color="auto" w:fill="FFFFFF"/>
        </w:rPr>
        <w:t>合同包2(远程影像诊断中心采购项目)落实政府采购政策需满足的资格要求如下:</w:t>
      </w:r>
    </w:p>
    <w:p w14:paraId="4F415223">
      <w:pPr>
        <w:pStyle w:val="17"/>
        <w:spacing w:before="0" w:beforeAutospacing="0" w:after="0" w:afterAutospacing="0" w:line="480" w:lineRule="atLeast"/>
        <w:ind w:left="480"/>
        <w:jc w:val="both"/>
        <w:textAlignment w:val="baseline"/>
        <w:rPr>
          <w:rFonts w:hint="eastAsia" w:cs="宋体"/>
          <w:highlight w:val="none"/>
        </w:rPr>
      </w:pPr>
      <w:r>
        <w:rPr>
          <w:rFonts w:hint="eastAsia" w:cs="宋体"/>
          <w:color w:val="333333"/>
          <w:highlight w:val="none"/>
          <w:shd w:val="clear" w:color="auto" w:fill="FFFFFF"/>
        </w:rPr>
        <w:t>（1）《政府采购促进中小企业发展管理办法》（财库〔2020〕46号）；</w:t>
      </w:r>
      <w:r>
        <w:rPr>
          <w:rFonts w:hint="eastAsia" w:cs="宋体"/>
          <w:color w:val="333333"/>
          <w:highlight w:val="none"/>
          <w:shd w:val="clear" w:color="auto" w:fill="FFFFFF"/>
        </w:rPr>
        <w:br w:type="textWrapping"/>
      </w:r>
      <w:r>
        <w:rPr>
          <w:rFonts w:hint="eastAsia" w:cs="宋体"/>
          <w:color w:val="333333"/>
          <w:highlight w:val="none"/>
          <w:shd w:val="clear" w:color="auto" w:fill="FFFFFF"/>
        </w:rPr>
        <w:t>（2）《财政部司法部关于政府采购支持监狱企业发展有关问题的通知》（财库〔2014〕68号）；</w:t>
      </w:r>
      <w:r>
        <w:rPr>
          <w:rFonts w:hint="eastAsia" w:cs="宋体"/>
          <w:color w:val="333333"/>
          <w:highlight w:val="none"/>
          <w:shd w:val="clear" w:color="auto" w:fill="FFFFFF"/>
        </w:rPr>
        <w:br w:type="textWrapping"/>
      </w:r>
      <w:r>
        <w:rPr>
          <w:rFonts w:hint="eastAsia" w:cs="宋体"/>
          <w:color w:val="333333"/>
          <w:highlight w:val="none"/>
          <w:shd w:val="clear" w:color="auto" w:fill="FFFFFF"/>
        </w:rPr>
        <w:t>（3）《关于促进残疾人就业政府采购政策的通知》（财库〔2017〕141号）；</w:t>
      </w:r>
      <w:r>
        <w:rPr>
          <w:rFonts w:hint="eastAsia" w:cs="宋体"/>
          <w:color w:val="333333"/>
          <w:highlight w:val="none"/>
          <w:shd w:val="clear" w:color="auto" w:fill="FFFFFF"/>
        </w:rPr>
        <w:br w:type="textWrapping"/>
      </w:r>
      <w:r>
        <w:rPr>
          <w:rFonts w:hint="eastAsia" w:cs="宋体"/>
          <w:color w:val="333333"/>
          <w:highlight w:val="none"/>
          <w:shd w:val="clear" w:color="auto" w:fill="FFFFFF"/>
        </w:rPr>
        <w:t>（4）《节能产品政府采购实施意见》（财库〔2004〕185号）；</w:t>
      </w:r>
      <w:r>
        <w:rPr>
          <w:rFonts w:hint="eastAsia" w:cs="宋体"/>
          <w:color w:val="333333"/>
          <w:highlight w:val="none"/>
          <w:shd w:val="clear" w:color="auto" w:fill="FFFFFF"/>
        </w:rPr>
        <w:br w:type="textWrapping"/>
      </w:r>
      <w:r>
        <w:rPr>
          <w:rFonts w:hint="eastAsia" w:cs="宋体"/>
          <w:color w:val="333333"/>
          <w:highlight w:val="none"/>
          <w:shd w:val="clear" w:color="auto" w:fill="FFFFFF"/>
        </w:rPr>
        <w:t>（5）《环境标志产品政府采购实施的意见》（财库〔2006〕90号）；</w:t>
      </w:r>
      <w:r>
        <w:rPr>
          <w:rFonts w:hint="eastAsia" w:cs="宋体"/>
          <w:color w:val="333333"/>
          <w:highlight w:val="none"/>
          <w:shd w:val="clear" w:color="auto" w:fill="FFFFFF"/>
        </w:rPr>
        <w:br w:type="textWrapping"/>
      </w:r>
      <w:r>
        <w:rPr>
          <w:rFonts w:hint="eastAsia" w:cs="宋体"/>
          <w:color w:val="333333"/>
          <w:highlight w:val="none"/>
          <w:shd w:val="clear" w:color="auto" w:fill="FFFFFF"/>
        </w:rPr>
        <w:t>（6）《国务院办公厅关于建立政府强制采购节能产品制度的通知》（国办发〔2007〕51号）；</w:t>
      </w:r>
      <w:r>
        <w:rPr>
          <w:rFonts w:hint="eastAsia" w:cs="宋体"/>
          <w:color w:val="333333"/>
          <w:highlight w:val="none"/>
          <w:shd w:val="clear" w:color="auto" w:fill="FFFFFF"/>
        </w:rPr>
        <w:br w:type="textWrapping"/>
      </w:r>
      <w:r>
        <w:rPr>
          <w:rFonts w:hint="eastAsia" w:cs="宋体"/>
          <w:color w:val="333333"/>
          <w:highlight w:val="none"/>
          <w:shd w:val="clear" w:color="auto" w:fill="FFFFFF"/>
        </w:rPr>
        <w:t>（7）财政部发展改革委生态环境部市场监管总局关于调整优化节能产品、环境标志产品政府采购执行机制的通知（财库〔2019〕9</w:t>
      </w:r>
      <w:r>
        <w:rPr>
          <w:rFonts w:hint="eastAsia" w:cs="宋体"/>
          <w:color w:val="333333"/>
          <w:highlight w:val="none"/>
          <w:shd w:val="clear" w:color="auto" w:fill="FFFFFF"/>
        </w:rPr>
        <w:br w:type="textWrapping"/>
      </w:r>
      <w:r>
        <w:rPr>
          <w:rFonts w:hint="eastAsia" w:cs="宋体"/>
          <w:color w:val="333333"/>
          <w:highlight w:val="none"/>
          <w:shd w:val="clear" w:color="auto" w:fill="FFFFFF"/>
        </w:rPr>
        <w:t>号）；</w:t>
      </w:r>
      <w:r>
        <w:rPr>
          <w:rFonts w:hint="eastAsia" w:cs="宋体"/>
          <w:color w:val="333333"/>
          <w:highlight w:val="none"/>
          <w:shd w:val="clear" w:color="auto" w:fill="FFFFFF"/>
        </w:rPr>
        <w:br w:type="textWrapping"/>
      </w:r>
      <w:r>
        <w:rPr>
          <w:rFonts w:hint="eastAsia" w:cs="宋体"/>
          <w:color w:val="333333"/>
          <w:highlight w:val="none"/>
          <w:shd w:val="clear" w:color="auto" w:fill="FFFFFF"/>
        </w:rPr>
        <w:t>（8）《关于印发环境标志产品政府采购品目清单的通知》--（财库〔2019〕18号）；</w:t>
      </w:r>
      <w:r>
        <w:rPr>
          <w:rFonts w:hint="eastAsia" w:cs="宋体"/>
          <w:color w:val="333333"/>
          <w:highlight w:val="none"/>
          <w:shd w:val="clear" w:color="auto" w:fill="FFFFFF"/>
        </w:rPr>
        <w:br w:type="textWrapping"/>
      </w:r>
      <w:r>
        <w:rPr>
          <w:rFonts w:hint="eastAsia" w:cs="宋体"/>
          <w:color w:val="333333"/>
          <w:highlight w:val="none"/>
          <w:shd w:val="clear" w:color="auto" w:fill="FFFFFF"/>
        </w:rPr>
        <w:t>（9）《关于印发节能产品政府采购品目清单的通知》--（财库〔2019〕19号）；</w:t>
      </w:r>
      <w:r>
        <w:rPr>
          <w:rFonts w:hint="eastAsia" w:cs="宋体"/>
          <w:color w:val="333333"/>
          <w:highlight w:val="none"/>
          <w:shd w:val="clear" w:color="auto" w:fill="FFFFFF"/>
        </w:rPr>
        <w:br w:type="textWrapping"/>
      </w:r>
      <w:r>
        <w:rPr>
          <w:rFonts w:hint="eastAsia" w:cs="宋体"/>
          <w:color w:val="333333"/>
          <w:highlight w:val="none"/>
          <w:shd w:val="clear" w:color="auto" w:fill="FFFFFF"/>
        </w:rPr>
        <w:t>（10）《市场监督总局关于发布参与实施政府采购节能产品、环境标志产品认证机构名录的公告》—2019年第16号；</w:t>
      </w:r>
      <w:r>
        <w:rPr>
          <w:rFonts w:hint="eastAsia" w:cs="宋体"/>
          <w:color w:val="333333"/>
          <w:highlight w:val="none"/>
          <w:shd w:val="clear" w:color="auto" w:fill="FFFFFF"/>
        </w:rPr>
        <w:br w:type="textWrapping"/>
      </w:r>
      <w:r>
        <w:rPr>
          <w:rFonts w:hint="eastAsia" w:cs="宋体"/>
          <w:color w:val="333333"/>
          <w:highlight w:val="none"/>
          <w:shd w:val="clear" w:color="auto" w:fill="FFFFFF"/>
        </w:rPr>
        <w:t>（11）《关于运用政府采购政策支持乡村产业振兴的通知》（财库〔2021〕19号）；</w:t>
      </w:r>
      <w:r>
        <w:rPr>
          <w:rFonts w:hint="eastAsia" w:cs="宋体"/>
          <w:color w:val="333333"/>
          <w:highlight w:val="none"/>
          <w:shd w:val="clear" w:color="auto" w:fill="FFFFFF"/>
        </w:rPr>
        <w:br w:type="textWrapping"/>
      </w:r>
      <w:r>
        <w:rPr>
          <w:rFonts w:hint="eastAsia" w:cs="宋体"/>
          <w:color w:val="333333"/>
          <w:highlight w:val="none"/>
          <w:shd w:val="clear" w:color="auto" w:fill="FFFFFF"/>
        </w:rPr>
        <w:t>（12）陕西省财政厅关于印发《陕西省中小企业政府采购信用融资办法》（陕财办采〔2018〕23号），相关政策、业务流程、办理</w:t>
      </w:r>
      <w:r>
        <w:rPr>
          <w:rFonts w:hint="eastAsia" w:cs="宋体"/>
          <w:color w:val="333333"/>
          <w:highlight w:val="none"/>
          <w:shd w:val="clear" w:color="auto" w:fill="FFFFFF"/>
        </w:rPr>
        <w:br w:type="textWrapping"/>
      </w:r>
      <w:r>
        <w:rPr>
          <w:rFonts w:hint="eastAsia" w:cs="宋体"/>
          <w:color w:val="333333"/>
          <w:highlight w:val="none"/>
          <w:shd w:val="clear" w:color="auto" w:fill="FFFFFF"/>
        </w:rPr>
        <w:t>平台（详见http://www.ccgp-shaanxi.gov.cn/zcdservice/zcd/shanxi/）；</w:t>
      </w:r>
      <w:r>
        <w:rPr>
          <w:rFonts w:hint="eastAsia" w:cs="宋体"/>
          <w:color w:val="333333"/>
          <w:highlight w:val="none"/>
          <w:shd w:val="clear" w:color="auto" w:fill="FFFFFF"/>
        </w:rPr>
        <w:br w:type="textWrapping"/>
      </w:r>
      <w:r>
        <w:rPr>
          <w:rFonts w:hint="eastAsia" w:cs="宋体"/>
          <w:color w:val="333333"/>
          <w:highlight w:val="none"/>
          <w:shd w:val="clear" w:color="auto" w:fill="FFFFFF"/>
        </w:rPr>
        <w:t>（13）《陕西省财政厅关于加快推进我省中小企业政府采购信用融资工作的通知》（陕财办采〔2020〕15号）；</w:t>
      </w:r>
      <w:r>
        <w:rPr>
          <w:rFonts w:hint="eastAsia" w:cs="宋体"/>
          <w:color w:val="333333"/>
          <w:highlight w:val="none"/>
          <w:shd w:val="clear" w:color="auto" w:fill="FFFFFF"/>
        </w:rPr>
        <w:br w:type="textWrapping"/>
      </w:r>
      <w:r>
        <w:rPr>
          <w:rFonts w:hint="eastAsia" w:cs="宋体"/>
          <w:color w:val="333333"/>
          <w:highlight w:val="none"/>
          <w:shd w:val="clear" w:color="auto" w:fill="FFFFFF"/>
        </w:rPr>
        <w:t>（14）《关于进一步加强政府绿色采购有关问题的通知》（陕财办采〔2021〕29号）；</w:t>
      </w:r>
      <w:r>
        <w:rPr>
          <w:rFonts w:hint="eastAsia" w:cs="宋体"/>
          <w:color w:val="333333"/>
          <w:highlight w:val="none"/>
          <w:shd w:val="clear" w:color="auto" w:fill="FFFFFF"/>
        </w:rPr>
        <w:br w:type="textWrapping"/>
      </w:r>
      <w:r>
        <w:rPr>
          <w:rFonts w:hint="eastAsia" w:cs="宋体"/>
          <w:color w:val="333333"/>
          <w:highlight w:val="none"/>
          <w:shd w:val="clear" w:color="auto" w:fill="FFFFFF"/>
        </w:rPr>
        <w:t>（15）《陕西省财政厅陕西省工业和信息化厅关于运用政府采购政策支持首台（套）及创新产品有关事项的通知》（陕财办采〔202</w:t>
      </w:r>
      <w:r>
        <w:rPr>
          <w:rFonts w:hint="eastAsia" w:cs="宋体"/>
          <w:color w:val="333333"/>
          <w:highlight w:val="none"/>
          <w:shd w:val="clear" w:color="auto" w:fill="FFFFFF"/>
        </w:rPr>
        <w:br w:type="textWrapping"/>
      </w:r>
      <w:r>
        <w:rPr>
          <w:rFonts w:hint="eastAsia" w:cs="宋体"/>
          <w:color w:val="333333"/>
          <w:highlight w:val="none"/>
          <w:shd w:val="clear" w:color="auto" w:fill="FFFFFF"/>
        </w:rPr>
        <w:t>1〕17号）；</w:t>
      </w:r>
      <w:r>
        <w:rPr>
          <w:rFonts w:hint="eastAsia" w:cs="宋体"/>
          <w:color w:val="333333"/>
          <w:highlight w:val="none"/>
          <w:shd w:val="clear" w:color="auto" w:fill="FFFFFF"/>
        </w:rPr>
        <w:br w:type="textWrapping"/>
      </w:r>
      <w:r>
        <w:rPr>
          <w:rFonts w:hint="eastAsia" w:cs="宋体"/>
          <w:color w:val="333333"/>
          <w:highlight w:val="none"/>
          <w:shd w:val="clear" w:color="auto" w:fill="FFFFFF"/>
        </w:rPr>
        <w:t>（16）《关于进一步加大政府采购支持中小企业力度的通知》（财库〔2022〕19号）、《关于落实政府采购支持中小企业政策有关</w:t>
      </w:r>
      <w:r>
        <w:rPr>
          <w:rFonts w:hint="eastAsia" w:cs="宋体"/>
          <w:color w:val="333333"/>
          <w:highlight w:val="none"/>
          <w:shd w:val="clear" w:color="auto" w:fill="FFFFFF"/>
        </w:rPr>
        <w:br w:type="textWrapping"/>
      </w:r>
      <w:r>
        <w:rPr>
          <w:rFonts w:hint="eastAsia" w:cs="宋体"/>
          <w:color w:val="333333"/>
          <w:highlight w:val="none"/>
          <w:shd w:val="clear" w:color="auto" w:fill="FFFFFF"/>
        </w:rPr>
        <w:t>事项的通知》（陕财办采函〔2022〕10号）；</w:t>
      </w:r>
      <w:r>
        <w:rPr>
          <w:rFonts w:hint="eastAsia" w:cs="宋体"/>
          <w:color w:val="333333"/>
          <w:highlight w:val="none"/>
          <w:shd w:val="clear" w:color="auto" w:fill="FFFFFF"/>
        </w:rPr>
        <w:br w:type="textWrapping"/>
      </w:r>
      <w:r>
        <w:rPr>
          <w:rFonts w:hint="eastAsia" w:cs="宋体"/>
          <w:color w:val="333333"/>
          <w:highlight w:val="none"/>
          <w:shd w:val="clear" w:color="auto" w:fill="FFFFFF"/>
        </w:rPr>
        <w:t>（17）其他需要落实的政府采购政策。</w:t>
      </w:r>
    </w:p>
    <w:p w14:paraId="17F8EE65">
      <w:pPr>
        <w:pStyle w:val="17"/>
        <w:shd w:val="clear" w:color="auto" w:fill="FFFFFF"/>
        <w:spacing w:before="0" w:beforeAutospacing="0" w:after="0" w:afterAutospacing="0" w:line="480" w:lineRule="atLeast"/>
        <w:ind w:firstLine="480"/>
        <w:jc w:val="both"/>
        <w:textAlignment w:val="baseline"/>
        <w:rPr>
          <w:rFonts w:hint="eastAsia" w:cs="宋体"/>
          <w:color w:val="333333"/>
          <w:highlight w:val="none"/>
        </w:rPr>
      </w:pPr>
      <w:r>
        <w:rPr>
          <w:rFonts w:hint="eastAsia" w:cs="宋体"/>
          <w:color w:val="333333"/>
          <w:highlight w:val="none"/>
          <w:shd w:val="clear" w:color="auto" w:fill="FFFFFF"/>
        </w:rPr>
        <w:t>3.本项目的特定资格要求：</w:t>
      </w:r>
    </w:p>
    <w:p w14:paraId="43DE5ED3">
      <w:pPr>
        <w:pStyle w:val="17"/>
        <w:spacing w:before="0" w:beforeAutospacing="0" w:after="0" w:afterAutospacing="0" w:line="480" w:lineRule="atLeast"/>
        <w:ind w:firstLine="480"/>
        <w:jc w:val="both"/>
        <w:textAlignment w:val="baseline"/>
        <w:rPr>
          <w:rFonts w:hint="eastAsia" w:cs="宋体"/>
          <w:highlight w:val="none"/>
        </w:rPr>
      </w:pPr>
      <w:r>
        <w:rPr>
          <w:rFonts w:hint="eastAsia" w:cs="宋体"/>
          <w:color w:val="333333"/>
          <w:highlight w:val="none"/>
          <w:shd w:val="clear" w:color="auto" w:fill="FFFFFF"/>
        </w:rPr>
        <w:t>合同包1(12通道心电图机（带网络）采购项目)特定资格要求如下:</w:t>
      </w:r>
    </w:p>
    <w:p w14:paraId="44E89F17">
      <w:pPr>
        <w:pStyle w:val="17"/>
        <w:spacing w:before="0" w:beforeAutospacing="0" w:after="0" w:afterAutospacing="0" w:line="480" w:lineRule="atLeast"/>
        <w:ind w:left="480"/>
        <w:jc w:val="both"/>
        <w:textAlignment w:val="baseline"/>
        <w:rPr>
          <w:rFonts w:hint="eastAsia" w:cs="宋体"/>
          <w:highlight w:val="none"/>
        </w:rPr>
      </w:pPr>
      <w:r>
        <w:rPr>
          <w:rFonts w:hint="eastAsia" w:cs="宋体"/>
          <w:color w:val="333333"/>
          <w:highlight w:val="none"/>
          <w:shd w:val="clear" w:color="auto" w:fill="FFFFFF"/>
        </w:rPr>
        <w:t>(1)提供合格有效的法人或者其他组织的营业执照等证明文件，自然人的身份证明；</w:t>
      </w:r>
      <w:r>
        <w:rPr>
          <w:rFonts w:hint="eastAsia" w:cs="宋体"/>
          <w:color w:val="333333"/>
          <w:highlight w:val="none"/>
          <w:shd w:val="clear" w:color="auto" w:fill="FFFFFF"/>
        </w:rPr>
        <w:br w:type="textWrapping"/>
      </w:r>
      <w:r>
        <w:rPr>
          <w:rFonts w:hint="eastAsia" w:cs="宋体"/>
          <w:color w:val="333333"/>
          <w:highlight w:val="none"/>
          <w:shd w:val="clear" w:color="auto" w:fill="FFFFFF"/>
        </w:rPr>
        <w:t>(2)提供法定代表人授权书（附法定代表人、被授权人身份证复印件，法定代表人直接参加投标，须提供法定代表人身份证明及身份证复印件）；</w:t>
      </w:r>
      <w:r>
        <w:rPr>
          <w:rFonts w:hint="eastAsia" w:cs="宋体"/>
          <w:color w:val="333333"/>
          <w:highlight w:val="none"/>
          <w:shd w:val="clear" w:color="auto" w:fill="FFFFFF"/>
        </w:rPr>
        <w:br w:type="textWrapping"/>
      </w:r>
      <w:r>
        <w:rPr>
          <w:rFonts w:hint="eastAsia" w:cs="宋体"/>
          <w:color w:val="333333"/>
          <w:highlight w:val="none"/>
          <w:shd w:val="clear" w:color="auto" w:fill="FFFFFF"/>
        </w:rPr>
        <w:t>(3)提供2023年度的财务审计报告（成立时间至提交投标文件截止时间不足一年的可提供成立后任意时段的资产负债表）或开标时间前六个月内银行出具的资信证明；</w:t>
      </w:r>
      <w:r>
        <w:rPr>
          <w:rFonts w:hint="eastAsia" w:cs="宋体"/>
          <w:color w:val="333333"/>
          <w:highlight w:val="none"/>
          <w:shd w:val="clear" w:color="auto" w:fill="FFFFFF"/>
        </w:rPr>
        <w:br w:type="textWrapping"/>
      </w:r>
      <w:r>
        <w:rPr>
          <w:rFonts w:hint="eastAsia" w:cs="宋体"/>
          <w:color w:val="333333"/>
          <w:highlight w:val="none"/>
          <w:shd w:val="clear" w:color="auto" w:fill="FFFFFF"/>
        </w:rPr>
        <w:t>(4)税收缴纳证明：提供投标截止日前近一年内任意一个月的纳税证明或完税证明（任意税种），依法免税的单位应提供相关证明材料；</w:t>
      </w:r>
      <w:r>
        <w:rPr>
          <w:rFonts w:hint="eastAsia" w:cs="宋体"/>
          <w:color w:val="333333"/>
          <w:highlight w:val="none"/>
          <w:shd w:val="clear" w:color="auto" w:fill="FFFFFF"/>
        </w:rPr>
        <w:br w:type="textWrapping"/>
      </w:r>
      <w:r>
        <w:rPr>
          <w:rFonts w:hint="eastAsia" w:cs="宋体"/>
          <w:color w:val="333333"/>
          <w:highlight w:val="none"/>
          <w:shd w:val="clear" w:color="auto" w:fill="FFFFFF"/>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cs="宋体"/>
          <w:color w:val="333333"/>
          <w:highlight w:val="none"/>
          <w:shd w:val="clear" w:color="auto" w:fill="FFFFFF"/>
        </w:rPr>
        <w:br w:type="textWrapping"/>
      </w:r>
      <w:r>
        <w:rPr>
          <w:rFonts w:hint="eastAsia" w:cs="宋体"/>
          <w:color w:val="333333"/>
          <w:highlight w:val="none"/>
          <w:shd w:val="clear" w:color="auto" w:fill="FFFFFF"/>
        </w:rPr>
        <w:t>(6)投标人为经销商或代理商的须提供《医疗器械经营许可证》或《医疗器械经营备案凭证》；投标人为制造商的须提供《医疗器械生产许可证》或《医疗器械生产备案凭证》；</w:t>
      </w:r>
      <w:r>
        <w:rPr>
          <w:rFonts w:hint="eastAsia" w:cs="宋体"/>
          <w:color w:val="333333"/>
          <w:highlight w:val="none"/>
          <w:shd w:val="clear" w:color="auto" w:fill="FFFFFF"/>
        </w:rPr>
        <w:br w:type="textWrapping"/>
      </w:r>
      <w:r>
        <w:rPr>
          <w:rFonts w:hint="eastAsia" w:cs="宋体"/>
          <w:color w:val="333333"/>
          <w:highlight w:val="none"/>
          <w:shd w:val="clear" w:color="auto" w:fill="FFFFFF"/>
        </w:rPr>
        <w:t>(7)投标产品属于医疗器械的提供医疗器械注册证或医疗器械备案凭证；(注:投标产品不属于医疗器械的须提供相应的书面声明材料)</w:t>
      </w:r>
      <w:r>
        <w:rPr>
          <w:rFonts w:hint="eastAsia" w:cs="宋体"/>
          <w:color w:val="333333"/>
          <w:highlight w:val="none"/>
          <w:shd w:val="clear" w:color="auto" w:fill="FFFFFF"/>
        </w:rPr>
        <w:br w:type="textWrapping"/>
      </w:r>
      <w:r>
        <w:rPr>
          <w:rFonts w:hint="eastAsia" w:cs="宋体"/>
          <w:color w:val="333333"/>
          <w:highlight w:val="none"/>
          <w:shd w:val="clear" w:color="auto" w:fill="FFFFFF"/>
        </w:rPr>
        <w:t>(8)提供具有履行本合同所必需的设备和专业技术能力的说明及承诺书；</w:t>
      </w:r>
      <w:r>
        <w:rPr>
          <w:rFonts w:hint="eastAsia" w:cs="宋体"/>
          <w:color w:val="333333"/>
          <w:highlight w:val="none"/>
          <w:shd w:val="clear" w:color="auto" w:fill="FFFFFF"/>
        </w:rPr>
        <w:br w:type="textWrapping"/>
      </w:r>
      <w:r>
        <w:rPr>
          <w:rFonts w:hint="eastAsia" w:cs="宋体"/>
          <w:color w:val="333333"/>
          <w:highlight w:val="none"/>
          <w:shd w:val="clear" w:color="auto" w:fill="FFFFFF"/>
        </w:rPr>
        <w:t>(9)供应商通过“信用中国”网站(www.creditchina.gov.cn)、中国政府采购网(www.ccgp.gov.cn)等查询相关主体信用记录；</w:t>
      </w:r>
      <w:r>
        <w:rPr>
          <w:rFonts w:hint="eastAsia" w:cs="宋体"/>
          <w:color w:val="333333"/>
          <w:highlight w:val="none"/>
          <w:shd w:val="clear" w:color="auto" w:fill="FFFFFF"/>
        </w:rPr>
        <w:br w:type="textWrapping"/>
      </w:r>
      <w:r>
        <w:rPr>
          <w:rFonts w:hint="eastAsia" w:cs="宋体"/>
          <w:color w:val="333333"/>
          <w:highlight w:val="none"/>
          <w:shd w:val="clear" w:color="auto" w:fill="FFFFFF"/>
        </w:rPr>
        <w:t>(10)参加政府采购活动前3年内，在经营活动中没有重大违法记录的书面声明；</w:t>
      </w:r>
      <w:r>
        <w:rPr>
          <w:rFonts w:hint="eastAsia" w:cs="宋体"/>
          <w:color w:val="333333"/>
          <w:highlight w:val="none"/>
          <w:shd w:val="clear" w:color="auto" w:fill="FFFFFF"/>
        </w:rPr>
        <w:br w:type="textWrapping"/>
      </w:r>
      <w:r>
        <w:rPr>
          <w:rFonts w:hint="eastAsia" w:cs="宋体"/>
          <w:color w:val="333333"/>
          <w:highlight w:val="none"/>
          <w:shd w:val="clear" w:color="auto" w:fill="FFFFFF"/>
        </w:rPr>
        <w:t>(11)提供中小企业声明函；</w:t>
      </w:r>
      <w:r>
        <w:rPr>
          <w:rFonts w:hint="eastAsia" w:cs="宋体"/>
          <w:color w:val="333333"/>
          <w:highlight w:val="none"/>
          <w:shd w:val="clear" w:color="auto" w:fill="FFFFFF"/>
        </w:rPr>
        <w:br w:type="textWrapping"/>
      </w:r>
      <w:r>
        <w:rPr>
          <w:rFonts w:hint="eastAsia" w:cs="宋体"/>
          <w:color w:val="333333"/>
          <w:highlight w:val="none"/>
          <w:shd w:val="clear" w:color="auto" w:fill="FFFFFF"/>
        </w:rPr>
        <w:t>(12)本项目不接受联合体投标（提供承诺书）。</w:t>
      </w:r>
    </w:p>
    <w:p w14:paraId="2B2C186A">
      <w:pPr>
        <w:pStyle w:val="17"/>
        <w:spacing w:before="0" w:beforeAutospacing="0" w:after="0" w:afterAutospacing="0" w:line="480" w:lineRule="atLeast"/>
        <w:ind w:firstLine="480"/>
        <w:jc w:val="both"/>
        <w:textAlignment w:val="baseline"/>
        <w:rPr>
          <w:rFonts w:hint="eastAsia" w:cs="宋体"/>
          <w:highlight w:val="none"/>
        </w:rPr>
      </w:pPr>
      <w:r>
        <w:rPr>
          <w:rFonts w:hint="eastAsia" w:cs="宋体"/>
          <w:color w:val="333333"/>
          <w:highlight w:val="none"/>
          <w:shd w:val="clear" w:color="auto" w:fill="FFFFFF"/>
        </w:rPr>
        <w:t>合同包2(远程影像诊断中心采购项目)特定资格要求如下:</w:t>
      </w:r>
    </w:p>
    <w:p w14:paraId="55B152EE">
      <w:pPr>
        <w:pStyle w:val="17"/>
        <w:spacing w:before="0" w:beforeAutospacing="0" w:after="0" w:afterAutospacing="0" w:line="480" w:lineRule="atLeast"/>
        <w:ind w:left="480"/>
        <w:jc w:val="both"/>
        <w:textAlignment w:val="baseline"/>
        <w:rPr>
          <w:rFonts w:hint="eastAsia" w:cs="宋体"/>
          <w:highlight w:val="none"/>
        </w:rPr>
      </w:pPr>
      <w:r>
        <w:rPr>
          <w:rFonts w:hint="eastAsia" w:cs="宋体"/>
          <w:color w:val="333333"/>
          <w:highlight w:val="none"/>
          <w:shd w:val="clear" w:color="auto" w:fill="FFFFFF"/>
        </w:rPr>
        <w:t>(1)提供合格有效的法人或者其他组织的营业执照等证明文件，自然人的身份证明；</w:t>
      </w:r>
      <w:r>
        <w:rPr>
          <w:rFonts w:hint="eastAsia" w:cs="宋体"/>
          <w:color w:val="333333"/>
          <w:highlight w:val="none"/>
          <w:shd w:val="clear" w:color="auto" w:fill="FFFFFF"/>
        </w:rPr>
        <w:br w:type="textWrapping"/>
      </w:r>
      <w:r>
        <w:rPr>
          <w:rFonts w:hint="eastAsia" w:cs="宋体"/>
          <w:color w:val="333333"/>
          <w:highlight w:val="none"/>
          <w:shd w:val="clear" w:color="auto" w:fill="FFFFFF"/>
        </w:rPr>
        <w:t>(2)提供法定代表人授权书（附法定代表人、被授权人身份证复印件，法定代表人直接参加投标，须提供法定代表人身份证明及身份证复印件）；</w:t>
      </w:r>
      <w:r>
        <w:rPr>
          <w:rFonts w:hint="eastAsia" w:cs="宋体"/>
          <w:color w:val="333333"/>
          <w:highlight w:val="none"/>
          <w:shd w:val="clear" w:color="auto" w:fill="FFFFFF"/>
        </w:rPr>
        <w:br w:type="textWrapping"/>
      </w:r>
      <w:r>
        <w:rPr>
          <w:rFonts w:hint="eastAsia" w:cs="宋体"/>
          <w:color w:val="333333"/>
          <w:highlight w:val="none"/>
          <w:shd w:val="clear" w:color="auto" w:fill="FFFFFF"/>
        </w:rPr>
        <w:t>(3)提供2023年度的财务审计报告（成立时间至提交投标文件截止时间不足一年的可提供成立后任意时段的资产负债表）或开标时间前六个月内银行出具的资信证明；</w:t>
      </w:r>
      <w:r>
        <w:rPr>
          <w:rFonts w:hint="eastAsia" w:cs="宋体"/>
          <w:color w:val="333333"/>
          <w:highlight w:val="none"/>
          <w:shd w:val="clear" w:color="auto" w:fill="FFFFFF"/>
        </w:rPr>
        <w:br w:type="textWrapping"/>
      </w:r>
      <w:r>
        <w:rPr>
          <w:rFonts w:hint="eastAsia" w:cs="宋体"/>
          <w:color w:val="333333"/>
          <w:highlight w:val="none"/>
          <w:shd w:val="clear" w:color="auto" w:fill="FFFFFF"/>
        </w:rPr>
        <w:t>(4)税收缴纳证明：提供投标截止日前近一年内任意一个月的纳税证明或完税证明（任意税种），依法免税的单位应提供相关证明材料；</w:t>
      </w:r>
      <w:r>
        <w:rPr>
          <w:rFonts w:hint="eastAsia" w:cs="宋体"/>
          <w:color w:val="333333"/>
          <w:highlight w:val="none"/>
          <w:shd w:val="clear" w:color="auto" w:fill="FFFFFF"/>
        </w:rPr>
        <w:br w:type="textWrapping"/>
      </w:r>
      <w:r>
        <w:rPr>
          <w:rFonts w:hint="eastAsia" w:cs="宋体"/>
          <w:color w:val="333333"/>
          <w:highlight w:val="none"/>
          <w:shd w:val="clear" w:color="auto" w:fill="FFFFFF"/>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cs="宋体"/>
          <w:color w:val="333333"/>
          <w:highlight w:val="none"/>
          <w:shd w:val="clear" w:color="auto" w:fill="FFFFFF"/>
        </w:rPr>
        <w:br w:type="textWrapping"/>
      </w:r>
      <w:r>
        <w:rPr>
          <w:rFonts w:hint="eastAsia" w:cs="宋体"/>
          <w:color w:val="333333"/>
          <w:highlight w:val="none"/>
          <w:shd w:val="clear" w:color="auto" w:fill="FFFFFF"/>
        </w:rPr>
        <w:t>(6)提供具有履行本合同所必需的设备和专业技术能力的说明及承诺书；</w:t>
      </w:r>
      <w:r>
        <w:rPr>
          <w:rFonts w:hint="eastAsia" w:cs="宋体"/>
          <w:color w:val="333333"/>
          <w:highlight w:val="none"/>
          <w:shd w:val="clear" w:color="auto" w:fill="FFFFFF"/>
        </w:rPr>
        <w:br w:type="textWrapping"/>
      </w:r>
      <w:r>
        <w:rPr>
          <w:rFonts w:hint="eastAsia" w:cs="宋体"/>
          <w:color w:val="333333"/>
          <w:highlight w:val="none"/>
          <w:shd w:val="clear" w:color="auto" w:fill="FFFFFF"/>
        </w:rPr>
        <w:t>(7)供应商通过“信用中国”网站(www.creditchina.gov.cn)、中国政府采购网(www.ccgp.gov.cn)等查询相关主体信用记录；</w:t>
      </w:r>
      <w:r>
        <w:rPr>
          <w:rFonts w:hint="eastAsia" w:cs="宋体"/>
          <w:color w:val="333333"/>
          <w:highlight w:val="none"/>
          <w:shd w:val="clear" w:color="auto" w:fill="FFFFFF"/>
        </w:rPr>
        <w:br w:type="textWrapping"/>
      </w:r>
      <w:r>
        <w:rPr>
          <w:rFonts w:hint="eastAsia" w:cs="宋体"/>
          <w:color w:val="333333"/>
          <w:highlight w:val="none"/>
          <w:shd w:val="clear" w:color="auto" w:fill="FFFFFF"/>
        </w:rPr>
        <w:t>(8)参加政府采购活动前3年内，在经营活动中没有重大违法记录的书面声明；</w:t>
      </w:r>
      <w:r>
        <w:rPr>
          <w:rFonts w:hint="eastAsia" w:cs="宋体"/>
          <w:color w:val="333333"/>
          <w:highlight w:val="none"/>
          <w:shd w:val="clear" w:color="auto" w:fill="FFFFFF"/>
        </w:rPr>
        <w:br w:type="textWrapping"/>
      </w:r>
      <w:r>
        <w:rPr>
          <w:rFonts w:hint="eastAsia" w:cs="宋体"/>
          <w:color w:val="333333"/>
          <w:highlight w:val="none"/>
          <w:shd w:val="clear" w:color="auto" w:fill="FFFFFF"/>
        </w:rPr>
        <w:t>(9)提供中小企业声明函；</w:t>
      </w:r>
      <w:r>
        <w:rPr>
          <w:rFonts w:hint="eastAsia" w:cs="宋体"/>
          <w:color w:val="333333"/>
          <w:highlight w:val="none"/>
          <w:shd w:val="clear" w:color="auto" w:fill="FFFFFF"/>
        </w:rPr>
        <w:br w:type="textWrapping"/>
      </w:r>
      <w:r>
        <w:rPr>
          <w:rFonts w:hint="eastAsia" w:cs="宋体"/>
          <w:color w:val="333333"/>
          <w:highlight w:val="none"/>
          <w:shd w:val="clear" w:color="auto" w:fill="FFFFFF"/>
        </w:rPr>
        <w:t>(10)本项目不接受联合体投标（提供承诺书）。</w:t>
      </w:r>
    </w:p>
    <w:p w14:paraId="0EC745B0">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三、获取招标文件</w:t>
      </w:r>
    </w:p>
    <w:p w14:paraId="0DC92085">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时间： 2024年12月19日 至 2024年12月25日 ，每天上午 09:00:00 至 12:00:00 ，下午 14:00:00 至 17:00:00 （北京时间）</w:t>
      </w:r>
    </w:p>
    <w:p w14:paraId="77F14EE7">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途径：陕西省商洛市镇安县永乐镇新城社区碾子湾刘家小区9楼908室</w:t>
      </w:r>
    </w:p>
    <w:p w14:paraId="7F6CE3C8">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方式：现场获取</w:t>
      </w:r>
    </w:p>
    <w:p w14:paraId="0F6B7734">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售价：300元</w:t>
      </w:r>
    </w:p>
    <w:p w14:paraId="28C8CFFF">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四、提交投标文件截止时间、开标时间和地点</w:t>
      </w:r>
    </w:p>
    <w:p w14:paraId="3AE035C4">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时间：2025年01月08日 14时00分00秒（北京时间）</w:t>
      </w:r>
    </w:p>
    <w:p w14:paraId="467B68A9">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提交投标文件地点：陕西省西安市经济技术开发区未央路171-1号银池道拉斯财富中心21楼</w:t>
      </w:r>
    </w:p>
    <w:p w14:paraId="076AE7AD">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开标地点：陕西省西安市经济技术开发区未央路171-1号银池道拉斯财富中心21楼</w:t>
      </w:r>
    </w:p>
    <w:p w14:paraId="2B4687E1">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五、公告期限</w:t>
      </w:r>
    </w:p>
    <w:p w14:paraId="4BD786C6">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自本公告发布之日起5个工作日。</w:t>
      </w:r>
    </w:p>
    <w:p w14:paraId="265A3113">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六、其他补充事宜</w:t>
      </w:r>
    </w:p>
    <w:p w14:paraId="6D1962E4">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（1）供应商领取标书时，请携带单位介绍信及经办人身份证原件及复印件加盖公章。(地点：陕西省商洛市镇安县永乐镇新城社区碾子湾刘家小区9楼908室；联系电话：17719729393)</w:t>
      </w:r>
    </w:p>
    <w:p w14:paraId="01F3BF7D">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（2）请投标人按照《陕西省财政厅关于政府采购供应商注册登记有关事项的通知》中的要求，通过陕西省政府采购网（http://www.ccgp-shaanxi.gov.cn/）注册登记加入陕西省政府采购供应商库。</w:t>
      </w:r>
    </w:p>
    <w:p w14:paraId="7F05DF38">
      <w:pPr>
        <w:pStyle w:val="17"/>
        <w:shd w:val="clear" w:color="auto" w:fill="FFFFFF"/>
        <w:spacing w:before="0" w:beforeAutospacing="0" w:after="0" w:afterAutospacing="0" w:line="480" w:lineRule="atLeast"/>
        <w:ind w:firstLine="480"/>
        <w:jc w:val="both"/>
        <w:textAlignment w:val="baseline"/>
        <w:rPr>
          <w:rFonts w:hint="eastAsia" w:cs="宋体"/>
          <w:color w:val="333333"/>
          <w:sz w:val="21"/>
          <w:szCs w:val="21"/>
          <w:highlight w:val="none"/>
        </w:rPr>
      </w:pPr>
      <w:r>
        <w:rPr>
          <w:rFonts w:hint="eastAsia" w:cs="宋体"/>
          <w:color w:val="333333"/>
          <w:sz w:val="21"/>
          <w:szCs w:val="21"/>
          <w:highlight w:val="none"/>
          <w:shd w:val="clear" w:color="auto" w:fill="FFFFFF"/>
        </w:rPr>
        <w:t>（3）本项目专门面向中小企业。</w:t>
      </w:r>
    </w:p>
    <w:p w14:paraId="1F516C1F">
      <w:pPr>
        <w:pStyle w:val="17"/>
        <w:shd w:val="clear" w:color="auto" w:fill="FFFFFF"/>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（4）本项目允许多个标段投标，但只允许中一个标段。</w:t>
      </w:r>
    </w:p>
    <w:p w14:paraId="11ADA6B9">
      <w:pPr>
        <w:pStyle w:val="5"/>
        <w:widowControl/>
        <w:shd w:val="clear" w:color="auto" w:fill="FFFFFF"/>
        <w:spacing w:before="150" w:beforeAutospacing="0" w:afterAutospacing="0" w:line="750" w:lineRule="atLeast"/>
        <w:textAlignment w:val="baseline"/>
        <w:rPr>
          <w:rFonts w:cs="宋体"/>
          <w:b w:val="0"/>
          <w:bCs w:val="0"/>
          <w:color w:val="333333"/>
          <w:sz w:val="21"/>
          <w:szCs w:val="21"/>
          <w:highlight w:val="none"/>
        </w:rPr>
      </w:pPr>
      <w:r>
        <w:rPr>
          <w:rStyle w:val="21"/>
          <w:rFonts w:cs="宋体"/>
          <w:b/>
          <w:bCs/>
          <w:color w:val="333333"/>
          <w:sz w:val="21"/>
          <w:szCs w:val="21"/>
          <w:highlight w:val="none"/>
          <w:shd w:val="clear" w:color="auto" w:fill="FFFFFF"/>
        </w:rPr>
        <w:t>七、对本次招标提出询问，请按以下方式联系。</w:t>
      </w:r>
    </w:p>
    <w:p w14:paraId="4DE1C94B">
      <w:pPr>
        <w:pStyle w:val="6"/>
        <w:widowControl/>
        <w:spacing w:beforeAutospacing="0" w:afterAutospacing="0" w:line="30" w:lineRule="atLeast"/>
        <w:textAlignment w:val="baseline"/>
        <w:rPr>
          <w:rFonts w:cs="宋体"/>
          <w:b w:val="0"/>
          <w:bCs w:val="0"/>
          <w:sz w:val="21"/>
          <w:szCs w:val="21"/>
          <w:highlight w:val="none"/>
        </w:rPr>
      </w:pPr>
      <w:r>
        <w:rPr>
          <w:rFonts w:cs="宋体"/>
          <w:b w:val="0"/>
          <w:bCs w:val="0"/>
          <w:color w:val="333333"/>
          <w:sz w:val="21"/>
          <w:szCs w:val="21"/>
          <w:highlight w:val="none"/>
          <w:shd w:val="clear" w:color="auto" w:fill="FFFFFF"/>
        </w:rPr>
        <w:t>1.采购人信息</w:t>
      </w:r>
    </w:p>
    <w:p w14:paraId="69F42406">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名称：镇安县医院</w:t>
      </w:r>
    </w:p>
    <w:p w14:paraId="5616FBF4">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地址：镇安县永乐镇南新街43号</w:t>
      </w:r>
    </w:p>
    <w:p w14:paraId="4ACCB08F">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联系方式：13649147277</w:t>
      </w:r>
    </w:p>
    <w:p w14:paraId="299E2D86">
      <w:pPr>
        <w:pStyle w:val="6"/>
        <w:widowControl/>
        <w:spacing w:beforeAutospacing="0" w:afterAutospacing="0" w:line="30" w:lineRule="atLeast"/>
        <w:textAlignment w:val="baseline"/>
        <w:rPr>
          <w:rFonts w:cs="宋体"/>
          <w:b w:val="0"/>
          <w:bCs w:val="0"/>
          <w:sz w:val="21"/>
          <w:szCs w:val="21"/>
          <w:highlight w:val="none"/>
        </w:rPr>
      </w:pPr>
      <w:r>
        <w:rPr>
          <w:rFonts w:cs="宋体"/>
          <w:b w:val="0"/>
          <w:bCs w:val="0"/>
          <w:color w:val="333333"/>
          <w:sz w:val="21"/>
          <w:szCs w:val="21"/>
          <w:highlight w:val="none"/>
          <w:shd w:val="clear" w:color="auto" w:fill="FFFFFF"/>
        </w:rPr>
        <w:t>2.采购代理机构信息</w:t>
      </w:r>
    </w:p>
    <w:p w14:paraId="344543C6">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名称：陕西至诚项目管理集团有限公司</w:t>
      </w:r>
    </w:p>
    <w:p w14:paraId="6045D174">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地址：陕西省西安市经济技术开发区未央路171-1号银池道拉斯财富中心21楼</w:t>
      </w:r>
    </w:p>
    <w:p w14:paraId="718136C4">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联系方式：029-88219779</w:t>
      </w:r>
    </w:p>
    <w:p w14:paraId="051EDF10">
      <w:pPr>
        <w:pStyle w:val="6"/>
        <w:widowControl/>
        <w:spacing w:beforeAutospacing="0" w:afterAutospacing="0" w:line="30" w:lineRule="atLeast"/>
        <w:textAlignment w:val="baseline"/>
        <w:rPr>
          <w:rFonts w:cs="宋体"/>
          <w:b w:val="0"/>
          <w:bCs w:val="0"/>
          <w:sz w:val="21"/>
          <w:szCs w:val="21"/>
          <w:highlight w:val="none"/>
        </w:rPr>
      </w:pPr>
      <w:r>
        <w:rPr>
          <w:rFonts w:cs="宋体"/>
          <w:b w:val="0"/>
          <w:bCs w:val="0"/>
          <w:color w:val="333333"/>
          <w:sz w:val="21"/>
          <w:szCs w:val="21"/>
          <w:highlight w:val="none"/>
          <w:shd w:val="clear" w:color="auto" w:fill="FFFFFF"/>
        </w:rPr>
        <w:t>3.项目联系方式</w:t>
      </w:r>
    </w:p>
    <w:p w14:paraId="0C6024FC">
      <w:pPr>
        <w:pStyle w:val="17"/>
        <w:spacing w:before="0" w:beforeAutospacing="0" w:after="0" w:afterAutospacing="0" w:line="480" w:lineRule="atLeast"/>
        <w:ind w:firstLine="480"/>
        <w:jc w:val="both"/>
        <w:textAlignment w:val="baseline"/>
        <w:rPr>
          <w:rFonts w:hint="eastAsia" w:cs="宋体"/>
          <w:sz w:val="21"/>
          <w:szCs w:val="21"/>
          <w:highlight w:val="none"/>
        </w:rPr>
      </w:pPr>
      <w:r>
        <w:rPr>
          <w:rFonts w:hint="eastAsia" w:cs="宋体"/>
          <w:color w:val="333333"/>
          <w:sz w:val="21"/>
          <w:szCs w:val="21"/>
          <w:highlight w:val="none"/>
          <w:shd w:val="clear" w:color="auto" w:fill="FFFFFF"/>
        </w:rPr>
        <w:t>项目联系人：倪沛、刘瑞琦、王欣玫</w:t>
      </w:r>
    </w:p>
    <w:p w14:paraId="5F77858D">
      <w:pPr>
        <w:pStyle w:val="17"/>
        <w:spacing w:before="0" w:beforeAutospacing="0" w:after="0" w:afterAutospacing="0" w:line="480" w:lineRule="atLeast"/>
        <w:ind w:firstLine="480"/>
        <w:jc w:val="both"/>
        <w:textAlignment w:val="baseline"/>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电话：029-88219779</w:t>
      </w:r>
    </w:p>
    <w:p w14:paraId="074B604C">
      <w:pPr>
        <w:pStyle w:val="17"/>
        <w:spacing w:before="0" w:beforeAutospacing="0" w:after="0" w:afterAutospacing="0" w:line="480" w:lineRule="atLeast"/>
        <w:ind w:firstLine="480"/>
        <w:jc w:val="right"/>
        <w:textAlignment w:val="baseline"/>
        <w:rPr>
          <w:rFonts w:hint="eastAsia" w:cs="宋体"/>
          <w:color w:val="333333"/>
          <w:sz w:val="21"/>
          <w:szCs w:val="21"/>
          <w:highlight w:val="none"/>
          <w:shd w:val="clear" w:color="auto" w:fill="FFFFFF"/>
        </w:rPr>
      </w:pPr>
      <w:r>
        <w:rPr>
          <w:rFonts w:hint="eastAsia" w:cs="宋体"/>
          <w:color w:val="333333"/>
          <w:sz w:val="21"/>
          <w:szCs w:val="21"/>
          <w:highlight w:val="none"/>
          <w:shd w:val="clear" w:color="auto" w:fill="FFFFFF"/>
        </w:rPr>
        <w:t>陕西至诚项目管理集团有限公司</w:t>
      </w:r>
    </w:p>
    <w:p w14:paraId="71B9F090">
      <w:pPr>
        <w:pStyle w:val="17"/>
        <w:spacing w:before="0" w:beforeAutospacing="0" w:after="0" w:afterAutospacing="0" w:line="480" w:lineRule="atLeast"/>
        <w:ind w:firstLine="480"/>
        <w:jc w:val="right"/>
        <w:textAlignment w:val="baseline"/>
        <w:rPr>
          <w:rFonts w:hint="eastAsia" w:ascii="微软雅黑" w:hAnsi="微软雅黑" w:eastAsia="微软雅黑" w:cs="微软雅黑"/>
          <w:color w:val="333333"/>
          <w:sz w:val="21"/>
          <w:szCs w:val="21"/>
          <w:highlight w:val="none"/>
          <w:shd w:val="clear" w:color="auto" w:fill="FFFFFF"/>
        </w:rPr>
      </w:pPr>
      <w:r>
        <w:rPr>
          <w:rFonts w:hint="eastAsia" w:cs="宋体"/>
          <w:color w:val="333333"/>
          <w:sz w:val="21"/>
          <w:szCs w:val="21"/>
          <w:highlight w:val="none"/>
          <w:shd w:val="clear" w:color="auto" w:fill="FFFFFF"/>
        </w:rPr>
        <w:t>2024年12月18日</w:t>
      </w:r>
    </w:p>
    <w:p w14:paraId="054EC3EB">
      <w:pPr>
        <w:pStyle w:val="2"/>
        <w:jc w:val="center"/>
        <w:rPr>
          <w:rStyle w:val="23"/>
          <w:rFonts w:hint="eastAsia" w:ascii="宋体" w:eastAsia="宋体" w:cs="宋体"/>
          <w:b/>
          <w:sz w:val="36"/>
          <w:szCs w:val="36"/>
          <w:highlight w:val="none"/>
        </w:rPr>
      </w:pPr>
      <w:r>
        <w:rPr>
          <w:rFonts w:hint="eastAsia" w:ascii="宋体" w:eastAsia="宋体" w:cs="宋体"/>
          <w:highlight w:val="none"/>
        </w:rPr>
        <w:br w:type="page"/>
      </w:r>
      <w:bookmarkStart w:id="17" w:name="_Toc2929"/>
      <w:bookmarkStart w:id="18" w:name="_Toc389582035"/>
      <w:bookmarkStart w:id="19" w:name="_Toc4706"/>
      <w:bookmarkStart w:id="20" w:name="_Toc426457692"/>
      <w:bookmarkStart w:id="21" w:name="_Toc30304"/>
      <w:bookmarkStart w:id="22" w:name="_Toc6096"/>
      <w:r>
        <w:rPr>
          <w:rFonts w:hint="eastAsia" w:ascii="宋体" w:eastAsia="宋体" w:cs="宋体"/>
          <w:sz w:val="36"/>
          <w:szCs w:val="36"/>
          <w:highlight w:val="none"/>
        </w:rPr>
        <w:t>第二</w:t>
      </w:r>
      <w:r>
        <w:rPr>
          <w:rStyle w:val="23"/>
          <w:rFonts w:hint="eastAsia" w:ascii="宋体" w:eastAsia="宋体" w:cs="宋体"/>
          <w:b/>
          <w:sz w:val="36"/>
          <w:szCs w:val="36"/>
          <w:highlight w:val="none"/>
        </w:rPr>
        <w:t xml:space="preserve">章  </w:t>
      </w:r>
      <w:bookmarkEnd w:id="17"/>
      <w:bookmarkEnd w:id="18"/>
      <w:r>
        <w:rPr>
          <w:rStyle w:val="23"/>
          <w:rFonts w:hint="eastAsia" w:eastAsia="宋体" w:cs="宋体"/>
          <w:b/>
          <w:sz w:val="36"/>
          <w:szCs w:val="36"/>
          <w:highlight w:val="none"/>
        </w:rPr>
        <w:t>投标人</w:t>
      </w:r>
      <w:r>
        <w:rPr>
          <w:rStyle w:val="23"/>
          <w:rFonts w:hint="eastAsia" w:ascii="宋体" w:eastAsia="宋体" w:cs="宋体"/>
          <w:b/>
          <w:sz w:val="36"/>
          <w:szCs w:val="36"/>
          <w:highlight w:val="none"/>
        </w:rPr>
        <w:t>须知</w:t>
      </w:r>
      <w:bookmarkEnd w:id="19"/>
      <w:bookmarkEnd w:id="20"/>
    </w:p>
    <w:bookmarkEnd w:id="21"/>
    <w:bookmarkEnd w:id="22"/>
    <w:p w14:paraId="39BECEBC">
      <w:pPr>
        <w:pStyle w:val="3"/>
        <w:spacing w:before="120" w:after="120"/>
        <w:jc w:val="center"/>
        <w:rPr>
          <w:rFonts w:hint="eastAsia" w:ascii="宋体" w:hAnsi="宋体" w:cs="宋体"/>
          <w:sz w:val="32"/>
          <w:highlight w:val="none"/>
        </w:rPr>
      </w:pPr>
      <w:bookmarkStart w:id="23" w:name="_Toc17040"/>
      <w:bookmarkStart w:id="24" w:name="_Toc23108"/>
      <w:bookmarkStart w:id="25" w:name="_Toc17539"/>
      <w:bookmarkStart w:id="26" w:name="_Toc30222"/>
      <w:bookmarkStart w:id="27" w:name="_Toc11975"/>
      <w:bookmarkStart w:id="28" w:name="_Toc426457693"/>
      <w:bookmarkStart w:id="29" w:name="_Toc10162"/>
      <w:r>
        <w:rPr>
          <w:rFonts w:hint="eastAsia" w:ascii="宋体" w:hAnsi="宋体" w:cs="宋体"/>
          <w:sz w:val="32"/>
          <w:highlight w:val="none"/>
        </w:rPr>
        <w:t>投标人须知前附表</w:t>
      </w:r>
      <w:bookmarkEnd w:id="23"/>
      <w:bookmarkEnd w:id="24"/>
      <w:bookmarkEnd w:id="25"/>
      <w:bookmarkEnd w:id="26"/>
      <w:bookmarkEnd w:id="27"/>
      <w:bookmarkEnd w:id="28"/>
      <w:bookmarkEnd w:id="29"/>
    </w:p>
    <w:tbl>
      <w:tblPr>
        <w:tblStyle w:val="18"/>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480"/>
        <w:gridCol w:w="845"/>
        <w:gridCol w:w="7798"/>
      </w:tblGrid>
      <w:tr w14:paraId="78BF9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263" w:type="pct"/>
          </w:tcPr>
          <w:p w14:paraId="680DDD42">
            <w:pPr>
              <w:spacing w:before="166" w:beforeLines="50"/>
              <w:jc w:val="center"/>
              <w:rPr>
                <w:rFonts w:hint="eastAsia" w:hAnsi="宋体" w:cs="宋体"/>
                <w:b/>
                <w:szCs w:val="24"/>
                <w:highlight w:val="none"/>
              </w:rPr>
            </w:pPr>
            <w:r>
              <w:rPr>
                <w:rFonts w:hint="eastAsia" w:hAnsi="宋体" w:cs="宋体"/>
                <w:b/>
                <w:szCs w:val="24"/>
                <w:highlight w:val="none"/>
              </w:rPr>
              <w:t>序号</w:t>
            </w:r>
          </w:p>
        </w:tc>
        <w:tc>
          <w:tcPr>
            <w:tcW w:w="463" w:type="pct"/>
            <w:vAlign w:val="center"/>
          </w:tcPr>
          <w:p w14:paraId="76EE1A72">
            <w:pPr>
              <w:spacing w:before="166" w:beforeLines="50"/>
              <w:jc w:val="center"/>
              <w:rPr>
                <w:rFonts w:hint="eastAsia" w:hAnsi="宋体" w:cs="宋体"/>
                <w:b/>
                <w:szCs w:val="24"/>
                <w:highlight w:val="none"/>
              </w:rPr>
            </w:pPr>
            <w:r>
              <w:rPr>
                <w:rFonts w:hint="eastAsia" w:hAnsi="宋体" w:cs="宋体"/>
                <w:b/>
                <w:szCs w:val="24"/>
                <w:highlight w:val="none"/>
              </w:rPr>
              <w:t>条款号</w:t>
            </w:r>
          </w:p>
        </w:tc>
        <w:tc>
          <w:tcPr>
            <w:tcW w:w="4273" w:type="pct"/>
          </w:tcPr>
          <w:p w14:paraId="27796FB7">
            <w:pPr>
              <w:spacing w:before="166" w:beforeLines="50"/>
              <w:jc w:val="center"/>
              <w:rPr>
                <w:rFonts w:hint="eastAsia" w:hAnsi="宋体" w:cs="宋体"/>
                <w:b/>
                <w:szCs w:val="24"/>
                <w:highlight w:val="none"/>
              </w:rPr>
            </w:pPr>
            <w:r>
              <w:rPr>
                <w:rFonts w:hint="eastAsia" w:hAnsi="宋体" w:cs="宋体"/>
                <w:b/>
                <w:szCs w:val="24"/>
                <w:highlight w:val="none"/>
              </w:rPr>
              <w:t xml:space="preserve">编 列 内 容 </w:t>
            </w:r>
          </w:p>
        </w:tc>
      </w:tr>
      <w:tr w14:paraId="1C8B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vAlign w:val="center"/>
          </w:tcPr>
          <w:p w14:paraId="6883BACE">
            <w:pPr>
              <w:jc w:val="center"/>
              <w:rPr>
                <w:rFonts w:hint="eastAsia" w:hAnsi="宋体" w:cs="宋体"/>
                <w:szCs w:val="24"/>
                <w:highlight w:val="none"/>
              </w:rPr>
            </w:pPr>
            <w:r>
              <w:rPr>
                <w:rFonts w:hint="eastAsia" w:hAnsi="宋体" w:cs="宋体"/>
                <w:szCs w:val="24"/>
                <w:highlight w:val="none"/>
              </w:rPr>
              <w:t>1</w:t>
            </w:r>
          </w:p>
        </w:tc>
        <w:tc>
          <w:tcPr>
            <w:tcW w:w="463" w:type="pct"/>
            <w:vAlign w:val="center"/>
          </w:tcPr>
          <w:p w14:paraId="20A26128">
            <w:pPr>
              <w:jc w:val="center"/>
              <w:rPr>
                <w:rFonts w:hint="eastAsia" w:hAnsi="宋体" w:cs="宋体"/>
                <w:szCs w:val="24"/>
                <w:highlight w:val="none"/>
              </w:rPr>
            </w:pPr>
            <w:r>
              <w:rPr>
                <w:rFonts w:hint="eastAsia" w:hAnsi="宋体" w:cs="宋体"/>
                <w:szCs w:val="24"/>
                <w:highlight w:val="none"/>
              </w:rPr>
              <w:t>2.3</w:t>
            </w:r>
          </w:p>
        </w:tc>
        <w:tc>
          <w:tcPr>
            <w:tcW w:w="4273" w:type="pct"/>
          </w:tcPr>
          <w:p w14:paraId="1075F9BA">
            <w:pPr>
              <w:spacing w:line="360" w:lineRule="auto"/>
              <w:rPr>
                <w:rFonts w:hint="eastAsia" w:hAnsi="宋体" w:cs="宋体"/>
                <w:szCs w:val="24"/>
                <w:highlight w:val="none"/>
              </w:rPr>
            </w:pPr>
            <w:r>
              <w:rPr>
                <w:rFonts w:hint="eastAsia" w:hAnsi="宋体" w:cs="宋体"/>
                <w:szCs w:val="24"/>
                <w:highlight w:val="none"/>
              </w:rPr>
              <w:t>采购代理机构：</w:t>
            </w:r>
            <w:r>
              <w:rPr>
                <w:rFonts w:hint="eastAsia"/>
                <w:szCs w:val="24"/>
                <w:highlight w:val="none"/>
              </w:rPr>
              <w:t>陕西至诚项目管理集团有限公司</w:t>
            </w:r>
          </w:p>
          <w:p w14:paraId="18F9FEE8">
            <w:pPr>
              <w:spacing w:line="360" w:lineRule="auto"/>
              <w:rPr>
                <w:rFonts w:hint="eastAsia" w:hAnsi="宋体" w:cs="宋体"/>
                <w:szCs w:val="24"/>
                <w:highlight w:val="none"/>
              </w:rPr>
            </w:pPr>
            <w:r>
              <w:rPr>
                <w:rFonts w:hint="eastAsia" w:hAnsi="宋体" w:cs="宋体"/>
                <w:szCs w:val="24"/>
                <w:highlight w:val="none"/>
              </w:rPr>
              <w:t>地        址：</w:t>
            </w:r>
            <w:r>
              <w:rPr>
                <w:rFonts w:hint="eastAsia"/>
                <w:szCs w:val="24"/>
                <w:highlight w:val="none"/>
              </w:rPr>
              <w:t>陕西省西安市经济技术开发区未央路171-1号银池道拉斯财富中心21楼</w:t>
            </w:r>
          </w:p>
          <w:p w14:paraId="49B4D5CF">
            <w:pPr>
              <w:spacing w:line="360" w:lineRule="auto"/>
              <w:rPr>
                <w:rFonts w:hint="eastAsia" w:hAnsi="宋体" w:cs="宋体"/>
                <w:szCs w:val="24"/>
                <w:highlight w:val="none"/>
              </w:rPr>
            </w:pPr>
            <w:r>
              <w:rPr>
                <w:rFonts w:hint="eastAsia" w:hAnsi="宋体" w:cs="宋体"/>
                <w:szCs w:val="24"/>
                <w:highlight w:val="none"/>
              </w:rPr>
              <w:t>邮        编：</w:t>
            </w:r>
            <w:r>
              <w:rPr>
                <w:rFonts w:hint="eastAsia"/>
                <w:szCs w:val="24"/>
                <w:highlight w:val="none"/>
              </w:rPr>
              <w:t>710021</w:t>
            </w:r>
          </w:p>
          <w:p w14:paraId="397B43A3">
            <w:pPr>
              <w:spacing w:line="360" w:lineRule="auto"/>
              <w:rPr>
                <w:rFonts w:hint="eastAsia" w:hAnsi="宋体" w:cs="宋体"/>
                <w:szCs w:val="24"/>
                <w:highlight w:val="none"/>
              </w:rPr>
            </w:pPr>
            <w:r>
              <w:rPr>
                <w:rFonts w:hint="eastAsia" w:hAnsi="宋体" w:cs="宋体"/>
                <w:szCs w:val="24"/>
                <w:highlight w:val="none"/>
              </w:rPr>
              <w:t>电        话：029-88219779</w:t>
            </w:r>
          </w:p>
          <w:p w14:paraId="48DE8B19">
            <w:pPr>
              <w:spacing w:line="360" w:lineRule="auto"/>
              <w:rPr>
                <w:rFonts w:hint="eastAsia" w:hAnsi="宋体" w:cs="宋体"/>
                <w:szCs w:val="24"/>
                <w:highlight w:val="none"/>
              </w:rPr>
            </w:pPr>
            <w:r>
              <w:rPr>
                <w:rFonts w:hint="eastAsia" w:hAnsi="宋体" w:cs="宋体"/>
                <w:szCs w:val="24"/>
                <w:highlight w:val="none"/>
              </w:rPr>
              <w:t>传        真：/</w:t>
            </w:r>
          </w:p>
        </w:tc>
      </w:tr>
      <w:tr w14:paraId="3DFA7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vAlign w:val="center"/>
          </w:tcPr>
          <w:p w14:paraId="1E2A5588">
            <w:pPr>
              <w:jc w:val="center"/>
              <w:rPr>
                <w:rFonts w:hint="eastAsia" w:hAnsi="宋体" w:cs="宋体"/>
                <w:szCs w:val="24"/>
                <w:highlight w:val="none"/>
              </w:rPr>
            </w:pPr>
            <w:r>
              <w:rPr>
                <w:rFonts w:hint="eastAsia" w:hAnsi="宋体" w:cs="宋体"/>
                <w:szCs w:val="24"/>
                <w:highlight w:val="none"/>
              </w:rPr>
              <w:t>2</w:t>
            </w:r>
          </w:p>
        </w:tc>
        <w:tc>
          <w:tcPr>
            <w:tcW w:w="463" w:type="pct"/>
            <w:vAlign w:val="center"/>
          </w:tcPr>
          <w:p w14:paraId="591FFE93">
            <w:pPr>
              <w:jc w:val="center"/>
              <w:rPr>
                <w:rFonts w:hint="eastAsia" w:hAnsi="宋体" w:cs="宋体"/>
                <w:szCs w:val="24"/>
                <w:highlight w:val="none"/>
              </w:rPr>
            </w:pPr>
            <w:r>
              <w:rPr>
                <w:rFonts w:hint="eastAsia" w:hAnsi="宋体" w:cs="宋体"/>
                <w:szCs w:val="24"/>
                <w:highlight w:val="none"/>
              </w:rPr>
              <w:t>3.6</w:t>
            </w:r>
          </w:p>
        </w:tc>
        <w:tc>
          <w:tcPr>
            <w:tcW w:w="4273" w:type="pct"/>
            <w:vAlign w:val="center"/>
          </w:tcPr>
          <w:p w14:paraId="3B7621C6">
            <w:pPr>
              <w:rPr>
                <w:rFonts w:hint="eastAsia" w:hAnsi="宋体" w:cs="宋体"/>
                <w:szCs w:val="24"/>
                <w:highlight w:val="none"/>
              </w:rPr>
            </w:pPr>
            <w:r>
              <w:rPr>
                <w:rFonts w:hint="eastAsia" w:hAnsi="宋体" w:cs="宋体"/>
                <w:szCs w:val="24"/>
                <w:highlight w:val="none"/>
              </w:rPr>
              <w:t>本项目不接受联合体投标。</w:t>
            </w:r>
          </w:p>
        </w:tc>
      </w:tr>
      <w:tr w14:paraId="738A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vAlign w:val="center"/>
          </w:tcPr>
          <w:p w14:paraId="4BBFF089">
            <w:pPr>
              <w:jc w:val="center"/>
              <w:rPr>
                <w:rFonts w:hint="eastAsia" w:hAnsi="宋体" w:cs="宋体"/>
                <w:szCs w:val="24"/>
                <w:highlight w:val="none"/>
              </w:rPr>
            </w:pPr>
            <w:r>
              <w:rPr>
                <w:rFonts w:hint="eastAsia" w:hAnsi="宋体" w:cs="宋体"/>
                <w:szCs w:val="24"/>
                <w:highlight w:val="none"/>
              </w:rPr>
              <w:t>3</w:t>
            </w:r>
          </w:p>
        </w:tc>
        <w:tc>
          <w:tcPr>
            <w:tcW w:w="463" w:type="pct"/>
            <w:vAlign w:val="center"/>
          </w:tcPr>
          <w:p w14:paraId="1D7B9103">
            <w:pPr>
              <w:spacing w:line="360" w:lineRule="auto"/>
              <w:jc w:val="center"/>
              <w:rPr>
                <w:rFonts w:hint="eastAsia" w:hAnsi="宋体"/>
                <w:szCs w:val="21"/>
                <w:highlight w:val="none"/>
              </w:rPr>
            </w:pPr>
            <w:r>
              <w:rPr>
                <w:rFonts w:hint="eastAsia" w:hAnsi="宋体"/>
                <w:szCs w:val="21"/>
                <w:highlight w:val="none"/>
              </w:rPr>
              <w:t>8.3</w:t>
            </w:r>
          </w:p>
        </w:tc>
        <w:tc>
          <w:tcPr>
            <w:tcW w:w="4273" w:type="pct"/>
            <w:vAlign w:val="center"/>
          </w:tcPr>
          <w:p w14:paraId="2876E061">
            <w:pPr>
              <w:spacing w:line="360" w:lineRule="auto"/>
              <w:rPr>
                <w:rFonts w:hint="eastAsia" w:hAnsi="宋体"/>
                <w:szCs w:val="21"/>
                <w:highlight w:val="none"/>
              </w:rPr>
            </w:pPr>
            <w:r>
              <w:rPr>
                <w:rFonts w:hint="eastAsia" w:hAnsi="宋体"/>
                <w:szCs w:val="21"/>
                <w:highlight w:val="none"/>
              </w:rPr>
              <w:t>采购代理机构答疑的时间：对于供应商在规定时间内依法提出的询问，采购代理机构将在三个工作日内答复询问。</w:t>
            </w:r>
          </w:p>
        </w:tc>
      </w:tr>
      <w:tr w14:paraId="1098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263" w:type="pct"/>
            <w:vAlign w:val="center"/>
          </w:tcPr>
          <w:p w14:paraId="2C8A7207">
            <w:pPr>
              <w:jc w:val="center"/>
              <w:rPr>
                <w:rFonts w:hint="eastAsia" w:hAnsi="宋体" w:cs="宋体"/>
                <w:szCs w:val="24"/>
                <w:highlight w:val="none"/>
              </w:rPr>
            </w:pPr>
            <w:r>
              <w:rPr>
                <w:rFonts w:hint="eastAsia" w:hAnsi="宋体" w:cs="宋体"/>
                <w:szCs w:val="24"/>
                <w:highlight w:val="none"/>
              </w:rPr>
              <w:t>3</w:t>
            </w:r>
          </w:p>
        </w:tc>
        <w:tc>
          <w:tcPr>
            <w:tcW w:w="463" w:type="pct"/>
            <w:vAlign w:val="center"/>
          </w:tcPr>
          <w:p w14:paraId="5645381B">
            <w:pPr>
              <w:jc w:val="center"/>
              <w:rPr>
                <w:rFonts w:hint="eastAsia" w:hAnsi="宋体" w:cs="宋体"/>
                <w:szCs w:val="24"/>
                <w:highlight w:val="none"/>
              </w:rPr>
            </w:pPr>
            <w:r>
              <w:rPr>
                <w:rFonts w:hint="eastAsia" w:hAnsi="宋体" w:cs="宋体"/>
                <w:szCs w:val="24"/>
                <w:highlight w:val="none"/>
              </w:rPr>
              <w:t>9.2</w:t>
            </w:r>
          </w:p>
        </w:tc>
        <w:tc>
          <w:tcPr>
            <w:tcW w:w="4273" w:type="pct"/>
            <w:vAlign w:val="center"/>
          </w:tcPr>
          <w:p w14:paraId="38863B2D">
            <w:pPr>
              <w:rPr>
                <w:rFonts w:hint="eastAsia" w:hAnsi="宋体" w:cs="宋体"/>
                <w:szCs w:val="24"/>
                <w:highlight w:val="none"/>
              </w:rPr>
            </w:pPr>
            <w:r>
              <w:rPr>
                <w:rFonts w:hint="eastAsia" w:hAnsi="宋体" w:cs="宋体"/>
                <w:szCs w:val="24"/>
                <w:highlight w:val="none"/>
              </w:rPr>
              <w:t>本项目不允许提供备选方案。</w:t>
            </w:r>
          </w:p>
        </w:tc>
      </w:tr>
      <w:tr w14:paraId="7E8E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vAlign w:val="center"/>
          </w:tcPr>
          <w:p w14:paraId="5884DBD1">
            <w:pPr>
              <w:jc w:val="center"/>
              <w:rPr>
                <w:rFonts w:hint="eastAsia" w:hAnsi="宋体" w:cs="宋体"/>
                <w:szCs w:val="24"/>
                <w:highlight w:val="none"/>
              </w:rPr>
            </w:pPr>
            <w:r>
              <w:rPr>
                <w:rFonts w:hint="eastAsia" w:hAnsi="宋体" w:cs="宋体"/>
                <w:szCs w:val="24"/>
                <w:highlight w:val="none"/>
              </w:rPr>
              <w:t>4</w:t>
            </w:r>
          </w:p>
        </w:tc>
        <w:tc>
          <w:tcPr>
            <w:tcW w:w="463" w:type="pct"/>
            <w:vAlign w:val="center"/>
          </w:tcPr>
          <w:p w14:paraId="7BF1C926">
            <w:pPr>
              <w:jc w:val="center"/>
              <w:rPr>
                <w:rFonts w:hint="eastAsia" w:hAnsi="宋体" w:cs="宋体"/>
                <w:szCs w:val="24"/>
                <w:highlight w:val="none"/>
              </w:rPr>
            </w:pPr>
            <w:r>
              <w:rPr>
                <w:rFonts w:hint="eastAsia" w:hAnsi="宋体" w:cs="宋体"/>
                <w:szCs w:val="24"/>
                <w:highlight w:val="none"/>
              </w:rPr>
              <w:t>9.3</w:t>
            </w:r>
          </w:p>
        </w:tc>
        <w:tc>
          <w:tcPr>
            <w:tcW w:w="4273" w:type="pct"/>
            <w:vAlign w:val="center"/>
          </w:tcPr>
          <w:p w14:paraId="05BEAA0C">
            <w:pPr>
              <w:spacing w:line="360" w:lineRule="auto"/>
              <w:rPr>
                <w:rFonts w:hint="eastAsia" w:hAnsi="宋体" w:cs="宋体"/>
                <w:szCs w:val="24"/>
                <w:highlight w:val="none"/>
              </w:rPr>
            </w:pPr>
            <w:r>
              <w:rPr>
                <w:rFonts w:hint="eastAsia" w:hAnsi="宋体" w:cs="宋体"/>
                <w:szCs w:val="24"/>
                <w:highlight w:val="none"/>
              </w:rPr>
              <w:t>供应商可根据自身的资质情况和经营范围进行投标，但不得将其子目自行分解或针对该项目中的品目进行不完全投标，任何不完全的投标将按无效投标处理。</w:t>
            </w:r>
          </w:p>
        </w:tc>
      </w:tr>
      <w:tr w14:paraId="1F60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263" w:type="pct"/>
            <w:vAlign w:val="center"/>
          </w:tcPr>
          <w:p w14:paraId="349CE81A">
            <w:pPr>
              <w:spacing w:after="166" w:afterLines="50"/>
              <w:jc w:val="center"/>
              <w:rPr>
                <w:rFonts w:hint="eastAsia" w:hAnsi="宋体" w:cs="宋体"/>
                <w:szCs w:val="24"/>
                <w:highlight w:val="none"/>
              </w:rPr>
            </w:pPr>
            <w:r>
              <w:rPr>
                <w:rFonts w:hint="eastAsia" w:hAnsi="宋体" w:cs="宋体"/>
                <w:szCs w:val="24"/>
                <w:highlight w:val="none"/>
              </w:rPr>
              <w:t>5</w:t>
            </w:r>
          </w:p>
        </w:tc>
        <w:tc>
          <w:tcPr>
            <w:tcW w:w="463" w:type="pct"/>
            <w:vAlign w:val="center"/>
          </w:tcPr>
          <w:p w14:paraId="0280FF7F">
            <w:pPr>
              <w:spacing w:after="166" w:afterLines="50"/>
              <w:jc w:val="center"/>
              <w:rPr>
                <w:rFonts w:hint="eastAsia" w:hAnsi="宋体" w:cs="宋体"/>
                <w:szCs w:val="24"/>
                <w:highlight w:val="none"/>
              </w:rPr>
            </w:pPr>
            <w:r>
              <w:rPr>
                <w:rFonts w:hint="eastAsia" w:hAnsi="宋体" w:cs="宋体"/>
                <w:szCs w:val="24"/>
                <w:highlight w:val="none"/>
              </w:rPr>
              <w:t>11.1</w:t>
            </w:r>
          </w:p>
        </w:tc>
        <w:tc>
          <w:tcPr>
            <w:tcW w:w="4273" w:type="pct"/>
          </w:tcPr>
          <w:p w14:paraId="29D65AA5">
            <w:pPr>
              <w:spacing w:line="500" w:lineRule="exact"/>
              <w:rPr>
                <w:rFonts w:hint="eastAsia" w:hAnsi="宋体" w:cs="宋体"/>
                <w:szCs w:val="24"/>
                <w:highlight w:val="none"/>
              </w:rPr>
            </w:pPr>
            <w:r>
              <w:rPr>
                <w:rFonts w:hint="eastAsia" w:hAnsi="宋体" w:cs="宋体"/>
                <w:szCs w:val="24"/>
                <w:highlight w:val="none"/>
              </w:rPr>
              <w:t>投标报价：</w:t>
            </w:r>
            <w:bookmarkStart w:id="30" w:name="OLE_LINK11"/>
            <w:r>
              <w:rPr>
                <w:rFonts w:hint="eastAsia" w:hAnsi="宋体" w:cs="宋体"/>
                <w:szCs w:val="24"/>
                <w:highlight w:val="none"/>
              </w:rPr>
              <w:t>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bookmarkEnd w:id="30"/>
          </w:p>
        </w:tc>
      </w:tr>
      <w:tr w14:paraId="64B2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 w:hRule="atLeast"/>
          <w:jc w:val="center"/>
        </w:trPr>
        <w:tc>
          <w:tcPr>
            <w:tcW w:w="263" w:type="pct"/>
            <w:vAlign w:val="center"/>
          </w:tcPr>
          <w:p w14:paraId="468DE9F1">
            <w:pPr>
              <w:jc w:val="center"/>
              <w:rPr>
                <w:rFonts w:hint="eastAsia" w:hAnsi="宋体" w:cs="宋体"/>
                <w:szCs w:val="24"/>
                <w:highlight w:val="none"/>
              </w:rPr>
            </w:pPr>
            <w:r>
              <w:rPr>
                <w:rFonts w:hint="eastAsia" w:hAnsi="宋体" w:cs="宋体"/>
                <w:szCs w:val="24"/>
                <w:highlight w:val="none"/>
              </w:rPr>
              <w:t>6</w:t>
            </w:r>
          </w:p>
        </w:tc>
        <w:tc>
          <w:tcPr>
            <w:tcW w:w="463" w:type="pct"/>
            <w:vAlign w:val="center"/>
          </w:tcPr>
          <w:p w14:paraId="4D549A37">
            <w:pPr>
              <w:jc w:val="center"/>
              <w:rPr>
                <w:rFonts w:hint="eastAsia" w:hAnsi="宋体" w:cs="宋体"/>
                <w:szCs w:val="24"/>
                <w:highlight w:val="none"/>
              </w:rPr>
            </w:pPr>
            <w:r>
              <w:rPr>
                <w:rFonts w:hint="eastAsia" w:hAnsi="宋体" w:cs="宋体"/>
                <w:szCs w:val="24"/>
                <w:highlight w:val="none"/>
              </w:rPr>
              <w:t>12.1</w:t>
            </w:r>
          </w:p>
        </w:tc>
        <w:tc>
          <w:tcPr>
            <w:tcW w:w="4273" w:type="pct"/>
          </w:tcPr>
          <w:p w14:paraId="41AD1DC0">
            <w:pPr>
              <w:spacing w:line="500" w:lineRule="exact"/>
              <w:ind w:firstLine="240" w:firstLineChars="100"/>
              <w:rPr>
                <w:highlight w:val="none"/>
              </w:rPr>
            </w:pPr>
            <w:r>
              <w:rPr>
                <w:highlight w:val="none"/>
              </w:rPr>
              <w:t>1.</w:t>
            </w:r>
            <w:r>
              <w:rPr>
                <w:rFonts w:hint="eastAsia"/>
                <w:highlight w:val="none"/>
              </w:rPr>
              <w:t>基本资格条件：符合《中华人民共和国政府采购法》第二十二条的规定；</w:t>
            </w:r>
          </w:p>
          <w:p w14:paraId="295B2C90">
            <w:pPr>
              <w:spacing w:line="500" w:lineRule="exact"/>
              <w:ind w:firstLine="240" w:firstLineChars="100"/>
              <w:rPr>
                <w:highlight w:val="none"/>
              </w:rPr>
            </w:pPr>
            <w:r>
              <w:rPr>
                <w:highlight w:val="none"/>
              </w:rPr>
              <w:t>2.</w:t>
            </w:r>
            <w:r>
              <w:rPr>
                <w:rFonts w:hint="eastAsia"/>
                <w:highlight w:val="none"/>
              </w:rPr>
              <w:t>特定资格条件：</w:t>
            </w:r>
          </w:p>
          <w:p w14:paraId="29C953AD">
            <w:pPr>
              <w:spacing w:line="500" w:lineRule="exact"/>
              <w:ind w:firstLine="240" w:firstLineChars="100"/>
              <w:rPr>
                <w:highlight w:val="none"/>
              </w:rPr>
            </w:pPr>
            <w:r>
              <w:rPr>
                <w:rFonts w:hint="eastAsia"/>
                <w:highlight w:val="none"/>
              </w:rPr>
              <w:t>合同包1(12通道心电图机（带网络）采购项目)特定资格要求如下:</w:t>
            </w:r>
          </w:p>
          <w:p w14:paraId="2B9BD2A4">
            <w:pPr>
              <w:spacing w:line="360" w:lineRule="auto"/>
              <w:rPr>
                <w:rFonts w:hint="eastAsia" w:ascii="微软雅黑" w:hAnsi="微软雅黑" w:eastAsia="微软雅黑" w:cs="微软雅黑"/>
                <w:color w:val="333333"/>
                <w:sz w:val="21"/>
                <w:szCs w:val="21"/>
                <w:highlight w:val="none"/>
                <w:shd w:val="clear" w:color="auto" w:fill="FFFFFF"/>
              </w:rPr>
            </w:pPr>
            <w:r>
              <w:rPr>
                <w:rFonts w:hAnsi="宋体" w:cs="宋体"/>
                <w:szCs w:val="24"/>
                <w:highlight w:val="none"/>
              </w:rPr>
              <w:t>(1)提供合格有效的法人或者其他组织的营业执照等证明文件</w:t>
            </w:r>
            <w:r>
              <w:rPr>
                <w:rFonts w:ascii="微软雅黑" w:hAnsi="微软雅黑" w:eastAsia="微软雅黑" w:cs="微软雅黑"/>
                <w:color w:val="333333"/>
                <w:sz w:val="21"/>
                <w:szCs w:val="21"/>
                <w:highlight w:val="none"/>
                <w:shd w:val="clear" w:color="auto" w:fill="FFFFFF"/>
              </w:rPr>
              <w:t>，</w:t>
            </w:r>
            <w:r>
              <w:rPr>
                <w:rFonts w:hAnsi="宋体" w:cs="宋体"/>
                <w:szCs w:val="24"/>
                <w:highlight w:val="none"/>
              </w:rPr>
              <w:t>自然人的身份证明；</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(2)提供法定代表人授权书（附法定代表人、被授权人身份证复印件</w:t>
            </w:r>
            <w:r>
              <w:rPr>
                <w:rFonts w:hint="eastAsia" w:ascii="微软雅黑" w:hAnsi="微软雅黑" w:eastAsia="微软雅黑" w:cs="微软雅黑"/>
                <w:color w:val="333333"/>
                <w:sz w:val="21"/>
                <w:szCs w:val="21"/>
                <w:highlight w:val="none"/>
                <w:shd w:val="clear" w:color="auto" w:fill="FFFFFF"/>
              </w:rPr>
              <w:t>，</w:t>
            </w:r>
            <w:r>
              <w:rPr>
                <w:rFonts w:hAnsi="宋体" w:cs="宋体"/>
                <w:szCs w:val="24"/>
                <w:highlight w:val="none"/>
              </w:rPr>
              <w:t>法定代表人直接参加投标，须提供法定代表人身份证明及身份证复印件）</w:t>
            </w:r>
            <w:r>
              <w:rPr>
                <w:rFonts w:hint="eastAsia" w:ascii="微软雅黑" w:hAnsi="微软雅黑" w:eastAsia="微软雅黑" w:cs="微软雅黑"/>
                <w:color w:val="333333"/>
                <w:sz w:val="21"/>
                <w:szCs w:val="21"/>
                <w:highlight w:val="none"/>
                <w:shd w:val="clear" w:color="auto" w:fill="FFFFFF"/>
              </w:rPr>
              <w:t>；</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(3)提供2023年度的财务审计报告（成立时间至提交投标文件截止时间不足一年的可提供成立后任意时段的资产负债表）或开标时间前六个月内银行出具的资信证明</w:t>
            </w:r>
            <w:r>
              <w:rPr>
                <w:rFonts w:hint="eastAsia" w:ascii="微软雅黑" w:hAnsi="微软雅黑" w:eastAsia="微软雅黑" w:cs="微软雅黑"/>
                <w:color w:val="333333"/>
                <w:sz w:val="21"/>
                <w:szCs w:val="21"/>
                <w:highlight w:val="none"/>
                <w:shd w:val="clear" w:color="auto" w:fill="FFFFFF"/>
              </w:rPr>
              <w:t>；</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(4)税收缴纳证明：提供投标截止日前近一年内任意一个月的纳税证明或完税证明（任意税种）</w:t>
            </w:r>
            <w:r>
              <w:rPr>
                <w:rFonts w:hint="eastAsia" w:ascii="微软雅黑" w:hAnsi="微软雅黑" w:eastAsia="微软雅黑" w:cs="微软雅黑"/>
                <w:color w:val="333333"/>
                <w:sz w:val="21"/>
                <w:szCs w:val="21"/>
                <w:highlight w:val="none"/>
                <w:shd w:val="clear" w:color="auto" w:fill="FFFFFF"/>
              </w:rPr>
              <w:t>，</w:t>
            </w:r>
            <w:r>
              <w:rPr>
                <w:rFonts w:hAnsi="宋体" w:cs="宋体"/>
                <w:szCs w:val="24"/>
                <w:highlight w:val="none"/>
              </w:rPr>
              <w:t>依法免税的单位应提供相关证明材料；</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(5)社会保障资金缴纳证明：提供投标截止日前近一年内任意一个月的社会保障资金缴存单据或社保机构开具的社会保险参保缴费情况证明</w:t>
            </w:r>
            <w:r>
              <w:rPr>
                <w:rFonts w:hint="eastAsia" w:ascii="微软雅黑" w:hAnsi="微软雅黑" w:eastAsia="微软雅黑" w:cs="微软雅黑"/>
                <w:color w:val="333333"/>
                <w:sz w:val="21"/>
                <w:szCs w:val="21"/>
                <w:highlight w:val="none"/>
                <w:shd w:val="clear" w:color="auto" w:fill="FFFFFF"/>
              </w:rPr>
              <w:t>，</w:t>
            </w:r>
            <w:r>
              <w:rPr>
                <w:rFonts w:hAnsi="宋体" w:cs="宋体"/>
                <w:szCs w:val="24"/>
                <w:highlight w:val="none"/>
              </w:rPr>
              <w:t>依法不需要缴纳社会保障资金的单位应提供相关证明材料；</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(6)投标人为经销商或代理商的须提供《医疗器械经营许可证》或《医疗器械经营备案凭证》</w:t>
            </w:r>
            <w:r>
              <w:rPr>
                <w:rFonts w:hint="eastAsia" w:ascii="微软雅黑" w:hAnsi="微软雅黑" w:eastAsia="微软雅黑" w:cs="微软雅黑"/>
                <w:color w:val="333333"/>
                <w:sz w:val="21"/>
                <w:szCs w:val="21"/>
                <w:highlight w:val="none"/>
                <w:shd w:val="clear" w:color="auto" w:fill="FFFFFF"/>
              </w:rPr>
              <w:t>；</w:t>
            </w:r>
            <w:r>
              <w:rPr>
                <w:rFonts w:hAnsi="宋体" w:cs="宋体"/>
                <w:szCs w:val="24"/>
                <w:highlight w:val="none"/>
              </w:rPr>
              <w:t>投标人为制造商的须提供《医疗器械生产许可证》或《医疗器械生产备案凭证》；</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(7)投标产品属于医疗器械的提供医疗器械注册证或医疗器械备案凭证</w:t>
            </w:r>
            <w:r>
              <w:rPr>
                <w:rFonts w:hint="eastAsia" w:ascii="微软雅黑" w:hAnsi="微软雅黑" w:eastAsia="微软雅黑" w:cs="微软雅黑"/>
                <w:color w:val="333333"/>
                <w:sz w:val="21"/>
                <w:szCs w:val="21"/>
                <w:highlight w:val="none"/>
                <w:shd w:val="clear" w:color="auto" w:fill="FFFFFF"/>
              </w:rPr>
              <w:t>；</w:t>
            </w:r>
            <w:r>
              <w:rPr>
                <w:rFonts w:hAnsi="宋体" w:cs="宋体"/>
                <w:szCs w:val="24"/>
                <w:highlight w:val="none"/>
              </w:rPr>
              <w:t>(注:投标产品不属于医疗器械的须提供相应的书面声明材料)</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(8)提供具有履行本合同所必需的设备和专业技术能力的说明及承诺书</w:t>
            </w:r>
            <w:r>
              <w:rPr>
                <w:rFonts w:hint="eastAsia" w:ascii="微软雅黑" w:hAnsi="微软雅黑" w:eastAsia="微软雅黑" w:cs="微软雅黑"/>
                <w:color w:val="333333"/>
                <w:sz w:val="21"/>
                <w:szCs w:val="21"/>
                <w:highlight w:val="none"/>
                <w:shd w:val="clear" w:color="auto" w:fill="FFFFFF"/>
              </w:rPr>
              <w:t>；</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(9)供应商通过“信用中国”网站(www.creditchina.gov.cn)、中国政府采购网(www.ccgp.gov.cn)等查询相关主体信用记录</w:t>
            </w:r>
            <w:r>
              <w:rPr>
                <w:rFonts w:hint="eastAsia" w:ascii="微软雅黑" w:hAnsi="微软雅黑" w:eastAsia="微软雅黑" w:cs="微软雅黑"/>
                <w:color w:val="333333"/>
                <w:sz w:val="21"/>
                <w:szCs w:val="21"/>
                <w:highlight w:val="none"/>
                <w:shd w:val="clear" w:color="auto" w:fill="FFFFFF"/>
              </w:rPr>
              <w:t>；</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(10)参加政府采购活动前3年内</w:t>
            </w:r>
            <w:r>
              <w:rPr>
                <w:rFonts w:hint="eastAsia" w:ascii="微软雅黑" w:hAnsi="微软雅黑" w:eastAsia="微软雅黑" w:cs="微软雅黑"/>
                <w:color w:val="333333"/>
                <w:sz w:val="21"/>
                <w:szCs w:val="21"/>
                <w:highlight w:val="none"/>
                <w:shd w:val="clear" w:color="auto" w:fill="FFFFFF"/>
              </w:rPr>
              <w:t>，</w:t>
            </w:r>
            <w:r>
              <w:rPr>
                <w:rFonts w:hAnsi="宋体" w:cs="宋体"/>
                <w:szCs w:val="24"/>
                <w:highlight w:val="none"/>
              </w:rPr>
              <w:t>在经营活动中没有重大违法记录的书面声明；</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(11)提供中小企业声明函</w:t>
            </w:r>
            <w:r>
              <w:rPr>
                <w:rFonts w:hint="eastAsia" w:ascii="微软雅黑" w:hAnsi="微软雅黑" w:eastAsia="微软雅黑" w:cs="微软雅黑"/>
                <w:color w:val="333333"/>
                <w:sz w:val="21"/>
                <w:szCs w:val="21"/>
                <w:highlight w:val="none"/>
                <w:shd w:val="clear" w:color="auto" w:fill="FFFFFF"/>
              </w:rPr>
              <w:t>；</w:t>
            </w:r>
            <w:r>
              <w:rPr>
                <w:rFonts w:hint="eastAsia" w:ascii="微软雅黑" w:hAnsi="微软雅黑" w:eastAsia="微软雅黑" w:cs="微软雅黑"/>
                <w:color w:val="333333"/>
                <w:sz w:val="21"/>
                <w:szCs w:val="21"/>
                <w:highlight w:val="none"/>
                <w:shd w:val="clear" w:color="auto" w:fill="FFFFFF"/>
              </w:rPr>
              <w:br w:type="textWrapping"/>
            </w:r>
            <w:r>
              <w:rPr>
                <w:rFonts w:hAnsi="宋体" w:cs="宋体"/>
                <w:szCs w:val="24"/>
                <w:highlight w:val="none"/>
              </w:rPr>
              <w:t>(12)本项目不接受联合体投标（提供承诺书）</w:t>
            </w:r>
            <w:r>
              <w:rPr>
                <w:rFonts w:hint="eastAsia" w:ascii="微软雅黑" w:hAnsi="微软雅黑" w:eastAsia="微软雅黑" w:cs="微软雅黑"/>
                <w:color w:val="333333"/>
                <w:sz w:val="21"/>
                <w:szCs w:val="21"/>
                <w:highlight w:val="none"/>
                <w:shd w:val="clear" w:color="auto" w:fill="FFFFFF"/>
              </w:rPr>
              <w:t>。</w:t>
            </w:r>
          </w:p>
          <w:p w14:paraId="13EC994D">
            <w:pPr>
              <w:rPr>
                <w:b/>
                <w:bCs/>
                <w:highlight w:val="none"/>
              </w:rPr>
            </w:pPr>
            <w:r>
              <w:rPr>
                <w:rFonts w:hint="eastAsia"/>
                <w:b/>
                <w:bCs/>
                <w:highlight w:val="none"/>
              </w:rPr>
              <w:t>以上1-12项为必备资质，缺一项或某项达不到要求，按无效投标处理。</w:t>
            </w:r>
          </w:p>
          <w:p w14:paraId="76C1C987">
            <w:pPr>
              <w:spacing w:line="500" w:lineRule="exact"/>
              <w:ind w:firstLine="240" w:firstLineChars="100"/>
              <w:rPr>
                <w:highlight w:val="none"/>
              </w:rPr>
            </w:pPr>
            <w:r>
              <w:rPr>
                <w:rFonts w:hint="eastAsia"/>
                <w:highlight w:val="none"/>
              </w:rPr>
              <w:t>合同包2(远程影像诊断中心采购项目)特定资格要求如下:</w:t>
            </w:r>
          </w:p>
          <w:p w14:paraId="035D46D8">
            <w:pPr>
              <w:spacing w:line="500" w:lineRule="exact"/>
              <w:ind w:firstLine="240" w:firstLineChars="100"/>
              <w:rPr>
                <w:sz w:val="21"/>
                <w:szCs w:val="21"/>
                <w:highlight w:val="none"/>
              </w:rPr>
            </w:pPr>
            <w:r>
              <w:rPr>
                <w:rFonts w:hint="eastAsia"/>
                <w:highlight w:val="none"/>
              </w:rPr>
              <w:t>(1)提供合格有效的法人或者其他组织的营业执照等证明文件，自然人的身份证明；</w:t>
            </w:r>
            <w:r>
              <w:rPr>
                <w:rFonts w:hint="eastAsia"/>
                <w:highlight w:val="none"/>
              </w:rPr>
              <w:br w:type="textWrapping"/>
            </w:r>
            <w:r>
              <w:rPr>
                <w:rFonts w:hint="eastAsia"/>
                <w:highlight w:val="none"/>
              </w:rPr>
              <w:t>(2)提供法定代表人授权书（附法定代表人、被授权人身份证复印件，法定代表人直接参加投标，须提供法定代表人身份证明及身份证复印件）；</w:t>
            </w:r>
            <w:r>
              <w:rPr>
                <w:rFonts w:hint="eastAsia"/>
                <w:highlight w:val="none"/>
              </w:rPr>
              <w:br w:type="textWrapping"/>
            </w:r>
            <w:r>
              <w:rPr>
                <w:rFonts w:hint="eastAsia"/>
                <w:highlight w:val="none"/>
              </w:rPr>
              <w:t>(3)提供2023年度的财务审计报告（成立时间至提交投标文件截止时间不足一年的可提供成立后任意时段的资产负债表）或开标时间前六个月内银行出具的资信证明；</w:t>
            </w:r>
            <w:r>
              <w:rPr>
                <w:rFonts w:hint="eastAsia"/>
                <w:highlight w:val="none"/>
              </w:rPr>
              <w:br w:type="textWrapping"/>
            </w:r>
            <w:r>
              <w:rPr>
                <w:rFonts w:hint="eastAsia"/>
                <w:highlight w:val="none"/>
              </w:rPr>
              <w:t>(4)税收缴纳证明：提供投标截止日前近一年内任意一个月的纳税证明或完税证明（任意税种），依法免税的单位应提供相关证明材料；</w:t>
            </w:r>
            <w:r>
              <w:rPr>
                <w:rFonts w:hint="eastAsia"/>
                <w:highlight w:val="none"/>
              </w:rPr>
              <w:br w:type="textWrapping"/>
            </w:r>
            <w:r>
              <w:rPr>
                <w:rFonts w:hint="eastAsia"/>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highlight w:val="none"/>
              </w:rPr>
              <w:br w:type="textWrapping"/>
            </w:r>
            <w:r>
              <w:rPr>
                <w:rFonts w:hint="eastAsia"/>
                <w:highlight w:val="none"/>
              </w:rPr>
              <w:t>(6)提供具有履行本合同所必需的设备和专业技术能力的说明及承诺书；</w:t>
            </w:r>
            <w:r>
              <w:rPr>
                <w:rFonts w:hint="eastAsia"/>
                <w:highlight w:val="none"/>
              </w:rPr>
              <w:br w:type="textWrapping"/>
            </w:r>
            <w:r>
              <w:rPr>
                <w:rFonts w:hint="eastAsia"/>
                <w:highlight w:val="none"/>
              </w:rPr>
              <w:t>(7)供应商通过“信用中国”网站(www.creditchina.gov.cn)、中国政府采购网(www.ccgp.gov.cn)等查询相关主体信用记录；</w:t>
            </w:r>
            <w:r>
              <w:rPr>
                <w:rFonts w:hint="eastAsia"/>
                <w:highlight w:val="none"/>
              </w:rPr>
              <w:br w:type="textWrapping"/>
            </w:r>
            <w:r>
              <w:rPr>
                <w:rFonts w:hint="eastAsia"/>
                <w:highlight w:val="none"/>
              </w:rPr>
              <w:t>(8)参加政府采购活动前3年内，在经营活动中没有重大违法记录的书面声明；</w:t>
            </w:r>
            <w:r>
              <w:rPr>
                <w:rFonts w:hint="eastAsia"/>
                <w:highlight w:val="none"/>
              </w:rPr>
              <w:br w:type="textWrapping"/>
            </w:r>
            <w:r>
              <w:rPr>
                <w:rFonts w:hint="eastAsia"/>
                <w:highlight w:val="none"/>
              </w:rPr>
              <w:t>(9)提供中小企业声明函；</w:t>
            </w:r>
            <w:r>
              <w:rPr>
                <w:rFonts w:hint="eastAsia"/>
                <w:highlight w:val="none"/>
              </w:rPr>
              <w:br w:type="textWrapping"/>
            </w:r>
            <w:r>
              <w:rPr>
                <w:rFonts w:hint="eastAsia"/>
                <w:highlight w:val="none"/>
              </w:rPr>
              <w:t>(10)本项目不接受联合体投标（提供承诺书）。</w:t>
            </w:r>
          </w:p>
          <w:p w14:paraId="2C737741">
            <w:pPr>
              <w:rPr>
                <w:b/>
                <w:bCs/>
                <w:highlight w:val="none"/>
              </w:rPr>
            </w:pPr>
            <w:r>
              <w:rPr>
                <w:rFonts w:hint="eastAsia"/>
                <w:b/>
                <w:bCs/>
                <w:highlight w:val="none"/>
              </w:rPr>
              <w:t>以上1-10项为必备资质，缺一项或某项达不到要求，按无效投标处理。</w:t>
            </w:r>
          </w:p>
        </w:tc>
      </w:tr>
      <w:tr w14:paraId="7064C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263" w:type="pct"/>
            <w:vAlign w:val="center"/>
          </w:tcPr>
          <w:p w14:paraId="399FB091">
            <w:pPr>
              <w:jc w:val="center"/>
              <w:rPr>
                <w:rFonts w:hint="eastAsia" w:hAnsi="宋体" w:cs="宋体"/>
                <w:szCs w:val="24"/>
                <w:highlight w:val="none"/>
              </w:rPr>
            </w:pPr>
            <w:r>
              <w:rPr>
                <w:rFonts w:hint="eastAsia" w:hAnsi="宋体" w:cs="宋体"/>
                <w:szCs w:val="24"/>
                <w:highlight w:val="none"/>
              </w:rPr>
              <w:t>7</w:t>
            </w:r>
          </w:p>
        </w:tc>
        <w:tc>
          <w:tcPr>
            <w:tcW w:w="463" w:type="pct"/>
            <w:vAlign w:val="center"/>
          </w:tcPr>
          <w:p w14:paraId="3E4573CE">
            <w:pPr>
              <w:jc w:val="center"/>
              <w:rPr>
                <w:rFonts w:hint="eastAsia" w:hAnsi="宋体" w:cs="宋体"/>
                <w:szCs w:val="24"/>
                <w:highlight w:val="none"/>
              </w:rPr>
            </w:pPr>
            <w:r>
              <w:rPr>
                <w:rFonts w:hint="eastAsia" w:hAnsi="宋体" w:cs="宋体"/>
                <w:szCs w:val="24"/>
                <w:highlight w:val="none"/>
              </w:rPr>
              <w:t>15.1</w:t>
            </w:r>
          </w:p>
        </w:tc>
        <w:tc>
          <w:tcPr>
            <w:tcW w:w="4273" w:type="pct"/>
          </w:tcPr>
          <w:p w14:paraId="09788A78">
            <w:pPr>
              <w:spacing w:line="500" w:lineRule="exact"/>
              <w:jc w:val="left"/>
              <w:rPr>
                <w:rFonts w:hint="eastAsia" w:hAnsi="宋体" w:cs="宋体"/>
                <w:szCs w:val="24"/>
                <w:highlight w:val="none"/>
              </w:rPr>
            </w:pPr>
            <w:r>
              <w:rPr>
                <w:rFonts w:hint="eastAsia" w:hAnsi="宋体" w:cs="宋体"/>
                <w:szCs w:val="24"/>
                <w:highlight w:val="none"/>
              </w:rPr>
              <w:t>投标有效期：投标文件的截止之日起90天。</w:t>
            </w:r>
          </w:p>
        </w:tc>
      </w:tr>
      <w:tr w14:paraId="7C0F4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9" w:hRule="atLeast"/>
          <w:jc w:val="center"/>
        </w:trPr>
        <w:tc>
          <w:tcPr>
            <w:tcW w:w="263" w:type="pct"/>
            <w:vAlign w:val="center"/>
          </w:tcPr>
          <w:p w14:paraId="666214F6">
            <w:pPr>
              <w:spacing w:after="166" w:afterLines="50"/>
              <w:jc w:val="center"/>
              <w:rPr>
                <w:rFonts w:hint="eastAsia" w:hAnsi="宋体" w:cs="宋体"/>
                <w:szCs w:val="24"/>
                <w:highlight w:val="none"/>
              </w:rPr>
            </w:pPr>
            <w:r>
              <w:rPr>
                <w:rFonts w:hint="eastAsia" w:hAnsi="宋体" w:cs="宋体"/>
                <w:szCs w:val="24"/>
                <w:highlight w:val="none"/>
              </w:rPr>
              <w:t>8</w:t>
            </w:r>
          </w:p>
        </w:tc>
        <w:tc>
          <w:tcPr>
            <w:tcW w:w="463" w:type="pct"/>
            <w:vAlign w:val="center"/>
          </w:tcPr>
          <w:p w14:paraId="5BCAFF40">
            <w:pPr>
              <w:spacing w:after="166" w:afterLines="50"/>
              <w:jc w:val="center"/>
              <w:rPr>
                <w:rFonts w:hint="eastAsia" w:hAnsi="宋体" w:cs="宋体"/>
                <w:szCs w:val="24"/>
                <w:highlight w:val="none"/>
              </w:rPr>
            </w:pPr>
            <w:r>
              <w:rPr>
                <w:rFonts w:hint="eastAsia" w:hAnsi="宋体" w:cs="宋体"/>
                <w:szCs w:val="24"/>
                <w:highlight w:val="none"/>
              </w:rPr>
              <w:t>16.1</w:t>
            </w:r>
          </w:p>
        </w:tc>
        <w:tc>
          <w:tcPr>
            <w:tcW w:w="4273" w:type="pct"/>
            <w:vAlign w:val="center"/>
          </w:tcPr>
          <w:p w14:paraId="15AF2AF2">
            <w:pPr>
              <w:spacing w:line="360" w:lineRule="auto"/>
              <w:rPr>
                <w:rFonts w:hint="eastAsia" w:hAnsi="宋体" w:cs="宋体"/>
                <w:szCs w:val="24"/>
                <w:highlight w:val="none"/>
              </w:rPr>
            </w:pPr>
            <w:r>
              <w:rPr>
                <w:rFonts w:hint="eastAsia" w:hAnsi="宋体" w:cs="宋体"/>
                <w:szCs w:val="24"/>
                <w:highlight w:val="none"/>
              </w:rPr>
              <w:t>正本的份数：壹份；副本的份数：贰份；开标一览表：壹份；电子版（U盘）：壹份（需在盘面上标注供应商全称、项目名称、编号）。</w:t>
            </w:r>
          </w:p>
        </w:tc>
      </w:tr>
      <w:tr w14:paraId="0E0D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263" w:type="pct"/>
            <w:vAlign w:val="center"/>
          </w:tcPr>
          <w:p w14:paraId="702D7695">
            <w:pPr>
              <w:spacing w:after="166" w:afterLines="50"/>
              <w:jc w:val="center"/>
              <w:rPr>
                <w:rFonts w:hint="eastAsia" w:hAnsi="宋体" w:cs="宋体"/>
                <w:szCs w:val="24"/>
                <w:highlight w:val="none"/>
              </w:rPr>
            </w:pPr>
            <w:r>
              <w:rPr>
                <w:rFonts w:hint="eastAsia" w:hAnsi="宋体" w:cs="宋体"/>
                <w:szCs w:val="24"/>
                <w:highlight w:val="none"/>
              </w:rPr>
              <w:t>9</w:t>
            </w:r>
          </w:p>
        </w:tc>
        <w:tc>
          <w:tcPr>
            <w:tcW w:w="463" w:type="pct"/>
            <w:vAlign w:val="center"/>
          </w:tcPr>
          <w:p w14:paraId="1B2B260C">
            <w:pPr>
              <w:spacing w:after="166" w:afterLines="50"/>
              <w:jc w:val="center"/>
              <w:rPr>
                <w:rFonts w:hint="eastAsia" w:hAnsi="宋体" w:cs="宋体"/>
                <w:szCs w:val="24"/>
                <w:highlight w:val="none"/>
              </w:rPr>
            </w:pPr>
            <w:r>
              <w:rPr>
                <w:rFonts w:hint="eastAsia" w:hAnsi="宋体" w:cs="宋体"/>
                <w:szCs w:val="24"/>
                <w:highlight w:val="none"/>
              </w:rPr>
              <w:t>17.2</w:t>
            </w:r>
          </w:p>
        </w:tc>
        <w:tc>
          <w:tcPr>
            <w:tcW w:w="4273" w:type="pct"/>
            <w:vAlign w:val="center"/>
          </w:tcPr>
          <w:p w14:paraId="615F4DD5">
            <w:pPr>
              <w:spacing w:line="360" w:lineRule="auto"/>
              <w:rPr>
                <w:rFonts w:hint="eastAsia" w:hAnsi="宋体" w:cs="宋体"/>
                <w:szCs w:val="24"/>
                <w:highlight w:val="none"/>
              </w:rPr>
            </w:pPr>
            <w:r>
              <w:rPr>
                <w:rFonts w:hint="eastAsia" w:hAnsi="宋体" w:cs="宋体"/>
                <w:szCs w:val="24"/>
                <w:highlight w:val="none"/>
              </w:rPr>
              <w:t>密封包装方式：</w:t>
            </w:r>
          </w:p>
          <w:p w14:paraId="2039DC6B">
            <w:pPr>
              <w:spacing w:line="360" w:lineRule="auto"/>
              <w:ind w:firstLine="240" w:firstLineChars="100"/>
              <w:rPr>
                <w:rFonts w:hint="eastAsia" w:hAnsi="宋体" w:cs="宋体"/>
                <w:szCs w:val="24"/>
                <w:highlight w:val="none"/>
              </w:rPr>
            </w:pPr>
            <w:r>
              <w:rPr>
                <w:rFonts w:hint="eastAsia" w:hAnsi="宋体" w:cs="宋体"/>
                <w:szCs w:val="24"/>
                <w:highlight w:val="none"/>
              </w:rPr>
              <w:t>（1）投标文件正本、开标一览表、电子版一包密封。</w:t>
            </w:r>
          </w:p>
          <w:p w14:paraId="66C9A7E5">
            <w:pPr>
              <w:spacing w:line="360" w:lineRule="auto"/>
              <w:ind w:firstLine="240" w:firstLineChars="100"/>
              <w:rPr>
                <w:rFonts w:hint="eastAsia" w:hAnsi="宋体" w:cs="宋体"/>
                <w:szCs w:val="24"/>
                <w:highlight w:val="none"/>
              </w:rPr>
            </w:pPr>
            <w:r>
              <w:rPr>
                <w:rFonts w:hint="eastAsia" w:hAnsi="宋体" w:cs="宋体"/>
                <w:szCs w:val="24"/>
                <w:highlight w:val="none"/>
              </w:rPr>
              <w:t>（2）投标文件所有副本一包密封。</w:t>
            </w:r>
          </w:p>
          <w:p w14:paraId="613AF0C7">
            <w:pPr>
              <w:spacing w:line="360" w:lineRule="auto"/>
              <w:ind w:firstLine="480" w:firstLineChars="200"/>
              <w:rPr>
                <w:rFonts w:hint="eastAsia" w:hAnsi="宋体" w:cs="宋体"/>
                <w:szCs w:val="24"/>
                <w:highlight w:val="none"/>
              </w:rPr>
            </w:pPr>
            <w:r>
              <w:rPr>
                <w:rFonts w:hint="eastAsia" w:hAnsi="宋体" w:cs="宋体"/>
                <w:szCs w:val="24"/>
                <w:highlight w:val="none"/>
              </w:rPr>
              <w:t>封袋应加贴封条，并在封线处加盖供应商公章，封袋正面要粘贴供应商全称、项目名称、编号等标识。</w:t>
            </w:r>
          </w:p>
          <w:p w14:paraId="2D33F469">
            <w:pPr>
              <w:spacing w:line="360" w:lineRule="auto"/>
              <w:rPr>
                <w:rFonts w:hint="eastAsia" w:hAnsi="宋体"/>
                <w:szCs w:val="24"/>
                <w:highlight w:val="none"/>
              </w:rPr>
            </w:pPr>
            <w:r>
              <w:rPr>
                <w:rFonts w:hAnsi="宋体"/>
                <w:szCs w:val="24"/>
                <w:highlight w:val="none"/>
              </w:rPr>
              <w:t>外层包装请按以下要求标记：</w:t>
            </w:r>
          </w:p>
          <w:p w14:paraId="3D342C1F">
            <w:pPr>
              <w:spacing w:line="360" w:lineRule="auto"/>
              <w:ind w:firstLine="480" w:firstLineChars="200"/>
              <w:rPr>
                <w:rFonts w:hint="eastAsia" w:hAnsi="宋体"/>
                <w:szCs w:val="24"/>
                <w:highlight w:val="none"/>
              </w:rPr>
            </w:pPr>
            <w:r>
              <w:rPr>
                <w:rFonts w:hAnsi="宋体"/>
                <w:szCs w:val="24"/>
                <w:highlight w:val="none"/>
              </w:rPr>
              <w:t xml:space="preserve">1) </w:t>
            </w:r>
            <w:r>
              <w:rPr>
                <w:rFonts w:hint="eastAsia" w:hAnsi="宋体"/>
                <w:szCs w:val="24"/>
                <w:highlight w:val="none"/>
              </w:rPr>
              <w:t>投标人</w:t>
            </w:r>
            <w:r>
              <w:rPr>
                <w:rFonts w:hAnsi="宋体"/>
                <w:szCs w:val="24"/>
                <w:highlight w:val="none"/>
              </w:rPr>
              <w:t>全称</w:t>
            </w:r>
            <w:r>
              <w:rPr>
                <w:rFonts w:hint="eastAsia" w:hAnsi="宋体"/>
                <w:szCs w:val="24"/>
                <w:highlight w:val="none"/>
              </w:rPr>
              <w:t>（加盖公章）</w:t>
            </w:r>
            <w:r>
              <w:rPr>
                <w:rFonts w:hAnsi="宋体"/>
                <w:szCs w:val="24"/>
                <w:highlight w:val="none"/>
              </w:rPr>
              <w:t>；</w:t>
            </w:r>
          </w:p>
          <w:p w14:paraId="158D8226">
            <w:pPr>
              <w:spacing w:line="360" w:lineRule="auto"/>
              <w:ind w:firstLine="480" w:firstLineChars="200"/>
              <w:rPr>
                <w:rFonts w:hint="eastAsia" w:hAnsi="宋体"/>
                <w:szCs w:val="24"/>
                <w:highlight w:val="none"/>
              </w:rPr>
            </w:pPr>
            <w:r>
              <w:rPr>
                <w:rFonts w:hAnsi="宋体"/>
                <w:szCs w:val="24"/>
                <w:highlight w:val="none"/>
              </w:rPr>
              <w:t xml:space="preserve">2) </w:t>
            </w:r>
            <w:r>
              <w:rPr>
                <w:rFonts w:hint="eastAsia" w:hAnsi="宋体"/>
                <w:szCs w:val="24"/>
                <w:highlight w:val="none"/>
              </w:rPr>
              <w:t>项目</w:t>
            </w:r>
            <w:r>
              <w:rPr>
                <w:rFonts w:hAnsi="宋体"/>
                <w:szCs w:val="24"/>
                <w:highlight w:val="none"/>
              </w:rPr>
              <w:t>名称、项目</w:t>
            </w:r>
            <w:r>
              <w:rPr>
                <w:rFonts w:hint="eastAsia" w:hAnsi="宋体"/>
                <w:szCs w:val="24"/>
                <w:highlight w:val="none"/>
              </w:rPr>
              <w:t>编号；</w:t>
            </w:r>
          </w:p>
          <w:p w14:paraId="70C699F5">
            <w:pPr>
              <w:spacing w:line="360" w:lineRule="auto"/>
              <w:ind w:left="240" w:leftChars="100" w:firstLine="240" w:firstLineChars="100"/>
              <w:rPr>
                <w:rFonts w:hint="eastAsia" w:hAnsi="宋体" w:cs="宋体"/>
                <w:szCs w:val="24"/>
                <w:highlight w:val="none"/>
              </w:rPr>
            </w:pPr>
            <w:r>
              <w:rPr>
                <w:rFonts w:hAnsi="宋体"/>
                <w:szCs w:val="24"/>
                <w:highlight w:val="none"/>
              </w:rPr>
              <w:t>3）正本</w:t>
            </w:r>
            <w:r>
              <w:rPr>
                <w:rFonts w:hint="eastAsia" w:hAnsi="宋体"/>
                <w:szCs w:val="24"/>
                <w:highlight w:val="none"/>
              </w:rPr>
              <w:t>、</w:t>
            </w:r>
            <w:r>
              <w:rPr>
                <w:rFonts w:hAnsi="宋体"/>
                <w:szCs w:val="24"/>
                <w:highlight w:val="none"/>
              </w:rPr>
              <w:t>副本</w:t>
            </w:r>
            <w:r>
              <w:rPr>
                <w:rFonts w:hint="eastAsia" w:hAnsi="宋体"/>
                <w:szCs w:val="24"/>
                <w:highlight w:val="none"/>
              </w:rPr>
              <w:t>、电子版、报价一览表</w:t>
            </w:r>
            <w:r>
              <w:rPr>
                <w:rFonts w:hAnsi="宋体"/>
                <w:szCs w:val="24"/>
                <w:highlight w:val="none"/>
              </w:rPr>
              <w:t>“</w:t>
            </w:r>
            <w:r>
              <w:rPr>
                <w:rFonts w:hint="eastAsia" w:hAnsi="宋体"/>
                <w:szCs w:val="24"/>
                <w:highlight w:val="none"/>
              </w:rPr>
              <w:t>请勿在＿＿＿＿(开标时间)之前启封</w:t>
            </w:r>
            <w:r>
              <w:rPr>
                <w:rFonts w:hAnsi="宋体"/>
                <w:szCs w:val="24"/>
                <w:highlight w:val="none"/>
              </w:rPr>
              <w:t>”。</w:t>
            </w:r>
          </w:p>
        </w:tc>
      </w:tr>
      <w:tr w14:paraId="76B6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263" w:type="pct"/>
            <w:vAlign w:val="center"/>
          </w:tcPr>
          <w:p w14:paraId="2E90663F">
            <w:pPr>
              <w:spacing w:after="166" w:afterLines="50"/>
              <w:jc w:val="center"/>
              <w:rPr>
                <w:rFonts w:hint="eastAsia" w:hAnsi="宋体" w:cs="宋体"/>
                <w:szCs w:val="24"/>
                <w:highlight w:val="none"/>
              </w:rPr>
            </w:pPr>
            <w:r>
              <w:rPr>
                <w:rFonts w:hint="eastAsia" w:hAnsi="宋体" w:cs="宋体"/>
                <w:szCs w:val="24"/>
                <w:highlight w:val="none"/>
              </w:rPr>
              <w:t>10</w:t>
            </w:r>
          </w:p>
        </w:tc>
        <w:tc>
          <w:tcPr>
            <w:tcW w:w="463" w:type="pct"/>
            <w:vAlign w:val="center"/>
          </w:tcPr>
          <w:p w14:paraId="74AF397A">
            <w:pPr>
              <w:spacing w:after="166" w:afterLines="50"/>
              <w:jc w:val="center"/>
              <w:rPr>
                <w:rFonts w:hint="eastAsia" w:hAnsi="宋体" w:cs="宋体"/>
                <w:szCs w:val="24"/>
                <w:highlight w:val="none"/>
              </w:rPr>
            </w:pPr>
            <w:r>
              <w:rPr>
                <w:rFonts w:hint="eastAsia" w:hAnsi="宋体" w:cs="宋体"/>
                <w:szCs w:val="24"/>
                <w:highlight w:val="none"/>
              </w:rPr>
              <w:t>18.1</w:t>
            </w:r>
          </w:p>
        </w:tc>
        <w:tc>
          <w:tcPr>
            <w:tcW w:w="4273" w:type="pct"/>
          </w:tcPr>
          <w:p w14:paraId="013CFF2D">
            <w:pPr>
              <w:spacing w:line="360" w:lineRule="auto"/>
              <w:rPr>
                <w:rFonts w:cs="宋体"/>
                <w:highlight w:val="none"/>
              </w:rPr>
            </w:pPr>
            <w:r>
              <w:rPr>
                <w:rFonts w:hint="eastAsia" w:cs="宋体"/>
                <w:highlight w:val="none"/>
              </w:rPr>
              <w:t>投标文件递交截止时间</w:t>
            </w:r>
            <w:bookmarkStart w:id="31" w:name="OLE_LINK12"/>
            <w:r>
              <w:rPr>
                <w:rFonts w:hint="eastAsia" w:cs="宋体"/>
                <w:highlight w:val="none"/>
              </w:rPr>
              <w:t>：</w:t>
            </w:r>
            <w:bookmarkEnd w:id="31"/>
            <w:r>
              <w:rPr>
                <w:rFonts w:hint="eastAsia" w:cs="宋体"/>
                <w:highlight w:val="none"/>
              </w:rPr>
              <w:t>详见</w:t>
            </w:r>
            <w:r>
              <w:rPr>
                <w:rFonts w:hint="eastAsia" w:hAnsi="宋体"/>
                <w:szCs w:val="24"/>
                <w:highlight w:val="none"/>
              </w:rPr>
              <w:t>招标公告</w:t>
            </w:r>
          </w:p>
          <w:p w14:paraId="1C160C95">
            <w:pPr>
              <w:spacing w:line="360" w:lineRule="auto"/>
              <w:rPr>
                <w:rFonts w:hint="eastAsia" w:hAnsi="宋体" w:cs="宋体"/>
                <w:szCs w:val="24"/>
                <w:highlight w:val="none"/>
              </w:rPr>
            </w:pPr>
            <w:r>
              <w:rPr>
                <w:rFonts w:hint="eastAsia" w:hAnsi="宋体" w:cs="宋体"/>
                <w:szCs w:val="24"/>
                <w:highlight w:val="none"/>
              </w:rPr>
              <w:t>投标文件递交地址：陕西省西安市经济技术开发区未央路171-1号银池道拉斯财富中心21楼。</w:t>
            </w:r>
          </w:p>
          <w:p w14:paraId="14ED828E">
            <w:pPr>
              <w:spacing w:line="360" w:lineRule="auto"/>
              <w:rPr>
                <w:rFonts w:hint="eastAsia" w:hAnsi="宋体" w:cs="宋体"/>
                <w:szCs w:val="24"/>
                <w:highlight w:val="none"/>
              </w:rPr>
            </w:pPr>
            <w:r>
              <w:rPr>
                <w:rFonts w:hint="eastAsia" w:hAnsi="宋体" w:cs="宋体"/>
                <w:szCs w:val="24"/>
                <w:highlight w:val="none"/>
              </w:rPr>
              <w:t>投标文件接收人：陕西至诚项目管理集团有限公司。</w:t>
            </w:r>
          </w:p>
        </w:tc>
      </w:tr>
      <w:tr w14:paraId="16E80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263" w:type="pct"/>
            <w:vAlign w:val="center"/>
          </w:tcPr>
          <w:p w14:paraId="47B84191">
            <w:pPr>
              <w:spacing w:after="166" w:afterLines="50"/>
              <w:jc w:val="center"/>
              <w:rPr>
                <w:rFonts w:hint="eastAsia" w:hAnsi="宋体" w:cs="宋体"/>
                <w:szCs w:val="24"/>
                <w:highlight w:val="none"/>
              </w:rPr>
            </w:pPr>
            <w:r>
              <w:rPr>
                <w:rFonts w:hint="eastAsia" w:hAnsi="宋体" w:cs="宋体"/>
                <w:szCs w:val="24"/>
                <w:highlight w:val="none"/>
              </w:rPr>
              <w:t>11</w:t>
            </w:r>
          </w:p>
        </w:tc>
        <w:tc>
          <w:tcPr>
            <w:tcW w:w="463" w:type="pct"/>
            <w:vAlign w:val="center"/>
          </w:tcPr>
          <w:p w14:paraId="02B827A1">
            <w:pPr>
              <w:spacing w:after="166" w:afterLines="50"/>
              <w:jc w:val="center"/>
              <w:rPr>
                <w:rFonts w:hint="eastAsia" w:hAnsi="宋体" w:cs="宋体"/>
                <w:szCs w:val="24"/>
                <w:highlight w:val="none"/>
              </w:rPr>
            </w:pPr>
            <w:r>
              <w:rPr>
                <w:rFonts w:hint="eastAsia" w:hAnsi="宋体" w:cs="宋体"/>
                <w:szCs w:val="24"/>
                <w:highlight w:val="none"/>
              </w:rPr>
              <w:t>21.1</w:t>
            </w:r>
          </w:p>
        </w:tc>
        <w:tc>
          <w:tcPr>
            <w:tcW w:w="4273" w:type="pct"/>
          </w:tcPr>
          <w:p w14:paraId="6DD4F7B2">
            <w:pPr>
              <w:spacing w:line="360" w:lineRule="auto"/>
              <w:rPr>
                <w:rFonts w:hint="eastAsia" w:hAnsi="宋体" w:cs="宋体"/>
                <w:szCs w:val="24"/>
                <w:highlight w:val="none"/>
              </w:rPr>
            </w:pPr>
            <w:r>
              <w:rPr>
                <w:rFonts w:hint="eastAsia" w:hAnsi="宋体" w:cs="宋体"/>
                <w:szCs w:val="24"/>
                <w:highlight w:val="none"/>
              </w:rPr>
              <w:t>开标时间：</w:t>
            </w:r>
            <w:r>
              <w:rPr>
                <w:rFonts w:hint="eastAsia" w:cs="宋体"/>
                <w:highlight w:val="none"/>
              </w:rPr>
              <w:t>详见</w:t>
            </w:r>
            <w:r>
              <w:rPr>
                <w:rFonts w:hint="eastAsia" w:hAnsi="宋体"/>
                <w:szCs w:val="24"/>
                <w:highlight w:val="none"/>
              </w:rPr>
              <w:t>招标公告</w:t>
            </w:r>
          </w:p>
          <w:p w14:paraId="1E2F47F4">
            <w:pPr>
              <w:spacing w:line="360" w:lineRule="auto"/>
              <w:rPr>
                <w:rFonts w:hint="eastAsia" w:hAnsi="宋体" w:cs="宋体"/>
                <w:szCs w:val="24"/>
                <w:highlight w:val="none"/>
              </w:rPr>
            </w:pPr>
            <w:r>
              <w:rPr>
                <w:rFonts w:hint="eastAsia" w:hAnsi="宋体" w:cs="宋体"/>
                <w:szCs w:val="24"/>
                <w:highlight w:val="none"/>
              </w:rPr>
              <w:t>开标地点：陕西省西安市经济技术开发区未央路171-1号银池道拉斯财富中心21楼</w:t>
            </w:r>
          </w:p>
        </w:tc>
      </w:tr>
      <w:tr w14:paraId="0F211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263" w:type="pct"/>
            <w:vAlign w:val="center"/>
          </w:tcPr>
          <w:p w14:paraId="5FA4430D">
            <w:pPr>
              <w:jc w:val="center"/>
              <w:rPr>
                <w:rFonts w:hint="eastAsia" w:hAnsi="宋体" w:cs="宋体"/>
                <w:szCs w:val="24"/>
                <w:highlight w:val="none"/>
              </w:rPr>
            </w:pPr>
            <w:r>
              <w:rPr>
                <w:rFonts w:hint="eastAsia" w:hAnsi="宋体" w:cs="宋体"/>
                <w:szCs w:val="24"/>
                <w:highlight w:val="none"/>
              </w:rPr>
              <w:t>12</w:t>
            </w:r>
          </w:p>
        </w:tc>
        <w:tc>
          <w:tcPr>
            <w:tcW w:w="463" w:type="pct"/>
            <w:vAlign w:val="center"/>
          </w:tcPr>
          <w:p w14:paraId="3BAD38FE">
            <w:pPr>
              <w:jc w:val="center"/>
              <w:rPr>
                <w:rFonts w:hint="eastAsia" w:hAnsi="宋体" w:cs="宋体"/>
                <w:szCs w:val="24"/>
                <w:highlight w:val="none"/>
              </w:rPr>
            </w:pPr>
            <w:r>
              <w:rPr>
                <w:rFonts w:hint="eastAsia" w:hAnsi="宋体" w:cs="宋体"/>
                <w:szCs w:val="24"/>
                <w:highlight w:val="none"/>
              </w:rPr>
              <w:t>24.1</w:t>
            </w:r>
          </w:p>
        </w:tc>
        <w:tc>
          <w:tcPr>
            <w:tcW w:w="4273" w:type="pct"/>
            <w:vAlign w:val="center"/>
          </w:tcPr>
          <w:p w14:paraId="7F7037FE">
            <w:pPr>
              <w:jc w:val="left"/>
              <w:rPr>
                <w:rFonts w:hint="eastAsia" w:hAnsi="宋体" w:cs="宋体"/>
                <w:b/>
                <w:bCs/>
                <w:szCs w:val="24"/>
                <w:highlight w:val="none"/>
              </w:rPr>
            </w:pPr>
            <w:r>
              <w:rPr>
                <w:rFonts w:hint="eastAsia" w:hAnsi="宋体" w:cs="宋体"/>
                <w:b/>
                <w:bCs/>
                <w:szCs w:val="24"/>
                <w:highlight w:val="none"/>
              </w:rPr>
              <w:t>评标方法：综合评分法（详见第五章）</w:t>
            </w:r>
          </w:p>
        </w:tc>
      </w:tr>
      <w:tr w14:paraId="179F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04" w:hRule="atLeast"/>
          <w:jc w:val="center"/>
        </w:trPr>
        <w:tc>
          <w:tcPr>
            <w:tcW w:w="263" w:type="pct"/>
            <w:vAlign w:val="center"/>
          </w:tcPr>
          <w:p w14:paraId="0349077C">
            <w:pPr>
              <w:jc w:val="center"/>
              <w:rPr>
                <w:rFonts w:hint="eastAsia" w:hAnsi="宋体" w:cs="宋体"/>
                <w:szCs w:val="24"/>
                <w:highlight w:val="none"/>
              </w:rPr>
            </w:pPr>
            <w:r>
              <w:rPr>
                <w:rFonts w:hint="eastAsia" w:hAnsi="宋体" w:cs="宋体"/>
                <w:szCs w:val="24"/>
                <w:highlight w:val="none"/>
              </w:rPr>
              <w:t>13</w:t>
            </w:r>
          </w:p>
        </w:tc>
        <w:tc>
          <w:tcPr>
            <w:tcW w:w="463" w:type="pct"/>
            <w:vAlign w:val="center"/>
          </w:tcPr>
          <w:p w14:paraId="23B0C2AA">
            <w:pPr>
              <w:jc w:val="center"/>
              <w:rPr>
                <w:rFonts w:hint="eastAsia" w:hAnsi="宋体" w:cs="宋体"/>
                <w:szCs w:val="24"/>
                <w:highlight w:val="none"/>
              </w:rPr>
            </w:pPr>
            <w:r>
              <w:rPr>
                <w:rFonts w:hint="eastAsia" w:hAnsi="宋体" w:cs="宋体"/>
                <w:szCs w:val="24"/>
                <w:highlight w:val="none"/>
              </w:rPr>
              <w:t>29</w:t>
            </w:r>
          </w:p>
        </w:tc>
        <w:tc>
          <w:tcPr>
            <w:tcW w:w="4273" w:type="pct"/>
            <w:vAlign w:val="center"/>
          </w:tcPr>
          <w:p w14:paraId="4F28CA74">
            <w:pPr>
              <w:spacing w:line="520" w:lineRule="exact"/>
              <w:rPr>
                <w:rFonts w:hint="eastAsia" w:hAnsi="宋体" w:cs="宋体"/>
                <w:szCs w:val="24"/>
                <w:highlight w:val="none"/>
              </w:rPr>
            </w:pPr>
            <w:r>
              <w:rPr>
                <w:rFonts w:hint="eastAsia" w:hAnsi="宋体" w:cs="宋体"/>
                <w:szCs w:val="24"/>
                <w:highlight w:val="none"/>
              </w:rPr>
              <w:t xml:space="preserve">招标代理服务费： </w:t>
            </w:r>
          </w:p>
          <w:p w14:paraId="6AEB94B0">
            <w:pPr>
              <w:spacing w:line="500" w:lineRule="exact"/>
              <w:ind w:firstLine="480" w:firstLineChars="200"/>
              <w:rPr>
                <w:rFonts w:hint="eastAsia"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招标代理服务费的计算方法：以中标金额为基数，依据国家计委颁布《招标代理服务收费管理暂行办法》（计价格[2002]1980号）文件的有关规定执行。</w:t>
            </w:r>
          </w:p>
          <w:p w14:paraId="6AB407E4">
            <w:pPr>
              <w:spacing w:line="500" w:lineRule="exact"/>
              <w:ind w:firstLine="480" w:firstLineChars="200"/>
              <w:rPr>
                <w:rFonts w:hint="eastAsia"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中标单位在领取中标通知书前，须向采购代理机构一次性支付招标代理服务费。</w:t>
            </w:r>
          </w:p>
        </w:tc>
      </w:tr>
      <w:tr w14:paraId="13CD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1" w:hRule="atLeast"/>
          <w:jc w:val="center"/>
        </w:trPr>
        <w:tc>
          <w:tcPr>
            <w:tcW w:w="263" w:type="pct"/>
            <w:vAlign w:val="center"/>
          </w:tcPr>
          <w:p w14:paraId="61235019">
            <w:pPr>
              <w:jc w:val="center"/>
              <w:rPr>
                <w:rFonts w:hint="eastAsia" w:hAnsi="宋体" w:cs="宋体"/>
                <w:szCs w:val="24"/>
                <w:highlight w:val="none"/>
              </w:rPr>
            </w:pPr>
            <w:r>
              <w:rPr>
                <w:rFonts w:hint="eastAsia" w:hAnsi="宋体" w:cs="宋体"/>
                <w:szCs w:val="24"/>
                <w:highlight w:val="none"/>
              </w:rPr>
              <w:t>14</w:t>
            </w:r>
          </w:p>
        </w:tc>
        <w:tc>
          <w:tcPr>
            <w:tcW w:w="463" w:type="pct"/>
            <w:vAlign w:val="center"/>
          </w:tcPr>
          <w:p w14:paraId="22C4C7A5">
            <w:pPr>
              <w:jc w:val="center"/>
              <w:rPr>
                <w:rFonts w:hint="eastAsia" w:hAnsi="宋体" w:cs="宋体"/>
                <w:szCs w:val="24"/>
                <w:highlight w:val="none"/>
              </w:rPr>
            </w:pPr>
            <w:r>
              <w:rPr>
                <w:rFonts w:hint="eastAsia" w:hAnsi="宋体" w:cs="宋体"/>
                <w:szCs w:val="24"/>
                <w:highlight w:val="none"/>
              </w:rPr>
              <w:t>投标保证金</w:t>
            </w:r>
          </w:p>
        </w:tc>
        <w:tc>
          <w:tcPr>
            <w:tcW w:w="4273" w:type="pct"/>
            <w:vAlign w:val="center"/>
          </w:tcPr>
          <w:p w14:paraId="722BC261">
            <w:pPr>
              <w:spacing w:line="360" w:lineRule="auto"/>
              <w:rPr>
                <w:rFonts w:hint="eastAsia" w:hAnsi="宋体" w:cs="宋体"/>
                <w:szCs w:val="24"/>
                <w:highlight w:val="none"/>
              </w:rPr>
            </w:pPr>
            <w:r>
              <w:rPr>
                <w:rFonts w:hint="eastAsia" w:hAnsi="宋体" w:cs="宋体"/>
                <w:szCs w:val="24"/>
                <w:highlight w:val="none"/>
              </w:rPr>
              <w:t>本次投标活动不缴纳投标保证金。</w:t>
            </w:r>
          </w:p>
        </w:tc>
      </w:tr>
      <w:tr w14:paraId="3D68C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45" w:hRule="atLeast"/>
          <w:jc w:val="center"/>
        </w:trPr>
        <w:tc>
          <w:tcPr>
            <w:tcW w:w="263" w:type="pct"/>
            <w:vAlign w:val="center"/>
          </w:tcPr>
          <w:p w14:paraId="3AB95B6B">
            <w:pPr>
              <w:jc w:val="center"/>
              <w:rPr>
                <w:rFonts w:hint="eastAsia" w:hAnsi="宋体" w:cs="宋体"/>
                <w:b/>
                <w:bCs/>
                <w:szCs w:val="24"/>
                <w:highlight w:val="none"/>
              </w:rPr>
            </w:pPr>
            <w:r>
              <w:rPr>
                <w:rFonts w:hint="eastAsia" w:hAnsi="宋体" w:cs="宋体"/>
                <w:b/>
                <w:bCs/>
                <w:szCs w:val="24"/>
                <w:highlight w:val="none"/>
              </w:rPr>
              <w:t>15</w:t>
            </w:r>
          </w:p>
        </w:tc>
        <w:tc>
          <w:tcPr>
            <w:tcW w:w="463" w:type="pct"/>
            <w:vAlign w:val="center"/>
          </w:tcPr>
          <w:p w14:paraId="73F4F887">
            <w:pPr>
              <w:spacing w:line="440" w:lineRule="exact"/>
              <w:jc w:val="center"/>
              <w:rPr>
                <w:rFonts w:hint="eastAsia" w:hAnsi="宋体" w:cs="宋体"/>
                <w:b/>
                <w:bCs/>
                <w:szCs w:val="24"/>
                <w:highlight w:val="none"/>
              </w:rPr>
            </w:pPr>
            <w:r>
              <w:rPr>
                <w:rFonts w:hint="eastAsia" w:hAnsi="宋体" w:cs="宋体"/>
                <w:b/>
                <w:bCs/>
                <w:szCs w:val="24"/>
                <w:highlight w:val="none"/>
              </w:rPr>
              <w:t>银行</w:t>
            </w:r>
          </w:p>
          <w:p w14:paraId="17EF3906">
            <w:pPr>
              <w:spacing w:line="440" w:lineRule="exact"/>
              <w:jc w:val="center"/>
              <w:rPr>
                <w:rFonts w:hint="eastAsia" w:hAnsi="宋体" w:cs="宋体"/>
                <w:b/>
                <w:bCs/>
                <w:szCs w:val="24"/>
                <w:highlight w:val="none"/>
              </w:rPr>
            </w:pPr>
            <w:r>
              <w:rPr>
                <w:rFonts w:hint="eastAsia" w:hAnsi="宋体" w:cs="宋体"/>
                <w:b/>
                <w:bCs/>
                <w:szCs w:val="24"/>
                <w:highlight w:val="none"/>
              </w:rPr>
              <w:t>账户</w:t>
            </w:r>
          </w:p>
          <w:p w14:paraId="4F6B56E6">
            <w:pPr>
              <w:spacing w:line="440" w:lineRule="exact"/>
              <w:jc w:val="center"/>
              <w:rPr>
                <w:rFonts w:hint="eastAsia" w:hAnsi="宋体" w:cs="宋体"/>
                <w:b/>
                <w:bCs/>
                <w:szCs w:val="24"/>
                <w:highlight w:val="none"/>
              </w:rPr>
            </w:pPr>
            <w:r>
              <w:rPr>
                <w:rFonts w:hint="eastAsia" w:hAnsi="宋体" w:cs="宋体"/>
                <w:b/>
                <w:bCs/>
                <w:szCs w:val="24"/>
                <w:highlight w:val="none"/>
              </w:rPr>
              <w:t>信息</w:t>
            </w:r>
          </w:p>
        </w:tc>
        <w:tc>
          <w:tcPr>
            <w:tcW w:w="4273" w:type="pct"/>
            <w:vAlign w:val="center"/>
          </w:tcPr>
          <w:p w14:paraId="63F1867A">
            <w:pPr>
              <w:spacing w:line="440" w:lineRule="exact"/>
              <w:rPr>
                <w:rFonts w:hint="eastAsia" w:hAnsi="宋体" w:cs="宋体"/>
                <w:b/>
                <w:bCs/>
                <w:szCs w:val="24"/>
                <w:highlight w:val="none"/>
              </w:rPr>
            </w:pPr>
            <w:r>
              <w:rPr>
                <w:rFonts w:hint="eastAsia" w:hAnsi="宋体" w:cs="宋体"/>
                <w:b/>
                <w:bCs/>
                <w:szCs w:val="24"/>
                <w:highlight w:val="none"/>
              </w:rPr>
              <w:t>招标代理服务费账户：</w:t>
            </w:r>
          </w:p>
          <w:p w14:paraId="43C0D6C1">
            <w:pPr>
              <w:spacing w:line="440" w:lineRule="exact"/>
              <w:ind w:firstLine="480" w:firstLineChars="200"/>
              <w:rPr>
                <w:rFonts w:hint="eastAsia" w:hAnsi="宋体" w:cs="宋体"/>
                <w:szCs w:val="24"/>
                <w:highlight w:val="none"/>
              </w:rPr>
            </w:pPr>
            <w:r>
              <w:rPr>
                <w:rFonts w:hint="eastAsia" w:hAnsi="宋体" w:cs="宋体"/>
                <w:szCs w:val="24"/>
                <w:highlight w:val="none"/>
              </w:rPr>
              <w:t>户名：陕西至诚项目管理集团有限公司</w:t>
            </w:r>
          </w:p>
          <w:p w14:paraId="57FB7B2F">
            <w:pPr>
              <w:spacing w:line="440" w:lineRule="exact"/>
              <w:ind w:firstLine="480" w:firstLineChars="200"/>
              <w:rPr>
                <w:rFonts w:hint="eastAsia" w:hAnsi="宋体" w:cs="宋体"/>
                <w:szCs w:val="24"/>
                <w:highlight w:val="none"/>
              </w:rPr>
            </w:pPr>
            <w:r>
              <w:rPr>
                <w:rFonts w:hint="eastAsia" w:hAnsi="宋体" w:cs="宋体"/>
                <w:szCs w:val="24"/>
                <w:highlight w:val="none"/>
              </w:rPr>
              <w:t>开户行：中国建设银行股份有限公司西安高新技术产业开发区支行</w:t>
            </w:r>
          </w:p>
          <w:p w14:paraId="65B1A871">
            <w:pPr>
              <w:spacing w:line="440" w:lineRule="exact"/>
              <w:ind w:firstLine="480" w:firstLineChars="200"/>
              <w:rPr>
                <w:rFonts w:hint="eastAsia" w:hAnsi="宋体" w:cs="宋体"/>
                <w:szCs w:val="24"/>
                <w:highlight w:val="none"/>
              </w:rPr>
            </w:pPr>
            <w:r>
              <w:rPr>
                <w:rFonts w:hint="eastAsia" w:hAnsi="宋体" w:cs="宋体"/>
                <w:szCs w:val="24"/>
                <w:highlight w:val="none"/>
              </w:rPr>
              <w:t>账号：61050192090000002152</w:t>
            </w:r>
          </w:p>
          <w:p w14:paraId="6B97E63E">
            <w:pPr>
              <w:spacing w:line="440" w:lineRule="exact"/>
              <w:ind w:firstLine="241" w:firstLineChars="100"/>
              <w:rPr>
                <w:rFonts w:hint="eastAsia" w:hAnsi="宋体" w:cs="宋体"/>
                <w:szCs w:val="24"/>
                <w:highlight w:val="none"/>
              </w:rPr>
            </w:pPr>
            <w:r>
              <w:rPr>
                <w:rFonts w:hint="eastAsia" w:hAnsi="宋体" w:cs="宋体"/>
                <w:b/>
                <w:bCs/>
                <w:szCs w:val="24"/>
                <w:highlight w:val="none"/>
              </w:rPr>
              <w:t>请按照要求分别将保证金和招标代理服务费汇入以上指定账户，如因自身原因发生错误，产生的不利后果均由供应商自行承担。</w:t>
            </w:r>
          </w:p>
        </w:tc>
      </w:tr>
      <w:tr w14:paraId="79E7F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54" w:hRule="atLeast"/>
          <w:jc w:val="center"/>
        </w:trPr>
        <w:tc>
          <w:tcPr>
            <w:tcW w:w="263" w:type="pct"/>
            <w:vAlign w:val="center"/>
          </w:tcPr>
          <w:p w14:paraId="77BFC6CD">
            <w:pPr>
              <w:jc w:val="center"/>
              <w:rPr>
                <w:rFonts w:hint="eastAsia" w:hAnsi="宋体"/>
                <w:b/>
                <w:bCs/>
                <w:szCs w:val="24"/>
                <w:highlight w:val="none"/>
              </w:rPr>
            </w:pPr>
            <w:r>
              <w:rPr>
                <w:rFonts w:hint="eastAsia" w:hAnsi="宋体"/>
                <w:b/>
                <w:bCs/>
                <w:szCs w:val="24"/>
                <w:highlight w:val="none"/>
              </w:rPr>
              <w:t>16</w:t>
            </w:r>
          </w:p>
        </w:tc>
        <w:tc>
          <w:tcPr>
            <w:tcW w:w="463" w:type="pct"/>
            <w:vAlign w:val="center"/>
          </w:tcPr>
          <w:p w14:paraId="133A99B7">
            <w:pPr>
              <w:spacing w:line="360" w:lineRule="auto"/>
              <w:jc w:val="center"/>
              <w:rPr>
                <w:rFonts w:hint="eastAsia" w:hAnsi="宋体"/>
                <w:b/>
                <w:bCs/>
                <w:szCs w:val="24"/>
                <w:highlight w:val="none"/>
              </w:rPr>
            </w:pPr>
            <w:r>
              <w:rPr>
                <w:rFonts w:hint="eastAsia" w:hAnsi="宋体"/>
                <w:b/>
                <w:bCs/>
                <w:szCs w:val="24"/>
                <w:highlight w:val="none"/>
              </w:rPr>
              <w:t>核心</w:t>
            </w:r>
          </w:p>
          <w:p w14:paraId="4A27C30B">
            <w:pPr>
              <w:spacing w:line="360" w:lineRule="auto"/>
              <w:jc w:val="center"/>
              <w:rPr>
                <w:rFonts w:hint="eastAsia" w:hAnsi="宋体"/>
                <w:b/>
                <w:bCs/>
                <w:szCs w:val="24"/>
                <w:highlight w:val="none"/>
              </w:rPr>
            </w:pPr>
            <w:r>
              <w:rPr>
                <w:rFonts w:hint="eastAsia" w:hAnsi="宋体"/>
                <w:b/>
                <w:bCs/>
                <w:szCs w:val="24"/>
                <w:highlight w:val="none"/>
              </w:rPr>
              <w:t>产品</w:t>
            </w:r>
          </w:p>
        </w:tc>
        <w:tc>
          <w:tcPr>
            <w:tcW w:w="4273" w:type="pct"/>
            <w:vAlign w:val="center"/>
          </w:tcPr>
          <w:p w14:paraId="7272545C">
            <w:pPr>
              <w:pStyle w:val="17"/>
              <w:spacing w:before="0" w:beforeAutospacing="0" w:after="0" w:afterAutospacing="0" w:line="360" w:lineRule="auto"/>
              <w:rPr>
                <w:rFonts w:hint="eastAsia"/>
                <w:b/>
                <w:bCs/>
                <w:highlight w:val="none"/>
              </w:rPr>
            </w:pPr>
            <w:r>
              <w:rPr>
                <w:rFonts w:hint="eastAsia"/>
                <w:b/>
                <w:bCs/>
                <w:highlight w:val="none"/>
              </w:rPr>
              <w:t>合同包1:数字化十二道心电图机</w:t>
            </w:r>
          </w:p>
          <w:p w14:paraId="271B45AF">
            <w:pPr>
              <w:pStyle w:val="17"/>
              <w:spacing w:before="0" w:beforeAutospacing="0" w:after="0" w:afterAutospacing="0" w:line="360" w:lineRule="auto"/>
              <w:rPr>
                <w:rFonts w:hint="eastAsia"/>
                <w:b/>
                <w:bCs/>
                <w:highlight w:val="none"/>
              </w:rPr>
            </w:pPr>
            <w:r>
              <w:rPr>
                <w:rFonts w:hint="eastAsia"/>
                <w:b/>
                <w:bCs/>
                <w:highlight w:val="none"/>
              </w:rPr>
              <w:t>合同包2：1、基层影像系统</w:t>
            </w:r>
          </w:p>
          <w:p w14:paraId="5C4D1294">
            <w:pPr>
              <w:pStyle w:val="17"/>
              <w:spacing w:before="0" w:beforeAutospacing="0" w:after="0" w:afterAutospacing="0" w:line="360" w:lineRule="auto"/>
              <w:rPr>
                <w:rFonts w:hint="eastAsia"/>
                <w:b/>
                <w:bCs/>
                <w:highlight w:val="none"/>
              </w:rPr>
            </w:pPr>
            <w:r>
              <w:rPr>
                <w:rFonts w:hint="eastAsia"/>
                <w:b/>
                <w:bCs/>
                <w:highlight w:val="none"/>
              </w:rPr>
              <w:t>2、远程影像会诊平台</w:t>
            </w:r>
          </w:p>
          <w:p w14:paraId="13CEA6F6">
            <w:pPr>
              <w:pStyle w:val="17"/>
              <w:spacing w:before="0" w:beforeAutospacing="0" w:after="0" w:afterAutospacing="0" w:line="360" w:lineRule="auto"/>
              <w:rPr>
                <w:rFonts w:hint="eastAsia"/>
                <w:b/>
                <w:bCs/>
                <w:highlight w:val="none"/>
              </w:rPr>
            </w:pPr>
            <w:r>
              <w:rPr>
                <w:rFonts w:hint="eastAsia"/>
                <w:b/>
                <w:bCs/>
                <w:highlight w:val="none"/>
              </w:rPr>
              <w:t>3、影像诊断中心</w:t>
            </w:r>
          </w:p>
        </w:tc>
      </w:tr>
      <w:tr w14:paraId="2786B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263" w:type="pct"/>
            <w:vAlign w:val="center"/>
          </w:tcPr>
          <w:p w14:paraId="528D3169">
            <w:pPr>
              <w:widowControl/>
              <w:spacing w:line="360" w:lineRule="auto"/>
              <w:jc w:val="center"/>
              <w:rPr>
                <w:rFonts w:hint="eastAsia" w:hAnsi="宋体"/>
                <w:b/>
                <w:bCs/>
                <w:szCs w:val="24"/>
                <w:highlight w:val="none"/>
              </w:rPr>
            </w:pPr>
            <w:r>
              <w:rPr>
                <w:rFonts w:hint="eastAsia" w:hAnsi="宋体"/>
                <w:b/>
                <w:bCs/>
                <w:szCs w:val="24"/>
                <w:highlight w:val="none"/>
              </w:rPr>
              <w:t>17</w:t>
            </w:r>
          </w:p>
        </w:tc>
        <w:tc>
          <w:tcPr>
            <w:tcW w:w="463" w:type="pct"/>
            <w:vAlign w:val="center"/>
          </w:tcPr>
          <w:p w14:paraId="0DAD7592">
            <w:pPr>
              <w:widowControl/>
              <w:spacing w:line="360" w:lineRule="auto"/>
              <w:jc w:val="center"/>
              <w:rPr>
                <w:rFonts w:hint="eastAsia" w:hAnsi="宋体"/>
                <w:b/>
                <w:bCs/>
                <w:szCs w:val="24"/>
                <w:highlight w:val="none"/>
              </w:rPr>
            </w:pPr>
            <w:r>
              <w:rPr>
                <w:rFonts w:hint="eastAsia" w:hAnsi="宋体"/>
                <w:b/>
                <w:bCs/>
                <w:szCs w:val="24"/>
                <w:highlight w:val="none"/>
              </w:rPr>
              <w:t>进口</w:t>
            </w:r>
          </w:p>
          <w:p w14:paraId="52840F25">
            <w:pPr>
              <w:widowControl/>
              <w:spacing w:line="360" w:lineRule="auto"/>
              <w:jc w:val="center"/>
              <w:rPr>
                <w:rFonts w:hint="eastAsia" w:hAnsi="宋体"/>
                <w:b/>
                <w:bCs/>
                <w:szCs w:val="24"/>
                <w:highlight w:val="none"/>
              </w:rPr>
            </w:pPr>
            <w:r>
              <w:rPr>
                <w:rFonts w:hint="eastAsia" w:hAnsi="宋体"/>
                <w:b/>
                <w:bCs/>
                <w:szCs w:val="24"/>
                <w:highlight w:val="none"/>
              </w:rPr>
              <w:t>产品</w:t>
            </w:r>
          </w:p>
        </w:tc>
        <w:tc>
          <w:tcPr>
            <w:tcW w:w="4273" w:type="pct"/>
            <w:vAlign w:val="center"/>
          </w:tcPr>
          <w:p w14:paraId="2F45E59E">
            <w:pPr>
              <w:widowControl/>
              <w:spacing w:line="360" w:lineRule="auto"/>
              <w:jc w:val="left"/>
              <w:rPr>
                <w:rFonts w:hint="eastAsia" w:hAnsi="宋体"/>
                <w:b/>
                <w:bCs/>
                <w:szCs w:val="24"/>
                <w:highlight w:val="none"/>
              </w:rPr>
            </w:pPr>
            <w:r>
              <w:rPr>
                <w:rFonts w:hint="eastAsia" w:hAnsi="宋体"/>
                <w:b/>
                <w:bCs/>
                <w:szCs w:val="24"/>
                <w:highlight w:val="none"/>
              </w:rPr>
              <w:t>本项目不允许进口产品投标。</w:t>
            </w:r>
          </w:p>
        </w:tc>
      </w:tr>
      <w:tr w14:paraId="37C21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263" w:type="pct"/>
            <w:vAlign w:val="center"/>
          </w:tcPr>
          <w:p w14:paraId="770625F1">
            <w:pPr>
              <w:widowControl/>
              <w:spacing w:line="360" w:lineRule="auto"/>
              <w:jc w:val="center"/>
              <w:rPr>
                <w:rFonts w:hint="eastAsia" w:hAnsi="宋体"/>
                <w:b/>
                <w:bCs/>
                <w:szCs w:val="24"/>
                <w:highlight w:val="none"/>
              </w:rPr>
            </w:pPr>
            <w:r>
              <w:rPr>
                <w:rFonts w:hint="eastAsia" w:hAnsi="宋体"/>
                <w:b/>
                <w:bCs/>
                <w:szCs w:val="24"/>
                <w:highlight w:val="none"/>
              </w:rPr>
              <w:t>18</w:t>
            </w:r>
          </w:p>
        </w:tc>
        <w:tc>
          <w:tcPr>
            <w:tcW w:w="463" w:type="pct"/>
            <w:vAlign w:val="center"/>
          </w:tcPr>
          <w:p w14:paraId="41EA7919">
            <w:pPr>
              <w:widowControl/>
              <w:spacing w:line="360" w:lineRule="auto"/>
              <w:jc w:val="center"/>
              <w:rPr>
                <w:rFonts w:hint="eastAsia" w:hAnsi="宋体"/>
                <w:b/>
                <w:bCs/>
                <w:szCs w:val="24"/>
                <w:highlight w:val="none"/>
              </w:rPr>
            </w:pPr>
            <w:r>
              <w:rPr>
                <w:rFonts w:hint="eastAsia" w:hAnsi="宋体"/>
                <w:b/>
                <w:bCs/>
                <w:szCs w:val="24"/>
                <w:highlight w:val="none"/>
              </w:rPr>
              <w:t>项目</w:t>
            </w:r>
          </w:p>
          <w:p w14:paraId="5B34994F">
            <w:pPr>
              <w:widowControl/>
              <w:spacing w:line="360" w:lineRule="auto"/>
              <w:jc w:val="center"/>
              <w:rPr>
                <w:rFonts w:hint="eastAsia" w:hAnsi="宋体"/>
                <w:b/>
                <w:bCs/>
                <w:szCs w:val="24"/>
                <w:highlight w:val="none"/>
              </w:rPr>
            </w:pPr>
            <w:r>
              <w:rPr>
                <w:rFonts w:hint="eastAsia" w:hAnsi="宋体"/>
                <w:b/>
                <w:bCs/>
                <w:szCs w:val="24"/>
                <w:highlight w:val="none"/>
              </w:rPr>
              <w:t>性质</w:t>
            </w:r>
          </w:p>
        </w:tc>
        <w:tc>
          <w:tcPr>
            <w:tcW w:w="4273" w:type="pct"/>
            <w:vAlign w:val="center"/>
          </w:tcPr>
          <w:p w14:paraId="0BEA54C1">
            <w:pPr>
              <w:spacing w:line="360" w:lineRule="auto"/>
              <w:rPr>
                <w:rFonts w:hint="eastAsia" w:hAnsi="宋体"/>
                <w:b/>
                <w:bCs/>
                <w:szCs w:val="24"/>
                <w:highlight w:val="none"/>
              </w:rPr>
            </w:pPr>
            <w:r>
              <w:rPr>
                <w:rFonts w:hAnsi="宋体"/>
                <w:b/>
                <w:bCs/>
                <w:szCs w:val="24"/>
                <w:highlight w:val="none"/>
              </w:rPr>
              <w:t>本项目</w:t>
            </w:r>
            <w:r>
              <w:rPr>
                <w:rFonts w:hint="eastAsia" w:hAnsi="宋体"/>
                <w:b/>
                <w:bCs/>
                <w:szCs w:val="24"/>
                <w:highlight w:val="none"/>
              </w:rPr>
              <w:t>专门</w:t>
            </w:r>
            <w:r>
              <w:rPr>
                <w:rFonts w:hAnsi="宋体"/>
                <w:b/>
                <w:bCs/>
                <w:szCs w:val="24"/>
                <w:highlight w:val="none"/>
              </w:rPr>
              <w:t>面向中小企业采购。</w:t>
            </w:r>
          </w:p>
        </w:tc>
      </w:tr>
      <w:tr w14:paraId="5249C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263" w:type="pct"/>
            <w:vAlign w:val="center"/>
          </w:tcPr>
          <w:p w14:paraId="2BE80008">
            <w:pPr>
              <w:widowControl/>
              <w:spacing w:line="360" w:lineRule="auto"/>
              <w:jc w:val="center"/>
              <w:rPr>
                <w:rFonts w:hint="eastAsia" w:hAnsi="宋体"/>
                <w:b/>
                <w:bCs/>
                <w:szCs w:val="24"/>
                <w:highlight w:val="none"/>
              </w:rPr>
            </w:pPr>
            <w:r>
              <w:rPr>
                <w:rFonts w:hint="eastAsia" w:hAnsi="宋体"/>
                <w:b/>
                <w:bCs/>
                <w:szCs w:val="24"/>
                <w:highlight w:val="none"/>
              </w:rPr>
              <w:t>19</w:t>
            </w:r>
          </w:p>
        </w:tc>
        <w:tc>
          <w:tcPr>
            <w:tcW w:w="463" w:type="pct"/>
            <w:vAlign w:val="center"/>
          </w:tcPr>
          <w:p w14:paraId="7E560074">
            <w:pPr>
              <w:widowControl/>
              <w:spacing w:line="360" w:lineRule="auto"/>
              <w:jc w:val="center"/>
              <w:rPr>
                <w:rFonts w:hint="eastAsia" w:hAnsi="宋体"/>
                <w:b/>
                <w:bCs/>
                <w:szCs w:val="24"/>
                <w:highlight w:val="none"/>
              </w:rPr>
            </w:pPr>
            <w:r>
              <w:rPr>
                <w:rFonts w:hint="eastAsia" w:hAnsi="宋体"/>
                <w:b/>
                <w:bCs/>
                <w:szCs w:val="24"/>
                <w:highlight w:val="none"/>
              </w:rPr>
              <w:t>项目所属行业</w:t>
            </w:r>
          </w:p>
        </w:tc>
        <w:tc>
          <w:tcPr>
            <w:tcW w:w="4273" w:type="pct"/>
            <w:vAlign w:val="center"/>
          </w:tcPr>
          <w:p w14:paraId="445C6245">
            <w:pPr>
              <w:spacing w:line="360" w:lineRule="auto"/>
              <w:rPr>
                <w:rFonts w:hint="eastAsia" w:hAnsi="宋体" w:cs="宋体"/>
                <w:b/>
                <w:bCs/>
                <w:szCs w:val="24"/>
                <w:highlight w:val="none"/>
              </w:rPr>
            </w:pPr>
            <w:r>
              <w:rPr>
                <w:rFonts w:hint="eastAsia" w:hAnsi="宋体" w:cs="宋体"/>
                <w:b/>
                <w:bCs/>
                <w:szCs w:val="24"/>
                <w:highlight w:val="none"/>
              </w:rPr>
              <w:t>合同包1：工业</w:t>
            </w:r>
          </w:p>
          <w:p w14:paraId="2732BBEC">
            <w:pPr>
              <w:spacing w:line="360" w:lineRule="auto"/>
              <w:rPr>
                <w:rFonts w:hint="eastAsia" w:hAnsi="宋体" w:cs="宋体"/>
                <w:b/>
                <w:bCs/>
                <w:szCs w:val="24"/>
                <w:highlight w:val="none"/>
              </w:rPr>
            </w:pPr>
            <w:r>
              <w:rPr>
                <w:rFonts w:hint="eastAsia" w:hAnsi="宋体" w:cs="宋体"/>
                <w:b/>
                <w:bCs/>
                <w:szCs w:val="24"/>
                <w:highlight w:val="none"/>
              </w:rPr>
              <w:t>合同包2：软件和信息技术服务业</w:t>
            </w:r>
          </w:p>
          <w:p w14:paraId="606011D1">
            <w:pPr>
              <w:spacing w:line="360" w:lineRule="auto"/>
              <w:rPr>
                <w:rFonts w:hint="eastAsia" w:hAnsi="宋体" w:cs="宋体"/>
                <w:b/>
                <w:bCs/>
                <w:szCs w:val="24"/>
                <w:highlight w:val="none"/>
              </w:rPr>
            </w:pPr>
            <w:r>
              <w:rPr>
                <w:rFonts w:hAnsi="宋体" w:cs="宋体"/>
                <w:b/>
                <w:bCs/>
                <w:szCs w:val="24"/>
                <w:highlight w:val="none"/>
              </w:rPr>
              <w:t>工业</w:t>
            </w:r>
            <w:r>
              <w:rPr>
                <w:rFonts w:hint="eastAsia" w:hAnsi="宋体" w:cs="宋体"/>
                <w:b/>
                <w:bCs/>
                <w:szCs w:val="24"/>
                <w:highlight w:val="none"/>
              </w:rPr>
              <w:t>：</w:t>
            </w:r>
            <w:r>
              <w:rPr>
                <w:rFonts w:hAnsi="宋体" w:cs="宋体"/>
                <w:b/>
                <w:bCs/>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986AE5">
            <w:pPr>
              <w:spacing w:line="360" w:lineRule="auto"/>
              <w:rPr>
                <w:rFonts w:hint="eastAsia" w:hAnsi="宋体" w:cs="宋体"/>
                <w:b/>
                <w:bCs/>
                <w:szCs w:val="24"/>
                <w:highlight w:val="none"/>
              </w:rPr>
            </w:pPr>
            <w:r>
              <w:rPr>
                <w:rFonts w:hAnsi="宋体" w:cs="宋体"/>
                <w:b/>
                <w:bCs/>
                <w:szCs w:val="24"/>
                <w:highlight w:val="none"/>
              </w:rPr>
              <w:t>软件和信息技术服务业</w:t>
            </w:r>
            <w:r>
              <w:rPr>
                <w:rFonts w:hint="eastAsia" w:hAnsi="宋体" w:cs="宋体"/>
                <w:b/>
                <w:bCs/>
                <w:szCs w:val="24"/>
                <w:highlight w:val="none"/>
              </w:rPr>
              <w:t>：</w:t>
            </w:r>
            <w:r>
              <w:rPr>
                <w:rFonts w:hAnsi="宋体" w:cs="宋体"/>
                <w:b/>
                <w:bCs/>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6D1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78" w:hRule="atLeast"/>
          <w:jc w:val="center"/>
        </w:trPr>
        <w:tc>
          <w:tcPr>
            <w:tcW w:w="263" w:type="pct"/>
            <w:vAlign w:val="center"/>
          </w:tcPr>
          <w:p w14:paraId="73C70C4D">
            <w:pPr>
              <w:widowControl/>
              <w:spacing w:line="360" w:lineRule="auto"/>
              <w:jc w:val="center"/>
              <w:rPr>
                <w:rFonts w:hint="eastAsia" w:hAnsi="宋体"/>
                <w:b/>
                <w:bCs/>
                <w:szCs w:val="24"/>
                <w:highlight w:val="none"/>
              </w:rPr>
            </w:pPr>
            <w:r>
              <w:rPr>
                <w:rFonts w:hint="eastAsia" w:hAnsi="宋体"/>
                <w:b/>
                <w:bCs/>
                <w:szCs w:val="24"/>
                <w:highlight w:val="none"/>
              </w:rPr>
              <w:t>20</w:t>
            </w:r>
          </w:p>
        </w:tc>
        <w:tc>
          <w:tcPr>
            <w:tcW w:w="463" w:type="pct"/>
            <w:vAlign w:val="center"/>
          </w:tcPr>
          <w:p w14:paraId="362FE880">
            <w:pPr>
              <w:widowControl/>
              <w:spacing w:line="360" w:lineRule="auto"/>
              <w:jc w:val="center"/>
              <w:rPr>
                <w:rFonts w:hint="eastAsia" w:hAnsi="宋体"/>
                <w:b/>
                <w:bCs/>
                <w:szCs w:val="24"/>
                <w:highlight w:val="none"/>
              </w:rPr>
            </w:pPr>
            <w:r>
              <w:rPr>
                <w:rFonts w:hint="eastAsia" w:hAnsi="宋体"/>
                <w:b/>
                <w:bCs/>
                <w:szCs w:val="24"/>
                <w:highlight w:val="none"/>
              </w:rPr>
              <w:t>其他</w:t>
            </w:r>
          </w:p>
        </w:tc>
        <w:tc>
          <w:tcPr>
            <w:tcW w:w="4273" w:type="pct"/>
            <w:vAlign w:val="center"/>
          </w:tcPr>
          <w:p w14:paraId="66F73A28">
            <w:pPr>
              <w:spacing w:line="360" w:lineRule="auto"/>
              <w:ind w:firstLine="482" w:firstLineChars="200"/>
              <w:rPr>
                <w:rFonts w:hint="eastAsia" w:hAnsi="宋体" w:cs="宋体"/>
                <w:b/>
                <w:bCs/>
                <w:szCs w:val="24"/>
                <w:highlight w:val="none"/>
              </w:rPr>
            </w:pPr>
            <w:r>
              <w:rPr>
                <w:rFonts w:hint="eastAsia" w:hAnsi="宋体" w:cs="宋体"/>
                <w:b/>
                <w:bCs/>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357F118F">
            <w:pPr>
              <w:spacing w:line="360" w:lineRule="auto"/>
              <w:ind w:firstLine="482" w:firstLineChars="200"/>
              <w:rPr>
                <w:rFonts w:hint="eastAsia" w:hAnsi="宋体" w:cs="宋体"/>
                <w:b/>
                <w:bCs/>
                <w:szCs w:val="24"/>
                <w:highlight w:val="none"/>
              </w:rPr>
            </w:pPr>
            <w:r>
              <w:rPr>
                <w:rFonts w:hint="eastAsia" w:hAnsi="宋体" w:cs="宋体"/>
                <w:b/>
                <w:bCs/>
                <w:szCs w:val="24"/>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6E64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vAlign w:val="center"/>
          </w:tcPr>
          <w:p w14:paraId="0B3E0949">
            <w:pPr>
              <w:widowControl/>
              <w:spacing w:line="360" w:lineRule="auto"/>
              <w:jc w:val="center"/>
              <w:rPr>
                <w:rFonts w:hint="eastAsia" w:hAnsi="宋体"/>
                <w:b/>
                <w:bCs/>
                <w:szCs w:val="24"/>
                <w:highlight w:val="none"/>
              </w:rPr>
            </w:pPr>
            <w:r>
              <w:rPr>
                <w:rFonts w:hint="eastAsia" w:hAnsi="宋体"/>
                <w:b/>
                <w:bCs/>
                <w:szCs w:val="24"/>
                <w:highlight w:val="none"/>
              </w:rPr>
              <w:t>21</w:t>
            </w:r>
          </w:p>
        </w:tc>
        <w:tc>
          <w:tcPr>
            <w:tcW w:w="463" w:type="pct"/>
            <w:vAlign w:val="center"/>
          </w:tcPr>
          <w:p w14:paraId="65F6E180">
            <w:pPr>
              <w:widowControl/>
              <w:spacing w:line="360" w:lineRule="auto"/>
              <w:jc w:val="center"/>
              <w:rPr>
                <w:rFonts w:hint="eastAsia" w:hAnsi="宋体"/>
                <w:b/>
                <w:bCs/>
                <w:szCs w:val="24"/>
                <w:highlight w:val="none"/>
              </w:rPr>
            </w:pPr>
            <w:r>
              <w:rPr>
                <w:rFonts w:hint="eastAsia" w:hAnsi="宋体"/>
                <w:b/>
                <w:bCs/>
                <w:szCs w:val="24"/>
                <w:highlight w:val="none"/>
              </w:rPr>
              <w:t>备注</w:t>
            </w:r>
          </w:p>
        </w:tc>
        <w:tc>
          <w:tcPr>
            <w:tcW w:w="4273" w:type="pct"/>
            <w:vAlign w:val="center"/>
          </w:tcPr>
          <w:p w14:paraId="4B35DD3E">
            <w:pPr>
              <w:spacing w:line="500" w:lineRule="exact"/>
              <w:ind w:firstLine="482" w:firstLineChars="200"/>
              <w:rPr>
                <w:rFonts w:hint="eastAsia" w:hAnsi="宋体" w:cs="宋体"/>
                <w:b/>
                <w:bCs/>
                <w:szCs w:val="24"/>
                <w:highlight w:val="none"/>
              </w:rPr>
            </w:pPr>
            <w:r>
              <w:rPr>
                <w:rFonts w:hint="eastAsia" w:hAnsi="宋体" w:cs="宋体"/>
                <w:b/>
                <w:bCs/>
                <w:szCs w:val="24"/>
                <w:highlight w:val="none"/>
              </w:rPr>
              <w:t>供应商注册登记提醒：</w:t>
            </w:r>
          </w:p>
          <w:p w14:paraId="6C756305">
            <w:pPr>
              <w:spacing w:line="500" w:lineRule="exact"/>
              <w:ind w:firstLine="482" w:firstLineChars="200"/>
              <w:rPr>
                <w:rFonts w:hint="eastAsia"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bl>
    <w:p w14:paraId="2732FEFC">
      <w:pPr>
        <w:spacing w:before="333" w:beforeLines="100"/>
        <w:jc w:val="center"/>
        <w:rPr>
          <w:rFonts w:hint="eastAsia" w:hAnsi="宋体" w:cs="宋体"/>
          <w:sz w:val="32"/>
          <w:szCs w:val="32"/>
          <w:highlight w:val="none"/>
        </w:rPr>
      </w:pPr>
      <w:r>
        <w:rPr>
          <w:rFonts w:hint="eastAsia" w:hAnsi="宋体" w:cs="宋体"/>
          <w:highlight w:val="none"/>
        </w:rPr>
        <w:br w:type="page"/>
      </w:r>
      <w:bookmarkEnd w:id="9"/>
      <w:bookmarkEnd w:id="10"/>
      <w:bookmarkEnd w:id="11"/>
      <w:bookmarkStart w:id="32" w:name="_Toc363473972"/>
      <w:bookmarkStart w:id="33" w:name="_Toc403077639"/>
      <w:bookmarkStart w:id="34" w:name="_Toc363474017"/>
      <w:r>
        <w:rPr>
          <w:rFonts w:hint="eastAsia" w:hAnsi="宋体" w:cs="宋体"/>
          <w:b/>
          <w:sz w:val="32"/>
          <w:szCs w:val="32"/>
          <w:highlight w:val="none"/>
        </w:rPr>
        <w:t>一.总  则</w:t>
      </w:r>
      <w:bookmarkEnd w:id="32"/>
      <w:bookmarkEnd w:id="33"/>
      <w:bookmarkEnd w:id="34"/>
    </w:p>
    <w:p w14:paraId="6A6CCA82">
      <w:pPr>
        <w:spacing w:line="500" w:lineRule="exact"/>
        <w:rPr>
          <w:rFonts w:hint="eastAsia" w:hAnsi="宋体" w:cs="宋体"/>
          <w:b/>
          <w:szCs w:val="24"/>
          <w:highlight w:val="none"/>
        </w:rPr>
      </w:pPr>
      <w:r>
        <w:rPr>
          <w:rFonts w:hint="eastAsia" w:hAnsi="宋体" w:cs="宋体"/>
          <w:b/>
          <w:szCs w:val="24"/>
          <w:highlight w:val="none"/>
        </w:rPr>
        <w:t>1.资金来源</w:t>
      </w:r>
    </w:p>
    <w:p w14:paraId="6AA1C992">
      <w:pPr>
        <w:spacing w:line="500" w:lineRule="exact"/>
        <w:ind w:firstLine="480" w:firstLineChars="200"/>
        <w:rPr>
          <w:rFonts w:hint="eastAsia" w:hAnsi="宋体" w:cs="宋体"/>
          <w:szCs w:val="24"/>
          <w:highlight w:val="none"/>
        </w:rPr>
      </w:pPr>
      <w:r>
        <w:rPr>
          <w:rFonts w:hint="eastAsia" w:hAnsi="宋体" w:cs="宋体"/>
          <w:szCs w:val="24"/>
          <w:highlight w:val="none"/>
        </w:rPr>
        <w:t>1.1本次招标采购所签合同使用财政拨款支付，资金已落实到位。</w:t>
      </w:r>
    </w:p>
    <w:p w14:paraId="5BBED8E7">
      <w:pPr>
        <w:numPr>
          <w:ilvl w:val="0"/>
          <w:numId w:val="1"/>
        </w:numPr>
        <w:spacing w:line="500" w:lineRule="exact"/>
        <w:rPr>
          <w:rFonts w:hint="eastAsia" w:hAnsi="宋体" w:cs="宋体"/>
          <w:b/>
          <w:szCs w:val="24"/>
          <w:highlight w:val="none"/>
        </w:rPr>
      </w:pPr>
      <w:r>
        <w:rPr>
          <w:rFonts w:hint="eastAsia" w:hAnsi="宋体" w:cs="宋体"/>
          <w:b/>
          <w:szCs w:val="24"/>
          <w:highlight w:val="none"/>
        </w:rPr>
        <w:t>名词解释</w:t>
      </w:r>
    </w:p>
    <w:p w14:paraId="43940137">
      <w:pPr>
        <w:tabs>
          <w:tab w:val="left" w:pos="7665"/>
        </w:tabs>
        <w:spacing w:line="500" w:lineRule="exact"/>
        <w:ind w:firstLine="480" w:firstLineChars="200"/>
        <w:rPr>
          <w:rFonts w:hint="eastAsia" w:hAnsi="宋体" w:cs="宋体"/>
          <w:highlight w:val="none"/>
        </w:rPr>
      </w:pPr>
      <w:r>
        <w:rPr>
          <w:rFonts w:hint="eastAsia" w:hAnsi="宋体" w:cs="宋体"/>
          <w:highlight w:val="none"/>
        </w:rPr>
        <w:t>2.1采购人：</w:t>
      </w:r>
      <w:r>
        <w:rPr>
          <w:rFonts w:hint="eastAsia" w:hAnsi="宋体"/>
          <w:highlight w:val="none"/>
        </w:rPr>
        <w:t>镇安县医院</w:t>
      </w:r>
    </w:p>
    <w:p w14:paraId="1FFF7905">
      <w:pPr>
        <w:tabs>
          <w:tab w:val="left" w:pos="7665"/>
        </w:tabs>
        <w:spacing w:line="500" w:lineRule="exact"/>
        <w:ind w:firstLine="480" w:firstLineChars="200"/>
        <w:rPr>
          <w:rFonts w:hint="eastAsia" w:hAnsi="宋体" w:cs="宋体"/>
          <w:highlight w:val="none"/>
        </w:rPr>
      </w:pPr>
      <w:r>
        <w:rPr>
          <w:rFonts w:hint="eastAsia" w:hAnsi="宋体" w:cs="宋体"/>
          <w:highlight w:val="none"/>
        </w:rPr>
        <w:t>2.2监督机构：同级人民财政部门</w:t>
      </w:r>
    </w:p>
    <w:p w14:paraId="26D266B8">
      <w:pPr>
        <w:tabs>
          <w:tab w:val="left" w:pos="7665"/>
        </w:tabs>
        <w:spacing w:line="500" w:lineRule="exact"/>
        <w:ind w:firstLine="480" w:firstLineChars="200"/>
        <w:rPr>
          <w:rFonts w:hint="eastAsia" w:hAnsi="宋体" w:cs="宋体"/>
          <w:highlight w:val="none"/>
        </w:rPr>
      </w:pPr>
      <w:r>
        <w:rPr>
          <w:rFonts w:hint="eastAsia" w:hAnsi="宋体" w:cs="宋体"/>
          <w:highlight w:val="none"/>
        </w:rPr>
        <w:t>2.3采购代理机构：陕西至诚项目管理集团有限公司。</w:t>
      </w:r>
    </w:p>
    <w:p w14:paraId="70BB79A2">
      <w:pPr>
        <w:tabs>
          <w:tab w:val="left" w:pos="7665"/>
        </w:tabs>
        <w:spacing w:line="500" w:lineRule="exact"/>
        <w:ind w:firstLine="480" w:firstLineChars="200"/>
        <w:rPr>
          <w:rFonts w:hint="eastAsia" w:hAnsi="宋体" w:cs="宋体"/>
          <w:highlight w:val="none"/>
        </w:rPr>
      </w:pPr>
      <w:r>
        <w:rPr>
          <w:rFonts w:hint="eastAsia" w:hAnsi="宋体" w:cs="宋体"/>
          <w:highlight w:val="none"/>
        </w:rPr>
        <w:t>2.4投标人：是指响应和符合招标文件规定资格条件且参与投标竞争的法人、其他组织或者自然人。</w:t>
      </w:r>
    </w:p>
    <w:p w14:paraId="63361F0E">
      <w:pPr>
        <w:adjustRightInd w:val="0"/>
        <w:snapToGrid w:val="0"/>
        <w:spacing w:line="500" w:lineRule="exact"/>
        <w:ind w:firstLine="480" w:firstLineChars="200"/>
        <w:rPr>
          <w:rFonts w:hint="eastAsia" w:hAnsi="宋体" w:cs="宋体"/>
          <w:highlight w:val="none"/>
        </w:rPr>
      </w:pPr>
      <w:r>
        <w:rPr>
          <w:rFonts w:hint="eastAsia" w:hAnsi="宋体" w:cs="宋体"/>
          <w:highlight w:val="none"/>
        </w:rPr>
        <w:t>2.5产品是指本招标文件中第四章所述所有产品。</w:t>
      </w:r>
    </w:p>
    <w:p w14:paraId="2E5248CF">
      <w:pPr>
        <w:adjustRightInd w:val="0"/>
        <w:snapToGrid w:val="0"/>
        <w:spacing w:line="500" w:lineRule="exact"/>
        <w:ind w:firstLine="480" w:firstLineChars="200"/>
        <w:rPr>
          <w:rFonts w:hint="eastAsia" w:hAnsi="宋体" w:cs="宋体"/>
          <w:highlight w:val="none"/>
        </w:rPr>
      </w:pPr>
      <w:r>
        <w:rPr>
          <w:rFonts w:hint="eastAsia" w:hAnsi="宋体" w:cs="宋体"/>
          <w:highlight w:val="none"/>
        </w:rPr>
        <w:t>2.6服务是指供应商为满足招标文件要求而提供的服务。</w:t>
      </w:r>
    </w:p>
    <w:p w14:paraId="25BFF62E">
      <w:pPr>
        <w:adjustRightInd w:val="0"/>
        <w:snapToGrid w:val="0"/>
        <w:spacing w:line="500" w:lineRule="exact"/>
        <w:ind w:firstLine="480" w:firstLineChars="200"/>
        <w:rPr>
          <w:rFonts w:hint="eastAsia" w:hAnsi="宋体" w:cs="宋体"/>
          <w:highlight w:val="none"/>
        </w:rPr>
      </w:pPr>
      <w:r>
        <w:rPr>
          <w:rFonts w:hint="eastAsia" w:hAnsi="宋体" w:cs="宋体"/>
          <w:highlight w:val="none"/>
        </w:rPr>
        <w:t>2.7节能产品或者环保产品是指财政部发布的《节能产品政府采购清单》或《环境标志产品政府采购清单》的产品。</w:t>
      </w:r>
    </w:p>
    <w:p w14:paraId="50541967">
      <w:pPr>
        <w:adjustRightInd w:val="0"/>
        <w:snapToGrid w:val="0"/>
        <w:spacing w:line="500" w:lineRule="exact"/>
        <w:ind w:firstLine="480" w:firstLineChars="200"/>
        <w:rPr>
          <w:rFonts w:hint="eastAsia"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455F6454">
      <w:pPr>
        <w:adjustRightInd w:val="0"/>
        <w:snapToGrid w:val="0"/>
        <w:spacing w:line="500" w:lineRule="exact"/>
        <w:ind w:firstLine="480" w:firstLineChars="200"/>
        <w:rPr>
          <w:rFonts w:hint="eastAsia"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7798B12C">
      <w:pPr>
        <w:adjustRightInd w:val="0"/>
        <w:snapToGrid w:val="0"/>
        <w:spacing w:line="500" w:lineRule="exact"/>
        <w:ind w:firstLine="480" w:firstLineChars="200"/>
        <w:rPr>
          <w:rFonts w:hint="eastAsia"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D1C9D7">
      <w:pPr>
        <w:adjustRightInd w:val="0"/>
        <w:snapToGrid w:val="0"/>
        <w:spacing w:line="500" w:lineRule="exact"/>
        <w:ind w:firstLine="480" w:firstLineChars="200"/>
        <w:rPr>
          <w:rFonts w:hint="eastAsia"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06390378">
      <w:pPr>
        <w:spacing w:line="500" w:lineRule="exact"/>
        <w:rPr>
          <w:rFonts w:hint="eastAsia" w:hAnsi="宋体" w:cs="宋体"/>
          <w:b/>
          <w:szCs w:val="24"/>
          <w:highlight w:val="none"/>
        </w:rPr>
      </w:pPr>
      <w:r>
        <w:rPr>
          <w:rFonts w:hint="eastAsia" w:hAnsi="宋体" w:cs="宋体"/>
          <w:b/>
          <w:szCs w:val="24"/>
          <w:highlight w:val="none"/>
        </w:rPr>
        <w:t>3.合格的供应商</w:t>
      </w:r>
    </w:p>
    <w:p w14:paraId="5446B536">
      <w:pPr>
        <w:tabs>
          <w:tab w:val="left" w:pos="851"/>
        </w:tabs>
        <w:spacing w:line="500" w:lineRule="exact"/>
        <w:ind w:firstLine="480" w:firstLineChars="200"/>
        <w:rPr>
          <w:rFonts w:hint="eastAsia" w:hAnsi="宋体" w:cs="宋体"/>
          <w:szCs w:val="24"/>
          <w:highlight w:val="none"/>
        </w:rPr>
      </w:pPr>
      <w:r>
        <w:rPr>
          <w:rFonts w:hint="eastAsia" w:hAnsi="宋体" w:cs="宋体"/>
          <w:szCs w:val="24"/>
          <w:highlight w:val="none"/>
        </w:rPr>
        <w:t>3.1《政府采购法》第二十二条第一款规定的供应商基本资格条件:</w:t>
      </w:r>
    </w:p>
    <w:p w14:paraId="37A2AF4F">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（1）具有独立承担民事责任的能力；</w:t>
      </w:r>
    </w:p>
    <w:p w14:paraId="772C499B">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（2）具有良好的商业信誉和健全的财务会计制度；</w:t>
      </w:r>
    </w:p>
    <w:p w14:paraId="7910AC53">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（3）具有履行合同所必需的设备和专业技术能力；</w:t>
      </w:r>
    </w:p>
    <w:p w14:paraId="0FAFF773">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（4）有依法缴纳税收的良好记录；</w:t>
      </w:r>
    </w:p>
    <w:p w14:paraId="6CB49DAA">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（5）参加政府采购活动前三年内，在经营活动中没有重大违法记录；</w:t>
      </w:r>
    </w:p>
    <w:p w14:paraId="68116702">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（6）法律、行政法规规定的其他条件。</w:t>
      </w:r>
    </w:p>
    <w:p w14:paraId="7EA9B96D">
      <w:pPr>
        <w:spacing w:line="500" w:lineRule="exact"/>
        <w:ind w:firstLine="480" w:firstLineChars="200"/>
        <w:rPr>
          <w:rFonts w:hint="eastAsia" w:hAnsi="宋体" w:cs="宋体"/>
          <w:szCs w:val="24"/>
          <w:highlight w:val="none"/>
        </w:rPr>
      </w:pPr>
      <w:r>
        <w:rPr>
          <w:rFonts w:hAnsi="宋体" w:cs="宋体"/>
          <w:szCs w:val="24"/>
          <w:highlight w:val="none"/>
        </w:rPr>
        <w:t>3.2</w:t>
      </w:r>
      <w:r>
        <w:rPr>
          <w:rFonts w:hint="eastAsia" w:hAnsi="宋体" w:cs="宋体"/>
          <w:szCs w:val="24"/>
          <w:highlight w:val="none"/>
        </w:rPr>
        <w:t>根据本次采购项目的特殊要求，规定的供应商特殊条件（见供应商须知前附表）。</w:t>
      </w:r>
    </w:p>
    <w:p w14:paraId="503B748C">
      <w:pPr>
        <w:spacing w:line="500" w:lineRule="exact"/>
        <w:ind w:firstLine="480" w:firstLineChars="200"/>
        <w:rPr>
          <w:rFonts w:hint="eastAsia" w:hAnsi="宋体" w:cs="宋体"/>
          <w:szCs w:val="24"/>
          <w:highlight w:val="none"/>
        </w:rPr>
      </w:pPr>
      <w:r>
        <w:rPr>
          <w:rFonts w:hAnsi="宋体" w:cs="宋体"/>
          <w:szCs w:val="24"/>
          <w:highlight w:val="none"/>
        </w:rPr>
        <w:t>3.3</w:t>
      </w:r>
      <w:r>
        <w:rPr>
          <w:rFonts w:hint="eastAsia" w:hAnsi="宋体" w:cs="宋体"/>
          <w:szCs w:val="24"/>
          <w:highlight w:val="none"/>
        </w:rPr>
        <w:t>单位负责人为同一人或者存在直接控股、管理关系的不同供应商，不得参加同一合同项下的政府采购活动。</w:t>
      </w:r>
    </w:p>
    <w:p w14:paraId="13F2F2B5">
      <w:pPr>
        <w:spacing w:line="500" w:lineRule="exact"/>
        <w:ind w:firstLine="480" w:firstLineChars="200"/>
        <w:rPr>
          <w:rFonts w:hint="eastAsia" w:hAnsi="宋体" w:cs="宋体"/>
          <w:szCs w:val="24"/>
          <w:highlight w:val="none"/>
        </w:rPr>
      </w:pPr>
      <w:r>
        <w:rPr>
          <w:rFonts w:hint="eastAsia" w:hAnsi="宋体" w:cs="宋体"/>
          <w:szCs w:val="24"/>
          <w:highlight w:val="none"/>
        </w:rPr>
        <w:t>除单一来源采购项目外，为采购项目提供整体设计、规范编制或者项目管理、监理、检测等服务的供应商，不得再参加该采购项目的其他采购活动，否则均为无效投标。</w:t>
      </w:r>
    </w:p>
    <w:p w14:paraId="6A55C70B">
      <w:pPr>
        <w:spacing w:line="500" w:lineRule="exact"/>
        <w:ind w:firstLine="480" w:firstLineChars="200"/>
        <w:rPr>
          <w:rFonts w:hint="eastAsia" w:hAnsi="宋体" w:cs="宋体"/>
          <w:szCs w:val="24"/>
          <w:highlight w:val="none"/>
        </w:rPr>
      </w:pPr>
      <w:r>
        <w:rPr>
          <w:rFonts w:hAnsi="宋体" w:cs="宋体"/>
          <w:szCs w:val="24"/>
          <w:highlight w:val="none"/>
        </w:rPr>
        <w:t>3.4</w:t>
      </w:r>
      <w:r>
        <w:rPr>
          <w:rFonts w:hint="eastAsia" w:hAnsi="宋体" w:cs="宋体"/>
          <w:szCs w:val="24"/>
          <w:highlight w:val="none"/>
        </w:rPr>
        <w:t>供应商必须在陕西至诚项目管理集团有限公司报名并领取招标文件，方可参加投标。</w:t>
      </w:r>
    </w:p>
    <w:p w14:paraId="77C1E129">
      <w:pPr>
        <w:spacing w:line="500" w:lineRule="exact"/>
        <w:ind w:firstLine="480" w:firstLineChars="200"/>
        <w:rPr>
          <w:rFonts w:hint="eastAsia" w:hAnsi="宋体" w:cs="宋体"/>
          <w:szCs w:val="24"/>
          <w:highlight w:val="none"/>
        </w:rPr>
      </w:pPr>
      <w:bookmarkStart w:id="35" w:name="OLE_LINK33"/>
      <w:r>
        <w:rPr>
          <w:rFonts w:hAnsi="宋体" w:cs="宋体"/>
          <w:szCs w:val="24"/>
          <w:highlight w:val="none"/>
        </w:rPr>
        <w:t>3.</w:t>
      </w:r>
      <w:bookmarkEnd w:id="35"/>
      <w:r>
        <w:rPr>
          <w:rFonts w:hAnsi="宋体" w:cs="宋体"/>
          <w:szCs w:val="24"/>
          <w:highlight w:val="none"/>
        </w:rPr>
        <w:t>5</w:t>
      </w:r>
      <w:r>
        <w:rPr>
          <w:rFonts w:hint="eastAsia" w:hAnsi="宋体" w:cs="宋体"/>
          <w:szCs w:val="24"/>
          <w:highlight w:val="none"/>
        </w:rPr>
        <w:t>联合体投标。</w:t>
      </w:r>
    </w:p>
    <w:p w14:paraId="63E7DEE0">
      <w:pPr>
        <w:spacing w:line="500" w:lineRule="exact"/>
        <w:ind w:firstLine="480" w:firstLineChars="200"/>
        <w:rPr>
          <w:rFonts w:hint="eastAsia" w:hAnsi="宋体" w:cs="宋体"/>
          <w:szCs w:val="24"/>
          <w:highlight w:val="none"/>
        </w:rPr>
      </w:pPr>
      <w:r>
        <w:rPr>
          <w:rFonts w:hAnsi="宋体" w:cs="宋体"/>
          <w:szCs w:val="24"/>
          <w:highlight w:val="none"/>
        </w:rPr>
        <w:t>3.5.1</w:t>
      </w:r>
      <w:r>
        <w:rPr>
          <w:rFonts w:hint="eastAsia" w:hAnsi="宋体" w:cs="宋体"/>
          <w:szCs w:val="24"/>
          <w:highlight w:val="none"/>
        </w:rPr>
        <w:t>如果在招标文件中接受联合体投标（见投标人须知前附表），则两个以上供应商可以组成一个投标联合体，以一个供应商的身份投标。以联合体形式参加投标的，联合体各方均应当符合</w:t>
      </w:r>
      <w:r>
        <w:rPr>
          <w:rFonts w:hint="eastAsia" w:hAnsi="宋体" w:cs="宋体"/>
          <w:highlight w:val="none"/>
        </w:rPr>
        <w:t>《中华人民共和国政府采购法》及实施条例规定的条件</w:t>
      </w:r>
      <w:r>
        <w:rPr>
          <w:rFonts w:hint="eastAsia" w:hAnsi="宋体" w:cs="宋体"/>
          <w:szCs w:val="24"/>
          <w:highlight w:val="none"/>
        </w:rPr>
        <w:t>。采购人根据采购项目的特殊要求规定供应商特定条件的，联合体各方中至少应当有一方符合采购人规定的特定条件。</w:t>
      </w:r>
    </w:p>
    <w:p w14:paraId="515E1050">
      <w:pPr>
        <w:spacing w:line="500" w:lineRule="exact"/>
        <w:ind w:firstLine="468" w:firstLineChars="195"/>
        <w:rPr>
          <w:rFonts w:hint="eastAsia" w:hAnsi="宋体" w:cs="宋体"/>
          <w:szCs w:val="24"/>
          <w:highlight w:val="none"/>
        </w:rPr>
      </w:pPr>
      <w:r>
        <w:rPr>
          <w:rFonts w:hAnsi="宋体" w:cs="宋体"/>
          <w:szCs w:val="24"/>
          <w:highlight w:val="none"/>
        </w:rPr>
        <w:t>3.5.2</w:t>
      </w:r>
      <w:r>
        <w:rPr>
          <w:rFonts w:hint="eastAsia" w:hAnsi="宋体" w:cs="宋体"/>
          <w:szCs w:val="24"/>
          <w:highlight w:val="none"/>
        </w:rPr>
        <w:t>联合体各方之间应当签订共同投标协议，明确约定联合体各方承担的工作和相应的责任，并将共同投标协议连同投标文件一并提交</w:t>
      </w:r>
      <w:r>
        <w:rPr>
          <w:rFonts w:hint="eastAsia" w:hAnsi="宋体" w:cs="宋体"/>
          <w:highlight w:val="none"/>
        </w:rPr>
        <w:t>采购代理机构</w:t>
      </w:r>
      <w:r>
        <w:rPr>
          <w:rFonts w:hint="eastAsia" w:hAnsi="宋体" w:cs="宋体"/>
          <w:szCs w:val="24"/>
          <w:highlight w:val="none"/>
        </w:rPr>
        <w:t>。联合体各方签订共同投标协议后，不得再以自己名义单独在同一项目中投标，也不得组成新的联合体参加同一项目投标。</w:t>
      </w:r>
    </w:p>
    <w:p w14:paraId="20A4BE35">
      <w:pPr>
        <w:pStyle w:val="9"/>
        <w:spacing w:line="500" w:lineRule="exact"/>
        <w:ind w:firstLine="480" w:firstLineChars="200"/>
        <w:rPr>
          <w:rFonts w:ascii="宋体" w:cs="宋体"/>
          <w:szCs w:val="24"/>
          <w:highlight w:val="none"/>
        </w:rPr>
      </w:pPr>
      <w:r>
        <w:rPr>
          <w:rFonts w:ascii="宋体" w:hAnsi="宋体" w:cs="宋体"/>
          <w:sz w:val="24"/>
          <w:szCs w:val="24"/>
          <w:highlight w:val="none"/>
        </w:rPr>
        <w:t>3.5.3</w:t>
      </w:r>
      <w:r>
        <w:rPr>
          <w:rFonts w:hint="eastAsia" w:ascii="宋体" w:hAnsi="宋体" w:cs="宋体"/>
          <w:sz w:val="24"/>
          <w:szCs w:val="24"/>
          <w:highlight w:val="none"/>
        </w:rPr>
        <w:t>联合体各方应当共同与采购人签订采购合同，就采购合同约定的事项对采购人承担连带责任。</w:t>
      </w:r>
    </w:p>
    <w:p w14:paraId="6B21B55E">
      <w:pPr>
        <w:spacing w:line="500" w:lineRule="exact"/>
        <w:ind w:firstLine="480" w:firstLineChars="200"/>
        <w:rPr>
          <w:rFonts w:hint="eastAsia" w:hAnsi="宋体" w:cs="宋体"/>
          <w:szCs w:val="24"/>
          <w:highlight w:val="none"/>
        </w:rPr>
      </w:pPr>
      <w:r>
        <w:rPr>
          <w:rFonts w:hAnsi="宋体" w:cs="宋体"/>
          <w:szCs w:val="24"/>
          <w:highlight w:val="none"/>
        </w:rPr>
        <w:t>3.6</w:t>
      </w:r>
      <w:r>
        <w:rPr>
          <w:rFonts w:hint="eastAsia" w:hAnsi="宋体" w:cs="宋体"/>
          <w:szCs w:val="24"/>
          <w:highlight w:val="none"/>
        </w:rPr>
        <w:t>投标费用自理。不论投标的结果如何，供应商均应自行承担所有与参加投标有关的费用。</w:t>
      </w:r>
    </w:p>
    <w:p w14:paraId="0737C73F">
      <w:pPr>
        <w:tabs>
          <w:tab w:val="left" w:pos="747"/>
        </w:tabs>
        <w:snapToGrid w:val="0"/>
        <w:spacing w:line="500" w:lineRule="exact"/>
        <w:rPr>
          <w:rFonts w:hint="eastAsia" w:hAnsi="宋体" w:cs="宋体"/>
          <w:b/>
          <w:bCs/>
          <w:highlight w:val="none"/>
        </w:rPr>
      </w:pPr>
      <w:r>
        <w:rPr>
          <w:rFonts w:hint="eastAsia" w:hAnsi="宋体" w:cs="宋体"/>
          <w:b/>
          <w:bCs/>
          <w:highlight w:val="none"/>
        </w:rPr>
        <w:t>4.合格的货物（产品）和服务</w:t>
      </w:r>
    </w:p>
    <w:p w14:paraId="01E3652D">
      <w:pPr>
        <w:tabs>
          <w:tab w:val="left" w:pos="747"/>
        </w:tabs>
        <w:snapToGrid w:val="0"/>
        <w:spacing w:line="500" w:lineRule="exact"/>
        <w:ind w:firstLine="480" w:firstLineChars="200"/>
        <w:rPr>
          <w:rFonts w:hint="eastAsia" w:hAnsi="宋体" w:cs="宋体"/>
          <w:highlight w:val="none"/>
        </w:rPr>
      </w:pPr>
      <w:r>
        <w:rPr>
          <w:rFonts w:hAnsi="宋体" w:cs="宋体"/>
          <w:highlight w:val="none"/>
        </w:rPr>
        <w:t>4.1</w:t>
      </w:r>
      <w:r>
        <w:rPr>
          <w:rFonts w:hint="eastAsia" w:hAnsi="宋体" w:cs="宋体"/>
          <w:highlight w:val="none"/>
        </w:rPr>
        <w:t>投标人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0BAD260D">
      <w:pPr>
        <w:tabs>
          <w:tab w:val="left" w:pos="747"/>
        </w:tabs>
        <w:snapToGrid w:val="0"/>
        <w:spacing w:line="500" w:lineRule="exact"/>
        <w:ind w:firstLine="480" w:firstLineChars="200"/>
        <w:rPr>
          <w:rFonts w:hint="eastAsia" w:hAnsi="宋体" w:cs="宋体"/>
          <w:szCs w:val="24"/>
          <w:highlight w:val="none"/>
        </w:rPr>
      </w:pPr>
      <w:r>
        <w:rPr>
          <w:rFonts w:hAnsi="宋体" w:cs="宋体"/>
          <w:highlight w:val="none"/>
        </w:rPr>
        <w:t>4.2</w:t>
      </w:r>
      <w:r>
        <w:rPr>
          <w:rFonts w:hint="eastAsia" w:hAnsi="宋体" w:cs="宋体"/>
          <w:highlight w:val="none"/>
        </w:rPr>
        <w:t>采购人有权拒绝接受任何不合格的产品和服务，由此产生的费用及相关后果均由供应商自行承担。</w:t>
      </w:r>
    </w:p>
    <w:p w14:paraId="0C9964C5">
      <w:pPr>
        <w:spacing w:line="500" w:lineRule="exact"/>
        <w:rPr>
          <w:rFonts w:hint="eastAsia" w:hAnsi="宋体" w:cs="宋体"/>
          <w:b/>
          <w:szCs w:val="24"/>
          <w:highlight w:val="none"/>
        </w:rPr>
      </w:pPr>
      <w:r>
        <w:rPr>
          <w:rFonts w:hint="eastAsia" w:hAnsi="宋体" w:cs="宋体"/>
          <w:b/>
          <w:szCs w:val="24"/>
          <w:highlight w:val="none"/>
        </w:rPr>
        <w:t>5.投标文件内容的真实性</w:t>
      </w:r>
    </w:p>
    <w:p w14:paraId="73BB8BD5">
      <w:pPr>
        <w:spacing w:line="500" w:lineRule="exact"/>
        <w:ind w:firstLine="480" w:firstLineChars="200"/>
        <w:rPr>
          <w:rFonts w:hint="eastAsia" w:hAnsi="宋体" w:cs="宋体"/>
          <w:szCs w:val="24"/>
          <w:highlight w:val="none"/>
        </w:rPr>
      </w:pPr>
      <w:r>
        <w:rPr>
          <w:rFonts w:hint="eastAsia" w:hAnsi="宋体" w:cs="宋体"/>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7CF056C0">
      <w:pPr>
        <w:spacing w:before="333" w:beforeLines="100"/>
        <w:jc w:val="center"/>
        <w:rPr>
          <w:rFonts w:hint="eastAsia" w:hAnsi="宋体" w:cs="宋体"/>
          <w:b/>
          <w:sz w:val="32"/>
          <w:szCs w:val="32"/>
          <w:highlight w:val="none"/>
        </w:rPr>
      </w:pPr>
      <w:bookmarkStart w:id="36" w:name="_Toc363473973"/>
      <w:bookmarkStart w:id="37" w:name="_Toc403077640"/>
      <w:bookmarkStart w:id="38" w:name="_Toc21955"/>
      <w:bookmarkStart w:id="39" w:name="_Toc363474018"/>
      <w:r>
        <w:rPr>
          <w:rFonts w:hint="eastAsia" w:hAnsi="宋体" w:cs="宋体"/>
          <w:b/>
          <w:sz w:val="32"/>
          <w:szCs w:val="32"/>
          <w:highlight w:val="none"/>
        </w:rPr>
        <w:t>二、招标文件</w:t>
      </w:r>
      <w:bookmarkEnd w:id="36"/>
      <w:bookmarkEnd w:id="37"/>
      <w:bookmarkEnd w:id="38"/>
      <w:bookmarkEnd w:id="39"/>
    </w:p>
    <w:p w14:paraId="2B3CFE1C">
      <w:pPr>
        <w:spacing w:line="500" w:lineRule="exact"/>
        <w:rPr>
          <w:rFonts w:hint="eastAsia" w:hAnsi="宋体" w:cs="宋体"/>
          <w:b/>
          <w:szCs w:val="24"/>
          <w:highlight w:val="none"/>
        </w:rPr>
      </w:pPr>
      <w:r>
        <w:rPr>
          <w:rFonts w:hint="eastAsia" w:hAnsi="宋体" w:cs="宋体"/>
          <w:b/>
          <w:szCs w:val="24"/>
          <w:highlight w:val="none"/>
        </w:rPr>
        <w:t>6.招标文件构成</w:t>
      </w:r>
    </w:p>
    <w:p w14:paraId="5DED4379">
      <w:pPr>
        <w:spacing w:line="500" w:lineRule="exact"/>
        <w:ind w:firstLine="480" w:firstLineChars="200"/>
        <w:rPr>
          <w:rFonts w:hint="eastAsia" w:hAnsi="宋体" w:cs="宋体"/>
          <w:szCs w:val="24"/>
          <w:highlight w:val="none"/>
        </w:rPr>
      </w:pPr>
      <w:r>
        <w:rPr>
          <w:rFonts w:hint="eastAsia" w:hAnsi="宋体" w:cs="宋体"/>
          <w:szCs w:val="24"/>
          <w:highlight w:val="none"/>
        </w:rPr>
        <w:t>6.1 招标文件要求提供的货物、服务，招标程序和合同条件在招标文件中均有说明。招标文件共六章，内容如下：</w:t>
      </w:r>
    </w:p>
    <w:p w14:paraId="724267D9">
      <w:pPr>
        <w:spacing w:line="500" w:lineRule="exact"/>
        <w:ind w:firstLine="480" w:firstLineChars="200"/>
        <w:rPr>
          <w:rFonts w:hint="eastAsia" w:hAnsi="宋体" w:cs="宋体"/>
          <w:szCs w:val="24"/>
          <w:highlight w:val="none"/>
        </w:rPr>
      </w:pPr>
      <w:r>
        <w:rPr>
          <w:rFonts w:hint="eastAsia" w:hAnsi="宋体" w:cs="宋体"/>
          <w:szCs w:val="24"/>
          <w:highlight w:val="none"/>
        </w:rPr>
        <w:t>第一章 招标公告</w:t>
      </w:r>
    </w:p>
    <w:p w14:paraId="7896E970">
      <w:pPr>
        <w:spacing w:line="500" w:lineRule="exact"/>
        <w:ind w:firstLine="480" w:firstLineChars="200"/>
        <w:rPr>
          <w:rFonts w:hint="eastAsia" w:hAnsi="宋体" w:cs="宋体"/>
          <w:szCs w:val="24"/>
          <w:highlight w:val="none"/>
        </w:rPr>
      </w:pPr>
      <w:r>
        <w:rPr>
          <w:rFonts w:hint="eastAsia" w:hAnsi="宋体" w:cs="宋体"/>
          <w:szCs w:val="24"/>
          <w:highlight w:val="none"/>
        </w:rPr>
        <w:t>第二章 投标人须知</w:t>
      </w:r>
    </w:p>
    <w:p w14:paraId="50866665">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投标人须知前附表</w:t>
      </w:r>
    </w:p>
    <w:p w14:paraId="4F132282">
      <w:pPr>
        <w:spacing w:line="500" w:lineRule="exact"/>
        <w:ind w:firstLine="480" w:firstLineChars="200"/>
        <w:rPr>
          <w:rFonts w:hint="eastAsia" w:hAnsi="宋体" w:cs="宋体"/>
          <w:szCs w:val="24"/>
          <w:highlight w:val="none"/>
        </w:rPr>
      </w:pPr>
      <w:r>
        <w:rPr>
          <w:rFonts w:hint="eastAsia" w:hAnsi="宋体" w:cs="宋体"/>
          <w:szCs w:val="24"/>
          <w:highlight w:val="none"/>
        </w:rPr>
        <w:t>第三章 合同条款及格式</w:t>
      </w:r>
    </w:p>
    <w:p w14:paraId="2C1FABB2">
      <w:pPr>
        <w:spacing w:line="500" w:lineRule="exact"/>
        <w:ind w:firstLine="840" w:firstLineChars="350"/>
        <w:rPr>
          <w:rFonts w:hint="eastAsia" w:hAnsi="宋体" w:cs="宋体"/>
          <w:szCs w:val="24"/>
          <w:highlight w:val="none"/>
        </w:rPr>
      </w:pPr>
      <w:r>
        <w:rPr>
          <w:rFonts w:hint="eastAsia" w:hAnsi="宋体" w:cs="宋体"/>
          <w:szCs w:val="24"/>
          <w:highlight w:val="none"/>
        </w:rPr>
        <w:t>合同条款及格式前附表</w:t>
      </w:r>
    </w:p>
    <w:p w14:paraId="560A96AB">
      <w:pPr>
        <w:spacing w:line="500" w:lineRule="exact"/>
        <w:ind w:firstLine="480" w:firstLineChars="200"/>
        <w:rPr>
          <w:rFonts w:hint="eastAsia" w:hAnsi="宋体" w:cs="宋体"/>
          <w:szCs w:val="24"/>
          <w:highlight w:val="none"/>
        </w:rPr>
      </w:pPr>
      <w:r>
        <w:rPr>
          <w:rFonts w:hint="eastAsia" w:hAnsi="宋体" w:cs="宋体"/>
          <w:szCs w:val="24"/>
          <w:highlight w:val="none"/>
        </w:rPr>
        <w:t>第四章 采购内容及技术要求</w:t>
      </w:r>
    </w:p>
    <w:p w14:paraId="6F42F124">
      <w:pPr>
        <w:spacing w:line="500" w:lineRule="exact"/>
        <w:ind w:firstLine="480" w:firstLineChars="200"/>
        <w:rPr>
          <w:rFonts w:hint="eastAsia" w:hAnsi="宋体" w:cs="宋体"/>
          <w:szCs w:val="24"/>
          <w:highlight w:val="none"/>
        </w:rPr>
      </w:pPr>
      <w:r>
        <w:rPr>
          <w:rFonts w:hint="eastAsia" w:hAnsi="宋体" w:cs="宋体"/>
          <w:szCs w:val="24"/>
          <w:highlight w:val="none"/>
        </w:rPr>
        <w:t>第五章 评标方法</w:t>
      </w:r>
    </w:p>
    <w:p w14:paraId="7629D5CE">
      <w:pPr>
        <w:spacing w:line="500" w:lineRule="exact"/>
        <w:ind w:firstLine="480" w:firstLineChars="200"/>
        <w:rPr>
          <w:rFonts w:hint="eastAsia" w:hAnsi="宋体" w:cs="宋体"/>
          <w:szCs w:val="24"/>
          <w:highlight w:val="none"/>
        </w:rPr>
      </w:pPr>
      <w:r>
        <w:rPr>
          <w:rFonts w:hint="eastAsia" w:hAnsi="宋体" w:cs="宋体"/>
          <w:szCs w:val="24"/>
          <w:highlight w:val="none"/>
        </w:rPr>
        <w:t>第六章 投标文件构成及格式</w:t>
      </w:r>
    </w:p>
    <w:p w14:paraId="3DFC370C">
      <w:pPr>
        <w:spacing w:line="500" w:lineRule="exact"/>
        <w:ind w:firstLine="480" w:firstLineChars="200"/>
        <w:rPr>
          <w:rFonts w:hint="eastAsia"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0FD8A0E7">
      <w:pPr>
        <w:spacing w:line="500" w:lineRule="exact"/>
        <w:ind w:firstLine="480" w:firstLineChars="200"/>
        <w:rPr>
          <w:rFonts w:hint="eastAsia" w:hAnsi="宋体" w:cs="宋体"/>
          <w:szCs w:val="24"/>
          <w:highlight w:val="none"/>
        </w:rPr>
      </w:pPr>
      <w:r>
        <w:rPr>
          <w:rFonts w:hint="eastAsia" w:hAnsi="宋体" w:cs="宋体"/>
          <w:szCs w:val="24"/>
          <w:highlight w:val="none"/>
        </w:rPr>
        <w:t>6.3本招标文件的解释权归陕西至诚项目管理集团有限公司，如发现招标文件内容与现行法律法规不相符的情况，以现行法律法规为准。</w:t>
      </w:r>
    </w:p>
    <w:p w14:paraId="04A173B8">
      <w:pPr>
        <w:spacing w:line="500" w:lineRule="exact"/>
        <w:rPr>
          <w:rFonts w:hint="eastAsia" w:hAnsi="宋体" w:cs="宋体"/>
          <w:b/>
          <w:szCs w:val="24"/>
          <w:highlight w:val="none"/>
        </w:rPr>
      </w:pPr>
      <w:r>
        <w:rPr>
          <w:rFonts w:hint="eastAsia" w:hAnsi="宋体" w:cs="宋体"/>
          <w:b/>
          <w:szCs w:val="24"/>
          <w:highlight w:val="none"/>
        </w:rPr>
        <w:t>7.招标文件的修改和澄清</w:t>
      </w:r>
    </w:p>
    <w:p w14:paraId="40E11D5B">
      <w:pPr>
        <w:tabs>
          <w:tab w:val="left" w:pos="720"/>
        </w:tabs>
        <w:spacing w:line="500" w:lineRule="exact"/>
        <w:ind w:firstLine="480" w:firstLineChars="200"/>
        <w:rPr>
          <w:rFonts w:hint="eastAsia"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172FF8CA">
      <w:pPr>
        <w:spacing w:line="500" w:lineRule="exact"/>
        <w:ind w:firstLine="480" w:firstLineChars="200"/>
        <w:rPr>
          <w:rFonts w:hint="eastAsia"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266810DC">
      <w:pPr>
        <w:pStyle w:val="8"/>
        <w:spacing w:line="500" w:lineRule="exact"/>
        <w:ind w:firstLine="480" w:firstLineChars="200"/>
        <w:rPr>
          <w:rFonts w:hint="eastAsia"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015B9999">
      <w:pPr>
        <w:spacing w:line="500" w:lineRule="exact"/>
        <w:ind w:firstLine="480" w:firstLineChars="200"/>
        <w:rPr>
          <w:rFonts w:hint="eastAsia" w:hAnsi="宋体" w:cs="宋体"/>
          <w:szCs w:val="24"/>
          <w:highlight w:val="none"/>
        </w:rPr>
      </w:pPr>
      <w:r>
        <w:rPr>
          <w:rFonts w:hint="eastAsia" w:hAnsi="宋体" w:cs="宋体"/>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3220359C">
      <w:pPr>
        <w:spacing w:line="500" w:lineRule="exact"/>
        <w:ind w:firstLine="480" w:firstLineChars="200"/>
        <w:rPr>
          <w:rFonts w:hint="eastAsia" w:hAnsi="宋体" w:cs="宋体"/>
          <w:highlight w:val="none"/>
        </w:rPr>
      </w:pPr>
      <w:r>
        <w:rPr>
          <w:rFonts w:hint="eastAsia" w:hAnsi="宋体" w:cs="宋体"/>
          <w:szCs w:val="24"/>
          <w:highlight w:val="none"/>
        </w:rPr>
        <w:t>7.5</w:t>
      </w:r>
      <w:r>
        <w:rPr>
          <w:rFonts w:hint="eastAsia" w:hAnsi="宋体" w:cs="宋体"/>
          <w:highlight w:val="none"/>
        </w:rPr>
        <w:t>供应商在收到上述通知后，应立即向采购代理机构回函确认。</w:t>
      </w:r>
    </w:p>
    <w:p w14:paraId="18B56FE7">
      <w:pPr>
        <w:spacing w:line="500" w:lineRule="exact"/>
        <w:rPr>
          <w:rFonts w:hint="eastAsia" w:hAnsi="宋体" w:cs="宋体"/>
          <w:highlight w:val="none"/>
        </w:rPr>
      </w:pPr>
    </w:p>
    <w:p w14:paraId="0392A1D0">
      <w:pPr>
        <w:spacing w:line="500" w:lineRule="exact"/>
        <w:jc w:val="center"/>
        <w:rPr>
          <w:rFonts w:hint="eastAsia" w:hAnsi="宋体" w:cs="宋体"/>
          <w:b/>
          <w:sz w:val="32"/>
          <w:szCs w:val="32"/>
          <w:highlight w:val="none"/>
        </w:rPr>
      </w:pPr>
      <w:bookmarkStart w:id="40" w:name="_Toc363473974"/>
      <w:bookmarkStart w:id="41" w:name="_Toc363474019"/>
      <w:bookmarkStart w:id="42" w:name="_Toc403077641"/>
      <w:r>
        <w:rPr>
          <w:rFonts w:hint="eastAsia" w:hAnsi="宋体" w:cs="宋体"/>
          <w:b/>
          <w:sz w:val="32"/>
          <w:szCs w:val="32"/>
          <w:highlight w:val="none"/>
        </w:rPr>
        <w:t>三.投标文件的编制</w:t>
      </w:r>
      <w:bookmarkEnd w:id="40"/>
      <w:bookmarkEnd w:id="41"/>
      <w:bookmarkEnd w:id="42"/>
    </w:p>
    <w:p w14:paraId="2B565CD4">
      <w:pPr>
        <w:spacing w:line="500" w:lineRule="exact"/>
        <w:rPr>
          <w:rFonts w:hint="eastAsia" w:hAnsi="宋体" w:cs="宋体"/>
          <w:b/>
          <w:szCs w:val="24"/>
          <w:highlight w:val="none"/>
        </w:rPr>
      </w:pPr>
      <w:r>
        <w:rPr>
          <w:rFonts w:hint="eastAsia" w:hAnsi="宋体" w:cs="宋体"/>
          <w:b/>
          <w:szCs w:val="24"/>
          <w:highlight w:val="none"/>
        </w:rPr>
        <w:t>8. 投标语言和投标货币</w:t>
      </w:r>
    </w:p>
    <w:p w14:paraId="2B33EBF3">
      <w:pPr>
        <w:spacing w:line="500" w:lineRule="exact"/>
        <w:ind w:firstLine="480" w:firstLineChars="200"/>
        <w:rPr>
          <w:rFonts w:hint="eastAsia" w:hAnsi="宋体" w:cs="宋体"/>
          <w:b/>
          <w:szCs w:val="24"/>
          <w:highlight w:val="none"/>
        </w:rPr>
      </w:pPr>
      <w:r>
        <w:rPr>
          <w:rFonts w:hint="eastAsia" w:hAnsi="宋体" w:cs="宋体"/>
          <w:szCs w:val="24"/>
          <w:highlight w:val="none"/>
        </w:rPr>
        <w:t>8.1供应商提交的投标文件以及供应商与采购代理机构就有关投标的所有来往函电均应使用中文。</w:t>
      </w:r>
    </w:p>
    <w:p w14:paraId="01EF8A95">
      <w:pPr>
        <w:spacing w:line="500" w:lineRule="exact"/>
        <w:ind w:firstLine="480" w:firstLineChars="200"/>
        <w:rPr>
          <w:rFonts w:hint="eastAsia" w:hAnsi="宋体" w:cs="宋体"/>
          <w:szCs w:val="24"/>
          <w:highlight w:val="none"/>
        </w:rPr>
      </w:pPr>
      <w:r>
        <w:rPr>
          <w:rFonts w:hint="eastAsia" w:hAnsi="宋体" w:cs="宋体"/>
          <w:szCs w:val="24"/>
          <w:highlight w:val="none"/>
        </w:rPr>
        <w:t>8.2投标应以人民币报价。任何包含非人民币报价的投标将按无效投标处理。</w:t>
      </w:r>
    </w:p>
    <w:p w14:paraId="5DA421EC">
      <w:pPr>
        <w:spacing w:line="500" w:lineRule="exact"/>
        <w:rPr>
          <w:rFonts w:hint="eastAsia" w:hAnsi="宋体" w:cs="宋体"/>
          <w:b/>
          <w:szCs w:val="24"/>
          <w:highlight w:val="none"/>
        </w:rPr>
      </w:pPr>
      <w:r>
        <w:rPr>
          <w:rFonts w:hint="eastAsia" w:hAnsi="宋体" w:cs="宋体"/>
          <w:b/>
          <w:szCs w:val="24"/>
          <w:highlight w:val="none"/>
        </w:rPr>
        <w:t>9.投标文件的构成</w:t>
      </w:r>
    </w:p>
    <w:p w14:paraId="7CB64E3C">
      <w:pPr>
        <w:spacing w:line="500" w:lineRule="exact"/>
        <w:ind w:firstLine="480" w:firstLineChars="200"/>
        <w:rPr>
          <w:rFonts w:hint="eastAsia" w:hAnsi="宋体" w:cs="宋体"/>
          <w:szCs w:val="24"/>
          <w:highlight w:val="none"/>
        </w:rPr>
      </w:pPr>
      <w:r>
        <w:rPr>
          <w:rFonts w:hint="eastAsia" w:hAnsi="宋体" w:cs="宋体"/>
          <w:szCs w:val="24"/>
          <w:highlight w:val="none"/>
        </w:rPr>
        <w:t>9.1 供应商提交的投标文件应包括下列部分的内容：</w:t>
      </w:r>
    </w:p>
    <w:p w14:paraId="78E457BE">
      <w:pPr>
        <w:spacing w:line="500" w:lineRule="exact"/>
        <w:ind w:firstLine="480" w:firstLineChars="200"/>
        <w:rPr>
          <w:rFonts w:hint="eastAsia" w:hAnsi="宋体" w:cs="宋体"/>
          <w:szCs w:val="24"/>
          <w:highlight w:val="none"/>
        </w:rPr>
      </w:pPr>
      <w:r>
        <w:rPr>
          <w:rFonts w:hint="eastAsia" w:hAnsi="宋体" w:cs="宋体"/>
          <w:szCs w:val="24"/>
          <w:highlight w:val="none"/>
        </w:rPr>
        <w:t>（1）按照供应商须知的要求和招标文件规定的格式填写的投标函、投标报价表、法定代表人或负责人授权书；</w:t>
      </w:r>
    </w:p>
    <w:p w14:paraId="6B070F47">
      <w:pPr>
        <w:spacing w:line="500" w:lineRule="exact"/>
        <w:ind w:firstLine="480" w:firstLineChars="200"/>
        <w:rPr>
          <w:rFonts w:hint="eastAsia" w:hAnsi="宋体" w:cs="宋体"/>
          <w:szCs w:val="24"/>
          <w:highlight w:val="none"/>
        </w:rPr>
      </w:pPr>
      <w:r>
        <w:rPr>
          <w:rFonts w:hint="eastAsia" w:hAnsi="宋体" w:cs="宋体"/>
          <w:szCs w:val="24"/>
          <w:highlight w:val="none"/>
        </w:rPr>
        <w:t>（2）按照招标文件的要求编制的投标方案说明书，内容至少应包括对本项目的所有服务内容的理解与认知，针对本项目具有详细的进度计划及服务方案，技术服务响应表，技术服务质量保证方案，技术服务成果说明以及相关的人员配备等；</w:t>
      </w:r>
    </w:p>
    <w:p w14:paraId="08E20F5B">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（3）按照招标文件供应商须知前附表的要求提交的资格证明文件；  </w:t>
      </w:r>
    </w:p>
    <w:p w14:paraId="6373D393">
      <w:pPr>
        <w:spacing w:line="500" w:lineRule="exact"/>
        <w:ind w:firstLine="480" w:firstLineChars="200"/>
        <w:rPr>
          <w:rFonts w:hint="eastAsia" w:hAnsi="宋体" w:cs="宋体"/>
          <w:szCs w:val="24"/>
          <w:highlight w:val="none"/>
        </w:rPr>
      </w:pPr>
      <w:r>
        <w:rPr>
          <w:rFonts w:hint="eastAsia" w:hAnsi="宋体" w:cs="宋体"/>
          <w:szCs w:val="24"/>
          <w:highlight w:val="none"/>
        </w:rPr>
        <w:t>（4）按照本须知第14条要求提交的投标保证金；</w:t>
      </w:r>
    </w:p>
    <w:p w14:paraId="6D888D1C">
      <w:pPr>
        <w:spacing w:line="500" w:lineRule="exact"/>
        <w:ind w:firstLine="480" w:firstLineChars="200"/>
        <w:rPr>
          <w:rFonts w:hint="eastAsia" w:hAnsi="宋体" w:cs="宋体"/>
          <w:szCs w:val="24"/>
          <w:highlight w:val="none"/>
        </w:rPr>
      </w:pPr>
      <w:r>
        <w:rPr>
          <w:rFonts w:hint="eastAsia" w:hAnsi="宋体" w:cs="宋体"/>
          <w:szCs w:val="24"/>
          <w:highlight w:val="none"/>
        </w:rPr>
        <w:t>（5）招标文件中要求的其他证明文件。</w:t>
      </w:r>
    </w:p>
    <w:p w14:paraId="2A9A5BCA">
      <w:pPr>
        <w:spacing w:line="500" w:lineRule="exact"/>
        <w:ind w:firstLine="480" w:firstLineChars="200"/>
        <w:rPr>
          <w:rFonts w:hint="eastAsia" w:hAnsi="宋体" w:cs="宋体"/>
          <w:szCs w:val="24"/>
          <w:highlight w:val="none"/>
        </w:rPr>
      </w:pPr>
      <w:r>
        <w:rPr>
          <w:rFonts w:hint="eastAsia" w:hAnsi="宋体" w:cs="宋体"/>
          <w:szCs w:val="24"/>
          <w:highlight w:val="none"/>
        </w:rPr>
        <w:t>9.2 本项目各包不允许提供备选方案，每个供应商只允许提交一个投标方案，否则，其投标将按照无效投标处理。</w:t>
      </w:r>
    </w:p>
    <w:p w14:paraId="7EC02E85">
      <w:pPr>
        <w:spacing w:line="500" w:lineRule="exact"/>
        <w:ind w:firstLine="480" w:firstLineChars="200"/>
        <w:rPr>
          <w:rFonts w:hint="eastAsia" w:hAnsi="宋体" w:cs="宋体"/>
          <w:szCs w:val="24"/>
          <w:highlight w:val="none"/>
        </w:rPr>
      </w:pPr>
      <w:r>
        <w:rPr>
          <w:rFonts w:hint="eastAsia" w:hAnsi="宋体" w:cs="宋体"/>
          <w:szCs w:val="24"/>
          <w:highlight w:val="none"/>
        </w:rPr>
        <w:t>9.3 供应商可根据自身的资质情况和经营范围进行投标，但不得将其子目自行分解或针对该项目中的品目进行不完全投标，任何不完全的投标将按无效投标处理。</w:t>
      </w:r>
    </w:p>
    <w:p w14:paraId="2DC591DD">
      <w:pPr>
        <w:spacing w:line="500" w:lineRule="exact"/>
        <w:rPr>
          <w:rFonts w:hint="eastAsia" w:hAnsi="宋体" w:cs="宋体"/>
          <w:b/>
          <w:szCs w:val="24"/>
          <w:highlight w:val="none"/>
        </w:rPr>
      </w:pPr>
      <w:r>
        <w:rPr>
          <w:rFonts w:hint="eastAsia" w:hAnsi="宋体" w:cs="宋体"/>
          <w:b/>
          <w:szCs w:val="24"/>
          <w:highlight w:val="none"/>
        </w:rPr>
        <w:t>10.投标文件格式</w:t>
      </w:r>
    </w:p>
    <w:p w14:paraId="0F799458">
      <w:pPr>
        <w:spacing w:line="500" w:lineRule="exact"/>
        <w:ind w:firstLine="480" w:firstLineChars="200"/>
        <w:rPr>
          <w:rFonts w:hint="eastAsia" w:hAnsi="宋体" w:cs="宋体"/>
          <w:szCs w:val="24"/>
          <w:highlight w:val="none"/>
        </w:rPr>
      </w:pPr>
      <w:r>
        <w:rPr>
          <w:rFonts w:hint="eastAsia" w:hAnsi="宋体" w:cs="宋体"/>
          <w:szCs w:val="24"/>
          <w:highlight w:val="none"/>
        </w:rPr>
        <w:t>10.1 供应商应按照招标文件中第六章所提供的格式和要求制作投标文件，明确表达投标意愿，详细说明投标方案、承诺及价格。</w:t>
      </w:r>
    </w:p>
    <w:p w14:paraId="463CAB44">
      <w:pPr>
        <w:spacing w:line="500" w:lineRule="exact"/>
        <w:ind w:firstLine="480" w:firstLineChars="200"/>
        <w:rPr>
          <w:rFonts w:hint="eastAsia" w:hAnsi="宋体" w:cs="宋体"/>
          <w:szCs w:val="24"/>
          <w:highlight w:val="none"/>
        </w:rPr>
      </w:pPr>
      <w:r>
        <w:rPr>
          <w:rFonts w:hint="eastAsia" w:hAnsi="宋体" w:cs="宋体"/>
          <w:szCs w:val="24"/>
          <w:highlight w:val="none"/>
        </w:rPr>
        <w:t>10.2按招标文件第9条的内容及要求和第六章提供的格式和要求编写其投标文件，供应商不得缺少或留空任何招标文件要求填写的表格或提交的资料。</w:t>
      </w:r>
    </w:p>
    <w:p w14:paraId="20832B7E">
      <w:pPr>
        <w:spacing w:line="500" w:lineRule="exact"/>
        <w:rPr>
          <w:rFonts w:hint="eastAsia" w:hAnsi="宋体" w:cs="宋体"/>
          <w:b/>
          <w:szCs w:val="24"/>
          <w:highlight w:val="none"/>
        </w:rPr>
      </w:pPr>
      <w:r>
        <w:rPr>
          <w:rFonts w:hint="eastAsia" w:hAnsi="宋体" w:cs="宋体"/>
          <w:b/>
          <w:szCs w:val="24"/>
          <w:highlight w:val="none"/>
        </w:rPr>
        <w:t>11.投标报价</w:t>
      </w:r>
    </w:p>
    <w:p w14:paraId="632847CE">
      <w:pPr>
        <w:spacing w:line="500" w:lineRule="exact"/>
        <w:ind w:firstLine="480" w:firstLineChars="200"/>
        <w:rPr>
          <w:rFonts w:hint="eastAsia" w:hAnsi="宋体" w:cs="宋体"/>
          <w:szCs w:val="24"/>
          <w:highlight w:val="none"/>
        </w:rPr>
      </w:pPr>
      <w:r>
        <w:rPr>
          <w:rFonts w:hint="eastAsia" w:hAnsi="宋体" w:cs="宋体"/>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14:paraId="1B578B2C">
      <w:pPr>
        <w:spacing w:line="500" w:lineRule="exact"/>
        <w:ind w:firstLine="480" w:firstLineChars="200"/>
        <w:rPr>
          <w:rFonts w:hint="eastAsia" w:hAnsi="宋体" w:cs="宋体"/>
          <w:szCs w:val="24"/>
          <w:highlight w:val="none"/>
        </w:rPr>
      </w:pPr>
      <w:r>
        <w:rPr>
          <w:rFonts w:hint="eastAsia" w:hAnsi="宋体" w:cs="宋体"/>
          <w:szCs w:val="24"/>
          <w:highlight w:val="none"/>
        </w:rPr>
        <w:t>11.2投标报价表中标明的价格应为履行合同的固定价格。</w:t>
      </w:r>
    </w:p>
    <w:p w14:paraId="0882C897">
      <w:pPr>
        <w:spacing w:line="500" w:lineRule="exact"/>
        <w:ind w:right="617" w:rightChars="257" w:firstLine="480" w:firstLineChars="200"/>
        <w:rPr>
          <w:rFonts w:hint="eastAsia" w:hAnsi="宋体" w:cs="宋体"/>
          <w:szCs w:val="24"/>
          <w:highlight w:val="none"/>
        </w:rPr>
      </w:pPr>
      <w:r>
        <w:rPr>
          <w:rFonts w:hint="eastAsia" w:hAnsi="宋体" w:cs="宋体"/>
          <w:szCs w:val="24"/>
          <w:highlight w:val="none"/>
        </w:rPr>
        <w:t>11.3投标报价：总价（精确到小数点后二位）。</w:t>
      </w:r>
    </w:p>
    <w:p w14:paraId="1C5605C6">
      <w:pPr>
        <w:spacing w:line="500" w:lineRule="exact"/>
        <w:rPr>
          <w:rFonts w:hint="eastAsia" w:hAnsi="宋体" w:cs="宋体"/>
          <w:b/>
          <w:szCs w:val="24"/>
          <w:highlight w:val="none"/>
        </w:rPr>
      </w:pPr>
      <w:r>
        <w:rPr>
          <w:rFonts w:hint="eastAsia" w:hAnsi="宋体" w:cs="宋体"/>
          <w:b/>
          <w:szCs w:val="24"/>
          <w:highlight w:val="none"/>
        </w:rPr>
        <w:t>12.证明供应商合格和资格的文件</w:t>
      </w:r>
    </w:p>
    <w:p w14:paraId="2B284A42">
      <w:pPr>
        <w:spacing w:line="500" w:lineRule="exact"/>
        <w:ind w:firstLine="480" w:firstLineChars="200"/>
        <w:rPr>
          <w:rFonts w:hint="eastAsia" w:hAnsi="宋体" w:cs="宋体"/>
          <w:szCs w:val="24"/>
          <w:highlight w:val="none"/>
        </w:rPr>
      </w:pPr>
      <w:r>
        <w:rPr>
          <w:rFonts w:hint="eastAsia" w:hAnsi="宋体" w:cs="宋体"/>
          <w:szCs w:val="24"/>
          <w:highlight w:val="none"/>
        </w:rPr>
        <w:t>12.1供应商应按照招标文件“投标人须知前附表”的要求，在投标文件中提交合格的资格证明文件。如果资格证明文件不齐全或不合格的，其投标将按无效投标处理。</w:t>
      </w:r>
    </w:p>
    <w:p w14:paraId="43B58AD6">
      <w:pPr>
        <w:spacing w:line="500" w:lineRule="exact"/>
        <w:rPr>
          <w:rFonts w:hint="eastAsia" w:hAnsi="宋体" w:cs="宋体"/>
          <w:highlight w:val="none"/>
        </w:rPr>
      </w:pPr>
      <w:r>
        <w:rPr>
          <w:rFonts w:hint="eastAsia" w:hAnsi="宋体" w:cs="宋体"/>
          <w:b/>
          <w:szCs w:val="24"/>
          <w:highlight w:val="none"/>
        </w:rPr>
        <w:t>13.证明所提供的服务符合招标文件规定的文件</w:t>
      </w:r>
    </w:p>
    <w:p w14:paraId="269C0AD0">
      <w:pPr>
        <w:spacing w:line="500" w:lineRule="exact"/>
        <w:ind w:firstLine="480" w:firstLineChars="200"/>
        <w:rPr>
          <w:rFonts w:hint="eastAsia"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.1</w:t>
      </w:r>
      <w:r>
        <w:rPr>
          <w:rFonts w:hint="eastAsia" w:hAnsi="宋体" w:cs="宋体"/>
          <w:szCs w:val="24"/>
          <w:highlight w:val="none"/>
        </w:rPr>
        <w:t>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4B578396">
      <w:pPr>
        <w:spacing w:line="500" w:lineRule="exact"/>
        <w:ind w:firstLine="480" w:firstLineChars="200"/>
        <w:rPr>
          <w:rFonts w:hint="eastAsia" w:hAnsi="宋体" w:cs="宋体"/>
          <w:szCs w:val="24"/>
          <w:highlight w:val="none"/>
        </w:rPr>
      </w:pPr>
      <w:r>
        <w:rPr>
          <w:rFonts w:hAnsi="宋体" w:cs="宋体"/>
          <w:szCs w:val="24"/>
          <w:highlight w:val="none"/>
        </w:rPr>
        <w:t>1</w:t>
      </w:r>
      <w:r>
        <w:rPr>
          <w:rFonts w:hint="eastAsia" w:hAnsi="宋体" w:cs="宋体"/>
          <w:szCs w:val="24"/>
          <w:highlight w:val="none"/>
        </w:rPr>
        <w:t>3</w:t>
      </w:r>
      <w:r>
        <w:rPr>
          <w:rFonts w:hAnsi="宋体" w:cs="宋体"/>
          <w:szCs w:val="24"/>
          <w:highlight w:val="none"/>
        </w:rPr>
        <w:t>.2</w:t>
      </w:r>
      <w:r>
        <w:rPr>
          <w:rFonts w:hint="eastAsia" w:hAnsi="宋体" w:cs="宋体"/>
          <w:szCs w:val="24"/>
          <w:highlight w:val="none"/>
        </w:rPr>
        <w:t>上述证明文件可以是文字资料、图纸、图片、数据、宣传彩页等，所有证明文件表达意思必须统一（如需供应商提供样品，样品必须与投标文件的表述完全符合）。包括：</w:t>
      </w:r>
    </w:p>
    <w:p w14:paraId="775FE9E8">
      <w:pPr>
        <w:spacing w:line="500" w:lineRule="exact"/>
        <w:ind w:firstLine="480" w:firstLineChars="200"/>
        <w:rPr>
          <w:rFonts w:hint="eastAsia" w:hAnsi="宋体" w:cs="宋体"/>
          <w:szCs w:val="24"/>
          <w:highlight w:val="none"/>
        </w:rPr>
      </w:pPr>
      <w:r>
        <w:rPr>
          <w:rFonts w:hint="eastAsia" w:hAnsi="宋体" w:cs="宋体"/>
          <w:szCs w:val="24"/>
          <w:highlight w:val="none"/>
        </w:rPr>
        <w:t>（</w:t>
      </w:r>
      <w:r>
        <w:rPr>
          <w:rFonts w:hAnsi="宋体" w:cs="宋体"/>
          <w:szCs w:val="24"/>
          <w:highlight w:val="none"/>
        </w:rPr>
        <w:t>1)</w:t>
      </w:r>
      <w:r>
        <w:rPr>
          <w:rFonts w:hint="eastAsia" w:hAnsi="宋体" w:cs="宋体"/>
          <w:szCs w:val="24"/>
          <w:highlight w:val="none"/>
        </w:rPr>
        <w:t>产品主要技术指标和性能的详细说明；</w:t>
      </w:r>
    </w:p>
    <w:p w14:paraId="359D5002">
      <w:pPr>
        <w:spacing w:line="500" w:lineRule="exact"/>
        <w:ind w:firstLine="480" w:firstLineChars="200"/>
        <w:rPr>
          <w:rFonts w:hint="eastAsia" w:hAnsi="宋体" w:cs="宋体"/>
          <w:szCs w:val="24"/>
          <w:highlight w:val="none"/>
        </w:rPr>
      </w:pPr>
      <w:r>
        <w:rPr>
          <w:rFonts w:hint="eastAsia" w:hAnsi="宋体" w:cs="宋体"/>
          <w:szCs w:val="24"/>
          <w:highlight w:val="none"/>
        </w:rPr>
        <w:t>（</w:t>
      </w:r>
      <w:r>
        <w:rPr>
          <w:rFonts w:hAnsi="宋体" w:cs="宋体"/>
          <w:szCs w:val="24"/>
          <w:highlight w:val="none"/>
        </w:rPr>
        <w:t>2</w:t>
      </w:r>
      <w:r>
        <w:rPr>
          <w:rFonts w:hint="eastAsia" w:hAnsi="宋体" w:cs="宋体"/>
          <w:szCs w:val="24"/>
          <w:highlight w:val="none"/>
        </w:rPr>
        <w:t>）生产厂家出具的、相应的产品功能证明材料（包括但不限于测试报告、官网和功能截图等）；</w:t>
      </w:r>
    </w:p>
    <w:p w14:paraId="6F1337C3">
      <w:pPr>
        <w:spacing w:line="500" w:lineRule="exact"/>
        <w:ind w:firstLine="480" w:firstLineChars="200"/>
        <w:rPr>
          <w:rFonts w:hint="eastAsia" w:hAnsi="宋体" w:cs="宋体"/>
          <w:szCs w:val="24"/>
          <w:highlight w:val="none"/>
        </w:rPr>
      </w:pPr>
      <w:r>
        <w:rPr>
          <w:rFonts w:hint="eastAsia" w:hAnsi="宋体" w:cs="宋体"/>
          <w:szCs w:val="24"/>
          <w:highlight w:val="none"/>
        </w:rPr>
        <w:t>（</w:t>
      </w:r>
      <w:r>
        <w:rPr>
          <w:rFonts w:hAnsi="宋体" w:cs="宋体"/>
          <w:szCs w:val="24"/>
          <w:highlight w:val="none"/>
        </w:rPr>
        <w:t>3)</w:t>
      </w:r>
      <w:r>
        <w:rPr>
          <w:rFonts w:hint="eastAsia" w:hAnsi="宋体" w:cs="宋体"/>
          <w:szCs w:val="24"/>
          <w:highlight w:val="none"/>
        </w:rPr>
        <w:t>逐条对招标文件提出的技术要求和商务要求进行应答，说明所提供的产品和服务对招标的技术和商务要求是否做出了实质性响应并提供支持文件；</w:t>
      </w:r>
    </w:p>
    <w:p w14:paraId="4F4F2847">
      <w:pPr>
        <w:spacing w:line="500" w:lineRule="exact"/>
        <w:ind w:firstLine="480" w:firstLineChars="200"/>
        <w:rPr>
          <w:rFonts w:hint="eastAsia" w:hAnsi="宋体" w:cs="宋体"/>
          <w:szCs w:val="24"/>
          <w:highlight w:val="none"/>
        </w:rPr>
      </w:pPr>
      <w:r>
        <w:rPr>
          <w:rFonts w:hint="eastAsia" w:hAnsi="宋体" w:cs="宋体"/>
          <w:szCs w:val="24"/>
          <w:highlight w:val="none"/>
        </w:rPr>
        <w:t>（</w:t>
      </w:r>
      <w:r>
        <w:rPr>
          <w:rFonts w:hAnsi="宋体" w:cs="宋体"/>
          <w:szCs w:val="24"/>
          <w:highlight w:val="none"/>
        </w:rPr>
        <w:t>4</w:t>
      </w:r>
      <w:r>
        <w:rPr>
          <w:rFonts w:hint="eastAsia" w:hAnsi="宋体" w:cs="宋体"/>
          <w:szCs w:val="24"/>
          <w:highlight w:val="none"/>
        </w:rPr>
        <w:t>）供货范围和服务内容的详细说明。</w:t>
      </w:r>
    </w:p>
    <w:p w14:paraId="2AC91020">
      <w:pPr>
        <w:spacing w:line="360" w:lineRule="auto"/>
        <w:ind w:firstLine="482" w:firstLineChars="200"/>
        <w:rPr>
          <w:rFonts w:hint="eastAsia" w:hAnsi="宋体" w:cs="宋体"/>
          <w:szCs w:val="24"/>
          <w:highlight w:val="none"/>
        </w:rPr>
      </w:pPr>
      <w:r>
        <w:rPr>
          <w:rFonts w:hint="eastAsia" w:hAnsi="宋体" w:cs="宋体"/>
          <w:b/>
          <w:szCs w:val="24"/>
          <w:highlight w:val="none"/>
        </w:rPr>
        <w:t>14.投标保证金</w:t>
      </w:r>
      <w:r>
        <w:rPr>
          <w:rFonts w:hint="eastAsia" w:hAnsi="宋体" w:cs="宋体"/>
          <w:szCs w:val="24"/>
          <w:highlight w:val="none"/>
        </w:rPr>
        <w:t>：</w:t>
      </w:r>
    </w:p>
    <w:p w14:paraId="7E7C576A">
      <w:pPr>
        <w:spacing w:line="360" w:lineRule="auto"/>
        <w:ind w:firstLine="480" w:firstLineChars="200"/>
        <w:rPr>
          <w:rFonts w:hint="eastAsia" w:hAnsi="宋体" w:cs="宋体"/>
          <w:szCs w:val="24"/>
          <w:highlight w:val="none"/>
        </w:rPr>
      </w:pPr>
      <w:r>
        <w:rPr>
          <w:rFonts w:hint="eastAsia" w:hAnsi="宋体" w:cs="宋体"/>
          <w:szCs w:val="24"/>
          <w:highlight w:val="none"/>
        </w:rPr>
        <w:t>14.1投标人在投标时应向陕西至诚项目管理集团有限公司提交“投标人须知前附表”规定数额的投标保证金,并作为其投标的一部分。</w:t>
      </w:r>
    </w:p>
    <w:p w14:paraId="03327BC4">
      <w:pPr>
        <w:spacing w:line="360" w:lineRule="auto"/>
        <w:ind w:firstLine="480" w:firstLineChars="200"/>
        <w:rPr>
          <w:rFonts w:hint="eastAsia" w:hAnsi="宋体" w:cs="宋体"/>
          <w:szCs w:val="24"/>
          <w:highlight w:val="none"/>
        </w:rPr>
      </w:pPr>
      <w:r>
        <w:rPr>
          <w:rFonts w:hint="eastAsia" w:hAnsi="宋体" w:cs="宋体"/>
          <w:szCs w:val="24"/>
          <w:highlight w:val="none"/>
        </w:rPr>
        <w:t>14.2投标保证金是为了保护招标人和招标代理机构免遭因投标人的行为而蒙受损失。招标人和招标代理机构在因投标人的行为受到损害时可根据本须知的规定第3.4.7条没收投标人的投标保证金。</w:t>
      </w:r>
    </w:p>
    <w:p w14:paraId="42C2C43A">
      <w:pPr>
        <w:spacing w:line="360" w:lineRule="auto"/>
        <w:ind w:firstLine="480" w:firstLineChars="200"/>
        <w:rPr>
          <w:rFonts w:hint="eastAsia" w:hAnsi="宋体" w:cs="宋体"/>
          <w:szCs w:val="24"/>
          <w:highlight w:val="none"/>
        </w:rPr>
      </w:pPr>
      <w:r>
        <w:rPr>
          <w:rFonts w:hint="eastAsia" w:hAnsi="宋体" w:cs="宋体"/>
          <w:szCs w:val="24"/>
          <w:highlight w:val="none"/>
        </w:rPr>
        <w:t>14.3投标保证金的缴纳形式：转账、电汇、担保机构保函</w:t>
      </w:r>
    </w:p>
    <w:p w14:paraId="44EEBD7D">
      <w:pPr>
        <w:spacing w:line="360" w:lineRule="auto"/>
        <w:ind w:firstLine="480" w:firstLineChars="200"/>
        <w:rPr>
          <w:rFonts w:hint="eastAsia" w:hAnsi="宋体" w:cs="宋体"/>
          <w:szCs w:val="24"/>
          <w:highlight w:val="none"/>
        </w:rPr>
      </w:pPr>
      <w:r>
        <w:rPr>
          <w:rFonts w:hint="eastAsia" w:hAnsi="宋体" w:cs="宋体"/>
          <w:szCs w:val="24"/>
          <w:highlight w:val="none"/>
        </w:rPr>
        <w:t>14.4投标保证金必须按照招标文件“投标人须知前附表”中规定的缴纳金额及方式办理。</w:t>
      </w:r>
    </w:p>
    <w:p w14:paraId="15E83BC8">
      <w:pPr>
        <w:spacing w:line="360" w:lineRule="auto"/>
        <w:ind w:firstLine="480" w:firstLineChars="200"/>
        <w:rPr>
          <w:rFonts w:hint="eastAsia" w:hAnsi="宋体" w:cs="宋体"/>
          <w:szCs w:val="24"/>
          <w:highlight w:val="none"/>
        </w:rPr>
      </w:pPr>
      <w:r>
        <w:rPr>
          <w:rFonts w:hint="eastAsia" w:hAnsi="宋体" w:cs="宋体"/>
          <w:szCs w:val="24"/>
          <w:highlight w:val="none"/>
        </w:rPr>
        <w:t>14.5开标后经审查，未提交投标保证金、未按时间提交投标保证金、投标保证金金额不足或投标保证金缴纳凭证未附在投标文件内的投标将按无效投标处理。</w:t>
      </w:r>
    </w:p>
    <w:p w14:paraId="094A1331">
      <w:pPr>
        <w:spacing w:line="360" w:lineRule="auto"/>
        <w:ind w:firstLine="480" w:firstLineChars="200"/>
        <w:rPr>
          <w:rFonts w:hint="eastAsia" w:hAnsi="宋体" w:cs="宋体"/>
          <w:szCs w:val="24"/>
          <w:highlight w:val="none"/>
        </w:rPr>
      </w:pPr>
      <w:r>
        <w:rPr>
          <w:rFonts w:hint="eastAsia" w:hAnsi="宋体" w:cs="宋体"/>
          <w:szCs w:val="24"/>
          <w:highlight w:val="none"/>
        </w:rPr>
        <w:t>14.6未中标人的投标保证金，将在中标通知书发出后五个工作日内退还；中标人的投标保证金，在合同签订后五个工作日内退还</w:t>
      </w:r>
      <w:r>
        <w:rPr>
          <w:rFonts w:hint="eastAsia" w:hAnsi="宋体" w:cs="宋体"/>
          <w:b/>
          <w:bCs/>
          <w:szCs w:val="24"/>
          <w:highlight w:val="none"/>
        </w:rPr>
        <w:t>（退还时，须向采购代理机构提供采购合同扫描件壹份）</w:t>
      </w:r>
      <w:r>
        <w:rPr>
          <w:rFonts w:hint="eastAsia" w:hAnsi="宋体" w:cs="宋体"/>
          <w:szCs w:val="24"/>
          <w:highlight w:val="none"/>
        </w:rPr>
        <w:t>。</w:t>
      </w:r>
    </w:p>
    <w:p w14:paraId="79CF06BB">
      <w:pPr>
        <w:spacing w:line="360" w:lineRule="auto"/>
        <w:ind w:firstLine="480" w:firstLineChars="200"/>
        <w:rPr>
          <w:rFonts w:hint="eastAsia" w:hAnsi="宋体" w:cs="宋体"/>
          <w:szCs w:val="24"/>
          <w:highlight w:val="none"/>
        </w:rPr>
      </w:pPr>
      <w:r>
        <w:rPr>
          <w:rFonts w:hint="eastAsia" w:hAnsi="宋体" w:cs="宋体"/>
          <w:szCs w:val="24"/>
          <w:highlight w:val="none"/>
        </w:rPr>
        <w:t>14.7投标人以担保机构保函形式缴纳投标保证金的，招标结束之后将担保机构保函原件退回（退换时间参照3.4.6条款）；</w:t>
      </w:r>
    </w:p>
    <w:p w14:paraId="16421C29">
      <w:pPr>
        <w:spacing w:line="360" w:lineRule="auto"/>
        <w:ind w:firstLine="480" w:firstLineChars="200"/>
        <w:rPr>
          <w:rFonts w:hint="eastAsia" w:hAnsi="宋体" w:cs="宋体"/>
          <w:szCs w:val="24"/>
          <w:highlight w:val="none"/>
        </w:rPr>
      </w:pPr>
      <w:r>
        <w:rPr>
          <w:rFonts w:hint="eastAsia" w:hAnsi="宋体" w:cs="宋体"/>
          <w:szCs w:val="24"/>
          <w:highlight w:val="none"/>
        </w:rPr>
        <w:t>14.8下列任何情况发生时，视为投标人违约，其投标保证金将被没收：</w:t>
      </w:r>
    </w:p>
    <w:p w14:paraId="013F1DDA">
      <w:pPr>
        <w:spacing w:line="360" w:lineRule="auto"/>
        <w:ind w:firstLine="480" w:firstLineChars="200"/>
        <w:rPr>
          <w:rFonts w:hint="eastAsia" w:hAnsi="宋体" w:cs="宋体"/>
          <w:szCs w:val="24"/>
          <w:highlight w:val="none"/>
        </w:rPr>
      </w:pPr>
      <w:r>
        <w:rPr>
          <w:rFonts w:hint="eastAsia" w:hAnsi="宋体" w:cs="宋体"/>
          <w:szCs w:val="24"/>
          <w:highlight w:val="none"/>
        </w:rPr>
        <w:t>1) 投标人在投标有效期内撤回其投标；</w:t>
      </w:r>
    </w:p>
    <w:p w14:paraId="6D68D636">
      <w:pPr>
        <w:spacing w:line="360" w:lineRule="auto"/>
        <w:ind w:firstLine="480" w:firstLineChars="200"/>
        <w:rPr>
          <w:rFonts w:hint="eastAsia" w:hAnsi="宋体" w:cs="宋体"/>
          <w:szCs w:val="24"/>
          <w:highlight w:val="none"/>
        </w:rPr>
      </w:pPr>
      <w:r>
        <w:rPr>
          <w:rFonts w:hint="eastAsia" w:hAnsi="宋体" w:cs="宋体"/>
          <w:szCs w:val="24"/>
          <w:highlight w:val="none"/>
        </w:rPr>
        <w:t>2) 投标人中标后放弃成交、未能按规定签订合同</w:t>
      </w:r>
      <w:bookmarkStart w:id="43" w:name="OLE_LINK3"/>
      <w:r>
        <w:rPr>
          <w:rFonts w:hint="eastAsia" w:hAnsi="宋体" w:cs="宋体"/>
          <w:szCs w:val="24"/>
          <w:highlight w:val="none"/>
        </w:rPr>
        <w:t>、</w:t>
      </w:r>
      <w:bookmarkEnd w:id="43"/>
      <w:r>
        <w:rPr>
          <w:rFonts w:hint="eastAsia" w:hAnsi="宋体" w:cs="宋体"/>
          <w:szCs w:val="24"/>
          <w:highlight w:val="none"/>
        </w:rPr>
        <w:t>未按招标文件规定提交履约担保；</w:t>
      </w:r>
    </w:p>
    <w:p w14:paraId="69EEC14A">
      <w:pPr>
        <w:spacing w:line="360" w:lineRule="auto"/>
        <w:ind w:firstLine="480" w:firstLineChars="200"/>
        <w:rPr>
          <w:rFonts w:hint="eastAsia" w:hAnsi="宋体" w:cs="宋体"/>
          <w:szCs w:val="24"/>
          <w:highlight w:val="none"/>
        </w:rPr>
      </w:pPr>
      <w:r>
        <w:rPr>
          <w:rFonts w:hint="eastAsia" w:hAnsi="宋体" w:cs="宋体"/>
          <w:szCs w:val="24"/>
          <w:highlight w:val="none"/>
        </w:rPr>
        <w:t>3）投标人中标后将中标项目转让给他人，或者在投标文件中未说明，且未经招标人同意，将中标项目分包给他人的；</w:t>
      </w:r>
    </w:p>
    <w:p w14:paraId="077A1A04">
      <w:pPr>
        <w:spacing w:line="360" w:lineRule="auto"/>
        <w:ind w:firstLine="480" w:firstLineChars="200"/>
        <w:rPr>
          <w:rFonts w:hint="eastAsia" w:hAnsi="宋体" w:cs="宋体"/>
          <w:szCs w:val="24"/>
          <w:highlight w:val="none"/>
        </w:rPr>
      </w:pPr>
      <w:r>
        <w:rPr>
          <w:rFonts w:hint="eastAsia" w:hAnsi="宋体" w:cs="宋体"/>
          <w:szCs w:val="24"/>
          <w:highlight w:val="none"/>
        </w:rPr>
        <w:t>4）投标人事先未通告无故不参加投标活动的；</w:t>
      </w:r>
    </w:p>
    <w:p w14:paraId="7244AEAB">
      <w:pPr>
        <w:spacing w:line="360" w:lineRule="auto"/>
        <w:ind w:firstLine="480" w:firstLineChars="200"/>
        <w:rPr>
          <w:rFonts w:hint="eastAsia" w:hAnsi="宋体" w:cs="宋体"/>
          <w:szCs w:val="24"/>
          <w:highlight w:val="none"/>
        </w:rPr>
      </w:pPr>
      <w:r>
        <w:rPr>
          <w:rFonts w:hint="eastAsia" w:hAnsi="宋体" w:cs="宋体"/>
          <w:szCs w:val="24"/>
          <w:highlight w:val="none"/>
        </w:rPr>
        <w:t>5）投标人在投标文件中提供伪造、套改、虚假资料参加投标的；</w:t>
      </w:r>
    </w:p>
    <w:p w14:paraId="4FEDBE32">
      <w:pPr>
        <w:spacing w:line="360" w:lineRule="auto"/>
        <w:ind w:firstLine="480" w:firstLineChars="200"/>
        <w:rPr>
          <w:rFonts w:hint="eastAsia" w:hAnsi="宋体" w:cs="宋体"/>
          <w:szCs w:val="24"/>
          <w:highlight w:val="none"/>
        </w:rPr>
      </w:pPr>
      <w:r>
        <w:rPr>
          <w:rFonts w:hint="eastAsia" w:hAnsi="宋体" w:cs="宋体"/>
          <w:szCs w:val="24"/>
          <w:highlight w:val="none"/>
        </w:rPr>
        <w:t>6）投标人不按法定程序进行质疑和投诉,捏造事实，查无实据，造成恶劣影响</w:t>
      </w:r>
    </w:p>
    <w:p w14:paraId="6EA6698A">
      <w:pPr>
        <w:spacing w:line="360" w:lineRule="auto"/>
        <w:ind w:firstLine="480" w:firstLineChars="200"/>
        <w:rPr>
          <w:rFonts w:hint="eastAsia" w:hAnsi="宋体" w:cs="宋体"/>
          <w:szCs w:val="24"/>
          <w:highlight w:val="none"/>
        </w:rPr>
      </w:pPr>
      <w:r>
        <w:rPr>
          <w:rFonts w:hint="eastAsia" w:hAnsi="宋体" w:cs="宋体"/>
          <w:szCs w:val="24"/>
          <w:highlight w:val="none"/>
        </w:rPr>
        <w:t>导致采购活动无法正常进行的；</w:t>
      </w:r>
    </w:p>
    <w:p w14:paraId="012BCA20">
      <w:pPr>
        <w:spacing w:line="360" w:lineRule="auto"/>
        <w:ind w:firstLine="480" w:firstLineChars="200"/>
        <w:rPr>
          <w:rFonts w:hint="eastAsia" w:hAnsi="宋体" w:cs="宋体"/>
          <w:szCs w:val="24"/>
          <w:highlight w:val="none"/>
        </w:rPr>
      </w:pPr>
      <w:r>
        <w:rPr>
          <w:rFonts w:hint="eastAsia" w:hAnsi="宋体" w:cs="宋体"/>
          <w:szCs w:val="24"/>
          <w:highlight w:val="none"/>
        </w:rPr>
        <w:t>14.9投标保证金的有</w:t>
      </w:r>
      <w:bookmarkStart w:id="44" w:name="OLE_LINK47"/>
      <w:r>
        <w:rPr>
          <w:rFonts w:hint="eastAsia" w:hAnsi="宋体" w:cs="宋体"/>
          <w:szCs w:val="24"/>
          <w:highlight w:val="none"/>
        </w:rPr>
        <w:t>效</w:t>
      </w:r>
      <w:bookmarkEnd w:id="44"/>
      <w:r>
        <w:rPr>
          <w:rFonts w:hint="eastAsia" w:hAnsi="宋体" w:cs="宋体"/>
          <w:szCs w:val="24"/>
          <w:highlight w:val="none"/>
        </w:rPr>
        <w:t>期与投标有效期一致，担保机构出具的保函有效期为投标有效期延长一个月。</w:t>
      </w:r>
    </w:p>
    <w:p w14:paraId="07F5CBD3">
      <w:pPr>
        <w:spacing w:line="500" w:lineRule="exact"/>
        <w:rPr>
          <w:rFonts w:hint="eastAsia" w:hAnsi="宋体" w:cs="宋体"/>
          <w:b/>
          <w:szCs w:val="24"/>
          <w:highlight w:val="none"/>
        </w:rPr>
      </w:pPr>
      <w:r>
        <w:rPr>
          <w:rFonts w:hint="eastAsia" w:hAnsi="宋体" w:cs="宋体"/>
          <w:b/>
          <w:szCs w:val="24"/>
          <w:highlight w:val="none"/>
        </w:rPr>
        <w:t>15.投标有效期</w:t>
      </w:r>
    </w:p>
    <w:p w14:paraId="7B9918D8">
      <w:pPr>
        <w:spacing w:line="500" w:lineRule="exact"/>
        <w:ind w:firstLine="480" w:firstLineChars="200"/>
        <w:rPr>
          <w:rFonts w:hint="eastAsia"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3B5B0ED7">
      <w:pPr>
        <w:spacing w:line="500" w:lineRule="exact"/>
        <w:ind w:firstLine="480" w:firstLineChars="200"/>
        <w:rPr>
          <w:rFonts w:hint="eastAsia" w:hAnsi="宋体" w:cs="宋体"/>
          <w:szCs w:val="24"/>
          <w:highlight w:val="none"/>
        </w:rPr>
      </w:pPr>
      <w:r>
        <w:rPr>
          <w:rFonts w:hint="eastAsia" w:hAnsi="宋体" w:cs="宋体"/>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hAnsi="宋体" w:cs="宋体"/>
          <w:highlight w:val="none"/>
        </w:rPr>
        <w:t>。</w:t>
      </w:r>
    </w:p>
    <w:p w14:paraId="2F5533C9">
      <w:pPr>
        <w:numPr>
          <w:ilvl w:val="0"/>
          <w:numId w:val="2"/>
        </w:numPr>
        <w:spacing w:line="500" w:lineRule="exact"/>
        <w:rPr>
          <w:rFonts w:hint="eastAsia" w:hAnsi="宋体" w:cs="宋体"/>
          <w:b/>
          <w:szCs w:val="24"/>
          <w:highlight w:val="none"/>
        </w:rPr>
      </w:pPr>
      <w:r>
        <w:rPr>
          <w:rFonts w:hint="eastAsia" w:hAnsi="宋体" w:cs="宋体"/>
          <w:b/>
          <w:szCs w:val="24"/>
          <w:highlight w:val="none"/>
        </w:rPr>
        <w:t>投标文件的式样和签署</w:t>
      </w:r>
    </w:p>
    <w:p w14:paraId="72B06C26">
      <w:pPr>
        <w:spacing w:line="360" w:lineRule="auto"/>
        <w:ind w:firstLine="480" w:firstLineChars="200"/>
        <w:rPr>
          <w:rFonts w:hint="eastAsia" w:hAnsi="宋体" w:cs="宋体"/>
          <w:b/>
          <w:bCs/>
          <w:spacing w:val="-2"/>
          <w:highlight w:val="none"/>
        </w:rPr>
      </w:pPr>
      <w:r>
        <w:rPr>
          <w:rFonts w:hint="eastAsia" w:hAnsi="宋体" w:cs="宋体"/>
          <w:szCs w:val="24"/>
          <w:highlight w:val="none"/>
        </w:rPr>
        <w:t>16.1供应商应按照本章供应商须知的要求,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同时提供与投标文件正本内容一致的电子版（U盘）一份及开标一览表一份，并标注供应商全称、项目名称、项目编号，与投标文件同时递交。</w:t>
      </w:r>
    </w:p>
    <w:p w14:paraId="7531EE9A">
      <w:pPr>
        <w:spacing w:line="500" w:lineRule="exact"/>
        <w:ind w:firstLine="480" w:firstLineChars="200"/>
        <w:rPr>
          <w:rFonts w:hint="eastAsia" w:hAnsi="宋体" w:cs="宋体"/>
          <w:szCs w:val="24"/>
          <w:highlight w:val="none"/>
        </w:rPr>
      </w:pPr>
      <w:r>
        <w:rPr>
          <w:rFonts w:hint="eastAsia" w:hAnsi="宋体" w:cs="宋体"/>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14:paraId="179B9371">
      <w:pPr>
        <w:spacing w:line="500" w:lineRule="exact"/>
        <w:ind w:firstLine="480" w:firstLineChars="200"/>
        <w:rPr>
          <w:rFonts w:hint="eastAsia" w:hAnsi="宋体" w:cs="宋体"/>
          <w:szCs w:val="24"/>
          <w:highlight w:val="none"/>
        </w:rPr>
      </w:pPr>
      <w:r>
        <w:rPr>
          <w:rFonts w:hint="eastAsia" w:hAnsi="宋体" w:cs="宋体"/>
          <w:szCs w:val="24"/>
          <w:highlight w:val="none"/>
        </w:rPr>
        <w:t>16.3任何行间插字、涂改和增删，必须由供应商的法定代表人或负责人或其授权代表在旁边签字方有效。</w:t>
      </w:r>
    </w:p>
    <w:p w14:paraId="46741584">
      <w:pPr>
        <w:spacing w:line="500" w:lineRule="exact"/>
        <w:ind w:firstLine="480" w:firstLineChars="200"/>
        <w:rPr>
          <w:rFonts w:hint="eastAsia" w:hAnsi="宋体" w:cs="宋体"/>
          <w:highlight w:val="none"/>
        </w:rPr>
      </w:pPr>
      <w:r>
        <w:rPr>
          <w:rFonts w:hint="eastAsia" w:hAnsi="宋体" w:cs="宋体"/>
          <w:highlight w:val="none"/>
        </w:rPr>
        <w:t>16.4供应商名称应填写全称，投标文件正本要求盖章部分必须加盖供应商鲜章。</w:t>
      </w:r>
    </w:p>
    <w:p w14:paraId="6E6A3D05">
      <w:pPr>
        <w:spacing w:line="500" w:lineRule="exact"/>
        <w:ind w:firstLine="480" w:firstLineChars="200"/>
        <w:rPr>
          <w:rFonts w:hint="eastAsia" w:hAnsi="宋体" w:cs="宋体"/>
          <w:szCs w:val="24"/>
          <w:highlight w:val="none"/>
        </w:rPr>
      </w:pPr>
      <w:r>
        <w:rPr>
          <w:rFonts w:hint="eastAsia" w:hAnsi="宋体" w:cs="宋体"/>
          <w:szCs w:val="24"/>
          <w:highlight w:val="none"/>
        </w:rPr>
        <w:t>16.5 投标文件正本和副本按照招标文件第六章规定的顺序编排、并应</w:t>
      </w:r>
      <w:r>
        <w:rPr>
          <w:rFonts w:hint="eastAsia" w:hAnsi="宋体" w:cs="宋体"/>
          <w:szCs w:val="24"/>
          <w:highlight w:val="none"/>
          <w:lang w:val="zh-CN"/>
        </w:rPr>
        <w:t>编制目录，</w:t>
      </w:r>
      <w:r>
        <w:rPr>
          <w:rFonts w:hint="eastAsia" w:hAnsi="宋体" w:cs="宋体"/>
          <w:szCs w:val="24"/>
          <w:highlight w:val="none"/>
        </w:rPr>
        <w:t>逐页标注连续页码，并分别</w:t>
      </w:r>
      <w:r>
        <w:rPr>
          <w:rFonts w:hint="eastAsia" w:hAnsi="宋体" w:cs="宋体"/>
          <w:szCs w:val="24"/>
          <w:highlight w:val="none"/>
          <w:lang w:val="zh-CN"/>
        </w:rPr>
        <w:t>胶装成册</w:t>
      </w:r>
      <w:r>
        <w:rPr>
          <w:rFonts w:hint="eastAsia" w:hAnsi="宋体" w:cs="宋体"/>
          <w:szCs w:val="24"/>
          <w:highlight w:val="none"/>
        </w:rPr>
        <w:t>。</w:t>
      </w:r>
    </w:p>
    <w:p w14:paraId="7CB3E15F">
      <w:pPr>
        <w:spacing w:line="500" w:lineRule="exact"/>
        <w:ind w:firstLine="480" w:firstLineChars="200"/>
        <w:rPr>
          <w:rFonts w:hint="eastAsia" w:hAnsi="宋体" w:cs="宋体"/>
          <w:szCs w:val="24"/>
          <w:highlight w:val="none"/>
        </w:rPr>
      </w:pPr>
      <w:r>
        <w:rPr>
          <w:rFonts w:hint="eastAsia" w:hAnsi="宋体" w:cs="宋体"/>
          <w:szCs w:val="24"/>
          <w:highlight w:val="none"/>
        </w:rPr>
        <w:t>16.6因字迹潦草、表述不清或不按招标文件格式编制的投标文件，所引起的对供应商不利的后果，由供应商自行负责。</w:t>
      </w:r>
    </w:p>
    <w:p w14:paraId="1BDA03C2">
      <w:pPr>
        <w:tabs>
          <w:tab w:val="left" w:pos="1080"/>
        </w:tabs>
        <w:spacing w:line="500" w:lineRule="exact"/>
        <w:ind w:firstLine="460" w:firstLineChars="192"/>
        <w:rPr>
          <w:rFonts w:hint="eastAsia" w:hAnsi="宋体" w:cs="宋体"/>
          <w:highlight w:val="none"/>
        </w:rPr>
      </w:pPr>
      <w:r>
        <w:rPr>
          <w:rFonts w:hint="eastAsia" w:hAnsi="宋体" w:cs="宋体"/>
          <w:szCs w:val="24"/>
          <w:highlight w:val="none"/>
        </w:rPr>
        <w:t>16.7投标文件的副本、电子版须和正本保持一致。</w:t>
      </w:r>
      <w:r>
        <w:rPr>
          <w:rFonts w:hint="eastAsia" w:hAnsi="宋体" w:cs="宋体"/>
          <w:highlight w:val="none"/>
        </w:rPr>
        <w:t>若正本、副本和电子版有不一致的内容，以正本为准。</w:t>
      </w:r>
    </w:p>
    <w:p w14:paraId="15CEE1E7">
      <w:pPr>
        <w:spacing w:before="333" w:beforeLines="100" w:after="333" w:afterLines="100" w:line="500" w:lineRule="exact"/>
        <w:jc w:val="center"/>
        <w:rPr>
          <w:rFonts w:hint="eastAsia" w:hAnsi="宋体" w:cs="宋体"/>
          <w:b/>
          <w:sz w:val="32"/>
          <w:szCs w:val="32"/>
          <w:highlight w:val="none"/>
        </w:rPr>
      </w:pPr>
      <w:bookmarkStart w:id="45" w:name="_Toc363474020"/>
      <w:bookmarkStart w:id="46" w:name="_Toc363473975"/>
      <w:bookmarkStart w:id="47" w:name="_Toc403077642"/>
      <w:r>
        <w:rPr>
          <w:rFonts w:hint="eastAsia" w:hAnsi="宋体" w:cs="宋体"/>
          <w:b/>
          <w:sz w:val="32"/>
          <w:szCs w:val="32"/>
          <w:highlight w:val="none"/>
        </w:rPr>
        <w:t>四.投标文件的递交</w:t>
      </w:r>
      <w:bookmarkEnd w:id="45"/>
      <w:bookmarkEnd w:id="46"/>
      <w:bookmarkEnd w:id="47"/>
    </w:p>
    <w:p w14:paraId="3CBD05C7">
      <w:pPr>
        <w:spacing w:line="500" w:lineRule="exact"/>
        <w:rPr>
          <w:rFonts w:hint="eastAsia" w:hAnsi="宋体" w:cs="宋体"/>
          <w:b/>
          <w:szCs w:val="24"/>
          <w:highlight w:val="none"/>
        </w:rPr>
      </w:pPr>
      <w:r>
        <w:rPr>
          <w:rFonts w:hint="eastAsia" w:hAnsi="宋体" w:cs="宋体"/>
          <w:b/>
          <w:szCs w:val="24"/>
          <w:highlight w:val="none"/>
        </w:rPr>
        <w:t>17.投标文件的密封和标记</w:t>
      </w:r>
    </w:p>
    <w:p w14:paraId="3A93793D">
      <w:pPr>
        <w:spacing w:line="500" w:lineRule="exact"/>
        <w:ind w:firstLine="480" w:firstLineChars="200"/>
        <w:rPr>
          <w:rFonts w:hint="eastAsia" w:hAnsi="宋体" w:cs="宋体"/>
          <w:szCs w:val="24"/>
          <w:highlight w:val="none"/>
        </w:rPr>
      </w:pPr>
      <w:r>
        <w:rPr>
          <w:rFonts w:hint="eastAsia" w:hAnsi="宋体" w:cs="宋体"/>
          <w:szCs w:val="24"/>
          <w:highlight w:val="none"/>
        </w:rPr>
        <w:t>17.1</w:t>
      </w:r>
      <w:r>
        <w:rPr>
          <w:rFonts w:hint="eastAsia" w:hAnsi="宋体" w:cs="宋体"/>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469ED9C0">
      <w:pPr>
        <w:spacing w:line="500" w:lineRule="exact"/>
        <w:ind w:firstLine="480" w:firstLineChars="200"/>
        <w:rPr>
          <w:rFonts w:hint="eastAsia" w:hAnsi="宋体" w:cs="宋体"/>
          <w:szCs w:val="24"/>
          <w:highlight w:val="none"/>
        </w:rPr>
      </w:pPr>
      <w:r>
        <w:rPr>
          <w:rFonts w:hint="eastAsia" w:hAnsi="宋体" w:cs="宋体"/>
          <w:szCs w:val="24"/>
          <w:highlight w:val="none"/>
        </w:rPr>
        <w:t>17.2供应商应将投标文件投标文件正本、开标一览表、电子版一包密封。投标文件所有副本一包密封。封袋应加贴封条，并在封线处加盖供应商公章，封袋正面要粘贴供应商全称、项目名称、项目编号等标识。</w:t>
      </w:r>
    </w:p>
    <w:p w14:paraId="57146441">
      <w:pPr>
        <w:spacing w:line="500" w:lineRule="exact"/>
        <w:ind w:firstLine="480" w:firstLineChars="200"/>
        <w:rPr>
          <w:rFonts w:hint="eastAsia" w:hAnsi="宋体" w:cs="宋体"/>
          <w:szCs w:val="24"/>
          <w:highlight w:val="none"/>
        </w:rPr>
      </w:pPr>
      <w:r>
        <w:rPr>
          <w:rFonts w:hint="eastAsia" w:hAnsi="宋体" w:cs="宋体"/>
          <w:szCs w:val="24"/>
          <w:highlight w:val="none"/>
        </w:rPr>
        <w:t>17.3外层包装请按以下要求标记：</w:t>
      </w:r>
    </w:p>
    <w:p w14:paraId="4456F2B8">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（1) 供应商的全称；</w:t>
      </w:r>
    </w:p>
    <w:p w14:paraId="56AA6644">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（2) 投标项目名称、项目编号；</w:t>
      </w:r>
    </w:p>
    <w:p w14:paraId="62222E58">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   （3）正本、电子版本、开标一览表或副本“请勿在＿＿＿＿(开标时间)之前启封”。</w:t>
      </w:r>
    </w:p>
    <w:p w14:paraId="5458D888">
      <w:pPr>
        <w:spacing w:line="500" w:lineRule="exact"/>
        <w:ind w:firstLine="480" w:firstLineChars="200"/>
        <w:rPr>
          <w:rFonts w:hint="eastAsia" w:hAnsi="宋体" w:cs="宋体"/>
          <w:szCs w:val="24"/>
          <w:highlight w:val="none"/>
        </w:rPr>
      </w:pPr>
      <w:r>
        <w:rPr>
          <w:rFonts w:hint="eastAsia" w:hAnsi="宋体" w:cs="宋体"/>
          <w:szCs w:val="24"/>
          <w:highlight w:val="none"/>
        </w:rPr>
        <w:t>17.4如果供应商未对投标文件按上述要求进行完好密封，由此产生的不利后果由供应商自行承担。</w:t>
      </w:r>
    </w:p>
    <w:p w14:paraId="6F77CF31">
      <w:pPr>
        <w:spacing w:line="500" w:lineRule="exact"/>
        <w:rPr>
          <w:rFonts w:hint="eastAsia" w:hAnsi="宋体" w:cs="宋体"/>
          <w:b/>
          <w:szCs w:val="24"/>
          <w:highlight w:val="none"/>
        </w:rPr>
      </w:pPr>
      <w:r>
        <w:rPr>
          <w:rFonts w:hint="eastAsia" w:hAnsi="宋体" w:cs="宋体"/>
          <w:b/>
          <w:szCs w:val="24"/>
          <w:highlight w:val="none"/>
        </w:rPr>
        <w:t>18．投标文件的递交</w:t>
      </w:r>
    </w:p>
    <w:p w14:paraId="62547951">
      <w:pPr>
        <w:spacing w:line="500" w:lineRule="exact"/>
        <w:ind w:firstLine="480" w:firstLineChars="200"/>
        <w:rPr>
          <w:rFonts w:hint="eastAsia" w:hAnsi="宋体" w:cs="宋体"/>
          <w:szCs w:val="24"/>
          <w:highlight w:val="none"/>
        </w:rPr>
      </w:pPr>
      <w:r>
        <w:rPr>
          <w:rFonts w:hint="eastAsia" w:hAnsi="宋体" w:cs="宋体"/>
          <w:szCs w:val="24"/>
          <w:highlight w:val="none"/>
        </w:rPr>
        <w:t>18.1供应商应按照招标公告中规定的时间、地点，在规定的投标文件递交截止时间前将全部投标文件和投标资料递交至采购代理机构投标文件接收人。</w:t>
      </w:r>
    </w:p>
    <w:p w14:paraId="5DBF15A1">
      <w:pPr>
        <w:spacing w:line="500" w:lineRule="exact"/>
        <w:ind w:firstLine="480" w:firstLineChars="200"/>
        <w:rPr>
          <w:rFonts w:hint="eastAsia"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06ADAF56">
      <w:pPr>
        <w:spacing w:line="500" w:lineRule="exact"/>
        <w:ind w:firstLine="480" w:firstLineChars="200"/>
        <w:rPr>
          <w:rFonts w:hint="eastAsia" w:hAnsi="宋体" w:cs="宋体"/>
          <w:szCs w:val="24"/>
          <w:highlight w:val="none"/>
        </w:rPr>
      </w:pPr>
      <w:r>
        <w:rPr>
          <w:rFonts w:hint="eastAsia" w:hAnsi="宋体" w:cs="宋体"/>
          <w:szCs w:val="24"/>
          <w:highlight w:val="none"/>
        </w:rPr>
        <w:t>18.3采购代理机构收到投标文件后，向供应商出具签收回执。</w:t>
      </w:r>
    </w:p>
    <w:p w14:paraId="502C34A8">
      <w:pPr>
        <w:spacing w:line="500" w:lineRule="exact"/>
        <w:ind w:firstLine="480" w:firstLineChars="200"/>
        <w:rPr>
          <w:rFonts w:hint="eastAsia" w:hAnsi="宋体" w:cs="宋体"/>
          <w:spacing w:val="-2"/>
          <w:highlight w:val="none"/>
        </w:rPr>
      </w:pPr>
      <w:r>
        <w:rPr>
          <w:rFonts w:hint="eastAsia" w:hAnsi="宋体" w:cs="宋体"/>
          <w:szCs w:val="24"/>
          <w:highlight w:val="none"/>
        </w:rPr>
        <w:t>18.4无论供应商中标与否，其投标文件</w:t>
      </w:r>
      <w:r>
        <w:rPr>
          <w:rFonts w:hint="eastAsia" w:hAnsi="宋体" w:cs="宋体"/>
          <w:highlight w:val="none"/>
        </w:rPr>
        <w:t>恕不退还。</w:t>
      </w:r>
    </w:p>
    <w:p w14:paraId="4AECF6A2">
      <w:pPr>
        <w:spacing w:line="500" w:lineRule="exact"/>
        <w:rPr>
          <w:rFonts w:hint="eastAsia" w:hAnsi="宋体" w:cs="宋体"/>
          <w:b/>
          <w:szCs w:val="24"/>
          <w:highlight w:val="none"/>
        </w:rPr>
      </w:pPr>
      <w:r>
        <w:rPr>
          <w:rFonts w:hint="eastAsia" w:hAnsi="宋体" w:cs="宋体"/>
          <w:b/>
          <w:szCs w:val="24"/>
          <w:highlight w:val="none"/>
        </w:rPr>
        <w:t>19．迟交的投标文件</w:t>
      </w:r>
    </w:p>
    <w:p w14:paraId="7FBE8A60">
      <w:pPr>
        <w:spacing w:line="500" w:lineRule="exact"/>
        <w:ind w:firstLine="480" w:firstLineChars="200"/>
        <w:rPr>
          <w:rFonts w:hint="eastAsia" w:hAnsi="宋体" w:cs="宋体"/>
          <w:szCs w:val="24"/>
          <w:highlight w:val="none"/>
        </w:rPr>
      </w:pPr>
      <w:r>
        <w:rPr>
          <w:rFonts w:hint="eastAsia" w:hAnsi="宋体" w:cs="宋体"/>
          <w:szCs w:val="24"/>
          <w:highlight w:val="none"/>
        </w:rPr>
        <w:t>19.1按照招标文件的规定，在递交投标文件的截止时间之后送达的投标文件，为无效投标文件，采购代理机构将拒绝接收。</w:t>
      </w:r>
    </w:p>
    <w:p w14:paraId="4BCF89CC">
      <w:pPr>
        <w:spacing w:line="500" w:lineRule="exact"/>
        <w:rPr>
          <w:rFonts w:hint="eastAsia" w:hAnsi="宋体" w:cs="宋体"/>
          <w:b/>
          <w:szCs w:val="24"/>
          <w:highlight w:val="none"/>
        </w:rPr>
      </w:pPr>
      <w:r>
        <w:rPr>
          <w:rFonts w:hint="eastAsia" w:hAnsi="宋体" w:cs="宋体"/>
          <w:b/>
          <w:szCs w:val="24"/>
          <w:highlight w:val="none"/>
        </w:rPr>
        <w:t>20．投标的修改与撤回</w:t>
      </w:r>
    </w:p>
    <w:p w14:paraId="73E639F0">
      <w:pPr>
        <w:spacing w:line="500" w:lineRule="exact"/>
        <w:ind w:firstLine="480" w:firstLineChars="200"/>
        <w:rPr>
          <w:rFonts w:hint="eastAsia" w:hAnsi="宋体" w:cs="宋体"/>
          <w:szCs w:val="24"/>
          <w:highlight w:val="none"/>
        </w:rPr>
      </w:pPr>
      <w:r>
        <w:rPr>
          <w:rFonts w:hint="eastAsia" w:hAnsi="宋体" w:cs="宋体"/>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62499C6E">
      <w:pPr>
        <w:spacing w:line="500" w:lineRule="exact"/>
        <w:ind w:firstLine="480" w:firstLineChars="200"/>
        <w:rPr>
          <w:rFonts w:hint="eastAsia"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3D0305B2">
      <w:pPr>
        <w:spacing w:line="500" w:lineRule="exact"/>
        <w:ind w:firstLine="480" w:firstLineChars="200"/>
        <w:rPr>
          <w:rFonts w:hint="eastAsia" w:hAnsi="宋体" w:cs="宋体"/>
          <w:szCs w:val="24"/>
          <w:highlight w:val="none"/>
        </w:rPr>
      </w:pPr>
      <w:r>
        <w:rPr>
          <w:rFonts w:hint="eastAsia" w:hAnsi="宋体" w:cs="宋体"/>
          <w:szCs w:val="24"/>
          <w:highlight w:val="none"/>
        </w:rPr>
        <w:t>20.3 在投标文件递交截止时间之后，供应商不得对其投标做任何修改或撤回。</w:t>
      </w:r>
    </w:p>
    <w:p w14:paraId="37FE606C">
      <w:pPr>
        <w:spacing w:line="500" w:lineRule="exact"/>
        <w:rPr>
          <w:rFonts w:hint="eastAsia" w:hAnsi="宋体" w:cs="宋体"/>
          <w:highlight w:val="none"/>
        </w:rPr>
      </w:pPr>
    </w:p>
    <w:p w14:paraId="34C5D225">
      <w:pPr>
        <w:spacing w:line="500" w:lineRule="exact"/>
        <w:jc w:val="center"/>
        <w:rPr>
          <w:rFonts w:hint="eastAsia" w:hAnsi="宋体" w:cs="宋体"/>
          <w:b/>
          <w:sz w:val="32"/>
          <w:szCs w:val="32"/>
          <w:highlight w:val="none"/>
        </w:rPr>
      </w:pPr>
      <w:bookmarkStart w:id="48" w:name="_Toc363473976"/>
      <w:bookmarkStart w:id="49" w:name="_Toc363474021"/>
      <w:bookmarkStart w:id="50" w:name="_Toc403077643"/>
      <w:r>
        <w:rPr>
          <w:rFonts w:hint="eastAsia" w:hAnsi="宋体" w:cs="宋体"/>
          <w:b/>
          <w:sz w:val="32"/>
          <w:szCs w:val="32"/>
          <w:highlight w:val="none"/>
        </w:rPr>
        <w:t>五.开标与评标</w:t>
      </w:r>
      <w:bookmarkEnd w:id="48"/>
      <w:bookmarkEnd w:id="49"/>
      <w:bookmarkEnd w:id="50"/>
    </w:p>
    <w:p w14:paraId="241BB726">
      <w:pPr>
        <w:spacing w:line="500" w:lineRule="exact"/>
        <w:rPr>
          <w:rFonts w:hint="eastAsia" w:hAnsi="宋体" w:cs="宋体"/>
          <w:b/>
          <w:szCs w:val="24"/>
          <w:highlight w:val="none"/>
        </w:rPr>
      </w:pPr>
      <w:r>
        <w:rPr>
          <w:rFonts w:hint="eastAsia" w:hAnsi="宋体" w:cs="宋体"/>
          <w:b/>
          <w:szCs w:val="24"/>
          <w:highlight w:val="none"/>
        </w:rPr>
        <w:t>21.开标</w:t>
      </w:r>
    </w:p>
    <w:p w14:paraId="564E013F">
      <w:pPr>
        <w:spacing w:line="500" w:lineRule="exact"/>
        <w:ind w:firstLine="480" w:firstLineChars="200"/>
        <w:rPr>
          <w:rFonts w:hint="eastAsia" w:hAnsi="宋体" w:cs="宋体"/>
          <w:szCs w:val="24"/>
          <w:highlight w:val="none"/>
        </w:rPr>
      </w:pPr>
      <w:r>
        <w:rPr>
          <w:rFonts w:hint="eastAsia" w:hAnsi="宋体" w:cs="宋体"/>
          <w:szCs w:val="24"/>
          <w:highlight w:val="none"/>
        </w:rPr>
        <w:t>21.1 采购代理机构在规定的时间和地点组织公开开标。开标时所有供应商代表自愿参加，参加开标的代表应签名报到以证明其出席。</w:t>
      </w:r>
    </w:p>
    <w:p w14:paraId="0992C2EE">
      <w:pPr>
        <w:spacing w:line="500" w:lineRule="exact"/>
        <w:ind w:firstLine="480" w:firstLineChars="200"/>
        <w:rPr>
          <w:rFonts w:hint="eastAsia" w:hAnsi="宋体" w:cs="宋体"/>
          <w:szCs w:val="24"/>
          <w:highlight w:val="none"/>
        </w:rPr>
      </w:pPr>
      <w:r>
        <w:rPr>
          <w:rFonts w:hint="eastAsia" w:hAnsi="宋体" w:cs="宋体"/>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14:paraId="5E4CCD4C">
      <w:pPr>
        <w:spacing w:line="500" w:lineRule="exact"/>
        <w:ind w:firstLine="480" w:firstLineChars="200"/>
        <w:rPr>
          <w:rFonts w:hint="eastAsia" w:hAnsi="宋体" w:cs="宋体"/>
          <w:szCs w:val="24"/>
          <w:highlight w:val="none"/>
        </w:rPr>
      </w:pPr>
      <w:r>
        <w:rPr>
          <w:rFonts w:hint="eastAsia" w:hAnsi="宋体" w:cs="宋体"/>
          <w:szCs w:val="24"/>
          <w:highlight w:val="none"/>
        </w:rPr>
        <w:t>21.3只有在开标时唱出的价格和价格变动声明，评标时才能考虑。</w:t>
      </w:r>
    </w:p>
    <w:p w14:paraId="436CB639">
      <w:pPr>
        <w:spacing w:line="500" w:lineRule="exact"/>
        <w:ind w:firstLine="480" w:firstLineChars="200"/>
        <w:rPr>
          <w:rFonts w:hint="eastAsia" w:hAnsi="宋体" w:cs="宋体"/>
          <w:szCs w:val="24"/>
          <w:highlight w:val="none"/>
        </w:rPr>
      </w:pPr>
      <w:r>
        <w:rPr>
          <w:rFonts w:hint="eastAsia" w:hAnsi="宋体" w:cs="宋体"/>
          <w:szCs w:val="24"/>
          <w:highlight w:val="none"/>
        </w:rPr>
        <w:t>21.4在开标时没有启封和宣读的投标文件将原封退回给供应商。</w:t>
      </w:r>
    </w:p>
    <w:p w14:paraId="3C978BD6">
      <w:pPr>
        <w:spacing w:line="500" w:lineRule="exact"/>
        <w:ind w:firstLine="480" w:firstLineChars="200"/>
        <w:rPr>
          <w:rFonts w:hint="eastAsia" w:hAnsi="宋体" w:cs="宋体"/>
          <w:szCs w:val="24"/>
          <w:highlight w:val="none"/>
        </w:rPr>
      </w:pPr>
      <w:r>
        <w:rPr>
          <w:rFonts w:hint="eastAsia" w:hAnsi="宋体" w:cs="宋体"/>
          <w:szCs w:val="24"/>
          <w:highlight w:val="none"/>
        </w:rPr>
        <w:t>21.5 采购代理机构将做开标记录，存档备查。</w:t>
      </w:r>
    </w:p>
    <w:p w14:paraId="1CDC767F">
      <w:pPr>
        <w:spacing w:line="500" w:lineRule="exact"/>
        <w:rPr>
          <w:rFonts w:hint="eastAsia" w:hAnsi="宋体" w:cs="宋体"/>
          <w:b/>
          <w:szCs w:val="24"/>
          <w:highlight w:val="none"/>
        </w:rPr>
      </w:pPr>
      <w:r>
        <w:rPr>
          <w:rFonts w:hint="eastAsia" w:hAnsi="宋体" w:cs="宋体"/>
          <w:b/>
          <w:szCs w:val="24"/>
          <w:highlight w:val="none"/>
        </w:rPr>
        <w:t>22．评标组织及评标原则</w:t>
      </w:r>
    </w:p>
    <w:p w14:paraId="50BAB33D">
      <w:pPr>
        <w:spacing w:line="500" w:lineRule="exact"/>
        <w:ind w:firstLine="480" w:firstLineChars="200"/>
        <w:rPr>
          <w:rFonts w:hint="eastAsia" w:hAnsi="宋体" w:cs="宋体"/>
          <w:szCs w:val="24"/>
          <w:highlight w:val="none"/>
        </w:rPr>
      </w:pPr>
      <w:r>
        <w:rPr>
          <w:rFonts w:hint="eastAsia" w:hAnsi="宋体" w:cs="宋体"/>
          <w:szCs w:val="24"/>
          <w:highlight w:val="none"/>
        </w:rPr>
        <w:t>22.1</w:t>
      </w:r>
      <w:r>
        <w:rPr>
          <w:rFonts w:hint="eastAsia" w:hAnsi="宋体"/>
          <w:szCs w:val="21"/>
          <w:highlight w:val="none"/>
        </w:rPr>
        <w:t>按照《中华人民共和国政府采购法》、中华人民共和国</w:t>
      </w:r>
      <w:r>
        <w:rPr>
          <w:rFonts w:hAnsi="宋体"/>
          <w:szCs w:val="21"/>
          <w:highlight w:val="none"/>
        </w:rPr>
        <w:t>2015</w:t>
      </w:r>
      <w:r>
        <w:rPr>
          <w:rFonts w:hint="eastAsia" w:hAnsi="宋体"/>
          <w:szCs w:val="21"/>
          <w:highlight w:val="none"/>
        </w:rPr>
        <w:t>年第</w:t>
      </w:r>
      <w:r>
        <w:rPr>
          <w:rFonts w:hAnsi="宋体"/>
          <w:szCs w:val="21"/>
          <w:highlight w:val="none"/>
        </w:rPr>
        <w:t>658</w:t>
      </w:r>
      <w:r>
        <w:rPr>
          <w:rFonts w:hint="eastAsia" w:hAnsi="宋体"/>
          <w:szCs w:val="21"/>
          <w:highlight w:val="none"/>
        </w:rPr>
        <w:t>号国务院令</w:t>
      </w:r>
      <w:r>
        <w:rPr>
          <w:rFonts w:hAnsi="宋体"/>
          <w:szCs w:val="21"/>
          <w:highlight w:val="none"/>
        </w:rPr>
        <w:t>--</w:t>
      </w:r>
      <w:r>
        <w:rPr>
          <w:rFonts w:hint="eastAsia" w:hAnsi="宋体"/>
          <w:szCs w:val="21"/>
          <w:highlight w:val="none"/>
        </w:rPr>
        <w:t>《中华人民共和国政府采购法实施条例》和中华人民共和国财政部</w:t>
      </w:r>
      <w:r>
        <w:rPr>
          <w:rFonts w:hAnsi="宋体"/>
          <w:szCs w:val="21"/>
          <w:highlight w:val="none"/>
        </w:rPr>
        <w:t>2017</w:t>
      </w:r>
      <w:r>
        <w:rPr>
          <w:rFonts w:hint="eastAsia" w:hAnsi="宋体"/>
          <w:szCs w:val="21"/>
          <w:highlight w:val="none"/>
        </w:rPr>
        <w:t>年第</w:t>
      </w:r>
      <w:r>
        <w:rPr>
          <w:rFonts w:hAnsi="宋体"/>
          <w:szCs w:val="21"/>
          <w:highlight w:val="none"/>
        </w:rPr>
        <w:t>87</w:t>
      </w:r>
      <w:r>
        <w:rPr>
          <w:rFonts w:hint="eastAsia" w:hAnsi="宋体"/>
          <w:szCs w:val="21"/>
          <w:highlight w:val="none"/>
        </w:rPr>
        <w:t>号部长令</w:t>
      </w:r>
      <w:r>
        <w:rPr>
          <w:rFonts w:hAnsi="宋体"/>
          <w:szCs w:val="21"/>
          <w:highlight w:val="none"/>
        </w:rPr>
        <w:t>--</w:t>
      </w:r>
      <w:r>
        <w:rPr>
          <w:rFonts w:hint="eastAsia" w:hAnsi="宋体"/>
          <w:szCs w:val="21"/>
          <w:highlight w:val="none"/>
        </w:rPr>
        <w:t>《政府采购服务和服务招标投标管理办法》的规定，依法组建评标委员会。评标委员会按照招标文件规定的评标方法独立进行评标工作</w:t>
      </w:r>
      <w:r>
        <w:rPr>
          <w:rFonts w:hint="eastAsia" w:hAnsi="宋体" w:cs="宋体"/>
          <w:szCs w:val="24"/>
          <w:highlight w:val="none"/>
        </w:rPr>
        <w:t>。</w:t>
      </w:r>
    </w:p>
    <w:p w14:paraId="257B017B">
      <w:pPr>
        <w:spacing w:line="500" w:lineRule="exact"/>
        <w:ind w:firstLine="480" w:firstLineChars="200"/>
        <w:rPr>
          <w:rFonts w:hint="eastAsia" w:hAnsi="宋体" w:cs="宋体"/>
          <w:szCs w:val="24"/>
          <w:highlight w:val="none"/>
        </w:rPr>
      </w:pPr>
      <w:r>
        <w:rPr>
          <w:rFonts w:hint="eastAsia" w:hAnsi="宋体" w:cs="宋体"/>
          <w:szCs w:val="24"/>
          <w:highlight w:val="none"/>
        </w:rPr>
        <w:t>22.2 评标委员会负责具体评标事务，并独立履行下列职责：</w:t>
      </w:r>
    </w:p>
    <w:p w14:paraId="7AF488BF">
      <w:pPr>
        <w:spacing w:line="500" w:lineRule="exact"/>
        <w:ind w:firstLine="480" w:firstLineChars="200"/>
        <w:rPr>
          <w:rFonts w:hint="eastAsia" w:hAnsi="宋体" w:cs="宋体"/>
          <w:szCs w:val="24"/>
          <w:highlight w:val="none"/>
        </w:rPr>
      </w:pPr>
      <w:r>
        <w:rPr>
          <w:rFonts w:hint="eastAsia" w:hAnsi="宋体" w:cs="宋体"/>
          <w:szCs w:val="24"/>
          <w:highlight w:val="none"/>
        </w:rPr>
        <w:t>（1）审查、评价投标文件是否符合招标文件的商务、技术、服务等实质性要求；</w:t>
      </w:r>
    </w:p>
    <w:p w14:paraId="122F0904">
      <w:pPr>
        <w:spacing w:line="500" w:lineRule="exact"/>
        <w:ind w:firstLine="480" w:firstLineChars="200"/>
        <w:rPr>
          <w:rFonts w:hint="eastAsia" w:hAnsi="宋体" w:cs="宋体"/>
          <w:szCs w:val="24"/>
          <w:highlight w:val="none"/>
        </w:rPr>
      </w:pPr>
      <w:r>
        <w:rPr>
          <w:rFonts w:hint="eastAsia" w:hAnsi="宋体" w:cs="宋体"/>
          <w:szCs w:val="24"/>
          <w:highlight w:val="none"/>
        </w:rPr>
        <w:t>（2）要求供应商对投标文件有关事项作出澄清或者说明；</w:t>
      </w:r>
    </w:p>
    <w:p w14:paraId="31799B39">
      <w:pPr>
        <w:spacing w:line="500" w:lineRule="exact"/>
        <w:ind w:firstLine="480" w:firstLineChars="200"/>
        <w:rPr>
          <w:rFonts w:hint="eastAsia" w:hAnsi="宋体" w:cs="宋体"/>
          <w:szCs w:val="24"/>
          <w:highlight w:val="none"/>
        </w:rPr>
      </w:pPr>
      <w:r>
        <w:rPr>
          <w:rFonts w:hint="eastAsia" w:hAnsi="宋体" w:cs="宋体"/>
          <w:szCs w:val="24"/>
          <w:highlight w:val="none"/>
        </w:rPr>
        <w:t>（3）对投标文件进行比较和评价；</w:t>
      </w:r>
    </w:p>
    <w:p w14:paraId="21449919">
      <w:pPr>
        <w:spacing w:line="500" w:lineRule="exact"/>
        <w:ind w:firstLine="480" w:firstLineChars="200"/>
        <w:rPr>
          <w:rFonts w:hint="eastAsia" w:hAnsi="宋体" w:cs="宋体"/>
          <w:szCs w:val="24"/>
          <w:highlight w:val="none"/>
        </w:rPr>
      </w:pPr>
      <w:r>
        <w:rPr>
          <w:rFonts w:hint="eastAsia" w:hAnsi="宋体" w:cs="宋体"/>
          <w:szCs w:val="24"/>
          <w:highlight w:val="none"/>
        </w:rPr>
        <w:t>（4）确定中标候选人名单，以及根据采购人委托直接确定中标人；</w:t>
      </w:r>
    </w:p>
    <w:p w14:paraId="5FB2212E">
      <w:pPr>
        <w:spacing w:line="500" w:lineRule="exact"/>
        <w:ind w:firstLine="480" w:firstLineChars="200"/>
        <w:rPr>
          <w:rFonts w:hint="eastAsia" w:hAnsi="宋体" w:cs="宋体"/>
          <w:szCs w:val="24"/>
          <w:highlight w:val="none"/>
        </w:rPr>
      </w:pPr>
      <w:r>
        <w:rPr>
          <w:rFonts w:hint="eastAsia" w:hAnsi="宋体" w:cs="宋体"/>
          <w:szCs w:val="24"/>
          <w:highlight w:val="none"/>
        </w:rPr>
        <w:t>（5）向采购人、采购代理机构或者有关部门报告评标中发现的违法行为。</w:t>
      </w:r>
    </w:p>
    <w:p w14:paraId="4FAFDE64">
      <w:pPr>
        <w:spacing w:line="500" w:lineRule="exact"/>
        <w:ind w:firstLine="480" w:firstLineChars="200"/>
        <w:rPr>
          <w:rFonts w:hint="eastAsia" w:hAnsi="宋体" w:cs="宋体"/>
          <w:szCs w:val="24"/>
          <w:highlight w:val="none"/>
        </w:rPr>
      </w:pPr>
      <w:r>
        <w:rPr>
          <w:rFonts w:hint="eastAsia" w:hAnsi="宋体" w:cs="宋体"/>
          <w:szCs w:val="24"/>
          <w:highlight w:val="none"/>
        </w:rPr>
        <w:t>22.3 采购代理机构负责组织评标工作并履行下列职责：</w:t>
      </w:r>
    </w:p>
    <w:p w14:paraId="28F385C2">
      <w:pPr>
        <w:spacing w:line="500" w:lineRule="exact"/>
        <w:ind w:firstLine="480" w:firstLineChars="200"/>
        <w:rPr>
          <w:rFonts w:hint="eastAsia"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215F3EBE">
      <w:pPr>
        <w:spacing w:line="500" w:lineRule="exact"/>
        <w:ind w:firstLine="480" w:firstLineChars="200"/>
        <w:rPr>
          <w:rFonts w:hint="eastAsia" w:hAnsi="宋体" w:cs="宋体"/>
          <w:szCs w:val="24"/>
          <w:highlight w:val="none"/>
        </w:rPr>
      </w:pPr>
      <w:r>
        <w:rPr>
          <w:rFonts w:hint="eastAsia" w:hAnsi="宋体" w:cs="宋体"/>
          <w:szCs w:val="24"/>
          <w:highlight w:val="none"/>
        </w:rPr>
        <w:t>（2）宣布评标纪律；</w:t>
      </w:r>
    </w:p>
    <w:p w14:paraId="5DF6BBA4">
      <w:pPr>
        <w:spacing w:line="500" w:lineRule="exact"/>
        <w:ind w:firstLine="480" w:firstLineChars="200"/>
        <w:rPr>
          <w:rFonts w:hint="eastAsia" w:hAnsi="宋体" w:cs="宋体"/>
          <w:szCs w:val="24"/>
          <w:highlight w:val="none"/>
        </w:rPr>
      </w:pPr>
      <w:r>
        <w:rPr>
          <w:rFonts w:hint="eastAsia" w:hAnsi="宋体" w:cs="宋体"/>
          <w:szCs w:val="24"/>
          <w:highlight w:val="none"/>
        </w:rPr>
        <w:t>（3）公布供应商名单，告知评标专家应当回避的情形；</w:t>
      </w:r>
    </w:p>
    <w:p w14:paraId="5D895A65">
      <w:pPr>
        <w:spacing w:line="500" w:lineRule="exact"/>
        <w:ind w:firstLine="480" w:firstLineChars="200"/>
        <w:rPr>
          <w:rFonts w:hint="eastAsia" w:hAnsi="宋体" w:cs="宋体"/>
          <w:szCs w:val="24"/>
          <w:highlight w:val="none"/>
        </w:rPr>
      </w:pPr>
      <w:r>
        <w:rPr>
          <w:rFonts w:hint="eastAsia" w:hAnsi="宋体" w:cs="宋体"/>
          <w:szCs w:val="24"/>
          <w:highlight w:val="none"/>
        </w:rPr>
        <w:t>（4）组织评标委员会推选评标组长，采购人代表不得担任组长；</w:t>
      </w:r>
    </w:p>
    <w:p w14:paraId="795DAA08">
      <w:pPr>
        <w:spacing w:line="500" w:lineRule="exact"/>
        <w:ind w:firstLine="480" w:firstLineChars="200"/>
        <w:rPr>
          <w:rFonts w:hint="eastAsia" w:hAnsi="宋体" w:cs="宋体"/>
          <w:szCs w:val="24"/>
          <w:highlight w:val="none"/>
        </w:rPr>
      </w:pPr>
      <w:r>
        <w:rPr>
          <w:rFonts w:hint="eastAsia" w:hAnsi="宋体" w:cs="宋体"/>
          <w:szCs w:val="24"/>
          <w:highlight w:val="none"/>
        </w:rPr>
        <w:t>（5）在评标期间采取必要的通讯管理措施，保证评标活动不受外界干扰；</w:t>
      </w:r>
    </w:p>
    <w:p w14:paraId="1950F0D7">
      <w:pPr>
        <w:spacing w:line="500" w:lineRule="exact"/>
        <w:ind w:firstLine="480" w:firstLineChars="200"/>
        <w:rPr>
          <w:rFonts w:hint="eastAsia" w:hAnsi="宋体" w:cs="宋体"/>
          <w:szCs w:val="24"/>
          <w:highlight w:val="none"/>
        </w:rPr>
      </w:pPr>
      <w:r>
        <w:rPr>
          <w:rFonts w:hint="eastAsia" w:hAnsi="宋体" w:cs="宋体"/>
          <w:szCs w:val="24"/>
          <w:highlight w:val="none"/>
        </w:rPr>
        <w:t>（6）根据评标委员会的要求介绍政府采购相关政策法规、招标文件；</w:t>
      </w:r>
    </w:p>
    <w:p w14:paraId="51342C5D">
      <w:pPr>
        <w:spacing w:line="500" w:lineRule="exact"/>
        <w:ind w:firstLine="480" w:firstLineChars="200"/>
        <w:rPr>
          <w:rFonts w:hint="eastAsia"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5996D7D5">
      <w:pPr>
        <w:spacing w:line="500" w:lineRule="exact"/>
        <w:ind w:firstLine="480" w:firstLineChars="200"/>
        <w:rPr>
          <w:rFonts w:hint="eastAsia"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0AE2DD60">
      <w:pPr>
        <w:spacing w:line="500" w:lineRule="exact"/>
        <w:ind w:firstLine="480" w:firstLineChars="200"/>
        <w:rPr>
          <w:rFonts w:hint="eastAsia" w:hAnsi="宋体" w:cs="宋体"/>
          <w:szCs w:val="24"/>
          <w:highlight w:val="none"/>
        </w:rPr>
      </w:pPr>
      <w:r>
        <w:rPr>
          <w:rFonts w:hint="eastAsia" w:hAnsi="宋体" w:cs="宋体"/>
          <w:szCs w:val="24"/>
          <w:highlight w:val="none"/>
        </w:rPr>
        <w:t>（9）评审工作完成后，按照规定向评审专家支付劳务报酬和异地评审差旅费；</w:t>
      </w:r>
    </w:p>
    <w:p w14:paraId="3C535AEE">
      <w:pPr>
        <w:spacing w:line="500" w:lineRule="exact"/>
        <w:ind w:firstLine="480" w:firstLineChars="200"/>
        <w:rPr>
          <w:rFonts w:hint="eastAsia" w:hAnsi="宋体" w:cs="宋体"/>
          <w:szCs w:val="24"/>
          <w:highlight w:val="none"/>
        </w:rPr>
      </w:pPr>
      <w:r>
        <w:rPr>
          <w:rFonts w:hint="eastAsia" w:hAnsi="宋体" w:cs="宋体"/>
          <w:szCs w:val="24"/>
          <w:highlight w:val="none"/>
        </w:rPr>
        <w:t>（10）处理与评标有关的其他事项。</w:t>
      </w:r>
    </w:p>
    <w:p w14:paraId="64D438FF">
      <w:pPr>
        <w:spacing w:line="500" w:lineRule="exact"/>
        <w:ind w:firstLine="480" w:firstLineChars="200"/>
        <w:rPr>
          <w:rFonts w:hint="eastAsia"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22.4招标文件和投标文件是评标的依据。在评标中，不得改变招标文件中规定的评标标准、方法和中标条件。供应商不得在开标后使用任何方式对投标文件的实质性内容做任何更改。</w:t>
      </w:r>
    </w:p>
    <w:p w14:paraId="3C9B74FD">
      <w:pPr>
        <w:spacing w:line="500" w:lineRule="exact"/>
        <w:ind w:firstLine="480" w:firstLineChars="200"/>
        <w:rPr>
          <w:rFonts w:hint="eastAsia"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要求供应商作出必要的澄清、说明或者纠正。供应商的澄清、说明或者补正应当采用书面形式，由其授权的代表签字，并不得超出投标文件的范围或者改变投标文件的实质性内容。</w:t>
      </w:r>
    </w:p>
    <w:p w14:paraId="32E3EC65">
      <w:pPr>
        <w:spacing w:line="500" w:lineRule="exact"/>
        <w:ind w:firstLine="480" w:firstLineChars="200"/>
        <w:rPr>
          <w:rFonts w:hint="eastAsia" w:hAnsi="宋体" w:cs="宋体"/>
          <w:szCs w:val="24"/>
          <w:highlight w:val="none"/>
        </w:rPr>
      </w:pPr>
      <w:r>
        <w:rPr>
          <w:rFonts w:hint="eastAsia" w:hAnsi="宋体" w:cs="宋体"/>
          <w:szCs w:val="24"/>
          <w:highlight w:val="none"/>
        </w:rPr>
        <w:t>22.6如果供应商在澄清规定期限内，未能答复或拒绝答复评委会提出的澄清要求，将由评委会根据其投标文件按最大风险进行评标。</w:t>
      </w:r>
    </w:p>
    <w:p w14:paraId="6CF0BA67">
      <w:pPr>
        <w:spacing w:line="500" w:lineRule="exact"/>
        <w:ind w:firstLine="480" w:firstLineChars="200"/>
        <w:rPr>
          <w:rFonts w:hint="eastAsia" w:hAnsi="宋体" w:cs="宋体"/>
          <w:szCs w:val="24"/>
          <w:highlight w:val="none"/>
        </w:rPr>
      </w:pPr>
      <w:r>
        <w:rPr>
          <w:rFonts w:hint="eastAsia" w:hAnsi="宋体" w:cs="宋体"/>
          <w:szCs w:val="24"/>
          <w:highlight w:val="none"/>
        </w:rPr>
        <w:t>22.7投标文件的初审（含资格性、符合性审查）</w:t>
      </w:r>
    </w:p>
    <w:p w14:paraId="6A2BE7D8">
      <w:pPr>
        <w:spacing w:line="500" w:lineRule="exact"/>
        <w:ind w:firstLine="480" w:firstLineChars="200"/>
        <w:rPr>
          <w:rFonts w:hint="eastAsia" w:hAnsi="宋体" w:cs="宋体"/>
          <w:szCs w:val="24"/>
          <w:highlight w:val="none"/>
        </w:rPr>
      </w:pPr>
      <w:r>
        <w:rPr>
          <w:rFonts w:hint="eastAsia" w:hAnsi="宋体" w:cs="宋体"/>
          <w:szCs w:val="24"/>
          <w:highlight w:val="none"/>
        </w:rPr>
        <w:t>22.7.1采购人或采购代理机构将审查资格证明文件是否合格齐全，评标委员会审查投标文件是否完整、有效、响应等。</w:t>
      </w:r>
    </w:p>
    <w:p w14:paraId="316A2EFF">
      <w:pPr>
        <w:spacing w:line="500" w:lineRule="exact"/>
        <w:ind w:firstLine="480" w:firstLineChars="200"/>
        <w:rPr>
          <w:rFonts w:hint="eastAsia" w:hAnsi="宋体" w:cs="宋体"/>
          <w:szCs w:val="24"/>
          <w:highlight w:val="none"/>
        </w:rPr>
      </w:pPr>
      <w:r>
        <w:rPr>
          <w:rFonts w:hint="eastAsia" w:hAnsi="宋体" w:cs="宋体"/>
          <w:szCs w:val="24"/>
          <w:highlight w:val="none"/>
        </w:rPr>
        <w:t>22.7.2投标文件报价出现前后不一致的，按照下列规定修正：</w:t>
      </w:r>
    </w:p>
    <w:p w14:paraId="5199CB32">
      <w:pPr>
        <w:numPr>
          <w:ilvl w:val="0"/>
          <w:numId w:val="3"/>
        </w:numPr>
        <w:spacing w:line="500" w:lineRule="exact"/>
        <w:ind w:firstLine="480" w:firstLineChars="200"/>
        <w:rPr>
          <w:rFonts w:hint="eastAsia"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14151FD9">
      <w:pPr>
        <w:numPr>
          <w:ilvl w:val="0"/>
          <w:numId w:val="3"/>
        </w:numPr>
        <w:spacing w:line="500" w:lineRule="exact"/>
        <w:ind w:firstLine="480" w:firstLineChars="200"/>
        <w:rPr>
          <w:rFonts w:hint="eastAsia" w:hAnsi="宋体" w:cs="宋体"/>
          <w:szCs w:val="24"/>
          <w:highlight w:val="none"/>
        </w:rPr>
      </w:pPr>
      <w:r>
        <w:rPr>
          <w:rFonts w:hint="eastAsia" w:hAnsi="宋体" w:cs="宋体"/>
          <w:szCs w:val="24"/>
          <w:highlight w:val="none"/>
        </w:rPr>
        <w:t>投标文件的大写金额和小写金额不一致的，以大写金额为准；</w:t>
      </w:r>
    </w:p>
    <w:p w14:paraId="097383C7">
      <w:pPr>
        <w:numPr>
          <w:ilvl w:val="0"/>
          <w:numId w:val="3"/>
        </w:numPr>
        <w:spacing w:line="500" w:lineRule="exact"/>
        <w:ind w:firstLine="480" w:firstLineChars="200"/>
        <w:rPr>
          <w:rFonts w:hint="eastAsia"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2F9328C2">
      <w:pPr>
        <w:numPr>
          <w:ilvl w:val="0"/>
          <w:numId w:val="3"/>
        </w:numPr>
        <w:spacing w:line="500" w:lineRule="exact"/>
        <w:ind w:firstLine="480" w:firstLineChars="200"/>
        <w:rPr>
          <w:rFonts w:hint="eastAsia" w:hAnsi="宋体" w:cs="宋体"/>
          <w:szCs w:val="24"/>
          <w:highlight w:val="none"/>
        </w:rPr>
      </w:pPr>
      <w:r>
        <w:rPr>
          <w:rFonts w:hint="eastAsia" w:hAnsi="宋体" w:cs="宋体"/>
          <w:szCs w:val="24"/>
          <w:highlight w:val="none"/>
        </w:rPr>
        <w:t>总价金额与按单价汇总金额不一致的，以单价金额计算结果为准。</w:t>
      </w:r>
    </w:p>
    <w:p w14:paraId="3B8F6E8C">
      <w:pPr>
        <w:widowControl/>
        <w:autoSpaceDE w:val="0"/>
        <w:autoSpaceDN w:val="0"/>
        <w:spacing w:line="500" w:lineRule="exact"/>
        <w:ind w:right="51" w:firstLine="482" w:firstLineChars="200"/>
        <w:textAlignment w:val="bottom"/>
        <w:rPr>
          <w:rFonts w:hint="eastAsia" w:hAnsi="宋体" w:cs="宋体"/>
          <w:szCs w:val="24"/>
          <w:highlight w:val="none"/>
        </w:rPr>
      </w:pPr>
      <w:r>
        <w:rPr>
          <w:rFonts w:hint="eastAsia" w:hAnsi="宋体" w:cs="宋体"/>
          <w:b/>
          <w:highlight w:val="none"/>
        </w:rPr>
        <w:t>按上述修正的顺序和方法调整的投标报价应对供应商具有约束力。如果供应商不接受修正后的价格，其投标将按无效投标处理。</w:t>
      </w:r>
    </w:p>
    <w:p w14:paraId="0890C30F">
      <w:pPr>
        <w:spacing w:line="500" w:lineRule="exact"/>
        <w:ind w:firstLine="480" w:firstLineChars="200"/>
        <w:rPr>
          <w:rFonts w:hint="eastAsia"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3497D3E4">
      <w:pPr>
        <w:spacing w:line="500" w:lineRule="exact"/>
        <w:ind w:firstLine="482" w:firstLineChars="200"/>
        <w:rPr>
          <w:rFonts w:hint="eastAsia" w:hAnsi="宋体" w:cs="宋体"/>
          <w:b/>
          <w:bCs/>
          <w:szCs w:val="24"/>
          <w:highlight w:val="none"/>
        </w:rPr>
      </w:pPr>
      <w:r>
        <w:rPr>
          <w:rFonts w:hint="eastAsia" w:hAnsi="宋体" w:cs="宋体"/>
          <w:b/>
          <w:bCs/>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3FA8A992">
      <w:pPr>
        <w:tabs>
          <w:tab w:val="left" w:pos="1260"/>
        </w:tabs>
        <w:spacing w:line="500" w:lineRule="exact"/>
        <w:ind w:firstLine="480" w:firstLineChars="200"/>
        <w:rPr>
          <w:rFonts w:hint="eastAsia" w:hAnsi="宋体" w:cs="宋体"/>
          <w:szCs w:val="24"/>
          <w:highlight w:val="none"/>
        </w:rPr>
      </w:pPr>
      <w:r>
        <w:rPr>
          <w:rFonts w:hint="eastAsia" w:hAnsi="宋体" w:cs="宋体"/>
          <w:szCs w:val="24"/>
          <w:highlight w:val="none"/>
        </w:rPr>
        <w:t>1）没有按照招标文件要求提供投标文件或投标文件构成有重大缺项；</w:t>
      </w:r>
    </w:p>
    <w:p w14:paraId="447E146A">
      <w:pPr>
        <w:kinsoku w:val="0"/>
        <w:spacing w:line="500" w:lineRule="exact"/>
        <w:ind w:firstLine="480" w:firstLineChars="200"/>
        <w:rPr>
          <w:rFonts w:hint="eastAsia"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33E20033">
      <w:pPr>
        <w:tabs>
          <w:tab w:val="left" w:pos="1260"/>
        </w:tabs>
        <w:spacing w:line="500" w:lineRule="exact"/>
        <w:ind w:firstLine="480" w:firstLineChars="200"/>
        <w:rPr>
          <w:rFonts w:hint="eastAsia" w:hAnsi="宋体" w:cs="宋体"/>
          <w:szCs w:val="24"/>
          <w:highlight w:val="none"/>
        </w:rPr>
      </w:pPr>
      <w:r>
        <w:rPr>
          <w:rFonts w:hint="eastAsia" w:hAnsi="宋体" w:cs="宋体"/>
          <w:szCs w:val="24"/>
          <w:highlight w:val="none"/>
        </w:rPr>
        <w:t>3）供应商未按招标文件要求提交投标保证金或保函的；</w:t>
      </w:r>
    </w:p>
    <w:p w14:paraId="002E6844">
      <w:pPr>
        <w:tabs>
          <w:tab w:val="left" w:pos="1260"/>
        </w:tabs>
        <w:spacing w:line="500" w:lineRule="exact"/>
        <w:ind w:firstLine="480" w:firstLineChars="200"/>
        <w:rPr>
          <w:rFonts w:hint="eastAsia" w:hAnsi="宋体" w:cs="宋体"/>
          <w:szCs w:val="24"/>
          <w:highlight w:val="none"/>
        </w:rPr>
      </w:pPr>
      <w:r>
        <w:rPr>
          <w:rFonts w:hint="eastAsia" w:hAnsi="宋体" w:cs="宋体"/>
          <w:szCs w:val="24"/>
          <w:highlight w:val="none"/>
        </w:rPr>
        <w:t>4）不具备招标文件中规定的资格要求的；</w:t>
      </w:r>
    </w:p>
    <w:p w14:paraId="0F62B3FA">
      <w:pPr>
        <w:tabs>
          <w:tab w:val="left" w:pos="1260"/>
        </w:tabs>
        <w:spacing w:line="500" w:lineRule="exact"/>
        <w:ind w:firstLine="480" w:firstLineChars="200"/>
        <w:rPr>
          <w:rFonts w:hint="eastAsia"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589F24EF">
      <w:pPr>
        <w:tabs>
          <w:tab w:val="left" w:pos="1260"/>
        </w:tabs>
        <w:spacing w:line="500" w:lineRule="exact"/>
        <w:ind w:firstLine="480" w:firstLineChars="200"/>
        <w:rPr>
          <w:rFonts w:hint="eastAsia" w:hAnsi="宋体" w:cs="宋体"/>
          <w:szCs w:val="24"/>
          <w:highlight w:val="none"/>
        </w:rPr>
      </w:pPr>
      <w:r>
        <w:rPr>
          <w:rFonts w:hint="eastAsia" w:hAnsi="宋体" w:cs="宋体"/>
          <w:szCs w:val="24"/>
          <w:highlight w:val="none"/>
        </w:rPr>
        <w:t>6）存在有重大缺漏项和重大技术偏离的投标</w:t>
      </w:r>
      <w:r>
        <w:rPr>
          <w:rFonts w:hint="eastAsia" w:hAnsi="宋体" w:cs="宋体"/>
          <w:highlight w:val="none"/>
        </w:rPr>
        <w:t>货物（产品）</w:t>
      </w:r>
      <w:r>
        <w:rPr>
          <w:rFonts w:hint="eastAsia" w:hAnsi="宋体" w:cs="宋体"/>
          <w:szCs w:val="24"/>
          <w:highlight w:val="none"/>
        </w:rPr>
        <w:t>；</w:t>
      </w:r>
    </w:p>
    <w:p w14:paraId="6C58C5FC">
      <w:pPr>
        <w:tabs>
          <w:tab w:val="left" w:pos="1260"/>
        </w:tabs>
        <w:spacing w:line="500" w:lineRule="exact"/>
        <w:ind w:firstLine="480" w:firstLineChars="200"/>
        <w:rPr>
          <w:rFonts w:hint="eastAsia" w:hAnsi="宋体" w:cs="宋体"/>
          <w:szCs w:val="24"/>
          <w:highlight w:val="none"/>
        </w:rPr>
      </w:pPr>
      <w:r>
        <w:rPr>
          <w:rFonts w:hint="eastAsia" w:hAnsi="宋体" w:cs="宋体"/>
          <w:szCs w:val="24"/>
          <w:highlight w:val="none"/>
        </w:rPr>
        <w:t>7）供应商有串通投标、以他人名义投标、弄虚作假、行贿等违法行为的；</w:t>
      </w:r>
    </w:p>
    <w:p w14:paraId="24B04CCF">
      <w:pPr>
        <w:spacing w:line="500" w:lineRule="exact"/>
        <w:ind w:firstLine="480" w:firstLineChars="200"/>
        <w:rPr>
          <w:rFonts w:hint="eastAsia" w:hAnsi="宋体" w:cs="宋体"/>
          <w:szCs w:val="24"/>
          <w:highlight w:val="none"/>
        </w:rPr>
      </w:pPr>
      <w:r>
        <w:rPr>
          <w:rFonts w:hint="eastAsia" w:hAnsi="宋体" w:cs="宋体"/>
          <w:szCs w:val="24"/>
          <w:highlight w:val="none"/>
        </w:rPr>
        <w:t>8）投标总报价超过招标文件公布的采购预算或者最高限价的；</w:t>
      </w:r>
    </w:p>
    <w:p w14:paraId="1A7F6935">
      <w:pPr>
        <w:pStyle w:val="17"/>
        <w:spacing w:before="0" w:beforeAutospacing="0" w:after="0" w:afterAutospacing="0" w:line="500" w:lineRule="exact"/>
        <w:ind w:firstLine="480" w:firstLineChars="200"/>
        <w:jc w:val="both"/>
        <w:rPr>
          <w:rFonts w:hint="eastAsia" w:cs="宋体"/>
          <w:highlight w:val="none"/>
        </w:rPr>
      </w:pPr>
      <w:r>
        <w:rPr>
          <w:rFonts w:hint="eastAsia" w:cs="宋体"/>
          <w:highlight w:val="none"/>
        </w:rPr>
        <w:t>9）投标文件含有采购人不能接受的附加条件的；</w:t>
      </w:r>
    </w:p>
    <w:p w14:paraId="24F3DF16">
      <w:pPr>
        <w:pStyle w:val="17"/>
        <w:spacing w:before="0" w:beforeAutospacing="0" w:after="0" w:afterAutospacing="0" w:line="500" w:lineRule="exact"/>
        <w:ind w:firstLine="480" w:firstLineChars="200"/>
        <w:jc w:val="both"/>
        <w:rPr>
          <w:rFonts w:hint="eastAsia" w:cs="宋体"/>
          <w:highlight w:val="none"/>
        </w:rPr>
      </w:pPr>
      <w:r>
        <w:rPr>
          <w:rFonts w:hint="eastAsia" w:cs="宋体"/>
          <w:highlight w:val="none"/>
        </w:rPr>
        <w:t>10）供应商被列入失信被执行人、重大税收违法案件当事人名单、政府采购严重违法失信行为记录名单的；</w:t>
      </w:r>
    </w:p>
    <w:p w14:paraId="3AC217C0">
      <w:pPr>
        <w:spacing w:line="500" w:lineRule="exact"/>
        <w:ind w:firstLine="480" w:firstLineChars="200"/>
        <w:rPr>
          <w:rFonts w:hint="eastAsia" w:hAnsi="宋体" w:cs="宋体"/>
          <w:szCs w:val="24"/>
          <w:highlight w:val="none"/>
        </w:rPr>
      </w:pPr>
      <w:r>
        <w:rPr>
          <w:rFonts w:hint="eastAsia" w:hAnsi="宋体" w:cs="宋体"/>
          <w:szCs w:val="24"/>
          <w:highlight w:val="none"/>
        </w:rPr>
        <w:t>11）法律、法规规定的其他无效情形。</w:t>
      </w:r>
    </w:p>
    <w:p w14:paraId="4315E28A">
      <w:pPr>
        <w:spacing w:line="500" w:lineRule="exact"/>
        <w:ind w:firstLine="480" w:firstLineChars="200"/>
        <w:rPr>
          <w:rFonts w:hint="eastAsia" w:hAnsi="宋体" w:cs="宋体"/>
          <w:szCs w:val="24"/>
          <w:highlight w:val="none"/>
        </w:rPr>
      </w:pPr>
      <w:r>
        <w:rPr>
          <w:rFonts w:hint="eastAsia" w:hAnsi="宋体" w:cs="宋体"/>
          <w:szCs w:val="24"/>
          <w:highlight w:val="none"/>
        </w:rPr>
        <w:t>22.8投标文件的详细评审</w:t>
      </w:r>
    </w:p>
    <w:p w14:paraId="39A08E0B">
      <w:pPr>
        <w:spacing w:line="500" w:lineRule="exact"/>
        <w:ind w:firstLine="480" w:firstLineChars="200"/>
        <w:rPr>
          <w:rFonts w:hint="eastAsia" w:hAnsi="宋体" w:cs="宋体"/>
          <w:szCs w:val="24"/>
          <w:highlight w:val="none"/>
        </w:rPr>
      </w:pPr>
      <w:r>
        <w:rPr>
          <w:rFonts w:hint="eastAsia" w:hAnsi="宋体" w:cs="宋体"/>
          <w:szCs w:val="24"/>
          <w:highlight w:val="none"/>
        </w:rPr>
        <w:t>22.8.1评标委员会将按照本须知第22.5.4条规定，只对确定为实质性响应招标文件要求的投标进行详细评审。</w:t>
      </w:r>
    </w:p>
    <w:p w14:paraId="5F760187">
      <w:pPr>
        <w:spacing w:line="500" w:lineRule="exact"/>
        <w:ind w:firstLine="480" w:firstLineChars="200"/>
        <w:rPr>
          <w:rFonts w:hint="eastAsia" w:hAnsi="宋体" w:cs="宋体"/>
          <w:szCs w:val="24"/>
          <w:highlight w:val="none"/>
        </w:rPr>
      </w:pPr>
      <w:r>
        <w:rPr>
          <w:rFonts w:hint="eastAsia" w:hAnsi="宋体" w:cs="宋体"/>
          <w:szCs w:val="24"/>
          <w:highlight w:val="none"/>
        </w:rPr>
        <w:t>22.8.2详细评审按照第五章“评标方法”的评标方法进行。</w:t>
      </w:r>
    </w:p>
    <w:p w14:paraId="4D258776">
      <w:pPr>
        <w:spacing w:line="500" w:lineRule="exact"/>
        <w:ind w:firstLine="480" w:firstLineChars="200"/>
        <w:rPr>
          <w:rFonts w:hint="eastAsia" w:hAnsi="宋体" w:cs="宋体"/>
          <w:szCs w:val="24"/>
          <w:highlight w:val="none"/>
        </w:rPr>
      </w:pPr>
      <w:r>
        <w:rPr>
          <w:rFonts w:hint="eastAsia" w:hAnsi="宋体" w:cs="宋体"/>
          <w:szCs w:val="24"/>
          <w:highlight w:val="none"/>
        </w:rPr>
        <w:t>22.9中标候选人的确定</w:t>
      </w:r>
    </w:p>
    <w:p w14:paraId="33CA9787">
      <w:pPr>
        <w:spacing w:line="500" w:lineRule="exact"/>
        <w:ind w:firstLine="480" w:firstLineChars="200"/>
        <w:rPr>
          <w:rFonts w:hint="eastAsia"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7E23F1D4">
      <w:pPr>
        <w:spacing w:line="500" w:lineRule="exact"/>
        <w:rPr>
          <w:rFonts w:hint="eastAsia" w:hAnsi="宋体" w:cs="宋体"/>
          <w:b/>
          <w:szCs w:val="24"/>
          <w:highlight w:val="none"/>
        </w:rPr>
      </w:pPr>
      <w:r>
        <w:rPr>
          <w:rFonts w:hint="eastAsia" w:hAnsi="宋体" w:cs="宋体"/>
          <w:b/>
          <w:szCs w:val="24"/>
          <w:highlight w:val="none"/>
        </w:rPr>
        <w:t>23．评标过程的保密</w:t>
      </w:r>
    </w:p>
    <w:p w14:paraId="44013F69">
      <w:pPr>
        <w:spacing w:line="500" w:lineRule="exact"/>
        <w:ind w:firstLine="480" w:firstLineChars="200"/>
        <w:rPr>
          <w:rFonts w:hint="eastAsia"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7EEA8079">
      <w:pPr>
        <w:spacing w:line="500" w:lineRule="exact"/>
        <w:ind w:firstLine="480" w:firstLineChars="200"/>
        <w:rPr>
          <w:rFonts w:hint="eastAsia" w:hAnsi="宋体" w:cs="宋体"/>
          <w:szCs w:val="24"/>
          <w:highlight w:val="none"/>
        </w:rPr>
      </w:pPr>
      <w:r>
        <w:rPr>
          <w:rFonts w:hint="eastAsia" w:hAnsi="宋体" w:cs="宋体"/>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14:paraId="054FA04A">
      <w:pPr>
        <w:spacing w:line="500" w:lineRule="exact"/>
        <w:rPr>
          <w:rFonts w:hint="eastAsia" w:hAnsi="宋体" w:cs="宋体"/>
          <w:b/>
          <w:szCs w:val="24"/>
          <w:highlight w:val="none"/>
        </w:rPr>
      </w:pPr>
      <w:r>
        <w:rPr>
          <w:rFonts w:hint="eastAsia" w:hAnsi="宋体" w:cs="宋体"/>
          <w:b/>
          <w:szCs w:val="24"/>
          <w:highlight w:val="none"/>
        </w:rPr>
        <w:t>24．评标方法</w:t>
      </w:r>
    </w:p>
    <w:p w14:paraId="5AC4F3F3">
      <w:pPr>
        <w:spacing w:line="500" w:lineRule="exact"/>
        <w:ind w:firstLine="480" w:firstLineChars="200"/>
        <w:rPr>
          <w:rFonts w:hint="eastAsia"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50CF8C8A">
      <w:pPr>
        <w:pStyle w:val="17"/>
        <w:spacing w:before="0" w:beforeAutospacing="0" w:after="0" w:afterAutospacing="0" w:line="500" w:lineRule="exact"/>
        <w:ind w:firstLine="480" w:firstLineChars="200"/>
        <w:jc w:val="both"/>
        <w:rPr>
          <w:rFonts w:hint="eastAsia" w:cs="宋体"/>
          <w:highlight w:val="none"/>
        </w:rPr>
      </w:pPr>
      <w:r>
        <w:rPr>
          <w:rFonts w:hint="eastAsia" w:cs="宋体"/>
          <w:highlight w:val="none"/>
        </w:rPr>
        <w:t>1）最低评标价法，即在全部满足招标文件实质性要求前提下，且投标报价最低的供应商为中标候选人的评标方法。</w:t>
      </w:r>
    </w:p>
    <w:p w14:paraId="454F6D1D">
      <w:pPr>
        <w:spacing w:line="500" w:lineRule="exact"/>
        <w:ind w:firstLine="480" w:firstLineChars="200"/>
        <w:rPr>
          <w:rFonts w:hint="eastAsia"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1319C95B">
      <w:pPr>
        <w:spacing w:line="500" w:lineRule="exact"/>
        <w:rPr>
          <w:rFonts w:hint="eastAsia" w:hAnsi="宋体" w:cs="宋体"/>
          <w:b/>
          <w:szCs w:val="24"/>
          <w:highlight w:val="none"/>
        </w:rPr>
      </w:pPr>
      <w:r>
        <w:rPr>
          <w:rFonts w:hint="eastAsia" w:hAnsi="宋体" w:cs="宋体"/>
          <w:b/>
          <w:szCs w:val="24"/>
          <w:highlight w:val="none"/>
        </w:rPr>
        <w:t>25．评标程序</w:t>
      </w:r>
    </w:p>
    <w:p w14:paraId="5F4E5709">
      <w:pPr>
        <w:spacing w:line="500" w:lineRule="exact"/>
        <w:ind w:firstLine="480" w:firstLineChars="200"/>
        <w:rPr>
          <w:rFonts w:hint="eastAsia" w:hAnsi="宋体" w:cs="宋体"/>
          <w:highlight w:val="none"/>
        </w:rPr>
      </w:pPr>
      <w:r>
        <w:rPr>
          <w:rFonts w:hint="eastAsia" w:hAnsi="宋体" w:cs="宋体"/>
          <w:szCs w:val="24"/>
          <w:highlight w:val="none"/>
        </w:rPr>
        <w:t>按照投标文件初审、澄清有关问题、比较与评价、推荐中标候选人名单的工作程序进行评标。在上一步评审中供应商被认定无效投标者，不进入下一步的评审。</w:t>
      </w:r>
    </w:p>
    <w:p w14:paraId="5B6DF033">
      <w:pPr>
        <w:spacing w:line="500" w:lineRule="exact"/>
        <w:jc w:val="center"/>
        <w:rPr>
          <w:rFonts w:hint="eastAsia" w:hAnsi="宋体" w:cs="宋体"/>
          <w:b/>
          <w:sz w:val="32"/>
          <w:szCs w:val="32"/>
          <w:highlight w:val="none"/>
        </w:rPr>
      </w:pPr>
      <w:bookmarkStart w:id="51" w:name="_Toc403077644"/>
      <w:bookmarkStart w:id="52" w:name="_Toc363474022"/>
      <w:bookmarkStart w:id="53" w:name="_Toc363473977"/>
      <w:r>
        <w:rPr>
          <w:rFonts w:hint="eastAsia" w:hAnsi="宋体" w:cs="宋体"/>
          <w:b/>
          <w:sz w:val="32"/>
          <w:szCs w:val="32"/>
          <w:highlight w:val="none"/>
        </w:rPr>
        <w:t>六.定标、中标通知与签约</w:t>
      </w:r>
      <w:bookmarkEnd w:id="51"/>
      <w:bookmarkEnd w:id="52"/>
      <w:bookmarkEnd w:id="53"/>
    </w:p>
    <w:p w14:paraId="23A4BF01">
      <w:pPr>
        <w:spacing w:line="500" w:lineRule="exact"/>
        <w:rPr>
          <w:rFonts w:hint="eastAsia" w:hAnsi="宋体" w:cs="宋体"/>
          <w:b/>
          <w:szCs w:val="24"/>
          <w:highlight w:val="none"/>
        </w:rPr>
      </w:pPr>
      <w:r>
        <w:rPr>
          <w:rFonts w:hint="eastAsia" w:hAnsi="宋体" w:cs="宋体"/>
          <w:b/>
          <w:szCs w:val="24"/>
          <w:highlight w:val="none"/>
        </w:rPr>
        <w:t>26．定标程序</w:t>
      </w:r>
    </w:p>
    <w:p w14:paraId="0240411D">
      <w:pPr>
        <w:spacing w:line="500" w:lineRule="exact"/>
        <w:ind w:firstLine="480" w:firstLineChars="200"/>
        <w:rPr>
          <w:rFonts w:hint="eastAsia" w:hAnsi="宋体" w:cs="宋体"/>
          <w:szCs w:val="24"/>
          <w:highlight w:val="none"/>
        </w:rPr>
      </w:pPr>
      <w:r>
        <w:rPr>
          <w:rFonts w:hint="eastAsia" w:hAnsi="宋体" w:cs="宋体"/>
          <w:szCs w:val="24"/>
          <w:highlight w:val="none"/>
        </w:rPr>
        <w:t>26.1评标委员会根据评标方法的规定对供应商进行评审排序，推荐3名中标候选人，作为评标结果。评标结果由评标委员会成员签字确认。</w:t>
      </w:r>
    </w:p>
    <w:p w14:paraId="760EAE67">
      <w:pPr>
        <w:spacing w:line="500" w:lineRule="exact"/>
        <w:ind w:firstLine="420" w:firstLineChars="175"/>
        <w:rPr>
          <w:rFonts w:hint="eastAsia"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2C45A074">
      <w:pPr>
        <w:spacing w:line="500" w:lineRule="exact"/>
        <w:ind w:firstLine="480" w:firstLineChars="200"/>
        <w:rPr>
          <w:rFonts w:hint="eastAsia"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06295670">
      <w:pPr>
        <w:spacing w:line="500" w:lineRule="exact"/>
        <w:ind w:firstLine="480" w:firstLineChars="200"/>
        <w:rPr>
          <w:rFonts w:hint="eastAsia" w:hAnsi="宋体" w:cs="宋体"/>
          <w:szCs w:val="24"/>
          <w:highlight w:val="none"/>
        </w:rPr>
      </w:pPr>
      <w:r>
        <w:rPr>
          <w:rFonts w:hint="eastAsia" w:hAnsi="宋体" w:cs="宋体"/>
          <w:szCs w:val="24"/>
          <w:highlight w:val="none"/>
        </w:rPr>
        <w:t>26.4采购人也可以授权评标委员会评标后直接确定中标人。</w:t>
      </w:r>
    </w:p>
    <w:p w14:paraId="7AE5C76C">
      <w:pPr>
        <w:spacing w:line="500" w:lineRule="exact"/>
        <w:ind w:firstLine="480" w:firstLineChars="200"/>
        <w:rPr>
          <w:rFonts w:hint="eastAsia"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5C20780A">
      <w:pPr>
        <w:spacing w:line="500" w:lineRule="exact"/>
        <w:ind w:firstLine="480" w:firstLineChars="200"/>
        <w:rPr>
          <w:rFonts w:hint="eastAsia" w:hAnsi="宋体" w:cs="宋体"/>
          <w:szCs w:val="24"/>
          <w:highlight w:val="none"/>
        </w:rPr>
      </w:pPr>
      <w:r>
        <w:rPr>
          <w:rFonts w:hint="eastAsia" w:hAnsi="宋体" w:cs="宋体"/>
          <w:szCs w:val="24"/>
          <w:highlight w:val="none"/>
        </w:rPr>
        <w:t>26.6供应商或者其他利害关系人对评标结果有异议的，应当在法律规定的时间内提出。</w:t>
      </w:r>
    </w:p>
    <w:p w14:paraId="64A9F092">
      <w:pPr>
        <w:spacing w:line="500" w:lineRule="exact"/>
        <w:rPr>
          <w:rFonts w:hint="eastAsia" w:hAnsi="宋体" w:cs="宋体"/>
          <w:b/>
          <w:szCs w:val="24"/>
          <w:highlight w:val="none"/>
        </w:rPr>
      </w:pPr>
      <w:r>
        <w:rPr>
          <w:rFonts w:hint="eastAsia" w:hAnsi="宋体" w:cs="宋体"/>
          <w:b/>
          <w:szCs w:val="24"/>
          <w:highlight w:val="none"/>
        </w:rPr>
        <w:t>27．中标和落标通知</w:t>
      </w:r>
    </w:p>
    <w:p w14:paraId="667F022E">
      <w:pPr>
        <w:spacing w:line="500" w:lineRule="exact"/>
        <w:ind w:firstLine="480" w:firstLineChars="200"/>
        <w:rPr>
          <w:rFonts w:hint="eastAsia"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中标人领取中标通知书时须携带法定代表人或负责人授权书及加盖单位公章的被授权人身份证复印件。</w:t>
      </w:r>
    </w:p>
    <w:p w14:paraId="31838331">
      <w:pPr>
        <w:spacing w:line="500" w:lineRule="exact"/>
        <w:ind w:firstLine="480" w:firstLineChars="200"/>
        <w:rPr>
          <w:rFonts w:hint="eastAsia"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1D4CB888">
      <w:pPr>
        <w:spacing w:line="500" w:lineRule="exact"/>
        <w:rPr>
          <w:rFonts w:hint="eastAsia" w:hAnsi="宋体" w:cs="宋体"/>
          <w:b/>
          <w:szCs w:val="24"/>
          <w:highlight w:val="none"/>
        </w:rPr>
      </w:pPr>
      <w:r>
        <w:rPr>
          <w:rFonts w:hint="eastAsia" w:hAnsi="宋体" w:cs="宋体"/>
          <w:b/>
          <w:szCs w:val="24"/>
          <w:highlight w:val="none"/>
        </w:rPr>
        <w:t>28. 中标合同的签订</w:t>
      </w:r>
    </w:p>
    <w:p w14:paraId="2350090F">
      <w:pPr>
        <w:spacing w:line="500" w:lineRule="exact"/>
        <w:ind w:firstLine="480" w:firstLineChars="200"/>
        <w:rPr>
          <w:rFonts w:hint="eastAsia"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50783B25">
      <w:pPr>
        <w:spacing w:line="500" w:lineRule="exact"/>
        <w:ind w:firstLine="480" w:firstLineChars="200"/>
        <w:rPr>
          <w:rFonts w:hint="eastAsia"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2F81EB36">
      <w:pPr>
        <w:spacing w:line="500" w:lineRule="exact"/>
        <w:rPr>
          <w:rFonts w:hint="eastAsia" w:hAnsi="宋体" w:cs="宋体"/>
          <w:b/>
          <w:szCs w:val="24"/>
          <w:highlight w:val="none"/>
        </w:rPr>
      </w:pPr>
      <w:r>
        <w:rPr>
          <w:rFonts w:hint="eastAsia" w:hAnsi="宋体" w:cs="宋体"/>
          <w:b/>
          <w:szCs w:val="24"/>
          <w:highlight w:val="none"/>
        </w:rPr>
        <w:t>29．招标代理服务费</w:t>
      </w:r>
    </w:p>
    <w:p w14:paraId="26293842">
      <w:pPr>
        <w:spacing w:line="500" w:lineRule="exact"/>
        <w:ind w:firstLine="480" w:firstLineChars="200"/>
        <w:rPr>
          <w:rFonts w:hint="eastAsia"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招标代理服务费的计算方法：以中标金额为基数，依据国家计委颁布《招标代理服务收费管理暂行办法》（计价格[2002]1980号）文件的有关规定执行。</w:t>
      </w:r>
    </w:p>
    <w:p w14:paraId="165FF3F3">
      <w:pPr>
        <w:spacing w:line="500" w:lineRule="exact"/>
        <w:ind w:firstLine="480" w:firstLineChars="200"/>
        <w:rPr>
          <w:rFonts w:hint="eastAsia"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中标单位在领取中标通知书前，须向采购代理机构一次性支付招标代理服务费。</w:t>
      </w:r>
    </w:p>
    <w:p w14:paraId="7A1E7F0D">
      <w:pPr>
        <w:spacing w:line="500" w:lineRule="exact"/>
        <w:rPr>
          <w:rFonts w:hint="eastAsia" w:hAnsi="宋体" w:cs="宋体"/>
          <w:b/>
          <w:bCs/>
          <w:szCs w:val="24"/>
          <w:highlight w:val="none"/>
        </w:rPr>
      </w:pPr>
      <w:r>
        <w:rPr>
          <w:rFonts w:hint="eastAsia" w:hAnsi="宋体" w:cs="宋体"/>
          <w:b/>
          <w:bCs/>
          <w:szCs w:val="24"/>
          <w:highlight w:val="none"/>
        </w:rPr>
        <w:t>30.质疑</w:t>
      </w:r>
    </w:p>
    <w:p w14:paraId="7EFD0463">
      <w:pPr>
        <w:spacing w:line="500" w:lineRule="exact"/>
        <w:ind w:right="12" w:firstLine="480"/>
        <w:rPr>
          <w:rFonts w:hint="eastAsia" w:hAnsi="宋体" w:cs="宋体"/>
          <w:szCs w:val="24"/>
          <w:highlight w:val="none"/>
        </w:rPr>
      </w:pPr>
      <w:r>
        <w:rPr>
          <w:rFonts w:hint="eastAsia" w:hAnsi="宋体" w:cs="宋体"/>
          <w:szCs w:val="24"/>
          <w:highlight w:val="none"/>
        </w:rPr>
        <w:t>30.1供应商认为招标文件、招标过程、中标结果使自己的权益受到损害的，可以在知道或者应知其权益受到损害之日起7个工作日内，以书面形式向采购人、采购代理机构提出质疑。</w:t>
      </w:r>
    </w:p>
    <w:p w14:paraId="4B9E551B">
      <w:pPr>
        <w:spacing w:line="500" w:lineRule="exact"/>
        <w:ind w:right="12" w:firstLine="480"/>
        <w:rPr>
          <w:rStyle w:val="21"/>
          <w:rFonts w:hint="eastAsia"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1433D27D">
      <w:pPr>
        <w:spacing w:line="500" w:lineRule="exact"/>
        <w:ind w:left="3" w:firstLine="518" w:firstLineChars="216"/>
        <w:rPr>
          <w:rStyle w:val="21"/>
          <w:rFonts w:hint="eastAsia" w:hAnsi="宋体" w:cs="宋体"/>
          <w:b w:val="0"/>
          <w:szCs w:val="24"/>
          <w:highlight w:val="none"/>
          <w:shd w:val="clear" w:color="auto" w:fill="FFFFFF"/>
        </w:rPr>
      </w:pPr>
      <w:r>
        <w:rPr>
          <w:rStyle w:val="21"/>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231ECB8C">
      <w:pPr>
        <w:spacing w:line="500" w:lineRule="exact"/>
        <w:ind w:left="3" w:firstLine="518" w:firstLineChars="216"/>
        <w:rPr>
          <w:rStyle w:val="21"/>
          <w:rFonts w:hint="eastAsia" w:hAnsi="宋体" w:cs="宋体"/>
          <w:b w:val="0"/>
          <w:szCs w:val="24"/>
          <w:highlight w:val="none"/>
          <w:shd w:val="clear" w:color="auto" w:fill="FFFFFF"/>
        </w:rPr>
      </w:pPr>
      <w:r>
        <w:rPr>
          <w:rStyle w:val="21"/>
          <w:rFonts w:hint="eastAsia" w:hAnsi="宋体" w:cs="宋体"/>
          <w:b w:val="0"/>
          <w:szCs w:val="24"/>
          <w:highlight w:val="none"/>
          <w:shd w:val="clear" w:color="auto" w:fill="FFFFFF"/>
        </w:rPr>
        <w:t>30.4以联合体形式参加政府采购活动的，其质疑应当由组成联合体的所有供应商共同提出。</w:t>
      </w:r>
    </w:p>
    <w:p w14:paraId="6F736DEF">
      <w:pPr>
        <w:spacing w:line="500" w:lineRule="exact"/>
        <w:ind w:right="12" w:firstLine="480"/>
        <w:rPr>
          <w:rFonts w:hint="eastAsia"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A4D4CE1">
      <w:pPr>
        <w:spacing w:line="500" w:lineRule="exact"/>
        <w:ind w:right="12" w:firstLine="480"/>
        <w:rPr>
          <w:rFonts w:hint="eastAsia" w:hAnsi="宋体" w:cs="宋体"/>
          <w:szCs w:val="24"/>
          <w:highlight w:val="none"/>
        </w:rPr>
      </w:pPr>
      <w:r>
        <w:rPr>
          <w:rFonts w:hint="eastAsia" w:hAnsi="宋体" w:cs="宋体"/>
          <w:szCs w:val="24"/>
          <w:highlight w:val="none"/>
        </w:rPr>
        <w:t>30.5.1供应商的姓名或者名称、地址、邮编、联系人及联系电话；</w:t>
      </w:r>
    </w:p>
    <w:p w14:paraId="428B32AC">
      <w:pPr>
        <w:spacing w:line="500" w:lineRule="exact"/>
        <w:ind w:right="12" w:firstLine="480"/>
        <w:rPr>
          <w:rFonts w:hint="eastAsia" w:hAnsi="宋体" w:cs="宋体"/>
          <w:szCs w:val="24"/>
          <w:highlight w:val="none"/>
        </w:rPr>
      </w:pPr>
      <w:r>
        <w:rPr>
          <w:rFonts w:hint="eastAsia" w:hAnsi="宋体" w:cs="宋体"/>
          <w:szCs w:val="24"/>
          <w:highlight w:val="none"/>
        </w:rPr>
        <w:t>30.5.2质疑项目的名称、编号；</w:t>
      </w:r>
    </w:p>
    <w:p w14:paraId="7123CFA4">
      <w:pPr>
        <w:spacing w:line="500" w:lineRule="exact"/>
        <w:ind w:right="12" w:firstLine="480"/>
        <w:rPr>
          <w:rFonts w:hint="eastAsia" w:hAnsi="宋体" w:cs="宋体"/>
          <w:szCs w:val="24"/>
          <w:highlight w:val="none"/>
        </w:rPr>
      </w:pPr>
      <w:r>
        <w:rPr>
          <w:rFonts w:hint="eastAsia" w:hAnsi="宋体" w:cs="宋体"/>
          <w:szCs w:val="24"/>
          <w:highlight w:val="none"/>
        </w:rPr>
        <w:t>30.5.3具体、明确的质疑事项和与质疑事项相关的请求；</w:t>
      </w:r>
    </w:p>
    <w:p w14:paraId="05E1BAA5">
      <w:pPr>
        <w:spacing w:line="500" w:lineRule="exact"/>
        <w:ind w:right="12" w:firstLine="480"/>
        <w:rPr>
          <w:rFonts w:hint="eastAsia" w:hAnsi="宋体" w:cs="宋体"/>
          <w:szCs w:val="24"/>
          <w:highlight w:val="none"/>
        </w:rPr>
      </w:pPr>
      <w:r>
        <w:rPr>
          <w:rFonts w:hint="eastAsia" w:hAnsi="宋体" w:cs="宋体"/>
          <w:szCs w:val="24"/>
          <w:highlight w:val="none"/>
        </w:rPr>
        <w:t>30.5.4事实依据；</w:t>
      </w:r>
    </w:p>
    <w:p w14:paraId="3FC20D5B">
      <w:pPr>
        <w:spacing w:line="500" w:lineRule="exact"/>
        <w:ind w:right="12" w:firstLine="480"/>
        <w:rPr>
          <w:rFonts w:hint="eastAsia" w:hAnsi="宋体" w:cs="宋体"/>
          <w:szCs w:val="24"/>
          <w:highlight w:val="none"/>
        </w:rPr>
      </w:pPr>
      <w:r>
        <w:rPr>
          <w:rFonts w:hint="eastAsia" w:hAnsi="宋体" w:cs="宋体"/>
          <w:szCs w:val="24"/>
          <w:highlight w:val="none"/>
        </w:rPr>
        <w:t>30.5.5必要的法律依据；</w:t>
      </w:r>
    </w:p>
    <w:p w14:paraId="1287257E">
      <w:pPr>
        <w:spacing w:line="500" w:lineRule="exact"/>
        <w:ind w:right="12" w:firstLine="480"/>
        <w:rPr>
          <w:rFonts w:hint="eastAsia" w:hAnsi="宋体" w:cs="宋体"/>
          <w:szCs w:val="24"/>
          <w:highlight w:val="none"/>
        </w:rPr>
      </w:pPr>
      <w:r>
        <w:rPr>
          <w:rFonts w:hint="eastAsia" w:hAnsi="宋体" w:cs="宋体"/>
          <w:szCs w:val="24"/>
          <w:highlight w:val="none"/>
        </w:rPr>
        <w:t>30.5.6提出质疑的日期。</w:t>
      </w:r>
    </w:p>
    <w:p w14:paraId="65B6068C">
      <w:pPr>
        <w:spacing w:line="500" w:lineRule="exact"/>
        <w:ind w:right="12" w:firstLine="480"/>
        <w:rPr>
          <w:rFonts w:hint="eastAsia" w:hAnsi="宋体" w:cs="宋体"/>
          <w:szCs w:val="24"/>
          <w:highlight w:val="none"/>
        </w:rPr>
      </w:pPr>
      <w:r>
        <w:rPr>
          <w:rFonts w:hint="eastAsia" w:hAnsi="宋体" w:cs="宋体"/>
          <w:szCs w:val="24"/>
          <w:highlight w:val="none"/>
        </w:rPr>
        <w:t>30.6有下列情形之一的，属于无效质疑，采购代理机构和采购人不予受理：</w:t>
      </w:r>
    </w:p>
    <w:p w14:paraId="13261668">
      <w:pPr>
        <w:spacing w:line="500" w:lineRule="exact"/>
        <w:ind w:right="12" w:firstLine="480"/>
        <w:rPr>
          <w:rFonts w:hint="eastAsia" w:hAnsi="宋体" w:cs="宋体"/>
          <w:szCs w:val="24"/>
          <w:highlight w:val="none"/>
        </w:rPr>
      </w:pPr>
      <w:r>
        <w:rPr>
          <w:rFonts w:hint="eastAsia" w:hAnsi="宋体" w:cs="宋体"/>
          <w:szCs w:val="24"/>
          <w:highlight w:val="none"/>
        </w:rPr>
        <w:t>30.6.1质疑供应商不是参与本次政府采购项目的供应商；</w:t>
      </w:r>
    </w:p>
    <w:p w14:paraId="37365CB0">
      <w:pPr>
        <w:spacing w:line="500" w:lineRule="exact"/>
        <w:ind w:right="12" w:firstLine="480"/>
        <w:rPr>
          <w:rFonts w:hint="eastAsia" w:hAnsi="宋体" w:cs="宋体"/>
          <w:szCs w:val="24"/>
          <w:highlight w:val="none"/>
        </w:rPr>
      </w:pPr>
      <w:r>
        <w:rPr>
          <w:rFonts w:hint="eastAsia" w:hAnsi="宋体" w:cs="宋体"/>
          <w:szCs w:val="24"/>
          <w:highlight w:val="none"/>
        </w:rPr>
        <w:t>30.6.2质疑供应商与质疑事项不存在利害关系的；</w:t>
      </w:r>
    </w:p>
    <w:p w14:paraId="3B8E9BA9">
      <w:pPr>
        <w:spacing w:line="500" w:lineRule="exact"/>
        <w:ind w:right="12" w:firstLine="480"/>
        <w:rPr>
          <w:rFonts w:hint="eastAsia" w:hAnsi="宋体" w:cs="宋体"/>
          <w:szCs w:val="24"/>
          <w:highlight w:val="none"/>
        </w:rPr>
      </w:pPr>
      <w:r>
        <w:rPr>
          <w:rFonts w:hint="eastAsia" w:hAnsi="宋体" w:cs="宋体"/>
          <w:szCs w:val="24"/>
          <w:highlight w:val="none"/>
        </w:rPr>
        <w:t>30.6.3未在法定期限内提出质疑的；</w:t>
      </w:r>
    </w:p>
    <w:p w14:paraId="68F6866C">
      <w:pPr>
        <w:spacing w:line="500" w:lineRule="exact"/>
        <w:ind w:right="12" w:firstLine="480"/>
        <w:rPr>
          <w:rFonts w:hint="eastAsia" w:hAnsi="宋体" w:cs="宋体"/>
          <w:szCs w:val="24"/>
          <w:highlight w:val="none"/>
        </w:rPr>
      </w:pPr>
      <w:r>
        <w:rPr>
          <w:rFonts w:hint="eastAsia" w:hAnsi="宋体" w:cs="宋体"/>
          <w:szCs w:val="24"/>
          <w:highlight w:val="none"/>
        </w:rPr>
        <w:t>30.6.4质疑未以书面形式提出，或质疑函主要内容构成不完整的；</w:t>
      </w:r>
    </w:p>
    <w:p w14:paraId="548FC9E1">
      <w:pPr>
        <w:spacing w:line="500" w:lineRule="exact"/>
        <w:ind w:right="12" w:firstLine="480"/>
        <w:rPr>
          <w:rFonts w:hint="eastAsia" w:hAnsi="宋体" w:cs="宋体"/>
          <w:szCs w:val="24"/>
          <w:highlight w:val="none"/>
        </w:rPr>
      </w:pPr>
      <w:r>
        <w:rPr>
          <w:rFonts w:hint="eastAsia" w:hAnsi="宋体" w:cs="宋体"/>
          <w:szCs w:val="24"/>
          <w:highlight w:val="none"/>
        </w:rPr>
        <w:t>30.6.5应当提交授权书而未提交的；</w:t>
      </w:r>
    </w:p>
    <w:p w14:paraId="2B40A51D">
      <w:pPr>
        <w:spacing w:line="500" w:lineRule="exact"/>
        <w:ind w:right="12" w:firstLine="480"/>
        <w:rPr>
          <w:rFonts w:hint="eastAsia" w:hAnsi="宋体" w:cs="宋体"/>
          <w:szCs w:val="24"/>
          <w:highlight w:val="none"/>
        </w:rPr>
      </w:pPr>
      <w:r>
        <w:rPr>
          <w:rFonts w:hint="eastAsia" w:hAnsi="宋体" w:cs="宋体"/>
          <w:szCs w:val="24"/>
          <w:highlight w:val="none"/>
        </w:rPr>
        <w:t>30.6.6以非法手段取得证据、材料的；</w:t>
      </w:r>
    </w:p>
    <w:p w14:paraId="6A0B2459">
      <w:pPr>
        <w:spacing w:line="500" w:lineRule="exact"/>
        <w:ind w:right="12" w:firstLine="480"/>
        <w:rPr>
          <w:rFonts w:hint="eastAsia" w:hAnsi="宋体" w:cs="宋体"/>
          <w:szCs w:val="24"/>
          <w:highlight w:val="none"/>
        </w:rPr>
      </w:pPr>
      <w:r>
        <w:rPr>
          <w:rFonts w:hint="eastAsia" w:hAnsi="宋体" w:cs="宋体"/>
          <w:szCs w:val="24"/>
          <w:highlight w:val="none"/>
        </w:rPr>
        <w:t>30.6.7质疑答复后，同一质疑人就同一事项或同一采购程序环节再次提出质疑的；</w:t>
      </w:r>
    </w:p>
    <w:p w14:paraId="487E49DE">
      <w:pPr>
        <w:spacing w:line="500" w:lineRule="exact"/>
        <w:ind w:right="12" w:firstLine="480"/>
        <w:rPr>
          <w:rFonts w:hint="eastAsia" w:hAnsi="宋体" w:cs="宋体"/>
          <w:szCs w:val="24"/>
          <w:highlight w:val="none"/>
        </w:rPr>
      </w:pPr>
      <w:r>
        <w:rPr>
          <w:rFonts w:hint="eastAsia" w:hAnsi="宋体" w:cs="宋体"/>
          <w:szCs w:val="24"/>
          <w:highlight w:val="none"/>
        </w:rPr>
        <w:t>30.6.8不符合法律、法规、规章和政府采购监管机构规定的其他条件的。</w:t>
      </w:r>
    </w:p>
    <w:p w14:paraId="2FE493D4">
      <w:pPr>
        <w:spacing w:line="500" w:lineRule="exact"/>
        <w:ind w:right="12" w:firstLine="480"/>
        <w:rPr>
          <w:rFonts w:hint="eastAsia" w:hAnsi="宋体" w:cs="宋体"/>
          <w:szCs w:val="24"/>
          <w:highlight w:val="none"/>
        </w:rPr>
      </w:pPr>
      <w:r>
        <w:rPr>
          <w:rFonts w:hint="eastAsia" w:hAnsi="宋体" w:cs="宋体"/>
          <w:szCs w:val="24"/>
          <w:highlight w:val="none"/>
        </w:rPr>
        <w:t>30.7质疑答复</w:t>
      </w:r>
    </w:p>
    <w:p w14:paraId="6F07FF1C">
      <w:pPr>
        <w:spacing w:line="500" w:lineRule="exact"/>
        <w:ind w:right="12" w:firstLine="480"/>
        <w:rPr>
          <w:rFonts w:hint="eastAsia" w:hAnsi="宋体" w:cs="宋体"/>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14:paraId="20D2BFDF">
      <w:pPr>
        <w:spacing w:line="500" w:lineRule="exact"/>
        <w:ind w:right="12" w:firstLine="480"/>
        <w:rPr>
          <w:rFonts w:hint="eastAsia" w:hAnsi="宋体" w:cs="宋体"/>
          <w:szCs w:val="24"/>
          <w:highlight w:val="none"/>
        </w:rPr>
      </w:pPr>
      <w:r>
        <w:rPr>
          <w:rFonts w:hint="eastAsia" w:hAnsi="宋体" w:cs="宋体"/>
          <w:szCs w:val="24"/>
          <w:highlight w:val="none"/>
        </w:rPr>
        <w:t>30.7.2质疑供应商对采购人、采购代理机构的答复不满意，或者采购人、采购代理机构未在规定时间内作出答复的，可以在答复期满后15个工作日内向项目主管财政部门提起投诉。</w:t>
      </w:r>
    </w:p>
    <w:p w14:paraId="50179AAA">
      <w:pPr>
        <w:spacing w:line="500" w:lineRule="exact"/>
        <w:ind w:right="12" w:firstLine="480"/>
        <w:rPr>
          <w:rFonts w:hint="eastAsia"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34953EA1">
      <w:pPr>
        <w:pStyle w:val="24"/>
        <w:spacing w:line="500" w:lineRule="exact"/>
        <w:ind w:firstLine="480" w:firstLineChars="0"/>
        <w:jc w:val="left"/>
        <w:rPr>
          <w:rFonts w:hint="eastAsia" w:hAnsi="宋体" w:cs="宋体"/>
          <w:szCs w:val="24"/>
          <w:highlight w:val="none"/>
        </w:rPr>
      </w:pPr>
      <w:r>
        <w:rPr>
          <w:rFonts w:hint="eastAsia" w:hAnsi="宋体" w:cs="宋体"/>
          <w:szCs w:val="24"/>
          <w:highlight w:val="none"/>
        </w:rPr>
        <w:t>http://gks.mof.gov.cn/zhengfucaigouguanli/201802/t20180201_2804589.html</w:t>
      </w:r>
    </w:p>
    <w:p w14:paraId="5C907C48">
      <w:pPr>
        <w:pStyle w:val="24"/>
        <w:spacing w:line="500" w:lineRule="exact"/>
        <w:ind w:firstLine="480" w:firstLineChars="0"/>
        <w:jc w:val="left"/>
        <w:rPr>
          <w:rFonts w:hint="eastAsia" w:hAnsi="宋体" w:cs="宋体"/>
          <w:szCs w:val="24"/>
          <w:highlight w:val="none"/>
        </w:rPr>
      </w:pPr>
      <w:r>
        <w:rPr>
          <w:rFonts w:hint="eastAsia" w:hAnsi="宋体" w:cs="宋体"/>
          <w:szCs w:val="24"/>
          <w:highlight w:val="none"/>
        </w:rPr>
        <w:t>30.8.2接收质疑函的方式：书面形式</w:t>
      </w:r>
    </w:p>
    <w:p w14:paraId="2DFCAF2C">
      <w:pPr>
        <w:pStyle w:val="24"/>
        <w:spacing w:line="500" w:lineRule="exact"/>
        <w:ind w:firstLine="480" w:firstLineChars="0"/>
        <w:jc w:val="left"/>
        <w:rPr>
          <w:rFonts w:hint="eastAsia" w:hAnsi="宋体" w:cs="宋体"/>
          <w:szCs w:val="24"/>
          <w:highlight w:val="none"/>
        </w:rPr>
      </w:pPr>
      <w:r>
        <w:rPr>
          <w:rFonts w:hint="eastAsia" w:hAnsi="宋体" w:cs="宋体"/>
          <w:szCs w:val="24"/>
          <w:highlight w:val="none"/>
        </w:rPr>
        <w:t>30.8.3联系部门：陕西至诚项目管理集团有限公司前台</w:t>
      </w:r>
    </w:p>
    <w:p w14:paraId="51D8FCBB">
      <w:pPr>
        <w:pStyle w:val="24"/>
        <w:spacing w:line="500" w:lineRule="exact"/>
        <w:ind w:firstLine="480" w:firstLineChars="0"/>
        <w:jc w:val="left"/>
        <w:rPr>
          <w:rFonts w:hint="eastAsia" w:hAnsi="宋体" w:cs="宋体"/>
          <w:szCs w:val="24"/>
          <w:highlight w:val="none"/>
        </w:rPr>
      </w:pPr>
      <w:r>
        <w:rPr>
          <w:rFonts w:hint="eastAsia" w:hAnsi="宋体" w:cs="宋体"/>
          <w:szCs w:val="24"/>
          <w:highlight w:val="none"/>
        </w:rPr>
        <w:t>30.8.4联系电话：029-88219779</w:t>
      </w:r>
    </w:p>
    <w:p w14:paraId="0C64724B">
      <w:pPr>
        <w:pStyle w:val="24"/>
        <w:spacing w:line="500" w:lineRule="exact"/>
        <w:ind w:firstLine="480" w:firstLineChars="0"/>
        <w:jc w:val="left"/>
        <w:rPr>
          <w:rFonts w:hint="eastAsia" w:hAnsi="宋体" w:cs="宋体"/>
          <w:szCs w:val="24"/>
          <w:highlight w:val="none"/>
        </w:rPr>
      </w:pPr>
      <w:r>
        <w:rPr>
          <w:rFonts w:hint="eastAsia" w:hAnsi="宋体" w:cs="宋体"/>
          <w:szCs w:val="24"/>
          <w:highlight w:val="none"/>
        </w:rPr>
        <w:t>31.8.5通讯地址：陕西省西安市经济技术开发区未央路171-1号银池道拉斯财富中心21楼</w:t>
      </w:r>
    </w:p>
    <w:p w14:paraId="0481715B">
      <w:pPr>
        <w:spacing w:line="500" w:lineRule="exact"/>
        <w:rPr>
          <w:rFonts w:hint="eastAsia" w:hAnsi="宋体" w:cs="宋体"/>
          <w:szCs w:val="24"/>
          <w:highlight w:val="none"/>
        </w:rPr>
      </w:pPr>
      <w:r>
        <w:rPr>
          <w:rFonts w:hint="eastAsia" w:hAnsi="宋体" w:cs="宋体"/>
          <w:b/>
          <w:bCs/>
          <w:szCs w:val="24"/>
          <w:highlight w:val="none"/>
        </w:rPr>
        <w:t>32.其他</w:t>
      </w:r>
    </w:p>
    <w:p w14:paraId="74E655D2">
      <w:pPr>
        <w:spacing w:line="500" w:lineRule="exact"/>
        <w:ind w:firstLine="480" w:firstLineChars="200"/>
        <w:rPr>
          <w:rFonts w:hint="eastAsia" w:hAnsi="宋体" w:cs="宋体"/>
          <w:highlight w:val="none"/>
        </w:rPr>
      </w:pPr>
      <w:r>
        <w:rPr>
          <w:rFonts w:hint="eastAsia" w:hAnsi="宋体" w:cs="宋体"/>
          <w:highlight w:val="none"/>
        </w:rPr>
        <w:t>32.1 废标的情形</w:t>
      </w:r>
    </w:p>
    <w:p w14:paraId="4377481C">
      <w:pPr>
        <w:spacing w:line="500" w:lineRule="exact"/>
        <w:ind w:firstLine="480" w:firstLineChars="200"/>
        <w:rPr>
          <w:rFonts w:hint="eastAsia" w:hAnsi="宋体" w:cs="宋体"/>
          <w:highlight w:val="none"/>
        </w:rPr>
      </w:pPr>
      <w:r>
        <w:rPr>
          <w:rFonts w:hint="eastAsia" w:hAnsi="宋体" w:cs="宋体"/>
          <w:highlight w:val="none"/>
        </w:rPr>
        <w:t>32.1.1招标采购中，出现下列情形之一的，应予以废标：</w:t>
      </w:r>
    </w:p>
    <w:p w14:paraId="52162686">
      <w:pPr>
        <w:spacing w:line="500" w:lineRule="exact"/>
        <w:ind w:firstLine="480" w:firstLineChars="200"/>
        <w:rPr>
          <w:rFonts w:hint="eastAsia" w:hAnsi="宋体" w:cs="宋体"/>
          <w:highlight w:val="none"/>
        </w:rPr>
      </w:pPr>
      <w:r>
        <w:rPr>
          <w:rFonts w:hint="eastAsia" w:hAnsi="宋体" w:cs="宋体"/>
          <w:highlight w:val="none"/>
        </w:rPr>
        <w:t>（1）符合专业条件的供应商或者对招标文件作实质响应的供应商不足3家的；</w:t>
      </w:r>
    </w:p>
    <w:p w14:paraId="36D0C00B">
      <w:pPr>
        <w:spacing w:line="500" w:lineRule="exact"/>
        <w:ind w:firstLine="480" w:firstLineChars="200"/>
        <w:rPr>
          <w:rFonts w:hint="eastAsia" w:hAnsi="宋体" w:cs="宋体"/>
          <w:highlight w:val="none"/>
        </w:rPr>
      </w:pPr>
      <w:r>
        <w:rPr>
          <w:rFonts w:hint="eastAsia" w:hAnsi="宋体" w:cs="宋体"/>
          <w:highlight w:val="none"/>
        </w:rPr>
        <w:t>（2）出现影响采购公正的违法、违规行为的；</w:t>
      </w:r>
    </w:p>
    <w:p w14:paraId="016425EA">
      <w:pPr>
        <w:spacing w:line="500" w:lineRule="exact"/>
        <w:ind w:firstLine="480" w:firstLineChars="200"/>
        <w:rPr>
          <w:rFonts w:hint="eastAsia" w:hAnsi="宋体" w:cs="宋体"/>
          <w:highlight w:val="none"/>
        </w:rPr>
      </w:pPr>
      <w:r>
        <w:rPr>
          <w:rFonts w:hint="eastAsia" w:hAnsi="宋体" w:cs="宋体"/>
          <w:highlight w:val="none"/>
        </w:rPr>
        <w:t>（3）供应商的报价均超过了采购预算，采购人不能支付的；</w:t>
      </w:r>
    </w:p>
    <w:p w14:paraId="7A0F3328">
      <w:pPr>
        <w:spacing w:line="500" w:lineRule="exact"/>
        <w:ind w:firstLine="480" w:firstLineChars="200"/>
        <w:rPr>
          <w:rFonts w:hint="eastAsia" w:hAnsi="宋体" w:cs="宋体"/>
          <w:highlight w:val="none"/>
        </w:rPr>
      </w:pPr>
      <w:r>
        <w:rPr>
          <w:rFonts w:hint="eastAsia" w:hAnsi="宋体" w:cs="宋体"/>
          <w:highlight w:val="none"/>
        </w:rPr>
        <w:t>（4）因重大变故，采购任务取消的。</w:t>
      </w:r>
    </w:p>
    <w:p w14:paraId="342A8BBB">
      <w:pPr>
        <w:spacing w:line="500" w:lineRule="exact"/>
        <w:ind w:firstLine="480" w:firstLineChars="200"/>
        <w:rPr>
          <w:rFonts w:hint="eastAsia" w:hAnsi="宋体" w:cs="宋体"/>
          <w:highlight w:val="none"/>
        </w:rPr>
      </w:pPr>
      <w:r>
        <w:rPr>
          <w:rFonts w:hint="eastAsia" w:hAnsi="宋体" w:cs="宋体"/>
          <w:highlight w:val="none"/>
        </w:rPr>
        <w:t>32.1.2废标后，采购代理机构应在财政部门指定采购网上公告，并公告废标的详细理由。</w:t>
      </w:r>
    </w:p>
    <w:p w14:paraId="5F3F503C">
      <w:pPr>
        <w:spacing w:line="500" w:lineRule="exact"/>
        <w:ind w:firstLine="480" w:firstLineChars="200"/>
        <w:rPr>
          <w:rFonts w:hint="eastAsia" w:hAnsi="宋体" w:cs="宋体"/>
          <w:highlight w:val="none"/>
        </w:rPr>
      </w:pPr>
      <w:r>
        <w:rPr>
          <w:rFonts w:hint="eastAsia" w:hAnsi="宋体" w:cs="宋体"/>
          <w:highlight w:val="none"/>
        </w:rPr>
        <w:t>32.2变更采购方式</w:t>
      </w:r>
    </w:p>
    <w:p w14:paraId="1AF5FCB1">
      <w:pPr>
        <w:spacing w:line="500" w:lineRule="exact"/>
        <w:ind w:firstLine="480" w:firstLineChars="200"/>
        <w:rPr>
          <w:rFonts w:hint="eastAsia"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69EBE58B">
      <w:pPr>
        <w:spacing w:line="500" w:lineRule="exact"/>
        <w:ind w:firstLine="480" w:firstLineChars="200"/>
        <w:rPr>
          <w:rFonts w:hint="eastAsia" w:hAnsi="宋体" w:cs="宋体"/>
          <w:highlight w:val="none"/>
        </w:rPr>
      </w:pPr>
      <w:r>
        <w:rPr>
          <w:rFonts w:hint="eastAsia" w:hAnsi="宋体" w:cs="宋体"/>
          <w:highlight w:val="none"/>
        </w:rPr>
        <w:t>（1）投标截止后参加投标的人不足3家的；</w:t>
      </w:r>
    </w:p>
    <w:p w14:paraId="19D1FE22">
      <w:pPr>
        <w:spacing w:line="500" w:lineRule="exact"/>
        <w:ind w:firstLine="480" w:firstLineChars="200"/>
        <w:rPr>
          <w:rFonts w:hint="eastAsia" w:hAnsi="宋体" w:cs="宋体"/>
          <w:highlight w:val="none"/>
        </w:rPr>
      </w:pPr>
      <w:r>
        <w:rPr>
          <w:rFonts w:hint="eastAsia" w:hAnsi="宋体" w:cs="宋体"/>
          <w:highlight w:val="none"/>
        </w:rPr>
        <w:t>（2）通过资格审查的供应商不足3家的；</w:t>
      </w:r>
    </w:p>
    <w:p w14:paraId="280F22C3">
      <w:pPr>
        <w:spacing w:line="500" w:lineRule="exact"/>
        <w:ind w:firstLine="480" w:firstLineChars="200"/>
        <w:rPr>
          <w:rFonts w:hint="eastAsia" w:hAnsi="宋体" w:cs="宋体"/>
          <w:highlight w:val="none"/>
        </w:rPr>
      </w:pPr>
      <w:r>
        <w:rPr>
          <w:rFonts w:hint="eastAsia" w:hAnsi="宋体" w:cs="宋体"/>
          <w:highlight w:val="none"/>
        </w:rPr>
        <w:t>（3）通过符合性审查的供应商不足3家的。</w:t>
      </w:r>
    </w:p>
    <w:p w14:paraId="67B56675">
      <w:pPr>
        <w:spacing w:line="500" w:lineRule="exact"/>
        <w:ind w:firstLine="480" w:firstLineChars="200"/>
        <w:rPr>
          <w:rFonts w:hint="eastAsia" w:hAnsi="宋体" w:cs="宋体"/>
          <w:highlight w:val="none"/>
        </w:rPr>
      </w:pPr>
      <w:r>
        <w:rPr>
          <w:rFonts w:hint="eastAsia" w:hAnsi="宋体" w:cs="宋体"/>
          <w:highlight w:val="none"/>
        </w:rPr>
        <w:t>32.2.2通过符合性审查的供应商只有2家时，采购人经同级财政部门同意后，可以按《政府采购非招标采购方式管理办法》（财政部第74号令）的规定与该2家供应商进行竞争性谈判采购。</w:t>
      </w:r>
    </w:p>
    <w:p w14:paraId="35288B9E">
      <w:pPr>
        <w:spacing w:line="500" w:lineRule="exact"/>
        <w:rPr>
          <w:rFonts w:hint="eastAsia" w:hAnsi="宋体" w:cs="宋体"/>
          <w:b/>
          <w:bCs/>
          <w:highlight w:val="none"/>
        </w:rPr>
      </w:pPr>
      <w:bookmarkStart w:id="54" w:name="_Toc6721"/>
      <w:bookmarkStart w:id="55" w:name="_Toc363474023"/>
      <w:r>
        <w:rPr>
          <w:rFonts w:hint="eastAsia" w:hAnsi="宋体" w:cs="宋体"/>
          <w:b/>
          <w:bCs/>
          <w:highlight w:val="none"/>
        </w:rPr>
        <w:t>33 同品牌投标</w:t>
      </w:r>
    </w:p>
    <w:p w14:paraId="6F810290">
      <w:pPr>
        <w:spacing w:line="500" w:lineRule="exact"/>
        <w:ind w:firstLine="480" w:firstLineChars="200"/>
        <w:rPr>
          <w:rFonts w:hint="eastAsia" w:hAnsi="宋体" w:cs="宋体"/>
          <w:highlight w:val="none"/>
        </w:rPr>
      </w:pPr>
      <w:r>
        <w:rPr>
          <w:rFonts w:hint="eastAsia" w:hAnsi="宋体" w:cs="宋体"/>
          <w:highlight w:val="none"/>
        </w:rPr>
        <w:t>33.1采用最低评标价法的采购项目，提供相同品牌产品的不同投标人参加同一合同项下投标的，以其中通过资格审查、符合性审查且报价最低的参加评标；报价相同的，由采购人自行确定一个参加评标的投标人，其他投标无效。</w:t>
      </w:r>
    </w:p>
    <w:p w14:paraId="434C4A2B">
      <w:pPr>
        <w:spacing w:line="500" w:lineRule="exact"/>
        <w:ind w:firstLine="480" w:firstLineChars="200"/>
        <w:rPr>
          <w:rFonts w:hint="eastAsia" w:hAnsi="宋体" w:cs="宋体"/>
          <w:highlight w:val="none"/>
        </w:rPr>
      </w:pPr>
      <w:r>
        <w:rPr>
          <w:rFonts w:hint="eastAsia" w:hAnsi="宋体" w:cs="宋体"/>
          <w:highlight w:val="none"/>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确定一个投标人获得中标人推荐资格，其他同品牌投标人不作为中标候选人。</w:t>
      </w:r>
    </w:p>
    <w:p w14:paraId="60C63733">
      <w:pPr>
        <w:spacing w:line="500" w:lineRule="exact"/>
        <w:ind w:firstLine="480" w:firstLineChars="200"/>
        <w:rPr>
          <w:rFonts w:hint="eastAsia" w:hAnsi="宋体" w:cs="宋体"/>
          <w:sz w:val="36"/>
          <w:szCs w:val="36"/>
          <w:highlight w:val="none"/>
        </w:rPr>
      </w:pPr>
      <w:r>
        <w:rPr>
          <w:rFonts w:hint="eastAsia" w:hAnsi="宋体" w:cs="宋体"/>
          <w:highlight w:val="none"/>
        </w:rPr>
        <w:t>33.3非单一产品采购项目，在第二章投标人须知前附表中载明核心产品。多家投标人提供的核心产品品牌相同的，按前两款规定处理。</w:t>
      </w:r>
    </w:p>
    <w:p w14:paraId="2F4088BA">
      <w:pPr>
        <w:rPr>
          <w:rFonts w:hint="eastAsia" w:hAnsi="宋体" w:cs="宋体"/>
          <w:sz w:val="36"/>
          <w:szCs w:val="36"/>
          <w:highlight w:val="none"/>
        </w:rPr>
      </w:pPr>
      <w:r>
        <w:rPr>
          <w:rFonts w:hint="eastAsia" w:hAnsi="宋体" w:cs="宋体"/>
          <w:sz w:val="36"/>
          <w:szCs w:val="36"/>
          <w:highlight w:val="none"/>
        </w:rPr>
        <w:br w:type="page"/>
      </w:r>
    </w:p>
    <w:p w14:paraId="59CA224F">
      <w:pPr>
        <w:pStyle w:val="2"/>
        <w:jc w:val="center"/>
        <w:rPr>
          <w:rFonts w:hint="eastAsia" w:ascii="宋体" w:eastAsia="宋体" w:cs="宋体"/>
          <w:sz w:val="36"/>
          <w:szCs w:val="36"/>
          <w:highlight w:val="none"/>
        </w:rPr>
      </w:pPr>
      <w:bookmarkStart w:id="56" w:name="_Toc17384"/>
      <w:r>
        <w:rPr>
          <w:rFonts w:hint="eastAsia" w:ascii="宋体" w:eastAsia="宋体" w:cs="宋体"/>
          <w:sz w:val="36"/>
          <w:szCs w:val="36"/>
          <w:highlight w:val="none"/>
        </w:rPr>
        <w:t>第三章  合同条款及格式</w:t>
      </w:r>
      <w:bookmarkEnd w:id="54"/>
      <w:bookmarkEnd w:id="56"/>
    </w:p>
    <w:p w14:paraId="3A930944">
      <w:pPr>
        <w:pStyle w:val="3"/>
        <w:jc w:val="center"/>
        <w:rPr>
          <w:rFonts w:hint="eastAsia" w:ascii="宋体" w:hAnsi="宋体" w:cs="宋体"/>
          <w:highlight w:val="none"/>
        </w:rPr>
      </w:pPr>
      <w:bookmarkStart w:id="57" w:name="_Toc25352"/>
      <w:bookmarkStart w:id="58" w:name="_Toc476"/>
      <w:bookmarkStart w:id="59" w:name="_Toc426457695"/>
      <w:bookmarkStart w:id="60" w:name="_Toc26935"/>
      <w:bookmarkStart w:id="61" w:name="_Toc20944"/>
      <w:bookmarkStart w:id="62" w:name="_Toc317530110"/>
      <w:bookmarkStart w:id="63" w:name="_Toc11450"/>
      <w:bookmarkStart w:id="64" w:name="_Toc389582038"/>
      <w:bookmarkStart w:id="65" w:name="_Toc2711"/>
      <w:bookmarkStart w:id="66" w:name="_Toc23856"/>
      <w:bookmarkStart w:id="67" w:name="_Toc20481"/>
      <w:bookmarkStart w:id="68" w:name="_Toc1025"/>
      <w:bookmarkStart w:id="69" w:name="_Toc4053"/>
      <w:r>
        <w:rPr>
          <w:rFonts w:hint="eastAsia"/>
          <w:highlight w:val="none"/>
        </w:rPr>
        <w:t>合同条款及格式前附表</w:t>
      </w:r>
      <w:bookmarkEnd w:id="57"/>
      <w:bookmarkEnd w:id="58"/>
      <w:bookmarkEnd w:id="59"/>
      <w:bookmarkEnd w:id="60"/>
    </w:p>
    <w:p w14:paraId="35D74401">
      <w:pPr>
        <w:rPr>
          <w:highlight w:val="none"/>
        </w:rPr>
      </w:pPr>
      <w:r>
        <w:rPr>
          <w:rFonts w:hint="eastAsia"/>
          <w:b/>
          <w:bCs/>
          <w:highlight w:val="none"/>
        </w:rPr>
        <w:t>本表是对合同条款的具体补充和修改，如有矛盾，应以本资料表为准。</w:t>
      </w:r>
    </w:p>
    <w:tbl>
      <w:tblPr>
        <w:tblStyle w:val="18"/>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14:paraId="312F2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vAlign w:val="center"/>
          </w:tcPr>
          <w:p w14:paraId="1E58AD16">
            <w:pPr>
              <w:spacing w:line="360" w:lineRule="auto"/>
              <w:jc w:val="center"/>
              <w:rPr>
                <w:rFonts w:hint="eastAsia" w:hAnsi="宋体" w:cs="宋体"/>
                <w:b/>
                <w:szCs w:val="24"/>
                <w:highlight w:val="none"/>
              </w:rPr>
            </w:pPr>
            <w:bookmarkStart w:id="70" w:name="_Toc3798"/>
            <w:bookmarkStart w:id="71" w:name="_Toc11810"/>
            <w:bookmarkStart w:id="72" w:name="_Toc426457694"/>
            <w:bookmarkStart w:id="73" w:name="_Toc403077645"/>
            <w:bookmarkStart w:id="74" w:name="_Toc15898"/>
            <w:r>
              <w:rPr>
                <w:rFonts w:hint="eastAsia" w:hAnsi="宋体" w:cs="宋体"/>
                <w:b/>
                <w:szCs w:val="24"/>
                <w:highlight w:val="none"/>
              </w:rPr>
              <w:t>序号</w:t>
            </w:r>
          </w:p>
        </w:tc>
        <w:tc>
          <w:tcPr>
            <w:tcW w:w="8546" w:type="dxa"/>
            <w:vAlign w:val="center"/>
          </w:tcPr>
          <w:p w14:paraId="4AF4ECD9">
            <w:pPr>
              <w:spacing w:line="360" w:lineRule="auto"/>
              <w:jc w:val="center"/>
              <w:rPr>
                <w:rFonts w:hint="eastAsia" w:hAnsi="宋体" w:cs="宋体"/>
                <w:b/>
                <w:szCs w:val="24"/>
                <w:highlight w:val="none"/>
              </w:rPr>
            </w:pPr>
            <w:r>
              <w:rPr>
                <w:rFonts w:hint="eastAsia" w:hAnsi="宋体" w:cs="宋体"/>
                <w:b/>
                <w:szCs w:val="24"/>
                <w:highlight w:val="none"/>
              </w:rPr>
              <w:t>内      容</w:t>
            </w:r>
          </w:p>
        </w:tc>
      </w:tr>
      <w:tr w14:paraId="43807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8" w:hRule="atLeast"/>
        </w:trPr>
        <w:tc>
          <w:tcPr>
            <w:tcW w:w="865" w:type="dxa"/>
            <w:vAlign w:val="center"/>
          </w:tcPr>
          <w:p w14:paraId="783B9D5A">
            <w:pPr>
              <w:spacing w:line="360" w:lineRule="auto"/>
              <w:jc w:val="center"/>
              <w:rPr>
                <w:rFonts w:hint="eastAsia" w:hAnsi="宋体" w:cs="宋体"/>
                <w:szCs w:val="24"/>
                <w:highlight w:val="none"/>
              </w:rPr>
            </w:pPr>
            <w:r>
              <w:rPr>
                <w:rFonts w:hint="eastAsia" w:hAnsi="宋体" w:cs="宋体"/>
                <w:szCs w:val="24"/>
                <w:highlight w:val="none"/>
              </w:rPr>
              <w:t>1</w:t>
            </w:r>
          </w:p>
        </w:tc>
        <w:tc>
          <w:tcPr>
            <w:tcW w:w="8546" w:type="dxa"/>
            <w:vAlign w:val="center"/>
          </w:tcPr>
          <w:p w14:paraId="22106D19">
            <w:pPr>
              <w:spacing w:line="360" w:lineRule="auto"/>
              <w:rPr>
                <w:rFonts w:hint="eastAsia" w:hAnsi="宋体" w:cs="宋体"/>
                <w:bCs/>
                <w:szCs w:val="24"/>
                <w:highlight w:val="none"/>
              </w:rPr>
            </w:pPr>
            <w:r>
              <w:rPr>
                <w:rFonts w:hint="eastAsia" w:hAnsi="宋体" w:cs="宋体"/>
                <w:b/>
                <w:szCs w:val="24"/>
                <w:highlight w:val="none"/>
              </w:rPr>
              <w:t>采购人名称</w:t>
            </w:r>
            <w:r>
              <w:rPr>
                <w:rFonts w:hint="eastAsia" w:hAnsi="宋体" w:cs="宋体"/>
                <w:szCs w:val="24"/>
                <w:highlight w:val="none"/>
              </w:rPr>
              <w:t>：</w:t>
            </w:r>
            <w:r>
              <w:rPr>
                <w:rFonts w:hint="eastAsia" w:hAnsi="宋体" w:cs="宋体"/>
                <w:bCs/>
                <w:szCs w:val="24"/>
                <w:highlight w:val="none"/>
              </w:rPr>
              <w:t>镇安县医院</w:t>
            </w:r>
          </w:p>
          <w:p w14:paraId="6B362508">
            <w:pPr>
              <w:spacing w:line="360" w:lineRule="auto"/>
              <w:jc w:val="left"/>
              <w:rPr>
                <w:rFonts w:hint="eastAsia" w:hAnsi="宋体" w:cs="宋体"/>
                <w:bCs/>
                <w:szCs w:val="24"/>
                <w:highlight w:val="none"/>
              </w:rPr>
            </w:pPr>
            <w:r>
              <w:rPr>
                <w:rFonts w:hint="eastAsia" w:hAnsi="宋体" w:cs="宋体"/>
                <w:b/>
                <w:szCs w:val="24"/>
                <w:highlight w:val="none"/>
              </w:rPr>
              <w:t>地址：</w:t>
            </w:r>
            <w:r>
              <w:rPr>
                <w:rFonts w:hint="eastAsia" w:hAnsi="宋体" w:cs="宋体"/>
                <w:bCs/>
                <w:szCs w:val="24"/>
                <w:highlight w:val="none"/>
              </w:rPr>
              <w:t>镇安县永乐镇南新街43号</w:t>
            </w:r>
          </w:p>
          <w:p w14:paraId="173792A7">
            <w:pPr>
              <w:spacing w:line="360" w:lineRule="auto"/>
              <w:rPr>
                <w:rFonts w:hint="eastAsia" w:hAnsi="宋体" w:cs="宋体"/>
                <w:szCs w:val="24"/>
                <w:highlight w:val="none"/>
              </w:rPr>
            </w:pPr>
            <w:r>
              <w:rPr>
                <w:rFonts w:hint="eastAsia" w:hAnsi="宋体" w:cs="宋体"/>
                <w:b/>
                <w:szCs w:val="24"/>
                <w:highlight w:val="none"/>
              </w:rPr>
              <w:t>项目名称</w:t>
            </w:r>
            <w:r>
              <w:rPr>
                <w:rFonts w:hint="eastAsia" w:hAnsi="宋体" w:cs="宋体"/>
                <w:szCs w:val="24"/>
                <w:highlight w:val="none"/>
              </w:rPr>
              <w:t>：心电网络及远程影像诊断中心采购项目</w:t>
            </w:r>
          </w:p>
          <w:p w14:paraId="4A01D620">
            <w:pPr>
              <w:spacing w:line="360" w:lineRule="auto"/>
              <w:rPr>
                <w:rFonts w:hint="eastAsia" w:hAnsi="宋体" w:cs="宋体"/>
                <w:szCs w:val="24"/>
                <w:highlight w:val="none"/>
              </w:rPr>
            </w:pPr>
            <w:r>
              <w:rPr>
                <w:rFonts w:hint="eastAsia" w:hAnsi="宋体" w:cs="宋体"/>
                <w:b/>
                <w:szCs w:val="24"/>
                <w:highlight w:val="none"/>
              </w:rPr>
              <w:t>资金来源：</w:t>
            </w:r>
            <w:r>
              <w:rPr>
                <w:rFonts w:hint="eastAsia" w:hAnsi="宋体" w:cs="宋体"/>
                <w:szCs w:val="24"/>
                <w:highlight w:val="none"/>
              </w:rPr>
              <w:t>财政拨款</w:t>
            </w:r>
          </w:p>
        </w:tc>
      </w:tr>
      <w:tr w14:paraId="079A3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3" w:hRule="atLeast"/>
        </w:trPr>
        <w:tc>
          <w:tcPr>
            <w:tcW w:w="865" w:type="dxa"/>
            <w:vAlign w:val="center"/>
          </w:tcPr>
          <w:p w14:paraId="31A524AF">
            <w:pPr>
              <w:spacing w:line="360" w:lineRule="auto"/>
              <w:jc w:val="center"/>
              <w:rPr>
                <w:rFonts w:hint="eastAsia" w:hAnsi="宋体" w:cs="宋体"/>
                <w:szCs w:val="24"/>
                <w:highlight w:val="none"/>
              </w:rPr>
            </w:pPr>
            <w:r>
              <w:rPr>
                <w:rFonts w:hint="eastAsia" w:hAnsi="宋体" w:cs="宋体"/>
                <w:szCs w:val="24"/>
                <w:highlight w:val="none"/>
              </w:rPr>
              <w:t>2</w:t>
            </w:r>
          </w:p>
        </w:tc>
        <w:tc>
          <w:tcPr>
            <w:tcW w:w="8546" w:type="dxa"/>
            <w:vAlign w:val="center"/>
          </w:tcPr>
          <w:p w14:paraId="277D28FD">
            <w:pPr>
              <w:spacing w:line="360" w:lineRule="auto"/>
              <w:rPr>
                <w:rFonts w:hint="eastAsia" w:hAnsi="宋体" w:cs="宋体"/>
                <w:szCs w:val="24"/>
                <w:highlight w:val="none"/>
              </w:rPr>
            </w:pPr>
            <w:r>
              <w:rPr>
                <w:rFonts w:hint="eastAsia" w:hAnsi="宋体" w:cs="宋体"/>
                <w:b/>
                <w:szCs w:val="24"/>
                <w:highlight w:val="none"/>
              </w:rPr>
              <w:t>名词解释：</w:t>
            </w:r>
            <w:r>
              <w:rPr>
                <w:rFonts w:hint="eastAsia" w:hAnsi="宋体" w:cs="宋体"/>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14:paraId="55CEC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865" w:type="dxa"/>
            <w:vAlign w:val="center"/>
          </w:tcPr>
          <w:p w14:paraId="430E70CE">
            <w:pPr>
              <w:spacing w:line="360" w:lineRule="auto"/>
              <w:jc w:val="center"/>
              <w:rPr>
                <w:rFonts w:hint="eastAsia" w:hAnsi="宋体" w:cs="宋体"/>
                <w:szCs w:val="24"/>
                <w:highlight w:val="none"/>
              </w:rPr>
            </w:pPr>
            <w:r>
              <w:rPr>
                <w:rFonts w:hint="eastAsia" w:hAnsi="宋体" w:cs="宋体"/>
                <w:szCs w:val="24"/>
                <w:highlight w:val="none"/>
              </w:rPr>
              <w:t>3</w:t>
            </w:r>
          </w:p>
        </w:tc>
        <w:tc>
          <w:tcPr>
            <w:tcW w:w="8546" w:type="dxa"/>
            <w:vAlign w:val="center"/>
          </w:tcPr>
          <w:p w14:paraId="1C0A64EE">
            <w:pPr>
              <w:spacing w:line="360" w:lineRule="auto"/>
              <w:rPr>
                <w:rFonts w:hint="eastAsia" w:hAnsi="宋体" w:cs="宋体"/>
                <w:b/>
                <w:szCs w:val="24"/>
                <w:highlight w:val="none"/>
              </w:rPr>
            </w:pPr>
            <w:r>
              <w:rPr>
                <w:rFonts w:hint="eastAsia" w:hAnsi="宋体" w:cs="宋体"/>
                <w:b/>
                <w:szCs w:val="24"/>
                <w:highlight w:val="none"/>
              </w:rPr>
              <w:t>项目实施地点：采购人指定地点</w:t>
            </w:r>
          </w:p>
        </w:tc>
      </w:tr>
      <w:tr w14:paraId="6680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9" w:hRule="exact"/>
        </w:trPr>
        <w:tc>
          <w:tcPr>
            <w:tcW w:w="865" w:type="dxa"/>
            <w:vAlign w:val="center"/>
          </w:tcPr>
          <w:p w14:paraId="799AC72B">
            <w:pPr>
              <w:spacing w:line="360" w:lineRule="auto"/>
              <w:jc w:val="center"/>
              <w:rPr>
                <w:rFonts w:hint="eastAsia" w:hAnsi="宋体" w:cs="宋体"/>
                <w:szCs w:val="24"/>
                <w:highlight w:val="none"/>
              </w:rPr>
            </w:pPr>
            <w:r>
              <w:rPr>
                <w:rFonts w:hint="eastAsia" w:hAnsi="宋体" w:cs="宋体"/>
                <w:szCs w:val="24"/>
                <w:highlight w:val="none"/>
              </w:rPr>
              <w:t>4</w:t>
            </w:r>
          </w:p>
        </w:tc>
        <w:tc>
          <w:tcPr>
            <w:tcW w:w="8546" w:type="dxa"/>
            <w:vAlign w:val="center"/>
          </w:tcPr>
          <w:p w14:paraId="41D7C4D7">
            <w:pPr>
              <w:spacing w:line="360" w:lineRule="auto"/>
              <w:rPr>
                <w:rFonts w:hint="eastAsia" w:hAnsi="宋体" w:cs="宋体"/>
                <w:b/>
                <w:szCs w:val="24"/>
                <w:highlight w:val="none"/>
              </w:rPr>
            </w:pPr>
            <w:bookmarkStart w:id="75" w:name="OLE_LINK6"/>
            <w:bookmarkStart w:id="76" w:name="OLE_LINK5"/>
            <w:r>
              <w:rPr>
                <w:rFonts w:hint="eastAsia" w:hAnsi="宋体" w:cs="宋体"/>
                <w:b/>
                <w:szCs w:val="24"/>
                <w:highlight w:val="none"/>
              </w:rPr>
              <w:t>合同包1交货期：自合同签订之日起7个日历日；</w:t>
            </w:r>
          </w:p>
          <w:p w14:paraId="0DA74EA4">
            <w:pPr>
              <w:spacing w:line="360" w:lineRule="auto"/>
              <w:rPr>
                <w:highlight w:val="none"/>
              </w:rPr>
            </w:pPr>
            <w:r>
              <w:rPr>
                <w:rFonts w:hint="eastAsia" w:hAnsi="宋体" w:cs="宋体"/>
                <w:b/>
                <w:szCs w:val="24"/>
                <w:highlight w:val="none"/>
              </w:rPr>
              <w:t>合同包2交货期：</w:t>
            </w:r>
            <w:bookmarkEnd w:id="75"/>
            <w:bookmarkEnd w:id="76"/>
            <w:r>
              <w:rPr>
                <w:rFonts w:hint="eastAsia" w:hAnsi="宋体" w:cs="宋体"/>
                <w:b/>
                <w:szCs w:val="24"/>
                <w:highlight w:val="none"/>
              </w:rPr>
              <w:t>自合同签订之日起90个日历日；</w:t>
            </w:r>
          </w:p>
        </w:tc>
      </w:tr>
      <w:tr w14:paraId="2367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0" w:hRule="exact"/>
        </w:trPr>
        <w:tc>
          <w:tcPr>
            <w:tcW w:w="865" w:type="dxa"/>
            <w:vAlign w:val="center"/>
          </w:tcPr>
          <w:p w14:paraId="6E441D32">
            <w:pPr>
              <w:spacing w:line="360" w:lineRule="auto"/>
              <w:jc w:val="center"/>
              <w:rPr>
                <w:rFonts w:hint="eastAsia" w:hAnsi="宋体" w:cs="宋体"/>
                <w:szCs w:val="24"/>
                <w:highlight w:val="none"/>
              </w:rPr>
            </w:pPr>
            <w:r>
              <w:rPr>
                <w:rFonts w:hint="eastAsia" w:hAnsi="宋体" w:cs="宋体"/>
                <w:szCs w:val="24"/>
                <w:highlight w:val="none"/>
              </w:rPr>
              <w:t>5</w:t>
            </w:r>
          </w:p>
        </w:tc>
        <w:tc>
          <w:tcPr>
            <w:tcW w:w="8546" w:type="dxa"/>
            <w:vAlign w:val="center"/>
          </w:tcPr>
          <w:p w14:paraId="462100D9">
            <w:pPr>
              <w:spacing w:line="360" w:lineRule="auto"/>
              <w:rPr>
                <w:rFonts w:hint="eastAsia" w:hAnsi="宋体" w:cs="宋体"/>
                <w:b/>
                <w:szCs w:val="24"/>
                <w:highlight w:val="none"/>
              </w:rPr>
            </w:pPr>
            <w:r>
              <w:rPr>
                <w:rFonts w:hint="eastAsia" w:hAnsi="宋体" w:cs="宋体"/>
                <w:b/>
                <w:szCs w:val="24"/>
                <w:highlight w:val="none"/>
              </w:rPr>
              <w:t>合同包1质保期：验收合格后1年</w:t>
            </w:r>
          </w:p>
          <w:p w14:paraId="7B2A5E11">
            <w:pPr>
              <w:pStyle w:val="8"/>
              <w:rPr>
                <w:highlight w:val="none"/>
              </w:rPr>
            </w:pPr>
            <w:r>
              <w:rPr>
                <w:rFonts w:hint="eastAsia" w:ascii="宋体" w:hAnsi="宋体" w:cs="宋体"/>
                <w:b/>
                <w:kern w:val="0"/>
                <w:sz w:val="24"/>
                <w:szCs w:val="24"/>
                <w:highlight w:val="none"/>
              </w:rPr>
              <w:t>合同包2质保期：验收合格后1年</w:t>
            </w:r>
          </w:p>
        </w:tc>
      </w:tr>
      <w:tr w14:paraId="08199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4" w:hRule="exact"/>
        </w:trPr>
        <w:tc>
          <w:tcPr>
            <w:tcW w:w="865" w:type="dxa"/>
            <w:vAlign w:val="center"/>
          </w:tcPr>
          <w:p w14:paraId="5E1E8EF2">
            <w:pPr>
              <w:spacing w:line="360" w:lineRule="auto"/>
              <w:jc w:val="center"/>
              <w:rPr>
                <w:rFonts w:hint="eastAsia" w:hAnsi="宋体" w:cs="宋体"/>
                <w:szCs w:val="24"/>
                <w:highlight w:val="none"/>
              </w:rPr>
            </w:pPr>
            <w:r>
              <w:rPr>
                <w:rFonts w:hint="eastAsia" w:hAnsi="宋体" w:cs="宋体"/>
                <w:szCs w:val="24"/>
                <w:highlight w:val="none"/>
              </w:rPr>
              <w:t>6</w:t>
            </w:r>
          </w:p>
        </w:tc>
        <w:tc>
          <w:tcPr>
            <w:tcW w:w="8546" w:type="dxa"/>
            <w:vAlign w:val="center"/>
          </w:tcPr>
          <w:p w14:paraId="555EB314">
            <w:pPr>
              <w:spacing w:line="360" w:lineRule="auto"/>
              <w:rPr>
                <w:rFonts w:hint="eastAsia" w:hAnsi="宋体" w:cs="宋体"/>
                <w:b/>
                <w:szCs w:val="24"/>
                <w:highlight w:val="none"/>
              </w:rPr>
            </w:pPr>
            <w:r>
              <w:rPr>
                <w:rFonts w:hint="eastAsia" w:hAnsi="宋体" w:cs="宋体"/>
                <w:b/>
                <w:szCs w:val="24"/>
                <w:highlight w:val="none"/>
              </w:rPr>
              <w:t>付款：</w:t>
            </w:r>
          </w:p>
          <w:p w14:paraId="2D08E5F3">
            <w:pPr>
              <w:spacing w:line="360" w:lineRule="auto"/>
              <w:rPr>
                <w:rFonts w:hint="eastAsia" w:hAnsi="宋体" w:cs="宋体"/>
                <w:bCs/>
                <w:szCs w:val="24"/>
                <w:highlight w:val="none"/>
              </w:rPr>
            </w:pPr>
            <w:r>
              <w:rPr>
                <w:rFonts w:hint="eastAsia" w:hAnsi="宋体" w:cs="宋体"/>
                <w:bCs/>
                <w:szCs w:val="24"/>
                <w:highlight w:val="none"/>
              </w:rPr>
              <w:t>1.合同总价即中标价，不受市场价变化或实际工作量变化的影响。</w:t>
            </w:r>
          </w:p>
          <w:p w14:paraId="496A7365">
            <w:pPr>
              <w:spacing w:line="360" w:lineRule="auto"/>
              <w:rPr>
                <w:rFonts w:hint="eastAsia" w:hAnsi="宋体" w:cs="宋体"/>
                <w:bCs/>
                <w:szCs w:val="24"/>
                <w:highlight w:val="none"/>
              </w:rPr>
            </w:pPr>
            <w:r>
              <w:rPr>
                <w:rFonts w:hint="eastAsia" w:hAnsi="宋体" w:cs="宋体"/>
                <w:bCs/>
                <w:szCs w:val="24"/>
                <w:highlight w:val="none"/>
              </w:rPr>
              <w:t>2.付款方式和程序：</w:t>
            </w:r>
          </w:p>
          <w:p w14:paraId="13D9B48C">
            <w:pPr>
              <w:spacing w:line="360" w:lineRule="auto"/>
              <w:ind w:firstLine="480" w:firstLineChars="200"/>
              <w:rPr>
                <w:rFonts w:hint="eastAsia" w:hAnsi="宋体" w:cs="宋体"/>
                <w:bCs/>
                <w:szCs w:val="24"/>
                <w:highlight w:val="none"/>
              </w:rPr>
            </w:pPr>
            <w:r>
              <w:rPr>
                <w:rFonts w:hint="eastAsia" w:hAnsi="宋体" w:cs="宋体"/>
                <w:bCs/>
                <w:szCs w:val="24"/>
                <w:highlight w:val="none"/>
              </w:rPr>
              <w:t>2.1由采购人负责结算，在付款前，投标人必须开具全额发票给采购人（附详细清单）。</w:t>
            </w:r>
          </w:p>
          <w:p w14:paraId="21F023F2">
            <w:pPr>
              <w:spacing w:line="360" w:lineRule="auto"/>
              <w:ind w:firstLine="482" w:firstLineChars="200"/>
              <w:rPr>
                <w:rFonts w:hint="eastAsia" w:hAnsi="宋体" w:cs="宋体"/>
                <w:b/>
                <w:szCs w:val="24"/>
                <w:highlight w:val="none"/>
              </w:rPr>
            </w:pPr>
            <w:r>
              <w:rPr>
                <w:rFonts w:hint="eastAsia" w:hAnsi="宋体" w:cs="宋体"/>
                <w:b/>
                <w:szCs w:val="24"/>
                <w:highlight w:val="none"/>
              </w:rPr>
              <w:t>2.2付款方式：</w:t>
            </w:r>
          </w:p>
          <w:p w14:paraId="149FC087">
            <w:pPr>
              <w:spacing w:line="360" w:lineRule="auto"/>
              <w:ind w:firstLine="482" w:firstLineChars="200"/>
              <w:rPr>
                <w:rFonts w:hint="eastAsia" w:hAnsi="宋体" w:cs="宋体"/>
                <w:b/>
                <w:bCs/>
                <w:szCs w:val="24"/>
                <w:highlight w:val="none"/>
              </w:rPr>
            </w:pPr>
            <w:r>
              <w:rPr>
                <w:rFonts w:hint="eastAsia" w:hAnsi="宋体" w:cs="宋体"/>
                <w:b/>
                <w:bCs/>
                <w:szCs w:val="24"/>
                <w:highlight w:val="none"/>
              </w:rPr>
              <w:t>合同包1：设备安装验收完成一个月内付95%，质保期1年，质保期到了后一个月内付尾款5%（具体以合同签订为准）</w:t>
            </w:r>
          </w:p>
          <w:p w14:paraId="4FA9A4B4">
            <w:pPr>
              <w:spacing w:line="360" w:lineRule="auto"/>
              <w:ind w:firstLine="482" w:firstLineChars="200"/>
              <w:rPr>
                <w:rFonts w:hint="eastAsia" w:hAnsi="宋体" w:cs="宋体"/>
                <w:b/>
                <w:bCs/>
                <w:szCs w:val="24"/>
                <w:highlight w:val="none"/>
              </w:rPr>
            </w:pPr>
            <w:r>
              <w:rPr>
                <w:rFonts w:hint="eastAsia" w:hAnsi="宋体" w:cs="宋体"/>
                <w:b/>
                <w:bCs/>
                <w:szCs w:val="24"/>
                <w:highlight w:val="none"/>
              </w:rPr>
              <w:t>合同包2：合同签订后付50%，系统上线付20%，验收合格付30%（具体以合同签订为准）</w:t>
            </w:r>
          </w:p>
          <w:p w14:paraId="3A2066EE">
            <w:pPr>
              <w:spacing w:line="360" w:lineRule="auto"/>
              <w:ind w:firstLine="482" w:firstLineChars="200"/>
              <w:rPr>
                <w:rFonts w:hint="eastAsia" w:hAnsi="宋体" w:cs="宋体"/>
                <w:b/>
                <w:szCs w:val="24"/>
                <w:highlight w:val="none"/>
              </w:rPr>
            </w:pPr>
            <w:r>
              <w:rPr>
                <w:rFonts w:hint="eastAsia" w:hAnsi="宋体" w:cs="宋体"/>
                <w:b/>
                <w:szCs w:val="24"/>
                <w:highlight w:val="none"/>
              </w:rPr>
              <w:t>2.3支付方式：银行转账</w:t>
            </w:r>
          </w:p>
        </w:tc>
      </w:tr>
      <w:tr w14:paraId="2ADBF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vAlign w:val="center"/>
          </w:tcPr>
          <w:p w14:paraId="586781A2">
            <w:pPr>
              <w:spacing w:line="360" w:lineRule="auto"/>
              <w:jc w:val="center"/>
              <w:rPr>
                <w:rFonts w:hint="eastAsia" w:hAnsi="宋体" w:cs="宋体"/>
                <w:szCs w:val="24"/>
                <w:highlight w:val="none"/>
              </w:rPr>
            </w:pPr>
            <w:r>
              <w:rPr>
                <w:rFonts w:hint="eastAsia" w:hAnsi="宋体" w:cs="宋体"/>
                <w:szCs w:val="24"/>
                <w:highlight w:val="none"/>
              </w:rPr>
              <w:t>7</w:t>
            </w:r>
          </w:p>
        </w:tc>
        <w:tc>
          <w:tcPr>
            <w:tcW w:w="8546" w:type="dxa"/>
            <w:vAlign w:val="center"/>
          </w:tcPr>
          <w:p w14:paraId="15E516F2">
            <w:pPr>
              <w:spacing w:line="360" w:lineRule="auto"/>
              <w:rPr>
                <w:rFonts w:hint="eastAsia" w:hAnsi="宋体" w:cs="宋体"/>
                <w:b/>
                <w:szCs w:val="24"/>
                <w:highlight w:val="none"/>
              </w:rPr>
            </w:pPr>
            <w:r>
              <w:rPr>
                <w:rFonts w:hint="eastAsia" w:hAnsi="宋体" w:cs="宋体"/>
                <w:b/>
                <w:szCs w:val="24"/>
                <w:highlight w:val="none"/>
              </w:rPr>
              <w:t>运输、安装、调试要求：</w:t>
            </w:r>
          </w:p>
          <w:p w14:paraId="10ADF565">
            <w:pPr>
              <w:spacing w:line="360" w:lineRule="auto"/>
              <w:ind w:firstLine="480" w:firstLineChars="200"/>
              <w:jc w:val="left"/>
              <w:rPr>
                <w:rFonts w:hint="eastAsia" w:hAnsi="宋体" w:cs="宋体"/>
                <w:szCs w:val="24"/>
                <w:highlight w:val="none"/>
              </w:rPr>
            </w:pPr>
            <w:r>
              <w:rPr>
                <w:rFonts w:hint="eastAsia" w:hAnsi="宋体" w:cs="宋体"/>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7CABCEFF">
            <w:pPr>
              <w:spacing w:line="360" w:lineRule="auto"/>
              <w:ind w:firstLine="480" w:firstLineChars="200"/>
              <w:jc w:val="left"/>
              <w:rPr>
                <w:rFonts w:hint="eastAsia" w:hAnsi="宋体" w:cs="宋体"/>
                <w:szCs w:val="24"/>
                <w:highlight w:val="none"/>
              </w:rPr>
            </w:pPr>
            <w:r>
              <w:rPr>
                <w:rFonts w:hint="eastAsia" w:hAnsi="宋体" w:cs="宋体"/>
                <w:szCs w:val="24"/>
                <w:highlight w:val="none"/>
              </w:rPr>
              <w:t>2.由供应商提供安装、调试及试运行的进度计划表。</w:t>
            </w:r>
          </w:p>
          <w:p w14:paraId="66310C63">
            <w:pPr>
              <w:spacing w:line="360" w:lineRule="auto"/>
              <w:ind w:firstLine="480" w:firstLineChars="200"/>
              <w:jc w:val="left"/>
              <w:rPr>
                <w:rFonts w:hint="eastAsia" w:hAnsi="宋体" w:cs="宋体"/>
                <w:szCs w:val="24"/>
                <w:highlight w:val="none"/>
              </w:rPr>
            </w:pPr>
            <w:r>
              <w:rPr>
                <w:rFonts w:hint="eastAsia" w:hAnsi="宋体" w:cs="宋体"/>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02B526A2">
            <w:pPr>
              <w:spacing w:line="360" w:lineRule="auto"/>
              <w:ind w:firstLine="480" w:firstLineChars="200"/>
              <w:jc w:val="left"/>
              <w:rPr>
                <w:rFonts w:hint="eastAsia" w:hAnsi="宋体" w:cs="宋体"/>
                <w:szCs w:val="24"/>
                <w:highlight w:val="none"/>
              </w:rPr>
            </w:pPr>
            <w:r>
              <w:rPr>
                <w:rFonts w:hint="eastAsia" w:hAnsi="宋体" w:cs="宋体"/>
                <w:szCs w:val="24"/>
                <w:highlight w:val="none"/>
              </w:rPr>
              <w:t>4.安装和调试期间所发生的费用均由供应商负责。</w:t>
            </w:r>
          </w:p>
          <w:p w14:paraId="7A97C135">
            <w:pPr>
              <w:spacing w:line="360" w:lineRule="auto"/>
              <w:ind w:firstLine="480" w:firstLineChars="200"/>
              <w:rPr>
                <w:rFonts w:hint="eastAsia" w:hAnsi="宋体" w:cs="宋体"/>
                <w:szCs w:val="24"/>
                <w:highlight w:val="none"/>
              </w:rPr>
            </w:pPr>
            <w:r>
              <w:rPr>
                <w:rFonts w:hint="eastAsia" w:hAnsi="宋体" w:cs="宋体"/>
                <w:szCs w:val="24"/>
                <w:highlight w:val="none"/>
              </w:rPr>
              <w:t>5.供应商应对安装调试、整改等实施过程的安全负责，如发生人身伤亡、财产损失的由供应商负责解决并承担全部责任。</w:t>
            </w:r>
          </w:p>
        </w:tc>
      </w:tr>
      <w:tr w14:paraId="413CD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vAlign w:val="center"/>
          </w:tcPr>
          <w:p w14:paraId="5471A637">
            <w:pPr>
              <w:spacing w:line="360" w:lineRule="auto"/>
              <w:jc w:val="center"/>
              <w:rPr>
                <w:rFonts w:hint="eastAsia" w:hAnsi="宋体" w:cs="宋体"/>
                <w:szCs w:val="24"/>
                <w:highlight w:val="none"/>
              </w:rPr>
            </w:pPr>
            <w:r>
              <w:rPr>
                <w:rFonts w:hint="eastAsia" w:hAnsi="宋体" w:cs="宋体"/>
                <w:szCs w:val="24"/>
                <w:highlight w:val="none"/>
              </w:rPr>
              <w:t>8</w:t>
            </w:r>
          </w:p>
        </w:tc>
        <w:tc>
          <w:tcPr>
            <w:tcW w:w="8546" w:type="dxa"/>
            <w:vAlign w:val="center"/>
          </w:tcPr>
          <w:p w14:paraId="27027A47">
            <w:pPr>
              <w:spacing w:line="360" w:lineRule="auto"/>
              <w:rPr>
                <w:rFonts w:hint="eastAsia" w:hAnsi="宋体" w:cs="宋体"/>
                <w:b/>
                <w:szCs w:val="24"/>
                <w:highlight w:val="none"/>
              </w:rPr>
            </w:pPr>
            <w:r>
              <w:rPr>
                <w:rFonts w:hint="eastAsia" w:hAnsi="宋体" w:cs="宋体"/>
                <w:b/>
                <w:szCs w:val="24"/>
                <w:highlight w:val="none"/>
              </w:rPr>
              <w:t>技术支持：</w:t>
            </w:r>
          </w:p>
          <w:p w14:paraId="2519B7A8">
            <w:pPr>
              <w:pStyle w:val="11"/>
              <w:spacing w:line="360" w:lineRule="auto"/>
              <w:ind w:firstLine="480" w:firstLineChars="200"/>
              <w:rPr>
                <w:rFonts w:hint="eastAsia" w:hAnsi="宋体" w:cs="宋体"/>
                <w:bCs/>
                <w:kern w:val="0"/>
                <w:sz w:val="24"/>
                <w:szCs w:val="21"/>
                <w:highlight w:val="none"/>
              </w:rPr>
            </w:pPr>
            <w:r>
              <w:rPr>
                <w:rFonts w:hint="eastAsia" w:hAnsi="宋体" w:cs="宋体"/>
                <w:bCs/>
                <w:kern w:val="0"/>
                <w:sz w:val="24"/>
                <w:szCs w:val="21"/>
                <w:highlight w:val="none"/>
              </w:rPr>
              <w:t>1.提供质保期内每周7×24小时的技术咨询服务。供应商怠于或无法提供技术支持的，采购人有权委托第三方处理，由此产生的费用和后果由供应商负责，费用直接从应付款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66A774E8">
            <w:pPr>
              <w:spacing w:line="360" w:lineRule="auto"/>
              <w:ind w:firstLine="480" w:firstLineChars="200"/>
              <w:rPr>
                <w:rFonts w:hint="eastAsia" w:hAnsi="宋体" w:cs="宋体"/>
                <w:szCs w:val="24"/>
                <w:highlight w:val="none"/>
              </w:rPr>
            </w:pPr>
            <w:r>
              <w:rPr>
                <w:rFonts w:hint="eastAsia" w:hAnsi="宋体" w:cs="宋体"/>
                <w:bCs/>
                <w:szCs w:val="21"/>
                <w:highlight w:val="none"/>
              </w:rPr>
              <w:t>2.供应商在项目实施过程中，质量保障人员、资源不足或者执行不力，给项目质量带来的风险超出采购人认定的允许范围时，采购人可终止本项目的合作并进行索赔。</w:t>
            </w:r>
          </w:p>
        </w:tc>
      </w:tr>
      <w:tr w14:paraId="191F5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550698E1">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9</w:t>
            </w:r>
          </w:p>
        </w:tc>
        <w:tc>
          <w:tcPr>
            <w:tcW w:w="8546" w:type="dxa"/>
            <w:vAlign w:val="center"/>
          </w:tcPr>
          <w:p w14:paraId="7923C9E0">
            <w:pPr>
              <w:spacing w:line="360" w:lineRule="auto"/>
              <w:rPr>
                <w:rFonts w:hint="eastAsia" w:hAnsi="宋体" w:cs="宋体"/>
                <w:b/>
                <w:szCs w:val="24"/>
                <w:highlight w:val="none"/>
              </w:rPr>
            </w:pPr>
            <w:r>
              <w:rPr>
                <w:rFonts w:hint="eastAsia" w:hAnsi="宋体" w:cs="宋体"/>
                <w:b/>
                <w:szCs w:val="24"/>
                <w:highlight w:val="none"/>
              </w:rPr>
              <w:t>技术资料要求：</w:t>
            </w:r>
          </w:p>
          <w:p w14:paraId="6D0483EB">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供应商应向采购人提供全套中文技术资料一套，其费用包括在投标价格中：</w:t>
            </w:r>
          </w:p>
          <w:p w14:paraId="6145BDCA">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1.完整的产品操作使用手册、产品合格证、装箱清单、说明书和维护、修理技术文件，图纸（线路图、原理图等）、保修卡等；</w:t>
            </w:r>
          </w:p>
          <w:p w14:paraId="4B8ECC1E">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2.制造厂的检验、测试报告、产品检验合格证书，质量保证书等文件验收时须一并提供；</w:t>
            </w:r>
          </w:p>
          <w:p w14:paraId="40397DA7">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3.产品验收标准；</w:t>
            </w:r>
          </w:p>
          <w:p w14:paraId="789658F0">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4.技术说明书及必须的其它技术资料;</w:t>
            </w:r>
          </w:p>
          <w:p w14:paraId="3ADEF742">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5.系统安装，调试、维修线路图及原理图；</w:t>
            </w:r>
          </w:p>
          <w:p w14:paraId="16C0736C">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6.零部件目录；</w:t>
            </w:r>
          </w:p>
          <w:p w14:paraId="7018C4E8">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7.项目完工后提供验收报告；</w:t>
            </w:r>
          </w:p>
          <w:p w14:paraId="0146EDD9">
            <w:pPr>
              <w:spacing w:line="360" w:lineRule="auto"/>
              <w:ind w:firstLine="480" w:firstLineChars="200"/>
              <w:jc w:val="left"/>
              <w:rPr>
                <w:rFonts w:hint="eastAsia" w:hAnsi="宋体" w:cs="宋体"/>
                <w:szCs w:val="24"/>
                <w:highlight w:val="none"/>
              </w:rPr>
            </w:pPr>
            <w:r>
              <w:rPr>
                <w:rFonts w:hint="eastAsia" w:hAnsi="宋体" w:cs="宋体"/>
                <w:szCs w:val="24"/>
                <w:highlight w:val="none"/>
              </w:rPr>
              <w:t>8.合同中要求的其他文件资料。</w:t>
            </w:r>
          </w:p>
        </w:tc>
      </w:tr>
      <w:tr w14:paraId="07F4B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52" w:hRule="atLeast"/>
        </w:trPr>
        <w:tc>
          <w:tcPr>
            <w:tcW w:w="865" w:type="dxa"/>
            <w:vAlign w:val="center"/>
          </w:tcPr>
          <w:p w14:paraId="617955A1">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10</w:t>
            </w:r>
          </w:p>
        </w:tc>
        <w:tc>
          <w:tcPr>
            <w:tcW w:w="8546" w:type="dxa"/>
            <w:vAlign w:val="center"/>
          </w:tcPr>
          <w:p w14:paraId="06D6EEA0">
            <w:pPr>
              <w:tabs>
                <w:tab w:val="left" w:pos="480"/>
              </w:tabs>
              <w:spacing w:line="360" w:lineRule="auto"/>
              <w:rPr>
                <w:rFonts w:hint="eastAsia" w:hAnsi="宋体" w:cs="宋体"/>
                <w:b/>
                <w:szCs w:val="24"/>
                <w:highlight w:val="none"/>
              </w:rPr>
            </w:pPr>
            <w:r>
              <w:rPr>
                <w:rFonts w:hint="eastAsia" w:hAnsi="宋体" w:cs="宋体"/>
                <w:b/>
                <w:szCs w:val="24"/>
                <w:highlight w:val="none"/>
              </w:rPr>
              <w:t>技术培训：</w:t>
            </w:r>
          </w:p>
          <w:p w14:paraId="7E8D25EC">
            <w:pPr>
              <w:spacing w:line="360" w:lineRule="auto"/>
              <w:ind w:firstLine="480" w:firstLineChars="200"/>
              <w:jc w:val="left"/>
              <w:rPr>
                <w:rFonts w:hint="eastAsia" w:hAnsi="宋体" w:cs="宋体"/>
                <w:bCs/>
                <w:szCs w:val="24"/>
                <w:highlight w:val="none"/>
              </w:rPr>
            </w:pPr>
            <w:r>
              <w:rPr>
                <w:rFonts w:hint="eastAsia" w:hAnsi="宋体" w:cs="宋体"/>
                <w:bCs/>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14749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525B0579">
            <w:pPr>
              <w:pStyle w:val="11"/>
              <w:spacing w:line="360" w:lineRule="auto"/>
              <w:jc w:val="center"/>
              <w:rPr>
                <w:rFonts w:hint="eastAsia" w:hAnsi="宋体" w:cs="宋体"/>
                <w:b/>
                <w:bCs/>
                <w:kern w:val="0"/>
                <w:sz w:val="24"/>
                <w:szCs w:val="24"/>
                <w:highlight w:val="none"/>
              </w:rPr>
            </w:pPr>
            <w:r>
              <w:rPr>
                <w:rFonts w:hint="eastAsia" w:hAnsi="宋体" w:cs="宋体"/>
                <w:kern w:val="0"/>
                <w:sz w:val="24"/>
                <w:szCs w:val="24"/>
                <w:highlight w:val="none"/>
              </w:rPr>
              <w:t>11</w:t>
            </w:r>
          </w:p>
        </w:tc>
        <w:tc>
          <w:tcPr>
            <w:tcW w:w="8546" w:type="dxa"/>
            <w:vAlign w:val="center"/>
          </w:tcPr>
          <w:p w14:paraId="08EDD3C5">
            <w:pPr>
              <w:pStyle w:val="11"/>
              <w:spacing w:line="360" w:lineRule="auto"/>
              <w:rPr>
                <w:rFonts w:hint="eastAsia" w:hAnsi="宋体" w:cs="宋体"/>
                <w:b/>
                <w:kern w:val="0"/>
                <w:sz w:val="24"/>
                <w:szCs w:val="24"/>
                <w:highlight w:val="none"/>
              </w:rPr>
            </w:pPr>
            <w:r>
              <w:rPr>
                <w:rFonts w:hint="eastAsia" w:hAnsi="宋体" w:cs="宋体"/>
                <w:b/>
                <w:kern w:val="0"/>
                <w:sz w:val="24"/>
                <w:szCs w:val="24"/>
                <w:highlight w:val="none"/>
              </w:rPr>
              <w:t>质量保证：</w:t>
            </w:r>
          </w:p>
          <w:p w14:paraId="26E1D3C1">
            <w:pPr>
              <w:tabs>
                <w:tab w:val="left" w:pos="480"/>
              </w:tabs>
              <w:spacing w:line="360" w:lineRule="auto"/>
              <w:ind w:firstLine="470" w:firstLineChars="196"/>
              <w:rPr>
                <w:rFonts w:hint="eastAsia" w:hAnsi="宋体" w:cs="宋体"/>
                <w:szCs w:val="24"/>
                <w:highlight w:val="none"/>
              </w:rPr>
            </w:pPr>
            <w:r>
              <w:rPr>
                <w:rFonts w:hint="eastAsia" w:hAnsi="宋体" w:cs="宋体"/>
                <w:szCs w:val="24"/>
                <w:highlight w:val="none"/>
              </w:rPr>
              <w:t>乙方所供货物必须执行下列条款：</w:t>
            </w:r>
          </w:p>
          <w:p w14:paraId="40856CE1">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（一）货物到达甲方指定地点后，甲方根据合同要求，进行外观验收，确认产地、规格、型号和数量。产品</w:t>
            </w:r>
            <w:r>
              <w:rPr>
                <w:rFonts w:hint="eastAsia" w:hAnsi="宋体" w:cs="宋体"/>
                <w:bCs/>
                <w:szCs w:val="24"/>
                <w:highlight w:val="none"/>
              </w:rPr>
              <w:t>性能及质量符合买方要求，并符合厂家规定的各项标准，货物技术指标经验收合格，附验收报告。进口货物需加报海关清关证明（包括但不限于进口货物报关单）。</w:t>
            </w:r>
          </w:p>
          <w:p w14:paraId="59AEBE71">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（二）保证技术指标先进、质量性能可靠、进货渠道正常，配置合理，全面满足投标要求。</w:t>
            </w:r>
          </w:p>
          <w:p w14:paraId="1FCCD290">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（三）符合国家有关规范要求，确保达到最佳运行状态。</w:t>
            </w:r>
          </w:p>
          <w:p w14:paraId="0FB6AC2B">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（四）具有良好的外观，适合安装场所的使用。</w:t>
            </w:r>
          </w:p>
          <w:p w14:paraId="6DF79688">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（五）自安装、调试正常运行并验收合格之日起：</w:t>
            </w:r>
          </w:p>
          <w:p w14:paraId="4E56BFFD">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rPr>
              <w:t>（六）设备到位后，工程师应立即进行安装、调试，同时对操作人员进行严格的规范化培训。</w:t>
            </w:r>
          </w:p>
          <w:p w14:paraId="71102BFE">
            <w:pPr>
              <w:tabs>
                <w:tab w:val="left" w:pos="480"/>
              </w:tabs>
              <w:spacing w:line="360" w:lineRule="auto"/>
              <w:ind w:firstLine="480" w:firstLineChars="200"/>
              <w:rPr>
                <w:rFonts w:hint="eastAsia" w:hAnsi="宋体" w:cs="宋体"/>
                <w:szCs w:val="24"/>
                <w:highlight w:val="none"/>
              </w:rPr>
            </w:pPr>
            <w:r>
              <w:rPr>
                <w:rFonts w:hint="eastAsia" w:hAnsi="宋体" w:cs="宋体"/>
                <w:szCs w:val="24"/>
                <w:highlight w:val="none"/>
                <w:lang w:val="de-DE"/>
              </w:rPr>
              <w:t>（</w:t>
            </w:r>
            <w:r>
              <w:rPr>
                <w:rFonts w:hint="eastAsia" w:hAnsi="宋体" w:cs="宋体"/>
                <w:szCs w:val="24"/>
                <w:highlight w:val="none"/>
              </w:rPr>
              <w:t>七</w:t>
            </w:r>
            <w:r>
              <w:rPr>
                <w:rFonts w:hint="eastAsia" w:hAnsi="宋体" w:cs="宋体"/>
                <w:szCs w:val="24"/>
                <w:highlight w:val="none"/>
                <w:lang w:val="de-DE"/>
              </w:rPr>
              <w:t>）技术文件：提供配套的设备清单。</w:t>
            </w:r>
          </w:p>
        </w:tc>
      </w:tr>
      <w:tr w14:paraId="618D7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589FADF8">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12</w:t>
            </w:r>
          </w:p>
        </w:tc>
        <w:tc>
          <w:tcPr>
            <w:tcW w:w="8546" w:type="dxa"/>
            <w:vAlign w:val="center"/>
          </w:tcPr>
          <w:p w14:paraId="00E1EB8C">
            <w:pPr>
              <w:spacing w:line="360" w:lineRule="auto"/>
              <w:rPr>
                <w:highlight w:val="none"/>
              </w:rPr>
            </w:pPr>
            <w:r>
              <w:rPr>
                <w:rFonts w:hint="eastAsia"/>
                <w:highlight w:val="none"/>
              </w:rPr>
              <w:t>验收：</w:t>
            </w:r>
          </w:p>
          <w:p w14:paraId="76161546">
            <w:pPr>
              <w:tabs>
                <w:tab w:val="left" w:pos="480"/>
              </w:tabs>
              <w:spacing w:line="360" w:lineRule="auto"/>
              <w:ind w:firstLine="480" w:firstLineChars="200"/>
              <w:rPr>
                <w:highlight w:val="none"/>
              </w:rPr>
            </w:pPr>
            <w:r>
              <w:rPr>
                <w:rFonts w:hint="eastAsia"/>
                <w:highlight w:val="none"/>
              </w:rPr>
              <w:t>验收包括两部分：1、产品进场验收。供货商将产品运输到达现场，所有产品的相关证书、检测报告等资料准备齐全并装订成册，由采购人安排专门人员进行产品及材料的开箱验收，验收合格后签字确认。</w:t>
            </w:r>
          </w:p>
          <w:p w14:paraId="483B2035">
            <w:pPr>
              <w:tabs>
                <w:tab w:val="left" w:pos="480"/>
              </w:tabs>
              <w:spacing w:line="360" w:lineRule="auto"/>
              <w:ind w:firstLine="480" w:firstLineChars="200"/>
              <w:rPr>
                <w:highlight w:val="none"/>
              </w:rPr>
            </w:pPr>
            <w:r>
              <w:rPr>
                <w:rFonts w:hint="eastAsia"/>
                <w:highlight w:val="none"/>
              </w:rPr>
              <w:t>2、所有产品安装调试等过程均需要做好安装日志，运行正常后由供货商、采购人以及相关技术专家组成验收小组，进行项目整机验收。验收合格后签字确认。</w:t>
            </w:r>
          </w:p>
          <w:p w14:paraId="1F4F6759">
            <w:pPr>
              <w:tabs>
                <w:tab w:val="left" w:pos="480"/>
              </w:tabs>
              <w:spacing w:line="360" w:lineRule="auto"/>
              <w:ind w:firstLine="480" w:firstLineChars="200"/>
              <w:rPr>
                <w:highlight w:val="none"/>
              </w:rPr>
            </w:pPr>
            <w:r>
              <w:rPr>
                <w:rFonts w:hint="eastAsia"/>
                <w:highlight w:val="none"/>
              </w:rPr>
              <w:t>3、验收内容：</w:t>
            </w:r>
          </w:p>
          <w:p w14:paraId="443C8FDB">
            <w:pPr>
              <w:tabs>
                <w:tab w:val="left" w:pos="480"/>
              </w:tabs>
              <w:spacing w:line="360" w:lineRule="auto"/>
              <w:ind w:firstLine="480" w:firstLineChars="200"/>
              <w:rPr>
                <w:highlight w:val="none"/>
              </w:rPr>
            </w:pPr>
            <w:r>
              <w:rPr>
                <w:rFonts w:hint="eastAsia"/>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6267AC2F">
            <w:pPr>
              <w:tabs>
                <w:tab w:val="left" w:pos="480"/>
              </w:tabs>
              <w:spacing w:line="360" w:lineRule="auto"/>
              <w:ind w:firstLine="480" w:firstLineChars="200"/>
              <w:rPr>
                <w:highlight w:val="none"/>
              </w:rPr>
            </w:pPr>
            <w:r>
              <w:rPr>
                <w:rFonts w:hint="eastAsia"/>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3E4568EE">
            <w:pPr>
              <w:tabs>
                <w:tab w:val="left" w:pos="480"/>
              </w:tabs>
              <w:spacing w:line="360" w:lineRule="auto"/>
              <w:ind w:firstLine="480" w:firstLineChars="200"/>
              <w:rPr>
                <w:highlight w:val="none"/>
              </w:rPr>
            </w:pPr>
            <w:r>
              <w:rPr>
                <w:rFonts w:hint="eastAsia"/>
                <w:highlight w:val="none"/>
              </w:rPr>
              <w:t xml:space="preserve"> 3.2.若发现供应商有弄虚作假的，在投标阶段故意或随意夸大产品技术性能，供应商应无条件退货，本合同解除，供应商赔偿采购人相应的损失。</w:t>
            </w:r>
          </w:p>
          <w:p w14:paraId="07D754D8">
            <w:pPr>
              <w:tabs>
                <w:tab w:val="left" w:pos="480"/>
              </w:tabs>
              <w:spacing w:line="360" w:lineRule="auto"/>
              <w:ind w:firstLine="480" w:firstLineChars="200"/>
              <w:rPr>
                <w:highlight w:val="none"/>
              </w:rPr>
            </w:pPr>
            <w:r>
              <w:rPr>
                <w:rFonts w:hint="eastAsia"/>
                <w:highlight w:val="none"/>
              </w:rPr>
              <w:t xml:space="preserve"> 3.3.验收标准：按招标文件、投标文件及澄清函等技术指标进行验收。各项指标均应符合验收标准及要求。</w:t>
            </w:r>
          </w:p>
          <w:p w14:paraId="6ADEA8E6">
            <w:pPr>
              <w:tabs>
                <w:tab w:val="left" w:pos="480"/>
              </w:tabs>
              <w:spacing w:line="360" w:lineRule="auto"/>
              <w:ind w:firstLine="480" w:firstLineChars="200"/>
              <w:rPr>
                <w:highlight w:val="none"/>
              </w:rPr>
            </w:pPr>
            <w:r>
              <w:rPr>
                <w:rFonts w:hint="eastAsia"/>
                <w:highlight w:val="none"/>
              </w:rPr>
              <w:t xml:space="preserve"> 4.验收合格后，填写验收单，双方签字生效。</w:t>
            </w:r>
          </w:p>
          <w:p w14:paraId="7B0275DD">
            <w:pPr>
              <w:tabs>
                <w:tab w:val="left" w:pos="480"/>
              </w:tabs>
              <w:spacing w:line="360" w:lineRule="auto"/>
              <w:ind w:firstLine="480" w:firstLineChars="200"/>
              <w:rPr>
                <w:highlight w:val="none"/>
              </w:rPr>
            </w:pPr>
            <w:r>
              <w:rPr>
                <w:rFonts w:hint="eastAsia"/>
                <w:highlight w:val="none"/>
              </w:rPr>
              <w:t xml:space="preserve"> 5.验收依据：</w:t>
            </w:r>
          </w:p>
          <w:p w14:paraId="2870984C">
            <w:pPr>
              <w:tabs>
                <w:tab w:val="left" w:pos="480"/>
              </w:tabs>
              <w:spacing w:line="360" w:lineRule="auto"/>
              <w:ind w:firstLine="480" w:firstLineChars="200"/>
              <w:rPr>
                <w:highlight w:val="none"/>
              </w:rPr>
            </w:pPr>
            <w:r>
              <w:rPr>
                <w:rFonts w:hint="eastAsia"/>
                <w:highlight w:val="none"/>
              </w:rPr>
              <w:t xml:space="preserve">  5.1合同文本；</w:t>
            </w:r>
          </w:p>
          <w:p w14:paraId="028F5C94">
            <w:pPr>
              <w:tabs>
                <w:tab w:val="left" w:pos="480"/>
              </w:tabs>
              <w:spacing w:line="360" w:lineRule="auto"/>
              <w:ind w:firstLine="480" w:firstLineChars="200"/>
              <w:rPr>
                <w:highlight w:val="none"/>
              </w:rPr>
            </w:pPr>
            <w:r>
              <w:rPr>
                <w:rFonts w:hint="eastAsia"/>
                <w:highlight w:val="none"/>
              </w:rPr>
              <w:t xml:space="preserve">  5.2响应文件及澄清函、招标文件；</w:t>
            </w:r>
          </w:p>
          <w:p w14:paraId="50DF3962">
            <w:pPr>
              <w:tabs>
                <w:tab w:val="left" w:pos="480"/>
              </w:tabs>
              <w:spacing w:line="360" w:lineRule="auto"/>
              <w:ind w:firstLine="480" w:firstLineChars="200"/>
              <w:rPr>
                <w:highlight w:val="none"/>
              </w:rPr>
            </w:pPr>
            <w:r>
              <w:rPr>
                <w:rFonts w:hint="eastAsia"/>
                <w:highlight w:val="none"/>
              </w:rPr>
              <w:t xml:space="preserve">  5.3国家和行业制定的相应的标准和规范；</w:t>
            </w:r>
          </w:p>
          <w:p w14:paraId="1EA95779">
            <w:pPr>
              <w:widowControl/>
              <w:spacing w:line="560" w:lineRule="exact"/>
              <w:ind w:firstLine="480" w:firstLineChars="200"/>
              <w:rPr>
                <w:rFonts w:hint="eastAsia" w:hAnsi="宋体" w:cs="宋体"/>
                <w:szCs w:val="24"/>
                <w:highlight w:val="none"/>
              </w:rPr>
            </w:pPr>
            <w:r>
              <w:rPr>
                <w:rFonts w:hint="eastAsia"/>
                <w:highlight w:val="none"/>
              </w:rPr>
              <w:t xml:space="preserve">  5.4验收清单（注明各部件的品名、数量、规格型号和原产地或生产厂家）。</w:t>
            </w:r>
          </w:p>
        </w:tc>
      </w:tr>
      <w:tr w14:paraId="0DCA1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0A6FA061">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13</w:t>
            </w:r>
          </w:p>
        </w:tc>
        <w:tc>
          <w:tcPr>
            <w:tcW w:w="8546" w:type="dxa"/>
            <w:vAlign w:val="center"/>
          </w:tcPr>
          <w:p w14:paraId="77685BF6">
            <w:pPr>
              <w:spacing w:line="360" w:lineRule="auto"/>
              <w:rPr>
                <w:highlight w:val="none"/>
              </w:rPr>
            </w:pPr>
            <w:r>
              <w:rPr>
                <w:rFonts w:hint="eastAsia"/>
                <w:highlight w:val="none"/>
              </w:rPr>
              <w:t>售后服务：</w:t>
            </w:r>
          </w:p>
          <w:p w14:paraId="799CEB71">
            <w:pPr>
              <w:spacing w:line="360" w:lineRule="auto"/>
              <w:ind w:firstLine="480" w:firstLineChars="200"/>
              <w:rPr>
                <w:highlight w:val="none"/>
              </w:rPr>
            </w:pPr>
            <w:r>
              <w:rPr>
                <w:rFonts w:hint="eastAsia"/>
                <w:highlight w:val="none"/>
              </w:rPr>
              <w:t>1.供应商应提供可承担维修职能的公司、全资分公司或办事处，并驻守多名维护技术人员，并提供地点、联系人（常驻工程师）及联系电话（服务热线），随时解答各种疑问（需提供相关证明材料）。</w:t>
            </w:r>
          </w:p>
          <w:p w14:paraId="140150A7">
            <w:pPr>
              <w:spacing w:line="360" w:lineRule="auto"/>
              <w:ind w:firstLine="480" w:firstLineChars="200"/>
              <w:rPr>
                <w:highlight w:val="none"/>
              </w:rPr>
            </w:pPr>
            <w:r>
              <w:rPr>
                <w:rFonts w:hint="eastAsia"/>
                <w:highlight w:val="none"/>
              </w:rPr>
              <w:t>2.服务方式:现场服务，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17FE13A">
            <w:pPr>
              <w:spacing w:line="360" w:lineRule="auto"/>
              <w:ind w:firstLine="480" w:firstLineChars="200"/>
              <w:rPr>
                <w:highlight w:val="none"/>
              </w:rPr>
            </w:pPr>
            <w:r>
              <w:rPr>
                <w:rFonts w:hint="eastAsia"/>
                <w:highlight w:val="none"/>
              </w:rPr>
              <w:t>3.每年至少2次免费上门维护，回访。</w:t>
            </w:r>
          </w:p>
          <w:p w14:paraId="71F01747">
            <w:pPr>
              <w:spacing w:line="360" w:lineRule="auto"/>
              <w:ind w:firstLine="480" w:firstLineChars="200"/>
              <w:rPr>
                <w:highlight w:val="none"/>
              </w:rPr>
            </w:pPr>
            <w:r>
              <w:rPr>
                <w:rFonts w:hint="eastAsia"/>
                <w:highlight w:val="none"/>
              </w:rPr>
              <w:t>4.对于存在质量问题或者短少的产品，供应商应在接到采购人的通知2个日历日内负责修复，调换、重新制作或补齐。</w:t>
            </w:r>
          </w:p>
          <w:p w14:paraId="22B9FB40">
            <w:pPr>
              <w:spacing w:line="360" w:lineRule="auto"/>
              <w:ind w:firstLine="480" w:firstLineChars="200"/>
              <w:rPr>
                <w:highlight w:val="none"/>
              </w:rPr>
            </w:pPr>
            <w:r>
              <w:rPr>
                <w:rFonts w:hint="eastAsia"/>
                <w:highlight w:val="none"/>
              </w:rPr>
              <w:t>5.在最终验收后的质量保证期内，供应商应对设计、工艺或材料等的缺陷而产生的故障负责（负责解决并承担全部费用）。质保期满后如出现此类问题亦应负责。</w:t>
            </w:r>
          </w:p>
          <w:p w14:paraId="53E894D9">
            <w:pPr>
              <w:spacing w:line="360" w:lineRule="auto"/>
              <w:ind w:firstLine="480" w:firstLineChars="200"/>
              <w:rPr>
                <w:highlight w:val="none"/>
              </w:rPr>
            </w:pPr>
            <w:r>
              <w:rPr>
                <w:rFonts w:hint="eastAsia"/>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1CA3376E">
            <w:pPr>
              <w:spacing w:line="360" w:lineRule="auto"/>
              <w:ind w:firstLine="480" w:firstLineChars="200"/>
              <w:rPr>
                <w:highlight w:val="none"/>
              </w:rPr>
            </w:pPr>
            <w:r>
              <w:rPr>
                <w:rFonts w:hint="eastAsia"/>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14:paraId="3C922E55">
            <w:pPr>
              <w:spacing w:line="360" w:lineRule="auto"/>
              <w:ind w:firstLine="480" w:firstLineChars="200"/>
              <w:rPr>
                <w:highlight w:val="none"/>
              </w:rPr>
            </w:pPr>
            <w:r>
              <w:rPr>
                <w:rFonts w:hint="eastAsia"/>
                <w:highlight w:val="none"/>
              </w:rPr>
              <w:t>8.维修响应速度：接到通知后1小时内做出维修方案决定；如2小时内无法通过电话解决问题,维修人员必须在接到故障报告后24小时内到达，不管是否节假日；</w:t>
            </w:r>
          </w:p>
          <w:p w14:paraId="4F0855A2">
            <w:pPr>
              <w:widowControl/>
              <w:spacing w:line="560" w:lineRule="exact"/>
              <w:ind w:firstLine="480" w:firstLineChars="200"/>
              <w:rPr>
                <w:highlight w:val="none"/>
              </w:rPr>
            </w:pPr>
            <w:r>
              <w:rPr>
                <w:rFonts w:hint="eastAsia"/>
                <w:highlight w:val="none"/>
              </w:rPr>
              <w:t>9.提供现场技术培训，保证使用人员正常操作设备的各种功能；</w:t>
            </w:r>
          </w:p>
        </w:tc>
      </w:tr>
      <w:tr w14:paraId="24FB3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1BFFDA56">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14</w:t>
            </w:r>
          </w:p>
        </w:tc>
        <w:tc>
          <w:tcPr>
            <w:tcW w:w="8546" w:type="dxa"/>
            <w:vAlign w:val="center"/>
          </w:tcPr>
          <w:p w14:paraId="4167C353">
            <w:pPr>
              <w:spacing w:line="360" w:lineRule="auto"/>
              <w:rPr>
                <w:rFonts w:hint="eastAsia" w:hAnsi="宋体" w:cs="宋体"/>
                <w:b/>
                <w:szCs w:val="24"/>
                <w:highlight w:val="none"/>
              </w:rPr>
            </w:pPr>
            <w:r>
              <w:rPr>
                <w:rFonts w:hint="eastAsia" w:hAnsi="宋体" w:cs="宋体"/>
                <w:b/>
                <w:szCs w:val="24"/>
                <w:highlight w:val="none"/>
              </w:rPr>
              <w:t>知识产权、专利权：</w:t>
            </w:r>
          </w:p>
          <w:p w14:paraId="44BD15D4">
            <w:pPr>
              <w:widowControl/>
              <w:spacing w:line="560" w:lineRule="exact"/>
              <w:ind w:firstLine="480" w:firstLineChars="200"/>
              <w:rPr>
                <w:highlight w:val="none"/>
              </w:rPr>
            </w:pPr>
            <w:r>
              <w:rPr>
                <w:rFonts w:hint="eastAsia" w:hAnsi="宋体" w:cs="宋体"/>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75FBC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vAlign w:val="center"/>
          </w:tcPr>
          <w:p w14:paraId="54355898">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15</w:t>
            </w:r>
          </w:p>
        </w:tc>
        <w:tc>
          <w:tcPr>
            <w:tcW w:w="8546" w:type="dxa"/>
            <w:vAlign w:val="center"/>
          </w:tcPr>
          <w:p w14:paraId="1D94A25A">
            <w:pPr>
              <w:spacing w:line="360" w:lineRule="auto"/>
              <w:rPr>
                <w:rFonts w:hint="eastAsia" w:hAnsi="宋体" w:cs="宋体"/>
                <w:b/>
                <w:szCs w:val="24"/>
                <w:highlight w:val="none"/>
              </w:rPr>
            </w:pPr>
            <w:r>
              <w:rPr>
                <w:rFonts w:hint="eastAsia" w:hAnsi="宋体" w:cs="宋体"/>
                <w:b/>
                <w:szCs w:val="24"/>
                <w:highlight w:val="none"/>
              </w:rPr>
              <w:t>违约责任：</w:t>
            </w:r>
          </w:p>
          <w:p w14:paraId="6A251615">
            <w:pPr>
              <w:spacing w:line="360" w:lineRule="auto"/>
              <w:ind w:firstLine="480" w:firstLineChars="200"/>
              <w:rPr>
                <w:rFonts w:hint="eastAsia" w:hAnsi="宋体" w:cs="宋体"/>
                <w:szCs w:val="24"/>
                <w:highlight w:val="none"/>
              </w:rPr>
            </w:pPr>
            <w:r>
              <w:rPr>
                <w:rFonts w:hint="eastAsia" w:hAnsi="宋体" w:cs="宋体"/>
                <w:szCs w:val="24"/>
                <w:highlight w:val="none"/>
              </w:rPr>
              <w:t>1、按《民法典》中的相关条款执行。</w:t>
            </w:r>
          </w:p>
          <w:p w14:paraId="2BCD1718">
            <w:pPr>
              <w:spacing w:line="360" w:lineRule="auto"/>
              <w:ind w:firstLine="480" w:firstLineChars="200"/>
              <w:rPr>
                <w:rFonts w:hint="eastAsia"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14:paraId="6B0CA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3" w:hRule="atLeast"/>
        </w:trPr>
        <w:tc>
          <w:tcPr>
            <w:tcW w:w="865" w:type="dxa"/>
            <w:vAlign w:val="center"/>
          </w:tcPr>
          <w:p w14:paraId="57829EB3">
            <w:pPr>
              <w:pStyle w:val="11"/>
              <w:spacing w:line="360" w:lineRule="auto"/>
              <w:jc w:val="center"/>
              <w:rPr>
                <w:rFonts w:hint="eastAsia" w:hAnsi="宋体" w:cs="宋体"/>
                <w:kern w:val="0"/>
                <w:sz w:val="24"/>
                <w:szCs w:val="24"/>
                <w:highlight w:val="none"/>
              </w:rPr>
            </w:pPr>
            <w:r>
              <w:rPr>
                <w:rFonts w:hint="eastAsia" w:hAnsi="宋体" w:cs="宋体"/>
                <w:kern w:val="0"/>
                <w:sz w:val="24"/>
                <w:szCs w:val="24"/>
                <w:highlight w:val="none"/>
              </w:rPr>
              <w:t>16</w:t>
            </w:r>
          </w:p>
        </w:tc>
        <w:tc>
          <w:tcPr>
            <w:tcW w:w="8546" w:type="dxa"/>
            <w:vAlign w:val="center"/>
          </w:tcPr>
          <w:p w14:paraId="490F145D">
            <w:pPr>
              <w:spacing w:line="360" w:lineRule="auto"/>
              <w:rPr>
                <w:rFonts w:hint="eastAsia" w:hAnsi="宋体" w:cs="宋体"/>
                <w:b/>
                <w:szCs w:val="24"/>
                <w:highlight w:val="none"/>
              </w:rPr>
            </w:pPr>
            <w:r>
              <w:rPr>
                <w:rFonts w:hint="eastAsia" w:hAnsi="宋体" w:cs="宋体"/>
                <w:b/>
                <w:szCs w:val="24"/>
                <w:highlight w:val="none"/>
              </w:rPr>
              <w:t>政府采购合同：</w:t>
            </w:r>
          </w:p>
          <w:p w14:paraId="628D1DBB">
            <w:pPr>
              <w:spacing w:line="360" w:lineRule="auto"/>
              <w:ind w:firstLine="480" w:firstLineChars="200"/>
              <w:rPr>
                <w:rFonts w:hint="eastAsia" w:hAnsi="宋体" w:cs="宋体"/>
                <w:szCs w:val="24"/>
                <w:highlight w:val="none"/>
              </w:rPr>
            </w:pPr>
            <w:r>
              <w:rPr>
                <w:rFonts w:hint="eastAsia" w:hAnsi="宋体" w:cs="宋体"/>
                <w:szCs w:val="24"/>
                <w:highlight w:val="none"/>
              </w:rPr>
              <w:t>政府采购合同适用合同法。采购人和供应商之间的权利和义务，应当按照平等、自愿的原则以合同方式约定。</w:t>
            </w:r>
            <w:r>
              <w:rPr>
                <w:rFonts w:hint="eastAsia" w:hAnsi="宋体" w:cs="宋体"/>
                <w:szCs w:val="24"/>
                <w:highlight w:val="none"/>
              </w:rPr>
              <w:br w:type="textWrapping"/>
            </w: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5ABA88FE">
            <w:pPr>
              <w:spacing w:line="360" w:lineRule="auto"/>
              <w:ind w:firstLine="480" w:firstLineChars="200"/>
              <w:rPr>
                <w:rFonts w:hint="eastAsia" w:hAnsi="宋体" w:cs="宋体"/>
                <w:szCs w:val="24"/>
                <w:highlight w:val="none"/>
              </w:rPr>
            </w:pPr>
            <w:r>
              <w:rPr>
                <w:rFonts w:hint="eastAsia" w:hAnsi="宋体" w:cs="宋体"/>
                <w:szCs w:val="24"/>
                <w:highlight w:val="none"/>
              </w:rPr>
              <w:t>政府采购合同应当采用书面形式。</w:t>
            </w:r>
          </w:p>
          <w:p w14:paraId="41264DFE">
            <w:pPr>
              <w:spacing w:line="360" w:lineRule="auto"/>
              <w:ind w:firstLine="480" w:firstLineChars="200"/>
              <w:rPr>
                <w:rFonts w:hint="eastAsia" w:hAnsi="宋体" w:cs="宋体"/>
                <w:szCs w:val="24"/>
                <w:highlight w:val="none"/>
              </w:rPr>
            </w:pPr>
            <w:r>
              <w:rPr>
                <w:rFonts w:hint="eastAsia" w:hAnsi="宋体" w:cs="宋体"/>
                <w:szCs w:val="24"/>
                <w:highlight w:val="none"/>
              </w:rPr>
              <w:t>国务院政府采购监督管理部门应当会同国务院有关部门，规定政府采购合同必须具备的条款。</w:t>
            </w:r>
            <w:r>
              <w:rPr>
                <w:rFonts w:hint="eastAsia" w:hAnsi="宋体" w:cs="宋体"/>
                <w:szCs w:val="24"/>
                <w:highlight w:val="none"/>
              </w:rPr>
              <w:br w:type="textWrapping"/>
            </w:r>
            <w:r>
              <w:rPr>
                <w:rFonts w:hint="eastAsia" w:hAnsi="宋体" w:cs="宋体"/>
                <w:szCs w:val="24"/>
                <w:highlight w:val="none"/>
              </w:rPr>
              <w:t xml:space="preserve">    采购人与中标、成交供应商应当在中标、成交通知书发出之日起三十日内，按照采购文件确定的事项签订政府采购合同。</w:t>
            </w:r>
            <w:r>
              <w:rPr>
                <w:rFonts w:hint="eastAsia" w:hAnsi="宋体" w:cs="宋体"/>
                <w:szCs w:val="24"/>
                <w:highlight w:val="none"/>
              </w:rPr>
              <w:br w:type="textWrapping"/>
            </w: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758ADB51">
            <w:pPr>
              <w:widowControl/>
              <w:spacing w:line="560" w:lineRule="exact"/>
              <w:ind w:firstLine="480" w:firstLineChars="200"/>
              <w:rPr>
                <w:rFonts w:hint="eastAsia" w:hAnsi="宋体" w:cs="宋体"/>
                <w:szCs w:val="24"/>
                <w:highlight w:val="none"/>
              </w:rPr>
            </w:pPr>
            <w:r>
              <w:rPr>
                <w:rFonts w:hint="eastAsia" w:hAnsi="宋体" w:cs="宋体"/>
                <w:szCs w:val="24"/>
                <w:highlight w:val="none"/>
              </w:rPr>
              <w:t>政府采购项目的采购合同自签订之日起七个工作日内，采购人应当将合同副本报同级政府采购监督管理部门和有关部门备案。</w:t>
            </w:r>
          </w:p>
        </w:tc>
      </w:tr>
      <w:bookmarkEnd w:id="70"/>
      <w:bookmarkEnd w:id="71"/>
      <w:bookmarkEnd w:id="72"/>
      <w:bookmarkEnd w:id="73"/>
      <w:bookmarkEnd w:id="74"/>
    </w:tbl>
    <w:p w14:paraId="6095432A">
      <w:pPr>
        <w:rPr>
          <w:rFonts w:hint="eastAsia" w:hAnsi="宋体" w:cs="宋体"/>
          <w:b/>
          <w:sz w:val="36"/>
          <w:szCs w:val="36"/>
          <w:highlight w:val="none"/>
        </w:rPr>
      </w:pPr>
      <w:r>
        <w:rPr>
          <w:rFonts w:hint="eastAsia" w:hAnsi="宋体" w:cs="宋体"/>
          <w:b/>
          <w:sz w:val="36"/>
          <w:szCs w:val="36"/>
          <w:highlight w:val="none"/>
        </w:rPr>
        <w:br w:type="page"/>
      </w:r>
    </w:p>
    <w:p w14:paraId="593E7DE5">
      <w:pPr>
        <w:rPr>
          <w:rFonts w:ascii="黑体" w:eastAsia="黑体"/>
          <w:b/>
          <w:sz w:val="32"/>
          <w:szCs w:val="32"/>
          <w:highlight w:val="none"/>
        </w:rPr>
      </w:pPr>
      <w:bookmarkStart w:id="77" w:name="_Toc9053"/>
      <w:bookmarkStart w:id="78" w:name="_Toc19199"/>
      <w:bookmarkStart w:id="79" w:name="_Toc31520"/>
      <w:bookmarkStart w:id="80" w:name="_Toc389582037"/>
      <w:bookmarkStart w:id="81" w:name="_Toc8333"/>
      <w:bookmarkStart w:id="82" w:name="_Toc29888"/>
      <w:bookmarkStart w:id="83" w:name="_Toc8954"/>
      <w:bookmarkStart w:id="84" w:name="_Toc20230"/>
      <w:bookmarkStart w:id="85" w:name="_Toc31683"/>
      <w:bookmarkStart w:id="86" w:name="_Toc19246"/>
      <w:bookmarkStart w:id="87" w:name="_Toc426457696"/>
      <w:bookmarkStart w:id="88" w:name="_Toc26595"/>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仅供参考）</w:t>
      </w:r>
    </w:p>
    <w:p w14:paraId="4D7099A6">
      <w:pPr>
        <w:rPr>
          <w:rFonts w:ascii="黑体" w:eastAsia="黑体"/>
          <w:b/>
          <w:sz w:val="32"/>
          <w:szCs w:val="32"/>
          <w:highlight w:val="none"/>
        </w:rPr>
      </w:pPr>
      <w:r>
        <w:rPr>
          <w:rFonts w:hint="eastAsia" w:ascii="黑体" w:eastAsia="黑体"/>
          <w:b/>
          <w:sz w:val="32"/>
          <w:szCs w:val="32"/>
          <w:highlight w:val="none"/>
        </w:rPr>
        <w:t xml:space="preserve">          </w:t>
      </w:r>
    </w:p>
    <w:p w14:paraId="73C35EE0">
      <w:pPr>
        <w:jc w:val="center"/>
        <w:rPr>
          <w:rFonts w:ascii="黑体" w:eastAsia="黑体"/>
          <w:sz w:val="52"/>
          <w:szCs w:val="52"/>
          <w:highlight w:val="none"/>
        </w:rPr>
      </w:pPr>
    </w:p>
    <w:p w14:paraId="291BB4F5">
      <w:pPr>
        <w:jc w:val="center"/>
        <w:rPr>
          <w:rFonts w:ascii="黑体" w:eastAsia="黑体"/>
          <w:sz w:val="52"/>
          <w:szCs w:val="52"/>
          <w:highlight w:val="none"/>
        </w:rPr>
      </w:pPr>
    </w:p>
    <w:p w14:paraId="26F9DEF7">
      <w:pPr>
        <w:jc w:val="center"/>
        <w:rPr>
          <w:rFonts w:hint="eastAsia" w:hAnsi="宋体"/>
          <w:b/>
          <w:snapToGrid w:val="0"/>
          <w:sz w:val="48"/>
          <w:szCs w:val="48"/>
          <w:highlight w:val="none"/>
          <w:u w:val="single"/>
        </w:rPr>
      </w:pPr>
      <w:r>
        <w:rPr>
          <w:rFonts w:hint="eastAsia" w:hAnsi="宋体"/>
          <w:b/>
          <w:snapToGrid w:val="0"/>
          <w:sz w:val="48"/>
          <w:szCs w:val="48"/>
          <w:highlight w:val="none"/>
          <w:u w:val="single"/>
        </w:rPr>
        <w:t>(项目名称)</w:t>
      </w:r>
    </w:p>
    <w:p w14:paraId="5AEB79E7">
      <w:pPr>
        <w:jc w:val="center"/>
        <w:rPr>
          <w:rFonts w:ascii="黑体" w:eastAsia="黑体"/>
          <w:b/>
          <w:sz w:val="72"/>
          <w:szCs w:val="72"/>
          <w:highlight w:val="none"/>
        </w:rPr>
      </w:pPr>
      <w:r>
        <w:rPr>
          <w:rFonts w:hint="eastAsia" w:ascii="黑体" w:eastAsia="黑体"/>
          <w:b/>
          <w:sz w:val="72"/>
          <w:szCs w:val="72"/>
          <w:highlight w:val="none"/>
        </w:rPr>
        <w:t>供 货 合 同</w:t>
      </w:r>
    </w:p>
    <w:p w14:paraId="16B07A66">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14:paraId="0B54489D">
      <w:pPr>
        <w:jc w:val="center"/>
        <w:rPr>
          <w:rFonts w:ascii="黑体" w:eastAsia="黑体"/>
          <w:sz w:val="30"/>
          <w:szCs w:val="30"/>
          <w:highlight w:val="none"/>
        </w:rPr>
      </w:pPr>
    </w:p>
    <w:p w14:paraId="3B72734C">
      <w:pPr>
        <w:jc w:val="center"/>
        <w:rPr>
          <w:rFonts w:ascii="黑体" w:eastAsia="黑体"/>
          <w:sz w:val="30"/>
          <w:szCs w:val="30"/>
          <w:highlight w:val="none"/>
        </w:rPr>
      </w:pPr>
    </w:p>
    <w:p w14:paraId="30BDF04B">
      <w:pPr>
        <w:jc w:val="center"/>
        <w:rPr>
          <w:rFonts w:ascii="黑体" w:eastAsia="黑体"/>
          <w:sz w:val="30"/>
          <w:szCs w:val="30"/>
          <w:highlight w:val="none"/>
        </w:rPr>
      </w:pPr>
    </w:p>
    <w:p w14:paraId="01B8443E">
      <w:pPr>
        <w:jc w:val="center"/>
        <w:rPr>
          <w:rFonts w:ascii="黑体" w:eastAsia="黑体"/>
          <w:sz w:val="30"/>
          <w:szCs w:val="30"/>
          <w:highlight w:val="none"/>
        </w:rPr>
      </w:pPr>
    </w:p>
    <w:p w14:paraId="151EAD95">
      <w:pPr>
        <w:jc w:val="center"/>
        <w:rPr>
          <w:rFonts w:ascii="黑体" w:eastAsia="黑体"/>
          <w:sz w:val="30"/>
          <w:szCs w:val="30"/>
          <w:highlight w:val="none"/>
        </w:rPr>
      </w:pPr>
    </w:p>
    <w:p w14:paraId="54F5E34E">
      <w:pPr>
        <w:ind w:firstLine="2080" w:firstLineChars="650"/>
        <w:rPr>
          <w:rFonts w:ascii="黑体" w:eastAsia="黑体"/>
          <w:sz w:val="32"/>
          <w:szCs w:val="32"/>
          <w:highlight w:val="none"/>
        </w:rPr>
      </w:pPr>
    </w:p>
    <w:p w14:paraId="781DFE53">
      <w:pPr>
        <w:ind w:firstLine="2080" w:firstLineChars="650"/>
        <w:rPr>
          <w:rFonts w:ascii="黑体" w:eastAsia="黑体"/>
          <w:sz w:val="32"/>
          <w:szCs w:val="32"/>
          <w:highlight w:val="none"/>
        </w:rPr>
      </w:pPr>
    </w:p>
    <w:p w14:paraId="31B2B1EF">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14:paraId="2F60FA5D">
      <w:pPr>
        <w:tabs>
          <w:tab w:val="left" w:pos="480"/>
        </w:tabs>
        <w:ind w:firstLine="640" w:firstLineChars="200"/>
        <w:rPr>
          <w:rFonts w:hint="eastAsia"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14:paraId="367181C6">
      <w:pPr>
        <w:jc w:val="center"/>
        <w:rPr>
          <w:rFonts w:ascii="黑体" w:eastAsia="黑体"/>
          <w:sz w:val="30"/>
          <w:szCs w:val="30"/>
          <w:highlight w:val="none"/>
        </w:rPr>
      </w:pPr>
    </w:p>
    <w:p w14:paraId="3B8C676A">
      <w:pPr>
        <w:jc w:val="center"/>
        <w:rPr>
          <w:rFonts w:ascii="黑体" w:eastAsia="黑体"/>
          <w:sz w:val="32"/>
          <w:szCs w:val="32"/>
          <w:highlight w:val="none"/>
        </w:rPr>
      </w:pPr>
      <w:r>
        <w:rPr>
          <w:rFonts w:hint="eastAsia" w:ascii="黑体" w:eastAsia="黑体"/>
          <w:sz w:val="32"/>
          <w:szCs w:val="32"/>
          <w:highlight w:val="none"/>
        </w:rPr>
        <w:t xml:space="preserve">  年  月</w:t>
      </w:r>
    </w:p>
    <w:p w14:paraId="14682939">
      <w:pPr>
        <w:jc w:val="center"/>
        <w:rPr>
          <w:rFonts w:ascii="黑体" w:eastAsia="黑体"/>
          <w:sz w:val="32"/>
          <w:szCs w:val="32"/>
          <w:highlight w:val="none"/>
        </w:rPr>
      </w:pPr>
    </w:p>
    <w:p w14:paraId="7B022FC4">
      <w:pPr>
        <w:spacing w:line="360" w:lineRule="auto"/>
        <w:ind w:firstLine="723" w:firstLineChars="200"/>
        <w:jc w:val="center"/>
        <w:rPr>
          <w:highlight w:val="none"/>
        </w:rPr>
      </w:pPr>
      <w:r>
        <w:rPr>
          <w:rFonts w:hint="eastAsia" w:ascii="黑体" w:eastAsia="黑体"/>
          <w:b/>
          <w:sz w:val="36"/>
          <w:szCs w:val="36"/>
          <w:highlight w:val="none"/>
        </w:rPr>
        <w:br w:type="page"/>
      </w:r>
      <w:r>
        <w:rPr>
          <w:rFonts w:hint="eastAsia" w:hAnsi="宋体" w:cs="宋体"/>
          <w:b/>
          <w:bCs/>
          <w:sz w:val="36"/>
          <w:szCs w:val="36"/>
          <w:highlight w:val="none"/>
        </w:rPr>
        <w:t>第一部分  协议书</w:t>
      </w:r>
    </w:p>
    <w:p w14:paraId="1DEF7E06">
      <w:pPr>
        <w:spacing w:line="360" w:lineRule="auto"/>
        <w:ind w:firstLine="480" w:firstLineChars="200"/>
        <w:rPr>
          <w:highlight w:val="none"/>
        </w:rPr>
      </w:pPr>
      <w:r>
        <w:rPr>
          <w:rFonts w:hint="eastAsia"/>
          <w:highlight w:val="none"/>
        </w:rPr>
        <w:t>甲方：镇安县医院，其注册登记地址为：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14:paraId="07C25D90">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14:paraId="468C0553">
      <w:pPr>
        <w:spacing w:line="360" w:lineRule="auto"/>
        <w:ind w:firstLine="480" w:firstLineChars="200"/>
        <w:rPr>
          <w:highlight w:val="none"/>
          <w:u w:val="single"/>
        </w:rPr>
      </w:pPr>
      <w:r>
        <w:rPr>
          <w:rFonts w:hint="eastAsia"/>
          <w:highlight w:val="none"/>
        </w:rPr>
        <w:t>甲、乙双方基于公平、公正、平等的原则，依据《中华人民共和国民法典》、《中华人民共和国政府采购法》之相关规定，现经甲、乙双方友好协商，就甲方购买乙方产品设备事宜，达成以下合同条款：</w:t>
      </w:r>
    </w:p>
    <w:p w14:paraId="04B51AD8">
      <w:pPr>
        <w:spacing w:line="360" w:lineRule="auto"/>
        <w:rPr>
          <w:b/>
          <w:highlight w:val="none"/>
        </w:rPr>
      </w:pPr>
      <w:r>
        <w:rPr>
          <w:rFonts w:hint="eastAsia"/>
          <w:b/>
          <w:highlight w:val="none"/>
        </w:rPr>
        <w:t>一、合同标的物：</w:t>
      </w:r>
    </w:p>
    <w:tbl>
      <w:tblPr>
        <w:tblStyle w:val="18"/>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396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32D39434">
            <w:pPr>
              <w:spacing w:line="360" w:lineRule="auto"/>
              <w:jc w:val="center"/>
              <w:rPr>
                <w:b/>
                <w:highlight w:val="none"/>
              </w:rPr>
            </w:pPr>
            <w:r>
              <w:rPr>
                <w:rFonts w:hint="eastAsia"/>
                <w:b/>
                <w:highlight w:val="none"/>
              </w:rPr>
              <w:t>产品名称</w:t>
            </w:r>
          </w:p>
        </w:tc>
        <w:tc>
          <w:tcPr>
            <w:tcW w:w="1620" w:type="dxa"/>
          </w:tcPr>
          <w:p w14:paraId="79E97085">
            <w:pPr>
              <w:spacing w:line="360" w:lineRule="auto"/>
              <w:jc w:val="center"/>
              <w:rPr>
                <w:b/>
                <w:highlight w:val="none"/>
              </w:rPr>
            </w:pPr>
            <w:r>
              <w:rPr>
                <w:rFonts w:hint="eastAsia"/>
                <w:b/>
                <w:highlight w:val="none"/>
              </w:rPr>
              <w:t>注册证名称</w:t>
            </w:r>
          </w:p>
        </w:tc>
        <w:tc>
          <w:tcPr>
            <w:tcW w:w="1360" w:type="dxa"/>
          </w:tcPr>
          <w:p w14:paraId="0B8E9229">
            <w:pPr>
              <w:spacing w:line="360" w:lineRule="auto"/>
              <w:jc w:val="center"/>
              <w:rPr>
                <w:b/>
                <w:highlight w:val="none"/>
              </w:rPr>
            </w:pPr>
            <w:r>
              <w:rPr>
                <w:rFonts w:hint="eastAsia"/>
                <w:b/>
                <w:highlight w:val="none"/>
              </w:rPr>
              <w:t>品牌型号</w:t>
            </w:r>
          </w:p>
        </w:tc>
        <w:tc>
          <w:tcPr>
            <w:tcW w:w="878" w:type="dxa"/>
          </w:tcPr>
          <w:p w14:paraId="7789DB79">
            <w:pPr>
              <w:spacing w:line="360" w:lineRule="auto"/>
              <w:jc w:val="center"/>
              <w:rPr>
                <w:b/>
                <w:highlight w:val="none"/>
              </w:rPr>
            </w:pPr>
            <w:r>
              <w:rPr>
                <w:rFonts w:hint="eastAsia"/>
                <w:b/>
                <w:highlight w:val="none"/>
              </w:rPr>
              <w:t>产地</w:t>
            </w:r>
          </w:p>
        </w:tc>
        <w:tc>
          <w:tcPr>
            <w:tcW w:w="750" w:type="dxa"/>
          </w:tcPr>
          <w:p w14:paraId="7EB5B414">
            <w:pPr>
              <w:spacing w:line="360" w:lineRule="auto"/>
              <w:jc w:val="center"/>
              <w:rPr>
                <w:b/>
                <w:highlight w:val="none"/>
              </w:rPr>
            </w:pPr>
            <w:r>
              <w:rPr>
                <w:rFonts w:hint="eastAsia"/>
                <w:b/>
                <w:highlight w:val="none"/>
              </w:rPr>
              <w:t>单位</w:t>
            </w:r>
          </w:p>
        </w:tc>
        <w:tc>
          <w:tcPr>
            <w:tcW w:w="571" w:type="dxa"/>
          </w:tcPr>
          <w:p w14:paraId="1BCA5EAD">
            <w:pPr>
              <w:spacing w:line="360" w:lineRule="auto"/>
              <w:jc w:val="center"/>
              <w:rPr>
                <w:b/>
                <w:highlight w:val="none"/>
              </w:rPr>
            </w:pPr>
            <w:r>
              <w:rPr>
                <w:rFonts w:hint="eastAsia"/>
                <w:b/>
                <w:highlight w:val="none"/>
              </w:rPr>
              <w:t>数量</w:t>
            </w:r>
          </w:p>
        </w:tc>
        <w:tc>
          <w:tcPr>
            <w:tcW w:w="1327" w:type="dxa"/>
          </w:tcPr>
          <w:p w14:paraId="3D9ECC9E">
            <w:pPr>
              <w:spacing w:line="360" w:lineRule="auto"/>
              <w:jc w:val="center"/>
              <w:rPr>
                <w:b/>
                <w:highlight w:val="none"/>
              </w:rPr>
            </w:pPr>
            <w:r>
              <w:rPr>
                <w:rFonts w:hint="eastAsia"/>
                <w:b/>
                <w:highlight w:val="none"/>
              </w:rPr>
              <w:t>单价</w:t>
            </w:r>
          </w:p>
          <w:p w14:paraId="101CA4F7">
            <w:pPr>
              <w:spacing w:line="360" w:lineRule="auto"/>
              <w:jc w:val="center"/>
              <w:rPr>
                <w:b/>
                <w:highlight w:val="none"/>
              </w:rPr>
            </w:pPr>
            <w:r>
              <w:rPr>
                <w:rFonts w:hint="eastAsia"/>
                <w:b/>
                <w:highlight w:val="none"/>
              </w:rPr>
              <w:t>（人民币）</w:t>
            </w:r>
          </w:p>
        </w:tc>
        <w:tc>
          <w:tcPr>
            <w:tcW w:w="1305" w:type="dxa"/>
          </w:tcPr>
          <w:p w14:paraId="35F149DC">
            <w:pPr>
              <w:spacing w:line="360" w:lineRule="auto"/>
              <w:jc w:val="center"/>
              <w:rPr>
                <w:b/>
                <w:highlight w:val="none"/>
              </w:rPr>
            </w:pPr>
            <w:r>
              <w:rPr>
                <w:rFonts w:hint="eastAsia"/>
                <w:b/>
                <w:highlight w:val="none"/>
              </w:rPr>
              <w:t>总价</w:t>
            </w:r>
          </w:p>
          <w:p w14:paraId="04AB4442">
            <w:pPr>
              <w:spacing w:line="360" w:lineRule="auto"/>
              <w:jc w:val="center"/>
              <w:rPr>
                <w:b/>
                <w:highlight w:val="none"/>
              </w:rPr>
            </w:pPr>
            <w:r>
              <w:rPr>
                <w:rFonts w:hint="eastAsia"/>
                <w:b/>
                <w:highlight w:val="none"/>
              </w:rPr>
              <w:t>（人民币）</w:t>
            </w:r>
          </w:p>
        </w:tc>
      </w:tr>
      <w:tr w14:paraId="0722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23F677FD">
            <w:pPr>
              <w:spacing w:line="360" w:lineRule="auto"/>
              <w:rPr>
                <w:highlight w:val="none"/>
              </w:rPr>
            </w:pPr>
          </w:p>
        </w:tc>
        <w:tc>
          <w:tcPr>
            <w:tcW w:w="1620" w:type="dxa"/>
          </w:tcPr>
          <w:p w14:paraId="4165E353">
            <w:pPr>
              <w:spacing w:line="360" w:lineRule="auto"/>
              <w:rPr>
                <w:highlight w:val="none"/>
              </w:rPr>
            </w:pPr>
          </w:p>
        </w:tc>
        <w:tc>
          <w:tcPr>
            <w:tcW w:w="1360" w:type="dxa"/>
          </w:tcPr>
          <w:p w14:paraId="7CCECCC0">
            <w:pPr>
              <w:spacing w:line="360" w:lineRule="auto"/>
              <w:jc w:val="left"/>
              <w:rPr>
                <w:highlight w:val="none"/>
              </w:rPr>
            </w:pPr>
          </w:p>
        </w:tc>
        <w:tc>
          <w:tcPr>
            <w:tcW w:w="878" w:type="dxa"/>
          </w:tcPr>
          <w:p w14:paraId="2491EDA5">
            <w:pPr>
              <w:spacing w:line="360" w:lineRule="auto"/>
              <w:rPr>
                <w:highlight w:val="none"/>
              </w:rPr>
            </w:pPr>
          </w:p>
        </w:tc>
        <w:tc>
          <w:tcPr>
            <w:tcW w:w="750" w:type="dxa"/>
          </w:tcPr>
          <w:p w14:paraId="0D568B37">
            <w:pPr>
              <w:spacing w:line="360" w:lineRule="auto"/>
              <w:rPr>
                <w:highlight w:val="none"/>
              </w:rPr>
            </w:pPr>
            <w:r>
              <w:rPr>
                <w:rFonts w:hint="eastAsia"/>
                <w:highlight w:val="none"/>
              </w:rPr>
              <w:t>台</w:t>
            </w:r>
          </w:p>
        </w:tc>
        <w:tc>
          <w:tcPr>
            <w:tcW w:w="571" w:type="dxa"/>
          </w:tcPr>
          <w:p w14:paraId="4C278044">
            <w:pPr>
              <w:spacing w:line="360" w:lineRule="auto"/>
              <w:rPr>
                <w:highlight w:val="none"/>
              </w:rPr>
            </w:pPr>
          </w:p>
        </w:tc>
        <w:tc>
          <w:tcPr>
            <w:tcW w:w="1327" w:type="dxa"/>
            <w:vAlign w:val="center"/>
          </w:tcPr>
          <w:p w14:paraId="22708EE4">
            <w:pPr>
              <w:spacing w:line="360" w:lineRule="auto"/>
              <w:rPr>
                <w:highlight w:val="none"/>
              </w:rPr>
            </w:pPr>
            <w:r>
              <w:rPr>
                <w:rFonts w:hint="eastAsia"/>
                <w:highlight w:val="none"/>
              </w:rPr>
              <w:t>￥</w:t>
            </w:r>
          </w:p>
        </w:tc>
        <w:tc>
          <w:tcPr>
            <w:tcW w:w="1305" w:type="dxa"/>
            <w:vAlign w:val="center"/>
          </w:tcPr>
          <w:p w14:paraId="532680AB">
            <w:pPr>
              <w:spacing w:line="360" w:lineRule="auto"/>
              <w:ind w:right="960"/>
              <w:rPr>
                <w:highlight w:val="none"/>
              </w:rPr>
            </w:pPr>
            <w:r>
              <w:rPr>
                <w:rFonts w:hint="eastAsia"/>
                <w:highlight w:val="none"/>
              </w:rPr>
              <w:t>￥</w:t>
            </w:r>
          </w:p>
        </w:tc>
      </w:tr>
      <w:tr w14:paraId="2544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6277B413">
            <w:pPr>
              <w:spacing w:line="360" w:lineRule="auto"/>
              <w:rPr>
                <w:highlight w:val="none"/>
              </w:rPr>
            </w:pPr>
            <w:r>
              <w:rPr>
                <w:rFonts w:hint="eastAsia"/>
                <w:highlight w:val="none"/>
              </w:rPr>
              <w:t>合计（大写）：人民币          元整；                （小写）：￥</w:t>
            </w:r>
          </w:p>
        </w:tc>
      </w:tr>
      <w:tr w14:paraId="71F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41EF7443">
            <w:pPr>
              <w:widowControl/>
              <w:spacing w:line="360" w:lineRule="auto"/>
              <w:jc w:val="left"/>
              <w:rPr>
                <w:highlight w:val="none"/>
              </w:rPr>
            </w:pPr>
            <w:r>
              <w:rPr>
                <w:rFonts w:hint="eastAsia"/>
                <w:b/>
                <w:highlight w:val="none"/>
              </w:rPr>
              <w:t xml:space="preserve"> 备注：      </w:t>
            </w:r>
            <w:r>
              <w:rPr>
                <w:rFonts w:hint="eastAsia"/>
                <w:highlight w:val="none"/>
              </w:rPr>
              <w:t xml:space="preserve">                                                         </w:t>
            </w:r>
          </w:p>
          <w:p w14:paraId="1A4C08C8">
            <w:pPr>
              <w:widowControl/>
              <w:spacing w:line="360" w:lineRule="auto"/>
              <w:jc w:val="left"/>
              <w:rPr>
                <w:highlight w:val="none"/>
              </w:rPr>
            </w:pPr>
            <w:r>
              <w:rPr>
                <w:rFonts w:hint="eastAsia"/>
                <w:highlight w:val="none"/>
              </w:rPr>
              <w:t xml:space="preserve">                                                                      </w:t>
            </w:r>
          </w:p>
        </w:tc>
      </w:tr>
    </w:tbl>
    <w:p w14:paraId="10163E1F">
      <w:pPr>
        <w:spacing w:line="360" w:lineRule="auto"/>
        <w:ind w:firstLine="482" w:firstLineChars="200"/>
        <w:rPr>
          <w:b/>
          <w:highlight w:val="none"/>
        </w:rPr>
      </w:pPr>
      <w:r>
        <w:rPr>
          <w:rFonts w:hint="eastAsia"/>
          <w:b/>
          <w:highlight w:val="none"/>
        </w:rPr>
        <w:t>产品应当符合国家规范规定的标准及乙方投标文件所述和宣传的标准，设备配置详单附后。</w:t>
      </w:r>
    </w:p>
    <w:p w14:paraId="4059D632">
      <w:pPr>
        <w:spacing w:line="360" w:lineRule="auto"/>
        <w:rPr>
          <w:b/>
          <w:highlight w:val="none"/>
        </w:rPr>
      </w:pPr>
      <w:r>
        <w:rPr>
          <w:rFonts w:hint="eastAsia"/>
          <w:b/>
          <w:highlight w:val="none"/>
        </w:rPr>
        <w:t>二、合同价款：</w:t>
      </w:r>
    </w:p>
    <w:p w14:paraId="517B1913">
      <w:pPr>
        <w:spacing w:line="360" w:lineRule="auto"/>
        <w:ind w:firstLine="480" w:firstLineChars="200"/>
        <w:rPr>
          <w:highlight w:val="none"/>
        </w:rPr>
      </w:pPr>
      <w:r>
        <w:rPr>
          <w:rFonts w:hint="eastAsia"/>
          <w:highlight w:val="none"/>
        </w:rPr>
        <w:t>1、合同总金额：</w:t>
      </w:r>
      <w:r>
        <w:rPr>
          <w:rFonts w:hint="eastAsia"/>
          <w:b/>
          <w:highlight w:val="none"/>
          <w:u w:val="single"/>
        </w:rPr>
        <w:t>人民币          元整。</w:t>
      </w:r>
    </w:p>
    <w:p w14:paraId="7A7DD0BB">
      <w:pPr>
        <w:spacing w:line="360" w:lineRule="auto"/>
        <w:ind w:firstLine="480" w:firstLineChars="200"/>
        <w:rPr>
          <w:rFonts w:hint="eastAsia" w:hAnsi="宋体"/>
          <w:szCs w:val="24"/>
          <w:highlight w:val="none"/>
        </w:rPr>
      </w:pPr>
      <w:r>
        <w:rPr>
          <w:rFonts w:hint="eastAsia" w:hAnsi="宋体"/>
          <w:szCs w:val="24"/>
          <w:highlight w:val="none"/>
        </w:rPr>
        <w:t>2、合同总金额包括但不限于产品费（含相关配件、附件、安装材料）、施工费、安装调试费、运杂费（含保险）、仓储保管费、技术培训费、招标代理服务费、税金等其他一切相关费用。</w:t>
      </w:r>
    </w:p>
    <w:p w14:paraId="47BD862D">
      <w:pPr>
        <w:spacing w:line="360" w:lineRule="auto"/>
        <w:rPr>
          <w:b/>
          <w:highlight w:val="none"/>
        </w:rPr>
      </w:pPr>
      <w:r>
        <w:rPr>
          <w:rFonts w:hint="eastAsia"/>
          <w:b/>
          <w:highlight w:val="none"/>
        </w:rPr>
        <w:t>三、交货地点：</w:t>
      </w:r>
    </w:p>
    <w:p w14:paraId="4CD14A15">
      <w:pPr>
        <w:spacing w:line="360" w:lineRule="auto"/>
        <w:ind w:firstLine="470" w:firstLineChars="196"/>
        <w:rPr>
          <w:highlight w:val="none"/>
        </w:rPr>
      </w:pPr>
      <w:r>
        <w:rPr>
          <w:rFonts w:hint="eastAsia"/>
          <w:highlight w:val="none"/>
        </w:rPr>
        <w:t>镇安县医院指定地点。</w:t>
      </w:r>
    </w:p>
    <w:p w14:paraId="1413EA63">
      <w:pPr>
        <w:spacing w:line="360" w:lineRule="auto"/>
        <w:rPr>
          <w:b/>
          <w:highlight w:val="none"/>
        </w:rPr>
      </w:pPr>
      <w:r>
        <w:rPr>
          <w:rFonts w:hint="eastAsia"/>
          <w:b/>
          <w:highlight w:val="none"/>
        </w:rPr>
        <w:t>四、交货时间：</w:t>
      </w:r>
    </w:p>
    <w:p w14:paraId="5B139AE0">
      <w:pPr>
        <w:spacing w:line="360" w:lineRule="auto"/>
        <w:ind w:firstLine="470" w:firstLineChars="196"/>
        <w:rPr>
          <w:highlight w:val="none"/>
        </w:rPr>
      </w:pPr>
      <w:r>
        <w:rPr>
          <w:rFonts w:hint="eastAsia"/>
          <w:highlight w:val="none"/>
        </w:rPr>
        <w:t>合同签订接采购人通知后</w:t>
      </w:r>
      <w:r>
        <w:rPr>
          <w:rFonts w:hint="eastAsia"/>
          <w:highlight w:val="none"/>
          <w:u w:val="single"/>
        </w:rPr>
        <w:t xml:space="preserve">        </w:t>
      </w:r>
      <w:r>
        <w:rPr>
          <w:rFonts w:hint="eastAsia"/>
          <w:highlight w:val="none"/>
        </w:rPr>
        <w:t>个日历日内。</w:t>
      </w:r>
    </w:p>
    <w:p w14:paraId="1A296516">
      <w:pPr>
        <w:spacing w:line="360" w:lineRule="auto"/>
        <w:rPr>
          <w:highlight w:val="none"/>
        </w:rPr>
      </w:pPr>
      <w:r>
        <w:rPr>
          <w:rFonts w:hint="eastAsia"/>
          <w:b/>
          <w:highlight w:val="none"/>
        </w:rPr>
        <w:t>五、甲方指定收件人为：</w:t>
      </w:r>
      <w:r>
        <w:rPr>
          <w:rFonts w:hint="eastAsia"/>
          <w:b/>
          <w:highlight w:val="none"/>
          <w:u w:val="single"/>
        </w:rPr>
        <w:t xml:space="preserve">        </w:t>
      </w:r>
      <w:r>
        <w:rPr>
          <w:rFonts w:hint="eastAsia"/>
          <w:highlight w:val="none"/>
        </w:rPr>
        <w:t>，联系电话</w:t>
      </w:r>
      <w:r>
        <w:rPr>
          <w:rFonts w:hint="eastAsia"/>
          <w:highlight w:val="none"/>
          <w:u w:val="single"/>
        </w:rPr>
        <w:t xml:space="preserve">          </w:t>
      </w:r>
      <w:r>
        <w:rPr>
          <w:rFonts w:hint="eastAsia"/>
          <w:i/>
          <w:iCs/>
          <w:highlight w:val="none"/>
          <w:u w:val="single"/>
        </w:rPr>
        <w:t xml:space="preserve">     </w:t>
      </w:r>
      <w:r>
        <w:rPr>
          <w:rFonts w:hint="eastAsia"/>
          <w:highlight w:val="none"/>
        </w:rPr>
        <w:t>。</w:t>
      </w:r>
    </w:p>
    <w:p w14:paraId="4117AB13">
      <w:pPr>
        <w:spacing w:line="360" w:lineRule="auto"/>
        <w:ind w:firstLine="480" w:firstLineChars="200"/>
        <w:rPr>
          <w:highlight w:val="none"/>
        </w:rPr>
      </w:pPr>
      <w:r>
        <w:rPr>
          <w:rFonts w:hint="eastAsia"/>
          <w:highlight w:val="none"/>
        </w:rPr>
        <w:t>根据使用需要，甲方如需提前或推迟收货，甲方应当</w:t>
      </w:r>
      <w:r>
        <w:rPr>
          <w:rFonts w:hint="eastAsia"/>
          <w:b/>
          <w:bCs/>
          <w:highlight w:val="none"/>
        </w:rPr>
        <w:t>提前电话或邮箱或其他任何在本合同约定的方式通知乙方</w:t>
      </w:r>
      <w:r>
        <w:rPr>
          <w:rFonts w:hint="eastAsia"/>
          <w:highlight w:val="none"/>
        </w:rPr>
        <w:t>，乙方应无条件配合，不得收取仓储费等任何费用。</w:t>
      </w:r>
    </w:p>
    <w:p w14:paraId="440AC694">
      <w:pPr>
        <w:spacing w:line="360" w:lineRule="auto"/>
        <w:rPr>
          <w:b/>
          <w:highlight w:val="none"/>
        </w:rPr>
      </w:pPr>
      <w:r>
        <w:rPr>
          <w:rFonts w:hint="eastAsia"/>
          <w:b/>
          <w:highlight w:val="none"/>
        </w:rPr>
        <w:t>六：货款结算方式：</w:t>
      </w:r>
    </w:p>
    <w:p w14:paraId="6C70EAF6">
      <w:pPr>
        <w:spacing w:line="360" w:lineRule="auto"/>
        <w:ind w:firstLine="480" w:firstLineChars="200"/>
        <w:rPr>
          <w:highlight w:val="none"/>
        </w:rPr>
      </w:pPr>
      <w:r>
        <w:rPr>
          <w:rFonts w:hint="eastAsia"/>
          <w:highlight w:val="none"/>
        </w:rPr>
        <w:t>1、付款方式：</w:t>
      </w:r>
    </w:p>
    <w:p w14:paraId="42F2DF58">
      <w:pPr>
        <w:spacing w:line="360" w:lineRule="auto"/>
        <w:ind w:firstLine="482" w:firstLineChars="200"/>
        <w:rPr>
          <w:b/>
          <w:bCs/>
          <w:highlight w:val="none"/>
        </w:rPr>
      </w:pPr>
      <w:r>
        <w:rPr>
          <w:rFonts w:hint="eastAsia"/>
          <w:b/>
          <w:bCs/>
          <w:highlight w:val="none"/>
        </w:rPr>
        <w:t>每次付款前</w:t>
      </w:r>
      <w:r>
        <w:rPr>
          <w:rFonts w:hint="eastAsia"/>
          <w:b/>
          <w:bCs/>
          <w:highlight w:val="none"/>
          <w:u w:val="single"/>
        </w:rPr>
        <w:t xml:space="preserve">    </w:t>
      </w:r>
      <w:r>
        <w:rPr>
          <w:rFonts w:hint="eastAsia"/>
          <w:b/>
          <w:bCs/>
          <w:highlight w:val="none"/>
        </w:rPr>
        <w:t>个工作日内，乙方需提前向甲方开具相应金额的正式税务发票。</w:t>
      </w:r>
    </w:p>
    <w:p w14:paraId="7A6F1618">
      <w:pPr>
        <w:spacing w:line="360" w:lineRule="auto"/>
        <w:ind w:firstLine="480" w:firstLineChars="200"/>
        <w:rPr>
          <w:highlight w:val="none"/>
        </w:rPr>
      </w:pPr>
      <w:r>
        <w:rPr>
          <w:rFonts w:hint="eastAsia"/>
          <w:highlight w:val="none"/>
        </w:rPr>
        <w:t>2、支付方式：甲方直接将货款通过银行转账的方式转入乙方指定的专用账号。乙方账户名：</w:t>
      </w:r>
      <w:r>
        <w:rPr>
          <w:rFonts w:hint="eastAsia"/>
          <w:highlight w:val="none"/>
          <w:u w:val="single"/>
        </w:rPr>
        <w:t xml:space="preserve">               </w:t>
      </w:r>
      <w:r>
        <w:rPr>
          <w:rFonts w:hint="eastAsia"/>
          <w:highlight w:val="none"/>
        </w:rPr>
        <w:t>。账号：</w:t>
      </w:r>
      <w:r>
        <w:rPr>
          <w:rFonts w:hint="eastAsia"/>
          <w:highlight w:val="none"/>
          <w:u w:val="single"/>
        </w:rPr>
        <w:t xml:space="preserve">              </w:t>
      </w:r>
      <w:r>
        <w:rPr>
          <w:rFonts w:hint="eastAsia"/>
          <w:highlight w:val="none"/>
        </w:rPr>
        <w:t>。开户行</w:t>
      </w:r>
      <w:r>
        <w:rPr>
          <w:rFonts w:hint="eastAsia"/>
          <w:highlight w:val="none"/>
          <w:u w:val="single"/>
        </w:rPr>
        <w:t xml:space="preserve">             </w:t>
      </w:r>
      <w:r>
        <w:rPr>
          <w:rFonts w:hint="eastAsia"/>
          <w:highlight w:val="none"/>
        </w:rPr>
        <w:t>。</w:t>
      </w:r>
    </w:p>
    <w:p w14:paraId="12AFA2D6">
      <w:pPr>
        <w:adjustRightInd w:val="0"/>
        <w:snapToGrid w:val="0"/>
        <w:spacing w:line="360" w:lineRule="auto"/>
        <w:rPr>
          <w:rFonts w:hint="eastAsia" w:hAnsi="宋体" w:cs="宋体"/>
          <w:szCs w:val="24"/>
          <w:highlight w:val="none"/>
        </w:rPr>
      </w:pPr>
      <w:r>
        <w:rPr>
          <w:rFonts w:hint="eastAsia" w:hAnsi="宋体" w:cs="宋体"/>
          <w:b/>
          <w:szCs w:val="24"/>
          <w:highlight w:val="none"/>
        </w:rPr>
        <w:t>七、质量保证：</w:t>
      </w:r>
      <w:r>
        <w:rPr>
          <w:rFonts w:hint="eastAsia" w:hAnsi="宋体" w:cs="宋体"/>
          <w:szCs w:val="24"/>
          <w:highlight w:val="none"/>
        </w:rPr>
        <w:t>详见“第三章合同条款及格式前附表”</w:t>
      </w:r>
    </w:p>
    <w:p w14:paraId="7706B8FD">
      <w:pPr>
        <w:adjustRightInd w:val="0"/>
        <w:snapToGrid w:val="0"/>
        <w:spacing w:line="360" w:lineRule="auto"/>
        <w:rPr>
          <w:rFonts w:hint="eastAsia" w:hAnsi="宋体" w:cs="宋体"/>
          <w:szCs w:val="24"/>
          <w:highlight w:val="none"/>
        </w:rPr>
      </w:pPr>
      <w:r>
        <w:rPr>
          <w:rFonts w:hint="eastAsia" w:hAnsi="宋体" w:cs="宋体"/>
          <w:b/>
          <w:bCs/>
          <w:szCs w:val="24"/>
          <w:highlight w:val="none"/>
        </w:rPr>
        <w:t>八</w:t>
      </w:r>
      <w:r>
        <w:rPr>
          <w:rFonts w:hint="eastAsia" w:hAnsi="宋体" w:cs="宋体"/>
          <w:szCs w:val="24"/>
          <w:highlight w:val="none"/>
        </w:rPr>
        <w:t>、</w:t>
      </w:r>
      <w:r>
        <w:rPr>
          <w:rFonts w:hint="eastAsia" w:hAnsi="宋体" w:cs="宋体"/>
          <w:b/>
          <w:bCs/>
          <w:szCs w:val="24"/>
          <w:highlight w:val="none"/>
        </w:rPr>
        <w:t>运输、安装、调试要求：</w:t>
      </w:r>
      <w:r>
        <w:rPr>
          <w:rFonts w:hint="eastAsia" w:hAnsi="宋体" w:cs="宋体"/>
          <w:szCs w:val="24"/>
          <w:highlight w:val="none"/>
        </w:rPr>
        <w:t>详见“第三章合同条款及格式前附表”</w:t>
      </w:r>
    </w:p>
    <w:p w14:paraId="57F3CC87">
      <w:pPr>
        <w:adjustRightInd w:val="0"/>
        <w:snapToGrid w:val="0"/>
        <w:spacing w:line="360" w:lineRule="auto"/>
        <w:rPr>
          <w:rFonts w:hint="eastAsia" w:hAnsi="宋体" w:cs="宋体"/>
          <w:b/>
          <w:szCs w:val="24"/>
          <w:highlight w:val="none"/>
        </w:rPr>
      </w:pPr>
      <w:r>
        <w:rPr>
          <w:rFonts w:hint="eastAsia" w:hAnsi="宋体" w:cs="宋体"/>
          <w:b/>
          <w:bCs/>
          <w:szCs w:val="24"/>
          <w:highlight w:val="none"/>
        </w:rPr>
        <w:t>九、技术支持及培训：</w:t>
      </w:r>
      <w:r>
        <w:rPr>
          <w:rFonts w:hint="eastAsia" w:hAnsi="宋体" w:cs="宋体"/>
          <w:szCs w:val="24"/>
          <w:highlight w:val="none"/>
        </w:rPr>
        <w:t>详见“第三章合同条款及格式前附表”</w:t>
      </w:r>
    </w:p>
    <w:p w14:paraId="3EFA3262">
      <w:pPr>
        <w:adjustRightInd w:val="0"/>
        <w:snapToGrid w:val="0"/>
        <w:spacing w:line="360" w:lineRule="auto"/>
        <w:rPr>
          <w:rFonts w:hint="eastAsia" w:hAnsi="宋体" w:cs="宋体"/>
          <w:b/>
          <w:szCs w:val="24"/>
          <w:highlight w:val="none"/>
        </w:rPr>
      </w:pPr>
      <w:r>
        <w:rPr>
          <w:rFonts w:hint="eastAsia" w:hAnsi="宋体" w:cs="宋体"/>
          <w:b/>
          <w:szCs w:val="24"/>
          <w:highlight w:val="none"/>
        </w:rPr>
        <w:t>十、</w:t>
      </w:r>
      <w:r>
        <w:rPr>
          <w:rFonts w:hint="eastAsia" w:hAnsi="宋体" w:cs="宋体"/>
          <w:b/>
          <w:bCs/>
          <w:szCs w:val="24"/>
          <w:highlight w:val="none"/>
        </w:rPr>
        <w:t>技术资料要求</w:t>
      </w:r>
      <w:r>
        <w:rPr>
          <w:rFonts w:hint="eastAsia" w:hAnsi="宋体" w:cs="宋体"/>
          <w:b/>
          <w:szCs w:val="24"/>
          <w:highlight w:val="none"/>
        </w:rPr>
        <w:t>：</w:t>
      </w:r>
      <w:r>
        <w:rPr>
          <w:rFonts w:hint="eastAsia" w:hAnsi="宋体" w:cs="宋体"/>
          <w:szCs w:val="24"/>
          <w:highlight w:val="none"/>
        </w:rPr>
        <w:t>详见“第三章合同条款及格式前附表”</w:t>
      </w:r>
    </w:p>
    <w:p w14:paraId="1F6B9D30">
      <w:pPr>
        <w:adjustRightInd w:val="0"/>
        <w:snapToGrid w:val="0"/>
        <w:spacing w:line="360" w:lineRule="auto"/>
        <w:rPr>
          <w:rFonts w:hint="eastAsia" w:hAnsi="宋体" w:cs="宋体"/>
          <w:szCs w:val="24"/>
          <w:highlight w:val="none"/>
        </w:rPr>
      </w:pPr>
      <w:r>
        <w:rPr>
          <w:rFonts w:hint="eastAsia" w:hAnsi="宋体" w:cs="宋体"/>
          <w:b/>
          <w:szCs w:val="24"/>
          <w:highlight w:val="none"/>
        </w:rPr>
        <w:t>十一、验收：</w:t>
      </w:r>
      <w:r>
        <w:rPr>
          <w:rFonts w:hint="eastAsia" w:hAnsi="宋体" w:cs="宋体"/>
          <w:szCs w:val="24"/>
          <w:highlight w:val="none"/>
        </w:rPr>
        <w:t>详见“第三章合同条款及格式前附表”</w:t>
      </w:r>
    </w:p>
    <w:p w14:paraId="7E7A0E21">
      <w:pPr>
        <w:adjustRightInd w:val="0"/>
        <w:snapToGrid w:val="0"/>
        <w:spacing w:line="360" w:lineRule="auto"/>
        <w:rPr>
          <w:rFonts w:hint="eastAsia" w:hAnsi="宋体" w:cs="宋体"/>
          <w:szCs w:val="24"/>
          <w:highlight w:val="none"/>
        </w:rPr>
      </w:pPr>
      <w:r>
        <w:rPr>
          <w:rFonts w:hint="eastAsia" w:hAnsi="宋体" w:cs="宋体"/>
          <w:b/>
          <w:bCs/>
          <w:szCs w:val="24"/>
          <w:highlight w:val="none"/>
        </w:rPr>
        <w:t>十二、质保及维保服务：</w:t>
      </w:r>
      <w:r>
        <w:rPr>
          <w:rFonts w:hint="eastAsia" w:hAnsi="宋体" w:cs="宋体"/>
          <w:szCs w:val="24"/>
          <w:highlight w:val="none"/>
        </w:rPr>
        <w:t>详见“第三章合同条款及格式前附表”</w:t>
      </w:r>
    </w:p>
    <w:p w14:paraId="2B7D0412">
      <w:pPr>
        <w:spacing w:line="360" w:lineRule="auto"/>
        <w:rPr>
          <w:rFonts w:hint="eastAsia" w:hAnsi="宋体" w:cs="宋体"/>
          <w:b/>
          <w:szCs w:val="24"/>
          <w:highlight w:val="none"/>
        </w:rPr>
      </w:pPr>
      <w:r>
        <w:rPr>
          <w:rFonts w:hint="eastAsia" w:hAnsi="宋体" w:cs="宋体"/>
          <w:b/>
          <w:szCs w:val="24"/>
          <w:highlight w:val="none"/>
        </w:rPr>
        <w:t>十三、知识产权：</w:t>
      </w:r>
      <w:r>
        <w:rPr>
          <w:rFonts w:hint="eastAsia" w:hAnsi="宋体" w:cs="宋体"/>
          <w:szCs w:val="24"/>
          <w:highlight w:val="none"/>
        </w:rPr>
        <w:t>详见“第三章合同条款及格式前附表”</w:t>
      </w:r>
    </w:p>
    <w:p w14:paraId="7611F895">
      <w:pPr>
        <w:spacing w:line="360" w:lineRule="auto"/>
        <w:rPr>
          <w:rFonts w:hint="eastAsia" w:hAnsi="宋体" w:cs="宋体"/>
          <w:b/>
          <w:szCs w:val="24"/>
          <w:highlight w:val="none"/>
        </w:rPr>
      </w:pPr>
      <w:r>
        <w:rPr>
          <w:rFonts w:hint="eastAsia" w:hAnsi="宋体" w:cs="宋体"/>
          <w:b/>
          <w:szCs w:val="24"/>
          <w:highlight w:val="none"/>
        </w:rPr>
        <w:t>十四、合同争议的解决</w:t>
      </w:r>
    </w:p>
    <w:p w14:paraId="2A7A685D">
      <w:pPr>
        <w:spacing w:line="360" w:lineRule="auto"/>
        <w:rPr>
          <w:rFonts w:hint="eastAsia" w:hAnsi="宋体" w:cs="宋体"/>
          <w:szCs w:val="24"/>
          <w:highlight w:val="none"/>
        </w:rPr>
      </w:pPr>
      <w:r>
        <w:rPr>
          <w:rFonts w:hint="eastAsia" w:hAnsi="宋体" w:cs="宋体"/>
          <w:szCs w:val="24"/>
          <w:highlight w:val="none"/>
        </w:rPr>
        <w:t xml:space="preserve">    合同执行中发生争议的，当事人双方应协商解决。协商达不成一致时，可向当地行政仲裁机关申请仲裁或者向人民法院提请诉讼。</w:t>
      </w:r>
    </w:p>
    <w:p w14:paraId="3502718E">
      <w:pPr>
        <w:spacing w:line="360" w:lineRule="auto"/>
        <w:jc w:val="left"/>
        <w:rPr>
          <w:rFonts w:hint="eastAsia" w:hAnsi="宋体" w:cs="宋体"/>
          <w:b/>
          <w:bCs/>
          <w:szCs w:val="24"/>
          <w:highlight w:val="none"/>
        </w:rPr>
      </w:pPr>
      <w:r>
        <w:rPr>
          <w:rFonts w:hint="eastAsia" w:hAnsi="宋体" w:cs="宋体"/>
          <w:b/>
          <w:bCs/>
          <w:szCs w:val="24"/>
          <w:highlight w:val="none"/>
        </w:rPr>
        <w:t>十五、不可抗力情况下的免责约定</w:t>
      </w:r>
    </w:p>
    <w:p w14:paraId="39CB3026">
      <w:pPr>
        <w:spacing w:line="360" w:lineRule="auto"/>
        <w:jc w:val="left"/>
        <w:rPr>
          <w:rFonts w:hint="eastAsia" w:hAnsi="宋体" w:cs="宋体"/>
          <w:szCs w:val="24"/>
          <w:highlight w:val="none"/>
        </w:rPr>
      </w:pPr>
      <w:r>
        <w:rPr>
          <w:rFonts w:hint="eastAsia" w:hAnsi="宋体" w:cs="宋体"/>
          <w:szCs w:val="24"/>
          <w:highlight w:val="none"/>
        </w:rPr>
        <w:t xml:space="preserve">    双方约定不可抗力情况指：双方不可预见、不可避免、不可克服的客观情况，但不包括双方的违约或疏忽。这些事件包括但不限于：战争、严重火灾、洪水、台风、地震等。</w:t>
      </w:r>
    </w:p>
    <w:p w14:paraId="4302FA4C">
      <w:pPr>
        <w:spacing w:line="360" w:lineRule="auto"/>
        <w:rPr>
          <w:rFonts w:hint="eastAsia" w:hAnsi="宋体" w:cs="宋体"/>
          <w:b/>
          <w:szCs w:val="24"/>
          <w:highlight w:val="none"/>
        </w:rPr>
      </w:pPr>
      <w:r>
        <w:rPr>
          <w:rFonts w:hint="eastAsia" w:hAnsi="宋体" w:cs="宋体"/>
          <w:b/>
          <w:szCs w:val="24"/>
          <w:highlight w:val="none"/>
        </w:rPr>
        <w:t>十六、违约责任：</w:t>
      </w:r>
      <w:r>
        <w:rPr>
          <w:rFonts w:hint="eastAsia" w:hAnsi="宋体" w:cs="宋体"/>
          <w:szCs w:val="24"/>
          <w:highlight w:val="none"/>
        </w:rPr>
        <w:t>详见“第三章合同条款及格式前附表”</w:t>
      </w:r>
    </w:p>
    <w:p w14:paraId="6448FCF0">
      <w:pPr>
        <w:spacing w:line="360" w:lineRule="auto"/>
        <w:rPr>
          <w:b/>
          <w:highlight w:val="none"/>
        </w:rPr>
      </w:pPr>
      <w:r>
        <w:rPr>
          <w:rFonts w:hint="eastAsia" w:hAnsi="宋体" w:cs="宋体"/>
          <w:b/>
          <w:szCs w:val="24"/>
          <w:highlight w:val="none"/>
        </w:rPr>
        <w:t>十七、</w:t>
      </w:r>
      <w:r>
        <w:rPr>
          <w:rFonts w:hint="eastAsia"/>
          <w:b/>
          <w:highlight w:val="none"/>
        </w:rPr>
        <w:t>以下资料为本合同不可分割部分，与本合同具有同等法律效力：</w:t>
      </w:r>
    </w:p>
    <w:p w14:paraId="5F1C8064">
      <w:pPr>
        <w:spacing w:line="360" w:lineRule="auto"/>
        <w:ind w:firstLine="480" w:firstLineChars="200"/>
        <w:rPr>
          <w:highlight w:val="none"/>
        </w:rPr>
      </w:pPr>
      <w:r>
        <w:rPr>
          <w:rFonts w:hint="eastAsia"/>
          <w:highlight w:val="none"/>
        </w:rPr>
        <w:t>1、本合同所涉产品的国家标准及相关行业标准；</w:t>
      </w:r>
    </w:p>
    <w:p w14:paraId="63766A2C">
      <w:pPr>
        <w:spacing w:line="360" w:lineRule="auto"/>
        <w:ind w:firstLine="480" w:firstLineChars="200"/>
        <w:rPr>
          <w:highlight w:val="none"/>
        </w:rPr>
      </w:pPr>
      <w:r>
        <w:rPr>
          <w:rFonts w:hint="eastAsia"/>
          <w:highlight w:val="none"/>
        </w:rPr>
        <w:t>2、本产品的详细资料；</w:t>
      </w:r>
    </w:p>
    <w:p w14:paraId="50D3FEC3">
      <w:pPr>
        <w:spacing w:line="360" w:lineRule="auto"/>
        <w:ind w:firstLine="480" w:firstLineChars="200"/>
        <w:rPr>
          <w:highlight w:val="none"/>
        </w:rPr>
      </w:pPr>
      <w:r>
        <w:rPr>
          <w:rFonts w:hint="eastAsia"/>
          <w:highlight w:val="none"/>
        </w:rPr>
        <w:t>3、招投标文件；</w:t>
      </w:r>
    </w:p>
    <w:p w14:paraId="6FE16471">
      <w:pPr>
        <w:spacing w:line="360" w:lineRule="auto"/>
        <w:ind w:firstLine="480" w:firstLineChars="200"/>
        <w:rPr>
          <w:highlight w:val="none"/>
        </w:rPr>
      </w:pPr>
      <w:r>
        <w:rPr>
          <w:rFonts w:hint="eastAsia"/>
          <w:highlight w:val="none"/>
        </w:rPr>
        <w:t>4、本套产品配置及配套设备零件报价详单；（附于合同后）</w:t>
      </w:r>
    </w:p>
    <w:p w14:paraId="34D72894">
      <w:pPr>
        <w:spacing w:line="360" w:lineRule="auto"/>
        <w:ind w:firstLine="480" w:firstLineChars="200"/>
        <w:rPr>
          <w:highlight w:val="none"/>
        </w:rPr>
      </w:pPr>
      <w:r>
        <w:rPr>
          <w:rFonts w:hint="eastAsia"/>
          <w:highlight w:val="none"/>
        </w:rPr>
        <w:t>5、本套产品配套耗材清单、报价详单。（附于合同后）</w:t>
      </w:r>
    </w:p>
    <w:p w14:paraId="3D3C9467">
      <w:pPr>
        <w:spacing w:line="360" w:lineRule="auto"/>
        <w:rPr>
          <w:rFonts w:hint="eastAsia" w:hAnsi="宋体" w:cs="宋体"/>
          <w:szCs w:val="24"/>
          <w:highlight w:val="none"/>
        </w:rPr>
      </w:pPr>
      <w:r>
        <w:rPr>
          <w:rFonts w:hint="eastAsia" w:hAnsi="宋体" w:cs="宋体"/>
          <w:b/>
          <w:szCs w:val="24"/>
          <w:highlight w:val="none"/>
        </w:rPr>
        <w:t>十八、其他（</w:t>
      </w:r>
      <w:r>
        <w:rPr>
          <w:rFonts w:hint="eastAsia" w:hAnsi="宋体" w:cs="宋体"/>
          <w:szCs w:val="24"/>
          <w:highlight w:val="none"/>
        </w:rPr>
        <w:t>在合同中双方自行约定）</w:t>
      </w:r>
    </w:p>
    <w:p w14:paraId="5815F6B4">
      <w:pPr>
        <w:spacing w:line="360" w:lineRule="auto"/>
        <w:rPr>
          <w:rFonts w:hint="eastAsia" w:hAnsi="宋体" w:cs="宋体"/>
          <w:b/>
          <w:highlight w:val="none"/>
        </w:rPr>
      </w:pPr>
      <w:r>
        <w:rPr>
          <w:rFonts w:hint="eastAsia" w:hAnsi="宋体" w:cs="宋体"/>
          <w:b/>
          <w:highlight w:val="none"/>
        </w:rPr>
        <w:t>十九、合同订立</w:t>
      </w:r>
    </w:p>
    <w:p w14:paraId="5DA63593">
      <w:pPr>
        <w:adjustRightInd w:val="0"/>
        <w:snapToGrid w:val="0"/>
        <w:spacing w:line="360" w:lineRule="auto"/>
        <w:ind w:firstLine="475" w:firstLineChars="198"/>
        <w:rPr>
          <w:rFonts w:hint="eastAsia"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4C622E9B">
      <w:pPr>
        <w:adjustRightInd w:val="0"/>
        <w:snapToGrid w:val="0"/>
        <w:spacing w:line="360" w:lineRule="auto"/>
        <w:ind w:firstLine="475" w:firstLineChars="198"/>
        <w:rPr>
          <w:rFonts w:hint="eastAsia"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14:paraId="6DA2C0DB">
      <w:pPr>
        <w:tabs>
          <w:tab w:val="left" w:pos="980"/>
        </w:tabs>
        <w:kinsoku w:val="0"/>
        <w:spacing w:line="360" w:lineRule="auto"/>
        <w:ind w:firstLine="480" w:firstLineChars="200"/>
        <w:rPr>
          <w:rFonts w:hint="eastAsia"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14:paraId="17CD7584">
      <w:pPr>
        <w:adjustRightInd w:val="0"/>
        <w:snapToGrid w:val="0"/>
        <w:spacing w:line="360" w:lineRule="auto"/>
        <w:ind w:firstLine="475" w:firstLineChars="198"/>
        <w:rPr>
          <w:rFonts w:hint="eastAsia" w:hAnsi="宋体" w:cs="宋体"/>
          <w:highlight w:val="none"/>
        </w:rPr>
      </w:pP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945"/>
      </w:tblGrid>
      <w:tr w14:paraId="2FF5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4022086B">
            <w:pPr>
              <w:spacing w:line="360" w:lineRule="auto"/>
              <w:jc w:val="center"/>
              <w:rPr>
                <w:rFonts w:hint="eastAsia" w:hAnsi="宋体" w:cs="宋体"/>
                <w:highlight w:val="none"/>
              </w:rPr>
            </w:pPr>
            <w:r>
              <w:rPr>
                <w:rFonts w:hint="eastAsia" w:hAnsi="宋体" w:cs="宋体"/>
                <w:highlight w:val="none"/>
              </w:rPr>
              <w:t>甲 方</w:t>
            </w:r>
          </w:p>
        </w:tc>
        <w:tc>
          <w:tcPr>
            <w:tcW w:w="2662" w:type="pct"/>
            <w:vAlign w:val="center"/>
          </w:tcPr>
          <w:p w14:paraId="74A9C4F0">
            <w:pPr>
              <w:spacing w:line="360" w:lineRule="auto"/>
              <w:jc w:val="center"/>
              <w:rPr>
                <w:rFonts w:hint="eastAsia" w:hAnsi="宋体" w:cs="宋体"/>
                <w:highlight w:val="none"/>
              </w:rPr>
            </w:pPr>
            <w:r>
              <w:rPr>
                <w:rFonts w:hint="eastAsia" w:hAnsi="宋体" w:cs="宋体"/>
                <w:highlight w:val="none"/>
              </w:rPr>
              <w:t>乙 方</w:t>
            </w:r>
          </w:p>
        </w:tc>
      </w:tr>
      <w:tr w14:paraId="77DF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A693A44">
            <w:pPr>
              <w:spacing w:line="360" w:lineRule="auto"/>
              <w:ind w:firstLine="960" w:firstLineChars="400"/>
              <w:rPr>
                <w:rFonts w:hint="eastAsia" w:hAnsi="宋体" w:cs="宋体"/>
                <w:highlight w:val="none"/>
              </w:rPr>
            </w:pPr>
          </w:p>
          <w:p w14:paraId="61ED2169">
            <w:pPr>
              <w:spacing w:line="360" w:lineRule="auto"/>
              <w:jc w:val="center"/>
              <w:rPr>
                <w:rFonts w:hint="eastAsia" w:hAnsi="宋体" w:cs="宋体"/>
                <w:highlight w:val="none"/>
              </w:rPr>
            </w:pPr>
          </w:p>
          <w:p w14:paraId="6127A9C3">
            <w:pPr>
              <w:spacing w:line="360" w:lineRule="auto"/>
              <w:jc w:val="center"/>
              <w:rPr>
                <w:rFonts w:hint="eastAsia" w:hAnsi="宋体" w:cs="宋体"/>
                <w:highlight w:val="none"/>
              </w:rPr>
            </w:pPr>
          </w:p>
          <w:p w14:paraId="49A877E7">
            <w:pPr>
              <w:spacing w:line="360" w:lineRule="auto"/>
              <w:jc w:val="center"/>
              <w:rPr>
                <w:rFonts w:hint="eastAsia" w:hAnsi="宋体" w:cs="宋体"/>
                <w:highlight w:val="none"/>
              </w:rPr>
            </w:pPr>
          </w:p>
          <w:p w14:paraId="5F0CBF7E">
            <w:pPr>
              <w:spacing w:line="360" w:lineRule="auto"/>
              <w:jc w:val="center"/>
              <w:rPr>
                <w:rFonts w:hint="eastAsia" w:hAnsi="宋体" w:cs="宋体"/>
                <w:highlight w:val="none"/>
              </w:rPr>
            </w:pPr>
            <w:r>
              <w:rPr>
                <w:rFonts w:hint="eastAsia" w:hAnsi="宋体" w:cs="宋体"/>
                <w:highlight w:val="none"/>
              </w:rPr>
              <w:t>（盖章）</w:t>
            </w:r>
          </w:p>
        </w:tc>
        <w:tc>
          <w:tcPr>
            <w:tcW w:w="2662" w:type="pct"/>
            <w:vAlign w:val="center"/>
          </w:tcPr>
          <w:p w14:paraId="071B382B">
            <w:pPr>
              <w:spacing w:line="360" w:lineRule="auto"/>
              <w:jc w:val="center"/>
              <w:rPr>
                <w:rFonts w:hint="eastAsia" w:hAnsi="宋体" w:cs="宋体"/>
                <w:highlight w:val="none"/>
              </w:rPr>
            </w:pPr>
          </w:p>
          <w:p w14:paraId="3A46729C">
            <w:pPr>
              <w:spacing w:line="360" w:lineRule="auto"/>
              <w:jc w:val="center"/>
              <w:rPr>
                <w:rFonts w:hint="eastAsia" w:hAnsi="宋体" w:cs="宋体"/>
                <w:highlight w:val="none"/>
              </w:rPr>
            </w:pPr>
          </w:p>
          <w:p w14:paraId="3BA78BDC">
            <w:pPr>
              <w:spacing w:line="360" w:lineRule="auto"/>
              <w:jc w:val="center"/>
              <w:rPr>
                <w:rFonts w:hint="eastAsia" w:hAnsi="宋体" w:cs="宋体"/>
                <w:highlight w:val="none"/>
              </w:rPr>
            </w:pPr>
          </w:p>
          <w:p w14:paraId="25AD51D0">
            <w:pPr>
              <w:spacing w:line="360" w:lineRule="auto"/>
              <w:jc w:val="center"/>
              <w:rPr>
                <w:rFonts w:hint="eastAsia" w:hAnsi="宋体" w:cs="宋体"/>
                <w:highlight w:val="none"/>
              </w:rPr>
            </w:pPr>
          </w:p>
          <w:p w14:paraId="052858B4">
            <w:pPr>
              <w:spacing w:line="360" w:lineRule="auto"/>
              <w:jc w:val="center"/>
              <w:rPr>
                <w:rFonts w:hint="eastAsia" w:hAnsi="宋体" w:cs="宋体"/>
                <w:highlight w:val="none"/>
              </w:rPr>
            </w:pPr>
            <w:r>
              <w:rPr>
                <w:rFonts w:hint="eastAsia" w:hAnsi="宋体" w:cs="宋体"/>
                <w:highlight w:val="none"/>
              </w:rPr>
              <w:t>（盖章）</w:t>
            </w:r>
          </w:p>
        </w:tc>
      </w:tr>
      <w:tr w14:paraId="6346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5C8D8A3F">
            <w:pPr>
              <w:spacing w:line="360" w:lineRule="auto"/>
              <w:jc w:val="left"/>
              <w:rPr>
                <w:rFonts w:hint="eastAsia" w:hAnsi="宋体" w:cs="宋体"/>
                <w:highlight w:val="none"/>
              </w:rPr>
            </w:pPr>
            <w:r>
              <w:rPr>
                <w:rFonts w:hint="eastAsia" w:hAnsi="宋体" w:cs="宋体"/>
                <w:highlight w:val="none"/>
              </w:rPr>
              <w:t>地址：</w:t>
            </w:r>
          </w:p>
        </w:tc>
        <w:tc>
          <w:tcPr>
            <w:tcW w:w="2662" w:type="pct"/>
          </w:tcPr>
          <w:p w14:paraId="3CFD7A37">
            <w:pPr>
              <w:spacing w:line="360" w:lineRule="auto"/>
              <w:jc w:val="left"/>
              <w:rPr>
                <w:rFonts w:hint="eastAsia" w:hAnsi="宋体" w:cs="宋体"/>
                <w:highlight w:val="none"/>
              </w:rPr>
            </w:pPr>
            <w:r>
              <w:rPr>
                <w:rFonts w:hint="eastAsia" w:hAnsi="宋体" w:cs="宋体"/>
                <w:highlight w:val="none"/>
              </w:rPr>
              <w:t>地址：</w:t>
            </w:r>
          </w:p>
        </w:tc>
      </w:tr>
      <w:tr w14:paraId="6F50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1C5CB13C">
            <w:pPr>
              <w:spacing w:line="360" w:lineRule="auto"/>
              <w:jc w:val="left"/>
              <w:rPr>
                <w:rFonts w:hint="eastAsia" w:hAnsi="宋体" w:cs="宋体"/>
                <w:highlight w:val="none"/>
              </w:rPr>
            </w:pPr>
            <w:r>
              <w:rPr>
                <w:rFonts w:hint="eastAsia" w:hAnsi="宋体" w:cs="宋体"/>
                <w:highlight w:val="none"/>
              </w:rPr>
              <w:t>邮编：</w:t>
            </w:r>
          </w:p>
        </w:tc>
        <w:tc>
          <w:tcPr>
            <w:tcW w:w="2662" w:type="pct"/>
          </w:tcPr>
          <w:p w14:paraId="2B080FBC">
            <w:pPr>
              <w:spacing w:line="360" w:lineRule="auto"/>
              <w:jc w:val="left"/>
              <w:rPr>
                <w:rFonts w:hint="eastAsia" w:hAnsi="宋体" w:cs="宋体"/>
                <w:highlight w:val="none"/>
              </w:rPr>
            </w:pPr>
            <w:r>
              <w:rPr>
                <w:rFonts w:hint="eastAsia" w:hAnsi="宋体" w:cs="宋体"/>
                <w:highlight w:val="none"/>
              </w:rPr>
              <w:t>邮编：</w:t>
            </w:r>
          </w:p>
        </w:tc>
      </w:tr>
      <w:tr w14:paraId="7D52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7825405B">
            <w:pPr>
              <w:spacing w:line="360" w:lineRule="auto"/>
              <w:jc w:val="left"/>
              <w:rPr>
                <w:rFonts w:hint="eastAsia" w:hAnsi="宋体" w:cs="宋体"/>
                <w:highlight w:val="none"/>
              </w:rPr>
            </w:pPr>
            <w:r>
              <w:rPr>
                <w:rFonts w:hint="eastAsia" w:hAnsi="宋体" w:cs="宋体"/>
                <w:highlight w:val="none"/>
              </w:rPr>
              <w:t>法定代表人：</w:t>
            </w:r>
          </w:p>
        </w:tc>
        <w:tc>
          <w:tcPr>
            <w:tcW w:w="2662" w:type="pct"/>
          </w:tcPr>
          <w:p w14:paraId="4822E25D">
            <w:pPr>
              <w:spacing w:line="360" w:lineRule="auto"/>
              <w:jc w:val="left"/>
              <w:rPr>
                <w:rFonts w:hint="eastAsia" w:hAnsi="宋体" w:cs="宋体"/>
                <w:highlight w:val="none"/>
              </w:rPr>
            </w:pPr>
            <w:r>
              <w:rPr>
                <w:rFonts w:hint="eastAsia" w:hAnsi="宋体" w:cs="宋体"/>
                <w:highlight w:val="none"/>
              </w:rPr>
              <w:t>法定代表人：</w:t>
            </w:r>
          </w:p>
        </w:tc>
      </w:tr>
      <w:tr w14:paraId="13E7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6DB45CA9">
            <w:pPr>
              <w:spacing w:line="360" w:lineRule="auto"/>
              <w:jc w:val="left"/>
              <w:rPr>
                <w:rFonts w:hint="eastAsia" w:hAnsi="宋体" w:cs="宋体"/>
                <w:highlight w:val="none"/>
              </w:rPr>
            </w:pPr>
            <w:r>
              <w:rPr>
                <w:rFonts w:hint="eastAsia" w:hAnsi="宋体" w:cs="宋体"/>
                <w:highlight w:val="none"/>
              </w:rPr>
              <w:t>被授权代表：（签字）</w:t>
            </w:r>
          </w:p>
        </w:tc>
        <w:tc>
          <w:tcPr>
            <w:tcW w:w="2662" w:type="pct"/>
          </w:tcPr>
          <w:p w14:paraId="3B53AB84">
            <w:pPr>
              <w:spacing w:line="360" w:lineRule="auto"/>
              <w:jc w:val="left"/>
              <w:rPr>
                <w:rFonts w:hint="eastAsia" w:hAnsi="宋体" w:cs="宋体"/>
                <w:highlight w:val="none"/>
              </w:rPr>
            </w:pPr>
            <w:r>
              <w:rPr>
                <w:rFonts w:hint="eastAsia" w:hAnsi="宋体" w:cs="宋体"/>
                <w:highlight w:val="none"/>
              </w:rPr>
              <w:t>被授权代表：（签字）</w:t>
            </w:r>
          </w:p>
        </w:tc>
      </w:tr>
      <w:tr w14:paraId="6C55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D7CF62D">
            <w:pPr>
              <w:spacing w:line="360" w:lineRule="auto"/>
              <w:jc w:val="left"/>
              <w:rPr>
                <w:rFonts w:hint="eastAsia" w:hAnsi="宋体" w:cs="宋体"/>
                <w:highlight w:val="none"/>
              </w:rPr>
            </w:pPr>
            <w:r>
              <w:rPr>
                <w:rFonts w:hint="eastAsia" w:hAnsi="宋体" w:cs="宋体"/>
                <w:highlight w:val="none"/>
              </w:rPr>
              <w:t>电话：</w:t>
            </w:r>
          </w:p>
        </w:tc>
        <w:tc>
          <w:tcPr>
            <w:tcW w:w="2662" w:type="pct"/>
          </w:tcPr>
          <w:p w14:paraId="7DFCF522">
            <w:pPr>
              <w:spacing w:line="360" w:lineRule="auto"/>
              <w:jc w:val="left"/>
              <w:rPr>
                <w:rFonts w:hint="eastAsia" w:hAnsi="宋体" w:cs="宋体"/>
                <w:highlight w:val="none"/>
              </w:rPr>
            </w:pPr>
            <w:r>
              <w:rPr>
                <w:rFonts w:hint="eastAsia" w:hAnsi="宋体" w:cs="宋体"/>
                <w:highlight w:val="none"/>
              </w:rPr>
              <w:t>电话：</w:t>
            </w:r>
          </w:p>
        </w:tc>
      </w:tr>
      <w:tr w14:paraId="441D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9297E18">
            <w:pPr>
              <w:spacing w:line="360" w:lineRule="auto"/>
              <w:jc w:val="left"/>
              <w:rPr>
                <w:rFonts w:hint="eastAsia" w:hAnsi="宋体" w:cs="宋体"/>
                <w:highlight w:val="none"/>
              </w:rPr>
            </w:pPr>
            <w:r>
              <w:rPr>
                <w:rFonts w:hint="eastAsia" w:hAnsi="宋体" w:cs="宋体"/>
                <w:highlight w:val="none"/>
              </w:rPr>
              <w:t>传真：</w:t>
            </w:r>
          </w:p>
        </w:tc>
        <w:tc>
          <w:tcPr>
            <w:tcW w:w="2662" w:type="pct"/>
          </w:tcPr>
          <w:p w14:paraId="67D727C6">
            <w:pPr>
              <w:spacing w:line="360" w:lineRule="auto"/>
              <w:jc w:val="left"/>
              <w:rPr>
                <w:rFonts w:hint="eastAsia" w:hAnsi="宋体" w:cs="宋体"/>
                <w:highlight w:val="none"/>
              </w:rPr>
            </w:pPr>
            <w:r>
              <w:rPr>
                <w:rFonts w:hint="eastAsia" w:hAnsi="宋体" w:cs="宋体"/>
                <w:highlight w:val="none"/>
              </w:rPr>
              <w:t>传真：</w:t>
            </w:r>
          </w:p>
        </w:tc>
      </w:tr>
      <w:tr w14:paraId="736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A5E0A5">
            <w:pPr>
              <w:spacing w:line="360" w:lineRule="auto"/>
              <w:jc w:val="left"/>
              <w:rPr>
                <w:rFonts w:hint="eastAsia" w:hAnsi="宋体" w:cs="宋体"/>
                <w:highlight w:val="none"/>
              </w:rPr>
            </w:pPr>
          </w:p>
        </w:tc>
        <w:tc>
          <w:tcPr>
            <w:tcW w:w="2662" w:type="pct"/>
          </w:tcPr>
          <w:p w14:paraId="70A7E0F9">
            <w:pPr>
              <w:spacing w:line="360" w:lineRule="auto"/>
              <w:jc w:val="left"/>
              <w:rPr>
                <w:rFonts w:hint="eastAsia" w:hAnsi="宋体" w:cs="宋体"/>
                <w:highlight w:val="none"/>
              </w:rPr>
            </w:pPr>
            <w:r>
              <w:rPr>
                <w:rFonts w:hint="eastAsia" w:hAnsi="宋体" w:cs="宋体"/>
                <w:highlight w:val="none"/>
              </w:rPr>
              <w:t>开户银行：</w:t>
            </w:r>
          </w:p>
        </w:tc>
      </w:tr>
      <w:tr w14:paraId="381D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3DBCA6C">
            <w:pPr>
              <w:spacing w:line="360" w:lineRule="auto"/>
              <w:jc w:val="left"/>
              <w:rPr>
                <w:rFonts w:hint="eastAsia" w:hAnsi="宋体" w:cs="宋体"/>
                <w:highlight w:val="none"/>
              </w:rPr>
            </w:pPr>
          </w:p>
        </w:tc>
        <w:tc>
          <w:tcPr>
            <w:tcW w:w="2662" w:type="pct"/>
          </w:tcPr>
          <w:p w14:paraId="51F17B8F">
            <w:pPr>
              <w:spacing w:line="360" w:lineRule="auto"/>
              <w:jc w:val="left"/>
              <w:rPr>
                <w:rFonts w:hint="eastAsia" w:hAnsi="宋体" w:cs="宋体"/>
                <w:highlight w:val="none"/>
              </w:rPr>
            </w:pPr>
            <w:r>
              <w:rPr>
                <w:rFonts w:hint="eastAsia" w:hAnsi="宋体" w:cs="宋体"/>
                <w:highlight w:val="none"/>
              </w:rPr>
              <w:t>账号：</w:t>
            </w:r>
          </w:p>
        </w:tc>
      </w:tr>
      <w:tr w14:paraId="11E6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6F21859B">
            <w:pPr>
              <w:spacing w:line="360" w:lineRule="auto"/>
              <w:jc w:val="left"/>
              <w:rPr>
                <w:rFonts w:hint="eastAsia" w:hAnsi="宋体" w:cs="宋体"/>
                <w:highlight w:val="none"/>
              </w:rPr>
            </w:pPr>
            <w:r>
              <w:rPr>
                <w:rFonts w:hint="eastAsia" w:hAnsi="宋体" w:cs="宋体"/>
                <w:highlight w:val="none"/>
              </w:rPr>
              <w:t>日期：   年  月   日</w:t>
            </w:r>
          </w:p>
        </w:tc>
        <w:tc>
          <w:tcPr>
            <w:tcW w:w="2662" w:type="pct"/>
          </w:tcPr>
          <w:p w14:paraId="740F8178">
            <w:pPr>
              <w:spacing w:line="360" w:lineRule="auto"/>
              <w:jc w:val="left"/>
              <w:rPr>
                <w:rFonts w:hint="eastAsia" w:hAnsi="宋体" w:cs="宋体"/>
                <w:highlight w:val="none"/>
              </w:rPr>
            </w:pPr>
            <w:r>
              <w:rPr>
                <w:rFonts w:hint="eastAsia" w:hAnsi="宋体" w:cs="宋体"/>
                <w:highlight w:val="none"/>
              </w:rPr>
              <w:t>日期：   年  月   日</w:t>
            </w:r>
          </w:p>
        </w:tc>
      </w:tr>
    </w:tbl>
    <w:p w14:paraId="5CED4053">
      <w:pPr>
        <w:tabs>
          <w:tab w:val="left" w:pos="480"/>
        </w:tabs>
        <w:spacing w:line="360" w:lineRule="auto"/>
        <w:ind w:firstLine="480" w:firstLineChars="200"/>
        <w:rPr>
          <w:rFonts w:hint="eastAsia" w:hAnsi="宋体" w:cs="宋体"/>
          <w:szCs w:val="21"/>
          <w:highlight w:val="none"/>
        </w:rPr>
      </w:pPr>
      <w:r>
        <w:rPr>
          <w:rFonts w:hint="eastAsia" w:hAnsi="宋体" w:cs="宋体"/>
          <w:highlight w:val="none"/>
        </w:rPr>
        <w:t xml:space="preserve">    </w:t>
      </w:r>
    </w:p>
    <w:p w14:paraId="14C99BC1">
      <w:pPr>
        <w:tabs>
          <w:tab w:val="left" w:pos="675"/>
        </w:tabs>
        <w:spacing w:line="360" w:lineRule="auto"/>
        <w:rPr>
          <w:rFonts w:hint="eastAsia"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1568E84C">
      <w:pPr>
        <w:tabs>
          <w:tab w:val="left" w:pos="675"/>
        </w:tabs>
        <w:spacing w:line="360" w:lineRule="auto"/>
        <w:jc w:val="center"/>
        <w:rPr>
          <w:rFonts w:hint="eastAsia" w:hAnsi="宋体" w:cs="宋体"/>
          <w:b/>
          <w:szCs w:val="21"/>
          <w:highlight w:val="none"/>
        </w:rPr>
      </w:pPr>
    </w:p>
    <w:p w14:paraId="74A47363">
      <w:pPr>
        <w:tabs>
          <w:tab w:val="left" w:pos="675"/>
        </w:tabs>
        <w:spacing w:line="360" w:lineRule="auto"/>
        <w:jc w:val="center"/>
        <w:rPr>
          <w:rFonts w:hint="eastAsia"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14:paraId="63EB9D9D">
      <w:pPr>
        <w:tabs>
          <w:tab w:val="left" w:pos="675"/>
        </w:tabs>
        <w:spacing w:line="360" w:lineRule="auto"/>
        <w:jc w:val="center"/>
        <w:rPr>
          <w:rFonts w:hint="eastAsia" w:hAnsi="宋体" w:cs="宋体"/>
          <w:b/>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694C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10A8B97">
            <w:pPr>
              <w:tabs>
                <w:tab w:val="left" w:pos="480"/>
              </w:tabs>
              <w:spacing w:line="360" w:lineRule="auto"/>
              <w:jc w:val="center"/>
              <w:rPr>
                <w:rFonts w:hint="eastAsia"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6C9A0DD9">
            <w:pPr>
              <w:tabs>
                <w:tab w:val="left" w:pos="480"/>
              </w:tabs>
              <w:spacing w:line="360" w:lineRule="auto"/>
              <w:jc w:val="center"/>
              <w:rPr>
                <w:rFonts w:hint="eastAsia"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6D12308B">
            <w:pPr>
              <w:tabs>
                <w:tab w:val="left" w:pos="480"/>
              </w:tabs>
              <w:spacing w:line="360" w:lineRule="auto"/>
              <w:jc w:val="center"/>
              <w:rPr>
                <w:rFonts w:hint="eastAsia"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6DDD484B">
            <w:pPr>
              <w:tabs>
                <w:tab w:val="left" w:pos="480"/>
              </w:tabs>
              <w:spacing w:line="360" w:lineRule="auto"/>
              <w:jc w:val="center"/>
              <w:rPr>
                <w:rFonts w:hint="eastAsia"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5D2B5291">
            <w:pPr>
              <w:tabs>
                <w:tab w:val="left" w:pos="480"/>
              </w:tabs>
              <w:spacing w:line="360" w:lineRule="auto"/>
              <w:jc w:val="center"/>
              <w:rPr>
                <w:rFonts w:hint="eastAsia"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620B5F1D">
            <w:pPr>
              <w:tabs>
                <w:tab w:val="left" w:pos="480"/>
              </w:tabs>
              <w:spacing w:line="360" w:lineRule="auto"/>
              <w:jc w:val="center"/>
              <w:rPr>
                <w:rFonts w:hint="eastAsia" w:hAnsi="宋体" w:cs="宋体"/>
                <w:szCs w:val="21"/>
                <w:highlight w:val="none"/>
              </w:rPr>
            </w:pPr>
            <w:r>
              <w:rPr>
                <w:rFonts w:hint="eastAsia" w:hAnsi="宋体" w:cs="宋体"/>
                <w:szCs w:val="21"/>
                <w:highlight w:val="none"/>
              </w:rPr>
              <w:t>备注</w:t>
            </w:r>
          </w:p>
        </w:tc>
      </w:tr>
      <w:tr w14:paraId="49B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03885A4">
            <w:pPr>
              <w:spacing w:line="360" w:lineRule="auto"/>
              <w:jc w:val="center"/>
              <w:rPr>
                <w:rFonts w:hint="eastAsia"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536BB5CD">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62A4F6A">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0357C77">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F48460">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587119F">
            <w:pPr>
              <w:tabs>
                <w:tab w:val="left" w:pos="480"/>
              </w:tabs>
              <w:spacing w:line="360" w:lineRule="auto"/>
              <w:jc w:val="center"/>
              <w:rPr>
                <w:rFonts w:hint="eastAsia" w:hAnsi="宋体" w:cs="宋体"/>
                <w:szCs w:val="21"/>
                <w:highlight w:val="none"/>
              </w:rPr>
            </w:pPr>
          </w:p>
        </w:tc>
      </w:tr>
      <w:tr w14:paraId="6D39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57C261A">
            <w:pPr>
              <w:spacing w:line="360" w:lineRule="auto"/>
              <w:jc w:val="center"/>
              <w:rPr>
                <w:rFonts w:hint="eastAsia"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46CE8E09">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D2BB9E5">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187831A">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BD2822">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1B94FDA">
            <w:pPr>
              <w:tabs>
                <w:tab w:val="left" w:pos="480"/>
              </w:tabs>
              <w:spacing w:line="360" w:lineRule="auto"/>
              <w:jc w:val="center"/>
              <w:rPr>
                <w:rFonts w:hint="eastAsia" w:hAnsi="宋体" w:cs="宋体"/>
                <w:szCs w:val="21"/>
                <w:highlight w:val="none"/>
              </w:rPr>
            </w:pPr>
          </w:p>
        </w:tc>
      </w:tr>
      <w:tr w14:paraId="5B46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DD2F632">
            <w:pPr>
              <w:spacing w:line="360" w:lineRule="auto"/>
              <w:jc w:val="center"/>
              <w:rPr>
                <w:rFonts w:hint="eastAsia"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313BC3F1">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CD8BDFB">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1FD2054">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CDD755">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1CAC727">
            <w:pPr>
              <w:tabs>
                <w:tab w:val="left" w:pos="480"/>
              </w:tabs>
              <w:spacing w:line="360" w:lineRule="auto"/>
              <w:jc w:val="center"/>
              <w:rPr>
                <w:rFonts w:hint="eastAsia" w:hAnsi="宋体" w:cs="宋体"/>
                <w:szCs w:val="21"/>
                <w:highlight w:val="none"/>
              </w:rPr>
            </w:pPr>
          </w:p>
        </w:tc>
      </w:tr>
      <w:tr w14:paraId="33A9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993B35F">
            <w:pPr>
              <w:spacing w:line="360" w:lineRule="auto"/>
              <w:jc w:val="center"/>
              <w:rPr>
                <w:rFonts w:hint="eastAsia"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4255219F">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6F7AFFF">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7279E4D">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F0F9EA">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8B06F48">
            <w:pPr>
              <w:tabs>
                <w:tab w:val="left" w:pos="480"/>
              </w:tabs>
              <w:spacing w:line="360" w:lineRule="auto"/>
              <w:jc w:val="center"/>
              <w:rPr>
                <w:rFonts w:hint="eastAsia" w:hAnsi="宋体" w:cs="宋体"/>
                <w:szCs w:val="21"/>
                <w:highlight w:val="none"/>
              </w:rPr>
            </w:pPr>
          </w:p>
        </w:tc>
      </w:tr>
      <w:tr w14:paraId="2A08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BA338BB">
            <w:pPr>
              <w:spacing w:line="360" w:lineRule="auto"/>
              <w:jc w:val="center"/>
              <w:rPr>
                <w:rFonts w:hint="eastAsia"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5FC42C9B">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3F02BE0">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FCFE3A1">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C5441">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219275D">
            <w:pPr>
              <w:tabs>
                <w:tab w:val="left" w:pos="480"/>
              </w:tabs>
              <w:spacing w:line="360" w:lineRule="auto"/>
              <w:jc w:val="center"/>
              <w:rPr>
                <w:rFonts w:hint="eastAsia" w:hAnsi="宋体" w:cs="宋体"/>
                <w:szCs w:val="21"/>
                <w:highlight w:val="none"/>
              </w:rPr>
            </w:pPr>
          </w:p>
        </w:tc>
      </w:tr>
      <w:tr w14:paraId="7805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2178392">
            <w:pPr>
              <w:spacing w:line="360" w:lineRule="auto"/>
              <w:jc w:val="center"/>
              <w:rPr>
                <w:rFonts w:hint="eastAsia"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B1F351B">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7452812">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31F1D84">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BC4F22">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34A0B2">
            <w:pPr>
              <w:tabs>
                <w:tab w:val="left" w:pos="480"/>
              </w:tabs>
              <w:spacing w:line="360" w:lineRule="auto"/>
              <w:jc w:val="center"/>
              <w:rPr>
                <w:rFonts w:hint="eastAsia" w:hAnsi="宋体" w:cs="宋体"/>
                <w:szCs w:val="21"/>
                <w:highlight w:val="none"/>
              </w:rPr>
            </w:pPr>
          </w:p>
        </w:tc>
      </w:tr>
      <w:tr w14:paraId="6C31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B2D9BE9">
            <w:pPr>
              <w:spacing w:line="360" w:lineRule="auto"/>
              <w:jc w:val="center"/>
              <w:rPr>
                <w:rFonts w:hint="eastAsia"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6FC2F177">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4B6486F">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0059AE0">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1340F7">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7B02968">
            <w:pPr>
              <w:tabs>
                <w:tab w:val="left" w:pos="480"/>
              </w:tabs>
              <w:spacing w:line="360" w:lineRule="auto"/>
              <w:jc w:val="center"/>
              <w:rPr>
                <w:rFonts w:hint="eastAsia" w:hAnsi="宋体" w:cs="宋体"/>
                <w:szCs w:val="21"/>
                <w:highlight w:val="none"/>
              </w:rPr>
            </w:pPr>
          </w:p>
        </w:tc>
      </w:tr>
      <w:tr w14:paraId="7A2C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067B14E">
            <w:pPr>
              <w:spacing w:line="360" w:lineRule="auto"/>
              <w:jc w:val="center"/>
              <w:rPr>
                <w:rFonts w:hint="eastAsia"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6509E542">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7AD12B5">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5B37BA6">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9B7D99">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52E3ECF">
            <w:pPr>
              <w:tabs>
                <w:tab w:val="left" w:pos="480"/>
              </w:tabs>
              <w:spacing w:line="360" w:lineRule="auto"/>
              <w:jc w:val="center"/>
              <w:rPr>
                <w:rFonts w:hint="eastAsia" w:hAnsi="宋体" w:cs="宋体"/>
                <w:szCs w:val="21"/>
                <w:highlight w:val="none"/>
              </w:rPr>
            </w:pPr>
          </w:p>
        </w:tc>
      </w:tr>
      <w:tr w14:paraId="2ED7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23BB8AE">
            <w:pPr>
              <w:spacing w:line="360" w:lineRule="auto"/>
              <w:jc w:val="center"/>
              <w:rPr>
                <w:rFonts w:hint="eastAsia"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1828B4B8">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A9B196">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50EB0EB">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A5F0B9">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C10E2BD">
            <w:pPr>
              <w:tabs>
                <w:tab w:val="left" w:pos="480"/>
              </w:tabs>
              <w:spacing w:line="360" w:lineRule="auto"/>
              <w:jc w:val="center"/>
              <w:rPr>
                <w:rFonts w:hint="eastAsia" w:hAnsi="宋体" w:cs="宋体"/>
                <w:szCs w:val="21"/>
                <w:highlight w:val="none"/>
              </w:rPr>
            </w:pPr>
          </w:p>
        </w:tc>
      </w:tr>
      <w:tr w14:paraId="18E8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74A8520">
            <w:pPr>
              <w:spacing w:line="360" w:lineRule="auto"/>
              <w:jc w:val="center"/>
              <w:rPr>
                <w:rFonts w:hint="eastAsia"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20E1D07A">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207A679">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A8A34BE">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162D1F">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4CDDEC4">
            <w:pPr>
              <w:tabs>
                <w:tab w:val="left" w:pos="480"/>
              </w:tabs>
              <w:spacing w:line="360" w:lineRule="auto"/>
              <w:jc w:val="center"/>
              <w:rPr>
                <w:rFonts w:hint="eastAsia" w:hAnsi="宋体" w:cs="宋体"/>
                <w:szCs w:val="21"/>
                <w:highlight w:val="none"/>
              </w:rPr>
            </w:pPr>
          </w:p>
        </w:tc>
      </w:tr>
      <w:tr w14:paraId="4C40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7DF3BA2">
            <w:pPr>
              <w:spacing w:line="360" w:lineRule="auto"/>
              <w:jc w:val="center"/>
              <w:rPr>
                <w:rFonts w:hint="eastAsia"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69FF8606">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AC57BA9">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525AFF3">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1DBE7E7">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C5C4E9B">
            <w:pPr>
              <w:tabs>
                <w:tab w:val="left" w:pos="480"/>
              </w:tabs>
              <w:spacing w:line="360" w:lineRule="auto"/>
              <w:jc w:val="center"/>
              <w:rPr>
                <w:rFonts w:hint="eastAsia" w:hAnsi="宋体" w:cs="宋体"/>
                <w:szCs w:val="21"/>
                <w:highlight w:val="none"/>
              </w:rPr>
            </w:pPr>
          </w:p>
        </w:tc>
      </w:tr>
      <w:tr w14:paraId="614D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8080C9B">
            <w:pPr>
              <w:spacing w:line="360" w:lineRule="auto"/>
              <w:jc w:val="center"/>
              <w:rPr>
                <w:rFonts w:hint="eastAsia"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47D872D8">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BAAED2">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D18CC5">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1263A5">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857101">
            <w:pPr>
              <w:tabs>
                <w:tab w:val="left" w:pos="480"/>
              </w:tabs>
              <w:spacing w:line="360" w:lineRule="auto"/>
              <w:jc w:val="center"/>
              <w:rPr>
                <w:rFonts w:hint="eastAsia" w:hAnsi="宋体" w:cs="宋体"/>
                <w:szCs w:val="21"/>
                <w:highlight w:val="none"/>
              </w:rPr>
            </w:pPr>
          </w:p>
        </w:tc>
      </w:tr>
      <w:tr w14:paraId="6E57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BDF898">
            <w:pPr>
              <w:spacing w:line="360" w:lineRule="auto"/>
              <w:jc w:val="center"/>
              <w:rPr>
                <w:rFonts w:hint="eastAsia"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3F6C3EC">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C7135E">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C3EE6CD">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428FE73">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3B62931">
            <w:pPr>
              <w:tabs>
                <w:tab w:val="left" w:pos="480"/>
              </w:tabs>
              <w:spacing w:line="360" w:lineRule="auto"/>
              <w:jc w:val="center"/>
              <w:rPr>
                <w:rFonts w:hint="eastAsia" w:hAnsi="宋体" w:cs="宋体"/>
                <w:szCs w:val="21"/>
                <w:highlight w:val="none"/>
              </w:rPr>
            </w:pPr>
          </w:p>
        </w:tc>
      </w:tr>
      <w:tr w14:paraId="40BD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B6BC184">
            <w:pPr>
              <w:spacing w:line="360" w:lineRule="auto"/>
              <w:jc w:val="center"/>
              <w:rPr>
                <w:rFonts w:hint="eastAsia"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0FEB9D3A">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CFB7D5B">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704EA3F">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9B32BA">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6F5DA1F">
            <w:pPr>
              <w:tabs>
                <w:tab w:val="left" w:pos="480"/>
              </w:tabs>
              <w:spacing w:line="360" w:lineRule="auto"/>
              <w:jc w:val="center"/>
              <w:rPr>
                <w:rFonts w:hint="eastAsia" w:hAnsi="宋体" w:cs="宋体"/>
                <w:szCs w:val="21"/>
                <w:highlight w:val="none"/>
              </w:rPr>
            </w:pPr>
          </w:p>
        </w:tc>
      </w:tr>
      <w:tr w14:paraId="635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40454E0">
            <w:pPr>
              <w:spacing w:line="360" w:lineRule="auto"/>
              <w:jc w:val="center"/>
              <w:rPr>
                <w:rFonts w:hint="eastAsia"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7538DB81">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149E4AB">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AD630E4">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1E5A37">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577E373">
            <w:pPr>
              <w:tabs>
                <w:tab w:val="left" w:pos="480"/>
              </w:tabs>
              <w:spacing w:line="360" w:lineRule="auto"/>
              <w:jc w:val="center"/>
              <w:rPr>
                <w:rFonts w:hint="eastAsia" w:hAnsi="宋体" w:cs="宋体"/>
                <w:szCs w:val="21"/>
                <w:highlight w:val="none"/>
              </w:rPr>
            </w:pPr>
          </w:p>
        </w:tc>
      </w:tr>
      <w:tr w14:paraId="4E1C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A4633D">
            <w:pPr>
              <w:spacing w:line="360" w:lineRule="auto"/>
              <w:jc w:val="center"/>
              <w:rPr>
                <w:rFonts w:hint="eastAsia"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0D7FCBF1">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BF998A">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3723DCB">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B9558E">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1142D5D">
            <w:pPr>
              <w:tabs>
                <w:tab w:val="left" w:pos="480"/>
              </w:tabs>
              <w:spacing w:line="360" w:lineRule="auto"/>
              <w:jc w:val="center"/>
              <w:rPr>
                <w:rFonts w:hint="eastAsia" w:hAnsi="宋体" w:cs="宋体"/>
                <w:szCs w:val="21"/>
                <w:highlight w:val="none"/>
              </w:rPr>
            </w:pPr>
          </w:p>
        </w:tc>
      </w:tr>
      <w:tr w14:paraId="207F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842F0CE">
            <w:pPr>
              <w:spacing w:line="360" w:lineRule="auto"/>
              <w:jc w:val="center"/>
              <w:rPr>
                <w:rFonts w:hint="eastAsia"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4B1CF3EA">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0C6331F">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EA4014E">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4D2ED65">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EA104A">
            <w:pPr>
              <w:tabs>
                <w:tab w:val="left" w:pos="480"/>
              </w:tabs>
              <w:spacing w:line="360" w:lineRule="auto"/>
              <w:jc w:val="center"/>
              <w:rPr>
                <w:rFonts w:hint="eastAsia" w:hAnsi="宋体" w:cs="宋体"/>
                <w:szCs w:val="21"/>
                <w:highlight w:val="none"/>
              </w:rPr>
            </w:pPr>
          </w:p>
        </w:tc>
      </w:tr>
      <w:tr w14:paraId="2B9A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ABBE84F">
            <w:pPr>
              <w:spacing w:line="360" w:lineRule="auto"/>
              <w:jc w:val="center"/>
              <w:rPr>
                <w:rFonts w:hint="eastAsia"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75CBF90F">
            <w:pPr>
              <w:spacing w:line="360" w:lineRule="auto"/>
              <w:jc w:val="center"/>
              <w:rPr>
                <w:rFonts w:hint="eastAsia"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D1EB6E7">
            <w:pPr>
              <w:spacing w:line="360" w:lineRule="auto"/>
              <w:jc w:val="center"/>
              <w:rPr>
                <w:rFonts w:hint="eastAsia"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E5B788A">
            <w:pPr>
              <w:spacing w:line="360" w:lineRule="auto"/>
              <w:jc w:val="center"/>
              <w:rPr>
                <w:rFonts w:hint="eastAsia"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2BF795">
            <w:pPr>
              <w:spacing w:line="360" w:lineRule="auto"/>
              <w:jc w:val="center"/>
              <w:rPr>
                <w:rFonts w:hint="eastAsia"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FC60AD6">
            <w:pPr>
              <w:tabs>
                <w:tab w:val="left" w:pos="480"/>
              </w:tabs>
              <w:spacing w:line="360" w:lineRule="auto"/>
              <w:jc w:val="center"/>
              <w:rPr>
                <w:rFonts w:hint="eastAsia" w:hAnsi="宋体" w:cs="宋体"/>
                <w:szCs w:val="21"/>
                <w:highlight w:val="none"/>
              </w:rPr>
            </w:pPr>
          </w:p>
        </w:tc>
      </w:tr>
    </w:tbl>
    <w:p w14:paraId="77C85466">
      <w:pPr>
        <w:pStyle w:val="8"/>
        <w:rPr>
          <w:highlight w:val="none"/>
        </w:rPr>
        <w:sectPr>
          <w:headerReference r:id="rId11" w:type="first"/>
          <w:footerReference r:id="rId13" w:type="first"/>
          <w:footerReference r:id="rId12" w:type="default"/>
          <w:pgSz w:w="11906" w:h="16838"/>
          <w:pgMar w:top="1361" w:right="1417" w:bottom="1361" w:left="1417" w:header="1134" w:footer="992" w:gutter="0"/>
          <w:pgNumType w:start="1"/>
          <w:cols w:space="720" w:num="1"/>
          <w:docGrid w:type="lines" w:linePitch="333" w:charSpace="0"/>
        </w:sectPr>
      </w:pPr>
    </w:p>
    <w:p w14:paraId="2A322419">
      <w:pPr>
        <w:rPr>
          <w:highlight w:val="none"/>
        </w:rPr>
      </w:pPr>
      <w:r>
        <w:rPr>
          <w:highlight w:val="none"/>
        </w:rPr>
        <w:br w:type="page"/>
      </w:r>
    </w:p>
    <w:p w14:paraId="609F8BF3">
      <w:pPr>
        <w:pStyle w:val="2"/>
        <w:numPr>
          <w:ilvl w:val="0"/>
          <w:numId w:val="4"/>
        </w:numPr>
        <w:jc w:val="center"/>
        <w:rPr>
          <w:rFonts w:hint="eastAsia" w:ascii="宋体" w:eastAsia="宋体" w:cs="宋体"/>
          <w:sz w:val="36"/>
          <w:szCs w:val="36"/>
          <w:highlight w:val="none"/>
        </w:rPr>
      </w:pPr>
      <w:r>
        <w:rPr>
          <w:rFonts w:hint="eastAsia" w:ascii="宋体" w:eastAsia="宋体" w:cs="宋体"/>
          <w:sz w:val="36"/>
          <w:szCs w:val="36"/>
          <w:highlight w:val="none"/>
        </w:rPr>
        <w:t xml:space="preserve"> 采购内容及技术要求</w:t>
      </w:r>
    </w:p>
    <w:p w14:paraId="63C8E44F">
      <w:pPr>
        <w:jc w:val="center"/>
        <w:rPr>
          <w:rFonts w:hint="eastAsia" w:hAnsi="宋体" w:cs="宋体"/>
          <w:b/>
          <w:bCs/>
          <w:sz w:val="40"/>
          <w:szCs w:val="28"/>
          <w:highlight w:val="none"/>
        </w:rPr>
      </w:pPr>
      <w:r>
        <w:rPr>
          <w:rFonts w:hint="eastAsia" w:hAnsi="宋体" w:cs="宋体"/>
          <w:b/>
          <w:bCs/>
          <w:color w:val="000000"/>
          <w:sz w:val="32"/>
          <w:szCs w:val="32"/>
          <w:highlight w:val="none"/>
          <w:lang w:bidi="ar"/>
        </w:rPr>
        <w:t>合同包1</w:t>
      </w:r>
    </w:p>
    <w:p w14:paraId="2CEB8E48">
      <w:pPr>
        <w:numPr>
          <w:ilvl w:val="0"/>
          <w:numId w:val="5"/>
        </w:numPr>
        <w:rPr>
          <w:rFonts w:hint="eastAsia" w:hAnsi="宋体" w:cs="宋体"/>
          <w:b/>
          <w:bCs/>
          <w:sz w:val="28"/>
          <w:szCs w:val="28"/>
          <w:highlight w:val="none"/>
        </w:rPr>
      </w:pPr>
      <w:r>
        <w:rPr>
          <w:rFonts w:hint="eastAsia" w:hAnsi="宋体" w:cs="宋体"/>
          <w:b/>
          <w:bCs/>
          <w:sz w:val="28"/>
          <w:szCs w:val="28"/>
          <w:highlight w:val="none"/>
        </w:rPr>
        <w:t>心电网络系统平台参数（1套）：</w:t>
      </w:r>
    </w:p>
    <w:p w14:paraId="63BE22FE">
      <w:pPr>
        <w:widowControl/>
        <w:spacing w:line="360" w:lineRule="auto"/>
        <w:jc w:val="left"/>
        <w:rPr>
          <w:rFonts w:hint="eastAsia" w:hAnsi="宋体" w:cs="宋体"/>
          <w:color w:val="000000"/>
          <w:szCs w:val="21"/>
          <w:highlight w:val="none"/>
        </w:rPr>
      </w:pPr>
      <w:r>
        <w:rPr>
          <w:rFonts w:hint="eastAsia" w:hAnsi="宋体" w:cs="宋体"/>
          <w:color w:val="000000"/>
          <w:highlight w:val="none"/>
        </w:rPr>
        <w:t>*</w:t>
      </w:r>
      <w:r>
        <w:rPr>
          <w:rFonts w:hint="eastAsia" w:hAnsi="宋体" w:cs="宋体"/>
          <w:color w:val="000000"/>
          <w:szCs w:val="21"/>
          <w:highlight w:val="none"/>
        </w:rPr>
        <w:t xml:space="preserve">1、心电网络系统要求与院内现有心电网络可以对接，与乡镇卫生院现有心电图机可以对接。 </w:t>
      </w:r>
    </w:p>
    <w:p w14:paraId="10514504">
      <w:pPr>
        <w:widowControl/>
        <w:spacing w:line="360" w:lineRule="auto"/>
        <w:jc w:val="left"/>
        <w:rPr>
          <w:rFonts w:hint="eastAsia" w:hAnsi="宋体" w:cs="宋体"/>
          <w:color w:val="000000"/>
          <w:szCs w:val="21"/>
          <w:highlight w:val="none"/>
        </w:rPr>
      </w:pPr>
      <w:r>
        <w:rPr>
          <w:rFonts w:hint="eastAsia" w:hAnsi="宋体" w:cs="宋体"/>
          <w:color w:val="000000"/>
          <w:szCs w:val="21"/>
          <w:highlight w:val="none"/>
        </w:rPr>
        <w:t xml:space="preserve">2、心电网络系统接入静息心电、动态心电、动态血压设备，具有对应检查特点的专业分析工具，实现设备原始数据在同一套系统的分析诊断，不以截屏、拷贝、拍照等方式获取片断数据。 </w:t>
      </w:r>
    </w:p>
    <w:p w14:paraId="18D15CA8">
      <w:pPr>
        <w:widowControl/>
        <w:spacing w:line="360" w:lineRule="auto"/>
        <w:jc w:val="left"/>
        <w:rPr>
          <w:rFonts w:hint="eastAsia" w:hAnsi="宋体" w:cs="宋体"/>
          <w:color w:val="000000"/>
          <w:szCs w:val="21"/>
          <w:highlight w:val="none"/>
        </w:rPr>
      </w:pPr>
      <w:r>
        <w:rPr>
          <w:rFonts w:hint="eastAsia" w:hAnsi="宋体" w:cs="宋体"/>
          <w:color w:val="000000"/>
          <w:szCs w:val="21"/>
          <w:highlight w:val="none"/>
        </w:rPr>
        <w:t xml:space="preserve">3、具备频谱心电、高频心电、QT 离散度、时间心电向量、空间心电向量、心室晚电位、心率变异等高级分析诊断功能，并打印对应报告。 </w:t>
      </w:r>
    </w:p>
    <w:p w14:paraId="32DC6755">
      <w:pPr>
        <w:widowControl/>
        <w:spacing w:line="360" w:lineRule="auto"/>
        <w:jc w:val="left"/>
        <w:rPr>
          <w:rFonts w:hint="eastAsia" w:hAnsi="宋体" w:cs="宋体"/>
          <w:color w:val="000000"/>
          <w:szCs w:val="21"/>
          <w:highlight w:val="none"/>
        </w:rPr>
      </w:pPr>
      <w:r>
        <w:rPr>
          <w:rFonts w:hint="eastAsia" w:hAnsi="宋体" w:cs="宋体"/>
          <w:color w:val="000000"/>
          <w:highlight w:val="none"/>
        </w:rPr>
        <w:t>*4</w:t>
      </w:r>
      <w:r>
        <w:rPr>
          <w:rFonts w:hint="eastAsia" w:hAnsi="宋体" w:cs="宋体"/>
          <w:color w:val="000000"/>
          <w:szCs w:val="21"/>
          <w:highlight w:val="none"/>
        </w:rPr>
        <w:t xml:space="preserve">、具备权限管理功能，且角色权限可自定义，不同角色可分别设置不同操作权限。 </w:t>
      </w:r>
    </w:p>
    <w:p w14:paraId="4C74FA99">
      <w:pPr>
        <w:widowControl/>
        <w:spacing w:line="360" w:lineRule="auto"/>
        <w:jc w:val="left"/>
        <w:rPr>
          <w:rFonts w:hint="eastAsia" w:hAnsi="宋体" w:cs="宋体"/>
          <w:color w:val="000000"/>
          <w:szCs w:val="21"/>
          <w:highlight w:val="none"/>
        </w:rPr>
      </w:pPr>
      <w:r>
        <w:rPr>
          <w:rFonts w:hint="eastAsia" w:hAnsi="宋体" w:cs="宋体"/>
          <w:color w:val="000000"/>
          <w:szCs w:val="21"/>
          <w:highlight w:val="none"/>
        </w:rPr>
        <w:t xml:space="preserve">5、采集波形具有多样化显示模式，可提供≥20 种的波形显示方式，并支持节律（一节律/三节律）导联的选择。 </w:t>
      </w:r>
    </w:p>
    <w:p w14:paraId="3EBEADCD">
      <w:pPr>
        <w:widowControl/>
        <w:spacing w:line="360" w:lineRule="auto"/>
        <w:jc w:val="left"/>
        <w:rPr>
          <w:rFonts w:hint="eastAsia" w:hAnsi="宋体" w:cs="宋体"/>
          <w:color w:val="000000"/>
          <w:szCs w:val="21"/>
          <w:highlight w:val="none"/>
        </w:rPr>
      </w:pPr>
      <w:r>
        <w:rPr>
          <w:rFonts w:hint="eastAsia" w:hAnsi="宋体" w:cs="宋体"/>
          <w:color w:val="000000"/>
          <w:szCs w:val="21"/>
          <w:highlight w:val="none"/>
        </w:rPr>
        <w:t xml:space="preserve">6、具备左右手、右手左腿电极反转和胸导联纠正，支持导联纠正后的重新分析，导联接错不需要重采集。 </w:t>
      </w:r>
    </w:p>
    <w:p w14:paraId="341E72BB">
      <w:pPr>
        <w:widowControl/>
        <w:spacing w:line="360" w:lineRule="auto"/>
        <w:jc w:val="left"/>
        <w:rPr>
          <w:rFonts w:hint="eastAsia" w:hAnsi="宋体" w:cs="宋体"/>
          <w:color w:val="000000"/>
          <w:szCs w:val="21"/>
          <w:highlight w:val="none"/>
        </w:rPr>
      </w:pPr>
      <w:r>
        <w:rPr>
          <w:rFonts w:hint="eastAsia" w:hAnsi="宋体" w:cs="宋体"/>
          <w:color w:val="000000"/>
          <w:szCs w:val="21"/>
          <w:highlight w:val="none"/>
        </w:rPr>
        <w:t xml:space="preserve">7、系统具备≥10 个功能，即采集设备 MOD，检查申请受理 OF，执行步骤管理 PPSM，图像管理 IM，报告创建 RC，图像显示 ID，报告管理 RM，证据创建者 EC，显示心电图 DISPLAY，心电数据源INFO_SRC 等。 </w:t>
      </w:r>
    </w:p>
    <w:p w14:paraId="0F2440EF">
      <w:pPr>
        <w:widowControl/>
        <w:spacing w:line="360" w:lineRule="auto"/>
        <w:jc w:val="left"/>
        <w:rPr>
          <w:rFonts w:hint="eastAsia" w:hAnsi="宋体" w:cs="宋体"/>
          <w:color w:val="000000"/>
          <w:szCs w:val="21"/>
          <w:highlight w:val="none"/>
        </w:rPr>
      </w:pPr>
      <w:r>
        <w:rPr>
          <w:rFonts w:hint="eastAsia" w:hAnsi="宋体" w:cs="宋体"/>
          <w:color w:val="000000"/>
          <w:highlight w:val="none"/>
        </w:rPr>
        <w:t>*8</w:t>
      </w:r>
      <w:r>
        <w:rPr>
          <w:rFonts w:hint="eastAsia" w:hAnsi="宋体" w:cs="宋体"/>
          <w:color w:val="000000"/>
          <w:szCs w:val="21"/>
          <w:highlight w:val="none"/>
        </w:rPr>
        <w:t xml:space="preserve">、提供电子尺功能，一次测量可以同时获取间期、振幅、心率信息。 </w:t>
      </w:r>
    </w:p>
    <w:p w14:paraId="7CDBD1DC">
      <w:pPr>
        <w:widowControl/>
        <w:spacing w:line="360" w:lineRule="auto"/>
        <w:jc w:val="left"/>
        <w:rPr>
          <w:rFonts w:hint="eastAsia" w:hAnsi="宋体" w:cs="宋体"/>
          <w:sz w:val="18"/>
          <w:szCs w:val="18"/>
          <w:highlight w:val="none"/>
        </w:rPr>
      </w:pPr>
    </w:p>
    <w:p w14:paraId="180ED83D">
      <w:pPr>
        <w:adjustRightInd w:val="0"/>
        <w:snapToGrid w:val="0"/>
        <w:spacing w:line="360" w:lineRule="auto"/>
        <w:rPr>
          <w:rFonts w:hint="eastAsia" w:hAnsi="宋体" w:cs="宋体"/>
          <w:b/>
          <w:bCs/>
          <w:highlight w:val="none"/>
        </w:rPr>
      </w:pPr>
      <w:r>
        <w:rPr>
          <w:rFonts w:hint="eastAsia" w:hAnsi="宋体" w:cs="宋体"/>
          <w:b/>
          <w:bCs/>
          <w:sz w:val="28"/>
          <w:szCs w:val="28"/>
          <w:highlight w:val="none"/>
        </w:rPr>
        <w:t>二．数字化十二道心电图机（5台）</w:t>
      </w:r>
      <w:r>
        <w:rPr>
          <w:rFonts w:hint="eastAsia" w:hAnsi="宋体" w:cs="宋体"/>
          <w:b/>
          <w:bCs/>
          <w:highlight w:val="none"/>
        </w:rPr>
        <w:t>：</w:t>
      </w:r>
    </w:p>
    <w:p w14:paraId="0C8A649F">
      <w:pPr>
        <w:rPr>
          <w:rFonts w:hint="eastAsia" w:hAnsi="宋体" w:cs="宋体"/>
          <w:bCs/>
          <w:sz w:val="28"/>
          <w:szCs w:val="28"/>
          <w:highlight w:val="none"/>
        </w:rPr>
      </w:pPr>
      <w:r>
        <w:rPr>
          <w:rFonts w:hint="eastAsia" w:hAnsi="宋体" w:cs="宋体"/>
          <w:bCs/>
          <w:sz w:val="28"/>
          <w:szCs w:val="28"/>
          <w:highlight w:val="none"/>
        </w:rPr>
        <w:t>1、心电图机整机配置</w:t>
      </w:r>
    </w:p>
    <w:p w14:paraId="3442CDAD">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1.1、屏幕尺寸不小于10英寸，显示像素不小于1920*1200支持全屏多点触控，不接受外接智能平板。</w:t>
      </w:r>
    </w:p>
    <w:p w14:paraId="01D93C3E">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*1.2、无线传输：蓝牙版本≥4.2，无线Wi-Fi支持2.4GHz/5GHz双频段，支持4G全网通SIM卡插入，不接受外挂4G模块。</w:t>
      </w:r>
    </w:p>
    <w:p w14:paraId="05E8DA90">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*1.3、内置传感器：具备NFC、红外条码扫描仪、摄像头等多种传感器。</w:t>
      </w:r>
    </w:p>
    <w:p w14:paraId="51157718">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1.4、机器轻巧便携，(含热敏打印）重量≤2.5kg。</w:t>
      </w:r>
    </w:p>
    <w:p w14:paraId="3F86A7B4">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1.5、整机配置标准化台车，满足移动要求。</w:t>
      </w:r>
    </w:p>
    <w:p w14:paraId="2BDC86B3">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1.6、内置热敏式点阵打印机，热敏打印纸为标准210mm宽度，可以打印3x3、6+3、9x1、3x4+1R、6x2+1R、12x1等心电波形和报告。</w:t>
      </w:r>
    </w:p>
    <w:p w14:paraId="4628407E">
      <w:pPr>
        <w:rPr>
          <w:rFonts w:hint="eastAsia" w:hAnsi="宋体" w:cs="宋体"/>
          <w:bCs/>
          <w:sz w:val="28"/>
          <w:szCs w:val="28"/>
          <w:highlight w:val="none"/>
        </w:rPr>
      </w:pPr>
      <w:r>
        <w:rPr>
          <w:rFonts w:hint="eastAsia" w:hAnsi="宋体" w:cs="宋体"/>
          <w:bCs/>
          <w:sz w:val="28"/>
          <w:szCs w:val="28"/>
          <w:highlight w:val="none"/>
        </w:rPr>
        <w:t>2、硬件参数</w:t>
      </w:r>
    </w:p>
    <w:p w14:paraId="113EF5D9">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2.1、输入阻抗：≥100MΩ。（10Hz）</w:t>
      </w:r>
    </w:p>
    <w:p w14:paraId="376A31AA">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*2.2、频率响应：0.01z~300Hz。</w:t>
      </w:r>
    </w:p>
    <w:p w14:paraId="00002A91">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*2.3、耐极化电压：≥±900mV（±5%）。</w:t>
      </w:r>
    </w:p>
    <w:p w14:paraId="216DAE0E">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2.4、内部噪声：≤12.5µVp-p。</w:t>
      </w:r>
    </w:p>
    <w:p w14:paraId="07BB1D77">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2.5、时间常数：≥5s。</w:t>
      </w:r>
    </w:p>
    <w:p w14:paraId="30661F58">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2.6、共模抑制比：≥130dB。</w:t>
      </w:r>
    </w:p>
    <w:p w14:paraId="58CD46E3">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2.7、A/D转换：24 位。</w:t>
      </w:r>
    </w:p>
    <w:p w14:paraId="56255D16">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*2.8、心电波形采样率：≥50,000 Hz，每导联；具有起搏检测功能，起搏采样率：≥50,000 Hz。</w:t>
      </w:r>
    </w:p>
    <w:p w14:paraId="72710109">
      <w:pPr>
        <w:adjustRightInd w:val="0"/>
        <w:snapToGrid w:val="0"/>
        <w:spacing w:line="360" w:lineRule="auto"/>
        <w:ind w:firstLine="480" w:firstLineChars="200"/>
        <w:rPr>
          <w:rFonts w:hint="eastAsia" w:hAnsi="宋体" w:cs="宋体"/>
          <w:color w:val="000000"/>
          <w:szCs w:val="21"/>
          <w:highlight w:val="none"/>
        </w:rPr>
      </w:pPr>
      <w:r>
        <w:rPr>
          <w:rFonts w:hint="eastAsia" w:hAnsi="宋体" w:cs="宋体"/>
          <w:color w:val="000000"/>
          <w:szCs w:val="21"/>
          <w:highlight w:val="none"/>
        </w:rPr>
        <w:t>*2.9、设备内置存储器：≥32GB内存，存储病历不小于100000例（10秒静态心电）或20000例（60秒静态心电）。</w:t>
      </w:r>
    </w:p>
    <w:p w14:paraId="7441B39F">
      <w:pPr>
        <w:ind w:firstLine="480" w:firstLineChars="200"/>
        <w:rPr>
          <w:rFonts w:hint="eastAsia" w:hAnsi="宋体" w:cs="宋体"/>
          <w:color w:val="000000"/>
          <w:szCs w:val="21"/>
          <w:highlight w:val="none"/>
        </w:rPr>
      </w:pPr>
      <w:r>
        <w:rPr>
          <w:rFonts w:hint="eastAsia" w:hAnsi="宋体" w:cs="宋体"/>
          <w:color w:val="000000"/>
          <w:szCs w:val="21"/>
          <w:highlight w:val="none"/>
        </w:rPr>
        <w:t>*2.10、内置可充电锂离子电池，充足后可正常工作时间≥8小时，充分保证出诊和查房使用。</w:t>
      </w:r>
    </w:p>
    <w:p w14:paraId="1794D69F">
      <w:pPr>
        <w:rPr>
          <w:rFonts w:hint="eastAsia" w:hAnsi="宋体" w:cs="宋体"/>
          <w:color w:val="000000"/>
          <w:szCs w:val="21"/>
          <w:highlight w:val="none"/>
        </w:rPr>
      </w:pPr>
      <w:r>
        <w:rPr>
          <w:rFonts w:hint="eastAsia" w:hAnsi="宋体" w:cs="宋体"/>
          <w:color w:val="000000"/>
          <w:szCs w:val="21"/>
          <w:highlight w:val="none"/>
        </w:rPr>
        <w:br w:type="page"/>
      </w:r>
    </w:p>
    <w:p w14:paraId="6FC967A4">
      <w:pPr>
        <w:pStyle w:val="8"/>
        <w:rPr>
          <w:highlight w:val="none"/>
        </w:rPr>
        <w:sectPr>
          <w:type w:val="continuous"/>
          <w:pgSz w:w="11906" w:h="16838"/>
          <w:pgMar w:top="1361" w:right="1417" w:bottom="1361" w:left="1417" w:header="1134" w:footer="992" w:gutter="0"/>
          <w:cols w:space="720" w:num="1"/>
          <w:docGrid w:type="lines" w:linePitch="333" w:charSpace="0"/>
        </w:sectPr>
      </w:pPr>
    </w:p>
    <w:bookmarkEnd w:id="61"/>
    <w:bookmarkEnd w:id="62"/>
    <w:bookmarkEnd w:id="77"/>
    <w:bookmarkEnd w:id="78"/>
    <w:bookmarkEnd w:id="79"/>
    <w:bookmarkEnd w:id="80"/>
    <w:bookmarkEnd w:id="81"/>
    <w:bookmarkEnd w:id="82"/>
    <w:bookmarkEnd w:id="83"/>
    <w:bookmarkEnd w:id="84"/>
    <w:bookmarkEnd w:id="85"/>
    <w:bookmarkEnd w:id="86"/>
    <w:bookmarkEnd w:id="87"/>
    <w:bookmarkEnd w:id="88"/>
    <w:p w14:paraId="74B4B604">
      <w:pPr>
        <w:ind w:firstLine="643" w:firstLineChars="200"/>
        <w:jc w:val="center"/>
        <w:rPr>
          <w:rFonts w:hint="eastAsia" w:hAnsi="宋体" w:cs="宋体"/>
          <w:b/>
          <w:bCs/>
          <w:color w:val="000000"/>
          <w:sz w:val="32"/>
          <w:szCs w:val="32"/>
          <w:highlight w:val="none"/>
          <w:lang w:bidi="ar"/>
        </w:rPr>
      </w:pPr>
      <w:bookmarkStart w:id="89" w:name="_Toc1462"/>
      <w:bookmarkStart w:id="90" w:name="_Toc25607"/>
      <w:bookmarkStart w:id="91" w:name="_Toc19952"/>
      <w:bookmarkStart w:id="92" w:name="_Toc2203"/>
      <w:bookmarkStart w:id="93" w:name="_Toc426457697"/>
      <w:r>
        <w:rPr>
          <w:rFonts w:hint="eastAsia" w:hAnsi="宋体" w:cs="宋体"/>
          <w:b/>
          <w:bCs/>
          <w:color w:val="000000"/>
          <w:sz w:val="32"/>
          <w:szCs w:val="32"/>
          <w:highlight w:val="none"/>
          <w:lang w:bidi="ar"/>
        </w:rPr>
        <w:t>合同包2</w:t>
      </w:r>
    </w:p>
    <w:bookmarkEnd w:id="55"/>
    <w:bookmarkEnd w:id="63"/>
    <w:bookmarkEnd w:id="64"/>
    <w:bookmarkEnd w:id="65"/>
    <w:bookmarkEnd w:id="66"/>
    <w:bookmarkEnd w:id="67"/>
    <w:bookmarkEnd w:id="68"/>
    <w:bookmarkEnd w:id="69"/>
    <w:bookmarkEnd w:id="89"/>
    <w:bookmarkEnd w:id="90"/>
    <w:bookmarkEnd w:id="91"/>
    <w:bookmarkEnd w:id="92"/>
    <w:bookmarkEnd w:id="93"/>
    <w:p w14:paraId="53B7B88E">
      <w:pPr>
        <w:numPr>
          <w:ilvl w:val="0"/>
          <w:numId w:val="6"/>
        </w:numPr>
        <w:rPr>
          <w:b/>
          <w:bCs/>
          <w:sz w:val="28"/>
          <w:szCs w:val="28"/>
          <w:highlight w:val="none"/>
        </w:rPr>
      </w:pPr>
      <w:bookmarkStart w:id="94" w:name="_Toc27316"/>
      <w:bookmarkStart w:id="95" w:name="_Toc426457698"/>
      <w:bookmarkStart w:id="96" w:name="_Toc8830"/>
      <w:bookmarkStart w:id="97" w:name="_Toc363474025"/>
      <w:bookmarkStart w:id="98" w:name="_Toc28411"/>
      <w:bookmarkStart w:id="99" w:name="_Toc22538"/>
      <w:bookmarkStart w:id="100" w:name="_Toc8126"/>
      <w:r>
        <w:rPr>
          <w:rFonts w:hint="eastAsia"/>
          <w:b/>
          <w:bCs/>
          <w:sz w:val="28"/>
          <w:szCs w:val="28"/>
          <w:highlight w:val="none"/>
        </w:rPr>
        <w:t>采购清单</w:t>
      </w:r>
    </w:p>
    <w:tbl>
      <w:tblPr>
        <w:tblStyle w:val="18"/>
        <w:tblW w:w="4998" w:type="pct"/>
        <w:jc w:val="center"/>
        <w:tblLayout w:type="autofit"/>
        <w:tblCellMar>
          <w:top w:w="0" w:type="dxa"/>
          <w:left w:w="108" w:type="dxa"/>
          <w:bottom w:w="0" w:type="dxa"/>
          <w:right w:w="108" w:type="dxa"/>
        </w:tblCellMar>
      </w:tblPr>
      <w:tblGrid>
        <w:gridCol w:w="980"/>
        <w:gridCol w:w="2330"/>
        <w:gridCol w:w="3007"/>
        <w:gridCol w:w="2333"/>
        <w:gridCol w:w="980"/>
        <w:gridCol w:w="4696"/>
      </w:tblGrid>
      <w:tr w14:paraId="257FF16C">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F83A">
            <w:pPr>
              <w:widowControl/>
              <w:jc w:val="center"/>
              <w:textAlignment w:val="center"/>
              <w:rPr>
                <w:rFonts w:hint="eastAsia" w:hAnsi="宋体" w:cs="宋体"/>
                <w:b/>
                <w:bCs/>
                <w:color w:val="000000"/>
                <w:szCs w:val="21"/>
                <w:highlight w:val="none"/>
              </w:rPr>
            </w:pPr>
            <w:r>
              <w:rPr>
                <w:rFonts w:hint="eastAsia" w:hAnsi="宋体" w:cs="宋体"/>
                <w:b/>
                <w:bCs/>
                <w:color w:val="000000"/>
                <w:szCs w:val="21"/>
                <w:highlight w:val="none"/>
                <w:lang w:bidi="ar"/>
              </w:rPr>
              <w:t>序号</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9E57">
            <w:pPr>
              <w:widowControl/>
              <w:jc w:val="center"/>
              <w:textAlignment w:val="center"/>
              <w:rPr>
                <w:rFonts w:hint="eastAsia" w:hAnsi="宋体" w:cs="宋体"/>
                <w:b/>
                <w:bCs/>
                <w:color w:val="000000"/>
                <w:szCs w:val="21"/>
                <w:highlight w:val="none"/>
              </w:rPr>
            </w:pPr>
            <w:r>
              <w:rPr>
                <w:rFonts w:hint="eastAsia" w:cs="宋体"/>
                <w:b/>
                <w:bCs/>
                <w:color w:val="000000"/>
                <w:szCs w:val="21"/>
                <w:highlight w:val="none"/>
              </w:rPr>
              <w:t>类别</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3E34">
            <w:pPr>
              <w:widowControl/>
              <w:jc w:val="center"/>
              <w:textAlignment w:val="center"/>
              <w:rPr>
                <w:rFonts w:hint="eastAsia" w:hAnsi="宋体" w:cs="宋体"/>
                <w:b/>
                <w:bCs/>
                <w:color w:val="000000"/>
                <w:szCs w:val="21"/>
                <w:highlight w:val="none"/>
                <w:lang w:bidi="ar"/>
              </w:rPr>
            </w:pPr>
            <w:r>
              <w:rPr>
                <w:rFonts w:hint="eastAsia" w:cs="宋体"/>
                <w:b/>
                <w:bCs/>
                <w:color w:val="000000"/>
                <w:szCs w:val="21"/>
                <w:highlight w:val="none"/>
                <w:lang w:bidi="ar"/>
              </w:rPr>
              <w:t>系统名称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F7C">
            <w:pPr>
              <w:widowControl/>
              <w:jc w:val="center"/>
              <w:textAlignment w:val="center"/>
              <w:rPr>
                <w:rFonts w:cs="宋体"/>
                <w:b/>
                <w:bCs/>
                <w:color w:val="000000"/>
                <w:szCs w:val="21"/>
                <w:highlight w:val="none"/>
                <w:lang w:bidi="ar"/>
              </w:rPr>
            </w:pPr>
            <w:r>
              <w:rPr>
                <w:rFonts w:hint="eastAsia" w:cs="宋体"/>
                <w:b/>
                <w:bCs/>
                <w:color w:val="000000"/>
                <w:szCs w:val="21"/>
                <w:highlight w:val="none"/>
                <w:lang w:bidi="ar"/>
              </w:rPr>
              <w:t>模块</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55C9">
            <w:pPr>
              <w:widowControl/>
              <w:jc w:val="center"/>
              <w:textAlignment w:val="center"/>
              <w:rPr>
                <w:rFonts w:cs="宋体"/>
                <w:b/>
                <w:bCs/>
                <w:color w:val="000000"/>
                <w:szCs w:val="21"/>
                <w:highlight w:val="none"/>
                <w:lang w:bidi="ar"/>
              </w:rPr>
            </w:pPr>
            <w:r>
              <w:rPr>
                <w:rFonts w:hint="eastAsia" w:cs="宋体"/>
                <w:b/>
                <w:bCs/>
                <w:color w:val="000000"/>
                <w:szCs w:val="21"/>
                <w:highlight w:val="none"/>
                <w:lang w:bidi="ar"/>
              </w:rPr>
              <w:t>数量</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BC69">
            <w:pPr>
              <w:widowControl/>
              <w:jc w:val="center"/>
              <w:textAlignment w:val="center"/>
              <w:rPr>
                <w:rFonts w:cs="宋体"/>
                <w:b/>
                <w:bCs/>
                <w:color w:val="000000"/>
                <w:szCs w:val="21"/>
                <w:highlight w:val="none"/>
                <w:lang w:bidi="ar"/>
              </w:rPr>
            </w:pPr>
            <w:r>
              <w:rPr>
                <w:rFonts w:hint="eastAsia" w:cs="宋体"/>
                <w:b/>
                <w:bCs/>
                <w:color w:val="000000"/>
                <w:szCs w:val="21"/>
                <w:highlight w:val="none"/>
                <w:lang w:bidi="ar"/>
              </w:rPr>
              <w:t>备注</w:t>
            </w:r>
          </w:p>
        </w:tc>
      </w:tr>
      <w:tr w14:paraId="2328B199">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5D77A7">
            <w:pPr>
              <w:widowControl/>
              <w:numPr>
                <w:ilvl w:val="0"/>
                <w:numId w:val="7"/>
              </w:numPr>
              <w:jc w:val="center"/>
              <w:textAlignment w:val="bottom"/>
              <w:rPr>
                <w:rFonts w:hint="eastAsia" w:hAnsi="宋体" w:cs="宋体"/>
                <w:color w:val="000000"/>
                <w:szCs w:val="21"/>
                <w:highlight w:val="none"/>
              </w:rPr>
            </w:pPr>
          </w:p>
        </w:tc>
        <w:tc>
          <w:tcPr>
            <w:tcW w:w="813" w:type="pct"/>
            <w:vMerge w:val="restart"/>
            <w:tcBorders>
              <w:top w:val="single" w:color="000000" w:sz="4" w:space="0"/>
              <w:left w:val="single" w:color="000000" w:sz="4" w:space="0"/>
              <w:right w:val="single" w:color="000000" w:sz="4" w:space="0"/>
            </w:tcBorders>
            <w:shd w:val="clear" w:color="auto" w:fill="auto"/>
            <w:vAlign w:val="center"/>
          </w:tcPr>
          <w:p w14:paraId="74C41D14">
            <w:pPr>
              <w:widowControl/>
              <w:jc w:val="left"/>
              <w:textAlignment w:val="center"/>
              <w:rPr>
                <w:rFonts w:hint="eastAsia" w:hAnsi="宋体" w:cs="宋体"/>
                <w:color w:val="000000"/>
                <w:szCs w:val="24"/>
                <w:highlight w:val="none"/>
              </w:rPr>
            </w:pPr>
            <w:r>
              <w:rPr>
                <w:rFonts w:hint="eastAsia" w:hAnsi="宋体" w:cs="宋体"/>
                <w:color w:val="000000"/>
                <w:szCs w:val="21"/>
                <w:highlight w:val="none"/>
              </w:rPr>
              <w:t>区域影像中心</w:t>
            </w:r>
          </w:p>
        </w:tc>
        <w:tc>
          <w:tcPr>
            <w:tcW w:w="1049" w:type="pct"/>
            <w:vMerge w:val="restart"/>
            <w:tcBorders>
              <w:top w:val="single" w:color="000000" w:sz="4" w:space="0"/>
              <w:left w:val="single" w:color="000000" w:sz="4" w:space="0"/>
              <w:right w:val="single" w:color="000000" w:sz="4" w:space="0"/>
            </w:tcBorders>
            <w:shd w:val="clear" w:color="auto" w:fill="auto"/>
            <w:vAlign w:val="center"/>
          </w:tcPr>
          <w:p w14:paraId="229C792F">
            <w:pPr>
              <w:widowControl/>
              <w:jc w:val="left"/>
              <w:textAlignment w:val="center"/>
              <w:rPr>
                <w:rFonts w:hint="eastAsia" w:hAnsi="宋体" w:cs="宋体"/>
                <w:color w:val="000000"/>
                <w:szCs w:val="21"/>
                <w:highlight w:val="none"/>
                <w:lang w:bidi="ar"/>
              </w:rPr>
            </w:pPr>
            <w:r>
              <w:rPr>
                <w:rFonts w:hint="eastAsia"/>
                <w:szCs w:val="21"/>
                <w:highlight w:val="none"/>
              </w:rPr>
              <w:t>基层影像系统</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CFB9">
            <w:pPr>
              <w:widowControl/>
              <w:jc w:val="left"/>
              <w:textAlignment w:val="center"/>
              <w:rPr>
                <w:rFonts w:hint="eastAsia" w:hAnsi="宋体"/>
                <w:szCs w:val="21"/>
                <w:highlight w:val="none"/>
              </w:rPr>
            </w:pPr>
            <w:r>
              <w:rPr>
                <w:rFonts w:hint="eastAsia"/>
                <w:szCs w:val="21"/>
                <w:highlight w:val="none"/>
              </w:rPr>
              <w:t>登记模块</w:t>
            </w:r>
          </w:p>
        </w:tc>
        <w:tc>
          <w:tcPr>
            <w:tcW w:w="342" w:type="pct"/>
            <w:vMerge w:val="restart"/>
            <w:tcBorders>
              <w:top w:val="single" w:color="000000" w:sz="4" w:space="0"/>
              <w:left w:val="single" w:color="000000" w:sz="4" w:space="0"/>
              <w:right w:val="single" w:color="000000" w:sz="4" w:space="0"/>
            </w:tcBorders>
            <w:shd w:val="clear" w:color="auto" w:fill="auto"/>
            <w:vAlign w:val="center"/>
          </w:tcPr>
          <w:p w14:paraId="5CEAC944">
            <w:pPr>
              <w:widowControl/>
              <w:jc w:val="left"/>
              <w:textAlignment w:val="center"/>
              <w:rPr>
                <w:rFonts w:hint="eastAsia" w:hAnsi="宋体"/>
                <w:szCs w:val="21"/>
                <w:highlight w:val="none"/>
              </w:rPr>
            </w:pPr>
            <w:r>
              <w:rPr>
                <w:rFonts w:hint="eastAsia"/>
                <w:szCs w:val="21"/>
                <w:highlight w:val="none"/>
              </w:rPr>
              <w:t>5套</w:t>
            </w:r>
          </w:p>
        </w:tc>
        <w:tc>
          <w:tcPr>
            <w:tcW w:w="1638" w:type="pct"/>
            <w:vMerge w:val="restart"/>
            <w:tcBorders>
              <w:top w:val="single" w:color="000000" w:sz="4" w:space="0"/>
              <w:left w:val="single" w:color="000000" w:sz="4" w:space="0"/>
              <w:right w:val="single" w:color="000000" w:sz="4" w:space="0"/>
            </w:tcBorders>
            <w:shd w:val="clear" w:color="auto" w:fill="auto"/>
            <w:vAlign w:val="center"/>
          </w:tcPr>
          <w:p w14:paraId="36382679">
            <w:pPr>
              <w:widowControl/>
              <w:jc w:val="left"/>
              <w:textAlignment w:val="center"/>
              <w:rPr>
                <w:szCs w:val="21"/>
                <w:highlight w:val="none"/>
              </w:rPr>
            </w:pPr>
            <w:r>
              <w:rPr>
                <w:rFonts w:hint="eastAsia"/>
                <w:szCs w:val="21"/>
                <w:highlight w:val="none"/>
              </w:rPr>
              <w:t>包含5家基层卫生院系统部署</w:t>
            </w:r>
          </w:p>
        </w:tc>
      </w:tr>
      <w:tr w14:paraId="40557FEB">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31F28D">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7632FF5C">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1D7B5B3E">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25E1">
            <w:pPr>
              <w:widowControl/>
              <w:jc w:val="left"/>
              <w:textAlignment w:val="center"/>
              <w:rPr>
                <w:rFonts w:hint="eastAsia" w:hAnsi="宋体" w:cs="宋体"/>
                <w:color w:val="000000"/>
                <w:szCs w:val="21"/>
                <w:highlight w:val="none"/>
                <w:lang w:bidi="ar"/>
              </w:rPr>
            </w:pPr>
            <w:r>
              <w:rPr>
                <w:rFonts w:hint="eastAsia"/>
                <w:szCs w:val="21"/>
                <w:highlight w:val="none"/>
              </w:rPr>
              <w:t>影像工作站</w:t>
            </w:r>
          </w:p>
        </w:tc>
        <w:tc>
          <w:tcPr>
            <w:tcW w:w="342" w:type="pct"/>
            <w:vMerge w:val="continue"/>
            <w:tcBorders>
              <w:left w:val="single" w:color="000000" w:sz="4" w:space="0"/>
              <w:right w:val="single" w:color="000000" w:sz="4" w:space="0"/>
            </w:tcBorders>
            <w:shd w:val="clear" w:color="auto" w:fill="auto"/>
            <w:vAlign w:val="center"/>
          </w:tcPr>
          <w:p w14:paraId="5681DFBC">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4F711593">
            <w:pPr>
              <w:widowControl/>
              <w:jc w:val="left"/>
              <w:textAlignment w:val="center"/>
              <w:rPr>
                <w:rFonts w:hint="eastAsia" w:hAnsi="宋体" w:cs="宋体"/>
                <w:color w:val="000000"/>
                <w:szCs w:val="21"/>
                <w:highlight w:val="none"/>
                <w:lang w:bidi="ar"/>
              </w:rPr>
            </w:pPr>
          </w:p>
        </w:tc>
      </w:tr>
      <w:tr w14:paraId="38B5CA0D">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B193A35">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01DAC2F2">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40758087">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80E0">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超声工作站</w:t>
            </w:r>
          </w:p>
        </w:tc>
        <w:tc>
          <w:tcPr>
            <w:tcW w:w="342" w:type="pct"/>
            <w:vMerge w:val="continue"/>
            <w:tcBorders>
              <w:left w:val="single" w:color="000000" w:sz="4" w:space="0"/>
              <w:right w:val="single" w:color="000000" w:sz="4" w:space="0"/>
            </w:tcBorders>
            <w:shd w:val="clear" w:color="auto" w:fill="auto"/>
            <w:vAlign w:val="center"/>
          </w:tcPr>
          <w:p w14:paraId="37ED0D4F">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1C2453F6">
            <w:pPr>
              <w:widowControl/>
              <w:jc w:val="left"/>
              <w:textAlignment w:val="center"/>
              <w:rPr>
                <w:rFonts w:hint="eastAsia" w:hAnsi="宋体" w:cs="宋体"/>
                <w:color w:val="000000"/>
                <w:szCs w:val="21"/>
                <w:highlight w:val="none"/>
                <w:lang w:bidi="ar"/>
              </w:rPr>
            </w:pPr>
          </w:p>
        </w:tc>
      </w:tr>
      <w:tr w14:paraId="5877EE4F">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1152BB7">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143AE0E7">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31D2B418">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BCB4">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报告管理功能</w:t>
            </w:r>
          </w:p>
        </w:tc>
        <w:tc>
          <w:tcPr>
            <w:tcW w:w="342" w:type="pct"/>
            <w:vMerge w:val="continue"/>
            <w:tcBorders>
              <w:left w:val="single" w:color="000000" w:sz="4" w:space="0"/>
              <w:right w:val="single" w:color="000000" w:sz="4" w:space="0"/>
            </w:tcBorders>
            <w:shd w:val="clear" w:color="auto" w:fill="auto"/>
            <w:vAlign w:val="center"/>
          </w:tcPr>
          <w:p w14:paraId="567B4A3D">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52DBE1F2">
            <w:pPr>
              <w:widowControl/>
              <w:jc w:val="left"/>
              <w:textAlignment w:val="center"/>
              <w:rPr>
                <w:rFonts w:hint="eastAsia" w:hAnsi="宋体" w:cs="宋体"/>
                <w:color w:val="000000"/>
                <w:szCs w:val="21"/>
                <w:highlight w:val="none"/>
                <w:lang w:bidi="ar"/>
              </w:rPr>
            </w:pPr>
          </w:p>
        </w:tc>
      </w:tr>
      <w:tr w14:paraId="68C1FB2A">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E2E09">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3138C0E0">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694C0E4A">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2093">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协助模块</w:t>
            </w:r>
          </w:p>
        </w:tc>
        <w:tc>
          <w:tcPr>
            <w:tcW w:w="342" w:type="pct"/>
            <w:vMerge w:val="continue"/>
            <w:tcBorders>
              <w:left w:val="single" w:color="000000" w:sz="4" w:space="0"/>
              <w:right w:val="single" w:color="000000" w:sz="4" w:space="0"/>
            </w:tcBorders>
            <w:shd w:val="clear" w:color="auto" w:fill="auto"/>
            <w:vAlign w:val="center"/>
          </w:tcPr>
          <w:p w14:paraId="49676C43">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1FB11D69">
            <w:pPr>
              <w:widowControl/>
              <w:jc w:val="left"/>
              <w:textAlignment w:val="center"/>
              <w:rPr>
                <w:rFonts w:hint="eastAsia" w:hAnsi="宋体" w:cs="宋体"/>
                <w:color w:val="000000"/>
                <w:szCs w:val="21"/>
                <w:highlight w:val="none"/>
                <w:lang w:bidi="ar"/>
              </w:rPr>
            </w:pPr>
          </w:p>
        </w:tc>
      </w:tr>
      <w:tr w14:paraId="12C87235">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CD7909">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09A93500">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3B62F5AD">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BBEC">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统计分析</w:t>
            </w:r>
          </w:p>
        </w:tc>
        <w:tc>
          <w:tcPr>
            <w:tcW w:w="342" w:type="pct"/>
            <w:vMerge w:val="continue"/>
            <w:tcBorders>
              <w:left w:val="single" w:color="000000" w:sz="4" w:space="0"/>
              <w:right w:val="single" w:color="000000" w:sz="4" w:space="0"/>
            </w:tcBorders>
            <w:shd w:val="clear" w:color="auto" w:fill="auto"/>
            <w:vAlign w:val="center"/>
          </w:tcPr>
          <w:p w14:paraId="327130EA">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3B6E553A">
            <w:pPr>
              <w:widowControl/>
              <w:jc w:val="left"/>
              <w:textAlignment w:val="center"/>
              <w:rPr>
                <w:rFonts w:hint="eastAsia" w:hAnsi="宋体" w:cs="宋体"/>
                <w:color w:val="000000"/>
                <w:szCs w:val="21"/>
                <w:highlight w:val="none"/>
                <w:lang w:bidi="ar"/>
              </w:rPr>
            </w:pPr>
          </w:p>
        </w:tc>
      </w:tr>
      <w:tr w14:paraId="2452AC10">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D21074">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4BCE0AA1">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bottom w:val="single" w:color="000000" w:sz="4" w:space="0"/>
              <w:right w:val="single" w:color="000000" w:sz="4" w:space="0"/>
            </w:tcBorders>
            <w:shd w:val="clear" w:color="auto" w:fill="auto"/>
            <w:vAlign w:val="center"/>
          </w:tcPr>
          <w:p w14:paraId="3A7AB02F">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D1EB">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系统配置</w:t>
            </w:r>
          </w:p>
        </w:tc>
        <w:tc>
          <w:tcPr>
            <w:tcW w:w="342" w:type="pct"/>
            <w:vMerge w:val="continue"/>
            <w:tcBorders>
              <w:left w:val="single" w:color="000000" w:sz="4" w:space="0"/>
              <w:bottom w:val="single" w:color="000000" w:sz="4" w:space="0"/>
              <w:right w:val="single" w:color="000000" w:sz="4" w:space="0"/>
            </w:tcBorders>
            <w:shd w:val="clear" w:color="auto" w:fill="auto"/>
            <w:vAlign w:val="center"/>
          </w:tcPr>
          <w:p w14:paraId="3312EBDB">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bottom w:val="single" w:color="000000" w:sz="4" w:space="0"/>
              <w:right w:val="single" w:color="000000" w:sz="4" w:space="0"/>
            </w:tcBorders>
            <w:shd w:val="clear" w:color="auto" w:fill="auto"/>
            <w:vAlign w:val="center"/>
          </w:tcPr>
          <w:p w14:paraId="77EEEEF9">
            <w:pPr>
              <w:widowControl/>
              <w:jc w:val="left"/>
              <w:textAlignment w:val="center"/>
              <w:rPr>
                <w:rFonts w:hint="eastAsia" w:hAnsi="宋体" w:cs="宋体"/>
                <w:color w:val="000000"/>
                <w:szCs w:val="21"/>
                <w:highlight w:val="none"/>
                <w:lang w:bidi="ar"/>
              </w:rPr>
            </w:pPr>
          </w:p>
        </w:tc>
      </w:tr>
      <w:tr w14:paraId="2ECBD492">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9FA0FB">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10EF7562">
            <w:pPr>
              <w:widowControl/>
              <w:jc w:val="left"/>
              <w:textAlignment w:val="center"/>
              <w:rPr>
                <w:rFonts w:hint="eastAsia" w:hAnsi="宋体" w:cs="宋体"/>
                <w:color w:val="000000"/>
                <w:szCs w:val="24"/>
                <w:highlight w:val="none"/>
              </w:rPr>
            </w:pPr>
          </w:p>
        </w:tc>
        <w:tc>
          <w:tcPr>
            <w:tcW w:w="1049" w:type="pct"/>
            <w:vMerge w:val="restart"/>
            <w:tcBorders>
              <w:top w:val="single" w:color="000000" w:sz="4" w:space="0"/>
              <w:left w:val="single" w:color="000000" w:sz="4" w:space="0"/>
              <w:right w:val="single" w:color="000000" w:sz="4" w:space="0"/>
            </w:tcBorders>
            <w:shd w:val="clear" w:color="auto" w:fill="auto"/>
            <w:vAlign w:val="center"/>
          </w:tcPr>
          <w:p w14:paraId="4D76ECEB">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远程影像会诊平台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D5AD">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公共诊室</w:t>
            </w:r>
          </w:p>
        </w:tc>
        <w:tc>
          <w:tcPr>
            <w:tcW w:w="342" w:type="pct"/>
            <w:vMerge w:val="restart"/>
            <w:tcBorders>
              <w:top w:val="single" w:color="000000" w:sz="4" w:space="0"/>
              <w:left w:val="single" w:color="000000" w:sz="4" w:space="0"/>
              <w:right w:val="single" w:color="000000" w:sz="4" w:space="0"/>
            </w:tcBorders>
            <w:shd w:val="clear" w:color="auto" w:fill="auto"/>
            <w:vAlign w:val="center"/>
          </w:tcPr>
          <w:p w14:paraId="51F133AD">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1套</w:t>
            </w:r>
          </w:p>
        </w:tc>
        <w:tc>
          <w:tcPr>
            <w:tcW w:w="1638" w:type="pct"/>
            <w:vMerge w:val="restart"/>
            <w:tcBorders>
              <w:top w:val="single" w:color="000000" w:sz="4" w:space="0"/>
              <w:left w:val="single" w:color="000000" w:sz="4" w:space="0"/>
              <w:right w:val="single" w:color="000000" w:sz="4" w:space="0"/>
            </w:tcBorders>
            <w:shd w:val="clear" w:color="auto" w:fill="auto"/>
            <w:vAlign w:val="center"/>
          </w:tcPr>
          <w:p w14:paraId="2D5847EB">
            <w:pPr>
              <w:widowControl/>
              <w:jc w:val="left"/>
              <w:textAlignment w:val="center"/>
              <w:rPr>
                <w:rFonts w:cs="宋体"/>
                <w:color w:val="000000"/>
                <w:szCs w:val="21"/>
                <w:highlight w:val="none"/>
                <w:lang w:bidi="ar"/>
              </w:rPr>
            </w:pPr>
          </w:p>
        </w:tc>
      </w:tr>
      <w:tr w14:paraId="78F7A228">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A6A27B">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7FB4206C">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3C4CC3F9">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014B">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个人诊室</w:t>
            </w:r>
          </w:p>
        </w:tc>
        <w:tc>
          <w:tcPr>
            <w:tcW w:w="342" w:type="pct"/>
            <w:vMerge w:val="continue"/>
            <w:tcBorders>
              <w:left w:val="single" w:color="000000" w:sz="4" w:space="0"/>
              <w:right w:val="single" w:color="000000" w:sz="4" w:space="0"/>
            </w:tcBorders>
            <w:shd w:val="clear" w:color="auto" w:fill="auto"/>
            <w:vAlign w:val="center"/>
          </w:tcPr>
          <w:p w14:paraId="6FC99247">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22FDAD8C">
            <w:pPr>
              <w:widowControl/>
              <w:jc w:val="left"/>
              <w:textAlignment w:val="center"/>
              <w:rPr>
                <w:rFonts w:hint="eastAsia" w:hAnsi="宋体" w:cs="宋体"/>
                <w:color w:val="000000"/>
                <w:szCs w:val="21"/>
                <w:highlight w:val="none"/>
                <w:lang w:bidi="ar"/>
              </w:rPr>
            </w:pPr>
          </w:p>
        </w:tc>
      </w:tr>
      <w:tr w14:paraId="18864457">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F14D19D">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6CBA6241">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455838DF">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9428">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报告书写</w:t>
            </w:r>
          </w:p>
        </w:tc>
        <w:tc>
          <w:tcPr>
            <w:tcW w:w="342" w:type="pct"/>
            <w:vMerge w:val="continue"/>
            <w:tcBorders>
              <w:left w:val="single" w:color="000000" w:sz="4" w:space="0"/>
              <w:right w:val="single" w:color="000000" w:sz="4" w:space="0"/>
            </w:tcBorders>
            <w:shd w:val="clear" w:color="auto" w:fill="auto"/>
            <w:vAlign w:val="center"/>
          </w:tcPr>
          <w:p w14:paraId="3362B7DF">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6D34AAB8">
            <w:pPr>
              <w:widowControl/>
              <w:jc w:val="left"/>
              <w:textAlignment w:val="center"/>
              <w:rPr>
                <w:rFonts w:hint="eastAsia" w:hAnsi="宋体" w:cs="宋体"/>
                <w:color w:val="000000"/>
                <w:szCs w:val="21"/>
                <w:highlight w:val="none"/>
                <w:lang w:bidi="ar"/>
              </w:rPr>
            </w:pPr>
          </w:p>
        </w:tc>
      </w:tr>
      <w:tr w14:paraId="6DCDE846">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F87BDE">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64B4F1AD">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right w:val="single" w:color="000000" w:sz="4" w:space="0"/>
            </w:tcBorders>
            <w:shd w:val="clear" w:color="auto" w:fill="auto"/>
            <w:vAlign w:val="center"/>
          </w:tcPr>
          <w:p w14:paraId="0CA867C5">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B5F3">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统计查询</w:t>
            </w:r>
          </w:p>
        </w:tc>
        <w:tc>
          <w:tcPr>
            <w:tcW w:w="342" w:type="pct"/>
            <w:vMerge w:val="continue"/>
            <w:tcBorders>
              <w:left w:val="single" w:color="000000" w:sz="4" w:space="0"/>
              <w:right w:val="single" w:color="000000" w:sz="4" w:space="0"/>
            </w:tcBorders>
            <w:shd w:val="clear" w:color="auto" w:fill="auto"/>
            <w:vAlign w:val="center"/>
          </w:tcPr>
          <w:p w14:paraId="5DCE0CC2">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right w:val="single" w:color="000000" w:sz="4" w:space="0"/>
            </w:tcBorders>
            <w:shd w:val="clear" w:color="auto" w:fill="auto"/>
            <w:vAlign w:val="center"/>
          </w:tcPr>
          <w:p w14:paraId="44CC5461">
            <w:pPr>
              <w:widowControl/>
              <w:jc w:val="left"/>
              <w:textAlignment w:val="center"/>
              <w:rPr>
                <w:rFonts w:hint="eastAsia" w:hAnsi="宋体" w:cs="宋体"/>
                <w:color w:val="000000"/>
                <w:szCs w:val="21"/>
                <w:highlight w:val="none"/>
                <w:lang w:bidi="ar"/>
              </w:rPr>
            </w:pPr>
          </w:p>
        </w:tc>
      </w:tr>
      <w:tr w14:paraId="54310C85">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54B9DF">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right w:val="single" w:color="000000" w:sz="4" w:space="0"/>
            </w:tcBorders>
            <w:shd w:val="clear" w:color="auto" w:fill="auto"/>
            <w:vAlign w:val="center"/>
          </w:tcPr>
          <w:p w14:paraId="406B5DFA">
            <w:pPr>
              <w:widowControl/>
              <w:jc w:val="left"/>
              <w:textAlignment w:val="center"/>
              <w:rPr>
                <w:rFonts w:hint="eastAsia" w:hAnsi="宋体" w:cs="宋体"/>
                <w:color w:val="000000"/>
                <w:szCs w:val="24"/>
                <w:highlight w:val="none"/>
              </w:rPr>
            </w:pPr>
          </w:p>
        </w:tc>
        <w:tc>
          <w:tcPr>
            <w:tcW w:w="1049" w:type="pct"/>
            <w:vMerge w:val="continue"/>
            <w:tcBorders>
              <w:left w:val="single" w:color="000000" w:sz="4" w:space="0"/>
              <w:bottom w:val="single" w:color="000000" w:sz="4" w:space="0"/>
              <w:right w:val="single" w:color="000000" w:sz="4" w:space="0"/>
            </w:tcBorders>
            <w:shd w:val="clear" w:color="auto" w:fill="auto"/>
            <w:vAlign w:val="center"/>
          </w:tcPr>
          <w:p w14:paraId="720121F9">
            <w:pPr>
              <w:widowControl/>
              <w:jc w:val="left"/>
              <w:textAlignment w:val="center"/>
              <w:rPr>
                <w:rFonts w:hint="eastAsia" w:hAnsi="宋体" w:cs="宋体"/>
                <w:color w:val="000000"/>
                <w:szCs w:val="21"/>
                <w:highlight w:val="none"/>
                <w:lang w:bidi="ar"/>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4BB6">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字典维护</w:t>
            </w:r>
          </w:p>
        </w:tc>
        <w:tc>
          <w:tcPr>
            <w:tcW w:w="342" w:type="pct"/>
            <w:vMerge w:val="continue"/>
            <w:tcBorders>
              <w:left w:val="single" w:color="000000" w:sz="4" w:space="0"/>
              <w:bottom w:val="single" w:color="000000" w:sz="4" w:space="0"/>
              <w:right w:val="single" w:color="000000" w:sz="4" w:space="0"/>
            </w:tcBorders>
            <w:shd w:val="clear" w:color="auto" w:fill="auto"/>
            <w:vAlign w:val="center"/>
          </w:tcPr>
          <w:p w14:paraId="6B426180">
            <w:pPr>
              <w:widowControl/>
              <w:jc w:val="left"/>
              <w:textAlignment w:val="center"/>
              <w:rPr>
                <w:rFonts w:hint="eastAsia" w:hAnsi="宋体" w:cs="宋体"/>
                <w:color w:val="000000"/>
                <w:szCs w:val="21"/>
                <w:highlight w:val="none"/>
                <w:lang w:bidi="ar"/>
              </w:rPr>
            </w:pPr>
          </w:p>
        </w:tc>
        <w:tc>
          <w:tcPr>
            <w:tcW w:w="1638" w:type="pct"/>
            <w:vMerge w:val="continue"/>
            <w:tcBorders>
              <w:left w:val="single" w:color="000000" w:sz="4" w:space="0"/>
              <w:bottom w:val="single" w:color="000000" w:sz="4" w:space="0"/>
              <w:right w:val="single" w:color="000000" w:sz="4" w:space="0"/>
            </w:tcBorders>
            <w:shd w:val="clear" w:color="auto" w:fill="auto"/>
            <w:vAlign w:val="center"/>
          </w:tcPr>
          <w:p w14:paraId="6CA36A47">
            <w:pPr>
              <w:widowControl/>
              <w:jc w:val="left"/>
              <w:textAlignment w:val="center"/>
              <w:rPr>
                <w:rFonts w:hint="eastAsia" w:hAnsi="宋体" w:cs="宋体"/>
                <w:color w:val="000000"/>
                <w:szCs w:val="21"/>
                <w:highlight w:val="none"/>
                <w:lang w:bidi="ar"/>
              </w:rPr>
            </w:pPr>
          </w:p>
        </w:tc>
      </w:tr>
      <w:tr w14:paraId="1C699D06">
        <w:tblPrEx>
          <w:tblCellMar>
            <w:top w:w="0" w:type="dxa"/>
            <w:left w:w="108" w:type="dxa"/>
            <w:bottom w:w="0" w:type="dxa"/>
            <w:right w:w="108" w:type="dxa"/>
          </w:tblCellMar>
        </w:tblPrEx>
        <w:trPr>
          <w:trHeight w:val="34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BA255A">
            <w:pPr>
              <w:widowControl/>
              <w:numPr>
                <w:ilvl w:val="0"/>
                <w:numId w:val="7"/>
              </w:numPr>
              <w:jc w:val="center"/>
              <w:textAlignment w:val="bottom"/>
              <w:rPr>
                <w:rFonts w:hint="eastAsia" w:hAnsi="宋体" w:cs="宋体"/>
                <w:color w:val="000000"/>
                <w:szCs w:val="21"/>
                <w:highlight w:val="none"/>
              </w:rPr>
            </w:pPr>
          </w:p>
        </w:tc>
        <w:tc>
          <w:tcPr>
            <w:tcW w:w="813" w:type="pct"/>
            <w:vMerge w:val="continue"/>
            <w:tcBorders>
              <w:left w:val="single" w:color="000000" w:sz="4" w:space="0"/>
              <w:bottom w:val="single" w:color="000000" w:sz="4" w:space="0"/>
              <w:right w:val="single" w:color="000000" w:sz="4" w:space="0"/>
            </w:tcBorders>
            <w:shd w:val="clear" w:color="auto" w:fill="auto"/>
            <w:vAlign w:val="center"/>
          </w:tcPr>
          <w:p w14:paraId="1837E223">
            <w:pPr>
              <w:widowControl/>
              <w:jc w:val="left"/>
              <w:textAlignment w:val="center"/>
              <w:rPr>
                <w:rFonts w:hint="eastAsia" w:hAnsi="宋体" w:cs="宋体"/>
                <w:color w:val="000000"/>
                <w:szCs w:val="24"/>
                <w:highlight w:val="none"/>
              </w:rPr>
            </w:pPr>
          </w:p>
        </w:tc>
        <w:tc>
          <w:tcPr>
            <w:tcW w:w="1862" w:type="pct"/>
            <w:gridSpan w:val="2"/>
            <w:tcBorders>
              <w:left w:val="single" w:color="000000" w:sz="4" w:space="0"/>
              <w:bottom w:val="single" w:color="000000" w:sz="4" w:space="0"/>
              <w:right w:val="single" w:color="000000" w:sz="4" w:space="0"/>
            </w:tcBorders>
            <w:shd w:val="clear" w:color="auto" w:fill="auto"/>
            <w:vAlign w:val="center"/>
          </w:tcPr>
          <w:p w14:paraId="32EB16AF">
            <w:pPr>
              <w:widowControl/>
              <w:jc w:val="left"/>
              <w:textAlignment w:val="center"/>
              <w:rPr>
                <w:rFonts w:cs="宋体"/>
                <w:color w:val="000000"/>
                <w:szCs w:val="21"/>
                <w:highlight w:val="none"/>
                <w:lang w:bidi="ar"/>
              </w:rPr>
            </w:pPr>
            <w:r>
              <w:rPr>
                <w:rFonts w:hint="eastAsia" w:cs="宋体"/>
                <w:color w:val="000000"/>
                <w:szCs w:val="21"/>
                <w:highlight w:val="none"/>
                <w:lang w:bidi="ar"/>
              </w:rPr>
              <w:t>影像诊断中心</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F35D">
            <w:pPr>
              <w:widowControl/>
              <w:jc w:val="left"/>
              <w:textAlignment w:val="center"/>
              <w:rPr>
                <w:rFonts w:hint="eastAsia" w:hAnsi="宋体" w:cs="宋体"/>
                <w:color w:val="000000"/>
                <w:szCs w:val="21"/>
                <w:highlight w:val="none"/>
                <w:lang w:bidi="ar"/>
              </w:rPr>
            </w:pPr>
            <w:r>
              <w:rPr>
                <w:rFonts w:hint="eastAsia" w:cs="宋体"/>
                <w:color w:val="000000"/>
                <w:szCs w:val="21"/>
                <w:highlight w:val="none"/>
                <w:lang w:bidi="ar"/>
              </w:rPr>
              <w:t>1套</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350A">
            <w:pPr>
              <w:widowControl/>
              <w:jc w:val="left"/>
              <w:textAlignment w:val="center"/>
              <w:rPr>
                <w:rFonts w:cs="宋体"/>
                <w:color w:val="000000"/>
                <w:szCs w:val="21"/>
                <w:highlight w:val="none"/>
                <w:lang w:bidi="ar"/>
              </w:rPr>
            </w:pPr>
          </w:p>
        </w:tc>
      </w:tr>
      <w:tr w14:paraId="0D63B5D9">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1AB9A13C">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6B3B29">
            <w:pPr>
              <w:widowControl/>
              <w:jc w:val="left"/>
              <w:textAlignment w:val="center"/>
              <w:rPr>
                <w:rFonts w:cs="宋体"/>
                <w:color w:val="000000"/>
                <w:szCs w:val="21"/>
                <w:highlight w:val="none"/>
                <w:lang w:bidi="ar"/>
              </w:rPr>
            </w:pPr>
            <w:r>
              <w:rPr>
                <w:rFonts w:hint="eastAsia" w:cs="宋体"/>
                <w:color w:val="000000"/>
                <w:szCs w:val="21"/>
                <w:highlight w:val="none"/>
                <w:lang w:bidi="ar"/>
              </w:rPr>
              <w:t>超融合一体机</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6EDB">
            <w:pPr>
              <w:widowControl/>
              <w:jc w:val="left"/>
              <w:textAlignment w:val="center"/>
              <w:rPr>
                <w:rFonts w:cs="宋体"/>
                <w:color w:val="000000"/>
                <w:szCs w:val="21"/>
                <w:highlight w:val="none"/>
                <w:lang w:bidi="ar"/>
              </w:rPr>
            </w:pPr>
            <w:r>
              <w:rPr>
                <w:rFonts w:hint="eastAsia" w:cs="宋体"/>
                <w:color w:val="000000"/>
                <w:szCs w:val="21"/>
                <w:highlight w:val="none"/>
                <w:lang w:bidi="ar"/>
              </w:rPr>
              <w:t>3台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B508">
            <w:pPr>
              <w:widowControl/>
              <w:jc w:val="left"/>
              <w:textAlignment w:val="center"/>
              <w:rPr>
                <w:rFonts w:cs="宋体"/>
                <w:color w:val="000000"/>
                <w:szCs w:val="21"/>
                <w:highlight w:val="none"/>
                <w:lang w:bidi="ar"/>
              </w:rPr>
            </w:pPr>
          </w:p>
        </w:tc>
      </w:tr>
      <w:tr w14:paraId="2D3E53AD">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4543F350">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DA27B7">
            <w:pPr>
              <w:widowControl/>
              <w:jc w:val="left"/>
              <w:textAlignment w:val="center"/>
              <w:rPr>
                <w:rFonts w:cs="宋体"/>
                <w:color w:val="000000"/>
                <w:szCs w:val="21"/>
                <w:highlight w:val="none"/>
                <w:lang w:bidi="ar"/>
              </w:rPr>
            </w:pPr>
            <w:r>
              <w:rPr>
                <w:rFonts w:hint="eastAsia" w:cs="宋体"/>
                <w:color w:val="000000"/>
                <w:szCs w:val="21"/>
                <w:highlight w:val="none"/>
                <w:lang w:bidi="ar"/>
              </w:rPr>
              <w:t>超融合交换机</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87A5">
            <w:pPr>
              <w:widowControl/>
              <w:jc w:val="left"/>
              <w:textAlignment w:val="center"/>
              <w:rPr>
                <w:rFonts w:cs="宋体"/>
                <w:color w:val="000000"/>
                <w:szCs w:val="21"/>
                <w:highlight w:val="none"/>
                <w:lang w:bidi="ar"/>
              </w:rPr>
            </w:pPr>
            <w:r>
              <w:rPr>
                <w:rFonts w:hint="eastAsia" w:cs="宋体"/>
                <w:color w:val="000000"/>
                <w:szCs w:val="21"/>
                <w:highlight w:val="none"/>
                <w:lang w:bidi="ar"/>
              </w:rPr>
              <w:t>2台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C1EB">
            <w:pPr>
              <w:widowControl/>
              <w:jc w:val="left"/>
              <w:textAlignment w:val="center"/>
              <w:rPr>
                <w:rFonts w:cs="宋体"/>
                <w:color w:val="000000"/>
                <w:szCs w:val="21"/>
                <w:highlight w:val="none"/>
                <w:lang w:bidi="ar"/>
              </w:rPr>
            </w:pPr>
          </w:p>
        </w:tc>
      </w:tr>
      <w:tr w14:paraId="76EBE995">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4B1CDEB3">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98647A">
            <w:pPr>
              <w:widowControl/>
              <w:jc w:val="left"/>
              <w:textAlignment w:val="center"/>
              <w:rPr>
                <w:rFonts w:cs="宋体"/>
                <w:color w:val="000000"/>
                <w:szCs w:val="21"/>
                <w:highlight w:val="none"/>
                <w:lang w:bidi="ar"/>
              </w:rPr>
            </w:pPr>
            <w:r>
              <w:rPr>
                <w:rFonts w:hint="eastAsia" w:cs="宋体"/>
                <w:color w:val="000000"/>
                <w:szCs w:val="21"/>
                <w:highlight w:val="none"/>
                <w:lang w:bidi="ar"/>
              </w:rPr>
              <w:t>网络交换机</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61EE">
            <w:pPr>
              <w:widowControl/>
              <w:jc w:val="left"/>
              <w:textAlignment w:val="center"/>
              <w:rPr>
                <w:rFonts w:cs="宋体"/>
                <w:color w:val="000000"/>
                <w:szCs w:val="21"/>
                <w:highlight w:val="none"/>
                <w:lang w:bidi="ar"/>
              </w:rPr>
            </w:pPr>
            <w:r>
              <w:rPr>
                <w:rFonts w:hint="eastAsia" w:cs="宋体"/>
                <w:color w:val="000000"/>
                <w:szCs w:val="21"/>
                <w:highlight w:val="none"/>
                <w:lang w:bidi="ar"/>
              </w:rPr>
              <w:t>1台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B77B">
            <w:pPr>
              <w:widowControl/>
              <w:jc w:val="left"/>
              <w:textAlignment w:val="center"/>
              <w:rPr>
                <w:rFonts w:cs="宋体"/>
                <w:color w:val="000000"/>
                <w:szCs w:val="21"/>
                <w:highlight w:val="none"/>
                <w:lang w:bidi="ar"/>
              </w:rPr>
            </w:pPr>
          </w:p>
        </w:tc>
      </w:tr>
      <w:tr w14:paraId="39244C1B">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536CFBBA">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01FF7D">
            <w:pPr>
              <w:widowControl/>
              <w:jc w:val="left"/>
              <w:textAlignment w:val="center"/>
              <w:rPr>
                <w:rFonts w:cs="宋体"/>
                <w:color w:val="000000"/>
                <w:szCs w:val="21"/>
                <w:highlight w:val="none"/>
                <w:lang w:bidi="ar"/>
              </w:rPr>
            </w:pPr>
            <w:r>
              <w:rPr>
                <w:rFonts w:hint="eastAsia" w:cs="宋体"/>
                <w:color w:val="000000"/>
                <w:szCs w:val="21"/>
                <w:highlight w:val="none"/>
                <w:lang w:bidi="ar"/>
              </w:rPr>
              <w:t>高拍仪</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2DFC">
            <w:pPr>
              <w:widowControl/>
              <w:jc w:val="left"/>
              <w:textAlignment w:val="center"/>
              <w:rPr>
                <w:rFonts w:cs="宋体"/>
                <w:color w:val="000000"/>
                <w:szCs w:val="21"/>
                <w:highlight w:val="none"/>
                <w:lang w:bidi="ar"/>
              </w:rPr>
            </w:pPr>
            <w:r>
              <w:rPr>
                <w:rFonts w:hint="eastAsia" w:cs="宋体"/>
                <w:color w:val="000000"/>
                <w:szCs w:val="21"/>
                <w:highlight w:val="none"/>
                <w:lang w:bidi="ar"/>
              </w:rPr>
              <w:t>5个</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F2A3">
            <w:pPr>
              <w:widowControl/>
              <w:jc w:val="left"/>
              <w:textAlignment w:val="center"/>
              <w:rPr>
                <w:rFonts w:cs="宋体"/>
                <w:color w:val="000000"/>
                <w:szCs w:val="21"/>
                <w:highlight w:val="none"/>
                <w:lang w:bidi="ar"/>
              </w:rPr>
            </w:pPr>
          </w:p>
        </w:tc>
      </w:tr>
      <w:tr w14:paraId="559C0031">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40886912">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33B965">
            <w:pPr>
              <w:widowControl/>
              <w:jc w:val="left"/>
              <w:textAlignment w:val="center"/>
              <w:rPr>
                <w:rFonts w:cs="宋体"/>
                <w:color w:val="000000"/>
                <w:szCs w:val="21"/>
                <w:highlight w:val="none"/>
                <w:lang w:bidi="ar"/>
              </w:rPr>
            </w:pPr>
            <w:r>
              <w:rPr>
                <w:rFonts w:hint="eastAsia" w:cs="宋体"/>
                <w:color w:val="000000"/>
                <w:szCs w:val="21"/>
                <w:highlight w:val="none"/>
                <w:lang w:bidi="ar"/>
              </w:rPr>
              <w:t>采集卡</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3A12">
            <w:pPr>
              <w:widowControl/>
              <w:jc w:val="left"/>
              <w:textAlignment w:val="center"/>
              <w:rPr>
                <w:rFonts w:cs="宋体"/>
                <w:color w:val="000000"/>
                <w:szCs w:val="21"/>
                <w:highlight w:val="none"/>
                <w:lang w:bidi="ar"/>
              </w:rPr>
            </w:pPr>
            <w:r>
              <w:rPr>
                <w:rFonts w:hint="eastAsia" w:cs="宋体"/>
                <w:color w:val="000000"/>
                <w:szCs w:val="21"/>
                <w:highlight w:val="none"/>
                <w:lang w:bidi="ar"/>
              </w:rPr>
              <w:t>5个</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B156">
            <w:pPr>
              <w:widowControl/>
              <w:jc w:val="left"/>
              <w:textAlignment w:val="center"/>
              <w:rPr>
                <w:rFonts w:cs="宋体"/>
                <w:color w:val="000000"/>
                <w:szCs w:val="21"/>
                <w:highlight w:val="none"/>
                <w:lang w:bidi="ar"/>
              </w:rPr>
            </w:pPr>
          </w:p>
        </w:tc>
      </w:tr>
      <w:tr w14:paraId="10C436CD">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5CC02A5F">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265ECB">
            <w:pPr>
              <w:widowControl/>
              <w:jc w:val="left"/>
              <w:textAlignment w:val="center"/>
              <w:rPr>
                <w:rFonts w:cs="宋体"/>
                <w:color w:val="000000"/>
                <w:szCs w:val="21"/>
                <w:highlight w:val="none"/>
              </w:rPr>
            </w:pPr>
            <w:r>
              <w:rPr>
                <w:rFonts w:hint="eastAsia" w:cs="宋体"/>
                <w:color w:val="000000"/>
                <w:szCs w:val="21"/>
                <w:highlight w:val="none"/>
              </w:rPr>
              <w:t>医用显示器</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7B40">
            <w:pPr>
              <w:widowControl/>
              <w:jc w:val="left"/>
              <w:textAlignment w:val="center"/>
              <w:rPr>
                <w:rFonts w:cs="宋体"/>
                <w:color w:val="000000"/>
                <w:szCs w:val="21"/>
                <w:highlight w:val="none"/>
                <w:lang w:bidi="ar"/>
              </w:rPr>
            </w:pPr>
            <w:r>
              <w:rPr>
                <w:rFonts w:hint="eastAsia" w:cs="宋体"/>
                <w:color w:val="000000"/>
                <w:szCs w:val="21"/>
                <w:highlight w:val="none"/>
                <w:lang w:bidi="ar"/>
              </w:rPr>
              <w:t>2台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F023">
            <w:pPr>
              <w:widowControl/>
              <w:jc w:val="left"/>
              <w:textAlignment w:val="center"/>
              <w:rPr>
                <w:rFonts w:cs="宋体"/>
                <w:color w:val="000000"/>
                <w:szCs w:val="21"/>
                <w:highlight w:val="none"/>
                <w:lang w:bidi="ar"/>
              </w:rPr>
            </w:pPr>
          </w:p>
        </w:tc>
      </w:tr>
      <w:tr w14:paraId="5315BDEC">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527716E9">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B6CA94">
            <w:pPr>
              <w:widowControl/>
              <w:jc w:val="left"/>
              <w:textAlignment w:val="center"/>
              <w:rPr>
                <w:rFonts w:cs="宋体"/>
                <w:color w:val="000000"/>
                <w:szCs w:val="21"/>
                <w:highlight w:val="none"/>
              </w:rPr>
            </w:pPr>
            <w:r>
              <w:rPr>
                <w:rFonts w:hint="eastAsia" w:cs="宋体"/>
                <w:color w:val="000000"/>
                <w:szCs w:val="21"/>
                <w:highlight w:val="none"/>
              </w:rPr>
              <w:t>PC工作站</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52C1">
            <w:pPr>
              <w:widowControl/>
              <w:jc w:val="left"/>
              <w:textAlignment w:val="center"/>
              <w:rPr>
                <w:rFonts w:cs="宋体"/>
                <w:color w:val="000000"/>
                <w:szCs w:val="21"/>
                <w:highlight w:val="none"/>
                <w:lang w:bidi="ar"/>
              </w:rPr>
            </w:pPr>
            <w:r>
              <w:rPr>
                <w:rFonts w:hint="eastAsia" w:cs="宋体"/>
                <w:color w:val="000000"/>
                <w:szCs w:val="21"/>
                <w:highlight w:val="none"/>
                <w:lang w:bidi="ar"/>
              </w:rPr>
              <w:t>3台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786D">
            <w:pPr>
              <w:widowControl/>
              <w:jc w:val="left"/>
              <w:textAlignment w:val="center"/>
              <w:rPr>
                <w:rFonts w:cs="宋体"/>
                <w:color w:val="000000"/>
                <w:szCs w:val="21"/>
                <w:highlight w:val="none"/>
                <w:lang w:bidi="ar"/>
              </w:rPr>
            </w:pPr>
          </w:p>
        </w:tc>
      </w:tr>
      <w:tr w14:paraId="5A638685">
        <w:tblPrEx>
          <w:tblCellMar>
            <w:top w:w="0" w:type="dxa"/>
            <w:left w:w="108" w:type="dxa"/>
            <w:bottom w:w="0" w:type="dxa"/>
            <w:right w:w="108" w:type="dxa"/>
          </w:tblCellMar>
        </w:tblPrEx>
        <w:trPr>
          <w:trHeight w:val="340" w:hRule="atLeast"/>
          <w:jc w:val="center"/>
        </w:trPr>
        <w:tc>
          <w:tcPr>
            <w:tcW w:w="342" w:type="pct"/>
            <w:tcBorders>
              <w:top w:val="single" w:color="auto" w:sz="4" w:space="0"/>
              <w:left w:val="single" w:color="auto" w:sz="4" w:space="0"/>
              <w:bottom w:val="single" w:color="auto" w:sz="4" w:space="0"/>
              <w:right w:val="single" w:color="auto" w:sz="4" w:space="0"/>
            </w:tcBorders>
            <w:shd w:val="clear" w:color="auto" w:fill="auto"/>
            <w:vAlign w:val="bottom"/>
          </w:tcPr>
          <w:p w14:paraId="0423D5CA">
            <w:pPr>
              <w:widowControl/>
              <w:numPr>
                <w:ilvl w:val="0"/>
                <w:numId w:val="7"/>
              </w:numPr>
              <w:jc w:val="center"/>
              <w:textAlignment w:val="bottom"/>
              <w:rPr>
                <w:rFonts w:hint="eastAsia" w:hAnsi="宋体" w:cs="宋体"/>
                <w:color w:val="000000"/>
                <w:szCs w:val="21"/>
                <w:highlight w:val="none"/>
              </w:rPr>
            </w:pPr>
          </w:p>
        </w:tc>
        <w:tc>
          <w:tcPr>
            <w:tcW w:w="267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CD4BB2">
            <w:pPr>
              <w:widowControl/>
              <w:jc w:val="left"/>
              <w:textAlignment w:val="center"/>
              <w:rPr>
                <w:rFonts w:cs="宋体"/>
                <w:color w:val="000000"/>
                <w:szCs w:val="21"/>
                <w:highlight w:val="none"/>
              </w:rPr>
            </w:pPr>
            <w:r>
              <w:rPr>
                <w:rFonts w:hint="eastAsia" w:cs="宋体"/>
                <w:color w:val="000000"/>
                <w:szCs w:val="21"/>
                <w:highlight w:val="none"/>
              </w:rPr>
              <w:t>影像会诊中心显示大屏（100寸）</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D709">
            <w:pPr>
              <w:widowControl/>
              <w:jc w:val="left"/>
              <w:textAlignment w:val="center"/>
              <w:rPr>
                <w:rFonts w:cs="宋体"/>
                <w:color w:val="000000"/>
                <w:szCs w:val="21"/>
                <w:highlight w:val="none"/>
                <w:lang w:bidi="ar"/>
              </w:rPr>
            </w:pPr>
            <w:r>
              <w:rPr>
                <w:rFonts w:hint="eastAsia" w:cs="宋体"/>
                <w:color w:val="000000"/>
                <w:szCs w:val="21"/>
                <w:highlight w:val="none"/>
                <w:lang w:bidi="ar"/>
              </w:rPr>
              <w:t>1台</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595A">
            <w:pPr>
              <w:widowControl/>
              <w:jc w:val="left"/>
              <w:textAlignment w:val="center"/>
              <w:rPr>
                <w:rFonts w:cs="宋体"/>
                <w:color w:val="000000"/>
                <w:szCs w:val="21"/>
                <w:highlight w:val="none"/>
                <w:lang w:bidi="ar"/>
              </w:rPr>
            </w:pPr>
          </w:p>
        </w:tc>
      </w:tr>
    </w:tbl>
    <w:p w14:paraId="372C7854">
      <w:pPr>
        <w:rPr>
          <w:b/>
          <w:bCs/>
          <w:sz w:val="28"/>
          <w:szCs w:val="28"/>
          <w:highlight w:val="none"/>
        </w:rPr>
      </w:pPr>
    </w:p>
    <w:p w14:paraId="40110A74">
      <w:pPr>
        <w:rPr>
          <w:b/>
          <w:bCs/>
          <w:sz w:val="28"/>
          <w:szCs w:val="28"/>
          <w:highlight w:val="none"/>
        </w:rPr>
      </w:pPr>
      <w:r>
        <w:rPr>
          <w:rFonts w:hint="eastAsia"/>
          <w:b/>
          <w:bCs/>
          <w:sz w:val="28"/>
          <w:szCs w:val="28"/>
          <w:highlight w:val="none"/>
        </w:rPr>
        <w:t>二、技术参数</w:t>
      </w:r>
    </w:p>
    <w:p w14:paraId="68CAD91B">
      <w:pPr>
        <w:rPr>
          <w:szCs w:val="24"/>
          <w:highlight w:val="none"/>
        </w:rPr>
      </w:pP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596"/>
        <w:gridCol w:w="1857"/>
        <w:gridCol w:w="2602"/>
        <w:gridCol w:w="4382"/>
        <w:gridCol w:w="1562"/>
        <w:gridCol w:w="1401"/>
      </w:tblGrid>
      <w:tr w14:paraId="6298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22" w:type="pct"/>
            <w:shd w:val="clear" w:color="auto" w:fill="auto"/>
            <w:noWrap/>
            <w:vAlign w:val="center"/>
          </w:tcPr>
          <w:p w14:paraId="48F7E043">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序号</w:t>
            </w:r>
          </w:p>
        </w:tc>
        <w:tc>
          <w:tcPr>
            <w:tcW w:w="557" w:type="pct"/>
            <w:shd w:val="clear" w:color="auto" w:fill="auto"/>
            <w:noWrap/>
            <w:vAlign w:val="center"/>
          </w:tcPr>
          <w:p w14:paraId="6863430E">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类别</w:t>
            </w:r>
          </w:p>
        </w:tc>
        <w:tc>
          <w:tcPr>
            <w:tcW w:w="648" w:type="pct"/>
            <w:shd w:val="clear" w:color="auto" w:fill="auto"/>
            <w:noWrap/>
            <w:vAlign w:val="center"/>
          </w:tcPr>
          <w:p w14:paraId="43104C53">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系统名称</w:t>
            </w:r>
          </w:p>
        </w:tc>
        <w:tc>
          <w:tcPr>
            <w:tcW w:w="907" w:type="pct"/>
            <w:shd w:val="clear" w:color="auto" w:fill="auto"/>
            <w:noWrap/>
            <w:vAlign w:val="center"/>
          </w:tcPr>
          <w:p w14:paraId="634CD6A1">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模块</w:t>
            </w:r>
          </w:p>
        </w:tc>
        <w:tc>
          <w:tcPr>
            <w:tcW w:w="1529" w:type="pct"/>
            <w:shd w:val="clear" w:color="auto" w:fill="auto"/>
            <w:noWrap/>
            <w:vAlign w:val="center"/>
          </w:tcPr>
          <w:p w14:paraId="15D2CD76">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功能描述</w:t>
            </w:r>
          </w:p>
        </w:tc>
        <w:tc>
          <w:tcPr>
            <w:tcW w:w="545" w:type="pct"/>
            <w:shd w:val="clear" w:color="auto" w:fill="auto"/>
            <w:noWrap/>
            <w:vAlign w:val="center"/>
          </w:tcPr>
          <w:p w14:paraId="5320DBB7">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数量</w:t>
            </w:r>
          </w:p>
        </w:tc>
        <w:tc>
          <w:tcPr>
            <w:tcW w:w="489" w:type="pct"/>
            <w:shd w:val="clear" w:color="auto" w:fill="auto"/>
            <w:noWrap/>
            <w:vAlign w:val="center"/>
          </w:tcPr>
          <w:p w14:paraId="2E99EFFF">
            <w:pPr>
              <w:widowControl/>
              <w:jc w:val="center"/>
              <w:textAlignment w:val="center"/>
              <w:rPr>
                <w:rFonts w:hint="eastAsia" w:hAnsi="宋体" w:cs="宋体"/>
                <w:b/>
                <w:bCs/>
                <w:color w:val="000000"/>
                <w:szCs w:val="21"/>
                <w:highlight w:val="none"/>
                <w:lang w:bidi="ar"/>
              </w:rPr>
            </w:pPr>
            <w:r>
              <w:rPr>
                <w:rFonts w:hint="eastAsia" w:hAnsi="宋体" w:cs="宋体"/>
                <w:b/>
                <w:bCs/>
                <w:color w:val="000000"/>
                <w:szCs w:val="21"/>
                <w:highlight w:val="none"/>
                <w:lang w:bidi="ar"/>
              </w:rPr>
              <w:t>备注</w:t>
            </w:r>
          </w:p>
        </w:tc>
      </w:tr>
      <w:tr w14:paraId="66E3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1B33D556">
            <w:pPr>
              <w:pStyle w:val="36"/>
              <w:numPr>
                <w:ilvl w:val="0"/>
                <w:numId w:val="8"/>
              </w:numPr>
              <w:ind w:firstLineChars="0"/>
              <w:jc w:val="center"/>
              <w:rPr>
                <w:rFonts w:hint="eastAsia" w:hAnsi="宋体" w:cs="宋体"/>
                <w:highlight w:val="none"/>
              </w:rPr>
            </w:pPr>
          </w:p>
        </w:tc>
        <w:tc>
          <w:tcPr>
            <w:tcW w:w="557" w:type="pct"/>
            <w:vMerge w:val="restart"/>
            <w:shd w:val="clear" w:color="auto" w:fill="auto"/>
            <w:vAlign w:val="center"/>
          </w:tcPr>
          <w:p w14:paraId="2E8BFE63">
            <w:pPr>
              <w:rPr>
                <w:szCs w:val="24"/>
                <w:highlight w:val="none"/>
              </w:rPr>
            </w:pPr>
            <w:r>
              <w:rPr>
                <w:rFonts w:hint="eastAsia"/>
                <w:highlight w:val="none"/>
              </w:rPr>
              <w:t>区域影像中心</w:t>
            </w:r>
          </w:p>
        </w:tc>
        <w:tc>
          <w:tcPr>
            <w:tcW w:w="648" w:type="pct"/>
            <w:vMerge w:val="restart"/>
            <w:shd w:val="clear" w:color="auto" w:fill="auto"/>
            <w:vAlign w:val="center"/>
          </w:tcPr>
          <w:p w14:paraId="4BAAF401">
            <w:pPr>
              <w:rPr>
                <w:rFonts w:cs="宋体"/>
                <w:color w:val="000000"/>
                <w:highlight w:val="none"/>
                <w:lang w:bidi="ar"/>
              </w:rPr>
            </w:pPr>
            <w:r>
              <w:rPr>
                <w:rFonts w:hint="eastAsia"/>
                <w:highlight w:val="none"/>
              </w:rPr>
              <w:t>基层影像系统</w:t>
            </w:r>
          </w:p>
        </w:tc>
        <w:tc>
          <w:tcPr>
            <w:tcW w:w="907" w:type="pct"/>
            <w:shd w:val="clear" w:color="auto" w:fill="auto"/>
            <w:vAlign w:val="center"/>
          </w:tcPr>
          <w:p w14:paraId="785FB49C">
            <w:pPr>
              <w:rPr>
                <w:highlight w:val="none"/>
              </w:rPr>
            </w:pPr>
            <w:r>
              <w:rPr>
                <w:rFonts w:hint="eastAsia"/>
                <w:highlight w:val="none"/>
              </w:rPr>
              <w:t>登记模块</w:t>
            </w:r>
          </w:p>
        </w:tc>
        <w:tc>
          <w:tcPr>
            <w:tcW w:w="1529" w:type="pct"/>
            <w:shd w:val="clear" w:color="auto" w:fill="auto"/>
            <w:vAlign w:val="center"/>
          </w:tcPr>
          <w:p w14:paraId="0AA0B43E">
            <w:pPr>
              <w:rPr>
                <w:rFonts w:hint="eastAsia" w:hAnsi="宋体" w:cs="宋体"/>
                <w:highlight w:val="none"/>
              </w:rPr>
            </w:pPr>
            <w:r>
              <w:rPr>
                <w:rFonts w:hint="eastAsia" w:hAnsi="宋体" w:cs="宋体"/>
                <w:highlight w:val="none"/>
              </w:rPr>
              <w:t>1、支持获取患者信息；支持手工进行患者信息登记；</w:t>
            </w:r>
          </w:p>
          <w:p w14:paraId="522F73D5">
            <w:pPr>
              <w:rPr>
                <w:rFonts w:hint="eastAsia" w:hAnsi="宋体" w:cs="宋体"/>
                <w:highlight w:val="none"/>
              </w:rPr>
            </w:pPr>
            <w:r>
              <w:rPr>
                <w:rFonts w:hint="eastAsia" w:hAnsi="宋体" w:cs="宋体"/>
                <w:highlight w:val="none"/>
              </w:rPr>
              <w:t>2、支持登记取消；</w:t>
            </w:r>
          </w:p>
          <w:p w14:paraId="017B8CE5">
            <w:pPr>
              <w:rPr>
                <w:rFonts w:hint="eastAsia" w:hAnsi="宋体" w:cs="宋体"/>
                <w:highlight w:val="none"/>
              </w:rPr>
            </w:pPr>
            <w:r>
              <w:rPr>
                <w:rFonts w:hint="eastAsia" w:hAnsi="宋体" w:cs="宋体"/>
                <w:highlight w:val="none"/>
              </w:rPr>
              <w:t>3、系统可支持符合查找方式，快速查找定位病人，对复诊病人，自动调出患者基本信息；</w:t>
            </w:r>
          </w:p>
          <w:p w14:paraId="7BD8F0D9">
            <w:pPr>
              <w:rPr>
                <w:rFonts w:hint="eastAsia" w:hAnsi="宋体" w:cs="宋体"/>
                <w:highlight w:val="none"/>
              </w:rPr>
            </w:pPr>
            <w:r>
              <w:rPr>
                <w:rFonts w:hint="eastAsia" w:hAnsi="宋体" w:cs="宋体"/>
                <w:highlight w:val="none"/>
              </w:rPr>
              <w:t>4、系统设置急诊通道，可对急诊病人推行先检查后登记，可拆分登记；</w:t>
            </w:r>
          </w:p>
          <w:p w14:paraId="4C9CB5DC">
            <w:pPr>
              <w:rPr>
                <w:rFonts w:hint="eastAsia" w:hAnsi="宋体" w:cs="宋体"/>
                <w:highlight w:val="none"/>
              </w:rPr>
            </w:pPr>
            <w:r>
              <w:rPr>
                <w:rFonts w:hint="eastAsia" w:hAnsi="宋体" w:cs="宋体"/>
                <w:highlight w:val="none"/>
              </w:rPr>
              <w:t>5、系统支持WORKLIST,双向支持；</w:t>
            </w:r>
          </w:p>
          <w:p w14:paraId="32F9960F">
            <w:pPr>
              <w:rPr>
                <w:rFonts w:hint="eastAsia" w:hAnsi="宋体" w:cs="宋体"/>
                <w:highlight w:val="none"/>
              </w:rPr>
            </w:pPr>
            <w:r>
              <w:rPr>
                <w:rFonts w:hint="eastAsia" w:hAnsi="宋体" w:cs="宋体"/>
                <w:highlight w:val="none"/>
              </w:rPr>
              <w:t>6、支持高拍仪拍摄申请单，完成患者信息登记；</w:t>
            </w:r>
          </w:p>
          <w:p w14:paraId="2BFE8ED3">
            <w:pPr>
              <w:rPr>
                <w:rFonts w:hint="eastAsia" w:hAnsi="宋体" w:cs="宋体"/>
                <w:highlight w:val="none"/>
              </w:rPr>
            </w:pPr>
            <w:r>
              <w:rPr>
                <w:rFonts w:hint="eastAsia" w:hAnsi="宋体" w:cs="宋体"/>
                <w:highlight w:val="none"/>
              </w:rPr>
              <w:t>7、可以按照病人是否为急诊，进行登记检查部位可以单选和多选；</w:t>
            </w:r>
          </w:p>
          <w:p w14:paraId="5FB9F22B">
            <w:pPr>
              <w:rPr>
                <w:rFonts w:hint="eastAsia" w:hAnsi="宋体" w:cs="宋体"/>
                <w:highlight w:val="none"/>
              </w:rPr>
            </w:pPr>
            <w:r>
              <w:rPr>
                <w:rFonts w:hint="eastAsia" w:hAnsi="宋体" w:cs="宋体"/>
                <w:highlight w:val="none"/>
              </w:rPr>
              <w:t>8、登记时系统支持选择设备类型查看当前设备下的排队人数会展示设备下排队人数；</w:t>
            </w:r>
          </w:p>
          <w:p w14:paraId="7B8C3A54">
            <w:pPr>
              <w:rPr>
                <w:rFonts w:hint="eastAsia" w:hAnsi="宋体" w:cs="宋体"/>
                <w:highlight w:val="none"/>
              </w:rPr>
            </w:pPr>
            <w:r>
              <w:rPr>
                <w:rFonts w:hint="eastAsia" w:hAnsi="宋体" w:cs="宋体"/>
                <w:highlight w:val="none"/>
              </w:rPr>
              <w:t>10、系统支持对不同设备类型登记的患者生成不同的影像号；</w:t>
            </w:r>
          </w:p>
          <w:p w14:paraId="4DA69922">
            <w:pPr>
              <w:rPr>
                <w:rFonts w:hint="eastAsia" w:hAnsi="宋体" w:cs="宋体"/>
                <w:highlight w:val="none"/>
              </w:rPr>
            </w:pPr>
            <w:r>
              <w:rPr>
                <w:rFonts w:hint="eastAsia" w:hAnsi="宋体" w:cs="宋体"/>
                <w:highlight w:val="none"/>
              </w:rPr>
              <w:t>11、系统支持在已登记下列表展示已登记的人员，支持对登记人员信息查看、修改和删除登记信息；</w:t>
            </w:r>
          </w:p>
          <w:p w14:paraId="0B4D877E">
            <w:pPr>
              <w:rPr>
                <w:highlight w:val="none"/>
              </w:rPr>
            </w:pPr>
            <w:r>
              <w:rPr>
                <w:rFonts w:hint="eastAsia" w:hAnsi="宋体" w:cs="宋体"/>
                <w:highlight w:val="none"/>
              </w:rPr>
              <w:t>12、支持检索：根据设备类型、选择时间范围进行筛选和输入姓名进行列表搜索。</w:t>
            </w:r>
          </w:p>
        </w:tc>
        <w:tc>
          <w:tcPr>
            <w:tcW w:w="545" w:type="pct"/>
            <w:vMerge w:val="restart"/>
            <w:shd w:val="clear" w:color="auto" w:fill="auto"/>
            <w:vAlign w:val="center"/>
          </w:tcPr>
          <w:p w14:paraId="3853B3F5">
            <w:pPr>
              <w:jc w:val="center"/>
              <w:rPr>
                <w:rFonts w:hint="eastAsia" w:hAnsi="宋体" w:cs="宋体"/>
                <w:highlight w:val="none"/>
              </w:rPr>
            </w:pPr>
            <w:r>
              <w:rPr>
                <w:rFonts w:hint="eastAsia" w:hAnsi="宋体" w:cs="宋体"/>
                <w:highlight w:val="none"/>
              </w:rPr>
              <w:t>5套</w:t>
            </w:r>
          </w:p>
        </w:tc>
        <w:tc>
          <w:tcPr>
            <w:tcW w:w="489" w:type="pct"/>
            <w:vMerge w:val="restart"/>
            <w:shd w:val="clear" w:color="auto" w:fill="auto"/>
            <w:vAlign w:val="center"/>
          </w:tcPr>
          <w:p w14:paraId="7E2B86E8">
            <w:pPr>
              <w:rPr>
                <w:highlight w:val="none"/>
              </w:rPr>
            </w:pPr>
            <w:r>
              <w:rPr>
                <w:rFonts w:hint="eastAsia" w:hAnsi="宋体" w:cs="宋体"/>
                <w:szCs w:val="21"/>
                <w:highlight w:val="none"/>
              </w:rPr>
              <w:t>包含5家基层卫生院系</w:t>
            </w:r>
            <w:r>
              <w:rPr>
                <w:rFonts w:hint="eastAsia"/>
                <w:szCs w:val="21"/>
                <w:highlight w:val="none"/>
              </w:rPr>
              <w:t>统部署</w:t>
            </w:r>
          </w:p>
        </w:tc>
      </w:tr>
      <w:tr w14:paraId="1A8F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3D27C22E">
            <w:pPr>
              <w:pStyle w:val="36"/>
              <w:numPr>
                <w:ilvl w:val="0"/>
                <w:numId w:val="8"/>
              </w:numPr>
              <w:ind w:firstLineChars="0"/>
              <w:jc w:val="center"/>
              <w:rPr>
                <w:highlight w:val="none"/>
              </w:rPr>
            </w:pPr>
          </w:p>
        </w:tc>
        <w:tc>
          <w:tcPr>
            <w:tcW w:w="557" w:type="pct"/>
            <w:vMerge w:val="continue"/>
            <w:shd w:val="clear" w:color="auto" w:fill="auto"/>
            <w:vAlign w:val="center"/>
          </w:tcPr>
          <w:p w14:paraId="395124FF">
            <w:pPr>
              <w:rPr>
                <w:highlight w:val="none"/>
              </w:rPr>
            </w:pPr>
          </w:p>
        </w:tc>
        <w:tc>
          <w:tcPr>
            <w:tcW w:w="648" w:type="pct"/>
            <w:vMerge w:val="continue"/>
            <w:shd w:val="clear" w:color="auto" w:fill="auto"/>
            <w:vAlign w:val="center"/>
          </w:tcPr>
          <w:p w14:paraId="79050CA5">
            <w:pPr>
              <w:rPr>
                <w:highlight w:val="none"/>
                <w:lang w:bidi="ar"/>
              </w:rPr>
            </w:pPr>
          </w:p>
        </w:tc>
        <w:tc>
          <w:tcPr>
            <w:tcW w:w="907" w:type="pct"/>
            <w:shd w:val="clear" w:color="auto" w:fill="auto"/>
            <w:vAlign w:val="center"/>
          </w:tcPr>
          <w:p w14:paraId="51C3171E">
            <w:pPr>
              <w:rPr>
                <w:rFonts w:cs="宋体"/>
                <w:color w:val="000000"/>
                <w:highlight w:val="none"/>
                <w:lang w:bidi="ar"/>
              </w:rPr>
            </w:pPr>
            <w:r>
              <w:rPr>
                <w:rFonts w:hint="eastAsia"/>
                <w:highlight w:val="none"/>
              </w:rPr>
              <w:t>影像工作站</w:t>
            </w:r>
          </w:p>
        </w:tc>
        <w:tc>
          <w:tcPr>
            <w:tcW w:w="1529" w:type="pct"/>
            <w:shd w:val="clear" w:color="auto" w:fill="auto"/>
            <w:vAlign w:val="center"/>
          </w:tcPr>
          <w:p w14:paraId="445AB96F">
            <w:pPr>
              <w:rPr>
                <w:rFonts w:hint="eastAsia" w:hAnsi="宋体" w:cs="宋体"/>
                <w:highlight w:val="none"/>
              </w:rPr>
            </w:pPr>
            <w:r>
              <w:rPr>
                <w:rFonts w:hint="eastAsia" w:hAnsi="宋体" w:cs="宋体"/>
                <w:highlight w:val="none"/>
              </w:rPr>
              <w:t xml:space="preserve">1、确保能快速调阅图像普放图像≤2秒，CT/MR图像首序列≤3秒； </w:t>
            </w:r>
          </w:p>
          <w:p w14:paraId="6788A180">
            <w:pPr>
              <w:rPr>
                <w:rFonts w:hint="eastAsia" w:hAnsi="宋体" w:cs="宋体"/>
                <w:highlight w:val="none"/>
              </w:rPr>
            </w:pPr>
            <w:r>
              <w:rPr>
                <w:rFonts w:hint="eastAsia" w:hAnsi="宋体" w:cs="宋体"/>
                <w:highlight w:val="none"/>
              </w:rPr>
              <w:t xml:space="preserve">2、支持单屏及双屏显示，支持高分辨率灰阶及彩色医用显示器显示处理； </w:t>
            </w:r>
          </w:p>
          <w:p w14:paraId="7FA8A4F5">
            <w:pPr>
              <w:rPr>
                <w:rFonts w:hint="eastAsia" w:hAnsi="宋体" w:cs="宋体"/>
                <w:highlight w:val="none"/>
              </w:rPr>
            </w:pPr>
            <w:r>
              <w:rPr>
                <w:rFonts w:hint="eastAsia" w:hAnsi="宋体" w:cs="宋体"/>
                <w:highlight w:val="none"/>
              </w:rPr>
              <w:t xml:space="preserve">3、旋转：进行各种翻转（左、右、水平、垂直）； </w:t>
            </w:r>
          </w:p>
          <w:p w14:paraId="03CD35B5">
            <w:pPr>
              <w:rPr>
                <w:rFonts w:hint="eastAsia" w:hAnsi="宋体" w:cs="宋体"/>
                <w:highlight w:val="none"/>
              </w:rPr>
            </w:pPr>
            <w:r>
              <w:rPr>
                <w:rFonts w:hint="eastAsia" w:hAnsi="宋体" w:cs="宋体"/>
                <w:highlight w:val="none"/>
              </w:rPr>
              <w:t xml:space="preserve">4、反色：使图像呈相反的颜色显示； </w:t>
            </w:r>
          </w:p>
          <w:p w14:paraId="7292070A">
            <w:pPr>
              <w:rPr>
                <w:rFonts w:hint="eastAsia" w:hAnsi="宋体" w:cs="宋体"/>
                <w:highlight w:val="none"/>
              </w:rPr>
            </w:pPr>
            <w:r>
              <w:rPr>
                <w:rFonts w:hint="eastAsia" w:hAnsi="宋体" w:cs="宋体"/>
                <w:highlight w:val="none"/>
              </w:rPr>
              <w:t>5、影像缩放：图像整体缩小、放大；</w:t>
            </w:r>
          </w:p>
          <w:p w14:paraId="672503DD">
            <w:pPr>
              <w:rPr>
                <w:rFonts w:hint="eastAsia" w:hAnsi="宋体" w:cs="宋体"/>
                <w:highlight w:val="none"/>
              </w:rPr>
            </w:pPr>
            <w:r>
              <w:rPr>
                <w:rFonts w:hint="eastAsia" w:hAnsi="宋体" w:cs="宋体"/>
                <w:highlight w:val="none"/>
              </w:rPr>
              <w:t>6、局部放大：放大镜功能；</w:t>
            </w:r>
          </w:p>
          <w:p w14:paraId="12123198">
            <w:pPr>
              <w:rPr>
                <w:rFonts w:hint="eastAsia" w:hAnsi="宋体" w:cs="宋体"/>
                <w:highlight w:val="none"/>
              </w:rPr>
            </w:pPr>
            <w:r>
              <w:rPr>
                <w:rFonts w:hint="eastAsia" w:hAnsi="宋体" w:cs="宋体"/>
                <w:highlight w:val="none"/>
              </w:rPr>
              <w:t xml:space="preserve">7、图像漫游：当图像放大以后不能完全显示时，可移动画面查看任意部分； </w:t>
            </w:r>
          </w:p>
          <w:p w14:paraId="5F0554CE">
            <w:pPr>
              <w:rPr>
                <w:rFonts w:hint="eastAsia" w:hAnsi="宋体" w:cs="宋体"/>
                <w:highlight w:val="none"/>
              </w:rPr>
            </w:pPr>
            <w:r>
              <w:rPr>
                <w:rFonts w:hint="eastAsia" w:hAnsi="宋体" w:cs="宋体"/>
                <w:highlight w:val="none"/>
              </w:rPr>
              <w:t xml:space="preserve">8、框大小显示：图像被放大、缩小后，恢复原始大小； </w:t>
            </w:r>
          </w:p>
          <w:p w14:paraId="6A9352B4">
            <w:pPr>
              <w:rPr>
                <w:rFonts w:hint="eastAsia" w:hAnsi="宋体" w:cs="宋体"/>
                <w:highlight w:val="none"/>
              </w:rPr>
            </w:pPr>
            <w:r>
              <w:rPr>
                <w:rFonts w:hint="eastAsia" w:hAnsi="宋体" w:cs="宋体"/>
                <w:highlight w:val="none"/>
              </w:rPr>
              <w:t>9、掩膜显示：遮住图像其他部分，只显示感兴趣部分；</w:t>
            </w:r>
          </w:p>
          <w:p w14:paraId="30D8A480">
            <w:pPr>
              <w:rPr>
                <w:rFonts w:hint="eastAsia" w:hAnsi="宋体" w:cs="宋体"/>
                <w:highlight w:val="none"/>
              </w:rPr>
            </w:pPr>
            <w:r>
              <w:rPr>
                <w:rFonts w:hint="eastAsia" w:hAnsi="宋体" w:cs="宋体"/>
                <w:highlight w:val="none"/>
              </w:rPr>
              <w:t xml:space="preserve">10、动态播放：同时打开多个图像或多组序列时，连续播放图像； </w:t>
            </w:r>
          </w:p>
          <w:p w14:paraId="022B8591">
            <w:pPr>
              <w:rPr>
                <w:rFonts w:hint="eastAsia" w:hAnsi="宋体" w:cs="宋体"/>
                <w:highlight w:val="none"/>
              </w:rPr>
            </w:pPr>
            <w:r>
              <w:rPr>
                <w:rFonts w:hint="eastAsia" w:hAnsi="宋体" w:cs="宋体"/>
                <w:highlight w:val="none"/>
              </w:rPr>
              <w:t xml:space="preserve">11、点灰度值测量：随着鼠标的移动，可以实时测量并显示图像上某个点的精确灰度值（CT图像应给出精确的CT值）； </w:t>
            </w:r>
          </w:p>
          <w:p w14:paraId="5AAFAE97">
            <w:pPr>
              <w:rPr>
                <w:rFonts w:hint="eastAsia" w:hAnsi="宋体" w:cs="宋体"/>
                <w:highlight w:val="none"/>
              </w:rPr>
            </w:pPr>
            <w:r>
              <w:rPr>
                <w:rFonts w:hint="eastAsia" w:hAnsi="宋体" w:cs="宋体"/>
                <w:highlight w:val="none"/>
              </w:rPr>
              <w:t>12、重新加载：对图像进行了缩放、反色显示、翻转，或窗宽窗位调节等操作后，可以使图像还原到操作前的状态；</w:t>
            </w:r>
          </w:p>
          <w:p w14:paraId="20C9C96D">
            <w:pPr>
              <w:rPr>
                <w:rFonts w:hint="eastAsia" w:hAnsi="宋体" w:cs="宋体"/>
                <w:highlight w:val="none"/>
              </w:rPr>
            </w:pPr>
            <w:r>
              <w:rPr>
                <w:rFonts w:hint="eastAsia" w:hAnsi="宋体" w:cs="宋体"/>
                <w:highlight w:val="none"/>
              </w:rPr>
              <w:t>13、单步撤销操作功能，图像进行了缩放、反色显示、翻转，或窗宽窗位调节等操作后，可以使图像恢复到上一步状态；</w:t>
            </w:r>
          </w:p>
          <w:p w14:paraId="78411AA9">
            <w:pPr>
              <w:rPr>
                <w:rFonts w:hint="eastAsia" w:hAnsi="宋体" w:cs="宋体"/>
                <w:highlight w:val="none"/>
              </w:rPr>
            </w:pPr>
            <w:r>
              <w:rPr>
                <w:rFonts w:hint="eastAsia" w:hAnsi="宋体" w:cs="宋体"/>
                <w:highlight w:val="none"/>
              </w:rPr>
              <w:t>14、标注：在影像上标注线条、箭头、各种形状及文字；各种标注、箭头等可整体移动，各热点端亦可灵活改变，改变后能实时显示相关信息；</w:t>
            </w:r>
          </w:p>
          <w:p w14:paraId="74A8AAD8">
            <w:pPr>
              <w:rPr>
                <w:rFonts w:hint="eastAsia" w:hAnsi="宋体" w:cs="宋体"/>
                <w:highlight w:val="none"/>
              </w:rPr>
            </w:pPr>
            <w:r>
              <w:rPr>
                <w:rFonts w:hint="eastAsia" w:hAnsi="宋体" w:cs="宋体"/>
                <w:highlight w:val="none"/>
              </w:rPr>
              <w:t>15、测量：进行角度、长度、面积及灰度值测量，测量线可整体移动，两线段亦可灵活改变，改变后能实时显示相关信息；</w:t>
            </w:r>
          </w:p>
          <w:p w14:paraId="05AF1E94">
            <w:pPr>
              <w:rPr>
                <w:rFonts w:hint="eastAsia" w:hAnsi="宋体" w:cs="宋体"/>
                <w:highlight w:val="none"/>
              </w:rPr>
            </w:pPr>
            <w:r>
              <w:rPr>
                <w:rFonts w:hint="eastAsia" w:hAnsi="宋体" w:cs="宋体"/>
                <w:highlight w:val="none"/>
              </w:rPr>
              <w:t>16、窗宽窗位置调整：鼠标动态调节、快捷键调节（在系统中可预设）；</w:t>
            </w:r>
          </w:p>
          <w:p w14:paraId="2A34BBDB">
            <w:pPr>
              <w:rPr>
                <w:rFonts w:hint="eastAsia" w:hAnsi="宋体" w:cs="宋体"/>
                <w:highlight w:val="none"/>
              </w:rPr>
            </w:pPr>
            <w:r>
              <w:rPr>
                <w:rFonts w:hint="eastAsia" w:hAnsi="宋体" w:cs="宋体"/>
                <w:highlight w:val="none"/>
              </w:rPr>
              <w:t xml:space="preserve">17、影像比较：在同一屏幕上，可同时方便地调阅一个患者或多个患者不同诊断序列、不同影像设备、不同时期、不同体位的影像进行同屏对比； </w:t>
            </w:r>
          </w:p>
          <w:p w14:paraId="44177ADA">
            <w:pPr>
              <w:rPr>
                <w:rFonts w:hint="eastAsia" w:hAnsi="宋体" w:cs="宋体"/>
                <w:highlight w:val="none"/>
              </w:rPr>
            </w:pPr>
            <w:r>
              <w:rPr>
                <w:rFonts w:hint="eastAsia" w:hAnsi="宋体" w:cs="宋体"/>
                <w:highlight w:val="none"/>
              </w:rPr>
              <w:t xml:space="preserve">18、可按不同的影像模式对常规的图像处理按钮进行自定义定制，并且在调图时，常规用的功能按钮能按预先定制的方式自动设为默认方式； </w:t>
            </w:r>
          </w:p>
          <w:p w14:paraId="53D0E32C">
            <w:pPr>
              <w:rPr>
                <w:rFonts w:hint="eastAsia" w:hAnsi="宋体" w:cs="宋体"/>
                <w:highlight w:val="none"/>
              </w:rPr>
            </w:pPr>
            <w:r>
              <w:rPr>
                <w:rFonts w:hint="eastAsia" w:hAnsi="宋体" w:cs="宋体"/>
                <w:highlight w:val="none"/>
              </w:rPr>
              <w:t>19、显示CT、MR定位线：所有定位线或单图定位线；</w:t>
            </w:r>
          </w:p>
          <w:p w14:paraId="0FA7F0FE">
            <w:pPr>
              <w:rPr>
                <w:rFonts w:hint="eastAsia" w:hAnsi="宋体" w:cs="宋体"/>
                <w:highlight w:val="none"/>
              </w:rPr>
            </w:pPr>
            <w:r>
              <w:rPr>
                <w:rFonts w:hint="eastAsia" w:hAnsi="宋体" w:cs="宋体"/>
                <w:highlight w:val="none"/>
              </w:rPr>
              <w:t>20、可以查看报告修改历史记录；</w:t>
            </w:r>
          </w:p>
          <w:p w14:paraId="38D50A3A">
            <w:pPr>
              <w:rPr>
                <w:rFonts w:hint="eastAsia" w:hAnsi="宋体" w:cs="宋体"/>
                <w:highlight w:val="none"/>
              </w:rPr>
            </w:pPr>
            <w:r>
              <w:rPr>
                <w:rFonts w:hint="eastAsia" w:hAnsi="宋体" w:cs="宋体"/>
                <w:highlight w:val="none"/>
              </w:rPr>
              <w:t>21、系统提供模板，可在此基础上修改另存；并能提供专用的报告模板编辑器，让使用者可以建立全新的模板；</w:t>
            </w:r>
          </w:p>
          <w:p w14:paraId="5FF6379F">
            <w:pPr>
              <w:rPr>
                <w:rFonts w:hint="eastAsia" w:hAnsi="宋体" w:cs="宋体"/>
                <w:highlight w:val="none"/>
              </w:rPr>
            </w:pPr>
            <w:r>
              <w:rPr>
                <w:rFonts w:hint="eastAsia" w:hAnsi="宋体" w:cs="宋体"/>
                <w:highlight w:val="none"/>
              </w:rPr>
              <w:t>放射统计及管理模块</w:t>
            </w:r>
          </w:p>
          <w:p w14:paraId="03C0C5D4">
            <w:pPr>
              <w:rPr>
                <w:rFonts w:hint="eastAsia" w:hAnsi="宋体" w:cs="宋体"/>
                <w:highlight w:val="none"/>
              </w:rPr>
            </w:pPr>
            <w:r>
              <w:rPr>
                <w:rFonts w:hint="eastAsia" w:hAnsi="宋体" w:cs="宋体"/>
                <w:highlight w:val="none"/>
              </w:rPr>
              <w:t>22、支持放射科室设备管理功能；</w:t>
            </w:r>
          </w:p>
          <w:p w14:paraId="1571FB2F">
            <w:pPr>
              <w:rPr>
                <w:rFonts w:hint="eastAsia" w:hAnsi="宋体" w:cs="宋体"/>
                <w:highlight w:val="none"/>
              </w:rPr>
            </w:pPr>
            <w:r>
              <w:rPr>
                <w:rFonts w:hint="eastAsia" w:hAnsi="宋体" w:cs="宋体"/>
                <w:highlight w:val="none"/>
              </w:rPr>
              <w:t>23、设置系统的用户信息以及权限、角色；</w:t>
            </w:r>
          </w:p>
          <w:p w14:paraId="50BDF125">
            <w:pPr>
              <w:rPr>
                <w:rFonts w:hint="eastAsia" w:hAnsi="宋体" w:cs="宋体"/>
                <w:highlight w:val="none"/>
              </w:rPr>
            </w:pPr>
            <w:r>
              <w:rPr>
                <w:rFonts w:hint="eastAsia" w:hAnsi="宋体" w:cs="宋体"/>
                <w:highlight w:val="none"/>
              </w:rPr>
              <w:t>24、支持放射科室人员管理功能；</w:t>
            </w:r>
          </w:p>
          <w:p w14:paraId="21D905B0">
            <w:pPr>
              <w:rPr>
                <w:rFonts w:hint="eastAsia" w:hAnsi="宋体" w:cs="宋体"/>
                <w:highlight w:val="none"/>
              </w:rPr>
            </w:pPr>
            <w:r>
              <w:rPr>
                <w:rFonts w:hint="eastAsia" w:hAnsi="宋体" w:cs="宋体"/>
                <w:highlight w:val="none"/>
              </w:rPr>
              <w:t xml:space="preserve">25、病人数据管理，记录，修改和查询任意病人记录； </w:t>
            </w:r>
          </w:p>
          <w:p w14:paraId="1DBC0456">
            <w:pPr>
              <w:rPr>
                <w:rFonts w:hint="eastAsia" w:hAnsi="宋体" w:cs="宋体"/>
                <w:highlight w:val="none"/>
              </w:rPr>
            </w:pPr>
            <w:r>
              <w:rPr>
                <w:rFonts w:hint="eastAsia" w:hAnsi="宋体" w:cs="宋体"/>
                <w:highlight w:val="none"/>
              </w:rPr>
              <w:t>26、检索管理患者的历史信息，基于“患者ID”“患者姓名”等的检索；</w:t>
            </w:r>
          </w:p>
          <w:p w14:paraId="50FF1116">
            <w:pPr>
              <w:rPr>
                <w:rFonts w:hint="eastAsia" w:hAnsi="宋体" w:cs="宋体"/>
                <w:highlight w:val="none"/>
              </w:rPr>
            </w:pPr>
            <w:r>
              <w:rPr>
                <w:rFonts w:hint="eastAsia" w:hAnsi="宋体" w:cs="宋体"/>
                <w:highlight w:val="none"/>
              </w:rPr>
              <w:t>27、科室每月的收入情况；</w:t>
            </w:r>
          </w:p>
          <w:p w14:paraId="643F5B85">
            <w:pPr>
              <w:rPr>
                <w:rFonts w:hint="eastAsia" w:hAnsi="宋体" w:cs="宋体"/>
                <w:highlight w:val="none"/>
              </w:rPr>
            </w:pPr>
            <w:r>
              <w:rPr>
                <w:rFonts w:hint="eastAsia" w:hAnsi="宋体" w:cs="宋体"/>
                <w:highlight w:val="none"/>
              </w:rPr>
              <w:t>28、阳性率统计；</w:t>
            </w:r>
          </w:p>
          <w:p w14:paraId="6DA6F80C">
            <w:pPr>
              <w:rPr>
                <w:rFonts w:hint="eastAsia" w:hAnsi="宋体" w:cs="宋体"/>
                <w:highlight w:val="none"/>
              </w:rPr>
            </w:pPr>
            <w:r>
              <w:rPr>
                <w:rFonts w:hint="eastAsia" w:hAnsi="宋体" w:cs="宋体"/>
                <w:highlight w:val="none"/>
              </w:rPr>
              <w:t>29、每台设备的使用情况统计；</w:t>
            </w:r>
          </w:p>
          <w:p w14:paraId="3986D26E">
            <w:pPr>
              <w:rPr>
                <w:rFonts w:hint="eastAsia" w:hAnsi="宋体" w:cs="宋体"/>
                <w:highlight w:val="none"/>
              </w:rPr>
            </w:pPr>
            <w:r>
              <w:rPr>
                <w:rFonts w:hint="eastAsia" w:hAnsi="宋体" w:cs="宋体"/>
                <w:highlight w:val="none"/>
              </w:rPr>
              <w:t>30、不同临床科室申请检查情况的统计；</w:t>
            </w:r>
          </w:p>
          <w:p w14:paraId="0443995C">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31、客户端下载图像模式为WADO数据流请求模式，千兆宽带5秒内可打开千张图像；</w:t>
            </w:r>
          </w:p>
          <w:p w14:paraId="305F1845">
            <w:pPr>
              <w:rPr>
                <w:rFonts w:hint="eastAsia" w:hAnsi="宋体" w:cs="宋体"/>
                <w:highlight w:val="none"/>
              </w:rPr>
            </w:pPr>
            <w:r>
              <w:rPr>
                <w:rFonts w:hint="eastAsia" w:hAnsi="宋体" w:cs="宋体"/>
                <w:highlight w:val="none"/>
              </w:rPr>
              <w:t>32、支持自定义所有看图按钮快捷键及鼠标左、右、滚轮的功能键设定；</w:t>
            </w:r>
          </w:p>
          <w:p w14:paraId="4B32CB3C">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33、支持配置看图界面按钮的是否显示及排序；</w:t>
            </w:r>
          </w:p>
          <w:p w14:paraId="76AB912A">
            <w:pPr>
              <w:rPr>
                <w:rFonts w:hint="eastAsia" w:hAnsi="宋体" w:cs="宋体"/>
                <w:highlight w:val="none"/>
              </w:rPr>
            </w:pPr>
            <w:r>
              <w:rPr>
                <w:rFonts w:hint="eastAsia" w:hAnsi="宋体" w:cs="宋体"/>
                <w:highlight w:val="none"/>
              </w:rPr>
              <w:t>34、支持配置看图界面按钮显示的大小；</w:t>
            </w:r>
          </w:p>
          <w:p w14:paraId="2EECE654">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35、支持MPR后的空间定位功能；</w:t>
            </w:r>
          </w:p>
          <w:p w14:paraId="514CF7E9">
            <w:pPr>
              <w:rPr>
                <w:rFonts w:hint="eastAsia" w:hAnsi="宋体" w:cs="宋体"/>
                <w:highlight w:val="none"/>
              </w:rPr>
            </w:pPr>
            <w:r>
              <w:rPr>
                <w:rFonts w:hint="eastAsia" w:hAnsi="宋体" w:cs="宋体"/>
                <w:highlight w:val="none"/>
              </w:rPr>
              <w:t>36、支持自动同步扫描层的多序列滚动；</w:t>
            </w:r>
          </w:p>
          <w:p w14:paraId="10CF85DB">
            <w:pPr>
              <w:rPr>
                <w:rFonts w:hint="eastAsia" w:hAnsi="宋体" w:cs="宋体"/>
                <w:highlight w:val="none"/>
              </w:rPr>
            </w:pPr>
            <w:r>
              <w:rPr>
                <w:rFonts w:hint="eastAsia" w:hAnsi="宋体" w:cs="宋体"/>
                <w:szCs w:val="24"/>
                <w:highlight w:val="none"/>
              </w:rPr>
              <w:t>▲</w:t>
            </w:r>
            <w:r>
              <w:rPr>
                <w:rFonts w:hint="eastAsia" w:hAnsi="宋体" w:cs="宋体"/>
                <w:highlight w:val="none"/>
              </w:rPr>
              <w:t>37、患者列表界面可以自行拖拽调整列显示顺序，并可在配置界面配置列的是否显示及宽度；</w:t>
            </w:r>
          </w:p>
          <w:p w14:paraId="044EDEBB">
            <w:pPr>
              <w:rPr>
                <w:rFonts w:hint="eastAsia" w:hAnsi="宋体" w:cs="宋体"/>
                <w:highlight w:val="none"/>
              </w:rPr>
            </w:pPr>
            <w:r>
              <w:rPr>
                <w:rFonts w:hint="eastAsia" w:hAnsi="宋体" w:cs="宋体"/>
                <w:szCs w:val="24"/>
                <w:highlight w:val="none"/>
              </w:rPr>
              <w:t>▲</w:t>
            </w:r>
            <w:r>
              <w:rPr>
                <w:rFonts w:hint="eastAsia" w:hAnsi="宋体" w:cs="宋体"/>
                <w:highlight w:val="none"/>
              </w:rPr>
              <w:t>38、患者列表界面可以显示患者等待报告的时间，并可以配置超时后颜色提醒；</w:t>
            </w:r>
          </w:p>
          <w:p w14:paraId="60C359F0">
            <w:pPr>
              <w:rPr>
                <w:rFonts w:hint="eastAsia" w:hAnsi="宋体" w:cs="宋体"/>
                <w:highlight w:val="none"/>
              </w:rPr>
            </w:pPr>
            <w:r>
              <w:rPr>
                <w:rFonts w:hint="eastAsia" w:hAnsi="宋体" w:cs="宋体"/>
                <w:highlight w:val="none"/>
              </w:rPr>
              <w:t>39、患者列表可以点击每一列进行正序及倒序的排列；</w:t>
            </w:r>
          </w:p>
          <w:p w14:paraId="415E3A42">
            <w:pPr>
              <w:rPr>
                <w:rFonts w:hint="eastAsia" w:hAnsi="宋体" w:cs="宋体"/>
                <w:highlight w:val="none"/>
              </w:rPr>
            </w:pPr>
            <w:r>
              <w:rPr>
                <w:rFonts w:hint="eastAsia" w:hAnsi="宋体" w:cs="宋体"/>
                <w:szCs w:val="24"/>
                <w:highlight w:val="none"/>
              </w:rPr>
              <w:t>▲</w:t>
            </w:r>
            <w:r>
              <w:rPr>
                <w:rFonts w:hint="eastAsia" w:hAnsi="宋体" w:cs="宋体"/>
                <w:highlight w:val="none"/>
              </w:rPr>
              <w:t>40、图像界面可以支持6次以上的历史图像对比；</w:t>
            </w:r>
          </w:p>
          <w:p w14:paraId="56EDC94C">
            <w:pPr>
              <w:rPr>
                <w:rFonts w:hint="eastAsia" w:hAnsi="宋体" w:cs="宋体"/>
                <w:highlight w:val="none"/>
              </w:rPr>
            </w:pPr>
            <w:r>
              <w:rPr>
                <w:rFonts w:hint="eastAsia" w:hAnsi="宋体" w:cs="宋体"/>
                <w:highlight w:val="none"/>
              </w:rPr>
              <w:t>41、报告界面为所及即所得模式，并可以快速调整所见及诊断编辑区域的书写宽度；</w:t>
            </w:r>
          </w:p>
          <w:p w14:paraId="7B5041D8">
            <w:pPr>
              <w:rPr>
                <w:rFonts w:hint="eastAsia" w:hAnsi="宋体" w:cs="宋体"/>
                <w:highlight w:val="none"/>
              </w:rPr>
            </w:pPr>
            <w:r>
              <w:rPr>
                <w:rFonts w:hint="eastAsia" w:hAnsi="宋体" w:cs="宋体"/>
                <w:szCs w:val="24"/>
                <w:highlight w:val="none"/>
              </w:rPr>
              <w:t>▲</w:t>
            </w:r>
            <w:r>
              <w:rPr>
                <w:rFonts w:hint="eastAsia" w:hAnsi="宋体" w:cs="宋体"/>
                <w:highlight w:val="none"/>
              </w:rPr>
              <w:t>42、报告界面可快速调整诊断编辑区域的字体大小及行间距；</w:t>
            </w:r>
          </w:p>
          <w:p w14:paraId="50FB087C">
            <w:pPr>
              <w:rPr>
                <w:rFonts w:hint="eastAsia" w:hAnsi="宋体" w:cs="宋体"/>
                <w:highlight w:val="none"/>
              </w:rPr>
            </w:pPr>
            <w:r>
              <w:rPr>
                <w:rFonts w:hint="eastAsia" w:hAnsi="宋体" w:cs="宋体"/>
                <w:highlight w:val="none"/>
              </w:rPr>
              <w:t>43、报告书写界面可快速添加书写者；</w:t>
            </w:r>
          </w:p>
          <w:p w14:paraId="49815131">
            <w:pPr>
              <w:rPr>
                <w:rFonts w:hint="eastAsia" w:hAnsi="宋体" w:cs="宋体"/>
                <w:highlight w:val="none"/>
              </w:rPr>
            </w:pPr>
            <w:r>
              <w:rPr>
                <w:rFonts w:hint="eastAsia" w:hAnsi="宋体" w:cs="宋体"/>
                <w:highlight w:val="none"/>
              </w:rPr>
              <w:t>44、报告书写界面可快速调取检验数据；</w:t>
            </w:r>
          </w:p>
          <w:p w14:paraId="01149DF8">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45、支持无需复制粘贴既可实现快速将书写好的文字存为模板；</w:t>
            </w:r>
          </w:p>
          <w:p w14:paraId="0EFCEC6B">
            <w:pPr>
              <w:rPr>
                <w:szCs w:val="21"/>
                <w:highlight w:val="none"/>
                <w:lang w:bidi="ar"/>
              </w:rPr>
            </w:pPr>
            <w:r>
              <w:rPr>
                <w:rFonts w:hint="eastAsia" w:hAnsi="宋体" w:cs="宋体"/>
                <w:highlight w:val="none"/>
              </w:rPr>
              <w:t>46、报告审核后可在书写界面显示明显的红色已审核签章。</w:t>
            </w:r>
          </w:p>
        </w:tc>
        <w:tc>
          <w:tcPr>
            <w:tcW w:w="545" w:type="pct"/>
            <w:vMerge w:val="continue"/>
            <w:shd w:val="clear" w:color="auto" w:fill="auto"/>
            <w:vAlign w:val="center"/>
          </w:tcPr>
          <w:p w14:paraId="180676A1">
            <w:pPr>
              <w:jc w:val="center"/>
              <w:rPr>
                <w:rFonts w:hint="eastAsia" w:hAnsi="宋体" w:cs="宋体"/>
                <w:highlight w:val="none"/>
                <w:lang w:bidi="ar"/>
              </w:rPr>
            </w:pPr>
          </w:p>
        </w:tc>
        <w:tc>
          <w:tcPr>
            <w:tcW w:w="489" w:type="pct"/>
            <w:vMerge w:val="continue"/>
            <w:shd w:val="clear" w:color="auto" w:fill="auto"/>
            <w:vAlign w:val="center"/>
          </w:tcPr>
          <w:p w14:paraId="4B01AE7B">
            <w:pPr>
              <w:rPr>
                <w:highlight w:val="none"/>
                <w:lang w:bidi="ar"/>
              </w:rPr>
            </w:pPr>
          </w:p>
        </w:tc>
      </w:tr>
      <w:tr w14:paraId="144E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0D0B66DC">
            <w:pPr>
              <w:pStyle w:val="36"/>
              <w:numPr>
                <w:ilvl w:val="0"/>
                <w:numId w:val="8"/>
              </w:numPr>
              <w:ind w:firstLineChars="0"/>
              <w:jc w:val="center"/>
              <w:rPr>
                <w:highlight w:val="none"/>
              </w:rPr>
            </w:pPr>
          </w:p>
        </w:tc>
        <w:tc>
          <w:tcPr>
            <w:tcW w:w="557" w:type="pct"/>
            <w:vMerge w:val="continue"/>
            <w:shd w:val="clear" w:color="auto" w:fill="auto"/>
            <w:vAlign w:val="center"/>
          </w:tcPr>
          <w:p w14:paraId="0975AC10">
            <w:pPr>
              <w:rPr>
                <w:highlight w:val="none"/>
              </w:rPr>
            </w:pPr>
          </w:p>
        </w:tc>
        <w:tc>
          <w:tcPr>
            <w:tcW w:w="648" w:type="pct"/>
            <w:vMerge w:val="continue"/>
            <w:shd w:val="clear" w:color="auto" w:fill="auto"/>
            <w:vAlign w:val="center"/>
          </w:tcPr>
          <w:p w14:paraId="0256A6C0">
            <w:pPr>
              <w:rPr>
                <w:highlight w:val="none"/>
                <w:lang w:bidi="ar"/>
              </w:rPr>
            </w:pPr>
          </w:p>
        </w:tc>
        <w:tc>
          <w:tcPr>
            <w:tcW w:w="907" w:type="pct"/>
            <w:shd w:val="clear" w:color="auto" w:fill="auto"/>
            <w:vAlign w:val="center"/>
          </w:tcPr>
          <w:p w14:paraId="5147CB6C">
            <w:pPr>
              <w:rPr>
                <w:highlight w:val="none"/>
                <w:lang w:bidi="ar"/>
              </w:rPr>
            </w:pPr>
            <w:r>
              <w:rPr>
                <w:rFonts w:hint="eastAsia"/>
                <w:highlight w:val="none"/>
                <w:lang w:bidi="ar"/>
              </w:rPr>
              <w:t>超声工作站</w:t>
            </w:r>
          </w:p>
        </w:tc>
        <w:tc>
          <w:tcPr>
            <w:tcW w:w="1529" w:type="pct"/>
            <w:shd w:val="clear" w:color="auto" w:fill="auto"/>
            <w:vAlign w:val="center"/>
          </w:tcPr>
          <w:p w14:paraId="4A53C680">
            <w:pPr>
              <w:rPr>
                <w:rFonts w:hint="eastAsia" w:hAnsi="宋体" w:cs="宋体"/>
                <w:highlight w:val="none"/>
              </w:rPr>
            </w:pPr>
            <w:r>
              <w:rPr>
                <w:rFonts w:hint="eastAsia" w:hAnsi="宋体" w:cs="宋体"/>
                <w:highlight w:val="none"/>
              </w:rPr>
              <w:t>1、支持按照患者档案号、检查号、姓名、性别、病人来源、病人检查状态、诊断医生、检查日期、检查设备等过滤条件查找符合条件的病人；</w:t>
            </w:r>
          </w:p>
          <w:p w14:paraId="0AF30C4C">
            <w:pPr>
              <w:rPr>
                <w:rFonts w:hint="eastAsia" w:hAnsi="宋体" w:cs="宋体"/>
                <w:highlight w:val="none"/>
              </w:rPr>
            </w:pPr>
            <w:r>
              <w:rPr>
                <w:rFonts w:hint="eastAsia" w:hAnsi="宋体" w:cs="宋体"/>
                <w:highlight w:val="none"/>
              </w:rPr>
              <w:t>2、支持关键词的模糊查询，如检查所见、检查提示中的关键词查询；</w:t>
            </w:r>
          </w:p>
          <w:p w14:paraId="292B7363">
            <w:pPr>
              <w:rPr>
                <w:rFonts w:hint="eastAsia" w:hAnsi="宋体" w:cs="宋体"/>
                <w:highlight w:val="none"/>
              </w:rPr>
            </w:pPr>
            <w:r>
              <w:rPr>
                <w:rFonts w:hint="eastAsia" w:hAnsi="宋体" w:cs="宋体"/>
                <w:highlight w:val="none"/>
              </w:rPr>
              <w:t>3、给出符合查询条件的记录个数；</w:t>
            </w:r>
          </w:p>
          <w:p w14:paraId="02F66427">
            <w:pPr>
              <w:rPr>
                <w:rFonts w:hint="eastAsia" w:hAnsi="宋体" w:cs="宋体"/>
                <w:highlight w:val="none"/>
              </w:rPr>
            </w:pPr>
            <w:r>
              <w:rPr>
                <w:rFonts w:hint="eastAsia" w:hAnsi="宋体" w:cs="宋体"/>
                <w:highlight w:val="none"/>
              </w:rPr>
              <w:t>4、数据列表的显示项目及显示顺序可以编辑；</w:t>
            </w:r>
          </w:p>
          <w:p w14:paraId="416CCEB6">
            <w:pPr>
              <w:rPr>
                <w:rFonts w:hint="eastAsia" w:hAnsi="宋体" w:cs="宋体"/>
                <w:highlight w:val="none"/>
              </w:rPr>
            </w:pPr>
            <w:r>
              <w:rPr>
                <w:rFonts w:hint="eastAsia" w:hAnsi="宋体" w:cs="宋体"/>
                <w:highlight w:val="none"/>
              </w:rPr>
              <w:t>5、支持绝大多数市面上的普清及高清卡；</w:t>
            </w:r>
          </w:p>
          <w:p w14:paraId="0642EBD9">
            <w:pPr>
              <w:rPr>
                <w:rFonts w:hint="eastAsia" w:hAnsi="宋体" w:cs="宋体"/>
                <w:highlight w:val="none"/>
              </w:rPr>
            </w:pPr>
            <w:r>
              <w:rPr>
                <w:rFonts w:hint="eastAsia" w:hAnsi="宋体" w:cs="宋体"/>
                <w:highlight w:val="none"/>
              </w:rPr>
              <w:t>6、支持动静态采集，采集图像数量不受限制；</w:t>
            </w:r>
          </w:p>
          <w:p w14:paraId="505E9223">
            <w:pPr>
              <w:rPr>
                <w:rFonts w:hint="eastAsia" w:hAnsi="宋体" w:cs="宋体"/>
                <w:highlight w:val="none"/>
              </w:rPr>
            </w:pPr>
            <w:r>
              <w:rPr>
                <w:rFonts w:hint="eastAsia" w:hAnsi="宋体" w:cs="宋体"/>
                <w:highlight w:val="none"/>
              </w:rPr>
              <w:t>7、方便灵活的诊断模板系统，助力医生快速录入诊断数据；</w:t>
            </w:r>
          </w:p>
          <w:p w14:paraId="57192C4B">
            <w:pPr>
              <w:rPr>
                <w:rFonts w:hint="eastAsia" w:hAnsi="宋体" w:cs="宋体"/>
                <w:highlight w:val="none"/>
              </w:rPr>
            </w:pPr>
            <w:r>
              <w:rPr>
                <w:rFonts w:hint="eastAsia" w:hAnsi="宋体" w:cs="宋体"/>
                <w:highlight w:val="none"/>
              </w:rPr>
              <w:t>8、支持个人、公用诊断模板及关键词系统，方便的修改及维护功能；</w:t>
            </w:r>
          </w:p>
          <w:p w14:paraId="7BC52271">
            <w:pPr>
              <w:rPr>
                <w:rFonts w:hint="eastAsia" w:hAnsi="宋体" w:cs="宋体"/>
                <w:highlight w:val="none"/>
              </w:rPr>
            </w:pPr>
            <w:r>
              <w:rPr>
                <w:rFonts w:hint="eastAsia" w:hAnsi="宋体" w:cs="宋体"/>
                <w:highlight w:val="none"/>
              </w:rPr>
              <w:t>9、检索检查患者可以多种方式并支持模糊查询后进行登记。（拼音码，就诊号，申请单号）；</w:t>
            </w:r>
          </w:p>
          <w:p w14:paraId="54C74A27">
            <w:pPr>
              <w:rPr>
                <w:rFonts w:hint="eastAsia" w:hAnsi="宋体" w:cs="宋体"/>
                <w:highlight w:val="none"/>
              </w:rPr>
            </w:pPr>
            <w:r>
              <w:rPr>
                <w:rFonts w:hint="eastAsia" w:hAnsi="宋体" w:cs="宋体"/>
                <w:highlight w:val="none"/>
              </w:rPr>
              <w:t>10、报告界面为所及即所得模式，并可以快速调整图像、所见及诊断编辑区域的书写宽度；</w:t>
            </w:r>
          </w:p>
          <w:p w14:paraId="7C7492CE">
            <w:pPr>
              <w:rPr>
                <w:rFonts w:hint="eastAsia" w:hAnsi="宋体" w:cs="宋体"/>
                <w:highlight w:val="none"/>
              </w:rPr>
            </w:pPr>
            <w:r>
              <w:rPr>
                <w:rFonts w:hint="eastAsia" w:hAnsi="宋体" w:cs="宋体"/>
                <w:highlight w:val="none"/>
              </w:rPr>
              <w:t>11、报告界面可快速编辑区域的字体大小及行间距；</w:t>
            </w:r>
          </w:p>
          <w:p w14:paraId="1F30E478">
            <w:pPr>
              <w:rPr>
                <w:rFonts w:hint="eastAsia" w:hAnsi="宋体" w:cs="宋体"/>
                <w:highlight w:val="none"/>
              </w:rPr>
            </w:pPr>
            <w:r>
              <w:rPr>
                <w:rFonts w:hint="eastAsia" w:hAnsi="宋体" w:cs="宋体"/>
                <w:highlight w:val="none"/>
              </w:rPr>
              <w:t>12、报告书写界面可快速添加书写者；</w:t>
            </w:r>
          </w:p>
          <w:p w14:paraId="31B99E58">
            <w:pPr>
              <w:rPr>
                <w:rFonts w:hint="eastAsia" w:hAnsi="宋体" w:cs="宋体"/>
                <w:highlight w:val="none"/>
              </w:rPr>
            </w:pPr>
            <w:r>
              <w:rPr>
                <w:rFonts w:hint="eastAsia" w:hAnsi="宋体" w:cs="宋体"/>
                <w:highlight w:val="none"/>
              </w:rPr>
              <w:t>13、报告书写界面可快速调取检验数据；</w:t>
            </w:r>
          </w:p>
          <w:p w14:paraId="38FC6C23">
            <w:pPr>
              <w:rPr>
                <w:rFonts w:hint="eastAsia" w:hAnsi="宋体" w:cs="宋体"/>
                <w:highlight w:val="none"/>
              </w:rPr>
            </w:pPr>
            <w:r>
              <w:rPr>
                <w:rFonts w:hint="eastAsia" w:hAnsi="宋体" w:cs="宋体"/>
                <w:szCs w:val="24"/>
                <w:highlight w:val="none"/>
              </w:rPr>
              <w:t>▲</w:t>
            </w:r>
            <w:r>
              <w:rPr>
                <w:rFonts w:hint="eastAsia" w:hAnsi="宋体" w:cs="宋体"/>
                <w:highlight w:val="none"/>
              </w:rPr>
              <w:t>14、支持无需复制粘贴既可实现快速将书写好的文字存为模板；</w:t>
            </w:r>
          </w:p>
          <w:p w14:paraId="46CD5035">
            <w:pPr>
              <w:rPr>
                <w:rFonts w:hint="eastAsia" w:hAnsi="宋体" w:cs="宋体"/>
                <w:highlight w:val="none"/>
              </w:rPr>
            </w:pPr>
            <w:r>
              <w:rPr>
                <w:rFonts w:hint="eastAsia" w:hAnsi="宋体" w:cs="宋体"/>
                <w:highlight w:val="none"/>
              </w:rPr>
              <w:t>15、报告审核后可在书写界面显示明显的红色已审核签章；</w:t>
            </w:r>
          </w:p>
          <w:p w14:paraId="4D8AE4C2">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16、支持不切换报告模板下实现自动排列多图像插入后的位置；</w:t>
            </w:r>
          </w:p>
          <w:p w14:paraId="6476C8B5">
            <w:pPr>
              <w:rPr>
                <w:rFonts w:hint="eastAsia" w:hAnsi="宋体" w:cs="宋体"/>
                <w:highlight w:val="none"/>
              </w:rPr>
            </w:pPr>
            <w:r>
              <w:rPr>
                <w:rFonts w:hint="eastAsia" w:hAnsi="宋体" w:cs="宋体"/>
                <w:highlight w:val="none"/>
              </w:rPr>
              <w:t>17、支持鼠标直接从采集区域拖拽替换报告上的图像；</w:t>
            </w:r>
          </w:p>
          <w:p w14:paraId="3BFEA69D">
            <w:pPr>
              <w:rPr>
                <w:rFonts w:hint="eastAsia" w:hAnsi="宋体" w:cs="宋体"/>
                <w:highlight w:val="none"/>
              </w:rPr>
            </w:pPr>
            <w:r>
              <w:rPr>
                <w:rFonts w:hint="eastAsia" w:hAnsi="宋体" w:cs="宋体"/>
                <w:highlight w:val="none"/>
              </w:rPr>
              <w:t>18、支持配置自动插入报告的图像数量；</w:t>
            </w:r>
          </w:p>
          <w:p w14:paraId="334AAD3A">
            <w:pPr>
              <w:rPr>
                <w:rFonts w:hint="eastAsia" w:hAnsi="宋体" w:cs="宋体"/>
                <w:highlight w:val="none"/>
              </w:rPr>
            </w:pPr>
            <w:r>
              <w:rPr>
                <w:rFonts w:hint="eastAsia" w:hAnsi="宋体" w:cs="宋体"/>
                <w:szCs w:val="24"/>
                <w:highlight w:val="none"/>
              </w:rPr>
              <w:t>▲</w:t>
            </w:r>
            <w:r>
              <w:rPr>
                <w:rFonts w:hint="eastAsia" w:hAnsi="宋体" w:cs="宋体"/>
                <w:highlight w:val="none"/>
              </w:rPr>
              <w:t>19、支持配置图像位置例如：1|2 、1|1|1等预设的排列组合；</w:t>
            </w:r>
          </w:p>
          <w:p w14:paraId="52E45BE4">
            <w:pPr>
              <w:rPr>
                <w:rFonts w:hint="eastAsia" w:hAnsi="宋体" w:cs="宋体"/>
                <w:highlight w:val="none"/>
              </w:rPr>
            </w:pPr>
            <w:r>
              <w:rPr>
                <w:rFonts w:hint="eastAsia" w:hAnsi="宋体" w:cs="宋体"/>
                <w:szCs w:val="24"/>
                <w:highlight w:val="none"/>
              </w:rPr>
              <w:t>▲</w:t>
            </w:r>
            <w:r>
              <w:rPr>
                <w:rFonts w:hint="eastAsia" w:hAnsi="宋体" w:cs="宋体"/>
                <w:highlight w:val="none"/>
              </w:rPr>
              <w:t>20、报告界面支持鼠标放采集区域图像上后自动预览并支持置顶；</w:t>
            </w:r>
          </w:p>
          <w:p w14:paraId="1DA62128">
            <w:pPr>
              <w:rPr>
                <w:rFonts w:hint="eastAsia" w:hAnsi="宋体" w:cs="宋体"/>
                <w:highlight w:val="none"/>
              </w:rPr>
            </w:pPr>
            <w:r>
              <w:rPr>
                <w:rFonts w:hint="eastAsia" w:hAnsi="宋体" w:cs="宋体"/>
                <w:highlight w:val="none"/>
              </w:rPr>
              <w:t>21、支持快速调整采集区域缩略图大小并保存参数；</w:t>
            </w:r>
          </w:p>
          <w:p w14:paraId="0952C185">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22、支持预览后图像大小及位置调整并保存参数；</w:t>
            </w:r>
          </w:p>
          <w:p w14:paraId="46D6B174">
            <w:pPr>
              <w:rPr>
                <w:rFonts w:hint="eastAsia" w:hAnsi="宋体" w:cs="宋体"/>
                <w:highlight w:val="none"/>
              </w:rPr>
            </w:pPr>
            <w:r>
              <w:rPr>
                <w:rFonts w:hint="eastAsia" w:hAnsi="宋体" w:cs="宋体"/>
                <w:highlight w:val="none"/>
              </w:rPr>
              <w:t>23、支持同时编辑多人报告；</w:t>
            </w:r>
            <w:r>
              <w:rPr>
                <w:rFonts w:hint="eastAsia" w:hAnsi="宋体" w:cs="宋体"/>
                <w:szCs w:val="24"/>
                <w:highlight w:val="none"/>
              </w:rPr>
              <w:t>▲</w:t>
            </w:r>
            <w:r>
              <w:rPr>
                <w:rFonts w:hint="eastAsia" w:hAnsi="宋体" w:cs="宋体"/>
                <w:highlight w:val="none"/>
              </w:rPr>
              <w:t>24、支持编辑患者A报告采集图像到患者B提高检查效率；</w:t>
            </w:r>
          </w:p>
          <w:p w14:paraId="35629A70">
            <w:pPr>
              <w:rPr>
                <w:rFonts w:hint="eastAsia" w:hAnsi="宋体" w:cs="宋体"/>
                <w:highlight w:val="none"/>
              </w:rPr>
            </w:pPr>
            <w:r>
              <w:rPr>
                <w:rFonts w:hint="eastAsia" w:hAnsi="宋体" w:cs="宋体"/>
                <w:szCs w:val="24"/>
                <w:highlight w:val="none"/>
              </w:rPr>
              <w:t>▲</w:t>
            </w:r>
            <w:r>
              <w:rPr>
                <w:rFonts w:hint="eastAsia" w:hAnsi="宋体" w:cs="宋体"/>
                <w:highlight w:val="none"/>
              </w:rPr>
              <w:t>25、支持采集错图像后进行复制粘贴修正功能；</w:t>
            </w:r>
          </w:p>
          <w:p w14:paraId="22CB98BA">
            <w:pPr>
              <w:rPr>
                <w:rFonts w:hint="eastAsia" w:hAnsi="宋体" w:cs="宋体"/>
                <w:highlight w:val="none"/>
              </w:rPr>
            </w:pPr>
            <w:r>
              <w:rPr>
                <w:rFonts w:hint="eastAsia" w:hAnsi="宋体" w:cs="宋体"/>
                <w:highlight w:val="none"/>
              </w:rPr>
              <w:t>26、支持快速复制粘贴外部图像；</w:t>
            </w:r>
          </w:p>
          <w:p w14:paraId="77AEC978">
            <w:pPr>
              <w:rPr>
                <w:rFonts w:hint="eastAsia" w:hAnsi="宋体" w:cs="宋体"/>
                <w:highlight w:val="none"/>
              </w:rPr>
            </w:pPr>
            <w:r>
              <w:rPr>
                <w:rFonts w:hint="eastAsia" w:hAnsi="宋体" w:cs="宋体"/>
                <w:color w:val="000000"/>
                <w:szCs w:val="24"/>
                <w:highlight w:val="none"/>
              </w:rPr>
              <w:t>▲</w:t>
            </w:r>
            <w:r>
              <w:rPr>
                <w:rFonts w:hint="eastAsia" w:hAnsi="宋体" w:cs="宋体"/>
                <w:highlight w:val="none"/>
              </w:rPr>
              <w:t>27、支持USB及COM口多种采集开关；</w:t>
            </w:r>
          </w:p>
          <w:p w14:paraId="0773FFC0">
            <w:pPr>
              <w:rPr>
                <w:rFonts w:hint="eastAsia" w:hAnsi="宋体" w:cs="宋体"/>
                <w:highlight w:val="none"/>
              </w:rPr>
            </w:pPr>
            <w:r>
              <w:rPr>
                <w:rFonts w:hint="eastAsia" w:hAnsi="宋体" w:cs="宋体"/>
                <w:highlight w:val="none"/>
              </w:rPr>
              <w:t>28支持仪器DICOM采集图像并自动显示在采集区域。</w:t>
            </w:r>
          </w:p>
        </w:tc>
        <w:tc>
          <w:tcPr>
            <w:tcW w:w="545" w:type="pct"/>
            <w:vMerge w:val="continue"/>
            <w:shd w:val="clear" w:color="auto" w:fill="auto"/>
            <w:vAlign w:val="center"/>
          </w:tcPr>
          <w:p w14:paraId="082725AC">
            <w:pPr>
              <w:jc w:val="center"/>
              <w:rPr>
                <w:rFonts w:hint="eastAsia" w:hAnsi="宋体" w:cs="宋体"/>
                <w:highlight w:val="none"/>
                <w:lang w:bidi="ar"/>
              </w:rPr>
            </w:pPr>
          </w:p>
        </w:tc>
        <w:tc>
          <w:tcPr>
            <w:tcW w:w="489" w:type="pct"/>
            <w:vMerge w:val="continue"/>
            <w:shd w:val="clear" w:color="auto" w:fill="auto"/>
            <w:vAlign w:val="center"/>
          </w:tcPr>
          <w:p w14:paraId="60DCDE72">
            <w:pPr>
              <w:rPr>
                <w:highlight w:val="none"/>
                <w:lang w:bidi="ar"/>
              </w:rPr>
            </w:pPr>
          </w:p>
        </w:tc>
      </w:tr>
      <w:tr w14:paraId="3454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285B9249">
            <w:pPr>
              <w:pStyle w:val="36"/>
              <w:numPr>
                <w:ilvl w:val="0"/>
                <w:numId w:val="8"/>
              </w:numPr>
              <w:ind w:firstLineChars="0"/>
              <w:jc w:val="center"/>
              <w:rPr>
                <w:highlight w:val="none"/>
              </w:rPr>
            </w:pPr>
          </w:p>
        </w:tc>
        <w:tc>
          <w:tcPr>
            <w:tcW w:w="557" w:type="pct"/>
            <w:vMerge w:val="continue"/>
            <w:shd w:val="clear" w:color="auto" w:fill="auto"/>
            <w:vAlign w:val="center"/>
          </w:tcPr>
          <w:p w14:paraId="5C07B08B">
            <w:pPr>
              <w:rPr>
                <w:highlight w:val="none"/>
              </w:rPr>
            </w:pPr>
          </w:p>
        </w:tc>
        <w:tc>
          <w:tcPr>
            <w:tcW w:w="648" w:type="pct"/>
            <w:vMerge w:val="continue"/>
            <w:shd w:val="clear" w:color="auto" w:fill="auto"/>
            <w:vAlign w:val="center"/>
          </w:tcPr>
          <w:p w14:paraId="2E0C9CEA">
            <w:pPr>
              <w:rPr>
                <w:highlight w:val="none"/>
                <w:lang w:bidi="ar"/>
              </w:rPr>
            </w:pPr>
          </w:p>
        </w:tc>
        <w:tc>
          <w:tcPr>
            <w:tcW w:w="907" w:type="pct"/>
            <w:shd w:val="clear" w:color="auto" w:fill="auto"/>
            <w:vAlign w:val="center"/>
          </w:tcPr>
          <w:p w14:paraId="34EC7D5F">
            <w:pPr>
              <w:rPr>
                <w:highlight w:val="none"/>
                <w:lang w:bidi="ar"/>
              </w:rPr>
            </w:pPr>
            <w:r>
              <w:rPr>
                <w:rFonts w:hint="eastAsia"/>
                <w:highlight w:val="none"/>
                <w:lang w:bidi="ar"/>
              </w:rPr>
              <w:t>报告管理功能</w:t>
            </w:r>
          </w:p>
        </w:tc>
        <w:tc>
          <w:tcPr>
            <w:tcW w:w="1529" w:type="pct"/>
            <w:shd w:val="clear" w:color="auto" w:fill="auto"/>
            <w:vAlign w:val="center"/>
          </w:tcPr>
          <w:p w14:paraId="6F928079">
            <w:pPr>
              <w:rPr>
                <w:rFonts w:hint="eastAsia" w:hAnsi="宋体" w:cs="宋体"/>
                <w:highlight w:val="none"/>
                <w:lang w:bidi="ar"/>
              </w:rPr>
            </w:pPr>
            <w:r>
              <w:rPr>
                <w:rFonts w:hint="eastAsia" w:hAnsi="宋体" w:cs="宋体"/>
                <w:highlight w:val="none"/>
                <w:lang w:bidi="ar"/>
              </w:rPr>
              <w:t>1、系统可支持患者姓名、字母、时间、申请时间、申请类型进行组合查询影像报告，也可支持模糊查询；</w:t>
            </w:r>
          </w:p>
          <w:p w14:paraId="62578F6D">
            <w:pPr>
              <w:rPr>
                <w:rFonts w:hint="eastAsia" w:hAnsi="宋体" w:cs="宋体"/>
                <w:highlight w:val="none"/>
                <w:lang w:bidi="ar"/>
              </w:rPr>
            </w:pPr>
            <w:r>
              <w:rPr>
                <w:rFonts w:hint="eastAsia" w:hAnsi="宋体" w:cs="宋体"/>
                <w:highlight w:val="none"/>
                <w:lang w:bidi="ar"/>
              </w:rPr>
              <w:t>2、支持电子签名功能；</w:t>
            </w:r>
          </w:p>
          <w:p w14:paraId="542630F9">
            <w:pPr>
              <w:rPr>
                <w:rFonts w:hint="eastAsia" w:hAnsi="宋体" w:cs="宋体"/>
                <w:highlight w:val="none"/>
                <w:lang w:bidi="ar"/>
              </w:rPr>
            </w:pPr>
            <w:r>
              <w:rPr>
                <w:rFonts w:hint="eastAsia" w:hAnsi="宋体" w:cs="宋体"/>
                <w:highlight w:val="none"/>
                <w:lang w:bidi="ar"/>
              </w:rPr>
              <w:t>3、系统支持影像阅片和报告同步进行，用户可以来回切换窗口即可完成报告书写和诊断；</w:t>
            </w:r>
          </w:p>
          <w:p w14:paraId="58319B45">
            <w:pPr>
              <w:rPr>
                <w:rFonts w:hint="eastAsia" w:hAnsi="宋体" w:cs="宋体"/>
                <w:highlight w:val="none"/>
                <w:lang w:bidi="ar"/>
              </w:rPr>
            </w:pPr>
            <w:r>
              <w:rPr>
                <w:rFonts w:hint="eastAsia" w:hAnsi="宋体" w:cs="宋体"/>
                <w:highlight w:val="none"/>
                <w:lang w:bidi="ar"/>
              </w:rPr>
              <w:t>4、系统存有完善的影像报告模板，可以直接输出一体化的图文报告，同时支持针对报告类型自定义设置；</w:t>
            </w:r>
          </w:p>
          <w:p w14:paraId="021E859B">
            <w:pPr>
              <w:rPr>
                <w:rFonts w:hint="eastAsia" w:hAnsi="宋体" w:cs="宋体"/>
                <w:highlight w:val="none"/>
                <w:lang w:bidi="ar"/>
              </w:rPr>
            </w:pPr>
            <w:r>
              <w:rPr>
                <w:rFonts w:hint="eastAsia" w:hAnsi="宋体" w:cs="宋体"/>
                <w:highlight w:val="none"/>
                <w:lang w:bidi="ar"/>
              </w:rPr>
              <w:t>5、支持将兴趣病例材料保存为教学、个人收藏、分类收藏等功能；</w:t>
            </w:r>
          </w:p>
          <w:p w14:paraId="67F82F1F">
            <w:pPr>
              <w:rPr>
                <w:rFonts w:hint="eastAsia" w:hAnsi="宋体" w:cs="宋体"/>
                <w:highlight w:val="none"/>
                <w:lang w:bidi="ar"/>
              </w:rPr>
            </w:pPr>
            <w:r>
              <w:rPr>
                <w:rFonts w:hint="eastAsia" w:hAnsi="宋体" w:cs="宋体"/>
                <w:highlight w:val="none"/>
                <w:lang w:bidi="ar"/>
              </w:rPr>
              <w:t>6、系统支持报告质控，可设置多级报告审核机制，对报告的更改进行完善的记录；</w:t>
            </w:r>
          </w:p>
          <w:p w14:paraId="3734B1B9">
            <w:pPr>
              <w:rPr>
                <w:rFonts w:hint="eastAsia" w:hAnsi="宋体" w:cs="宋体"/>
                <w:highlight w:val="none"/>
                <w:lang w:bidi="ar"/>
              </w:rPr>
            </w:pPr>
            <w:r>
              <w:rPr>
                <w:rFonts w:hint="eastAsia" w:hAnsi="宋体" w:cs="宋体"/>
                <w:highlight w:val="none"/>
                <w:lang w:bidi="ar"/>
              </w:rPr>
              <w:t>7、提供报告驳回，撤销审核、删除；</w:t>
            </w:r>
          </w:p>
          <w:p w14:paraId="7B92E18B">
            <w:pPr>
              <w:rPr>
                <w:rFonts w:hint="eastAsia" w:hAnsi="宋体" w:cs="宋体"/>
                <w:highlight w:val="none"/>
                <w:lang w:bidi="ar"/>
              </w:rPr>
            </w:pPr>
            <w:r>
              <w:rPr>
                <w:rFonts w:hint="eastAsia" w:hAnsi="宋体" w:cs="宋体"/>
                <w:highlight w:val="none"/>
                <w:lang w:bidi="ar"/>
              </w:rPr>
              <w:t>8、系统支持报告书写时查看患者申请信息和患者基本信息；</w:t>
            </w:r>
          </w:p>
          <w:p w14:paraId="4CE37B72">
            <w:pPr>
              <w:rPr>
                <w:rFonts w:hint="eastAsia" w:hAnsi="宋体" w:cs="宋体"/>
                <w:highlight w:val="none"/>
                <w:lang w:bidi="ar"/>
              </w:rPr>
            </w:pPr>
            <w:r>
              <w:rPr>
                <w:rFonts w:hint="eastAsia" w:hAnsi="宋体" w:cs="宋体"/>
                <w:highlight w:val="none"/>
                <w:lang w:bidi="ar"/>
              </w:rPr>
              <w:t>9、支持历史报告查询功能，可查看该患者的历史检查报告，记录报告历史痕迹；</w:t>
            </w:r>
          </w:p>
          <w:p w14:paraId="4E039842">
            <w:pPr>
              <w:rPr>
                <w:rFonts w:hint="eastAsia" w:hAnsi="宋体" w:cs="宋体"/>
                <w:highlight w:val="none"/>
                <w:lang w:bidi="ar"/>
              </w:rPr>
            </w:pPr>
            <w:r>
              <w:rPr>
                <w:rFonts w:hint="eastAsia" w:hAnsi="宋体" w:cs="宋体"/>
                <w:highlight w:val="none"/>
                <w:lang w:bidi="ar"/>
              </w:rPr>
              <w:t>10、系统支持专家系统：采用结构化的树形报告模板,支持报告内容更新；</w:t>
            </w:r>
          </w:p>
          <w:p w14:paraId="7AF4FFA1">
            <w:pPr>
              <w:rPr>
                <w:rFonts w:hint="eastAsia" w:hAnsi="宋体" w:cs="宋体"/>
                <w:highlight w:val="none"/>
                <w:lang w:bidi="ar"/>
              </w:rPr>
            </w:pPr>
            <w:r>
              <w:rPr>
                <w:rFonts w:hint="eastAsia" w:hAnsi="宋体" w:cs="宋体"/>
                <w:highlight w:val="none"/>
                <w:lang w:bidi="ar"/>
              </w:rPr>
              <w:t>11、系统支持按照检查部位、申请单、科室、设备等进行报告分配，提高工作效率。</w:t>
            </w:r>
          </w:p>
        </w:tc>
        <w:tc>
          <w:tcPr>
            <w:tcW w:w="545" w:type="pct"/>
            <w:vMerge w:val="continue"/>
            <w:shd w:val="clear" w:color="auto" w:fill="auto"/>
            <w:vAlign w:val="center"/>
          </w:tcPr>
          <w:p w14:paraId="23FFB3A8">
            <w:pPr>
              <w:jc w:val="center"/>
              <w:rPr>
                <w:rFonts w:hint="eastAsia" w:hAnsi="宋体" w:cs="宋体"/>
                <w:highlight w:val="none"/>
                <w:lang w:bidi="ar"/>
              </w:rPr>
            </w:pPr>
          </w:p>
        </w:tc>
        <w:tc>
          <w:tcPr>
            <w:tcW w:w="489" w:type="pct"/>
            <w:vMerge w:val="continue"/>
            <w:shd w:val="clear" w:color="auto" w:fill="auto"/>
            <w:vAlign w:val="center"/>
          </w:tcPr>
          <w:p w14:paraId="239C0ABA">
            <w:pPr>
              <w:rPr>
                <w:highlight w:val="none"/>
                <w:lang w:bidi="ar"/>
              </w:rPr>
            </w:pPr>
          </w:p>
        </w:tc>
      </w:tr>
      <w:tr w14:paraId="1150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1E6CB48F">
            <w:pPr>
              <w:pStyle w:val="36"/>
              <w:numPr>
                <w:ilvl w:val="0"/>
                <w:numId w:val="8"/>
              </w:numPr>
              <w:ind w:firstLineChars="0"/>
              <w:jc w:val="center"/>
              <w:rPr>
                <w:highlight w:val="none"/>
              </w:rPr>
            </w:pPr>
          </w:p>
        </w:tc>
        <w:tc>
          <w:tcPr>
            <w:tcW w:w="557" w:type="pct"/>
            <w:vMerge w:val="continue"/>
            <w:shd w:val="clear" w:color="auto" w:fill="auto"/>
            <w:vAlign w:val="center"/>
          </w:tcPr>
          <w:p w14:paraId="4B579070">
            <w:pPr>
              <w:rPr>
                <w:highlight w:val="none"/>
              </w:rPr>
            </w:pPr>
          </w:p>
        </w:tc>
        <w:tc>
          <w:tcPr>
            <w:tcW w:w="648" w:type="pct"/>
            <w:vMerge w:val="continue"/>
            <w:shd w:val="clear" w:color="auto" w:fill="auto"/>
            <w:vAlign w:val="center"/>
          </w:tcPr>
          <w:p w14:paraId="794D0541">
            <w:pPr>
              <w:rPr>
                <w:highlight w:val="none"/>
                <w:lang w:bidi="ar"/>
              </w:rPr>
            </w:pPr>
          </w:p>
        </w:tc>
        <w:tc>
          <w:tcPr>
            <w:tcW w:w="907" w:type="pct"/>
            <w:shd w:val="clear" w:color="auto" w:fill="auto"/>
            <w:vAlign w:val="center"/>
          </w:tcPr>
          <w:p w14:paraId="1ACF9663">
            <w:pPr>
              <w:rPr>
                <w:highlight w:val="none"/>
                <w:lang w:bidi="ar"/>
              </w:rPr>
            </w:pPr>
            <w:r>
              <w:rPr>
                <w:rFonts w:hint="eastAsia"/>
                <w:highlight w:val="none"/>
                <w:lang w:bidi="ar"/>
              </w:rPr>
              <w:t>协助模块</w:t>
            </w:r>
          </w:p>
        </w:tc>
        <w:tc>
          <w:tcPr>
            <w:tcW w:w="1529" w:type="pct"/>
            <w:shd w:val="clear" w:color="auto" w:fill="auto"/>
            <w:vAlign w:val="center"/>
          </w:tcPr>
          <w:p w14:paraId="28C90C8A">
            <w:pPr>
              <w:rPr>
                <w:rFonts w:hint="eastAsia" w:hAnsi="宋体" w:cs="宋体"/>
                <w:highlight w:val="none"/>
                <w:lang w:bidi="ar"/>
              </w:rPr>
            </w:pPr>
            <w:r>
              <w:rPr>
                <w:rFonts w:hint="eastAsia" w:hAnsi="宋体" w:cs="宋体"/>
                <w:highlight w:val="none"/>
                <w:lang w:bidi="ar"/>
              </w:rPr>
              <w:t>1、系统可支持对已做完检查的影像类（CT、DR、MR，超声）并关联过影像的报告申请其他医院协助，由上级医院专家进行结果诊断；</w:t>
            </w:r>
          </w:p>
          <w:p w14:paraId="43F2C2EE">
            <w:pPr>
              <w:rPr>
                <w:rFonts w:hint="eastAsia" w:hAnsi="宋体" w:cs="宋体"/>
                <w:highlight w:val="none"/>
                <w:lang w:bidi="ar"/>
              </w:rPr>
            </w:pPr>
            <w:r>
              <w:rPr>
                <w:rFonts w:hint="eastAsia" w:hAnsi="宋体" w:cs="宋体"/>
                <w:highlight w:val="none"/>
                <w:lang w:bidi="ar"/>
              </w:rPr>
              <w:t>2、系统支持在申请界面选择不同医疗机构进行申请，可根据不同需求单个、批量申请；</w:t>
            </w:r>
          </w:p>
          <w:p w14:paraId="532CF229">
            <w:pPr>
              <w:rPr>
                <w:rFonts w:hint="eastAsia" w:hAnsi="宋体" w:cs="宋体"/>
                <w:highlight w:val="none"/>
                <w:lang w:bidi="ar"/>
              </w:rPr>
            </w:pPr>
            <w:r>
              <w:rPr>
                <w:rFonts w:hint="eastAsia" w:hAnsi="宋体" w:cs="宋体"/>
                <w:highlight w:val="none"/>
                <w:lang w:bidi="ar"/>
              </w:rPr>
              <w:t>3、列表搜素：待申请页面选择时间进行搜索和输入姓名进行列表检索。已申请页面选择状态、设备、时间进行筛选，输入姓名/id进行搜索；</w:t>
            </w:r>
          </w:p>
          <w:p w14:paraId="7E52F698">
            <w:pPr>
              <w:rPr>
                <w:rFonts w:hint="eastAsia" w:hAnsi="宋体" w:cs="宋体"/>
                <w:highlight w:val="none"/>
                <w:lang w:bidi="ar"/>
              </w:rPr>
            </w:pPr>
            <w:r>
              <w:rPr>
                <w:rFonts w:hint="eastAsia" w:hAnsi="宋体" w:cs="宋体"/>
                <w:highlight w:val="none"/>
                <w:lang w:bidi="ar"/>
              </w:rPr>
              <w:t>4、系统可查看已申请的人员，支持自动同步列表报告状态，可以进行查看和撤销；</w:t>
            </w:r>
          </w:p>
          <w:p w14:paraId="4FCB0E0B">
            <w:pPr>
              <w:rPr>
                <w:rFonts w:hint="eastAsia" w:hAnsi="宋体" w:cs="宋体"/>
                <w:highlight w:val="none"/>
                <w:lang w:bidi="ar"/>
              </w:rPr>
            </w:pPr>
            <w:r>
              <w:rPr>
                <w:rFonts w:hint="eastAsia" w:hAnsi="宋体" w:cs="宋体"/>
                <w:highlight w:val="none"/>
                <w:lang w:bidi="ar"/>
              </w:rPr>
              <w:t>5、系统支持报告申请撤销功能，对已查看处理中的报告不允许撤销；</w:t>
            </w:r>
          </w:p>
          <w:p w14:paraId="3BE69A55">
            <w:pPr>
              <w:rPr>
                <w:rFonts w:hint="eastAsia" w:hAnsi="宋体" w:cs="宋体"/>
                <w:highlight w:val="none"/>
                <w:lang w:bidi="ar"/>
              </w:rPr>
            </w:pPr>
            <w:r>
              <w:rPr>
                <w:rFonts w:hint="eastAsia" w:hAnsi="宋体" w:cs="宋体"/>
                <w:highlight w:val="none"/>
                <w:lang w:bidi="ar"/>
              </w:rPr>
              <w:t>6、提供已完成报告的患者查询</w:t>
            </w:r>
          </w:p>
          <w:p w14:paraId="18BB7CA8">
            <w:pPr>
              <w:rPr>
                <w:highlight w:val="none"/>
                <w:lang w:bidi="ar"/>
              </w:rPr>
            </w:pPr>
            <w:r>
              <w:rPr>
                <w:rFonts w:hint="eastAsia" w:hAnsi="宋体" w:cs="宋体"/>
                <w:highlight w:val="none"/>
                <w:lang w:bidi="ar"/>
              </w:rPr>
              <w:t>数。</w:t>
            </w:r>
          </w:p>
        </w:tc>
        <w:tc>
          <w:tcPr>
            <w:tcW w:w="545" w:type="pct"/>
            <w:vMerge w:val="continue"/>
            <w:shd w:val="clear" w:color="auto" w:fill="auto"/>
            <w:vAlign w:val="center"/>
          </w:tcPr>
          <w:p w14:paraId="6BAA0156">
            <w:pPr>
              <w:jc w:val="center"/>
              <w:rPr>
                <w:rFonts w:hint="eastAsia" w:hAnsi="宋体" w:cs="宋体"/>
                <w:highlight w:val="none"/>
                <w:lang w:bidi="ar"/>
              </w:rPr>
            </w:pPr>
          </w:p>
        </w:tc>
        <w:tc>
          <w:tcPr>
            <w:tcW w:w="489" w:type="pct"/>
            <w:vMerge w:val="continue"/>
            <w:shd w:val="clear" w:color="auto" w:fill="auto"/>
            <w:vAlign w:val="center"/>
          </w:tcPr>
          <w:p w14:paraId="740224F1">
            <w:pPr>
              <w:rPr>
                <w:highlight w:val="none"/>
                <w:lang w:bidi="ar"/>
              </w:rPr>
            </w:pPr>
          </w:p>
        </w:tc>
      </w:tr>
      <w:tr w14:paraId="1C39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4D498295">
            <w:pPr>
              <w:pStyle w:val="36"/>
              <w:numPr>
                <w:ilvl w:val="0"/>
                <w:numId w:val="8"/>
              </w:numPr>
              <w:ind w:firstLineChars="0"/>
              <w:jc w:val="center"/>
              <w:rPr>
                <w:highlight w:val="none"/>
              </w:rPr>
            </w:pPr>
          </w:p>
        </w:tc>
        <w:tc>
          <w:tcPr>
            <w:tcW w:w="557" w:type="pct"/>
            <w:vMerge w:val="continue"/>
            <w:shd w:val="clear" w:color="auto" w:fill="auto"/>
            <w:vAlign w:val="center"/>
          </w:tcPr>
          <w:p w14:paraId="18237349">
            <w:pPr>
              <w:rPr>
                <w:highlight w:val="none"/>
              </w:rPr>
            </w:pPr>
          </w:p>
        </w:tc>
        <w:tc>
          <w:tcPr>
            <w:tcW w:w="648" w:type="pct"/>
            <w:vMerge w:val="continue"/>
            <w:shd w:val="clear" w:color="auto" w:fill="auto"/>
            <w:vAlign w:val="center"/>
          </w:tcPr>
          <w:p w14:paraId="230A733D">
            <w:pPr>
              <w:rPr>
                <w:highlight w:val="none"/>
                <w:lang w:bidi="ar"/>
              </w:rPr>
            </w:pPr>
          </w:p>
        </w:tc>
        <w:tc>
          <w:tcPr>
            <w:tcW w:w="907" w:type="pct"/>
            <w:shd w:val="clear" w:color="auto" w:fill="auto"/>
            <w:vAlign w:val="center"/>
          </w:tcPr>
          <w:p w14:paraId="62F3BC15">
            <w:pPr>
              <w:rPr>
                <w:highlight w:val="none"/>
                <w:lang w:bidi="ar"/>
              </w:rPr>
            </w:pPr>
            <w:r>
              <w:rPr>
                <w:rFonts w:hint="eastAsia"/>
                <w:highlight w:val="none"/>
                <w:lang w:bidi="ar"/>
              </w:rPr>
              <w:t>统计分析</w:t>
            </w:r>
          </w:p>
        </w:tc>
        <w:tc>
          <w:tcPr>
            <w:tcW w:w="1529" w:type="pct"/>
            <w:shd w:val="clear" w:color="auto" w:fill="auto"/>
            <w:vAlign w:val="center"/>
          </w:tcPr>
          <w:p w14:paraId="3B835210">
            <w:pPr>
              <w:rPr>
                <w:rFonts w:hint="eastAsia" w:hAnsi="宋体" w:cs="宋体"/>
                <w:highlight w:val="none"/>
                <w:lang w:bidi="ar"/>
              </w:rPr>
            </w:pPr>
            <w:r>
              <w:rPr>
                <w:rFonts w:hint="eastAsia" w:hAnsi="宋体" w:cs="宋体"/>
                <w:highlight w:val="none"/>
                <w:lang w:bidi="ar"/>
              </w:rPr>
              <w:t>1、按照送检科室统计，送检医生统计，检查类型统计，报告医生工作量统计，检查项目分类统计，检查部位统计多种统计方式进行指定时间段，指定条件的统计；</w:t>
            </w:r>
          </w:p>
          <w:p w14:paraId="37F000E3">
            <w:pPr>
              <w:rPr>
                <w:rFonts w:hint="eastAsia" w:hAnsi="宋体" w:cs="宋体"/>
                <w:highlight w:val="none"/>
                <w:lang w:bidi="ar"/>
              </w:rPr>
            </w:pPr>
            <w:r>
              <w:rPr>
                <w:rFonts w:hint="eastAsia" w:hAnsi="宋体" w:cs="宋体"/>
                <w:highlight w:val="none"/>
                <w:lang w:bidi="ar"/>
              </w:rPr>
              <w:t>2、支持分类统计工作量和费用，包括：检查收入、检查项目、检查时间、医生、设备等不同组合条件统计，汇总；</w:t>
            </w:r>
          </w:p>
          <w:p w14:paraId="0D5ECC79">
            <w:pPr>
              <w:rPr>
                <w:rFonts w:hint="eastAsia" w:hAnsi="宋体" w:cs="宋体"/>
                <w:highlight w:val="none"/>
                <w:lang w:bidi="ar"/>
              </w:rPr>
            </w:pPr>
            <w:r>
              <w:rPr>
                <w:rFonts w:hint="eastAsia" w:hAnsi="宋体" w:cs="宋体"/>
                <w:highlight w:val="none"/>
                <w:lang w:bidi="ar"/>
              </w:rPr>
              <w:t>3、支持对病人基本信息进行分布统计；</w:t>
            </w:r>
          </w:p>
          <w:p w14:paraId="08D706CB">
            <w:pPr>
              <w:rPr>
                <w:rFonts w:hint="eastAsia" w:hAnsi="宋体" w:cs="宋体"/>
                <w:highlight w:val="none"/>
                <w:lang w:bidi="ar"/>
              </w:rPr>
            </w:pPr>
            <w:r>
              <w:rPr>
                <w:rFonts w:hint="eastAsia" w:hAnsi="宋体" w:cs="宋体"/>
                <w:highlight w:val="none"/>
                <w:lang w:bidi="ar"/>
              </w:rPr>
              <w:t>4、支持病人阳性率，患病种类等一些病人的信息统计；</w:t>
            </w:r>
          </w:p>
          <w:p w14:paraId="3C2C3C24">
            <w:pPr>
              <w:rPr>
                <w:rFonts w:hint="eastAsia" w:hAnsi="宋体" w:cs="宋体"/>
                <w:highlight w:val="none"/>
                <w:lang w:bidi="ar"/>
              </w:rPr>
            </w:pPr>
            <w:r>
              <w:rPr>
                <w:rFonts w:hint="eastAsia" w:hAnsi="宋体" w:cs="宋体"/>
                <w:highlight w:val="none"/>
                <w:lang w:bidi="ar"/>
              </w:rPr>
              <w:t>5、支持病人的患病部位的信息统计；</w:t>
            </w:r>
          </w:p>
          <w:p w14:paraId="080BF2DE">
            <w:pPr>
              <w:rPr>
                <w:rFonts w:hint="eastAsia" w:hAnsi="宋体" w:cs="宋体"/>
                <w:highlight w:val="none"/>
                <w:lang w:bidi="ar"/>
              </w:rPr>
            </w:pPr>
            <w:r>
              <w:rPr>
                <w:rFonts w:hint="eastAsia" w:hAnsi="宋体" w:cs="宋体"/>
                <w:highlight w:val="none"/>
                <w:lang w:bidi="ar"/>
              </w:rPr>
              <w:t>6、支持表格、线形图、饼形图等方式显示、打印和导出；</w:t>
            </w:r>
          </w:p>
          <w:p w14:paraId="4D70F48E">
            <w:pPr>
              <w:rPr>
                <w:rFonts w:hint="eastAsia" w:hAnsi="宋体" w:cs="宋体"/>
                <w:highlight w:val="none"/>
                <w:lang w:bidi="ar"/>
              </w:rPr>
            </w:pPr>
            <w:r>
              <w:rPr>
                <w:rFonts w:hint="eastAsia" w:hAnsi="宋体" w:cs="宋体"/>
                <w:highlight w:val="none"/>
                <w:lang w:bidi="ar"/>
              </w:rPr>
              <w:t>7、提供日、月、年等报表；</w:t>
            </w:r>
          </w:p>
          <w:p w14:paraId="0162D77D">
            <w:pPr>
              <w:rPr>
                <w:rFonts w:hint="eastAsia" w:hAnsi="宋体" w:cs="宋体"/>
                <w:highlight w:val="none"/>
                <w:lang w:bidi="ar"/>
              </w:rPr>
            </w:pPr>
            <w:r>
              <w:rPr>
                <w:rFonts w:hint="eastAsia" w:hAnsi="宋体" w:cs="宋体"/>
                <w:highlight w:val="none"/>
                <w:lang w:bidi="ar"/>
              </w:rPr>
              <w:t>8、可以按照需要定制新式的报表；</w:t>
            </w:r>
          </w:p>
          <w:p w14:paraId="47F1791A">
            <w:pPr>
              <w:rPr>
                <w:rFonts w:hint="eastAsia" w:hAnsi="宋体" w:cs="宋体"/>
                <w:highlight w:val="none"/>
                <w:lang w:bidi="ar"/>
              </w:rPr>
            </w:pPr>
            <w:r>
              <w:rPr>
                <w:rFonts w:hint="eastAsia" w:hAnsi="宋体" w:cs="宋体"/>
                <w:highlight w:val="none"/>
                <w:lang w:bidi="ar"/>
              </w:rPr>
              <w:t>9、支持科室工作量统计，设备工作量的统计；</w:t>
            </w:r>
          </w:p>
          <w:p w14:paraId="15BFB81C">
            <w:pPr>
              <w:rPr>
                <w:highlight w:val="none"/>
                <w:lang w:bidi="ar"/>
              </w:rPr>
            </w:pPr>
            <w:r>
              <w:rPr>
                <w:rFonts w:hint="eastAsia" w:hAnsi="宋体" w:cs="宋体"/>
                <w:highlight w:val="none"/>
                <w:lang w:bidi="ar"/>
              </w:rPr>
              <w:t>10、设备业务量统计、检查项目统计。统计报告生成与打印。</w:t>
            </w:r>
          </w:p>
        </w:tc>
        <w:tc>
          <w:tcPr>
            <w:tcW w:w="545" w:type="pct"/>
            <w:vMerge w:val="continue"/>
            <w:shd w:val="clear" w:color="auto" w:fill="auto"/>
            <w:vAlign w:val="center"/>
          </w:tcPr>
          <w:p w14:paraId="7706CB0F">
            <w:pPr>
              <w:jc w:val="center"/>
              <w:rPr>
                <w:rFonts w:hint="eastAsia" w:hAnsi="宋体" w:cs="宋体"/>
                <w:highlight w:val="none"/>
                <w:lang w:bidi="ar"/>
              </w:rPr>
            </w:pPr>
          </w:p>
        </w:tc>
        <w:tc>
          <w:tcPr>
            <w:tcW w:w="489" w:type="pct"/>
            <w:vMerge w:val="continue"/>
            <w:shd w:val="clear" w:color="auto" w:fill="auto"/>
            <w:vAlign w:val="center"/>
          </w:tcPr>
          <w:p w14:paraId="5AA8E3D3">
            <w:pPr>
              <w:rPr>
                <w:highlight w:val="none"/>
                <w:lang w:bidi="ar"/>
              </w:rPr>
            </w:pPr>
          </w:p>
        </w:tc>
      </w:tr>
      <w:tr w14:paraId="0834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53A99402">
            <w:pPr>
              <w:pStyle w:val="36"/>
              <w:numPr>
                <w:ilvl w:val="0"/>
                <w:numId w:val="8"/>
              </w:numPr>
              <w:ind w:firstLineChars="0"/>
              <w:jc w:val="center"/>
              <w:rPr>
                <w:highlight w:val="none"/>
              </w:rPr>
            </w:pPr>
          </w:p>
        </w:tc>
        <w:tc>
          <w:tcPr>
            <w:tcW w:w="557" w:type="pct"/>
            <w:vMerge w:val="continue"/>
            <w:shd w:val="clear" w:color="auto" w:fill="auto"/>
            <w:vAlign w:val="center"/>
          </w:tcPr>
          <w:p w14:paraId="2B9FEE2A">
            <w:pPr>
              <w:rPr>
                <w:highlight w:val="none"/>
              </w:rPr>
            </w:pPr>
          </w:p>
        </w:tc>
        <w:tc>
          <w:tcPr>
            <w:tcW w:w="648" w:type="pct"/>
            <w:vMerge w:val="continue"/>
            <w:shd w:val="clear" w:color="auto" w:fill="auto"/>
            <w:vAlign w:val="center"/>
          </w:tcPr>
          <w:p w14:paraId="31808824">
            <w:pPr>
              <w:rPr>
                <w:highlight w:val="none"/>
                <w:lang w:bidi="ar"/>
              </w:rPr>
            </w:pPr>
          </w:p>
        </w:tc>
        <w:tc>
          <w:tcPr>
            <w:tcW w:w="907" w:type="pct"/>
            <w:shd w:val="clear" w:color="auto" w:fill="auto"/>
            <w:vAlign w:val="center"/>
          </w:tcPr>
          <w:p w14:paraId="2AF3A07A">
            <w:pPr>
              <w:rPr>
                <w:highlight w:val="none"/>
                <w:lang w:bidi="ar"/>
              </w:rPr>
            </w:pPr>
            <w:r>
              <w:rPr>
                <w:rFonts w:hint="eastAsia"/>
                <w:highlight w:val="none"/>
                <w:lang w:bidi="ar"/>
              </w:rPr>
              <w:t>系统配置</w:t>
            </w:r>
          </w:p>
        </w:tc>
        <w:tc>
          <w:tcPr>
            <w:tcW w:w="1529" w:type="pct"/>
            <w:shd w:val="clear" w:color="auto" w:fill="auto"/>
            <w:vAlign w:val="center"/>
          </w:tcPr>
          <w:p w14:paraId="5F60222A">
            <w:pPr>
              <w:rPr>
                <w:rFonts w:hint="eastAsia" w:hAnsi="宋体" w:cs="宋体"/>
                <w:highlight w:val="none"/>
                <w:lang w:bidi="ar"/>
              </w:rPr>
            </w:pPr>
            <w:r>
              <w:rPr>
                <w:rFonts w:hint="eastAsia" w:hAnsi="宋体" w:cs="宋体"/>
                <w:highlight w:val="none"/>
                <w:lang w:bidi="ar"/>
              </w:rPr>
              <w:t>1、系统支持对用户登陆新增、修改、删除；</w:t>
            </w:r>
          </w:p>
          <w:p w14:paraId="060B87CB">
            <w:pPr>
              <w:rPr>
                <w:rFonts w:hint="eastAsia" w:hAnsi="宋体" w:cs="宋体"/>
                <w:highlight w:val="none"/>
                <w:lang w:bidi="ar"/>
              </w:rPr>
            </w:pPr>
            <w:r>
              <w:rPr>
                <w:rFonts w:hint="eastAsia" w:hAnsi="宋体" w:cs="宋体"/>
                <w:highlight w:val="none"/>
                <w:lang w:bidi="ar"/>
              </w:rPr>
              <w:t>2、系统支持上传用户签名，与其他系统接口同步用户；</w:t>
            </w:r>
          </w:p>
          <w:p w14:paraId="036524C2">
            <w:pPr>
              <w:rPr>
                <w:rFonts w:hint="eastAsia" w:hAnsi="宋体" w:cs="宋体"/>
                <w:highlight w:val="none"/>
                <w:lang w:bidi="ar"/>
              </w:rPr>
            </w:pPr>
            <w:r>
              <w:rPr>
                <w:rFonts w:hint="eastAsia" w:hAnsi="宋体" w:cs="宋体"/>
                <w:highlight w:val="none"/>
                <w:lang w:bidi="ar"/>
              </w:rPr>
              <w:t>3、系统支持对角色管理，新增、修改、删除，管理当前角色所在的科室；同时支持对角色名进行搜索；</w:t>
            </w:r>
          </w:p>
          <w:p w14:paraId="5A3FC7D2">
            <w:pPr>
              <w:rPr>
                <w:rFonts w:hint="eastAsia" w:hAnsi="宋体" w:cs="宋体"/>
                <w:highlight w:val="none"/>
                <w:lang w:bidi="ar"/>
              </w:rPr>
            </w:pPr>
            <w:r>
              <w:rPr>
                <w:rFonts w:hint="eastAsia" w:hAnsi="宋体" w:cs="宋体"/>
                <w:highlight w:val="none"/>
                <w:lang w:bidi="ar"/>
              </w:rPr>
              <w:t>4、系统可对模板进行设置，按层级设置模板，可进行删除、编辑，新增模板分类，同时可设置模板参数；</w:t>
            </w:r>
          </w:p>
          <w:p w14:paraId="5BE1969C">
            <w:pPr>
              <w:rPr>
                <w:rFonts w:hint="eastAsia" w:hAnsi="宋体" w:cs="宋体"/>
                <w:highlight w:val="none"/>
                <w:lang w:bidi="ar"/>
              </w:rPr>
            </w:pPr>
            <w:r>
              <w:rPr>
                <w:rFonts w:hint="eastAsia" w:hAnsi="宋体" w:cs="宋体"/>
                <w:highlight w:val="none"/>
                <w:lang w:bidi="ar"/>
              </w:rPr>
              <w:t>5、支持对系统参数修改、设置；</w:t>
            </w:r>
          </w:p>
          <w:p w14:paraId="785BB7E9">
            <w:pPr>
              <w:rPr>
                <w:rFonts w:hint="eastAsia" w:hAnsi="宋体" w:cs="宋体"/>
                <w:highlight w:val="none"/>
                <w:lang w:bidi="ar"/>
              </w:rPr>
            </w:pPr>
            <w:r>
              <w:rPr>
                <w:rFonts w:hint="eastAsia" w:hAnsi="宋体" w:cs="宋体"/>
                <w:highlight w:val="none"/>
                <w:lang w:bidi="ar"/>
              </w:rPr>
              <w:t>6、系统支持部位管理，选择设备类型，可以支持修改删除；</w:t>
            </w:r>
          </w:p>
          <w:p w14:paraId="71AB4C4B">
            <w:pPr>
              <w:rPr>
                <w:rFonts w:hint="eastAsia" w:hAnsi="宋体" w:cs="宋体"/>
                <w:highlight w:val="none"/>
                <w:lang w:bidi="ar"/>
              </w:rPr>
            </w:pPr>
            <w:r>
              <w:rPr>
                <w:rFonts w:hint="eastAsia" w:hAnsi="宋体" w:cs="宋体"/>
                <w:highlight w:val="none"/>
                <w:lang w:bidi="ar"/>
              </w:rPr>
              <w:t>7、系统可对登录区域进行管理，输入区域名进行搜索，可新增和修改；</w:t>
            </w:r>
          </w:p>
          <w:p w14:paraId="539AD3C1">
            <w:pPr>
              <w:rPr>
                <w:rFonts w:hint="eastAsia" w:hAnsi="宋体" w:cs="宋体"/>
                <w:highlight w:val="none"/>
                <w:lang w:bidi="ar"/>
              </w:rPr>
            </w:pPr>
            <w:r>
              <w:rPr>
                <w:rFonts w:hint="eastAsia" w:hAnsi="宋体" w:cs="宋体"/>
                <w:highlight w:val="none"/>
                <w:lang w:bidi="ar"/>
              </w:rPr>
              <w:t>8、系统支持对设备进行维护管理，增加、修改、删除；</w:t>
            </w:r>
          </w:p>
          <w:p w14:paraId="75BA6C5A">
            <w:pPr>
              <w:rPr>
                <w:rFonts w:hint="eastAsia" w:hAnsi="宋体" w:cs="宋体"/>
                <w:highlight w:val="none"/>
                <w:lang w:bidi="ar"/>
              </w:rPr>
            </w:pPr>
            <w:r>
              <w:rPr>
                <w:rFonts w:hint="eastAsia" w:hAnsi="宋体" w:cs="宋体"/>
                <w:highlight w:val="none"/>
                <w:lang w:bidi="ar"/>
              </w:rPr>
              <w:t>9、系统支持对收费项目进行维护，可与其他平台同步，手工新增项目，对已经收费的项目不可删除；</w:t>
            </w:r>
          </w:p>
          <w:p w14:paraId="0BDB9F5A">
            <w:pPr>
              <w:rPr>
                <w:rFonts w:hint="eastAsia" w:hAnsi="宋体" w:cs="宋体"/>
                <w:highlight w:val="none"/>
                <w:lang w:bidi="ar"/>
              </w:rPr>
            </w:pPr>
            <w:r>
              <w:rPr>
                <w:rFonts w:hint="eastAsia" w:hAnsi="宋体" w:cs="宋体"/>
                <w:highlight w:val="none"/>
                <w:lang w:bidi="ar"/>
              </w:rPr>
              <w:t>10、系统支持对系统同步来的收费项目进行分类；</w:t>
            </w:r>
          </w:p>
          <w:p w14:paraId="037CED7B">
            <w:pPr>
              <w:rPr>
                <w:highlight w:val="none"/>
                <w:lang w:bidi="ar"/>
              </w:rPr>
            </w:pPr>
            <w:r>
              <w:rPr>
                <w:rFonts w:hint="eastAsia" w:hAnsi="宋体" w:cs="宋体"/>
                <w:highlight w:val="none"/>
                <w:lang w:bidi="ar"/>
              </w:rPr>
              <w:t>11、可提供系统锁定，医生可暂时离开锁定系统，避免他人篡改报告。</w:t>
            </w:r>
          </w:p>
        </w:tc>
        <w:tc>
          <w:tcPr>
            <w:tcW w:w="545" w:type="pct"/>
            <w:vMerge w:val="continue"/>
            <w:shd w:val="clear" w:color="auto" w:fill="auto"/>
            <w:vAlign w:val="center"/>
          </w:tcPr>
          <w:p w14:paraId="6AAF3A7C">
            <w:pPr>
              <w:jc w:val="center"/>
              <w:rPr>
                <w:rFonts w:hint="eastAsia" w:hAnsi="宋体" w:cs="宋体"/>
                <w:highlight w:val="none"/>
                <w:lang w:bidi="ar"/>
              </w:rPr>
            </w:pPr>
          </w:p>
        </w:tc>
        <w:tc>
          <w:tcPr>
            <w:tcW w:w="489" w:type="pct"/>
            <w:vMerge w:val="continue"/>
            <w:shd w:val="clear" w:color="auto" w:fill="auto"/>
            <w:vAlign w:val="center"/>
          </w:tcPr>
          <w:p w14:paraId="5F6386BB">
            <w:pPr>
              <w:rPr>
                <w:highlight w:val="none"/>
                <w:lang w:bidi="ar"/>
              </w:rPr>
            </w:pPr>
          </w:p>
        </w:tc>
      </w:tr>
      <w:tr w14:paraId="2D37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62ED9993">
            <w:pPr>
              <w:pStyle w:val="36"/>
              <w:numPr>
                <w:ilvl w:val="0"/>
                <w:numId w:val="8"/>
              </w:numPr>
              <w:ind w:firstLineChars="0"/>
              <w:jc w:val="center"/>
              <w:rPr>
                <w:highlight w:val="none"/>
              </w:rPr>
            </w:pPr>
          </w:p>
        </w:tc>
        <w:tc>
          <w:tcPr>
            <w:tcW w:w="557" w:type="pct"/>
            <w:vMerge w:val="continue"/>
            <w:shd w:val="clear" w:color="auto" w:fill="auto"/>
            <w:vAlign w:val="center"/>
          </w:tcPr>
          <w:p w14:paraId="502987D9">
            <w:pPr>
              <w:rPr>
                <w:highlight w:val="none"/>
              </w:rPr>
            </w:pPr>
          </w:p>
        </w:tc>
        <w:tc>
          <w:tcPr>
            <w:tcW w:w="648" w:type="pct"/>
            <w:vMerge w:val="restart"/>
            <w:shd w:val="clear" w:color="auto" w:fill="auto"/>
            <w:vAlign w:val="center"/>
          </w:tcPr>
          <w:p w14:paraId="644D7BCD">
            <w:pPr>
              <w:rPr>
                <w:highlight w:val="none"/>
                <w:lang w:bidi="ar"/>
              </w:rPr>
            </w:pPr>
            <w:r>
              <w:rPr>
                <w:rFonts w:hint="eastAsia"/>
                <w:highlight w:val="none"/>
                <w:lang w:bidi="ar"/>
              </w:rPr>
              <w:t>远程影像会诊平台</w:t>
            </w:r>
          </w:p>
        </w:tc>
        <w:tc>
          <w:tcPr>
            <w:tcW w:w="907" w:type="pct"/>
            <w:shd w:val="clear" w:color="auto" w:fill="auto"/>
            <w:vAlign w:val="center"/>
          </w:tcPr>
          <w:p w14:paraId="0B935DDD">
            <w:pPr>
              <w:rPr>
                <w:highlight w:val="none"/>
                <w:lang w:bidi="ar"/>
              </w:rPr>
            </w:pPr>
            <w:r>
              <w:rPr>
                <w:rFonts w:hint="eastAsia"/>
                <w:highlight w:val="none"/>
                <w:lang w:bidi="ar"/>
              </w:rPr>
              <w:t>公共诊室</w:t>
            </w:r>
          </w:p>
        </w:tc>
        <w:tc>
          <w:tcPr>
            <w:tcW w:w="1529" w:type="pct"/>
            <w:shd w:val="clear" w:color="auto" w:fill="auto"/>
            <w:vAlign w:val="center"/>
          </w:tcPr>
          <w:p w14:paraId="2F849A76">
            <w:pPr>
              <w:rPr>
                <w:rFonts w:hint="eastAsia" w:hAnsi="宋体" w:cs="宋体"/>
                <w:highlight w:val="none"/>
                <w:lang w:bidi="ar"/>
              </w:rPr>
            </w:pPr>
            <w:r>
              <w:rPr>
                <w:rFonts w:hint="eastAsia" w:hAnsi="宋体" w:cs="宋体"/>
                <w:highlight w:val="none"/>
                <w:lang w:bidi="ar"/>
              </w:rPr>
              <w:t>1、显示所有基医院申请上来的待诊断的病例。已超时的额病例显示在顶端（超时设置在参数设置中）；</w:t>
            </w:r>
          </w:p>
          <w:p w14:paraId="0D267D08">
            <w:pPr>
              <w:rPr>
                <w:highlight w:val="none"/>
                <w:lang w:bidi="ar"/>
              </w:rPr>
            </w:pPr>
            <w:r>
              <w:rPr>
                <w:rFonts w:hint="eastAsia" w:hAnsi="宋体" w:cs="宋体"/>
                <w:highlight w:val="none"/>
                <w:lang w:bidi="ar"/>
              </w:rPr>
              <w:t>2、报告医师可以直接打开书写报告，在书写报告的过程中，直接把当前病例加入到个人诊室中 。</w:t>
            </w:r>
          </w:p>
        </w:tc>
        <w:tc>
          <w:tcPr>
            <w:tcW w:w="545" w:type="pct"/>
            <w:vMerge w:val="restart"/>
            <w:shd w:val="clear" w:color="auto" w:fill="auto"/>
            <w:vAlign w:val="center"/>
          </w:tcPr>
          <w:p w14:paraId="18975F6B">
            <w:pPr>
              <w:jc w:val="center"/>
              <w:rPr>
                <w:rFonts w:hint="eastAsia" w:hAnsi="宋体" w:cs="宋体"/>
                <w:highlight w:val="none"/>
                <w:lang w:bidi="ar"/>
              </w:rPr>
            </w:pPr>
            <w:r>
              <w:rPr>
                <w:rFonts w:hint="eastAsia" w:hAnsi="宋体" w:cs="宋体"/>
                <w:highlight w:val="none"/>
                <w:lang w:bidi="ar"/>
              </w:rPr>
              <w:t>1套</w:t>
            </w:r>
          </w:p>
        </w:tc>
        <w:tc>
          <w:tcPr>
            <w:tcW w:w="489" w:type="pct"/>
            <w:vMerge w:val="restart"/>
            <w:shd w:val="clear" w:color="auto" w:fill="auto"/>
            <w:vAlign w:val="center"/>
          </w:tcPr>
          <w:p w14:paraId="0234589A">
            <w:pPr>
              <w:rPr>
                <w:highlight w:val="none"/>
                <w:lang w:bidi="ar"/>
              </w:rPr>
            </w:pPr>
          </w:p>
        </w:tc>
      </w:tr>
      <w:tr w14:paraId="0539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4EB763E8">
            <w:pPr>
              <w:pStyle w:val="36"/>
              <w:numPr>
                <w:ilvl w:val="0"/>
                <w:numId w:val="8"/>
              </w:numPr>
              <w:ind w:firstLineChars="0"/>
              <w:jc w:val="center"/>
              <w:rPr>
                <w:highlight w:val="none"/>
              </w:rPr>
            </w:pPr>
          </w:p>
        </w:tc>
        <w:tc>
          <w:tcPr>
            <w:tcW w:w="557" w:type="pct"/>
            <w:vMerge w:val="continue"/>
            <w:shd w:val="clear" w:color="auto" w:fill="auto"/>
            <w:vAlign w:val="center"/>
          </w:tcPr>
          <w:p w14:paraId="6C80ABAC">
            <w:pPr>
              <w:rPr>
                <w:highlight w:val="none"/>
              </w:rPr>
            </w:pPr>
          </w:p>
        </w:tc>
        <w:tc>
          <w:tcPr>
            <w:tcW w:w="648" w:type="pct"/>
            <w:vMerge w:val="continue"/>
            <w:shd w:val="clear" w:color="auto" w:fill="auto"/>
            <w:vAlign w:val="center"/>
          </w:tcPr>
          <w:p w14:paraId="1F46D102">
            <w:pPr>
              <w:rPr>
                <w:highlight w:val="none"/>
                <w:lang w:bidi="ar"/>
              </w:rPr>
            </w:pPr>
          </w:p>
        </w:tc>
        <w:tc>
          <w:tcPr>
            <w:tcW w:w="907" w:type="pct"/>
            <w:shd w:val="clear" w:color="auto" w:fill="auto"/>
            <w:vAlign w:val="center"/>
          </w:tcPr>
          <w:p w14:paraId="7ACD0660">
            <w:pPr>
              <w:rPr>
                <w:highlight w:val="none"/>
                <w:lang w:bidi="ar"/>
              </w:rPr>
            </w:pPr>
            <w:r>
              <w:rPr>
                <w:rFonts w:hint="eastAsia"/>
                <w:highlight w:val="none"/>
                <w:lang w:bidi="ar"/>
              </w:rPr>
              <w:t>个人诊室</w:t>
            </w:r>
          </w:p>
        </w:tc>
        <w:tc>
          <w:tcPr>
            <w:tcW w:w="1529" w:type="pct"/>
            <w:shd w:val="clear" w:color="auto" w:fill="auto"/>
            <w:vAlign w:val="center"/>
          </w:tcPr>
          <w:p w14:paraId="267A8A1C">
            <w:pPr>
              <w:rPr>
                <w:rFonts w:hint="eastAsia" w:hAnsi="宋体" w:cs="宋体"/>
                <w:highlight w:val="none"/>
                <w:lang w:bidi="ar"/>
              </w:rPr>
            </w:pPr>
            <w:r>
              <w:rPr>
                <w:rFonts w:hint="eastAsia" w:hAnsi="宋体" w:cs="宋体"/>
                <w:highlight w:val="none"/>
                <w:lang w:bidi="ar"/>
              </w:rPr>
              <w:t>1、个人诊室中可以查看未发布和已发布的病例，对于未发布的报告可以书写报告后审核，对于已发布的报告可以撤销和修改报告内容。</w:t>
            </w:r>
          </w:p>
        </w:tc>
        <w:tc>
          <w:tcPr>
            <w:tcW w:w="545" w:type="pct"/>
            <w:vMerge w:val="continue"/>
            <w:shd w:val="clear" w:color="auto" w:fill="auto"/>
            <w:vAlign w:val="center"/>
          </w:tcPr>
          <w:p w14:paraId="46112A1D">
            <w:pPr>
              <w:jc w:val="center"/>
              <w:rPr>
                <w:rFonts w:hint="eastAsia" w:hAnsi="宋体" w:cs="宋体"/>
                <w:highlight w:val="none"/>
                <w:lang w:bidi="ar"/>
              </w:rPr>
            </w:pPr>
          </w:p>
        </w:tc>
        <w:tc>
          <w:tcPr>
            <w:tcW w:w="489" w:type="pct"/>
            <w:vMerge w:val="continue"/>
            <w:shd w:val="clear" w:color="auto" w:fill="auto"/>
            <w:vAlign w:val="center"/>
          </w:tcPr>
          <w:p w14:paraId="1B89817D">
            <w:pPr>
              <w:rPr>
                <w:highlight w:val="none"/>
                <w:lang w:bidi="ar"/>
              </w:rPr>
            </w:pPr>
          </w:p>
        </w:tc>
      </w:tr>
      <w:tr w14:paraId="4D59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056E2F1E">
            <w:pPr>
              <w:pStyle w:val="36"/>
              <w:numPr>
                <w:ilvl w:val="0"/>
                <w:numId w:val="8"/>
              </w:numPr>
              <w:ind w:firstLineChars="0"/>
              <w:jc w:val="center"/>
              <w:rPr>
                <w:highlight w:val="none"/>
              </w:rPr>
            </w:pPr>
          </w:p>
        </w:tc>
        <w:tc>
          <w:tcPr>
            <w:tcW w:w="557" w:type="pct"/>
            <w:vMerge w:val="continue"/>
            <w:shd w:val="clear" w:color="auto" w:fill="auto"/>
            <w:vAlign w:val="center"/>
          </w:tcPr>
          <w:p w14:paraId="6F1254F5">
            <w:pPr>
              <w:rPr>
                <w:highlight w:val="none"/>
              </w:rPr>
            </w:pPr>
          </w:p>
        </w:tc>
        <w:tc>
          <w:tcPr>
            <w:tcW w:w="648" w:type="pct"/>
            <w:vMerge w:val="continue"/>
            <w:shd w:val="clear" w:color="auto" w:fill="auto"/>
            <w:vAlign w:val="center"/>
          </w:tcPr>
          <w:p w14:paraId="2D522AA6">
            <w:pPr>
              <w:rPr>
                <w:highlight w:val="none"/>
                <w:lang w:bidi="ar"/>
              </w:rPr>
            </w:pPr>
          </w:p>
        </w:tc>
        <w:tc>
          <w:tcPr>
            <w:tcW w:w="907" w:type="pct"/>
            <w:shd w:val="clear" w:color="auto" w:fill="auto"/>
            <w:vAlign w:val="center"/>
          </w:tcPr>
          <w:p w14:paraId="443AEEA8">
            <w:pPr>
              <w:rPr>
                <w:highlight w:val="none"/>
                <w:lang w:bidi="ar"/>
              </w:rPr>
            </w:pPr>
            <w:r>
              <w:rPr>
                <w:rFonts w:hint="eastAsia"/>
                <w:highlight w:val="none"/>
                <w:lang w:bidi="ar"/>
              </w:rPr>
              <w:t>报告书写</w:t>
            </w:r>
          </w:p>
        </w:tc>
        <w:tc>
          <w:tcPr>
            <w:tcW w:w="1529" w:type="pct"/>
            <w:shd w:val="clear" w:color="auto" w:fill="auto"/>
            <w:vAlign w:val="center"/>
          </w:tcPr>
          <w:p w14:paraId="23E28065">
            <w:pPr>
              <w:rPr>
                <w:rFonts w:hint="eastAsia" w:hAnsi="宋体" w:cs="宋体"/>
                <w:highlight w:val="none"/>
                <w:lang w:bidi="ar"/>
              </w:rPr>
            </w:pPr>
            <w:r>
              <w:rPr>
                <w:rFonts w:hint="eastAsia" w:hAnsi="宋体" w:cs="宋体"/>
                <w:highlight w:val="none"/>
                <w:lang w:bidi="ar"/>
              </w:rPr>
              <w:t>1、在书写报告时可以在报告页面打开当前病例的影像资料，达到边阅片边写报告的效果；</w:t>
            </w:r>
          </w:p>
          <w:p w14:paraId="4364629B">
            <w:pPr>
              <w:rPr>
                <w:rFonts w:hint="eastAsia" w:hAnsi="宋体" w:cs="宋体"/>
                <w:highlight w:val="none"/>
                <w:lang w:bidi="ar"/>
              </w:rPr>
            </w:pPr>
            <w:r>
              <w:rPr>
                <w:rFonts w:hint="eastAsia" w:hAnsi="宋体" w:cs="宋体"/>
                <w:highlight w:val="none"/>
                <w:lang w:bidi="ar"/>
              </w:rPr>
              <w:t>2、写报告页面能查看当前病例的基本信息、历史报告。书写过程中可直接应用报告的模板进行快速书写，起到提高工作效率的作用；</w:t>
            </w:r>
          </w:p>
          <w:p w14:paraId="7D27ABD2">
            <w:pPr>
              <w:rPr>
                <w:rFonts w:hint="eastAsia" w:hAnsi="宋体" w:cs="宋体"/>
                <w:highlight w:val="none"/>
                <w:lang w:bidi="ar"/>
              </w:rPr>
            </w:pPr>
            <w:r>
              <w:rPr>
                <w:rFonts w:hint="eastAsia" w:hAnsi="宋体" w:cs="宋体"/>
                <w:highlight w:val="none"/>
                <w:lang w:bidi="ar"/>
              </w:rPr>
              <w:t>3、在报告页面可以维护个人模板，且系统自动记录个人常用模板，常用的模板一直排列到最前；</w:t>
            </w:r>
          </w:p>
          <w:p w14:paraId="75F79D7C">
            <w:pPr>
              <w:rPr>
                <w:rFonts w:hint="eastAsia" w:hAnsi="宋体" w:cs="宋体"/>
                <w:highlight w:val="none"/>
                <w:lang w:bidi="ar"/>
              </w:rPr>
            </w:pPr>
            <w:r>
              <w:rPr>
                <w:rFonts w:hint="eastAsia" w:hAnsi="宋体" w:cs="宋体"/>
                <w:highlight w:val="none"/>
                <w:lang w:bidi="ar"/>
              </w:rPr>
              <w:t>4、报告轨迹：清晰记录了当前报告的一切行动轨迹，如书写者、发布者及发布时间等。</w:t>
            </w:r>
          </w:p>
        </w:tc>
        <w:tc>
          <w:tcPr>
            <w:tcW w:w="545" w:type="pct"/>
            <w:vMerge w:val="continue"/>
            <w:shd w:val="clear" w:color="auto" w:fill="auto"/>
            <w:vAlign w:val="center"/>
          </w:tcPr>
          <w:p w14:paraId="3761842D">
            <w:pPr>
              <w:jc w:val="center"/>
              <w:rPr>
                <w:rFonts w:hint="eastAsia" w:hAnsi="宋体" w:cs="宋体"/>
                <w:highlight w:val="none"/>
                <w:lang w:bidi="ar"/>
              </w:rPr>
            </w:pPr>
          </w:p>
        </w:tc>
        <w:tc>
          <w:tcPr>
            <w:tcW w:w="489" w:type="pct"/>
            <w:vMerge w:val="continue"/>
            <w:shd w:val="clear" w:color="auto" w:fill="auto"/>
            <w:vAlign w:val="center"/>
          </w:tcPr>
          <w:p w14:paraId="33187C01">
            <w:pPr>
              <w:rPr>
                <w:highlight w:val="none"/>
                <w:lang w:bidi="ar"/>
              </w:rPr>
            </w:pPr>
          </w:p>
        </w:tc>
      </w:tr>
      <w:tr w14:paraId="7578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1000B62E">
            <w:pPr>
              <w:pStyle w:val="36"/>
              <w:numPr>
                <w:ilvl w:val="0"/>
                <w:numId w:val="8"/>
              </w:numPr>
              <w:ind w:firstLineChars="0"/>
              <w:jc w:val="center"/>
              <w:rPr>
                <w:highlight w:val="none"/>
              </w:rPr>
            </w:pPr>
          </w:p>
        </w:tc>
        <w:tc>
          <w:tcPr>
            <w:tcW w:w="557" w:type="pct"/>
            <w:vMerge w:val="continue"/>
            <w:shd w:val="clear" w:color="auto" w:fill="auto"/>
            <w:vAlign w:val="center"/>
          </w:tcPr>
          <w:p w14:paraId="0659CCBE">
            <w:pPr>
              <w:rPr>
                <w:highlight w:val="none"/>
              </w:rPr>
            </w:pPr>
          </w:p>
        </w:tc>
        <w:tc>
          <w:tcPr>
            <w:tcW w:w="648" w:type="pct"/>
            <w:vMerge w:val="continue"/>
            <w:shd w:val="clear" w:color="auto" w:fill="auto"/>
            <w:vAlign w:val="center"/>
          </w:tcPr>
          <w:p w14:paraId="3E105A2F">
            <w:pPr>
              <w:rPr>
                <w:highlight w:val="none"/>
                <w:lang w:bidi="ar"/>
              </w:rPr>
            </w:pPr>
          </w:p>
        </w:tc>
        <w:tc>
          <w:tcPr>
            <w:tcW w:w="907" w:type="pct"/>
            <w:shd w:val="clear" w:color="auto" w:fill="auto"/>
            <w:vAlign w:val="center"/>
          </w:tcPr>
          <w:p w14:paraId="146089A7">
            <w:pPr>
              <w:rPr>
                <w:highlight w:val="none"/>
                <w:lang w:bidi="ar"/>
              </w:rPr>
            </w:pPr>
            <w:r>
              <w:rPr>
                <w:rFonts w:hint="eastAsia"/>
                <w:highlight w:val="none"/>
                <w:lang w:bidi="ar"/>
              </w:rPr>
              <w:t>统计查询</w:t>
            </w:r>
          </w:p>
        </w:tc>
        <w:tc>
          <w:tcPr>
            <w:tcW w:w="1529" w:type="pct"/>
            <w:shd w:val="clear" w:color="auto" w:fill="auto"/>
            <w:vAlign w:val="center"/>
          </w:tcPr>
          <w:p w14:paraId="568D9792">
            <w:pPr>
              <w:rPr>
                <w:rFonts w:hint="eastAsia" w:hAnsi="宋体" w:cs="宋体"/>
                <w:highlight w:val="none"/>
                <w:lang w:bidi="ar"/>
              </w:rPr>
            </w:pPr>
            <w:r>
              <w:rPr>
                <w:rFonts w:hint="eastAsia" w:hAnsi="宋体" w:cs="宋体"/>
                <w:highlight w:val="none"/>
                <w:lang w:bidi="ar"/>
              </w:rPr>
              <w:t>1、阳性统计为所有定性为阳性的病例；（阳性统计）；</w:t>
            </w:r>
          </w:p>
          <w:p w14:paraId="10FC95F5">
            <w:pPr>
              <w:rPr>
                <w:rFonts w:hint="eastAsia" w:hAnsi="宋体" w:cs="宋体"/>
                <w:highlight w:val="none"/>
                <w:lang w:bidi="ar"/>
              </w:rPr>
            </w:pPr>
            <w:r>
              <w:rPr>
                <w:rFonts w:hint="eastAsia" w:hAnsi="宋体" w:cs="宋体"/>
                <w:highlight w:val="none"/>
                <w:lang w:bidi="ar"/>
              </w:rPr>
              <w:t>2、可按照单个申请机构来进行筛查；（申请机构统计）；</w:t>
            </w:r>
          </w:p>
          <w:p w14:paraId="45118A48">
            <w:pPr>
              <w:rPr>
                <w:rFonts w:hint="eastAsia" w:hAnsi="宋体" w:cs="宋体"/>
                <w:highlight w:val="none"/>
                <w:lang w:bidi="ar"/>
              </w:rPr>
            </w:pPr>
            <w:r>
              <w:rPr>
                <w:rFonts w:hint="eastAsia" w:hAnsi="宋体" w:cs="宋体"/>
                <w:highlight w:val="none"/>
                <w:lang w:bidi="ar"/>
              </w:rPr>
              <w:t>3、可按指定时间段进行筛查；</w:t>
            </w:r>
          </w:p>
          <w:p w14:paraId="4CF2C16D">
            <w:pPr>
              <w:rPr>
                <w:rFonts w:hint="eastAsia" w:hAnsi="宋体" w:cs="宋体"/>
                <w:highlight w:val="none"/>
                <w:lang w:bidi="ar"/>
              </w:rPr>
            </w:pPr>
            <w:r>
              <w:rPr>
                <w:rFonts w:hint="eastAsia" w:hAnsi="宋体" w:cs="宋体"/>
                <w:highlight w:val="none"/>
                <w:lang w:bidi="ar"/>
              </w:rPr>
              <w:t>4、支持查看每个科员的工作量，辅助医院做绩效考核；</w:t>
            </w:r>
          </w:p>
          <w:p w14:paraId="17F34133">
            <w:pPr>
              <w:rPr>
                <w:rFonts w:hint="eastAsia" w:hAnsi="宋体" w:cs="宋体"/>
                <w:highlight w:val="none"/>
                <w:lang w:bidi="ar"/>
              </w:rPr>
            </w:pPr>
            <w:r>
              <w:rPr>
                <w:rFonts w:hint="eastAsia" w:hAnsi="宋体" w:cs="宋体"/>
                <w:highlight w:val="none"/>
                <w:lang w:bidi="ar"/>
              </w:rPr>
              <w:t>5、各基层医院的申请量统计；</w:t>
            </w:r>
          </w:p>
          <w:p w14:paraId="6A1909C2">
            <w:pPr>
              <w:rPr>
                <w:rFonts w:hint="eastAsia" w:hAnsi="宋体" w:cs="宋体"/>
                <w:highlight w:val="none"/>
                <w:lang w:bidi="ar"/>
              </w:rPr>
            </w:pPr>
            <w:r>
              <w:rPr>
                <w:rFonts w:hint="eastAsia" w:hAnsi="宋体" w:cs="宋体"/>
                <w:highlight w:val="none"/>
                <w:lang w:bidi="ar"/>
              </w:rPr>
              <w:t>6、可批量导出EXCEL表格内容。</w:t>
            </w:r>
          </w:p>
        </w:tc>
        <w:tc>
          <w:tcPr>
            <w:tcW w:w="545" w:type="pct"/>
            <w:vMerge w:val="continue"/>
            <w:shd w:val="clear" w:color="auto" w:fill="auto"/>
            <w:vAlign w:val="center"/>
          </w:tcPr>
          <w:p w14:paraId="5D983536">
            <w:pPr>
              <w:jc w:val="center"/>
              <w:rPr>
                <w:rFonts w:hint="eastAsia" w:hAnsi="宋体" w:cs="宋体"/>
                <w:highlight w:val="none"/>
                <w:lang w:bidi="ar"/>
              </w:rPr>
            </w:pPr>
          </w:p>
        </w:tc>
        <w:tc>
          <w:tcPr>
            <w:tcW w:w="489" w:type="pct"/>
            <w:vMerge w:val="continue"/>
            <w:shd w:val="clear" w:color="auto" w:fill="auto"/>
            <w:vAlign w:val="center"/>
          </w:tcPr>
          <w:p w14:paraId="333E3B60">
            <w:pPr>
              <w:rPr>
                <w:highlight w:val="none"/>
                <w:lang w:bidi="ar"/>
              </w:rPr>
            </w:pPr>
          </w:p>
        </w:tc>
      </w:tr>
      <w:tr w14:paraId="0555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2DF0C4BA">
            <w:pPr>
              <w:pStyle w:val="36"/>
              <w:numPr>
                <w:ilvl w:val="0"/>
                <w:numId w:val="8"/>
              </w:numPr>
              <w:ind w:firstLineChars="0"/>
              <w:jc w:val="center"/>
              <w:rPr>
                <w:highlight w:val="none"/>
              </w:rPr>
            </w:pPr>
          </w:p>
        </w:tc>
        <w:tc>
          <w:tcPr>
            <w:tcW w:w="557" w:type="pct"/>
            <w:vMerge w:val="continue"/>
            <w:shd w:val="clear" w:color="auto" w:fill="auto"/>
            <w:vAlign w:val="center"/>
          </w:tcPr>
          <w:p w14:paraId="08B7E805">
            <w:pPr>
              <w:rPr>
                <w:highlight w:val="none"/>
              </w:rPr>
            </w:pPr>
          </w:p>
        </w:tc>
        <w:tc>
          <w:tcPr>
            <w:tcW w:w="648" w:type="pct"/>
            <w:vMerge w:val="continue"/>
            <w:shd w:val="clear" w:color="auto" w:fill="auto"/>
            <w:vAlign w:val="center"/>
          </w:tcPr>
          <w:p w14:paraId="124CB022">
            <w:pPr>
              <w:rPr>
                <w:highlight w:val="none"/>
                <w:lang w:bidi="ar"/>
              </w:rPr>
            </w:pPr>
          </w:p>
        </w:tc>
        <w:tc>
          <w:tcPr>
            <w:tcW w:w="907" w:type="pct"/>
            <w:shd w:val="clear" w:color="auto" w:fill="auto"/>
            <w:vAlign w:val="center"/>
          </w:tcPr>
          <w:p w14:paraId="230DB131">
            <w:pPr>
              <w:rPr>
                <w:highlight w:val="none"/>
                <w:lang w:bidi="ar"/>
              </w:rPr>
            </w:pPr>
            <w:r>
              <w:rPr>
                <w:rFonts w:hint="eastAsia"/>
                <w:highlight w:val="none"/>
                <w:lang w:bidi="ar"/>
              </w:rPr>
              <w:t>字典维护</w:t>
            </w:r>
          </w:p>
        </w:tc>
        <w:tc>
          <w:tcPr>
            <w:tcW w:w="1529" w:type="pct"/>
            <w:shd w:val="clear" w:color="auto" w:fill="auto"/>
            <w:vAlign w:val="center"/>
          </w:tcPr>
          <w:p w14:paraId="5F53580D">
            <w:pPr>
              <w:rPr>
                <w:rFonts w:hint="eastAsia" w:hAnsi="宋体" w:cs="宋体"/>
                <w:highlight w:val="none"/>
                <w:lang w:bidi="ar"/>
              </w:rPr>
            </w:pPr>
            <w:r>
              <w:rPr>
                <w:rFonts w:hint="eastAsia" w:hAnsi="宋体" w:cs="宋体"/>
                <w:highlight w:val="none"/>
                <w:lang w:bidi="ar"/>
              </w:rPr>
              <w:t>1、支持对列表内为所有系统用户的人员管理；</w:t>
            </w:r>
          </w:p>
          <w:p w14:paraId="1B65CDDB">
            <w:pPr>
              <w:rPr>
                <w:rFonts w:hint="eastAsia" w:hAnsi="宋体" w:cs="宋体"/>
                <w:highlight w:val="none"/>
                <w:lang w:bidi="ar"/>
              </w:rPr>
            </w:pPr>
            <w:r>
              <w:rPr>
                <w:rFonts w:hint="eastAsia" w:hAnsi="宋体" w:cs="宋体"/>
                <w:highlight w:val="none"/>
                <w:lang w:bidi="ar"/>
              </w:rPr>
              <w:t>2、可新增或删除一个系统用户，给用户指定系统角色，角色又绑定相对应权限（权限在角色管理中说明）；（用户管理）</w:t>
            </w:r>
          </w:p>
          <w:p w14:paraId="2B9709F3">
            <w:pPr>
              <w:rPr>
                <w:rFonts w:hint="eastAsia" w:hAnsi="宋体" w:cs="宋体"/>
                <w:highlight w:val="none"/>
                <w:lang w:bidi="ar"/>
              </w:rPr>
            </w:pPr>
            <w:r>
              <w:rPr>
                <w:rFonts w:hint="eastAsia" w:hAnsi="宋体" w:cs="宋体"/>
                <w:highlight w:val="none"/>
                <w:lang w:bidi="ar"/>
              </w:rPr>
              <w:t>3、可建立多个系统角色，对不同的角色开放不同的权限；</w:t>
            </w:r>
          </w:p>
          <w:p w14:paraId="5C657C61">
            <w:pPr>
              <w:rPr>
                <w:rFonts w:hint="eastAsia" w:hAnsi="宋体" w:cs="宋体"/>
                <w:highlight w:val="none"/>
                <w:lang w:bidi="ar"/>
              </w:rPr>
            </w:pPr>
            <w:r>
              <w:rPr>
                <w:rFonts w:hint="eastAsia" w:hAnsi="宋体" w:cs="宋体"/>
                <w:highlight w:val="none"/>
                <w:lang w:bidi="ar"/>
              </w:rPr>
              <w:t>4、支持对现有的模板进行管理和维护；</w:t>
            </w:r>
          </w:p>
          <w:p w14:paraId="3C616B8E">
            <w:pPr>
              <w:rPr>
                <w:rFonts w:hint="eastAsia" w:hAnsi="宋体" w:cs="宋体"/>
                <w:highlight w:val="none"/>
                <w:lang w:bidi="ar"/>
              </w:rPr>
            </w:pPr>
            <w:r>
              <w:rPr>
                <w:rFonts w:hint="eastAsia" w:hAnsi="宋体" w:cs="宋体"/>
                <w:highlight w:val="none"/>
                <w:lang w:bidi="ar"/>
              </w:rPr>
              <w:t>5、可新增和删除模板，可以对已经保存的模板进行编辑修改。</w:t>
            </w:r>
          </w:p>
        </w:tc>
        <w:tc>
          <w:tcPr>
            <w:tcW w:w="545" w:type="pct"/>
            <w:vMerge w:val="continue"/>
            <w:shd w:val="clear" w:color="auto" w:fill="auto"/>
            <w:vAlign w:val="center"/>
          </w:tcPr>
          <w:p w14:paraId="00680A05">
            <w:pPr>
              <w:jc w:val="center"/>
              <w:rPr>
                <w:rFonts w:hint="eastAsia" w:hAnsi="宋体" w:cs="宋体"/>
                <w:highlight w:val="none"/>
                <w:lang w:bidi="ar"/>
              </w:rPr>
            </w:pPr>
          </w:p>
        </w:tc>
        <w:tc>
          <w:tcPr>
            <w:tcW w:w="489" w:type="pct"/>
            <w:vMerge w:val="continue"/>
            <w:shd w:val="clear" w:color="auto" w:fill="auto"/>
            <w:vAlign w:val="center"/>
          </w:tcPr>
          <w:p w14:paraId="325516B8">
            <w:pPr>
              <w:rPr>
                <w:highlight w:val="none"/>
                <w:lang w:bidi="ar"/>
              </w:rPr>
            </w:pPr>
          </w:p>
        </w:tc>
      </w:tr>
      <w:tr w14:paraId="2798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34898E12">
            <w:pPr>
              <w:pStyle w:val="36"/>
              <w:numPr>
                <w:ilvl w:val="0"/>
                <w:numId w:val="8"/>
              </w:numPr>
              <w:ind w:firstLineChars="0"/>
              <w:jc w:val="center"/>
              <w:rPr>
                <w:highlight w:val="none"/>
              </w:rPr>
            </w:pPr>
          </w:p>
        </w:tc>
        <w:tc>
          <w:tcPr>
            <w:tcW w:w="557" w:type="pct"/>
            <w:vMerge w:val="continue"/>
            <w:shd w:val="clear" w:color="auto" w:fill="auto"/>
            <w:vAlign w:val="center"/>
          </w:tcPr>
          <w:p w14:paraId="1C1C1917">
            <w:pPr>
              <w:rPr>
                <w:highlight w:val="none"/>
              </w:rPr>
            </w:pPr>
          </w:p>
        </w:tc>
        <w:tc>
          <w:tcPr>
            <w:tcW w:w="1555" w:type="pct"/>
            <w:gridSpan w:val="2"/>
            <w:shd w:val="clear" w:color="auto" w:fill="auto"/>
            <w:vAlign w:val="center"/>
          </w:tcPr>
          <w:p w14:paraId="7CFB44F1">
            <w:pPr>
              <w:rPr>
                <w:highlight w:val="none"/>
                <w:lang w:bidi="ar"/>
              </w:rPr>
            </w:pPr>
            <w:r>
              <w:rPr>
                <w:rFonts w:hint="eastAsia"/>
                <w:highlight w:val="none"/>
                <w:lang w:bidi="ar"/>
              </w:rPr>
              <w:t>县域影像诊断中心</w:t>
            </w:r>
          </w:p>
        </w:tc>
        <w:tc>
          <w:tcPr>
            <w:tcW w:w="1529" w:type="pct"/>
            <w:shd w:val="clear" w:color="auto" w:fill="auto"/>
            <w:vAlign w:val="center"/>
          </w:tcPr>
          <w:p w14:paraId="4E90DD97">
            <w:pPr>
              <w:rPr>
                <w:rFonts w:hint="eastAsia" w:hAnsi="宋体" w:cs="宋体"/>
                <w:highlight w:val="none"/>
                <w:lang w:bidi="ar"/>
              </w:rPr>
            </w:pPr>
            <w:r>
              <w:rPr>
                <w:rFonts w:hint="eastAsia" w:hAnsi="宋体" w:cs="宋体"/>
                <w:highlight w:val="none"/>
                <w:lang w:bidi="ar"/>
              </w:rPr>
              <w:t>1、在诊断中心中，显示的均为待审核的报告；</w:t>
            </w:r>
          </w:p>
          <w:p w14:paraId="2691D66E">
            <w:pPr>
              <w:rPr>
                <w:rFonts w:hint="eastAsia" w:hAnsi="宋体" w:cs="宋体"/>
                <w:highlight w:val="none"/>
                <w:lang w:bidi="ar"/>
              </w:rPr>
            </w:pPr>
            <w:r>
              <w:rPr>
                <w:rFonts w:hint="eastAsia" w:hAnsi="宋体" w:cs="宋体"/>
                <w:highlight w:val="none"/>
                <w:lang w:bidi="ar"/>
              </w:rPr>
              <w:t>2、审核医师可查看病例的影像资料及报告内容直接审核进行发布；</w:t>
            </w:r>
          </w:p>
          <w:p w14:paraId="43DBF501">
            <w:pPr>
              <w:rPr>
                <w:rFonts w:hint="eastAsia" w:hAnsi="宋体" w:cs="宋体"/>
                <w:highlight w:val="none"/>
                <w:lang w:bidi="ar"/>
              </w:rPr>
            </w:pPr>
            <w:r>
              <w:rPr>
                <w:rFonts w:hint="eastAsia" w:hAnsi="宋体" w:cs="宋体"/>
                <w:highlight w:val="none"/>
                <w:lang w:bidi="ar"/>
              </w:rPr>
              <w:t>3、主任医师可把待审核的报告指派给其他具有审核权限的医师进行审核起到工作量分流的作用，并层层把关提高诊断质量；</w:t>
            </w:r>
          </w:p>
          <w:p w14:paraId="6853064C">
            <w:pPr>
              <w:rPr>
                <w:rFonts w:hint="eastAsia" w:hAnsi="宋体" w:cs="宋体"/>
                <w:highlight w:val="none"/>
                <w:lang w:bidi="ar"/>
              </w:rPr>
            </w:pPr>
            <w:r>
              <w:rPr>
                <w:rFonts w:hint="eastAsia" w:hAnsi="宋体" w:cs="宋体"/>
                <w:highlight w:val="none"/>
                <w:lang w:bidi="ar"/>
              </w:rPr>
              <w:t>4、诊断中心分为已发布和未发布的病例；</w:t>
            </w:r>
          </w:p>
          <w:p w14:paraId="542570C4">
            <w:pPr>
              <w:rPr>
                <w:rFonts w:hint="eastAsia" w:hAnsi="宋体" w:cs="宋体"/>
                <w:highlight w:val="none"/>
                <w:lang w:bidi="ar"/>
              </w:rPr>
            </w:pPr>
            <w:r>
              <w:rPr>
                <w:rFonts w:hint="eastAsia" w:hAnsi="宋体" w:cs="宋体"/>
                <w:highlight w:val="none"/>
                <w:lang w:bidi="ar"/>
              </w:rPr>
              <w:t>5、未发布的均为待审核的报告，发现书写不正确的报告，审核医师可直接修正报告内容或者驳回当前报告；</w:t>
            </w:r>
          </w:p>
          <w:p w14:paraId="3B640345">
            <w:pPr>
              <w:rPr>
                <w:highlight w:val="none"/>
                <w:lang w:bidi="ar"/>
              </w:rPr>
            </w:pPr>
            <w:r>
              <w:rPr>
                <w:rFonts w:hint="eastAsia" w:hAnsi="宋体" w:cs="宋体"/>
                <w:highlight w:val="none"/>
                <w:lang w:bidi="ar"/>
              </w:rPr>
              <w:t>6、已发布的均为审核通过的报告，同时发布后的报告都可撤销。</w:t>
            </w:r>
          </w:p>
        </w:tc>
        <w:tc>
          <w:tcPr>
            <w:tcW w:w="545" w:type="pct"/>
            <w:shd w:val="clear" w:color="auto" w:fill="auto"/>
            <w:vAlign w:val="center"/>
          </w:tcPr>
          <w:p w14:paraId="06DE2F68">
            <w:pPr>
              <w:jc w:val="center"/>
              <w:rPr>
                <w:rFonts w:hint="eastAsia" w:hAnsi="宋体" w:cs="宋体"/>
                <w:highlight w:val="none"/>
                <w:lang w:bidi="ar"/>
              </w:rPr>
            </w:pPr>
            <w:r>
              <w:rPr>
                <w:rFonts w:hint="eastAsia" w:hAnsi="宋体" w:cs="宋体"/>
                <w:highlight w:val="none"/>
                <w:lang w:bidi="ar"/>
              </w:rPr>
              <w:t>1套</w:t>
            </w:r>
          </w:p>
        </w:tc>
        <w:tc>
          <w:tcPr>
            <w:tcW w:w="489" w:type="pct"/>
            <w:shd w:val="clear" w:color="auto" w:fill="auto"/>
            <w:vAlign w:val="center"/>
          </w:tcPr>
          <w:p w14:paraId="14CD6B3F">
            <w:pPr>
              <w:rPr>
                <w:highlight w:val="none"/>
                <w:lang w:bidi="ar"/>
              </w:rPr>
            </w:pPr>
          </w:p>
        </w:tc>
      </w:tr>
      <w:tr w14:paraId="1D58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0E6F70D5">
            <w:pPr>
              <w:pStyle w:val="36"/>
              <w:numPr>
                <w:ilvl w:val="0"/>
                <w:numId w:val="8"/>
              </w:numPr>
              <w:ind w:firstLineChars="0"/>
              <w:jc w:val="center"/>
              <w:rPr>
                <w:highlight w:val="none"/>
              </w:rPr>
            </w:pPr>
          </w:p>
        </w:tc>
        <w:tc>
          <w:tcPr>
            <w:tcW w:w="557" w:type="pct"/>
            <w:shd w:val="clear" w:color="auto" w:fill="auto"/>
            <w:vAlign w:val="center"/>
          </w:tcPr>
          <w:p w14:paraId="64484171">
            <w:pPr>
              <w:widowControl/>
              <w:rPr>
                <w:rFonts w:hint="eastAsia" w:hAnsi="宋体" w:cs="宋体"/>
                <w:color w:val="000000"/>
                <w:szCs w:val="21"/>
                <w:highlight w:val="none"/>
              </w:rPr>
            </w:pPr>
            <w:r>
              <w:rPr>
                <w:rFonts w:hint="eastAsia" w:hAnsi="宋体" w:cs="宋体"/>
                <w:color w:val="000000"/>
                <w:szCs w:val="21"/>
                <w:highlight w:val="none"/>
              </w:rPr>
              <w:t>超融合</w:t>
            </w:r>
          </w:p>
          <w:p w14:paraId="43037061">
            <w:pPr>
              <w:rPr>
                <w:highlight w:val="none"/>
              </w:rPr>
            </w:pPr>
            <w:r>
              <w:rPr>
                <w:rFonts w:hint="eastAsia" w:hAnsi="宋体" w:cs="宋体"/>
                <w:sz w:val="18"/>
                <w:szCs w:val="18"/>
                <w:highlight w:val="none"/>
              </w:rPr>
              <w:t>一体机</w:t>
            </w:r>
          </w:p>
        </w:tc>
        <w:tc>
          <w:tcPr>
            <w:tcW w:w="3084" w:type="pct"/>
            <w:gridSpan w:val="3"/>
            <w:shd w:val="clear" w:color="auto" w:fill="auto"/>
            <w:vAlign w:val="center"/>
          </w:tcPr>
          <w:p w14:paraId="75FB1B64">
            <w:pPr>
              <w:widowControl/>
              <w:jc w:val="left"/>
              <w:rPr>
                <w:rFonts w:hint="eastAsia" w:hAnsi="宋体" w:cs="宋体"/>
                <w:szCs w:val="21"/>
                <w:highlight w:val="none"/>
              </w:rPr>
            </w:pPr>
            <w:r>
              <w:rPr>
                <w:rFonts w:hint="eastAsia" w:hAnsi="宋体" w:cs="宋体"/>
                <w:szCs w:val="21"/>
                <w:highlight w:val="none"/>
              </w:rPr>
              <w:t>1、处理器：≥2颗处理器，主频≥2.1GHz，每颗CPU≥26核；</w:t>
            </w:r>
          </w:p>
          <w:p w14:paraId="3D56C995">
            <w:pPr>
              <w:widowControl/>
              <w:jc w:val="left"/>
              <w:rPr>
                <w:rFonts w:hint="eastAsia" w:hAnsi="宋体" w:cs="宋体"/>
                <w:szCs w:val="21"/>
                <w:highlight w:val="none"/>
              </w:rPr>
            </w:pPr>
            <w:r>
              <w:rPr>
                <w:rFonts w:hint="eastAsia" w:hAnsi="宋体" w:cs="宋体"/>
                <w:szCs w:val="21"/>
                <w:highlight w:val="none"/>
              </w:rPr>
              <w:t>2、内存：≥6*32GB RDIMM DDR4 内存；</w:t>
            </w:r>
          </w:p>
          <w:p w14:paraId="45803584">
            <w:pPr>
              <w:widowControl/>
              <w:jc w:val="left"/>
              <w:rPr>
                <w:rFonts w:hint="eastAsia" w:hAnsi="宋体" w:cs="宋体"/>
                <w:szCs w:val="21"/>
                <w:highlight w:val="none"/>
              </w:rPr>
            </w:pPr>
            <w:r>
              <w:rPr>
                <w:rFonts w:hint="eastAsia" w:hAnsi="宋体" w:cs="宋体"/>
                <w:szCs w:val="21"/>
                <w:highlight w:val="none"/>
              </w:rPr>
              <w:t>3、硬盘：≥2块1200GB SAS系统盘，≥2*1.6TB NVME 缓存盘， ≥5*8TB SATA数据盘；</w:t>
            </w:r>
          </w:p>
          <w:p w14:paraId="6291E15E">
            <w:pPr>
              <w:widowControl/>
              <w:jc w:val="left"/>
              <w:rPr>
                <w:rFonts w:hint="eastAsia" w:hAnsi="宋体" w:cs="宋体"/>
                <w:szCs w:val="21"/>
                <w:highlight w:val="none"/>
              </w:rPr>
            </w:pPr>
            <w:r>
              <w:rPr>
                <w:rFonts w:hint="eastAsia" w:hAnsi="宋体" w:cs="宋体"/>
                <w:szCs w:val="21"/>
                <w:highlight w:val="none"/>
              </w:rPr>
              <w:t>4、接口：≥2个万兆光口（含模块）≥2个千兆电口；</w:t>
            </w:r>
          </w:p>
          <w:p w14:paraId="117FB9E1">
            <w:pPr>
              <w:widowControl/>
              <w:jc w:val="left"/>
              <w:rPr>
                <w:rFonts w:hint="eastAsia" w:hAnsi="宋体" w:cs="宋体"/>
                <w:szCs w:val="21"/>
                <w:highlight w:val="none"/>
              </w:rPr>
            </w:pPr>
            <w:r>
              <w:rPr>
                <w:rFonts w:hint="eastAsia" w:hAnsi="宋体" w:cs="宋体"/>
                <w:szCs w:val="21"/>
                <w:highlight w:val="none"/>
              </w:rPr>
              <w:t>5、RAID卡：2GB 缓存，支持RAID 0,1,5,6,10,50,60；</w:t>
            </w:r>
          </w:p>
          <w:p w14:paraId="6C0AA156">
            <w:pPr>
              <w:widowControl/>
              <w:jc w:val="left"/>
              <w:rPr>
                <w:rFonts w:hint="eastAsia" w:hAnsi="宋体" w:cs="宋体"/>
                <w:szCs w:val="21"/>
                <w:highlight w:val="none"/>
              </w:rPr>
            </w:pPr>
            <w:r>
              <w:rPr>
                <w:rFonts w:hint="eastAsia" w:hAnsi="宋体" w:cs="宋体"/>
                <w:szCs w:val="21"/>
                <w:highlight w:val="none"/>
              </w:rPr>
              <w:t>计算虚拟化：</w:t>
            </w:r>
          </w:p>
          <w:p w14:paraId="6EDC4DB6">
            <w:pPr>
              <w:widowControl/>
              <w:jc w:val="left"/>
              <w:rPr>
                <w:rFonts w:hint="eastAsia" w:hAnsi="宋体" w:cs="宋体"/>
                <w:szCs w:val="21"/>
                <w:highlight w:val="none"/>
              </w:rPr>
            </w:pPr>
            <w:r>
              <w:rPr>
                <w:rFonts w:hint="eastAsia" w:hAnsi="宋体" w:cs="宋体"/>
                <w:szCs w:val="21"/>
                <w:highlight w:val="none"/>
              </w:rPr>
              <w:t>1、支持虚拟机的CPU 、内存、存储 的QoS设置，满足不同应用的性能需求；</w:t>
            </w:r>
          </w:p>
          <w:p w14:paraId="149E277F">
            <w:pPr>
              <w:widowControl/>
              <w:jc w:val="left"/>
              <w:rPr>
                <w:rFonts w:hint="eastAsia" w:hAnsi="宋体" w:cs="宋体"/>
                <w:szCs w:val="21"/>
                <w:highlight w:val="none"/>
              </w:rPr>
            </w:pPr>
            <w:r>
              <w:rPr>
                <w:rFonts w:hint="eastAsia" w:hAnsi="宋体" w:cs="宋体"/>
                <w:szCs w:val="21"/>
                <w:highlight w:val="none"/>
              </w:rPr>
              <w:t>2、支持以集群为单位设置跨代CPU虚拟机热迁移属性．支持同一CPU厂商不同CPU型号服务器组建在同一逻辑集群中,并且支持虚拟机在不同CPU型号服务器之间进行业务不中断热迁移；</w:t>
            </w:r>
          </w:p>
          <w:p w14:paraId="125DE7AA">
            <w:pPr>
              <w:widowControl/>
              <w:jc w:val="left"/>
              <w:rPr>
                <w:rFonts w:hint="eastAsia" w:hAnsi="宋体" w:cs="宋体"/>
                <w:szCs w:val="21"/>
                <w:highlight w:val="none"/>
              </w:rPr>
            </w:pPr>
            <w:r>
              <w:rPr>
                <w:rFonts w:hint="eastAsia" w:hAnsi="宋体" w:cs="宋体"/>
                <w:szCs w:val="21"/>
                <w:highlight w:val="none"/>
              </w:rPr>
              <w:t>存储虚拟化：</w:t>
            </w:r>
          </w:p>
          <w:p w14:paraId="378D24E6">
            <w:pPr>
              <w:widowControl/>
              <w:jc w:val="left"/>
              <w:rPr>
                <w:rFonts w:hint="eastAsia" w:hAnsi="宋体" w:cs="宋体"/>
                <w:szCs w:val="21"/>
                <w:highlight w:val="none"/>
              </w:rPr>
            </w:pPr>
            <w:r>
              <w:rPr>
                <w:rFonts w:hint="eastAsia" w:hAnsi="宋体" w:cs="宋体"/>
                <w:szCs w:val="21"/>
                <w:highlight w:val="none"/>
              </w:rPr>
              <w:t>1、支持灵活的EC配比，最大支持22+2冗余配置，提升磁盘利用率；支持EC折叠（4+2:1,6+2:1,8+2:1等），满足最小集群三节点起步；</w:t>
            </w:r>
          </w:p>
          <w:p w14:paraId="3CCD519D">
            <w:pPr>
              <w:widowControl/>
              <w:jc w:val="left"/>
              <w:rPr>
                <w:rFonts w:hint="eastAsia" w:hAnsi="宋体" w:cs="宋体"/>
                <w:szCs w:val="21"/>
                <w:highlight w:val="none"/>
              </w:rPr>
            </w:pPr>
            <w:r>
              <w:rPr>
                <w:rFonts w:hint="eastAsia" w:hAnsi="宋体" w:cs="宋体"/>
                <w:szCs w:val="21"/>
                <w:highlight w:val="none"/>
              </w:rPr>
              <w:t>2、支持创建精简配置卷，系统应该根据精简配置卷的实际使用情况动态分配空间，提供存储资源利用率；</w:t>
            </w:r>
          </w:p>
          <w:p w14:paraId="2BC0C782">
            <w:pPr>
              <w:widowControl/>
              <w:jc w:val="left"/>
              <w:rPr>
                <w:rFonts w:hint="eastAsia" w:hAnsi="宋体" w:cs="宋体"/>
                <w:szCs w:val="21"/>
                <w:highlight w:val="none"/>
              </w:rPr>
            </w:pPr>
            <w:r>
              <w:rPr>
                <w:rFonts w:hint="eastAsia" w:hAnsi="宋体" w:cs="宋体"/>
                <w:szCs w:val="21"/>
                <w:highlight w:val="none"/>
              </w:rPr>
              <w:t>网络虚拟化：</w:t>
            </w:r>
          </w:p>
          <w:p w14:paraId="1DB2870B">
            <w:pPr>
              <w:widowControl/>
              <w:jc w:val="left"/>
              <w:rPr>
                <w:rFonts w:hint="eastAsia" w:hAnsi="宋体" w:cs="宋体"/>
                <w:szCs w:val="21"/>
                <w:highlight w:val="none"/>
              </w:rPr>
            </w:pPr>
            <w:r>
              <w:rPr>
                <w:rFonts w:hint="eastAsia" w:hAnsi="宋体" w:cs="宋体"/>
                <w:szCs w:val="21"/>
                <w:highlight w:val="none"/>
              </w:rPr>
              <w:t>1、支持虚拟交换机，通过对接受和发送的流量进行整形保证网络质量，至少支持安全组、平均带宽、峰值带宽、突发大小、优先级、DHCP隔离、广播抑制、TCP校验和的设置；</w:t>
            </w:r>
          </w:p>
          <w:p w14:paraId="64F3690A">
            <w:pPr>
              <w:rPr>
                <w:rFonts w:hint="eastAsia" w:hAnsi="宋体" w:cs="宋体"/>
                <w:szCs w:val="21"/>
                <w:highlight w:val="none"/>
              </w:rPr>
            </w:pPr>
            <w:r>
              <w:rPr>
                <w:rFonts w:hint="eastAsia" w:hAnsi="宋体" w:cs="宋体"/>
                <w:szCs w:val="21"/>
                <w:highlight w:val="none"/>
              </w:rPr>
              <w:t>2、支持SR-IOV直通，网络传输绕过软件模拟层，直接分配到虚拟机，降低了软件模拟层中的I/O开销；</w:t>
            </w:r>
          </w:p>
          <w:p w14:paraId="69119FBD">
            <w:pPr>
              <w:rPr>
                <w:rFonts w:hint="eastAsia" w:hAnsi="宋体" w:cs="宋体"/>
                <w:szCs w:val="21"/>
                <w:highlight w:val="none"/>
              </w:rPr>
            </w:pPr>
            <w:r>
              <w:rPr>
                <w:rFonts w:hint="eastAsia" w:hAnsi="宋体" w:cs="宋体"/>
                <w:szCs w:val="21"/>
                <w:highlight w:val="none"/>
              </w:rPr>
              <w:t>管理功能</w:t>
            </w:r>
          </w:p>
          <w:p w14:paraId="642A0035">
            <w:pPr>
              <w:widowControl/>
              <w:jc w:val="left"/>
              <w:rPr>
                <w:rFonts w:hint="eastAsia" w:hAnsi="宋体" w:cs="宋体"/>
                <w:szCs w:val="21"/>
                <w:highlight w:val="none"/>
              </w:rPr>
            </w:pPr>
            <w:r>
              <w:rPr>
                <w:rFonts w:hint="eastAsia" w:hAnsi="宋体" w:cs="宋体"/>
                <w:szCs w:val="21"/>
                <w:highlight w:val="none"/>
              </w:rPr>
              <w:t>1、支持在统一管理界面中监控和管理计算、存储、交换机、虚拟化平台；支持一键式或定期自动输出系统健康巡检报告，包括CPU、内存、HDD、SSD、RAID卡等硬件状态，虚拟化平台，存储软件，超融合管理软件等部件的健康状态，便于主动识别潜在的风险；</w:t>
            </w:r>
          </w:p>
          <w:p w14:paraId="3A56D655">
            <w:pPr>
              <w:widowControl/>
              <w:jc w:val="left"/>
              <w:rPr>
                <w:rFonts w:hint="eastAsia" w:hAnsi="宋体" w:cs="宋体"/>
                <w:szCs w:val="21"/>
                <w:highlight w:val="none"/>
              </w:rPr>
            </w:pPr>
            <w:r>
              <w:rPr>
                <w:rFonts w:hint="eastAsia" w:hAnsi="宋体" w:cs="宋体"/>
                <w:szCs w:val="21"/>
                <w:highlight w:val="none"/>
              </w:rPr>
              <w:t>2、支持在统一管理界面上一键式日志收集功能，在需要定位问题时能够快速收集需要的所有日志信息，包括硬件，虚拟化平台，存储软件、管理软件。包括节点的进程监控、页面操作日志、身份认证管理、安装日志、资源管理、操作系统日志；</w:t>
            </w:r>
          </w:p>
          <w:p w14:paraId="306955FE">
            <w:pPr>
              <w:widowControl/>
              <w:jc w:val="left"/>
              <w:rPr>
                <w:rFonts w:hint="eastAsia" w:hAnsi="宋体" w:cs="宋体"/>
                <w:szCs w:val="21"/>
                <w:highlight w:val="none"/>
              </w:rPr>
            </w:pPr>
            <w:r>
              <w:rPr>
                <w:rFonts w:hint="eastAsia" w:hAnsi="宋体" w:cs="宋体"/>
                <w:szCs w:val="21"/>
                <w:highlight w:val="none"/>
              </w:rPr>
              <w:t>3、支持Call Home功能，可通过管理界面配置7*24小时自动将系统告警信息发送给原厂商，便于及时处理系统告警；</w:t>
            </w:r>
          </w:p>
          <w:p w14:paraId="5414C651">
            <w:pPr>
              <w:rPr>
                <w:rFonts w:hint="eastAsia" w:hAnsi="宋体" w:cs="宋体"/>
                <w:szCs w:val="21"/>
                <w:highlight w:val="none"/>
              </w:rPr>
            </w:pPr>
            <w:r>
              <w:rPr>
                <w:rFonts w:hint="eastAsia" w:hAnsi="宋体" w:cs="宋体"/>
                <w:szCs w:val="21"/>
                <w:highlight w:val="none"/>
              </w:rPr>
              <w:t>4、支持用户自定义性能图表并指定对象，对CPU利用率、内存利用率、带宽、IOPS、时延、磁盘利用率、存储池利用率等进行统计；</w:t>
            </w:r>
          </w:p>
          <w:p w14:paraId="3C08F17C">
            <w:pPr>
              <w:rPr>
                <w:rFonts w:hint="eastAsia" w:hAnsi="宋体" w:cs="宋体"/>
                <w:szCs w:val="21"/>
                <w:highlight w:val="none"/>
              </w:rPr>
            </w:pPr>
            <w:r>
              <w:rPr>
                <w:rFonts w:hint="eastAsia" w:hAnsi="宋体" w:cs="宋体"/>
                <w:szCs w:val="21"/>
                <w:highlight w:val="none"/>
              </w:rPr>
              <w:t>可靠性</w:t>
            </w:r>
          </w:p>
          <w:p w14:paraId="3E24F6A4">
            <w:pPr>
              <w:widowControl/>
              <w:rPr>
                <w:rFonts w:hint="eastAsia" w:hAnsi="宋体" w:cs="宋体"/>
                <w:szCs w:val="21"/>
                <w:highlight w:val="none"/>
              </w:rPr>
            </w:pPr>
            <w:r>
              <w:rPr>
                <w:rFonts w:hint="eastAsia" w:hAnsi="宋体" w:cs="宋体"/>
                <w:szCs w:val="21"/>
                <w:highlight w:val="none"/>
              </w:rPr>
              <w:t>1、支持虚拟机的CPU 、内存、存储 的QoS设置，满足不同应用的性能需求；</w:t>
            </w:r>
          </w:p>
          <w:p w14:paraId="2B16CE31">
            <w:pPr>
              <w:widowControl/>
              <w:rPr>
                <w:rFonts w:hint="eastAsia" w:hAnsi="宋体" w:cs="宋体"/>
                <w:szCs w:val="21"/>
                <w:highlight w:val="none"/>
              </w:rPr>
            </w:pPr>
            <w:r>
              <w:rPr>
                <w:rFonts w:hint="eastAsia" w:hAnsi="宋体" w:cs="宋体"/>
                <w:szCs w:val="21"/>
                <w:highlight w:val="none"/>
              </w:rPr>
              <w:t>2、支持磁盘亚健康管理功能：支持定期检测磁盘SMART信息，判断磁盘亚健康情况(硬盘扇区重映射数超过门限、读错误率统计超标、慢盘)，并在磁盘损坏前进行隔离并告警；</w:t>
            </w:r>
          </w:p>
          <w:p w14:paraId="24F0F4C3">
            <w:pPr>
              <w:widowControl/>
              <w:rPr>
                <w:rFonts w:hint="eastAsia" w:hAnsi="宋体" w:cs="宋体"/>
                <w:szCs w:val="21"/>
                <w:highlight w:val="none"/>
              </w:rPr>
            </w:pPr>
            <w:r>
              <w:rPr>
                <w:rFonts w:hint="eastAsia" w:hAnsi="宋体" w:cs="宋体"/>
                <w:szCs w:val="21"/>
                <w:highlight w:val="none"/>
              </w:rPr>
              <w:t>3、支持存储节点亚健康功能：如果存储节点在由硬件或者软件故障导致处理速度慢于其他节点时，系统可以自动检测对应的节点，发出告警并提供处理方案；</w:t>
            </w:r>
          </w:p>
          <w:p w14:paraId="4AEA90D7">
            <w:pPr>
              <w:widowControl/>
              <w:rPr>
                <w:rFonts w:hint="eastAsia" w:hAnsi="宋体" w:cs="宋体"/>
                <w:szCs w:val="21"/>
                <w:highlight w:val="none"/>
              </w:rPr>
            </w:pPr>
            <w:r>
              <w:rPr>
                <w:rFonts w:hint="eastAsia" w:hAnsi="宋体" w:cs="宋体"/>
                <w:szCs w:val="21"/>
                <w:highlight w:val="none"/>
              </w:rPr>
              <w:t>4、当磁盘故障时，系统能自动进行数据快速重构，1TB重构时间≤15分钟；</w:t>
            </w:r>
          </w:p>
          <w:p w14:paraId="23C36432">
            <w:pPr>
              <w:widowControl/>
              <w:rPr>
                <w:rFonts w:hint="eastAsia" w:hAnsi="宋体" w:cs="宋体"/>
                <w:szCs w:val="21"/>
                <w:highlight w:val="none"/>
              </w:rPr>
            </w:pPr>
            <w:r>
              <w:rPr>
                <w:rFonts w:hint="eastAsia" w:hAnsi="宋体" w:cs="宋体"/>
                <w:szCs w:val="21"/>
                <w:highlight w:val="none"/>
              </w:rPr>
              <w:t>5、支持虚拟机HA，允许配置集群内HA预留的主机数量，以保证在虚拟机故障时有足够的资源进行切换，支持配置存储故障后是HA虚拟机还是不处理；</w:t>
            </w:r>
          </w:p>
          <w:p w14:paraId="19E78EB5">
            <w:pPr>
              <w:rPr>
                <w:rFonts w:hint="eastAsia" w:hAnsi="宋体" w:cs="宋体"/>
                <w:szCs w:val="21"/>
                <w:highlight w:val="none"/>
              </w:rPr>
            </w:pPr>
            <w:r>
              <w:rPr>
                <w:rFonts w:hint="eastAsia" w:hAnsi="宋体" w:cs="宋体"/>
                <w:szCs w:val="21"/>
                <w:highlight w:val="none"/>
              </w:rPr>
              <w:t>6、支持磁盘亚健康管理功能：支持定期检测磁盘SMART信息，判断磁盘亚健康情况(硬盘扇区重映射数超过门限、读错误率统计超标、慢盘)，并在磁盘损坏前进行隔离并告警。</w:t>
            </w:r>
          </w:p>
        </w:tc>
        <w:tc>
          <w:tcPr>
            <w:tcW w:w="545" w:type="pct"/>
            <w:shd w:val="clear" w:color="auto" w:fill="auto"/>
            <w:vAlign w:val="center"/>
          </w:tcPr>
          <w:p w14:paraId="635A869A">
            <w:pPr>
              <w:jc w:val="center"/>
              <w:rPr>
                <w:rFonts w:hint="eastAsia" w:hAnsi="宋体" w:cs="宋体"/>
                <w:highlight w:val="none"/>
                <w:lang w:bidi="ar"/>
              </w:rPr>
            </w:pPr>
            <w:r>
              <w:rPr>
                <w:rFonts w:hint="eastAsia" w:hAnsi="宋体" w:cs="宋体"/>
                <w:highlight w:val="none"/>
                <w:lang w:bidi="ar"/>
              </w:rPr>
              <w:t>3台</w:t>
            </w:r>
          </w:p>
        </w:tc>
        <w:tc>
          <w:tcPr>
            <w:tcW w:w="489" w:type="pct"/>
            <w:shd w:val="clear" w:color="auto" w:fill="auto"/>
            <w:vAlign w:val="center"/>
          </w:tcPr>
          <w:p w14:paraId="22EA9B69">
            <w:pPr>
              <w:rPr>
                <w:highlight w:val="none"/>
                <w:lang w:bidi="ar"/>
              </w:rPr>
            </w:pPr>
          </w:p>
        </w:tc>
      </w:tr>
      <w:tr w14:paraId="3EBF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75A3313C">
            <w:pPr>
              <w:pStyle w:val="36"/>
              <w:numPr>
                <w:ilvl w:val="0"/>
                <w:numId w:val="8"/>
              </w:numPr>
              <w:ind w:firstLineChars="0"/>
              <w:jc w:val="center"/>
              <w:rPr>
                <w:highlight w:val="none"/>
              </w:rPr>
            </w:pPr>
          </w:p>
        </w:tc>
        <w:tc>
          <w:tcPr>
            <w:tcW w:w="557" w:type="pct"/>
            <w:shd w:val="clear" w:color="auto" w:fill="auto"/>
            <w:vAlign w:val="center"/>
          </w:tcPr>
          <w:p w14:paraId="10A4BD84">
            <w:pPr>
              <w:rPr>
                <w:rFonts w:hint="eastAsia" w:hAnsi="宋体" w:cs="宋体"/>
                <w:sz w:val="18"/>
                <w:szCs w:val="18"/>
                <w:highlight w:val="none"/>
              </w:rPr>
            </w:pPr>
            <w:r>
              <w:rPr>
                <w:rFonts w:hint="eastAsia" w:hAnsi="宋体" w:cs="宋体"/>
                <w:sz w:val="18"/>
                <w:szCs w:val="18"/>
                <w:highlight w:val="none"/>
              </w:rPr>
              <w:t>超融合交换机</w:t>
            </w:r>
          </w:p>
        </w:tc>
        <w:tc>
          <w:tcPr>
            <w:tcW w:w="3084" w:type="pct"/>
            <w:gridSpan w:val="3"/>
            <w:shd w:val="clear" w:color="auto" w:fill="auto"/>
            <w:vAlign w:val="center"/>
          </w:tcPr>
          <w:p w14:paraId="1B072807">
            <w:pPr>
              <w:widowControl/>
              <w:rPr>
                <w:rFonts w:hint="eastAsia" w:hAnsi="宋体" w:cs="宋体"/>
                <w:szCs w:val="21"/>
                <w:highlight w:val="none"/>
              </w:rPr>
            </w:pPr>
            <w:r>
              <w:rPr>
                <w:rFonts w:hint="eastAsia" w:hAnsi="宋体" w:cs="宋体"/>
                <w:szCs w:val="21"/>
                <w:highlight w:val="none"/>
              </w:rPr>
              <w:t>标准三层,支持16 个1G/10G BASE-X SFPPlus 端口,(AC/DC)，自带电源，交换容量:2.56Tbps/23.04Tbps,包转发率;240Mpps，含6个万兆模块，4个千兆模块。</w:t>
            </w:r>
          </w:p>
        </w:tc>
        <w:tc>
          <w:tcPr>
            <w:tcW w:w="545" w:type="pct"/>
            <w:shd w:val="clear" w:color="auto" w:fill="auto"/>
            <w:vAlign w:val="center"/>
          </w:tcPr>
          <w:p w14:paraId="7C975B6C">
            <w:pPr>
              <w:jc w:val="center"/>
              <w:rPr>
                <w:rFonts w:hint="eastAsia" w:hAnsi="宋体" w:cs="宋体"/>
                <w:highlight w:val="none"/>
                <w:lang w:bidi="ar"/>
              </w:rPr>
            </w:pPr>
            <w:r>
              <w:rPr>
                <w:rFonts w:hint="eastAsia" w:hAnsi="宋体" w:cs="宋体"/>
                <w:highlight w:val="none"/>
                <w:lang w:bidi="ar"/>
              </w:rPr>
              <w:t>2台</w:t>
            </w:r>
          </w:p>
        </w:tc>
        <w:tc>
          <w:tcPr>
            <w:tcW w:w="489" w:type="pct"/>
            <w:shd w:val="clear" w:color="auto" w:fill="auto"/>
            <w:vAlign w:val="center"/>
          </w:tcPr>
          <w:p w14:paraId="559B37FE">
            <w:pPr>
              <w:rPr>
                <w:highlight w:val="none"/>
                <w:lang w:bidi="ar"/>
              </w:rPr>
            </w:pPr>
          </w:p>
        </w:tc>
      </w:tr>
      <w:tr w14:paraId="2226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63BC9015">
            <w:pPr>
              <w:pStyle w:val="36"/>
              <w:numPr>
                <w:ilvl w:val="0"/>
                <w:numId w:val="8"/>
              </w:numPr>
              <w:ind w:firstLineChars="0"/>
              <w:jc w:val="center"/>
              <w:rPr>
                <w:highlight w:val="none"/>
              </w:rPr>
            </w:pPr>
          </w:p>
        </w:tc>
        <w:tc>
          <w:tcPr>
            <w:tcW w:w="557" w:type="pct"/>
            <w:shd w:val="clear" w:color="auto" w:fill="auto"/>
            <w:vAlign w:val="center"/>
          </w:tcPr>
          <w:p w14:paraId="53F06C3D">
            <w:pPr>
              <w:rPr>
                <w:rFonts w:hint="eastAsia" w:hAnsi="宋体" w:cs="宋体"/>
                <w:sz w:val="18"/>
                <w:szCs w:val="18"/>
                <w:highlight w:val="none"/>
              </w:rPr>
            </w:pPr>
            <w:r>
              <w:rPr>
                <w:rFonts w:hint="eastAsia" w:hAnsi="宋体" w:cs="宋体"/>
                <w:sz w:val="18"/>
                <w:szCs w:val="18"/>
                <w:highlight w:val="none"/>
              </w:rPr>
              <w:t>网络交换机</w:t>
            </w:r>
          </w:p>
        </w:tc>
        <w:tc>
          <w:tcPr>
            <w:tcW w:w="3084" w:type="pct"/>
            <w:gridSpan w:val="3"/>
            <w:shd w:val="clear" w:color="auto" w:fill="auto"/>
            <w:vAlign w:val="center"/>
          </w:tcPr>
          <w:p w14:paraId="49754E9B">
            <w:pPr>
              <w:widowControl/>
              <w:rPr>
                <w:rFonts w:hint="eastAsia" w:hAnsi="宋体" w:cs="宋体"/>
                <w:szCs w:val="21"/>
                <w:highlight w:val="none"/>
              </w:rPr>
            </w:pPr>
            <w:r>
              <w:rPr>
                <w:rFonts w:hint="eastAsia" w:hAnsi="宋体" w:cs="宋体"/>
                <w:szCs w:val="21"/>
                <w:highlight w:val="none"/>
              </w:rPr>
              <w:t>10/100/1000BASE-T以太网端口,4个千兆SFP,交流供电)</w:t>
            </w:r>
          </w:p>
          <w:p w14:paraId="3455601C">
            <w:pPr>
              <w:rPr>
                <w:rFonts w:hint="eastAsia" w:hAnsi="宋体" w:cs="宋体"/>
                <w:szCs w:val="21"/>
                <w:highlight w:val="none"/>
              </w:rPr>
            </w:pPr>
            <w:r>
              <w:rPr>
                <w:rFonts w:hint="eastAsia" w:hAnsi="宋体" w:cs="宋体"/>
                <w:szCs w:val="21"/>
                <w:highlight w:val="none"/>
              </w:rPr>
              <w:t>交换容量336Gbps/3.36Tbps，包转发率27/102Mpps，无风扇静音款。</w:t>
            </w:r>
          </w:p>
        </w:tc>
        <w:tc>
          <w:tcPr>
            <w:tcW w:w="545" w:type="pct"/>
            <w:shd w:val="clear" w:color="auto" w:fill="auto"/>
            <w:vAlign w:val="center"/>
          </w:tcPr>
          <w:p w14:paraId="4A54D6CE">
            <w:pPr>
              <w:jc w:val="center"/>
              <w:rPr>
                <w:rFonts w:hint="eastAsia" w:hAnsi="宋体" w:cs="宋体"/>
                <w:highlight w:val="none"/>
                <w:lang w:bidi="ar"/>
              </w:rPr>
            </w:pPr>
            <w:r>
              <w:rPr>
                <w:rFonts w:hint="eastAsia" w:hAnsi="宋体" w:cs="宋体"/>
                <w:highlight w:val="none"/>
                <w:lang w:bidi="ar"/>
              </w:rPr>
              <w:t>1台</w:t>
            </w:r>
          </w:p>
        </w:tc>
        <w:tc>
          <w:tcPr>
            <w:tcW w:w="489" w:type="pct"/>
            <w:shd w:val="clear" w:color="auto" w:fill="auto"/>
            <w:vAlign w:val="center"/>
          </w:tcPr>
          <w:p w14:paraId="33C1855D">
            <w:pPr>
              <w:rPr>
                <w:highlight w:val="none"/>
                <w:lang w:bidi="ar"/>
              </w:rPr>
            </w:pPr>
          </w:p>
        </w:tc>
      </w:tr>
      <w:tr w14:paraId="2811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27548647">
            <w:pPr>
              <w:pStyle w:val="36"/>
              <w:numPr>
                <w:ilvl w:val="0"/>
                <w:numId w:val="8"/>
              </w:numPr>
              <w:ind w:firstLineChars="0"/>
              <w:jc w:val="center"/>
              <w:rPr>
                <w:highlight w:val="none"/>
              </w:rPr>
            </w:pPr>
          </w:p>
        </w:tc>
        <w:tc>
          <w:tcPr>
            <w:tcW w:w="2113" w:type="pct"/>
            <w:gridSpan w:val="3"/>
            <w:shd w:val="clear" w:color="auto" w:fill="auto"/>
            <w:vAlign w:val="center"/>
          </w:tcPr>
          <w:p w14:paraId="70B01CB8">
            <w:pPr>
              <w:rPr>
                <w:highlight w:val="none"/>
                <w:lang w:bidi="ar"/>
              </w:rPr>
            </w:pPr>
            <w:r>
              <w:rPr>
                <w:rFonts w:hint="eastAsia"/>
                <w:highlight w:val="none"/>
                <w:lang w:bidi="ar"/>
              </w:rPr>
              <w:t>高拍仪</w:t>
            </w:r>
          </w:p>
        </w:tc>
        <w:tc>
          <w:tcPr>
            <w:tcW w:w="1529" w:type="pct"/>
            <w:shd w:val="clear" w:color="auto" w:fill="auto"/>
            <w:vAlign w:val="center"/>
          </w:tcPr>
          <w:p w14:paraId="2F4AB143">
            <w:pPr>
              <w:rPr>
                <w:rFonts w:hint="eastAsia" w:hAnsi="宋体" w:cs="宋体"/>
                <w:highlight w:val="none"/>
                <w:lang w:bidi="ar"/>
              </w:rPr>
            </w:pPr>
            <w:r>
              <w:rPr>
                <w:rFonts w:hint="eastAsia" w:hAnsi="宋体" w:cs="宋体"/>
                <w:highlight w:val="none"/>
                <w:lang w:bidi="ar"/>
              </w:rPr>
              <w:t>USB接口，</w:t>
            </w:r>
          </w:p>
          <w:p w14:paraId="5F7F18E7">
            <w:pPr>
              <w:rPr>
                <w:rFonts w:hint="eastAsia" w:hAnsi="宋体" w:cs="宋体"/>
                <w:highlight w:val="none"/>
                <w:lang w:bidi="ar"/>
              </w:rPr>
            </w:pPr>
            <w:r>
              <w:rPr>
                <w:rFonts w:hint="eastAsia" w:hAnsi="宋体" w:cs="宋体"/>
                <w:highlight w:val="none"/>
                <w:lang w:bidi="ar"/>
              </w:rPr>
              <w:t>1600万像素，</w:t>
            </w:r>
          </w:p>
          <w:p w14:paraId="29EB2D49">
            <w:pPr>
              <w:rPr>
                <w:rFonts w:hint="eastAsia" w:hAnsi="宋体" w:cs="宋体"/>
                <w:highlight w:val="none"/>
                <w:lang w:bidi="ar"/>
              </w:rPr>
            </w:pPr>
            <w:r>
              <w:rPr>
                <w:rFonts w:hint="eastAsia" w:hAnsi="宋体" w:cs="宋体"/>
                <w:highlight w:val="none"/>
                <w:lang w:bidi="ar"/>
              </w:rPr>
              <w:t>带补光灯，</w:t>
            </w:r>
          </w:p>
          <w:p w14:paraId="3E351B6B">
            <w:pPr>
              <w:rPr>
                <w:rFonts w:hint="eastAsia" w:hAnsi="宋体" w:cs="宋体"/>
                <w:highlight w:val="none"/>
                <w:lang w:bidi="ar"/>
              </w:rPr>
            </w:pPr>
            <w:r>
              <w:rPr>
                <w:rFonts w:hint="eastAsia" w:hAnsi="宋体" w:cs="宋体"/>
                <w:highlight w:val="none"/>
                <w:lang w:bidi="ar"/>
              </w:rPr>
              <w:t>扫描速度&lt;2s</w:t>
            </w:r>
          </w:p>
        </w:tc>
        <w:tc>
          <w:tcPr>
            <w:tcW w:w="545" w:type="pct"/>
            <w:shd w:val="clear" w:color="auto" w:fill="auto"/>
            <w:vAlign w:val="center"/>
          </w:tcPr>
          <w:p w14:paraId="16699FCE">
            <w:pPr>
              <w:jc w:val="center"/>
              <w:rPr>
                <w:rFonts w:hint="eastAsia" w:hAnsi="宋体" w:cs="宋体"/>
                <w:highlight w:val="none"/>
                <w:lang w:bidi="ar"/>
              </w:rPr>
            </w:pPr>
            <w:r>
              <w:rPr>
                <w:rFonts w:hint="eastAsia" w:hAnsi="宋体" w:cs="宋体"/>
                <w:highlight w:val="none"/>
                <w:lang w:bidi="ar"/>
              </w:rPr>
              <w:t>5个</w:t>
            </w:r>
          </w:p>
        </w:tc>
        <w:tc>
          <w:tcPr>
            <w:tcW w:w="489" w:type="pct"/>
            <w:shd w:val="clear" w:color="auto" w:fill="auto"/>
            <w:vAlign w:val="center"/>
          </w:tcPr>
          <w:p w14:paraId="6D2463B2">
            <w:pPr>
              <w:rPr>
                <w:highlight w:val="none"/>
                <w:lang w:bidi="ar"/>
              </w:rPr>
            </w:pPr>
          </w:p>
        </w:tc>
      </w:tr>
      <w:tr w14:paraId="503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45D703D8">
            <w:pPr>
              <w:pStyle w:val="36"/>
              <w:numPr>
                <w:ilvl w:val="0"/>
                <w:numId w:val="8"/>
              </w:numPr>
              <w:ind w:firstLineChars="0"/>
              <w:jc w:val="center"/>
              <w:rPr>
                <w:highlight w:val="none"/>
              </w:rPr>
            </w:pPr>
          </w:p>
        </w:tc>
        <w:tc>
          <w:tcPr>
            <w:tcW w:w="2113" w:type="pct"/>
            <w:gridSpan w:val="3"/>
            <w:shd w:val="clear" w:color="auto" w:fill="auto"/>
            <w:vAlign w:val="center"/>
          </w:tcPr>
          <w:p w14:paraId="64BB4CD5">
            <w:pPr>
              <w:rPr>
                <w:highlight w:val="none"/>
                <w:lang w:bidi="ar"/>
              </w:rPr>
            </w:pPr>
            <w:r>
              <w:rPr>
                <w:rFonts w:hint="eastAsia"/>
                <w:highlight w:val="none"/>
                <w:lang w:bidi="ar"/>
              </w:rPr>
              <w:t>采集卡</w:t>
            </w:r>
          </w:p>
        </w:tc>
        <w:tc>
          <w:tcPr>
            <w:tcW w:w="1529" w:type="pct"/>
            <w:shd w:val="clear" w:color="auto" w:fill="auto"/>
            <w:vAlign w:val="center"/>
          </w:tcPr>
          <w:p w14:paraId="007F7FA5">
            <w:pPr>
              <w:rPr>
                <w:rFonts w:hint="eastAsia" w:hAnsi="宋体" w:cs="宋体"/>
                <w:highlight w:val="none"/>
                <w:lang w:bidi="ar"/>
              </w:rPr>
            </w:pPr>
            <w:r>
              <w:rPr>
                <w:rFonts w:hint="eastAsia" w:hAnsi="宋体" w:cs="宋体"/>
                <w:highlight w:val="none"/>
                <w:lang w:bidi="ar"/>
              </w:rPr>
              <w:t xml:space="preserve">主机接口PCI-E </w:t>
            </w:r>
          </w:p>
          <w:p w14:paraId="36507E83">
            <w:pPr>
              <w:rPr>
                <w:rFonts w:hint="eastAsia" w:hAnsi="宋体" w:cs="宋体"/>
                <w:highlight w:val="none"/>
                <w:lang w:bidi="ar"/>
              </w:rPr>
            </w:pPr>
            <w:r>
              <w:rPr>
                <w:rFonts w:hint="eastAsia" w:hAnsi="宋体" w:cs="宋体"/>
                <w:highlight w:val="none"/>
                <w:lang w:bidi="ar"/>
              </w:rPr>
              <w:t>信号NTSC720*480,PAL720*576信号输入接口BNC,S-video</w:t>
            </w:r>
          </w:p>
        </w:tc>
        <w:tc>
          <w:tcPr>
            <w:tcW w:w="545" w:type="pct"/>
            <w:shd w:val="clear" w:color="auto" w:fill="auto"/>
            <w:vAlign w:val="center"/>
          </w:tcPr>
          <w:p w14:paraId="49122974">
            <w:pPr>
              <w:jc w:val="center"/>
              <w:rPr>
                <w:rFonts w:hint="eastAsia" w:hAnsi="宋体" w:cs="宋体"/>
                <w:highlight w:val="none"/>
                <w:lang w:bidi="ar"/>
              </w:rPr>
            </w:pPr>
            <w:r>
              <w:rPr>
                <w:rFonts w:hint="eastAsia" w:hAnsi="宋体" w:cs="宋体"/>
                <w:highlight w:val="none"/>
                <w:lang w:bidi="ar"/>
              </w:rPr>
              <w:t>5个</w:t>
            </w:r>
          </w:p>
        </w:tc>
        <w:tc>
          <w:tcPr>
            <w:tcW w:w="489" w:type="pct"/>
            <w:shd w:val="clear" w:color="auto" w:fill="auto"/>
            <w:vAlign w:val="center"/>
          </w:tcPr>
          <w:p w14:paraId="58CD1F7B">
            <w:pPr>
              <w:rPr>
                <w:highlight w:val="none"/>
                <w:lang w:bidi="ar"/>
              </w:rPr>
            </w:pPr>
          </w:p>
        </w:tc>
      </w:tr>
      <w:tr w14:paraId="6BBA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65017B22">
            <w:pPr>
              <w:pStyle w:val="36"/>
              <w:numPr>
                <w:ilvl w:val="0"/>
                <w:numId w:val="8"/>
              </w:numPr>
              <w:ind w:firstLineChars="0"/>
              <w:jc w:val="center"/>
              <w:rPr>
                <w:highlight w:val="none"/>
              </w:rPr>
            </w:pPr>
          </w:p>
        </w:tc>
        <w:tc>
          <w:tcPr>
            <w:tcW w:w="2113" w:type="pct"/>
            <w:gridSpan w:val="3"/>
            <w:shd w:val="clear" w:color="auto" w:fill="auto"/>
            <w:vAlign w:val="center"/>
          </w:tcPr>
          <w:p w14:paraId="04DDB473">
            <w:pPr>
              <w:rPr>
                <w:rFonts w:hint="eastAsia" w:hAnsi="宋体" w:cs="宋体"/>
                <w:highlight w:val="none"/>
                <w:lang w:bidi="ar"/>
              </w:rPr>
            </w:pPr>
            <w:r>
              <w:rPr>
                <w:rFonts w:hint="eastAsia" w:hAnsi="宋体" w:cs="宋体"/>
                <w:highlight w:val="none"/>
                <w:lang w:bidi="ar"/>
              </w:rPr>
              <w:t>医用显示器</w:t>
            </w:r>
          </w:p>
        </w:tc>
        <w:tc>
          <w:tcPr>
            <w:tcW w:w="1529" w:type="pct"/>
            <w:shd w:val="clear" w:color="auto" w:fill="auto"/>
            <w:vAlign w:val="center"/>
          </w:tcPr>
          <w:p w14:paraId="4860653C">
            <w:pPr>
              <w:rPr>
                <w:rFonts w:hint="eastAsia" w:hAnsi="宋体" w:cs="宋体"/>
                <w:highlight w:val="none"/>
                <w:lang w:bidi="ar"/>
              </w:rPr>
            </w:pPr>
            <w:r>
              <w:rPr>
                <w:rFonts w:hint="eastAsia" w:hAnsi="宋体" w:cs="宋体"/>
                <w:highlight w:val="none"/>
                <w:lang w:bidi="ar"/>
              </w:rPr>
              <w:t>3MP彩色医用显示器</w:t>
            </w:r>
          </w:p>
          <w:p w14:paraId="3518973F">
            <w:pPr>
              <w:rPr>
                <w:rFonts w:hint="eastAsia" w:hAnsi="宋体" w:cs="宋体"/>
                <w:highlight w:val="none"/>
                <w:lang w:bidi="ar"/>
              </w:rPr>
            </w:pPr>
            <w:r>
              <w:rPr>
                <w:rFonts w:hint="eastAsia" w:hAnsi="宋体" w:cs="宋体"/>
                <w:highlight w:val="none"/>
                <w:lang w:bidi="ar"/>
              </w:rPr>
              <w:t>21.3英寸LED背光，</w:t>
            </w:r>
          </w:p>
          <w:p w14:paraId="0B6F2DAC">
            <w:pPr>
              <w:rPr>
                <w:rFonts w:hint="eastAsia" w:hAnsi="宋体" w:cs="宋体"/>
                <w:highlight w:val="none"/>
                <w:lang w:bidi="ar"/>
              </w:rPr>
            </w:pPr>
            <w:r>
              <w:rPr>
                <w:rFonts w:hint="eastAsia" w:hAnsi="宋体" w:cs="宋体"/>
                <w:highlight w:val="none"/>
                <w:lang w:bidi="ar"/>
              </w:rPr>
              <w:t>分辨率2048*1536/1536*2048</w:t>
            </w:r>
          </w:p>
          <w:p w14:paraId="4337D489">
            <w:pPr>
              <w:rPr>
                <w:rFonts w:hint="eastAsia" w:hAnsi="宋体" w:cs="宋体"/>
                <w:highlight w:val="none"/>
                <w:lang w:bidi="ar"/>
              </w:rPr>
            </w:pPr>
            <w:r>
              <w:rPr>
                <w:rFonts w:hint="eastAsia" w:hAnsi="宋体" w:cs="宋体"/>
                <w:highlight w:val="none"/>
                <w:lang w:bidi="ar"/>
              </w:rPr>
              <w:t>支持横竖转换</w:t>
            </w:r>
          </w:p>
          <w:p w14:paraId="4FE15653">
            <w:pPr>
              <w:rPr>
                <w:rFonts w:hint="eastAsia" w:hAnsi="宋体" w:cs="宋体"/>
                <w:highlight w:val="none"/>
                <w:lang w:bidi="ar"/>
              </w:rPr>
            </w:pPr>
            <w:r>
              <w:rPr>
                <w:rFonts w:hint="eastAsia" w:hAnsi="宋体" w:cs="宋体"/>
                <w:highlight w:val="none"/>
                <w:lang w:bidi="ar"/>
              </w:rPr>
              <w:t>最大亮度&gt;=1000cdm</w:t>
            </w:r>
          </w:p>
        </w:tc>
        <w:tc>
          <w:tcPr>
            <w:tcW w:w="545" w:type="pct"/>
            <w:shd w:val="clear" w:color="auto" w:fill="auto"/>
            <w:vAlign w:val="center"/>
          </w:tcPr>
          <w:p w14:paraId="12B97DBB">
            <w:pPr>
              <w:jc w:val="center"/>
              <w:rPr>
                <w:rFonts w:hint="eastAsia" w:hAnsi="宋体" w:cs="宋体"/>
                <w:highlight w:val="none"/>
                <w:lang w:bidi="ar"/>
              </w:rPr>
            </w:pPr>
            <w:r>
              <w:rPr>
                <w:rFonts w:hint="eastAsia" w:hAnsi="宋体" w:cs="宋体"/>
                <w:highlight w:val="none"/>
                <w:lang w:bidi="ar"/>
              </w:rPr>
              <w:t>2台</w:t>
            </w:r>
          </w:p>
        </w:tc>
        <w:tc>
          <w:tcPr>
            <w:tcW w:w="489" w:type="pct"/>
            <w:shd w:val="clear" w:color="auto" w:fill="auto"/>
            <w:vAlign w:val="center"/>
          </w:tcPr>
          <w:p w14:paraId="71191EA9">
            <w:pPr>
              <w:rPr>
                <w:highlight w:val="none"/>
                <w:lang w:bidi="ar"/>
              </w:rPr>
            </w:pPr>
          </w:p>
        </w:tc>
      </w:tr>
      <w:tr w14:paraId="45AF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608E67C8">
            <w:pPr>
              <w:pStyle w:val="36"/>
              <w:numPr>
                <w:ilvl w:val="0"/>
                <w:numId w:val="8"/>
              </w:numPr>
              <w:ind w:firstLineChars="0"/>
              <w:jc w:val="center"/>
              <w:rPr>
                <w:highlight w:val="none"/>
              </w:rPr>
            </w:pPr>
          </w:p>
        </w:tc>
        <w:tc>
          <w:tcPr>
            <w:tcW w:w="2113" w:type="pct"/>
            <w:gridSpan w:val="3"/>
            <w:shd w:val="clear" w:color="auto" w:fill="auto"/>
            <w:vAlign w:val="center"/>
          </w:tcPr>
          <w:p w14:paraId="52304596">
            <w:pPr>
              <w:rPr>
                <w:rFonts w:hint="eastAsia" w:hAnsi="宋体" w:cs="宋体"/>
                <w:highlight w:val="none"/>
                <w:lang w:bidi="ar"/>
              </w:rPr>
            </w:pPr>
            <w:r>
              <w:rPr>
                <w:rFonts w:hint="eastAsia" w:hAnsi="宋体" w:cs="宋体"/>
                <w:highlight w:val="none"/>
                <w:lang w:bidi="ar"/>
              </w:rPr>
              <w:t>PC工作站</w:t>
            </w:r>
          </w:p>
        </w:tc>
        <w:tc>
          <w:tcPr>
            <w:tcW w:w="1529" w:type="pct"/>
            <w:shd w:val="clear" w:color="auto" w:fill="auto"/>
            <w:vAlign w:val="center"/>
          </w:tcPr>
          <w:p w14:paraId="20EA74D8">
            <w:pPr>
              <w:rPr>
                <w:rFonts w:hint="eastAsia" w:hAnsi="宋体" w:cs="宋体"/>
                <w:highlight w:val="none"/>
                <w:lang w:bidi="ar"/>
              </w:rPr>
            </w:pPr>
            <w:r>
              <w:rPr>
                <w:rFonts w:hint="eastAsia" w:hAnsi="宋体" w:cs="宋体"/>
                <w:highlight w:val="none"/>
                <w:lang w:bidi="ar"/>
              </w:rPr>
              <w:t>I5及以上处理器/16G内存/500G固态硬盘/22寸以上普通显示器/千兆网卡/键盘鼠标/塔式大机箱/支持独立显卡</w:t>
            </w:r>
          </w:p>
        </w:tc>
        <w:tc>
          <w:tcPr>
            <w:tcW w:w="545" w:type="pct"/>
            <w:shd w:val="clear" w:color="auto" w:fill="auto"/>
            <w:vAlign w:val="center"/>
          </w:tcPr>
          <w:p w14:paraId="5D9144C7">
            <w:pPr>
              <w:jc w:val="center"/>
              <w:rPr>
                <w:rFonts w:hint="eastAsia" w:hAnsi="宋体" w:cs="宋体"/>
                <w:highlight w:val="none"/>
                <w:lang w:bidi="ar"/>
              </w:rPr>
            </w:pPr>
            <w:r>
              <w:rPr>
                <w:rFonts w:hint="eastAsia" w:hAnsi="宋体" w:cs="宋体"/>
                <w:highlight w:val="none"/>
                <w:lang w:bidi="ar"/>
              </w:rPr>
              <w:t>3台</w:t>
            </w:r>
          </w:p>
        </w:tc>
        <w:tc>
          <w:tcPr>
            <w:tcW w:w="489" w:type="pct"/>
            <w:shd w:val="clear" w:color="auto" w:fill="auto"/>
            <w:vAlign w:val="center"/>
          </w:tcPr>
          <w:p w14:paraId="29087CFB">
            <w:pPr>
              <w:rPr>
                <w:highlight w:val="none"/>
                <w:lang w:bidi="ar"/>
              </w:rPr>
            </w:pPr>
          </w:p>
        </w:tc>
      </w:tr>
      <w:tr w14:paraId="247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pct"/>
            <w:shd w:val="clear" w:color="auto" w:fill="auto"/>
            <w:vAlign w:val="center"/>
          </w:tcPr>
          <w:p w14:paraId="77A46179">
            <w:pPr>
              <w:pStyle w:val="36"/>
              <w:numPr>
                <w:ilvl w:val="0"/>
                <w:numId w:val="8"/>
              </w:numPr>
              <w:ind w:firstLineChars="0"/>
              <w:jc w:val="center"/>
              <w:rPr>
                <w:highlight w:val="none"/>
              </w:rPr>
            </w:pPr>
          </w:p>
        </w:tc>
        <w:tc>
          <w:tcPr>
            <w:tcW w:w="2113" w:type="pct"/>
            <w:gridSpan w:val="3"/>
            <w:shd w:val="clear" w:color="auto" w:fill="auto"/>
            <w:vAlign w:val="center"/>
          </w:tcPr>
          <w:p w14:paraId="783C4A54">
            <w:pPr>
              <w:rPr>
                <w:rFonts w:hint="eastAsia" w:hAnsi="宋体" w:cs="宋体"/>
                <w:highlight w:val="none"/>
                <w:lang w:bidi="ar"/>
              </w:rPr>
            </w:pPr>
            <w:r>
              <w:rPr>
                <w:rFonts w:hint="eastAsia" w:hAnsi="宋体" w:cs="宋体"/>
                <w:highlight w:val="none"/>
                <w:lang w:bidi="ar"/>
              </w:rPr>
              <w:t>影像会诊中心显示大屏（100寸）</w:t>
            </w:r>
          </w:p>
        </w:tc>
        <w:tc>
          <w:tcPr>
            <w:tcW w:w="1529" w:type="pct"/>
            <w:shd w:val="clear" w:color="auto" w:fill="auto"/>
            <w:vAlign w:val="center"/>
          </w:tcPr>
          <w:p w14:paraId="3BFC5D98">
            <w:pPr>
              <w:rPr>
                <w:rFonts w:hint="eastAsia" w:hAnsi="宋体" w:cs="宋体"/>
                <w:highlight w:val="none"/>
                <w:lang w:bidi="ar"/>
              </w:rPr>
            </w:pPr>
            <w:r>
              <w:rPr>
                <w:rFonts w:hint="eastAsia" w:hAnsi="宋体" w:cs="宋体"/>
                <w:highlight w:val="none"/>
                <w:lang w:bidi="ar"/>
              </w:rPr>
              <w:t>100英寸，分辨率</w:t>
            </w:r>
            <w:r>
              <w:rPr>
                <w:rFonts w:hint="eastAsia" w:hAnsi="宋体" w:cs="宋体"/>
                <w:szCs w:val="21"/>
                <w:highlight w:val="none"/>
              </w:rPr>
              <w:t>≥3840*2160;≥4核CPU，≥4+64GB内存；支持WiFi6，支持蓝牙，DHMI: ≥3个，USB≥2个</w:t>
            </w:r>
          </w:p>
        </w:tc>
        <w:tc>
          <w:tcPr>
            <w:tcW w:w="545" w:type="pct"/>
            <w:shd w:val="clear" w:color="auto" w:fill="auto"/>
            <w:vAlign w:val="center"/>
          </w:tcPr>
          <w:p w14:paraId="5B9F6B68">
            <w:pPr>
              <w:jc w:val="center"/>
              <w:rPr>
                <w:rFonts w:hint="eastAsia" w:hAnsi="宋体" w:cs="宋体"/>
                <w:highlight w:val="none"/>
                <w:lang w:bidi="ar"/>
              </w:rPr>
            </w:pPr>
            <w:r>
              <w:rPr>
                <w:rFonts w:hint="eastAsia" w:hAnsi="宋体" w:cs="宋体"/>
                <w:highlight w:val="none"/>
                <w:lang w:bidi="ar"/>
              </w:rPr>
              <w:t>1台</w:t>
            </w:r>
          </w:p>
        </w:tc>
        <w:tc>
          <w:tcPr>
            <w:tcW w:w="489" w:type="pct"/>
            <w:shd w:val="clear" w:color="auto" w:fill="auto"/>
            <w:vAlign w:val="center"/>
          </w:tcPr>
          <w:p w14:paraId="0DE850CC">
            <w:pPr>
              <w:rPr>
                <w:highlight w:val="none"/>
                <w:lang w:bidi="ar"/>
              </w:rPr>
            </w:pPr>
          </w:p>
        </w:tc>
      </w:tr>
    </w:tbl>
    <w:p w14:paraId="3F3B32CD">
      <w:pPr>
        <w:rPr>
          <w:rFonts w:hint="eastAsia" w:ascii="仿宋" w:hAnsi="仿宋" w:eastAsia="仿宋" w:cs="仿宋"/>
          <w:b/>
          <w:szCs w:val="24"/>
          <w:highlight w:val="none"/>
        </w:rPr>
        <w:sectPr>
          <w:footerReference r:id="rId14" w:type="default"/>
          <w:pgSz w:w="16838" w:h="11906" w:orient="landscape"/>
          <w:pgMar w:top="1417" w:right="1361" w:bottom="1417" w:left="1361" w:header="1134" w:footer="992" w:gutter="0"/>
          <w:cols w:space="720" w:num="1"/>
          <w:docGrid w:type="lines" w:linePitch="333" w:charSpace="0"/>
        </w:sectPr>
      </w:pPr>
    </w:p>
    <w:p w14:paraId="39D51296">
      <w:pPr>
        <w:pStyle w:val="2"/>
        <w:jc w:val="center"/>
        <w:rPr>
          <w:rFonts w:hint="eastAsia"/>
          <w:highlight w:val="none"/>
        </w:rPr>
      </w:pPr>
      <w:r>
        <w:rPr>
          <w:rFonts w:hint="eastAsia" w:ascii="宋体" w:eastAsia="宋体" w:cs="宋体"/>
          <w:sz w:val="36"/>
          <w:szCs w:val="36"/>
          <w:highlight w:val="none"/>
        </w:rPr>
        <w:t>第五章  评标方法</w:t>
      </w:r>
      <w:bookmarkEnd w:id="94"/>
    </w:p>
    <w:p w14:paraId="3E36DD35">
      <w:pPr>
        <w:spacing w:line="360" w:lineRule="auto"/>
        <w:rPr>
          <w:rFonts w:hint="eastAsia" w:hAnsi="宋体" w:cs="宋体"/>
          <w:b/>
          <w:sz w:val="28"/>
          <w:szCs w:val="28"/>
          <w:highlight w:val="none"/>
        </w:rPr>
      </w:pPr>
      <w:bookmarkStart w:id="101" w:name="_Toc363463332"/>
      <w:r>
        <w:rPr>
          <w:rFonts w:hint="eastAsia" w:hAnsi="宋体" w:cs="宋体"/>
          <w:b/>
          <w:sz w:val="28"/>
          <w:szCs w:val="28"/>
          <w:highlight w:val="none"/>
        </w:rPr>
        <w:t>一、评标方法</w:t>
      </w:r>
      <w:bookmarkEnd w:id="101"/>
    </w:p>
    <w:p w14:paraId="59D1167D">
      <w:pPr>
        <w:spacing w:line="360" w:lineRule="auto"/>
        <w:ind w:firstLine="496" w:firstLineChars="200"/>
        <w:jc w:val="left"/>
        <w:rPr>
          <w:rFonts w:hint="eastAsia" w:hAnsi="宋体" w:cs="宋体"/>
          <w:spacing w:val="4"/>
          <w:szCs w:val="24"/>
          <w:highlight w:val="none"/>
        </w:rPr>
      </w:pPr>
      <w:r>
        <w:rPr>
          <w:rFonts w:hint="eastAsia" w:hAnsi="宋体" w:cs="宋体"/>
          <w:spacing w:val="4"/>
          <w:szCs w:val="24"/>
          <w:highlight w:val="none"/>
        </w:rPr>
        <w:t>按照</w:t>
      </w:r>
      <w:r>
        <w:rPr>
          <w:rFonts w:hint="eastAsia" w:hAnsi="宋体" w:cs="宋体"/>
          <w:szCs w:val="24"/>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14:paraId="4558AA41">
      <w:pPr>
        <w:spacing w:line="360" w:lineRule="auto"/>
        <w:rPr>
          <w:rFonts w:hint="eastAsia" w:hAnsi="宋体" w:cs="宋体"/>
          <w:b/>
          <w:sz w:val="28"/>
          <w:szCs w:val="28"/>
          <w:highlight w:val="none"/>
        </w:rPr>
      </w:pPr>
      <w:r>
        <w:rPr>
          <w:rFonts w:hint="eastAsia" w:hAnsi="宋体" w:cs="宋体"/>
          <w:b/>
          <w:sz w:val="28"/>
          <w:szCs w:val="28"/>
          <w:highlight w:val="none"/>
        </w:rPr>
        <w:t>二、评审标准</w:t>
      </w:r>
    </w:p>
    <w:p w14:paraId="75884837">
      <w:pPr>
        <w:tabs>
          <w:tab w:val="left" w:pos="0"/>
        </w:tabs>
        <w:adjustRightInd w:val="0"/>
        <w:snapToGrid w:val="0"/>
        <w:spacing w:line="360" w:lineRule="auto"/>
        <w:ind w:firstLine="472" w:firstLineChars="196"/>
        <w:rPr>
          <w:rFonts w:hint="eastAsia" w:hAnsi="宋体" w:cs="宋体"/>
          <w:b/>
          <w:szCs w:val="24"/>
          <w:highlight w:val="none"/>
        </w:rPr>
      </w:pPr>
      <w:r>
        <w:rPr>
          <w:rFonts w:hint="eastAsia" w:hAnsi="宋体" w:cs="宋体"/>
          <w:b/>
          <w:szCs w:val="24"/>
          <w:highlight w:val="none"/>
        </w:rPr>
        <w:t>2.1初步评审标准</w:t>
      </w:r>
    </w:p>
    <w:p w14:paraId="08476690">
      <w:pPr>
        <w:tabs>
          <w:tab w:val="left" w:pos="0"/>
        </w:tabs>
        <w:adjustRightInd w:val="0"/>
        <w:snapToGrid w:val="0"/>
        <w:spacing w:line="360" w:lineRule="auto"/>
        <w:ind w:firstLine="470" w:firstLineChars="196"/>
        <w:rPr>
          <w:rFonts w:hint="eastAsia" w:hAnsi="宋体" w:cs="宋体"/>
          <w:szCs w:val="24"/>
          <w:highlight w:val="none"/>
        </w:rPr>
      </w:pPr>
      <w:r>
        <w:rPr>
          <w:rFonts w:hint="eastAsia" w:hAnsi="宋体" w:cs="宋体"/>
          <w:szCs w:val="24"/>
          <w:highlight w:val="none"/>
        </w:rPr>
        <w:t>2.1.1资格性审查标准：见附件1初步审查要素表。</w:t>
      </w:r>
    </w:p>
    <w:p w14:paraId="36364A1A">
      <w:pPr>
        <w:tabs>
          <w:tab w:val="left" w:pos="0"/>
        </w:tabs>
        <w:adjustRightInd w:val="0"/>
        <w:snapToGrid w:val="0"/>
        <w:spacing w:line="360" w:lineRule="auto"/>
        <w:ind w:firstLine="470" w:firstLineChars="196"/>
        <w:rPr>
          <w:rFonts w:hint="eastAsia" w:hAnsi="宋体" w:cs="宋体"/>
          <w:szCs w:val="24"/>
          <w:highlight w:val="none"/>
        </w:rPr>
      </w:pPr>
      <w:r>
        <w:rPr>
          <w:rFonts w:hint="eastAsia" w:hAnsi="宋体" w:cs="宋体"/>
          <w:szCs w:val="24"/>
          <w:highlight w:val="none"/>
        </w:rPr>
        <w:t>2.1.2符合性审查标准：见附件1初步审查要素表。</w:t>
      </w:r>
    </w:p>
    <w:p w14:paraId="5BC58C3A">
      <w:pPr>
        <w:tabs>
          <w:tab w:val="left" w:pos="0"/>
        </w:tabs>
        <w:adjustRightInd w:val="0"/>
        <w:snapToGrid w:val="0"/>
        <w:spacing w:line="360" w:lineRule="auto"/>
        <w:ind w:firstLine="472" w:firstLineChars="196"/>
        <w:rPr>
          <w:rFonts w:hint="eastAsia" w:hAnsi="宋体" w:cs="宋体"/>
          <w:b/>
          <w:szCs w:val="24"/>
          <w:highlight w:val="none"/>
        </w:rPr>
      </w:pPr>
      <w:r>
        <w:rPr>
          <w:rFonts w:hint="eastAsia" w:hAnsi="宋体" w:cs="宋体"/>
          <w:b/>
          <w:szCs w:val="24"/>
          <w:highlight w:val="none"/>
        </w:rPr>
        <w:t>2.2分值构成与评分标准</w:t>
      </w:r>
    </w:p>
    <w:p w14:paraId="44A18388">
      <w:pPr>
        <w:tabs>
          <w:tab w:val="left" w:pos="0"/>
        </w:tabs>
        <w:adjustRightInd w:val="0"/>
        <w:snapToGrid w:val="0"/>
        <w:spacing w:line="360" w:lineRule="auto"/>
        <w:ind w:firstLine="470" w:firstLineChars="196"/>
        <w:rPr>
          <w:rFonts w:hint="eastAsia" w:hAnsi="宋体" w:cs="宋体"/>
          <w:bCs/>
          <w:szCs w:val="24"/>
          <w:highlight w:val="none"/>
        </w:rPr>
      </w:pPr>
      <w:r>
        <w:rPr>
          <w:rFonts w:hint="eastAsia" w:hAnsi="宋体" w:cs="宋体"/>
          <w:bCs/>
          <w:szCs w:val="24"/>
          <w:highlight w:val="none"/>
        </w:rPr>
        <w:t>2.2.1 分值构成</w:t>
      </w:r>
    </w:p>
    <w:p w14:paraId="033FD8EB">
      <w:pPr>
        <w:tabs>
          <w:tab w:val="left" w:pos="0"/>
        </w:tabs>
        <w:adjustRightInd w:val="0"/>
        <w:snapToGrid w:val="0"/>
        <w:spacing w:line="360" w:lineRule="auto"/>
        <w:ind w:firstLine="470" w:firstLineChars="196"/>
        <w:rPr>
          <w:rFonts w:hint="eastAsia" w:hAnsi="宋体" w:cs="宋体"/>
          <w:bCs/>
          <w:szCs w:val="24"/>
          <w:highlight w:val="none"/>
        </w:rPr>
      </w:pPr>
      <w:r>
        <w:rPr>
          <w:rFonts w:hint="eastAsia" w:hAnsi="宋体" w:cs="宋体"/>
          <w:bCs/>
          <w:szCs w:val="24"/>
          <w:highlight w:val="none"/>
        </w:rPr>
        <w:t>（1）投标价格：见附件2评标因素及权重分值表。</w:t>
      </w:r>
    </w:p>
    <w:p w14:paraId="4371610C">
      <w:pPr>
        <w:tabs>
          <w:tab w:val="left" w:pos="0"/>
        </w:tabs>
        <w:adjustRightInd w:val="0"/>
        <w:snapToGrid w:val="0"/>
        <w:spacing w:line="360" w:lineRule="auto"/>
        <w:ind w:firstLine="470" w:firstLineChars="196"/>
        <w:rPr>
          <w:rFonts w:hint="eastAsia" w:hAnsi="宋体" w:cs="宋体"/>
          <w:bCs/>
          <w:szCs w:val="24"/>
          <w:highlight w:val="none"/>
        </w:rPr>
      </w:pPr>
      <w:r>
        <w:rPr>
          <w:rFonts w:hint="eastAsia" w:hAnsi="宋体" w:cs="宋体"/>
          <w:bCs/>
          <w:szCs w:val="24"/>
          <w:highlight w:val="none"/>
        </w:rPr>
        <w:t>（2）技术评审：见附件2评标因素及权重分值表。</w:t>
      </w:r>
    </w:p>
    <w:p w14:paraId="6FA4F39C">
      <w:pPr>
        <w:tabs>
          <w:tab w:val="left" w:pos="0"/>
        </w:tabs>
        <w:adjustRightInd w:val="0"/>
        <w:snapToGrid w:val="0"/>
        <w:spacing w:line="360" w:lineRule="auto"/>
        <w:ind w:firstLine="470" w:firstLineChars="196"/>
        <w:rPr>
          <w:rFonts w:hint="eastAsia" w:hAnsi="宋体" w:cs="宋体"/>
          <w:bCs/>
          <w:szCs w:val="24"/>
          <w:highlight w:val="none"/>
        </w:rPr>
      </w:pPr>
      <w:r>
        <w:rPr>
          <w:rFonts w:hint="eastAsia" w:hAnsi="宋体" w:cs="宋体"/>
          <w:bCs/>
          <w:szCs w:val="24"/>
          <w:highlight w:val="none"/>
        </w:rPr>
        <w:t>（3）履约能力及服务承诺：见附件2评标因素及权重分值表。</w:t>
      </w:r>
    </w:p>
    <w:p w14:paraId="262287E2">
      <w:pPr>
        <w:spacing w:line="360" w:lineRule="auto"/>
        <w:rPr>
          <w:rFonts w:hint="eastAsia" w:hAnsi="宋体" w:cs="宋体"/>
          <w:b/>
          <w:sz w:val="28"/>
          <w:szCs w:val="28"/>
          <w:highlight w:val="none"/>
        </w:rPr>
      </w:pPr>
      <w:bookmarkStart w:id="102" w:name="_Toc363463333"/>
      <w:r>
        <w:rPr>
          <w:rFonts w:hint="eastAsia" w:hAnsi="宋体" w:cs="宋体"/>
          <w:b/>
          <w:sz w:val="28"/>
          <w:szCs w:val="28"/>
          <w:highlight w:val="none"/>
        </w:rPr>
        <w:t>三、评标程序</w:t>
      </w:r>
      <w:bookmarkEnd w:id="102"/>
    </w:p>
    <w:p w14:paraId="15C3A546">
      <w:pPr>
        <w:spacing w:line="360" w:lineRule="auto"/>
        <w:ind w:firstLine="482" w:firstLineChars="200"/>
        <w:rPr>
          <w:rFonts w:hint="eastAsia" w:hAnsi="宋体" w:cs="宋体"/>
          <w:b/>
          <w:szCs w:val="24"/>
          <w:highlight w:val="none"/>
        </w:rPr>
      </w:pPr>
      <w:r>
        <w:rPr>
          <w:rFonts w:hint="eastAsia" w:hAnsi="宋体" w:cs="宋体"/>
          <w:b/>
          <w:szCs w:val="24"/>
          <w:highlight w:val="none"/>
        </w:rPr>
        <w:t>1.本采购项目评标按照下列工作程序进行</w:t>
      </w:r>
      <w:r>
        <w:rPr>
          <w:rFonts w:hint="eastAsia" w:hAnsi="宋体" w:cs="宋体"/>
          <w:bCs/>
          <w:szCs w:val="24"/>
          <w:highlight w:val="none"/>
        </w:rPr>
        <w:t>（在上一步评审中被认定无效投标者，不进入下一步的评审）。</w:t>
      </w:r>
    </w:p>
    <w:p w14:paraId="0DA81C70">
      <w:pPr>
        <w:spacing w:line="360" w:lineRule="auto"/>
        <w:ind w:firstLine="495"/>
        <w:rPr>
          <w:rFonts w:hint="eastAsia" w:hAnsi="宋体" w:cs="宋体"/>
          <w:szCs w:val="24"/>
          <w:highlight w:val="none"/>
        </w:rPr>
      </w:pPr>
      <w:r>
        <w:rPr>
          <w:rFonts w:hint="eastAsia" w:hAnsi="宋体" w:cs="宋体"/>
          <w:szCs w:val="24"/>
          <w:highlight w:val="none"/>
        </w:rPr>
        <w:t>（1）投标文件初审；</w:t>
      </w:r>
    </w:p>
    <w:p w14:paraId="0557BC66">
      <w:pPr>
        <w:spacing w:line="360" w:lineRule="auto"/>
        <w:ind w:firstLine="495"/>
        <w:rPr>
          <w:rFonts w:hint="eastAsia" w:hAnsi="宋体" w:cs="宋体"/>
          <w:szCs w:val="24"/>
          <w:highlight w:val="none"/>
        </w:rPr>
      </w:pPr>
      <w:r>
        <w:rPr>
          <w:rFonts w:hint="eastAsia" w:hAnsi="宋体" w:cs="宋体"/>
          <w:szCs w:val="24"/>
          <w:highlight w:val="none"/>
        </w:rPr>
        <w:t>（2）澄清有关问题；</w:t>
      </w:r>
    </w:p>
    <w:p w14:paraId="11E34204">
      <w:pPr>
        <w:spacing w:line="360" w:lineRule="auto"/>
        <w:ind w:firstLine="495"/>
        <w:rPr>
          <w:rFonts w:hint="eastAsia" w:hAnsi="宋体" w:cs="宋体"/>
          <w:szCs w:val="24"/>
          <w:highlight w:val="none"/>
        </w:rPr>
      </w:pPr>
      <w:r>
        <w:rPr>
          <w:rFonts w:hint="eastAsia" w:hAnsi="宋体" w:cs="宋体"/>
          <w:szCs w:val="24"/>
          <w:highlight w:val="none"/>
        </w:rPr>
        <w:t>（3）比较与评价；</w:t>
      </w:r>
    </w:p>
    <w:p w14:paraId="56684654">
      <w:pPr>
        <w:spacing w:line="360" w:lineRule="auto"/>
        <w:ind w:firstLine="495"/>
        <w:rPr>
          <w:rFonts w:hint="eastAsia" w:hAnsi="宋体" w:cs="宋体"/>
          <w:szCs w:val="24"/>
          <w:highlight w:val="none"/>
        </w:rPr>
      </w:pPr>
      <w:r>
        <w:rPr>
          <w:rFonts w:hint="eastAsia" w:hAnsi="宋体" w:cs="宋体"/>
          <w:szCs w:val="24"/>
          <w:highlight w:val="none"/>
        </w:rPr>
        <w:t>（4）推荐中标候选人名单。</w:t>
      </w:r>
    </w:p>
    <w:p w14:paraId="795EEB2A">
      <w:pPr>
        <w:spacing w:before="120" w:after="120" w:line="360" w:lineRule="auto"/>
        <w:rPr>
          <w:rFonts w:hint="eastAsia" w:hAnsi="宋体" w:cs="宋体"/>
          <w:b/>
          <w:szCs w:val="24"/>
          <w:highlight w:val="none"/>
        </w:rPr>
      </w:pPr>
      <w:r>
        <w:rPr>
          <w:rFonts w:hint="eastAsia" w:hAnsi="宋体" w:cs="宋体"/>
          <w:b/>
          <w:szCs w:val="24"/>
          <w:highlight w:val="none"/>
        </w:rPr>
        <w:t>2.投标文件初审</w:t>
      </w:r>
    </w:p>
    <w:p w14:paraId="4970A49E">
      <w:pPr>
        <w:tabs>
          <w:tab w:val="left" w:pos="0"/>
        </w:tabs>
        <w:adjustRightInd w:val="0"/>
        <w:snapToGrid w:val="0"/>
        <w:spacing w:line="360" w:lineRule="auto"/>
        <w:ind w:firstLine="472" w:firstLineChars="196"/>
        <w:rPr>
          <w:rFonts w:hint="eastAsia" w:hAnsi="宋体" w:cs="宋体"/>
          <w:szCs w:val="24"/>
          <w:highlight w:val="none"/>
        </w:rPr>
      </w:pPr>
      <w:r>
        <w:rPr>
          <w:rFonts w:hint="eastAsia" w:hAnsi="宋体" w:cs="宋体"/>
          <w:b/>
          <w:bCs/>
          <w:szCs w:val="24"/>
          <w:highlight w:val="none"/>
        </w:rPr>
        <w:t>评标委员会根据本章第 2.1 项规定的评审标准对投标文件进行初步评审。有一项不符合评审标准的，评标委员会应当否决其投标。</w:t>
      </w:r>
    </w:p>
    <w:p w14:paraId="01680CB5">
      <w:pPr>
        <w:tabs>
          <w:tab w:val="left" w:pos="0"/>
        </w:tabs>
        <w:adjustRightInd w:val="0"/>
        <w:snapToGrid w:val="0"/>
        <w:spacing w:line="360" w:lineRule="auto"/>
        <w:ind w:firstLine="472" w:firstLineChars="196"/>
        <w:rPr>
          <w:rFonts w:hint="eastAsia" w:hAnsi="宋体" w:cs="宋体"/>
          <w:b/>
          <w:bCs/>
          <w:szCs w:val="24"/>
          <w:highlight w:val="none"/>
        </w:rPr>
      </w:pPr>
      <w:r>
        <w:rPr>
          <w:rFonts w:hint="eastAsia" w:hAnsi="宋体" w:cs="宋体"/>
          <w:b/>
          <w:bCs/>
          <w:szCs w:val="24"/>
          <w:highlight w:val="none"/>
        </w:rPr>
        <w:t>在资格性审查阶段，不符合文件要求的，不得进入符合性审查，在资格性审查和符合性审查时未通过的，不得进入后续评审环节。</w:t>
      </w:r>
    </w:p>
    <w:p w14:paraId="0FBC1DED">
      <w:pPr>
        <w:spacing w:before="120" w:after="120" w:line="360" w:lineRule="auto"/>
        <w:rPr>
          <w:rFonts w:hint="eastAsia" w:hAnsi="宋体" w:cs="宋体"/>
          <w:b/>
          <w:szCs w:val="24"/>
          <w:highlight w:val="none"/>
        </w:rPr>
      </w:pPr>
      <w:r>
        <w:rPr>
          <w:rFonts w:hint="eastAsia" w:hAnsi="宋体" w:cs="宋体"/>
          <w:b/>
          <w:szCs w:val="24"/>
          <w:highlight w:val="none"/>
        </w:rPr>
        <w:t>3.投标文件的澄清</w:t>
      </w:r>
    </w:p>
    <w:p w14:paraId="3ED4B9FB">
      <w:pPr>
        <w:spacing w:line="360" w:lineRule="auto"/>
        <w:ind w:firstLine="480" w:firstLineChars="200"/>
        <w:rPr>
          <w:rFonts w:hint="eastAsia" w:hAnsi="宋体" w:cs="宋体"/>
          <w:szCs w:val="24"/>
          <w:highlight w:val="none"/>
        </w:rPr>
      </w:pPr>
      <w:r>
        <w:rPr>
          <w:rFonts w:hint="eastAsia" w:hAnsi="宋体" w:cs="宋体"/>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14:paraId="01EFAFF6">
      <w:pPr>
        <w:spacing w:line="360" w:lineRule="auto"/>
        <w:ind w:firstLine="480" w:firstLineChars="200"/>
        <w:rPr>
          <w:rFonts w:hint="eastAsia" w:hAnsi="宋体" w:cs="宋体"/>
          <w:szCs w:val="24"/>
          <w:highlight w:val="none"/>
        </w:rPr>
      </w:pPr>
      <w:r>
        <w:rPr>
          <w:rFonts w:hint="eastAsia" w:hAnsi="宋体" w:cs="宋体"/>
          <w:szCs w:val="24"/>
          <w:highlight w:val="none"/>
        </w:rPr>
        <w:t>3.2有效的书面澄清材料，是投标文件的补充材料，成为投标文件的组成部分。</w:t>
      </w:r>
    </w:p>
    <w:p w14:paraId="633E1D06">
      <w:pPr>
        <w:tabs>
          <w:tab w:val="left" w:pos="851"/>
        </w:tabs>
        <w:spacing w:line="360" w:lineRule="auto"/>
        <w:ind w:firstLine="480" w:firstLineChars="200"/>
        <w:rPr>
          <w:rFonts w:hint="eastAsia" w:hAnsi="宋体" w:cs="宋体"/>
          <w:szCs w:val="24"/>
          <w:highlight w:val="none"/>
        </w:rPr>
      </w:pPr>
      <w:r>
        <w:rPr>
          <w:rFonts w:hint="eastAsia" w:hAnsi="宋体" w:cs="宋体"/>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0EC52E9">
      <w:pPr>
        <w:spacing w:before="120" w:after="120" w:line="360" w:lineRule="auto"/>
        <w:jc w:val="left"/>
        <w:rPr>
          <w:rFonts w:hint="eastAsia" w:hAnsi="宋体" w:cs="宋体"/>
          <w:b/>
          <w:szCs w:val="24"/>
          <w:highlight w:val="none"/>
        </w:rPr>
      </w:pPr>
      <w:r>
        <w:rPr>
          <w:rFonts w:hint="eastAsia" w:hAnsi="宋体" w:cs="宋体"/>
          <w:b/>
          <w:szCs w:val="24"/>
          <w:highlight w:val="none"/>
        </w:rPr>
        <w:t>4.投标文件比较与评价</w:t>
      </w:r>
    </w:p>
    <w:p w14:paraId="65359C6B">
      <w:pPr>
        <w:tabs>
          <w:tab w:val="left" w:pos="0"/>
        </w:tabs>
        <w:adjustRightInd w:val="0"/>
        <w:snapToGrid w:val="0"/>
        <w:spacing w:before="120" w:line="360" w:lineRule="auto"/>
        <w:ind w:firstLine="480" w:firstLineChars="200"/>
        <w:rPr>
          <w:rFonts w:hint="eastAsia" w:hAnsi="宋体" w:cs="宋体"/>
          <w:szCs w:val="24"/>
          <w:highlight w:val="none"/>
        </w:rPr>
      </w:pPr>
      <w:r>
        <w:rPr>
          <w:rFonts w:hint="eastAsia" w:hAnsi="宋体" w:cs="宋体"/>
          <w:szCs w:val="24"/>
          <w:highlight w:val="none"/>
        </w:rPr>
        <w:t>4.1</w:t>
      </w:r>
      <w:r>
        <w:rPr>
          <w:rFonts w:hint="eastAsia" w:hAnsi="宋体" w:cs="宋体"/>
          <w:bCs/>
          <w:szCs w:val="24"/>
          <w:highlight w:val="none"/>
        </w:rPr>
        <w:t>评委会应按照招标文件中规定的评标方法</w:t>
      </w:r>
      <w:r>
        <w:rPr>
          <w:rFonts w:hint="eastAsia" w:hAnsi="宋体" w:cs="宋体"/>
          <w:szCs w:val="24"/>
          <w:highlight w:val="none"/>
        </w:rPr>
        <w:t>和标准，</w:t>
      </w:r>
      <w:r>
        <w:rPr>
          <w:rFonts w:hint="eastAsia" w:hAnsi="宋体" w:cs="宋体"/>
          <w:bCs/>
          <w:szCs w:val="24"/>
          <w:highlight w:val="none"/>
        </w:rPr>
        <w:t>对</w:t>
      </w:r>
      <w:r>
        <w:rPr>
          <w:rFonts w:hint="eastAsia" w:hAnsi="宋体" w:cs="宋体"/>
          <w:szCs w:val="24"/>
          <w:highlight w:val="none"/>
        </w:rPr>
        <w:t>资格性检查和符合性检查</w:t>
      </w:r>
      <w:r>
        <w:rPr>
          <w:rFonts w:hint="eastAsia" w:hAnsi="宋体" w:cs="宋体"/>
          <w:bCs/>
          <w:szCs w:val="24"/>
          <w:highlight w:val="none"/>
        </w:rPr>
        <w:t>合格的投标文件进行商务和技术评估，综合比较与评价。</w:t>
      </w:r>
    </w:p>
    <w:p w14:paraId="54BEA4AA">
      <w:pPr>
        <w:spacing w:line="360" w:lineRule="auto"/>
        <w:ind w:firstLine="470" w:firstLineChars="196"/>
        <w:rPr>
          <w:rFonts w:hint="eastAsia" w:hAnsi="宋体" w:cs="宋体"/>
          <w:szCs w:val="24"/>
          <w:highlight w:val="none"/>
        </w:rPr>
      </w:pPr>
      <w:r>
        <w:rPr>
          <w:rFonts w:hint="eastAsia" w:hAnsi="宋体" w:cs="宋体"/>
          <w:szCs w:val="24"/>
          <w:highlight w:val="none"/>
        </w:rPr>
        <w:t>4.2如果投标文件没有实质性响应招标文件的要求，评委会将予以拒绝。供应商不得通过修正或撤销不合要求的偏离或保留，从而使其投标成为实质性响应的投标。</w:t>
      </w:r>
    </w:p>
    <w:p w14:paraId="30BFE7E6">
      <w:pPr>
        <w:spacing w:line="360" w:lineRule="auto"/>
        <w:ind w:firstLine="120" w:firstLineChars="50"/>
        <w:rPr>
          <w:rFonts w:hint="eastAsia" w:hAnsi="宋体" w:cs="宋体"/>
          <w:b/>
          <w:szCs w:val="24"/>
          <w:highlight w:val="none"/>
        </w:rPr>
      </w:pPr>
      <w:r>
        <w:rPr>
          <w:rFonts w:hint="eastAsia" w:hAnsi="宋体" w:cs="宋体"/>
          <w:b/>
          <w:szCs w:val="24"/>
          <w:highlight w:val="none"/>
        </w:rPr>
        <w:t>四、政策性扣减</w:t>
      </w:r>
    </w:p>
    <w:p w14:paraId="4D3029BC">
      <w:pPr>
        <w:spacing w:line="600" w:lineRule="exact"/>
        <w:ind w:firstLine="482" w:firstLineChars="200"/>
        <w:rPr>
          <w:rFonts w:hint="eastAsia" w:hAnsi="宋体" w:cs="宋体"/>
          <w:b/>
          <w:szCs w:val="24"/>
          <w:highlight w:val="none"/>
        </w:rPr>
      </w:pPr>
      <w:r>
        <w:rPr>
          <w:rFonts w:hint="eastAsia" w:hAnsi="宋体" w:cs="宋体"/>
          <w:b/>
          <w:szCs w:val="24"/>
          <w:highlight w:val="none"/>
        </w:rPr>
        <w:t>1、政策性扣减范围</w:t>
      </w:r>
    </w:p>
    <w:p w14:paraId="4BBE0091">
      <w:pPr>
        <w:spacing w:line="600" w:lineRule="exact"/>
        <w:ind w:firstLine="480" w:firstLineChars="200"/>
        <w:rPr>
          <w:rFonts w:hint="eastAsia" w:hAnsi="宋体" w:cs="宋体"/>
          <w:szCs w:val="24"/>
          <w:highlight w:val="none"/>
        </w:rPr>
      </w:pPr>
      <w:r>
        <w:rPr>
          <w:rFonts w:hint="eastAsia" w:hAnsi="宋体" w:cs="宋体"/>
          <w:szCs w:val="24"/>
          <w:highlight w:val="none"/>
        </w:rPr>
        <w:t>1.1供应商符合小型、微型企业或监狱企业、残疾人福利性单位条件的，其投标报价价格评审时将按相应比例进行扣减。</w:t>
      </w:r>
    </w:p>
    <w:p w14:paraId="53288A66">
      <w:pPr>
        <w:spacing w:line="600" w:lineRule="exact"/>
        <w:ind w:firstLine="480" w:firstLineChars="200"/>
        <w:rPr>
          <w:rFonts w:hint="eastAsia" w:hAnsi="宋体" w:cs="宋体"/>
          <w:szCs w:val="24"/>
          <w:highlight w:val="none"/>
        </w:rPr>
      </w:pPr>
      <w:r>
        <w:rPr>
          <w:rFonts w:hint="eastAsia" w:hAnsi="宋体" w:cs="宋体"/>
          <w:szCs w:val="24"/>
          <w:highlight w:val="none"/>
        </w:rPr>
        <w:t>1.2依照&lt;关于印发《政府采购促进中小企业发展暂行办法》的通知&gt;财库〔2020〕46号的规定，小型、微型企业应当同时符合以下条件：</w:t>
      </w:r>
    </w:p>
    <w:p w14:paraId="55524F15">
      <w:pPr>
        <w:spacing w:line="600" w:lineRule="exact"/>
        <w:ind w:firstLine="480" w:firstLineChars="200"/>
        <w:rPr>
          <w:rFonts w:hint="eastAsia"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51B0C546">
      <w:pPr>
        <w:spacing w:line="600" w:lineRule="exact"/>
        <w:ind w:firstLine="480" w:firstLineChars="200"/>
        <w:rPr>
          <w:rFonts w:hint="eastAsia"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058CF6CF">
      <w:pPr>
        <w:spacing w:line="600" w:lineRule="exact"/>
        <w:ind w:firstLine="480" w:firstLineChars="200"/>
        <w:rPr>
          <w:rFonts w:hint="eastAsia"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BE517A7">
      <w:pPr>
        <w:spacing w:line="600" w:lineRule="exact"/>
        <w:ind w:firstLine="480" w:firstLineChars="200"/>
        <w:rPr>
          <w:rFonts w:hint="eastAsia" w:hAnsi="宋体" w:cs="宋体"/>
          <w:szCs w:val="24"/>
          <w:highlight w:val="none"/>
        </w:rPr>
      </w:pPr>
      <w:r>
        <w:rPr>
          <w:rFonts w:hint="eastAsia" w:hAnsi="宋体" w:cs="宋体"/>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6EC91AD6">
      <w:pPr>
        <w:spacing w:line="360" w:lineRule="auto"/>
        <w:ind w:firstLine="480" w:firstLineChars="200"/>
        <w:rPr>
          <w:rFonts w:hint="eastAsia"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2"/>
          <w:rFonts w:hint="default"/>
          <w:color w:val="auto"/>
          <w:sz w:val="24"/>
          <w:szCs w:val="24"/>
          <w:highlight w:val="none"/>
        </w:rPr>
        <w:t>http://www.ccgp.gov.cn/</w:t>
      </w:r>
      <w:r>
        <w:rPr>
          <w:rStyle w:val="22"/>
          <w:rFonts w:hint="default"/>
          <w:color w:val="auto"/>
          <w:sz w:val="24"/>
          <w:szCs w:val="24"/>
          <w:highlight w:val="none"/>
        </w:rPr>
        <w:fldChar w:fldCharType="end"/>
      </w:r>
      <w:r>
        <w:rPr>
          <w:rFonts w:hint="eastAsia" w:hAnsi="宋体" w:cs="宋体"/>
          <w:szCs w:val="24"/>
          <w:highlight w:val="none"/>
        </w:rPr>
        <w:t>）上查找。</w:t>
      </w:r>
    </w:p>
    <w:p w14:paraId="34177449">
      <w:pPr>
        <w:spacing w:line="360" w:lineRule="auto"/>
        <w:ind w:firstLine="480" w:firstLineChars="200"/>
        <w:rPr>
          <w:rFonts w:hint="eastAsia"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Style w:val="22"/>
          <w:rFonts w:hint="default"/>
          <w:color w:val="auto"/>
          <w:sz w:val="24"/>
          <w:szCs w:val="24"/>
          <w:highlight w:val="none"/>
        </w:rPr>
        <w:t>http://www.ccgp.gov.cn/</w:t>
      </w:r>
      <w:r>
        <w:rPr>
          <w:rStyle w:val="22"/>
          <w:rFonts w:hint="default"/>
          <w:color w:val="auto"/>
          <w:sz w:val="24"/>
          <w:szCs w:val="24"/>
          <w:highlight w:val="none"/>
        </w:rPr>
        <w:fldChar w:fldCharType="end"/>
      </w:r>
      <w:r>
        <w:rPr>
          <w:rFonts w:hint="eastAsia" w:hAnsi="宋体" w:cs="宋体"/>
          <w:szCs w:val="24"/>
          <w:highlight w:val="none"/>
        </w:rPr>
        <w:t>）上查找。</w:t>
      </w:r>
    </w:p>
    <w:p w14:paraId="02D4E7C5">
      <w:pPr>
        <w:spacing w:line="560" w:lineRule="exact"/>
        <w:ind w:firstLine="480" w:firstLineChars="200"/>
        <w:rPr>
          <w:rFonts w:hint="eastAsia"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3CCC1C7A">
      <w:pPr>
        <w:spacing w:line="560" w:lineRule="exact"/>
        <w:ind w:firstLine="480" w:firstLineChars="200"/>
        <w:rPr>
          <w:rFonts w:hint="eastAsia"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7D6D38BB">
      <w:pPr>
        <w:spacing w:line="600" w:lineRule="exact"/>
        <w:ind w:firstLine="482" w:firstLineChars="200"/>
        <w:rPr>
          <w:rFonts w:hint="eastAsia" w:hAnsi="宋体" w:cs="宋体"/>
          <w:b/>
          <w:szCs w:val="24"/>
          <w:highlight w:val="none"/>
        </w:rPr>
      </w:pPr>
      <w:r>
        <w:rPr>
          <w:rFonts w:hint="eastAsia" w:hAnsi="宋体" w:cs="宋体"/>
          <w:b/>
          <w:szCs w:val="24"/>
          <w:highlight w:val="none"/>
        </w:rPr>
        <w:t>2、政策性扣减方式：</w:t>
      </w:r>
    </w:p>
    <w:p w14:paraId="6226488E">
      <w:pPr>
        <w:spacing w:line="600" w:lineRule="exact"/>
        <w:ind w:firstLine="480" w:firstLineChars="200"/>
        <w:rPr>
          <w:rFonts w:hint="eastAsia" w:hAnsi="宋体" w:cs="宋体"/>
          <w:szCs w:val="24"/>
          <w:highlight w:val="none"/>
        </w:rPr>
      </w:pPr>
      <w:r>
        <w:rPr>
          <w:rFonts w:hint="eastAsia" w:hAnsi="宋体" w:cs="宋体"/>
          <w:szCs w:val="24"/>
          <w:highlight w:val="none"/>
        </w:rPr>
        <w:t>2.1在投标报价的基础上，对小微企业、监狱企业、残疾人福利性单位，按“投标报价×10%”进行扣减；</w:t>
      </w:r>
    </w:p>
    <w:p w14:paraId="71BA5BB4">
      <w:pPr>
        <w:spacing w:line="600" w:lineRule="exact"/>
        <w:ind w:firstLine="480" w:firstLineChars="200"/>
        <w:rPr>
          <w:rFonts w:hint="eastAsia" w:hAnsi="宋体" w:cs="宋体"/>
          <w:szCs w:val="24"/>
          <w:highlight w:val="none"/>
        </w:rPr>
      </w:pPr>
      <w:r>
        <w:rPr>
          <w:rFonts w:hint="eastAsia" w:hAnsi="宋体" w:cs="宋体"/>
          <w:szCs w:val="24"/>
          <w:highlight w:val="none"/>
        </w:rPr>
        <w:t>2.2供应商为联合体参与投标，且联合协议中约定小型或微型企业的协议合同金额占到联合体协议合同总金额30％以上的，按“投标报价×2%”进行扣减；</w:t>
      </w:r>
    </w:p>
    <w:p w14:paraId="155D0CB8">
      <w:pPr>
        <w:spacing w:line="600" w:lineRule="exact"/>
        <w:ind w:firstLine="480" w:firstLineChars="200"/>
        <w:rPr>
          <w:rFonts w:hint="eastAsia" w:hAnsi="宋体" w:cs="宋体"/>
          <w:szCs w:val="24"/>
          <w:highlight w:val="none"/>
        </w:rPr>
      </w:pPr>
      <w:r>
        <w:rPr>
          <w:rFonts w:hint="eastAsia" w:hAnsi="宋体" w:cs="宋体"/>
          <w:szCs w:val="24"/>
          <w:highlight w:val="none"/>
        </w:rPr>
        <w:t>2.3供应商享受</w:t>
      </w:r>
      <w:r>
        <w:rPr>
          <w:rFonts w:hint="eastAsia" w:hAnsi="宋体" w:cs="宋体"/>
          <w:bCs/>
          <w:szCs w:val="24"/>
          <w:highlight w:val="none"/>
        </w:rPr>
        <w:t>支持</w:t>
      </w:r>
      <w:r>
        <w:rPr>
          <w:rFonts w:hint="eastAsia" w:hAnsi="宋体" w:cs="宋体"/>
          <w:szCs w:val="24"/>
          <w:highlight w:val="none"/>
        </w:rPr>
        <w:t>中小型企业发展政策优惠的，可以同时享受节能、环境标志产品优先采购政策；</w:t>
      </w:r>
    </w:p>
    <w:p w14:paraId="2DBD99EE">
      <w:pPr>
        <w:spacing w:line="600" w:lineRule="exact"/>
        <w:ind w:firstLine="480" w:firstLineChars="200"/>
        <w:rPr>
          <w:rFonts w:hint="eastAsia" w:hAnsi="宋体" w:cs="宋体"/>
          <w:szCs w:val="24"/>
          <w:highlight w:val="none"/>
        </w:rPr>
      </w:pPr>
      <w:r>
        <w:rPr>
          <w:rFonts w:hint="eastAsia" w:hAnsi="宋体" w:cs="宋体"/>
          <w:szCs w:val="24"/>
          <w:highlight w:val="none"/>
        </w:rPr>
        <w:t>3、中标价格=中标供应商的有效投标报价。</w:t>
      </w:r>
    </w:p>
    <w:p w14:paraId="5DC703F2">
      <w:pPr>
        <w:pStyle w:val="8"/>
        <w:rPr>
          <w:rFonts w:hint="eastAsia"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附件1：</w:t>
      </w:r>
    </w:p>
    <w:p w14:paraId="36EF3581">
      <w:pPr>
        <w:pStyle w:val="8"/>
        <w:jc w:val="center"/>
        <w:rPr>
          <w:rFonts w:hint="eastAsia"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1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404"/>
        <w:gridCol w:w="5184"/>
      </w:tblGrid>
      <w:tr w14:paraId="0AC0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gridSpan w:val="2"/>
            <w:vAlign w:val="center"/>
          </w:tcPr>
          <w:p w14:paraId="11E4607F">
            <w:pPr>
              <w:tabs>
                <w:tab w:val="left" w:pos="0"/>
              </w:tabs>
              <w:adjustRightInd w:val="0"/>
              <w:snapToGrid w:val="0"/>
              <w:jc w:val="center"/>
              <w:rPr>
                <w:rFonts w:hint="eastAsia" w:hAnsi="宋体" w:cs="宋体"/>
                <w:b/>
                <w:szCs w:val="24"/>
                <w:highlight w:val="none"/>
              </w:rPr>
            </w:pPr>
            <w:r>
              <w:rPr>
                <w:rFonts w:hint="eastAsia" w:hAnsi="宋体" w:cs="宋体"/>
                <w:b/>
                <w:szCs w:val="24"/>
                <w:highlight w:val="none"/>
              </w:rPr>
              <w:t>条款号</w:t>
            </w:r>
          </w:p>
        </w:tc>
        <w:tc>
          <w:tcPr>
            <w:tcW w:w="2971" w:type="dxa"/>
            <w:gridSpan w:val="2"/>
            <w:vAlign w:val="center"/>
          </w:tcPr>
          <w:p w14:paraId="01569852">
            <w:pPr>
              <w:tabs>
                <w:tab w:val="left" w:pos="0"/>
              </w:tabs>
              <w:adjustRightInd w:val="0"/>
              <w:snapToGrid w:val="0"/>
              <w:jc w:val="center"/>
              <w:rPr>
                <w:rFonts w:hint="eastAsia" w:hAnsi="宋体" w:cs="宋体"/>
                <w:b/>
                <w:szCs w:val="24"/>
                <w:highlight w:val="none"/>
              </w:rPr>
            </w:pPr>
            <w:r>
              <w:rPr>
                <w:rFonts w:hint="eastAsia" w:hAnsi="宋体" w:cs="宋体"/>
                <w:b/>
                <w:szCs w:val="24"/>
                <w:highlight w:val="none"/>
              </w:rPr>
              <w:t>评审因素</w:t>
            </w:r>
          </w:p>
        </w:tc>
        <w:tc>
          <w:tcPr>
            <w:tcW w:w="5184" w:type="dxa"/>
            <w:vAlign w:val="center"/>
          </w:tcPr>
          <w:p w14:paraId="721E2D65">
            <w:pPr>
              <w:tabs>
                <w:tab w:val="left" w:pos="0"/>
              </w:tabs>
              <w:adjustRightInd w:val="0"/>
              <w:snapToGrid w:val="0"/>
              <w:jc w:val="center"/>
              <w:rPr>
                <w:rFonts w:hint="eastAsia" w:hAnsi="宋体" w:cs="宋体"/>
                <w:b/>
                <w:szCs w:val="24"/>
                <w:highlight w:val="none"/>
              </w:rPr>
            </w:pPr>
            <w:r>
              <w:rPr>
                <w:rFonts w:hint="eastAsia" w:hAnsi="宋体" w:cs="宋体"/>
                <w:b/>
                <w:szCs w:val="24"/>
                <w:highlight w:val="none"/>
              </w:rPr>
              <w:t>评审标准</w:t>
            </w:r>
          </w:p>
        </w:tc>
      </w:tr>
      <w:tr w14:paraId="765A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364" w:type="dxa"/>
            <w:gridSpan w:val="2"/>
            <w:vAlign w:val="center"/>
          </w:tcPr>
          <w:p w14:paraId="13BA305D">
            <w:pPr>
              <w:tabs>
                <w:tab w:val="left" w:pos="0"/>
              </w:tabs>
              <w:adjustRightInd w:val="0"/>
              <w:snapToGrid w:val="0"/>
              <w:jc w:val="center"/>
              <w:rPr>
                <w:rFonts w:hint="eastAsia" w:hAnsi="宋体" w:cs="宋体"/>
                <w:b/>
                <w:bCs/>
                <w:szCs w:val="24"/>
                <w:highlight w:val="none"/>
              </w:rPr>
            </w:pPr>
            <w:r>
              <w:rPr>
                <w:rFonts w:hint="eastAsia" w:hAnsi="宋体" w:cs="宋体"/>
                <w:b/>
                <w:bCs/>
                <w:szCs w:val="24"/>
                <w:highlight w:val="none"/>
              </w:rPr>
              <w:t>资格审查标准</w:t>
            </w:r>
          </w:p>
        </w:tc>
        <w:tc>
          <w:tcPr>
            <w:tcW w:w="8155" w:type="dxa"/>
            <w:gridSpan w:val="3"/>
            <w:vAlign w:val="center"/>
          </w:tcPr>
          <w:p w14:paraId="68DE0C97">
            <w:pPr>
              <w:tabs>
                <w:tab w:val="left" w:pos="0"/>
              </w:tabs>
              <w:adjustRightInd w:val="0"/>
              <w:snapToGrid w:val="0"/>
              <w:rPr>
                <w:rFonts w:hint="eastAsia" w:hAnsi="宋体" w:cs="宋体"/>
                <w:szCs w:val="24"/>
                <w:highlight w:val="none"/>
              </w:rPr>
            </w:pPr>
            <w:r>
              <w:rPr>
                <w:rFonts w:hint="eastAsia" w:hAnsi="宋体" w:cs="宋体"/>
                <w:szCs w:val="24"/>
                <w:highlight w:val="none"/>
              </w:rPr>
              <w:t>合同包1资格要求如下:</w:t>
            </w:r>
          </w:p>
          <w:p w14:paraId="2995EE86">
            <w:pPr>
              <w:tabs>
                <w:tab w:val="left" w:pos="0"/>
              </w:tabs>
              <w:adjustRightInd w:val="0"/>
              <w:snapToGrid w:val="0"/>
              <w:rPr>
                <w:rFonts w:hint="eastAsia" w:hAnsi="宋体" w:cs="宋体"/>
                <w:szCs w:val="24"/>
                <w:highlight w:val="none"/>
              </w:rPr>
            </w:pPr>
            <w:r>
              <w:rPr>
                <w:rFonts w:hint="eastAsia" w:hAnsi="宋体" w:cs="宋体"/>
                <w:szCs w:val="24"/>
                <w:highlight w:val="none"/>
              </w:rPr>
              <w:t>(1)提供合格有效的法人或者其他组织的营业执照等证明文件，自然人的身份证明；</w:t>
            </w:r>
          </w:p>
          <w:p w14:paraId="77EC5335">
            <w:pPr>
              <w:tabs>
                <w:tab w:val="left" w:pos="0"/>
              </w:tabs>
              <w:adjustRightInd w:val="0"/>
              <w:snapToGrid w:val="0"/>
              <w:rPr>
                <w:rFonts w:hint="eastAsia" w:hAnsi="宋体" w:cs="宋体"/>
                <w:szCs w:val="24"/>
                <w:highlight w:val="none"/>
              </w:rPr>
            </w:pPr>
            <w:r>
              <w:rPr>
                <w:rFonts w:hint="eastAsia" w:hAnsi="宋体" w:cs="宋体"/>
                <w:szCs w:val="24"/>
                <w:highlight w:val="none"/>
              </w:rPr>
              <w:t>(2)提供法定代表人授权书（附法定代表人、被授权人身份证复印件，法定代表人直接参加投标，须提供法定代表人身份证明及身份证复印件）；</w:t>
            </w:r>
          </w:p>
          <w:p w14:paraId="404111DD">
            <w:pPr>
              <w:tabs>
                <w:tab w:val="left" w:pos="0"/>
              </w:tabs>
              <w:adjustRightInd w:val="0"/>
              <w:snapToGrid w:val="0"/>
              <w:rPr>
                <w:rFonts w:hint="eastAsia" w:hAnsi="宋体" w:cs="宋体"/>
                <w:szCs w:val="24"/>
                <w:highlight w:val="none"/>
              </w:rPr>
            </w:pPr>
            <w:r>
              <w:rPr>
                <w:rFonts w:hint="eastAsia" w:hAnsi="宋体" w:cs="宋体"/>
                <w:szCs w:val="24"/>
                <w:highlight w:val="none"/>
              </w:rPr>
              <w:t>(3)提供2023年度的财务审计报告（成立时间至提交投标文件截止时间不足一年的可提供成立后任意时段的资产负债表）或开标时间前六个月内银行出具的资信证明；</w:t>
            </w:r>
          </w:p>
          <w:p w14:paraId="1B571DA2">
            <w:pPr>
              <w:tabs>
                <w:tab w:val="left" w:pos="0"/>
              </w:tabs>
              <w:adjustRightInd w:val="0"/>
              <w:snapToGrid w:val="0"/>
              <w:rPr>
                <w:rFonts w:hint="eastAsia" w:hAnsi="宋体" w:cs="宋体"/>
                <w:szCs w:val="24"/>
                <w:highlight w:val="none"/>
              </w:rPr>
            </w:pPr>
            <w:r>
              <w:rPr>
                <w:rFonts w:hint="eastAsia" w:hAnsi="宋体" w:cs="宋体"/>
                <w:szCs w:val="24"/>
                <w:highlight w:val="none"/>
              </w:rPr>
              <w:t>(4)税收缴纳证明：提供投标截止日前近一年内任意一个月的纳税证明或完税证明（任意税种），依法免税的单位应提供相关证明材料；</w:t>
            </w:r>
          </w:p>
          <w:p w14:paraId="78189B3A">
            <w:pPr>
              <w:tabs>
                <w:tab w:val="left" w:pos="0"/>
              </w:tabs>
              <w:adjustRightInd w:val="0"/>
              <w:snapToGrid w:val="0"/>
              <w:rPr>
                <w:rFonts w:hint="eastAsia" w:hAnsi="宋体" w:cs="宋体"/>
                <w:szCs w:val="24"/>
                <w:highlight w:val="none"/>
              </w:rPr>
            </w:pPr>
            <w:r>
              <w:rPr>
                <w:rFonts w:hint="eastAsia" w:hAnsi="宋体" w:cs="宋体"/>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14:paraId="6307F5EE">
            <w:pPr>
              <w:tabs>
                <w:tab w:val="left" w:pos="0"/>
              </w:tabs>
              <w:adjustRightInd w:val="0"/>
              <w:snapToGrid w:val="0"/>
              <w:rPr>
                <w:rFonts w:hint="eastAsia" w:hAnsi="宋体" w:cs="宋体"/>
                <w:szCs w:val="24"/>
                <w:highlight w:val="none"/>
              </w:rPr>
            </w:pPr>
            <w:r>
              <w:rPr>
                <w:rFonts w:hint="eastAsia" w:hAnsi="宋体" w:cs="宋体"/>
                <w:szCs w:val="24"/>
                <w:highlight w:val="none"/>
              </w:rPr>
              <w:t>(6)投标人为经销商或代理商的须提供《医疗器械经营许可证》或《医疗器械经营备案凭证》；投标人为制造商的须提供《医疗器械生产许可证》或《医疗器械生产备案凭证》；</w:t>
            </w:r>
          </w:p>
          <w:p w14:paraId="4372A106">
            <w:pPr>
              <w:tabs>
                <w:tab w:val="left" w:pos="0"/>
              </w:tabs>
              <w:adjustRightInd w:val="0"/>
              <w:snapToGrid w:val="0"/>
              <w:rPr>
                <w:rFonts w:hint="eastAsia" w:hAnsi="宋体" w:cs="宋体"/>
                <w:szCs w:val="24"/>
                <w:highlight w:val="none"/>
              </w:rPr>
            </w:pPr>
            <w:r>
              <w:rPr>
                <w:rFonts w:hint="eastAsia" w:hAnsi="宋体" w:cs="宋体"/>
                <w:szCs w:val="24"/>
                <w:highlight w:val="none"/>
              </w:rPr>
              <w:t>(7)投标产品属于医疗器械的提供医疗器械注册证或医疗器械备案凭证；(注:投标产品不属于医疗器械的须提供相应的书面声明材料)</w:t>
            </w:r>
          </w:p>
          <w:p w14:paraId="1F983CCC">
            <w:pPr>
              <w:tabs>
                <w:tab w:val="left" w:pos="0"/>
              </w:tabs>
              <w:adjustRightInd w:val="0"/>
              <w:snapToGrid w:val="0"/>
              <w:rPr>
                <w:rFonts w:hint="eastAsia" w:hAnsi="宋体" w:cs="宋体"/>
                <w:szCs w:val="24"/>
                <w:highlight w:val="none"/>
              </w:rPr>
            </w:pPr>
            <w:r>
              <w:rPr>
                <w:rFonts w:hint="eastAsia" w:hAnsi="宋体" w:cs="宋体"/>
                <w:szCs w:val="24"/>
                <w:highlight w:val="none"/>
              </w:rPr>
              <w:t>(8)提供具有履行本合同所必需的设备和专业技术能力的说明及承诺书；</w:t>
            </w:r>
          </w:p>
          <w:p w14:paraId="2E611AE1">
            <w:pPr>
              <w:tabs>
                <w:tab w:val="left" w:pos="0"/>
              </w:tabs>
              <w:adjustRightInd w:val="0"/>
              <w:snapToGrid w:val="0"/>
              <w:rPr>
                <w:rFonts w:hint="eastAsia" w:hAnsi="宋体" w:cs="宋体"/>
                <w:szCs w:val="24"/>
                <w:highlight w:val="none"/>
              </w:rPr>
            </w:pPr>
            <w:r>
              <w:rPr>
                <w:rFonts w:hint="eastAsia" w:hAnsi="宋体" w:cs="宋体"/>
                <w:szCs w:val="24"/>
                <w:highlight w:val="none"/>
              </w:rPr>
              <w:t>(9)供应商通过“信用中国”网站(www.creditchina.gov.cn)、中国政府采购网(www.ccgp.gov.cn)等查询相关主体信用记录；</w:t>
            </w:r>
          </w:p>
          <w:p w14:paraId="5E50E920">
            <w:pPr>
              <w:tabs>
                <w:tab w:val="left" w:pos="0"/>
              </w:tabs>
              <w:adjustRightInd w:val="0"/>
              <w:snapToGrid w:val="0"/>
              <w:rPr>
                <w:rFonts w:hint="eastAsia" w:hAnsi="宋体" w:cs="宋体"/>
                <w:szCs w:val="24"/>
                <w:highlight w:val="none"/>
              </w:rPr>
            </w:pPr>
            <w:r>
              <w:rPr>
                <w:rFonts w:hint="eastAsia" w:hAnsi="宋体" w:cs="宋体"/>
                <w:szCs w:val="24"/>
                <w:highlight w:val="none"/>
              </w:rPr>
              <w:t>(10)参加政府采购活动前3年内，在经营活动中没有重大违法记录的书面声明；</w:t>
            </w:r>
          </w:p>
          <w:p w14:paraId="610C6416">
            <w:pPr>
              <w:tabs>
                <w:tab w:val="left" w:pos="0"/>
              </w:tabs>
              <w:adjustRightInd w:val="0"/>
              <w:snapToGrid w:val="0"/>
              <w:rPr>
                <w:rFonts w:hint="eastAsia" w:hAnsi="宋体" w:cs="宋体"/>
                <w:szCs w:val="24"/>
                <w:highlight w:val="none"/>
              </w:rPr>
            </w:pPr>
            <w:r>
              <w:rPr>
                <w:rFonts w:hint="eastAsia" w:hAnsi="宋体" w:cs="宋体"/>
                <w:szCs w:val="24"/>
                <w:highlight w:val="none"/>
              </w:rPr>
              <w:t>(11)提供中小企业声明函；</w:t>
            </w:r>
          </w:p>
          <w:p w14:paraId="33689CAD">
            <w:pPr>
              <w:tabs>
                <w:tab w:val="left" w:pos="0"/>
              </w:tabs>
              <w:adjustRightInd w:val="0"/>
              <w:snapToGrid w:val="0"/>
              <w:rPr>
                <w:rFonts w:hint="eastAsia" w:hAnsi="宋体" w:cs="宋体"/>
                <w:szCs w:val="24"/>
                <w:highlight w:val="none"/>
              </w:rPr>
            </w:pPr>
            <w:r>
              <w:rPr>
                <w:rFonts w:hint="eastAsia" w:hAnsi="宋体" w:cs="宋体"/>
                <w:szCs w:val="24"/>
                <w:highlight w:val="none"/>
              </w:rPr>
              <w:t>(12)本项目不接受联合体投标（提供承诺书）。</w:t>
            </w:r>
          </w:p>
          <w:p w14:paraId="4F4F55EA">
            <w:pPr>
              <w:tabs>
                <w:tab w:val="left" w:pos="0"/>
              </w:tabs>
              <w:adjustRightInd w:val="0"/>
              <w:snapToGrid w:val="0"/>
              <w:rPr>
                <w:rFonts w:hint="eastAsia" w:hAnsi="宋体" w:cs="宋体"/>
                <w:szCs w:val="24"/>
                <w:highlight w:val="none"/>
              </w:rPr>
            </w:pPr>
            <w:r>
              <w:rPr>
                <w:rFonts w:hint="eastAsia" w:hAnsi="宋体" w:cs="宋体"/>
                <w:szCs w:val="24"/>
                <w:highlight w:val="none"/>
              </w:rPr>
              <w:t>合同包2资格要求如下:</w:t>
            </w:r>
          </w:p>
          <w:p w14:paraId="319FCD46">
            <w:pPr>
              <w:tabs>
                <w:tab w:val="left" w:pos="0"/>
              </w:tabs>
              <w:adjustRightInd w:val="0"/>
              <w:snapToGrid w:val="0"/>
              <w:rPr>
                <w:rFonts w:hint="eastAsia" w:hAnsi="宋体" w:cs="宋体"/>
                <w:szCs w:val="24"/>
                <w:highlight w:val="none"/>
              </w:rPr>
            </w:pPr>
            <w:r>
              <w:rPr>
                <w:rFonts w:hint="eastAsia" w:hAnsi="宋体" w:cs="宋体"/>
                <w:szCs w:val="24"/>
                <w:highlight w:val="none"/>
              </w:rPr>
              <w:t>(1)提供合格有效的法人或者其他组织的营业执照等证明文件，自然人的身份证明；</w:t>
            </w:r>
          </w:p>
          <w:p w14:paraId="5A92B30C">
            <w:pPr>
              <w:tabs>
                <w:tab w:val="left" w:pos="0"/>
              </w:tabs>
              <w:adjustRightInd w:val="0"/>
              <w:snapToGrid w:val="0"/>
              <w:rPr>
                <w:rFonts w:hint="eastAsia" w:hAnsi="宋体" w:cs="宋体"/>
                <w:szCs w:val="24"/>
                <w:highlight w:val="none"/>
              </w:rPr>
            </w:pPr>
            <w:r>
              <w:rPr>
                <w:rFonts w:hint="eastAsia" w:hAnsi="宋体" w:cs="宋体"/>
                <w:szCs w:val="24"/>
                <w:highlight w:val="none"/>
              </w:rPr>
              <w:t>(2)提供法定代表人授权书（附法定代表人、被授权人身份证复印件，法定代表人直接参加投标，须提供法定代表人身份证明及身份证复印件）；</w:t>
            </w:r>
          </w:p>
          <w:p w14:paraId="48EBAB2D">
            <w:pPr>
              <w:tabs>
                <w:tab w:val="left" w:pos="0"/>
              </w:tabs>
              <w:adjustRightInd w:val="0"/>
              <w:snapToGrid w:val="0"/>
              <w:rPr>
                <w:rFonts w:hint="eastAsia" w:hAnsi="宋体" w:cs="宋体"/>
                <w:szCs w:val="24"/>
                <w:highlight w:val="none"/>
              </w:rPr>
            </w:pPr>
            <w:r>
              <w:rPr>
                <w:rFonts w:hint="eastAsia" w:hAnsi="宋体" w:cs="宋体"/>
                <w:szCs w:val="24"/>
                <w:highlight w:val="none"/>
              </w:rPr>
              <w:t>(3)提供2023年度的财务审计报告（成立时间至提交投标文件截止时间不足一年的可提供成立后任意时段的资产负债表）或开标时间前六个月内银行出具的资信证明；</w:t>
            </w:r>
          </w:p>
          <w:p w14:paraId="1412B2B2">
            <w:pPr>
              <w:tabs>
                <w:tab w:val="left" w:pos="0"/>
              </w:tabs>
              <w:adjustRightInd w:val="0"/>
              <w:snapToGrid w:val="0"/>
              <w:rPr>
                <w:rFonts w:hint="eastAsia" w:hAnsi="宋体" w:cs="宋体"/>
                <w:szCs w:val="24"/>
                <w:highlight w:val="none"/>
              </w:rPr>
            </w:pPr>
            <w:r>
              <w:rPr>
                <w:rFonts w:hint="eastAsia" w:hAnsi="宋体" w:cs="宋体"/>
                <w:szCs w:val="24"/>
                <w:highlight w:val="none"/>
              </w:rPr>
              <w:t>(4)税收缴纳证明：提供投标截止日前近一年内任意一个月的纳税证明或完税证明（任意税种），依法免税的单位应提供相关证明材料；</w:t>
            </w:r>
          </w:p>
          <w:p w14:paraId="2C5E05DF">
            <w:pPr>
              <w:tabs>
                <w:tab w:val="left" w:pos="0"/>
              </w:tabs>
              <w:adjustRightInd w:val="0"/>
              <w:snapToGrid w:val="0"/>
              <w:rPr>
                <w:rFonts w:hint="eastAsia" w:hAnsi="宋体" w:cs="宋体"/>
                <w:szCs w:val="24"/>
                <w:highlight w:val="none"/>
              </w:rPr>
            </w:pPr>
            <w:r>
              <w:rPr>
                <w:rFonts w:hint="eastAsia" w:hAnsi="宋体" w:cs="宋体"/>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14:paraId="2E14001F">
            <w:pPr>
              <w:tabs>
                <w:tab w:val="left" w:pos="0"/>
              </w:tabs>
              <w:adjustRightInd w:val="0"/>
              <w:snapToGrid w:val="0"/>
              <w:rPr>
                <w:rFonts w:hint="eastAsia" w:hAnsi="宋体" w:cs="宋体"/>
                <w:szCs w:val="24"/>
                <w:highlight w:val="none"/>
              </w:rPr>
            </w:pPr>
            <w:r>
              <w:rPr>
                <w:rFonts w:hint="eastAsia" w:hAnsi="宋体" w:cs="宋体"/>
                <w:szCs w:val="24"/>
                <w:highlight w:val="none"/>
              </w:rPr>
              <w:t>(6)提供具有履行本合同所必需的设备和专业技术能力的说明及承诺书；</w:t>
            </w:r>
          </w:p>
          <w:p w14:paraId="5055835F">
            <w:pPr>
              <w:tabs>
                <w:tab w:val="left" w:pos="0"/>
              </w:tabs>
              <w:adjustRightInd w:val="0"/>
              <w:snapToGrid w:val="0"/>
              <w:rPr>
                <w:rFonts w:hint="eastAsia" w:hAnsi="宋体" w:cs="宋体"/>
                <w:szCs w:val="24"/>
                <w:highlight w:val="none"/>
              </w:rPr>
            </w:pPr>
            <w:r>
              <w:rPr>
                <w:rFonts w:hint="eastAsia" w:hAnsi="宋体" w:cs="宋体"/>
                <w:szCs w:val="24"/>
                <w:highlight w:val="none"/>
              </w:rPr>
              <w:t>(7)供应商通过“信用中国”网站(www.creditchina.gov.cn)、中国政府采购网(www.ccgp.gov.cn)等查询相关主体信用记录；</w:t>
            </w:r>
          </w:p>
          <w:p w14:paraId="7B9DB2BE">
            <w:pPr>
              <w:tabs>
                <w:tab w:val="left" w:pos="0"/>
              </w:tabs>
              <w:adjustRightInd w:val="0"/>
              <w:snapToGrid w:val="0"/>
              <w:rPr>
                <w:rFonts w:hint="eastAsia" w:hAnsi="宋体" w:cs="宋体"/>
                <w:szCs w:val="24"/>
                <w:highlight w:val="none"/>
              </w:rPr>
            </w:pPr>
            <w:r>
              <w:rPr>
                <w:rFonts w:hint="eastAsia" w:hAnsi="宋体" w:cs="宋体"/>
                <w:szCs w:val="24"/>
                <w:highlight w:val="none"/>
              </w:rPr>
              <w:t>(8)参加政府采购活动前3年内，在经营活动中没有重大违法记录的书面声明；</w:t>
            </w:r>
          </w:p>
          <w:p w14:paraId="6BDF1E0E">
            <w:pPr>
              <w:tabs>
                <w:tab w:val="left" w:pos="0"/>
              </w:tabs>
              <w:adjustRightInd w:val="0"/>
              <w:snapToGrid w:val="0"/>
              <w:rPr>
                <w:rFonts w:hint="eastAsia" w:hAnsi="宋体" w:cs="宋体"/>
                <w:szCs w:val="24"/>
                <w:highlight w:val="none"/>
              </w:rPr>
            </w:pPr>
            <w:r>
              <w:rPr>
                <w:rFonts w:hint="eastAsia" w:hAnsi="宋体" w:cs="宋体"/>
                <w:szCs w:val="24"/>
                <w:highlight w:val="none"/>
              </w:rPr>
              <w:t>(9)提供中小企业声明函；</w:t>
            </w:r>
          </w:p>
          <w:p w14:paraId="6990E2D0">
            <w:pPr>
              <w:tabs>
                <w:tab w:val="left" w:pos="0"/>
              </w:tabs>
              <w:adjustRightInd w:val="0"/>
              <w:snapToGrid w:val="0"/>
              <w:rPr>
                <w:rFonts w:hint="eastAsia" w:hAnsi="宋体" w:cs="宋体"/>
                <w:szCs w:val="24"/>
                <w:highlight w:val="none"/>
              </w:rPr>
            </w:pPr>
            <w:r>
              <w:rPr>
                <w:rFonts w:hint="eastAsia" w:hAnsi="宋体" w:cs="宋体"/>
                <w:szCs w:val="24"/>
                <w:highlight w:val="none"/>
              </w:rPr>
              <w:t>(10)本项目不接受联合体投标（提供承诺书）。</w:t>
            </w:r>
          </w:p>
        </w:tc>
      </w:tr>
      <w:tr w14:paraId="60FB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restart"/>
            <w:vAlign w:val="center"/>
          </w:tcPr>
          <w:p w14:paraId="7EDA5164">
            <w:pPr>
              <w:tabs>
                <w:tab w:val="left" w:pos="0"/>
              </w:tabs>
              <w:adjustRightInd w:val="0"/>
              <w:snapToGrid w:val="0"/>
              <w:spacing w:line="360" w:lineRule="auto"/>
              <w:jc w:val="center"/>
              <w:rPr>
                <w:rFonts w:hint="eastAsia" w:hAnsi="宋体" w:cs="宋体"/>
                <w:szCs w:val="24"/>
                <w:highlight w:val="none"/>
              </w:rPr>
            </w:pPr>
            <w:r>
              <w:rPr>
                <w:rFonts w:hint="eastAsia" w:hAnsi="宋体" w:cs="宋体"/>
                <w:szCs w:val="24"/>
                <w:highlight w:val="none"/>
              </w:rPr>
              <w:t>2.1.1</w:t>
            </w:r>
          </w:p>
        </w:tc>
        <w:tc>
          <w:tcPr>
            <w:tcW w:w="600" w:type="dxa"/>
            <w:vMerge w:val="restart"/>
            <w:vAlign w:val="center"/>
          </w:tcPr>
          <w:p w14:paraId="1871650A">
            <w:pPr>
              <w:tabs>
                <w:tab w:val="left" w:pos="0"/>
              </w:tabs>
              <w:adjustRightInd w:val="0"/>
              <w:snapToGrid w:val="0"/>
              <w:jc w:val="center"/>
              <w:rPr>
                <w:rFonts w:hint="eastAsia" w:hAnsi="宋体" w:cs="宋体"/>
                <w:b/>
                <w:bCs/>
                <w:szCs w:val="24"/>
                <w:highlight w:val="none"/>
              </w:rPr>
            </w:pPr>
            <w:r>
              <w:rPr>
                <w:rFonts w:hint="eastAsia" w:hAnsi="宋体" w:cs="宋体"/>
                <w:b/>
                <w:bCs/>
                <w:szCs w:val="24"/>
                <w:highlight w:val="none"/>
              </w:rPr>
              <w:t>符合性评审标准</w:t>
            </w:r>
          </w:p>
        </w:tc>
        <w:tc>
          <w:tcPr>
            <w:tcW w:w="567" w:type="dxa"/>
            <w:vMerge w:val="restart"/>
            <w:vAlign w:val="center"/>
          </w:tcPr>
          <w:p w14:paraId="513DDFE9">
            <w:pPr>
              <w:tabs>
                <w:tab w:val="left" w:pos="0"/>
              </w:tabs>
              <w:adjustRightInd w:val="0"/>
              <w:snapToGrid w:val="0"/>
              <w:jc w:val="center"/>
              <w:rPr>
                <w:rFonts w:hint="eastAsia" w:hAnsi="宋体" w:cs="宋体"/>
                <w:b/>
                <w:bCs/>
                <w:szCs w:val="24"/>
                <w:highlight w:val="none"/>
              </w:rPr>
            </w:pPr>
            <w:r>
              <w:rPr>
                <w:rFonts w:hint="eastAsia" w:hAnsi="宋体" w:cs="宋体"/>
                <w:b/>
                <w:bCs/>
                <w:szCs w:val="24"/>
                <w:highlight w:val="none"/>
              </w:rPr>
              <w:t>有效性审查</w:t>
            </w:r>
          </w:p>
        </w:tc>
        <w:tc>
          <w:tcPr>
            <w:tcW w:w="2404" w:type="dxa"/>
            <w:vAlign w:val="center"/>
          </w:tcPr>
          <w:p w14:paraId="4DC3DF16">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投标文件的签署盖章</w:t>
            </w:r>
          </w:p>
        </w:tc>
        <w:tc>
          <w:tcPr>
            <w:tcW w:w="5184" w:type="dxa"/>
            <w:vAlign w:val="center"/>
          </w:tcPr>
          <w:p w14:paraId="6E5228FB">
            <w:pPr>
              <w:tabs>
                <w:tab w:val="left" w:pos="0"/>
              </w:tabs>
              <w:adjustRightInd w:val="0"/>
              <w:snapToGrid w:val="0"/>
              <w:rPr>
                <w:rFonts w:hint="eastAsia" w:hAnsi="宋体" w:cs="宋体"/>
                <w:szCs w:val="24"/>
                <w:highlight w:val="none"/>
              </w:rPr>
            </w:pPr>
            <w:r>
              <w:rPr>
                <w:rFonts w:hint="eastAsia" w:hAnsi="宋体" w:cs="宋体"/>
                <w:szCs w:val="24"/>
                <w:highlight w:val="none"/>
              </w:rPr>
              <w:t>投标文件上法定代表人或负责人或其授权代表人的签字齐全并加盖公章</w:t>
            </w:r>
          </w:p>
        </w:tc>
      </w:tr>
      <w:tr w14:paraId="5EE6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18F3B0E5">
            <w:pPr>
              <w:tabs>
                <w:tab w:val="left" w:pos="0"/>
              </w:tabs>
              <w:adjustRightInd w:val="0"/>
              <w:snapToGrid w:val="0"/>
              <w:spacing w:line="360" w:lineRule="auto"/>
              <w:rPr>
                <w:rFonts w:hint="eastAsia" w:hAnsi="宋体" w:cs="宋体"/>
                <w:szCs w:val="24"/>
                <w:highlight w:val="none"/>
              </w:rPr>
            </w:pPr>
          </w:p>
        </w:tc>
        <w:tc>
          <w:tcPr>
            <w:tcW w:w="600" w:type="dxa"/>
            <w:vMerge w:val="continue"/>
          </w:tcPr>
          <w:p w14:paraId="57D6102A">
            <w:pPr>
              <w:tabs>
                <w:tab w:val="left" w:pos="0"/>
              </w:tabs>
              <w:adjustRightInd w:val="0"/>
              <w:snapToGrid w:val="0"/>
              <w:spacing w:line="360" w:lineRule="auto"/>
              <w:rPr>
                <w:rFonts w:hint="eastAsia" w:hAnsi="宋体" w:cs="宋体"/>
                <w:b/>
                <w:bCs/>
                <w:szCs w:val="24"/>
                <w:highlight w:val="none"/>
              </w:rPr>
            </w:pPr>
          </w:p>
        </w:tc>
        <w:tc>
          <w:tcPr>
            <w:tcW w:w="567" w:type="dxa"/>
            <w:vMerge w:val="continue"/>
          </w:tcPr>
          <w:p w14:paraId="4A370654">
            <w:pPr>
              <w:tabs>
                <w:tab w:val="left" w:pos="0"/>
              </w:tabs>
              <w:adjustRightInd w:val="0"/>
              <w:snapToGrid w:val="0"/>
              <w:spacing w:line="360" w:lineRule="auto"/>
              <w:rPr>
                <w:rFonts w:hint="eastAsia" w:hAnsi="宋体" w:cs="宋体"/>
                <w:b/>
                <w:bCs/>
                <w:szCs w:val="24"/>
                <w:highlight w:val="none"/>
              </w:rPr>
            </w:pPr>
          </w:p>
        </w:tc>
        <w:tc>
          <w:tcPr>
            <w:tcW w:w="2404" w:type="dxa"/>
            <w:vAlign w:val="center"/>
          </w:tcPr>
          <w:p w14:paraId="3BFAB402">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投标文件格式</w:t>
            </w:r>
          </w:p>
        </w:tc>
        <w:tc>
          <w:tcPr>
            <w:tcW w:w="5184" w:type="dxa"/>
            <w:vAlign w:val="center"/>
          </w:tcPr>
          <w:p w14:paraId="1BD8955C">
            <w:pPr>
              <w:tabs>
                <w:tab w:val="left" w:pos="0"/>
              </w:tabs>
              <w:adjustRightInd w:val="0"/>
              <w:snapToGrid w:val="0"/>
              <w:rPr>
                <w:rFonts w:hint="eastAsia" w:hAnsi="宋体" w:cs="宋体"/>
                <w:szCs w:val="24"/>
                <w:highlight w:val="none"/>
              </w:rPr>
            </w:pPr>
            <w:r>
              <w:rPr>
                <w:rFonts w:hint="eastAsia" w:hAnsi="宋体" w:cs="宋体"/>
                <w:szCs w:val="24"/>
                <w:highlight w:val="none"/>
              </w:rPr>
              <w:t>应符合“投标文件格式”要求</w:t>
            </w:r>
          </w:p>
        </w:tc>
      </w:tr>
      <w:tr w14:paraId="2FC7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4FF0F5FA">
            <w:pPr>
              <w:tabs>
                <w:tab w:val="left" w:pos="0"/>
              </w:tabs>
              <w:adjustRightInd w:val="0"/>
              <w:snapToGrid w:val="0"/>
              <w:spacing w:line="360" w:lineRule="auto"/>
              <w:rPr>
                <w:rFonts w:hint="eastAsia" w:hAnsi="宋体" w:cs="宋体"/>
                <w:szCs w:val="24"/>
                <w:highlight w:val="none"/>
              </w:rPr>
            </w:pPr>
          </w:p>
        </w:tc>
        <w:tc>
          <w:tcPr>
            <w:tcW w:w="600" w:type="dxa"/>
            <w:vMerge w:val="continue"/>
          </w:tcPr>
          <w:p w14:paraId="6A1955A1">
            <w:pPr>
              <w:tabs>
                <w:tab w:val="left" w:pos="0"/>
              </w:tabs>
              <w:adjustRightInd w:val="0"/>
              <w:snapToGrid w:val="0"/>
              <w:spacing w:line="360" w:lineRule="auto"/>
              <w:rPr>
                <w:rFonts w:hint="eastAsia" w:hAnsi="宋体" w:cs="宋体"/>
                <w:b/>
                <w:bCs/>
                <w:szCs w:val="24"/>
                <w:highlight w:val="none"/>
              </w:rPr>
            </w:pPr>
          </w:p>
        </w:tc>
        <w:tc>
          <w:tcPr>
            <w:tcW w:w="567" w:type="dxa"/>
            <w:vMerge w:val="continue"/>
          </w:tcPr>
          <w:p w14:paraId="68F6EB36">
            <w:pPr>
              <w:tabs>
                <w:tab w:val="left" w:pos="0"/>
              </w:tabs>
              <w:adjustRightInd w:val="0"/>
              <w:snapToGrid w:val="0"/>
              <w:spacing w:line="360" w:lineRule="auto"/>
              <w:rPr>
                <w:rFonts w:hint="eastAsia" w:hAnsi="宋体" w:cs="宋体"/>
                <w:b/>
                <w:bCs/>
                <w:szCs w:val="24"/>
                <w:highlight w:val="none"/>
              </w:rPr>
            </w:pPr>
          </w:p>
        </w:tc>
        <w:tc>
          <w:tcPr>
            <w:tcW w:w="2404" w:type="dxa"/>
            <w:vAlign w:val="center"/>
          </w:tcPr>
          <w:p w14:paraId="63AA5BC5">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报价唯一</w:t>
            </w:r>
          </w:p>
        </w:tc>
        <w:tc>
          <w:tcPr>
            <w:tcW w:w="5184" w:type="dxa"/>
            <w:vAlign w:val="center"/>
          </w:tcPr>
          <w:p w14:paraId="198F76A6">
            <w:pPr>
              <w:tabs>
                <w:tab w:val="left" w:pos="0"/>
              </w:tabs>
              <w:adjustRightInd w:val="0"/>
              <w:snapToGrid w:val="0"/>
              <w:rPr>
                <w:rFonts w:hint="eastAsia" w:hAnsi="宋体" w:cs="宋体"/>
                <w:szCs w:val="24"/>
                <w:highlight w:val="none"/>
              </w:rPr>
            </w:pPr>
            <w:r>
              <w:rPr>
                <w:rFonts w:hint="eastAsia" w:hAnsi="宋体" w:cs="宋体"/>
                <w:szCs w:val="24"/>
                <w:highlight w:val="none"/>
              </w:rPr>
              <w:t>只能有一个有效报价，不得提交选择性报价，且报价不超过采购预算金额或最高限价。</w:t>
            </w:r>
          </w:p>
        </w:tc>
      </w:tr>
      <w:tr w14:paraId="5282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14:paraId="15CE8482">
            <w:pPr>
              <w:tabs>
                <w:tab w:val="left" w:pos="0"/>
              </w:tabs>
              <w:adjustRightInd w:val="0"/>
              <w:snapToGrid w:val="0"/>
              <w:spacing w:line="360" w:lineRule="auto"/>
              <w:jc w:val="center"/>
              <w:rPr>
                <w:rFonts w:hint="eastAsia" w:hAnsi="宋体" w:cs="宋体"/>
                <w:szCs w:val="24"/>
                <w:highlight w:val="none"/>
              </w:rPr>
            </w:pPr>
          </w:p>
        </w:tc>
        <w:tc>
          <w:tcPr>
            <w:tcW w:w="600" w:type="dxa"/>
            <w:vMerge w:val="continue"/>
            <w:vAlign w:val="center"/>
          </w:tcPr>
          <w:p w14:paraId="2EBE19F0">
            <w:pPr>
              <w:tabs>
                <w:tab w:val="left" w:pos="0"/>
              </w:tabs>
              <w:adjustRightInd w:val="0"/>
              <w:snapToGrid w:val="0"/>
              <w:jc w:val="center"/>
              <w:rPr>
                <w:rFonts w:hint="eastAsia" w:hAnsi="宋体" w:cs="宋体"/>
                <w:b/>
                <w:bCs/>
                <w:szCs w:val="24"/>
                <w:highlight w:val="none"/>
              </w:rPr>
            </w:pPr>
          </w:p>
        </w:tc>
        <w:tc>
          <w:tcPr>
            <w:tcW w:w="567" w:type="dxa"/>
            <w:vMerge w:val="restart"/>
            <w:vAlign w:val="center"/>
          </w:tcPr>
          <w:p w14:paraId="4DF5D431">
            <w:pPr>
              <w:tabs>
                <w:tab w:val="left" w:pos="0"/>
              </w:tabs>
              <w:adjustRightInd w:val="0"/>
              <w:snapToGrid w:val="0"/>
              <w:jc w:val="center"/>
              <w:rPr>
                <w:rFonts w:hint="eastAsia" w:hAnsi="宋体" w:cs="宋体"/>
                <w:b/>
                <w:bCs/>
                <w:szCs w:val="24"/>
                <w:highlight w:val="none"/>
              </w:rPr>
            </w:pPr>
            <w:r>
              <w:rPr>
                <w:rFonts w:hint="eastAsia" w:hAnsi="宋体" w:cs="宋体"/>
                <w:b/>
                <w:bCs/>
                <w:szCs w:val="24"/>
                <w:highlight w:val="none"/>
              </w:rPr>
              <w:t>完整性审查</w:t>
            </w:r>
          </w:p>
        </w:tc>
        <w:tc>
          <w:tcPr>
            <w:tcW w:w="2404" w:type="dxa"/>
            <w:vAlign w:val="center"/>
          </w:tcPr>
          <w:p w14:paraId="6ADA4AFE">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投标文件份数</w:t>
            </w:r>
          </w:p>
        </w:tc>
        <w:tc>
          <w:tcPr>
            <w:tcW w:w="5184" w:type="dxa"/>
            <w:vAlign w:val="center"/>
          </w:tcPr>
          <w:p w14:paraId="537BE164">
            <w:pPr>
              <w:tabs>
                <w:tab w:val="left" w:pos="0"/>
              </w:tabs>
              <w:adjustRightInd w:val="0"/>
              <w:snapToGrid w:val="0"/>
              <w:rPr>
                <w:rFonts w:hint="eastAsia" w:hAnsi="宋体" w:cs="宋体"/>
                <w:szCs w:val="24"/>
                <w:highlight w:val="none"/>
              </w:rPr>
            </w:pPr>
            <w:r>
              <w:rPr>
                <w:rFonts w:hint="eastAsia" w:hAnsi="宋体" w:cs="宋体"/>
                <w:szCs w:val="24"/>
                <w:highlight w:val="none"/>
              </w:rPr>
              <w:t>应符合“供应商须知前附表”规定的正本、副本、电子文件数量</w:t>
            </w:r>
          </w:p>
        </w:tc>
      </w:tr>
      <w:tr w14:paraId="5E5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787C9176">
            <w:pPr>
              <w:tabs>
                <w:tab w:val="left" w:pos="0"/>
              </w:tabs>
              <w:adjustRightInd w:val="0"/>
              <w:snapToGrid w:val="0"/>
              <w:spacing w:line="360" w:lineRule="auto"/>
              <w:rPr>
                <w:rFonts w:hint="eastAsia" w:hAnsi="宋体" w:cs="宋体"/>
                <w:szCs w:val="24"/>
                <w:highlight w:val="none"/>
              </w:rPr>
            </w:pPr>
          </w:p>
        </w:tc>
        <w:tc>
          <w:tcPr>
            <w:tcW w:w="600" w:type="dxa"/>
            <w:vMerge w:val="continue"/>
          </w:tcPr>
          <w:p w14:paraId="5DE543A4">
            <w:pPr>
              <w:tabs>
                <w:tab w:val="left" w:pos="0"/>
              </w:tabs>
              <w:adjustRightInd w:val="0"/>
              <w:snapToGrid w:val="0"/>
              <w:spacing w:line="360" w:lineRule="auto"/>
              <w:rPr>
                <w:rFonts w:hint="eastAsia" w:hAnsi="宋体" w:cs="宋体"/>
                <w:b/>
                <w:bCs/>
                <w:szCs w:val="24"/>
                <w:highlight w:val="none"/>
              </w:rPr>
            </w:pPr>
          </w:p>
        </w:tc>
        <w:tc>
          <w:tcPr>
            <w:tcW w:w="567" w:type="dxa"/>
            <w:vMerge w:val="continue"/>
          </w:tcPr>
          <w:p w14:paraId="3F60DA72">
            <w:pPr>
              <w:tabs>
                <w:tab w:val="left" w:pos="0"/>
              </w:tabs>
              <w:adjustRightInd w:val="0"/>
              <w:snapToGrid w:val="0"/>
              <w:spacing w:line="360" w:lineRule="auto"/>
              <w:rPr>
                <w:rFonts w:hint="eastAsia" w:hAnsi="宋体" w:cs="宋体"/>
                <w:b/>
                <w:bCs/>
                <w:szCs w:val="24"/>
                <w:highlight w:val="none"/>
              </w:rPr>
            </w:pPr>
          </w:p>
        </w:tc>
        <w:tc>
          <w:tcPr>
            <w:tcW w:w="2404" w:type="dxa"/>
            <w:vAlign w:val="center"/>
          </w:tcPr>
          <w:p w14:paraId="01A92886">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投标文件内容</w:t>
            </w:r>
          </w:p>
        </w:tc>
        <w:tc>
          <w:tcPr>
            <w:tcW w:w="5184" w:type="dxa"/>
            <w:vAlign w:val="center"/>
          </w:tcPr>
          <w:p w14:paraId="51845FBD">
            <w:pPr>
              <w:tabs>
                <w:tab w:val="left" w:pos="0"/>
              </w:tabs>
              <w:adjustRightInd w:val="0"/>
              <w:snapToGrid w:val="0"/>
              <w:rPr>
                <w:rFonts w:hint="eastAsia" w:hAnsi="宋体" w:cs="宋体"/>
                <w:szCs w:val="24"/>
                <w:highlight w:val="none"/>
              </w:rPr>
            </w:pPr>
            <w:r>
              <w:rPr>
                <w:rFonts w:hint="eastAsia" w:hAnsi="宋体" w:cs="宋体"/>
                <w:szCs w:val="24"/>
                <w:highlight w:val="none"/>
              </w:rPr>
              <w:t>投标文件内容齐全、无遗漏</w:t>
            </w:r>
          </w:p>
        </w:tc>
      </w:tr>
      <w:tr w14:paraId="1C61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vAlign w:val="center"/>
          </w:tcPr>
          <w:p w14:paraId="34F31901">
            <w:pPr>
              <w:tabs>
                <w:tab w:val="left" w:pos="0"/>
              </w:tabs>
              <w:adjustRightInd w:val="0"/>
              <w:snapToGrid w:val="0"/>
              <w:spacing w:line="360" w:lineRule="auto"/>
              <w:jc w:val="center"/>
              <w:rPr>
                <w:rFonts w:hint="eastAsia" w:hAnsi="宋体" w:cs="宋体"/>
                <w:szCs w:val="24"/>
                <w:highlight w:val="none"/>
              </w:rPr>
            </w:pPr>
          </w:p>
        </w:tc>
        <w:tc>
          <w:tcPr>
            <w:tcW w:w="600" w:type="dxa"/>
            <w:vMerge w:val="continue"/>
            <w:vAlign w:val="center"/>
          </w:tcPr>
          <w:p w14:paraId="6D1302C4">
            <w:pPr>
              <w:tabs>
                <w:tab w:val="left" w:pos="0"/>
              </w:tabs>
              <w:adjustRightInd w:val="0"/>
              <w:snapToGrid w:val="0"/>
              <w:jc w:val="center"/>
              <w:rPr>
                <w:rFonts w:hint="eastAsia" w:hAnsi="宋体" w:cs="宋体"/>
                <w:b/>
                <w:bCs/>
                <w:szCs w:val="24"/>
                <w:highlight w:val="none"/>
              </w:rPr>
            </w:pPr>
          </w:p>
        </w:tc>
        <w:tc>
          <w:tcPr>
            <w:tcW w:w="567" w:type="dxa"/>
            <w:vMerge w:val="restart"/>
            <w:vAlign w:val="center"/>
          </w:tcPr>
          <w:p w14:paraId="0D5E1D61">
            <w:pPr>
              <w:tabs>
                <w:tab w:val="left" w:pos="0"/>
              </w:tabs>
              <w:adjustRightInd w:val="0"/>
              <w:snapToGrid w:val="0"/>
              <w:jc w:val="center"/>
              <w:rPr>
                <w:rFonts w:hint="eastAsia" w:hAnsi="宋体" w:cs="宋体"/>
                <w:b/>
                <w:bCs/>
                <w:szCs w:val="24"/>
                <w:highlight w:val="none"/>
              </w:rPr>
            </w:pPr>
            <w:r>
              <w:rPr>
                <w:rFonts w:hint="eastAsia" w:hAnsi="宋体" w:cs="宋体"/>
                <w:b/>
                <w:bCs/>
                <w:szCs w:val="24"/>
                <w:highlight w:val="none"/>
              </w:rPr>
              <w:t>响应性审查</w:t>
            </w:r>
          </w:p>
        </w:tc>
        <w:tc>
          <w:tcPr>
            <w:tcW w:w="2404" w:type="dxa"/>
            <w:vAlign w:val="center"/>
          </w:tcPr>
          <w:p w14:paraId="6E99D599">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对招标文件响应程度</w:t>
            </w:r>
          </w:p>
        </w:tc>
        <w:tc>
          <w:tcPr>
            <w:tcW w:w="5184" w:type="dxa"/>
            <w:vAlign w:val="center"/>
          </w:tcPr>
          <w:p w14:paraId="1EA433BD">
            <w:pPr>
              <w:tabs>
                <w:tab w:val="left" w:pos="0"/>
              </w:tabs>
              <w:adjustRightInd w:val="0"/>
              <w:snapToGrid w:val="0"/>
              <w:rPr>
                <w:rFonts w:hint="eastAsia" w:hAnsi="宋体" w:cs="宋体"/>
                <w:szCs w:val="24"/>
                <w:highlight w:val="none"/>
              </w:rPr>
            </w:pPr>
            <w:r>
              <w:rPr>
                <w:rFonts w:hint="eastAsia" w:hAnsi="宋体" w:cs="宋体"/>
                <w:szCs w:val="24"/>
                <w:highlight w:val="none"/>
              </w:rPr>
              <w:t>要求全面响应，不能有任何采购人不能接受的附加条件</w:t>
            </w:r>
          </w:p>
        </w:tc>
      </w:tr>
      <w:tr w14:paraId="4449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66B23AE6">
            <w:pPr>
              <w:tabs>
                <w:tab w:val="left" w:pos="0"/>
              </w:tabs>
              <w:adjustRightInd w:val="0"/>
              <w:snapToGrid w:val="0"/>
              <w:spacing w:line="360" w:lineRule="auto"/>
              <w:rPr>
                <w:rFonts w:hint="eastAsia" w:hAnsi="宋体" w:cs="宋体"/>
                <w:szCs w:val="24"/>
                <w:highlight w:val="none"/>
              </w:rPr>
            </w:pPr>
          </w:p>
        </w:tc>
        <w:tc>
          <w:tcPr>
            <w:tcW w:w="600" w:type="dxa"/>
            <w:vMerge w:val="continue"/>
          </w:tcPr>
          <w:p w14:paraId="5E8A881B">
            <w:pPr>
              <w:tabs>
                <w:tab w:val="left" w:pos="0"/>
              </w:tabs>
              <w:adjustRightInd w:val="0"/>
              <w:snapToGrid w:val="0"/>
              <w:spacing w:line="360" w:lineRule="auto"/>
              <w:rPr>
                <w:rFonts w:hint="eastAsia" w:hAnsi="宋体" w:cs="宋体"/>
                <w:b/>
                <w:bCs/>
                <w:szCs w:val="24"/>
                <w:highlight w:val="none"/>
              </w:rPr>
            </w:pPr>
          </w:p>
        </w:tc>
        <w:tc>
          <w:tcPr>
            <w:tcW w:w="567" w:type="dxa"/>
            <w:vMerge w:val="continue"/>
          </w:tcPr>
          <w:p w14:paraId="03946BFF">
            <w:pPr>
              <w:tabs>
                <w:tab w:val="left" w:pos="0"/>
              </w:tabs>
              <w:adjustRightInd w:val="0"/>
              <w:snapToGrid w:val="0"/>
              <w:spacing w:line="360" w:lineRule="auto"/>
              <w:rPr>
                <w:rFonts w:hint="eastAsia" w:hAnsi="宋体" w:cs="宋体"/>
                <w:b/>
                <w:bCs/>
                <w:szCs w:val="24"/>
                <w:highlight w:val="none"/>
              </w:rPr>
            </w:pPr>
          </w:p>
        </w:tc>
        <w:tc>
          <w:tcPr>
            <w:tcW w:w="2404" w:type="dxa"/>
            <w:vAlign w:val="center"/>
          </w:tcPr>
          <w:p w14:paraId="6FFFD699">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项目完成期</w:t>
            </w:r>
          </w:p>
        </w:tc>
        <w:tc>
          <w:tcPr>
            <w:tcW w:w="5184" w:type="dxa"/>
            <w:vAlign w:val="center"/>
          </w:tcPr>
          <w:p w14:paraId="44D897EE">
            <w:pPr>
              <w:tabs>
                <w:tab w:val="left" w:pos="0"/>
              </w:tabs>
              <w:adjustRightInd w:val="0"/>
              <w:snapToGrid w:val="0"/>
              <w:rPr>
                <w:rFonts w:hint="eastAsia" w:hAnsi="宋体" w:cs="宋体"/>
                <w:szCs w:val="24"/>
                <w:highlight w:val="none"/>
              </w:rPr>
            </w:pPr>
            <w:r>
              <w:rPr>
                <w:rFonts w:hint="eastAsia" w:hAnsi="宋体" w:cs="宋体"/>
                <w:szCs w:val="24"/>
                <w:highlight w:val="none"/>
              </w:rPr>
              <w:t>应满足招标文件中要求的项目完成期</w:t>
            </w:r>
          </w:p>
        </w:tc>
      </w:tr>
      <w:tr w14:paraId="3528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Merge w:val="continue"/>
          </w:tcPr>
          <w:p w14:paraId="4BDFF568">
            <w:pPr>
              <w:tabs>
                <w:tab w:val="left" w:pos="0"/>
              </w:tabs>
              <w:adjustRightInd w:val="0"/>
              <w:snapToGrid w:val="0"/>
              <w:spacing w:line="360" w:lineRule="auto"/>
              <w:rPr>
                <w:rFonts w:hint="eastAsia" w:hAnsi="宋体" w:cs="宋体"/>
                <w:szCs w:val="24"/>
                <w:highlight w:val="none"/>
              </w:rPr>
            </w:pPr>
          </w:p>
        </w:tc>
        <w:tc>
          <w:tcPr>
            <w:tcW w:w="600" w:type="dxa"/>
            <w:vMerge w:val="continue"/>
          </w:tcPr>
          <w:p w14:paraId="69D66C92">
            <w:pPr>
              <w:tabs>
                <w:tab w:val="left" w:pos="0"/>
              </w:tabs>
              <w:adjustRightInd w:val="0"/>
              <w:snapToGrid w:val="0"/>
              <w:spacing w:line="360" w:lineRule="auto"/>
              <w:rPr>
                <w:rFonts w:hint="eastAsia" w:hAnsi="宋体" w:cs="宋体"/>
                <w:b/>
                <w:bCs/>
                <w:szCs w:val="24"/>
                <w:highlight w:val="none"/>
              </w:rPr>
            </w:pPr>
          </w:p>
        </w:tc>
        <w:tc>
          <w:tcPr>
            <w:tcW w:w="567" w:type="dxa"/>
            <w:vMerge w:val="continue"/>
          </w:tcPr>
          <w:p w14:paraId="62101C6A">
            <w:pPr>
              <w:tabs>
                <w:tab w:val="left" w:pos="0"/>
              </w:tabs>
              <w:adjustRightInd w:val="0"/>
              <w:snapToGrid w:val="0"/>
              <w:spacing w:line="360" w:lineRule="auto"/>
              <w:rPr>
                <w:rFonts w:hint="eastAsia" w:hAnsi="宋体" w:cs="宋体"/>
                <w:b/>
                <w:bCs/>
                <w:szCs w:val="24"/>
                <w:highlight w:val="none"/>
              </w:rPr>
            </w:pPr>
          </w:p>
        </w:tc>
        <w:tc>
          <w:tcPr>
            <w:tcW w:w="2404" w:type="dxa"/>
            <w:vAlign w:val="center"/>
          </w:tcPr>
          <w:p w14:paraId="1F1F069F">
            <w:pPr>
              <w:tabs>
                <w:tab w:val="left" w:pos="0"/>
              </w:tabs>
              <w:adjustRightInd w:val="0"/>
              <w:snapToGrid w:val="0"/>
              <w:rPr>
                <w:rFonts w:hint="eastAsia" w:hAnsi="宋体" w:cs="宋体"/>
                <w:b/>
                <w:bCs/>
                <w:szCs w:val="24"/>
                <w:highlight w:val="none"/>
              </w:rPr>
            </w:pPr>
            <w:r>
              <w:rPr>
                <w:rFonts w:hint="eastAsia" w:hAnsi="宋体" w:cs="宋体"/>
                <w:b/>
                <w:bCs/>
                <w:szCs w:val="24"/>
                <w:highlight w:val="none"/>
              </w:rPr>
              <w:t>投标有效期</w:t>
            </w:r>
          </w:p>
        </w:tc>
        <w:tc>
          <w:tcPr>
            <w:tcW w:w="5184" w:type="dxa"/>
            <w:vAlign w:val="center"/>
          </w:tcPr>
          <w:p w14:paraId="044DBBC3">
            <w:pPr>
              <w:tabs>
                <w:tab w:val="left" w:pos="0"/>
              </w:tabs>
              <w:adjustRightInd w:val="0"/>
              <w:snapToGrid w:val="0"/>
              <w:rPr>
                <w:rFonts w:hint="eastAsia" w:hAnsi="宋体" w:cs="宋体"/>
                <w:szCs w:val="24"/>
                <w:highlight w:val="none"/>
              </w:rPr>
            </w:pPr>
            <w:r>
              <w:rPr>
                <w:rFonts w:hint="eastAsia" w:hAnsi="宋体" w:cs="宋体"/>
                <w:szCs w:val="24"/>
                <w:highlight w:val="none"/>
              </w:rPr>
              <w:t>应满足招标文件中的规定</w:t>
            </w:r>
          </w:p>
        </w:tc>
      </w:tr>
    </w:tbl>
    <w:p w14:paraId="7916DF41">
      <w:pPr>
        <w:spacing w:line="560" w:lineRule="exact"/>
        <w:rPr>
          <w:rFonts w:hint="eastAsia"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附件2：</w:t>
      </w:r>
    </w:p>
    <w:p w14:paraId="7D7FAF6E">
      <w:pPr>
        <w:spacing w:line="560" w:lineRule="exact"/>
        <w:jc w:val="center"/>
        <w:rPr>
          <w:rFonts w:hint="eastAsia" w:hAnsi="宋体" w:cs="宋体"/>
          <w:b/>
          <w:szCs w:val="24"/>
          <w:highlight w:val="none"/>
        </w:rPr>
      </w:pPr>
      <w:r>
        <w:rPr>
          <w:rFonts w:hint="eastAsia" w:hAnsi="宋体" w:cs="宋体"/>
          <w:b/>
          <w:szCs w:val="24"/>
          <w:highlight w:val="none"/>
        </w:rPr>
        <w:t>合同包1</w:t>
      </w:r>
    </w:p>
    <w:p w14:paraId="267A01AE">
      <w:pPr>
        <w:spacing w:line="560" w:lineRule="exact"/>
        <w:jc w:val="center"/>
        <w:rPr>
          <w:rFonts w:hint="eastAsia" w:hAnsi="宋体" w:cs="宋体"/>
          <w:b/>
          <w:szCs w:val="24"/>
          <w:highlight w:val="none"/>
        </w:rPr>
      </w:pPr>
      <w:r>
        <w:rPr>
          <w:rFonts w:hint="eastAsia" w:hAnsi="宋体" w:cs="宋体"/>
          <w:b/>
          <w:szCs w:val="24"/>
          <w:highlight w:val="none"/>
        </w:rPr>
        <w:t>评标因素及权重分值表</w:t>
      </w:r>
    </w:p>
    <w:tbl>
      <w:tblPr>
        <w:tblStyle w:val="18"/>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643"/>
        <w:gridCol w:w="510"/>
        <w:gridCol w:w="6355"/>
        <w:gridCol w:w="725"/>
      </w:tblGrid>
      <w:tr w14:paraId="30B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75" w:type="pct"/>
            <w:vAlign w:val="center"/>
          </w:tcPr>
          <w:p w14:paraId="319F2749">
            <w:pPr>
              <w:pStyle w:val="12"/>
              <w:spacing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353" w:type="pct"/>
            <w:vAlign w:val="center"/>
          </w:tcPr>
          <w:p w14:paraId="41B2E267">
            <w:pPr>
              <w:spacing w:line="360" w:lineRule="auto"/>
              <w:jc w:val="center"/>
              <w:rPr>
                <w:rFonts w:hint="eastAsia" w:hAnsi="宋体" w:cs="宋体"/>
                <w:b/>
                <w:bCs/>
                <w:szCs w:val="24"/>
                <w:highlight w:val="none"/>
              </w:rPr>
            </w:pPr>
            <w:r>
              <w:rPr>
                <w:rFonts w:hint="eastAsia" w:hAnsi="宋体" w:cs="宋体"/>
                <w:b/>
                <w:bCs/>
                <w:szCs w:val="24"/>
                <w:highlight w:val="none"/>
              </w:rPr>
              <w:t>总分</w:t>
            </w:r>
          </w:p>
        </w:tc>
        <w:tc>
          <w:tcPr>
            <w:tcW w:w="3771" w:type="pct"/>
            <w:gridSpan w:val="2"/>
            <w:vAlign w:val="center"/>
          </w:tcPr>
          <w:p w14:paraId="06A45CD1">
            <w:pPr>
              <w:spacing w:line="360" w:lineRule="auto"/>
              <w:ind w:firstLine="562"/>
              <w:jc w:val="center"/>
              <w:rPr>
                <w:rFonts w:hint="eastAsia" w:hAnsi="宋体" w:cs="宋体"/>
                <w:b/>
                <w:bCs/>
                <w:szCs w:val="24"/>
                <w:highlight w:val="none"/>
              </w:rPr>
            </w:pPr>
            <w:r>
              <w:rPr>
                <w:rFonts w:hint="eastAsia" w:hAnsi="宋体" w:cs="宋体"/>
                <w:b/>
                <w:bCs/>
                <w:szCs w:val="24"/>
                <w:highlight w:val="none"/>
              </w:rPr>
              <w:t>评标因素</w:t>
            </w:r>
          </w:p>
        </w:tc>
        <w:tc>
          <w:tcPr>
            <w:tcW w:w="398" w:type="pct"/>
            <w:vAlign w:val="center"/>
          </w:tcPr>
          <w:p w14:paraId="6A8977C5">
            <w:pPr>
              <w:spacing w:line="276" w:lineRule="auto"/>
              <w:rPr>
                <w:rFonts w:hint="eastAsia" w:hAnsi="宋体" w:cs="宋体"/>
                <w:b/>
                <w:bCs/>
                <w:szCs w:val="24"/>
                <w:highlight w:val="none"/>
              </w:rPr>
            </w:pPr>
            <w:r>
              <w:rPr>
                <w:rFonts w:hint="eastAsia" w:hAnsi="宋体" w:cs="宋体"/>
                <w:b/>
                <w:bCs/>
                <w:szCs w:val="24"/>
                <w:highlight w:val="none"/>
              </w:rPr>
              <w:t>最高</w:t>
            </w:r>
          </w:p>
          <w:p w14:paraId="36C4A319">
            <w:pPr>
              <w:spacing w:line="276" w:lineRule="auto"/>
              <w:rPr>
                <w:rFonts w:hint="eastAsia" w:hAnsi="宋体" w:cs="宋体"/>
                <w:b/>
                <w:bCs/>
                <w:szCs w:val="24"/>
                <w:highlight w:val="none"/>
              </w:rPr>
            </w:pPr>
            <w:r>
              <w:rPr>
                <w:rFonts w:hint="eastAsia" w:hAnsi="宋体" w:cs="宋体"/>
                <w:b/>
                <w:bCs/>
                <w:szCs w:val="24"/>
                <w:highlight w:val="none"/>
              </w:rPr>
              <w:t>得分</w:t>
            </w:r>
          </w:p>
        </w:tc>
      </w:tr>
      <w:tr w14:paraId="186A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475" w:type="pct"/>
            <w:vAlign w:val="center"/>
          </w:tcPr>
          <w:p w14:paraId="2FB08BD9">
            <w:pPr>
              <w:spacing w:line="276" w:lineRule="auto"/>
              <w:jc w:val="center"/>
              <w:rPr>
                <w:rFonts w:hint="eastAsia" w:hAnsi="宋体" w:cs="宋体"/>
                <w:b/>
                <w:szCs w:val="24"/>
                <w:highlight w:val="none"/>
              </w:rPr>
            </w:pPr>
            <w:r>
              <w:rPr>
                <w:rFonts w:hint="eastAsia" w:hAnsi="宋体" w:cs="宋体"/>
                <w:b/>
                <w:szCs w:val="24"/>
                <w:highlight w:val="none"/>
              </w:rPr>
              <w:t>价格</w:t>
            </w:r>
          </w:p>
          <w:p w14:paraId="22F1D728">
            <w:pPr>
              <w:spacing w:line="276" w:lineRule="auto"/>
              <w:jc w:val="center"/>
              <w:rPr>
                <w:rFonts w:hint="eastAsia" w:hAnsi="宋体" w:cs="宋体"/>
                <w:b/>
                <w:bCs/>
                <w:szCs w:val="24"/>
                <w:highlight w:val="none"/>
              </w:rPr>
            </w:pPr>
            <w:r>
              <w:rPr>
                <w:rFonts w:hint="eastAsia" w:hAnsi="宋体" w:cs="宋体"/>
                <w:b/>
                <w:szCs w:val="24"/>
                <w:highlight w:val="none"/>
              </w:rPr>
              <w:t>评审</w:t>
            </w:r>
          </w:p>
        </w:tc>
        <w:tc>
          <w:tcPr>
            <w:tcW w:w="353" w:type="pct"/>
            <w:vAlign w:val="center"/>
          </w:tcPr>
          <w:p w14:paraId="32D7CC69">
            <w:pPr>
              <w:spacing w:line="360" w:lineRule="auto"/>
              <w:jc w:val="center"/>
              <w:rPr>
                <w:rFonts w:hint="eastAsia" w:hAnsi="宋体" w:cs="宋体"/>
                <w:b/>
                <w:bCs/>
                <w:szCs w:val="24"/>
                <w:highlight w:val="none"/>
              </w:rPr>
            </w:pPr>
            <w:r>
              <w:rPr>
                <w:rFonts w:hint="eastAsia" w:hAnsi="宋体" w:cs="宋体"/>
                <w:b/>
                <w:bCs/>
                <w:szCs w:val="24"/>
                <w:highlight w:val="none"/>
              </w:rPr>
              <w:t>30分</w:t>
            </w:r>
          </w:p>
        </w:tc>
        <w:tc>
          <w:tcPr>
            <w:tcW w:w="3771" w:type="pct"/>
            <w:gridSpan w:val="2"/>
            <w:vAlign w:val="center"/>
          </w:tcPr>
          <w:p w14:paraId="1BC9986F">
            <w:pPr>
              <w:spacing w:line="360" w:lineRule="auto"/>
              <w:rPr>
                <w:rFonts w:hint="eastAsia" w:hAnsi="宋体" w:cs="宋体"/>
                <w:szCs w:val="24"/>
                <w:highlight w:val="none"/>
              </w:rPr>
            </w:pPr>
            <w:r>
              <w:rPr>
                <w:rFonts w:hint="eastAsia" w:hAnsi="宋体" w:cs="宋体"/>
                <w:szCs w:val="24"/>
                <w:highlight w:val="none"/>
              </w:rPr>
              <w:t>1.经初审合格的投标文件，其投标报价为有效投标报价，对符合政策性扣减的供应商的有效投标报价进行政策性扣减10%，并依据扣减后的价格（评审价格）进行价格评审。</w:t>
            </w:r>
          </w:p>
          <w:p w14:paraId="1FE9AE52">
            <w:pPr>
              <w:spacing w:line="360" w:lineRule="auto"/>
              <w:ind w:left="-108" w:leftChars="-45" w:firstLine="120" w:firstLineChars="50"/>
              <w:rPr>
                <w:rFonts w:hint="eastAsia" w:hAnsi="宋体" w:cs="宋体"/>
                <w:szCs w:val="24"/>
                <w:highlight w:val="none"/>
              </w:rPr>
            </w:pPr>
            <w:r>
              <w:rPr>
                <w:rFonts w:hint="eastAsia" w:hAnsi="宋体" w:cs="宋体"/>
                <w:szCs w:val="24"/>
                <w:highlight w:val="none"/>
              </w:rPr>
              <w:t>2.满足招标文件实质性要求且投标报价最低的供应商的价格为投标基准价，其价格分为满分30分。</w:t>
            </w:r>
          </w:p>
          <w:p w14:paraId="62D14B04">
            <w:pPr>
              <w:spacing w:line="360" w:lineRule="auto"/>
              <w:ind w:left="-108" w:leftChars="-45" w:firstLine="120" w:firstLineChars="50"/>
              <w:rPr>
                <w:rFonts w:hint="eastAsia" w:hAnsi="宋体" w:cs="宋体"/>
                <w:szCs w:val="24"/>
                <w:highlight w:val="none"/>
              </w:rPr>
            </w:pPr>
            <w:r>
              <w:rPr>
                <w:rFonts w:hint="eastAsia" w:hAnsi="宋体" w:cs="宋体"/>
                <w:szCs w:val="24"/>
                <w:highlight w:val="none"/>
              </w:rPr>
              <w:t>3.</w:t>
            </w:r>
            <w:r>
              <w:rPr>
                <w:rFonts w:hint="eastAsia" w:hAnsi="宋体"/>
                <w:highlight w:val="none"/>
              </w:rPr>
              <w:t>价格分统一采用低价优先法，即满足招标文件要求且投标报价最低的为投标基准价，其价格分为满分。其他供应商的价格分统一按照下列公式计算：投标报价得分=(投标基准价／投标报价)×30，计算分数时四舍五入取小数点后两位；</w:t>
            </w:r>
          </w:p>
          <w:p w14:paraId="1237C062">
            <w:pPr>
              <w:spacing w:line="360" w:lineRule="auto"/>
              <w:ind w:left="-108" w:leftChars="-45" w:firstLine="120" w:firstLineChars="50"/>
              <w:rPr>
                <w:rFonts w:hint="eastAsia" w:hAnsi="宋体" w:cs="宋体"/>
                <w:szCs w:val="24"/>
                <w:highlight w:val="none"/>
              </w:rPr>
            </w:pPr>
            <w:r>
              <w:rPr>
                <w:rFonts w:hint="eastAsia" w:hAnsi="宋体" w:cs="宋体"/>
                <w:szCs w:val="24"/>
                <w:highlight w:val="none"/>
              </w:rPr>
              <w:t>4.投标报价不完整的，不进入评标标准价的计算，本项得0分。</w:t>
            </w:r>
          </w:p>
          <w:p w14:paraId="7FDC209A">
            <w:pPr>
              <w:spacing w:line="360" w:lineRule="auto"/>
              <w:ind w:left="-108" w:leftChars="-45" w:firstLine="120" w:firstLineChars="50"/>
              <w:rPr>
                <w:rFonts w:hint="eastAsia" w:hAnsi="宋体" w:cs="宋体"/>
                <w:szCs w:val="24"/>
                <w:highlight w:val="none"/>
              </w:rPr>
            </w:pPr>
            <w:r>
              <w:rPr>
                <w:rFonts w:hint="eastAsia" w:hAnsi="宋体" w:cs="宋体"/>
                <w:szCs w:val="24"/>
                <w:highlight w:val="none"/>
              </w:rPr>
              <w:t>5.经评委一致认定，供应商的投标报价低于公认市场成本，或超过采购预算,其响应将被拒绝。</w:t>
            </w:r>
          </w:p>
        </w:tc>
        <w:tc>
          <w:tcPr>
            <w:tcW w:w="398" w:type="pct"/>
            <w:vAlign w:val="center"/>
          </w:tcPr>
          <w:p w14:paraId="3ADBAC35">
            <w:pPr>
              <w:spacing w:line="360" w:lineRule="auto"/>
              <w:jc w:val="center"/>
              <w:rPr>
                <w:rFonts w:hint="eastAsia" w:hAnsi="宋体" w:cs="宋体"/>
                <w:szCs w:val="24"/>
                <w:highlight w:val="none"/>
              </w:rPr>
            </w:pPr>
            <w:r>
              <w:rPr>
                <w:rFonts w:hint="eastAsia" w:hAnsi="宋体" w:cs="宋体"/>
                <w:szCs w:val="24"/>
                <w:highlight w:val="none"/>
              </w:rPr>
              <w:t>30分</w:t>
            </w:r>
          </w:p>
        </w:tc>
      </w:tr>
      <w:tr w14:paraId="66B4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75" w:type="pct"/>
            <w:vMerge w:val="restart"/>
            <w:vAlign w:val="center"/>
          </w:tcPr>
          <w:p w14:paraId="3D8A142C">
            <w:pPr>
              <w:spacing w:line="276" w:lineRule="auto"/>
              <w:jc w:val="center"/>
              <w:rPr>
                <w:rFonts w:hint="eastAsia" w:hAnsi="宋体" w:cs="宋体"/>
                <w:b/>
                <w:szCs w:val="24"/>
                <w:highlight w:val="none"/>
              </w:rPr>
            </w:pPr>
            <w:r>
              <w:rPr>
                <w:rFonts w:hint="eastAsia" w:hAnsi="宋体" w:cs="宋体"/>
                <w:b/>
                <w:szCs w:val="24"/>
                <w:highlight w:val="none"/>
              </w:rPr>
              <w:t>技术方案</w:t>
            </w:r>
          </w:p>
        </w:tc>
        <w:tc>
          <w:tcPr>
            <w:tcW w:w="353" w:type="pct"/>
            <w:vMerge w:val="restart"/>
            <w:vAlign w:val="center"/>
          </w:tcPr>
          <w:p w14:paraId="7534A4BD">
            <w:pPr>
              <w:spacing w:line="560" w:lineRule="exact"/>
              <w:jc w:val="center"/>
              <w:rPr>
                <w:rFonts w:hint="eastAsia" w:hAnsi="宋体" w:cs="宋体"/>
                <w:b/>
                <w:szCs w:val="24"/>
                <w:highlight w:val="none"/>
              </w:rPr>
            </w:pPr>
            <w:r>
              <w:rPr>
                <w:rFonts w:hint="eastAsia" w:hAnsi="宋体" w:cs="宋体"/>
                <w:b/>
                <w:szCs w:val="24"/>
                <w:highlight w:val="none"/>
              </w:rPr>
              <w:t>45分</w:t>
            </w:r>
          </w:p>
        </w:tc>
        <w:tc>
          <w:tcPr>
            <w:tcW w:w="280" w:type="pct"/>
            <w:vAlign w:val="center"/>
          </w:tcPr>
          <w:p w14:paraId="7FA0CECF">
            <w:pPr>
              <w:numPr>
                <w:ilvl w:val="0"/>
                <w:numId w:val="9"/>
              </w:numPr>
              <w:spacing w:line="560" w:lineRule="exact"/>
              <w:jc w:val="left"/>
              <w:rPr>
                <w:rFonts w:hint="eastAsia" w:hAnsi="宋体" w:cs="宋体"/>
                <w:spacing w:val="4"/>
                <w:szCs w:val="24"/>
                <w:highlight w:val="none"/>
              </w:rPr>
            </w:pPr>
          </w:p>
        </w:tc>
        <w:tc>
          <w:tcPr>
            <w:tcW w:w="3490" w:type="pct"/>
            <w:vAlign w:val="center"/>
          </w:tcPr>
          <w:p w14:paraId="572AC79F">
            <w:pPr>
              <w:spacing w:line="360" w:lineRule="auto"/>
              <w:ind w:left="-108" w:leftChars="-45"/>
              <w:jc w:val="left"/>
              <w:rPr>
                <w:highlight w:val="none"/>
              </w:rPr>
            </w:pPr>
            <w:r>
              <w:rPr>
                <w:rFonts w:hint="eastAsia" w:hAnsi="宋体" w:cs="宋体"/>
                <w:b/>
                <w:bCs/>
                <w:szCs w:val="24"/>
                <w:highlight w:val="none"/>
              </w:rPr>
              <w:t>产品参数：</w:t>
            </w:r>
            <w:r>
              <w:rPr>
                <w:rFonts w:hint="eastAsia" w:hAnsi="宋体" w:cs="宋体"/>
                <w:szCs w:val="24"/>
                <w:highlight w:val="none"/>
              </w:rPr>
              <w:t>所投设备选型明确，技术参数描述，符合招标文件要求、国家的标准和有关规定，技术参数描述齐全，技术参数响应符合招标文件要求计20分，技术指标负偏离1项扣1分，扣完为止；</w:t>
            </w:r>
          </w:p>
        </w:tc>
        <w:tc>
          <w:tcPr>
            <w:tcW w:w="398" w:type="pct"/>
            <w:vAlign w:val="center"/>
          </w:tcPr>
          <w:p w14:paraId="1F38F24F">
            <w:pPr>
              <w:spacing w:line="560" w:lineRule="exact"/>
              <w:jc w:val="center"/>
              <w:rPr>
                <w:rFonts w:hint="eastAsia" w:hAnsi="宋体" w:cs="宋体"/>
                <w:szCs w:val="24"/>
                <w:highlight w:val="none"/>
              </w:rPr>
            </w:pPr>
            <w:r>
              <w:rPr>
                <w:rFonts w:hint="eastAsia" w:hAnsi="宋体" w:cs="宋体"/>
                <w:szCs w:val="24"/>
                <w:highlight w:val="none"/>
              </w:rPr>
              <w:t>20分</w:t>
            </w:r>
          </w:p>
        </w:tc>
      </w:tr>
      <w:tr w14:paraId="50D7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75" w:type="pct"/>
            <w:vMerge w:val="continue"/>
            <w:vAlign w:val="center"/>
          </w:tcPr>
          <w:p w14:paraId="36E4B0F9">
            <w:pPr>
              <w:spacing w:line="276" w:lineRule="auto"/>
              <w:jc w:val="center"/>
              <w:rPr>
                <w:rFonts w:hint="eastAsia" w:hAnsi="宋体" w:cs="宋体"/>
                <w:b/>
                <w:szCs w:val="24"/>
                <w:highlight w:val="none"/>
              </w:rPr>
            </w:pPr>
          </w:p>
        </w:tc>
        <w:tc>
          <w:tcPr>
            <w:tcW w:w="353" w:type="pct"/>
            <w:vMerge w:val="continue"/>
            <w:vAlign w:val="center"/>
          </w:tcPr>
          <w:p w14:paraId="7E661592">
            <w:pPr>
              <w:spacing w:line="560" w:lineRule="exact"/>
              <w:jc w:val="center"/>
              <w:rPr>
                <w:rFonts w:hint="eastAsia" w:hAnsi="宋体" w:cs="宋体"/>
                <w:b/>
                <w:szCs w:val="24"/>
                <w:highlight w:val="none"/>
              </w:rPr>
            </w:pPr>
          </w:p>
        </w:tc>
        <w:tc>
          <w:tcPr>
            <w:tcW w:w="280" w:type="pct"/>
            <w:vAlign w:val="center"/>
          </w:tcPr>
          <w:p w14:paraId="2D568F6E">
            <w:pPr>
              <w:numPr>
                <w:ilvl w:val="0"/>
                <w:numId w:val="9"/>
              </w:numPr>
              <w:spacing w:line="560" w:lineRule="exact"/>
              <w:jc w:val="left"/>
              <w:rPr>
                <w:rFonts w:hint="eastAsia" w:hAnsi="宋体" w:cs="宋体"/>
                <w:spacing w:val="4"/>
                <w:szCs w:val="24"/>
                <w:highlight w:val="none"/>
              </w:rPr>
            </w:pPr>
          </w:p>
        </w:tc>
        <w:tc>
          <w:tcPr>
            <w:tcW w:w="3490" w:type="pct"/>
            <w:vAlign w:val="center"/>
          </w:tcPr>
          <w:p w14:paraId="6CC93F82">
            <w:pPr>
              <w:spacing w:line="360" w:lineRule="auto"/>
              <w:ind w:left="-108" w:leftChars="-45"/>
              <w:jc w:val="left"/>
              <w:rPr>
                <w:highlight w:val="none"/>
              </w:rPr>
            </w:pPr>
            <w:r>
              <w:rPr>
                <w:rFonts w:hint="eastAsia"/>
                <w:b/>
                <w:bCs/>
                <w:highlight w:val="none"/>
              </w:rPr>
              <w:t>质量保证：</w:t>
            </w:r>
            <w:r>
              <w:rPr>
                <w:rFonts w:hint="eastAsia"/>
                <w:highlight w:val="none"/>
              </w:rPr>
              <w:t>投标产品质量可靠，所有产品无假货、水货、翻新货且无产权纠纷，产品来源渠道合法正规、证明资料完整；</w:t>
            </w:r>
          </w:p>
          <w:p w14:paraId="7F96422D">
            <w:pPr>
              <w:spacing w:line="360" w:lineRule="auto"/>
              <w:ind w:left="-108" w:leftChars="-45"/>
              <w:jc w:val="left"/>
              <w:rPr>
                <w:highlight w:val="none"/>
              </w:rPr>
            </w:pPr>
            <w:r>
              <w:rPr>
                <w:rFonts w:hint="eastAsia"/>
                <w:highlight w:val="none"/>
              </w:rPr>
              <w:t>证明材料充分、有效，能够充分满足项目质量要求得10-15分；证明材料较为充分、有效，能够基本满足项目质量要求得：5-10分；证明材料不够充分、有效，不能满足项目质量要求得0-5分。未提供不得分。</w:t>
            </w:r>
          </w:p>
          <w:p w14:paraId="4275C48A">
            <w:pPr>
              <w:spacing w:line="360" w:lineRule="auto"/>
              <w:ind w:left="-108" w:leftChars="-45"/>
              <w:jc w:val="left"/>
              <w:rPr>
                <w:b/>
                <w:bCs/>
                <w:highlight w:val="none"/>
              </w:rPr>
            </w:pPr>
            <w:r>
              <w:rPr>
                <w:rFonts w:hint="eastAsia"/>
                <w:highlight w:val="none"/>
              </w:rPr>
              <w:t>提供相关证明材料，形式不限，未提供不得分；如：产品说明书、合法渠道来源证明、检测报告、产品认证证书、产品彩页、官网截图、厂家产品授权、承诺函等。</w:t>
            </w:r>
          </w:p>
        </w:tc>
        <w:tc>
          <w:tcPr>
            <w:tcW w:w="398" w:type="pct"/>
            <w:vAlign w:val="center"/>
          </w:tcPr>
          <w:p w14:paraId="3B01B647">
            <w:pPr>
              <w:spacing w:line="560" w:lineRule="exact"/>
              <w:jc w:val="center"/>
              <w:rPr>
                <w:rFonts w:hint="eastAsia" w:hAnsi="宋体" w:cs="宋体"/>
                <w:szCs w:val="24"/>
                <w:highlight w:val="none"/>
              </w:rPr>
            </w:pPr>
            <w:r>
              <w:rPr>
                <w:rFonts w:hint="eastAsia" w:hAnsi="宋体" w:cs="宋体"/>
                <w:szCs w:val="24"/>
                <w:highlight w:val="none"/>
              </w:rPr>
              <w:t>15</w:t>
            </w:r>
          </w:p>
          <w:p w14:paraId="4BBA9AF5">
            <w:pPr>
              <w:spacing w:line="560" w:lineRule="exact"/>
              <w:jc w:val="center"/>
              <w:rPr>
                <w:highlight w:val="none"/>
              </w:rPr>
            </w:pPr>
            <w:r>
              <w:rPr>
                <w:rFonts w:hint="eastAsia" w:hAnsi="宋体" w:cs="宋体"/>
                <w:szCs w:val="24"/>
                <w:highlight w:val="none"/>
              </w:rPr>
              <w:t>分</w:t>
            </w:r>
          </w:p>
        </w:tc>
      </w:tr>
      <w:tr w14:paraId="4905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75" w:type="pct"/>
            <w:vMerge w:val="continue"/>
            <w:vAlign w:val="center"/>
          </w:tcPr>
          <w:p w14:paraId="77A3A00D">
            <w:pPr>
              <w:spacing w:line="276" w:lineRule="auto"/>
              <w:jc w:val="center"/>
              <w:rPr>
                <w:rFonts w:hint="eastAsia" w:hAnsi="宋体" w:cs="宋体"/>
                <w:b/>
                <w:szCs w:val="24"/>
                <w:highlight w:val="none"/>
              </w:rPr>
            </w:pPr>
          </w:p>
        </w:tc>
        <w:tc>
          <w:tcPr>
            <w:tcW w:w="353" w:type="pct"/>
            <w:vMerge w:val="continue"/>
            <w:vAlign w:val="center"/>
          </w:tcPr>
          <w:p w14:paraId="5B4003F0">
            <w:pPr>
              <w:spacing w:line="560" w:lineRule="exact"/>
              <w:jc w:val="center"/>
              <w:rPr>
                <w:rFonts w:hint="eastAsia" w:hAnsi="宋体" w:cs="宋体"/>
                <w:b/>
                <w:szCs w:val="24"/>
                <w:highlight w:val="none"/>
              </w:rPr>
            </w:pPr>
          </w:p>
        </w:tc>
        <w:tc>
          <w:tcPr>
            <w:tcW w:w="280" w:type="pct"/>
            <w:vAlign w:val="center"/>
          </w:tcPr>
          <w:p w14:paraId="41E3F9B6">
            <w:pPr>
              <w:numPr>
                <w:ilvl w:val="0"/>
                <w:numId w:val="9"/>
              </w:numPr>
              <w:spacing w:line="560" w:lineRule="exact"/>
              <w:jc w:val="left"/>
              <w:rPr>
                <w:rFonts w:hint="eastAsia" w:hAnsi="宋体" w:cs="宋体"/>
                <w:spacing w:val="4"/>
                <w:szCs w:val="24"/>
                <w:highlight w:val="none"/>
              </w:rPr>
            </w:pPr>
          </w:p>
        </w:tc>
        <w:tc>
          <w:tcPr>
            <w:tcW w:w="3490" w:type="pct"/>
            <w:vAlign w:val="center"/>
          </w:tcPr>
          <w:p w14:paraId="61EF87B1">
            <w:pPr>
              <w:spacing w:line="360" w:lineRule="auto"/>
              <w:ind w:left="-108" w:leftChars="-45"/>
              <w:jc w:val="left"/>
              <w:rPr>
                <w:rFonts w:hint="eastAsia" w:hAnsi="宋体" w:cs="宋体"/>
                <w:szCs w:val="24"/>
                <w:highlight w:val="none"/>
              </w:rPr>
            </w:pPr>
            <w:r>
              <w:rPr>
                <w:rFonts w:hint="eastAsia" w:hAnsi="宋体" w:cs="宋体"/>
                <w:b/>
                <w:bCs/>
                <w:szCs w:val="24"/>
                <w:highlight w:val="none"/>
              </w:rPr>
              <w:t>实施方案：</w:t>
            </w:r>
            <w:r>
              <w:rPr>
                <w:rFonts w:hint="eastAsia" w:hAnsi="宋体" w:cs="宋体"/>
                <w:szCs w:val="24"/>
                <w:highlight w:val="none"/>
              </w:rPr>
              <w:t>具有充分的供货方案、人员配备、应急方案。能够充分保证项目履约，计7～10分；提供的项目实施方案完善，满足项目需求，计4～7分；提供的项目实施方案较差，基本表达项目履约情况计0～4分。</w:t>
            </w:r>
          </w:p>
        </w:tc>
        <w:tc>
          <w:tcPr>
            <w:tcW w:w="398" w:type="pct"/>
            <w:vAlign w:val="center"/>
          </w:tcPr>
          <w:p w14:paraId="3D358391">
            <w:pPr>
              <w:spacing w:line="560" w:lineRule="exact"/>
              <w:jc w:val="center"/>
              <w:rPr>
                <w:rFonts w:hint="eastAsia" w:hAnsi="宋体" w:cs="宋体"/>
                <w:szCs w:val="24"/>
                <w:highlight w:val="none"/>
              </w:rPr>
            </w:pPr>
            <w:r>
              <w:rPr>
                <w:rFonts w:hint="eastAsia" w:hAnsi="宋体" w:cs="宋体"/>
                <w:szCs w:val="24"/>
                <w:highlight w:val="none"/>
              </w:rPr>
              <w:t>10分</w:t>
            </w:r>
          </w:p>
        </w:tc>
      </w:tr>
      <w:tr w14:paraId="359E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75" w:type="pct"/>
            <w:vMerge w:val="restart"/>
            <w:vAlign w:val="center"/>
          </w:tcPr>
          <w:p w14:paraId="6666187E">
            <w:pPr>
              <w:spacing w:line="360" w:lineRule="auto"/>
              <w:jc w:val="center"/>
              <w:rPr>
                <w:rFonts w:hint="eastAsia" w:hAnsi="宋体" w:cs="宋体"/>
                <w:szCs w:val="24"/>
                <w:highlight w:val="none"/>
              </w:rPr>
            </w:pPr>
            <w:r>
              <w:rPr>
                <w:rFonts w:hint="eastAsia" w:hAnsi="宋体" w:cs="宋体"/>
                <w:b/>
                <w:bCs/>
                <w:szCs w:val="24"/>
                <w:highlight w:val="none"/>
              </w:rPr>
              <w:t>售后服务及培训方案</w:t>
            </w:r>
          </w:p>
        </w:tc>
        <w:tc>
          <w:tcPr>
            <w:tcW w:w="353" w:type="pct"/>
            <w:vMerge w:val="restart"/>
            <w:vAlign w:val="center"/>
          </w:tcPr>
          <w:p w14:paraId="75C69567">
            <w:pPr>
              <w:spacing w:line="360" w:lineRule="auto"/>
              <w:jc w:val="center"/>
              <w:rPr>
                <w:rFonts w:hint="eastAsia" w:hAnsi="宋体" w:cs="宋体"/>
                <w:b/>
                <w:bCs/>
                <w:szCs w:val="24"/>
                <w:highlight w:val="none"/>
              </w:rPr>
            </w:pPr>
            <w:r>
              <w:rPr>
                <w:rFonts w:hint="eastAsia" w:hAnsi="宋体" w:cs="宋体"/>
                <w:b/>
                <w:bCs/>
                <w:szCs w:val="24"/>
                <w:highlight w:val="none"/>
              </w:rPr>
              <w:t>15分</w:t>
            </w:r>
          </w:p>
        </w:tc>
        <w:tc>
          <w:tcPr>
            <w:tcW w:w="280" w:type="pct"/>
            <w:vAlign w:val="center"/>
          </w:tcPr>
          <w:p w14:paraId="5E5E8561">
            <w:pPr>
              <w:spacing w:line="360" w:lineRule="auto"/>
              <w:jc w:val="left"/>
              <w:rPr>
                <w:rFonts w:hint="eastAsia" w:hAnsi="宋体" w:cs="宋体"/>
                <w:szCs w:val="24"/>
                <w:highlight w:val="none"/>
              </w:rPr>
            </w:pPr>
            <w:r>
              <w:rPr>
                <w:rFonts w:hint="eastAsia" w:hAnsi="宋体" w:cs="宋体"/>
                <w:szCs w:val="24"/>
                <w:highlight w:val="none"/>
              </w:rPr>
              <w:t>④</w:t>
            </w:r>
          </w:p>
        </w:tc>
        <w:tc>
          <w:tcPr>
            <w:tcW w:w="3490" w:type="pct"/>
            <w:vAlign w:val="center"/>
          </w:tcPr>
          <w:p w14:paraId="6B2FC8E8">
            <w:pPr>
              <w:spacing w:line="360" w:lineRule="auto"/>
              <w:ind w:left="-108" w:leftChars="-45"/>
              <w:jc w:val="left"/>
              <w:rPr>
                <w:highlight w:val="none"/>
              </w:rPr>
            </w:pPr>
            <w:r>
              <w:rPr>
                <w:rFonts w:hint="eastAsia"/>
                <w:b/>
                <w:bCs/>
                <w:highlight w:val="none"/>
              </w:rPr>
              <w:t>售后方案：</w:t>
            </w:r>
            <w:r>
              <w:rPr>
                <w:rFonts w:hint="eastAsia"/>
                <w:highlight w:val="none"/>
              </w:rPr>
              <w:t>针对本项目具备便捷化售后服务能力，提出详尽的售后服务方案，有明确的承诺且具体切实可行，计10～7分；有基本售后服务机构及售后方案，能够满足基本售后要求的计6～4分；售后服务机构不健全或服务方案不完善的计3～0分；</w:t>
            </w:r>
          </w:p>
        </w:tc>
        <w:tc>
          <w:tcPr>
            <w:tcW w:w="398" w:type="pct"/>
            <w:vAlign w:val="center"/>
          </w:tcPr>
          <w:p w14:paraId="233B50FD">
            <w:pPr>
              <w:spacing w:line="360" w:lineRule="auto"/>
              <w:jc w:val="center"/>
              <w:rPr>
                <w:rFonts w:hint="eastAsia" w:hAnsi="宋体" w:cs="宋体"/>
                <w:szCs w:val="24"/>
                <w:highlight w:val="none"/>
              </w:rPr>
            </w:pPr>
            <w:r>
              <w:rPr>
                <w:rFonts w:hint="eastAsia" w:hAnsi="宋体" w:cs="宋体"/>
                <w:szCs w:val="24"/>
                <w:highlight w:val="none"/>
              </w:rPr>
              <w:t>10分</w:t>
            </w:r>
          </w:p>
        </w:tc>
      </w:tr>
      <w:tr w14:paraId="64C5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75" w:type="pct"/>
            <w:vMerge w:val="continue"/>
            <w:vAlign w:val="center"/>
          </w:tcPr>
          <w:p w14:paraId="2426785D">
            <w:pPr>
              <w:spacing w:line="360" w:lineRule="auto"/>
              <w:jc w:val="center"/>
              <w:rPr>
                <w:rFonts w:hint="eastAsia" w:hAnsi="宋体" w:cs="宋体"/>
                <w:b/>
                <w:bCs/>
                <w:szCs w:val="24"/>
                <w:highlight w:val="none"/>
              </w:rPr>
            </w:pPr>
          </w:p>
        </w:tc>
        <w:tc>
          <w:tcPr>
            <w:tcW w:w="353" w:type="pct"/>
            <w:vMerge w:val="continue"/>
            <w:vAlign w:val="center"/>
          </w:tcPr>
          <w:p w14:paraId="72E43F9B">
            <w:pPr>
              <w:spacing w:line="360" w:lineRule="auto"/>
              <w:jc w:val="center"/>
              <w:rPr>
                <w:rFonts w:hint="eastAsia" w:hAnsi="宋体" w:cs="宋体"/>
                <w:b/>
                <w:bCs/>
                <w:szCs w:val="24"/>
                <w:highlight w:val="none"/>
              </w:rPr>
            </w:pPr>
          </w:p>
        </w:tc>
        <w:tc>
          <w:tcPr>
            <w:tcW w:w="280" w:type="pct"/>
            <w:vAlign w:val="center"/>
          </w:tcPr>
          <w:p w14:paraId="39690383">
            <w:pPr>
              <w:spacing w:line="360" w:lineRule="auto"/>
              <w:jc w:val="left"/>
              <w:rPr>
                <w:rFonts w:hint="eastAsia" w:hAnsi="宋体" w:cs="宋体"/>
                <w:szCs w:val="24"/>
                <w:highlight w:val="none"/>
              </w:rPr>
            </w:pPr>
            <w:r>
              <w:rPr>
                <w:rFonts w:hint="eastAsia" w:hAnsi="宋体" w:cs="宋体"/>
                <w:szCs w:val="24"/>
                <w:highlight w:val="none"/>
              </w:rPr>
              <w:t>⑤</w:t>
            </w:r>
          </w:p>
        </w:tc>
        <w:tc>
          <w:tcPr>
            <w:tcW w:w="3490" w:type="pct"/>
            <w:vAlign w:val="center"/>
          </w:tcPr>
          <w:p w14:paraId="0CB88924">
            <w:pPr>
              <w:spacing w:line="360" w:lineRule="auto"/>
              <w:ind w:left="-108" w:leftChars="-45"/>
              <w:jc w:val="left"/>
              <w:rPr>
                <w:rFonts w:hint="eastAsia" w:hAnsi="宋体" w:cs="宋体"/>
                <w:b/>
                <w:bCs/>
                <w:szCs w:val="24"/>
                <w:highlight w:val="none"/>
              </w:rPr>
            </w:pPr>
            <w:r>
              <w:rPr>
                <w:rFonts w:hint="eastAsia" w:hAnsi="宋体" w:cs="宋体"/>
                <w:b/>
                <w:bCs/>
                <w:szCs w:val="24"/>
                <w:highlight w:val="none"/>
              </w:rPr>
              <w:t>培训方案：</w:t>
            </w:r>
            <w:r>
              <w:rPr>
                <w:rFonts w:hint="eastAsia" w:hAnsi="宋体" w:cs="宋体"/>
                <w:szCs w:val="24"/>
                <w:highlight w:val="none"/>
              </w:rPr>
              <w:t>针对本项目情况制定培训方案，培训形式、内容合理、切实可行。计0～5分</w:t>
            </w:r>
          </w:p>
          <w:p w14:paraId="1E71E7AC">
            <w:pPr>
              <w:spacing w:line="360" w:lineRule="auto"/>
              <w:ind w:left="-108" w:leftChars="-45"/>
              <w:jc w:val="left"/>
              <w:rPr>
                <w:rFonts w:hint="eastAsia" w:hAnsi="宋体"/>
                <w:highlight w:val="none"/>
              </w:rPr>
            </w:pPr>
          </w:p>
        </w:tc>
        <w:tc>
          <w:tcPr>
            <w:tcW w:w="398" w:type="pct"/>
            <w:vAlign w:val="center"/>
          </w:tcPr>
          <w:p w14:paraId="12D170CD">
            <w:pPr>
              <w:spacing w:line="360" w:lineRule="auto"/>
              <w:jc w:val="center"/>
              <w:rPr>
                <w:rFonts w:hint="eastAsia" w:hAnsi="宋体" w:cs="宋体"/>
                <w:szCs w:val="24"/>
                <w:highlight w:val="none"/>
              </w:rPr>
            </w:pPr>
            <w:r>
              <w:rPr>
                <w:rFonts w:hint="eastAsia" w:hAnsi="宋体" w:cs="宋体"/>
                <w:szCs w:val="24"/>
                <w:highlight w:val="none"/>
              </w:rPr>
              <w:t>5</w:t>
            </w:r>
          </w:p>
          <w:p w14:paraId="07E12E9C">
            <w:pPr>
              <w:spacing w:line="360" w:lineRule="auto"/>
              <w:jc w:val="center"/>
              <w:rPr>
                <w:rFonts w:hint="eastAsia" w:hAnsi="宋体" w:cs="宋体"/>
                <w:szCs w:val="24"/>
                <w:highlight w:val="none"/>
              </w:rPr>
            </w:pPr>
            <w:r>
              <w:rPr>
                <w:rFonts w:hint="eastAsia" w:hAnsi="宋体" w:cs="宋体"/>
                <w:szCs w:val="24"/>
                <w:highlight w:val="none"/>
              </w:rPr>
              <w:t>分</w:t>
            </w:r>
          </w:p>
        </w:tc>
      </w:tr>
      <w:tr w14:paraId="5DC6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75" w:type="pct"/>
            <w:vAlign w:val="center"/>
          </w:tcPr>
          <w:p w14:paraId="12FFE472">
            <w:pPr>
              <w:spacing w:line="276" w:lineRule="auto"/>
              <w:jc w:val="center"/>
              <w:rPr>
                <w:rFonts w:hint="eastAsia" w:hAnsi="宋体" w:cs="宋体"/>
                <w:b/>
                <w:szCs w:val="24"/>
                <w:highlight w:val="none"/>
              </w:rPr>
            </w:pPr>
            <w:r>
              <w:rPr>
                <w:rFonts w:hint="eastAsia" w:hAnsi="宋体" w:cs="宋体"/>
                <w:b/>
                <w:szCs w:val="24"/>
                <w:highlight w:val="none"/>
              </w:rPr>
              <w:t>业绩</w:t>
            </w:r>
          </w:p>
        </w:tc>
        <w:tc>
          <w:tcPr>
            <w:tcW w:w="353" w:type="pct"/>
            <w:vAlign w:val="center"/>
          </w:tcPr>
          <w:p w14:paraId="7DEBA1D5">
            <w:pPr>
              <w:spacing w:line="360" w:lineRule="auto"/>
              <w:jc w:val="center"/>
              <w:rPr>
                <w:rFonts w:hint="eastAsia" w:hAnsi="宋体" w:cs="宋体"/>
                <w:b/>
                <w:bCs/>
                <w:szCs w:val="24"/>
                <w:highlight w:val="none"/>
              </w:rPr>
            </w:pPr>
            <w:r>
              <w:rPr>
                <w:rFonts w:hint="eastAsia" w:hAnsi="宋体" w:cs="宋体"/>
                <w:b/>
                <w:bCs/>
                <w:szCs w:val="24"/>
                <w:highlight w:val="none"/>
              </w:rPr>
              <w:t>10分</w:t>
            </w:r>
          </w:p>
        </w:tc>
        <w:tc>
          <w:tcPr>
            <w:tcW w:w="280" w:type="pct"/>
            <w:vAlign w:val="center"/>
          </w:tcPr>
          <w:p w14:paraId="53AC5FF7">
            <w:pPr>
              <w:spacing w:line="560" w:lineRule="exact"/>
              <w:jc w:val="left"/>
              <w:rPr>
                <w:rFonts w:hint="eastAsia" w:hAnsi="宋体" w:cs="宋体"/>
                <w:szCs w:val="24"/>
                <w:highlight w:val="none"/>
              </w:rPr>
            </w:pPr>
            <w:r>
              <w:rPr>
                <w:rFonts w:hint="eastAsia" w:hAnsi="宋体" w:cs="宋体"/>
                <w:szCs w:val="24"/>
                <w:highlight w:val="none"/>
              </w:rPr>
              <w:t>⑥</w:t>
            </w:r>
          </w:p>
        </w:tc>
        <w:tc>
          <w:tcPr>
            <w:tcW w:w="3490" w:type="pct"/>
            <w:vAlign w:val="center"/>
          </w:tcPr>
          <w:p w14:paraId="16EA5CAD">
            <w:pPr>
              <w:spacing w:line="360" w:lineRule="auto"/>
              <w:ind w:left="-108" w:leftChars="-45"/>
              <w:jc w:val="left"/>
              <w:rPr>
                <w:highlight w:val="none"/>
              </w:rPr>
            </w:pPr>
            <w:r>
              <w:rPr>
                <w:rFonts w:hint="eastAsia"/>
                <w:highlight w:val="none"/>
              </w:rPr>
              <w:t>提供2021年至今类似项目的业绩，每提供一份计2分，满分10分。（以合同协议或中标通知书为准）</w:t>
            </w:r>
          </w:p>
        </w:tc>
        <w:tc>
          <w:tcPr>
            <w:tcW w:w="398" w:type="pct"/>
            <w:vAlign w:val="center"/>
          </w:tcPr>
          <w:p w14:paraId="37F21970">
            <w:pPr>
              <w:spacing w:line="560" w:lineRule="exact"/>
              <w:jc w:val="center"/>
              <w:rPr>
                <w:rFonts w:hint="eastAsia" w:hAnsi="宋体" w:cs="宋体"/>
                <w:szCs w:val="24"/>
                <w:highlight w:val="none"/>
              </w:rPr>
            </w:pPr>
            <w:r>
              <w:rPr>
                <w:rFonts w:hint="eastAsia" w:hAnsi="宋体" w:cs="宋体"/>
                <w:szCs w:val="24"/>
                <w:highlight w:val="none"/>
              </w:rPr>
              <w:t>10分</w:t>
            </w:r>
          </w:p>
        </w:tc>
      </w:tr>
    </w:tbl>
    <w:p w14:paraId="2908E3E9">
      <w:pPr>
        <w:rPr>
          <w:highlight w:val="none"/>
        </w:rPr>
      </w:pPr>
    </w:p>
    <w:p w14:paraId="551C24B4">
      <w:pPr>
        <w:rPr>
          <w:rFonts w:hint="eastAsia" w:hAnsi="宋体" w:cs="宋体"/>
          <w:b/>
          <w:spacing w:val="4"/>
          <w:sz w:val="28"/>
          <w:szCs w:val="24"/>
          <w:highlight w:val="none"/>
        </w:rPr>
      </w:pPr>
      <w:r>
        <w:rPr>
          <w:rFonts w:hint="eastAsia" w:hAnsi="宋体" w:cs="宋体"/>
          <w:b/>
          <w:spacing w:val="4"/>
          <w:sz w:val="28"/>
          <w:szCs w:val="24"/>
          <w:highlight w:val="none"/>
        </w:rPr>
        <w:br w:type="page"/>
      </w:r>
    </w:p>
    <w:p w14:paraId="33B8FD09">
      <w:pPr>
        <w:spacing w:line="560" w:lineRule="exact"/>
        <w:jc w:val="center"/>
        <w:rPr>
          <w:rFonts w:hint="eastAsia" w:hAnsi="宋体" w:cs="宋体"/>
          <w:b/>
          <w:szCs w:val="24"/>
          <w:highlight w:val="yellow"/>
        </w:rPr>
      </w:pPr>
      <w:r>
        <w:rPr>
          <w:rFonts w:hint="eastAsia" w:hAnsi="宋体" w:cs="宋体"/>
          <w:b/>
          <w:szCs w:val="24"/>
          <w:highlight w:val="yellow"/>
        </w:rPr>
        <w:t>合同包2</w:t>
      </w:r>
      <w:bookmarkStart w:id="204" w:name="_GoBack"/>
      <w:bookmarkEnd w:id="204"/>
    </w:p>
    <w:p w14:paraId="5AD00E78">
      <w:pPr>
        <w:spacing w:line="560" w:lineRule="exact"/>
        <w:jc w:val="center"/>
        <w:rPr>
          <w:rFonts w:hint="eastAsia" w:hAnsi="宋体" w:cs="宋体"/>
          <w:b/>
          <w:szCs w:val="24"/>
          <w:highlight w:val="yellow"/>
        </w:rPr>
      </w:pPr>
      <w:r>
        <w:rPr>
          <w:rFonts w:hint="eastAsia" w:hAnsi="宋体" w:cs="宋体"/>
          <w:b/>
          <w:szCs w:val="24"/>
          <w:highlight w:val="yellow"/>
        </w:rPr>
        <w:t>评标因素及权重分值表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844"/>
        <w:gridCol w:w="5916"/>
        <w:gridCol w:w="842"/>
      </w:tblGrid>
      <w:tr w14:paraId="6CB7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B7B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13FA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评分项目</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C67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评分标准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059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得分</w:t>
            </w:r>
          </w:p>
        </w:tc>
      </w:tr>
      <w:tr w14:paraId="6B42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8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2B7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投标报价</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6ED5">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满足招标文件要求且投标报价最低的投标价为评标基准价，其价格分为满分。投标报价得分=（评标基准价／投标报价）×价格权值×100。</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F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r w14:paraId="18E6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A5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CE3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技术部分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50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整体技术方案</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EB34">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对本项目的理解、总体设计、建设方案等，详细阐述系统的体系架构、功能模块、实现思路、关键技术，提供完整的方案，包含设计方案、产品配置、功能设置、软件配置方案、安装调试方案、系统保障、售后服务等内容，内容全面详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1.根据方案内容完整度按响应程度赋0～5分，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2.根据详细程度按响应程度赋0～5分，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3.根据方案合理性按响应程度赋0～5分。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C1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r>
      <w:tr w14:paraId="1AE0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300A">
            <w:pPr>
              <w:jc w:val="center"/>
              <w:rPr>
                <w:rFonts w:hint="eastAsia" w:ascii="宋体" w:hAnsi="宋体" w:eastAsia="宋体" w:cs="宋体"/>
                <w:i w:val="0"/>
                <w:iCs w:val="0"/>
                <w:color w:val="000000"/>
                <w:sz w:val="24"/>
                <w:szCs w:val="24"/>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0CC5E">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E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技术要求响应指标</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DFA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根据投标人的投标文件技术条款对技术要求的响应情况进行评审，技术条款完全满足采购要求的得20分，若不满足带“▲”重要技术条款要求的，每项扣2 分，不满足其他一般技术条款要求的，每项扣1 分，扣完为止。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备注：技术参数中要求提供证明材料的参数（证明材料包括但不限于软件或官网功能截图等）。</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7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42E6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E2C5">
            <w:pPr>
              <w:jc w:val="center"/>
              <w:rPr>
                <w:rFonts w:hint="eastAsia" w:ascii="宋体" w:hAnsi="宋体" w:eastAsia="宋体" w:cs="宋体"/>
                <w:i w:val="0"/>
                <w:iCs w:val="0"/>
                <w:color w:val="000000"/>
                <w:sz w:val="24"/>
                <w:szCs w:val="24"/>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C08A">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29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项目实施方案</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DC4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投标人所提供的项目实施方案进行评审，包括方案的合理性、实施总体规划、实施步骤、项目实施进度计划、实施方法、项目管理制度、质量保证体制、风险预见与控制能力等，工作方法是否科学、合理、高效，管理流程是否规范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项目实施方案内容具体、完整、详细、全面的经横向比较计(7-10]分；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项目实施方案内容欠缺、薄弱的经横向比较计(3-7]分；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方案欠缺、不利于实施计（0-3]分。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2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1969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CAEE">
            <w:pPr>
              <w:jc w:val="center"/>
              <w:rPr>
                <w:rFonts w:hint="eastAsia" w:ascii="宋体" w:hAnsi="宋体" w:eastAsia="宋体" w:cs="宋体"/>
                <w:i w:val="0"/>
                <w:iCs w:val="0"/>
                <w:color w:val="000000"/>
                <w:sz w:val="24"/>
                <w:szCs w:val="24"/>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7CF1">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FD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拟投入本项目的人员</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BDDC">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1.项目经理需具备系统集成项目管理工程师证书得2分；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2.项目团队（不含项目经理）有完善的项目及服务的实施组织机构、人员安排有具体方案（包括工程师、项目经理等人员），人员组织结构分工合理、责任明确，能够在承诺的时间内按质按量完工。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项目团队人员分工合理、责任明确详细、全面的经横向比较计(5-8]分；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项目团队人员分工较合理、责任明确一般的经横向比较计(3-5]分；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项目团队人员分工欠缺、责任明确欠缺的经横向比较计(0-3]分；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6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05D3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9A7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49F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售后服务及培训方案</w:t>
            </w: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4B4A">
            <w:pPr>
              <w:keepNext w:val="0"/>
              <w:keepLines w:val="0"/>
              <w:widowControl/>
              <w:suppressLineNumbers w:val="0"/>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供应商针对本项目提供售后服务方案，包括但不限于售后服务网点的设定、实施组织机构、拟投入售后服务人员配置情况、日常维护、项目交付用户后出现故障响应时间及措施、备品备件计划，质量保证范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售后服务方案内容具体、完整、详细、全面的经横向比较计(7-10]分；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项目实施方案内容欠缺、薄弱的经横向比较计(3-7]分；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方案欠缺、不利于实施计（0-3]分。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D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6F59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A9B7">
            <w:pPr>
              <w:jc w:val="center"/>
              <w:rPr>
                <w:rFonts w:hint="eastAsia" w:ascii="宋体" w:hAnsi="宋体" w:eastAsia="宋体" w:cs="宋体"/>
                <w:i w:val="0"/>
                <w:iCs w:val="0"/>
                <w:color w:val="000000"/>
                <w:sz w:val="24"/>
                <w:szCs w:val="24"/>
                <w:highlight w:val="none"/>
                <w:u w:val="none"/>
              </w:rPr>
            </w:pPr>
          </w:p>
        </w:tc>
        <w:tc>
          <w:tcPr>
            <w:tcW w:w="9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F1A3">
            <w:pPr>
              <w:jc w:val="center"/>
              <w:rPr>
                <w:rFonts w:hint="eastAsia" w:ascii="宋体" w:hAnsi="宋体" w:eastAsia="宋体" w:cs="宋体"/>
                <w:i w:val="0"/>
                <w:iCs w:val="0"/>
                <w:color w:val="000000"/>
                <w:sz w:val="24"/>
                <w:szCs w:val="24"/>
                <w:highlight w:val="none"/>
                <w:u w:val="none"/>
              </w:rPr>
            </w:pPr>
          </w:p>
        </w:tc>
        <w:tc>
          <w:tcPr>
            <w:tcW w:w="3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86E3">
            <w:pPr>
              <w:keepNext w:val="0"/>
              <w:keepLines w:val="0"/>
              <w:widowControl/>
              <w:suppressLineNumbers w:val="0"/>
              <w:ind w:firstLineChars="20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培训方案：</w:t>
            </w:r>
            <w:r>
              <w:rPr>
                <w:rFonts w:hint="eastAsia" w:ascii="宋体" w:hAnsi="宋体" w:eastAsia="宋体" w:cs="宋体"/>
                <w:i w:val="0"/>
                <w:iCs w:val="0"/>
                <w:color w:val="000000"/>
                <w:kern w:val="0"/>
                <w:sz w:val="24"/>
                <w:szCs w:val="24"/>
                <w:highlight w:val="none"/>
                <w:u w:val="none"/>
                <w:lang w:val="en-US" w:eastAsia="zh-CN" w:bidi="ar"/>
              </w:rPr>
              <w:t>培训方式、时间、地点、人员、培训内容。培训方案内容具体、完整、详细、全面、可行的经横向比较计</w:t>
            </w:r>
            <w:r>
              <w:rPr>
                <w:rStyle w:val="38"/>
                <w:highlight w:val="none"/>
                <w:lang w:val="en-US" w:eastAsia="zh-CN" w:bidi="ar"/>
              </w:rPr>
              <w:t>(3-5]</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培训方案内容欠缺、薄弱的经横向比较计(1-3]分；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方案欠缺、不利于项目效果计（0-1]分。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1F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bl>
    <w:p w14:paraId="0FA7632D">
      <w:pPr>
        <w:rPr>
          <w:rFonts w:hint="eastAsia" w:hAnsi="宋体" w:cs="宋体"/>
          <w:b/>
          <w:spacing w:val="4"/>
          <w:sz w:val="28"/>
          <w:szCs w:val="24"/>
          <w:highlight w:val="none"/>
        </w:rPr>
      </w:pPr>
      <w:r>
        <w:rPr>
          <w:rFonts w:hint="eastAsia" w:hAnsi="宋体" w:cs="宋体"/>
          <w:b/>
          <w:spacing w:val="4"/>
          <w:sz w:val="28"/>
          <w:szCs w:val="24"/>
          <w:highlight w:val="none"/>
        </w:rPr>
        <w:t>五、定标：</w:t>
      </w:r>
    </w:p>
    <w:p w14:paraId="239476C3">
      <w:pPr>
        <w:spacing w:line="460" w:lineRule="exact"/>
        <w:ind w:firstLine="496" w:firstLineChars="200"/>
        <w:rPr>
          <w:rFonts w:hint="eastAsia"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评标委员会</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119CE046">
      <w:pPr>
        <w:spacing w:line="460" w:lineRule="exact"/>
        <w:ind w:firstLine="496" w:firstLineChars="200"/>
        <w:rPr>
          <w:rFonts w:hint="eastAsia" w:hAnsi="宋体" w:cs="宋体"/>
          <w:bCs/>
          <w:sz w:val="36"/>
          <w:szCs w:val="36"/>
          <w:highlight w:val="none"/>
        </w:rPr>
      </w:pPr>
      <w:r>
        <w:rPr>
          <w:rFonts w:hint="eastAsia" w:hAnsi="宋体" w:cs="宋体"/>
          <w:spacing w:val="4"/>
          <w:szCs w:val="24"/>
          <w:highlight w:val="none"/>
        </w:rPr>
        <w:t>2、采购人根据评标报告中推荐的中标候选人排列顺序确定投标人，以复函通知招标代理机构。</w:t>
      </w:r>
    </w:p>
    <w:p w14:paraId="4A549134">
      <w:pPr>
        <w:rPr>
          <w:rFonts w:cs="宋体"/>
          <w:bCs/>
          <w:sz w:val="36"/>
          <w:szCs w:val="36"/>
          <w:highlight w:val="none"/>
        </w:rPr>
      </w:pPr>
      <w:r>
        <w:rPr>
          <w:rFonts w:hint="eastAsia" w:cs="宋体"/>
          <w:bCs/>
          <w:sz w:val="36"/>
          <w:szCs w:val="36"/>
          <w:highlight w:val="none"/>
        </w:rPr>
        <w:br w:type="page"/>
      </w:r>
    </w:p>
    <w:p w14:paraId="29536570">
      <w:pPr>
        <w:pStyle w:val="2"/>
        <w:spacing w:line="360" w:lineRule="auto"/>
        <w:jc w:val="center"/>
        <w:rPr>
          <w:rFonts w:hint="eastAsia" w:ascii="宋体" w:eastAsia="宋体" w:cs="宋体"/>
          <w:bCs/>
          <w:sz w:val="36"/>
          <w:szCs w:val="36"/>
          <w:highlight w:val="none"/>
        </w:rPr>
      </w:pPr>
      <w:bookmarkStart w:id="103" w:name="_Toc21314"/>
      <w:r>
        <w:rPr>
          <w:rFonts w:hint="eastAsia" w:ascii="宋体" w:eastAsia="宋体" w:cs="宋体"/>
          <w:bCs/>
          <w:sz w:val="36"/>
          <w:szCs w:val="36"/>
          <w:highlight w:val="none"/>
        </w:rPr>
        <w:t>第六章  投标文件构成及格式</w:t>
      </w:r>
      <w:bookmarkEnd w:id="95"/>
      <w:bookmarkEnd w:id="96"/>
      <w:bookmarkEnd w:id="97"/>
      <w:bookmarkEnd w:id="98"/>
      <w:bookmarkEnd w:id="99"/>
      <w:bookmarkEnd w:id="100"/>
      <w:bookmarkEnd w:id="103"/>
    </w:p>
    <w:p w14:paraId="7F674297">
      <w:pPr>
        <w:rPr>
          <w:rFonts w:hint="eastAsia" w:hAnsi="宋体" w:cs="宋体"/>
          <w:highlight w:val="none"/>
        </w:rPr>
      </w:pPr>
    </w:p>
    <w:p w14:paraId="377290F1">
      <w:pPr>
        <w:rPr>
          <w:rFonts w:hint="eastAsia" w:hAnsi="宋体" w:cs="宋体"/>
          <w:b/>
          <w:sz w:val="32"/>
          <w:szCs w:val="32"/>
          <w:highlight w:val="none"/>
        </w:rPr>
      </w:pPr>
      <w:r>
        <w:rPr>
          <w:rFonts w:hint="eastAsia" w:hAnsi="宋体" w:cs="宋体"/>
          <w:b/>
          <w:sz w:val="32"/>
          <w:szCs w:val="32"/>
          <w:highlight w:val="none"/>
        </w:rPr>
        <w:t>项目编号：SXZCZB2024-ZCGK-1224</w:t>
      </w:r>
    </w:p>
    <w:p w14:paraId="412F5195">
      <w:pPr>
        <w:jc w:val="right"/>
        <w:rPr>
          <w:rFonts w:hint="eastAsia" w:hAnsi="宋体" w:cs="宋体"/>
          <w:b/>
          <w:sz w:val="32"/>
          <w:szCs w:val="32"/>
          <w:highlight w:val="none"/>
        </w:rPr>
      </w:pPr>
      <w:r>
        <w:rPr>
          <w:rFonts w:hint="eastAsia" w:hAnsi="宋体" w:cs="宋体"/>
          <w:b/>
          <w:sz w:val="32"/>
          <w:szCs w:val="32"/>
          <w:highlight w:val="none"/>
        </w:rPr>
        <w:t>（正本或副本）</w:t>
      </w:r>
    </w:p>
    <w:p w14:paraId="4F598769">
      <w:pPr>
        <w:jc w:val="center"/>
        <w:rPr>
          <w:rFonts w:hint="eastAsia" w:hAnsi="宋体" w:cs="宋体"/>
          <w:b/>
          <w:sz w:val="36"/>
          <w:szCs w:val="36"/>
          <w:highlight w:val="none"/>
        </w:rPr>
      </w:pPr>
    </w:p>
    <w:p w14:paraId="38ACAF85">
      <w:pPr>
        <w:rPr>
          <w:rFonts w:hint="eastAsia" w:hAnsi="宋体" w:cs="宋体"/>
          <w:b/>
          <w:sz w:val="52"/>
          <w:szCs w:val="52"/>
          <w:highlight w:val="none"/>
        </w:rPr>
      </w:pPr>
    </w:p>
    <w:p w14:paraId="53D65C21">
      <w:pPr>
        <w:jc w:val="center"/>
        <w:rPr>
          <w:rFonts w:hint="eastAsia" w:hAnsi="宋体" w:cs="宋体"/>
          <w:b/>
          <w:sz w:val="44"/>
          <w:szCs w:val="44"/>
          <w:highlight w:val="none"/>
        </w:rPr>
      </w:pPr>
      <w:r>
        <w:rPr>
          <w:rFonts w:hint="eastAsia" w:hAnsi="宋体" w:cs="宋体"/>
          <w:b/>
          <w:sz w:val="52"/>
          <w:szCs w:val="52"/>
          <w:highlight w:val="none"/>
        </w:rPr>
        <w:t>心电网络及远程影像诊断中心采购项目</w:t>
      </w:r>
    </w:p>
    <w:p w14:paraId="61993D85">
      <w:pPr>
        <w:jc w:val="center"/>
        <w:rPr>
          <w:rFonts w:hint="eastAsia" w:hAnsi="宋体" w:cs="宋体"/>
          <w:b/>
          <w:sz w:val="48"/>
          <w:szCs w:val="48"/>
          <w:highlight w:val="none"/>
        </w:rPr>
      </w:pPr>
    </w:p>
    <w:p w14:paraId="4EDA07DC">
      <w:pPr>
        <w:rPr>
          <w:rFonts w:hint="eastAsia" w:hAnsi="宋体" w:cs="宋体"/>
          <w:b/>
          <w:sz w:val="48"/>
          <w:szCs w:val="48"/>
          <w:highlight w:val="none"/>
        </w:rPr>
      </w:pPr>
    </w:p>
    <w:p w14:paraId="1D6C5605">
      <w:pPr>
        <w:jc w:val="center"/>
        <w:rPr>
          <w:rFonts w:hint="eastAsia" w:hAnsi="宋体" w:cs="宋体"/>
          <w:b/>
          <w:sz w:val="72"/>
          <w:szCs w:val="72"/>
          <w:highlight w:val="none"/>
        </w:rPr>
      </w:pPr>
    </w:p>
    <w:p w14:paraId="602CC226">
      <w:pPr>
        <w:jc w:val="center"/>
        <w:rPr>
          <w:rFonts w:hint="eastAsia" w:hAnsi="宋体" w:cs="宋体"/>
          <w:b/>
          <w:sz w:val="72"/>
          <w:szCs w:val="72"/>
          <w:highlight w:val="none"/>
        </w:rPr>
      </w:pPr>
      <w:r>
        <w:rPr>
          <w:rFonts w:hint="eastAsia" w:hAnsi="宋体" w:cs="宋体"/>
          <w:b/>
          <w:sz w:val="72"/>
          <w:szCs w:val="72"/>
          <w:highlight w:val="none"/>
        </w:rPr>
        <w:t>投 标 文 件</w:t>
      </w:r>
    </w:p>
    <w:p w14:paraId="30211ED2">
      <w:pPr>
        <w:jc w:val="center"/>
        <w:rPr>
          <w:rFonts w:hint="eastAsia" w:hAnsi="宋体" w:cs="宋体"/>
          <w:b/>
          <w:sz w:val="36"/>
          <w:szCs w:val="36"/>
          <w:highlight w:val="none"/>
          <w:u w:val="single"/>
        </w:rPr>
      </w:pPr>
      <w:r>
        <w:rPr>
          <w:rFonts w:hint="eastAsia" w:hAnsi="宋体" w:cs="宋体"/>
          <w:b/>
          <w:sz w:val="36"/>
          <w:szCs w:val="36"/>
          <w:highlight w:val="none"/>
        </w:rPr>
        <w:t>合同包：</w:t>
      </w:r>
      <w:r>
        <w:rPr>
          <w:rFonts w:hint="eastAsia" w:hAnsi="宋体" w:cs="宋体"/>
          <w:b/>
          <w:sz w:val="36"/>
          <w:szCs w:val="36"/>
          <w:highlight w:val="none"/>
          <w:u w:val="single"/>
        </w:rPr>
        <w:t xml:space="preserve">   </w:t>
      </w:r>
    </w:p>
    <w:p w14:paraId="01A8312A">
      <w:pPr>
        <w:tabs>
          <w:tab w:val="center" w:pos="5346"/>
        </w:tabs>
        <w:spacing w:line="720" w:lineRule="auto"/>
        <w:jc w:val="center"/>
        <w:rPr>
          <w:rFonts w:hint="eastAsia" w:hAnsi="宋体" w:cs="宋体"/>
          <w:b/>
          <w:sz w:val="32"/>
          <w:szCs w:val="32"/>
          <w:highlight w:val="none"/>
        </w:rPr>
      </w:pPr>
    </w:p>
    <w:p w14:paraId="2C72C7B0">
      <w:pPr>
        <w:tabs>
          <w:tab w:val="center" w:pos="5346"/>
        </w:tabs>
        <w:spacing w:line="720" w:lineRule="auto"/>
        <w:jc w:val="center"/>
        <w:rPr>
          <w:rFonts w:hint="eastAsia" w:hAnsi="宋体" w:cs="宋体"/>
          <w:b/>
          <w:sz w:val="32"/>
          <w:szCs w:val="32"/>
          <w:highlight w:val="none"/>
        </w:rPr>
      </w:pPr>
      <w:r>
        <w:rPr>
          <w:rFonts w:hint="eastAsia" w:hAnsi="宋体" w:cs="宋体"/>
          <w:b/>
          <w:sz w:val="32"/>
          <w:szCs w:val="32"/>
          <w:highlight w:val="none"/>
        </w:rPr>
        <w:t>投标人名称（公章）</w:t>
      </w:r>
    </w:p>
    <w:p w14:paraId="4A6383F4">
      <w:pPr>
        <w:spacing w:line="720" w:lineRule="auto"/>
        <w:jc w:val="center"/>
        <w:rPr>
          <w:rFonts w:hint="eastAsia"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6"/>
          <w:szCs w:val="36"/>
          <w:highlight w:val="none"/>
        </w:rPr>
        <w:br w:type="page"/>
      </w:r>
      <w:bookmarkStart w:id="104" w:name="_Toc23267"/>
      <w:bookmarkStart w:id="105" w:name="_Toc403077647"/>
      <w:bookmarkStart w:id="106" w:name="_Toc22537"/>
      <w:bookmarkStart w:id="107" w:name="_Toc426457699"/>
      <w:bookmarkStart w:id="108" w:name="_Toc17702"/>
      <w:bookmarkStart w:id="109" w:name="_Toc363474026"/>
      <w:bookmarkStart w:id="110" w:name="_Toc30983"/>
      <w:bookmarkStart w:id="111" w:name="_Toc23850"/>
      <w:r>
        <w:rPr>
          <w:rFonts w:hint="eastAsia" w:hAnsi="宋体" w:cs="宋体"/>
          <w:sz w:val="32"/>
          <w:szCs w:val="32"/>
          <w:highlight w:val="none"/>
        </w:rPr>
        <w:t>目    录</w:t>
      </w:r>
      <w:bookmarkEnd w:id="104"/>
      <w:bookmarkEnd w:id="105"/>
      <w:bookmarkEnd w:id="106"/>
      <w:bookmarkEnd w:id="107"/>
      <w:bookmarkEnd w:id="108"/>
      <w:bookmarkEnd w:id="109"/>
      <w:bookmarkEnd w:id="110"/>
      <w:bookmarkEnd w:id="111"/>
    </w:p>
    <w:p w14:paraId="66CA04E3">
      <w:pPr>
        <w:rPr>
          <w:rFonts w:hint="eastAsia" w:hAnsi="宋体" w:cs="宋体"/>
          <w:highlight w:val="none"/>
        </w:rPr>
      </w:pPr>
    </w:p>
    <w:p w14:paraId="6F2A6782">
      <w:pPr>
        <w:numPr>
          <w:ilvl w:val="0"/>
          <w:numId w:val="10"/>
        </w:numPr>
        <w:tabs>
          <w:tab w:val="left" w:pos="1418"/>
        </w:tabs>
        <w:spacing w:line="720" w:lineRule="auto"/>
        <w:ind w:left="831"/>
        <w:rPr>
          <w:rFonts w:hint="eastAsia" w:hAnsi="宋体" w:cs="宋体"/>
          <w:spacing w:val="4"/>
          <w:szCs w:val="24"/>
          <w:highlight w:val="none"/>
        </w:rPr>
      </w:pPr>
      <w:r>
        <w:rPr>
          <w:rFonts w:hint="eastAsia" w:hAnsi="宋体" w:cs="宋体"/>
          <w:spacing w:val="4"/>
          <w:szCs w:val="24"/>
          <w:highlight w:val="none"/>
        </w:rPr>
        <w:t>投标函</w:t>
      </w:r>
    </w:p>
    <w:p w14:paraId="48D1C769">
      <w:pPr>
        <w:numPr>
          <w:ilvl w:val="0"/>
          <w:numId w:val="10"/>
        </w:numPr>
        <w:tabs>
          <w:tab w:val="left" w:pos="1418"/>
        </w:tabs>
        <w:spacing w:line="720" w:lineRule="auto"/>
        <w:ind w:left="831"/>
        <w:rPr>
          <w:rFonts w:hint="eastAsia" w:hAnsi="宋体" w:cs="宋体"/>
          <w:spacing w:val="4"/>
          <w:szCs w:val="24"/>
          <w:highlight w:val="none"/>
        </w:rPr>
      </w:pPr>
      <w:r>
        <w:rPr>
          <w:rFonts w:hint="eastAsia" w:hAnsi="宋体" w:cs="宋体"/>
          <w:spacing w:val="4"/>
          <w:szCs w:val="24"/>
          <w:highlight w:val="none"/>
        </w:rPr>
        <w:t>投标报价表</w:t>
      </w:r>
    </w:p>
    <w:p w14:paraId="32DBD140">
      <w:pPr>
        <w:numPr>
          <w:ilvl w:val="0"/>
          <w:numId w:val="10"/>
        </w:numPr>
        <w:tabs>
          <w:tab w:val="left" w:pos="1418"/>
        </w:tabs>
        <w:spacing w:line="720" w:lineRule="auto"/>
        <w:ind w:left="831"/>
        <w:rPr>
          <w:rFonts w:hint="eastAsia" w:hAnsi="宋体" w:cs="宋体"/>
          <w:spacing w:val="4"/>
          <w:szCs w:val="24"/>
          <w:highlight w:val="none"/>
        </w:rPr>
      </w:pPr>
      <w:r>
        <w:rPr>
          <w:rFonts w:hint="eastAsia" w:hAnsi="宋体" w:cs="宋体"/>
          <w:szCs w:val="24"/>
          <w:highlight w:val="none"/>
        </w:rPr>
        <w:t>投标方案说明书</w:t>
      </w:r>
    </w:p>
    <w:p w14:paraId="35F75061">
      <w:pPr>
        <w:numPr>
          <w:ilvl w:val="0"/>
          <w:numId w:val="10"/>
        </w:numPr>
        <w:tabs>
          <w:tab w:val="left" w:pos="1418"/>
        </w:tabs>
        <w:spacing w:line="720" w:lineRule="auto"/>
        <w:ind w:left="831"/>
        <w:rPr>
          <w:rFonts w:hint="eastAsia" w:hAnsi="宋体" w:cs="宋体"/>
          <w:spacing w:val="4"/>
          <w:szCs w:val="24"/>
          <w:highlight w:val="none"/>
        </w:rPr>
      </w:pPr>
      <w:r>
        <w:rPr>
          <w:rFonts w:hint="eastAsia" w:hAnsi="宋体" w:cs="宋体"/>
          <w:szCs w:val="24"/>
          <w:highlight w:val="none"/>
        </w:rPr>
        <w:t>商务条款偏离表</w:t>
      </w:r>
    </w:p>
    <w:p w14:paraId="6BD361B1">
      <w:pPr>
        <w:numPr>
          <w:ilvl w:val="0"/>
          <w:numId w:val="10"/>
        </w:numPr>
        <w:tabs>
          <w:tab w:val="left" w:pos="1418"/>
        </w:tabs>
        <w:spacing w:line="720" w:lineRule="auto"/>
        <w:ind w:left="831"/>
        <w:rPr>
          <w:rFonts w:hint="eastAsia" w:hAnsi="宋体" w:cs="宋体"/>
          <w:spacing w:val="4"/>
          <w:szCs w:val="24"/>
          <w:highlight w:val="none"/>
        </w:rPr>
      </w:pPr>
      <w:r>
        <w:rPr>
          <w:rFonts w:hint="eastAsia" w:hAnsi="宋体" w:cs="宋体"/>
          <w:spacing w:val="4"/>
          <w:szCs w:val="24"/>
          <w:highlight w:val="none"/>
        </w:rPr>
        <w:t>陕西省政府采购供应商拒绝政府采购领域商业贿赂承诺书</w:t>
      </w:r>
    </w:p>
    <w:p w14:paraId="2757B5F1">
      <w:pPr>
        <w:numPr>
          <w:ilvl w:val="0"/>
          <w:numId w:val="10"/>
        </w:numPr>
        <w:tabs>
          <w:tab w:val="left" w:pos="1418"/>
        </w:tabs>
        <w:spacing w:line="720" w:lineRule="auto"/>
        <w:ind w:left="831"/>
        <w:rPr>
          <w:rFonts w:hint="eastAsia" w:hAnsi="宋体" w:cs="宋体"/>
          <w:szCs w:val="24"/>
          <w:highlight w:val="none"/>
        </w:rPr>
      </w:pPr>
      <w:r>
        <w:rPr>
          <w:rFonts w:hint="eastAsia" w:hAnsi="宋体" w:cs="宋体"/>
          <w:szCs w:val="24"/>
          <w:highlight w:val="none"/>
        </w:rPr>
        <w:t>资格证明文件</w:t>
      </w:r>
    </w:p>
    <w:p w14:paraId="6AEBB517">
      <w:pPr>
        <w:numPr>
          <w:ilvl w:val="0"/>
          <w:numId w:val="10"/>
        </w:numPr>
        <w:tabs>
          <w:tab w:val="left" w:pos="1418"/>
        </w:tabs>
        <w:spacing w:line="720" w:lineRule="auto"/>
        <w:ind w:left="831"/>
        <w:rPr>
          <w:rFonts w:hint="eastAsia" w:hAnsi="宋体" w:cs="宋体"/>
          <w:szCs w:val="24"/>
          <w:highlight w:val="none"/>
        </w:rPr>
      </w:pPr>
      <w:r>
        <w:rPr>
          <w:rFonts w:hint="eastAsia" w:hAnsi="宋体" w:cs="宋体"/>
          <w:szCs w:val="24"/>
          <w:highlight w:val="none"/>
        </w:rPr>
        <w:t>其他</w:t>
      </w:r>
    </w:p>
    <w:p w14:paraId="6F8F2BB0">
      <w:pPr>
        <w:spacing w:line="480" w:lineRule="auto"/>
        <w:ind w:left="105"/>
        <w:rPr>
          <w:rFonts w:hint="eastAsia" w:hAnsi="宋体" w:cs="宋体"/>
          <w:spacing w:val="4"/>
          <w:szCs w:val="24"/>
          <w:highlight w:val="none"/>
        </w:rPr>
      </w:pPr>
    </w:p>
    <w:p w14:paraId="628BF459">
      <w:pPr>
        <w:pStyle w:val="4"/>
        <w:spacing w:before="333" w:beforeLines="100"/>
        <w:rPr>
          <w:rFonts w:hint="eastAsia" w:ascii="宋体" w:hAnsi="宋体" w:cs="宋体"/>
          <w:sz w:val="32"/>
          <w:szCs w:val="32"/>
          <w:highlight w:val="none"/>
        </w:rPr>
      </w:pPr>
      <w:r>
        <w:rPr>
          <w:rFonts w:hint="eastAsia" w:ascii="宋体" w:hAnsi="宋体" w:cs="宋体"/>
          <w:sz w:val="28"/>
          <w:highlight w:val="none"/>
        </w:rPr>
        <w:br w:type="page"/>
      </w:r>
      <w:bookmarkStart w:id="112" w:name="_Toc403077648"/>
      <w:bookmarkStart w:id="113" w:name="_Toc363474027"/>
      <w:bookmarkStart w:id="114" w:name="_Toc5908"/>
      <w:bookmarkStart w:id="115" w:name="_Toc426457700"/>
      <w:bookmarkStart w:id="116" w:name="_Toc28404"/>
      <w:bookmarkStart w:id="117" w:name="_Toc22682"/>
      <w:bookmarkStart w:id="118" w:name="_Toc6397"/>
      <w:bookmarkStart w:id="119" w:name="_Toc24564"/>
      <w:bookmarkStart w:id="120" w:name="_Toc26301"/>
      <w:bookmarkStart w:id="121" w:name="_Toc20960"/>
      <w:bookmarkStart w:id="122" w:name="_Toc24231"/>
      <w:bookmarkStart w:id="123" w:name="_Toc23702"/>
      <w:bookmarkStart w:id="124" w:name="_Toc14057"/>
      <w:bookmarkStart w:id="125" w:name="_Toc4930"/>
      <w:r>
        <w:rPr>
          <w:rFonts w:hint="eastAsia" w:ascii="宋体" w:hAnsi="宋体" w:cs="宋体"/>
          <w:sz w:val="32"/>
          <w:szCs w:val="32"/>
          <w:highlight w:val="none"/>
        </w:rPr>
        <w:t>一、投标</w:t>
      </w:r>
      <w:bookmarkEnd w:id="112"/>
      <w:bookmarkEnd w:id="113"/>
      <w:r>
        <w:rPr>
          <w:rFonts w:hint="eastAsia" w:ascii="宋体" w:hAnsi="宋体" w:cs="宋体"/>
          <w:sz w:val="32"/>
          <w:szCs w:val="32"/>
          <w:highlight w:val="none"/>
        </w:rPr>
        <w:t>函</w:t>
      </w:r>
      <w:bookmarkEnd w:id="114"/>
      <w:bookmarkEnd w:id="115"/>
      <w:bookmarkEnd w:id="116"/>
      <w:bookmarkEnd w:id="117"/>
      <w:bookmarkEnd w:id="118"/>
      <w:bookmarkEnd w:id="119"/>
      <w:bookmarkEnd w:id="120"/>
      <w:bookmarkEnd w:id="121"/>
      <w:bookmarkEnd w:id="122"/>
      <w:bookmarkEnd w:id="123"/>
      <w:bookmarkEnd w:id="124"/>
      <w:bookmarkEnd w:id="125"/>
    </w:p>
    <w:p w14:paraId="2E29EC73">
      <w:pPr>
        <w:rPr>
          <w:rFonts w:hint="eastAsia" w:hAnsi="宋体" w:cs="宋体"/>
          <w:highlight w:val="none"/>
        </w:rPr>
      </w:pPr>
    </w:p>
    <w:p w14:paraId="1960C3C2">
      <w:pPr>
        <w:spacing w:line="500" w:lineRule="exact"/>
        <w:jc w:val="left"/>
        <w:rPr>
          <w:rFonts w:hint="eastAsia" w:hAnsi="宋体" w:cs="宋体"/>
          <w:spacing w:val="4"/>
          <w:szCs w:val="24"/>
          <w:highlight w:val="none"/>
          <w:u w:val="single"/>
        </w:rPr>
      </w:pPr>
      <w:r>
        <w:rPr>
          <w:rFonts w:hint="eastAsia" w:hAnsi="宋体" w:cs="宋体"/>
          <w:b/>
          <w:spacing w:val="4"/>
          <w:szCs w:val="24"/>
          <w:highlight w:val="none"/>
        </w:rPr>
        <w:t>致</w:t>
      </w:r>
      <w:r>
        <w:rPr>
          <w:rFonts w:hint="eastAsia" w:hAnsi="宋体" w:cs="宋体"/>
          <w:b/>
          <w:spacing w:val="4"/>
          <w:szCs w:val="24"/>
          <w:highlight w:val="none"/>
          <w:u w:val="single"/>
        </w:rPr>
        <w:t>：陕西至诚项目管理集团有限公司</w:t>
      </w:r>
    </w:p>
    <w:p w14:paraId="3042A3FF">
      <w:pPr>
        <w:spacing w:line="500" w:lineRule="exact"/>
        <w:ind w:firstLine="496" w:firstLineChars="200"/>
        <w:rPr>
          <w:rFonts w:hint="eastAsia" w:hAnsi="宋体" w:cs="宋体"/>
          <w:spacing w:val="4"/>
          <w:highlight w:val="none"/>
        </w:rPr>
      </w:pPr>
      <w:r>
        <w:rPr>
          <w:rFonts w:hint="eastAsia" w:hAnsi="宋体" w:cs="宋体"/>
          <w:spacing w:val="4"/>
          <w:highlight w:val="none"/>
        </w:rPr>
        <w:t>根据贵方“</w:t>
      </w:r>
      <w:r>
        <w:rPr>
          <w:rFonts w:hint="eastAsia" w:hAnsi="宋体" w:cs="宋体"/>
          <w:spacing w:val="4"/>
          <w:highlight w:val="none"/>
          <w:u w:val="single"/>
        </w:rPr>
        <w:t xml:space="preserve">                      </w:t>
      </w:r>
      <w:r>
        <w:rPr>
          <w:rFonts w:hint="eastAsia" w:hAnsi="宋体" w:cs="宋体"/>
          <w:spacing w:val="4"/>
          <w:highlight w:val="none"/>
        </w:rPr>
        <w:t>”项目的投标邀请</w:t>
      </w:r>
      <w:r>
        <w:rPr>
          <w:rFonts w:hint="eastAsia" w:hAnsi="宋体" w:cs="宋体"/>
          <w:spacing w:val="4"/>
          <w:highlight w:val="none"/>
          <w:u w:val="single"/>
        </w:rPr>
        <w:t>(编号：  合同包：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经正式授权并代表供应商</w:t>
      </w:r>
      <w:r>
        <w:rPr>
          <w:rFonts w:hint="eastAsia" w:hAnsi="宋体" w:cs="宋体"/>
          <w:spacing w:val="4"/>
          <w:highlight w:val="none"/>
          <w:u w:val="single"/>
        </w:rPr>
        <w:t>(供应商名称、地址)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2 </w:t>
      </w:r>
      <w:r>
        <w:rPr>
          <w:rFonts w:hint="eastAsia" w:hAnsi="宋体" w:cs="宋体"/>
          <w:spacing w:val="4"/>
          <w:highlight w:val="none"/>
        </w:rPr>
        <w:t>份、电子版</w:t>
      </w:r>
      <w:r>
        <w:rPr>
          <w:rFonts w:hint="eastAsia" w:hAnsi="宋体" w:cs="宋体"/>
          <w:spacing w:val="4"/>
          <w:highlight w:val="none"/>
          <w:u w:val="single"/>
        </w:rPr>
        <w:t xml:space="preserve">  1  </w:t>
      </w:r>
      <w:r>
        <w:rPr>
          <w:rFonts w:hint="eastAsia" w:hAnsi="宋体" w:cs="宋体"/>
          <w:spacing w:val="4"/>
          <w:highlight w:val="none"/>
        </w:rPr>
        <w:t>份、开标一览表</w:t>
      </w:r>
      <w:r>
        <w:rPr>
          <w:rFonts w:hint="eastAsia" w:hAnsi="宋体" w:cs="宋体"/>
          <w:spacing w:val="4"/>
          <w:highlight w:val="none"/>
          <w:u w:val="single"/>
        </w:rPr>
        <w:t xml:space="preserve">  1 </w:t>
      </w:r>
      <w:r>
        <w:rPr>
          <w:rFonts w:hint="eastAsia" w:hAnsi="宋体" w:cs="宋体"/>
          <w:spacing w:val="4"/>
          <w:highlight w:val="none"/>
        </w:rPr>
        <w:t>份。</w:t>
      </w:r>
    </w:p>
    <w:p w14:paraId="079A4229">
      <w:pPr>
        <w:spacing w:line="500" w:lineRule="exact"/>
        <w:ind w:left="624" w:leftChars="251" w:hanging="22" w:hangingChars="9"/>
        <w:jc w:val="left"/>
        <w:rPr>
          <w:rFonts w:hint="eastAsia" w:hAnsi="宋体" w:cs="宋体"/>
          <w:spacing w:val="4"/>
          <w:highlight w:val="none"/>
        </w:rPr>
      </w:pPr>
      <w:r>
        <w:rPr>
          <w:rFonts w:hint="eastAsia" w:hAnsi="宋体" w:cs="宋体"/>
          <w:spacing w:val="4"/>
          <w:highlight w:val="none"/>
        </w:rPr>
        <w:t>我方承诺如下：</w:t>
      </w:r>
    </w:p>
    <w:p w14:paraId="43E8CE2D">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投标报价为小写：</w:t>
      </w:r>
      <w:r>
        <w:rPr>
          <w:rFonts w:hint="eastAsia" w:hAnsi="宋体" w:cs="宋体"/>
          <w:spacing w:val="4"/>
          <w:szCs w:val="24"/>
          <w:highlight w:val="none"/>
          <w:u w:val="single"/>
        </w:rPr>
        <w:t xml:space="preserve">         </w:t>
      </w:r>
      <w:r>
        <w:rPr>
          <w:rFonts w:hint="eastAsia" w:hAnsi="宋体" w:cs="宋体"/>
          <w:spacing w:val="4"/>
          <w:szCs w:val="24"/>
          <w:highlight w:val="none"/>
        </w:rPr>
        <w:t>（大写：</w:t>
      </w:r>
      <w:r>
        <w:rPr>
          <w:rFonts w:hint="eastAsia" w:hAnsi="宋体" w:cs="宋体"/>
          <w:spacing w:val="4"/>
          <w:szCs w:val="24"/>
          <w:highlight w:val="none"/>
          <w:u w:val="single"/>
        </w:rPr>
        <w:t xml:space="preserve">         </w:t>
      </w:r>
      <w:r>
        <w:rPr>
          <w:rFonts w:hint="eastAsia" w:hAnsi="宋体" w:cs="宋体"/>
          <w:spacing w:val="4"/>
          <w:szCs w:val="24"/>
          <w:highlight w:val="none"/>
        </w:rPr>
        <w:t>）。</w:t>
      </w:r>
    </w:p>
    <w:p w14:paraId="553A5F6D">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如果中标，我们根据招标文件的规定，履行合同的责任和义务。</w:t>
      </w:r>
    </w:p>
    <w:p w14:paraId="3B6BB296">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我们已详细阅读和审核全部招标文件（含修改部分，如有的话）及有关附件，我们知道必须放弃提出含糊不清或误解的问题的权利。</w:t>
      </w:r>
    </w:p>
    <w:p w14:paraId="2DAF041A">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我们同意在投标有效期内（</w:t>
      </w:r>
      <w:r>
        <w:rPr>
          <w:rFonts w:hint="eastAsia" w:hAnsi="宋体" w:cs="宋体"/>
          <w:spacing w:val="4"/>
          <w:szCs w:val="24"/>
          <w:highlight w:val="none"/>
          <w:u w:val="single"/>
        </w:rPr>
        <w:t>自开标之日起90天</w:t>
      </w:r>
      <w:r>
        <w:rPr>
          <w:rFonts w:hint="eastAsia" w:hAnsi="宋体" w:cs="宋体"/>
          <w:spacing w:val="4"/>
          <w:szCs w:val="24"/>
          <w:highlight w:val="none"/>
        </w:rPr>
        <w:t>），本投标函对我方具有约束力。</w:t>
      </w:r>
    </w:p>
    <w:p w14:paraId="2E3D2A98">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同意提供贵方可能另外要求的与本投标有关的任何证据和资料。</w:t>
      </w:r>
    </w:p>
    <w:p w14:paraId="7B97D831">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我们同意，如果中标，向陕西至诚项目管理集团有限公司交纳招标代理服务费。</w:t>
      </w:r>
    </w:p>
    <w:p w14:paraId="0B4DBAE0">
      <w:pPr>
        <w:numPr>
          <w:ilvl w:val="0"/>
          <w:numId w:val="11"/>
        </w:numPr>
        <w:tabs>
          <w:tab w:val="left" w:pos="2160"/>
        </w:tabs>
        <w:spacing w:line="500" w:lineRule="exact"/>
        <w:ind w:left="0" w:firstLine="0"/>
        <w:jc w:val="left"/>
        <w:rPr>
          <w:rFonts w:hint="eastAsia" w:hAnsi="宋体" w:cs="宋体"/>
          <w:spacing w:val="4"/>
          <w:szCs w:val="24"/>
          <w:highlight w:val="none"/>
        </w:rPr>
      </w:pPr>
      <w:r>
        <w:rPr>
          <w:rFonts w:hint="eastAsia" w:hAnsi="宋体" w:cs="宋体"/>
          <w:spacing w:val="4"/>
          <w:szCs w:val="24"/>
          <w:highlight w:val="none"/>
        </w:rPr>
        <w:t>与本投标有关的一切正式往来通讯为：</w:t>
      </w:r>
    </w:p>
    <w:p w14:paraId="4006EC95">
      <w:pPr>
        <w:spacing w:line="500" w:lineRule="exact"/>
        <w:ind w:firstLine="1240" w:firstLineChars="500"/>
        <w:jc w:val="left"/>
        <w:rPr>
          <w:rFonts w:hint="eastAsia" w:hAnsi="宋体" w:cs="宋体"/>
          <w:spacing w:val="4"/>
          <w:highlight w:val="none"/>
        </w:rPr>
      </w:pPr>
      <w:r>
        <w:rPr>
          <w:rFonts w:hint="eastAsia" w:hAnsi="宋体" w:cs="宋体"/>
          <w:spacing w:val="4"/>
          <w:highlight w:val="none"/>
        </w:rPr>
        <w:t>联系地址：</w:t>
      </w:r>
    </w:p>
    <w:p w14:paraId="64AED55C">
      <w:pPr>
        <w:spacing w:line="500" w:lineRule="exact"/>
        <w:ind w:firstLine="1240" w:firstLineChars="500"/>
        <w:jc w:val="left"/>
        <w:rPr>
          <w:rFonts w:hint="eastAsia" w:hAnsi="宋体" w:cs="宋体"/>
          <w:spacing w:val="4"/>
          <w:highlight w:val="none"/>
        </w:rPr>
      </w:pPr>
      <w:r>
        <w:rPr>
          <w:rFonts w:hint="eastAsia" w:hAnsi="宋体" w:cs="宋体"/>
          <w:spacing w:val="4"/>
          <w:highlight w:val="none"/>
        </w:rPr>
        <w:t>邮政编码：</w:t>
      </w:r>
    </w:p>
    <w:p w14:paraId="223C2455">
      <w:pPr>
        <w:spacing w:line="500" w:lineRule="exact"/>
        <w:ind w:firstLine="1240" w:firstLineChars="500"/>
        <w:jc w:val="left"/>
        <w:rPr>
          <w:rFonts w:hint="eastAsia" w:hAnsi="宋体" w:cs="宋体"/>
          <w:spacing w:val="4"/>
          <w:highlight w:val="none"/>
        </w:rPr>
      </w:pPr>
      <w:r>
        <w:rPr>
          <w:rFonts w:hint="eastAsia" w:hAnsi="宋体" w:cs="宋体"/>
          <w:spacing w:val="4"/>
          <w:highlight w:val="none"/>
        </w:rPr>
        <w:t>电    话：</w:t>
      </w:r>
    </w:p>
    <w:p w14:paraId="784A98A8">
      <w:pPr>
        <w:spacing w:line="500" w:lineRule="exact"/>
        <w:ind w:firstLine="1240" w:firstLineChars="500"/>
        <w:jc w:val="left"/>
        <w:rPr>
          <w:rFonts w:hint="eastAsia" w:hAnsi="宋体" w:cs="宋体"/>
          <w:spacing w:val="4"/>
          <w:highlight w:val="none"/>
        </w:rPr>
      </w:pPr>
      <w:r>
        <w:rPr>
          <w:rFonts w:hint="eastAsia" w:hAnsi="宋体" w:cs="宋体"/>
          <w:spacing w:val="4"/>
          <w:highlight w:val="none"/>
        </w:rPr>
        <w:t>传    真：</w:t>
      </w:r>
    </w:p>
    <w:p w14:paraId="60CF65AE">
      <w:pPr>
        <w:spacing w:line="500" w:lineRule="exact"/>
        <w:ind w:firstLine="1240" w:firstLineChars="500"/>
        <w:jc w:val="left"/>
        <w:rPr>
          <w:rFonts w:hint="eastAsia" w:hAnsi="宋体" w:cs="宋体"/>
          <w:spacing w:val="4"/>
          <w:highlight w:val="none"/>
        </w:rPr>
      </w:pPr>
      <w:r>
        <w:rPr>
          <w:rFonts w:hint="eastAsia" w:hAnsi="宋体" w:cs="宋体"/>
          <w:spacing w:val="4"/>
          <w:highlight w:val="none"/>
        </w:rPr>
        <w:t>供应商名称（盖章）：</w:t>
      </w:r>
    </w:p>
    <w:p w14:paraId="0F7CBFC5">
      <w:pPr>
        <w:spacing w:line="500" w:lineRule="exact"/>
        <w:ind w:firstLine="1200" w:firstLineChars="500"/>
        <w:jc w:val="left"/>
        <w:rPr>
          <w:rFonts w:hint="eastAsia" w:hAnsi="宋体" w:cs="宋体"/>
          <w:spacing w:val="4"/>
          <w:highlight w:val="none"/>
        </w:rPr>
      </w:pPr>
      <w:r>
        <w:rPr>
          <w:rFonts w:hint="eastAsia" w:hAnsi="宋体" w:cs="宋体"/>
          <w:highlight w:val="none"/>
        </w:rPr>
        <w:t>法定代表人或</w:t>
      </w:r>
      <w:r>
        <w:rPr>
          <w:rFonts w:hint="eastAsia" w:hAnsi="宋体" w:cs="宋体"/>
          <w:szCs w:val="24"/>
          <w:highlight w:val="none"/>
        </w:rPr>
        <w:t>被授权人签字或盖章</w:t>
      </w:r>
      <w:r>
        <w:rPr>
          <w:rFonts w:hint="eastAsia" w:hAnsi="宋体" w:cs="宋体"/>
          <w:spacing w:val="4"/>
          <w:highlight w:val="none"/>
        </w:rPr>
        <w:t>：</w:t>
      </w:r>
    </w:p>
    <w:p w14:paraId="3FD5B033">
      <w:pPr>
        <w:spacing w:line="500" w:lineRule="exact"/>
        <w:ind w:firstLine="1240" w:firstLineChars="500"/>
        <w:jc w:val="left"/>
        <w:rPr>
          <w:rFonts w:hint="eastAsia" w:hAnsi="宋体" w:cs="宋体"/>
          <w:spacing w:val="4"/>
          <w:highlight w:val="none"/>
        </w:rPr>
      </w:pPr>
      <w:r>
        <w:rPr>
          <w:rFonts w:hint="eastAsia" w:hAnsi="宋体" w:cs="宋体"/>
          <w:spacing w:val="4"/>
          <w:highlight w:val="none"/>
        </w:rPr>
        <w:t>日    期：</w:t>
      </w:r>
    </w:p>
    <w:p w14:paraId="03D560E2">
      <w:pPr>
        <w:spacing w:before="333" w:beforeLines="100"/>
        <w:jc w:val="center"/>
        <w:outlineLvl w:val="2"/>
        <w:rPr>
          <w:rFonts w:hint="eastAsia" w:hAnsi="宋体" w:cs="宋体"/>
          <w:b/>
          <w:bCs/>
          <w:sz w:val="32"/>
          <w:szCs w:val="32"/>
          <w:highlight w:val="none"/>
        </w:rPr>
      </w:pPr>
      <w:r>
        <w:rPr>
          <w:rFonts w:hint="eastAsia" w:hAnsi="宋体" w:cs="宋体"/>
          <w:sz w:val="28"/>
          <w:highlight w:val="none"/>
        </w:rPr>
        <w:br w:type="page"/>
      </w:r>
      <w:bookmarkStart w:id="126" w:name="_Toc29025"/>
      <w:bookmarkStart w:id="127" w:name="_Toc4332"/>
      <w:bookmarkStart w:id="128" w:name="_Toc21319"/>
      <w:bookmarkStart w:id="129" w:name="_Toc17802"/>
      <w:bookmarkStart w:id="130" w:name="_Toc426457703"/>
      <w:bookmarkStart w:id="131" w:name="_Toc25217"/>
      <w:bookmarkStart w:id="132" w:name="_Toc13665"/>
      <w:bookmarkStart w:id="133" w:name="_Toc19867"/>
      <w:bookmarkStart w:id="134" w:name="_Toc363474030"/>
      <w:bookmarkStart w:id="135" w:name="_Toc2675"/>
      <w:bookmarkStart w:id="136" w:name="_Toc403077651"/>
      <w:bookmarkStart w:id="137" w:name="_Toc19026"/>
      <w:bookmarkStart w:id="138" w:name="_Toc26697"/>
      <w:bookmarkStart w:id="139" w:name="_Toc27599"/>
      <w:r>
        <w:rPr>
          <w:rFonts w:hint="eastAsia" w:hAnsi="宋体" w:cs="宋体"/>
          <w:b/>
          <w:bCs/>
          <w:sz w:val="32"/>
          <w:szCs w:val="32"/>
          <w:highlight w:val="none"/>
        </w:rPr>
        <w:t>二、投标报价表</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BF2751A">
      <w:pPr>
        <w:jc w:val="center"/>
        <w:rPr>
          <w:rFonts w:hint="eastAsia" w:hAnsi="宋体" w:cs="宋体"/>
          <w:b/>
          <w:sz w:val="30"/>
          <w:szCs w:val="30"/>
          <w:highlight w:val="none"/>
        </w:rPr>
      </w:pPr>
      <w:r>
        <w:rPr>
          <w:rFonts w:hint="eastAsia" w:hAnsi="宋体" w:cs="宋体"/>
          <w:b/>
          <w:sz w:val="30"/>
          <w:szCs w:val="30"/>
          <w:highlight w:val="none"/>
        </w:rPr>
        <w:t>2.1开标一览表</w:t>
      </w:r>
    </w:p>
    <w:p w14:paraId="0F83265D">
      <w:pPr>
        <w:jc w:val="left"/>
        <w:rPr>
          <w:rFonts w:hint="eastAsia" w:hAnsi="宋体" w:cs="宋体"/>
          <w:bCs/>
          <w:szCs w:val="24"/>
          <w:highlight w:val="none"/>
        </w:rPr>
      </w:pPr>
      <w:r>
        <w:rPr>
          <w:rFonts w:hint="eastAsia" w:hAnsi="宋体" w:cs="宋体"/>
          <w:bCs/>
          <w:szCs w:val="24"/>
          <w:highlight w:val="none"/>
        </w:rPr>
        <w:t>项目名称：</w:t>
      </w:r>
    </w:p>
    <w:p w14:paraId="35636EF0">
      <w:pPr>
        <w:jc w:val="left"/>
        <w:rPr>
          <w:rFonts w:hint="eastAsia" w:hAnsi="宋体" w:cs="宋体"/>
          <w:bCs/>
          <w:szCs w:val="24"/>
          <w:highlight w:val="none"/>
          <w:u w:val="single"/>
        </w:rPr>
      </w:pPr>
      <w:r>
        <w:rPr>
          <w:rFonts w:hint="eastAsia" w:hAnsi="宋体" w:cs="宋体"/>
          <w:bCs/>
          <w:szCs w:val="24"/>
          <w:highlight w:val="none"/>
        </w:rPr>
        <w:t>项目编号：合同包：</w:t>
      </w:r>
      <w:r>
        <w:rPr>
          <w:rFonts w:hint="eastAsia" w:hAnsi="宋体" w:cs="宋体"/>
          <w:bCs/>
          <w:szCs w:val="24"/>
          <w:highlight w:val="none"/>
          <w:u w:val="single"/>
        </w:rPr>
        <w:t xml:space="preserve">   </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3133"/>
        <w:gridCol w:w="1852"/>
        <w:gridCol w:w="1863"/>
      </w:tblGrid>
      <w:tr w14:paraId="6177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311" w:type="pct"/>
            <w:vAlign w:val="center"/>
          </w:tcPr>
          <w:p w14:paraId="42A3CD05">
            <w:pPr>
              <w:jc w:val="center"/>
              <w:rPr>
                <w:rFonts w:hint="eastAsia" w:hAnsi="宋体" w:cs="宋体"/>
                <w:szCs w:val="24"/>
                <w:highlight w:val="none"/>
              </w:rPr>
            </w:pPr>
            <w:r>
              <w:rPr>
                <w:rFonts w:hint="eastAsia" w:hAnsi="宋体" w:cs="宋体"/>
                <w:szCs w:val="24"/>
                <w:highlight w:val="none"/>
              </w:rPr>
              <w:t>投标报价</w:t>
            </w:r>
          </w:p>
          <w:p w14:paraId="20FD1EDF">
            <w:pPr>
              <w:jc w:val="center"/>
              <w:rPr>
                <w:rFonts w:hint="eastAsia" w:hAnsi="宋体" w:cs="宋体"/>
                <w:szCs w:val="24"/>
                <w:highlight w:val="none"/>
              </w:rPr>
            </w:pPr>
            <w:r>
              <w:rPr>
                <w:rFonts w:hint="eastAsia" w:hAnsi="宋体" w:cs="宋体"/>
                <w:szCs w:val="24"/>
                <w:highlight w:val="none"/>
              </w:rPr>
              <w:t>（元）</w:t>
            </w:r>
          </w:p>
        </w:tc>
        <w:tc>
          <w:tcPr>
            <w:tcW w:w="1688" w:type="pct"/>
            <w:vAlign w:val="center"/>
          </w:tcPr>
          <w:p w14:paraId="299613A0">
            <w:pPr>
              <w:jc w:val="center"/>
              <w:rPr>
                <w:rFonts w:hint="eastAsia" w:hAnsi="宋体"/>
                <w:szCs w:val="24"/>
                <w:highlight w:val="none"/>
              </w:rPr>
            </w:pPr>
            <w:r>
              <w:rPr>
                <w:rFonts w:hint="eastAsia" w:hAnsi="宋体"/>
                <w:szCs w:val="24"/>
                <w:highlight w:val="none"/>
              </w:rPr>
              <w:t>交货期</w:t>
            </w:r>
          </w:p>
          <w:p w14:paraId="7D7BA6F4">
            <w:pPr>
              <w:jc w:val="center"/>
              <w:rPr>
                <w:rFonts w:hint="eastAsia" w:hAnsi="宋体" w:cs="宋体"/>
                <w:szCs w:val="24"/>
                <w:highlight w:val="none"/>
              </w:rPr>
            </w:pPr>
            <w:r>
              <w:rPr>
                <w:rFonts w:hint="eastAsia" w:hAnsi="宋体"/>
                <w:szCs w:val="24"/>
                <w:highlight w:val="none"/>
              </w:rPr>
              <w:t>（日历日）</w:t>
            </w:r>
          </w:p>
        </w:tc>
        <w:tc>
          <w:tcPr>
            <w:tcW w:w="998" w:type="pct"/>
            <w:vAlign w:val="center"/>
          </w:tcPr>
          <w:p w14:paraId="0BC0E9F0">
            <w:pPr>
              <w:jc w:val="center"/>
              <w:rPr>
                <w:rFonts w:hint="eastAsia" w:hAnsi="宋体" w:cs="宋体"/>
                <w:szCs w:val="24"/>
                <w:highlight w:val="none"/>
              </w:rPr>
            </w:pPr>
            <w:r>
              <w:rPr>
                <w:rFonts w:hint="eastAsia" w:hAnsi="宋体" w:cs="宋体"/>
                <w:szCs w:val="24"/>
                <w:highlight w:val="none"/>
              </w:rPr>
              <w:t>质保期</w:t>
            </w:r>
          </w:p>
          <w:p w14:paraId="02DB4314">
            <w:pPr>
              <w:jc w:val="center"/>
              <w:rPr>
                <w:rFonts w:hint="eastAsia" w:hAnsi="宋体" w:cs="宋体"/>
                <w:szCs w:val="24"/>
                <w:highlight w:val="none"/>
              </w:rPr>
            </w:pPr>
            <w:r>
              <w:rPr>
                <w:rFonts w:hint="eastAsia" w:hAnsi="宋体" w:cs="宋体"/>
                <w:szCs w:val="24"/>
                <w:highlight w:val="none"/>
              </w:rPr>
              <w:t>（年）</w:t>
            </w:r>
          </w:p>
        </w:tc>
        <w:tc>
          <w:tcPr>
            <w:tcW w:w="1001" w:type="pct"/>
            <w:vAlign w:val="center"/>
          </w:tcPr>
          <w:p w14:paraId="30A91428">
            <w:pPr>
              <w:jc w:val="center"/>
              <w:rPr>
                <w:rFonts w:hint="eastAsia" w:hAnsi="宋体" w:cs="宋体"/>
                <w:szCs w:val="24"/>
                <w:highlight w:val="none"/>
              </w:rPr>
            </w:pPr>
            <w:r>
              <w:rPr>
                <w:rFonts w:hint="eastAsia" w:hAnsi="宋体" w:cs="宋体"/>
                <w:szCs w:val="24"/>
                <w:highlight w:val="none"/>
              </w:rPr>
              <w:t>备注</w:t>
            </w:r>
          </w:p>
        </w:tc>
      </w:tr>
      <w:tr w14:paraId="031B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1" w:type="pct"/>
            <w:vAlign w:val="center"/>
          </w:tcPr>
          <w:p w14:paraId="31BC0EDC">
            <w:pPr>
              <w:jc w:val="center"/>
              <w:rPr>
                <w:rFonts w:hint="eastAsia" w:hAnsi="宋体" w:cs="宋体"/>
                <w:szCs w:val="24"/>
                <w:highlight w:val="none"/>
              </w:rPr>
            </w:pPr>
          </w:p>
        </w:tc>
        <w:tc>
          <w:tcPr>
            <w:tcW w:w="1688" w:type="pct"/>
            <w:vAlign w:val="center"/>
          </w:tcPr>
          <w:p w14:paraId="1692E0CC">
            <w:pPr>
              <w:jc w:val="center"/>
              <w:rPr>
                <w:rFonts w:hint="eastAsia" w:hAnsi="宋体" w:cs="宋体"/>
                <w:szCs w:val="24"/>
                <w:highlight w:val="none"/>
              </w:rPr>
            </w:pPr>
          </w:p>
        </w:tc>
        <w:tc>
          <w:tcPr>
            <w:tcW w:w="998" w:type="pct"/>
          </w:tcPr>
          <w:p w14:paraId="1BC6A18B">
            <w:pPr>
              <w:jc w:val="center"/>
              <w:rPr>
                <w:rFonts w:hint="eastAsia" w:hAnsi="宋体" w:cs="宋体"/>
                <w:szCs w:val="24"/>
                <w:highlight w:val="none"/>
              </w:rPr>
            </w:pPr>
          </w:p>
        </w:tc>
        <w:tc>
          <w:tcPr>
            <w:tcW w:w="1001" w:type="pct"/>
          </w:tcPr>
          <w:p w14:paraId="2E300426">
            <w:pPr>
              <w:jc w:val="center"/>
              <w:rPr>
                <w:rFonts w:hint="eastAsia" w:hAnsi="宋体" w:cs="宋体"/>
                <w:szCs w:val="24"/>
                <w:highlight w:val="none"/>
              </w:rPr>
            </w:pPr>
          </w:p>
        </w:tc>
      </w:tr>
      <w:tr w14:paraId="61F3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62F4BC94">
            <w:pPr>
              <w:jc w:val="center"/>
              <w:rPr>
                <w:rFonts w:hint="eastAsia" w:hAnsi="宋体" w:cs="宋体"/>
                <w:szCs w:val="24"/>
                <w:highlight w:val="none"/>
              </w:rPr>
            </w:pPr>
            <w:r>
              <w:rPr>
                <w:rFonts w:hint="eastAsia" w:hAnsi="宋体" w:cs="宋体"/>
                <w:szCs w:val="24"/>
                <w:highlight w:val="none"/>
              </w:rPr>
              <w:t>投标报价（大写）：                                  （小写：￥       ）</w:t>
            </w:r>
          </w:p>
        </w:tc>
      </w:tr>
      <w:tr w14:paraId="64C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523F62ED">
            <w:pPr>
              <w:jc w:val="center"/>
              <w:rPr>
                <w:rFonts w:hint="eastAsia" w:hAnsi="宋体" w:cs="宋体"/>
                <w:szCs w:val="24"/>
                <w:highlight w:val="none"/>
              </w:rPr>
            </w:pPr>
            <w:r>
              <w:rPr>
                <w:rFonts w:hint="eastAsia" w:hAnsi="宋体" w:cs="宋体"/>
                <w:szCs w:val="24"/>
                <w:highlight w:val="none"/>
              </w:rPr>
              <w:t>备注：表内报价内容以元为单位，保留小数点后两位。</w:t>
            </w:r>
          </w:p>
        </w:tc>
      </w:tr>
    </w:tbl>
    <w:p w14:paraId="28778F4C">
      <w:pPr>
        <w:tabs>
          <w:tab w:val="left" w:pos="7200"/>
          <w:tab w:val="left" w:pos="8504"/>
        </w:tabs>
        <w:spacing w:line="360" w:lineRule="auto"/>
        <w:ind w:right="-1"/>
        <w:rPr>
          <w:rFonts w:hint="eastAsia" w:hAnsi="宋体" w:cs="宋体"/>
          <w:highlight w:val="none"/>
        </w:rPr>
      </w:pPr>
    </w:p>
    <w:p w14:paraId="0DC12CEE">
      <w:pPr>
        <w:spacing w:line="120" w:lineRule="exact"/>
        <w:rPr>
          <w:rFonts w:hint="eastAsia" w:hAnsi="宋体" w:cs="宋体"/>
          <w:highlight w:val="none"/>
        </w:rPr>
      </w:pPr>
    </w:p>
    <w:p w14:paraId="46E56387">
      <w:pPr>
        <w:spacing w:line="480" w:lineRule="auto"/>
        <w:ind w:right="617" w:rightChars="257"/>
        <w:jc w:val="left"/>
        <w:rPr>
          <w:rFonts w:hint="eastAsia" w:hAnsi="宋体" w:cs="宋体"/>
          <w:highlight w:val="none"/>
        </w:rPr>
      </w:pPr>
      <w:r>
        <w:rPr>
          <w:rFonts w:hint="eastAsia" w:hAnsi="宋体" w:cs="宋体"/>
          <w:highlight w:val="none"/>
        </w:rPr>
        <w:t>供应商名称：</w:t>
      </w:r>
      <w:r>
        <w:rPr>
          <w:rFonts w:hint="eastAsia" w:hAnsi="宋体" w:cs="宋体"/>
          <w:highlight w:val="none"/>
          <w:u w:val="single"/>
        </w:rPr>
        <w:t xml:space="preserve">      （加盖单位公章）      </w:t>
      </w:r>
    </w:p>
    <w:p w14:paraId="69280D4E">
      <w:pPr>
        <w:spacing w:line="480" w:lineRule="auto"/>
        <w:ind w:right="617" w:rightChars="257"/>
        <w:jc w:val="left"/>
        <w:rPr>
          <w:rFonts w:hint="eastAsia" w:hAnsi="宋体" w:cs="宋体"/>
          <w:highlight w:val="none"/>
        </w:rPr>
      </w:pPr>
    </w:p>
    <w:p w14:paraId="40934C51">
      <w:pPr>
        <w:spacing w:line="480" w:lineRule="auto"/>
        <w:ind w:right="617" w:rightChars="257"/>
        <w:jc w:val="left"/>
        <w:rPr>
          <w:rFonts w:hint="eastAsia" w:hAnsi="宋体" w:cs="宋体"/>
          <w:highlight w:val="none"/>
        </w:rPr>
      </w:pPr>
      <w:r>
        <w:rPr>
          <w:rFonts w:hint="eastAsia" w:hAnsi="宋体" w:cs="宋体"/>
          <w:highlight w:val="none"/>
        </w:rPr>
        <w:t>法定代表人/被授权人签字或盖章：</w:t>
      </w:r>
    </w:p>
    <w:p w14:paraId="6DE3973D">
      <w:pPr>
        <w:pStyle w:val="10"/>
        <w:ind w:left="0" w:firstLine="0"/>
        <w:rPr>
          <w:highlight w:val="none"/>
        </w:rPr>
      </w:pPr>
    </w:p>
    <w:p w14:paraId="4F2DFADE">
      <w:pPr>
        <w:spacing w:line="480" w:lineRule="auto"/>
        <w:ind w:right="617" w:rightChars="257"/>
        <w:rPr>
          <w:rFonts w:hint="eastAsia" w:hAnsi="宋体" w:cs="宋体"/>
          <w:highlight w:val="none"/>
        </w:rPr>
      </w:pPr>
      <w:r>
        <w:rPr>
          <w:rFonts w:hint="eastAsia" w:hAnsi="宋体" w:cs="宋体"/>
          <w:highlight w:val="none"/>
        </w:rPr>
        <w:t>日    期：</w:t>
      </w:r>
    </w:p>
    <w:p w14:paraId="31FDEC4B">
      <w:pPr>
        <w:spacing w:before="166" w:beforeLines="50" w:after="166" w:afterLines="50" w:line="480" w:lineRule="auto"/>
        <w:rPr>
          <w:rFonts w:hint="eastAsia" w:hAnsi="宋体" w:cs="宋体"/>
          <w:szCs w:val="21"/>
          <w:highlight w:val="none"/>
          <w:u w:val="single"/>
        </w:rPr>
      </w:pPr>
      <w:r>
        <w:rPr>
          <w:rFonts w:hint="eastAsia" w:hAnsi="宋体" w:cs="宋体"/>
          <w:highlight w:val="none"/>
        </w:rPr>
        <w:t>本表应按“供应商须知”的规定密封单独提交。若有折扣声明，请与本表一并装订和密封。</w:t>
      </w:r>
    </w:p>
    <w:p w14:paraId="755EC452">
      <w:pPr>
        <w:rPr>
          <w:rFonts w:hint="eastAsia" w:hAnsi="宋体" w:cs="宋体"/>
          <w:highlight w:val="none"/>
        </w:rPr>
      </w:pPr>
      <w:r>
        <w:rPr>
          <w:rFonts w:hint="eastAsia" w:hAnsi="宋体" w:cs="宋体"/>
          <w:highlight w:val="none"/>
        </w:rPr>
        <w:br w:type="page"/>
      </w:r>
    </w:p>
    <w:p w14:paraId="4F9E7E24">
      <w:pPr>
        <w:jc w:val="center"/>
        <w:rPr>
          <w:rFonts w:hint="eastAsia" w:hAnsi="宋体" w:cs="宋体"/>
          <w:highlight w:val="none"/>
        </w:rPr>
      </w:pPr>
      <w:r>
        <w:rPr>
          <w:rFonts w:hint="eastAsia" w:hAnsi="宋体" w:cs="宋体"/>
          <w:b/>
          <w:sz w:val="30"/>
          <w:szCs w:val="30"/>
          <w:highlight w:val="none"/>
        </w:rPr>
        <w:t>2.2投标分项报价表</w:t>
      </w:r>
      <w:r>
        <w:rPr>
          <w:rFonts w:hint="eastAsia" w:hAnsi="宋体" w:cs="宋体"/>
          <w:highlight w:val="none"/>
        </w:rPr>
        <w:t xml:space="preserve"> </w:t>
      </w:r>
    </w:p>
    <w:p w14:paraId="0E5A0AC4">
      <w:pPr>
        <w:jc w:val="left"/>
        <w:rPr>
          <w:rFonts w:hint="eastAsia" w:hAnsi="宋体" w:cs="宋体"/>
          <w:highlight w:val="none"/>
          <w:u w:val="single"/>
        </w:rPr>
      </w:pPr>
      <w:r>
        <w:rPr>
          <w:rFonts w:hint="eastAsia" w:hAnsi="宋体" w:cs="宋体"/>
          <w:highlight w:val="none"/>
        </w:rPr>
        <w:t>合同包：</w:t>
      </w:r>
      <w:r>
        <w:rPr>
          <w:rFonts w:hint="eastAsia" w:hAnsi="宋体" w:cs="宋体"/>
          <w:highlight w:val="none"/>
          <w:u w:val="single"/>
        </w:rPr>
        <w:t xml:space="preserve">   </w:t>
      </w:r>
    </w:p>
    <w:p w14:paraId="2F5BB2F5">
      <w:pPr>
        <w:jc w:val="left"/>
        <w:rPr>
          <w:rFonts w:hint="eastAsia" w:hAnsi="宋体" w:cs="宋体"/>
          <w:highlight w:val="none"/>
        </w:rPr>
      </w:pPr>
    </w:p>
    <w:tbl>
      <w:tblPr>
        <w:tblStyle w:val="18"/>
        <w:tblW w:w="8899" w:type="dxa"/>
        <w:jc w:val="center"/>
        <w:tblLayout w:type="fixed"/>
        <w:tblCellMar>
          <w:top w:w="0" w:type="dxa"/>
          <w:left w:w="28" w:type="dxa"/>
          <w:bottom w:w="0" w:type="dxa"/>
          <w:right w:w="28" w:type="dxa"/>
        </w:tblCellMar>
      </w:tblPr>
      <w:tblGrid>
        <w:gridCol w:w="875"/>
        <w:gridCol w:w="681"/>
        <w:gridCol w:w="1290"/>
        <w:gridCol w:w="1185"/>
        <w:gridCol w:w="1380"/>
        <w:gridCol w:w="1230"/>
        <w:gridCol w:w="1125"/>
        <w:gridCol w:w="1133"/>
      </w:tblGrid>
      <w:tr w14:paraId="1543051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6BED2BDB">
            <w:pPr>
              <w:spacing w:after="120"/>
              <w:jc w:val="center"/>
              <w:rPr>
                <w:rFonts w:hint="eastAsia" w:hAnsi="宋体" w:cs="宋体"/>
                <w:szCs w:val="24"/>
                <w:highlight w:val="none"/>
              </w:rPr>
            </w:pPr>
            <w:r>
              <w:rPr>
                <w:rFonts w:hint="eastAsia" w:hAnsi="宋体" w:cs="宋体"/>
                <w:highlight w:val="none"/>
              </w:rPr>
              <w:t xml:space="preserve">                           </w:t>
            </w:r>
            <w:r>
              <w:rPr>
                <w:rFonts w:hint="eastAsia" w:hAnsi="宋体" w:cs="宋体"/>
                <w:szCs w:val="24"/>
                <w:highlight w:val="none"/>
              </w:rPr>
              <w:t>产品</w:t>
            </w:r>
          </w:p>
          <w:p w14:paraId="04B85C02">
            <w:pPr>
              <w:spacing w:after="120"/>
              <w:jc w:val="center"/>
              <w:rPr>
                <w:rFonts w:hint="eastAsia" w:hAnsi="宋体" w:cs="宋体"/>
                <w:highlight w:val="none"/>
              </w:rPr>
            </w:pPr>
            <w:r>
              <w:rPr>
                <w:rFonts w:hint="eastAsia" w:hAnsi="宋体" w:cs="宋体"/>
                <w:szCs w:val="24"/>
                <w:highlight w:val="none"/>
              </w:rPr>
              <w:t>费用</w:t>
            </w:r>
          </w:p>
        </w:tc>
        <w:tc>
          <w:tcPr>
            <w:tcW w:w="681" w:type="dxa"/>
            <w:tcBorders>
              <w:top w:val="single" w:color="auto" w:sz="6" w:space="0"/>
              <w:left w:val="single" w:color="auto" w:sz="4" w:space="0"/>
              <w:bottom w:val="single" w:color="auto" w:sz="6" w:space="0"/>
            </w:tcBorders>
            <w:vAlign w:val="center"/>
          </w:tcPr>
          <w:p w14:paraId="2FAE7E7C">
            <w:pPr>
              <w:spacing w:after="120"/>
              <w:jc w:val="center"/>
              <w:rPr>
                <w:rFonts w:hint="eastAsia" w:hAnsi="宋体" w:cs="宋体"/>
                <w:highlight w:val="none"/>
              </w:rPr>
            </w:pPr>
            <w:r>
              <w:rPr>
                <w:rFonts w:hint="eastAsia" w:hAnsi="宋体" w:cs="宋体"/>
                <w:highlight w:val="none"/>
              </w:rPr>
              <w:t>序号</w:t>
            </w:r>
          </w:p>
        </w:tc>
        <w:tc>
          <w:tcPr>
            <w:tcW w:w="1290" w:type="dxa"/>
            <w:tcBorders>
              <w:top w:val="single" w:color="auto" w:sz="6" w:space="0"/>
              <w:left w:val="single" w:color="auto" w:sz="6" w:space="0"/>
              <w:bottom w:val="single" w:color="auto" w:sz="6" w:space="0"/>
              <w:right w:val="single" w:color="auto" w:sz="6" w:space="0"/>
            </w:tcBorders>
            <w:vAlign w:val="center"/>
          </w:tcPr>
          <w:p w14:paraId="54373902">
            <w:pPr>
              <w:spacing w:after="120"/>
              <w:jc w:val="center"/>
              <w:rPr>
                <w:rFonts w:hint="eastAsia" w:hAnsi="宋体" w:cs="宋体"/>
                <w:highlight w:val="none"/>
              </w:rPr>
            </w:pPr>
            <w:r>
              <w:rPr>
                <w:rFonts w:hint="eastAsia" w:hAnsi="宋体" w:cs="宋体"/>
                <w:highlight w:val="none"/>
              </w:rPr>
              <w:t>名称</w:t>
            </w:r>
          </w:p>
        </w:tc>
        <w:tc>
          <w:tcPr>
            <w:tcW w:w="1185" w:type="dxa"/>
            <w:tcBorders>
              <w:top w:val="single" w:color="auto" w:sz="6" w:space="0"/>
              <w:left w:val="single" w:color="auto" w:sz="6" w:space="0"/>
              <w:bottom w:val="single" w:color="auto" w:sz="6" w:space="0"/>
              <w:right w:val="single" w:color="auto" w:sz="4" w:space="0"/>
            </w:tcBorders>
            <w:vAlign w:val="center"/>
          </w:tcPr>
          <w:p w14:paraId="6592D306">
            <w:pPr>
              <w:spacing w:after="120"/>
              <w:jc w:val="center"/>
              <w:rPr>
                <w:rFonts w:hint="eastAsia" w:hAnsi="宋体" w:cs="宋体"/>
                <w:highlight w:val="none"/>
              </w:rPr>
            </w:pPr>
            <w:r>
              <w:rPr>
                <w:rFonts w:hint="eastAsia" w:hAnsi="宋体" w:cs="宋体"/>
                <w:highlight w:val="none"/>
              </w:rPr>
              <w:t>品牌</w:t>
            </w:r>
          </w:p>
        </w:tc>
        <w:tc>
          <w:tcPr>
            <w:tcW w:w="1380" w:type="dxa"/>
            <w:tcBorders>
              <w:top w:val="single" w:color="auto" w:sz="6" w:space="0"/>
              <w:left w:val="single" w:color="auto" w:sz="4" w:space="0"/>
              <w:bottom w:val="single" w:color="auto" w:sz="6" w:space="0"/>
              <w:right w:val="single" w:color="auto" w:sz="6" w:space="0"/>
            </w:tcBorders>
            <w:vAlign w:val="center"/>
          </w:tcPr>
          <w:p w14:paraId="4CB66A17">
            <w:pPr>
              <w:spacing w:after="120"/>
              <w:jc w:val="center"/>
              <w:rPr>
                <w:rFonts w:hint="eastAsia" w:hAnsi="宋体" w:cs="宋体"/>
                <w:highlight w:val="none"/>
              </w:rPr>
            </w:pPr>
            <w:r>
              <w:rPr>
                <w:rFonts w:hint="eastAsia" w:hAnsi="宋体" w:cs="宋体"/>
                <w:highlight w:val="none"/>
              </w:rPr>
              <w:t>规格型号</w:t>
            </w:r>
          </w:p>
        </w:tc>
        <w:tc>
          <w:tcPr>
            <w:tcW w:w="1230" w:type="dxa"/>
            <w:tcBorders>
              <w:top w:val="single" w:color="auto" w:sz="6" w:space="0"/>
              <w:left w:val="single" w:color="auto" w:sz="6" w:space="0"/>
              <w:bottom w:val="single" w:color="auto" w:sz="6" w:space="0"/>
              <w:right w:val="single" w:color="auto" w:sz="6" w:space="0"/>
            </w:tcBorders>
            <w:vAlign w:val="center"/>
          </w:tcPr>
          <w:p w14:paraId="0D10D730">
            <w:pPr>
              <w:spacing w:after="120"/>
              <w:jc w:val="center"/>
              <w:rPr>
                <w:rFonts w:hint="eastAsia" w:hAnsi="宋体" w:cs="宋体"/>
                <w:highlight w:val="none"/>
              </w:rPr>
            </w:pPr>
            <w:r>
              <w:rPr>
                <w:rFonts w:hint="eastAsia" w:hAnsi="宋体" w:cs="宋体"/>
                <w:highlight w:val="none"/>
              </w:rPr>
              <w:t>数量</w:t>
            </w:r>
          </w:p>
        </w:tc>
        <w:tc>
          <w:tcPr>
            <w:tcW w:w="1125" w:type="dxa"/>
            <w:tcBorders>
              <w:top w:val="single" w:color="auto" w:sz="6" w:space="0"/>
              <w:left w:val="single" w:color="auto" w:sz="6" w:space="0"/>
              <w:bottom w:val="single" w:color="auto" w:sz="6" w:space="0"/>
              <w:right w:val="single" w:color="auto" w:sz="6" w:space="0"/>
            </w:tcBorders>
            <w:vAlign w:val="center"/>
          </w:tcPr>
          <w:p w14:paraId="5A1C1651">
            <w:pPr>
              <w:spacing w:after="120"/>
              <w:jc w:val="center"/>
              <w:rPr>
                <w:rFonts w:hint="eastAsia" w:hAnsi="宋体" w:cs="宋体"/>
                <w:highlight w:val="none"/>
              </w:rPr>
            </w:pPr>
            <w:r>
              <w:rPr>
                <w:rFonts w:hint="eastAsia" w:hAnsi="宋体" w:cs="宋体"/>
                <w:highlight w:val="none"/>
              </w:rPr>
              <w:t>单价</w:t>
            </w:r>
          </w:p>
          <w:p w14:paraId="0290FF04">
            <w:pPr>
              <w:spacing w:after="120"/>
              <w:jc w:val="center"/>
              <w:rPr>
                <w:rFonts w:hint="eastAsia" w:hAnsi="宋体" w:cs="宋体"/>
                <w:bCs/>
                <w:highlight w:val="none"/>
              </w:rPr>
            </w:pPr>
            <w:r>
              <w:rPr>
                <w:rFonts w:hint="eastAsia" w:hAnsi="宋体" w:cs="宋体"/>
                <w:highlight w:val="none"/>
              </w:rPr>
              <w:t>（元）</w:t>
            </w:r>
          </w:p>
        </w:tc>
        <w:tc>
          <w:tcPr>
            <w:tcW w:w="1133" w:type="dxa"/>
            <w:tcBorders>
              <w:top w:val="single" w:color="auto" w:sz="6" w:space="0"/>
              <w:left w:val="single" w:color="auto" w:sz="6" w:space="0"/>
              <w:bottom w:val="single" w:color="auto" w:sz="6" w:space="0"/>
              <w:right w:val="single" w:color="auto" w:sz="6" w:space="0"/>
            </w:tcBorders>
            <w:vAlign w:val="center"/>
          </w:tcPr>
          <w:p w14:paraId="0F93EAE9">
            <w:pPr>
              <w:spacing w:after="120"/>
              <w:jc w:val="center"/>
              <w:rPr>
                <w:rFonts w:hint="eastAsia" w:hAnsi="宋体" w:cs="宋体"/>
                <w:bCs/>
                <w:highlight w:val="none"/>
              </w:rPr>
            </w:pPr>
            <w:r>
              <w:rPr>
                <w:rFonts w:hint="eastAsia" w:hAnsi="宋体" w:cs="宋体"/>
                <w:bCs/>
                <w:highlight w:val="none"/>
              </w:rPr>
              <w:t>总价</w:t>
            </w:r>
          </w:p>
          <w:p w14:paraId="38A7B7CD">
            <w:pPr>
              <w:spacing w:after="120"/>
              <w:jc w:val="center"/>
              <w:rPr>
                <w:rFonts w:hint="eastAsia" w:hAnsi="宋体" w:cs="宋体"/>
                <w:bCs/>
                <w:highlight w:val="none"/>
              </w:rPr>
            </w:pPr>
            <w:r>
              <w:rPr>
                <w:rFonts w:hint="eastAsia" w:hAnsi="宋体" w:cs="宋体"/>
                <w:bCs/>
                <w:highlight w:val="none"/>
              </w:rPr>
              <w:t>（元）</w:t>
            </w:r>
          </w:p>
        </w:tc>
      </w:tr>
      <w:tr w14:paraId="5FAEB704">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472655F6">
            <w:pPr>
              <w:spacing w:before="333" w:beforeLines="100"/>
              <w:jc w:val="center"/>
              <w:rPr>
                <w:rFonts w:hint="eastAsia" w:hAnsi="宋体" w:cs="宋体"/>
                <w:highlight w:val="none"/>
              </w:rPr>
            </w:pPr>
          </w:p>
        </w:tc>
        <w:tc>
          <w:tcPr>
            <w:tcW w:w="681" w:type="dxa"/>
            <w:tcBorders>
              <w:top w:val="single" w:color="auto" w:sz="6" w:space="0"/>
              <w:left w:val="single" w:color="auto" w:sz="4" w:space="0"/>
              <w:bottom w:val="single" w:color="auto" w:sz="4" w:space="0"/>
            </w:tcBorders>
            <w:vAlign w:val="center"/>
          </w:tcPr>
          <w:p w14:paraId="24BC90B7">
            <w:pPr>
              <w:spacing w:before="333" w:beforeLines="100"/>
              <w:jc w:val="center"/>
              <w:rPr>
                <w:rFonts w:hint="eastAsia" w:hAnsi="宋体" w:cs="宋体"/>
                <w:highlight w:val="none"/>
              </w:rPr>
            </w:pPr>
            <w:r>
              <w:rPr>
                <w:rFonts w:hint="eastAsia" w:hAnsi="宋体" w:cs="宋体"/>
                <w:highlight w:val="none"/>
              </w:rPr>
              <w:t>1</w:t>
            </w:r>
          </w:p>
        </w:tc>
        <w:tc>
          <w:tcPr>
            <w:tcW w:w="1290" w:type="dxa"/>
            <w:tcBorders>
              <w:top w:val="single" w:color="auto" w:sz="6" w:space="0"/>
              <w:left w:val="single" w:color="auto" w:sz="6" w:space="0"/>
              <w:bottom w:val="single" w:color="auto" w:sz="4" w:space="0"/>
              <w:right w:val="single" w:color="auto" w:sz="6" w:space="0"/>
            </w:tcBorders>
            <w:vAlign w:val="center"/>
          </w:tcPr>
          <w:p w14:paraId="710887DB">
            <w:pPr>
              <w:spacing w:before="166" w:beforeLines="50"/>
              <w:jc w:val="center"/>
              <w:rPr>
                <w:rFonts w:hint="eastAsia" w:hAnsi="宋体" w:cs="宋体"/>
                <w:highlight w:val="none"/>
              </w:rPr>
            </w:pPr>
          </w:p>
        </w:tc>
        <w:tc>
          <w:tcPr>
            <w:tcW w:w="1185" w:type="dxa"/>
            <w:tcBorders>
              <w:top w:val="single" w:color="auto" w:sz="6" w:space="0"/>
              <w:left w:val="single" w:color="auto" w:sz="6" w:space="0"/>
              <w:bottom w:val="single" w:color="auto" w:sz="4" w:space="0"/>
              <w:right w:val="single" w:color="auto" w:sz="4" w:space="0"/>
            </w:tcBorders>
            <w:vAlign w:val="center"/>
          </w:tcPr>
          <w:p w14:paraId="6F50D26B">
            <w:pPr>
              <w:spacing w:before="166" w:beforeLines="50"/>
              <w:jc w:val="center"/>
              <w:rPr>
                <w:rFonts w:hint="eastAsia" w:hAnsi="宋体" w:cs="宋体"/>
                <w:highlight w:val="none"/>
              </w:rPr>
            </w:pPr>
          </w:p>
        </w:tc>
        <w:tc>
          <w:tcPr>
            <w:tcW w:w="1380" w:type="dxa"/>
            <w:tcBorders>
              <w:top w:val="single" w:color="auto" w:sz="6" w:space="0"/>
              <w:left w:val="single" w:color="auto" w:sz="4" w:space="0"/>
              <w:bottom w:val="single" w:color="auto" w:sz="4" w:space="0"/>
              <w:right w:val="single" w:color="auto" w:sz="6" w:space="0"/>
            </w:tcBorders>
            <w:vAlign w:val="center"/>
          </w:tcPr>
          <w:p w14:paraId="0AA54870">
            <w:pPr>
              <w:spacing w:before="166" w:beforeLines="50"/>
              <w:jc w:val="center"/>
              <w:rPr>
                <w:rFonts w:hint="eastAsia" w:hAnsi="宋体" w:cs="宋体"/>
                <w:highlight w:val="none"/>
              </w:rPr>
            </w:pPr>
          </w:p>
        </w:tc>
        <w:tc>
          <w:tcPr>
            <w:tcW w:w="1230" w:type="dxa"/>
            <w:tcBorders>
              <w:top w:val="single" w:color="auto" w:sz="6" w:space="0"/>
              <w:left w:val="single" w:color="auto" w:sz="6" w:space="0"/>
              <w:bottom w:val="single" w:color="auto" w:sz="4" w:space="0"/>
              <w:right w:val="single" w:color="auto" w:sz="6" w:space="0"/>
            </w:tcBorders>
            <w:vAlign w:val="center"/>
          </w:tcPr>
          <w:p w14:paraId="01D8A404">
            <w:pPr>
              <w:spacing w:before="166" w:beforeLines="50"/>
              <w:jc w:val="center"/>
              <w:rPr>
                <w:rFonts w:hint="eastAsia" w:hAnsi="宋体" w:cs="宋体"/>
                <w:highlight w:val="none"/>
              </w:rPr>
            </w:pPr>
          </w:p>
        </w:tc>
        <w:tc>
          <w:tcPr>
            <w:tcW w:w="1125" w:type="dxa"/>
            <w:tcBorders>
              <w:top w:val="single" w:color="auto" w:sz="6" w:space="0"/>
              <w:left w:val="single" w:color="auto" w:sz="6" w:space="0"/>
              <w:bottom w:val="single" w:color="auto" w:sz="4" w:space="0"/>
              <w:right w:val="single" w:color="auto" w:sz="6" w:space="0"/>
            </w:tcBorders>
            <w:vAlign w:val="center"/>
          </w:tcPr>
          <w:p w14:paraId="6F18F130">
            <w:pPr>
              <w:spacing w:before="166" w:beforeLines="50"/>
              <w:jc w:val="center"/>
              <w:rPr>
                <w:rFonts w:hint="eastAsia" w:hAnsi="宋体" w:cs="宋体"/>
                <w:highlight w:val="none"/>
              </w:rPr>
            </w:pPr>
          </w:p>
        </w:tc>
        <w:tc>
          <w:tcPr>
            <w:tcW w:w="1133" w:type="dxa"/>
            <w:tcBorders>
              <w:top w:val="single" w:color="auto" w:sz="6" w:space="0"/>
              <w:left w:val="single" w:color="auto" w:sz="6" w:space="0"/>
              <w:bottom w:val="single" w:color="auto" w:sz="4" w:space="0"/>
              <w:right w:val="single" w:color="auto" w:sz="6" w:space="0"/>
            </w:tcBorders>
            <w:vAlign w:val="center"/>
          </w:tcPr>
          <w:p w14:paraId="2AE9A013">
            <w:pPr>
              <w:spacing w:before="166" w:beforeLines="50"/>
              <w:jc w:val="center"/>
              <w:rPr>
                <w:rFonts w:hint="eastAsia" w:hAnsi="宋体" w:cs="宋体"/>
                <w:highlight w:val="none"/>
              </w:rPr>
            </w:pPr>
          </w:p>
        </w:tc>
      </w:tr>
      <w:tr w14:paraId="4A98839F">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4CB0048C">
            <w:pPr>
              <w:spacing w:before="333" w:beforeLines="100"/>
              <w:jc w:val="center"/>
              <w:rPr>
                <w:rFonts w:hint="eastAsia" w:hAnsi="宋体" w:cs="宋体"/>
                <w:highlight w:val="none"/>
              </w:rPr>
            </w:pPr>
          </w:p>
        </w:tc>
        <w:tc>
          <w:tcPr>
            <w:tcW w:w="681" w:type="dxa"/>
            <w:tcBorders>
              <w:top w:val="single" w:color="auto" w:sz="4" w:space="0"/>
              <w:left w:val="single" w:color="auto" w:sz="4" w:space="0"/>
              <w:bottom w:val="single" w:color="auto" w:sz="6" w:space="0"/>
            </w:tcBorders>
            <w:vAlign w:val="center"/>
          </w:tcPr>
          <w:p w14:paraId="17AB3E83">
            <w:pPr>
              <w:spacing w:before="333" w:beforeLines="100"/>
              <w:jc w:val="center"/>
              <w:rPr>
                <w:rFonts w:hint="eastAsia" w:hAnsi="宋体" w:cs="宋体"/>
                <w:highlight w:val="none"/>
              </w:rPr>
            </w:pPr>
            <w:r>
              <w:rPr>
                <w:rFonts w:hint="eastAsia" w:hAnsi="宋体" w:cs="宋体"/>
                <w:highlight w:val="none"/>
              </w:rPr>
              <w:t>2</w:t>
            </w:r>
          </w:p>
        </w:tc>
        <w:tc>
          <w:tcPr>
            <w:tcW w:w="1290" w:type="dxa"/>
            <w:tcBorders>
              <w:top w:val="single" w:color="auto" w:sz="4" w:space="0"/>
              <w:left w:val="single" w:color="auto" w:sz="6" w:space="0"/>
              <w:bottom w:val="single" w:color="auto" w:sz="6" w:space="0"/>
              <w:right w:val="single" w:color="auto" w:sz="6" w:space="0"/>
            </w:tcBorders>
            <w:vAlign w:val="center"/>
          </w:tcPr>
          <w:p w14:paraId="1F89DE4A">
            <w:pPr>
              <w:spacing w:before="333" w:beforeLines="100"/>
              <w:jc w:val="center"/>
              <w:rPr>
                <w:rFonts w:hint="eastAsia"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0721874A">
            <w:pPr>
              <w:spacing w:before="166" w:beforeLines="50"/>
              <w:jc w:val="center"/>
              <w:rPr>
                <w:rFonts w:hint="eastAsia"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2C4FE386">
            <w:pPr>
              <w:spacing w:before="166" w:beforeLines="50"/>
              <w:jc w:val="center"/>
              <w:rPr>
                <w:rFonts w:hint="eastAsia"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0FD843A8">
            <w:pPr>
              <w:spacing w:before="166" w:beforeLines="50"/>
              <w:jc w:val="center"/>
              <w:rPr>
                <w:rFonts w:hint="eastAsia"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76A82B71">
            <w:pPr>
              <w:spacing w:before="166" w:beforeLines="50"/>
              <w:jc w:val="center"/>
              <w:rPr>
                <w:rFonts w:hint="eastAsia"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2C977CB9">
            <w:pPr>
              <w:spacing w:before="166" w:beforeLines="50"/>
              <w:jc w:val="center"/>
              <w:rPr>
                <w:rFonts w:hint="eastAsia" w:hAnsi="宋体" w:cs="宋体"/>
                <w:highlight w:val="none"/>
              </w:rPr>
            </w:pPr>
          </w:p>
        </w:tc>
      </w:tr>
      <w:tr w14:paraId="4945EF1B">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7FE505D">
            <w:pPr>
              <w:spacing w:before="333" w:beforeLines="100"/>
              <w:jc w:val="center"/>
              <w:rPr>
                <w:rFonts w:hint="eastAsia" w:hAnsi="宋体" w:cs="宋体"/>
                <w:highlight w:val="none"/>
              </w:rPr>
            </w:pPr>
          </w:p>
        </w:tc>
        <w:tc>
          <w:tcPr>
            <w:tcW w:w="681" w:type="dxa"/>
            <w:tcBorders>
              <w:top w:val="single" w:color="auto" w:sz="4" w:space="0"/>
              <w:left w:val="single" w:color="auto" w:sz="4" w:space="0"/>
              <w:bottom w:val="single" w:color="auto" w:sz="6" w:space="0"/>
            </w:tcBorders>
            <w:vAlign w:val="center"/>
          </w:tcPr>
          <w:p w14:paraId="525DE550">
            <w:pPr>
              <w:spacing w:before="333" w:beforeLines="100"/>
              <w:jc w:val="center"/>
              <w:rPr>
                <w:rFonts w:hint="eastAsia" w:hAnsi="宋体" w:cs="宋体"/>
                <w:highlight w:val="none"/>
              </w:rPr>
            </w:pPr>
            <w:r>
              <w:rPr>
                <w:rFonts w:hint="eastAsia" w:hAnsi="宋体" w:cs="宋体"/>
                <w:highlight w:val="none"/>
              </w:rPr>
              <w:t>3</w:t>
            </w:r>
          </w:p>
        </w:tc>
        <w:tc>
          <w:tcPr>
            <w:tcW w:w="1290" w:type="dxa"/>
            <w:tcBorders>
              <w:top w:val="single" w:color="auto" w:sz="4" w:space="0"/>
              <w:left w:val="single" w:color="auto" w:sz="6" w:space="0"/>
              <w:bottom w:val="single" w:color="auto" w:sz="6" w:space="0"/>
              <w:right w:val="single" w:color="auto" w:sz="6" w:space="0"/>
            </w:tcBorders>
            <w:vAlign w:val="center"/>
          </w:tcPr>
          <w:p w14:paraId="77330C9E">
            <w:pPr>
              <w:spacing w:before="333" w:beforeLines="100"/>
              <w:jc w:val="center"/>
              <w:rPr>
                <w:rFonts w:hint="eastAsia"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7C781270">
            <w:pPr>
              <w:spacing w:before="166" w:beforeLines="50"/>
              <w:jc w:val="center"/>
              <w:rPr>
                <w:rFonts w:hint="eastAsia"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25685B6F">
            <w:pPr>
              <w:spacing w:before="166" w:beforeLines="50"/>
              <w:jc w:val="center"/>
              <w:rPr>
                <w:rFonts w:hint="eastAsia"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2F8877D5">
            <w:pPr>
              <w:spacing w:before="166" w:beforeLines="50"/>
              <w:jc w:val="center"/>
              <w:rPr>
                <w:rFonts w:hint="eastAsia"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2169FD4C">
            <w:pPr>
              <w:spacing w:before="166" w:beforeLines="50"/>
              <w:jc w:val="center"/>
              <w:rPr>
                <w:rFonts w:hint="eastAsia"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7A271B0E">
            <w:pPr>
              <w:spacing w:before="166" w:beforeLines="50"/>
              <w:jc w:val="center"/>
              <w:rPr>
                <w:rFonts w:hint="eastAsia" w:hAnsi="宋体" w:cs="宋体"/>
                <w:highlight w:val="none"/>
              </w:rPr>
            </w:pPr>
          </w:p>
        </w:tc>
      </w:tr>
      <w:tr w14:paraId="4A62D877">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1AF2C4F0">
            <w:pPr>
              <w:spacing w:before="333" w:beforeLines="100"/>
              <w:jc w:val="center"/>
              <w:rPr>
                <w:rFonts w:hint="eastAsia" w:hAnsi="宋体" w:cs="宋体"/>
                <w:highlight w:val="none"/>
              </w:rPr>
            </w:pPr>
          </w:p>
        </w:tc>
        <w:tc>
          <w:tcPr>
            <w:tcW w:w="681" w:type="dxa"/>
            <w:tcBorders>
              <w:top w:val="single" w:color="auto" w:sz="4" w:space="0"/>
              <w:left w:val="single" w:color="auto" w:sz="4" w:space="0"/>
              <w:bottom w:val="single" w:color="auto" w:sz="6" w:space="0"/>
            </w:tcBorders>
            <w:vAlign w:val="center"/>
          </w:tcPr>
          <w:p w14:paraId="6E79F4C4">
            <w:pPr>
              <w:spacing w:before="333" w:beforeLines="100"/>
              <w:jc w:val="center"/>
              <w:rPr>
                <w:rFonts w:hint="eastAsia" w:hAnsi="宋体" w:cs="宋体"/>
                <w:highlight w:val="none"/>
              </w:rPr>
            </w:pPr>
            <w:r>
              <w:rPr>
                <w:rFonts w:hint="eastAsia" w:hAnsi="宋体" w:cs="宋体"/>
                <w:szCs w:val="24"/>
                <w:highlight w:val="none"/>
              </w:rPr>
              <w:t>……</w:t>
            </w:r>
          </w:p>
        </w:tc>
        <w:tc>
          <w:tcPr>
            <w:tcW w:w="1290" w:type="dxa"/>
            <w:tcBorders>
              <w:top w:val="single" w:color="auto" w:sz="4" w:space="0"/>
              <w:left w:val="single" w:color="auto" w:sz="6" w:space="0"/>
              <w:bottom w:val="single" w:color="auto" w:sz="6" w:space="0"/>
              <w:right w:val="single" w:color="auto" w:sz="6" w:space="0"/>
            </w:tcBorders>
            <w:vAlign w:val="center"/>
          </w:tcPr>
          <w:p w14:paraId="57AFEB47">
            <w:pPr>
              <w:spacing w:before="166" w:beforeLines="50"/>
              <w:jc w:val="center"/>
              <w:rPr>
                <w:rFonts w:hint="eastAsia"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12E1E82D">
            <w:pPr>
              <w:spacing w:before="166" w:beforeLines="50"/>
              <w:jc w:val="center"/>
              <w:rPr>
                <w:rFonts w:hint="eastAsia"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7F94B09B">
            <w:pPr>
              <w:spacing w:before="166" w:beforeLines="50"/>
              <w:jc w:val="center"/>
              <w:rPr>
                <w:rFonts w:hint="eastAsia"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0648153C">
            <w:pPr>
              <w:spacing w:before="166" w:beforeLines="50"/>
              <w:jc w:val="center"/>
              <w:rPr>
                <w:rFonts w:hint="eastAsia"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16635A11">
            <w:pPr>
              <w:spacing w:before="166" w:beforeLines="50"/>
              <w:jc w:val="center"/>
              <w:rPr>
                <w:rFonts w:hint="eastAsia"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7C830BA6">
            <w:pPr>
              <w:spacing w:before="166" w:beforeLines="50"/>
              <w:jc w:val="center"/>
              <w:rPr>
                <w:rFonts w:hint="eastAsia" w:hAnsi="宋体" w:cs="宋体"/>
                <w:highlight w:val="none"/>
              </w:rPr>
            </w:pPr>
          </w:p>
        </w:tc>
      </w:tr>
      <w:tr w14:paraId="50D87869">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4D171C21">
            <w:pPr>
              <w:spacing w:before="333" w:beforeLines="100"/>
              <w:jc w:val="center"/>
              <w:rPr>
                <w:rFonts w:hint="eastAsia" w:hAnsi="宋体" w:cs="宋体"/>
                <w:highlight w:val="none"/>
              </w:rPr>
            </w:pPr>
          </w:p>
        </w:tc>
        <w:tc>
          <w:tcPr>
            <w:tcW w:w="681" w:type="dxa"/>
            <w:tcBorders>
              <w:top w:val="single" w:color="auto" w:sz="4" w:space="0"/>
              <w:left w:val="single" w:color="auto" w:sz="4" w:space="0"/>
              <w:bottom w:val="single" w:color="auto" w:sz="6" w:space="0"/>
            </w:tcBorders>
            <w:vAlign w:val="center"/>
          </w:tcPr>
          <w:p w14:paraId="0A9F0219">
            <w:pPr>
              <w:spacing w:before="333" w:beforeLines="100"/>
              <w:jc w:val="center"/>
              <w:rPr>
                <w:rFonts w:hint="eastAsia" w:hAnsi="宋体" w:cs="宋体"/>
                <w:b/>
                <w:highlight w:val="none"/>
              </w:rPr>
            </w:pPr>
            <w:r>
              <w:rPr>
                <w:rFonts w:hint="eastAsia" w:hAnsi="宋体" w:cs="宋体"/>
                <w:szCs w:val="24"/>
                <w:highlight w:val="none"/>
              </w:rPr>
              <w:t>……</w:t>
            </w:r>
          </w:p>
        </w:tc>
        <w:tc>
          <w:tcPr>
            <w:tcW w:w="1290" w:type="dxa"/>
            <w:tcBorders>
              <w:top w:val="single" w:color="auto" w:sz="4" w:space="0"/>
              <w:left w:val="single" w:color="auto" w:sz="6" w:space="0"/>
              <w:bottom w:val="single" w:color="auto" w:sz="6" w:space="0"/>
              <w:right w:val="single" w:color="auto" w:sz="6" w:space="0"/>
            </w:tcBorders>
            <w:vAlign w:val="center"/>
          </w:tcPr>
          <w:p w14:paraId="11201FF9">
            <w:pPr>
              <w:spacing w:before="166" w:beforeLines="50"/>
              <w:jc w:val="center"/>
              <w:rPr>
                <w:rFonts w:hint="eastAsia" w:hAnsi="宋体" w:cs="宋体"/>
                <w:highlight w:val="none"/>
              </w:rPr>
            </w:pPr>
          </w:p>
        </w:tc>
        <w:tc>
          <w:tcPr>
            <w:tcW w:w="1185" w:type="dxa"/>
            <w:tcBorders>
              <w:top w:val="single" w:color="auto" w:sz="4" w:space="0"/>
              <w:left w:val="single" w:color="auto" w:sz="6" w:space="0"/>
              <w:bottom w:val="single" w:color="auto" w:sz="6" w:space="0"/>
              <w:right w:val="single" w:color="auto" w:sz="4" w:space="0"/>
            </w:tcBorders>
            <w:vAlign w:val="center"/>
          </w:tcPr>
          <w:p w14:paraId="1877515A">
            <w:pPr>
              <w:spacing w:before="166" w:beforeLines="50"/>
              <w:jc w:val="center"/>
              <w:rPr>
                <w:rFonts w:hint="eastAsia" w:hAnsi="宋体" w:cs="宋体"/>
                <w:highlight w:val="none"/>
              </w:rPr>
            </w:pPr>
          </w:p>
        </w:tc>
        <w:tc>
          <w:tcPr>
            <w:tcW w:w="1380" w:type="dxa"/>
            <w:tcBorders>
              <w:top w:val="single" w:color="auto" w:sz="4" w:space="0"/>
              <w:left w:val="single" w:color="auto" w:sz="4" w:space="0"/>
              <w:bottom w:val="single" w:color="auto" w:sz="6" w:space="0"/>
              <w:right w:val="single" w:color="auto" w:sz="6" w:space="0"/>
            </w:tcBorders>
            <w:vAlign w:val="center"/>
          </w:tcPr>
          <w:p w14:paraId="34789E85">
            <w:pPr>
              <w:spacing w:before="166" w:beforeLines="50"/>
              <w:jc w:val="center"/>
              <w:rPr>
                <w:rFonts w:hint="eastAsia" w:hAnsi="宋体" w:cs="宋体"/>
                <w:highlight w:val="none"/>
              </w:rPr>
            </w:pPr>
          </w:p>
        </w:tc>
        <w:tc>
          <w:tcPr>
            <w:tcW w:w="1230" w:type="dxa"/>
            <w:tcBorders>
              <w:top w:val="single" w:color="auto" w:sz="4" w:space="0"/>
              <w:left w:val="single" w:color="auto" w:sz="6" w:space="0"/>
              <w:bottom w:val="single" w:color="auto" w:sz="6" w:space="0"/>
              <w:right w:val="single" w:color="auto" w:sz="6" w:space="0"/>
            </w:tcBorders>
            <w:vAlign w:val="center"/>
          </w:tcPr>
          <w:p w14:paraId="12663055">
            <w:pPr>
              <w:spacing w:before="166" w:beforeLines="50"/>
              <w:jc w:val="center"/>
              <w:rPr>
                <w:rFonts w:hint="eastAsia" w:hAnsi="宋体" w:cs="宋体"/>
                <w:highlight w:val="none"/>
              </w:rPr>
            </w:pPr>
          </w:p>
        </w:tc>
        <w:tc>
          <w:tcPr>
            <w:tcW w:w="1125" w:type="dxa"/>
            <w:tcBorders>
              <w:top w:val="single" w:color="auto" w:sz="4" w:space="0"/>
              <w:left w:val="single" w:color="auto" w:sz="6" w:space="0"/>
              <w:bottom w:val="single" w:color="auto" w:sz="6" w:space="0"/>
              <w:right w:val="single" w:color="auto" w:sz="6" w:space="0"/>
            </w:tcBorders>
            <w:vAlign w:val="center"/>
          </w:tcPr>
          <w:p w14:paraId="7558E273">
            <w:pPr>
              <w:spacing w:before="166" w:beforeLines="50"/>
              <w:jc w:val="center"/>
              <w:rPr>
                <w:rFonts w:hint="eastAsia" w:hAnsi="宋体" w:cs="宋体"/>
                <w:highlight w:val="none"/>
              </w:rPr>
            </w:pPr>
          </w:p>
        </w:tc>
        <w:tc>
          <w:tcPr>
            <w:tcW w:w="1133" w:type="dxa"/>
            <w:tcBorders>
              <w:top w:val="single" w:color="auto" w:sz="4" w:space="0"/>
              <w:left w:val="single" w:color="auto" w:sz="6" w:space="0"/>
              <w:bottom w:val="single" w:color="auto" w:sz="6" w:space="0"/>
              <w:right w:val="single" w:color="auto" w:sz="6" w:space="0"/>
            </w:tcBorders>
            <w:vAlign w:val="center"/>
          </w:tcPr>
          <w:p w14:paraId="6DF4511B">
            <w:pPr>
              <w:spacing w:before="166" w:beforeLines="50"/>
              <w:jc w:val="center"/>
              <w:rPr>
                <w:rFonts w:hint="eastAsia" w:hAnsi="宋体" w:cs="宋体"/>
                <w:highlight w:val="none"/>
              </w:rPr>
            </w:pPr>
          </w:p>
        </w:tc>
      </w:tr>
      <w:tr w14:paraId="3E4ED8ED">
        <w:tblPrEx>
          <w:tblCellMar>
            <w:top w:w="0" w:type="dxa"/>
            <w:left w:w="28" w:type="dxa"/>
            <w:bottom w:w="0" w:type="dxa"/>
            <w:right w:w="28" w:type="dxa"/>
          </w:tblCellMar>
        </w:tblPrEx>
        <w:trPr>
          <w:trHeight w:val="531" w:hRule="atLeast"/>
          <w:jc w:val="center"/>
        </w:trPr>
        <w:tc>
          <w:tcPr>
            <w:tcW w:w="7766" w:type="dxa"/>
            <w:gridSpan w:val="7"/>
            <w:tcBorders>
              <w:left w:val="single" w:color="auto" w:sz="6" w:space="0"/>
              <w:bottom w:val="single" w:color="auto" w:sz="6" w:space="0"/>
              <w:right w:val="single" w:color="auto" w:sz="6" w:space="0"/>
            </w:tcBorders>
            <w:vAlign w:val="center"/>
          </w:tcPr>
          <w:p w14:paraId="1B903AE0">
            <w:pPr>
              <w:spacing w:before="166" w:beforeLines="50"/>
              <w:jc w:val="center"/>
              <w:rPr>
                <w:rFonts w:hint="eastAsia" w:hAnsi="宋体" w:cs="宋体"/>
                <w:highlight w:val="none"/>
              </w:rPr>
            </w:pPr>
            <w:r>
              <w:rPr>
                <w:rFonts w:hint="eastAsia" w:hAnsi="宋体" w:cs="宋体"/>
                <w:highlight w:val="none"/>
              </w:rPr>
              <w:t>合计</w:t>
            </w:r>
          </w:p>
        </w:tc>
        <w:tc>
          <w:tcPr>
            <w:tcW w:w="1133" w:type="dxa"/>
            <w:tcBorders>
              <w:top w:val="single" w:color="auto" w:sz="4" w:space="0"/>
              <w:left w:val="single" w:color="auto" w:sz="6" w:space="0"/>
              <w:bottom w:val="single" w:color="auto" w:sz="6" w:space="0"/>
              <w:right w:val="single" w:color="auto" w:sz="6" w:space="0"/>
            </w:tcBorders>
            <w:vAlign w:val="center"/>
          </w:tcPr>
          <w:p w14:paraId="072F57FA">
            <w:pPr>
              <w:spacing w:before="166" w:beforeLines="50"/>
              <w:jc w:val="center"/>
              <w:rPr>
                <w:rFonts w:hint="eastAsia" w:hAnsi="宋体" w:cs="宋体"/>
                <w:highlight w:val="none"/>
              </w:rPr>
            </w:pPr>
          </w:p>
        </w:tc>
      </w:tr>
      <w:tr w14:paraId="25988B49">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vAlign w:val="center"/>
          </w:tcPr>
          <w:p w14:paraId="71E4E465">
            <w:pPr>
              <w:jc w:val="center"/>
              <w:rPr>
                <w:rFonts w:hint="eastAsia" w:hAnsi="宋体" w:cs="宋体"/>
                <w:szCs w:val="24"/>
                <w:highlight w:val="none"/>
              </w:rPr>
            </w:pPr>
            <w:r>
              <w:rPr>
                <w:rFonts w:hint="eastAsia" w:hAnsi="宋体" w:cs="宋体"/>
                <w:szCs w:val="24"/>
                <w:highlight w:val="none"/>
              </w:rPr>
              <w:t>备注</w:t>
            </w:r>
          </w:p>
        </w:tc>
        <w:tc>
          <w:tcPr>
            <w:tcW w:w="6053" w:type="dxa"/>
            <w:gridSpan w:val="5"/>
            <w:tcBorders>
              <w:top w:val="single" w:color="auto" w:sz="4" w:space="0"/>
              <w:left w:val="single" w:color="auto" w:sz="6" w:space="0"/>
              <w:bottom w:val="single" w:color="auto" w:sz="6" w:space="0"/>
              <w:right w:val="single" w:color="auto" w:sz="6" w:space="0"/>
            </w:tcBorders>
            <w:vAlign w:val="center"/>
          </w:tcPr>
          <w:p w14:paraId="751AF0E6">
            <w:pPr>
              <w:spacing w:before="166" w:beforeLines="50"/>
              <w:rPr>
                <w:rFonts w:hint="eastAsia" w:hAnsi="宋体" w:cs="宋体"/>
                <w:szCs w:val="24"/>
                <w:highlight w:val="none"/>
              </w:rPr>
            </w:pPr>
            <w:r>
              <w:rPr>
                <w:rFonts w:hint="eastAsia" w:hAnsi="宋体" w:cs="宋体"/>
                <w:spacing w:val="-6"/>
                <w:szCs w:val="24"/>
                <w:highlight w:val="none"/>
              </w:rPr>
              <w:t>保留小数点后两位。</w:t>
            </w:r>
          </w:p>
        </w:tc>
      </w:tr>
    </w:tbl>
    <w:p w14:paraId="6824405D">
      <w:pPr>
        <w:spacing w:line="560" w:lineRule="exact"/>
        <w:rPr>
          <w:rFonts w:hint="eastAsia" w:hAnsi="宋体" w:cs="宋体"/>
          <w:highlight w:val="none"/>
        </w:rPr>
      </w:pPr>
      <w:r>
        <w:rPr>
          <w:rFonts w:hint="eastAsia" w:hAnsi="宋体" w:cs="宋体"/>
          <w:highlight w:val="none"/>
        </w:rPr>
        <w:t>注：1.如果按单价计算的结果与总价不一致，以单价为准修正总价。</w:t>
      </w:r>
    </w:p>
    <w:p w14:paraId="51C62F9D">
      <w:pPr>
        <w:spacing w:line="560" w:lineRule="exact"/>
        <w:ind w:firstLine="480" w:firstLineChars="200"/>
        <w:rPr>
          <w:rFonts w:hint="eastAsia" w:hAnsi="宋体" w:cs="宋体"/>
          <w:highlight w:val="none"/>
        </w:rPr>
      </w:pPr>
      <w:r>
        <w:rPr>
          <w:rFonts w:hint="eastAsia" w:hAnsi="宋体" w:cs="宋体"/>
          <w:highlight w:val="none"/>
        </w:rPr>
        <w:t>2.如果不提供详细分项报价将视为没有实质性响应招标文件。</w:t>
      </w:r>
    </w:p>
    <w:p w14:paraId="3B1D6F3B">
      <w:pPr>
        <w:spacing w:line="560" w:lineRule="exact"/>
        <w:ind w:firstLine="480" w:firstLineChars="200"/>
        <w:rPr>
          <w:rFonts w:hint="eastAsia" w:hAnsi="宋体" w:cs="宋体"/>
          <w:bCs/>
          <w:highlight w:val="none"/>
        </w:rPr>
      </w:pPr>
      <w:r>
        <w:rPr>
          <w:rFonts w:hint="eastAsia" w:hAnsi="宋体" w:cs="宋体"/>
          <w:bCs/>
          <w:highlight w:val="none"/>
        </w:rPr>
        <w:t>3.供应商可适当调整该表格式，但不得减少信息内容。</w:t>
      </w:r>
    </w:p>
    <w:p w14:paraId="7340F210">
      <w:pPr>
        <w:spacing w:line="560" w:lineRule="exact"/>
        <w:ind w:firstLine="480" w:firstLineChars="200"/>
        <w:rPr>
          <w:highlight w:val="none"/>
        </w:rPr>
      </w:pPr>
      <w:r>
        <w:rPr>
          <w:rFonts w:hint="eastAsia"/>
          <w:highlight w:val="none"/>
        </w:rPr>
        <w:t>4.单位：元，保留小数点后两位。</w:t>
      </w:r>
    </w:p>
    <w:p w14:paraId="1D934288">
      <w:pPr>
        <w:rPr>
          <w:rFonts w:hint="eastAsia" w:hAnsi="宋体" w:cs="宋体"/>
          <w:highlight w:val="none"/>
        </w:rPr>
      </w:pPr>
    </w:p>
    <w:p w14:paraId="356C127B">
      <w:pPr>
        <w:pStyle w:val="4"/>
        <w:spacing w:before="333" w:beforeLines="100"/>
        <w:rPr>
          <w:rFonts w:hint="eastAsia" w:ascii="宋体" w:hAnsi="宋体" w:cs="宋体"/>
          <w:b w:val="0"/>
          <w:highlight w:val="none"/>
        </w:rPr>
      </w:pPr>
      <w:bookmarkStart w:id="140" w:name="_Toc8367"/>
      <w:bookmarkStart w:id="141" w:name="_Toc19152"/>
      <w:bookmarkStart w:id="142" w:name="_Toc4085"/>
      <w:bookmarkStart w:id="143" w:name="_Toc2184"/>
      <w:bookmarkStart w:id="144" w:name="_Toc16715"/>
      <w:bookmarkStart w:id="145" w:name="_Toc31326"/>
      <w:bookmarkStart w:id="146" w:name="_Toc3617"/>
      <w:bookmarkStart w:id="147" w:name="_Toc14384"/>
      <w:r>
        <w:rPr>
          <w:rFonts w:hint="eastAsia" w:ascii="宋体" w:hAnsi="宋体" w:cs="宋体"/>
          <w:sz w:val="32"/>
          <w:szCs w:val="32"/>
          <w:highlight w:val="none"/>
        </w:rPr>
        <w:br w:type="page"/>
      </w:r>
      <w:bookmarkStart w:id="148" w:name="_Toc17891"/>
      <w:bookmarkStart w:id="149" w:name="_Toc29887"/>
      <w:bookmarkStart w:id="150" w:name="_Toc18339"/>
      <w:r>
        <w:rPr>
          <w:rFonts w:hint="eastAsia" w:ascii="宋体" w:hAnsi="宋体" w:cs="宋体"/>
          <w:sz w:val="32"/>
          <w:szCs w:val="32"/>
          <w:highlight w:val="none"/>
        </w:rPr>
        <w:t>三、投标方案说明书</w:t>
      </w:r>
      <w:bookmarkEnd w:id="140"/>
      <w:bookmarkEnd w:id="141"/>
      <w:bookmarkEnd w:id="142"/>
      <w:bookmarkEnd w:id="143"/>
      <w:bookmarkEnd w:id="144"/>
      <w:bookmarkEnd w:id="145"/>
      <w:bookmarkEnd w:id="146"/>
      <w:bookmarkEnd w:id="147"/>
      <w:bookmarkEnd w:id="148"/>
      <w:bookmarkEnd w:id="149"/>
      <w:bookmarkEnd w:id="150"/>
    </w:p>
    <w:p w14:paraId="0E0DBF92">
      <w:pPr>
        <w:spacing w:line="360" w:lineRule="auto"/>
        <w:ind w:firstLine="480" w:firstLineChars="200"/>
        <w:rPr>
          <w:rFonts w:hint="eastAsia" w:hAnsi="宋体" w:cs="宋体"/>
          <w:bCs/>
          <w:szCs w:val="24"/>
          <w:highlight w:val="none"/>
        </w:rPr>
      </w:pPr>
      <w:r>
        <w:rPr>
          <w:rFonts w:hint="eastAsia" w:hAnsi="宋体" w:cs="宋体"/>
          <w:bCs/>
          <w:szCs w:val="24"/>
          <w:highlight w:val="none"/>
        </w:rPr>
        <w:t>备注：按照招标文件的要求编制的投标方案说明书（参照评分办法）。</w:t>
      </w:r>
    </w:p>
    <w:tbl>
      <w:tblPr>
        <w:tblStyle w:val="18"/>
        <w:tblpPr w:leftFromText="180" w:rightFromText="180" w:vertAnchor="text" w:horzAnchor="page" w:tblpX="1709" w:tblpY="938"/>
        <w:tblOverlap w:val="never"/>
        <w:tblW w:w="8837" w:type="dxa"/>
        <w:tblInd w:w="0" w:type="dxa"/>
        <w:tblLayout w:type="fixed"/>
        <w:tblCellMar>
          <w:top w:w="0" w:type="dxa"/>
          <w:left w:w="108" w:type="dxa"/>
          <w:bottom w:w="0" w:type="dxa"/>
          <w:right w:w="108" w:type="dxa"/>
        </w:tblCellMar>
      </w:tblPr>
      <w:tblGrid>
        <w:gridCol w:w="664"/>
        <w:gridCol w:w="2271"/>
        <w:gridCol w:w="1556"/>
        <w:gridCol w:w="1268"/>
        <w:gridCol w:w="2185"/>
        <w:gridCol w:w="893"/>
      </w:tblGrid>
      <w:tr w14:paraId="2C18BAA3">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112">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序号</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1FBF">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产品名称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C4EA">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品牌</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3FBE">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规格/型号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23E2">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参数描述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4FFF">
            <w:pPr>
              <w:widowControl/>
              <w:jc w:val="center"/>
              <w:textAlignment w:val="center"/>
              <w:rPr>
                <w:rFonts w:hint="eastAsia" w:hAnsi="宋体" w:cs="宋体"/>
                <w:color w:val="000000"/>
                <w:sz w:val="22"/>
                <w:szCs w:val="22"/>
                <w:highlight w:val="none"/>
                <w:lang w:bidi="ar"/>
              </w:rPr>
            </w:pPr>
            <w:r>
              <w:rPr>
                <w:rFonts w:hint="eastAsia" w:hAnsi="宋体" w:cs="宋体"/>
                <w:color w:val="000000"/>
                <w:sz w:val="22"/>
                <w:szCs w:val="22"/>
                <w:highlight w:val="none"/>
                <w:lang w:bidi="ar"/>
              </w:rPr>
              <w:t>备注</w:t>
            </w:r>
          </w:p>
        </w:tc>
      </w:tr>
      <w:tr w14:paraId="4A11277D">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C041">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4A91">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650E">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B5C3">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ADFD">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ACF0">
            <w:pPr>
              <w:rPr>
                <w:rFonts w:hint="eastAsia" w:hAnsi="宋体" w:cs="宋体"/>
                <w:color w:val="000000"/>
                <w:sz w:val="22"/>
                <w:szCs w:val="22"/>
                <w:highlight w:val="none"/>
              </w:rPr>
            </w:pPr>
          </w:p>
        </w:tc>
      </w:tr>
      <w:tr w14:paraId="00F33D82">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B803">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F727">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3F27">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68B">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785C">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308C">
            <w:pPr>
              <w:rPr>
                <w:rFonts w:hint="eastAsia" w:hAnsi="宋体" w:cs="宋体"/>
                <w:color w:val="000000"/>
                <w:sz w:val="22"/>
                <w:szCs w:val="22"/>
                <w:highlight w:val="none"/>
              </w:rPr>
            </w:pPr>
          </w:p>
        </w:tc>
      </w:tr>
      <w:tr w14:paraId="5828579D">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651E">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EEEB">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6322">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E290">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9EC">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3606">
            <w:pPr>
              <w:rPr>
                <w:rFonts w:hint="eastAsia" w:hAnsi="宋体" w:cs="宋体"/>
                <w:color w:val="000000"/>
                <w:sz w:val="22"/>
                <w:szCs w:val="22"/>
                <w:highlight w:val="none"/>
              </w:rPr>
            </w:pPr>
          </w:p>
        </w:tc>
      </w:tr>
      <w:tr w14:paraId="40EC1103">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0983">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4</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BA82">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7D9">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2BE2">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2DE2">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F417">
            <w:pPr>
              <w:rPr>
                <w:rFonts w:hint="eastAsia" w:hAnsi="宋体" w:cs="宋体"/>
                <w:color w:val="000000"/>
                <w:sz w:val="22"/>
                <w:szCs w:val="22"/>
                <w:highlight w:val="none"/>
              </w:rPr>
            </w:pPr>
          </w:p>
        </w:tc>
      </w:tr>
      <w:tr w14:paraId="7F50EBFA">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8744">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5</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1A1D">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9F47">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5157">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5BB0">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23B0">
            <w:pPr>
              <w:rPr>
                <w:rFonts w:hint="eastAsia" w:hAnsi="宋体" w:cs="宋体"/>
                <w:color w:val="000000"/>
                <w:sz w:val="22"/>
                <w:szCs w:val="22"/>
                <w:highlight w:val="none"/>
              </w:rPr>
            </w:pPr>
          </w:p>
        </w:tc>
      </w:tr>
      <w:tr w14:paraId="5542A177">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DC3D">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6</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0B45">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1A41">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EE53">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E7A1">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E088">
            <w:pPr>
              <w:rPr>
                <w:rFonts w:hint="eastAsia" w:hAnsi="宋体" w:cs="宋体"/>
                <w:color w:val="000000"/>
                <w:sz w:val="22"/>
                <w:szCs w:val="22"/>
                <w:highlight w:val="none"/>
              </w:rPr>
            </w:pPr>
          </w:p>
        </w:tc>
      </w:tr>
      <w:tr w14:paraId="72E46B30">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26D2">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4944">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7CAA">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39C3">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A391">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AE37">
            <w:pPr>
              <w:rPr>
                <w:rFonts w:hint="eastAsia" w:hAnsi="宋体" w:cs="宋体"/>
                <w:color w:val="000000"/>
                <w:sz w:val="22"/>
                <w:szCs w:val="22"/>
                <w:highlight w:val="none"/>
              </w:rPr>
            </w:pPr>
          </w:p>
        </w:tc>
      </w:tr>
      <w:tr w14:paraId="34C21732">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1044">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D60D">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5FED">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F193">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C38">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0CE9">
            <w:pPr>
              <w:rPr>
                <w:rFonts w:hint="eastAsia" w:hAnsi="宋体" w:cs="宋体"/>
                <w:color w:val="000000"/>
                <w:sz w:val="22"/>
                <w:szCs w:val="22"/>
                <w:highlight w:val="none"/>
              </w:rPr>
            </w:pPr>
          </w:p>
        </w:tc>
      </w:tr>
      <w:tr w14:paraId="544B591D">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96C2">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4FCA">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E4E2">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662E">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AF67">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E134">
            <w:pPr>
              <w:rPr>
                <w:rFonts w:hint="eastAsia" w:hAnsi="宋体" w:cs="宋体"/>
                <w:color w:val="000000"/>
                <w:sz w:val="22"/>
                <w:szCs w:val="22"/>
                <w:highlight w:val="none"/>
              </w:rPr>
            </w:pPr>
          </w:p>
        </w:tc>
      </w:tr>
      <w:tr w14:paraId="1FBD3897">
        <w:tblPrEx>
          <w:tblCellMar>
            <w:top w:w="0" w:type="dxa"/>
            <w:left w:w="108" w:type="dxa"/>
            <w:bottom w:w="0" w:type="dxa"/>
            <w:right w:w="108" w:type="dxa"/>
          </w:tblCellMar>
        </w:tblPrEx>
        <w:trPr>
          <w:trHeight w:val="38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837A">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C646">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34EF">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95EE">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B4E3">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31BF">
            <w:pPr>
              <w:rPr>
                <w:rFonts w:hint="eastAsia" w:hAnsi="宋体" w:cs="宋体"/>
                <w:color w:val="000000"/>
                <w:sz w:val="22"/>
                <w:szCs w:val="22"/>
                <w:highlight w:val="none"/>
              </w:rPr>
            </w:pPr>
          </w:p>
        </w:tc>
      </w:tr>
      <w:tr w14:paraId="66FDE628">
        <w:tblPrEx>
          <w:tblCellMar>
            <w:top w:w="0" w:type="dxa"/>
            <w:left w:w="108" w:type="dxa"/>
            <w:bottom w:w="0" w:type="dxa"/>
            <w:right w:w="108" w:type="dxa"/>
          </w:tblCellMar>
        </w:tblPrEx>
        <w:trPr>
          <w:trHeight w:val="39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C848">
            <w:pPr>
              <w:widowControl/>
              <w:jc w:val="center"/>
              <w:textAlignment w:val="center"/>
              <w:rPr>
                <w:rFonts w:hint="eastAsia" w:hAnsi="宋体" w:cs="宋体"/>
                <w:color w:val="000000"/>
                <w:sz w:val="22"/>
                <w:szCs w:val="22"/>
                <w:highlight w:val="none"/>
              </w:rPr>
            </w:pPr>
            <w:r>
              <w:rPr>
                <w:rFonts w:hint="eastAsia" w:hAnsi="宋体" w:cs="宋体"/>
                <w:color w:val="000000"/>
                <w:sz w:val="22"/>
                <w:szCs w:val="22"/>
                <w:highlight w:val="none"/>
                <w:lang w:bidi="ar"/>
              </w:rPr>
              <w:t>...</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3A51">
            <w:pPr>
              <w:rPr>
                <w:rFonts w:hint="eastAsia" w:hAnsi="宋体" w:cs="宋体"/>
                <w:color w:val="000000"/>
                <w:sz w:val="20"/>
                <w:highlight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E5D5">
            <w:pPr>
              <w:rPr>
                <w:rFonts w:hint="eastAsia" w:hAnsi="宋体" w:cs="宋体"/>
                <w:color w:val="000000"/>
                <w:sz w:val="22"/>
                <w:szCs w:val="22"/>
                <w:highlight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DCE4">
            <w:pPr>
              <w:rPr>
                <w:rFonts w:hint="eastAsia" w:hAnsi="宋体" w:cs="宋体"/>
                <w:color w:val="000000"/>
                <w:sz w:val="22"/>
                <w:szCs w:val="22"/>
                <w:highlight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FFBA">
            <w:pPr>
              <w:rPr>
                <w:rFonts w:hint="eastAsia" w:hAnsi="宋体" w:cs="宋体"/>
                <w:color w:val="000000"/>
                <w:sz w:val="22"/>
                <w:szCs w:val="22"/>
                <w:highlight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67CC">
            <w:pPr>
              <w:rPr>
                <w:rFonts w:hint="eastAsia" w:hAnsi="宋体" w:cs="宋体"/>
                <w:color w:val="000000"/>
                <w:sz w:val="22"/>
                <w:szCs w:val="22"/>
                <w:highlight w:val="none"/>
              </w:rPr>
            </w:pPr>
          </w:p>
        </w:tc>
      </w:tr>
    </w:tbl>
    <w:p w14:paraId="35737FB2">
      <w:pPr>
        <w:rPr>
          <w:rFonts w:hint="eastAsia" w:hAnsi="宋体" w:cs="宋体"/>
          <w:b/>
          <w:bCs/>
          <w:szCs w:val="24"/>
          <w:highlight w:val="none"/>
        </w:rPr>
      </w:pPr>
    </w:p>
    <w:p w14:paraId="2AF6B079">
      <w:pPr>
        <w:jc w:val="center"/>
        <w:rPr>
          <w:rFonts w:hint="eastAsia" w:hAnsi="宋体" w:cs="宋体"/>
          <w:bCs/>
          <w:szCs w:val="24"/>
          <w:highlight w:val="none"/>
        </w:rPr>
      </w:pPr>
      <w:r>
        <w:rPr>
          <w:rFonts w:hint="eastAsia" w:hAnsi="宋体" w:cs="宋体"/>
          <w:b/>
          <w:bCs/>
          <w:szCs w:val="24"/>
          <w:highlight w:val="none"/>
        </w:rPr>
        <w:t>产品信息一览表（合同包：</w:t>
      </w:r>
      <w:r>
        <w:rPr>
          <w:rFonts w:hint="eastAsia" w:hAnsi="宋体" w:cs="宋体"/>
          <w:b/>
          <w:bCs/>
          <w:szCs w:val="24"/>
          <w:highlight w:val="none"/>
          <w:u w:val="single"/>
        </w:rPr>
        <w:t xml:space="preserve">   </w:t>
      </w:r>
      <w:r>
        <w:rPr>
          <w:rFonts w:hint="eastAsia" w:hAnsi="宋体" w:cs="宋体"/>
          <w:b/>
          <w:bCs/>
          <w:szCs w:val="24"/>
          <w:highlight w:val="none"/>
        </w:rPr>
        <w:t>）</w:t>
      </w:r>
    </w:p>
    <w:p w14:paraId="54DCDF82">
      <w:pPr>
        <w:jc w:val="center"/>
        <w:rPr>
          <w:rFonts w:hint="eastAsia" w:hAnsi="宋体" w:cs="宋体"/>
          <w:b/>
          <w:bCs/>
          <w:szCs w:val="24"/>
          <w:highlight w:val="none"/>
        </w:rPr>
      </w:pPr>
    </w:p>
    <w:p w14:paraId="387757FE">
      <w:pPr>
        <w:rPr>
          <w:rFonts w:hint="eastAsia" w:hAnsi="宋体" w:cs="宋体"/>
          <w:b/>
          <w:bCs/>
          <w:szCs w:val="24"/>
          <w:highlight w:val="none"/>
        </w:rPr>
      </w:pPr>
    </w:p>
    <w:p w14:paraId="557775FA">
      <w:pPr>
        <w:rPr>
          <w:rFonts w:hint="eastAsia" w:hAnsi="宋体" w:cs="宋体"/>
          <w:b/>
          <w:bCs/>
          <w:szCs w:val="24"/>
          <w:highlight w:val="none"/>
        </w:rPr>
      </w:pPr>
      <w:r>
        <w:rPr>
          <w:rFonts w:hint="eastAsia" w:hAnsi="宋体" w:cs="宋体"/>
          <w:b/>
          <w:bCs/>
          <w:szCs w:val="24"/>
          <w:highlight w:val="none"/>
        </w:rPr>
        <w:t>注：产品信息一览表仅供参考，供应商可自行增加调整，但不得减少该表基本内容。</w:t>
      </w:r>
    </w:p>
    <w:p w14:paraId="62F5D554">
      <w:pPr>
        <w:jc w:val="left"/>
        <w:rPr>
          <w:highlight w:val="none"/>
        </w:rPr>
      </w:pPr>
    </w:p>
    <w:p w14:paraId="0C05EBBC">
      <w:pPr>
        <w:rPr>
          <w:rFonts w:hint="eastAsia" w:hAnsi="宋体" w:cs="宋体"/>
          <w:szCs w:val="24"/>
          <w:highlight w:val="none"/>
        </w:rPr>
      </w:pPr>
    </w:p>
    <w:p w14:paraId="5A313435">
      <w:pPr>
        <w:rPr>
          <w:rFonts w:hint="eastAsia" w:hAnsi="宋体"/>
          <w:b/>
          <w:szCs w:val="24"/>
          <w:highlight w:val="none"/>
        </w:rPr>
      </w:pPr>
      <w:r>
        <w:rPr>
          <w:rFonts w:hint="eastAsia" w:hAnsi="宋体"/>
          <w:b/>
          <w:szCs w:val="24"/>
          <w:highlight w:val="none"/>
        </w:rPr>
        <w:br w:type="page"/>
      </w:r>
    </w:p>
    <w:p w14:paraId="2CACB5D7">
      <w:pPr>
        <w:spacing w:after="120"/>
        <w:rPr>
          <w:rFonts w:hint="eastAsia" w:hAnsi="宋体"/>
          <w:b/>
          <w:szCs w:val="24"/>
          <w:highlight w:val="none"/>
        </w:rPr>
      </w:pPr>
      <w:r>
        <w:rPr>
          <w:rFonts w:hint="eastAsia" w:hAnsi="宋体"/>
          <w:b/>
          <w:szCs w:val="24"/>
          <w:highlight w:val="none"/>
        </w:rPr>
        <w:t>附表1：</w:t>
      </w:r>
    </w:p>
    <w:p w14:paraId="78C8B1C0">
      <w:pPr>
        <w:spacing w:after="120"/>
        <w:jc w:val="center"/>
        <w:rPr>
          <w:rFonts w:hint="eastAsia" w:hAnsi="宋体"/>
          <w:b/>
          <w:sz w:val="32"/>
          <w:szCs w:val="32"/>
          <w:highlight w:val="none"/>
        </w:rPr>
      </w:pPr>
      <w:r>
        <w:rPr>
          <w:rFonts w:hint="eastAsia" w:hAnsi="宋体"/>
          <w:b/>
          <w:sz w:val="32"/>
          <w:szCs w:val="32"/>
          <w:highlight w:val="none"/>
        </w:rPr>
        <w:t>技术规格响应表</w:t>
      </w:r>
    </w:p>
    <w:p w14:paraId="4657F8E1">
      <w:pPr>
        <w:spacing w:after="120"/>
        <w:rPr>
          <w:rFonts w:hint="eastAsia" w:hAnsi="宋体"/>
          <w:szCs w:val="24"/>
          <w:highlight w:val="none"/>
        </w:rPr>
      </w:pPr>
      <w:r>
        <w:rPr>
          <w:rFonts w:hint="eastAsia" w:hAnsi="宋体"/>
          <w:szCs w:val="24"/>
          <w:highlight w:val="none"/>
        </w:rPr>
        <w:t>项目名称：</w:t>
      </w:r>
    </w:p>
    <w:p w14:paraId="37F39965">
      <w:pPr>
        <w:jc w:val="left"/>
        <w:rPr>
          <w:rFonts w:hint="eastAsia" w:hAnsi="宋体" w:cs="宋体"/>
          <w:bCs/>
          <w:szCs w:val="24"/>
          <w:highlight w:val="none"/>
          <w:u w:val="single"/>
        </w:rPr>
      </w:pPr>
      <w:r>
        <w:rPr>
          <w:rFonts w:hint="eastAsia" w:hAnsi="宋体"/>
          <w:szCs w:val="24"/>
          <w:highlight w:val="none"/>
        </w:rPr>
        <w:t>项目编号：</w:t>
      </w:r>
      <w:r>
        <w:rPr>
          <w:rFonts w:hint="eastAsia" w:hAnsi="宋体" w:cs="宋体"/>
          <w:bCs/>
          <w:szCs w:val="24"/>
          <w:highlight w:val="none"/>
        </w:rPr>
        <w:t>合同包：</w:t>
      </w:r>
      <w:r>
        <w:rPr>
          <w:rFonts w:hint="eastAsia" w:hAnsi="宋体" w:cs="宋体"/>
          <w:bCs/>
          <w:szCs w:val="24"/>
          <w:highlight w:val="none"/>
          <w:u w:val="single"/>
        </w:rPr>
        <w:t xml:space="preserve">   </w:t>
      </w:r>
    </w:p>
    <w:p w14:paraId="17508060">
      <w:pPr>
        <w:spacing w:after="120"/>
        <w:ind w:firstLine="120" w:firstLineChars="50"/>
        <w:rPr>
          <w:rFonts w:hint="eastAsia" w:hAnsi="宋体"/>
          <w:szCs w:val="24"/>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076F6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06599DB3">
            <w:pPr>
              <w:spacing w:before="166" w:beforeLines="50"/>
              <w:jc w:val="center"/>
              <w:rPr>
                <w:rFonts w:hint="eastAsia" w:hAnsi="宋体"/>
                <w:szCs w:val="24"/>
                <w:highlight w:val="none"/>
              </w:rPr>
            </w:pPr>
            <w:r>
              <w:rPr>
                <w:rFonts w:hint="eastAsia" w:hAnsi="宋体"/>
                <w:szCs w:val="24"/>
                <w:highlight w:val="none"/>
              </w:rPr>
              <w:t>序号</w:t>
            </w:r>
          </w:p>
        </w:tc>
        <w:tc>
          <w:tcPr>
            <w:tcW w:w="1276" w:type="dxa"/>
            <w:tcBorders>
              <w:bottom w:val="nil"/>
            </w:tcBorders>
          </w:tcPr>
          <w:p w14:paraId="37037FB2">
            <w:pPr>
              <w:spacing w:before="166" w:beforeLines="50"/>
              <w:jc w:val="center"/>
              <w:rPr>
                <w:rFonts w:hint="eastAsia" w:hAnsi="宋体"/>
                <w:szCs w:val="24"/>
                <w:highlight w:val="none"/>
              </w:rPr>
            </w:pPr>
            <w:r>
              <w:rPr>
                <w:rFonts w:hint="eastAsia" w:hAnsi="宋体"/>
                <w:szCs w:val="24"/>
                <w:highlight w:val="none"/>
              </w:rPr>
              <w:t>产品名称</w:t>
            </w:r>
          </w:p>
        </w:tc>
        <w:tc>
          <w:tcPr>
            <w:tcW w:w="2268" w:type="dxa"/>
            <w:tcBorders>
              <w:bottom w:val="nil"/>
            </w:tcBorders>
          </w:tcPr>
          <w:p w14:paraId="1C4694D3">
            <w:pPr>
              <w:spacing w:before="166" w:beforeLines="50"/>
              <w:jc w:val="center"/>
              <w:rPr>
                <w:rFonts w:hint="eastAsia" w:hAnsi="宋体"/>
                <w:szCs w:val="24"/>
                <w:highlight w:val="none"/>
              </w:rPr>
            </w:pPr>
            <w:r>
              <w:rPr>
                <w:rFonts w:hint="eastAsia" w:hAnsi="宋体"/>
                <w:szCs w:val="24"/>
                <w:highlight w:val="none"/>
              </w:rPr>
              <w:t>招标规格 ☆1</w:t>
            </w:r>
          </w:p>
        </w:tc>
        <w:tc>
          <w:tcPr>
            <w:tcW w:w="2781" w:type="dxa"/>
            <w:tcBorders>
              <w:bottom w:val="nil"/>
            </w:tcBorders>
          </w:tcPr>
          <w:p w14:paraId="5AC82F3A">
            <w:pPr>
              <w:spacing w:before="166" w:beforeLines="50"/>
              <w:jc w:val="center"/>
              <w:rPr>
                <w:rFonts w:hint="eastAsia" w:hAnsi="宋体"/>
                <w:szCs w:val="24"/>
                <w:highlight w:val="none"/>
              </w:rPr>
            </w:pPr>
            <w:r>
              <w:rPr>
                <w:rFonts w:hint="eastAsia" w:hAnsi="宋体"/>
                <w:szCs w:val="24"/>
                <w:highlight w:val="none"/>
              </w:rPr>
              <w:t>投标规格 ☆2</w:t>
            </w:r>
          </w:p>
        </w:tc>
        <w:tc>
          <w:tcPr>
            <w:tcW w:w="1188" w:type="dxa"/>
            <w:tcBorders>
              <w:bottom w:val="nil"/>
            </w:tcBorders>
          </w:tcPr>
          <w:p w14:paraId="4CC8B656">
            <w:pPr>
              <w:spacing w:before="166" w:beforeLines="50"/>
              <w:jc w:val="center"/>
              <w:rPr>
                <w:rFonts w:hint="eastAsia" w:hAnsi="宋体"/>
                <w:szCs w:val="24"/>
                <w:highlight w:val="none"/>
              </w:rPr>
            </w:pPr>
            <w:r>
              <w:rPr>
                <w:rFonts w:hint="eastAsia" w:hAnsi="宋体"/>
                <w:szCs w:val="24"/>
                <w:highlight w:val="none"/>
              </w:rPr>
              <w:t>偏离说明</w:t>
            </w:r>
          </w:p>
        </w:tc>
        <w:tc>
          <w:tcPr>
            <w:tcW w:w="594" w:type="dxa"/>
            <w:tcBorders>
              <w:bottom w:val="nil"/>
            </w:tcBorders>
          </w:tcPr>
          <w:p w14:paraId="4B07DB28">
            <w:pPr>
              <w:spacing w:before="166" w:beforeLines="50"/>
              <w:jc w:val="center"/>
              <w:rPr>
                <w:rFonts w:hint="eastAsia" w:hAnsi="宋体"/>
                <w:szCs w:val="24"/>
                <w:highlight w:val="none"/>
              </w:rPr>
            </w:pPr>
            <w:r>
              <w:rPr>
                <w:rFonts w:hint="eastAsia" w:hAnsi="宋体"/>
                <w:szCs w:val="24"/>
                <w:highlight w:val="none"/>
              </w:rPr>
              <w:t>备注</w:t>
            </w:r>
          </w:p>
        </w:tc>
      </w:tr>
      <w:tr w14:paraId="4AF02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57AF7B40">
            <w:pPr>
              <w:rPr>
                <w:rFonts w:hint="eastAsia" w:hAnsi="宋体"/>
                <w:szCs w:val="24"/>
                <w:highlight w:val="none"/>
              </w:rPr>
            </w:pPr>
          </w:p>
        </w:tc>
        <w:tc>
          <w:tcPr>
            <w:tcW w:w="1276" w:type="dxa"/>
            <w:tcBorders>
              <w:top w:val="single" w:color="auto" w:sz="12" w:space="0"/>
              <w:left w:val="single" w:color="auto" w:sz="6" w:space="0"/>
              <w:bottom w:val="nil"/>
              <w:right w:val="single" w:color="auto" w:sz="6" w:space="0"/>
            </w:tcBorders>
          </w:tcPr>
          <w:p w14:paraId="02183B38">
            <w:pPr>
              <w:rPr>
                <w:rFonts w:hint="eastAsia" w:hAnsi="宋体"/>
                <w:szCs w:val="24"/>
                <w:highlight w:val="none"/>
              </w:rPr>
            </w:pPr>
          </w:p>
        </w:tc>
        <w:tc>
          <w:tcPr>
            <w:tcW w:w="2268" w:type="dxa"/>
            <w:tcBorders>
              <w:top w:val="single" w:color="auto" w:sz="12" w:space="0"/>
              <w:left w:val="single" w:color="auto" w:sz="6" w:space="0"/>
              <w:bottom w:val="nil"/>
              <w:right w:val="single" w:color="auto" w:sz="6" w:space="0"/>
            </w:tcBorders>
          </w:tcPr>
          <w:p w14:paraId="76A47535">
            <w:pPr>
              <w:rPr>
                <w:rFonts w:hint="eastAsia" w:hAnsi="宋体"/>
                <w:szCs w:val="24"/>
                <w:highlight w:val="none"/>
              </w:rPr>
            </w:pPr>
          </w:p>
        </w:tc>
        <w:tc>
          <w:tcPr>
            <w:tcW w:w="2781" w:type="dxa"/>
            <w:tcBorders>
              <w:top w:val="single" w:color="auto" w:sz="12" w:space="0"/>
              <w:left w:val="single" w:color="auto" w:sz="6" w:space="0"/>
              <w:bottom w:val="nil"/>
              <w:right w:val="single" w:color="auto" w:sz="6" w:space="0"/>
            </w:tcBorders>
          </w:tcPr>
          <w:p w14:paraId="1E31765B">
            <w:pPr>
              <w:rPr>
                <w:rFonts w:hint="eastAsia" w:hAnsi="宋体"/>
                <w:szCs w:val="24"/>
                <w:highlight w:val="none"/>
              </w:rPr>
            </w:pPr>
          </w:p>
        </w:tc>
        <w:tc>
          <w:tcPr>
            <w:tcW w:w="1188" w:type="dxa"/>
            <w:tcBorders>
              <w:top w:val="single" w:color="auto" w:sz="12" w:space="0"/>
              <w:left w:val="single" w:color="auto" w:sz="6" w:space="0"/>
              <w:bottom w:val="nil"/>
              <w:right w:val="single" w:color="auto" w:sz="6" w:space="0"/>
            </w:tcBorders>
          </w:tcPr>
          <w:p w14:paraId="6A965474">
            <w:pPr>
              <w:rPr>
                <w:rFonts w:hint="eastAsia" w:hAnsi="宋体"/>
                <w:szCs w:val="24"/>
                <w:highlight w:val="none"/>
              </w:rPr>
            </w:pPr>
          </w:p>
        </w:tc>
        <w:tc>
          <w:tcPr>
            <w:tcW w:w="594" w:type="dxa"/>
            <w:tcBorders>
              <w:top w:val="single" w:color="auto" w:sz="12" w:space="0"/>
              <w:left w:val="single" w:color="auto" w:sz="6" w:space="0"/>
              <w:bottom w:val="nil"/>
              <w:right w:val="single" w:color="auto" w:sz="12" w:space="0"/>
            </w:tcBorders>
          </w:tcPr>
          <w:p w14:paraId="2432C65A">
            <w:pPr>
              <w:rPr>
                <w:rFonts w:hint="eastAsia" w:hAnsi="宋体"/>
                <w:szCs w:val="24"/>
                <w:highlight w:val="none"/>
              </w:rPr>
            </w:pPr>
          </w:p>
        </w:tc>
      </w:tr>
      <w:tr w14:paraId="44AD6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7A0FC0A7">
            <w:pPr>
              <w:rPr>
                <w:rFonts w:hint="eastAsia" w:hAnsi="宋体"/>
                <w:szCs w:val="24"/>
                <w:highlight w:val="none"/>
              </w:rPr>
            </w:pPr>
          </w:p>
        </w:tc>
        <w:tc>
          <w:tcPr>
            <w:tcW w:w="1276" w:type="dxa"/>
            <w:tcBorders>
              <w:top w:val="nil"/>
            </w:tcBorders>
          </w:tcPr>
          <w:p w14:paraId="495EB4BD">
            <w:pPr>
              <w:rPr>
                <w:rFonts w:hint="eastAsia" w:hAnsi="宋体"/>
                <w:szCs w:val="24"/>
                <w:highlight w:val="none"/>
              </w:rPr>
            </w:pPr>
          </w:p>
        </w:tc>
        <w:tc>
          <w:tcPr>
            <w:tcW w:w="2268" w:type="dxa"/>
            <w:tcBorders>
              <w:top w:val="nil"/>
            </w:tcBorders>
          </w:tcPr>
          <w:p w14:paraId="51488A0E">
            <w:pPr>
              <w:rPr>
                <w:rFonts w:hint="eastAsia" w:hAnsi="宋体"/>
                <w:szCs w:val="24"/>
                <w:highlight w:val="none"/>
              </w:rPr>
            </w:pPr>
          </w:p>
        </w:tc>
        <w:tc>
          <w:tcPr>
            <w:tcW w:w="2781" w:type="dxa"/>
            <w:tcBorders>
              <w:top w:val="nil"/>
            </w:tcBorders>
          </w:tcPr>
          <w:p w14:paraId="66E51B4B">
            <w:pPr>
              <w:rPr>
                <w:rFonts w:hint="eastAsia" w:hAnsi="宋体"/>
                <w:szCs w:val="24"/>
                <w:highlight w:val="none"/>
              </w:rPr>
            </w:pPr>
          </w:p>
        </w:tc>
        <w:tc>
          <w:tcPr>
            <w:tcW w:w="1188" w:type="dxa"/>
            <w:tcBorders>
              <w:top w:val="nil"/>
            </w:tcBorders>
          </w:tcPr>
          <w:p w14:paraId="7E54EEC6">
            <w:pPr>
              <w:rPr>
                <w:rFonts w:hint="eastAsia" w:hAnsi="宋体"/>
                <w:szCs w:val="24"/>
                <w:highlight w:val="none"/>
              </w:rPr>
            </w:pPr>
          </w:p>
        </w:tc>
        <w:tc>
          <w:tcPr>
            <w:tcW w:w="594" w:type="dxa"/>
            <w:tcBorders>
              <w:top w:val="nil"/>
            </w:tcBorders>
          </w:tcPr>
          <w:p w14:paraId="1B591CAA">
            <w:pPr>
              <w:rPr>
                <w:rFonts w:hint="eastAsia" w:hAnsi="宋体"/>
                <w:szCs w:val="24"/>
                <w:highlight w:val="none"/>
              </w:rPr>
            </w:pPr>
          </w:p>
        </w:tc>
      </w:tr>
    </w:tbl>
    <w:p w14:paraId="4C53014B">
      <w:pPr>
        <w:rPr>
          <w:rFonts w:hint="eastAsia" w:hAnsi="宋体"/>
          <w:highlight w:val="none"/>
        </w:rPr>
      </w:pPr>
    </w:p>
    <w:p w14:paraId="27656B3F">
      <w:pPr>
        <w:rPr>
          <w:rFonts w:hint="eastAsia" w:hAnsi="宋体"/>
          <w:highlight w:val="none"/>
        </w:rPr>
      </w:pPr>
    </w:p>
    <w:p w14:paraId="78D010EC">
      <w:pPr>
        <w:rPr>
          <w:rFonts w:hint="eastAsia" w:hAnsi="宋体"/>
          <w:szCs w:val="24"/>
          <w:highlight w:val="none"/>
        </w:rPr>
      </w:pPr>
    </w:p>
    <w:p w14:paraId="6126210C">
      <w:pPr>
        <w:spacing w:line="280" w:lineRule="exact"/>
        <w:ind w:firstLine="120" w:firstLineChars="50"/>
        <w:rPr>
          <w:rFonts w:hint="eastAsia" w:hAnsi="宋体"/>
          <w:szCs w:val="24"/>
          <w:highlight w:val="none"/>
        </w:rPr>
      </w:pPr>
      <w:r>
        <w:rPr>
          <w:rFonts w:hint="eastAsia"/>
          <w:highlight w:val="none"/>
        </w:rPr>
        <w:t>法定代表人或被授权人（签字或盖章）</w:t>
      </w:r>
      <w:r>
        <w:rPr>
          <w:rFonts w:hint="eastAsia" w:hAnsi="宋体"/>
          <w:szCs w:val="24"/>
          <w:highlight w:val="none"/>
        </w:rPr>
        <w:t>:</w:t>
      </w:r>
    </w:p>
    <w:p w14:paraId="0ECEB82F">
      <w:pPr>
        <w:tabs>
          <w:tab w:val="left" w:pos="3045"/>
        </w:tabs>
        <w:spacing w:line="280" w:lineRule="exact"/>
        <w:rPr>
          <w:rFonts w:hint="eastAsia" w:hAnsi="宋体"/>
          <w:szCs w:val="24"/>
          <w:highlight w:val="none"/>
        </w:rPr>
      </w:pPr>
    </w:p>
    <w:p w14:paraId="2B7C88FD">
      <w:pPr>
        <w:spacing w:line="280" w:lineRule="exact"/>
        <w:rPr>
          <w:rFonts w:hint="eastAsia" w:hAnsi="宋体"/>
          <w:szCs w:val="24"/>
          <w:highlight w:val="none"/>
        </w:rPr>
      </w:pPr>
    </w:p>
    <w:p w14:paraId="63A0284D">
      <w:pPr>
        <w:spacing w:line="280" w:lineRule="exact"/>
        <w:ind w:firstLine="120" w:firstLineChars="50"/>
        <w:rPr>
          <w:rFonts w:hint="eastAsia" w:hAnsi="宋体"/>
          <w:szCs w:val="24"/>
          <w:highlight w:val="none"/>
        </w:rPr>
      </w:pPr>
      <w:r>
        <w:rPr>
          <w:rFonts w:hint="eastAsia" w:hAnsi="宋体"/>
          <w:szCs w:val="24"/>
          <w:highlight w:val="none"/>
        </w:rPr>
        <w:t>公      章：</w:t>
      </w:r>
    </w:p>
    <w:p w14:paraId="1236FC60">
      <w:pPr>
        <w:rPr>
          <w:rFonts w:hint="eastAsia" w:hAnsi="宋体"/>
          <w:szCs w:val="24"/>
          <w:highlight w:val="none"/>
        </w:rPr>
      </w:pPr>
    </w:p>
    <w:p w14:paraId="627C9FA7">
      <w:pPr>
        <w:spacing w:line="360" w:lineRule="auto"/>
        <w:ind w:left="1560" w:hanging="1560" w:hangingChars="650"/>
        <w:rPr>
          <w:rFonts w:hint="eastAsia" w:hAnsi="宋体"/>
          <w:szCs w:val="24"/>
          <w:highlight w:val="none"/>
        </w:rPr>
      </w:pPr>
      <w:r>
        <w:rPr>
          <w:rFonts w:hint="eastAsia" w:hAnsi="宋体"/>
          <w:szCs w:val="24"/>
          <w:highlight w:val="none"/>
        </w:rPr>
        <w:t>注:  1.  ☆1指招标文件中的技术规格(参数),供应商应按照招标文件中的内容逐条抄写。</w:t>
      </w:r>
    </w:p>
    <w:p w14:paraId="6205AD05">
      <w:pPr>
        <w:spacing w:line="360" w:lineRule="auto"/>
        <w:ind w:left="1560" w:hanging="1560" w:hangingChars="650"/>
        <w:rPr>
          <w:rFonts w:hint="eastAsia" w:hAnsi="宋体"/>
          <w:szCs w:val="24"/>
          <w:highlight w:val="none"/>
        </w:rPr>
      </w:pPr>
      <w:r>
        <w:rPr>
          <w:rFonts w:hint="eastAsia" w:hAnsi="宋体"/>
          <w:szCs w:val="24"/>
          <w:highlight w:val="none"/>
        </w:rPr>
        <w:t xml:space="preserve">     2.  ☆2指供应商拟提供的招标产品的功能及技术规格(参数),供应商应逐条如实填写并提供相应的支持文件。 </w:t>
      </w:r>
    </w:p>
    <w:p w14:paraId="0ECB937A">
      <w:pPr>
        <w:rPr>
          <w:rFonts w:hint="eastAsia" w:hAnsi="宋体"/>
          <w:highlight w:val="none"/>
        </w:rPr>
      </w:pPr>
      <w:r>
        <w:rPr>
          <w:rFonts w:hint="eastAsia" w:hAnsi="宋体"/>
          <w:szCs w:val="24"/>
          <w:highlight w:val="none"/>
        </w:rPr>
        <w:t xml:space="preserve">     </w:t>
      </w:r>
      <w:r>
        <w:rPr>
          <w:rFonts w:hint="eastAsia" w:hAnsi="宋体"/>
          <w:highlight w:val="none"/>
        </w:rPr>
        <w:t>3.     偏离说明填写：优于、满足或低于。</w:t>
      </w:r>
    </w:p>
    <w:p w14:paraId="32E5700F">
      <w:pPr>
        <w:rPr>
          <w:rFonts w:hint="eastAsia" w:hAnsi="宋体"/>
          <w:highlight w:val="none"/>
        </w:rPr>
      </w:pPr>
      <w:r>
        <w:rPr>
          <w:rFonts w:hint="eastAsia" w:hAnsi="宋体"/>
          <w:highlight w:val="none"/>
        </w:rPr>
        <w:br w:type="page"/>
      </w:r>
    </w:p>
    <w:p w14:paraId="2708C6E4">
      <w:pPr>
        <w:pStyle w:val="4"/>
        <w:spacing w:before="333" w:beforeLines="100"/>
        <w:ind w:firstLine="321" w:firstLineChars="100"/>
        <w:rPr>
          <w:rFonts w:hint="eastAsia" w:ascii="宋体" w:hAnsi="宋体" w:cs="宋体"/>
          <w:sz w:val="32"/>
          <w:szCs w:val="32"/>
          <w:highlight w:val="none"/>
        </w:rPr>
      </w:pPr>
      <w:bookmarkStart w:id="151" w:name="_Toc2621"/>
      <w:bookmarkStart w:id="152" w:name="_Toc363474032"/>
      <w:bookmarkStart w:id="153" w:name="_Toc23455"/>
      <w:bookmarkStart w:id="154" w:name="_Toc1379"/>
      <w:bookmarkStart w:id="155" w:name="_Toc9218"/>
      <w:bookmarkStart w:id="156" w:name="_Toc426457713"/>
      <w:bookmarkStart w:id="157" w:name="_Toc21284"/>
      <w:bookmarkStart w:id="158" w:name="_Toc403077655"/>
      <w:bookmarkStart w:id="159" w:name="_Toc13421"/>
      <w:bookmarkStart w:id="160" w:name="_Toc2700"/>
      <w:bookmarkStart w:id="161" w:name="_Toc17364"/>
      <w:bookmarkStart w:id="162" w:name="_Toc4633"/>
      <w:bookmarkStart w:id="163" w:name="_Toc19497"/>
      <w:r>
        <w:rPr>
          <w:rFonts w:hint="eastAsia" w:ascii="宋体" w:hAnsi="宋体" w:cs="宋体"/>
          <w:sz w:val="32"/>
          <w:szCs w:val="32"/>
          <w:highlight w:val="none"/>
        </w:rPr>
        <w:t>四、</w:t>
      </w:r>
      <w:bookmarkEnd w:id="151"/>
      <w:bookmarkEnd w:id="152"/>
      <w:bookmarkEnd w:id="153"/>
      <w:bookmarkEnd w:id="154"/>
      <w:bookmarkEnd w:id="155"/>
      <w:bookmarkEnd w:id="156"/>
      <w:bookmarkEnd w:id="157"/>
      <w:bookmarkEnd w:id="158"/>
      <w:r>
        <w:rPr>
          <w:rFonts w:hint="eastAsia" w:ascii="宋体" w:hAnsi="宋体" w:cs="宋体"/>
          <w:sz w:val="32"/>
          <w:szCs w:val="32"/>
          <w:highlight w:val="none"/>
        </w:rPr>
        <w:t>商务条款偏离表</w:t>
      </w:r>
      <w:bookmarkEnd w:id="159"/>
      <w:bookmarkEnd w:id="160"/>
      <w:bookmarkEnd w:id="161"/>
      <w:bookmarkEnd w:id="162"/>
      <w:bookmarkEnd w:id="163"/>
    </w:p>
    <w:p w14:paraId="16C2F1B2">
      <w:pPr>
        <w:spacing w:after="120"/>
        <w:rPr>
          <w:rFonts w:hint="eastAsia" w:hAnsi="宋体"/>
          <w:szCs w:val="24"/>
          <w:highlight w:val="none"/>
        </w:rPr>
      </w:pPr>
      <w:r>
        <w:rPr>
          <w:rFonts w:hint="eastAsia" w:hAnsi="宋体"/>
          <w:szCs w:val="24"/>
          <w:highlight w:val="none"/>
        </w:rPr>
        <w:t>项目名称：</w:t>
      </w:r>
    </w:p>
    <w:p w14:paraId="4FBEFD79">
      <w:pPr>
        <w:jc w:val="left"/>
        <w:rPr>
          <w:rFonts w:hint="eastAsia" w:hAnsi="宋体" w:cs="宋体"/>
          <w:bCs/>
          <w:szCs w:val="24"/>
          <w:highlight w:val="none"/>
          <w:u w:val="single"/>
        </w:rPr>
      </w:pPr>
      <w:r>
        <w:rPr>
          <w:rFonts w:hint="eastAsia" w:hAnsi="宋体"/>
          <w:szCs w:val="24"/>
          <w:highlight w:val="none"/>
        </w:rPr>
        <w:t>项目编号：</w:t>
      </w:r>
      <w:r>
        <w:rPr>
          <w:rFonts w:hint="eastAsia" w:hAnsi="宋体" w:cs="宋体"/>
          <w:bCs/>
          <w:szCs w:val="24"/>
          <w:highlight w:val="none"/>
        </w:rPr>
        <w:t>合同包：</w:t>
      </w:r>
      <w:r>
        <w:rPr>
          <w:rFonts w:hint="eastAsia" w:hAnsi="宋体" w:cs="宋体"/>
          <w:bCs/>
          <w:szCs w:val="24"/>
          <w:highlight w:val="none"/>
          <w:u w:val="single"/>
        </w:rPr>
        <w:t xml:space="preserve">   </w:t>
      </w:r>
    </w:p>
    <w:p w14:paraId="6D0EF38E">
      <w:pPr>
        <w:pStyle w:val="17"/>
        <w:widowControl w:val="0"/>
        <w:spacing w:before="0" w:beforeAutospacing="0" w:after="0" w:afterAutospacing="0"/>
        <w:ind w:firstLine="480" w:firstLineChars="200"/>
        <w:jc w:val="center"/>
        <w:rPr>
          <w:rFonts w:hint="eastAsia" w:cs="宋体"/>
          <w:highlight w:val="none"/>
        </w:rPr>
      </w:pPr>
    </w:p>
    <w:tbl>
      <w:tblPr>
        <w:tblStyle w:val="18"/>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474C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1A27E4D">
            <w:pPr>
              <w:pStyle w:val="17"/>
              <w:widowControl w:val="0"/>
              <w:spacing w:before="0" w:beforeAutospacing="0" w:after="0" w:afterAutospacing="0"/>
              <w:jc w:val="center"/>
              <w:rPr>
                <w:rFonts w:hint="eastAsia"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01D44996">
            <w:pPr>
              <w:pStyle w:val="17"/>
              <w:widowControl w:val="0"/>
              <w:spacing w:before="0" w:beforeAutospacing="0" w:after="0" w:afterAutospacing="0"/>
              <w:jc w:val="center"/>
              <w:rPr>
                <w:rFonts w:hint="eastAsia"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4817AB7A">
            <w:pPr>
              <w:pStyle w:val="17"/>
              <w:widowControl w:val="0"/>
              <w:spacing w:before="0" w:beforeAutospacing="0" w:after="0" w:afterAutospacing="0"/>
              <w:jc w:val="center"/>
              <w:rPr>
                <w:rFonts w:hint="eastAsia"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4F1A32B3">
            <w:pPr>
              <w:pStyle w:val="17"/>
              <w:widowControl w:val="0"/>
              <w:spacing w:before="0" w:beforeAutospacing="0" w:after="0" w:afterAutospacing="0"/>
              <w:jc w:val="center"/>
              <w:rPr>
                <w:rFonts w:hint="eastAsia"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3B17E388">
            <w:pPr>
              <w:pStyle w:val="17"/>
              <w:widowControl w:val="0"/>
              <w:spacing w:before="0" w:beforeAutospacing="0" w:after="0" w:afterAutospacing="0"/>
              <w:jc w:val="center"/>
              <w:rPr>
                <w:rFonts w:hint="eastAsia"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1E809E77">
            <w:pPr>
              <w:pStyle w:val="17"/>
              <w:widowControl w:val="0"/>
              <w:spacing w:before="0" w:beforeAutospacing="0" w:after="0" w:afterAutospacing="0"/>
              <w:jc w:val="center"/>
              <w:rPr>
                <w:rFonts w:hint="eastAsia" w:cs="宋体"/>
                <w:highlight w:val="none"/>
              </w:rPr>
            </w:pPr>
            <w:r>
              <w:rPr>
                <w:rFonts w:hint="eastAsia" w:cs="宋体"/>
                <w:highlight w:val="none"/>
              </w:rPr>
              <w:t>说明</w:t>
            </w:r>
          </w:p>
        </w:tc>
      </w:tr>
      <w:tr w14:paraId="2FC6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BDCD034">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12C394C">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89F13B7">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C43E1B">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8F577F">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E1C53C4">
            <w:pPr>
              <w:pStyle w:val="17"/>
              <w:widowControl w:val="0"/>
              <w:spacing w:before="0" w:beforeAutospacing="0" w:after="0" w:afterAutospacing="0"/>
              <w:ind w:firstLine="480" w:firstLineChars="200"/>
              <w:jc w:val="center"/>
              <w:rPr>
                <w:rFonts w:hint="eastAsia" w:cs="宋体"/>
                <w:highlight w:val="none"/>
              </w:rPr>
            </w:pPr>
          </w:p>
        </w:tc>
      </w:tr>
      <w:tr w14:paraId="78BF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B5BF4C">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278ACF6">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9037DA">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9BB81E8">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7387B6">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02A1048">
            <w:pPr>
              <w:pStyle w:val="17"/>
              <w:widowControl w:val="0"/>
              <w:spacing w:before="0" w:beforeAutospacing="0" w:after="0" w:afterAutospacing="0"/>
              <w:ind w:firstLine="480" w:firstLineChars="200"/>
              <w:jc w:val="center"/>
              <w:rPr>
                <w:rFonts w:hint="eastAsia" w:cs="宋体"/>
                <w:highlight w:val="none"/>
              </w:rPr>
            </w:pPr>
          </w:p>
        </w:tc>
      </w:tr>
      <w:tr w14:paraId="6E32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486E729">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65EF247">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381543A">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3890505">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926364">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CFBAD3F">
            <w:pPr>
              <w:pStyle w:val="17"/>
              <w:widowControl w:val="0"/>
              <w:spacing w:before="0" w:beforeAutospacing="0" w:after="0" w:afterAutospacing="0"/>
              <w:ind w:firstLine="480" w:firstLineChars="200"/>
              <w:jc w:val="center"/>
              <w:rPr>
                <w:rFonts w:hint="eastAsia" w:cs="宋体"/>
                <w:highlight w:val="none"/>
              </w:rPr>
            </w:pPr>
          </w:p>
        </w:tc>
      </w:tr>
      <w:tr w14:paraId="144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6EA2D37">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0D55F23">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4AF987C">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F798D8F">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388FD9">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5F35D0F">
            <w:pPr>
              <w:pStyle w:val="17"/>
              <w:widowControl w:val="0"/>
              <w:spacing w:before="0" w:beforeAutospacing="0" w:after="0" w:afterAutospacing="0"/>
              <w:ind w:firstLine="480" w:firstLineChars="200"/>
              <w:jc w:val="center"/>
              <w:rPr>
                <w:rFonts w:hint="eastAsia" w:cs="宋体"/>
                <w:highlight w:val="none"/>
              </w:rPr>
            </w:pPr>
          </w:p>
        </w:tc>
      </w:tr>
      <w:tr w14:paraId="0F1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A4E8873">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1D59286">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962E3FD">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1D13B6C">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E18843">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13526B8">
            <w:pPr>
              <w:pStyle w:val="17"/>
              <w:widowControl w:val="0"/>
              <w:spacing w:before="0" w:beforeAutospacing="0" w:after="0" w:afterAutospacing="0"/>
              <w:ind w:firstLine="480" w:firstLineChars="200"/>
              <w:jc w:val="center"/>
              <w:rPr>
                <w:rFonts w:hint="eastAsia" w:cs="宋体"/>
                <w:highlight w:val="none"/>
              </w:rPr>
            </w:pPr>
          </w:p>
        </w:tc>
      </w:tr>
      <w:tr w14:paraId="5B46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CB698AA">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40B7B6A">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78A5A30">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1B2C49F">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2DD1CC">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2D61DE8">
            <w:pPr>
              <w:pStyle w:val="17"/>
              <w:widowControl w:val="0"/>
              <w:spacing w:before="0" w:beforeAutospacing="0" w:after="0" w:afterAutospacing="0"/>
              <w:ind w:firstLine="480" w:firstLineChars="200"/>
              <w:jc w:val="center"/>
              <w:rPr>
                <w:rFonts w:hint="eastAsia" w:cs="宋体"/>
                <w:highlight w:val="none"/>
              </w:rPr>
            </w:pPr>
          </w:p>
        </w:tc>
      </w:tr>
      <w:tr w14:paraId="374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B5AEFD4">
            <w:pPr>
              <w:pStyle w:val="17"/>
              <w:widowControl w:val="0"/>
              <w:spacing w:before="0" w:beforeAutospacing="0" w:after="0" w:afterAutospacing="0"/>
              <w:ind w:firstLine="480" w:firstLineChars="200"/>
              <w:jc w:val="center"/>
              <w:rPr>
                <w:rFonts w:hint="eastAsia"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AAF68DD">
            <w:pPr>
              <w:pStyle w:val="17"/>
              <w:widowControl w:val="0"/>
              <w:spacing w:before="0" w:beforeAutospacing="0" w:after="0" w:afterAutospacing="0"/>
              <w:ind w:firstLine="480" w:firstLineChars="200"/>
              <w:jc w:val="center"/>
              <w:rPr>
                <w:rFonts w:hint="eastAsia"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656BFC1">
            <w:pPr>
              <w:pStyle w:val="17"/>
              <w:widowControl w:val="0"/>
              <w:spacing w:before="0" w:beforeAutospacing="0" w:after="0" w:afterAutospacing="0"/>
              <w:ind w:firstLine="480" w:firstLineChars="200"/>
              <w:jc w:val="center"/>
              <w:rPr>
                <w:rFonts w:hint="eastAsia"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06FDF2">
            <w:pPr>
              <w:pStyle w:val="17"/>
              <w:widowControl w:val="0"/>
              <w:spacing w:before="0" w:beforeAutospacing="0" w:after="0" w:afterAutospacing="0"/>
              <w:ind w:firstLine="480" w:firstLineChars="200"/>
              <w:jc w:val="center"/>
              <w:rPr>
                <w:rFonts w:hint="eastAsia"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48F48C">
            <w:pPr>
              <w:pStyle w:val="17"/>
              <w:widowControl w:val="0"/>
              <w:spacing w:before="0" w:beforeAutospacing="0" w:after="0" w:afterAutospacing="0"/>
              <w:ind w:firstLine="480" w:firstLineChars="200"/>
              <w:jc w:val="center"/>
              <w:rPr>
                <w:rFonts w:hint="eastAsia"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5DA6B36">
            <w:pPr>
              <w:pStyle w:val="17"/>
              <w:widowControl w:val="0"/>
              <w:spacing w:before="0" w:beforeAutospacing="0" w:after="0" w:afterAutospacing="0"/>
              <w:ind w:firstLine="480" w:firstLineChars="200"/>
              <w:jc w:val="center"/>
              <w:rPr>
                <w:rFonts w:hint="eastAsia" w:cs="宋体"/>
                <w:highlight w:val="none"/>
              </w:rPr>
            </w:pPr>
          </w:p>
        </w:tc>
      </w:tr>
    </w:tbl>
    <w:p w14:paraId="0C84041A">
      <w:pPr>
        <w:pStyle w:val="17"/>
        <w:widowControl w:val="0"/>
        <w:spacing w:before="0" w:beforeAutospacing="0" w:after="0" w:afterAutospacing="0"/>
        <w:rPr>
          <w:rFonts w:hint="eastAsia" w:cs="宋体"/>
          <w:highlight w:val="none"/>
        </w:rPr>
      </w:pPr>
      <w:r>
        <w:rPr>
          <w:rFonts w:hint="eastAsia" w:cs="宋体"/>
          <w:highlight w:val="none"/>
        </w:rPr>
        <w:t>说明：</w:t>
      </w:r>
    </w:p>
    <w:p w14:paraId="3F9E0A99">
      <w:pPr>
        <w:pStyle w:val="17"/>
        <w:widowControl w:val="0"/>
        <w:spacing w:before="0" w:beforeAutospacing="0" w:after="0" w:afterAutospacing="0"/>
        <w:ind w:firstLine="480" w:firstLineChars="200"/>
        <w:jc w:val="both"/>
        <w:rPr>
          <w:rFonts w:hint="eastAsia"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2D096F6B">
      <w:pPr>
        <w:pStyle w:val="17"/>
        <w:widowControl w:val="0"/>
        <w:spacing w:before="0" w:beforeAutospacing="0" w:after="0" w:afterAutospacing="0"/>
        <w:ind w:firstLine="480" w:firstLineChars="200"/>
        <w:rPr>
          <w:rFonts w:hint="eastAsia" w:cs="宋体"/>
          <w:highlight w:val="none"/>
        </w:rPr>
      </w:pPr>
      <w:r>
        <w:rPr>
          <w:rFonts w:hint="eastAsia" w:cs="宋体"/>
          <w:highlight w:val="none"/>
        </w:rPr>
        <w:t>2.供应商必须据实填写，不得虚假响应，否则将取消其投标或中标资格，并按有关规定进处罚。</w:t>
      </w:r>
    </w:p>
    <w:p w14:paraId="5E041B8F">
      <w:pPr>
        <w:pStyle w:val="17"/>
        <w:widowControl w:val="0"/>
        <w:spacing w:before="0" w:beforeAutospacing="0" w:after="0" w:afterAutospacing="0"/>
        <w:ind w:firstLine="480" w:firstLineChars="200"/>
        <w:jc w:val="center"/>
        <w:rPr>
          <w:rFonts w:hint="eastAsia" w:cs="宋体"/>
          <w:highlight w:val="none"/>
        </w:rPr>
      </w:pPr>
    </w:p>
    <w:p w14:paraId="5EA225EC">
      <w:pPr>
        <w:pStyle w:val="17"/>
        <w:widowControl w:val="0"/>
        <w:spacing w:before="0" w:beforeAutospacing="0" w:after="0" w:afterAutospacing="0"/>
        <w:ind w:firstLine="480" w:firstLineChars="200"/>
        <w:rPr>
          <w:rFonts w:hint="eastAsia" w:cs="宋体"/>
          <w:highlight w:val="none"/>
        </w:rPr>
      </w:pPr>
      <w:r>
        <w:rPr>
          <w:rFonts w:hint="eastAsia" w:cs="宋体"/>
          <w:highlight w:val="none"/>
        </w:rPr>
        <w:t>供应商名称：                     （单位公章）</w:t>
      </w:r>
    </w:p>
    <w:p w14:paraId="0D95BAEF">
      <w:pPr>
        <w:pStyle w:val="17"/>
        <w:widowControl w:val="0"/>
        <w:spacing w:before="0" w:beforeAutospacing="0" w:after="0" w:afterAutospacing="0"/>
        <w:ind w:firstLine="480" w:firstLineChars="200"/>
        <w:jc w:val="center"/>
        <w:rPr>
          <w:rFonts w:hint="eastAsia" w:cs="宋体"/>
          <w:highlight w:val="none"/>
        </w:rPr>
      </w:pPr>
    </w:p>
    <w:p w14:paraId="44312164">
      <w:pPr>
        <w:pStyle w:val="17"/>
        <w:widowControl w:val="0"/>
        <w:spacing w:before="0" w:beforeAutospacing="0" w:after="0" w:afterAutospacing="0"/>
        <w:ind w:firstLine="480" w:firstLineChars="200"/>
        <w:rPr>
          <w:rFonts w:hint="eastAsia" w:cs="宋体"/>
          <w:highlight w:val="none"/>
        </w:rPr>
      </w:pPr>
      <w:r>
        <w:rPr>
          <w:rFonts w:hint="eastAsia" w:cs="宋体"/>
          <w:highlight w:val="none"/>
        </w:rPr>
        <w:t xml:space="preserve">法定代表人或被授权人（签字或盖章）：                 </w:t>
      </w:r>
    </w:p>
    <w:p w14:paraId="2BDAC681">
      <w:pPr>
        <w:jc w:val="center"/>
        <w:outlineLvl w:val="2"/>
        <w:rPr>
          <w:rFonts w:hint="eastAsia" w:hAnsi="宋体" w:cs="宋体"/>
          <w:highlight w:val="none"/>
        </w:rPr>
      </w:pPr>
      <w:r>
        <w:rPr>
          <w:rFonts w:hint="eastAsia" w:hAnsi="宋体" w:cs="宋体"/>
          <w:highlight w:val="none"/>
        </w:rPr>
        <w:br w:type="page"/>
      </w:r>
      <w:bookmarkStart w:id="164" w:name="_Toc10058"/>
      <w:bookmarkStart w:id="165" w:name="_Toc363474033"/>
      <w:bookmarkStart w:id="166" w:name="_Toc22990"/>
      <w:bookmarkStart w:id="167" w:name="_Toc403077656"/>
      <w:bookmarkStart w:id="168" w:name="_Toc6862"/>
      <w:bookmarkStart w:id="169" w:name="_Toc6432"/>
      <w:bookmarkStart w:id="170" w:name="_Toc10179"/>
      <w:bookmarkStart w:id="171" w:name="_Toc426457714"/>
      <w:bookmarkStart w:id="172" w:name="_Toc8692"/>
      <w:bookmarkStart w:id="173" w:name="_Toc8659"/>
      <w:bookmarkStart w:id="174" w:name="_Toc8857"/>
      <w:bookmarkStart w:id="175" w:name="_Toc13133"/>
      <w:bookmarkStart w:id="176" w:name="_Toc24011"/>
      <w:r>
        <w:rPr>
          <w:rStyle w:val="25"/>
          <w:rFonts w:hint="eastAsia"/>
          <w:sz w:val="32"/>
          <w:szCs w:val="32"/>
          <w:highlight w:val="none"/>
        </w:rPr>
        <w:t>五、</w:t>
      </w:r>
      <w:bookmarkEnd w:id="164"/>
      <w:bookmarkEnd w:id="165"/>
      <w:bookmarkEnd w:id="166"/>
      <w:bookmarkEnd w:id="167"/>
      <w:bookmarkEnd w:id="168"/>
      <w:bookmarkEnd w:id="169"/>
      <w:bookmarkEnd w:id="170"/>
      <w:bookmarkEnd w:id="171"/>
      <w:bookmarkEnd w:id="172"/>
      <w:r>
        <w:rPr>
          <w:rStyle w:val="25"/>
          <w:rFonts w:hint="eastAsia"/>
          <w:sz w:val="32"/>
          <w:szCs w:val="32"/>
          <w:highlight w:val="none"/>
        </w:rPr>
        <w:t>陕西省政府采购供应商拒绝政府采购领域商业贿赂承诺书</w:t>
      </w:r>
      <w:bookmarkEnd w:id="173"/>
      <w:bookmarkEnd w:id="174"/>
      <w:bookmarkEnd w:id="175"/>
      <w:bookmarkEnd w:id="176"/>
    </w:p>
    <w:p w14:paraId="02FE2027">
      <w:pPr>
        <w:widowControl/>
        <w:spacing w:line="408" w:lineRule="auto"/>
        <w:ind w:left="274" w:leftChars="114" w:firstLine="470" w:firstLineChars="196"/>
        <w:jc w:val="left"/>
        <w:rPr>
          <w:rFonts w:hint="eastAsia" w:hAnsi="宋体" w:cs="宋体"/>
          <w:highlight w:val="none"/>
        </w:rPr>
      </w:pPr>
      <w:r>
        <w:rPr>
          <w:rFonts w:hint="eastAsia" w:hAnsi="宋体" w:cs="宋体"/>
          <w:highlight w:val="none"/>
        </w:rPr>
        <w:t>为响应党中央、国务院关于治理政府采购领域商业贿赂行为的号召，我公司在此庄严承诺：</w:t>
      </w:r>
      <w:r>
        <w:rPr>
          <w:rFonts w:hint="eastAsia" w:hAnsi="宋体" w:cs="宋体"/>
          <w:highlight w:val="none"/>
        </w:rPr>
        <w:br w:type="textWrapping"/>
      </w:r>
      <w:r>
        <w:rPr>
          <w:rFonts w:hint="eastAsia" w:hAnsi="宋体" w:cs="宋体"/>
          <w:highlight w:val="none"/>
        </w:rPr>
        <w:t>1、在参与政府采购活动中遵纪守法、诚信经营、公平竞标。</w:t>
      </w:r>
      <w:r>
        <w:rPr>
          <w:rFonts w:hint="eastAsia" w:hAnsi="宋体" w:cs="宋体"/>
          <w:highlight w:val="none"/>
        </w:rPr>
        <w:br w:type="textWrapping"/>
      </w:r>
      <w:r>
        <w:rPr>
          <w:rFonts w:hint="eastAsia" w:hAnsi="宋体" w:cs="宋体"/>
          <w:highlight w:val="none"/>
        </w:rPr>
        <w:t>2、不向政府采购人、采购代理机构和政府采购评审专家进行任何形式的商业贿赂以谋取交易机会。</w:t>
      </w:r>
      <w:r>
        <w:rPr>
          <w:rFonts w:hint="eastAsia" w:hAnsi="宋体" w:cs="宋体"/>
          <w:highlight w:val="none"/>
        </w:rPr>
        <w:br w:type="textWrapping"/>
      </w:r>
      <w:r>
        <w:rPr>
          <w:rFonts w:hint="eastAsia" w:hAnsi="宋体" w:cs="宋体"/>
          <w:highlight w:val="none"/>
        </w:rPr>
        <w:t>3、不向政府采购代理机构和采购人提供虚假资质文件或采用虚假应标方式参与政府采购市场竞争并谋取中标、成交。</w:t>
      </w:r>
      <w:r>
        <w:rPr>
          <w:rFonts w:hint="eastAsia" w:hAnsi="宋体" w:cs="宋体"/>
          <w:highlight w:val="none"/>
        </w:rPr>
        <w:br w:type="textWrapping"/>
      </w:r>
      <w:r>
        <w:rPr>
          <w:rFonts w:hint="eastAsia" w:hAnsi="宋体" w:cs="宋体"/>
          <w:highlight w:val="none"/>
        </w:rPr>
        <w:t>4、不采取“围标、陪标”等商业欺诈手段获得政府采购定单。</w:t>
      </w:r>
      <w:r>
        <w:rPr>
          <w:rFonts w:hint="eastAsia" w:hAnsi="宋体" w:cs="宋体"/>
          <w:highlight w:val="none"/>
        </w:rPr>
        <w:br w:type="textWrapping"/>
      </w:r>
      <w:r>
        <w:rPr>
          <w:rFonts w:hint="eastAsia" w:hAnsi="宋体" w:cs="宋体"/>
          <w:highlight w:val="none"/>
        </w:rPr>
        <w:t>5、不采取不正当手段诋毁、排挤其他供应商。</w:t>
      </w:r>
      <w:r>
        <w:rPr>
          <w:rFonts w:hint="eastAsia" w:hAnsi="宋体" w:cs="宋体"/>
          <w:highlight w:val="none"/>
        </w:rPr>
        <w:br w:type="textWrapping"/>
      </w:r>
      <w:r>
        <w:rPr>
          <w:rFonts w:hint="eastAsia" w:hAnsi="宋体" w:cs="宋体"/>
          <w:highlight w:val="none"/>
        </w:rPr>
        <w:t>6、不在提供商品和服务时“偷梁换柱、以次充好”损害采购人的合法权益。</w:t>
      </w:r>
      <w:r>
        <w:rPr>
          <w:rFonts w:hint="eastAsia" w:hAnsi="宋体" w:cs="宋体"/>
          <w:highlight w:val="none"/>
        </w:rPr>
        <w:br w:type="textWrapping"/>
      </w:r>
      <w:r>
        <w:rPr>
          <w:rFonts w:hint="eastAsia" w:hAnsi="宋体" w:cs="宋体"/>
          <w:highlight w:val="none"/>
        </w:rPr>
        <w:t>7、不与采购人、采购代理机构政府采购评审专家或其它供应商恶意串通，进行质疑和投诉，维护政府采购市场秩序。</w:t>
      </w:r>
      <w:r>
        <w:rPr>
          <w:rFonts w:hint="eastAsia" w:hAnsi="宋体" w:cs="宋体"/>
          <w:highlight w:val="none"/>
        </w:rPr>
        <w:br w:type="textWrapping"/>
      </w:r>
      <w:r>
        <w:rPr>
          <w:rFonts w:hint="eastAsia" w:hAnsi="宋体" w:cs="宋体"/>
          <w:highlight w:val="none"/>
        </w:rPr>
        <w:t>8、尊重和接受政府采购监督管理部门的监督和政府采购代理机构招标采购要求，承担因违约行为给采购人造成的损失。</w:t>
      </w:r>
      <w:r>
        <w:rPr>
          <w:rFonts w:hint="eastAsia" w:hAnsi="宋体" w:cs="宋体"/>
          <w:highlight w:val="none"/>
        </w:rPr>
        <w:br w:type="textWrapping"/>
      </w:r>
      <w:r>
        <w:rPr>
          <w:rFonts w:hint="eastAsia" w:hAnsi="宋体" w:cs="宋体"/>
          <w:highlight w:val="none"/>
        </w:rPr>
        <w:t>9、不发生其他有悖于政府采购公开、公平、公正和诚信原则的行为。</w:t>
      </w:r>
      <w:r>
        <w:rPr>
          <w:rFonts w:hint="eastAsia" w:hAnsi="宋体" w:cs="宋体"/>
          <w:highlight w:val="none"/>
        </w:rPr>
        <w:br w:type="textWrapping"/>
      </w:r>
    </w:p>
    <w:p w14:paraId="6A24311C">
      <w:pPr>
        <w:widowControl/>
        <w:spacing w:line="408" w:lineRule="auto"/>
        <w:ind w:left="274" w:leftChars="114"/>
        <w:jc w:val="left"/>
        <w:rPr>
          <w:rFonts w:hint="eastAsia" w:hAnsi="宋体" w:cs="宋体"/>
          <w:highlight w:val="none"/>
        </w:rPr>
      </w:pPr>
      <w:r>
        <w:rPr>
          <w:rFonts w:hint="eastAsia" w:hAnsi="宋体" w:cs="宋体"/>
          <w:highlight w:val="none"/>
        </w:rPr>
        <w:t>承诺单位：（盖章）</w:t>
      </w:r>
      <w:r>
        <w:rPr>
          <w:rFonts w:hint="eastAsia" w:hAnsi="宋体" w:cs="宋体"/>
          <w:highlight w:val="none"/>
        </w:rPr>
        <w:br w:type="textWrapping"/>
      </w:r>
      <w:r>
        <w:rPr>
          <w:rFonts w:hint="eastAsia" w:hAnsi="宋体" w:cs="宋体"/>
          <w:highlight w:val="none"/>
        </w:rPr>
        <w:t>全权代表：（</w:t>
      </w:r>
      <w:r>
        <w:rPr>
          <w:rFonts w:hint="eastAsia" w:hAnsi="宋体" w:cs="宋体"/>
          <w:szCs w:val="24"/>
          <w:highlight w:val="none"/>
        </w:rPr>
        <w:t>签字</w:t>
      </w:r>
      <w:r>
        <w:rPr>
          <w:rFonts w:hint="eastAsia" w:hAnsi="宋体" w:cs="宋体"/>
          <w:highlight w:val="none"/>
        </w:rPr>
        <w:t>）：</w:t>
      </w:r>
      <w:r>
        <w:rPr>
          <w:rFonts w:hint="eastAsia" w:hAnsi="宋体" w:cs="宋体"/>
          <w:highlight w:val="none"/>
        </w:rPr>
        <w:br w:type="textWrapping"/>
      </w:r>
      <w:r>
        <w:rPr>
          <w:rFonts w:hint="eastAsia" w:hAnsi="宋体" w:cs="宋体"/>
          <w:highlight w:val="none"/>
        </w:rPr>
        <w:t>地  址：                        </w:t>
      </w:r>
    </w:p>
    <w:p w14:paraId="097D012E">
      <w:pPr>
        <w:widowControl/>
        <w:spacing w:line="408" w:lineRule="auto"/>
        <w:ind w:left="274" w:leftChars="114"/>
        <w:jc w:val="left"/>
        <w:rPr>
          <w:rFonts w:hint="eastAsia" w:hAnsi="宋体" w:cs="宋体"/>
          <w:highlight w:val="none"/>
        </w:rPr>
      </w:pPr>
      <w:r>
        <w:rPr>
          <w:rFonts w:hint="eastAsia" w:hAnsi="宋体" w:cs="宋体"/>
          <w:highlight w:val="none"/>
        </w:rPr>
        <w:t>邮  编：</w:t>
      </w:r>
      <w:r>
        <w:rPr>
          <w:rFonts w:hint="eastAsia" w:hAnsi="宋体" w:cs="宋体"/>
          <w:highlight w:val="none"/>
        </w:rPr>
        <w:br w:type="textWrapping"/>
      </w:r>
      <w:r>
        <w:rPr>
          <w:rFonts w:hint="eastAsia" w:hAnsi="宋体" w:cs="宋体"/>
          <w:highlight w:val="none"/>
        </w:rPr>
        <w:t>电  话：                                                                   年  月  日</w:t>
      </w:r>
    </w:p>
    <w:p w14:paraId="1BA2EB73">
      <w:pPr>
        <w:pStyle w:val="4"/>
        <w:spacing w:before="333" w:beforeLines="100"/>
        <w:rPr>
          <w:rFonts w:hint="eastAsia" w:ascii="宋体" w:hAnsi="宋体" w:cs="宋体"/>
          <w:sz w:val="32"/>
          <w:szCs w:val="32"/>
          <w:highlight w:val="none"/>
        </w:rPr>
      </w:pPr>
      <w:bookmarkStart w:id="177" w:name="_Toc363474034"/>
      <w:bookmarkStart w:id="178" w:name="_Toc8066"/>
      <w:bookmarkStart w:id="179" w:name="_Toc3206"/>
      <w:bookmarkStart w:id="180" w:name="_Toc403077657"/>
      <w:bookmarkStart w:id="181" w:name="_Toc491"/>
      <w:bookmarkStart w:id="182" w:name="_Toc20139"/>
      <w:bookmarkStart w:id="183" w:name="_Toc155"/>
      <w:bookmarkStart w:id="184" w:name="_Toc7550"/>
      <w:bookmarkStart w:id="185" w:name="_Toc426457715"/>
      <w:bookmarkStart w:id="186" w:name="_Toc27947"/>
      <w:bookmarkStart w:id="187" w:name="_Toc28113"/>
      <w:bookmarkStart w:id="188" w:name="_Toc5679"/>
      <w:bookmarkStart w:id="189" w:name="_Toc21171"/>
      <w:r>
        <w:rPr>
          <w:rFonts w:hint="eastAsia" w:ascii="宋体" w:hAnsi="宋体" w:cs="宋体"/>
          <w:sz w:val="32"/>
          <w:szCs w:val="32"/>
          <w:highlight w:val="none"/>
        </w:rPr>
        <w:t>六、资格证明文件</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542F54EC">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合同包1:</w:t>
      </w:r>
    </w:p>
    <w:p w14:paraId="36D9B9C7">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(1)提供合格有效的法人或者其他组织的营业执照等证明文件，自然人的身份证明；</w:t>
      </w:r>
    </w:p>
    <w:p w14:paraId="59B8CB2D">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(2)提供法定代表人授权书（附法定代表人、被授权人身份证复印件，法定代表人直接参加投标，须提供法定代表人身份证明及身份证复印件）；</w:t>
      </w:r>
    </w:p>
    <w:p w14:paraId="21576CEB">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(3)提供2023年度的财务审计报告（成立时间至提交投标文件截止时间不足一年的可提供成立后任意时段的资产负债表）或开标时间前六个月内银行出具的资信证明；</w:t>
      </w:r>
    </w:p>
    <w:p w14:paraId="31FA389B">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(4)税收缴纳证明：提供投标截止日前近一年内任意一个月的纳税证明或完税证明（任意税种），依法免税的单位应提供相关证明材料；</w:t>
      </w:r>
    </w:p>
    <w:p w14:paraId="675A65DA">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12024A58">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(6)投标人为经销商或代理商的须提供《医疗器械经营许可证》或《医疗器械经营备案凭证》；投标人为制造商的须提供《医疗器械生产许可证》或《医疗器械生产备案凭证》；</w:t>
      </w:r>
    </w:p>
    <w:p w14:paraId="7CEAC5E4">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(7)投标产品属于医疗器械的提供医疗器械注册证或医疗器械备案凭证；(注:投标产品不属于医疗器械的须提供相应的书面声明材料)</w:t>
      </w:r>
    </w:p>
    <w:p w14:paraId="55B6B74F">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(8)提供具有履行本合同所必需的设备和专业技术能力的说明及承诺书；</w:t>
      </w:r>
    </w:p>
    <w:p w14:paraId="5DA338B9">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(9)供应商通过“信用中国”网站(www.creditchina.gov.cn)、中国政府采购网(www.ccgp.gov.cn)等查询相关主体信用记录；</w:t>
      </w:r>
    </w:p>
    <w:p w14:paraId="59C4080B">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(10)参加政府采购活动前3年内，在经营活动中没有重大违法记录的书面声明；</w:t>
      </w:r>
    </w:p>
    <w:p w14:paraId="50756AFB">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(11)提供中小企业声明函；</w:t>
      </w:r>
    </w:p>
    <w:p w14:paraId="439608FC">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(12)本项目不接受联合体投标（提供承诺书）。</w:t>
      </w:r>
    </w:p>
    <w:p w14:paraId="6DE3714D">
      <w:pPr>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br w:type="page"/>
      </w:r>
    </w:p>
    <w:p w14:paraId="497E9B4C">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合同包2:</w:t>
      </w:r>
    </w:p>
    <w:p w14:paraId="1918840F">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(1)提供合格有效的法人或者其他组织的营业执照等证明文件，自然人的身份证明；</w:t>
      </w:r>
    </w:p>
    <w:p w14:paraId="5C8EF7EF">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(2)提供法定代表人授权书（附法定代表人、被授权人身份证复印件，法定代表人直接参加投标，须提供法定代表人身份证明及身份证复印件）；</w:t>
      </w:r>
    </w:p>
    <w:p w14:paraId="73CA6669">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(3)提供2023年度的财务审计报告（成立时间至提交投标文件截止时间不足一年的可提供成立后任意时段的资产负债表）或开标时间前六个月内银行出具的资信证明；</w:t>
      </w:r>
    </w:p>
    <w:p w14:paraId="36C7BB23">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(4)税收缴纳证明：提供投标截止日前近一年内任意一个月的纳税证明或完税证明（任意税种），依法免税的单位应提供相关证明材料；</w:t>
      </w:r>
    </w:p>
    <w:p w14:paraId="27630442">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1CA729F3">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(6)提供具有履行本合同所必需的设备和专业技术能力的说明及承诺书；</w:t>
      </w:r>
    </w:p>
    <w:p w14:paraId="54011E2D">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(7)供应商通过“信用中国”网站(www.creditchina.gov.cn)、中国政府采购网(www.ccgp.gov.cn)等查询相关主体信用记录；</w:t>
      </w:r>
    </w:p>
    <w:p w14:paraId="49EF8874">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(8)参加政府采购活动前3年内，在经营活动中没有重大违法记录的书面声明；</w:t>
      </w:r>
    </w:p>
    <w:p w14:paraId="05529765">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(9)提供中小企业声明函；</w:t>
      </w:r>
    </w:p>
    <w:p w14:paraId="4C86BB95">
      <w:pPr>
        <w:spacing w:line="560" w:lineRule="exact"/>
        <w:rPr>
          <w:rFonts w:hint="eastAsia" w:hAnsi="宋体" w:cs="宋体"/>
          <w:color w:val="333333"/>
          <w:szCs w:val="24"/>
          <w:highlight w:val="none"/>
          <w:shd w:val="clear" w:color="auto" w:fill="FFFFFF"/>
        </w:rPr>
      </w:pPr>
      <w:r>
        <w:rPr>
          <w:rFonts w:hint="eastAsia" w:hAnsi="宋体" w:cs="宋体"/>
          <w:color w:val="333333"/>
          <w:szCs w:val="24"/>
          <w:highlight w:val="none"/>
          <w:shd w:val="clear" w:color="auto" w:fill="FFFFFF"/>
        </w:rPr>
        <w:t>(10)本项目不接受联合体投标（提供承诺书）。</w:t>
      </w:r>
    </w:p>
    <w:p w14:paraId="67D71E51">
      <w:pPr>
        <w:spacing w:line="560" w:lineRule="exact"/>
        <w:rPr>
          <w:rFonts w:hint="eastAsia" w:hAnsi="宋体" w:cs="宋体"/>
          <w:b/>
          <w:bCs/>
          <w:sz w:val="28"/>
          <w:szCs w:val="28"/>
          <w:highlight w:val="none"/>
        </w:rPr>
      </w:pPr>
      <w:r>
        <w:rPr>
          <w:rFonts w:hint="eastAsia" w:hAnsi="宋体" w:cs="宋体"/>
          <w:b/>
          <w:bCs/>
          <w:sz w:val="28"/>
          <w:szCs w:val="28"/>
          <w:highlight w:val="none"/>
        </w:rPr>
        <w:t>后附相关格式：</w:t>
      </w:r>
    </w:p>
    <w:p w14:paraId="42B2E570">
      <w:pPr>
        <w:pStyle w:val="8"/>
        <w:rPr>
          <w:rFonts w:hint="eastAsia" w:ascii="宋体" w:hAnsi="宋体" w:cs="宋体"/>
          <w:szCs w:val="24"/>
          <w:highlight w:val="none"/>
        </w:rPr>
      </w:pPr>
    </w:p>
    <w:p w14:paraId="52D32F35">
      <w:pPr>
        <w:pStyle w:val="8"/>
        <w:rPr>
          <w:rFonts w:hint="eastAsia" w:ascii="宋体" w:hAnsi="宋体" w:cs="宋体"/>
          <w:b/>
          <w:bCs/>
          <w:sz w:val="30"/>
          <w:szCs w:val="30"/>
          <w:highlight w:val="none"/>
        </w:rPr>
        <w:sectPr>
          <w:footerReference r:id="rId15" w:type="default"/>
          <w:pgSz w:w="11906" w:h="16838"/>
          <w:pgMar w:top="1361" w:right="1417" w:bottom="1361" w:left="1417" w:header="1134" w:footer="992" w:gutter="0"/>
          <w:cols w:space="720" w:num="1"/>
          <w:docGrid w:type="lines" w:linePitch="333" w:charSpace="0"/>
        </w:sectPr>
      </w:pPr>
      <w:bookmarkStart w:id="190" w:name="_Toc30210"/>
      <w:bookmarkStart w:id="191" w:name="_Toc16097"/>
      <w:bookmarkStart w:id="192" w:name="_Toc4867"/>
      <w:bookmarkStart w:id="193" w:name="_Toc363474028"/>
      <w:bookmarkStart w:id="194" w:name="_Toc25348"/>
      <w:bookmarkStart w:id="195" w:name="_Toc19075"/>
      <w:bookmarkStart w:id="196" w:name="_Toc426457701"/>
      <w:bookmarkStart w:id="197" w:name="_Toc403077649"/>
    </w:p>
    <w:bookmarkEnd w:id="190"/>
    <w:bookmarkEnd w:id="191"/>
    <w:bookmarkEnd w:id="192"/>
    <w:bookmarkEnd w:id="193"/>
    <w:bookmarkEnd w:id="194"/>
    <w:bookmarkEnd w:id="195"/>
    <w:bookmarkEnd w:id="196"/>
    <w:bookmarkEnd w:id="197"/>
    <w:p w14:paraId="27C83018">
      <w:pPr>
        <w:jc w:val="center"/>
        <w:outlineLvl w:val="2"/>
        <w:rPr>
          <w:rFonts w:hint="eastAsia" w:hAnsi="宋体" w:cs="宋体"/>
          <w:b/>
          <w:bCs/>
          <w:sz w:val="30"/>
          <w:szCs w:val="30"/>
          <w:highlight w:val="none"/>
        </w:rPr>
      </w:pPr>
      <w:bookmarkStart w:id="198" w:name="_Toc25505"/>
      <w:bookmarkStart w:id="199" w:name="_Toc30099"/>
      <w:bookmarkStart w:id="200" w:name="_Toc1056"/>
      <w:r>
        <w:rPr>
          <w:rFonts w:hint="eastAsia" w:hAnsi="宋体" w:cs="宋体"/>
          <w:b/>
          <w:bCs/>
          <w:sz w:val="30"/>
          <w:szCs w:val="30"/>
          <w:highlight w:val="none"/>
        </w:rPr>
        <w:t>七、其他</w:t>
      </w:r>
      <w:bookmarkEnd w:id="198"/>
      <w:bookmarkEnd w:id="199"/>
      <w:bookmarkEnd w:id="200"/>
    </w:p>
    <w:p w14:paraId="45E9E1CF">
      <w:pPr>
        <w:spacing w:line="500" w:lineRule="exact"/>
        <w:ind w:firstLine="480" w:firstLineChars="200"/>
        <w:rPr>
          <w:rFonts w:hint="eastAsia" w:hAnsi="宋体" w:cs="宋体"/>
          <w:szCs w:val="24"/>
          <w:highlight w:val="none"/>
        </w:rPr>
      </w:pPr>
      <w:r>
        <w:rPr>
          <w:rFonts w:hint="eastAsia" w:hAnsi="宋体" w:cs="宋体"/>
          <w:szCs w:val="24"/>
          <w:highlight w:val="none"/>
        </w:rPr>
        <w:t>1、依据招标文件要求，供应商认为有必要说明的其他内容</w:t>
      </w:r>
    </w:p>
    <w:p w14:paraId="38889AEA">
      <w:pPr>
        <w:spacing w:line="500" w:lineRule="exact"/>
        <w:ind w:firstLine="480" w:firstLineChars="200"/>
        <w:rPr>
          <w:rFonts w:hint="eastAsia" w:hAnsi="宋体" w:cs="宋体"/>
          <w:szCs w:val="24"/>
          <w:highlight w:val="none"/>
        </w:rPr>
      </w:pPr>
      <w:r>
        <w:rPr>
          <w:rFonts w:hint="eastAsia" w:hAnsi="宋体" w:cs="宋体"/>
          <w:szCs w:val="24"/>
          <w:highlight w:val="none"/>
        </w:rPr>
        <w:t>2、其他可以证明供应商实力的文件。</w:t>
      </w:r>
    </w:p>
    <w:p w14:paraId="6BABDF3E">
      <w:pPr>
        <w:rPr>
          <w:rFonts w:hint="eastAsia" w:hAnsi="宋体" w:cs="宋体"/>
          <w:b/>
          <w:bCs/>
          <w:sz w:val="28"/>
          <w:szCs w:val="28"/>
          <w:highlight w:val="none"/>
        </w:rPr>
      </w:pPr>
      <w:r>
        <w:rPr>
          <w:rFonts w:hint="eastAsia" w:hAnsi="宋体" w:cs="宋体"/>
          <w:b/>
          <w:bCs/>
          <w:sz w:val="28"/>
          <w:szCs w:val="28"/>
          <w:highlight w:val="none"/>
        </w:rPr>
        <w:br w:type="page"/>
      </w:r>
    </w:p>
    <w:p w14:paraId="3BA03E5E">
      <w:pPr>
        <w:pStyle w:val="8"/>
        <w:rPr>
          <w:rFonts w:hint="eastAsia" w:ascii="宋体" w:hAnsi="宋体" w:cs="宋体"/>
          <w:b/>
          <w:bCs/>
          <w:sz w:val="28"/>
          <w:szCs w:val="28"/>
          <w:highlight w:val="none"/>
        </w:rPr>
      </w:pPr>
      <w:r>
        <w:rPr>
          <w:rFonts w:hint="eastAsia" w:ascii="宋体" w:hAnsi="宋体" w:cs="宋体"/>
          <w:b/>
          <w:bCs/>
          <w:sz w:val="28"/>
          <w:szCs w:val="28"/>
          <w:highlight w:val="none"/>
        </w:rPr>
        <w:t>附件1：</w:t>
      </w:r>
    </w:p>
    <w:p w14:paraId="0D8564E8">
      <w:pPr>
        <w:spacing w:before="312" w:beforeLines="100"/>
        <w:jc w:val="center"/>
        <w:rPr>
          <w:rFonts w:hint="eastAsia" w:hAnsi="宋体" w:cs="宋体"/>
          <w:sz w:val="30"/>
          <w:szCs w:val="30"/>
          <w:highlight w:val="none"/>
        </w:rPr>
      </w:pPr>
      <w:r>
        <w:rPr>
          <w:rFonts w:hint="eastAsia" w:hAnsi="宋体" w:cs="宋体"/>
          <w:sz w:val="30"/>
          <w:szCs w:val="30"/>
          <w:highlight w:val="none"/>
        </w:rPr>
        <w:t>法定代表人身份证明/法定代表人授权书</w:t>
      </w:r>
    </w:p>
    <w:p w14:paraId="517CDA11">
      <w:pPr>
        <w:pStyle w:val="8"/>
        <w:spacing w:before="156" w:beforeLines="50"/>
        <w:jc w:val="center"/>
        <w:rPr>
          <w:rFonts w:hint="eastAsia" w:ascii="宋体" w:hAnsi="宋体" w:cs="宋体"/>
          <w:b/>
          <w:bCs/>
          <w:sz w:val="30"/>
          <w:szCs w:val="30"/>
          <w:highlight w:val="none"/>
        </w:rPr>
      </w:pPr>
      <w:r>
        <w:rPr>
          <w:rFonts w:hint="eastAsia" w:ascii="宋体" w:hAnsi="宋体" w:cs="宋体"/>
          <w:b/>
          <w:bCs/>
          <w:sz w:val="30"/>
          <w:szCs w:val="30"/>
          <w:highlight w:val="none"/>
        </w:rPr>
        <w:t>法定代表人身份证明</w:t>
      </w:r>
    </w:p>
    <w:p w14:paraId="3DC6AA73">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0985C350">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6BA29D1E">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5872658F">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37AEFAE3">
      <w:pPr>
        <w:autoSpaceDE w:val="0"/>
        <w:autoSpaceDN w:val="0"/>
        <w:adjustRightInd w:val="0"/>
        <w:snapToGrid w:val="0"/>
        <w:spacing w:before="156" w:beforeLines="50" w:line="360" w:lineRule="auto"/>
        <w:jc w:val="left"/>
        <w:rPr>
          <w:rFonts w:hint="eastAsia"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4EDBAB6F">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（投标人名称）的法定代表人。</w:t>
      </w:r>
    </w:p>
    <w:p w14:paraId="5C4C9A6A">
      <w:pPr>
        <w:autoSpaceDE w:val="0"/>
        <w:autoSpaceDN w:val="0"/>
        <w:adjustRightInd w:val="0"/>
        <w:snapToGrid w:val="0"/>
        <w:spacing w:before="156" w:beforeLines="50" w:line="360" w:lineRule="auto"/>
        <w:jc w:val="left"/>
        <w:rPr>
          <w:rFonts w:hint="eastAsia" w:hAnsi="宋体" w:cs="宋体"/>
          <w:highlight w:val="none"/>
        </w:rPr>
      </w:pPr>
      <w:r>
        <w:rPr>
          <w:rFonts w:hint="eastAsia" w:hAnsi="宋体" w:cs="宋体"/>
          <w:highlight w:val="none"/>
        </w:rPr>
        <w:t>特此证明。</w:t>
      </w:r>
    </w:p>
    <w:p w14:paraId="01CCAD3A">
      <w:pPr>
        <w:autoSpaceDE w:val="0"/>
        <w:autoSpaceDN w:val="0"/>
        <w:adjustRightInd w:val="0"/>
        <w:snapToGrid w:val="0"/>
        <w:spacing w:before="156" w:beforeLines="50" w:line="360" w:lineRule="auto"/>
        <w:jc w:val="left"/>
        <w:rPr>
          <w:rFonts w:hint="eastAsia" w:hAnsi="宋体" w:cs="宋体"/>
          <w:szCs w:val="21"/>
          <w:highlight w:val="none"/>
        </w:rPr>
      </w:pPr>
      <w:r>
        <w:rPr>
          <w:rFonts w:hint="eastAsia" w:hAnsi="宋体" w:cs="宋体"/>
          <w:szCs w:val="21"/>
          <w:highlight w:val="none"/>
        </w:rPr>
        <w:t>附：法定代表人身份证复印件</w:t>
      </w:r>
    </w:p>
    <w:tbl>
      <w:tblPr>
        <w:tblStyle w:val="19"/>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24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241E3FF2">
            <w:pPr>
              <w:snapToGrid w:val="0"/>
              <w:spacing w:line="480" w:lineRule="auto"/>
              <w:jc w:val="center"/>
              <w:rPr>
                <w:rFonts w:hint="eastAsia" w:hAnsi="宋体" w:cs="宋体"/>
                <w:szCs w:val="21"/>
                <w:highlight w:val="none"/>
              </w:rPr>
            </w:pPr>
          </w:p>
          <w:p w14:paraId="3787F165">
            <w:pPr>
              <w:snapToGrid w:val="0"/>
              <w:spacing w:line="480" w:lineRule="auto"/>
              <w:jc w:val="center"/>
              <w:rPr>
                <w:rFonts w:hint="eastAsia" w:hAnsi="宋体" w:cs="宋体"/>
                <w:szCs w:val="21"/>
                <w:highlight w:val="none"/>
              </w:rPr>
            </w:pPr>
          </w:p>
          <w:p w14:paraId="75448F4C">
            <w:pPr>
              <w:autoSpaceDE w:val="0"/>
              <w:autoSpaceDN w:val="0"/>
              <w:adjustRightInd w:val="0"/>
              <w:snapToGrid w:val="0"/>
              <w:spacing w:before="156" w:beforeLines="50" w:line="360" w:lineRule="auto"/>
              <w:jc w:val="center"/>
              <w:rPr>
                <w:rFonts w:hint="eastAsia" w:hAnsi="宋体" w:cs="宋体"/>
                <w:szCs w:val="21"/>
                <w:highlight w:val="none"/>
              </w:rPr>
            </w:pPr>
            <w:r>
              <w:rPr>
                <w:rFonts w:hint="eastAsia" w:hAnsi="宋体" w:cs="宋体"/>
                <w:szCs w:val="21"/>
                <w:highlight w:val="none"/>
              </w:rPr>
              <w:t>法定代表人身份证复印件粘贴处</w:t>
            </w:r>
          </w:p>
          <w:p w14:paraId="623A4E1E">
            <w:pPr>
              <w:pStyle w:val="8"/>
              <w:jc w:val="center"/>
              <w:rPr>
                <w:rFonts w:hint="eastAsia" w:ascii="宋体" w:hAnsi="宋体" w:cs="宋体"/>
                <w:highlight w:val="none"/>
              </w:rPr>
            </w:pPr>
            <w:r>
              <w:rPr>
                <w:rFonts w:hint="eastAsia" w:ascii="宋体" w:hAnsi="宋体" w:cs="宋体"/>
                <w:szCs w:val="21"/>
                <w:highlight w:val="none"/>
              </w:rPr>
              <w:t>（正反面）</w:t>
            </w:r>
          </w:p>
          <w:p w14:paraId="71D3CA4F">
            <w:pPr>
              <w:snapToGrid w:val="0"/>
              <w:spacing w:line="480" w:lineRule="auto"/>
              <w:jc w:val="center"/>
              <w:rPr>
                <w:rFonts w:hint="eastAsia" w:hAnsi="宋体" w:cs="宋体"/>
                <w:szCs w:val="21"/>
                <w:highlight w:val="none"/>
              </w:rPr>
            </w:pPr>
          </w:p>
          <w:p w14:paraId="65052ABD">
            <w:pPr>
              <w:snapToGrid w:val="0"/>
              <w:spacing w:line="480" w:lineRule="auto"/>
              <w:jc w:val="center"/>
              <w:rPr>
                <w:rFonts w:hint="eastAsia" w:hAnsi="宋体" w:cs="宋体"/>
                <w:szCs w:val="21"/>
                <w:highlight w:val="none"/>
              </w:rPr>
            </w:pPr>
          </w:p>
        </w:tc>
      </w:tr>
    </w:tbl>
    <w:p w14:paraId="0F5357A7">
      <w:pPr>
        <w:snapToGrid w:val="0"/>
        <w:spacing w:line="480" w:lineRule="auto"/>
        <w:rPr>
          <w:rFonts w:hint="eastAsia" w:hAnsi="宋体" w:cs="宋体"/>
          <w:szCs w:val="21"/>
          <w:highlight w:val="none"/>
        </w:rPr>
      </w:pPr>
    </w:p>
    <w:p w14:paraId="0B566D93">
      <w:pPr>
        <w:snapToGrid w:val="0"/>
        <w:rPr>
          <w:rFonts w:hint="eastAsia" w:hAnsi="宋体" w:cs="宋体"/>
          <w:szCs w:val="21"/>
          <w:highlight w:val="none"/>
        </w:rPr>
      </w:pPr>
    </w:p>
    <w:p w14:paraId="0DB653F5">
      <w:pPr>
        <w:snapToGrid w:val="0"/>
        <w:rPr>
          <w:rFonts w:hint="eastAsia" w:hAnsi="宋体" w:cs="宋体"/>
          <w:szCs w:val="21"/>
          <w:highlight w:val="none"/>
        </w:rPr>
      </w:pPr>
    </w:p>
    <w:p w14:paraId="26BF9048">
      <w:pPr>
        <w:snapToGrid w:val="0"/>
        <w:rPr>
          <w:rFonts w:hint="eastAsia" w:hAnsi="宋体" w:cs="宋体"/>
          <w:szCs w:val="21"/>
          <w:highlight w:val="none"/>
        </w:rPr>
      </w:pPr>
    </w:p>
    <w:p w14:paraId="1E0EEF6D">
      <w:pPr>
        <w:snapToGrid w:val="0"/>
        <w:rPr>
          <w:rFonts w:hint="eastAsia" w:hAnsi="宋体" w:cs="宋体"/>
          <w:szCs w:val="21"/>
          <w:highlight w:val="none"/>
        </w:rPr>
      </w:pPr>
    </w:p>
    <w:p w14:paraId="3E03F733">
      <w:pPr>
        <w:adjustRightInd w:val="0"/>
        <w:snapToGrid w:val="0"/>
        <w:spacing w:line="360" w:lineRule="auto"/>
        <w:rPr>
          <w:rFonts w:hint="eastAsia" w:hAnsi="宋体" w:cs="宋体"/>
          <w:highlight w:val="none"/>
        </w:rPr>
      </w:pPr>
    </w:p>
    <w:p w14:paraId="392F27C2">
      <w:pPr>
        <w:adjustRightInd w:val="0"/>
        <w:snapToGrid w:val="0"/>
        <w:spacing w:line="360" w:lineRule="auto"/>
        <w:ind w:right="420"/>
        <w:rPr>
          <w:rFonts w:hint="eastAsia" w:hAnsi="宋体" w:cs="宋体"/>
          <w:highlight w:val="none"/>
        </w:rPr>
      </w:pPr>
    </w:p>
    <w:p w14:paraId="61151B36">
      <w:pPr>
        <w:adjustRightInd w:val="0"/>
        <w:snapToGrid w:val="0"/>
        <w:spacing w:line="360" w:lineRule="auto"/>
        <w:ind w:right="420"/>
        <w:rPr>
          <w:rFonts w:hint="eastAsia" w:hAnsi="宋体" w:cs="宋体"/>
          <w:highlight w:val="none"/>
        </w:rPr>
      </w:pPr>
    </w:p>
    <w:p w14:paraId="01C1C960">
      <w:pPr>
        <w:adjustRightInd w:val="0"/>
        <w:snapToGrid w:val="0"/>
        <w:spacing w:line="360" w:lineRule="auto"/>
        <w:ind w:right="420"/>
        <w:rPr>
          <w:rFonts w:hint="eastAsia" w:hAnsi="宋体" w:cs="宋体"/>
          <w:highlight w:val="none"/>
        </w:rPr>
      </w:pPr>
    </w:p>
    <w:p w14:paraId="02572ACA">
      <w:pPr>
        <w:adjustRightInd w:val="0"/>
        <w:snapToGrid w:val="0"/>
        <w:spacing w:line="360" w:lineRule="auto"/>
        <w:ind w:right="420"/>
        <w:rPr>
          <w:rFonts w:hint="eastAsia" w:hAnsi="宋体" w:cs="宋体"/>
          <w:highlight w:val="none"/>
        </w:rPr>
      </w:pPr>
    </w:p>
    <w:p w14:paraId="651142BA">
      <w:pPr>
        <w:adjustRightInd w:val="0"/>
        <w:snapToGrid w:val="0"/>
        <w:spacing w:line="360" w:lineRule="auto"/>
        <w:ind w:right="420"/>
        <w:rPr>
          <w:rFonts w:hint="eastAsia" w:hAnsi="宋体" w:cs="宋体"/>
          <w:highlight w:val="none"/>
        </w:rPr>
      </w:pPr>
      <w:r>
        <w:rPr>
          <w:rFonts w:hint="eastAsia" w:hAnsi="宋体" w:cs="宋体"/>
          <w:highlight w:val="none"/>
        </w:rPr>
        <w:t>投标人名称（公章）：</w:t>
      </w:r>
    </w:p>
    <w:p w14:paraId="6239C503">
      <w:pPr>
        <w:adjustRightInd w:val="0"/>
        <w:snapToGrid w:val="0"/>
        <w:spacing w:line="360" w:lineRule="auto"/>
        <w:ind w:right="420"/>
        <w:rPr>
          <w:rFonts w:hint="eastAsia" w:hAnsi="宋体" w:cs="宋体"/>
          <w:highlight w:val="none"/>
        </w:rPr>
      </w:pPr>
      <w:r>
        <w:rPr>
          <w:rFonts w:hint="eastAsia" w:hAnsi="宋体" w:cs="宋体"/>
          <w:highlight w:val="none"/>
        </w:rPr>
        <w:t>日期：    年  月  日</w:t>
      </w:r>
    </w:p>
    <w:p w14:paraId="5D47E86B">
      <w:pPr>
        <w:adjustRightInd w:val="0"/>
        <w:snapToGrid w:val="0"/>
        <w:spacing w:line="360" w:lineRule="auto"/>
        <w:ind w:right="420"/>
        <w:rPr>
          <w:rFonts w:hint="eastAsia" w:hAnsi="宋体" w:cs="宋体"/>
          <w:highlight w:val="none"/>
        </w:rPr>
      </w:pPr>
    </w:p>
    <w:p w14:paraId="2AAC3307">
      <w:pPr>
        <w:rPr>
          <w:rFonts w:hint="eastAsia" w:hAnsi="宋体" w:cs="宋体"/>
          <w:sz w:val="32"/>
          <w:szCs w:val="32"/>
          <w:highlight w:val="none"/>
        </w:rPr>
      </w:pPr>
      <w:r>
        <w:rPr>
          <w:rFonts w:hint="eastAsia" w:hAnsi="宋体" w:cs="宋体"/>
          <w:sz w:val="32"/>
          <w:szCs w:val="32"/>
          <w:highlight w:val="none"/>
        </w:rPr>
        <w:br w:type="page"/>
      </w:r>
    </w:p>
    <w:p w14:paraId="2B2E6B6F">
      <w:pPr>
        <w:keepNext/>
        <w:spacing w:before="312" w:beforeLines="100"/>
        <w:jc w:val="center"/>
        <w:rPr>
          <w:rFonts w:hint="eastAsia" w:hAnsi="宋体" w:cs="宋体"/>
          <w:sz w:val="32"/>
          <w:szCs w:val="32"/>
          <w:highlight w:val="none"/>
        </w:rPr>
      </w:pPr>
      <w:r>
        <w:rPr>
          <w:rFonts w:hint="eastAsia" w:hAnsi="宋体" w:cs="宋体"/>
          <w:sz w:val="32"/>
          <w:szCs w:val="32"/>
          <w:highlight w:val="none"/>
        </w:rPr>
        <w:t>法定代表人授权书</w:t>
      </w:r>
    </w:p>
    <w:p w14:paraId="2EDC5DA3">
      <w:pPr>
        <w:rPr>
          <w:rFonts w:hint="eastAsia"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570107A9">
      <w:pPr>
        <w:spacing w:line="560" w:lineRule="exact"/>
        <w:jc w:val="left"/>
        <w:rPr>
          <w:rFonts w:hint="eastAsia" w:hAnsi="宋体" w:cs="宋体"/>
          <w:spacing w:val="4"/>
          <w:szCs w:val="24"/>
          <w:highlight w:val="none"/>
        </w:rPr>
      </w:pPr>
      <w:r>
        <w:rPr>
          <w:rFonts w:hint="eastAsia" w:hAnsi="宋体" w:cs="宋体"/>
          <w:b/>
          <w:spacing w:val="4"/>
          <w:szCs w:val="24"/>
          <w:highlight w:val="none"/>
        </w:rPr>
        <w:t>致：</w:t>
      </w:r>
      <w:r>
        <w:rPr>
          <w:rFonts w:hint="eastAsia" w:hAnsi="宋体" w:cs="宋体"/>
          <w:b/>
          <w:spacing w:val="4"/>
          <w:szCs w:val="24"/>
          <w:highlight w:val="none"/>
          <w:u w:val="single"/>
        </w:rPr>
        <w:t>采购人名称/陕西至诚项目管理集团有限公司</w:t>
      </w:r>
    </w:p>
    <w:p w14:paraId="5D8FC93E">
      <w:pPr>
        <w:spacing w:line="560" w:lineRule="exact"/>
        <w:ind w:firstLine="496" w:firstLineChars="200"/>
        <w:jc w:val="left"/>
        <w:rPr>
          <w:rFonts w:hint="eastAsia"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 xml:space="preserve">（项目名称、项目编号项目名称：项目编号：合同包：）    </w:t>
      </w:r>
      <w:r>
        <w:rPr>
          <w:rFonts w:hint="eastAsia" w:hAnsi="宋体" w:cs="宋体"/>
          <w:spacing w:val="4"/>
          <w:szCs w:val="24"/>
          <w:highlight w:val="none"/>
        </w:rPr>
        <w:t>投标、谈判、签约等具体工作，并签署全部有关的文件、协议及合同。</w:t>
      </w:r>
    </w:p>
    <w:p w14:paraId="70282A1C">
      <w:pPr>
        <w:spacing w:line="560" w:lineRule="exact"/>
        <w:ind w:firstLine="496" w:firstLineChars="200"/>
        <w:jc w:val="left"/>
        <w:rPr>
          <w:rFonts w:hint="eastAsia"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FE4652A">
      <w:pPr>
        <w:spacing w:line="560" w:lineRule="exact"/>
        <w:ind w:right="617" w:rightChars="257" w:firstLine="480" w:firstLineChars="200"/>
        <w:jc w:val="left"/>
        <w:rPr>
          <w:rFonts w:hint="eastAsia"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0809D2CE">
      <w:pPr>
        <w:spacing w:line="560" w:lineRule="exact"/>
        <w:ind w:firstLine="496" w:firstLineChars="200"/>
        <w:jc w:val="left"/>
        <w:rPr>
          <w:rFonts w:hint="eastAsia"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18"/>
        <w:tblW w:w="8190" w:type="dxa"/>
        <w:tblInd w:w="633" w:type="dxa"/>
        <w:tblLayout w:type="fixed"/>
        <w:tblCellMar>
          <w:top w:w="0" w:type="dxa"/>
          <w:left w:w="108" w:type="dxa"/>
          <w:bottom w:w="0" w:type="dxa"/>
          <w:right w:w="108" w:type="dxa"/>
        </w:tblCellMar>
      </w:tblPr>
      <w:tblGrid>
        <w:gridCol w:w="4200"/>
        <w:gridCol w:w="3990"/>
      </w:tblGrid>
      <w:tr w14:paraId="3F1F293E">
        <w:tblPrEx>
          <w:tblCellMar>
            <w:top w:w="0" w:type="dxa"/>
            <w:left w:w="108" w:type="dxa"/>
            <w:bottom w:w="0" w:type="dxa"/>
            <w:right w:w="108" w:type="dxa"/>
          </w:tblCellMar>
        </w:tblPrEx>
        <w:trPr>
          <w:trHeight w:val="600" w:hRule="atLeast"/>
        </w:trPr>
        <w:tc>
          <w:tcPr>
            <w:tcW w:w="4200" w:type="dxa"/>
          </w:tcPr>
          <w:p w14:paraId="7BE8D471">
            <w:pPr>
              <w:spacing w:line="520" w:lineRule="exact"/>
              <w:jc w:val="left"/>
              <w:rPr>
                <w:rFonts w:hint="eastAsia"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E2AE851">
            <w:pPr>
              <w:spacing w:line="520" w:lineRule="exact"/>
              <w:jc w:val="left"/>
              <w:rPr>
                <w:rFonts w:hint="eastAsia"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14:paraId="75758A17">
        <w:tblPrEx>
          <w:tblCellMar>
            <w:top w:w="0" w:type="dxa"/>
            <w:left w:w="108" w:type="dxa"/>
            <w:bottom w:w="0" w:type="dxa"/>
            <w:right w:w="108" w:type="dxa"/>
          </w:tblCellMar>
        </w:tblPrEx>
        <w:trPr>
          <w:trHeight w:val="600" w:hRule="atLeast"/>
        </w:trPr>
        <w:tc>
          <w:tcPr>
            <w:tcW w:w="4200" w:type="dxa"/>
          </w:tcPr>
          <w:p w14:paraId="297E03BF">
            <w:pPr>
              <w:spacing w:line="520" w:lineRule="exact"/>
              <w:jc w:val="left"/>
              <w:rPr>
                <w:rFonts w:hint="eastAsia" w:hAnsi="宋体" w:cs="宋体"/>
                <w:spacing w:val="4"/>
                <w:szCs w:val="24"/>
                <w:highlight w:val="none"/>
              </w:rPr>
            </w:pPr>
            <w:r>
              <w:rPr>
                <w:rFonts w:hint="eastAsia" w:hAnsi="宋体" w:cs="宋体"/>
                <w:spacing w:val="4"/>
                <w:szCs w:val="24"/>
                <w:highlight w:val="none"/>
              </w:rPr>
              <w:t>职务：</w:t>
            </w:r>
          </w:p>
        </w:tc>
        <w:tc>
          <w:tcPr>
            <w:tcW w:w="3990" w:type="dxa"/>
          </w:tcPr>
          <w:p w14:paraId="62627028">
            <w:pPr>
              <w:spacing w:line="520" w:lineRule="exact"/>
              <w:jc w:val="left"/>
              <w:rPr>
                <w:rFonts w:hint="eastAsia" w:hAnsi="宋体" w:cs="宋体"/>
                <w:spacing w:val="4"/>
                <w:szCs w:val="24"/>
                <w:highlight w:val="none"/>
              </w:rPr>
            </w:pPr>
            <w:r>
              <w:rPr>
                <w:rFonts w:hint="eastAsia" w:hAnsi="宋体" w:cs="宋体"/>
                <w:spacing w:val="4"/>
                <w:szCs w:val="24"/>
                <w:highlight w:val="none"/>
              </w:rPr>
              <w:t>职务：</w:t>
            </w:r>
          </w:p>
        </w:tc>
      </w:tr>
      <w:tr w14:paraId="1A2E31FE">
        <w:tblPrEx>
          <w:tblCellMar>
            <w:top w:w="0" w:type="dxa"/>
            <w:left w:w="108" w:type="dxa"/>
            <w:bottom w:w="0" w:type="dxa"/>
            <w:right w:w="108" w:type="dxa"/>
          </w:tblCellMar>
        </w:tblPrEx>
        <w:trPr>
          <w:trHeight w:val="600" w:hRule="atLeast"/>
        </w:trPr>
        <w:tc>
          <w:tcPr>
            <w:tcW w:w="4200" w:type="dxa"/>
          </w:tcPr>
          <w:p w14:paraId="393F9336">
            <w:pPr>
              <w:spacing w:line="520" w:lineRule="exact"/>
              <w:jc w:val="left"/>
              <w:rPr>
                <w:rFonts w:hint="eastAsia" w:hAnsi="宋体" w:cs="宋体"/>
                <w:spacing w:val="4"/>
                <w:szCs w:val="24"/>
                <w:highlight w:val="none"/>
              </w:rPr>
            </w:pPr>
            <w:r>
              <w:rPr>
                <w:rFonts w:hint="eastAsia" w:hAnsi="宋体" w:cs="宋体"/>
                <w:spacing w:val="4"/>
                <w:szCs w:val="24"/>
                <w:highlight w:val="none"/>
              </w:rPr>
              <w:t>身份证号：</w:t>
            </w:r>
          </w:p>
        </w:tc>
        <w:tc>
          <w:tcPr>
            <w:tcW w:w="3990" w:type="dxa"/>
          </w:tcPr>
          <w:p w14:paraId="56FF4606">
            <w:pPr>
              <w:spacing w:line="520" w:lineRule="exact"/>
              <w:jc w:val="left"/>
              <w:rPr>
                <w:rFonts w:hint="eastAsia" w:hAnsi="宋体" w:cs="宋体"/>
                <w:spacing w:val="4"/>
                <w:szCs w:val="24"/>
                <w:highlight w:val="none"/>
              </w:rPr>
            </w:pPr>
            <w:r>
              <w:rPr>
                <w:rFonts w:hint="eastAsia" w:hAnsi="宋体" w:cs="宋体"/>
                <w:spacing w:val="4"/>
                <w:szCs w:val="24"/>
                <w:highlight w:val="none"/>
              </w:rPr>
              <w:t>身份证号：</w:t>
            </w:r>
          </w:p>
        </w:tc>
      </w:tr>
      <w:tr w14:paraId="45F3A498">
        <w:tblPrEx>
          <w:tblCellMar>
            <w:top w:w="0" w:type="dxa"/>
            <w:left w:w="108" w:type="dxa"/>
            <w:bottom w:w="0" w:type="dxa"/>
            <w:right w:w="108" w:type="dxa"/>
          </w:tblCellMar>
        </w:tblPrEx>
        <w:trPr>
          <w:trHeight w:val="600" w:hRule="atLeast"/>
        </w:trPr>
        <w:tc>
          <w:tcPr>
            <w:tcW w:w="4200" w:type="dxa"/>
          </w:tcPr>
          <w:p w14:paraId="7940A0A1">
            <w:pPr>
              <w:spacing w:line="520" w:lineRule="exact"/>
              <w:jc w:val="left"/>
              <w:rPr>
                <w:rFonts w:hint="eastAsia" w:hAnsi="宋体" w:cs="宋体"/>
                <w:spacing w:val="4"/>
                <w:szCs w:val="24"/>
                <w:highlight w:val="none"/>
              </w:rPr>
            </w:pPr>
            <w:r>
              <w:rPr>
                <w:rFonts w:hint="eastAsia" w:hAnsi="宋体" w:cs="宋体"/>
                <w:spacing w:val="4"/>
                <w:szCs w:val="24"/>
                <w:highlight w:val="none"/>
              </w:rPr>
              <w:t>所在部门：</w:t>
            </w:r>
          </w:p>
        </w:tc>
        <w:tc>
          <w:tcPr>
            <w:tcW w:w="3990" w:type="dxa"/>
          </w:tcPr>
          <w:p w14:paraId="3F5F4C01">
            <w:pPr>
              <w:spacing w:line="520" w:lineRule="exact"/>
              <w:jc w:val="left"/>
              <w:rPr>
                <w:rFonts w:hint="eastAsia" w:hAnsi="宋体" w:cs="宋体"/>
                <w:spacing w:val="4"/>
                <w:szCs w:val="24"/>
                <w:highlight w:val="none"/>
              </w:rPr>
            </w:pPr>
          </w:p>
        </w:tc>
      </w:tr>
    </w:tbl>
    <w:p w14:paraId="2EFE3A14">
      <w:pPr>
        <w:spacing w:line="520" w:lineRule="exact"/>
        <w:ind w:firstLine="496" w:firstLineChars="200"/>
        <w:jc w:val="left"/>
        <w:rPr>
          <w:rFonts w:hint="eastAsia" w:hAnsi="宋体" w:cs="宋体"/>
          <w:spacing w:val="4"/>
          <w:szCs w:val="24"/>
          <w:highlight w:val="none"/>
        </w:rPr>
      </w:pPr>
    </w:p>
    <w:p w14:paraId="6A06E974">
      <w:pPr>
        <w:spacing w:before="240" w:line="360" w:lineRule="auto"/>
        <w:ind w:firstLine="960" w:firstLineChars="400"/>
        <w:rPr>
          <w:rFonts w:hint="eastAsia" w:hAnsi="宋体" w:cs="宋体"/>
          <w:highlight w:val="none"/>
          <w:u w:val="single"/>
        </w:rPr>
      </w:pPr>
      <w:r>
        <w:rPr>
          <w:rFonts w:hint="eastAsia" w:hAnsi="宋体" w:cs="宋体"/>
          <w:highlight w:val="none"/>
          <w:lang w:val="zh-CN"/>
        </w:rPr>
        <w:t>附法定代表人</w:t>
      </w:r>
      <w:r>
        <w:rPr>
          <w:rFonts w:hint="eastAsia" w:hAnsi="宋体" w:cs="宋体"/>
          <w:highlight w:val="none"/>
        </w:rPr>
        <w:t>、</w:t>
      </w:r>
      <w:r>
        <w:rPr>
          <w:rFonts w:hint="eastAsia" w:hAnsi="宋体" w:cs="宋体"/>
          <w:highlight w:val="none"/>
          <w:lang w:val="zh-CN"/>
        </w:rPr>
        <w:t>授权代表身份证复印件</w:t>
      </w:r>
    </w:p>
    <w:tbl>
      <w:tblPr>
        <w:tblStyle w:val="18"/>
        <w:tblW w:w="8357" w:type="dxa"/>
        <w:tblInd w:w="540" w:type="dxa"/>
        <w:tblLayout w:type="fixed"/>
        <w:tblCellMar>
          <w:top w:w="0" w:type="dxa"/>
          <w:left w:w="108" w:type="dxa"/>
          <w:bottom w:w="0" w:type="dxa"/>
          <w:right w:w="108" w:type="dxa"/>
        </w:tblCellMar>
      </w:tblPr>
      <w:tblGrid>
        <w:gridCol w:w="4246"/>
        <w:gridCol w:w="4111"/>
      </w:tblGrid>
      <w:tr w14:paraId="08FBB11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636FF54">
            <w:pPr>
              <w:spacing w:line="360" w:lineRule="auto"/>
              <w:jc w:val="center"/>
              <w:rPr>
                <w:rFonts w:hint="eastAsia" w:hAnsi="宋体" w:cs="宋体"/>
                <w:szCs w:val="21"/>
                <w:highlight w:val="none"/>
                <w:lang w:val="zh-CN"/>
              </w:rPr>
            </w:pPr>
            <w:r>
              <w:rPr>
                <w:rFonts w:hint="eastAsia" w:hAnsi="宋体" w:cs="宋体"/>
                <w:szCs w:val="21"/>
                <w:highlight w:val="none"/>
                <w:lang w:val="zh-CN"/>
              </w:rPr>
              <w:t>法定代表人身份证复印件粘贴处</w:t>
            </w:r>
          </w:p>
          <w:p w14:paraId="26EDFA7B">
            <w:pPr>
              <w:spacing w:line="360" w:lineRule="auto"/>
              <w:jc w:val="center"/>
              <w:rPr>
                <w:rFonts w:hint="eastAsia"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2AF06AB">
            <w:pPr>
              <w:autoSpaceDE w:val="0"/>
              <w:autoSpaceDN w:val="0"/>
              <w:adjustRightInd w:val="0"/>
              <w:snapToGrid w:val="0"/>
              <w:spacing w:before="156" w:beforeLines="50" w:line="360" w:lineRule="auto"/>
              <w:jc w:val="center"/>
              <w:rPr>
                <w:rFonts w:hint="eastAsia" w:hAnsi="宋体" w:cs="宋体"/>
                <w:szCs w:val="21"/>
                <w:highlight w:val="none"/>
              </w:rPr>
            </w:pPr>
            <w:r>
              <w:rPr>
                <w:rFonts w:hint="eastAsia" w:hAnsi="宋体" w:cs="宋体"/>
                <w:szCs w:val="24"/>
                <w:highlight w:val="none"/>
              </w:rPr>
              <w:t>授权代表</w:t>
            </w:r>
            <w:r>
              <w:rPr>
                <w:rFonts w:hint="eastAsia" w:hAnsi="宋体" w:cs="宋体"/>
                <w:szCs w:val="21"/>
                <w:highlight w:val="none"/>
              </w:rPr>
              <w:t>身份证复印件粘贴处</w:t>
            </w:r>
          </w:p>
          <w:p w14:paraId="5F9F9A9F">
            <w:pPr>
              <w:autoSpaceDE w:val="0"/>
              <w:autoSpaceDN w:val="0"/>
              <w:adjustRightInd w:val="0"/>
              <w:snapToGrid w:val="0"/>
              <w:spacing w:before="156" w:beforeLines="50" w:line="360" w:lineRule="auto"/>
              <w:jc w:val="center"/>
              <w:rPr>
                <w:rFonts w:hint="eastAsia" w:hAnsi="宋体" w:cs="宋体"/>
                <w:highlight w:val="none"/>
                <w:u w:val="single"/>
              </w:rPr>
            </w:pPr>
            <w:r>
              <w:rPr>
                <w:rFonts w:hint="eastAsia" w:hAnsi="宋体" w:cs="宋体"/>
                <w:szCs w:val="21"/>
                <w:highlight w:val="none"/>
              </w:rPr>
              <w:t>（正反面）</w:t>
            </w:r>
          </w:p>
        </w:tc>
      </w:tr>
    </w:tbl>
    <w:p w14:paraId="3AC46A7C">
      <w:pPr>
        <w:spacing w:line="480" w:lineRule="auto"/>
        <w:ind w:left="485" w:leftChars="202" w:right="617" w:rightChars="257"/>
        <w:jc w:val="left"/>
        <w:rPr>
          <w:rFonts w:hint="eastAsia"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1C35EF51">
      <w:pPr>
        <w:spacing w:line="440" w:lineRule="exact"/>
        <w:ind w:left="485" w:leftChars="202"/>
        <w:rPr>
          <w:rFonts w:hint="eastAsia" w:hAnsi="宋体" w:cs="宋体"/>
          <w:spacing w:val="4"/>
          <w:szCs w:val="30"/>
          <w:highlight w:val="none"/>
        </w:rPr>
      </w:pPr>
      <w:r>
        <w:rPr>
          <w:rFonts w:hint="eastAsia" w:hAnsi="宋体" w:cs="宋体"/>
          <w:spacing w:val="4"/>
          <w:szCs w:val="30"/>
          <w:highlight w:val="none"/>
        </w:rPr>
        <w:t>日   期：</w:t>
      </w:r>
    </w:p>
    <w:p w14:paraId="5C2AA8DA">
      <w:pPr>
        <w:ind w:firstLine="482" w:firstLineChars="200"/>
        <w:rPr>
          <w:rFonts w:hint="eastAsia" w:hAnsi="宋体" w:cs="宋体"/>
          <w:b/>
          <w:bCs/>
          <w:highlight w:val="none"/>
          <w:lang w:val="zh-CN"/>
        </w:rPr>
      </w:pPr>
    </w:p>
    <w:p w14:paraId="6B9C9666">
      <w:pPr>
        <w:ind w:firstLine="496" w:firstLineChars="200"/>
        <w:rPr>
          <w:rFonts w:hint="eastAsia" w:hAnsi="宋体" w:cs="宋体"/>
          <w:highlight w:val="none"/>
        </w:rPr>
      </w:pPr>
      <w:bookmarkStart w:id="201" w:name="_Toc25905"/>
      <w:r>
        <w:rPr>
          <w:rFonts w:hint="eastAsia" w:hAnsi="宋体" w:cs="宋体"/>
          <w:spacing w:val="4"/>
          <w:szCs w:val="30"/>
          <w:highlight w:val="none"/>
        </w:rPr>
        <w:br w:type="page"/>
      </w:r>
      <w:bookmarkEnd w:id="201"/>
    </w:p>
    <w:p w14:paraId="7142B3C6">
      <w:pPr>
        <w:rPr>
          <w:rFonts w:hint="eastAsia" w:hAnsi="宋体" w:cs="宋体"/>
          <w:b/>
          <w:bCs/>
          <w:sz w:val="32"/>
          <w:szCs w:val="32"/>
          <w:highlight w:val="none"/>
          <w:shd w:val="clear" w:color="auto" w:fill="FFFFFF"/>
        </w:rPr>
      </w:pPr>
      <w:r>
        <w:rPr>
          <w:rFonts w:hint="eastAsia" w:hAnsi="宋体" w:cs="宋体"/>
          <w:b/>
          <w:bCs/>
          <w:sz w:val="32"/>
          <w:szCs w:val="32"/>
          <w:highlight w:val="none"/>
          <w:shd w:val="clear" w:color="auto" w:fill="FFFFFF"/>
        </w:rPr>
        <w:t>附件2：</w:t>
      </w:r>
    </w:p>
    <w:p w14:paraId="26F7A25A">
      <w:pPr>
        <w:widowControl/>
        <w:spacing w:line="360" w:lineRule="auto"/>
        <w:ind w:left="1" w:firstLine="281" w:firstLineChars="100"/>
        <w:rPr>
          <w:rFonts w:hint="eastAsia" w:hAnsi="宋体" w:cs="宋体"/>
          <w:b/>
          <w:sz w:val="28"/>
          <w:szCs w:val="28"/>
          <w:highlight w:val="none"/>
        </w:rPr>
      </w:pPr>
    </w:p>
    <w:p w14:paraId="051C0E12">
      <w:pPr>
        <w:widowControl/>
        <w:spacing w:line="360" w:lineRule="auto"/>
        <w:ind w:left="1" w:firstLine="281" w:firstLineChars="100"/>
        <w:jc w:val="center"/>
        <w:rPr>
          <w:rFonts w:hint="eastAsia" w:hAnsi="宋体" w:cs="宋体"/>
          <w:b/>
          <w:sz w:val="28"/>
          <w:szCs w:val="28"/>
          <w:highlight w:val="none"/>
        </w:rPr>
      </w:pPr>
    </w:p>
    <w:p w14:paraId="205484EF">
      <w:pPr>
        <w:widowControl/>
        <w:spacing w:line="360" w:lineRule="auto"/>
        <w:ind w:left="1" w:firstLine="281" w:firstLineChars="100"/>
        <w:jc w:val="center"/>
        <w:rPr>
          <w:rFonts w:hint="eastAsia"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657C87BC">
      <w:pPr>
        <w:widowControl/>
        <w:spacing w:line="360" w:lineRule="auto"/>
        <w:ind w:left="1"/>
        <w:jc w:val="center"/>
        <w:rPr>
          <w:rFonts w:hint="eastAsia" w:hAnsi="宋体" w:cs="宋体"/>
          <w:b/>
          <w:sz w:val="28"/>
          <w:szCs w:val="28"/>
          <w:highlight w:val="none"/>
        </w:rPr>
      </w:pPr>
      <w:r>
        <w:rPr>
          <w:rFonts w:hint="eastAsia" w:hAnsi="宋体" w:cs="宋体"/>
          <w:b/>
          <w:sz w:val="28"/>
          <w:szCs w:val="28"/>
          <w:highlight w:val="none"/>
        </w:rPr>
        <w:t>（格式）</w:t>
      </w:r>
    </w:p>
    <w:p w14:paraId="75701900">
      <w:pPr>
        <w:pStyle w:val="17"/>
        <w:wordWrap w:val="0"/>
        <w:spacing w:beforeAutospacing="0" w:afterAutospacing="0" w:line="560" w:lineRule="exact"/>
        <w:rPr>
          <w:rFonts w:hint="eastAsia" w:cs="宋体"/>
          <w:highlight w:val="none"/>
          <w:u w:val="single"/>
          <w:shd w:val="clear" w:color="auto" w:fill="FFFFFF"/>
        </w:rPr>
      </w:pPr>
      <w:r>
        <w:rPr>
          <w:rFonts w:hint="eastAsia" w:cs="宋体"/>
          <w:highlight w:val="none"/>
          <w:u w:val="single"/>
          <w:shd w:val="clear" w:color="auto" w:fill="FFFFFF"/>
        </w:rPr>
        <w:t xml:space="preserve">      （采购人）           ：</w:t>
      </w:r>
    </w:p>
    <w:p w14:paraId="687C0FCE">
      <w:pPr>
        <w:pStyle w:val="17"/>
        <w:wordWrap w:val="0"/>
        <w:spacing w:beforeAutospacing="0" w:afterAutospacing="0" w:line="560" w:lineRule="exact"/>
        <w:ind w:firstLine="640"/>
        <w:rPr>
          <w:rFonts w:hint="eastAsia"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w:t>
      </w:r>
      <w:r>
        <w:rPr>
          <w:rFonts w:hint="eastAsia" w:cs="宋体"/>
          <w:highlight w:val="none"/>
          <w:u w:val="single"/>
          <w:shd w:val="clear" w:color="auto" w:fill="FFFFFF"/>
        </w:rPr>
        <w:t>项目编号：</w:t>
      </w:r>
      <w:r>
        <w:rPr>
          <w:rFonts w:hint="eastAsia" w:cs="宋体"/>
          <w:i/>
          <w:iCs/>
          <w:highlight w:val="none"/>
          <w:u w:val="single"/>
          <w:shd w:val="clear" w:color="auto" w:fill="FFFFFF"/>
        </w:rPr>
        <w:t xml:space="preserve">     </w:t>
      </w:r>
      <w:r>
        <w:rPr>
          <w:rFonts w:hint="eastAsia" w:cs="宋体"/>
          <w:highlight w:val="none"/>
          <w:u w:val="single"/>
          <w:shd w:val="clear" w:color="auto" w:fill="FFFFFF"/>
        </w:rPr>
        <w:t>合同包：</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7A7746F2">
      <w:pPr>
        <w:pStyle w:val="17"/>
        <w:wordWrap w:val="0"/>
        <w:spacing w:beforeAutospacing="0" w:afterAutospacing="0" w:line="560" w:lineRule="exact"/>
        <w:ind w:firstLine="420"/>
        <w:rPr>
          <w:rFonts w:hint="eastAsia"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4CE9AE72">
      <w:pPr>
        <w:pStyle w:val="17"/>
        <w:wordWrap w:val="0"/>
        <w:spacing w:beforeAutospacing="0" w:afterAutospacing="0" w:line="560" w:lineRule="exact"/>
        <w:ind w:firstLine="420"/>
        <w:rPr>
          <w:rFonts w:hint="eastAsia"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3BD6210F">
      <w:pPr>
        <w:pStyle w:val="17"/>
        <w:wordWrap w:val="0"/>
        <w:spacing w:beforeAutospacing="0" w:afterAutospacing="0" w:line="560" w:lineRule="exact"/>
        <w:ind w:firstLine="420"/>
        <w:rPr>
          <w:rFonts w:hint="eastAsia" w:cs="宋体"/>
          <w:highlight w:val="none"/>
          <w:shd w:val="clear" w:color="auto" w:fill="FFFFFF"/>
        </w:rPr>
      </w:pPr>
      <w:r>
        <w:rPr>
          <w:rFonts w:hint="eastAsia" w:cs="宋体"/>
          <w:highlight w:val="none"/>
          <w:shd w:val="clear" w:color="auto" w:fill="FFFFFF"/>
        </w:rPr>
        <w:t>特此声明！</w:t>
      </w:r>
    </w:p>
    <w:p w14:paraId="20BF0788">
      <w:pPr>
        <w:pStyle w:val="17"/>
        <w:wordWrap w:val="0"/>
        <w:spacing w:beforeAutospacing="0" w:afterAutospacing="0" w:line="560" w:lineRule="exact"/>
        <w:ind w:firstLine="420"/>
        <w:rPr>
          <w:rFonts w:hint="eastAsia" w:cs="宋体"/>
          <w:highlight w:val="none"/>
          <w:shd w:val="clear" w:color="auto" w:fill="FFFFFF"/>
        </w:rPr>
      </w:pPr>
    </w:p>
    <w:p w14:paraId="5B90A008">
      <w:pPr>
        <w:spacing w:line="480" w:lineRule="auto"/>
        <w:ind w:firstLine="3360" w:firstLineChars="1400"/>
        <w:rPr>
          <w:rFonts w:hint="eastAsia" w:hAnsi="宋体" w:cs="宋体"/>
          <w:highlight w:val="none"/>
        </w:rPr>
      </w:pPr>
    </w:p>
    <w:p w14:paraId="56583284">
      <w:pPr>
        <w:spacing w:line="480" w:lineRule="auto"/>
        <w:ind w:firstLine="3360" w:firstLineChars="1400"/>
        <w:rPr>
          <w:rFonts w:hint="eastAsia"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（盖章）</w:t>
      </w:r>
    </w:p>
    <w:p w14:paraId="1096C31B">
      <w:pPr>
        <w:pStyle w:val="26"/>
        <w:spacing w:before="156" w:beforeLines="50"/>
        <w:ind w:firstLine="3360" w:firstLineChars="1400"/>
        <w:rPr>
          <w:rFonts w:hint="eastAsia"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02C78B6C">
      <w:pPr>
        <w:adjustRightInd w:val="0"/>
        <w:snapToGrid w:val="0"/>
        <w:spacing w:line="360" w:lineRule="auto"/>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3C3C72F2">
      <w:pPr>
        <w:adjustRightInd w:val="0"/>
        <w:snapToGrid w:val="0"/>
        <w:spacing w:line="360" w:lineRule="auto"/>
        <w:jc w:val="center"/>
        <w:rPr>
          <w:rFonts w:hint="eastAsia" w:asciiTheme="minorEastAsia" w:hAnsiTheme="minorEastAsia" w:eastAsiaTheme="minorEastAsia" w:cstheme="minorEastAsia"/>
          <w:b/>
          <w:sz w:val="28"/>
          <w:szCs w:val="28"/>
          <w:highlight w:val="none"/>
        </w:rPr>
      </w:pPr>
    </w:p>
    <w:p w14:paraId="7612770B">
      <w:pPr>
        <w:adjustRightInd w:val="0"/>
        <w:snapToGrid w:val="0"/>
        <w:spacing w:line="360" w:lineRule="auto"/>
        <w:jc w:val="center"/>
        <w:rPr>
          <w:rFonts w:hint="eastAsia" w:hAnsi="宋体" w:cs="宋体"/>
          <w:b/>
          <w:sz w:val="28"/>
          <w:szCs w:val="28"/>
          <w:highlight w:val="none"/>
        </w:rPr>
      </w:pPr>
    </w:p>
    <w:p w14:paraId="3D6DDCA1">
      <w:pPr>
        <w:adjustRightInd w:val="0"/>
        <w:snapToGrid w:val="0"/>
        <w:spacing w:line="360" w:lineRule="auto"/>
        <w:jc w:val="center"/>
        <w:rPr>
          <w:rFonts w:hint="eastAsia"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3AB5DB3D">
      <w:pPr>
        <w:widowControl/>
        <w:spacing w:line="360" w:lineRule="auto"/>
        <w:ind w:left="1"/>
        <w:jc w:val="center"/>
        <w:rPr>
          <w:rFonts w:hint="eastAsia" w:hAnsi="宋体" w:cs="宋体"/>
          <w:b/>
          <w:sz w:val="28"/>
          <w:szCs w:val="28"/>
          <w:highlight w:val="none"/>
        </w:rPr>
      </w:pPr>
      <w:r>
        <w:rPr>
          <w:rFonts w:hint="eastAsia" w:hAnsi="宋体" w:cs="宋体"/>
          <w:b/>
          <w:sz w:val="28"/>
          <w:szCs w:val="28"/>
          <w:highlight w:val="none"/>
        </w:rPr>
        <w:t>（格式）</w:t>
      </w:r>
    </w:p>
    <w:p w14:paraId="6DA88953">
      <w:pPr>
        <w:rPr>
          <w:highlight w:val="none"/>
        </w:rPr>
      </w:pPr>
    </w:p>
    <w:p w14:paraId="75A93102">
      <w:pPr>
        <w:pStyle w:val="11"/>
        <w:adjustRightInd w:val="0"/>
        <w:snapToGrid w:val="0"/>
        <w:spacing w:line="720" w:lineRule="exact"/>
        <w:jc w:val="center"/>
        <w:rPr>
          <w:rFonts w:hint="eastAsia" w:hAnsi="宋体" w:cs="宋体"/>
          <w:b/>
          <w:sz w:val="28"/>
          <w:szCs w:val="28"/>
          <w:highlight w:val="none"/>
        </w:rPr>
      </w:pPr>
    </w:p>
    <w:p w14:paraId="76C9FD4E">
      <w:pPr>
        <w:spacing w:line="720" w:lineRule="exact"/>
        <w:rPr>
          <w:rFonts w:hint="eastAsia" w:hAnsi="宋体" w:cs="宋体"/>
          <w:spacing w:val="4"/>
          <w:highlight w:val="none"/>
          <w:u w:val="single"/>
        </w:rPr>
      </w:pPr>
      <w:r>
        <w:rPr>
          <w:rFonts w:hint="eastAsia" w:hAnsi="宋体" w:cs="宋体"/>
          <w:spacing w:val="4"/>
          <w:highlight w:val="none"/>
          <w:u w:val="single"/>
        </w:rPr>
        <w:t xml:space="preserve">     （采购人名称）    ：</w:t>
      </w:r>
    </w:p>
    <w:p w14:paraId="3E07829C">
      <w:pPr>
        <w:pStyle w:val="11"/>
        <w:adjustRightInd w:val="0"/>
        <w:snapToGrid w:val="0"/>
        <w:spacing w:line="720" w:lineRule="exact"/>
        <w:rPr>
          <w:rFonts w:hint="eastAsia"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412A7C74">
      <w:pPr>
        <w:pStyle w:val="11"/>
        <w:adjustRightInd w:val="0"/>
        <w:snapToGrid w:val="0"/>
        <w:spacing w:line="720" w:lineRule="exact"/>
        <w:ind w:firstLine="550" w:firstLineChars="222"/>
        <w:rPr>
          <w:rFonts w:hint="eastAsia"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15F5498E">
      <w:pPr>
        <w:pStyle w:val="11"/>
        <w:adjustRightInd w:val="0"/>
        <w:snapToGrid w:val="0"/>
        <w:spacing w:line="720" w:lineRule="exact"/>
        <w:rPr>
          <w:rFonts w:hint="eastAsia" w:hAnsi="宋体" w:cs="宋体"/>
          <w:spacing w:val="4"/>
          <w:sz w:val="24"/>
          <w:szCs w:val="24"/>
          <w:highlight w:val="none"/>
        </w:rPr>
      </w:pPr>
    </w:p>
    <w:p w14:paraId="7E139723">
      <w:pPr>
        <w:pStyle w:val="11"/>
        <w:adjustRightInd w:val="0"/>
        <w:snapToGrid w:val="0"/>
        <w:spacing w:line="720" w:lineRule="exact"/>
        <w:rPr>
          <w:rFonts w:hint="eastAsia" w:hAnsi="宋体" w:cs="宋体"/>
          <w:spacing w:val="4"/>
          <w:sz w:val="24"/>
          <w:szCs w:val="24"/>
          <w:highlight w:val="none"/>
        </w:rPr>
      </w:pPr>
    </w:p>
    <w:p w14:paraId="509A0FA7">
      <w:pPr>
        <w:pStyle w:val="11"/>
        <w:adjustRightInd w:val="0"/>
        <w:snapToGrid w:val="0"/>
        <w:spacing w:line="720" w:lineRule="exact"/>
        <w:rPr>
          <w:rFonts w:hint="eastAsia" w:hAnsi="宋体" w:cs="宋体"/>
          <w:spacing w:val="4"/>
          <w:sz w:val="24"/>
          <w:szCs w:val="24"/>
          <w:highlight w:val="none"/>
        </w:rPr>
      </w:pPr>
    </w:p>
    <w:p w14:paraId="41574FE9">
      <w:pPr>
        <w:spacing w:line="480" w:lineRule="auto"/>
        <w:ind w:firstLine="3360" w:firstLineChars="1400"/>
        <w:rPr>
          <w:rFonts w:hint="eastAsia"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4DA17A1B">
      <w:pPr>
        <w:pStyle w:val="26"/>
        <w:spacing w:before="156" w:beforeLines="50"/>
        <w:ind w:firstLine="3360" w:firstLineChars="1400"/>
        <w:rPr>
          <w:rFonts w:hint="eastAsia"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6D63D31">
      <w:pPr>
        <w:rPr>
          <w:rFonts w:hint="eastAsia" w:hAnsi="宋体" w:cs="宋体"/>
          <w:b/>
          <w:sz w:val="28"/>
          <w:szCs w:val="28"/>
          <w:highlight w:val="none"/>
        </w:rPr>
      </w:pPr>
      <w:r>
        <w:rPr>
          <w:rFonts w:hint="eastAsia" w:hAnsi="宋体" w:cs="宋体"/>
          <w:b/>
          <w:sz w:val="28"/>
          <w:szCs w:val="28"/>
          <w:highlight w:val="none"/>
        </w:rPr>
        <w:br w:type="page"/>
      </w:r>
    </w:p>
    <w:p w14:paraId="23F66369">
      <w:pPr>
        <w:rPr>
          <w:rFonts w:hint="eastAsia" w:hAnsi="宋体" w:cs="宋体"/>
          <w:b/>
          <w:sz w:val="28"/>
          <w:szCs w:val="28"/>
          <w:highlight w:val="none"/>
        </w:rPr>
      </w:pPr>
      <w:r>
        <w:rPr>
          <w:rFonts w:hint="eastAsia" w:hAnsi="宋体" w:cs="宋体"/>
          <w:b/>
          <w:sz w:val="28"/>
          <w:szCs w:val="28"/>
          <w:highlight w:val="none"/>
        </w:rPr>
        <w:t>附件3：</w:t>
      </w:r>
    </w:p>
    <w:p w14:paraId="3E50681F">
      <w:pPr>
        <w:spacing w:before="100" w:beforeAutospacing="1" w:after="156" w:afterLines="50" w:line="360" w:lineRule="auto"/>
        <w:jc w:val="center"/>
        <w:rPr>
          <w:rFonts w:hint="eastAsia" w:hAnsi="宋体" w:cs="宋体"/>
          <w:b/>
          <w:sz w:val="28"/>
          <w:szCs w:val="28"/>
          <w:highlight w:val="none"/>
        </w:rPr>
      </w:pPr>
    </w:p>
    <w:p w14:paraId="2DB730D9">
      <w:pPr>
        <w:spacing w:line="588" w:lineRule="exact"/>
        <w:jc w:val="center"/>
        <w:rPr>
          <w:rFonts w:hint="eastAsia" w:hAnsi="宋体" w:cs="宋体"/>
          <w:b/>
          <w:spacing w:val="6"/>
          <w:sz w:val="32"/>
          <w:szCs w:val="32"/>
          <w:highlight w:val="none"/>
        </w:rPr>
      </w:pPr>
      <w:r>
        <w:rPr>
          <w:rFonts w:hint="eastAsia" w:hAnsi="宋体" w:cs="宋体"/>
          <w:b/>
          <w:spacing w:val="6"/>
          <w:sz w:val="32"/>
          <w:szCs w:val="32"/>
          <w:highlight w:val="none"/>
        </w:rPr>
        <w:t>中小企业声明函</w:t>
      </w:r>
    </w:p>
    <w:p w14:paraId="67D9C886">
      <w:pPr>
        <w:pStyle w:val="8"/>
        <w:spacing w:before="2"/>
        <w:rPr>
          <w:rFonts w:ascii="宋体"/>
          <w:b/>
          <w:sz w:val="24"/>
          <w:highlight w:val="none"/>
        </w:rPr>
      </w:pPr>
    </w:p>
    <w:p w14:paraId="28EEB8C3">
      <w:pPr>
        <w:pStyle w:val="8"/>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本公司（联合体）郑重声明，根据《政府采购促进中小企业发展管理办法》（财库﹝2020﹞46 号）的规定，本公司（联合体）参加（</w:t>
      </w:r>
      <w:r>
        <w:rPr>
          <w:rFonts w:hint="eastAsia" w:ascii="宋体" w:hAnsi="宋体" w:cs="宋体"/>
          <w:spacing w:val="6"/>
          <w:sz w:val="24"/>
          <w:szCs w:val="24"/>
          <w:highlight w:val="none"/>
          <w:u w:val="single"/>
        </w:rPr>
        <w:t>单位名称</w:t>
      </w:r>
      <w:r>
        <w:rPr>
          <w:rFonts w:hint="eastAsia" w:ascii="宋体" w:hAnsi="宋体" w:cs="宋体"/>
          <w:spacing w:val="6"/>
          <w:sz w:val="24"/>
          <w:szCs w:val="24"/>
          <w:highlight w:val="none"/>
        </w:rPr>
        <w:t>）的（</w:t>
      </w:r>
      <w:r>
        <w:rPr>
          <w:rFonts w:hint="eastAsia" w:ascii="宋体" w:hAnsi="宋体" w:cs="宋体"/>
          <w:spacing w:val="6"/>
          <w:sz w:val="24"/>
          <w:szCs w:val="24"/>
          <w:highlight w:val="none"/>
          <w:u w:val="single"/>
        </w:rPr>
        <w:t>项目名称</w:t>
      </w:r>
      <w:r>
        <w:rPr>
          <w:rFonts w:hint="eastAsia" w:ascii="宋体" w:hAnsi="宋体" w:cs="宋体"/>
          <w:spacing w:val="6"/>
          <w:sz w:val="24"/>
          <w:szCs w:val="24"/>
          <w:highlight w:val="none"/>
        </w:rPr>
        <w:t>）采购活动，提供的货物全部由符合政策要求的中小企业制造。相关企业（含联合体中的中小企业、签订分包意向协议的中小企业）的具体情况如下：</w:t>
      </w:r>
    </w:p>
    <w:p w14:paraId="6932E2E2">
      <w:pPr>
        <w:pStyle w:val="24"/>
        <w:tabs>
          <w:tab w:val="left" w:pos="1183"/>
          <w:tab w:val="left" w:pos="1484"/>
          <w:tab w:val="left" w:pos="4662"/>
          <w:tab w:val="left" w:pos="6903"/>
        </w:tabs>
        <w:spacing w:line="360" w:lineRule="auto"/>
        <w:ind w:firstLine="504"/>
        <w:jc w:val="left"/>
        <w:rPr>
          <w:rFonts w:hint="eastAsia" w:hAnsi="宋体" w:cs="宋体"/>
          <w:spacing w:val="6"/>
          <w:kern w:val="2"/>
          <w:szCs w:val="24"/>
          <w:highlight w:val="none"/>
        </w:rPr>
      </w:pPr>
      <w:r>
        <w:rPr>
          <w:rFonts w:hint="eastAsia" w:hAnsi="宋体" w:cs="宋体"/>
          <w:spacing w:val="6"/>
          <w:kern w:val="2"/>
          <w:szCs w:val="24"/>
          <w:highlight w:val="none"/>
        </w:rPr>
        <w:t>1.</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6036F455">
      <w:pPr>
        <w:pStyle w:val="24"/>
        <w:tabs>
          <w:tab w:val="left" w:pos="1183"/>
          <w:tab w:val="left" w:pos="1484"/>
          <w:tab w:val="left" w:pos="4662"/>
          <w:tab w:val="left" w:pos="6903"/>
        </w:tabs>
        <w:spacing w:line="360" w:lineRule="auto"/>
        <w:ind w:firstLine="504"/>
        <w:jc w:val="left"/>
        <w:rPr>
          <w:rFonts w:hint="eastAsia" w:hAnsi="宋体" w:cs="宋体"/>
          <w:spacing w:val="6"/>
          <w:kern w:val="2"/>
          <w:szCs w:val="24"/>
          <w:highlight w:val="none"/>
        </w:rPr>
      </w:pPr>
      <w:r>
        <w:rPr>
          <w:rFonts w:hint="eastAsia" w:hAnsi="宋体" w:cs="宋体"/>
          <w:spacing w:val="6"/>
          <w:kern w:val="2"/>
          <w:szCs w:val="24"/>
          <w:highlight w:val="none"/>
        </w:rPr>
        <w:t>2.</w:t>
      </w:r>
      <w:r>
        <w:rPr>
          <w:rFonts w:hint="eastAsia" w:hAnsi="宋体" w:cs="宋体"/>
          <w:spacing w:val="6"/>
          <w:kern w:val="2"/>
          <w:szCs w:val="24"/>
          <w:highlight w:val="none"/>
          <w:u w:val="single"/>
        </w:rPr>
        <w:t>（ 标 的 名 称 ）</w:t>
      </w:r>
      <w:r>
        <w:rPr>
          <w:rFonts w:hint="eastAsia" w:hAnsi="宋体" w:cs="宋体"/>
          <w:spacing w:val="6"/>
          <w:kern w:val="2"/>
          <w:szCs w:val="24"/>
          <w:highlight w:val="none"/>
        </w:rPr>
        <w:t>，属于</w:t>
      </w:r>
      <w:r>
        <w:rPr>
          <w:rFonts w:hint="eastAsia" w:hAnsi="宋体" w:cs="宋体"/>
          <w:spacing w:val="6"/>
          <w:kern w:val="2"/>
          <w:szCs w:val="24"/>
          <w:highlight w:val="none"/>
          <w:u w:val="single"/>
        </w:rPr>
        <w:t>（ 采 购 文 件 中 明 确 的 所 属 行 业 ）行业</w:t>
      </w:r>
      <w:r>
        <w:rPr>
          <w:rFonts w:hint="eastAsia" w:hAnsi="宋体" w:cs="宋体"/>
          <w:spacing w:val="6"/>
          <w:kern w:val="2"/>
          <w:szCs w:val="24"/>
          <w:highlight w:val="none"/>
        </w:rPr>
        <w:t>；制造商为</w:t>
      </w:r>
      <w:r>
        <w:rPr>
          <w:rFonts w:hint="eastAsia" w:hAnsi="宋体" w:cs="宋体"/>
          <w:spacing w:val="6"/>
          <w:kern w:val="2"/>
          <w:szCs w:val="24"/>
          <w:highlight w:val="none"/>
          <w:u w:val="single"/>
        </w:rPr>
        <w:t>（企业名称）</w:t>
      </w:r>
      <w:r>
        <w:rPr>
          <w:rFonts w:hint="eastAsia" w:hAnsi="宋体" w:cs="宋体"/>
          <w:spacing w:val="6"/>
          <w:kern w:val="2"/>
          <w:szCs w:val="24"/>
          <w:highlight w:val="none"/>
        </w:rPr>
        <w:t>，从业人员</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人，营业收入为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万元，资产总额为</w:t>
      </w:r>
      <w:r>
        <w:rPr>
          <w:rFonts w:hint="eastAsia" w:hAnsi="宋体" w:cs="宋体"/>
          <w:spacing w:val="6"/>
          <w:kern w:val="2"/>
          <w:szCs w:val="24"/>
          <w:highlight w:val="none"/>
          <w:u w:val="single"/>
        </w:rPr>
        <w:t xml:space="preserve">     </w:t>
      </w:r>
      <w:r>
        <w:rPr>
          <w:rFonts w:hint="eastAsia" w:hAnsi="宋体" w:cs="宋体"/>
          <w:spacing w:val="6"/>
          <w:kern w:val="2"/>
          <w:szCs w:val="24"/>
          <w:highlight w:val="none"/>
        </w:rPr>
        <w:t>万元，</w:t>
      </w:r>
      <w:r>
        <w:rPr>
          <w:rFonts w:hint="eastAsia" w:hAnsi="宋体" w:cs="宋体"/>
          <w:spacing w:val="6"/>
          <w:kern w:val="2"/>
          <w:szCs w:val="24"/>
          <w:highlight w:val="none"/>
          <w:u w:val="single"/>
        </w:rPr>
        <w:t>属于（中型企业、小型企业、微型企业）</w:t>
      </w:r>
      <w:r>
        <w:rPr>
          <w:rFonts w:hint="eastAsia" w:hAnsi="宋体" w:cs="宋体"/>
          <w:spacing w:val="6"/>
          <w:kern w:val="2"/>
          <w:szCs w:val="24"/>
          <w:highlight w:val="none"/>
        </w:rPr>
        <w:t>；</w:t>
      </w:r>
    </w:p>
    <w:p w14:paraId="374840DD">
      <w:pPr>
        <w:pStyle w:val="8"/>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w:t>
      </w:r>
    </w:p>
    <w:p w14:paraId="69ED2BE9">
      <w:pPr>
        <w:pStyle w:val="8"/>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以上企业，不属于大企业的分支机构，不存在控股股东为大企业的情形，也不存在与大企业的负责人为同一人的情形。</w:t>
      </w:r>
    </w:p>
    <w:p w14:paraId="4ABA6A60">
      <w:pPr>
        <w:pStyle w:val="8"/>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本企业对上述声明内容的真实性负责。如有虚假，将依法承担相应责任。</w:t>
      </w:r>
    </w:p>
    <w:p w14:paraId="6C8FD1D1">
      <w:pPr>
        <w:pStyle w:val="8"/>
        <w:spacing w:before="35" w:line="316" w:lineRule="auto"/>
        <w:ind w:left="4060" w:right="2166"/>
        <w:rPr>
          <w:rFonts w:hint="eastAsia" w:ascii="宋体" w:hAnsi="宋体" w:cs="宋体"/>
          <w:spacing w:val="6"/>
          <w:sz w:val="24"/>
          <w:szCs w:val="24"/>
          <w:highlight w:val="none"/>
        </w:rPr>
      </w:pPr>
    </w:p>
    <w:p w14:paraId="6471432C">
      <w:pPr>
        <w:pStyle w:val="8"/>
        <w:spacing w:before="35" w:line="316" w:lineRule="auto"/>
        <w:ind w:left="4060" w:right="2166"/>
        <w:rPr>
          <w:rFonts w:hint="eastAsia" w:ascii="宋体" w:hAnsi="宋体" w:cs="宋体"/>
          <w:spacing w:val="6"/>
          <w:sz w:val="24"/>
          <w:szCs w:val="24"/>
          <w:highlight w:val="none"/>
        </w:rPr>
      </w:pPr>
      <w:r>
        <w:rPr>
          <w:rFonts w:hint="eastAsia" w:ascii="宋体" w:hAnsi="宋体" w:cs="宋体"/>
          <w:spacing w:val="6"/>
          <w:sz w:val="24"/>
          <w:szCs w:val="24"/>
          <w:highlight w:val="none"/>
        </w:rPr>
        <w:t>企业名称（盖章）：</w:t>
      </w:r>
    </w:p>
    <w:p w14:paraId="682ADFC0">
      <w:pPr>
        <w:pStyle w:val="8"/>
        <w:spacing w:before="35" w:line="316" w:lineRule="auto"/>
        <w:ind w:left="4060" w:right="2166"/>
        <w:rPr>
          <w:rFonts w:hint="eastAsia" w:ascii="宋体" w:hAnsi="宋体" w:cs="宋体"/>
          <w:spacing w:val="6"/>
          <w:sz w:val="24"/>
          <w:szCs w:val="24"/>
          <w:highlight w:val="none"/>
        </w:rPr>
      </w:pPr>
      <w:r>
        <w:rPr>
          <w:rFonts w:hint="eastAsia" w:ascii="宋体" w:hAnsi="宋体" w:cs="宋体"/>
          <w:spacing w:val="6"/>
          <w:sz w:val="24"/>
          <w:szCs w:val="24"/>
          <w:highlight w:val="none"/>
        </w:rPr>
        <w:t>日期：</w:t>
      </w:r>
    </w:p>
    <w:p w14:paraId="4FD6B0C0">
      <w:pPr>
        <w:rPr>
          <w:rFonts w:hint="eastAsia" w:hAnsi="宋体" w:cs="宋体"/>
          <w:b/>
          <w:sz w:val="28"/>
          <w:szCs w:val="28"/>
          <w:highlight w:val="none"/>
        </w:rPr>
      </w:pPr>
      <w:r>
        <w:rPr>
          <w:rFonts w:hint="eastAsia" w:hAnsi="宋体" w:cs="宋体"/>
          <w:b/>
          <w:sz w:val="28"/>
          <w:szCs w:val="28"/>
          <w:highlight w:val="none"/>
        </w:rPr>
        <w:br w:type="page"/>
      </w:r>
    </w:p>
    <w:p w14:paraId="7A479415">
      <w:pPr>
        <w:spacing w:before="312" w:beforeLines="100" w:after="156" w:afterLines="50"/>
        <w:rPr>
          <w:rFonts w:hint="eastAsia" w:hAnsi="宋体" w:cs="宋体"/>
          <w:b/>
          <w:sz w:val="28"/>
          <w:szCs w:val="28"/>
          <w:highlight w:val="none"/>
        </w:rPr>
      </w:pPr>
      <w:r>
        <w:rPr>
          <w:rFonts w:hint="eastAsia" w:hAnsi="宋体" w:cs="宋体"/>
          <w:b/>
          <w:sz w:val="28"/>
          <w:szCs w:val="28"/>
          <w:highlight w:val="none"/>
        </w:rPr>
        <w:t>附件4（如有）：</w:t>
      </w:r>
    </w:p>
    <w:p w14:paraId="2708DDC5">
      <w:pPr>
        <w:spacing w:before="312" w:beforeLines="100" w:after="156" w:afterLines="50"/>
        <w:jc w:val="center"/>
        <w:rPr>
          <w:rFonts w:hint="eastAsia" w:hAnsi="宋体" w:cs="宋体"/>
          <w:b/>
          <w:sz w:val="28"/>
          <w:szCs w:val="28"/>
          <w:highlight w:val="none"/>
        </w:rPr>
      </w:pPr>
      <w:r>
        <w:rPr>
          <w:rFonts w:hint="eastAsia" w:hAnsi="宋体" w:cs="宋体"/>
          <w:b/>
          <w:sz w:val="28"/>
          <w:szCs w:val="28"/>
          <w:highlight w:val="none"/>
        </w:rPr>
        <w:t>产品属节能、环境标志产品列表</w:t>
      </w:r>
    </w:p>
    <w:p w14:paraId="1A309706">
      <w:pPr>
        <w:spacing w:line="360" w:lineRule="auto"/>
        <w:rPr>
          <w:rFonts w:hint="eastAsia" w:hAnsi="宋体" w:cs="宋体"/>
          <w:bCs/>
          <w:szCs w:val="24"/>
          <w:highlight w:val="none"/>
        </w:rPr>
      </w:pPr>
      <w:r>
        <w:rPr>
          <w:rFonts w:hint="eastAsia" w:hAnsi="宋体" w:cs="宋体"/>
          <w:bCs/>
          <w:szCs w:val="24"/>
          <w:highlight w:val="none"/>
        </w:rPr>
        <w:t>项目名称：</w:t>
      </w:r>
    </w:p>
    <w:p w14:paraId="551E8D75">
      <w:pPr>
        <w:spacing w:line="360" w:lineRule="auto"/>
        <w:rPr>
          <w:rFonts w:hint="eastAsia" w:hAnsi="宋体" w:cs="宋体"/>
          <w:bCs/>
          <w:szCs w:val="24"/>
          <w:highlight w:val="none"/>
        </w:rPr>
      </w:pPr>
      <w:r>
        <w:rPr>
          <w:rFonts w:hint="eastAsia" w:hAnsi="宋体" w:cs="宋体"/>
          <w:bCs/>
          <w:szCs w:val="24"/>
          <w:highlight w:val="none"/>
        </w:rPr>
        <w:t>项目编号：</w:t>
      </w:r>
    </w:p>
    <w:tbl>
      <w:tblPr>
        <w:tblStyle w:val="18"/>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19AA6C12">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102597E6">
            <w:pPr>
              <w:spacing w:after="120"/>
              <w:jc w:val="center"/>
              <w:rPr>
                <w:rFonts w:hint="eastAsia" w:hAnsi="宋体" w:cs="宋体"/>
                <w:highlight w:val="none"/>
              </w:rPr>
            </w:pPr>
            <w:r>
              <w:rPr>
                <w:rFonts w:hint="eastAsia"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0D411698">
            <w:pPr>
              <w:spacing w:after="120"/>
              <w:jc w:val="center"/>
              <w:rPr>
                <w:rFonts w:hint="eastAsia" w:hAnsi="宋体" w:cs="宋体"/>
                <w:highlight w:val="none"/>
              </w:rPr>
            </w:pPr>
            <w:r>
              <w:rPr>
                <w:rFonts w:hint="eastAsia"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150C7600">
            <w:pPr>
              <w:spacing w:before="156" w:beforeLines="50" w:after="120"/>
              <w:jc w:val="center"/>
              <w:rPr>
                <w:rFonts w:hint="eastAsia" w:hAnsi="宋体" w:cs="宋体"/>
                <w:highlight w:val="none"/>
              </w:rPr>
            </w:pPr>
            <w:r>
              <w:rPr>
                <w:rFonts w:hint="eastAsia"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1A179AFF">
            <w:pPr>
              <w:spacing w:after="120"/>
              <w:jc w:val="center"/>
              <w:rPr>
                <w:rFonts w:hint="eastAsia" w:hAnsi="宋体" w:cs="宋体"/>
                <w:highlight w:val="none"/>
              </w:rPr>
            </w:pPr>
            <w:r>
              <w:rPr>
                <w:rFonts w:hint="eastAsia"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16A1D692">
            <w:pPr>
              <w:spacing w:after="120"/>
              <w:jc w:val="center"/>
              <w:rPr>
                <w:rFonts w:hint="eastAsia" w:hAnsi="宋体" w:cs="宋体"/>
                <w:highlight w:val="none"/>
              </w:rPr>
            </w:pPr>
            <w:r>
              <w:rPr>
                <w:rFonts w:hint="eastAsia" w:hAnsi="宋体" w:cs="宋体"/>
                <w:highlight w:val="none"/>
              </w:rPr>
              <w:t>单价</w:t>
            </w:r>
          </w:p>
          <w:p w14:paraId="59B15FC7">
            <w:pPr>
              <w:spacing w:after="120"/>
              <w:jc w:val="center"/>
              <w:rPr>
                <w:rFonts w:hint="eastAsia" w:hAnsi="宋体" w:cs="宋体"/>
                <w:bCs/>
                <w:highlight w:val="none"/>
              </w:rPr>
            </w:pPr>
            <w:r>
              <w:rPr>
                <w:rFonts w:hint="eastAsia"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04B42CBD">
            <w:pPr>
              <w:spacing w:after="120"/>
              <w:jc w:val="center"/>
              <w:rPr>
                <w:rFonts w:hint="eastAsia" w:hAnsi="宋体" w:cs="宋体"/>
                <w:bCs/>
                <w:highlight w:val="none"/>
              </w:rPr>
            </w:pPr>
            <w:r>
              <w:rPr>
                <w:rFonts w:hint="eastAsia" w:hAnsi="宋体" w:cs="宋体"/>
                <w:bCs/>
                <w:highlight w:val="none"/>
              </w:rPr>
              <w:t>总价</w:t>
            </w:r>
          </w:p>
          <w:p w14:paraId="0F25012A">
            <w:pPr>
              <w:spacing w:after="120"/>
              <w:jc w:val="center"/>
              <w:rPr>
                <w:rFonts w:hint="eastAsia" w:hAnsi="宋体" w:cs="宋体"/>
                <w:bCs/>
                <w:highlight w:val="none"/>
              </w:rPr>
            </w:pPr>
            <w:r>
              <w:rPr>
                <w:rFonts w:hint="eastAsia" w:hAnsi="宋体" w:cs="宋体"/>
                <w:bCs/>
                <w:highlight w:val="none"/>
              </w:rPr>
              <w:t>（元）</w:t>
            </w:r>
          </w:p>
        </w:tc>
      </w:tr>
      <w:tr w14:paraId="6C91F923">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3A00B0C7">
            <w:pPr>
              <w:spacing w:before="312" w:beforeLines="100"/>
              <w:jc w:val="center"/>
              <w:rPr>
                <w:rFonts w:hint="eastAsia" w:hAnsi="宋体" w:cs="宋体"/>
                <w:highlight w:val="none"/>
              </w:rPr>
            </w:pPr>
            <w:r>
              <w:rPr>
                <w:rFonts w:hint="eastAsia"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478A8BA6">
            <w:pPr>
              <w:spacing w:before="156" w:beforeLines="50"/>
              <w:jc w:val="center"/>
              <w:rPr>
                <w:rFonts w:hint="eastAsia"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291C327A">
            <w:pPr>
              <w:spacing w:before="156" w:beforeLines="50"/>
              <w:jc w:val="center"/>
              <w:rPr>
                <w:rFonts w:hint="eastAsia"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9C93DA0">
            <w:pPr>
              <w:spacing w:before="156" w:beforeLines="50"/>
              <w:jc w:val="center"/>
              <w:rPr>
                <w:rFonts w:hint="eastAsia"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84DEBA7">
            <w:pPr>
              <w:spacing w:before="156" w:beforeLines="50"/>
              <w:jc w:val="center"/>
              <w:rPr>
                <w:rFonts w:hint="eastAsia"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60565F46">
            <w:pPr>
              <w:spacing w:before="156" w:beforeLines="50"/>
              <w:jc w:val="center"/>
              <w:rPr>
                <w:rFonts w:hint="eastAsia" w:hAnsi="宋体" w:cs="宋体"/>
                <w:highlight w:val="none"/>
              </w:rPr>
            </w:pPr>
          </w:p>
        </w:tc>
      </w:tr>
      <w:tr w14:paraId="5861D29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70FA575">
            <w:pPr>
              <w:spacing w:before="312" w:beforeLines="100"/>
              <w:jc w:val="center"/>
              <w:rPr>
                <w:rFonts w:hint="eastAsia" w:hAnsi="宋体" w:cs="宋体"/>
                <w:highlight w:val="none"/>
              </w:rPr>
            </w:pPr>
            <w:r>
              <w:rPr>
                <w:rFonts w:hint="eastAsia"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6E4B4926">
            <w:pPr>
              <w:spacing w:before="312" w:beforeLines="100"/>
              <w:jc w:val="center"/>
              <w:rPr>
                <w:rFonts w:hint="eastAsia"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59423A3A">
            <w:pPr>
              <w:spacing w:before="156" w:beforeLines="50"/>
              <w:jc w:val="center"/>
              <w:rPr>
                <w:rFonts w:hint="eastAsia"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CC0B3FC">
            <w:pPr>
              <w:spacing w:before="156" w:beforeLines="50"/>
              <w:jc w:val="center"/>
              <w:rPr>
                <w:rFonts w:hint="eastAsia"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67C5C07B">
            <w:pPr>
              <w:spacing w:before="156" w:beforeLines="50"/>
              <w:jc w:val="center"/>
              <w:rPr>
                <w:rFonts w:hint="eastAsia"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8762B24">
            <w:pPr>
              <w:spacing w:before="156" w:beforeLines="50"/>
              <w:jc w:val="center"/>
              <w:rPr>
                <w:rFonts w:hint="eastAsia" w:hAnsi="宋体" w:cs="宋体"/>
                <w:highlight w:val="none"/>
              </w:rPr>
            </w:pPr>
          </w:p>
        </w:tc>
      </w:tr>
      <w:tr w14:paraId="21DEAE5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BD94592">
            <w:pPr>
              <w:spacing w:before="312" w:beforeLines="100"/>
              <w:jc w:val="center"/>
              <w:rPr>
                <w:rFonts w:hint="eastAsia" w:hAnsi="宋体" w:cs="宋体"/>
                <w:highlight w:val="none"/>
              </w:rPr>
            </w:pPr>
            <w:r>
              <w:rPr>
                <w:rFonts w:hint="eastAsia"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194ED3E6">
            <w:pPr>
              <w:spacing w:before="312" w:beforeLines="100"/>
              <w:jc w:val="center"/>
              <w:rPr>
                <w:rFonts w:hint="eastAsia"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0023DA94">
            <w:pPr>
              <w:spacing w:before="156" w:beforeLines="50"/>
              <w:jc w:val="center"/>
              <w:rPr>
                <w:rFonts w:hint="eastAsia"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A84FFD5">
            <w:pPr>
              <w:spacing w:before="156" w:beforeLines="50"/>
              <w:jc w:val="center"/>
              <w:rPr>
                <w:rFonts w:hint="eastAsia"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B5784B1">
            <w:pPr>
              <w:spacing w:before="156" w:beforeLines="50"/>
              <w:jc w:val="center"/>
              <w:rPr>
                <w:rFonts w:hint="eastAsia"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478A5B55">
            <w:pPr>
              <w:spacing w:before="156" w:beforeLines="50"/>
              <w:jc w:val="center"/>
              <w:rPr>
                <w:rFonts w:hint="eastAsia" w:hAnsi="宋体" w:cs="宋体"/>
                <w:highlight w:val="none"/>
              </w:rPr>
            </w:pPr>
          </w:p>
        </w:tc>
      </w:tr>
      <w:tr w14:paraId="62623BA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76D2E6A4">
            <w:pPr>
              <w:spacing w:before="312" w:beforeLines="100"/>
              <w:jc w:val="center"/>
              <w:rPr>
                <w:rFonts w:hint="eastAsia" w:hAnsi="宋体" w:cs="宋体"/>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13E713C6">
            <w:pPr>
              <w:spacing w:before="156" w:beforeLines="50"/>
              <w:jc w:val="center"/>
              <w:rPr>
                <w:rFonts w:hint="eastAsia"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2EE3F84">
            <w:pPr>
              <w:spacing w:before="156" w:beforeLines="50"/>
              <w:jc w:val="center"/>
              <w:rPr>
                <w:rFonts w:hint="eastAsia"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907615A">
            <w:pPr>
              <w:spacing w:before="156" w:beforeLines="50"/>
              <w:jc w:val="center"/>
              <w:rPr>
                <w:rFonts w:hint="eastAsia"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B2E8E97">
            <w:pPr>
              <w:spacing w:before="156" w:beforeLines="50"/>
              <w:jc w:val="center"/>
              <w:rPr>
                <w:rFonts w:hint="eastAsia"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42108FA">
            <w:pPr>
              <w:spacing w:before="156" w:beforeLines="50"/>
              <w:jc w:val="center"/>
              <w:rPr>
                <w:rFonts w:hint="eastAsia" w:hAnsi="宋体" w:cs="宋体"/>
                <w:highlight w:val="none"/>
              </w:rPr>
            </w:pPr>
          </w:p>
        </w:tc>
      </w:tr>
      <w:tr w14:paraId="620ED68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D9777E4">
            <w:pPr>
              <w:spacing w:before="312" w:beforeLines="100"/>
              <w:jc w:val="center"/>
              <w:rPr>
                <w:rFonts w:hint="eastAsia" w:hAnsi="宋体" w:cs="宋体"/>
                <w:b/>
                <w:highlight w:val="none"/>
              </w:rPr>
            </w:pPr>
            <w:r>
              <w:rPr>
                <w:rFonts w:hint="eastAsia" w:hAnsi="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66DF5A31">
            <w:pPr>
              <w:spacing w:before="156" w:beforeLines="50"/>
              <w:jc w:val="center"/>
              <w:rPr>
                <w:rFonts w:hint="eastAsia"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193E717">
            <w:pPr>
              <w:spacing w:before="156" w:beforeLines="50"/>
              <w:jc w:val="center"/>
              <w:rPr>
                <w:rFonts w:hint="eastAsia"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215164D">
            <w:pPr>
              <w:spacing w:before="156" w:beforeLines="50"/>
              <w:jc w:val="center"/>
              <w:rPr>
                <w:rFonts w:hint="eastAsia"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E05639C">
            <w:pPr>
              <w:spacing w:before="156" w:beforeLines="50"/>
              <w:jc w:val="center"/>
              <w:rPr>
                <w:rFonts w:hint="eastAsia"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FCB3721">
            <w:pPr>
              <w:spacing w:before="156" w:beforeLines="50"/>
              <w:jc w:val="center"/>
              <w:rPr>
                <w:rFonts w:hint="eastAsia" w:hAnsi="宋体" w:cs="宋体"/>
                <w:highlight w:val="none"/>
              </w:rPr>
            </w:pPr>
          </w:p>
        </w:tc>
      </w:tr>
      <w:tr w14:paraId="3F68F23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E4A299A">
            <w:pPr>
              <w:jc w:val="center"/>
              <w:rPr>
                <w:rFonts w:hint="eastAsia" w:hAnsi="宋体" w:cs="宋体"/>
                <w:highlight w:val="none"/>
              </w:rPr>
            </w:pPr>
            <w:r>
              <w:rPr>
                <w:rFonts w:hint="eastAsia"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2E2AEA3D">
            <w:pPr>
              <w:spacing w:before="156" w:beforeLines="50"/>
              <w:jc w:val="left"/>
              <w:rPr>
                <w:rFonts w:hint="eastAsia" w:hAnsi="宋体" w:cs="宋体"/>
                <w:highlight w:val="none"/>
              </w:rPr>
            </w:pPr>
            <w:r>
              <w:rPr>
                <w:rFonts w:hint="eastAsia" w:hAnsi="宋体" w:cs="宋体"/>
                <w:highlight w:val="none"/>
              </w:rPr>
              <w:t>大写：                                小写：</w:t>
            </w:r>
          </w:p>
        </w:tc>
      </w:tr>
      <w:tr w14:paraId="3C60964B">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820E978">
            <w:pPr>
              <w:jc w:val="center"/>
              <w:rPr>
                <w:rFonts w:hint="eastAsia" w:hAnsi="宋体" w:cs="宋体"/>
                <w:highlight w:val="none"/>
              </w:rPr>
            </w:pPr>
            <w:r>
              <w:rPr>
                <w:rFonts w:hint="eastAsia"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61A970FD">
            <w:pPr>
              <w:spacing w:before="156" w:beforeLines="50"/>
              <w:jc w:val="center"/>
              <w:rPr>
                <w:rFonts w:hint="eastAsia" w:hAnsi="宋体" w:cs="宋体"/>
                <w:highlight w:val="none"/>
              </w:rPr>
            </w:pPr>
            <w:r>
              <w:rPr>
                <w:rFonts w:hint="eastAsia" w:hAnsi="宋体" w:cs="宋体"/>
                <w:spacing w:val="-6"/>
                <w:highlight w:val="none"/>
              </w:rPr>
              <w:t>保留小数点后两位。</w:t>
            </w:r>
          </w:p>
        </w:tc>
      </w:tr>
    </w:tbl>
    <w:p w14:paraId="607282CD">
      <w:pPr>
        <w:adjustRightInd w:val="0"/>
        <w:snapToGrid w:val="0"/>
        <w:spacing w:line="360" w:lineRule="auto"/>
        <w:rPr>
          <w:rFonts w:hint="eastAsia" w:hAnsi="宋体" w:cs="宋体"/>
          <w:szCs w:val="21"/>
          <w:highlight w:val="none"/>
        </w:rPr>
      </w:pPr>
    </w:p>
    <w:p w14:paraId="2410DE39">
      <w:pPr>
        <w:adjustRightInd w:val="0"/>
        <w:snapToGrid w:val="0"/>
        <w:spacing w:line="360" w:lineRule="auto"/>
        <w:rPr>
          <w:rFonts w:hint="eastAsia" w:hAnsi="宋体" w:cs="宋体"/>
          <w:bCs/>
          <w:szCs w:val="21"/>
          <w:highlight w:val="none"/>
        </w:rPr>
      </w:pPr>
      <w:r>
        <w:rPr>
          <w:rFonts w:hint="eastAsia" w:hAnsi="宋体" w:cs="宋体"/>
          <w:szCs w:val="21"/>
          <w:highlight w:val="none"/>
        </w:rPr>
        <w:t>说明：</w:t>
      </w:r>
      <w:r>
        <w:rPr>
          <w:rFonts w:hint="eastAsia" w:hAnsi="宋体" w:cs="宋体"/>
          <w:bCs/>
          <w:szCs w:val="21"/>
          <w:highlight w:val="none"/>
        </w:rPr>
        <w:t>1、</w:t>
      </w:r>
      <w:r>
        <w:rPr>
          <w:rFonts w:hint="eastAsia" w:hAnsi="宋体" w:cs="宋体"/>
          <w:szCs w:val="21"/>
          <w:highlight w:val="none"/>
        </w:rPr>
        <w:t>供应商提供的属于节能、环境标志产品品目清单中优先采购的产品，须按招标文件要求提供相关证明材料。</w:t>
      </w:r>
    </w:p>
    <w:p w14:paraId="3629EBD4">
      <w:pPr>
        <w:pStyle w:val="27"/>
        <w:spacing w:line="400" w:lineRule="exact"/>
        <w:ind w:left="480" w:leftChars="200" w:firstLine="240" w:firstLineChars="100"/>
        <w:rPr>
          <w:rFonts w:hint="eastAsia" w:hAnsi="宋体" w:cs="宋体"/>
          <w:sz w:val="28"/>
          <w:szCs w:val="28"/>
          <w:highlight w:val="none"/>
        </w:rPr>
      </w:pPr>
      <w:r>
        <w:rPr>
          <w:rFonts w:hint="eastAsia" w:hAnsi="宋体" w:cs="宋体"/>
          <w:bCs/>
          <w:highlight w:val="none"/>
        </w:rPr>
        <w:t>2、未按上述要求提供、</w:t>
      </w:r>
      <w:r>
        <w:rPr>
          <w:rFonts w:hint="eastAsia" w:hAnsi="宋体" w:cs="宋体"/>
          <w:highlight w:val="none"/>
        </w:rPr>
        <w:t>填写</w:t>
      </w:r>
      <w:r>
        <w:rPr>
          <w:rFonts w:hint="eastAsia" w:hAnsi="宋体" w:cs="宋体"/>
          <w:bCs/>
          <w:highlight w:val="none"/>
        </w:rPr>
        <w:t>的，评审时不予以考虑。</w:t>
      </w:r>
    </w:p>
    <w:p w14:paraId="0148E38F">
      <w:pPr>
        <w:spacing w:before="100" w:beforeAutospacing="1" w:after="156" w:afterLines="50" w:line="360" w:lineRule="auto"/>
        <w:rPr>
          <w:rFonts w:hint="eastAsia" w:hAnsi="宋体" w:cs="宋体"/>
          <w:b/>
          <w:bCs/>
          <w:spacing w:val="6"/>
          <w:sz w:val="30"/>
          <w:szCs w:val="30"/>
          <w:highlight w:val="none"/>
        </w:rPr>
      </w:pPr>
      <w:r>
        <w:rPr>
          <w:rFonts w:hint="eastAsia" w:hAnsi="宋体" w:cs="宋体"/>
          <w:szCs w:val="24"/>
          <w:highlight w:val="none"/>
        </w:rPr>
        <w:br w:type="page"/>
      </w:r>
      <w:r>
        <w:rPr>
          <w:rFonts w:hint="eastAsia" w:hAnsi="宋体" w:cs="宋体"/>
          <w:b/>
          <w:bCs/>
          <w:spacing w:val="6"/>
          <w:sz w:val="30"/>
          <w:szCs w:val="30"/>
          <w:highlight w:val="none"/>
        </w:rPr>
        <w:t>附件5（如有）：</w:t>
      </w:r>
    </w:p>
    <w:p w14:paraId="644E999F">
      <w:pPr>
        <w:spacing w:line="588" w:lineRule="exact"/>
        <w:jc w:val="center"/>
        <w:rPr>
          <w:rFonts w:hint="eastAsia" w:hAnsi="宋体" w:cs="宋体"/>
          <w:b/>
          <w:spacing w:val="6"/>
          <w:sz w:val="32"/>
          <w:szCs w:val="32"/>
          <w:highlight w:val="none"/>
        </w:rPr>
      </w:pPr>
      <w:bookmarkStart w:id="202" w:name="OLE_LINK14"/>
      <w:bookmarkStart w:id="203" w:name="OLE_LINK13"/>
      <w:r>
        <w:rPr>
          <w:rFonts w:hint="eastAsia" w:hAnsi="宋体" w:cs="宋体"/>
          <w:b/>
          <w:spacing w:val="6"/>
          <w:sz w:val="32"/>
          <w:szCs w:val="32"/>
          <w:highlight w:val="none"/>
        </w:rPr>
        <w:t>残疾人福利性单位声明函</w:t>
      </w:r>
    </w:p>
    <w:bookmarkEnd w:id="202"/>
    <w:bookmarkEnd w:id="203"/>
    <w:p w14:paraId="36685D34">
      <w:pPr>
        <w:spacing w:line="588" w:lineRule="exact"/>
        <w:rPr>
          <w:rFonts w:hint="eastAsia" w:hAnsi="宋体" w:cs="宋体"/>
          <w:b/>
          <w:spacing w:val="6"/>
          <w:sz w:val="30"/>
          <w:szCs w:val="30"/>
          <w:highlight w:val="none"/>
        </w:rPr>
      </w:pPr>
    </w:p>
    <w:p w14:paraId="5CCC5D2B">
      <w:pPr>
        <w:spacing w:line="588" w:lineRule="exact"/>
        <w:ind w:firstLine="504" w:firstLineChars="200"/>
        <w:rPr>
          <w:rFonts w:hint="eastAsia"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1F2D30">
      <w:pPr>
        <w:spacing w:line="588" w:lineRule="exact"/>
        <w:ind w:firstLine="504" w:firstLineChars="200"/>
        <w:rPr>
          <w:rFonts w:hint="eastAsia"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721559DC">
      <w:pPr>
        <w:spacing w:line="588" w:lineRule="exact"/>
        <w:ind w:firstLine="504" w:firstLineChars="200"/>
        <w:rPr>
          <w:rFonts w:hint="eastAsia" w:hAnsi="宋体" w:cs="宋体"/>
          <w:spacing w:val="6"/>
          <w:szCs w:val="24"/>
          <w:highlight w:val="none"/>
        </w:rPr>
      </w:pPr>
    </w:p>
    <w:p w14:paraId="38253B71">
      <w:pPr>
        <w:spacing w:line="588" w:lineRule="exact"/>
        <w:ind w:firstLine="504" w:firstLineChars="200"/>
        <w:rPr>
          <w:rFonts w:hint="eastAsia" w:hAnsi="宋体" w:cs="宋体"/>
          <w:spacing w:val="6"/>
          <w:szCs w:val="24"/>
          <w:highlight w:val="none"/>
        </w:rPr>
      </w:pPr>
    </w:p>
    <w:p w14:paraId="076634E5">
      <w:pPr>
        <w:spacing w:line="588" w:lineRule="exact"/>
        <w:ind w:firstLine="504" w:firstLineChars="200"/>
        <w:rPr>
          <w:rFonts w:hint="eastAsia" w:hAnsi="宋体" w:cs="宋体"/>
          <w:spacing w:val="6"/>
          <w:szCs w:val="24"/>
          <w:highlight w:val="none"/>
        </w:rPr>
      </w:pPr>
    </w:p>
    <w:p w14:paraId="7707FCAC">
      <w:pPr>
        <w:spacing w:line="588" w:lineRule="exact"/>
        <w:ind w:firstLine="504" w:firstLineChars="200"/>
        <w:rPr>
          <w:rFonts w:hint="eastAsia" w:hAnsi="宋体" w:cs="宋体"/>
          <w:spacing w:val="6"/>
          <w:szCs w:val="24"/>
          <w:highlight w:val="none"/>
        </w:rPr>
      </w:pPr>
    </w:p>
    <w:p w14:paraId="08753744">
      <w:pPr>
        <w:tabs>
          <w:tab w:val="left" w:pos="4860"/>
        </w:tabs>
        <w:spacing w:line="588" w:lineRule="exact"/>
        <w:ind w:right="1560" w:firstLine="504" w:firstLineChars="200"/>
        <w:jc w:val="center"/>
        <w:rPr>
          <w:rFonts w:hint="eastAsia" w:hAnsi="宋体" w:cs="宋体"/>
          <w:spacing w:val="6"/>
          <w:szCs w:val="24"/>
          <w:highlight w:val="none"/>
        </w:rPr>
      </w:pPr>
      <w:r>
        <w:rPr>
          <w:rFonts w:hint="eastAsia" w:hAnsi="宋体" w:cs="宋体"/>
          <w:spacing w:val="6"/>
          <w:szCs w:val="24"/>
          <w:highlight w:val="none"/>
        </w:rPr>
        <w:t xml:space="preserve">               单位名称（盖章）：</w:t>
      </w:r>
    </w:p>
    <w:p w14:paraId="13D5EB05">
      <w:pPr>
        <w:tabs>
          <w:tab w:val="left" w:pos="4860"/>
        </w:tabs>
        <w:spacing w:line="588" w:lineRule="exact"/>
        <w:ind w:right="1560" w:firstLine="504" w:firstLineChars="200"/>
        <w:jc w:val="center"/>
        <w:rPr>
          <w:rFonts w:hint="eastAsia" w:hAnsi="宋体" w:cs="宋体"/>
          <w:spacing w:val="6"/>
          <w:szCs w:val="24"/>
          <w:highlight w:val="none"/>
        </w:rPr>
      </w:pPr>
      <w:r>
        <w:rPr>
          <w:rFonts w:hint="eastAsia" w:hAnsi="宋体" w:cs="宋体"/>
          <w:spacing w:val="6"/>
          <w:szCs w:val="24"/>
          <w:highlight w:val="none"/>
        </w:rPr>
        <w:t xml:space="preserve">       日    期：</w:t>
      </w:r>
    </w:p>
    <w:p w14:paraId="10A5E4F4">
      <w:pPr>
        <w:spacing w:line="360" w:lineRule="auto"/>
        <w:rPr>
          <w:rFonts w:hint="eastAsia" w:hAnsi="宋体" w:cs="宋体"/>
          <w:b/>
          <w:sz w:val="28"/>
          <w:szCs w:val="28"/>
          <w:highlight w:val="none"/>
        </w:rPr>
      </w:pPr>
      <w:r>
        <w:rPr>
          <w:rFonts w:hint="eastAsia" w:hAnsi="宋体" w:cs="宋体"/>
          <w:highlight w:val="none"/>
        </w:rPr>
        <w:br w:type="page"/>
      </w:r>
      <w:r>
        <w:rPr>
          <w:rFonts w:hint="eastAsia" w:hAnsi="宋体" w:cs="宋体"/>
          <w:b/>
          <w:sz w:val="28"/>
          <w:szCs w:val="28"/>
          <w:highlight w:val="none"/>
        </w:rPr>
        <w:t>附件6：</w:t>
      </w:r>
    </w:p>
    <w:p w14:paraId="474D18B7">
      <w:pPr>
        <w:jc w:val="center"/>
        <w:rPr>
          <w:rFonts w:hint="eastAsia" w:hAnsi="宋体" w:cs="宋体"/>
          <w:b/>
          <w:bCs/>
          <w:sz w:val="44"/>
          <w:szCs w:val="44"/>
          <w:highlight w:val="none"/>
        </w:rPr>
      </w:pPr>
      <w:r>
        <w:rPr>
          <w:rFonts w:hint="eastAsia" w:hAnsi="宋体" w:cs="宋体"/>
          <w:b/>
          <w:bCs/>
          <w:sz w:val="44"/>
          <w:szCs w:val="44"/>
          <w:highlight w:val="none"/>
        </w:rPr>
        <w:t>质疑函范本</w:t>
      </w:r>
    </w:p>
    <w:p w14:paraId="73BA0788">
      <w:pPr>
        <w:adjustRightInd w:val="0"/>
        <w:snapToGrid w:val="0"/>
        <w:spacing w:before="312" w:beforeLines="100" w:line="360" w:lineRule="auto"/>
        <w:rPr>
          <w:rFonts w:hint="eastAsia" w:hAnsi="宋体" w:cs="宋体"/>
          <w:bCs/>
          <w:szCs w:val="24"/>
          <w:highlight w:val="none"/>
        </w:rPr>
      </w:pPr>
      <w:r>
        <w:rPr>
          <w:rFonts w:hint="eastAsia" w:hAnsi="宋体" w:cs="宋体"/>
          <w:bCs/>
          <w:szCs w:val="24"/>
          <w:highlight w:val="none"/>
        </w:rPr>
        <w:t>一、质疑供应商基本信息</w:t>
      </w:r>
    </w:p>
    <w:p w14:paraId="42BFF18E">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58A2A5E2">
      <w:pPr>
        <w:adjustRightInd w:val="0"/>
        <w:snapToGrid w:val="0"/>
        <w:spacing w:line="360" w:lineRule="auto"/>
        <w:rPr>
          <w:rFonts w:hint="eastAsia"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72C2AC03">
      <w:pPr>
        <w:adjustRightInd w:val="0"/>
        <w:snapToGrid w:val="0"/>
        <w:spacing w:line="360" w:lineRule="auto"/>
        <w:rPr>
          <w:rFonts w:hint="eastAsia"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14DD1EC">
      <w:pPr>
        <w:adjustRightInd w:val="0"/>
        <w:snapToGrid w:val="0"/>
        <w:spacing w:line="360" w:lineRule="auto"/>
        <w:rPr>
          <w:rFonts w:hint="eastAsia"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117B14B1">
      <w:pPr>
        <w:adjustRightInd w:val="0"/>
        <w:snapToGrid w:val="0"/>
        <w:spacing w:line="360" w:lineRule="auto"/>
        <w:rPr>
          <w:rFonts w:hint="eastAsia"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39D5887E">
      <w:pPr>
        <w:adjustRightInd w:val="0"/>
        <w:snapToGrid w:val="0"/>
        <w:spacing w:line="360" w:lineRule="auto"/>
        <w:rPr>
          <w:rFonts w:hint="eastAsia"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FE21A78">
      <w:pPr>
        <w:adjustRightInd w:val="0"/>
        <w:snapToGrid w:val="0"/>
        <w:spacing w:line="360" w:lineRule="auto"/>
        <w:rPr>
          <w:rFonts w:hint="eastAsia" w:hAnsi="宋体" w:cs="宋体"/>
          <w:bCs/>
          <w:szCs w:val="24"/>
          <w:highlight w:val="none"/>
        </w:rPr>
      </w:pPr>
      <w:r>
        <w:rPr>
          <w:rFonts w:hint="eastAsia" w:hAnsi="宋体" w:cs="宋体"/>
          <w:bCs/>
          <w:szCs w:val="24"/>
          <w:highlight w:val="none"/>
        </w:rPr>
        <w:t>二、质疑项目基本情况</w:t>
      </w:r>
    </w:p>
    <w:p w14:paraId="301E5F7C">
      <w:pPr>
        <w:adjustRightInd w:val="0"/>
        <w:snapToGrid w:val="0"/>
        <w:spacing w:line="360" w:lineRule="auto"/>
        <w:rPr>
          <w:rFonts w:hint="eastAsia"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1841F57C">
      <w:pPr>
        <w:adjustRightInd w:val="0"/>
        <w:snapToGrid w:val="0"/>
        <w:spacing w:line="360" w:lineRule="auto"/>
        <w:rPr>
          <w:rFonts w:hint="eastAsia"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35735CEE">
      <w:pPr>
        <w:adjustRightInd w:val="0"/>
        <w:snapToGrid w:val="0"/>
        <w:spacing w:line="360" w:lineRule="auto"/>
        <w:rPr>
          <w:rFonts w:hint="eastAsia"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25C0E9DC">
      <w:pPr>
        <w:adjustRightInd w:val="0"/>
        <w:snapToGrid w:val="0"/>
        <w:spacing w:line="360" w:lineRule="auto"/>
        <w:rPr>
          <w:rFonts w:hint="eastAsia"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74D856C3">
      <w:pPr>
        <w:adjustRightInd w:val="0"/>
        <w:snapToGrid w:val="0"/>
        <w:spacing w:line="360" w:lineRule="auto"/>
        <w:rPr>
          <w:rFonts w:hint="eastAsia" w:hAnsi="宋体" w:cs="宋体"/>
          <w:bCs/>
          <w:szCs w:val="24"/>
          <w:highlight w:val="none"/>
        </w:rPr>
      </w:pPr>
      <w:r>
        <w:rPr>
          <w:rFonts w:hint="eastAsia" w:hAnsi="宋体" w:cs="宋体"/>
          <w:bCs/>
          <w:szCs w:val="24"/>
          <w:highlight w:val="none"/>
        </w:rPr>
        <w:t>三、质疑事项具体内容</w:t>
      </w:r>
    </w:p>
    <w:p w14:paraId="2A857FBC">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5E8223BD">
      <w:pPr>
        <w:adjustRightInd w:val="0"/>
        <w:snapToGrid w:val="0"/>
        <w:spacing w:line="360" w:lineRule="auto"/>
        <w:rPr>
          <w:rFonts w:hint="eastAsia"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41A1FEB3">
      <w:pPr>
        <w:adjustRightInd w:val="0"/>
        <w:snapToGrid w:val="0"/>
        <w:spacing w:line="360" w:lineRule="auto"/>
        <w:rPr>
          <w:rFonts w:hint="eastAsia" w:hAnsi="宋体" w:cs="宋体"/>
          <w:szCs w:val="24"/>
          <w:highlight w:val="none"/>
        </w:rPr>
      </w:pPr>
      <w:r>
        <w:rPr>
          <w:rFonts w:hint="eastAsia" w:hAnsi="宋体" w:cs="宋体"/>
          <w:szCs w:val="24"/>
          <w:highlight w:val="none"/>
          <w:u w:val="dotted"/>
        </w:rPr>
        <w:t xml:space="preserve">                                                       </w:t>
      </w:r>
    </w:p>
    <w:p w14:paraId="7EB4E839">
      <w:pPr>
        <w:adjustRightInd w:val="0"/>
        <w:snapToGrid w:val="0"/>
        <w:spacing w:line="360" w:lineRule="auto"/>
        <w:rPr>
          <w:rFonts w:hint="eastAsia"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7D3DD2AE">
      <w:pPr>
        <w:adjustRightInd w:val="0"/>
        <w:snapToGrid w:val="0"/>
        <w:spacing w:line="360" w:lineRule="auto"/>
        <w:rPr>
          <w:rFonts w:hint="eastAsia" w:hAnsi="宋体" w:cs="宋体"/>
          <w:szCs w:val="24"/>
          <w:highlight w:val="none"/>
          <w:u w:val="dotted"/>
        </w:rPr>
      </w:pPr>
      <w:r>
        <w:rPr>
          <w:rFonts w:hint="eastAsia" w:hAnsi="宋体" w:cs="宋体"/>
          <w:szCs w:val="24"/>
          <w:highlight w:val="none"/>
          <w:u w:val="dotted"/>
        </w:rPr>
        <w:t xml:space="preserve">                                                     </w:t>
      </w:r>
    </w:p>
    <w:p w14:paraId="47C866B4">
      <w:pPr>
        <w:adjustRightInd w:val="0"/>
        <w:snapToGrid w:val="0"/>
        <w:spacing w:line="360" w:lineRule="auto"/>
        <w:rPr>
          <w:rFonts w:hint="eastAsia" w:hAnsi="宋体" w:cs="宋体"/>
          <w:szCs w:val="24"/>
          <w:highlight w:val="none"/>
          <w:u w:val="dotted"/>
        </w:rPr>
      </w:pPr>
      <w:r>
        <w:rPr>
          <w:rFonts w:hint="eastAsia" w:hAnsi="宋体" w:cs="宋体"/>
          <w:szCs w:val="24"/>
          <w:highlight w:val="none"/>
        </w:rPr>
        <w:t>质疑事项2</w:t>
      </w:r>
    </w:p>
    <w:p w14:paraId="6E18ED37">
      <w:pPr>
        <w:adjustRightInd w:val="0"/>
        <w:snapToGrid w:val="0"/>
        <w:spacing w:line="360" w:lineRule="auto"/>
        <w:rPr>
          <w:rFonts w:hint="eastAsia" w:hAnsi="宋体" w:cs="宋体"/>
          <w:szCs w:val="24"/>
          <w:highlight w:val="none"/>
        </w:rPr>
      </w:pPr>
      <w:r>
        <w:rPr>
          <w:rFonts w:hint="eastAsia" w:hAnsi="宋体" w:cs="宋体"/>
          <w:szCs w:val="24"/>
          <w:highlight w:val="none"/>
        </w:rPr>
        <w:t>……</w:t>
      </w:r>
    </w:p>
    <w:p w14:paraId="4D51516A">
      <w:pPr>
        <w:adjustRightInd w:val="0"/>
        <w:snapToGrid w:val="0"/>
        <w:spacing w:line="360" w:lineRule="auto"/>
        <w:rPr>
          <w:rFonts w:hint="eastAsia" w:hAnsi="宋体" w:cs="宋体"/>
          <w:bCs/>
          <w:szCs w:val="24"/>
          <w:highlight w:val="none"/>
        </w:rPr>
      </w:pPr>
      <w:r>
        <w:rPr>
          <w:rFonts w:hint="eastAsia" w:hAnsi="宋体" w:cs="宋体"/>
          <w:bCs/>
          <w:szCs w:val="24"/>
          <w:highlight w:val="none"/>
        </w:rPr>
        <w:t>四、与质疑事项相关的质疑请求</w:t>
      </w:r>
    </w:p>
    <w:p w14:paraId="43AD21DB">
      <w:pPr>
        <w:adjustRightInd w:val="0"/>
        <w:snapToGrid w:val="0"/>
        <w:spacing w:line="360" w:lineRule="auto"/>
        <w:rPr>
          <w:rFonts w:hint="eastAsia"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63F899EF">
      <w:pPr>
        <w:rPr>
          <w:rFonts w:hint="eastAsia" w:hAnsi="宋体" w:cs="宋体"/>
          <w:szCs w:val="24"/>
          <w:highlight w:val="none"/>
        </w:rPr>
      </w:pPr>
      <w:r>
        <w:rPr>
          <w:rFonts w:hint="eastAsia" w:hAnsi="宋体" w:cs="宋体"/>
          <w:szCs w:val="24"/>
          <w:highlight w:val="none"/>
        </w:rPr>
        <w:t xml:space="preserve">签字(签章)：                   公章：                      </w:t>
      </w:r>
    </w:p>
    <w:p w14:paraId="53365BB0">
      <w:pPr>
        <w:rPr>
          <w:rFonts w:hint="eastAsia" w:hAnsi="宋体" w:cs="宋体"/>
          <w:szCs w:val="24"/>
          <w:highlight w:val="none"/>
        </w:rPr>
      </w:pPr>
      <w:r>
        <w:rPr>
          <w:rFonts w:hint="eastAsia" w:hAnsi="宋体" w:cs="宋体"/>
          <w:szCs w:val="24"/>
          <w:highlight w:val="none"/>
        </w:rPr>
        <w:t xml:space="preserve">日期：    </w:t>
      </w:r>
    </w:p>
    <w:p w14:paraId="67683E0F">
      <w:pPr>
        <w:jc w:val="center"/>
        <w:rPr>
          <w:rFonts w:hint="eastAsia" w:hAnsi="宋体" w:cs="宋体"/>
          <w:b/>
          <w:sz w:val="44"/>
          <w:szCs w:val="44"/>
          <w:highlight w:val="none"/>
        </w:rPr>
      </w:pPr>
    </w:p>
    <w:p w14:paraId="2521BE76">
      <w:pPr>
        <w:rPr>
          <w:rFonts w:hint="eastAsia" w:hAnsi="宋体" w:cs="宋体"/>
          <w:b/>
          <w:sz w:val="44"/>
          <w:szCs w:val="44"/>
          <w:highlight w:val="none"/>
        </w:rPr>
      </w:pPr>
      <w:r>
        <w:rPr>
          <w:rFonts w:hint="eastAsia" w:hAnsi="宋体" w:cs="宋体"/>
          <w:b/>
          <w:sz w:val="44"/>
          <w:szCs w:val="44"/>
          <w:highlight w:val="none"/>
        </w:rPr>
        <w:br w:type="page"/>
      </w:r>
    </w:p>
    <w:p w14:paraId="1A9475C2">
      <w:pPr>
        <w:jc w:val="center"/>
        <w:rPr>
          <w:rFonts w:hint="eastAsia" w:hAnsi="宋体" w:cs="宋体"/>
          <w:b/>
          <w:sz w:val="44"/>
          <w:szCs w:val="44"/>
          <w:highlight w:val="none"/>
        </w:rPr>
      </w:pPr>
      <w:r>
        <w:rPr>
          <w:rFonts w:hint="eastAsia" w:hAnsi="宋体" w:cs="宋体"/>
          <w:b/>
          <w:sz w:val="44"/>
          <w:szCs w:val="44"/>
          <w:highlight w:val="none"/>
        </w:rPr>
        <w:t>投诉书范本</w:t>
      </w:r>
    </w:p>
    <w:p w14:paraId="4C76527E">
      <w:pPr>
        <w:rPr>
          <w:rFonts w:hint="eastAsia" w:hAnsi="宋体" w:cs="宋体"/>
          <w:szCs w:val="24"/>
          <w:highlight w:val="none"/>
        </w:rPr>
      </w:pPr>
      <w:r>
        <w:rPr>
          <w:rFonts w:hint="eastAsia" w:hAnsi="宋体" w:cs="宋体"/>
          <w:szCs w:val="24"/>
          <w:highlight w:val="none"/>
        </w:rPr>
        <w:t>一、投诉相关主体基本情况</w:t>
      </w:r>
    </w:p>
    <w:p w14:paraId="72477C65">
      <w:pPr>
        <w:rPr>
          <w:rFonts w:hint="eastAsia"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3B7C199D">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22EF7DAB">
      <w:pPr>
        <w:tabs>
          <w:tab w:val="left" w:pos="6510"/>
        </w:tabs>
        <w:jc w:val="left"/>
        <w:rPr>
          <w:rFonts w:hint="eastAsia"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58B4D699">
      <w:pPr>
        <w:tabs>
          <w:tab w:val="left" w:pos="6510"/>
        </w:tabs>
        <w:rPr>
          <w:rFonts w:hint="eastAsia"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2C997E61">
      <w:pPr>
        <w:rPr>
          <w:rFonts w:hint="eastAsia"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7921E11">
      <w:pPr>
        <w:rPr>
          <w:rFonts w:hint="eastAsia"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5B9828F2">
      <w:pPr>
        <w:rPr>
          <w:rFonts w:hint="eastAsia"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767C3A5">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2C99B2F">
      <w:pPr>
        <w:rPr>
          <w:rFonts w:hint="eastAsia"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B5338DB">
      <w:pPr>
        <w:rPr>
          <w:rFonts w:hint="eastAsia" w:hAnsi="宋体" w:cs="宋体"/>
          <w:szCs w:val="24"/>
          <w:highlight w:val="none"/>
        </w:rPr>
      </w:pPr>
      <w:r>
        <w:rPr>
          <w:rFonts w:hint="eastAsia" w:hAnsi="宋体" w:cs="宋体"/>
          <w:szCs w:val="24"/>
          <w:highlight w:val="none"/>
        </w:rPr>
        <w:t>被投诉人2</w:t>
      </w:r>
    </w:p>
    <w:p w14:paraId="72B92124">
      <w:pPr>
        <w:rPr>
          <w:rFonts w:hint="eastAsia" w:hAnsi="宋体" w:cs="宋体"/>
          <w:szCs w:val="24"/>
          <w:highlight w:val="none"/>
          <w:u w:val="dotted"/>
        </w:rPr>
      </w:pPr>
      <w:r>
        <w:rPr>
          <w:rFonts w:hint="eastAsia" w:hAnsi="宋体" w:cs="宋体"/>
          <w:szCs w:val="24"/>
          <w:highlight w:val="none"/>
        </w:rPr>
        <w:t>……</w:t>
      </w:r>
    </w:p>
    <w:p w14:paraId="43395E62">
      <w:pPr>
        <w:rPr>
          <w:rFonts w:hint="eastAsia"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AE6BCA2">
      <w:pPr>
        <w:rPr>
          <w:rFonts w:hint="eastAsia"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0DF3CF6">
      <w:pPr>
        <w:rPr>
          <w:rFonts w:hint="eastAsia"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32865B">
      <w:pPr>
        <w:rPr>
          <w:rFonts w:hint="eastAsia" w:hAnsi="宋体" w:cs="宋体"/>
          <w:szCs w:val="24"/>
          <w:highlight w:val="none"/>
        </w:rPr>
      </w:pPr>
      <w:r>
        <w:rPr>
          <w:rFonts w:hint="eastAsia" w:hAnsi="宋体" w:cs="宋体"/>
          <w:szCs w:val="24"/>
          <w:highlight w:val="none"/>
        </w:rPr>
        <w:t>二、投诉项目基本情况</w:t>
      </w:r>
    </w:p>
    <w:p w14:paraId="7059147E">
      <w:pPr>
        <w:rPr>
          <w:rFonts w:hint="eastAsia"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247411E6">
      <w:pPr>
        <w:rPr>
          <w:rFonts w:hint="eastAsia"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13DF5C3B">
      <w:pPr>
        <w:rPr>
          <w:rFonts w:hint="eastAsia"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AE1F555">
      <w:pPr>
        <w:rPr>
          <w:rFonts w:hint="eastAsia"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498DBD08">
      <w:pPr>
        <w:rPr>
          <w:rFonts w:hint="eastAsia"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D99BF2F">
      <w:pPr>
        <w:rPr>
          <w:rFonts w:hint="eastAsia"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6E4861C3">
      <w:pPr>
        <w:rPr>
          <w:rFonts w:hint="eastAsia" w:hAnsi="宋体" w:cs="宋体"/>
          <w:szCs w:val="24"/>
          <w:highlight w:val="none"/>
        </w:rPr>
      </w:pPr>
      <w:r>
        <w:rPr>
          <w:rFonts w:hint="eastAsia" w:hAnsi="宋体" w:cs="宋体"/>
          <w:szCs w:val="24"/>
          <w:highlight w:val="none"/>
        </w:rPr>
        <w:t>三、质疑基本情况</w:t>
      </w:r>
    </w:p>
    <w:p w14:paraId="69DB610F">
      <w:pPr>
        <w:ind w:firstLine="480" w:firstLineChars="200"/>
        <w:rPr>
          <w:rFonts w:hint="eastAsia"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202779F5">
      <w:pPr>
        <w:rPr>
          <w:rFonts w:hint="eastAsia"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7E68FF">
      <w:pPr>
        <w:ind w:firstLine="360" w:firstLineChars="150"/>
        <w:rPr>
          <w:rFonts w:hint="eastAsia"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D8ED2ED">
      <w:pPr>
        <w:rPr>
          <w:rFonts w:hint="eastAsia" w:hAnsi="宋体" w:cs="宋体"/>
          <w:szCs w:val="24"/>
          <w:highlight w:val="none"/>
        </w:rPr>
      </w:pPr>
      <w:r>
        <w:rPr>
          <w:rFonts w:hint="eastAsia" w:hAnsi="宋体" w:cs="宋体"/>
          <w:szCs w:val="24"/>
          <w:highlight w:val="none"/>
        </w:rPr>
        <w:t>四、投诉事项具体内容</w:t>
      </w:r>
    </w:p>
    <w:p w14:paraId="6B3EDB8F">
      <w:pPr>
        <w:rPr>
          <w:rFonts w:hint="eastAsia"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6579FAC0">
      <w:pPr>
        <w:rPr>
          <w:rFonts w:hint="eastAsia"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1395970E">
      <w:pPr>
        <w:rPr>
          <w:rFonts w:hint="eastAsia" w:hAnsi="宋体" w:cs="宋体"/>
          <w:szCs w:val="24"/>
          <w:highlight w:val="none"/>
          <w:u w:val="dotted"/>
        </w:rPr>
      </w:pPr>
      <w:r>
        <w:rPr>
          <w:rFonts w:hint="eastAsia" w:hAnsi="宋体" w:cs="宋体"/>
          <w:szCs w:val="24"/>
          <w:highlight w:val="none"/>
          <w:u w:val="dotted"/>
        </w:rPr>
        <w:t xml:space="preserve">                                                      </w:t>
      </w:r>
    </w:p>
    <w:p w14:paraId="6CD0BEDD">
      <w:pPr>
        <w:rPr>
          <w:rFonts w:hint="eastAsia"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1F3708C4">
      <w:pPr>
        <w:rPr>
          <w:rFonts w:hint="eastAsia" w:hAnsi="宋体" w:cs="宋体"/>
          <w:szCs w:val="24"/>
          <w:highlight w:val="none"/>
          <w:u w:val="dotted"/>
        </w:rPr>
      </w:pPr>
      <w:r>
        <w:rPr>
          <w:rFonts w:hint="eastAsia" w:hAnsi="宋体" w:cs="宋体"/>
          <w:szCs w:val="24"/>
          <w:highlight w:val="none"/>
          <w:u w:val="dotted"/>
        </w:rPr>
        <w:t xml:space="preserve">                                                      </w:t>
      </w:r>
    </w:p>
    <w:p w14:paraId="1D581103">
      <w:pPr>
        <w:rPr>
          <w:rFonts w:hint="eastAsia" w:hAnsi="宋体" w:cs="宋体"/>
          <w:szCs w:val="24"/>
          <w:highlight w:val="none"/>
        </w:rPr>
      </w:pPr>
      <w:r>
        <w:rPr>
          <w:rFonts w:hint="eastAsia" w:hAnsi="宋体" w:cs="宋体"/>
          <w:szCs w:val="24"/>
          <w:highlight w:val="none"/>
        </w:rPr>
        <w:t>投诉事项2</w:t>
      </w:r>
    </w:p>
    <w:p w14:paraId="56915058">
      <w:pPr>
        <w:rPr>
          <w:rFonts w:hint="eastAsia" w:hAnsi="宋体" w:cs="宋体"/>
          <w:szCs w:val="24"/>
          <w:highlight w:val="none"/>
          <w:u w:val="dotted"/>
        </w:rPr>
      </w:pPr>
      <w:r>
        <w:rPr>
          <w:rFonts w:hint="eastAsia" w:hAnsi="宋体" w:cs="宋体"/>
          <w:szCs w:val="24"/>
          <w:highlight w:val="none"/>
        </w:rPr>
        <w:t>……</w:t>
      </w:r>
    </w:p>
    <w:p w14:paraId="1FC418E9">
      <w:pPr>
        <w:rPr>
          <w:rFonts w:hint="eastAsia" w:hAnsi="宋体" w:cs="宋体"/>
          <w:szCs w:val="24"/>
          <w:highlight w:val="none"/>
        </w:rPr>
      </w:pPr>
      <w:r>
        <w:rPr>
          <w:rFonts w:hint="eastAsia" w:hAnsi="宋体" w:cs="宋体"/>
          <w:szCs w:val="24"/>
          <w:highlight w:val="none"/>
        </w:rPr>
        <w:t>五、与投诉事项相关的投诉请求</w:t>
      </w:r>
    </w:p>
    <w:p w14:paraId="40FC6D6C">
      <w:pPr>
        <w:rPr>
          <w:rFonts w:hint="eastAsia"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2EFEACB7">
      <w:pPr>
        <w:rPr>
          <w:rFonts w:hint="eastAsia" w:hAnsi="宋体" w:cs="宋体"/>
          <w:szCs w:val="24"/>
          <w:highlight w:val="none"/>
          <w:u w:val="single"/>
        </w:rPr>
      </w:pPr>
      <w:r>
        <w:rPr>
          <w:rFonts w:hint="eastAsia" w:hAnsi="宋体" w:cs="宋体"/>
          <w:szCs w:val="24"/>
          <w:highlight w:val="none"/>
        </w:rPr>
        <w:t xml:space="preserve">                                                                                                    </w:t>
      </w:r>
    </w:p>
    <w:p w14:paraId="7B34B235">
      <w:pPr>
        <w:rPr>
          <w:rFonts w:hint="eastAsia" w:hAnsi="宋体" w:cs="宋体"/>
          <w:szCs w:val="24"/>
          <w:highlight w:val="none"/>
        </w:rPr>
      </w:pPr>
      <w:r>
        <w:rPr>
          <w:rFonts w:hint="eastAsia" w:hAnsi="宋体" w:cs="宋体"/>
          <w:szCs w:val="24"/>
          <w:highlight w:val="none"/>
        </w:rPr>
        <w:t xml:space="preserve">签字(签章)：                   公章：                      </w:t>
      </w:r>
    </w:p>
    <w:p w14:paraId="2FA59144">
      <w:pPr>
        <w:rPr>
          <w:rFonts w:hint="eastAsia"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7DC2BAD6">
      <w:pPr>
        <w:rPr>
          <w:highlight w:val="none"/>
        </w:rPr>
      </w:pPr>
    </w:p>
    <w:p w14:paraId="32869B7B">
      <w:pPr>
        <w:rPr>
          <w:highlight w:val="none"/>
        </w:rPr>
      </w:pPr>
    </w:p>
    <w:p w14:paraId="71077B59">
      <w:pPr>
        <w:rPr>
          <w:highlight w:val="none"/>
        </w:rPr>
      </w:pPr>
    </w:p>
    <w:sectPr>
      <w:pgSz w:w="11906" w:h="16838"/>
      <w:pgMar w:top="1361" w:right="1417" w:bottom="136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7A"/>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04FC">
    <w:pPr>
      <w:tabs>
        <w:tab w:val="left" w:pos="5646"/>
      </w:tabs>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D1E326">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bBWKtxgEAAJsDAAAOAAAAZHJzL2Uyb0RvYy54bWytU0tu2zAQ&#10;3RfoHQjuaykO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BsFYq3GAQAAmwMAAA4AAAAAAAAAAQAgAAAAIwEAAGRycy9lMm9E&#10;b2MueG1sUEsFBgAAAAAGAAYAWQEAAFsFAAAAAA==&#10;">
              <v:fill on="f" focussize="0,0"/>
              <v:stroke on="f"/>
              <v:imagedata o:title=""/>
              <o:lock v:ext="edit" aspectratio="f"/>
              <v:textbox inset="0mm,0mm,0mm,0mm" style="mso-fit-shape-to-text:t;">
                <w:txbxContent>
                  <w:p w14:paraId="23D1E326">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03E96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doMKxgEAAJsDAAAOAAAAZHJzL2Uyb0RvYy54bWytU0tu2zAQ&#10;3RfoHQjuaylG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Kx2gwrGAQAAmwMAAA4AAAAAAAAAAQAgAAAAIwEAAGRycy9lMm9E&#10;b2MueG1sUEsFBgAAAAAGAAYAWQEAAFsFAAAAAA==&#10;">
              <v:fill on="f" focussize="0,0"/>
              <v:stroke on="f"/>
              <v:imagedata o:title=""/>
              <o:lock v:ext="edit" aspectratio="f"/>
              <v:textbox inset="0mm,0mm,0mm,0mm" style="mso-fit-shape-to-text:t;">
                <w:txbxContent>
                  <w:p w14:paraId="1E03E960">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ED6C6">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LZO66xgEAAJsDAAAOAAAAZHJzL2Uyb0RvYy54bWytU0tu2zAQ&#10;3RfoHQjuaykGUh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Mtk7rrGAQAAmwMAAA4AAAAAAAAAAQAgAAAAIwEAAGRycy9lMm9E&#10;b2MueG1sUEsFBgAAAAAGAAYAWQEAAFsFAAAAAA==&#10;">
              <v:fill on="f" focussize="0,0"/>
              <v:stroke on="f"/>
              <v:imagedata o:title=""/>
              <o:lock v:ext="edit" aspectratio="f"/>
              <v:textbox inset="0mm,0mm,0mm,0mm" style="mso-fit-shape-to-text:t;">
                <w:txbxContent>
                  <w:p w14:paraId="44DED6C6">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7D2EB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CNUKLHGAQAAmwMAAA4AAAAAAAAAAQAgAAAAIwEAAGRycy9lMm9E&#10;b2MueG1sUEsFBgAAAAAGAAYAWQEAAFsFAAAAAA==&#10;">
              <v:fill on="f" focussize="0,0"/>
              <v:stroke on="f"/>
              <v:imagedata o:title=""/>
              <o:lock v:ext="edit" aspectratio="f"/>
              <v:textbox inset="0mm,0mm,0mm,0mm" style="mso-fit-shape-to-text:t;">
                <w:txbxContent>
                  <w:p w14:paraId="077D2EB4">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16D38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7A16D38D">
                    <w:pPr>
                      <w:snapToGrid w:val="0"/>
                      <w:rPr>
                        <w:sz w:val="18"/>
                      </w:rPr>
                    </w:pPr>
                  </w:p>
                </w:txbxContent>
              </v:textbox>
            </v:shape>
          </w:pict>
        </mc:Fallback>
      </mc:AlternateContent>
    </w:r>
    <w:r>
      <w:rPr>
        <w:rFonts w:hint="eastAsia"/>
        <w:sz w:val="18"/>
        <w:szCs w:val="18"/>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9BEB">
    <w:pPr>
      <w:tabs>
        <w:tab w:val="left" w:pos="5646"/>
      </w:tabs>
    </w:pPr>
    <w:r>
      <w:rPr>
        <w:sz w:val="18"/>
        <w:szCs w:val="18"/>
      </w:rPr>
      <mc:AlternateContent>
        <mc:Choice Requires="wps">
          <w:drawing>
            <wp:anchor distT="0" distB="0" distL="114300" distR="114300" simplePos="0" relativeHeight="25166643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7F95C3">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643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14:paraId="687F95C3">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2823">
    <w:pPr>
      <w:tabs>
        <w:tab w:val="left" w:pos="5646"/>
      </w:tabs>
      <w:rPr>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8AFBDE">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052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458AFBDE">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6950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8BE88A">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950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4D8BE88A">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848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B9531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848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14:paraId="35B95310">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9FD6B6">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745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14:paraId="1C9FD6B6">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0D890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0D0D8908">
                    <w:pPr>
                      <w:snapToGrid w:val="0"/>
                      <w:rPr>
                        <w:sz w:val="18"/>
                      </w:rPr>
                    </w:pPr>
                  </w:p>
                </w:txbxContent>
              </v:textbox>
            </v:shape>
          </w:pict>
        </mc:Fallback>
      </mc:AlternateContent>
    </w:r>
    <w:r>
      <w:rPr>
        <w:rFonts w:hint="eastAsia"/>
        <w:sz w:val="18"/>
        <w:szCs w:val="18"/>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C8C1">
    <w:pPr>
      <w:tabs>
        <w:tab w:val="left" w:pos="5646"/>
      </w:tabs>
    </w:pPr>
    <w:r>
      <w:rPr>
        <w:sz w:val="18"/>
        <w:szCs w:val="18"/>
      </w:rPr>
      <mc:AlternateContent>
        <mc:Choice Requires="wps">
          <w:drawing>
            <wp:anchor distT="0" distB="0" distL="114300" distR="114300" simplePos="0" relativeHeight="25167155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3BC4DE">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155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283BC4DE">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7FE9">
    <w:pPr>
      <w:tabs>
        <w:tab w:val="left" w:pos="5646"/>
      </w:tabs>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E4C4E">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BE4C4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F95F">
    <w:pPr>
      <w:tabs>
        <w:tab w:val="left" w:pos="564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DDE299">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73DDE299">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0380F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330380F1">
                    <w:pPr>
                      <w:snapToGrid w:val="0"/>
                      <w:rPr>
                        <w:sz w:val="18"/>
                      </w:rPr>
                    </w:pPr>
                  </w:p>
                </w:txbxContent>
              </v:textbox>
            </v:shape>
          </w:pict>
        </mc:Fallback>
      </mc:AlternateContent>
    </w:r>
    <w:r>
      <w:rPr>
        <w:rFonts w:hint="eastAsia"/>
        <w:sz w:val="18"/>
        <w:szCs w:val="18"/>
      </w:rPr>
      <w:t>陕西至诚项目管理集团有限公司                                     地址：陕西省西安市经济技术开发区未央路171-1号银池道拉斯财富中心21楼</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2165">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E2933">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0CE2933">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C94C">
    <w:pPr>
      <w:pStyle w:val="13"/>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72FF">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A372FF">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CB15">
    <w:pPr>
      <w:pStyle w:val="14"/>
      <w:pBdr>
        <w:bottom w:val="single" w:color="auto" w:sz="4" w:space="1"/>
      </w:pBdr>
      <w:tabs>
        <w:tab w:val="left" w:pos="2307"/>
        <w:tab w:val="clear" w:pos="4153"/>
      </w:tabs>
      <w:jc w:val="left"/>
      <w:rPr>
        <w:sz w:val="16"/>
        <w:szCs w:val="16"/>
      </w:rPr>
    </w:pPr>
    <w:r>
      <w:rPr>
        <w:rFonts w:hint="eastAsia" w:hAnsi="宋体"/>
        <w:sz w:val="16"/>
        <w:szCs w:val="16"/>
      </w:rPr>
      <w:t>心电网络及远程影像诊断中心采购项目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C82B">
    <w:pPr>
      <w:pStyle w:val="1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4AC9">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FE3A">
    <w:pPr>
      <w:pStyle w:val="14"/>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57FD">
    <w:pPr>
      <w:pStyle w:val="14"/>
      <w:pBdr>
        <w:bottom w:val="single" w:color="auto" w:sz="4" w:space="1"/>
      </w:pBdr>
      <w:jc w:val="left"/>
      <w:rPr>
        <w:sz w:val="16"/>
        <w:szCs w:val="16"/>
      </w:rPr>
    </w:pPr>
    <w:r>
      <w:rPr>
        <w:rFonts w:hint="eastAsia"/>
        <w:sz w:val="16"/>
        <w:szCs w:val="16"/>
      </w:rPr>
      <w:t xml:space="preserve">心电网络及远程影像诊断中心采购项目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F4345"/>
    <w:multiLevelType w:val="singleLevel"/>
    <w:tmpl w:val="CC3F4345"/>
    <w:lvl w:ilvl="0" w:tentative="0">
      <w:start w:val="1"/>
      <w:numFmt w:val="chineseCounting"/>
      <w:suff w:val="nothing"/>
      <w:lvlText w:val="%1、"/>
      <w:lvlJc w:val="left"/>
      <w:rPr>
        <w:rFonts w:hint="eastAsia"/>
      </w:rPr>
    </w:lvl>
  </w:abstractNum>
  <w:abstractNum w:abstractNumId="1">
    <w:nsid w:val="EA2CBB34"/>
    <w:multiLevelType w:val="singleLevel"/>
    <w:tmpl w:val="EA2CBB34"/>
    <w:lvl w:ilvl="0" w:tentative="0">
      <w:start w:val="1"/>
      <w:numFmt w:val="decimal"/>
      <w:lvlText w:val="%1"/>
      <w:lvlJc w:val="left"/>
      <w:pPr>
        <w:tabs>
          <w:tab w:val="left" w:pos="420"/>
        </w:tabs>
        <w:ind w:left="425" w:hanging="425"/>
      </w:pPr>
      <w:rPr>
        <w:rFonts w:hint="default"/>
      </w:rPr>
    </w:lvl>
  </w:abstractNum>
  <w:abstractNum w:abstractNumId="2">
    <w:nsid w:val="EE8F3037"/>
    <w:multiLevelType w:val="singleLevel"/>
    <w:tmpl w:val="EE8F3037"/>
    <w:lvl w:ilvl="0" w:tentative="0">
      <w:start w:val="1"/>
      <w:numFmt w:val="decimal"/>
      <w:lvlText w:val="%1"/>
      <w:lvlJc w:val="left"/>
      <w:pPr>
        <w:tabs>
          <w:tab w:val="left" w:pos="420"/>
        </w:tabs>
        <w:ind w:left="425" w:hanging="425"/>
      </w:pPr>
      <w:rPr>
        <w:rFonts w:hint="default" w:ascii="宋体" w:hAnsi="宋体" w:eastAsia="宋体" w:cs="宋体"/>
        <w:sz w:val="21"/>
        <w:szCs w:val="21"/>
      </w:rPr>
    </w:lvl>
  </w:abstractNum>
  <w:abstractNum w:abstractNumId="3">
    <w:nsid w:val="083C085E"/>
    <w:multiLevelType w:val="multilevel"/>
    <w:tmpl w:val="083C08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B66CD3"/>
    <w:multiLevelType w:val="singleLevel"/>
    <w:tmpl w:val="14B66CD3"/>
    <w:lvl w:ilvl="0" w:tentative="0">
      <w:start w:val="1"/>
      <w:numFmt w:val="chineseCounting"/>
      <w:suff w:val="nothing"/>
      <w:lvlText w:val="%1、"/>
      <w:lvlJc w:val="left"/>
      <w:rPr>
        <w:rFonts w:hint="eastAsia"/>
      </w:rPr>
    </w:lvl>
  </w:abstractNum>
  <w:abstractNum w:abstractNumId="5">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B25AF4"/>
    <w:multiLevelType w:val="singleLevel"/>
    <w:tmpl w:val="59B25AF4"/>
    <w:lvl w:ilvl="0" w:tentative="0">
      <w:start w:val="1"/>
      <w:numFmt w:val="decimal"/>
      <w:suff w:val="nothing"/>
      <w:lvlText w:val="（%1）"/>
      <w:lvlJc w:val="left"/>
    </w:lvl>
  </w:abstractNum>
  <w:abstractNum w:abstractNumId="8">
    <w:nsid w:val="59B64AF0"/>
    <w:multiLevelType w:val="singleLevel"/>
    <w:tmpl w:val="59B64AF0"/>
    <w:lvl w:ilvl="0" w:tentative="0">
      <w:start w:val="16"/>
      <w:numFmt w:val="decimal"/>
      <w:suff w:val="nothing"/>
      <w:lvlText w:val="%1."/>
      <w:lvlJc w:val="left"/>
    </w:lvl>
  </w:abstractNum>
  <w:abstractNum w:abstractNumId="9">
    <w:nsid w:val="621211CB"/>
    <w:multiLevelType w:val="singleLevel"/>
    <w:tmpl w:val="621211CB"/>
    <w:lvl w:ilvl="0" w:tentative="0">
      <w:start w:val="1"/>
      <w:numFmt w:val="chineseCounting"/>
      <w:suff w:val="nothing"/>
      <w:lvlText w:val="%1．"/>
      <w:lvlJc w:val="left"/>
      <w:rPr>
        <w:rFonts w:hint="eastAsia"/>
      </w:rPr>
    </w:lvl>
  </w:abstractNum>
  <w:abstractNum w:abstractNumId="10">
    <w:nsid w:val="67D9CA77"/>
    <w:multiLevelType w:val="singleLevel"/>
    <w:tmpl w:val="67D9CA77"/>
    <w:lvl w:ilvl="0" w:tentative="0">
      <w:start w:val="4"/>
      <w:numFmt w:val="chineseCounting"/>
      <w:suff w:val="space"/>
      <w:lvlText w:val="第%1章"/>
      <w:lvlJc w:val="left"/>
      <w:rPr>
        <w:rFonts w:hint="eastAsia"/>
      </w:rPr>
    </w:lvl>
  </w:abstractNum>
  <w:num w:numId="1">
    <w:abstractNumId w:val="6"/>
  </w:num>
  <w:num w:numId="2">
    <w:abstractNumId w:val="8"/>
  </w:num>
  <w:num w:numId="3">
    <w:abstractNumId w:val="7"/>
  </w:num>
  <w:num w:numId="4">
    <w:abstractNumId w:val="10"/>
  </w:num>
  <w:num w:numId="5">
    <w:abstractNumId w:val="9"/>
  </w:num>
  <w:num w:numId="6">
    <w:abstractNumId w:val="0"/>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DgzYmJiYTU1ZGU5NzRjNTU0NGYzYmQ5ZWM5MGEifQ=="/>
  </w:docVars>
  <w:rsids>
    <w:rsidRoot w:val="00172A27"/>
    <w:rsid w:val="00172A27"/>
    <w:rsid w:val="002C1595"/>
    <w:rsid w:val="003F4572"/>
    <w:rsid w:val="004E77E4"/>
    <w:rsid w:val="007D6D27"/>
    <w:rsid w:val="00900DDC"/>
    <w:rsid w:val="009954B8"/>
    <w:rsid w:val="009F5D30"/>
    <w:rsid w:val="00F534C7"/>
    <w:rsid w:val="00F67362"/>
    <w:rsid w:val="00F77F89"/>
    <w:rsid w:val="04E83ADF"/>
    <w:rsid w:val="065C760E"/>
    <w:rsid w:val="122B2E87"/>
    <w:rsid w:val="12317D17"/>
    <w:rsid w:val="14437336"/>
    <w:rsid w:val="194B5735"/>
    <w:rsid w:val="1C3F6773"/>
    <w:rsid w:val="2E3C5731"/>
    <w:rsid w:val="437702E5"/>
    <w:rsid w:val="43FF089D"/>
    <w:rsid w:val="48136301"/>
    <w:rsid w:val="49374FBE"/>
    <w:rsid w:val="4D892F97"/>
    <w:rsid w:val="541C0C10"/>
    <w:rsid w:val="58661D86"/>
    <w:rsid w:val="58867828"/>
    <w:rsid w:val="58E3401A"/>
    <w:rsid w:val="5B1E2DD4"/>
    <w:rsid w:val="5C6A307B"/>
    <w:rsid w:val="5D6E3455"/>
    <w:rsid w:val="629212E5"/>
    <w:rsid w:val="64DA0F82"/>
    <w:rsid w:val="65124587"/>
    <w:rsid w:val="6AA342D9"/>
    <w:rsid w:val="6E8D7DD4"/>
    <w:rsid w:val="71825707"/>
    <w:rsid w:val="721863DA"/>
    <w:rsid w:val="73266CD4"/>
    <w:rsid w:val="776769FE"/>
    <w:rsid w:val="791C36D9"/>
    <w:rsid w:val="7A59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3"/>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link w:val="25"/>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semiHidden/>
    <w:unhideWhenUsed/>
    <w:qFormat/>
    <w:uiPriority w:val="0"/>
    <w:pPr>
      <w:spacing w:beforeAutospacing="1" w:afterAutospacing="1"/>
      <w:jc w:val="left"/>
      <w:outlineLvl w:val="5"/>
    </w:pPr>
    <w:rPr>
      <w:rFonts w:hint="eastAsia" w:hAnsi="宋体"/>
      <w:b/>
      <w:bCs/>
      <w:sz w:val="15"/>
      <w:szCs w:val="15"/>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kern w:val="2"/>
      <w:sz w:val="21"/>
      <w:szCs w:val="24"/>
    </w:rPr>
  </w:style>
  <w:style w:type="paragraph" w:styleId="8">
    <w:name w:val="Body Text"/>
    <w:basedOn w:val="1"/>
    <w:qFormat/>
    <w:uiPriority w:val="0"/>
    <w:pPr>
      <w:spacing w:after="120"/>
    </w:pPr>
    <w:rPr>
      <w:rFonts w:ascii="Times New Roman"/>
      <w:kern w:val="2"/>
      <w:sz w:val="21"/>
    </w:rPr>
  </w:style>
  <w:style w:type="paragraph" w:styleId="9">
    <w:name w:val="Body Text Indent"/>
    <w:basedOn w:val="1"/>
    <w:next w:val="1"/>
    <w:qFormat/>
    <w:uiPriority w:val="0"/>
    <w:pPr>
      <w:widowControl/>
      <w:ind w:firstLine="652" w:firstLineChars="233"/>
    </w:pPr>
    <w:rPr>
      <w:rFonts w:ascii="Times New Roman"/>
      <w:sz w:val="28"/>
    </w:rPr>
  </w:style>
  <w:style w:type="paragraph" w:styleId="10">
    <w:name w:val="index 4"/>
    <w:basedOn w:val="1"/>
    <w:next w:val="1"/>
    <w:unhideWhenUsed/>
    <w:qFormat/>
    <w:uiPriority w:val="99"/>
    <w:pPr>
      <w:ind w:left="428" w:firstLine="140"/>
    </w:p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Times New Roman"/>
      <w:kern w:val="2"/>
      <w:sz w:val="28"/>
    </w:rPr>
  </w:style>
  <w:style w:type="paragraph" w:styleId="13">
    <w:name w:val="footer"/>
    <w:basedOn w:val="1"/>
    <w:next w:val="8"/>
    <w:qFormat/>
    <w:uiPriority w:val="99"/>
    <w:pPr>
      <w:tabs>
        <w:tab w:val="center" w:pos="4153"/>
        <w:tab w:val="right" w:pos="8306"/>
      </w:tabs>
      <w:snapToGrid w:val="0"/>
      <w:jc w:val="left"/>
    </w:pPr>
    <w:rPr>
      <w:rFonts w:ascii="Times New Roman"/>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5">
    <w:name w:val="toc 1"/>
    <w:basedOn w:val="1"/>
    <w:next w:val="1"/>
    <w:unhideWhenUsed/>
    <w:qFormat/>
    <w:uiPriority w:val="39"/>
    <w:pPr>
      <w:tabs>
        <w:tab w:val="left" w:pos="1418"/>
        <w:tab w:val="right" w:leader="dot" w:pos="8302"/>
      </w:tabs>
      <w:spacing w:line="960" w:lineRule="auto"/>
    </w:pPr>
  </w:style>
  <w:style w:type="paragraph" w:styleId="16">
    <w:name w:val="toc 2"/>
    <w:basedOn w:val="1"/>
    <w:next w:val="1"/>
    <w:unhideWhenUsed/>
    <w:qFormat/>
    <w:uiPriority w:val="39"/>
    <w:pPr>
      <w:tabs>
        <w:tab w:val="right" w:leader="dot" w:pos="8302"/>
      </w:tabs>
      <w:spacing w:line="960" w:lineRule="auto"/>
      <w:ind w:left="420" w:leftChars="200"/>
    </w:pPr>
  </w:style>
  <w:style w:type="paragraph" w:styleId="17">
    <w:name w:val="Normal (Web)"/>
    <w:basedOn w:val="1"/>
    <w:qFormat/>
    <w:uiPriority w:val="99"/>
    <w:pPr>
      <w:widowControl/>
      <w:spacing w:before="100" w:beforeAutospacing="1" w:after="100" w:afterAutospacing="1"/>
      <w:jc w:val="left"/>
    </w:pPr>
    <w:rPr>
      <w:rFonts w:hAnsi="宋体"/>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qFormat/>
    <w:uiPriority w:val="99"/>
    <w:rPr>
      <w:rFonts w:hint="eastAsia" w:ascii="宋体" w:hAnsi="宋体" w:eastAsia="宋体" w:cs="宋体"/>
      <w:color w:val="000000"/>
      <w:sz w:val="18"/>
      <w:szCs w:val="18"/>
      <w:u w:val="none"/>
    </w:rPr>
  </w:style>
  <w:style w:type="character" w:customStyle="1" w:styleId="23">
    <w:name w:val="标题 1 字符"/>
    <w:link w:val="2"/>
    <w:qFormat/>
    <w:uiPriority w:val="0"/>
    <w:rPr>
      <w:rFonts w:ascii="仿宋_GB2312" w:hAnsi="宋体" w:eastAsia="仿宋_GB2312"/>
      <w:b/>
      <w:kern w:val="2"/>
      <w:sz w:val="32"/>
    </w:rPr>
  </w:style>
  <w:style w:type="paragraph" w:customStyle="1" w:styleId="24">
    <w:name w:val="列出段落1"/>
    <w:basedOn w:val="1"/>
    <w:qFormat/>
    <w:uiPriority w:val="34"/>
    <w:pPr>
      <w:ind w:firstLine="420" w:firstLineChars="200"/>
    </w:pPr>
  </w:style>
  <w:style w:type="character" w:customStyle="1" w:styleId="25">
    <w:name w:val="标题 3 字符"/>
    <w:link w:val="4"/>
    <w:qFormat/>
    <w:uiPriority w:val="0"/>
    <w:rPr>
      <w:rFonts w:ascii="Times New Roman"/>
      <w:b/>
      <w:bCs/>
      <w:kern w:val="2"/>
      <w:szCs w:val="24"/>
    </w:rPr>
  </w:style>
  <w:style w:type="paragraph" w:customStyle="1" w:styleId="26">
    <w:name w:val="列出段落11"/>
    <w:basedOn w:val="1"/>
    <w:qFormat/>
    <w:uiPriority w:val="34"/>
    <w:pPr>
      <w:ind w:firstLine="420" w:firstLineChars="200"/>
    </w:pPr>
    <w:rPr>
      <w:rFonts w:ascii="Calibri" w:hAnsi="Calibri"/>
      <w:szCs w:val="22"/>
    </w:rPr>
  </w:style>
  <w:style w:type="paragraph" w:customStyle="1" w:styleId="27">
    <w:name w:val="Char1"/>
    <w:basedOn w:val="1"/>
    <w:qFormat/>
    <w:uiPriority w:val="0"/>
    <w:pPr>
      <w:tabs>
        <w:tab w:val="left" w:pos="360"/>
      </w:tabs>
      <w:ind w:left="360" w:hanging="360" w:hangingChars="200"/>
    </w:pPr>
    <w:rPr>
      <w:szCs w:val="24"/>
    </w:rPr>
  </w:style>
  <w:style w:type="character" w:customStyle="1" w:styleId="28">
    <w:name w:val="font31"/>
    <w:basedOn w:val="20"/>
    <w:qFormat/>
    <w:uiPriority w:val="0"/>
    <w:rPr>
      <w:rFonts w:hint="eastAsia" w:ascii="宋体" w:hAnsi="宋体" w:eastAsia="宋体" w:cs="宋体"/>
      <w:color w:val="000000"/>
      <w:sz w:val="20"/>
      <w:szCs w:val="20"/>
      <w:u w:val="none"/>
    </w:rPr>
  </w:style>
  <w:style w:type="character" w:customStyle="1" w:styleId="29">
    <w:name w:val="font41"/>
    <w:basedOn w:val="20"/>
    <w:qFormat/>
    <w:uiPriority w:val="0"/>
    <w:rPr>
      <w:rFonts w:hint="eastAsia" w:ascii="宋体" w:hAnsi="宋体" w:eastAsia="宋体" w:cs="宋体"/>
      <w:color w:val="FF0000"/>
      <w:sz w:val="20"/>
      <w:szCs w:val="20"/>
      <w:u w:val="none"/>
    </w:rPr>
  </w:style>
  <w:style w:type="character" w:customStyle="1" w:styleId="30">
    <w:name w:val="font11"/>
    <w:basedOn w:val="20"/>
    <w:qFormat/>
    <w:uiPriority w:val="0"/>
    <w:rPr>
      <w:rFonts w:hint="eastAsia" w:ascii="宋体" w:hAnsi="宋体" w:eastAsia="宋体" w:cs="宋体"/>
      <w:color w:val="000000"/>
      <w:sz w:val="20"/>
      <w:szCs w:val="20"/>
      <w:u w:val="none"/>
    </w:rPr>
  </w:style>
  <w:style w:type="character" w:customStyle="1" w:styleId="31">
    <w:name w:val="font101"/>
    <w:basedOn w:val="20"/>
    <w:qFormat/>
    <w:uiPriority w:val="0"/>
    <w:rPr>
      <w:rFonts w:hint="eastAsia" w:ascii="宋体" w:hAnsi="宋体" w:eastAsia="宋体" w:cs="宋体"/>
      <w:color w:val="FF0000"/>
      <w:sz w:val="20"/>
      <w:szCs w:val="20"/>
      <w:u w:val="none"/>
    </w:rPr>
  </w:style>
  <w:style w:type="character" w:customStyle="1" w:styleId="32">
    <w:name w:val="font61"/>
    <w:basedOn w:val="20"/>
    <w:qFormat/>
    <w:uiPriority w:val="0"/>
    <w:rPr>
      <w:rFonts w:hint="eastAsia" w:ascii="宋体" w:hAnsi="宋体" w:eastAsia="宋体" w:cs="宋体"/>
      <w:color w:val="252525"/>
      <w:sz w:val="20"/>
      <w:szCs w:val="20"/>
      <w:u w:val="none"/>
    </w:rPr>
  </w:style>
  <w:style w:type="character" w:customStyle="1" w:styleId="33">
    <w:name w:val="font71"/>
    <w:basedOn w:val="20"/>
    <w:qFormat/>
    <w:uiPriority w:val="0"/>
    <w:rPr>
      <w:rFonts w:ascii="Arial" w:hAnsi="Arial" w:cs="Arial"/>
      <w:color w:val="252525"/>
      <w:sz w:val="20"/>
      <w:szCs w:val="20"/>
      <w:u w:val="none"/>
    </w:rPr>
  </w:style>
  <w:style w:type="character" w:customStyle="1" w:styleId="34">
    <w:name w:val="font81"/>
    <w:basedOn w:val="20"/>
    <w:qFormat/>
    <w:uiPriority w:val="0"/>
    <w:rPr>
      <w:rFonts w:ascii="Arial" w:hAnsi="Arial" w:cs="Arial"/>
      <w:color w:val="252525"/>
      <w:sz w:val="20"/>
      <w:szCs w:val="20"/>
      <w:u w:val="none"/>
    </w:rPr>
  </w:style>
  <w:style w:type="character" w:customStyle="1" w:styleId="35">
    <w:name w:val="font51"/>
    <w:basedOn w:val="20"/>
    <w:qFormat/>
    <w:uiPriority w:val="0"/>
    <w:rPr>
      <w:rFonts w:hint="eastAsia" w:ascii="宋体" w:hAnsi="宋体" w:eastAsia="宋体" w:cs="宋体"/>
      <w:color w:val="000000"/>
      <w:sz w:val="22"/>
      <w:szCs w:val="22"/>
      <w:u w:val="none"/>
    </w:rPr>
  </w:style>
  <w:style w:type="paragraph" w:styleId="36">
    <w:name w:val="List Paragraph"/>
    <w:basedOn w:val="1"/>
    <w:autoRedefine/>
    <w:qFormat/>
    <w:uiPriority w:val="34"/>
    <w:pPr>
      <w:tabs>
        <w:tab w:val="left" w:pos="420"/>
        <w:tab w:val="left" w:pos="840"/>
      </w:tabs>
      <w:spacing w:line="360" w:lineRule="auto"/>
      <w:ind w:firstLine="420" w:firstLineChars="200"/>
    </w:pPr>
  </w:style>
  <w:style w:type="paragraph" w:styleId="37">
    <w:name w:val="No Spacing"/>
    <w:autoRedefine/>
    <w:qFormat/>
    <w:uiPriority w:val="1"/>
    <w:rPr>
      <w:rFonts w:asciiTheme="minorHAnsi" w:hAnsiTheme="minorHAnsi" w:eastAsiaTheme="minorEastAsia" w:cstheme="minorBidi"/>
      <w:sz w:val="24"/>
      <w:szCs w:val="22"/>
      <w:lang w:val="en-US" w:eastAsia="zh-CN" w:bidi="ar-SA"/>
      <w14:ligatures w14:val="standardContextual"/>
    </w:rPr>
  </w:style>
  <w:style w:type="character" w:customStyle="1" w:styleId="38">
    <w:name w:val="font21"/>
    <w:basedOn w:val="2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3914</Words>
  <Characters>4636</Characters>
  <Lines>357</Lines>
  <Paragraphs>100</Paragraphs>
  <TotalTime>45</TotalTime>
  <ScaleCrop>false</ScaleCrop>
  <LinksUpToDate>false</LinksUpToDate>
  <CharactersWithSpaces>4717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2024-08-05T07:22:00Z</dcterms:created>
  <dc:creator>8226983003</dc:creator>
  <cp:lastModifiedBy>救赎</cp:lastModifiedBy>
  <dcterms:modified xsi:type="dcterms:W3CDTF">2024-12-25T09:05:14Z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23BDBC97C10D43239E491011A15BDC26_13</vt:lpwstr>
  </property>
</Properties>
</file>