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4B681">
      <w:pPr>
        <w:rPr>
          <w:rFonts w:hint="eastAsia" w:hAnsi="宋体" w:eastAsia="宋体" w:cs="宋体"/>
          <w:b/>
          <w:sz w:val="36"/>
          <w:highlight w:val="none"/>
          <w:lang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SXZCZBSL2024-ZCCS-1112</w:t>
      </w:r>
    </w:p>
    <w:p w14:paraId="0B218E2F">
      <w:pPr>
        <w:rPr>
          <w:rFonts w:hAnsi="宋体" w:cs="宋体"/>
          <w:b/>
          <w:sz w:val="36"/>
          <w:highlight w:val="none"/>
        </w:rPr>
      </w:pPr>
    </w:p>
    <w:p w14:paraId="2D03BF4A">
      <w:pPr>
        <w:rPr>
          <w:rFonts w:hAnsi="宋体" w:cs="宋体"/>
          <w:b/>
          <w:sz w:val="36"/>
          <w:highlight w:val="none"/>
        </w:rPr>
      </w:pPr>
    </w:p>
    <w:p w14:paraId="51457CAE">
      <w:pPr>
        <w:jc w:val="center"/>
        <w:rPr>
          <w:rFonts w:hAnsi="宋体" w:cs="宋体"/>
          <w:b/>
          <w:bCs/>
          <w:sz w:val="52"/>
          <w:szCs w:val="52"/>
          <w:highlight w:val="none"/>
        </w:rPr>
      </w:pPr>
    </w:p>
    <w:p w14:paraId="36C050F8">
      <w:pPr>
        <w:jc w:val="center"/>
        <w:rPr>
          <w:rFonts w:hAnsi="宋体" w:cs="宋体"/>
          <w:b/>
          <w:sz w:val="72"/>
          <w:szCs w:val="72"/>
          <w:highlight w:val="none"/>
        </w:rPr>
      </w:pPr>
      <w:r>
        <w:rPr>
          <w:rFonts w:hint="eastAsia" w:hAnsi="宋体" w:cs="宋体"/>
          <w:b/>
          <w:bCs/>
          <w:sz w:val="56"/>
          <w:szCs w:val="56"/>
          <w:highlight w:val="none"/>
          <w:lang w:eastAsia="zh-CN"/>
        </w:rPr>
        <w:t>富水镇敬老院设施改造与设备配置项目</w:t>
      </w:r>
    </w:p>
    <w:p w14:paraId="540742C1">
      <w:pPr>
        <w:spacing w:line="780" w:lineRule="auto"/>
        <w:jc w:val="center"/>
        <w:rPr>
          <w:rFonts w:hAnsi="宋体" w:cs="宋体"/>
          <w:b/>
          <w:sz w:val="72"/>
          <w:szCs w:val="72"/>
          <w:highlight w:val="none"/>
        </w:rPr>
      </w:pPr>
    </w:p>
    <w:p w14:paraId="23D2E61B">
      <w:pPr>
        <w:spacing w:line="780" w:lineRule="auto"/>
        <w:jc w:val="center"/>
        <w:rPr>
          <w:rFonts w:hAnsi="宋体" w:cs="宋体"/>
          <w:b/>
          <w:sz w:val="72"/>
          <w:szCs w:val="72"/>
          <w:highlight w:val="none"/>
        </w:rPr>
      </w:pPr>
      <w:r>
        <w:rPr>
          <w:rFonts w:hint="eastAsia" w:hAnsi="宋体" w:cs="宋体"/>
          <w:b/>
          <w:sz w:val="72"/>
          <w:szCs w:val="72"/>
          <w:highlight w:val="none"/>
        </w:rPr>
        <w:t>竞争性磋商文件</w:t>
      </w:r>
    </w:p>
    <w:p w14:paraId="0273EBC8">
      <w:pPr>
        <w:rPr>
          <w:rFonts w:hAnsi="宋体" w:cs="宋体"/>
          <w:highlight w:val="none"/>
        </w:rPr>
      </w:pPr>
      <w:bookmarkStart w:id="0" w:name="_Toc363463325"/>
    </w:p>
    <w:p w14:paraId="184EEEEE">
      <w:pPr>
        <w:rPr>
          <w:rFonts w:hAnsi="宋体" w:cs="宋体"/>
          <w:highlight w:val="none"/>
        </w:rPr>
      </w:pPr>
    </w:p>
    <w:p w14:paraId="28B87401">
      <w:pPr>
        <w:rPr>
          <w:highlight w:val="none"/>
        </w:rPr>
      </w:pPr>
    </w:p>
    <w:p w14:paraId="6DD041F0">
      <w:pPr>
        <w:rPr>
          <w:rFonts w:hAnsi="宋体" w:cs="宋体"/>
          <w:highlight w:val="none"/>
        </w:rPr>
      </w:pPr>
    </w:p>
    <w:bookmarkEnd w:id="0"/>
    <w:p w14:paraId="176FAED2">
      <w:pPr>
        <w:jc w:val="center"/>
        <w:rPr>
          <w:rFonts w:hAnsi="宋体" w:cs="宋体"/>
          <w:b/>
          <w:sz w:val="36"/>
          <w:szCs w:val="36"/>
          <w:highlight w:val="none"/>
        </w:rPr>
      </w:pPr>
    </w:p>
    <w:p w14:paraId="60087114">
      <w:pPr>
        <w:pStyle w:val="6"/>
        <w:rPr>
          <w:highlight w:val="none"/>
        </w:rPr>
      </w:pPr>
    </w:p>
    <w:p w14:paraId="3B7D84F2">
      <w:pPr>
        <w:jc w:val="both"/>
        <w:rPr>
          <w:rFonts w:hint="eastAsia" w:hAnsi="宋体" w:cs="宋体"/>
          <w:b/>
          <w:sz w:val="36"/>
          <w:szCs w:val="36"/>
          <w:highlight w:val="none"/>
          <w:lang w:eastAsia="zh-CN"/>
        </w:rPr>
      </w:pPr>
    </w:p>
    <w:p w14:paraId="47A78394">
      <w:pPr>
        <w:pStyle w:val="6"/>
        <w:keepNext w:val="0"/>
        <w:keepLines w:val="0"/>
        <w:pageBreakBefore w:val="0"/>
        <w:widowControl w:val="0"/>
        <w:kinsoku/>
        <w:wordWrap/>
        <w:overflowPunct/>
        <w:topLinePunct w:val="0"/>
        <w:autoSpaceDE/>
        <w:autoSpaceDN/>
        <w:bidi w:val="0"/>
        <w:adjustRightInd/>
        <w:snapToGrid/>
        <w:jc w:val="center"/>
        <w:textAlignment w:val="auto"/>
        <w:rPr>
          <w:rFonts w:hint="eastAsia" w:hAnsi="宋体" w:cs="宋体"/>
          <w:b/>
          <w:sz w:val="32"/>
          <w:szCs w:val="32"/>
          <w:highlight w:val="none"/>
          <w:lang w:eastAsia="zh-CN"/>
        </w:rPr>
      </w:pPr>
    </w:p>
    <w:p w14:paraId="5D51833C">
      <w:pPr>
        <w:keepNext w:val="0"/>
        <w:keepLines w:val="0"/>
        <w:pageBreakBefore w:val="0"/>
        <w:widowControl w:val="0"/>
        <w:kinsoku/>
        <w:wordWrap/>
        <w:overflowPunct/>
        <w:topLinePunct w:val="0"/>
        <w:autoSpaceDE/>
        <w:autoSpaceDN/>
        <w:bidi w:val="0"/>
        <w:adjustRightInd/>
        <w:snapToGrid/>
        <w:ind w:left="2400" w:leftChars="1000"/>
        <w:textAlignment w:val="auto"/>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 购 人：</w:t>
      </w:r>
      <w:r>
        <w:rPr>
          <w:rFonts w:hint="eastAsia" w:hAnsi="宋体" w:cs="宋体"/>
          <w:b/>
          <w:bCs/>
          <w:color w:val="auto"/>
          <w:sz w:val="32"/>
          <w:szCs w:val="32"/>
          <w:highlight w:val="none"/>
          <w:lang w:val="en-US" w:eastAsia="zh-CN"/>
        </w:rPr>
        <w:t>商南县民政局（本级）</w:t>
      </w:r>
    </w:p>
    <w:p w14:paraId="70A763F2">
      <w:pPr>
        <w:keepNext w:val="0"/>
        <w:keepLines w:val="0"/>
        <w:pageBreakBefore w:val="0"/>
        <w:widowControl w:val="0"/>
        <w:kinsoku/>
        <w:wordWrap/>
        <w:overflowPunct/>
        <w:topLinePunct w:val="0"/>
        <w:autoSpaceDE/>
        <w:autoSpaceDN/>
        <w:bidi w:val="0"/>
        <w:adjustRightInd/>
        <w:snapToGrid/>
        <w:ind w:left="2400" w:leftChars="1000"/>
        <w:textAlignment w:val="auto"/>
        <w:rPr>
          <w:rFonts w:hint="default" w:hAnsi="宋体" w:eastAsia="宋体" w:cs="宋体"/>
          <w:b/>
          <w:bCs/>
          <w:color w:val="auto"/>
          <w:sz w:val="32"/>
          <w:szCs w:val="32"/>
          <w:highlight w:val="none"/>
          <w:lang w:val="en-US" w:eastAsia="zh-CN"/>
        </w:rPr>
      </w:pPr>
      <w:r>
        <w:rPr>
          <w:rFonts w:hint="eastAsia" w:hAnsi="宋体" w:cs="宋体"/>
          <w:b/>
          <w:bCs/>
          <w:color w:val="auto"/>
          <w:sz w:val="32"/>
          <w:szCs w:val="32"/>
          <w:highlight w:val="none"/>
        </w:rPr>
        <w:t>代理机构：</w:t>
      </w:r>
      <w:r>
        <w:rPr>
          <w:rFonts w:hint="eastAsia" w:hAnsi="宋体" w:cs="宋体"/>
          <w:b/>
          <w:bCs/>
          <w:color w:val="auto"/>
          <w:sz w:val="32"/>
          <w:szCs w:val="32"/>
          <w:highlight w:val="none"/>
          <w:lang w:eastAsia="zh-CN"/>
        </w:rPr>
        <w:t>陕西至诚项目管理集团有限公司</w:t>
      </w:r>
    </w:p>
    <w:p w14:paraId="27EBF2D7">
      <w:pPr>
        <w:pStyle w:val="6"/>
        <w:keepNext w:val="0"/>
        <w:keepLines w:val="0"/>
        <w:pageBreakBefore w:val="0"/>
        <w:widowControl w:val="0"/>
        <w:kinsoku/>
        <w:wordWrap/>
        <w:overflowPunct/>
        <w:topLinePunct w:val="0"/>
        <w:autoSpaceDE/>
        <w:autoSpaceDN/>
        <w:bidi w:val="0"/>
        <w:adjustRightInd/>
        <w:snapToGrid/>
        <w:spacing w:after="0"/>
        <w:ind w:left="2400" w:leftChars="1000"/>
        <w:jc w:val="both"/>
        <w:textAlignment w:val="auto"/>
        <w:rPr>
          <w:rFonts w:hint="eastAsia" w:ascii="宋体" w:hAnsi="宋体" w:cs="宋体"/>
          <w:b/>
          <w:bCs/>
          <w:sz w:val="28"/>
          <w:szCs w:val="28"/>
          <w:highlight w:val="none"/>
        </w:rPr>
      </w:pPr>
      <w:r>
        <w:rPr>
          <w:rFonts w:hint="eastAsia" w:ascii="Times New Roman" w:hAnsi="宋体" w:cs="宋体"/>
          <w:b/>
          <w:bCs/>
          <w:color w:val="auto"/>
          <w:sz w:val="32"/>
          <w:szCs w:val="32"/>
          <w:highlight w:val="none"/>
        </w:rPr>
        <w:t>日    期：二〇二</w:t>
      </w:r>
      <w:r>
        <w:rPr>
          <w:rFonts w:hint="eastAsia" w:hAnsi="宋体" w:cs="宋体"/>
          <w:b/>
          <w:bCs/>
          <w:color w:val="auto"/>
          <w:sz w:val="32"/>
          <w:szCs w:val="32"/>
          <w:highlight w:val="none"/>
          <w:lang w:val="en-US" w:eastAsia="zh-CN"/>
        </w:rPr>
        <w:t>四</w:t>
      </w:r>
      <w:r>
        <w:rPr>
          <w:rFonts w:hint="eastAsia" w:ascii="Times New Roman" w:hAnsi="宋体" w:cs="宋体"/>
          <w:b/>
          <w:bCs/>
          <w:color w:val="auto"/>
          <w:sz w:val="32"/>
          <w:szCs w:val="32"/>
          <w:highlight w:val="none"/>
        </w:rPr>
        <w:t>年</w:t>
      </w:r>
      <w:r>
        <w:rPr>
          <w:rFonts w:hint="eastAsia" w:hAnsi="宋体" w:cs="宋体"/>
          <w:b/>
          <w:bCs/>
          <w:color w:val="auto"/>
          <w:sz w:val="32"/>
          <w:szCs w:val="32"/>
          <w:highlight w:val="none"/>
          <w:lang w:val="en-US" w:eastAsia="zh-CN"/>
        </w:rPr>
        <w:t>十一</w:t>
      </w:r>
      <w:r>
        <w:rPr>
          <w:rFonts w:hint="eastAsia" w:ascii="Times New Roman" w:hAnsi="宋体" w:cs="宋体"/>
          <w:b/>
          <w:bCs/>
          <w:color w:val="auto"/>
          <w:sz w:val="32"/>
          <w:szCs w:val="32"/>
          <w:highlight w:val="none"/>
        </w:rPr>
        <w:t>月</w:t>
      </w:r>
    </w:p>
    <w:p w14:paraId="1183BDB4">
      <w:pPr>
        <w:rPr>
          <w:rFonts w:hint="eastAsia" w:ascii="宋体" w:hAnsi="宋体" w:cs="宋体"/>
          <w:b/>
          <w:bCs/>
          <w:sz w:val="32"/>
          <w:szCs w:val="32"/>
          <w:highlight w:val="none"/>
        </w:rPr>
      </w:pPr>
    </w:p>
    <w:p w14:paraId="52725ECD">
      <w:pPr>
        <w:pStyle w:val="3"/>
        <w:rPr>
          <w:highlight w:val="none"/>
        </w:rPr>
        <w:sectPr>
          <w:headerReference r:id="rId4" w:type="first"/>
          <w:headerReference r:id="rId3" w:type="default"/>
          <w:footerReference r:id="rId5" w:type="default"/>
          <w:pgSz w:w="11906" w:h="16838"/>
          <w:pgMar w:top="1418" w:right="1418" w:bottom="1418" w:left="1701" w:header="851" w:footer="992" w:gutter="0"/>
          <w:cols w:space="720" w:num="1"/>
          <w:titlePg/>
          <w:docGrid w:type="lines" w:linePitch="312" w:charSpace="0"/>
        </w:sectPr>
      </w:pPr>
    </w:p>
    <w:p w14:paraId="1892DE5F">
      <w:pPr>
        <w:rPr>
          <w:rFonts w:hAnsi="宋体" w:cs="宋体"/>
          <w:highlight w:val="none"/>
        </w:rPr>
      </w:pPr>
    </w:p>
    <w:p w14:paraId="558DAEB9">
      <w:pPr>
        <w:jc w:val="center"/>
        <w:rPr>
          <w:rFonts w:hAnsi="宋体" w:cs="宋体"/>
          <w:b/>
          <w:sz w:val="44"/>
          <w:szCs w:val="44"/>
          <w:highlight w:val="none"/>
        </w:rPr>
      </w:pPr>
      <w:r>
        <w:rPr>
          <w:rFonts w:hint="eastAsia" w:hAnsi="宋体" w:cs="宋体"/>
          <w:b/>
          <w:sz w:val="44"/>
          <w:szCs w:val="44"/>
          <w:highlight w:val="none"/>
        </w:rPr>
        <w:t>目 录</w:t>
      </w:r>
    </w:p>
    <w:p w14:paraId="547E022A">
      <w:pPr>
        <w:jc w:val="center"/>
        <w:rPr>
          <w:rFonts w:hAnsi="宋体" w:cs="宋体"/>
          <w:b/>
          <w:sz w:val="44"/>
          <w:szCs w:val="44"/>
          <w:highlight w:val="none"/>
        </w:rPr>
      </w:pPr>
    </w:p>
    <w:p w14:paraId="2490EB3B">
      <w:pPr>
        <w:pStyle w:val="11"/>
        <w:keepNext w:val="0"/>
        <w:keepLines w:val="0"/>
        <w:pageBreakBefore w:val="0"/>
        <w:widowControl w:val="0"/>
        <w:tabs>
          <w:tab w:val="right" w:leader="dot" w:pos="8787"/>
        </w:tabs>
        <w:kinsoku/>
        <w:wordWrap/>
        <w:overflowPunct/>
        <w:topLinePunct w:val="0"/>
        <w:autoSpaceDE/>
        <w:autoSpaceDN/>
        <w:bidi w:val="0"/>
        <w:adjustRightInd/>
        <w:snapToGrid/>
        <w:spacing w:line="480" w:lineRule="auto"/>
        <w:textAlignment w:val="auto"/>
        <w:rPr>
          <w:sz w:val="32"/>
          <w:szCs w:val="22"/>
          <w:highlight w:val="none"/>
        </w:rPr>
      </w:pPr>
      <w:bookmarkStart w:id="1" w:name="_Toc5293"/>
      <w:bookmarkStart w:id="2" w:name="_Toc21518"/>
      <w:bookmarkStart w:id="3" w:name="_Toc389582033"/>
      <w:bookmarkStart w:id="4" w:name="_Toc20652"/>
      <w:bookmarkStart w:id="5" w:name="_Toc16218"/>
      <w:bookmarkStart w:id="6" w:name="_Toc19886"/>
      <w:bookmarkStart w:id="7" w:name="_Toc20858"/>
      <w:bookmarkStart w:id="8" w:name="_Toc27420"/>
      <w:bookmarkStart w:id="9" w:name="_Toc403077638"/>
      <w:bookmarkStart w:id="10" w:name="_Toc363473971"/>
      <w:bookmarkStart w:id="11" w:name="_Toc363474016"/>
      <w:r>
        <w:rPr>
          <w:rFonts w:hint="eastAsia" w:hAnsi="宋体" w:cs="宋体"/>
          <w:bCs/>
          <w:sz w:val="48"/>
          <w:szCs w:val="48"/>
          <w:highlight w:val="none"/>
        </w:rPr>
        <w:fldChar w:fldCharType="begin"/>
      </w:r>
      <w:r>
        <w:rPr>
          <w:rFonts w:hint="eastAsia" w:hAnsi="宋体" w:cs="宋体"/>
          <w:bCs/>
          <w:sz w:val="48"/>
          <w:szCs w:val="48"/>
          <w:highlight w:val="none"/>
        </w:rPr>
        <w:instrText xml:space="preserve">TOC \o "1-2" \h \u </w:instrText>
      </w:r>
      <w:r>
        <w:rPr>
          <w:rFonts w:hint="eastAsia" w:hAnsi="宋体" w:cs="宋体"/>
          <w:bCs/>
          <w:sz w:val="48"/>
          <w:szCs w:val="48"/>
          <w:highlight w:val="none"/>
        </w:rPr>
        <w:fldChar w:fldCharType="separate"/>
      </w:r>
      <w:r>
        <w:rPr>
          <w:rFonts w:hint="eastAsia" w:hAnsi="宋体" w:cs="宋体"/>
          <w:bCs/>
          <w:sz w:val="32"/>
          <w:szCs w:val="48"/>
          <w:highlight w:val="none"/>
        </w:rPr>
        <w:fldChar w:fldCharType="begin"/>
      </w:r>
      <w:r>
        <w:rPr>
          <w:rFonts w:hint="eastAsia" w:hAnsi="宋体" w:cs="宋体"/>
          <w:bCs/>
          <w:sz w:val="32"/>
          <w:szCs w:val="48"/>
          <w:highlight w:val="none"/>
        </w:rPr>
        <w:instrText xml:space="preserve"> HYPERLINK \l _Toc6659 </w:instrText>
      </w:r>
      <w:r>
        <w:rPr>
          <w:rFonts w:hint="eastAsia" w:hAnsi="宋体" w:cs="宋体"/>
          <w:bCs/>
          <w:sz w:val="32"/>
          <w:szCs w:val="48"/>
          <w:highlight w:val="none"/>
        </w:rPr>
        <w:fldChar w:fldCharType="separate"/>
      </w:r>
      <w:r>
        <w:rPr>
          <w:rFonts w:hint="eastAsia" w:ascii="宋体" w:eastAsia="宋体" w:cs="宋体"/>
          <w:bCs/>
          <w:sz w:val="32"/>
          <w:szCs w:val="44"/>
          <w:highlight w:val="none"/>
        </w:rPr>
        <w:t>第一章  竞争性磋商公告</w:t>
      </w:r>
      <w:r>
        <w:rPr>
          <w:sz w:val="32"/>
          <w:szCs w:val="22"/>
          <w:highlight w:val="none"/>
        </w:rPr>
        <w:tab/>
      </w:r>
      <w:r>
        <w:rPr>
          <w:sz w:val="32"/>
          <w:szCs w:val="22"/>
          <w:highlight w:val="none"/>
        </w:rPr>
        <w:fldChar w:fldCharType="begin"/>
      </w:r>
      <w:r>
        <w:rPr>
          <w:sz w:val="32"/>
          <w:szCs w:val="22"/>
          <w:highlight w:val="none"/>
        </w:rPr>
        <w:instrText xml:space="preserve"> PAGEREF _Toc6659 \h </w:instrText>
      </w:r>
      <w:r>
        <w:rPr>
          <w:sz w:val="32"/>
          <w:szCs w:val="22"/>
          <w:highlight w:val="none"/>
        </w:rPr>
        <w:fldChar w:fldCharType="separate"/>
      </w:r>
      <w:r>
        <w:rPr>
          <w:sz w:val="32"/>
          <w:szCs w:val="22"/>
          <w:highlight w:val="none"/>
        </w:rPr>
        <w:t>2</w:t>
      </w:r>
      <w:r>
        <w:rPr>
          <w:sz w:val="32"/>
          <w:szCs w:val="22"/>
          <w:highlight w:val="none"/>
        </w:rPr>
        <w:fldChar w:fldCharType="end"/>
      </w:r>
      <w:r>
        <w:rPr>
          <w:rFonts w:hint="eastAsia" w:hAnsi="宋体" w:cs="宋体"/>
          <w:bCs/>
          <w:sz w:val="32"/>
          <w:szCs w:val="48"/>
          <w:highlight w:val="none"/>
        </w:rPr>
        <w:fldChar w:fldCharType="end"/>
      </w:r>
    </w:p>
    <w:p w14:paraId="4D744FBC">
      <w:pPr>
        <w:pStyle w:val="11"/>
        <w:keepNext w:val="0"/>
        <w:keepLines w:val="0"/>
        <w:pageBreakBefore w:val="0"/>
        <w:widowControl w:val="0"/>
        <w:tabs>
          <w:tab w:val="right" w:leader="dot" w:pos="8787"/>
        </w:tabs>
        <w:kinsoku/>
        <w:wordWrap/>
        <w:overflowPunct/>
        <w:topLinePunct w:val="0"/>
        <w:autoSpaceDE/>
        <w:autoSpaceDN/>
        <w:bidi w:val="0"/>
        <w:adjustRightInd/>
        <w:snapToGrid/>
        <w:spacing w:line="480" w:lineRule="auto"/>
        <w:textAlignment w:val="auto"/>
        <w:rPr>
          <w:sz w:val="32"/>
          <w:szCs w:val="22"/>
          <w:highlight w:val="none"/>
        </w:rPr>
      </w:pPr>
      <w:r>
        <w:rPr>
          <w:rFonts w:hint="eastAsia" w:hAnsi="宋体" w:cs="宋体"/>
          <w:bCs/>
          <w:sz w:val="32"/>
          <w:szCs w:val="48"/>
          <w:highlight w:val="none"/>
        </w:rPr>
        <w:fldChar w:fldCharType="begin"/>
      </w:r>
      <w:r>
        <w:rPr>
          <w:rFonts w:hint="eastAsia" w:hAnsi="宋体" w:cs="宋体"/>
          <w:bCs/>
          <w:sz w:val="32"/>
          <w:szCs w:val="48"/>
          <w:highlight w:val="none"/>
        </w:rPr>
        <w:instrText xml:space="preserve"> HYPERLINK \l _Toc19491 </w:instrText>
      </w:r>
      <w:r>
        <w:rPr>
          <w:rFonts w:hint="eastAsia" w:hAnsi="宋体" w:cs="宋体"/>
          <w:bCs/>
          <w:sz w:val="32"/>
          <w:szCs w:val="48"/>
          <w:highlight w:val="none"/>
        </w:rPr>
        <w:fldChar w:fldCharType="separate"/>
      </w:r>
      <w:r>
        <w:rPr>
          <w:rFonts w:hint="eastAsia" w:hAnsi="宋体" w:cs="宋体"/>
          <w:bCs/>
          <w:kern w:val="2"/>
          <w:sz w:val="32"/>
          <w:szCs w:val="44"/>
          <w:highlight w:val="none"/>
        </w:rPr>
        <w:t>第二章  供应商须知</w:t>
      </w:r>
      <w:r>
        <w:rPr>
          <w:sz w:val="32"/>
          <w:szCs w:val="22"/>
          <w:highlight w:val="none"/>
        </w:rPr>
        <w:tab/>
      </w:r>
      <w:r>
        <w:rPr>
          <w:sz w:val="32"/>
          <w:szCs w:val="22"/>
          <w:highlight w:val="none"/>
        </w:rPr>
        <w:fldChar w:fldCharType="begin"/>
      </w:r>
      <w:r>
        <w:rPr>
          <w:sz w:val="32"/>
          <w:szCs w:val="22"/>
          <w:highlight w:val="none"/>
        </w:rPr>
        <w:instrText xml:space="preserve"> PAGEREF _Toc19491 \h </w:instrText>
      </w:r>
      <w:r>
        <w:rPr>
          <w:sz w:val="32"/>
          <w:szCs w:val="22"/>
          <w:highlight w:val="none"/>
        </w:rPr>
        <w:fldChar w:fldCharType="separate"/>
      </w:r>
      <w:r>
        <w:rPr>
          <w:sz w:val="32"/>
          <w:szCs w:val="22"/>
          <w:highlight w:val="none"/>
        </w:rPr>
        <w:t>2</w:t>
      </w:r>
      <w:r>
        <w:rPr>
          <w:sz w:val="32"/>
          <w:szCs w:val="22"/>
          <w:highlight w:val="none"/>
        </w:rPr>
        <w:fldChar w:fldCharType="end"/>
      </w:r>
      <w:r>
        <w:rPr>
          <w:rFonts w:hint="eastAsia" w:hAnsi="宋体" w:cs="宋体"/>
          <w:bCs/>
          <w:sz w:val="32"/>
          <w:szCs w:val="48"/>
          <w:highlight w:val="none"/>
        </w:rPr>
        <w:fldChar w:fldCharType="end"/>
      </w:r>
    </w:p>
    <w:p w14:paraId="6E6D3B55">
      <w:pPr>
        <w:pStyle w:val="13"/>
        <w:keepNext w:val="0"/>
        <w:keepLines w:val="0"/>
        <w:pageBreakBefore w:val="0"/>
        <w:widowControl w:val="0"/>
        <w:tabs>
          <w:tab w:val="right" w:leader="dot" w:pos="8787"/>
        </w:tabs>
        <w:kinsoku/>
        <w:wordWrap/>
        <w:overflowPunct/>
        <w:topLinePunct w:val="0"/>
        <w:autoSpaceDE/>
        <w:autoSpaceDN/>
        <w:bidi w:val="0"/>
        <w:adjustRightInd/>
        <w:snapToGrid/>
        <w:spacing w:line="480" w:lineRule="auto"/>
        <w:textAlignment w:val="auto"/>
        <w:rPr>
          <w:sz w:val="32"/>
          <w:szCs w:val="22"/>
          <w:highlight w:val="none"/>
        </w:rPr>
      </w:pPr>
      <w:r>
        <w:rPr>
          <w:rFonts w:hint="eastAsia" w:hAnsi="宋体" w:cs="宋体"/>
          <w:bCs/>
          <w:sz w:val="32"/>
          <w:szCs w:val="48"/>
          <w:highlight w:val="none"/>
        </w:rPr>
        <w:fldChar w:fldCharType="begin"/>
      </w:r>
      <w:r>
        <w:rPr>
          <w:rFonts w:hint="eastAsia" w:hAnsi="宋体" w:cs="宋体"/>
          <w:bCs/>
          <w:sz w:val="32"/>
          <w:szCs w:val="48"/>
          <w:highlight w:val="none"/>
        </w:rPr>
        <w:instrText xml:space="preserve"> HYPERLINK \l _Toc17143 </w:instrText>
      </w:r>
      <w:r>
        <w:rPr>
          <w:rFonts w:hint="eastAsia" w:hAnsi="宋体" w:cs="宋体"/>
          <w:bCs/>
          <w:sz w:val="32"/>
          <w:szCs w:val="48"/>
          <w:highlight w:val="none"/>
        </w:rPr>
        <w:fldChar w:fldCharType="separate"/>
      </w:r>
      <w:r>
        <w:rPr>
          <w:rFonts w:hint="eastAsia" w:ascii="宋体" w:hAnsi="宋体" w:cs="宋体"/>
          <w:sz w:val="32"/>
          <w:szCs w:val="22"/>
          <w:highlight w:val="none"/>
        </w:rPr>
        <w:t>供应商须知前附表</w:t>
      </w:r>
      <w:r>
        <w:rPr>
          <w:sz w:val="32"/>
          <w:szCs w:val="22"/>
          <w:highlight w:val="none"/>
        </w:rPr>
        <w:tab/>
      </w:r>
      <w:r>
        <w:rPr>
          <w:sz w:val="32"/>
          <w:szCs w:val="22"/>
          <w:highlight w:val="none"/>
        </w:rPr>
        <w:fldChar w:fldCharType="begin"/>
      </w:r>
      <w:r>
        <w:rPr>
          <w:sz w:val="32"/>
          <w:szCs w:val="22"/>
          <w:highlight w:val="none"/>
        </w:rPr>
        <w:instrText xml:space="preserve"> PAGEREF _Toc17143 \h </w:instrText>
      </w:r>
      <w:r>
        <w:rPr>
          <w:sz w:val="32"/>
          <w:szCs w:val="22"/>
          <w:highlight w:val="none"/>
        </w:rPr>
        <w:fldChar w:fldCharType="separate"/>
      </w:r>
      <w:r>
        <w:rPr>
          <w:sz w:val="32"/>
          <w:szCs w:val="22"/>
          <w:highlight w:val="none"/>
        </w:rPr>
        <w:t>6</w:t>
      </w:r>
      <w:r>
        <w:rPr>
          <w:sz w:val="32"/>
          <w:szCs w:val="22"/>
          <w:highlight w:val="none"/>
        </w:rPr>
        <w:fldChar w:fldCharType="end"/>
      </w:r>
      <w:r>
        <w:rPr>
          <w:rFonts w:hint="eastAsia" w:hAnsi="宋体" w:cs="宋体"/>
          <w:bCs/>
          <w:sz w:val="32"/>
          <w:szCs w:val="48"/>
          <w:highlight w:val="none"/>
        </w:rPr>
        <w:fldChar w:fldCharType="end"/>
      </w:r>
    </w:p>
    <w:p w14:paraId="680BB364">
      <w:pPr>
        <w:pStyle w:val="11"/>
        <w:keepNext w:val="0"/>
        <w:keepLines w:val="0"/>
        <w:pageBreakBefore w:val="0"/>
        <w:widowControl w:val="0"/>
        <w:tabs>
          <w:tab w:val="right" w:leader="dot" w:pos="8787"/>
        </w:tabs>
        <w:kinsoku/>
        <w:wordWrap/>
        <w:overflowPunct/>
        <w:topLinePunct w:val="0"/>
        <w:autoSpaceDE/>
        <w:autoSpaceDN/>
        <w:bidi w:val="0"/>
        <w:adjustRightInd/>
        <w:snapToGrid/>
        <w:spacing w:line="480" w:lineRule="auto"/>
        <w:textAlignment w:val="auto"/>
        <w:rPr>
          <w:sz w:val="32"/>
          <w:szCs w:val="22"/>
          <w:highlight w:val="none"/>
        </w:rPr>
      </w:pPr>
      <w:r>
        <w:rPr>
          <w:rFonts w:hint="eastAsia" w:hAnsi="宋体" w:cs="宋体"/>
          <w:bCs/>
          <w:sz w:val="32"/>
          <w:szCs w:val="48"/>
          <w:highlight w:val="none"/>
        </w:rPr>
        <w:fldChar w:fldCharType="begin"/>
      </w:r>
      <w:r>
        <w:rPr>
          <w:rFonts w:hint="eastAsia" w:hAnsi="宋体" w:cs="宋体"/>
          <w:bCs/>
          <w:sz w:val="32"/>
          <w:szCs w:val="48"/>
          <w:highlight w:val="none"/>
        </w:rPr>
        <w:instrText xml:space="preserve"> HYPERLINK \l _Toc17808 </w:instrText>
      </w:r>
      <w:r>
        <w:rPr>
          <w:rFonts w:hint="eastAsia" w:hAnsi="宋体" w:cs="宋体"/>
          <w:bCs/>
          <w:sz w:val="32"/>
          <w:szCs w:val="48"/>
          <w:highlight w:val="none"/>
        </w:rPr>
        <w:fldChar w:fldCharType="separate"/>
      </w:r>
      <w:r>
        <w:rPr>
          <w:rFonts w:hint="eastAsia" w:ascii="宋体" w:eastAsia="宋体" w:cs="宋体"/>
          <w:bCs/>
          <w:sz w:val="32"/>
          <w:szCs w:val="44"/>
          <w:highlight w:val="none"/>
        </w:rPr>
        <w:t xml:space="preserve">第三章  </w:t>
      </w:r>
      <w:r>
        <w:rPr>
          <w:rFonts w:hint="eastAsia" w:ascii="宋体" w:eastAsia="宋体" w:cs="宋体"/>
          <w:bCs/>
          <w:sz w:val="32"/>
          <w:szCs w:val="40"/>
          <w:highlight w:val="none"/>
        </w:rPr>
        <w:t>评审</w:t>
      </w:r>
      <w:r>
        <w:rPr>
          <w:rFonts w:hint="eastAsia" w:ascii="宋体" w:eastAsia="宋体" w:cs="宋体"/>
          <w:bCs/>
          <w:sz w:val="32"/>
          <w:szCs w:val="44"/>
          <w:highlight w:val="none"/>
        </w:rPr>
        <w:t>方法</w:t>
      </w:r>
      <w:r>
        <w:rPr>
          <w:sz w:val="32"/>
          <w:szCs w:val="22"/>
          <w:highlight w:val="none"/>
        </w:rPr>
        <w:tab/>
      </w:r>
      <w:r>
        <w:rPr>
          <w:sz w:val="32"/>
          <w:szCs w:val="22"/>
          <w:highlight w:val="none"/>
        </w:rPr>
        <w:fldChar w:fldCharType="begin"/>
      </w:r>
      <w:r>
        <w:rPr>
          <w:sz w:val="32"/>
          <w:szCs w:val="22"/>
          <w:highlight w:val="none"/>
        </w:rPr>
        <w:instrText xml:space="preserve"> PAGEREF _Toc17808 \h </w:instrText>
      </w:r>
      <w:r>
        <w:rPr>
          <w:sz w:val="32"/>
          <w:szCs w:val="22"/>
          <w:highlight w:val="none"/>
        </w:rPr>
        <w:fldChar w:fldCharType="separate"/>
      </w:r>
      <w:r>
        <w:rPr>
          <w:sz w:val="32"/>
          <w:szCs w:val="22"/>
          <w:highlight w:val="none"/>
        </w:rPr>
        <w:t>23</w:t>
      </w:r>
      <w:r>
        <w:rPr>
          <w:sz w:val="32"/>
          <w:szCs w:val="22"/>
          <w:highlight w:val="none"/>
        </w:rPr>
        <w:fldChar w:fldCharType="end"/>
      </w:r>
      <w:r>
        <w:rPr>
          <w:rFonts w:hint="eastAsia" w:hAnsi="宋体" w:cs="宋体"/>
          <w:bCs/>
          <w:sz w:val="32"/>
          <w:szCs w:val="48"/>
          <w:highlight w:val="none"/>
        </w:rPr>
        <w:fldChar w:fldCharType="end"/>
      </w:r>
    </w:p>
    <w:p w14:paraId="3B3498A8">
      <w:pPr>
        <w:pStyle w:val="11"/>
        <w:keepNext w:val="0"/>
        <w:keepLines w:val="0"/>
        <w:pageBreakBefore w:val="0"/>
        <w:widowControl w:val="0"/>
        <w:tabs>
          <w:tab w:val="right" w:leader="dot" w:pos="8787"/>
        </w:tabs>
        <w:kinsoku/>
        <w:wordWrap/>
        <w:overflowPunct/>
        <w:topLinePunct w:val="0"/>
        <w:autoSpaceDE/>
        <w:autoSpaceDN/>
        <w:bidi w:val="0"/>
        <w:adjustRightInd/>
        <w:snapToGrid/>
        <w:spacing w:line="480" w:lineRule="auto"/>
        <w:textAlignment w:val="auto"/>
        <w:rPr>
          <w:sz w:val="32"/>
          <w:szCs w:val="22"/>
          <w:highlight w:val="none"/>
        </w:rPr>
      </w:pPr>
      <w:r>
        <w:rPr>
          <w:rFonts w:hint="eastAsia" w:hAnsi="宋体" w:cs="宋体"/>
          <w:bCs/>
          <w:sz w:val="32"/>
          <w:szCs w:val="48"/>
          <w:highlight w:val="none"/>
        </w:rPr>
        <w:fldChar w:fldCharType="begin"/>
      </w:r>
      <w:r>
        <w:rPr>
          <w:rFonts w:hint="eastAsia" w:hAnsi="宋体" w:cs="宋体"/>
          <w:bCs/>
          <w:sz w:val="32"/>
          <w:szCs w:val="48"/>
          <w:highlight w:val="none"/>
        </w:rPr>
        <w:instrText xml:space="preserve"> HYPERLINK \l _Toc7289 </w:instrText>
      </w:r>
      <w:r>
        <w:rPr>
          <w:rFonts w:hint="eastAsia" w:hAnsi="宋体" w:cs="宋体"/>
          <w:bCs/>
          <w:sz w:val="32"/>
          <w:szCs w:val="48"/>
          <w:highlight w:val="none"/>
        </w:rPr>
        <w:fldChar w:fldCharType="separate"/>
      </w:r>
      <w:r>
        <w:rPr>
          <w:rFonts w:hint="eastAsia" w:ascii="宋体" w:eastAsia="宋体" w:cs="宋体"/>
          <w:bCs/>
          <w:sz w:val="32"/>
          <w:szCs w:val="44"/>
          <w:highlight w:val="none"/>
        </w:rPr>
        <w:t>第四章  合同条款及格式</w:t>
      </w:r>
      <w:r>
        <w:rPr>
          <w:sz w:val="32"/>
          <w:szCs w:val="22"/>
          <w:highlight w:val="none"/>
        </w:rPr>
        <w:tab/>
      </w:r>
      <w:r>
        <w:rPr>
          <w:sz w:val="32"/>
          <w:szCs w:val="22"/>
          <w:highlight w:val="none"/>
        </w:rPr>
        <w:fldChar w:fldCharType="begin"/>
      </w:r>
      <w:r>
        <w:rPr>
          <w:sz w:val="32"/>
          <w:szCs w:val="22"/>
          <w:highlight w:val="none"/>
        </w:rPr>
        <w:instrText xml:space="preserve"> PAGEREF _Toc7289 \h </w:instrText>
      </w:r>
      <w:r>
        <w:rPr>
          <w:sz w:val="32"/>
          <w:szCs w:val="22"/>
          <w:highlight w:val="none"/>
        </w:rPr>
        <w:fldChar w:fldCharType="separate"/>
      </w:r>
      <w:r>
        <w:rPr>
          <w:sz w:val="32"/>
          <w:szCs w:val="22"/>
          <w:highlight w:val="none"/>
        </w:rPr>
        <w:t>27</w:t>
      </w:r>
      <w:r>
        <w:rPr>
          <w:sz w:val="32"/>
          <w:szCs w:val="22"/>
          <w:highlight w:val="none"/>
        </w:rPr>
        <w:fldChar w:fldCharType="end"/>
      </w:r>
      <w:r>
        <w:rPr>
          <w:rFonts w:hint="eastAsia" w:hAnsi="宋体" w:cs="宋体"/>
          <w:bCs/>
          <w:sz w:val="32"/>
          <w:szCs w:val="48"/>
          <w:highlight w:val="none"/>
        </w:rPr>
        <w:fldChar w:fldCharType="end"/>
      </w:r>
    </w:p>
    <w:p w14:paraId="40B0EAB1">
      <w:pPr>
        <w:pStyle w:val="13"/>
        <w:keepNext w:val="0"/>
        <w:keepLines w:val="0"/>
        <w:pageBreakBefore w:val="0"/>
        <w:widowControl w:val="0"/>
        <w:tabs>
          <w:tab w:val="right" w:leader="dot" w:pos="8787"/>
        </w:tabs>
        <w:kinsoku/>
        <w:wordWrap/>
        <w:overflowPunct/>
        <w:topLinePunct w:val="0"/>
        <w:autoSpaceDE/>
        <w:autoSpaceDN/>
        <w:bidi w:val="0"/>
        <w:adjustRightInd/>
        <w:snapToGrid/>
        <w:spacing w:line="480" w:lineRule="auto"/>
        <w:textAlignment w:val="auto"/>
        <w:rPr>
          <w:sz w:val="32"/>
          <w:szCs w:val="22"/>
          <w:highlight w:val="none"/>
        </w:rPr>
      </w:pPr>
      <w:r>
        <w:rPr>
          <w:rFonts w:hint="eastAsia" w:hAnsi="宋体" w:cs="宋体"/>
          <w:bCs/>
          <w:sz w:val="32"/>
          <w:szCs w:val="48"/>
          <w:highlight w:val="none"/>
        </w:rPr>
        <w:fldChar w:fldCharType="begin"/>
      </w:r>
      <w:r>
        <w:rPr>
          <w:rFonts w:hint="eastAsia" w:hAnsi="宋体" w:cs="宋体"/>
          <w:bCs/>
          <w:sz w:val="32"/>
          <w:szCs w:val="48"/>
          <w:highlight w:val="none"/>
        </w:rPr>
        <w:instrText xml:space="preserve"> HYPERLINK \l _Toc32723 </w:instrText>
      </w:r>
      <w:r>
        <w:rPr>
          <w:rFonts w:hint="eastAsia" w:hAnsi="宋体" w:cs="宋体"/>
          <w:bCs/>
          <w:sz w:val="32"/>
          <w:szCs w:val="48"/>
          <w:highlight w:val="none"/>
        </w:rPr>
        <w:fldChar w:fldCharType="separate"/>
      </w:r>
      <w:r>
        <w:rPr>
          <w:rFonts w:hint="eastAsia" w:ascii="宋体" w:hAnsi="宋体"/>
          <w:sz w:val="32"/>
          <w:szCs w:val="22"/>
          <w:highlight w:val="none"/>
        </w:rPr>
        <w:t>合同条款及格式前附表</w:t>
      </w:r>
      <w:r>
        <w:rPr>
          <w:sz w:val="32"/>
          <w:szCs w:val="22"/>
          <w:highlight w:val="none"/>
        </w:rPr>
        <w:tab/>
      </w:r>
      <w:r>
        <w:rPr>
          <w:sz w:val="32"/>
          <w:szCs w:val="22"/>
          <w:highlight w:val="none"/>
        </w:rPr>
        <w:fldChar w:fldCharType="begin"/>
      </w:r>
      <w:r>
        <w:rPr>
          <w:sz w:val="32"/>
          <w:szCs w:val="22"/>
          <w:highlight w:val="none"/>
        </w:rPr>
        <w:instrText xml:space="preserve"> PAGEREF _Toc32723 \h </w:instrText>
      </w:r>
      <w:r>
        <w:rPr>
          <w:sz w:val="32"/>
          <w:szCs w:val="22"/>
          <w:highlight w:val="none"/>
        </w:rPr>
        <w:fldChar w:fldCharType="separate"/>
      </w:r>
      <w:r>
        <w:rPr>
          <w:sz w:val="32"/>
          <w:szCs w:val="22"/>
          <w:highlight w:val="none"/>
        </w:rPr>
        <w:t>27</w:t>
      </w:r>
      <w:r>
        <w:rPr>
          <w:sz w:val="32"/>
          <w:szCs w:val="22"/>
          <w:highlight w:val="none"/>
        </w:rPr>
        <w:fldChar w:fldCharType="end"/>
      </w:r>
      <w:r>
        <w:rPr>
          <w:rFonts w:hint="eastAsia" w:hAnsi="宋体" w:cs="宋体"/>
          <w:bCs/>
          <w:sz w:val="32"/>
          <w:szCs w:val="48"/>
          <w:highlight w:val="none"/>
        </w:rPr>
        <w:fldChar w:fldCharType="end"/>
      </w:r>
    </w:p>
    <w:p w14:paraId="1C6EF19C">
      <w:pPr>
        <w:pStyle w:val="11"/>
        <w:keepNext w:val="0"/>
        <w:keepLines w:val="0"/>
        <w:pageBreakBefore w:val="0"/>
        <w:widowControl w:val="0"/>
        <w:tabs>
          <w:tab w:val="right" w:leader="dot" w:pos="8787"/>
        </w:tabs>
        <w:kinsoku/>
        <w:wordWrap/>
        <w:overflowPunct/>
        <w:topLinePunct w:val="0"/>
        <w:autoSpaceDE/>
        <w:autoSpaceDN/>
        <w:bidi w:val="0"/>
        <w:adjustRightInd/>
        <w:snapToGrid/>
        <w:spacing w:line="480" w:lineRule="auto"/>
        <w:textAlignment w:val="auto"/>
        <w:rPr>
          <w:sz w:val="32"/>
          <w:szCs w:val="22"/>
          <w:highlight w:val="none"/>
        </w:rPr>
      </w:pPr>
      <w:r>
        <w:rPr>
          <w:rFonts w:hint="eastAsia" w:hAnsi="宋体" w:cs="宋体"/>
          <w:bCs/>
          <w:sz w:val="32"/>
          <w:szCs w:val="48"/>
          <w:highlight w:val="none"/>
        </w:rPr>
        <w:fldChar w:fldCharType="begin"/>
      </w:r>
      <w:r>
        <w:rPr>
          <w:rFonts w:hint="eastAsia" w:hAnsi="宋体" w:cs="宋体"/>
          <w:bCs/>
          <w:sz w:val="32"/>
          <w:szCs w:val="48"/>
          <w:highlight w:val="none"/>
        </w:rPr>
        <w:instrText xml:space="preserve"> HYPERLINK \l _Toc8685 </w:instrText>
      </w:r>
      <w:r>
        <w:rPr>
          <w:rFonts w:hint="eastAsia" w:hAnsi="宋体" w:cs="宋体"/>
          <w:bCs/>
          <w:sz w:val="32"/>
          <w:szCs w:val="48"/>
          <w:highlight w:val="none"/>
        </w:rPr>
        <w:fldChar w:fldCharType="separate"/>
      </w:r>
      <w:r>
        <w:rPr>
          <w:rFonts w:hint="eastAsia" w:ascii="宋体" w:eastAsia="宋体" w:cs="宋体"/>
          <w:kern w:val="0"/>
          <w:sz w:val="32"/>
          <w:szCs w:val="44"/>
          <w:highlight w:val="none"/>
        </w:rPr>
        <w:t>第五章  磋商内容及技术要求</w:t>
      </w:r>
      <w:r>
        <w:rPr>
          <w:sz w:val="32"/>
          <w:szCs w:val="22"/>
          <w:highlight w:val="none"/>
        </w:rPr>
        <w:tab/>
      </w:r>
      <w:r>
        <w:rPr>
          <w:sz w:val="32"/>
          <w:szCs w:val="22"/>
          <w:highlight w:val="none"/>
        </w:rPr>
        <w:fldChar w:fldCharType="begin"/>
      </w:r>
      <w:r>
        <w:rPr>
          <w:sz w:val="32"/>
          <w:szCs w:val="22"/>
          <w:highlight w:val="none"/>
        </w:rPr>
        <w:instrText xml:space="preserve"> PAGEREF _Toc8685 \h </w:instrText>
      </w:r>
      <w:r>
        <w:rPr>
          <w:sz w:val="32"/>
          <w:szCs w:val="22"/>
          <w:highlight w:val="none"/>
        </w:rPr>
        <w:fldChar w:fldCharType="separate"/>
      </w:r>
      <w:r>
        <w:rPr>
          <w:sz w:val="32"/>
          <w:szCs w:val="22"/>
          <w:highlight w:val="none"/>
        </w:rPr>
        <w:t>55</w:t>
      </w:r>
      <w:r>
        <w:rPr>
          <w:sz w:val="32"/>
          <w:szCs w:val="22"/>
          <w:highlight w:val="none"/>
        </w:rPr>
        <w:fldChar w:fldCharType="end"/>
      </w:r>
      <w:r>
        <w:rPr>
          <w:rFonts w:hint="eastAsia" w:hAnsi="宋体" w:cs="宋体"/>
          <w:bCs/>
          <w:sz w:val="32"/>
          <w:szCs w:val="48"/>
          <w:highlight w:val="none"/>
        </w:rPr>
        <w:fldChar w:fldCharType="end"/>
      </w:r>
    </w:p>
    <w:p w14:paraId="5DE24542">
      <w:pPr>
        <w:pStyle w:val="11"/>
        <w:keepNext w:val="0"/>
        <w:keepLines w:val="0"/>
        <w:pageBreakBefore w:val="0"/>
        <w:widowControl w:val="0"/>
        <w:tabs>
          <w:tab w:val="right" w:leader="dot" w:pos="8787"/>
        </w:tabs>
        <w:kinsoku/>
        <w:wordWrap/>
        <w:overflowPunct/>
        <w:topLinePunct w:val="0"/>
        <w:autoSpaceDE/>
        <w:autoSpaceDN/>
        <w:bidi w:val="0"/>
        <w:adjustRightInd/>
        <w:snapToGrid/>
        <w:spacing w:line="480" w:lineRule="auto"/>
        <w:textAlignment w:val="auto"/>
        <w:rPr>
          <w:sz w:val="32"/>
          <w:szCs w:val="22"/>
          <w:highlight w:val="none"/>
        </w:rPr>
      </w:pPr>
      <w:r>
        <w:rPr>
          <w:rFonts w:hint="eastAsia" w:hAnsi="宋体" w:cs="宋体"/>
          <w:bCs/>
          <w:sz w:val="32"/>
          <w:szCs w:val="48"/>
          <w:highlight w:val="none"/>
        </w:rPr>
        <w:fldChar w:fldCharType="begin"/>
      </w:r>
      <w:r>
        <w:rPr>
          <w:rFonts w:hint="eastAsia" w:hAnsi="宋体" w:cs="宋体"/>
          <w:bCs/>
          <w:sz w:val="32"/>
          <w:szCs w:val="48"/>
          <w:highlight w:val="none"/>
        </w:rPr>
        <w:instrText xml:space="preserve"> HYPERLINK \l _Toc25633 </w:instrText>
      </w:r>
      <w:r>
        <w:rPr>
          <w:rFonts w:hint="eastAsia" w:hAnsi="宋体" w:cs="宋体"/>
          <w:bCs/>
          <w:sz w:val="32"/>
          <w:szCs w:val="48"/>
          <w:highlight w:val="none"/>
        </w:rPr>
        <w:fldChar w:fldCharType="separate"/>
      </w:r>
      <w:r>
        <w:rPr>
          <w:rFonts w:hint="eastAsia" w:ascii="宋体" w:eastAsia="宋体" w:cs="宋体"/>
          <w:kern w:val="0"/>
          <w:sz w:val="32"/>
          <w:szCs w:val="44"/>
          <w:highlight w:val="none"/>
          <w:lang w:val="en-US" w:eastAsia="zh-CN"/>
        </w:rPr>
        <w:t>第六章  竞争性磋商响应文件格式</w:t>
      </w:r>
      <w:r>
        <w:rPr>
          <w:sz w:val="32"/>
          <w:szCs w:val="22"/>
          <w:highlight w:val="none"/>
        </w:rPr>
        <w:tab/>
      </w:r>
      <w:r>
        <w:rPr>
          <w:sz w:val="32"/>
          <w:szCs w:val="22"/>
          <w:highlight w:val="none"/>
        </w:rPr>
        <w:fldChar w:fldCharType="begin"/>
      </w:r>
      <w:r>
        <w:rPr>
          <w:sz w:val="32"/>
          <w:szCs w:val="22"/>
          <w:highlight w:val="none"/>
        </w:rPr>
        <w:instrText xml:space="preserve"> PAGEREF _Toc25633 \h </w:instrText>
      </w:r>
      <w:r>
        <w:rPr>
          <w:sz w:val="32"/>
          <w:szCs w:val="22"/>
          <w:highlight w:val="none"/>
        </w:rPr>
        <w:fldChar w:fldCharType="separate"/>
      </w:r>
      <w:r>
        <w:rPr>
          <w:sz w:val="32"/>
          <w:szCs w:val="22"/>
          <w:highlight w:val="none"/>
        </w:rPr>
        <w:t>85</w:t>
      </w:r>
      <w:r>
        <w:rPr>
          <w:sz w:val="32"/>
          <w:szCs w:val="22"/>
          <w:highlight w:val="none"/>
        </w:rPr>
        <w:fldChar w:fldCharType="end"/>
      </w:r>
      <w:r>
        <w:rPr>
          <w:rFonts w:hint="eastAsia" w:hAnsi="宋体" w:cs="宋体"/>
          <w:bCs/>
          <w:sz w:val="32"/>
          <w:szCs w:val="48"/>
          <w:highlight w:val="none"/>
        </w:rPr>
        <w:fldChar w:fldCharType="end"/>
      </w:r>
    </w:p>
    <w:p w14:paraId="571F679C">
      <w:pPr>
        <w:pStyle w:val="11"/>
        <w:keepNext w:val="0"/>
        <w:keepLines w:val="0"/>
        <w:pageBreakBefore w:val="0"/>
        <w:widowControl w:val="0"/>
        <w:tabs>
          <w:tab w:val="right" w:leader="dot" w:pos="8302"/>
        </w:tabs>
        <w:kinsoku/>
        <w:wordWrap/>
        <w:overflowPunct/>
        <w:topLinePunct w:val="0"/>
        <w:autoSpaceDE/>
        <w:autoSpaceDN/>
        <w:bidi w:val="0"/>
        <w:adjustRightInd/>
        <w:snapToGrid/>
        <w:spacing w:line="480" w:lineRule="auto"/>
        <w:textAlignment w:val="auto"/>
        <w:rPr>
          <w:rFonts w:hAnsi="宋体" w:cs="宋体"/>
          <w:bCs/>
          <w:sz w:val="36"/>
          <w:szCs w:val="36"/>
          <w:highlight w:val="none"/>
        </w:rPr>
      </w:pPr>
      <w:r>
        <w:rPr>
          <w:rFonts w:hint="eastAsia" w:hAnsi="宋体" w:cs="宋体"/>
          <w:bCs/>
          <w:sz w:val="32"/>
          <w:szCs w:val="48"/>
          <w:highlight w:val="none"/>
        </w:rPr>
        <w:fldChar w:fldCharType="end"/>
      </w:r>
    </w:p>
    <w:p w14:paraId="5C546DE7">
      <w:pPr>
        <w:pStyle w:val="2"/>
        <w:spacing w:before="312" w:beforeLines="100"/>
        <w:jc w:val="center"/>
        <w:rPr>
          <w:rFonts w:ascii="宋体" w:eastAsia="宋体" w:cs="宋体"/>
          <w:bCs/>
          <w:sz w:val="36"/>
          <w:szCs w:val="36"/>
          <w:highlight w:val="none"/>
        </w:rPr>
        <w:sectPr>
          <w:footerReference r:id="rId7" w:type="first"/>
          <w:footerReference r:id="rId6" w:type="default"/>
          <w:pgSz w:w="11906" w:h="16838"/>
          <w:pgMar w:top="1418" w:right="1418" w:bottom="1418" w:left="1701" w:header="851" w:footer="992" w:gutter="0"/>
          <w:pgNumType w:fmt="decimal" w:start="1"/>
          <w:cols w:space="720" w:num="1"/>
          <w:titlePg/>
          <w:docGrid w:type="lines" w:linePitch="312" w:charSpace="0"/>
        </w:sectPr>
      </w:pPr>
    </w:p>
    <w:p w14:paraId="7FD6C499">
      <w:pPr>
        <w:pStyle w:val="2"/>
        <w:keepNext w:val="0"/>
        <w:keepLines/>
        <w:pageBreakBefore/>
        <w:spacing w:before="156" w:beforeLines="50" w:after="156" w:afterLines="50" w:line="360" w:lineRule="auto"/>
        <w:jc w:val="center"/>
        <w:rPr>
          <w:rFonts w:ascii="宋体" w:eastAsia="宋体" w:cs="宋体"/>
          <w:bCs/>
          <w:sz w:val="36"/>
          <w:szCs w:val="36"/>
          <w:highlight w:val="none"/>
        </w:rPr>
      </w:pPr>
      <w:bookmarkStart w:id="12" w:name="_Toc6659"/>
      <w:bookmarkStart w:id="13" w:name="_Toc423973071"/>
      <w:r>
        <w:rPr>
          <w:rFonts w:hint="eastAsia" w:asci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sz w:val="36"/>
          <w:szCs w:val="36"/>
          <w:highlight w:val="none"/>
        </w:rPr>
        <w:t>竞争性磋商公告</w:t>
      </w:r>
      <w:bookmarkEnd w:id="8"/>
      <w:bookmarkEnd w:id="12"/>
      <w:bookmarkEnd w:id="13"/>
    </w:p>
    <w:p w14:paraId="4CF7C29D">
      <w:pPr>
        <w:widowControl/>
        <w:shd w:val="clear"/>
        <w:spacing w:before="76" w:beforeAutospacing="0" w:after="76" w:afterAutospacing="0" w:line="360" w:lineRule="auto"/>
        <w:outlineLvl w:val="9"/>
        <w:rPr>
          <w:rFonts w:hint="default" w:cs="宋体"/>
          <w:b w:val="0"/>
          <w:bCs w:val="0"/>
          <w:sz w:val="24"/>
          <w:szCs w:val="24"/>
          <w:highlight w:val="none"/>
        </w:rPr>
      </w:pPr>
      <w:bookmarkStart w:id="14" w:name="_Toc2929"/>
      <w:bookmarkStart w:id="15" w:name="_Toc389582035"/>
      <w:bookmarkStart w:id="16" w:name="_Toc19491"/>
      <w:bookmarkStart w:id="17" w:name="_Toc29249"/>
      <w:bookmarkStart w:id="18" w:name="_Toc423973072"/>
      <w:r>
        <w:rPr>
          <w:rStyle w:val="18"/>
          <w:rFonts w:cs="宋体"/>
          <w:b/>
          <w:bCs/>
          <w:sz w:val="24"/>
          <w:szCs w:val="24"/>
          <w:highlight w:val="none"/>
          <w:shd w:val="clear" w:color="auto" w:fill="FFFFFF"/>
        </w:rPr>
        <w:t>项目概况</w:t>
      </w:r>
    </w:p>
    <w:p w14:paraId="28C6FAC5">
      <w:pPr>
        <w:widowControl/>
        <w:shd w:val="clear" w:color="auto"/>
        <w:spacing w:before="75" w:beforeAutospacing="0" w:afterAutospacing="0" w:line="360" w:lineRule="auto"/>
        <w:ind w:firstLine="480" w:firstLineChars="200"/>
        <w:outlineLvl w:val="9"/>
        <w:rPr>
          <w:rFonts w:hint="eastAsia" w:cs="宋体"/>
          <w:highlight w:val="none"/>
          <w:shd w:val="clear" w:color="auto" w:fill="FFFFFF"/>
          <w:lang w:eastAsia="zh-CN"/>
        </w:rPr>
      </w:pPr>
      <w:r>
        <w:rPr>
          <w:rFonts w:hint="eastAsia" w:cs="宋体"/>
          <w:highlight w:val="none"/>
          <w:shd w:val="clear" w:color="auto" w:fill="FFFFFF"/>
          <w:lang w:val="en-US" w:eastAsia="zh-CN"/>
        </w:rPr>
        <w:t>富水镇敬老院设施改造与设备配置项目采购项目的潜在供应商应在陕西省商洛市商州区民主路陕西至诚项目管理集团有限公司商洛分公司获取采购文件，并于 2024年12月09日 14时30分 （北京时间）前提交响应文件。</w:t>
      </w:r>
    </w:p>
    <w:p w14:paraId="509D51B2">
      <w:pPr>
        <w:widowControl/>
        <w:shd w:val="clear" w:color="auto"/>
        <w:spacing w:before="75" w:beforeAutospacing="0" w:afterAutospacing="0" w:line="360" w:lineRule="auto"/>
        <w:outlineLvl w:val="9"/>
        <w:rPr>
          <w:rFonts w:hint="default" w:cs="宋体"/>
          <w:b w:val="0"/>
          <w:bCs w:val="0"/>
          <w:highlight w:val="none"/>
        </w:rPr>
      </w:pPr>
      <w:r>
        <w:rPr>
          <w:rStyle w:val="18"/>
          <w:rFonts w:cs="宋体"/>
          <w:b/>
          <w:bCs/>
          <w:highlight w:val="none"/>
          <w:shd w:val="clear" w:color="auto" w:fill="FFFFFF"/>
        </w:rPr>
        <w:t>一、项目基本情况</w:t>
      </w:r>
    </w:p>
    <w:p w14:paraId="630F8400">
      <w:pPr>
        <w:pStyle w:val="14"/>
        <w:shd w:val="clear" w:color="auto"/>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项目编号：</w:t>
      </w:r>
      <w:r>
        <w:rPr>
          <w:rFonts w:hint="eastAsia" w:cs="宋体"/>
          <w:highlight w:val="none"/>
          <w:shd w:val="clear" w:color="auto" w:fill="FFFFFF"/>
          <w:lang w:eastAsia="zh-CN"/>
        </w:rPr>
        <w:t>SXZCZBSL2024-ZCCS-1112</w:t>
      </w:r>
    </w:p>
    <w:p w14:paraId="235BF8BF">
      <w:pPr>
        <w:pStyle w:val="14"/>
        <w:shd w:val="clear" w:color="auto"/>
        <w:spacing w:before="0" w:beforeAutospacing="0" w:after="0" w:afterAutospacing="0" w:line="360" w:lineRule="auto"/>
        <w:ind w:firstLine="240"/>
        <w:jc w:val="both"/>
        <w:rPr>
          <w:rFonts w:hint="eastAsia" w:cs="宋体"/>
          <w:highlight w:val="none"/>
          <w:shd w:val="clear" w:color="auto" w:fill="FFFFFF"/>
          <w:lang w:eastAsia="zh-CN"/>
        </w:rPr>
      </w:pPr>
      <w:r>
        <w:rPr>
          <w:rFonts w:hint="eastAsia" w:cs="宋体"/>
          <w:highlight w:val="none"/>
          <w:shd w:val="clear" w:color="auto" w:fill="FFFFFF"/>
        </w:rPr>
        <w:t>项目名称：</w:t>
      </w:r>
      <w:r>
        <w:rPr>
          <w:rFonts w:hint="eastAsia" w:cs="宋体"/>
          <w:highlight w:val="none"/>
          <w:shd w:val="clear" w:color="auto" w:fill="FFFFFF"/>
          <w:lang w:eastAsia="zh-CN"/>
        </w:rPr>
        <w:t>富水镇敬老院设施改造与设备配置项目</w:t>
      </w:r>
    </w:p>
    <w:p w14:paraId="0801DB1F">
      <w:pPr>
        <w:pStyle w:val="14"/>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采购方式：竞争性磋商</w:t>
      </w:r>
    </w:p>
    <w:p w14:paraId="6D912A6F">
      <w:pPr>
        <w:pStyle w:val="14"/>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预算金额：</w:t>
      </w:r>
      <w:r>
        <w:rPr>
          <w:rFonts w:hint="eastAsia" w:cs="宋体"/>
          <w:highlight w:val="none"/>
          <w:shd w:val="clear" w:color="auto" w:fill="FFFFFF"/>
          <w:lang w:val="en-US" w:eastAsia="zh-CN"/>
        </w:rPr>
        <w:t>760,000.00</w:t>
      </w:r>
      <w:r>
        <w:rPr>
          <w:rFonts w:hint="eastAsia" w:cs="宋体"/>
          <w:highlight w:val="none"/>
          <w:shd w:val="clear" w:color="auto" w:fill="FFFFFF"/>
        </w:rPr>
        <w:t>元</w:t>
      </w:r>
    </w:p>
    <w:p w14:paraId="12CFA24B">
      <w:pPr>
        <w:pStyle w:val="14"/>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采购需求：</w:t>
      </w:r>
    </w:p>
    <w:p w14:paraId="62FCC29E">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w:t>
      </w:r>
      <w:r>
        <w:rPr>
          <w:rFonts w:hint="eastAsia" w:cs="Times New Roman"/>
          <w:b w:val="0"/>
          <w:color w:val="auto"/>
          <w:kern w:val="2"/>
          <w:sz w:val="24"/>
          <w:szCs w:val="24"/>
          <w:highlight w:val="none"/>
          <w:lang w:val="en-US" w:eastAsia="zh-CN"/>
        </w:rPr>
        <w:t>富水镇敬老院设施改造与设备配置项目</w:t>
      </w:r>
      <w:r>
        <w:rPr>
          <w:rFonts w:hint="eastAsia" w:ascii="宋体" w:hAnsi="宋体" w:eastAsia="宋体" w:cs="Times New Roman"/>
          <w:b w:val="0"/>
          <w:color w:val="auto"/>
          <w:kern w:val="2"/>
          <w:sz w:val="24"/>
          <w:szCs w:val="24"/>
          <w:highlight w:val="none"/>
          <w:lang w:eastAsia="zh-CN"/>
        </w:rPr>
        <w:t>):</w:t>
      </w:r>
    </w:p>
    <w:p w14:paraId="3CDAC71B">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合同包预算金额：</w:t>
      </w:r>
      <w:r>
        <w:rPr>
          <w:rFonts w:hint="eastAsia" w:cs="宋体"/>
          <w:highlight w:val="none"/>
          <w:shd w:val="clear" w:color="auto" w:fill="FFFFFF"/>
          <w:lang w:val="en-US" w:eastAsia="zh-CN"/>
        </w:rPr>
        <w:t>760,000.00</w:t>
      </w:r>
      <w:r>
        <w:rPr>
          <w:rFonts w:hint="eastAsia" w:ascii="宋体" w:hAnsi="宋体" w:eastAsia="宋体" w:cs="Times New Roman"/>
          <w:b w:val="0"/>
          <w:color w:val="auto"/>
          <w:kern w:val="2"/>
          <w:sz w:val="24"/>
          <w:szCs w:val="24"/>
          <w:highlight w:val="none"/>
          <w:lang w:eastAsia="zh-CN"/>
        </w:rPr>
        <w:t>元</w:t>
      </w:r>
    </w:p>
    <w:p w14:paraId="4F74F9F3">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合同包最高限价：</w:t>
      </w:r>
      <w:r>
        <w:rPr>
          <w:rFonts w:hint="eastAsia" w:cs="Times New Roman"/>
          <w:b w:val="0"/>
          <w:color w:val="auto"/>
          <w:kern w:val="2"/>
          <w:sz w:val="24"/>
          <w:szCs w:val="24"/>
          <w:highlight w:val="none"/>
          <w:lang w:val="en-US" w:eastAsia="zh-CN"/>
        </w:rPr>
        <w:t>759,513.92</w:t>
      </w:r>
      <w:r>
        <w:rPr>
          <w:rFonts w:hint="eastAsia" w:ascii="宋体" w:hAnsi="宋体" w:eastAsia="宋体" w:cs="Times New Roman"/>
          <w:b w:val="0"/>
          <w:color w:val="auto"/>
          <w:kern w:val="2"/>
          <w:sz w:val="24"/>
          <w:szCs w:val="24"/>
          <w:highlight w:val="none"/>
          <w:lang w:eastAsia="zh-CN"/>
        </w:rPr>
        <w:t>元</w:t>
      </w:r>
    </w:p>
    <w:tbl>
      <w:tblPr>
        <w:tblStyle w:val="16"/>
        <w:tblW w:w="0" w:type="auto"/>
        <w:tblInd w:w="16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73"/>
        <w:gridCol w:w="1500"/>
        <w:gridCol w:w="1320"/>
        <w:gridCol w:w="1262"/>
        <w:gridCol w:w="1577"/>
        <w:gridCol w:w="1506"/>
        <w:gridCol w:w="1506"/>
      </w:tblGrid>
      <w:tr w14:paraId="45D6DF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0CB633">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5C045A">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品目名称</w:t>
            </w:r>
          </w:p>
        </w:tc>
        <w:tc>
          <w:tcPr>
            <w:tcW w:w="1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40EC59">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采购标的</w:t>
            </w:r>
          </w:p>
        </w:tc>
        <w:tc>
          <w:tcPr>
            <w:tcW w:w="12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02677A">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数量</w:t>
            </w:r>
          </w:p>
          <w:p w14:paraId="68D44220">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（单位）</w:t>
            </w:r>
          </w:p>
        </w:tc>
        <w:tc>
          <w:tcPr>
            <w:tcW w:w="15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0692D1">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69703A">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4F8BB7">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最高限价(元)</w:t>
            </w:r>
          </w:p>
        </w:tc>
      </w:tr>
      <w:tr w14:paraId="3C3F28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E68895">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105B27">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val="en-US" w:eastAsia="zh-CN"/>
              </w:rPr>
              <w:t>其他专业施工</w:t>
            </w:r>
          </w:p>
        </w:tc>
        <w:tc>
          <w:tcPr>
            <w:tcW w:w="1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FF3DF9">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hAnsi="宋体" w:cs="宋体"/>
                <w:color w:val="000000" w:themeColor="text1"/>
                <w:kern w:val="0"/>
                <w:sz w:val="21"/>
                <w:szCs w:val="21"/>
                <w:highlight w:val="none"/>
                <w:lang w:val="en-US" w:eastAsia="zh-CN" w:bidi="ar"/>
                <w14:textFill>
                  <w14:solidFill>
                    <w14:schemeClr w14:val="tx1"/>
                  </w14:solidFill>
                </w14:textFill>
              </w:rPr>
              <w:t>富水镇敬老院设施改造与设备配置项目</w:t>
            </w:r>
          </w:p>
        </w:tc>
        <w:tc>
          <w:tcPr>
            <w:tcW w:w="12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63F95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rFonts w:hint="eastAsia" w:hAnsi="宋体" w:cs="宋体"/>
                <w:color w:val="000000" w:themeColor="text1"/>
                <w:kern w:val="0"/>
                <w:sz w:val="21"/>
                <w:szCs w:val="21"/>
                <w:highlight w:val="none"/>
                <w:lang w:val="en-US" w:eastAsia="zh-CN" w:bidi="ar"/>
                <w14:textFill>
                  <w14:solidFill>
                    <w14:schemeClr w14:val="tx1"/>
                  </w14:solidFill>
                </w14:textFill>
              </w:rPr>
              <w:t>批</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p>
        </w:tc>
        <w:tc>
          <w:tcPr>
            <w:tcW w:w="15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D46A7C">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51A2F2">
            <w:pPr>
              <w:keepNext w:val="0"/>
              <w:keepLines w:val="0"/>
              <w:pageBreakBefore w:val="0"/>
              <w:widowControl/>
              <w:suppressLineNumbers w:val="0"/>
              <w:shd w:val="clear"/>
              <w:kinsoku/>
              <w:wordWrap/>
              <w:overflowPunct/>
              <w:topLinePunct w:val="0"/>
              <w:autoSpaceDE/>
              <w:autoSpaceDN/>
              <w:bidi w:val="0"/>
              <w:adjustRightInd/>
              <w:snapToGrid w:val="0"/>
              <w:spacing w:beforeAutospacing="0" w:after="0" w:afterAutospacing="0" w:line="360" w:lineRule="auto"/>
              <w:ind w:left="0" w:right="0"/>
              <w:jc w:val="right"/>
              <w:textAlignment w:val="auto"/>
              <w:rPr>
                <w:rFonts w:hint="default" w:ascii="宋体" w:hAnsi="宋体" w:eastAsia="宋体" w:cs="宋体"/>
                <w:sz w:val="21"/>
                <w:szCs w:val="21"/>
                <w:highlight w:val="none"/>
                <w:lang w:val="en-US"/>
              </w:rPr>
            </w:pPr>
            <w:r>
              <w:rPr>
                <w:rFonts w:hint="eastAsia" w:hAnsi="宋体" w:cs="宋体"/>
                <w:color w:val="000000" w:themeColor="text1"/>
                <w:kern w:val="0"/>
                <w:sz w:val="21"/>
                <w:szCs w:val="21"/>
                <w:highlight w:val="none"/>
                <w:lang w:val="en-US" w:eastAsia="zh-CN" w:bidi="ar"/>
                <w14:textFill>
                  <w14:solidFill>
                    <w14:schemeClr w14:val="tx1"/>
                  </w14:solidFill>
                </w14:textFill>
              </w:rPr>
              <w:t>760,000.00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AFE431">
            <w:pPr>
              <w:keepNext w:val="0"/>
              <w:keepLines w:val="0"/>
              <w:pageBreakBefore w:val="0"/>
              <w:widowControl/>
              <w:suppressLineNumbers w:val="0"/>
              <w:shd w:val="clear"/>
              <w:kinsoku/>
              <w:wordWrap/>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hAnsi="宋体" w:cs="宋体"/>
                <w:color w:val="000000" w:themeColor="text1"/>
                <w:kern w:val="0"/>
                <w:sz w:val="21"/>
                <w:szCs w:val="21"/>
                <w:highlight w:val="none"/>
                <w:lang w:val="en-US" w:eastAsia="zh-CN" w:bidi="ar"/>
                <w14:textFill>
                  <w14:solidFill>
                    <w14:schemeClr w14:val="tx1"/>
                  </w14:solidFill>
                </w14:textFill>
              </w:rPr>
              <w:t>759,513.92</w:t>
            </w:r>
          </w:p>
        </w:tc>
      </w:tr>
    </w:tbl>
    <w:p w14:paraId="247D694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本合同包不接受联合体投标</w:t>
      </w:r>
    </w:p>
    <w:p w14:paraId="42B42409">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合同履行期限：</w:t>
      </w:r>
      <w:r>
        <w:rPr>
          <w:rFonts w:hint="eastAsia" w:cs="Times New Roman"/>
          <w:b w:val="0"/>
          <w:color w:val="auto"/>
          <w:kern w:val="2"/>
          <w:sz w:val="24"/>
          <w:szCs w:val="24"/>
          <w:highlight w:val="none"/>
          <w:lang w:val="en-US" w:eastAsia="zh-CN"/>
        </w:rPr>
        <w:t>详见采购文件</w:t>
      </w:r>
    </w:p>
    <w:p w14:paraId="2443A1B3">
      <w:pPr>
        <w:widowControl/>
        <w:shd w:val="clear" w:color="auto"/>
        <w:spacing w:before="75" w:beforeAutospacing="0" w:afterAutospacing="0" w:line="360" w:lineRule="auto"/>
        <w:outlineLvl w:val="9"/>
        <w:rPr>
          <w:rFonts w:hint="default" w:cs="宋体"/>
          <w:b w:val="0"/>
          <w:bCs w:val="0"/>
          <w:highlight w:val="none"/>
        </w:rPr>
      </w:pPr>
      <w:r>
        <w:rPr>
          <w:rStyle w:val="18"/>
          <w:rFonts w:cs="宋体"/>
          <w:b/>
          <w:bCs/>
          <w:highlight w:val="none"/>
          <w:shd w:val="clear" w:color="auto" w:fill="FFFFFF"/>
        </w:rPr>
        <w:t>二、申请人的资格要求：</w:t>
      </w:r>
    </w:p>
    <w:p w14:paraId="35C4A9E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1.满足《中华人民共和国政府采购法》第二十二条规定;</w:t>
      </w:r>
    </w:p>
    <w:p w14:paraId="2E4255D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2.落实政府采购政策需满足的资格要求：</w:t>
      </w:r>
    </w:p>
    <w:p w14:paraId="7F0233ED">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w:t>
      </w:r>
      <w:r>
        <w:rPr>
          <w:rFonts w:hint="eastAsia" w:hAnsi="宋体" w:cs="Times New Roman"/>
          <w:b w:val="0"/>
          <w:color w:val="auto"/>
          <w:kern w:val="2"/>
          <w:sz w:val="24"/>
          <w:szCs w:val="24"/>
          <w:highlight w:val="none"/>
          <w:lang w:val="en-US" w:eastAsia="zh-CN"/>
        </w:rPr>
        <w:t>富水镇敬老院设施改造与设备配置项目</w:t>
      </w:r>
      <w:r>
        <w:rPr>
          <w:rFonts w:hint="eastAsia" w:ascii="宋体" w:hAnsi="宋体" w:eastAsia="宋体" w:cs="Times New Roman"/>
          <w:b w:val="0"/>
          <w:color w:val="auto"/>
          <w:kern w:val="2"/>
          <w:sz w:val="24"/>
          <w:szCs w:val="24"/>
          <w:highlight w:val="none"/>
          <w:lang w:eastAsia="zh-CN"/>
        </w:rPr>
        <w:t>)落实政府采购政策需满足的资格要求如下:</w:t>
      </w:r>
    </w:p>
    <w:p w14:paraId="364F36A2">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（1）《政府采购促进中小企业发展管理办法》（财库〔2020〕46号）；</w:t>
      </w:r>
    </w:p>
    <w:p w14:paraId="3DA33224">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（2）《财政部司法部关于政府采购支持监狱企业发展有关问题的通知》（财库〔2014〕68号）；</w:t>
      </w:r>
    </w:p>
    <w:p w14:paraId="052CAAFA">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（3）《关于促进残疾人就业政府采购政策的通知》（财库〔2017〕141号）；</w:t>
      </w:r>
    </w:p>
    <w:p w14:paraId="4E387EC2">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（4）《节能产品政府采购实施意见》（财库〔2004〕185号）；</w:t>
      </w:r>
    </w:p>
    <w:p w14:paraId="660B5FAF">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（5）《环境标志产品政府采购实施的意见》（财库〔2006〕90号）；</w:t>
      </w:r>
    </w:p>
    <w:p w14:paraId="729FD3B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（6）《国务院办公厅关于建立政府强制采购节能产品制度的通知》（国办发〔2007〕51号）；</w:t>
      </w:r>
    </w:p>
    <w:p w14:paraId="7F717995">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（7）财政部发展改革委生态环境部市场监管总局关于调整优化节能产品、环境标志产品政府采购执行机制的通知（财库〔2019〕9号）；</w:t>
      </w:r>
    </w:p>
    <w:p w14:paraId="34F1464E">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（8）《关于印发环境标志产品政府采购品目清单的通知》（财库〔2019〕18号）；</w:t>
      </w:r>
    </w:p>
    <w:p w14:paraId="79FB8687">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（9）《关于印发节能产品政府采购品目清单的通知》（财库〔2019〕19号）；</w:t>
      </w:r>
    </w:p>
    <w:p w14:paraId="6DFE7AB8">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（10）《市场监督总局关于发布参与实施政府采购节能产品、环境标志产品认证机构名录的公告》（2019年第16号）；</w:t>
      </w:r>
    </w:p>
    <w:p w14:paraId="55D3BD09">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（11）《关于运用政府采购政策支持乡村产业振兴的通知》（财库〔2021〕19号）；</w:t>
      </w:r>
    </w:p>
    <w:p w14:paraId="72AAFAEE">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（12）陕西省财政厅关于印发《陕西省中小企业政府采购信用融资办法》（陕财办采〔2018〕23号），相关政策、业务流程、办理平台（详见http://www.ccgp-shaanxi.gov.cn/zcdservice/zcd/shanxi/）；</w:t>
      </w:r>
    </w:p>
    <w:p w14:paraId="280E0F0F">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（13）《陕西省财政厅关于加快推进我省中小企业政府采购信用融资工作的通知》（陕财办采〔2020〕15号）；</w:t>
      </w:r>
    </w:p>
    <w:p w14:paraId="0C5F1DE8">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（14）《关于进一步加强政府绿色采购有关问题的通知》（陕财办采〔2021〕29号）；</w:t>
      </w:r>
    </w:p>
    <w:p w14:paraId="17C0B3FA">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（15）《陕西省财政厅陕西省工业和信息化厅关于运用政府采购政策支持首台（套）及创新产品有关事项的通知》（陕财办采〔2021〕17号）；</w:t>
      </w:r>
    </w:p>
    <w:p w14:paraId="4857492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（16）《关于进一步加大政府采购支持中小企业力度的通知》（财库〔2022〕19号）、《关于落实政府采购支持中小企业政策有关事项的通知》（陕财办采函〔2022〕10号）；</w:t>
      </w:r>
    </w:p>
    <w:p w14:paraId="0D97662D">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（17）其他需要落实的政府采购政策。</w:t>
      </w:r>
    </w:p>
    <w:p w14:paraId="0D05B6E6">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3.本项目的特定资格要求：</w:t>
      </w:r>
    </w:p>
    <w:p w14:paraId="70F9B647">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w:t>
      </w:r>
      <w:r>
        <w:rPr>
          <w:rFonts w:hint="eastAsia" w:hAnsi="宋体" w:cs="Times New Roman"/>
          <w:b w:val="0"/>
          <w:color w:val="auto"/>
          <w:kern w:val="2"/>
          <w:sz w:val="24"/>
          <w:szCs w:val="24"/>
          <w:highlight w:val="none"/>
          <w:lang w:val="en-US" w:eastAsia="zh-CN"/>
        </w:rPr>
        <w:t>富水镇敬老院设施改造与设备配置项目</w:t>
      </w:r>
      <w:r>
        <w:rPr>
          <w:rFonts w:hint="eastAsia" w:ascii="宋体" w:hAnsi="宋体" w:eastAsia="宋体" w:cs="Times New Roman"/>
          <w:b w:val="0"/>
          <w:color w:val="auto"/>
          <w:kern w:val="2"/>
          <w:sz w:val="24"/>
          <w:szCs w:val="24"/>
          <w:highlight w:val="none"/>
          <w:lang w:eastAsia="zh-CN"/>
        </w:rPr>
        <w:t>)特定资格要求如下:</w:t>
      </w:r>
    </w:p>
    <w:p w14:paraId="5DDD0660">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（1）提供合格有效的法人或者其他组织的营业执照等证明文件，自然人的身份证明；</w:t>
      </w:r>
    </w:p>
    <w:p w14:paraId="2A90E0D3">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（2）提供法定代表人授权书（附法定代表人、被授权人身份证复印件）及被授权人身份证原件（法定代表人直接参加投标，须提供法定代表人身份证明及身份证原件）；</w:t>
      </w:r>
    </w:p>
    <w:p w14:paraId="41506DFB">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（3）财务状况报告：提供 202</w:t>
      </w:r>
      <w:r>
        <w:rPr>
          <w:rFonts w:hint="eastAsia" w:hAnsi="宋体" w:cs="Times New Roman"/>
          <w:b w:val="0"/>
          <w:color w:val="auto"/>
          <w:kern w:val="2"/>
          <w:sz w:val="24"/>
          <w:szCs w:val="24"/>
          <w:highlight w:val="none"/>
          <w:lang w:val="en-US" w:eastAsia="zh-CN"/>
        </w:rPr>
        <w:t>3</w:t>
      </w:r>
      <w:r>
        <w:rPr>
          <w:rFonts w:hint="eastAsia" w:ascii="宋体" w:hAnsi="宋体" w:eastAsia="宋体" w:cs="Times New Roman"/>
          <w:b w:val="0"/>
          <w:color w:val="auto"/>
          <w:kern w:val="2"/>
          <w:sz w:val="24"/>
          <w:szCs w:val="24"/>
          <w:highlight w:val="none"/>
          <w:lang w:val="en-US" w:eastAsia="zh-CN"/>
        </w:rPr>
        <w:t xml:space="preserve"> 年度的财务审计报告（至少包括资产负债表和利润表，成立时间至提交投标文件截止时间不足一年的可提供成立后任意时段的资产负债表），或开标时间前六个月内银行出具的资信证明；</w:t>
      </w:r>
    </w:p>
    <w:p w14:paraId="1D9E1575">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（4）税收缴纳证明：提供投标截止日前近一年内任意一个月的纳税证明或完税证明（任意税种），依法免税的单位应提供相关证明材料；</w:t>
      </w:r>
    </w:p>
    <w:p w14:paraId="1D766B37">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（5）社会保障资金缴纳证明：提供投标截止日前近一年内任意一个月的社会保障资金缴存单据或社保机构开具的社会保险参保缴费情况证明，依法不需要缴纳社会保障资金的单位应提供相关证明材料；</w:t>
      </w:r>
    </w:p>
    <w:p w14:paraId="5393A142">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（6）供应商应通过“信用中国”网站(www.creditchina.gov.cn)、中国政府采购网(www.ccgp.gov.cn)查询相关主体信用记录；</w:t>
      </w:r>
    </w:p>
    <w:p w14:paraId="2748D828">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（7）参加政府采购活动前 3 年内，在经营活动中没有重大违法记录的书面声明；</w:t>
      </w:r>
    </w:p>
    <w:p w14:paraId="2AFDFF57">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（8）提供具有履行本合同所必需的设备和专业技术能力的声明；</w:t>
      </w:r>
    </w:p>
    <w:p w14:paraId="5A77D9BC">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val="en-US" w:eastAsia="zh-CN"/>
        </w:rPr>
      </w:pPr>
      <w:r>
        <w:rPr>
          <w:rFonts w:hint="eastAsia" w:ascii="宋体" w:hAnsi="宋体" w:eastAsia="宋体" w:cs="Times New Roman"/>
          <w:b w:val="0"/>
          <w:color w:val="auto"/>
          <w:kern w:val="2"/>
          <w:sz w:val="24"/>
          <w:szCs w:val="24"/>
          <w:highlight w:val="none"/>
          <w:lang w:val="en-US" w:eastAsia="zh-CN"/>
        </w:rPr>
        <w:t>（9）供应商须具有建设行政主管部门颁发的建筑工程施工总承包</w:t>
      </w:r>
      <w:r>
        <w:rPr>
          <w:rFonts w:hint="eastAsia" w:hAnsi="宋体" w:cs="Times New Roman"/>
          <w:b w:val="0"/>
          <w:color w:val="auto"/>
          <w:kern w:val="2"/>
          <w:sz w:val="24"/>
          <w:szCs w:val="24"/>
          <w:highlight w:val="none"/>
          <w:lang w:val="en-US" w:eastAsia="zh-CN"/>
        </w:rPr>
        <w:t>三</w:t>
      </w:r>
      <w:r>
        <w:rPr>
          <w:rFonts w:hint="eastAsia" w:ascii="宋体" w:hAnsi="宋体" w:eastAsia="宋体" w:cs="Times New Roman"/>
          <w:b w:val="0"/>
          <w:color w:val="auto"/>
          <w:kern w:val="2"/>
          <w:sz w:val="24"/>
          <w:szCs w:val="24"/>
          <w:highlight w:val="none"/>
          <w:lang w:val="en-US" w:eastAsia="zh-CN"/>
        </w:rPr>
        <w:t>级及以上资质，并具有合格有效的安全生产许可证；</w:t>
      </w:r>
    </w:p>
    <w:p w14:paraId="388CD31D">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（10）拟派项目经理需具备建筑工程专业二级及以上（含二级）注册建造师证书和安全生产考核 B 证，提供无在建工程声明；</w:t>
      </w:r>
    </w:p>
    <w:p w14:paraId="797AA3E6">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val="en-US" w:eastAsia="zh-CN"/>
        </w:rPr>
      </w:pPr>
      <w:r>
        <w:rPr>
          <w:rFonts w:hint="eastAsia" w:ascii="宋体" w:hAnsi="宋体" w:eastAsia="宋体" w:cs="Times New Roman"/>
          <w:b w:val="0"/>
          <w:color w:val="auto"/>
          <w:kern w:val="2"/>
          <w:sz w:val="24"/>
          <w:szCs w:val="24"/>
          <w:highlight w:val="none"/>
          <w:lang w:val="en-US" w:eastAsia="zh-CN"/>
        </w:rPr>
        <w:t>（11）本项目不接受联合体磋商；</w:t>
      </w:r>
    </w:p>
    <w:p w14:paraId="5DE713DA">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val="en-US" w:eastAsia="zh-CN"/>
        </w:rPr>
      </w:pPr>
      <w:r>
        <w:rPr>
          <w:rFonts w:hint="eastAsia" w:ascii="宋体" w:hAnsi="宋体" w:eastAsia="宋体" w:cs="Times New Roman"/>
          <w:b w:val="0"/>
          <w:color w:val="auto"/>
          <w:kern w:val="2"/>
          <w:sz w:val="24"/>
          <w:szCs w:val="24"/>
          <w:highlight w:val="none"/>
          <w:lang w:val="en-US" w:eastAsia="zh-CN"/>
        </w:rPr>
        <w:t>（12）供应商须提供中小企业声明函。</w:t>
      </w:r>
    </w:p>
    <w:p w14:paraId="323A403B">
      <w:pPr>
        <w:widowControl/>
        <w:shd w:val="clear" w:color="auto"/>
        <w:spacing w:before="75" w:beforeAutospacing="0" w:afterAutospacing="0" w:line="360" w:lineRule="auto"/>
        <w:outlineLvl w:val="9"/>
        <w:rPr>
          <w:rFonts w:hint="default" w:cs="宋体"/>
          <w:b w:val="0"/>
          <w:bCs w:val="0"/>
          <w:highlight w:val="none"/>
        </w:rPr>
      </w:pPr>
      <w:r>
        <w:rPr>
          <w:rStyle w:val="18"/>
          <w:rFonts w:cs="宋体"/>
          <w:b/>
          <w:bCs/>
          <w:highlight w:val="none"/>
          <w:shd w:val="clear" w:color="auto" w:fill="FFFFFF"/>
        </w:rPr>
        <w:t>三、获取采购文件</w:t>
      </w:r>
    </w:p>
    <w:p w14:paraId="5852ED95">
      <w:pPr>
        <w:pStyle w:val="14"/>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时间：</w:t>
      </w:r>
      <w:r>
        <w:rPr>
          <w:rFonts w:hint="eastAsia" w:cs="宋体"/>
          <w:highlight w:val="none"/>
          <w:shd w:val="clear" w:color="auto" w:fill="FFFFFF"/>
          <w:lang w:eastAsia="zh-CN"/>
        </w:rPr>
        <w:t>202</w:t>
      </w:r>
      <w:r>
        <w:rPr>
          <w:rFonts w:hint="eastAsia" w:cs="宋体"/>
          <w:highlight w:val="none"/>
          <w:shd w:val="clear" w:color="auto" w:fill="FFFFFF"/>
          <w:lang w:val="en-US" w:eastAsia="zh-CN"/>
        </w:rPr>
        <w:t>4</w:t>
      </w:r>
      <w:r>
        <w:rPr>
          <w:rFonts w:hint="eastAsia" w:cs="宋体"/>
          <w:highlight w:val="none"/>
          <w:shd w:val="clear" w:color="auto" w:fill="FFFFFF"/>
          <w:lang w:eastAsia="zh-CN"/>
        </w:rPr>
        <w:t>年</w:t>
      </w:r>
      <w:r>
        <w:rPr>
          <w:rFonts w:hint="eastAsia" w:cs="宋体"/>
          <w:highlight w:val="none"/>
          <w:shd w:val="clear" w:color="auto" w:fill="FFFFFF"/>
          <w:lang w:val="en-US" w:eastAsia="zh-CN"/>
        </w:rPr>
        <w:t>11</w:t>
      </w:r>
      <w:r>
        <w:rPr>
          <w:rFonts w:hint="eastAsia" w:cs="宋体"/>
          <w:highlight w:val="none"/>
          <w:shd w:val="clear" w:color="auto" w:fill="FFFFFF"/>
          <w:lang w:eastAsia="zh-CN"/>
        </w:rPr>
        <w:t>月</w:t>
      </w:r>
      <w:r>
        <w:rPr>
          <w:rFonts w:hint="eastAsia" w:cs="宋体"/>
          <w:highlight w:val="none"/>
          <w:shd w:val="clear" w:color="auto" w:fill="FFFFFF"/>
          <w:lang w:val="en-US" w:eastAsia="zh-CN"/>
        </w:rPr>
        <w:t>28</w:t>
      </w:r>
      <w:r>
        <w:rPr>
          <w:rFonts w:hint="eastAsia" w:cs="宋体"/>
          <w:highlight w:val="none"/>
          <w:shd w:val="clear" w:color="auto" w:fill="FFFFFF"/>
          <w:lang w:eastAsia="zh-CN"/>
        </w:rPr>
        <w:t>日至202</w:t>
      </w:r>
      <w:r>
        <w:rPr>
          <w:rFonts w:hint="eastAsia" w:cs="宋体"/>
          <w:highlight w:val="none"/>
          <w:shd w:val="clear" w:color="auto" w:fill="FFFFFF"/>
          <w:lang w:val="en-US" w:eastAsia="zh-CN"/>
        </w:rPr>
        <w:t>4</w:t>
      </w:r>
      <w:r>
        <w:rPr>
          <w:rFonts w:hint="eastAsia" w:cs="宋体"/>
          <w:highlight w:val="none"/>
          <w:shd w:val="clear" w:color="auto" w:fill="FFFFFF"/>
          <w:lang w:eastAsia="zh-CN"/>
        </w:rPr>
        <w:t>年</w:t>
      </w:r>
      <w:r>
        <w:rPr>
          <w:rFonts w:hint="eastAsia" w:cs="宋体"/>
          <w:highlight w:val="none"/>
          <w:shd w:val="clear" w:color="auto" w:fill="FFFFFF"/>
          <w:lang w:val="en-US" w:eastAsia="zh-CN"/>
        </w:rPr>
        <w:t>12</w:t>
      </w:r>
      <w:r>
        <w:rPr>
          <w:rFonts w:hint="eastAsia" w:cs="宋体"/>
          <w:highlight w:val="none"/>
          <w:shd w:val="clear" w:color="auto" w:fill="FFFFFF"/>
          <w:lang w:eastAsia="zh-CN"/>
        </w:rPr>
        <w:t>月</w:t>
      </w:r>
      <w:r>
        <w:rPr>
          <w:rFonts w:hint="eastAsia" w:cs="宋体"/>
          <w:highlight w:val="none"/>
          <w:shd w:val="clear" w:color="auto" w:fill="FFFFFF"/>
          <w:lang w:val="en-US" w:eastAsia="zh-CN"/>
        </w:rPr>
        <w:t>04</w:t>
      </w:r>
      <w:r>
        <w:rPr>
          <w:rFonts w:hint="eastAsia" w:cs="宋体"/>
          <w:highlight w:val="none"/>
          <w:shd w:val="clear" w:color="auto" w:fill="FFFFFF"/>
          <w:lang w:eastAsia="zh-CN"/>
        </w:rPr>
        <w:t>日</w:t>
      </w:r>
      <w:r>
        <w:rPr>
          <w:rFonts w:hint="eastAsia" w:cs="宋体"/>
          <w:highlight w:val="none"/>
          <w:shd w:val="clear" w:color="auto" w:fill="FFFFFF"/>
        </w:rPr>
        <w:t>，每天上午09:00:00至12:00:00，下午14:00:00至17:00:00（北京时间）</w:t>
      </w:r>
    </w:p>
    <w:p w14:paraId="51FF9613">
      <w:pPr>
        <w:pStyle w:val="14"/>
        <w:shd w:val="clear" w:color="auto"/>
        <w:spacing w:before="0" w:beforeAutospacing="0" w:after="0" w:afterAutospacing="0" w:line="360" w:lineRule="auto"/>
        <w:ind w:firstLine="240"/>
        <w:jc w:val="both"/>
        <w:rPr>
          <w:rFonts w:hint="eastAsia" w:cs="宋体"/>
          <w:highlight w:val="none"/>
          <w:shd w:val="clear" w:color="auto" w:fill="FFFFFF"/>
          <w:lang w:eastAsia="zh-CN"/>
        </w:rPr>
      </w:pPr>
      <w:r>
        <w:rPr>
          <w:rFonts w:hint="eastAsia" w:cs="宋体"/>
          <w:highlight w:val="none"/>
          <w:shd w:val="clear" w:color="auto" w:fill="FFFFFF"/>
        </w:rPr>
        <w:t>途径：</w:t>
      </w:r>
      <w:r>
        <w:rPr>
          <w:rFonts w:hint="eastAsia" w:cs="宋体"/>
          <w:highlight w:val="none"/>
          <w:shd w:val="clear" w:color="auto" w:fill="FFFFFF"/>
          <w:lang w:val="en-US" w:eastAsia="zh-CN"/>
        </w:rPr>
        <w:t>陕西省商洛市商州区民主路陕西至诚项目管理集团有限公司商洛分公司</w:t>
      </w:r>
    </w:p>
    <w:p w14:paraId="3963FF9E">
      <w:pPr>
        <w:pStyle w:val="14"/>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方式：现场获取</w:t>
      </w:r>
    </w:p>
    <w:p w14:paraId="2CA05B59">
      <w:pPr>
        <w:pStyle w:val="14"/>
        <w:shd w:val="clear" w:color="auto"/>
        <w:spacing w:before="0" w:beforeAutospacing="0" w:after="0" w:afterAutospacing="0" w:line="360" w:lineRule="auto"/>
        <w:ind w:firstLine="240"/>
        <w:jc w:val="both"/>
        <w:rPr>
          <w:rFonts w:hint="eastAsia" w:eastAsia="宋体" w:cs="宋体"/>
          <w:color w:val="C00000"/>
          <w:highlight w:val="none"/>
          <w:lang w:val="en-US" w:eastAsia="zh-CN"/>
        </w:rPr>
      </w:pPr>
      <w:r>
        <w:rPr>
          <w:rFonts w:hint="eastAsia" w:cs="宋体"/>
          <w:highlight w:val="none"/>
          <w:shd w:val="clear" w:color="auto" w:fill="FFFFFF"/>
        </w:rPr>
        <w:t>售价：</w:t>
      </w:r>
      <w:r>
        <w:rPr>
          <w:rFonts w:hint="eastAsia" w:cs="宋体"/>
          <w:color w:val="auto"/>
          <w:highlight w:val="none"/>
          <w:shd w:val="clear" w:color="auto" w:fill="FFFFFF"/>
          <w:lang w:val="en-US" w:eastAsia="zh-CN"/>
        </w:rPr>
        <w:t>500</w:t>
      </w:r>
      <w:r>
        <w:rPr>
          <w:rFonts w:hint="eastAsia" w:cs="宋体"/>
          <w:color w:val="auto"/>
          <w:highlight w:val="none"/>
          <w:shd w:val="clear" w:color="auto" w:fill="FFFFFF"/>
        </w:rPr>
        <w:t>元</w:t>
      </w:r>
    </w:p>
    <w:p w14:paraId="3256B325">
      <w:pPr>
        <w:widowControl/>
        <w:shd w:val="clear" w:color="auto"/>
        <w:spacing w:before="75" w:beforeAutospacing="0" w:afterAutospacing="0" w:line="360" w:lineRule="auto"/>
        <w:outlineLvl w:val="9"/>
        <w:rPr>
          <w:rFonts w:hint="default" w:cs="宋体"/>
          <w:b w:val="0"/>
          <w:bCs w:val="0"/>
          <w:highlight w:val="none"/>
        </w:rPr>
      </w:pPr>
      <w:r>
        <w:rPr>
          <w:rStyle w:val="18"/>
          <w:rFonts w:cs="宋体"/>
          <w:b/>
          <w:bCs/>
          <w:highlight w:val="none"/>
          <w:shd w:val="clear" w:color="auto" w:fill="FFFFFF"/>
        </w:rPr>
        <w:t>四、响应文件提交</w:t>
      </w:r>
    </w:p>
    <w:p w14:paraId="1CA8EA71">
      <w:pPr>
        <w:pStyle w:val="14"/>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eastAsia="zh-CN"/>
        </w:rPr>
      </w:pPr>
      <w:r>
        <w:rPr>
          <w:rFonts w:hint="eastAsia" w:ascii="宋体" w:hAnsi="宋体" w:eastAsia="宋体" w:cs="宋体"/>
          <w:highlight w:val="none"/>
          <w:shd w:val="clear" w:color="auto" w:fill="FFFFFF"/>
          <w:lang w:eastAsia="zh-CN"/>
        </w:rPr>
        <w:t>截止时间：</w:t>
      </w:r>
      <w:r>
        <w:rPr>
          <w:rFonts w:hint="eastAsia" w:cs="宋体"/>
          <w:highlight w:val="none"/>
          <w:shd w:val="clear" w:color="auto" w:fill="FFFFFF"/>
          <w:lang w:eastAsia="zh-CN"/>
        </w:rPr>
        <w:t>2024年</w:t>
      </w:r>
      <w:r>
        <w:rPr>
          <w:rFonts w:hint="eastAsia" w:cs="宋体"/>
          <w:highlight w:val="none"/>
          <w:shd w:val="clear" w:color="auto" w:fill="FFFFFF"/>
          <w:lang w:val="en-US" w:eastAsia="zh-CN"/>
        </w:rPr>
        <w:t>12</w:t>
      </w:r>
      <w:r>
        <w:rPr>
          <w:rFonts w:hint="eastAsia" w:cs="宋体"/>
          <w:highlight w:val="none"/>
          <w:shd w:val="clear" w:color="auto" w:fill="FFFFFF"/>
          <w:lang w:eastAsia="zh-CN"/>
        </w:rPr>
        <w:t>月</w:t>
      </w:r>
      <w:r>
        <w:rPr>
          <w:rFonts w:hint="eastAsia" w:cs="宋体"/>
          <w:highlight w:val="none"/>
          <w:shd w:val="clear" w:color="auto" w:fill="FFFFFF"/>
          <w:lang w:val="en-US" w:eastAsia="zh-CN"/>
        </w:rPr>
        <w:t>09</w:t>
      </w:r>
      <w:r>
        <w:rPr>
          <w:rFonts w:hint="eastAsia" w:cs="宋体"/>
          <w:highlight w:val="none"/>
          <w:shd w:val="clear" w:color="auto" w:fill="FFFFFF"/>
          <w:lang w:eastAsia="zh-CN"/>
        </w:rPr>
        <w:t>日1</w:t>
      </w:r>
      <w:r>
        <w:rPr>
          <w:rFonts w:hint="eastAsia" w:cs="宋体"/>
          <w:highlight w:val="none"/>
          <w:shd w:val="clear" w:color="auto" w:fill="FFFFFF"/>
          <w:lang w:val="en-US" w:eastAsia="zh-CN"/>
        </w:rPr>
        <w:t>4</w:t>
      </w:r>
      <w:r>
        <w:rPr>
          <w:rFonts w:hint="eastAsia" w:cs="宋体"/>
          <w:highlight w:val="none"/>
          <w:shd w:val="clear" w:color="auto" w:fill="FFFFFF"/>
          <w:lang w:eastAsia="zh-CN"/>
        </w:rPr>
        <w:t>时</w:t>
      </w:r>
      <w:r>
        <w:rPr>
          <w:rFonts w:hint="eastAsia" w:cs="宋体"/>
          <w:highlight w:val="none"/>
          <w:shd w:val="clear" w:color="auto" w:fill="FFFFFF"/>
          <w:lang w:val="en-US" w:eastAsia="zh-CN"/>
        </w:rPr>
        <w:t>30</w:t>
      </w:r>
      <w:r>
        <w:rPr>
          <w:rFonts w:hint="eastAsia" w:cs="宋体"/>
          <w:highlight w:val="none"/>
          <w:shd w:val="clear" w:color="auto" w:fill="FFFFFF"/>
          <w:lang w:eastAsia="zh-CN"/>
        </w:rPr>
        <w:t>分</w:t>
      </w:r>
      <w:r>
        <w:rPr>
          <w:rFonts w:hint="eastAsia" w:ascii="宋体" w:hAnsi="宋体" w:eastAsia="宋体" w:cs="宋体"/>
          <w:highlight w:val="none"/>
          <w:shd w:val="clear" w:color="auto" w:fill="FFFFFF"/>
          <w:lang w:eastAsia="zh-CN"/>
        </w:rPr>
        <w:t>（北京时间）</w:t>
      </w:r>
    </w:p>
    <w:p w14:paraId="18FD3EFF">
      <w:pPr>
        <w:pStyle w:val="14"/>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地点：</w:t>
      </w:r>
      <w:r>
        <w:rPr>
          <w:rFonts w:hint="eastAsia" w:cs="宋体"/>
          <w:highlight w:val="none"/>
          <w:shd w:val="clear" w:color="auto" w:fill="FFFFFF"/>
          <w:lang w:val="en-US" w:eastAsia="zh-CN"/>
        </w:rPr>
        <w:t>陕西省商洛市商州区民主路陕西至诚项目管理集团有限公司商洛分公司</w:t>
      </w:r>
    </w:p>
    <w:p w14:paraId="3BF4FB9B">
      <w:pPr>
        <w:widowControl/>
        <w:shd w:val="clear" w:color="auto"/>
        <w:spacing w:before="75" w:beforeAutospacing="0" w:afterAutospacing="0" w:line="360" w:lineRule="auto"/>
        <w:outlineLvl w:val="9"/>
        <w:rPr>
          <w:rStyle w:val="18"/>
          <w:rFonts w:hint="default" w:cs="宋体" w:asciiTheme="minorHAnsi" w:hAnsiTheme="minorHAnsi" w:eastAsiaTheme="minorEastAsia"/>
          <w:b/>
          <w:bCs/>
          <w:highlight w:val="none"/>
          <w:shd w:val="clear" w:color="auto" w:fill="FFFFFF"/>
          <w:lang w:val="en-US" w:eastAsia="zh-CN"/>
        </w:rPr>
      </w:pPr>
      <w:r>
        <w:rPr>
          <w:rStyle w:val="18"/>
          <w:rFonts w:hint="eastAsia" w:cs="宋体" w:asciiTheme="minorHAnsi" w:hAnsiTheme="minorHAnsi" w:eastAsiaTheme="minorEastAsia"/>
          <w:b/>
          <w:bCs/>
          <w:highlight w:val="none"/>
          <w:shd w:val="clear" w:color="auto" w:fill="FFFFFF"/>
          <w:lang w:val="en-US" w:eastAsia="zh-CN"/>
        </w:rPr>
        <w:t>五、开启</w:t>
      </w:r>
    </w:p>
    <w:p w14:paraId="06EFE7B3">
      <w:pPr>
        <w:pStyle w:val="14"/>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时间：</w:t>
      </w:r>
      <w:r>
        <w:rPr>
          <w:rFonts w:hint="eastAsia" w:cs="宋体"/>
          <w:highlight w:val="none"/>
          <w:shd w:val="clear" w:color="auto" w:fill="FFFFFF"/>
          <w:lang w:val="en-US" w:eastAsia="zh-CN"/>
        </w:rPr>
        <w:t>2024年12月09日14时30分</w:t>
      </w:r>
      <w:r>
        <w:rPr>
          <w:rFonts w:hint="eastAsia" w:ascii="宋体" w:hAnsi="宋体" w:eastAsia="宋体" w:cs="宋体"/>
          <w:highlight w:val="none"/>
          <w:shd w:val="clear" w:color="auto" w:fill="FFFFFF"/>
          <w:lang w:val="en-US" w:eastAsia="zh-CN"/>
        </w:rPr>
        <w:t>（北京时间）</w:t>
      </w:r>
    </w:p>
    <w:p w14:paraId="67430B96">
      <w:pPr>
        <w:pStyle w:val="14"/>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地点：</w:t>
      </w:r>
      <w:r>
        <w:rPr>
          <w:rFonts w:hint="eastAsia" w:cs="宋体"/>
          <w:highlight w:val="none"/>
          <w:shd w:val="clear" w:color="auto" w:fill="FFFFFF"/>
          <w:lang w:val="en-US" w:eastAsia="zh-CN"/>
        </w:rPr>
        <w:t>陕西省商洛市商州区民主路陕西至诚项目管理集团有限公司商洛分公司</w:t>
      </w:r>
    </w:p>
    <w:p w14:paraId="4BE2DEAA">
      <w:pPr>
        <w:widowControl/>
        <w:shd w:val="clear" w:color="auto"/>
        <w:spacing w:before="75" w:beforeAutospacing="0" w:afterAutospacing="0" w:line="360" w:lineRule="auto"/>
        <w:outlineLvl w:val="9"/>
        <w:rPr>
          <w:rStyle w:val="18"/>
          <w:rFonts w:hint="default" w:cs="宋体" w:asciiTheme="minorHAnsi" w:hAnsiTheme="minorHAnsi" w:eastAsiaTheme="minorEastAsia"/>
          <w:b/>
          <w:bCs/>
          <w:highlight w:val="none"/>
          <w:shd w:val="clear" w:color="auto" w:fill="FFFFFF"/>
          <w:lang w:val="en-US" w:eastAsia="zh-CN"/>
        </w:rPr>
      </w:pPr>
      <w:r>
        <w:rPr>
          <w:rStyle w:val="18"/>
          <w:rFonts w:hint="eastAsia" w:cs="宋体" w:asciiTheme="minorHAnsi" w:hAnsiTheme="minorHAnsi" w:eastAsiaTheme="minorEastAsia"/>
          <w:b/>
          <w:bCs/>
          <w:highlight w:val="none"/>
          <w:shd w:val="clear" w:color="auto" w:fill="FFFFFF"/>
          <w:lang w:val="en-US" w:eastAsia="zh-CN"/>
        </w:rPr>
        <w:t>六、公告期限</w:t>
      </w:r>
    </w:p>
    <w:p w14:paraId="37F3401C">
      <w:pPr>
        <w:pStyle w:val="14"/>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自本公告发布之日起3个工作日。</w:t>
      </w:r>
    </w:p>
    <w:p w14:paraId="1674CD4E">
      <w:pPr>
        <w:widowControl/>
        <w:shd w:val="clear" w:color="auto"/>
        <w:spacing w:before="75" w:beforeAutospacing="0" w:afterAutospacing="0" w:line="360" w:lineRule="auto"/>
        <w:outlineLvl w:val="9"/>
        <w:rPr>
          <w:rFonts w:hint="default" w:cs="宋体"/>
          <w:b w:val="0"/>
          <w:bCs w:val="0"/>
          <w:highlight w:val="none"/>
        </w:rPr>
      </w:pPr>
      <w:r>
        <w:rPr>
          <w:rStyle w:val="18"/>
          <w:rFonts w:cs="宋体"/>
          <w:b/>
          <w:bCs/>
          <w:highlight w:val="none"/>
          <w:shd w:val="clear" w:color="auto" w:fill="FFFFFF"/>
        </w:rPr>
        <w:t>七、其他补充事宜</w:t>
      </w:r>
    </w:p>
    <w:p w14:paraId="1BEFC04E">
      <w:pPr>
        <w:widowControl/>
        <w:shd w:val="clear" w:color="auto"/>
        <w:spacing w:before="75" w:beforeAutospacing="0" w:afterAutospacing="0" w:line="360" w:lineRule="auto"/>
        <w:ind w:firstLine="482" w:firstLineChars="200"/>
        <w:outlineLvl w:val="9"/>
        <w:rPr>
          <w:rStyle w:val="18"/>
          <w:rFonts w:hint="eastAsia" w:cs="宋体"/>
          <w:highlight w:val="none"/>
          <w:shd w:val="clear" w:color="auto" w:fill="FFFFFF"/>
          <w:lang w:bidi="ar"/>
        </w:rPr>
      </w:pPr>
      <w:r>
        <w:rPr>
          <w:rStyle w:val="18"/>
          <w:rFonts w:hint="eastAsia" w:cs="宋体"/>
          <w:highlight w:val="none"/>
          <w:shd w:val="clear" w:color="auto" w:fill="FFFFFF"/>
          <w:lang w:val="en-US" w:eastAsia="zh-CN" w:bidi="ar"/>
        </w:rPr>
        <w:t xml:space="preserve">（1）供应商领取采购文件时，请携带单位介绍信及经办人身份证原件及复印件加盖公章； </w:t>
      </w:r>
    </w:p>
    <w:p w14:paraId="6468F4B9">
      <w:pPr>
        <w:widowControl/>
        <w:shd w:val="clear" w:color="auto"/>
        <w:spacing w:before="75" w:beforeAutospacing="0" w:afterAutospacing="0" w:line="360" w:lineRule="auto"/>
        <w:ind w:firstLine="482" w:firstLineChars="200"/>
        <w:outlineLvl w:val="9"/>
        <w:rPr>
          <w:rStyle w:val="18"/>
          <w:rFonts w:hint="eastAsia" w:cs="宋体"/>
          <w:highlight w:val="none"/>
          <w:shd w:val="clear" w:color="auto" w:fill="FFFFFF"/>
          <w:lang w:bidi="ar"/>
        </w:rPr>
      </w:pPr>
      <w:r>
        <w:rPr>
          <w:rStyle w:val="18"/>
          <w:rFonts w:hint="eastAsia" w:cs="宋体"/>
          <w:highlight w:val="none"/>
          <w:shd w:val="clear" w:color="auto" w:fill="FFFFFF"/>
          <w:lang w:val="en-US" w:eastAsia="zh-CN" w:bidi="ar"/>
        </w:rPr>
        <w:t xml:space="preserve">（2）请供应商按照《陕西省财政厅关于政府采购供应商注册登记有关事项的通知》中的要求，通过陕西省政府采购网（http://www.ccgp-shaanxi.gov.cn/）注册登记加入陕西省政府采购供应商库； </w:t>
      </w:r>
    </w:p>
    <w:p w14:paraId="742B7FF6">
      <w:pPr>
        <w:widowControl/>
        <w:shd w:val="clear" w:color="auto"/>
        <w:spacing w:before="75" w:beforeAutospacing="0" w:afterAutospacing="0" w:line="360" w:lineRule="auto"/>
        <w:ind w:firstLine="482" w:firstLineChars="200"/>
        <w:outlineLvl w:val="9"/>
        <w:rPr>
          <w:rStyle w:val="18"/>
          <w:rFonts w:hint="eastAsia" w:cs="宋体"/>
          <w:highlight w:val="none"/>
          <w:shd w:val="clear" w:color="auto" w:fill="FFFFFF"/>
          <w:lang w:bidi="ar"/>
        </w:rPr>
      </w:pPr>
      <w:r>
        <w:rPr>
          <w:rStyle w:val="18"/>
          <w:rFonts w:hint="eastAsia" w:cs="宋体"/>
          <w:highlight w:val="none"/>
          <w:shd w:val="clear" w:color="auto" w:fill="FFFFFF"/>
          <w:lang w:val="en-US" w:eastAsia="zh-CN" w:bidi="ar"/>
        </w:rPr>
        <w:t>（3）本项目专门面向中小企业。</w:t>
      </w:r>
    </w:p>
    <w:p w14:paraId="66390561">
      <w:pPr>
        <w:widowControl/>
        <w:shd w:val="clear" w:color="auto"/>
        <w:spacing w:before="75" w:beforeAutospacing="0" w:afterAutospacing="0" w:line="360" w:lineRule="auto"/>
        <w:outlineLvl w:val="9"/>
        <w:rPr>
          <w:rFonts w:hint="default" w:cs="宋体"/>
          <w:b w:val="0"/>
          <w:bCs w:val="0"/>
          <w:highlight w:val="none"/>
        </w:rPr>
      </w:pPr>
      <w:r>
        <w:rPr>
          <w:rStyle w:val="18"/>
          <w:rFonts w:cs="宋体"/>
          <w:b/>
          <w:bCs/>
          <w:highlight w:val="none"/>
          <w:shd w:val="clear" w:color="auto" w:fill="FFFFFF"/>
        </w:rPr>
        <w:t>八、对本次招标提出询问，请按以下方式联系。</w:t>
      </w:r>
    </w:p>
    <w:p w14:paraId="2C0CC1F9">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1.采购人信息</w:t>
      </w:r>
    </w:p>
    <w:p w14:paraId="654C3A4D">
      <w:pPr>
        <w:pStyle w:val="14"/>
        <w:shd w:val="clear"/>
        <w:spacing w:before="0" w:beforeAutospacing="0" w:after="0" w:afterAutospacing="0" w:line="360" w:lineRule="auto"/>
        <w:ind w:firstLine="240"/>
        <w:jc w:val="both"/>
        <w:rPr>
          <w:rFonts w:hint="eastAsia" w:ascii="宋体" w:hAnsi="宋体" w:eastAsia="宋体" w:cs="Times New Roman"/>
          <w:b w:val="0"/>
          <w:color w:val="auto"/>
          <w:kern w:val="2"/>
          <w:sz w:val="24"/>
          <w:szCs w:val="24"/>
          <w:highlight w:val="none"/>
          <w:lang w:eastAsia="zh-CN"/>
        </w:rPr>
      </w:pPr>
      <w:r>
        <w:rPr>
          <w:rFonts w:hint="eastAsia" w:cs="宋体"/>
          <w:highlight w:val="none"/>
          <w:shd w:val="clear" w:color="auto" w:fill="FFFFFF"/>
        </w:rPr>
        <w:t>名称</w:t>
      </w:r>
      <w:r>
        <w:rPr>
          <w:rFonts w:hint="eastAsia" w:ascii="宋体" w:hAnsi="宋体" w:eastAsia="宋体" w:cs="Times New Roman"/>
          <w:b w:val="0"/>
          <w:color w:val="auto"/>
          <w:kern w:val="2"/>
          <w:sz w:val="24"/>
          <w:szCs w:val="24"/>
          <w:highlight w:val="none"/>
          <w:lang w:eastAsia="zh-CN"/>
        </w:rPr>
        <w:t>：</w:t>
      </w:r>
      <w:r>
        <w:rPr>
          <w:rFonts w:hint="eastAsia" w:cs="Times New Roman"/>
          <w:b w:val="0"/>
          <w:color w:val="auto"/>
          <w:kern w:val="2"/>
          <w:sz w:val="24"/>
          <w:szCs w:val="24"/>
          <w:highlight w:val="none"/>
          <w:lang w:eastAsia="zh-CN"/>
        </w:rPr>
        <w:t>商南县民政局（本级）</w:t>
      </w:r>
    </w:p>
    <w:p w14:paraId="498C2353">
      <w:pPr>
        <w:pStyle w:val="14"/>
        <w:shd w:val="clear"/>
        <w:spacing w:before="0" w:beforeAutospacing="0" w:after="0" w:afterAutospacing="0" w:line="360" w:lineRule="auto"/>
        <w:ind w:firstLine="24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地址：</w:t>
      </w:r>
      <w:r>
        <w:rPr>
          <w:rFonts w:hint="eastAsia" w:cs="Times New Roman"/>
          <w:b w:val="0"/>
          <w:color w:val="auto"/>
          <w:kern w:val="2"/>
          <w:sz w:val="24"/>
          <w:szCs w:val="24"/>
          <w:highlight w:val="none"/>
          <w:lang w:eastAsia="zh-CN"/>
        </w:rPr>
        <w:t>商南县东环路8号</w:t>
      </w:r>
    </w:p>
    <w:p w14:paraId="1A117F9D">
      <w:pPr>
        <w:pStyle w:val="14"/>
        <w:shd w:val="clear"/>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联系方式：</w:t>
      </w:r>
      <w:r>
        <w:rPr>
          <w:rFonts w:hint="eastAsia" w:cs="宋体"/>
          <w:highlight w:val="none"/>
          <w:shd w:val="clear" w:color="auto" w:fill="FFFFFF"/>
          <w:lang w:val="en-US" w:eastAsia="zh-CN"/>
        </w:rPr>
        <w:t>0914-</w:t>
      </w:r>
      <w:r>
        <w:rPr>
          <w:rFonts w:hint="eastAsia"/>
          <w:b w:val="0"/>
          <w:color w:val="auto"/>
          <w:kern w:val="2"/>
          <w:sz w:val="24"/>
          <w:szCs w:val="24"/>
          <w:highlight w:val="none"/>
          <w:lang w:eastAsia="zh-CN"/>
        </w:rPr>
        <w:t>6325331</w:t>
      </w:r>
    </w:p>
    <w:p w14:paraId="78CA274A">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2.采购代理机构信息</w:t>
      </w:r>
    </w:p>
    <w:p w14:paraId="0630236B">
      <w:pPr>
        <w:pStyle w:val="14"/>
        <w:shd w:val="clear"/>
        <w:spacing w:before="0" w:beforeAutospacing="0" w:after="0" w:afterAutospacing="0" w:line="360" w:lineRule="auto"/>
        <w:ind w:firstLine="240"/>
        <w:jc w:val="both"/>
        <w:rPr>
          <w:rFonts w:hint="eastAsia" w:eastAsia="宋体" w:cs="宋体"/>
          <w:highlight w:val="none"/>
          <w:lang w:eastAsia="zh-CN"/>
        </w:rPr>
      </w:pPr>
      <w:r>
        <w:rPr>
          <w:rFonts w:hint="eastAsia" w:cs="宋体"/>
          <w:highlight w:val="none"/>
          <w:shd w:val="clear" w:color="auto" w:fill="FFFFFF"/>
        </w:rPr>
        <w:t>名称：陕西至诚项目管理集团有限公司</w:t>
      </w:r>
    </w:p>
    <w:p w14:paraId="576F66FA">
      <w:pPr>
        <w:pStyle w:val="14"/>
        <w:shd w:val="clear"/>
        <w:spacing w:before="0" w:beforeAutospacing="0" w:after="0" w:afterAutospacing="0" w:line="360" w:lineRule="auto"/>
        <w:ind w:firstLine="240"/>
        <w:jc w:val="both"/>
        <w:rPr>
          <w:rFonts w:hint="eastAsia" w:ascii="宋体" w:hAnsi="Times New Roman" w:eastAsia="宋体" w:cs="Times New Roman"/>
          <w:b w:val="0"/>
          <w:color w:val="auto"/>
          <w:kern w:val="2"/>
          <w:sz w:val="24"/>
          <w:szCs w:val="24"/>
          <w:highlight w:val="none"/>
          <w:lang w:val="en-US" w:eastAsia="zh-CN"/>
        </w:rPr>
      </w:pPr>
      <w:r>
        <w:rPr>
          <w:rFonts w:hint="eastAsia" w:cs="宋体"/>
          <w:highlight w:val="none"/>
          <w:shd w:val="clear" w:color="auto" w:fill="FFFFFF"/>
        </w:rPr>
        <w:t>地址：</w:t>
      </w:r>
      <w:r>
        <w:rPr>
          <w:rFonts w:hint="eastAsia" w:hAnsi="Times New Roman" w:cs="Times New Roman"/>
          <w:b w:val="0"/>
          <w:color w:val="auto"/>
          <w:kern w:val="2"/>
          <w:sz w:val="24"/>
          <w:szCs w:val="24"/>
          <w:highlight w:val="none"/>
          <w:lang w:val="en-US" w:eastAsia="zh-CN"/>
        </w:rPr>
        <w:t>陕西省商洛市商州区民主路陕西至诚项目管理集团有限公司商洛分公司</w:t>
      </w:r>
    </w:p>
    <w:p w14:paraId="74A594A5">
      <w:pPr>
        <w:pStyle w:val="14"/>
        <w:shd w:val="clear"/>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联系方式：</w:t>
      </w:r>
      <w:r>
        <w:rPr>
          <w:rFonts w:hint="eastAsia" w:cs="宋体"/>
          <w:highlight w:val="none"/>
          <w:shd w:val="clear" w:color="auto" w:fill="FFFFFF"/>
          <w:lang w:val="en-US" w:eastAsia="zh-CN"/>
        </w:rPr>
        <w:t>0914</w:t>
      </w:r>
      <w:r>
        <w:rPr>
          <w:rFonts w:hint="eastAsia" w:cs="宋体"/>
          <w:highlight w:val="none"/>
          <w:shd w:val="clear" w:color="auto" w:fill="FFFFFF"/>
        </w:rPr>
        <w:t>-</w:t>
      </w:r>
      <w:r>
        <w:rPr>
          <w:rFonts w:hint="eastAsia" w:cs="宋体"/>
          <w:highlight w:val="none"/>
          <w:shd w:val="clear" w:color="auto" w:fill="FFFFFF"/>
          <w:lang w:val="en-US" w:eastAsia="zh-CN"/>
        </w:rPr>
        <w:t>2315606</w:t>
      </w:r>
    </w:p>
    <w:p w14:paraId="6B2B8593">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3.项目联系方式</w:t>
      </w:r>
    </w:p>
    <w:p w14:paraId="14429DB1">
      <w:pPr>
        <w:pStyle w:val="14"/>
        <w:shd w:val="clear"/>
        <w:spacing w:before="0" w:beforeAutospacing="0" w:after="0" w:afterAutospacing="0" w:line="360" w:lineRule="auto"/>
        <w:ind w:firstLine="240"/>
        <w:jc w:val="both"/>
        <w:rPr>
          <w:rFonts w:hint="eastAsia" w:eastAsia="宋体" w:cs="宋体"/>
          <w:highlight w:val="none"/>
          <w:lang w:eastAsia="zh-CN"/>
        </w:rPr>
      </w:pPr>
      <w:r>
        <w:rPr>
          <w:rFonts w:hint="eastAsia" w:cs="宋体"/>
          <w:highlight w:val="none"/>
          <w:shd w:val="clear" w:color="auto" w:fill="FFFFFF"/>
        </w:rPr>
        <w:t>项目联系人：</w:t>
      </w:r>
      <w:r>
        <w:rPr>
          <w:rFonts w:hint="eastAsia" w:cs="宋体"/>
          <w:highlight w:val="none"/>
          <w:shd w:val="clear" w:color="auto" w:fill="FFFFFF"/>
          <w:lang w:eastAsia="zh-CN"/>
        </w:rPr>
        <w:t>周莎</w:t>
      </w:r>
    </w:p>
    <w:p w14:paraId="2861651C">
      <w:pPr>
        <w:pStyle w:val="14"/>
        <w:shd w:val="clear"/>
        <w:spacing w:before="0" w:beforeAutospacing="0" w:after="0" w:afterAutospacing="0" w:line="360" w:lineRule="auto"/>
        <w:ind w:firstLine="240"/>
        <w:jc w:val="both"/>
        <w:outlineLvl w:val="9"/>
        <w:rPr>
          <w:rFonts w:hint="default" w:eastAsia="宋体" w:cs="宋体"/>
          <w:color w:val="auto"/>
          <w:highlight w:val="none"/>
          <w:lang w:val="en-US" w:eastAsia="zh-CN"/>
        </w:rPr>
      </w:pPr>
      <w:r>
        <w:rPr>
          <w:rFonts w:hint="eastAsia" w:cs="宋体"/>
          <w:highlight w:val="none"/>
          <w:shd w:val="clear" w:color="auto" w:fill="FFFFFF"/>
        </w:rPr>
        <w:t>电话：</w:t>
      </w:r>
      <w:r>
        <w:rPr>
          <w:rFonts w:hint="eastAsia" w:cs="宋体"/>
          <w:highlight w:val="none"/>
          <w:shd w:val="clear" w:color="auto" w:fill="FFFFFF"/>
          <w:lang w:val="en-US" w:eastAsia="zh-CN"/>
        </w:rPr>
        <w:t>0914</w:t>
      </w:r>
      <w:r>
        <w:rPr>
          <w:rFonts w:hint="eastAsia" w:cs="宋体"/>
          <w:highlight w:val="none"/>
          <w:shd w:val="clear" w:color="auto" w:fill="FFFFFF"/>
        </w:rPr>
        <w:t>-</w:t>
      </w:r>
      <w:r>
        <w:rPr>
          <w:rFonts w:hint="eastAsia" w:cs="宋体"/>
          <w:highlight w:val="none"/>
          <w:shd w:val="clear" w:color="auto" w:fill="FFFFFF"/>
          <w:lang w:val="en-US" w:eastAsia="zh-CN"/>
        </w:rPr>
        <w:t>2315606</w:t>
      </w:r>
    </w:p>
    <w:p w14:paraId="129C726C">
      <w:pPr>
        <w:shd w:val="clear"/>
        <w:rPr>
          <w:highlight w:val="none"/>
        </w:rPr>
      </w:pPr>
    </w:p>
    <w:p w14:paraId="5AF03F5F">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489DF38B">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2024年</w:t>
      </w:r>
      <w:r>
        <w:rPr>
          <w:rFonts w:hint="eastAsia" w:cs="宋体"/>
          <w:i w:val="0"/>
          <w:iCs w:val="0"/>
          <w:caps w:val="0"/>
          <w:color w:val="333333"/>
          <w:spacing w:val="0"/>
          <w:sz w:val="24"/>
          <w:szCs w:val="24"/>
          <w:highlight w:val="none"/>
          <w:shd w:val="clear" w:fill="FFFFFF"/>
          <w:lang w:val="en-US" w:eastAsia="zh-CN"/>
        </w:rPr>
        <w:t>11</w:t>
      </w:r>
      <w:r>
        <w:rPr>
          <w:rFonts w:hint="eastAsia" w:ascii="宋体" w:hAnsi="宋体" w:eastAsia="宋体" w:cs="宋体"/>
          <w:i w:val="0"/>
          <w:iCs w:val="0"/>
          <w:caps w:val="0"/>
          <w:color w:val="333333"/>
          <w:spacing w:val="0"/>
          <w:sz w:val="24"/>
          <w:szCs w:val="24"/>
          <w:highlight w:val="none"/>
          <w:shd w:val="clear" w:fill="FFFFFF"/>
        </w:rPr>
        <w:t>月</w:t>
      </w:r>
      <w:r>
        <w:rPr>
          <w:rFonts w:hint="eastAsia" w:cs="宋体"/>
          <w:i w:val="0"/>
          <w:iCs w:val="0"/>
          <w:caps w:val="0"/>
          <w:color w:val="333333"/>
          <w:spacing w:val="0"/>
          <w:sz w:val="24"/>
          <w:szCs w:val="24"/>
          <w:highlight w:val="none"/>
          <w:shd w:val="clear" w:fill="FFFFFF"/>
          <w:lang w:val="en-US" w:eastAsia="zh-CN"/>
        </w:rPr>
        <w:t>27</w:t>
      </w:r>
      <w:r>
        <w:rPr>
          <w:rFonts w:hint="eastAsia" w:ascii="宋体" w:hAnsi="宋体" w:eastAsia="宋体" w:cs="宋体"/>
          <w:i w:val="0"/>
          <w:iCs w:val="0"/>
          <w:caps w:val="0"/>
          <w:color w:val="333333"/>
          <w:spacing w:val="0"/>
          <w:sz w:val="24"/>
          <w:szCs w:val="24"/>
          <w:highlight w:val="none"/>
          <w:shd w:val="clear" w:fill="FFFFFF"/>
        </w:rPr>
        <w:t>日</w:t>
      </w:r>
    </w:p>
    <w:p w14:paraId="245ADDA9">
      <w:pPr>
        <w:rPr>
          <w:rFonts w:hint="eastAsia" w:hAnsi="宋体" w:cs="宋体"/>
          <w:bCs/>
          <w:sz w:val="36"/>
          <w:szCs w:val="36"/>
          <w:highlight w:val="none"/>
        </w:rPr>
      </w:pPr>
      <w:r>
        <w:rPr>
          <w:rFonts w:hint="eastAsia" w:hAnsi="宋体" w:cs="宋体"/>
          <w:bCs/>
          <w:sz w:val="36"/>
          <w:szCs w:val="36"/>
          <w:highlight w:val="none"/>
        </w:rPr>
        <w:br w:type="page"/>
      </w:r>
    </w:p>
    <w:p w14:paraId="0FF6B5B0">
      <w:pPr>
        <w:spacing w:line="348" w:lineRule="auto"/>
        <w:ind w:right="119"/>
        <w:jc w:val="center"/>
        <w:outlineLvl w:val="0"/>
        <w:rPr>
          <w:rFonts w:hAnsi="宋体" w:cs="宋体"/>
          <w:bCs/>
          <w:sz w:val="36"/>
          <w:szCs w:val="36"/>
          <w:highlight w:val="none"/>
        </w:rPr>
      </w:pPr>
      <w:r>
        <w:rPr>
          <w:rFonts w:hint="eastAsia" w:hAnsi="宋体" w:cs="宋体"/>
          <w:b/>
          <w:bCs/>
          <w:kern w:val="2"/>
          <w:sz w:val="36"/>
          <w:szCs w:val="36"/>
          <w:highlight w:val="none"/>
        </w:rPr>
        <w:t xml:space="preserve">第二章  </w:t>
      </w:r>
      <w:bookmarkEnd w:id="14"/>
      <w:bookmarkEnd w:id="15"/>
      <w:bookmarkStart w:id="19" w:name="OLE_LINK3"/>
      <w:r>
        <w:rPr>
          <w:rFonts w:hint="eastAsia" w:hAnsi="宋体" w:cs="宋体"/>
          <w:b/>
          <w:bCs/>
          <w:kern w:val="2"/>
          <w:sz w:val="36"/>
          <w:szCs w:val="36"/>
          <w:highlight w:val="none"/>
        </w:rPr>
        <w:t>供应商须知</w:t>
      </w:r>
      <w:bookmarkEnd w:id="16"/>
      <w:bookmarkEnd w:id="17"/>
      <w:bookmarkEnd w:id="18"/>
      <w:bookmarkEnd w:id="19"/>
    </w:p>
    <w:p w14:paraId="6D274BB5">
      <w:pPr>
        <w:pStyle w:val="3"/>
        <w:widowControl w:val="0"/>
        <w:spacing w:before="120" w:after="120" w:line="360" w:lineRule="auto"/>
        <w:ind w:left="0"/>
        <w:jc w:val="center"/>
        <w:rPr>
          <w:rFonts w:ascii="宋体" w:hAnsi="宋体" w:cs="宋体"/>
          <w:sz w:val="32"/>
          <w:highlight w:val="none"/>
        </w:rPr>
      </w:pPr>
      <w:bookmarkStart w:id="20" w:name="_Toc423973073"/>
      <w:bookmarkStart w:id="21" w:name="OLE_LINK2"/>
      <w:bookmarkStart w:id="22" w:name="_Toc17143"/>
      <w:bookmarkStart w:id="23" w:name="_Toc19364"/>
      <w:r>
        <w:rPr>
          <w:rFonts w:hint="eastAsia" w:ascii="宋体" w:hAnsi="宋体" w:cs="宋体"/>
          <w:sz w:val="32"/>
          <w:highlight w:val="none"/>
        </w:rPr>
        <w:t>供应商须知前附表</w:t>
      </w:r>
      <w:bookmarkEnd w:id="20"/>
      <w:bookmarkEnd w:id="21"/>
      <w:bookmarkEnd w:id="22"/>
      <w:bookmarkEnd w:id="23"/>
    </w:p>
    <w:p w14:paraId="080EC3ED">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64A5C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33B4FE5A">
            <w:pPr>
              <w:spacing w:before="156" w:beforeLines="50" w:line="360" w:lineRule="auto"/>
              <w:jc w:val="center"/>
              <w:rPr>
                <w:rFonts w:hAnsi="宋体" w:cs="宋体"/>
                <w:b/>
                <w:szCs w:val="24"/>
                <w:highlight w:val="none"/>
              </w:rPr>
            </w:pPr>
            <w:r>
              <w:rPr>
                <w:rFonts w:hint="eastAsia" w:hAnsi="宋体" w:cs="宋体"/>
                <w:b/>
                <w:szCs w:val="24"/>
                <w:highlight w:val="none"/>
              </w:rPr>
              <w:t>序号</w:t>
            </w:r>
          </w:p>
        </w:tc>
        <w:tc>
          <w:tcPr>
            <w:tcW w:w="951" w:type="dxa"/>
            <w:vAlign w:val="center"/>
          </w:tcPr>
          <w:p w14:paraId="10BD4C2B">
            <w:pPr>
              <w:spacing w:before="156" w:beforeLines="50" w:line="360" w:lineRule="auto"/>
              <w:jc w:val="center"/>
              <w:rPr>
                <w:rFonts w:hAnsi="宋体" w:cs="宋体"/>
                <w:b/>
                <w:szCs w:val="24"/>
                <w:highlight w:val="none"/>
              </w:rPr>
            </w:pPr>
            <w:r>
              <w:rPr>
                <w:rFonts w:hint="eastAsia" w:hAnsi="宋体" w:cs="宋体"/>
                <w:b/>
                <w:szCs w:val="24"/>
                <w:highlight w:val="none"/>
              </w:rPr>
              <w:t>条款号</w:t>
            </w:r>
          </w:p>
        </w:tc>
        <w:tc>
          <w:tcPr>
            <w:tcW w:w="7354" w:type="dxa"/>
          </w:tcPr>
          <w:p w14:paraId="663E7065">
            <w:pPr>
              <w:spacing w:before="156" w:beforeLines="50" w:line="360" w:lineRule="auto"/>
              <w:jc w:val="center"/>
              <w:rPr>
                <w:rFonts w:hAnsi="宋体" w:cs="宋体"/>
                <w:b/>
                <w:szCs w:val="24"/>
                <w:highlight w:val="none"/>
              </w:rPr>
            </w:pPr>
            <w:r>
              <w:rPr>
                <w:rFonts w:hint="eastAsia" w:hAnsi="宋体" w:cs="宋体"/>
                <w:b/>
                <w:szCs w:val="24"/>
                <w:highlight w:val="none"/>
              </w:rPr>
              <w:t xml:space="preserve">编 列 内 容 </w:t>
            </w:r>
          </w:p>
        </w:tc>
      </w:tr>
      <w:tr w14:paraId="7E0E3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465033AB">
            <w:pPr>
              <w:spacing w:line="360" w:lineRule="auto"/>
              <w:jc w:val="center"/>
              <w:rPr>
                <w:rFonts w:hAnsi="宋体" w:cs="宋体"/>
                <w:szCs w:val="24"/>
                <w:highlight w:val="none"/>
              </w:rPr>
            </w:pPr>
            <w:r>
              <w:rPr>
                <w:rFonts w:hint="eastAsia" w:hAnsi="宋体" w:cs="宋体"/>
                <w:szCs w:val="24"/>
                <w:highlight w:val="none"/>
              </w:rPr>
              <w:t>1</w:t>
            </w:r>
          </w:p>
        </w:tc>
        <w:tc>
          <w:tcPr>
            <w:tcW w:w="951" w:type="dxa"/>
            <w:vAlign w:val="center"/>
          </w:tcPr>
          <w:p w14:paraId="318A8F14">
            <w:pPr>
              <w:spacing w:line="360" w:lineRule="auto"/>
              <w:jc w:val="center"/>
              <w:rPr>
                <w:rFonts w:hAnsi="宋体" w:cs="宋体"/>
                <w:szCs w:val="24"/>
                <w:highlight w:val="none"/>
              </w:rPr>
            </w:pPr>
            <w:r>
              <w:rPr>
                <w:rFonts w:hint="eastAsia" w:hAnsi="宋体" w:cs="宋体"/>
                <w:szCs w:val="24"/>
                <w:highlight w:val="none"/>
              </w:rPr>
              <w:t>2.3</w:t>
            </w:r>
          </w:p>
        </w:tc>
        <w:tc>
          <w:tcPr>
            <w:tcW w:w="7354" w:type="dxa"/>
          </w:tcPr>
          <w:p w14:paraId="0C2CE6E2">
            <w:pPr>
              <w:spacing w:line="360" w:lineRule="auto"/>
              <w:rPr>
                <w:rFonts w:hint="eastAsia" w:hAnsi="宋体" w:eastAsia="宋体" w:cs="宋体"/>
                <w:szCs w:val="24"/>
                <w:highlight w:val="none"/>
                <w:lang w:eastAsia="zh-CN"/>
              </w:rPr>
            </w:pPr>
            <w:r>
              <w:rPr>
                <w:rFonts w:hint="eastAsia" w:hAnsi="宋体" w:cs="宋体"/>
                <w:szCs w:val="24"/>
                <w:highlight w:val="none"/>
                <w:lang w:eastAsia="zh-CN"/>
              </w:rPr>
              <w:t>采</w:t>
            </w:r>
            <w:r>
              <w:rPr>
                <w:rFonts w:hint="eastAsia" w:hAnsi="宋体" w:cs="宋体"/>
                <w:szCs w:val="24"/>
                <w:highlight w:val="none"/>
                <w:lang w:val="en-US" w:eastAsia="zh-CN"/>
              </w:rPr>
              <w:t xml:space="preserve">   </w:t>
            </w:r>
            <w:r>
              <w:rPr>
                <w:rFonts w:hint="eastAsia" w:hAnsi="宋体" w:cs="宋体"/>
                <w:szCs w:val="24"/>
                <w:highlight w:val="none"/>
                <w:lang w:eastAsia="zh-CN"/>
              </w:rPr>
              <w:t>购</w:t>
            </w:r>
            <w:r>
              <w:rPr>
                <w:rFonts w:hint="eastAsia" w:hAnsi="宋体" w:cs="宋体"/>
                <w:szCs w:val="24"/>
                <w:highlight w:val="none"/>
                <w:lang w:val="en-US" w:eastAsia="zh-CN"/>
              </w:rPr>
              <w:t xml:space="preserve">   </w:t>
            </w:r>
            <w:r>
              <w:rPr>
                <w:rFonts w:hint="eastAsia" w:hAnsi="宋体" w:cs="宋体"/>
                <w:szCs w:val="24"/>
                <w:highlight w:val="none"/>
                <w:lang w:eastAsia="zh-CN"/>
              </w:rPr>
              <w:t>人：商南县民政局（本级）</w:t>
            </w:r>
          </w:p>
          <w:p w14:paraId="23FD57B1">
            <w:pPr>
              <w:spacing w:line="360" w:lineRule="auto"/>
              <w:rPr>
                <w:rFonts w:hint="eastAsia" w:hAnsi="宋体" w:eastAsia="宋体" w:cs="宋体"/>
                <w:szCs w:val="24"/>
                <w:highlight w:val="none"/>
                <w:lang w:eastAsia="zh-CN"/>
              </w:rPr>
            </w:pPr>
            <w:r>
              <w:rPr>
                <w:rFonts w:hint="eastAsia" w:hAnsi="宋体" w:cs="宋体"/>
                <w:szCs w:val="24"/>
                <w:highlight w:val="none"/>
              </w:rPr>
              <w:t>采购代理机构：</w:t>
            </w:r>
            <w:r>
              <w:rPr>
                <w:rFonts w:hint="eastAsia" w:hAnsi="宋体" w:cs="宋体"/>
                <w:szCs w:val="24"/>
                <w:highlight w:val="none"/>
                <w:lang w:eastAsia="zh-CN"/>
              </w:rPr>
              <w:t>陕西至诚项目管理集团有限公司</w:t>
            </w:r>
          </w:p>
          <w:p w14:paraId="71893949">
            <w:pPr>
              <w:spacing w:line="360" w:lineRule="auto"/>
              <w:rPr>
                <w:rFonts w:hint="eastAsia" w:hAnsi="宋体" w:eastAsia="宋体" w:cs="宋体"/>
                <w:szCs w:val="24"/>
                <w:highlight w:val="none"/>
                <w:lang w:eastAsia="zh-CN"/>
              </w:rPr>
            </w:pPr>
            <w:r>
              <w:rPr>
                <w:rFonts w:hint="eastAsia" w:hAnsi="宋体" w:cs="宋体"/>
                <w:szCs w:val="24"/>
                <w:highlight w:val="none"/>
              </w:rPr>
              <w:t>地        址：</w:t>
            </w:r>
            <w:r>
              <w:rPr>
                <w:rFonts w:hint="eastAsia" w:hAnsi="宋体" w:cs="宋体"/>
                <w:szCs w:val="24"/>
                <w:highlight w:val="none"/>
                <w:lang w:eastAsia="zh-CN"/>
              </w:rPr>
              <w:t>陕西省商洛市商州区民主路陕西至诚项目管理集团有限公司商洛分公司</w:t>
            </w:r>
          </w:p>
          <w:p w14:paraId="5125DAA7">
            <w:pPr>
              <w:spacing w:line="360" w:lineRule="auto"/>
              <w:rPr>
                <w:rFonts w:hint="eastAsia" w:hAnsi="宋体" w:eastAsia="宋体" w:cs="宋体"/>
                <w:szCs w:val="24"/>
                <w:highlight w:val="none"/>
                <w:lang w:eastAsia="zh-CN"/>
              </w:rPr>
            </w:pPr>
            <w:r>
              <w:rPr>
                <w:rFonts w:hint="eastAsia" w:hAnsi="宋体" w:cs="宋体"/>
                <w:szCs w:val="24"/>
                <w:highlight w:val="none"/>
              </w:rPr>
              <w:t>邮        编：</w:t>
            </w:r>
            <w:r>
              <w:rPr>
                <w:rFonts w:hint="eastAsia" w:hAnsi="宋体" w:cs="宋体"/>
                <w:szCs w:val="24"/>
                <w:highlight w:val="none"/>
                <w:lang w:eastAsia="zh-CN"/>
              </w:rPr>
              <w:t>710021</w:t>
            </w:r>
          </w:p>
          <w:p w14:paraId="3570CE66">
            <w:pPr>
              <w:spacing w:line="360" w:lineRule="auto"/>
              <w:rPr>
                <w:rFonts w:hint="eastAsia" w:hAnsi="宋体" w:eastAsia="宋体" w:cs="宋体"/>
                <w:szCs w:val="24"/>
                <w:highlight w:val="none"/>
                <w:lang w:eastAsia="zh-CN"/>
              </w:rPr>
            </w:pPr>
            <w:r>
              <w:rPr>
                <w:rFonts w:hint="eastAsia" w:hAnsi="宋体" w:cs="宋体"/>
                <w:szCs w:val="24"/>
                <w:highlight w:val="none"/>
              </w:rPr>
              <w:t>电        话：</w:t>
            </w:r>
            <w:r>
              <w:rPr>
                <w:rFonts w:hint="eastAsia" w:hAnsi="宋体" w:cs="宋体"/>
                <w:szCs w:val="24"/>
                <w:highlight w:val="none"/>
                <w:lang w:eastAsia="zh-CN"/>
              </w:rPr>
              <w:t>0914-2315606</w:t>
            </w:r>
          </w:p>
          <w:p w14:paraId="727439DA">
            <w:pPr>
              <w:spacing w:line="360" w:lineRule="auto"/>
              <w:rPr>
                <w:rFonts w:hAnsi="宋体" w:cs="宋体"/>
                <w:szCs w:val="24"/>
                <w:highlight w:val="none"/>
              </w:rPr>
            </w:pPr>
            <w:r>
              <w:rPr>
                <w:rFonts w:hint="eastAsia"/>
                <w:szCs w:val="24"/>
                <w:highlight w:val="none"/>
              </w:rPr>
              <w:t>邮        箱：sxzc</w:t>
            </w:r>
            <w:r>
              <w:rPr>
                <w:rFonts w:hint="eastAsia"/>
                <w:szCs w:val="24"/>
                <w:highlight w:val="none"/>
                <w:lang w:val="en-US" w:eastAsia="zh-CN"/>
              </w:rPr>
              <w:t>slfgs</w:t>
            </w:r>
            <w:r>
              <w:rPr>
                <w:rFonts w:hint="eastAsia"/>
                <w:szCs w:val="24"/>
                <w:highlight w:val="none"/>
              </w:rPr>
              <w:t>@163.com</w:t>
            </w:r>
          </w:p>
        </w:tc>
      </w:tr>
      <w:tr w14:paraId="58242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6D0BD841">
            <w:pPr>
              <w:spacing w:line="360" w:lineRule="auto"/>
              <w:jc w:val="center"/>
              <w:rPr>
                <w:rFonts w:hAnsi="宋体" w:cs="宋体"/>
                <w:szCs w:val="24"/>
                <w:highlight w:val="none"/>
              </w:rPr>
            </w:pPr>
            <w:r>
              <w:rPr>
                <w:rFonts w:hint="eastAsia" w:hAnsi="宋体" w:cs="宋体"/>
                <w:szCs w:val="24"/>
                <w:highlight w:val="none"/>
              </w:rPr>
              <w:t>2</w:t>
            </w:r>
          </w:p>
        </w:tc>
        <w:tc>
          <w:tcPr>
            <w:tcW w:w="951" w:type="dxa"/>
            <w:vAlign w:val="center"/>
          </w:tcPr>
          <w:p w14:paraId="1CF9E3F6">
            <w:pPr>
              <w:spacing w:line="360" w:lineRule="auto"/>
              <w:jc w:val="center"/>
              <w:rPr>
                <w:rFonts w:hAnsi="宋体" w:cs="宋体"/>
                <w:szCs w:val="24"/>
                <w:highlight w:val="none"/>
              </w:rPr>
            </w:pPr>
            <w:r>
              <w:rPr>
                <w:rFonts w:hint="eastAsia" w:hAnsi="宋体" w:cs="宋体"/>
                <w:szCs w:val="24"/>
                <w:highlight w:val="none"/>
              </w:rPr>
              <w:t>3.6</w:t>
            </w:r>
          </w:p>
        </w:tc>
        <w:tc>
          <w:tcPr>
            <w:tcW w:w="7354" w:type="dxa"/>
            <w:vAlign w:val="center"/>
          </w:tcPr>
          <w:p w14:paraId="1177F893">
            <w:pPr>
              <w:spacing w:line="360" w:lineRule="auto"/>
              <w:rPr>
                <w:rFonts w:hAnsi="宋体" w:cs="宋体"/>
                <w:szCs w:val="24"/>
                <w:highlight w:val="none"/>
              </w:rPr>
            </w:pPr>
            <w:r>
              <w:rPr>
                <w:rFonts w:hint="eastAsia" w:hAnsi="宋体" w:cs="宋体"/>
                <w:szCs w:val="24"/>
                <w:highlight w:val="none"/>
              </w:rPr>
              <w:t>本项目不接受联合体磋商。</w:t>
            </w:r>
          </w:p>
        </w:tc>
      </w:tr>
      <w:tr w14:paraId="66B04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39DA9ED0">
            <w:pPr>
              <w:spacing w:line="360" w:lineRule="auto"/>
              <w:jc w:val="center"/>
              <w:rPr>
                <w:rFonts w:hAnsi="宋体" w:cs="宋体"/>
                <w:szCs w:val="24"/>
                <w:highlight w:val="none"/>
              </w:rPr>
            </w:pPr>
            <w:r>
              <w:rPr>
                <w:rFonts w:hint="eastAsia" w:hAnsi="宋体" w:cs="宋体"/>
                <w:szCs w:val="24"/>
                <w:highlight w:val="none"/>
              </w:rPr>
              <w:t>3</w:t>
            </w:r>
          </w:p>
        </w:tc>
        <w:tc>
          <w:tcPr>
            <w:tcW w:w="951" w:type="dxa"/>
            <w:vAlign w:val="center"/>
          </w:tcPr>
          <w:p w14:paraId="7D7A7C56">
            <w:pPr>
              <w:spacing w:line="360" w:lineRule="auto"/>
              <w:jc w:val="center"/>
              <w:rPr>
                <w:rFonts w:hAnsi="宋体" w:cs="宋体"/>
                <w:szCs w:val="24"/>
                <w:highlight w:val="none"/>
              </w:rPr>
            </w:pPr>
            <w:r>
              <w:rPr>
                <w:rFonts w:hint="eastAsia" w:hAnsi="宋体" w:cs="宋体"/>
                <w:szCs w:val="24"/>
                <w:highlight w:val="none"/>
              </w:rPr>
              <w:t>9.2</w:t>
            </w:r>
          </w:p>
        </w:tc>
        <w:tc>
          <w:tcPr>
            <w:tcW w:w="7354" w:type="dxa"/>
            <w:vAlign w:val="center"/>
          </w:tcPr>
          <w:p w14:paraId="5AE86435">
            <w:pPr>
              <w:spacing w:line="360" w:lineRule="auto"/>
              <w:rPr>
                <w:rFonts w:hAnsi="宋体" w:cs="宋体"/>
                <w:szCs w:val="24"/>
                <w:highlight w:val="none"/>
              </w:rPr>
            </w:pPr>
            <w:r>
              <w:rPr>
                <w:rFonts w:hint="eastAsia" w:hAnsi="宋体" w:cs="宋体"/>
                <w:szCs w:val="24"/>
                <w:highlight w:val="none"/>
              </w:rPr>
              <w:t>不允许提供备选方案。</w:t>
            </w:r>
          </w:p>
        </w:tc>
      </w:tr>
      <w:tr w14:paraId="4E5B5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39A348F9">
            <w:pPr>
              <w:spacing w:line="360" w:lineRule="auto"/>
              <w:jc w:val="center"/>
              <w:rPr>
                <w:rFonts w:hAnsi="宋体" w:cs="宋体"/>
                <w:szCs w:val="24"/>
                <w:highlight w:val="none"/>
              </w:rPr>
            </w:pPr>
            <w:r>
              <w:rPr>
                <w:rFonts w:hint="eastAsia" w:hAnsi="宋体" w:cs="宋体"/>
                <w:szCs w:val="24"/>
                <w:highlight w:val="none"/>
              </w:rPr>
              <w:t>4</w:t>
            </w:r>
          </w:p>
        </w:tc>
        <w:tc>
          <w:tcPr>
            <w:tcW w:w="951" w:type="dxa"/>
            <w:vAlign w:val="center"/>
          </w:tcPr>
          <w:p w14:paraId="430CDF22">
            <w:pPr>
              <w:spacing w:line="360" w:lineRule="auto"/>
              <w:jc w:val="center"/>
              <w:rPr>
                <w:rFonts w:hAnsi="宋体" w:cs="宋体"/>
                <w:szCs w:val="24"/>
                <w:highlight w:val="none"/>
              </w:rPr>
            </w:pPr>
            <w:r>
              <w:rPr>
                <w:rFonts w:hint="eastAsia" w:hAnsi="宋体" w:cs="宋体"/>
                <w:szCs w:val="24"/>
                <w:highlight w:val="none"/>
              </w:rPr>
              <w:t>9.3</w:t>
            </w:r>
          </w:p>
        </w:tc>
        <w:tc>
          <w:tcPr>
            <w:tcW w:w="7354" w:type="dxa"/>
            <w:vAlign w:val="center"/>
          </w:tcPr>
          <w:p w14:paraId="19B58218">
            <w:pPr>
              <w:spacing w:line="360" w:lineRule="auto"/>
              <w:rPr>
                <w:rFonts w:hAnsi="宋体" w:cs="宋体"/>
                <w:szCs w:val="24"/>
                <w:highlight w:val="none"/>
              </w:rPr>
            </w:pPr>
            <w:r>
              <w:rPr>
                <w:rFonts w:hint="eastAsia" w:hAnsi="宋体" w:cs="宋体"/>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5C890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3A4B586E">
            <w:pPr>
              <w:spacing w:line="360" w:lineRule="auto"/>
              <w:jc w:val="center"/>
              <w:rPr>
                <w:rFonts w:hAnsi="宋体" w:cs="宋体"/>
                <w:szCs w:val="24"/>
                <w:highlight w:val="none"/>
              </w:rPr>
            </w:pPr>
            <w:r>
              <w:rPr>
                <w:rFonts w:hint="eastAsia" w:hAnsi="宋体" w:cs="宋体"/>
                <w:szCs w:val="24"/>
                <w:highlight w:val="none"/>
              </w:rPr>
              <w:t>5</w:t>
            </w:r>
          </w:p>
        </w:tc>
        <w:tc>
          <w:tcPr>
            <w:tcW w:w="951" w:type="dxa"/>
            <w:vAlign w:val="center"/>
          </w:tcPr>
          <w:p w14:paraId="10A8104F">
            <w:pPr>
              <w:spacing w:line="360" w:lineRule="auto"/>
              <w:jc w:val="center"/>
              <w:rPr>
                <w:rFonts w:hAnsi="宋体" w:cs="宋体"/>
                <w:szCs w:val="24"/>
                <w:highlight w:val="none"/>
              </w:rPr>
            </w:pPr>
            <w:r>
              <w:rPr>
                <w:rFonts w:hint="eastAsia" w:hAnsi="宋体" w:cs="宋体"/>
                <w:szCs w:val="24"/>
                <w:highlight w:val="none"/>
              </w:rPr>
              <w:t>11.1</w:t>
            </w:r>
          </w:p>
        </w:tc>
        <w:tc>
          <w:tcPr>
            <w:tcW w:w="7354" w:type="dxa"/>
          </w:tcPr>
          <w:p w14:paraId="1EE5B873">
            <w:pPr>
              <w:spacing w:line="360" w:lineRule="auto"/>
              <w:ind w:firstLine="480"/>
              <w:rPr>
                <w:rFonts w:hAnsi="宋体" w:cs="宋体"/>
                <w:szCs w:val="24"/>
                <w:highlight w:val="none"/>
              </w:rPr>
            </w:pPr>
            <w:r>
              <w:rPr>
                <w:rFonts w:hint="eastAsia" w:hAnsi="宋体" w:cs="宋体"/>
                <w:szCs w:val="24"/>
                <w:highlight w:val="none"/>
              </w:rPr>
              <w:t>磋商报价：本工程发包方式为包工包料。采用</w:t>
            </w:r>
            <w:r>
              <w:rPr>
                <w:rFonts w:hint="eastAsia" w:hAnsi="宋体" w:cs="宋体"/>
                <w:szCs w:val="24"/>
                <w:highlight w:val="none"/>
                <w:lang w:val="en-US" w:eastAsia="zh-CN"/>
              </w:rPr>
              <w:t>综合单价</w:t>
            </w:r>
            <w:r>
              <w:rPr>
                <w:rFonts w:hint="eastAsia" w:hAnsi="宋体" w:cs="宋体"/>
                <w:szCs w:val="24"/>
                <w:highlight w:val="none"/>
              </w:rPr>
              <w:t>合同，包括但不限于工程施工费（人、材、机等费用）、规费、税金、项目措施费、招标代理服务费等其他一切相关费用。</w:t>
            </w:r>
          </w:p>
          <w:p w14:paraId="02D355A3">
            <w:pPr>
              <w:spacing w:line="360" w:lineRule="auto"/>
              <w:ind w:firstLine="48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供应商所报的价格应考虑到可能发生的所有与完成本项目相关服务及履行合同义务有关的一切费用，任何有选择的报价将不予接受，按无效磋商处理。</w:t>
            </w:r>
          </w:p>
        </w:tc>
      </w:tr>
      <w:tr w14:paraId="55374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4A506A5D">
            <w:pPr>
              <w:spacing w:line="360" w:lineRule="auto"/>
              <w:jc w:val="center"/>
              <w:rPr>
                <w:rFonts w:hAnsi="宋体" w:cs="宋体"/>
                <w:szCs w:val="24"/>
                <w:highlight w:val="none"/>
              </w:rPr>
            </w:pPr>
            <w:r>
              <w:rPr>
                <w:rFonts w:hint="eastAsia" w:hAnsi="宋体" w:cs="宋体"/>
                <w:szCs w:val="24"/>
                <w:highlight w:val="none"/>
              </w:rPr>
              <w:t>6</w:t>
            </w:r>
          </w:p>
        </w:tc>
        <w:tc>
          <w:tcPr>
            <w:tcW w:w="951" w:type="dxa"/>
            <w:vAlign w:val="center"/>
          </w:tcPr>
          <w:p w14:paraId="1450A812">
            <w:pPr>
              <w:spacing w:line="360" w:lineRule="auto"/>
              <w:jc w:val="center"/>
              <w:rPr>
                <w:rFonts w:hAnsi="宋体" w:cs="宋体"/>
                <w:szCs w:val="24"/>
                <w:highlight w:val="none"/>
              </w:rPr>
            </w:pPr>
            <w:r>
              <w:rPr>
                <w:rFonts w:hint="eastAsia" w:hAnsi="宋体" w:cs="宋体"/>
                <w:szCs w:val="24"/>
                <w:highlight w:val="none"/>
              </w:rPr>
              <w:t>12.1</w:t>
            </w:r>
          </w:p>
        </w:tc>
        <w:tc>
          <w:tcPr>
            <w:tcW w:w="7354" w:type="dxa"/>
          </w:tcPr>
          <w:p w14:paraId="3FB14592">
            <w:pPr>
              <w:spacing w:line="360" w:lineRule="auto"/>
              <w:rPr>
                <w:rFonts w:hAnsi="宋体" w:cs="宋体"/>
                <w:szCs w:val="24"/>
                <w:highlight w:val="none"/>
              </w:rPr>
            </w:pPr>
            <w:r>
              <w:rPr>
                <w:rFonts w:hint="eastAsia" w:hAnsi="宋体" w:cs="宋体"/>
                <w:szCs w:val="24"/>
                <w:highlight w:val="none"/>
              </w:rPr>
              <w:t>特定资格证明文件：</w:t>
            </w:r>
          </w:p>
          <w:p w14:paraId="278055A2">
            <w:pPr>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（1）提供合格有效的法人或者其他组织的营业执照等证明文件，自然人的身份证明；</w:t>
            </w:r>
          </w:p>
          <w:p w14:paraId="65BD90F2">
            <w:pPr>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（2）提供法定代表人授权书（附法定代表人、被授权人身份证复印件）及被授权人身份证原件（法定代表人直接参加投标，须提供法定代表人身份证明及身份证原件）；</w:t>
            </w:r>
          </w:p>
          <w:p w14:paraId="6EEE29A9">
            <w:pPr>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（3）财务状况报告：提供 2023 年度的财务审计报告（至少包括资产负债表和利润表，成立时间至提交投标文件截止时间不足一年的可提供成立后任意时段的资产负债表），或开标时间前六个月内银行出具的资信证明；</w:t>
            </w:r>
          </w:p>
          <w:p w14:paraId="48315E87">
            <w:pPr>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（4）税收缴纳证明：提供投标截止日前近一年内任意一个月的纳税证明或完税证明（任意税种），依法免税的单位应提供相关证明材料；</w:t>
            </w:r>
          </w:p>
          <w:p w14:paraId="1FBACBCA">
            <w:pPr>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（5）社会保障资金缴纳证明：提供投标截止日前近一年内任意一个月的社会保障资金缴存单据或社保机构开具的社会保险参保缴费情况证明，依法不需要缴纳社会保障资金的单位应提供相关证明材料；</w:t>
            </w:r>
          </w:p>
          <w:p w14:paraId="00C92A1D">
            <w:pPr>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（6）供应商应通过“信用中国”网站(www.creditchina.gov.cn)、中国政府采购网(www.ccgp.gov.cn)查询相关主体信用记录；</w:t>
            </w:r>
          </w:p>
          <w:p w14:paraId="39E07531">
            <w:pPr>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（7）参加政府采购活动前 3 年内，在经营活动中没有重大违法记录的书面声明；</w:t>
            </w:r>
          </w:p>
          <w:p w14:paraId="52C2CC9A">
            <w:pPr>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（8）提供具有履行本合同所必需的设备和专业技术能力的声明；</w:t>
            </w:r>
          </w:p>
          <w:p w14:paraId="46DF5CA4">
            <w:pPr>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（9）供应商须具有建设行政主管部门颁发的建筑工程施工总承包三级及以上资质，并具有合格有效的安全生产许可证；</w:t>
            </w:r>
          </w:p>
          <w:p w14:paraId="0B601263">
            <w:pPr>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（10）拟派项目经理需具备建筑工程专业二级及以上（含二级）注册建造师证书和安全生产考核 B 证，提供无在建工程声明；</w:t>
            </w:r>
          </w:p>
          <w:p w14:paraId="25C10EEF">
            <w:pPr>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（11）本项目不接受联合体磋商；</w:t>
            </w:r>
          </w:p>
          <w:p w14:paraId="6F5D3BD9">
            <w:pPr>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（12）供应商须提供中小企业声明函。</w:t>
            </w:r>
          </w:p>
          <w:p w14:paraId="7C67784F">
            <w:pPr>
              <w:spacing w:line="360" w:lineRule="auto"/>
              <w:ind w:firstLine="482" w:firstLineChars="200"/>
              <w:rPr>
                <w:rFonts w:hAnsi="宋体" w:cs="宋体"/>
                <w:szCs w:val="24"/>
                <w:highlight w:val="none"/>
              </w:rPr>
            </w:pPr>
            <w:r>
              <w:rPr>
                <w:rFonts w:hint="eastAsia" w:hAnsi="宋体" w:cs="宋体"/>
                <w:b/>
                <w:bCs/>
                <w:szCs w:val="24"/>
                <w:highlight w:val="none"/>
              </w:rPr>
              <w:t>以上（1-</w:t>
            </w:r>
            <w:r>
              <w:rPr>
                <w:rFonts w:hint="eastAsia" w:hAnsi="宋体" w:cs="宋体"/>
                <w:b/>
                <w:bCs/>
                <w:szCs w:val="24"/>
                <w:highlight w:val="none"/>
                <w:lang w:val="en-US" w:eastAsia="zh-CN"/>
              </w:rPr>
              <w:t>12</w:t>
            </w:r>
            <w:r>
              <w:rPr>
                <w:rFonts w:hint="eastAsia" w:hAnsi="宋体" w:cs="宋体"/>
                <w:b/>
                <w:bCs/>
                <w:szCs w:val="24"/>
                <w:highlight w:val="none"/>
              </w:rPr>
              <w:t>）为必备资质，缺一项或某项达不到要求，按无效磋商处理。</w:t>
            </w:r>
          </w:p>
        </w:tc>
      </w:tr>
      <w:tr w14:paraId="0754C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592" w:type="dxa"/>
            <w:vAlign w:val="center"/>
          </w:tcPr>
          <w:p w14:paraId="07CA275D">
            <w:pPr>
              <w:spacing w:line="360" w:lineRule="auto"/>
              <w:jc w:val="center"/>
              <w:rPr>
                <w:rFonts w:hAnsi="宋体" w:cs="宋体"/>
                <w:szCs w:val="24"/>
                <w:highlight w:val="none"/>
              </w:rPr>
            </w:pPr>
            <w:r>
              <w:rPr>
                <w:rFonts w:hint="eastAsia" w:hAnsi="宋体" w:cs="宋体"/>
                <w:szCs w:val="24"/>
                <w:highlight w:val="none"/>
              </w:rPr>
              <w:t>7</w:t>
            </w:r>
          </w:p>
        </w:tc>
        <w:tc>
          <w:tcPr>
            <w:tcW w:w="951" w:type="dxa"/>
            <w:vAlign w:val="center"/>
          </w:tcPr>
          <w:p w14:paraId="1C95C3FB">
            <w:pPr>
              <w:spacing w:line="360" w:lineRule="auto"/>
              <w:jc w:val="center"/>
              <w:rPr>
                <w:rFonts w:hAnsi="宋体" w:cs="宋体"/>
                <w:szCs w:val="24"/>
                <w:highlight w:val="none"/>
              </w:rPr>
            </w:pPr>
            <w:r>
              <w:rPr>
                <w:rFonts w:hint="eastAsia" w:hAnsi="宋体" w:cs="宋体"/>
                <w:szCs w:val="24"/>
                <w:highlight w:val="none"/>
              </w:rPr>
              <w:t>14.4</w:t>
            </w:r>
          </w:p>
        </w:tc>
        <w:tc>
          <w:tcPr>
            <w:tcW w:w="7354" w:type="dxa"/>
          </w:tcPr>
          <w:p w14:paraId="31E96E1C">
            <w:pPr>
              <w:spacing w:line="360" w:lineRule="auto"/>
              <w:rPr>
                <w:rFonts w:hint="eastAsia" w:hAnsi="宋体" w:cs="宋体"/>
                <w:b/>
                <w:bCs/>
                <w:szCs w:val="24"/>
                <w:highlight w:val="yellow"/>
                <w:lang w:eastAsia="zh-CN"/>
              </w:rPr>
            </w:pPr>
            <w:r>
              <w:rPr>
                <w:rFonts w:hint="eastAsia" w:hAnsi="宋体" w:cs="宋体"/>
                <w:b/>
                <w:bCs/>
                <w:szCs w:val="24"/>
                <w:highlight w:val="yellow"/>
              </w:rPr>
              <w:t>磋商保证金：</w:t>
            </w:r>
            <w:r>
              <w:rPr>
                <w:rFonts w:hint="eastAsia" w:hAnsi="宋体" w:cs="宋体"/>
                <w:b/>
                <w:bCs/>
                <w:szCs w:val="24"/>
                <w:highlight w:val="yellow"/>
                <w:lang w:eastAsia="zh-CN"/>
              </w:rPr>
              <w:t>人民币壹万伍仟元整（￥</w:t>
            </w:r>
            <w:r>
              <w:rPr>
                <w:rFonts w:hint="eastAsia" w:hAnsi="宋体" w:cs="宋体"/>
                <w:b/>
                <w:bCs/>
                <w:szCs w:val="24"/>
                <w:highlight w:val="yellow"/>
                <w:lang w:val="en-US" w:eastAsia="zh-CN"/>
              </w:rPr>
              <w:t>15</w:t>
            </w:r>
            <w:r>
              <w:rPr>
                <w:rFonts w:hint="eastAsia" w:hAnsi="宋体" w:cs="宋体"/>
                <w:b/>
                <w:bCs/>
                <w:szCs w:val="24"/>
                <w:highlight w:val="yellow"/>
                <w:lang w:eastAsia="zh-CN"/>
              </w:rPr>
              <w:t>,</w:t>
            </w:r>
            <w:r>
              <w:rPr>
                <w:rFonts w:hint="eastAsia" w:hAnsi="宋体" w:cs="宋体"/>
                <w:b/>
                <w:bCs/>
                <w:szCs w:val="24"/>
                <w:highlight w:val="yellow"/>
                <w:lang w:val="en-US" w:eastAsia="zh-CN"/>
              </w:rPr>
              <w:t>000</w:t>
            </w:r>
            <w:r>
              <w:rPr>
                <w:rFonts w:hint="eastAsia" w:hAnsi="宋体" w:cs="宋体"/>
                <w:b/>
                <w:bCs/>
                <w:szCs w:val="24"/>
                <w:highlight w:val="yellow"/>
                <w:lang w:eastAsia="zh-CN"/>
              </w:rPr>
              <w:t>.00元）</w:t>
            </w:r>
          </w:p>
          <w:p w14:paraId="32A91D9F">
            <w:pPr>
              <w:spacing w:line="360" w:lineRule="auto"/>
              <w:rPr>
                <w:rFonts w:hint="eastAsia" w:hAnsi="宋体" w:cs="宋体"/>
                <w:b/>
                <w:bCs/>
                <w:szCs w:val="24"/>
                <w:highlight w:val="yellow"/>
                <w:lang w:eastAsia="zh-CN"/>
              </w:rPr>
            </w:pPr>
            <w:r>
              <w:rPr>
                <w:rFonts w:hint="eastAsia" w:hAnsi="宋体" w:cs="宋体"/>
                <w:b/>
                <w:bCs/>
                <w:szCs w:val="24"/>
                <w:highlight w:val="yellow"/>
                <w:lang w:eastAsia="zh-CN"/>
              </w:rPr>
              <w:t>投标保证金的有效期与投标有效期一致。担保机构出具的保函的有效期为投标有效期延长一个月。</w:t>
            </w:r>
          </w:p>
          <w:p w14:paraId="6D692D63">
            <w:pPr>
              <w:spacing w:line="360" w:lineRule="auto"/>
              <w:rPr>
                <w:rFonts w:hint="eastAsia" w:hAnsi="宋体" w:cs="宋体"/>
                <w:b/>
                <w:bCs/>
                <w:szCs w:val="24"/>
                <w:highlight w:val="yellow"/>
                <w:lang w:eastAsia="zh-CN"/>
              </w:rPr>
            </w:pPr>
            <w:r>
              <w:rPr>
                <w:rFonts w:hint="eastAsia" w:hAnsi="宋体" w:cs="宋体"/>
                <w:b/>
                <w:bCs/>
                <w:szCs w:val="24"/>
                <w:highlight w:val="yellow"/>
                <w:lang w:eastAsia="zh-CN"/>
              </w:rPr>
              <w:t>投标保证金的交纳形式：转账、电汇、担保机构保函。</w:t>
            </w:r>
          </w:p>
          <w:p w14:paraId="65619F17">
            <w:pPr>
              <w:spacing w:line="360" w:lineRule="auto"/>
              <w:rPr>
                <w:rFonts w:hint="eastAsia" w:hAnsi="宋体" w:cs="宋体"/>
                <w:b/>
                <w:bCs/>
                <w:szCs w:val="24"/>
                <w:highlight w:val="yellow"/>
                <w:lang w:eastAsia="zh-CN"/>
              </w:rPr>
            </w:pPr>
            <w:r>
              <w:rPr>
                <w:rFonts w:hint="eastAsia" w:hAnsi="宋体" w:cs="宋体"/>
                <w:b/>
                <w:bCs/>
                <w:szCs w:val="24"/>
                <w:highlight w:val="yellow"/>
                <w:lang w:eastAsia="zh-CN"/>
              </w:rPr>
              <w:t>供应商以银行转账、电汇形式交纳投标保证金的，须从基本账户转出，并且在投标文件递交截止前到达采购代理机构指定账户（转账时请注明项目编号：</w:t>
            </w:r>
            <w:r>
              <w:rPr>
                <w:rFonts w:hint="eastAsia" w:hAnsi="宋体" w:cs="宋体"/>
                <w:b/>
                <w:bCs/>
                <w:szCs w:val="24"/>
                <w:highlight w:val="yellow"/>
                <w:lang w:val="en-US" w:eastAsia="zh-CN"/>
              </w:rPr>
              <w:t>CS1112</w:t>
            </w:r>
            <w:r>
              <w:rPr>
                <w:rFonts w:hint="eastAsia" w:hAnsi="宋体" w:cs="宋体"/>
                <w:b/>
                <w:bCs/>
                <w:szCs w:val="24"/>
                <w:highlight w:val="yellow"/>
                <w:lang w:eastAsia="zh-CN"/>
              </w:rPr>
              <w:t>）。投标保证金到达采购代理机构指定账户后，供应商须与陕西至诚项目管理集团有限公司商洛分公司财务部联系确认到账后（联系电话0914-2315606），将投标保证金缴纳凭证复印件粘贴于招标文件规定处。</w:t>
            </w:r>
          </w:p>
          <w:p w14:paraId="230F0C9B">
            <w:pPr>
              <w:spacing w:line="360" w:lineRule="auto"/>
              <w:rPr>
                <w:rFonts w:hint="eastAsia" w:hAnsi="宋体" w:eastAsia="宋体" w:cs="宋体"/>
                <w:szCs w:val="24"/>
                <w:highlight w:val="none"/>
                <w:lang w:eastAsia="zh-CN"/>
              </w:rPr>
            </w:pPr>
            <w:r>
              <w:rPr>
                <w:rFonts w:hint="eastAsia" w:hAnsi="宋体" w:cs="宋体"/>
                <w:b/>
                <w:bCs/>
                <w:szCs w:val="24"/>
                <w:highlight w:val="yellow"/>
                <w:lang w:eastAsia="zh-CN"/>
              </w:rPr>
              <w:t>供应商以保函形式缴纳投标保证金的，须在投标文件递交截止时间前将担保机构保函正本原件提交至采购代理机构备案，并将保函正本复印件附在招标文件规定处。</w:t>
            </w:r>
          </w:p>
        </w:tc>
      </w:tr>
      <w:tr w14:paraId="304BB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70F5AC9B">
            <w:pPr>
              <w:spacing w:line="360" w:lineRule="auto"/>
              <w:jc w:val="center"/>
              <w:rPr>
                <w:rFonts w:hAnsi="宋体" w:cs="宋体"/>
                <w:szCs w:val="24"/>
                <w:highlight w:val="none"/>
              </w:rPr>
            </w:pPr>
            <w:r>
              <w:rPr>
                <w:rFonts w:hint="eastAsia" w:hAnsi="宋体" w:cs="宋体"/>
                <w:szCs w:val="24"/>
                <w:highlight w:val="none"/>
              </w:rPr>
              <w:t>8</w:t>
            </w:r>
          </w:p>
        </w:tc>
        <w:tc>
          <w:tcPr>
            <w:tcW w:w="951" w:type="dxa"/>
            <w:vAlign w:val="center"/>
          </w:tcPr>
          <w:p w14:paraId="0384C50F">
            <w:pPr>
              <w:spacing w:line="360" w:lineRule="auto"/>
              <w:jc w:val="center"/>
              <w:rPr>
                <w:rFonts w:hAnsi="宋体" w:cs="宋体"/>
                <w:szCs w:val="24"/>
                <w:highlight w:val="none"/>
              </w:rPr>
            </w:pPr>
            <w:r>
              <w:rPr>
                <w:rFonts w:hint="eastAsia" w:hAnsi="宋体" w:cs="宋体"/>
                <w:szCs w:val="24"/>
                <w:highlight w:val="none"/>
              </w:rPr>
              <w:t>15.1</w:t>
            </w:r>
          </w:p>
        </w:tc>
        <w:tc>
          <w:tcPr>
            <w:tcW w:w="7354" w:type="dxa"/>
            <w:vAlign w:val="center"/>
          </w:tcPr>
          <w:p w14:paraId="44B51FA9">
            <w:pPr>
              <w:spacing w:line="360" w:lineRule="auto"/>
              <w:rPr>
                <w:rFonts w:hAnsi="宋体" w:cs="宋体"/>
                <w:highlight w:val="none"/>
              </w:rPr>
            </w:pPr>
            <w:r>
              <w:rPr>
                <w:rFonts w:hint="eastAsia" w:hAnsi="宋体" w:cs="宋体"/>
                <w:szCs w:val="24"/>
                <w:highlight w:val="none"/>
              </w:rPr>
              <w:t>磋商有效期:提交磋商响应文件的截止之日起90天。</w:t>
            </w:r>
          </w:p>
        </w:tc>
      </w:tr>
      <w:tr w14:paraId="07E10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28BBEBC1">
            <w:pPr>
              <w:spacing w:line="360" w:lineRule="auto"/>
              <w:jc w:val="center"/>
              <w:rPr>
                <w:rFonts w:hAnsi="宋体" w:cs="宋体"/>
                <w:szCs w:val="24"/>
                <w:highlight w:val="none"/>
              </w:rPr>
            </w:pPr>
            <w:r>
              <w:rPr>
                <w:rFonts w:hint="eastAsia" w:hAnsi="宋体" w:cs="宋体"/>
                <w:szCs w:val="24"/>
                <w:highlight w:val="none"/>
              </w:rPr>
              <w:t>9</w:t>
            </w:r>
          </w:p>
        </w:tc>
        <w:tc>
          <w:tcPr>
            <w:tcW w:w="951" w:type="dxa"/>
            <w:vAlign w:val="center"/>
          </w:tcPr>
          <w:p w14:paraId="05BFC74C">
            <w:pPr>
              <w:spacing w:after="156" w:afterLines="50" w:line="360" w:lineRule="auto"/>
              <w:jc w:val="center"/>
              <w:rPr>
                <w:rFonts w:hAnsi="宋体" w:cs="宋体"/>
                <w:szCs w:val="24"/>
                <w:highlight w:val="none"/>
              </w:rPr>
            </w:pPr>
            <w:r>
              <w:rPr>
                <w:rFonts w:hint="eastAsia" w:hAnsi="宋体" w:cs="宋体"/>
                <w:szCs w:val="24"/>
                <w:highlight w:val="none"/>
              </w:rPr>
              <w:t>16.1</w:t>
            </w:r>
          </w:p>
        </w:tc>
        <w:tc>
          <w:tcPr>
            <w:tcW w:w="7354" w:type="dxa"/>
            <w:vAlign w:val="center"/>
          </w:tcPr>
          <w:p w14:paraId="4328DC58">
            <w:pPr>
              <w:spacing w:line="360" w:lineRule="auto"/>
              <w:rPr>
                <w:szCs w:val="24"/>
                <w:highlight w:val="none"/>
              </w:rPr>
            </w:pPr>
            <w:r>
              <w:rPr>
                <w:rFonts w:hint="eastAsia"/>
                <w:szCs w:val="24"/>
                <w:highlight w:val="none"/>
              </w:rPr>
              <w:t>正本的份数：壹份；副本的份数：贰份；</w:t>
            </w:r>
            <w:r>
              <w:rPr>
                <w:rFonts w:hint="eastAsia" w:hAnsi="宋体"/>
                <w:szCs w:val="24"/>
                <w:highlight w:val="none"/>
              </w:rPr>
              <w:t>报价一览表：</w:t>
            </w:r>
            <w:r>
              <w:rPr>
                <w:rFonts w:hint="eastAsia"/>
                <w:szCs w:val="24"/>
                <w:highlight w:val="none"/>
              </w:rPr>
              <w:t>壹</w:t>
            </w:r>
            <w:r>
              <w:rPr>
                <w:rFonts w:hint="eastAsia" w:hAnsi="宋体"/>
                <w:szCs w:val="24"/>
                <w:highlight w:val="none"/>
              </w:rPr>
              <w:t>份；</w:t>
            </w:r>
            <w:r>
              <w:rPr>
                <w:rFonts w:hint="eastAsia"/>
                <w:szCs w:val="24"/>
                <w:highlight w:val="none"/>
              </w:rPr>
              <w:t>同时提供与正本内容一致的电子版（U盘）壹份，并在盘面标注供应商全称、项目名称</w:t>
            </w:r>
            <w:r>
              <w:rPr>
                <w:szCs w:val="24"/>
                <w:highlight w:val="none"/>
              </w:rPr>
              <w:t>、</w:t>
            </w:r>
            <w:r>
              <w:rPr>
                <w:rFonts w:hint="eastAsia"/>
                <w:szCs w:val="24"/>
                <w:highlight w:val="none"/>
              </w:rPr>
              <w:t>编号；磋商响应文件装订要求：胶装。</w:t>
            </w:r>
          </w:p>
        </w:tc>
      </w:tr>
      <w:tr w14:paraId="78962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622A7218">
            <w:pPr>
              <w:spacing w:after="156" w:afterLines="50" w:line="360" w:lineRule="auto"/>
              <w:jc w:val="center"/>
              <w:rPr>
                <w:rFonts w:hAnsi="宋体" w:cs="宋体"/>
                <w:szCs w:val="24"/>
                <w:highlight w:val="none"/>
              </w:rPr>
            </w:pPr>
            <w:r>
              <w:rPr>
                <w:rFonts w:hint="eastAsia" w:hAnsi="宋体" w:cs="宋体"/>
                <w:szCs w:val="24"/>
                <w:highlight w:val="none"/>
              </w:rPr>
              <w:t>10</w:t>
            </w:r>
          </w:p>
        </w:tc>
        <w:tc>
          <w:tcPr>
            <w:tcW w:w="951" w:type="dxa"/>
            <w:vAlign w:val="center"/>
          </w:tcPr>
          <w:p w14:paraId="56F4CDC5">
            <w:pPr>
              <w:spacing w:after="156" w:afterLines="50" w:line="360" w:lineRule="auto"/>
              <w:jc w:val="center"/>
              <w:rPr>
                <w:rFonts w:hAnsi="宋体" w:cs="宋体"/>
                <w:szCs w:val="24"/>
                <w:highlight w:val="none"/>
              </w:rPr>
            </w:pPr>
            <w:r>
              <w:rPr>
                <w:rFonts w:hint="eastAsia" w:hAnsi="宋体" w:cs="宋体"/>
                <w:szCs w:val="24"/>
                <w:highlight w:val="none"/>
              </w:rPr>
              <w:t>17.2</w:t>
            </w:r>
          </w:p>
        </w:tc>
        <w:tc>
          <w:tcPr>
            <w:tcW w:w="7354" w:type="dxa"/>
            <w:vAlign w:val="center"/>
          </w:tcPr>
          <w:p w14:paraId="123E0ACE">
            <w:pPr>
              <w:spacing w:line="360" w:lineRule="auto"/>
              <w:ind w:firstLine="480" w:firstLineChars="200"/>
              <w:rPr>
                <w:rFonts w:hAnsi="宋体" w:cs="宋体"/>
                <w:szCs w:val="24"/>
                <w:highlight w:val="none"/>
              </w:rPr>
            </w:pPr>
            <w:r>
              <w:rPr>
                <w:rFonts w:hint="eastAsia" w:hAnsi="宋体" w:cs="宋体"/>
                <w:szCs w:val="24"/>
                <w:highlight w:val="none"/>
              </w:rPr>
              <w:t>竞争性磋商响应文件正本、所有的副本、电子版本、报价一览表分开密封装在单独的封袋中（封袋不得有破损），且在封袋正面标明“正本”“副本”“电子版本”“报价一览表”字样。封袋应加贴封条，并在封线处加盖供应商公章，封袋正面要粘贴供应商全称、项目名称、编号等标识。</w:t>
            </w:r>
          </w:p>
          <w:p w14:paraId="112C0CA4">
            <w:pPr>
              <w:spacing w:line="360" w:lineRule="auto"/>
              <w:rPr>
                <w:rFonts w:hAnsi="宋体"/>
                <w:szCs w:val="24"/>
                <w:highlight w:val="none"/>
              </w:rPr>
            </w:pPr>
            <w:r>
              <w:rPr>
                <w:rFonts w:hAnsi="宋体"/>
                <w:szCs w:val="24"/>
                <w:highlight w:val="none"/>
              </w:rPr>
              <w:t>外层包装请按以下要求标记：</w:t>
            </w:r>
          </w:p>
          <w:p w14:paraId="6ADF03D5">
            <w:pPr>
              <w:spacing w:line="360" w:lineRule="auto"/>
              <w:ind w:firstLine="720" w:firstLineChars="300"/>
              <w:rPr>
                <w:rFonts w:hAnsi="宋体"/>
                <w:szCs w:val="24"/>
                <w:highlight w:val="none"/>
              </w:rPr>
            </w:pPr>
            <w:r>
              <w:rPr>
                <w:rFonts w:hAnsi="宋体"/>
                <w:szCs w:val="24"/>
                <w:highlight w:val="none"/>
              </w:rPr>
              <w:t xml:space="preserve">1) </w:t>
            </w:r>
            <w:r>
              <w:rPr>
                <w:rFonts w:hint="eastAsia" w:hAnsi="宋体"/>
                <w:szCs w:val="24"/>
                <w:highlight w:val="none"/>
              </w:rPr>
              <w:t>磋商响应单位</w:t>
            </w:r>
            <w:r>
              <w:rPr>
                <w:rFonts w:hAnsi="宋体"/>
                <w:szCs w:val="24"/>
                <w:highlight w:val="none"/>
              </w:rPr>
              <w:t>的全称；</w:t>
            </w:r>
          </w:p>
          <w:p w14:paraId="5E725DA3">
            <w:pPr>
              <w:spacing w:line="360" w:lineRule="auto"/>
              <w:ind w:firstLine="720" w:firstLineChars="300"/>
              <w:rPr>
                <w:rFonts w:hAnsi="宋体"/>
                <w:szCs w:val="24"/>
                <w:highlight w:val="none"/>
              </w:rPr>
            </w:pPr>
            <w:r>
              <w:rPr>
                <w:rFonts w:hAnsi="宋体"/>
                <w:szCs w:val="24"/>
                <w:highlight w:val="none"/>
              </w:rPr>
              <w:t xml:space="preserve">2) </w:t>
            </w:r>
            <w:r>
              <w:rPr>
                <w:rFonts w:hint="eastAsia" w:hAnsi="宋体"/>
                <w:szCs w:val="24"/>
                <w:highlight w:val="none"/>
              </w:rPr>
              <w:t>磋商</w:t>
            </w:r>
            <w:r>
              <w:rPr>
                <w:rFonts w:hAnsi="宋体"/>
                <w:szCs w:val="24"/>
                <w:highlight w:val="none"/>
              </w:rPr>
              <w:t>项目名称、项目编号</w:t>
            </w:r>
            <w:r>
              <w:rPr>
                <w:rFonts w:hint="eastAsia" w:hAnsi="宋体"/>
                <w:szCs w:val="24"/>
                <w:highlight w:val="none"/>
              </w:rPr>
              <w:t>；</w:t>
            </w:r>
          </w:p>
          <w:p w14:paraId="58AC3AFD">
            <w:pPr>
              <w:spacing w:line="360" w:lineRule="auto"/>
              <w:ind w:firstLine="720" w:firstLineChars="300"/>
              <w:rPr>
                <w:rFonts w:hAnsi="宋体"/>
                <w:szCs w:val="24"/>
                <w:highlight w:val="none"/>
              </w:rPr>
            </w:pPr>
            <w:r>
              <w:rPr>
                <w:rFonts w:hAnsi="宋体"/>
                <w:bCs/>
                <w:szCs w:val="24"/>
                <w:highlight w:val="none"/>
              </w:rPr>
              <w:t>3）正本或副本</w:t>
            </w:r>
            <w:r>
              <w:rPr>
                <w:rFonts w:hint="eastAsia" w:hAnsi="宋体"/>
                <w:bCs/>
                <w:szCs w:val="24"/>
                <w:highlight w:val="none"/>
              </w:rPr>
              <w:t>、电子版、报价一览表</w:t>
            </w:r>
            <w:r>
              <w:rPr>
                <w:rFonts w:hAnsi="宋体"/>
                <w:bCs/>
                <w:szCs w:val="24"/>
                <w:highlight w:val="none"/>
              </w:rPr>
              <w:t>“请勿在＿＿＿＿＿(</w:t>
            </w:r>
            <w:r>
              <w:rPr>
                <w:rFonts w:hint="eastAsia" w:hAnsi="宋体"/>
                <w:bCs/>
                <w:szCs w:val="24"/>
                <w:highlight w:val="none"/>
              </w:rPr>
              <w:t>磋商</w:t>
            </w:r>
            <w:r>
              <w:rPr>
                <w:rFonts w:hAnsi="宋体"/>
                <w:bCs/>
                <w:szCs w:val="24"/>
                <w:highlight w:val="none"/>
              </w:rPr>
              <w:t>时间)之前启封”。</w:t>
            </w:r>
          </w:p>
        </w:tc>
      </w:tr>
      <w:tr w14:paraId="5337A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758EFC23">
            <w:pPr>
              <w:spacing w:after="156" w:afterLines="50" w:line="360" w:lineRule="auto"/>
              <w:jc w:val="center"/>
              <w:rPr>
                <w:rFonts w:hAnsi="宋体" w:cs="宋体"/>
                <w:szCs w:val="24"/>
                <w:highlight w:val="none"/>
              </w:rPr>
            </w:pPr>
            <w:r>
              <w:rPr>
                <w:rFonts w:hint="eastAsia" w:hAnsi="宋体" w:cs="宋体"/>
                <w:szCs w:val="24"/>
                <w:highlight w:val="none"/>
              </w:rPr>
              <w:t>11</w:t>
            </w:r>
          </w:p>
        </w:tc>
        <w:tc>
          <w:tcPr>
            <w:tcW w:w="951" w:type="dxa"/>
            <w:vAlign w:val="center"/>
          </w:tcPr>
          <w:p w14:paraId="5250C98B">
            <w:pPr>
              <w:spacing w:after="156" w:afterLines="50" w:line="360" w:lineRule="auto"/>
              <w:jc w:val="center"/>
              <w:rPr>
                <w:rFonts w:hAnsi="宋体" w:cs="宋体"/>
                <w:szCs w:val="24"/>
                <w:highlight w:val="none"/>
              </w:rPr>
            </w:pPr>
            <w:r>
              <w:rPr>
                <w:rFonts w:hint="eastAsia" w:hAnsi="宋体" w:cs="宋体"/>
                <w:szCs w:val="24"/>
                <w:highlight w:val="none"/>
              </w:rPr>
              <w:t>18.1</w:t>
            </w:r>
          </w:p>
        </w:tc>
        <w:tc>
          <w:tcPr>
            <w:tcW w:w="7354" w:type="dxa"/>
          </w:tcPr>
          <w:p w14:paraId="655DEDAE">
            <w:pPr>
              <w:spacing w:line="360" w:lineRule="auto"/>
              <w:rPr>
                <w:rFonts w:hAnsi="宋体" w:cs="宋体"/>
                <w:szCs w:val="24"/>
                <w:highlight w:val="none"/>
              </w:rPr>
            </w:pPr>
            <w:r>
              <w:rPr>
                <w:rFonts w:hint="eastAsia" w:hAnsi="宋体" w:cs="宋体"/>
                <w:szCs w:val="24"/>
                <w:highlight w:val="none"/>
              </w:rPr>
              <w:t>磋商响应文件递交截止时间：</w:t>
            </w:r>
            <w:r>
              <w:rPr>
                <w:rFonts w:hint="eastAsia" w:hAnsi="宋体" w:cs="宋体"/>
                <w:szCs w:val="24"/>
                <w:highlight w:val="none"/>
                <w:lang w:val="en-US" w:eastAsia="zh-CN"/>
              </w:rPr>
              <w:t>见磋商公告</w:t>
            </w:r>
          </w:p>
          <w:p w14:paraId="2E603BD7">
            <w:pPr>
              <w:spacing w:line="360" w:lineRule="auto"/>
              <w:rPr>
                <w:rFonts w:hint="eastAsia" w:hAnsi="宋体" w:eastAsia="宋体" w:cs="宋体"/>
                <w:szCs w:val="24"/>
                <w:highlight w:val="none"/>
                <w:lang w:eastAsia="zh-CN"/>
              </w:rPr>
            </w:pPr>
            <w:r>
              <w:rPr>
                <w:rFonts w:hint="eastAsia" w:hAnsi="宋体" w:cs="宋体"/>
                <w:szCs w:val="24"/>
                <w:highlight w:val="none"/>
              </w:rPr>
              <w:t>磋商响应文件递交地址：陕西省商洛市商州区民主路</w:t>
            </w:r>
            <w:r>
              <w:rPr>
                <w:rFonts w:hint="eastAsia" w:hAnsi="宋体" w:cs="宋体"/>
                <w:szCs w:val="24"/>
                <w:highlight w:val="none"/>
                <w:lang w:eastAsia="zh-CN"/>
              </w:rPr>
              <w:t>陕西至诚项目管理集团有限公司</w:t>
            </w:r>
            <w:r>
              <w:rPr>
                <w:rFonts w:hint="eastAsia" w:hAnsi="宋体" w:cs="宋体"/>
                <w:szCs w:val="24"/>
                <w:highlight w:val="none"/>
              </w:rPr>
              <w:t>商洛分公司</w:t>
            </w:r>
            <w:r>
              <w:rPr>
                <w:rFonts w:hint="eastAsia" w:hAnsi="宋体" w:cs="宋体"/>
                <w:szCs w:val="24"/>
                <w:highlight w:val="none"/>
                <w:lang w:eastAsia="zh-CN"/>
              </w:rPr>
              <w:t>开标室</w:t>
            </w:r>
          </w:p>
          <w:p w14:paraId="556A8ED5">
            <w:pPr>
              <w:spacing w:line="360" w:lineRule="auto"/>
              <w:rPr>
                <w:rFonts w:hint="eastAsia" w:hAnsi="宋体" w:eastAsia="宋体" w:cs="宋体"/>
                <w:szCs w:val="24"/>
                <w:highlight w:val="none"/>
                <w:lang w:eastAsia="zh-CN"/>
              </w:rPr>
            </w:pPr>
            <w:r>
              <w:rPr>
                <w:rFonts w:hint="eastAsia" w:hAnsi="宋体" w:cs="宋体"/>
                <w:szCs w:val="24"/>
                <w:highlight w:val="none"/>
              </w:rPr>
              <w:t>磋商响应文件接收人：</w:t>
            </w:r>
            <w:r>
              <w:rPr>
                <w:rFonts w:hint="eastAsia" w:hAnsi="宋体" w:cs="宋体"/>
                <w:szCs w:val="24"/>
                <w:highlight w:val="none"/>
                <w:lang w:eastAsia="zh-CN"/>
              </w:rPr>
              <w:t>陕西至诚项目管理集团有限公司</w:t>
            </w:r>
          </w:p>
        </w:tc>
      </w:tr>
      <w:tr w14:paraId="3B2C7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14:paraId="52B1F129">
            <w:pPr>
              <w:spacing w:after="156" w:afterLines="50" w:line="360" w:lineRule="auto"/>
              <w:jc w:val="center"/>
              <w:rPr>
                <w:rFonts w:hAnsi="宋体" w:cs="宋体"/>
                <w:szCs w:val="24"/>
                <w:highlight w:val="none"/>
              </w:rPr>
            </w:pPr>
            <w:r>
              <w:rPr>
                <w:rFonts w:hint="eastAsia" w:hAnsi="宋体" w:cs="宋体"/>
                <w:szCs w:val="24"/>
                <w:highlight w:val="none"/>
              </w:rPr>
              <w:t>12</w:t>
            </w:r>
          </w:p>
        </w:tc>
        <w:tc>
          <w:tcPr>
            <w:tcW w:w="951" w:type="dxa"/>
            <w:vAlign w:val="center"/>
          </w:tcPr>
          <w:p w14:paraId="4CF13268">
            <w:pPr>
              <w:spacing w:after="156" w:afterLines="50" w:line="360" w:lineRule="auto"/>
              <w:jc w:val="center"/>
              <w:rPr>
                <w:rFonts w:hAnsi="宋体" w:cs="宋体"/>
                <w:szCs w:val="24"/>
                <w:highlight w:val="none"/>
              </w:rPr>
            </w:pPr>
            <w:r>
              <w:rPr>
                <w:rFonts w:hint="eastAsia" w:hAnsi="宋体" w:cs="宋体"/>
                <w:szCs w:val="24"/>
                <w:highlight w:val="none"/>
              </w:rPr>
              <w:t>21.1</w:t>
            </w:r>
          </w:p>
        </w:tc>
        <w:tc>
          <w:tcPr>
            <w:tcW w:w="7354" w:type="dxa"/>
            <w:vAlign w:val="center"/>
          </w:tcPr>
          <w:p w14:paraId="7849B620">
            <w:pPr>
              <w:spacing w:line="360" w:lineRule="auto"/>
              <w:rPr>
                <w:rFonts w:hint="default" w:hAnsi="宋体" w:eastAsia="宋体" w:cs="宋体"/>
                <w:szCs w:val="24"/>
                <w:highlight w:val="none"/>
                <w:lang w:val="en-US" w:eastAsia="zh-CN"/>
              </w:rPr>
            </w:pPr>
            <w:r>
              <w:rPr>
                <w:rFonts w:hint="eastAsia" w:hAnsi="宋体" w:cs="宋体"/>
                <w:szCs w:val="24"/>
                <w:highlight w:val="none"/>
              </w:rPr>
              <w:t>磋商时间：</w:t>
            </w:r>
            <w:r>
              <w:rPr>
                <w:rFonts w:hint="eastAsia" w:hAnsi="宋体" w:cs="宋体"/>
                <w:szCs w:val="24"/>
                <w:highlight w:val="none"/>
                <w:lang w:val="en-US" w:eastAsia="zh-CN"/>
              </w:rPr>
              <w:t>见磋商公告</w:t>
            </w:r>
          </w:p>
          <w:p w14:paraId="7408FC25">
            <w:pPr>
              <w:spacing w:line="360" w:lineRule="auto"/>
              <w:jc w:val="left"/>
              <w:rPr>
                <w:rFonts w:hint="eastAsia" w:hAnsi="宋体" w:eastAsia="宋体" w:cs="宋体"/>
                <w:szCs w:val="24"/>
                <w:highlight w:val="none"/>
                <w:lang w:eastAsia="zh-CN"/>
              </w:rPr>
            </w:pPr>
            <w:r>
              <w:rPr>
                <w:rFonts w:hint="eastAsia" w:hAnsi="宋体" w:cs="宋体"/>
                <w:szCs w:val="24"/>
                <w:highlight w:val="none"/>
              </w:rPr>
              <w:t>磋商地点：陕西省商洛市商州区民主路</w:t>
            </w:r>
            <w:r>
              <w:rPr>
                <w:rFonts w:hint="eastAsia" w:hAnsi="宋体" w:cs="宋体"/>
                <w:szCs w:val="24"/>
                <w:highlight w:val="none"/>
                <w:lang w:eastAsia="zh-CN"/>
              </w:rPr>
              <w:t>陕西至诚项目管理集团有限公司</w:t>
            </w:r>
            <w:r>
              <w:rPr>
                <w:rFonts w:hint="eastAsia" w:hAnsi="宋体" w:cs="宋体"/>
                <w:szCs w:val="24"/>
                <w:highlight w:val="none"/>
              </w:rPr>
              <w:t>商洛分公司</w:t>
            </w:r>
            <w:r>
              <w:rPr>
                <w:rFonts w:hint="eastAsia" w:hAnsi="宋体" w:cs="宋体"/>
                <w:szCs w:val="24"/>
                <w:highlight w:val="none"/>
                <w:lang w:eastAsia="zh-CN"/>
              </w:rPr>
              <w:t>开标室</w:t>
            </w:r>
          </w:p>
        </w:tc>
      </w:tr>
      <w:tr w14:paraId="1B7B8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14:paraId="19842851">
            <w:pPr>
              <w:spacing w:after="156" w:afterLines="50" w:line="360" w:lineRule="auto"/>
              <w:jc w:val="center"/>
              <w:rPr>
                <w:rFonts w:hAnsi="宋体" w:cs="宋体"/>
                <w:szCs w:val="24"/>
                <w:highlight w:val="none"/>
              </w:rPr>
            </w:pPr>
            <w:r>
              <w:rPr>
                <w:rFonts w:hint="eastAsia" w:hAnsi="宋体" w:cs="宋体"/>
                <w:szCs w:val="24"/>
                <w:highlight w:val="none"/>
              </w:rPr>
              <w:t>13</w:t>
            </w:r>
          </w:p>
        </w:tc>
        <w:tc>
          <w:tcPr>
            <w:tcW w:w="951" w:type="dxa"/>
            <w:vAlign w:val="center"/>
          </w:tcPr>
          <w:p w14:paraId="64BA4A1E">
            <w:pPr>
              <w:spacing w:after="156" w:afterLines="50" w:line="360" w:lineRule="auto"/>
              <w:jc w:val="center"/>
              <w:rPr>
                <w:rFonts w:hAnsi="宋体" w:cs="宋体"/>
                <w:szCs w:val="24"/>
                <w:highlight w:val="none"/>
              </w:rPr>
            </w:pPr>
            <w:r>
              <w:rPr>
                <w:rFonts w:hint="eastAsia" w:hAnsi="宋体" w:cs="宋体"/>
                <w:szCs w:val="24"/>
                <w:highlight w:val="none"/>
              </w:rPr>
              <w:t>24.1</w:t>
            </w:r>
          </w:p>
        </w:tc>
        <w:tc>
          <w:tcPr>
            <w:tcW w:w="7354" w:type="dxa"/>
            <w:vAlign w:val="center"/>
          </w:tcPr>
          <w:p w14:paraId="6C487E89">
            <w:pPr>
              <w:spacing w:after="156" w:afterLines="50" w:line="360" w:lineRule="auto"/>
              <w:jc w:val="left"/>
              <w:rPr>
                <w:rFonts w:hAnsi="宋体" w:cs="宋体"/>
                <w:szCs w:val="24"/>
                <w:highlight w:val="none"/>
              </w:rPr>
            </w:pPr>
            <w:r>
              <w:rPr>
                <w:rFonts w:hint="eastAsia" w:hAnsi="宋体" w:cs="宋体"/>
                <w:b/>
                <w:bCs/>
                <w:szCs w:val="24"/>
                <w:highlight w:val="none"/>
              </w:rPr>
              <w:t>评审方法：综合评分法（详见第三章）</w:t>
            </w:r>
          </w:p>
        </w:tc>
      </w:tr>
      <w:tr w14:paraId="799BC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36" w:hRule="atLeast"/>
          <w:jc w:val="center"/>
        </w:trPr>
        <w:tc>
          <w:tcPr>
            <w:tcW w:w="592" w:type="dxa"/>
            <w:vAlign w:val="center"/>
          </w:tcPr>
          <w:p w14:paraId="04CB8851">
            <w:pPr>
              <w:spacing w:after="156" w:afterLines="50" w:line="360" w:lineRule="auto"/>
              <w:jc w:val="center"/>
              <w:rPr>
                <w:rFonts w:hAnsi="宋体" w:cs="宋体"/>
                <w:szCs w:val="24"/>
                <w:highlight w:val="none"/>
              </w:rPr>
            </w:pPr>
            <w:r>
              <w:rPr>
                <w:rFonts w:hint="eastAsia" w:hAnsi="宋体" w:cs="宋体"/>
                <w:szCs w:val="24"/>
                <w:highlight w:val="none"/>
              </w:rPr>
              <w:t>14</w:t>
            </w:r>
          </w:p>
        </w:tc>
        <w:tc>
          <w:tcPr>
            <w:tcW w:w="951" w:type="dxa"/>
            <w:vAlign w:val="center"/>
          </w:tcPr>
          <w:p w14:paraId="71981505">
            <w:pPr>
              <w:spacing w:after="156" w:afterLines="50" w:line="360" w:lineRule="auto"/>
              <w:jc w:val="center"/>
              <w:rPr>
                <w:rFonts w:hAnsi="宋体" w:cs="宋体"/>
                <w:szCs w:val="24"/>
                <w:highlight w:val="none"/>
              </w:rPr>
            </w:pPr>
            <w:r>
              <w:rPr>
                <w:rFonts w:hint="eastAsia" w:hAnsi="宋体" w:cs="宋体"/>
                <w:szCs w:val="24"/>
                <w:highlight w:val="none"/>
              </w:rPr>
              <w:t>29</w:t>
            </w:r>
          </w:p>
        </w:tc>
        <w:tc>
          <w:tcPr>
            <w:tcW w:w="7354" w:type="dxa"/>
            <w:vAlign w:val="center"/>
          </w:tcPr>
          <w:p w14:paraId="0395BB27">
            <w:pPr>
              <w:spacing w:after="156" w:afterLines="50" w:line="360" w:lineRule="auto"/>
              <w:jc w:val="left"/>
              <w:rPr>
                <w:rFonts w:hAnsi="宋体" w:cs="宋体"/>
                <w:szCs w:val="24"/>
                <w:highlight w:val="none"/>
              </w:rPr>
            </w:pPr>
            <w:r>
              <w:rPr>
                <w:rFonts w:hint="eastAsia" w:hAnsi="宋体" w:cs="宋体"/>
                <w:szCs w:val="24"/>
                <w:highlight w:val="none"/>
              </w:rPr>
              <w:t>磋商代理服务费：</w:t>
            </w:r>
          </w:p>
          <w:p w14:paraId="4117D79B">
            <w:pPr>
              <w:spacing w:after="156" w:afterLines="50" w:line="360" w:lineRule="auto"/>
              <w:jc w:val="left"/>
              <w:rPr>
                <w:rFonts w:hAnsi="宋体" w:cs="宋体"/>
                <w:szCs w:val="24"/>
                <w:highlight w:val="none"/>
              </w:rPr>
            </w:pPr>
            <w:r>
              <w:rPr>
                <w:rFonts w:hint="eastAsia" w:hAnsi="宋体" w:cs="宋体"/>
                <w:szCs w:val="24"/>
                <w:highlight w:val="none"/>
              </w:rPr>
              <w:t>29.1</w:t>
            </w:r>
            <w:bookmarkStart w:id="24" w:name="OLE_LINK9"/>
            <w:bookmarkStart w:id="25" w:name="OLE_LINK10"/>
            <w:r>
              <w:rPr>
                <w:rFonts w:hint="eastAsia" w:hAnsi="宋体" w:cs="宋体"/>
                <w:szCs w:val="24"/>
                <w:highlight w:val="none"/>
              </w:rPr>
              <w:t xml:space="preserve"> 招标代理服务费的计算方法：以中标金额为基数，依据国家计委颁布《招标代理服务收费管理暂行办法》（计价格[2002]1980号）文件的有关规定执行。</w:t>
            </w:r>
            <w:bookmarkEnd w:id="24"/>
            <w:bookmarkEnd w:id="25"/>
            <w:r>
              <w:rPr>
                <w:rFonts w:hint="eastAsia"/>
                <w:color w:val="auto"/>
                <w:szCs w:val="24"/>
                <w:highlight w:val="none"/>
              </w:rPr>
              <w:t>不足</w:t>
            </w:r>
            <w:r>
              <w:rPr>
                <w:rFonts w:hint="eastAsia"/>
                <w:color w:val="auto"/>
                <w:szCs w:val="24"/>
                <w:highlight w:val="none"/>
                <w:lang w:val="en-US" w:eastAsia="zh-CN"/>
              </w:rPr>
              <w:t>3</w:t>
            </w:r>
            <w:r>
              <w:rPr>
                <w:rFonts w:hint="eastAsia"/>
                <w:color w:val="auto"/>
                <w:szCs w:val="24"/>
                <w:highlight w:val="none"/>
              </w:rPr>
              <w:t>000元按</w:t>
            </w:r>
            <w:r>
              <w:rPr>
                <w:rFonts w:hint="eastAsia"/>
                <w:color w:val="auto"/>
                <w:szCs w:val="24"/>
                <w:highlight w:val="none"/>
                <w:lang w:val="en-US" w:eastAsia="zh-CN"/>
              </w:rPr>
              <w:t>3</w:t>
            </w:r>
            <w:r>
              <w:rPr>
                <w:rFonts w:hint="eastAsia"/>
                <w:color w:val="auto"/>
                <w:szCs w:val="24"/>
                <w:highlight w:val="none"/>
              </w:rPr>
              <w:t>000元收取。</w:t>
            </w:r>
          </w:p>
          <w:p w14:paraId="18B25CCD">
            <w:pPr>
              <w:spacing w:after="156" w:afterLines="50" w:line="360" w:lineRule="auto"/>
              <w:jc w:val="left"/>
              <w:rPr>
                <w:rFonts w:hAnsi="宋体" w:cs="宋体"/>
                <w:szCs w:val="24"/>
                <w:highlight w:val="none"/>
              </w:rPr>
            </w:pPr>
            <w:r>
              <w:rPr>
                <w:rFonts w:hint="eastAsia" w:hAnsi="宋体" w:cs="宋体"/>
                <w:szCs w:val="24"/>
                <w:highlight w:val="none"/>
              </w:rPr>
              <w:t>29.2 成交单位在领取成交通知书前，须向采购代理机构一次性支付代理服务费。</w:t>
            </w:r>
          </w:p>
        </w:tc>
      </w:tr>
      <w:tr w14:paraId="2B285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6793A61">
            <w:pPr>
              <w:jc w:val="center"/>
              <w:rPr>
                <w:rFonts w:hAnsi="宋体" w:cs="宋体"/>
                <w:szCs w:val="24"/>
                <w:highlight w:val="none"/>
              </w:rPr>
            </w:pPr>
            <w:r>
              <w:rPr>
                <w:rFonts w:hint="eastAsia" w:hAnsi="宋体" w:cs="宋体"/>
                <w:szCs w:val="24"/>
                <w:highlight w:val="none"/>
              </w:rPr>
              <w:t>15</w:t>
            </w:r>
          </w:p>
        </w:tc>
        <w:tc>
          <w:tcPr>
            <w:tcW w:w="951" w:type="dxa"/>
            <w:vAlign w:val="center"/>
          </w:tcPr>
          <w:p w14:paraId="5142CC1F">
            <w:pPr>
              <w:jc w:val="center"/>
              <w:rPr>
                <w:rFonts w:hAnsi="宋体" w:cs="宋体"/>
                <w:b/>
                <w:bCs/>
                <w:szCs w:val="24"/>
                <w:highlight w:val="none"/>
              </w:rPr>
            </w:pPr>
            <w:r>
              <w:rPr>
                <w:rFonts w:hint="eastAsia" w:hAnsi="宋体" w:cs="宋体"/>
                <w:b/>
                <w:bCs/>
                <w:szCs w:val="24"/>
                <w:highlight w:val="none"/>
              </w:rPr>
              <w:t>银行</w:t>
            </w:r>
          </w:p>
          <w:p w14:paraId="78BFF463">
            <w:pPr>
              <w:jc w:val="center"/>
              <w:rPr>
                <w:rFonts w:hAnsi="宋体" w:cs="宋体"/>
                <w:b/>
                <w:bCs/>
                <w:szCs w:val="24"/>
                <w:highlight w:val="none"/>
              </w:rPr>
            </w:pPr>
            <w:r>
              <w:rPr>
                <w:rFonts w:hint="eastAsia" w:hAnsi="宋体" w:cs="宋体"/>
                <w:b/>
                <w:bCs/>
                <w:szCs w:val="24"/>
                <w:highlight w:val="none"/>
              </w:rPr>
              <w:t>账户</w:t>
            </w:r>
          </w:p>
          <w:p w14:paraId="6E4C1E45">
            <w:pPr>
              <w:jc w:val="center"/>
              <w:rPr>
                <w:rFonts w:hAnsi="宋体" w:cs="宋体"/>
                <w:szCs w:val="24"/>
                <w:highlight w:val="none"/>
              </w:rPr>
            </w:pPr>
            <w:r>
              <w:rPr>
                <w:rFonts w:hint="eastAsia" w:hAnsi="宋体" w:cs="宋体"/>
                <w:b/>
                <w:bCs/>
                <w:szCs w:val="24"/>
                <w:highlight w:val="none"/>
              </w:rPr>
              <w:t>信息</w:t>
            </w:r>
          </w:p>
        </w:tc>
        <w:tc>
          <w:tcPr>
            <w:tcW w:w="7354" w:type="dxa"/>
            <w:vAlign w:val="center"/>
          </w:tcPr>
          <w:p w14:paraId="7BFD43C0">
            <w:pPr>
              <w:numPr>
                <w:ilvl w:val="0"/>
                <w:numId w:val="1"/>
              </w:numPr>
              <w:spacing w:line="520" w:lineRule="exact"/>
              <w:rPr>
                <w:rFonts w:hAnsi="宋体" w:cs="宋体"/>
                <w:b/>
                <w:bCs/>
                <w:szCs w:val="24"/>
                <w:highlight w:val="none"/>
              </w:rPr>
            </w:pPr>
            <w:r>
              <w:rPr>
                <w:rFonts w:hint="eastAsia" w:hAnsi="宋体" w:cs="宋体"/>
                <w:b/>
                <w:bCs/>
                <w:szCs w:val="24"/>
                <w:highlight w:val="none"/>
              </w:rPr>
              <w:t>代理服务费账户：</w:t>
            </w:r>
          </w:p>
          <w:p w14:paraId="4F610308">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采购代理机构开户名称</w:t>
            </w:r>
            <w:r>
              <w:rPr>
                <w:rFonts w:hint="eastAsia" w:hAnsi="宋体" w:cs="宋体"/>
                <w:b/>
                <w:bCs/>
                <w:szCs w:val="24"/>
                <w:highlight w:val="none"/>
                <w:lang w:eastAsia="zh-CN"/>
              </w:rPr>
              <w:t>：陕西至诚项目管理集团有限公司商洛分公司</w:t>
            </w:r>
          </w:p>
          <w:p w14:paraId="49469426">
            <w:pPr>
              <w:pStyle w:val="6"/>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开户行名称：中国工商银行股份有限公司商洛中心街支行</w:t>
            </w:r>
          </w:p>
          <w:p w14:paraId="59256F1D">
            <w:pPr>
              <w:pStyle w:val="6"/>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账号：2608080309200055627</w:t>
            </w:r>
          </w:p>
          <w:p w14:paraId="437B1E7D">
            <w:pPr>
              <w:spacing w:line="520" w:lineRule="exact"/>
              <w:ind w:firstLine="482" w:firstLineChars="200"/>
              <w:rPr>
                <w:rFonts w:hAnsi="宋体" w:cs="宋体"/>
                <w:szCs w:val="24"/>
                <w:highlight w:val="none"/>
              </w:rPr>
            </w:pPr>
            <w:r>
              <w:rPr>
                <w:rFonts w:hint="eastAsia" w:hAnsi="宋体" w:cs="宋体"/>
                <w:b/>
                <w:bCs/>
                <w:szCs w:val="24"/>
                <w:highlight w:val="none"/>
              </w:rPr>
              <w:t>请各供应商按照要求分别将保证金和服务费汇入以上指定账户，如因自身原因发生错误，产生的不利后果均由供应商自行承担。</w:t>
            </w:r>
          </w:p>
        </w:tc>
      </w:tr>
      <w:tr w14:paraId="76655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4587F6A8">
            <w:pPr>
              <w:jc w:val="center"/>
              <w:rPr>
                <w:rFonts w:hAnsi="宋体" w:cs="宋体"/>
                <w:szCs w:val="24"/>
                <w:highlight w:val="none"/>
              </w:rPr>
            </w:pPr>
            <w:r>
              <w:rPr>
                <w:rFonts w:hint="eastAsia" w:hAnsi="宋体" w:cs="宋体"/>
                <w:szCs w:val="24"/>
                <w:highlight w:val="none"/>
              </w:rPr>
              <w:t>16</w:t>
            </w:r>
          </w:p>
        </w:tc>
        <w:tc>
          <w:tcPr>
            <w:tcW w:w="951" w:type="dxa"/>
            <w:vAlign w:val="center"/>
          </w:tcPr>
          <w:p w14:paraId="11C7AC0C">
            <w:pPr>
              <w:spacing w:line="360" w:lineRule="auto"/>
              <w:jc w:val="center"/>
              <w:rPr>
                <w:rFonts w:hAnsi="宋体" w:cs="宋体"/>
                <w:szCs w:val="24"/>
                <w:highlight w:val="none"/>
              </w:rPr>
            </w:pPr>
            <w:r>
              <w:rPr>
                <w:rFonts w:hint="eastAsia" w:hAnsi="宋体" w:cs="宋体"/>
                <w:szCs w:val="24"/>
                <w:highlight w:val="none"/>
              </w:rPr>
              <w:t>履约</w:t>
            </w:r>
          </w:p>
          <w:p w14:paraId="4323BA5D">
            <w:pPr>
              <w:spacing w:line="360" w:lineRule="auto"/>
              <w:jc w:val="center"/>
              <w:rPr>
                <w:rFonts w:hAnsi="宋体" w:cs="宋体"/>
                <w:b/>
                <w:bCs/>
                <w:szCs w:val="24"/>
                <w:highlight w:val="none"/>
              </w:rPr>
            </w:pPr>
            <w:r>
              <w:rPr>
                <w:rFonts w:hint="eastAsia" w:hAnsi="宋体" w:cs="宋体"/>
                <w:szCs w:val="24"/>
                <w:highlight w:val="none"/>
              </w:rPr>
              <w:t>担保</w:t>
            </w:r>
          </w:p>
        </w:tc>
        <w:tc>
          <w:tcPr>
            <w:tcW w:w="7354" w:type="dxa"/>
            <w:vAlign w:val="center"/>
          </w:tcPr>
          <w:p w14:paraId="296AB5A2">
            <w:pPr>
              <w:widowControl/>
              <w:spacing w:line="360" w:lineRule="auto"/>
              <w:jc w:val="left"/>
              <w:rPr>
                <w:rFonts w:hint="eastAsia" w:hAnsi="宋体" w:eastAsia="宋体" w:cs="宋体"/>
                <w:szCs w:val="24"/>
                <w:highlight w:val="none"/>
                <w:lang w:eastAsia="zh-CN"/>
              </w:rPr>
            </w:pPr>
            <w:r>
              <w:rPr>
                <w:rFonts w:hint="eastAsia" w:hAnsi="宋体" w:cs="宋体"/>
                <w:szCs w:val="24"/>
                <w:highlight w:val="none"/>
              </w:rPr>
              <w:t>履约担保的形式：</w:t>
            </w:r>
            <w:r>
              <w:rPr>
                <w:rFonts w:hint="eastAsia" w:hAnsi="宋体" w:cs="宋体"/>
                <w:szCs w:val="24"/>
                <w:highlight w:val="none"/>
                <w:lang w:val="en-US" w:eastAsia="zh-CN"/>
              </w:rPr>
              <w:t>/</w:t>
            </w:r>
          </w:p>
          <w:p w14:paraId="5AFB03FB">
            <w:pPr>
              <w:spacing w:line="360" w:lineRule="auto"/>
              <w:rPr>
                <w:rFonts w:hint="default" w:hAnsi="宋体" w:eastAsia="宋体" w:cs="宋体"/>
                <w:b/>
                <w:bCs/>
                <w:szCs w:val="24"/>
                <w:highlight w:val="none"/>
                <w:lang w:val="en-US" w:eastAsia="zh-CN"/>
              </w:rPr>
            </w:pPr>
            <w:r>
              <w:rPr>
                <w:rFonts w:hint="eastAsia" w:hAnsi="宋体" w:cs="宋体"/>
                <w:szCs w:val="24"/>
                <w:highlight w:val="none"/>
              </w:rPr>
              <w:t>履约担保的金额：</w:t>
            </w:r>
            <w:r>
              <w:rPr>
                <w:rFonts w:hint="eastAsia" w:hAnsi="宋体" w:cs="宋体"/>
                <w:szCs w:val="24"/>
                <w:highlight w:val="none"/>
                <w:lang w:val="en-US" w:eastAsia="zh-CN"/>
              </w:rPr>
              <w:t>/</w:t>
            </w:r>
          </w:p>
        </w:tc>
      </w:tr>
      <w:tr w14:paraId="1F81C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20CA8E0">
            <w:pPr>
              <w:jc w:val="center"/>
              <w:rPr>
                <w:rFonts w:hAnsi="宋体" w:cs="宋体"/>
                <w:color w:val="auto"/>
                <w:szCs w:val="24"/>
                <w:highlight w:val="none"/>
              </w:rPr>
            </w:pPr>
            <w:r>
              <w:rPr>
                <w:rFonts w:hint="eastAsia" w:hAnsi="宋体" w:cs="宋体"/>
                <w:color w:val="auto"/>
                <w:szCs w:val="24"/>
                <w:highlight w:val="none"/>
              </w:rPr>
              <w:t>17</w:t>
            </w:r>
          </w:p>
        </w:tc>
        <w:tc>
          <w:tcPr>
            <w:tcW w:w="951" w:type="dxa"/>
            <w:vAlign w:val="center"/>
          </w:tcPr>
          <w:p w14:paraId="22D95207">
            <w:pPr>
              <w:spacing w:line="360" w:lineRule="auto"/>
              <w:jc w:val="center"/>
              <w:rPr>
                <w:rFonts w:hAnsi="宋体" w:cs="宋体"/>
                <w:bCs/>
                <w:color w:val="auto"/>
                <w:szCs w:val="24"/>
                <w:highlight w:val="none"/>
              </w:rPr>
            </w:pPr>
            <w:r>
              <w:rPr>
                <w:rFonts w:hint="eastAsia" w:hAnsi="宋体" w:cs="宋体"/>
                <w:bCs/>
                <w:color w:val="auto"/>
                <w:szCs w:val="24"/>
                <w:highlight w:val="none"/>
              </w:rPr>
              <w:t>现场</w:t>
            </w:r>
          </w:p>
          <w:p w14:paraId="6F9B0BF7">
            <w:pPr>
              <w:spacing w:line="360" w:lineRule="auto"/>
              <w:jc w:val="center"/>
              <w:rPr>
                <w:rFonts w:hAnsi="宋体" w:cs="宋体"/>
                <w:color w:val="auto"/>
                <w:szCs w:val="24"/>
                <w:highlight w:val="none"/>
              </w:rPr>
            </w:pPr>
            <w:r>
              <w:rPr>
                <w:rFonts w:hint="eastAsia" w:hAnsi="宋体" w:cs="宋体"/>
                <w:color w:val="auto"/>
                <w:kern w:val="2"/>
                <w:szCs w:val="24"/>
                <w:highlight w:val="none"/>
              </w:rPr>
              <w:t>踏</w:t>
            </w:r>
            <w:r>
              <w:rPr>
                <w:rFonts w:hint="eastAsia" w:hAnsi="宋体" w:cs="宋体"/>
                <w:bCs/>
                <w:color w:val="auto"/>
                <w:szCs w:val="24"/>
                <w:highlight w:val="none"/>
              </w:rPr>
              <w:t>勘</w:t>
            </w:r>
          </w:p>
        </w:tc>
        <w:tc>
          <w:tcPr>
            <w:tcW w:w="7354" w:type="dxa"/>
            <w:vAlign w:val="center"/>
          </w:tcPr>
          <w:p w14:paraId="578E2713">
            <w:pPr>
              <w:spacing w:line="360" w:lineRule="auto"/>
              <w:rPr>
                <w:color w:val="auto"/>
                <w:highlight w:val="none"/>
              </w:rPr>
            </w:pPr>
            <w:r>
              <w:rPr>
                <w:rFonts w:hint="eastAsia"/>
                <w:color w:val="auto"/>
                <w:highlight w:val="none"/>
              </w:rPr>
              <w:t>1、</w:t>
            </w:r>
            <w:r>
              <w:rPr>
                <w:rFonts w:hint="eastAsia"/>
                <w:color w:val="auto"/>
                <w:highlight w:val="none"/>
                <w:lang w:val="en-US" w:eastAsia="zh-CN"/>
              </w:rPr>
              <w:t>不</w:t>
            </w:r>
            <w:r>
              <w:rPr>
                <w:rFonts w:hint="eastAsia"/>
                <w:color w:val="auto"/>
                <w:highlight w:val="none"/>
              </w:rPr>
              <w:t>组织；</w:t>
            </w:r>
          </w:p>
          <w:p w14:paraId="143458BC">
            <w:pPr>
              <w:spacing w:line="360" w:lineRule="auto"/>
              <w:rPr>
                <w:rFonts w:hint="eastAsia" w:eastAsia="宋体"/>
                <w:color w:val="auto"/>
                <w:highlight w:val="none"/>
                <w:lang w:eastAsia="zh-CN"/>
              </w:rPr>
            </w:pPr>
            <w:r>
              <w:rPr>
                <w:rFonts w:hint="eastAsia"/>
                <w:color w:val="auto"/>
                <w:highlight w:val="none"/>
              </w:rPr>
              <w:t>2、供应商</w:t>
            </w:r>
            <w:r>
              <w:rPr>
                <w:rFonts w:hint="eastAsia"/>
                <w:color w:val="auto"/>
                <w:highlight w:val="none"/>
                <w:lang w:val="en-US" w:eastAsia="zh-CN"/>
              </w:rPr>
              <w:t>自行</w:t>
            </w:r>
            <w:r>
              <w:rPr>
                <w:rFonts w:hint="eastAsia"/>
                <w:color w:val="auto"/>
                <w:highlight w:val="none"/>
              </w:rPr>
              <w:t>踏勘，</w:t>
            </w:r>
            <w:r>
              <w:rPr>
                <w:rFonts w:hint="eastAsia"/>
                <w:color w:val="auto"/>
                <w:highlight w:val="none"/>
                <w:lang w:val="en-US" w:eastAsia="zh-CN"/>
              </w:rPr>
              <w:t>供应商自行</w:t>
            </w:r>
            <w:r>
              <w:rPr>
                <w:rFonts w:hint="eastAsia"/>
                <w:color w:val="auto"/>
                <w:highlight w:val="none"/>
              </w:rPr>
              <w:t>承担踏勘现场所发生的相关费用和自身安全责任；踏勘过程不得扰民。</w:t>
            </w:r>
          </w:p>
        </w:tc>
      </w:tr>
      <w:tr w14:paraId="4282D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4D9CF3D">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18</w:t>
            </w:r>
          </w:p>
        </w:tc>
        <w:tc>
          <w:tcPr>
            <w:tcW w:w="951" w:type="dxa"/>
            <w:vAlign w:val="center"/>
          </w:tcPr>
          <w:p w14:paraId="654E590C">
            <w:pPr>
              <w:spacing w:line="360" w:lineRule="auto"/>
              <w:jc w:val="center"/>
              <w:rPr>
                <w:rFonts w:hint="eastAsia" w:hAnsi="宋体" w:cs="宋体"/>
                <w:kern w:val="2"/>
                <w:szCs w:val="24"/>
                <w:highlight w:val="none"/>
                <w:lang w:eastAsia="zh-CN"/>
              </w:rPr>
            </w:pPr>
            <w:r>
              <w:rPr>
                <w:rFonts w:hint="eastAsia" w:hAnsi="宋体" w:cs="宋体"/>
                <w:kern w:val="2"/>
                <w:szCs w:val="24"/>
                <w:highlight w:val="none"/>
                <w:lang w:eastAsia="zh-CN"/>
              </w:rPr>
              <w:t>最高</w:t>
            </w:r>
          </w:p>
          <w:p w14:paraId="18F7CBA6">
            <w:pPr>
              <w:spacing w:line="360" w:lineRule="auto"/>
              <w:jc w:val="center"/>
              <w:rPr>
                <w:rFonts w:hint="eastAsia" w:hAnsi="宋体" w:eastAsia="宋体" w:cs="宋体"/>
                <w:kern w:val="2"/>
                <w:szCs w:val="24"/>
                <w:highlight w:val="none"/>
                <w:lang w:eastAsia="zh-CN"/>
              </w:rPr>
            </w:pPr>
            <w:r>
              <w:rPr>
                <w:rFonts w:hint="eastAsia" w:hAnsi="宋体" w:cs="宋体"/>
                <w:kern w:val="2"/>
                <w:szCs w:val="24"/>
                <w:highlight w:val="none"/>
                <w:lang w:eastAsia="zh-CN"/>
              </w:rPr>
              <w:t>限价</w:t>
            </w:r>
          </w:p>
        </w:tc>
        <w:tc>
          <w:tcPr>
            <w:tcW w:w="7354" w:type="dxa"/>
            <w:vAlign w:val="center"/>
          </w:tcPr>
          <w:p w14:paraId="070AEFF7">
            <w:pPr>
              <w:spacing w:line="360" w:lineRule="auto"/>
              <w:rPr>
                <w:rFonts w:hint="default" w:eastAsia="宋体"/>
                <w:szCs w:val="22"/>
                <w:highlight w:val="none"/>
                <w:lang w:val="en-US" w:eastAsia="zh-CN"/>
              </w:rPr>
            </w:pPr>
            <w:r>
              <w:rPr>
                <w:rFonts w:hint="eastAsia"/>
                <w:szCs w:val="22"/>
                <w:highlight w:val="none"/>
                <w:lang w:val="en-US" w:eastAsia="zh-CN"/>
              </w:rPr>
              <w:t>759,513.92元，超出最高限价按无效投标处理。</w:t>
            </w:r>
          </w:p>
        </w:tc>
      </w:tr>
      <w:tr w14:paraId="1FE70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527D39D4">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19</w:t>
            </w:r>
          </w:p>
        </w:tc>
        <w:tc>
          <w:tcPr>
            <w:tcW w:w="951" w:type="dxa"/>
            <w:vAlign w:val="center"/>
          </w:tcPr>
          <w:p w14:paraId="0E4B73B9">
            <w:pPr>
              <w:widowControl/>
              <w:spacing w:line="360" w:lineRule="auto"/>
              <w:jc w:val="center"/>
              <w:rPr>
                <w:rFonts w:hint="eastAsia" w:hAnsi="宋体"/>
                <w:b w:val="0"/>
                <w:bCs w:val="0"/>
                <w:color w:val="auto"/>
                <w:szCs w:val="24"/>
                <w:highlight w:val="none"/>
                <w:lang w:eastAsia="zh-CN"/>
              </w:rPr>
            </w:pPr>
            <w:r>
              <w:rPr>
                <w:rFonts w:hint="eastAsia" w:hAnsi="宋体"/>
                <w:b w:val="0"/>
                <w:bCs w:val="0"/>
                <w:color w:val="auto"/>
                <w:szCs w:val="24"/>
                <w:highlight w:val="none"/>
                <w:lang w:eastAsia="zh-CN"/>
              </w:rPr>
              <w:t>项目</w:t>
            </w:r>
          </w:p>
          <w:p w14:paraId="1F6A8F0C">
            <w:pPr>
              <w:widowControl/>
              <w:spacing w:line="360" w:lineRule="auto"/>
              <w:jc w:val="center"/>
              <w:rPr>
                <w:rFonts w:hint="eastAsia" w:hAnsi="宋体" w:cs="宋体"/>
                <w:kern w:val="2"/>
                <w:szCs w:val="24"/>
                <w:highlight w:val="none"/>
              </w:rPr>
            </w:pPr>
            <w:r>
              <w:rPr>
                <w:rFonts w:hint="eastAsia" w:hAnsi="宋体"/>
                <w:b w:val="0"/>
                <w:bCs w:val="0"/>
                <w:color w:val="auto"/>
                <w:szCs w:val="24"/>
                <w:highlight w:val="none"/>
                <w:lang w:eastAsia="zh-CN"/>
              </w:rPr>
              <w:t>性质</w:t>
            </w:r>
          </w:p>
        </w:tc>
        <w:tc>
          <w:tcPr>
            <w:tcW w:w="7354" w:type="dxa"/>
            <w:vAlign w:val="center"/>
          </w:tcPr>
          <w:p w14:paraId="74315D94">
            <w:pPr>
              <w:widowControl/>
              <w:spacing w:line="360" w:lineRule="auto"/>
              <w:rPr>
                <w:rFonts w:hint="eastAsia" w:eastAsia="宋体"/>
                <w:szCs w:val="22"/>
                <w:highlight w:val="none"/>
                <w:lang w:eastAsia="zh-CN"/>
              </w:rPr>
            </w:pPr>
            <w:r>
              <w:rPr>
                <w:rFonts w:hint="eastAsia" w:hAnsi="宋体"/>
                <w:b w:val="0"/>
                <w:bCs w:val="0"/>
                <w:color w:val="auto"/>
                <w:szCs w:val="24"/>
                <w:highlight w:val="none"/>
                <w:lang w:val="en-US" w:eastAsia="zh-CN"/>
              </w:rPr>
              <w:t>本项目专门面向中小企业</w:t>
            </w:r>
          </w:p>
        </w:tc>
      </w:tr>
      <w:tr w14:paraId="30635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52EB8F23">
            <w:pPr>
              <w:jc w:val="center"/>
              <w:rPr>
                <w:rFonts w:hint="default" w:hAnsi="宋体" w:eastAsia="宋体" w:cs="宋体"/>
                <w:szCs w:val="24"/>
                <w:highlight w:val="none"/>
                <w:lang w:val="en-US" w:eastAsia="zh-CN"/>
              </w:rPr>
            </w:pPr>
            <w:bookmarkStart w:id="26" w:name="_Toc363474017"/>
            <w:bookmarkStart w:id="27" w:name="_Toc363473972"/>
            <w:bookmarkStart w:id="28" w:name="_Toc403077639"/>
            <w:r>
              <w:rPr>
                <w:rFonts w:hint="eastAsia" w:hAnsi="宋体" w:cs="宋体"/>
                <w:szCs w:val="24"/>
                <w:highlight w:val="none"/>
                <w:lang w:val="en-US" w:eastAsia="zh-CN"/>
              </w:rPr>
              <w:t>20</w:t>
            </w:r>
          </w:p>
        </w:tc>
        <w:tc>
          <w:tcPr>
            <w:tcW w:w="951" w:type="dxa"/>
            <w:vAlign w:val="center"/>
          </w:tcPr>
          <w:p w14:paraId="63594E9D">
            <w:pPr>
              <w:widowControl/>
              <w:spacing w:line="360" w:lineRule="auto"/>
              <w:jc w:val="center"/>
              <w:rPr>
                <w:rFonts w:hint="eastAsia" w:hAnsi="宋体" w:cs="宋体"/>
                <w:kern w:val="2"/>
                <w:szCs w:val="24"/>
                <w:highlight w:val="none"/>
              </w:rPr>
            </w:pPr>
            <w:r>
              <w:rPr>
                <w:rFonts w:hint="eastAsia" w:hAnsi="宋体"/>
                <w:b w:val="0"/>
                <w:bCs w:val="0"/>
                <w:color w:val="auto"/>
                <w:szCs w:val="24"/>
                <w:highlight w:val="none"/>
                <w:lang w:eastAsia="zh-CN"/>
              </w:rPr>
              <w:t>采购文件所属行业</w:t>
            </w:r>
          </w:p>
        </w:tc>
        <w:tc>
          <w:tcPr>
            <w:tcW w:w="7354" w:type="dxa"/>
            <w:vAlign w:val="center"/>
          </w:tcPr>
          <w:p w14:paraId="75B9AC14">
            <w:pPr>
              <w:widowControl/>
              <w:spacing w:line="360" w:lineRule="auto"/>
              <w:rPr>
                <w:rFonts w:hint="default" w:eastAsia="宋体"/>
                <w:szCs w:val="22"/>
                <w:highlight w:val="none"/>
                <w:lang w:val="en-US" w:eastAsia="zh-CN"/>
              </w:rPr>
            </w:pPr>
            <w:r>
              <w:rPr>
                <w:rFonts w:hint="eastAsia"/>
                <w:szCs w:val="22"/>
                <w:highlight w:val="none"/>
                <w:lang w:val="en-US" w:eastAsia="zh-CN"/>
              </w:rPr>
              <w:t>建筑业</w:t>
            </w:r>
          </w:p>
        </w:tc>
      </w:tr>
      <w:tr w14:paraId="693E3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F577FC7">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21</w:t>
            </w:r>
          </w:p>
        </w:tc>
        <w:tc>
          <w:tcPr>
            <w:tcW w:w="951" w:type="dxa"/>
            <w:vAlign w:val="center"/>
          </w:tcPr>
          <w:p w14:paraId="1E23D430">
            <w:pPr>
              <w:widowControl/>
              <w:spacing w:line="360" w:lineRule="auto"/>
              <w:jc w:val="center"/>
              <w:rPr>
                <w:rFonts w:hint="eastAsia" w:hAnsi="宋体"/>
                <w:b w:val="0"/>
                <w:bCs w:val="0"/>
                <w:color w:val="auto"/>
                <w:szCs w:val="24"/>
                <w:highlight w:val="none"/>
                <w:lang w:eastAsia="zh-CN"/>
              </w:rPr>
            </w:pPr>
            <w:r>
              <w:rPr>
                <w:rFonts w:hint="eastAsia" w:hAnsi="宋体"/>
                <w:color w:val="auto"/>
                <w:szCs w:val="24"/>
                <w:highlight w:val="none"/>
              </w:rPr>
              <w:t>政策性扣减</w:t>
            </w:r>
          </w:p>
        </w:tc>
        <w:tc>
          <w:tcPr>
            <w:tcW w:w="7354" w:type="dxa"/>
            <w:vAlign w:val="center"/>
          </w:tcPr>
          <w:p w14:paraId="42FBBFFF">
            <w:pPr>
              <w:widowControl/>
              <w:spacing w:line="360" w:lineRule="auto"/>
              <w:rPr>
                <w:rFonts w:hint="default" w:eastAsia="宋体"/>
                <w:szCs w:val="22"/>
                <w:highlight w:val="none"/>
                <w:lang w:val="en-US" w:eastAsia="zh-CN"/>
              </w:rPr>
            </w:pPr>
            <w:r>
              <w:rPr>
                <w:rFonts w:hint="eastAsia" w:hAnsi="宋体"/>
                <w:color w:val="auto"/>
                <w:szCs w:val="24"/>
                <w:highlight w:val="none"/>
              </w:rPr>
              <w:t>对符合《政府采购促进中小企业发展管理办法》(财库(2020)46号)规定的小微企业(监狱企业视同小型、微型企业)的报价给予10%的扣除,用扣除后的价格参加评审。</w:t>
            </w:r>
          </w:p>
        </w:tc>
      </w:tr>
      <w:tr w14:paraId="14112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CA34BDD">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22</w:t>
            </w:r>
          </w:p>
        </w:tc>
        <w:tc>
          <w:tcPr>
            <w:tcW w:w="951" w:type="dxa"/>
            <w:vAlign w:val="center"/>
          </w:tcPr>
          <w:p w14:paraId="2C577AB2">
            <w:pPr>
              <w:widowControl/>
              <w:spacing w:line="360" w:lineRule="auto"/>
              <w:jc w:val="center"/>
              <w:rPr>
                <w:rFonts w:hint="eastAsia" w:hAnsi="宋体"/>
                <w:color w:val="auto"/>
                <w:szCs w:val="24"/>
                <w:highlight w:val="none"/>
              </w:rPr>
            </w:pPr>
            <w:r>
              <w:rPr>
                <w:rFonts w:hint="eastAsia" w:ascii="宋体" w:hAnsi="宋体" w:eastAsia="宋体" w:cs="宋体"/>
                <w:b w:val="0"/>
                <w:bCs w:val="0"/>
                <w:color w:val="auto"/>
                <w:kern w:val="2"/>
                <w:szCs w:val="24"/>
                <w:highlight w:val="none"/>
              </w:rPr>
              <w:t>其他</w:t>
            </w:r>
          </w:p>
        </w:tc>
        <w:tc>
          <w:tcPr>
            <w:tcW w:w="7354" w:type="dxa"/>
            <w:vAlign w:val="center"/>
          </w:tcPr>
          <w:p w14:paraId="5652564B">
            <w:pPr>
              <w:spacing w:line="360" w:lineRule="auto"/>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57E1D03F">
            <w:pPr>
              <w:spacing w:line="360" w:lineRule="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(http://www.ccgp-shaanxi.gov.cn/zcdservice/zcd/shan xi/）在线申请，依法参加政府采购信用融资活动。</w:t>
            </w:r>
          </w:p>
          <w:p w14:paraId="6FDFB1F4">
            <w:pPr>
              <w:spacing w:line="500" w:lineRule="exact"/>
              <w:ind w:firstLine="480" w:firstLineChars="200"/>
              <w:rPr>
                <w:rFonts w:hint="eastAsia" w:hAnsi="宋体"/>
                <w:color w:val="auto"/>
                <w:szCs w:val="24"/>
                <w:highlight w:val="none"/>
              </w:rPr>
            </w:pPr>
            <w:r>
              <w:rPr>
                <w:rFonts w:hint="eastAsia" w:ascii="宋体" w:hAnsi="宋体" w:eastAsia="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091CE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E56E474">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23</w:t>
            </w:r>
          </w:p>
        </w:tc>
        <w:tc>
          <w:tcPr>
            <w:tcW w:w="951" w:type="dxa"/>
            <w:vAlign w:val="center"/>
          </w:tcPr>
          <w:p w14:paraId="28537E27">
            <w:pPr>
              <w:widowControl/>
              <w:spacing w:line="360" w:lineRule="auto"/>
              <w:jc w:val="center"/>
              <w:rPr>
                <w:rFonts w:hint="eastAsia" w:hAnsi="宋体"/>
                <w:color w:val="auto"/>
                <w:szCs w:val="24"/>
                <w:highlight w:val="none"/>
              </w:rPr>
            </w:pPr>
            <w:r>
              <w:rPr>
                <w:rFonts w:hint="eastAsia" w:ascii="宋体" w:hAnsi="宋体" w:eastAsia="宋体" w:cs="宋体"/>
                <w:b/>
                <w:bCs/>
                <w:szCs w:val="24"/>
                <w:highlight w:val="none"/>
              </w:rPr>
              <w:t>备注</w:t>
            </w:r>
          </w:p>
        </w:tc>
        <w:tc>
          <w:tcPr>
            <w:tcW w:w="7354" w:type="dxa"/>
            <w:vAlign w:val="center"/>
          </w:tcPr>
          <w:p w14:paraId="377D99BC">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供应商注册登记提醒：</w:t>
            </w:r>
          </w:p>
          <w:p w14:paraId="52DCA518">
            <w:pPr>
              <w:spacing w:line="500" w:lineRule="exact"/>
              <w:ind w:firstLine="482" w:firstLineChars="200"/>
              <w:rPr>
                <w:rFonts w:hint="eastAsia" w:hAnsi="宋体"/>
                <w:color w:val="auto"/>
                <w:szCs w:val="24"/>
                <w:highlight w:val="none"/>
              </w:rPr>
            </w:pPr>
            <w:r>
              <w:rPr>
                <w:rFonts w:hint="eastAsia" w:ascii="宋体" w:hAnsi="宋体" w:eastAsia="宋体" w:cs="宋体"/>
                <w:b/>
                <w:bCs/>
                <w:szCs w:val="24"/>
                <w:highlight w:val="none"/>
              </w:rPr>
              <w:t>根据陕西省财政厅关于政府采购供应商注册登记有关事项的通知，如所投本项目的供应商未在陕西省政府采购网（</w:t>
            </w:r>
            <w:r>
              <w:rPr>
                <w:rFonts w:hint="eastAsia" w:ascii="宋体" w:hAnsi="宋体" w:eastAsia="宋体" w:cs="宋体"/>
                <w:b/>
                <w:bCs/>
                <w:szCs w:val="24"/>
                <w:highlight w:val="none"/>
              </w:rPr>
              <w:fldChar w:fldCharType="begin"/>
            </w:r>
            <w:r>
              <w:rPr>
                <w:rFonts w:hint="eastAsia" w:ascii="宋体" w:hAnsi="宋体" w:eastAsia="宋体" w:cs="宋体"/>
                <w:b/>
                <w:bCs/>
                <w:szCs w:val="24"/>
                <w:highlight w:val="none"/>
              </w:rPr>
              <w:instrText xml:space="preserve"> HYPERLINK "http://www.ccgp-shaanxi.gov.cn/information/informationDetail.do?informationguid=8a85be3567ed23460167ed36804d0009" </w:instrText>
            </w:r>
            <w:r>
              <w:rPr>
                <w:rFonts w:hint="eastAsia" w:ascii="宋体" w:hAnsi="宋体" w:eastAsia="宋体" w:cs="宋体"/>
                <w:b/>
                <w:bCs/>
                <w:szCs w:val="24"/>
                <w:highlight w:val="none"/>
              </w:rPr>
              <w:fldChar w:fldCharType="separate"/>
            </w:r>
            <w:r>
              <w:rPr>
                <w:rFonts w:hint="eastAsia" w:ascii="宋体" w:hAnsi="宋体" w:eastAsia="宋体" w:cs="宋体"/>
                <w:b/>
                <w:bCs/>
                <w:szCs w:val="24"/>
                <w:highlight w:val="none"/>
              </w:rPr>
              <w:t>http://www.ccgp-shaanxi.gov.cn/information/informationDetail.do?informationguid=8a85be3567ed23460167ed36804d0009</w:t>
            </w:r>
            <w:r>
              <w:rPr>
                <w:rFonts w:hint="eastAsia" w:ascii="宋体" w:hAnsi="宋体" w:eastAsia="宋体" w:cs="宋体"/>
                <w:b/>
                <w:bCs/>
                <w:szCs w:val="24"/>
                <w:highlight w:val="none"/>
              </w:rPr>
              <w:fldChar w:fldCharType="end"/>
            </w:r>
            <w:r>
              <w:rPr>
                <w:rFonts w:hint="eastAsia" w:ascii="宋体" w:hAnsi="宋体" w:eastAsia="宋体" w:cs="宋体"/>
                <w:b/>
                <w:bCs/>
                <w:szCs w:val="24"/>
                <w:highlight w:val="none"/>
              </w:rPr>
              <w:t>）注册登记加入陕西省政府采购供应商库的，应按要求及时办理注册登记，并接受财政部门监督管理。</w:t>
            </w:r>
          </w:p>
        </w:tc>
      </w:tr>
      <w:bookmarkEnd w:id="9"/>
      <w:bookmarkEnd w:id="10"/>
      <w:bookmarkEnd w:id="11"/>
    </w:tbl>
    <w:p w14:paraId="74C8CE26">
      <w:pPr>
        <w:spacing w:before="156" w:beforeLines="50" w:after="156" w:afterLines="50"/>
        <w:jc w:val="center"/>
        <w:rPr>
          <w:rFonts w:hAnsi="宋体" w:cs="宋体"/>
          <w:sz w:val="32"/>
          <w:szCs w:val="32"/>
          <w:highlight w:val="none"/>
        </w:rPr>
      </w:pPr>
      <w:r>
        <w:rPr>
          <w:rFonts w:hint="eastAsia" w:hAnsi="宋体" w:cs="宋体"/>
          <w:b/>
          <w:sz w:val="32"/>
          <w:szCs w:val="32"/>
          <w:highlight w:val="none"/>
        </w:rPr>
        <w:br w:type="page"/>
      </w:r>
      <w:r>
        <w:rPr>
          <w:rFonts w:hint="eastAsia" w:hAnsi="宋体" w:cs="宋体"/>
          <w:b/>
          <w:sz w:val="32"/>
          <w:szCs w:val="32"/>
          <w:highlight w:val="none"/>
        </w:rPr>
        <w:t>一.总  则</w:t>
      </w:r>
      <w:bookmarkEnd w:id="26"/>
      <w:bookmarkEnd w:id="27"/>
      <w:bookmarkEnd w:id="28"/>
    </w:p>
    <w:p w14:paraId="6DDB80EF">
      <w:pPr>
        <w:spacing w:line="360" w:lineRule="auto"/>
        <w:rPr>
          <w:rFonts w:hAnsi="宋体" w:cs="宋体"/>
          <w:b/>
          <w:szCs w:val="24"/>
          <w:highlight w:val="none"/>
        </w:rPr>
      </w:pPr>
      <w:r>
        <w:rPr>
          <w:rFonts w:hint="eastAsia" w:hAnsi="宋体" w:cs="宋体"/>
          <w:b/>
          <w:szCs w:val="24"/>
          <w:highlight w:val="none"/>
        </w:rPr>
        <w:t>1.资金来源</w:t>
      </w:r>
    </w:p>
    <w:p w14:paraId="287D5E80">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w:t>
      </w:r>
      <w:r>
        <w:rPr>
          <w:rFonts w:hint="eastAsia" w:hAnsi="宋体" w:cs="宋体"/>
          <w:szCs w:val="24"/>
          <w:highlight w:val="none"/>
          <w:lang w:val="en-US" w:eastAsia="zh-CN"/>
        </w:rPr>
        <w:t>财政</w:t>
      </w:r>
      <w:r>
        <w:rPr>
          <w:rFonts w:hint="eastAsia" w:hAnsi="宋体" w:cs="宋体"/>
          <w:szCs w:val="24"/>
          <w:highlight w:val="none"/>
          <w:lang w:eastAsia="zh-CN"/>
        </w:rPr>
        <w:t>资金</w:t>
      </w:r>
      <w:r>
        <w:rPr>
          <w:rFonts w:hint="eastAsia" w:hAnsi="宋体" w:cs="宋体"/>
          <w:szCs w:val="24"/>
          <w:highlight w:val="none"/>
        </w:rPr>
        <w:t>支付，资金已落实到位。</w:t>
      </w:r>
    </w:p>
    <w:p w14:paraId="1A43164D">
      <w:pPr>
        <w:numPr>
          <w:ilvl w:val="0"/>
          <w:numId w:val="2"/>
        </w:numPr>
        <w:spacing w:line="500" w:lineRule="exact"/>
        <w:rPr>
          <w:rFonts w:hAnsi="宋体" w:cs="宋体"/>
          <w:b/>
          <w:szCs w:val="24"/>
          <w:highlight w:val="none"/>
        </w:rPr>
      </w:pPr>
      <w:bookmarkStart w:id="29" w:name="_Toc403077640"/>
      <w:bookmarkStart w:id="30" w:name="_Toc363474018"/>
      <w:bookmarkStart w:id="31" w:name="_Toc363473973"/>
      <w:r>
        <w:rPr>
          <w:rFonts w:hint="eastAsia" w:hAnsi="宋体" w:cs="宋体"/>
          <w:b/>
          <w:szCs w:val="24"/>
          <w:highlight w:val="none"/>
        </w:rPr>
        <w:t>名词解释</w:t>
      </w:r>
    </w:p>
    <w:p w14:paraId="5D193BD4">
      <w:pPr>
        <w:tabs>
          <w:tab w:val="left" w:pos="7665"/>
        </w:tabs>
        <w:spacing w:line="360" w:lineRule="auto"/>
        <w:ind w:firstLine="480" w:firstLineChars="200"/>
        <w:rPr>
          <w:rFonts w:hint="eastAsia" w:hAnsi="宋体" w:eastAsia="宋体" w:cs="宋体"/>
          <w:szCs w:val="22"/>
          <w:highlight w:val="none"/>
          <w:lang w:eastAsia="zh-CN"/>
        </w:rPr>
      </w:pPr>
      <w:r>
        <w:rPr>
          <w:rFonts w:hint="eastAsia" w:hAnsi="宋体" w:cs="宋体"/>
          <w:szCs w:val="22"/>
          <w:highlight w:val="none"/>
        </w:rPr>
        <w:t>2.1采购人：</w:t>
      </w:r>
      <w:r>
        <w:rPr>
          <w:rFonts w:hint="eastAsia" w:hAnsi="宋体" w:cs="宋体"/>
          <w:szCs w:val="22"/>
          <w:highlight w:val="none"/>
          <w:lang w:eastAsia="zh-CN"/>
        </w:rPr>
        <w:t>商南县民政局（本级）</w:t>
      </w:r>
    </w:p>
    <w:p w14:paraId="4C056839">
      <w:pPr>
        <w:tabs>
          <w:tab w:val="left" w:pos="7665"/>
        </w:tabs>
        <w:spacing w:line="360" w:lineRule="auto"/>
        <w:ind w:firstLine="480" w:firstLineChars="200"/>
        <w:rPr>
          <w:rFonts w:hint="default" w:hAnsi="宋体" w:eastAsia="宋体" w:cs="宋体"/>
          <w:szCs w:val="22"/>
          <w:highlight w:val="none"/>
          <w:lang w:val="en-US" w:eastAsia="zh-CN"/>
        </w:rPr>
      </w:pPr>
      <w:r>
        <w:rPr>
          <w:rFonts w:hint="eastAsia" w:hAnsi="宋体" w:cs="宋体"/>
          <w:szCs w:val="22"/>
          <w:highlight w:val="none"/>
        </w:rPr>
        <w:t>2.2监督机构：</w:t>
      </w:r>
      <w:r>
        <w:rPr>
          <w:rFonts w:hint="eastAsia" w:hAnsi="宋体" w:cs="宋体"/>
          <w:szCs w:val="22"/>
          <w:highlight w:val="none"/>
          <w:lang w:val="en-US" w:eastAsia="zh-CN"/>
        </w:rPr>
        <w:t>同级人民财政部门</w:t>
      </w:r>
    </w:p>
    <w:p w14:paraId="37AE20DD">
      <w:pPr>
        <w:tabs>
          <w:tab w:val="left" w:pos="7665"/>
        </w:tabs>
        <w:spacing w:line="360" w:lineRule="auto"/>
        <w:ind w:firstLine="480" w:firstLineChars="200"/>
        <w:rPr>
          <w:rFonts w:hint="eastAsia" w:hAnsi="宋体" w:eastAsia="宋体" w:cs="宋体"/>
          <w:highlight w:val="none"/>
          <w:lang w:eastAsia="zh-CN"/>
        </w:rPr>
      </w:pPr>
      <w:r>
        <w:rPr>
          <w:rFonts w:hint="eastAsia" w:hAnsi="宋体" w:cs="宋体"/>
          <w:szCs w:val="22"/>
          <w:highlight w:val="none"/>
        </w:rPr>
        <w:t>2.3采购代理机构：</w:t>
      </w:r>
      <w:r>
        <w:rPr>
          <w:rFonts w:hint="eastAsia" w:hAnsi="宋体" w:cs="宋体"/>
          <w:szCs w:val="22"/>
          <w:highlight w:val="none"/>
          <w:lang w:eastAsia="zh-CN"/>
        </w:rPr>
        <w:t>陕西至诚项目管理集团有限公司</w:t>
      </w:r>
    </w:p>
    <w:p w14:paraId="6E1DF143">
      <w:pPr>
        <w:tabs>
          <w:tab w:val="left" w:pos="7665"/>
        </w:tabs>
        <w:spacing w:line="360" w:lineRule="auto"/>
        <w:ind w:firstLine="480" w:firstLineChars="200"/>
        <w:rPr>
          <w:rFonts w:hAnsi="宋体" w:cs="宋体"/>
          <w:highlight w:val="none"/>
        </w:rPr>
      </w:pPr>
      <w:r>
        <w:rPr>
          <w:rFonts w:hint="eastAsia" w:hAnsi="宋体" w:cs="宋体"/>
          <w:highlight w:val="none"/>
        </w:rPr>
        <w:t>2.4供应商：是指响应和符合竞争性磋商文件规定资格条件且参与竞争性磋商的法人、其他组织或者自然人。</w:t>
      </w:r>
    </w:p>
    <w:p w14:paraId="1A7BA92D">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14:paraId="630026AA">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14:paraId="00A34855">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14:paraId="708F258D">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61EABDDB">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3DF1DCE4">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346909">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44FB4C50">
      <w:pPr>
        <w:spacing w:line="500" w:lineRule="exact"/>
        <w:rPr>
          <w:rFonts w:hAnsi="宋体" w:cs="宋体"/>
          <w:b/>
          <w:szCs w:val="24"/>
          <w:highlight w:val="none"/>
        </w:rPr>
      </w:pPr>
      <w:r>
        <w:rPr>
          <w:rFonts w:hint="eastAsia" w:hAnsi="宋体" w:cs="宋体"/>
          <w:b/>
          <w:szCs w:val="24"/>
          <w:highlight w:val="none"/>
        </w:rPr>
        <w:t>3.合格的供应商</w:t>
      </w:r>
    </w:p>
    <w:p w14:paraId="741C00CF">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3.1《政府采购法》第二十二条第一款规定的供应商基本资格条件:</w:t>
      </w:r>
    </w:p>
    <w:p w14:paraId="7C7E6EF4">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6FCCFC6F">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545845A1">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24CA9F21">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209F54D8">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413E1599">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17D3CDB0">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14:paraId="1459C774">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546535A1">
      <w:pPr>
        <w:spacing w:line="500" w:lineRule="exact"/>
        <w:ind w:firstLine="480" w:firstLineChars="200"/>
        <w:rPr>
          <w:rFonts w:hAnsi="宋体" w:cs="宋体"/>
          <w:szCs w:val="24"/>
          <w:highlight w:val="none"/>
        </w:rPr>
      </w:pPr>
      <w:r>
        <w:rPr>
          <w:rFonts w:hint="eastAsia" w:hAnsi="宋体" w:cs="宋体"/>
          <w:szCs w:val="24"/>
          <w:highlight w:val="none"/>
        </w:rPr>
        <w:t>3.4供应商必须在</w:t>
      </w:r>
      <w:r>
        <w:rPr>
          <w:rFonts w:hint="eastAsia" w:hAnsi="宋体" w:cs="宋体"/>
          <w:szCs w:val="24"/>
          <w:highlight w:val="none"/>
          <w:lang w:eastAsia="zh-CN"/>
        </w:rPr>
        <w:t>陕西至诚项目管理集团有限公司</w:t>
      </w:r>
      <w:r>
        <w:rPr>
          <w:rFonts w:hint="eastAsia" w:hAnsi="宋体" w:cs="宋体"/>
          <w:szCs w:val="24"/>
          <w:highlight w:val="none"/>
        </w:rPr>
        <w:t>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14:paraId="6B1861E5">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14:paraId="180AC356">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14:paraId="4FDE487F">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14:paraId="2DFF7A0F">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14:paraId="4DACAAC8">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14:paraId="0CB34AD5">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23698CC5">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1E45DA5A">
      <w:pPr>
        <w:keepNext/>
        <w:keepLines/>
        <w:spacing w:before="312" w:beforeLines="100" w:after="156" w:afterLines="50" w:line="360" w:lineRule="auto"/>
        <w:jc w:val="center"/>
        <w:rPr>
          <w:rFonts w:hAnsi="宋体" w:cs="宋体"/>
          <w:b/>
          <w:sz w:val="32"/>
          <w:szCs w:val="32"/>
          <w:highlight w:val="none"/>
        </w:rPr>
      </w:pPr>
      <w:r>
        <w:rPr>
          <w:rFonts w:hint="eastAsia" w:hAnsi="宋体" w:cs="宋体"/>
          <w:b/>
          <w:sz w:val="32"/>
          <w:szCs w:val="32"/>
          <w:highlight w:val="none"/>
        </w:rPr>
        <w:t>二.竞争性磋商文件</w:t>
      </w:r>
      <w:bookmarkEnd w:id="29"/>
      <w:bookmarkEnd w:id="30"/>
      <w:bookmarkEnd w:id="31"/>
    </w:p>
    <w:p w14:paraId="1AB0B35C">
      <w:pPr>
        <w:spacing w:line="360" w:lineRule="auto"/>
        <w:rPr>
          <w:rFonts w:hAnsi="宋体" w:cs="宋体"/>
          <w:b/>
          <w:szCs w:val="24"/>
          <w:highlight w:val="none"/>
        </w:rPr>
      </w:pPr>
      <w:r>
        <w:rPr>
          <w:rFonts w:hint="eastAsia" w:hAnsi="宋体" w:cs="宋体"/>
          <w:b/>
          <w:szCs w:val="24"/>
          <w:highlight w:val="none"/>
        </w:rPr>
        <w:t>6.竞争性磋商文件构成</w:t>
      </w:r>
    </w:p>
    <w:p w14:paraId="0D3BBA00">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14:paraId="376801F6">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14:paraId="5799AD5C">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14:paraId="4B06D1FD">
      <w:pPr>
        <w:spacing w:line="360" w:lineRule="auto"/>
        <w:ind w:firstLine="480" w:firstLineChars="200"/>
        <w:rPr>
          <w:rFonts w:hAnsi="宋体" w:cs="宋体"/>
          <w:szCs w:val="24"/>
          <w:highlight w:val="none"/>
        </w:rPr>
      </w:pPr>
      <w:r>
        <w:rPr>
          <w:rFonts w:hint="eastAsia" w:hAnsi="宋体" w:cs="宋体"/>
          <w:szCs w:val="24"/>
          <w:highlight w:val="none"/>
        </w:rPr>
        <w:t xml:space="preserve">第三章 评审方法    </w:t>
      </w:r>
    </w:p>
    <w:p w14:paraId="65A9F234">
      <w:pPr>
        <w:spacing w:line="360" w:lineRule="auto"/>
        <w:ind w:firstLine="480" w:firstLineChars="200"/>
        <w:rPr>
          <w:rFonts w:hAnsi="宋体" w:cs="宋体"/>
          <w:szCs w:val="24"/>
          <w:highlight w:val="none"/>
        </w:rPr>
      </w:pPr>
      <w:r>
        <w:rPr>
          <w:rFonts w:hint="eastAsia" w:hAnsi="宋体" w:cs="宋体"/>
          <w:szCs w:val="24"/>
          <w:highlight w:val="none"/>
        </w:rPr>
        <w:t>第四章 合同条款及格式</w:t>
      </w:r>
    </w:p>
    <w:p w14:paraId="245597FD">
      <w:pPr>
        <w:spacing w:line="360" w:lineRule="auto"/>
        <w:ind w:firstLine="480" w:firstLineChars="200"/>
        <w:rPr>
          <w:rFonts w:hAnsi="宋体" w:cs="宋体"/>
          <w:szCs w:val="24"/>
          <w:highlight w:val="none"/>
        </w:rPr>
      </w:pPr>
      <w:r>
        <w:rPr>
          <w:rFonts w:hint="eastAsia" w:hAnsi="宋体" w:cs="宋体"/>
          <w:szCs w:val="24"/>
          <w:highlight w:val="none"/>
        </w:rPr>
        <w:t>第五章 磋商内容及技术要求</w:t>
      </w:r>
    </w:p>
    <w:p w14:paraId="6AC759F1">
      <w:pPr>
        <w:spacing w:line="360" w:lineRule="auto"/>
        <w:ind w:firstLine="480" w:firstLineChars="200"/>
        <w:rPr>
          <w:rFonts w:hAnsi="宋体" w:cs="宋体"/>
          <w:szCs w:val="24"/>
          <w:highlight w:val="none"/>
        </w:rPr>
      </w:pPr>
      <w:r>
        <w:rPr>
          <w:rFonts w:hint="eastAsia" w:hAnsi="宋体" w:cs="宋体"/>
          <w:szCs w:val="24"/>
          <w:highlight w:val="none"/>
        </w:rPr>
        <w:t xml:space="preserve">第六章 竞争性磋商响应文件构成及格式  </w:t>
      </w:r>
    </w:p>
    <w:p w14:paraId="1BD38351">
      <w:pPr>
        <w:spacing w:line="360" w:lineRule="auto"/>
        <w:ind w:firstLine="480" w:firstLineChars="200"/>
        <w:rPr>
          <w:rFonts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16B955F8">
      <w:pPr>
        <w:spacing w:line="500" w:lineRule="exact"/>
        <w:ind w:firstLine="480" w:firstLineChars="200"/>
        <w:rPr>
          <w:rFonts w:hAnsi="宋体" w:cs="宋体"/>
          <w:szCs w:val="24"/>
          <w:highlight w:val="none"/>
        </w:rPr>
      </w:pPr>
      <w:r>
        <w:rPr>
          <w:rFonts w:hint="eastAsia" w:hAnsi="宋体" w:cs="宋体"/>
          <w:szCs w:val="24"/>
          <w:highlight w:val="none"/>
        </w:rPr>
        <w:t>6.3本竞争性磋商文件的解释权归</w:t>
      </w:r>
      <w:r>
        <w:rPr>
          <w:rFonts w:hint="eastAsia" w:hAnsi="宋体" w:cs="宋体"/>
          <w:szCs w:val="24"/>
          <w:highlight w:val="none"/>
          <w:lang w:eastAsia="zh-CN"/>
        </w:rPr>
        <w:t>陕西至诚项目管理集团有限公司</w:t>
      </w:r>
      <w:r>
        <w:rPr>
          <w:rFonts w:hint="eastAsia" w:hAnsi="宋体" w:cs="宋体"/>
          <w:szCs w:val="24"/>
          <w:highlight w:val="none"/>
        </w:rPr>
        <w:t>，如发现竞争性磋商响应文件内容与现行法律法规不相符的情况，以现行法律法规为准。</w:t>
      </w:r>
    </w:p>
    <w:p w14:paraId="41DEA5C1">
      <w:pPr>
        <w:spacing w:line="360" w:lineRule="auto"/>
        <w:rPr>
          <w:rFonts w:hAnsi="宋体" w:cs="宋体"/>
          <w:b/>
          <w:szCs w:val="24"/>
          <w:highlight w:val="none"/>
        </w:rPr>
      </w:pPr>
      <w:r>
        <w:rPr>
          <w:rFonts w:hint="eastAsia" w:hAnsi="宋体" w:cs="宋体"/>
          <w:b/>
          <w:szCs w:val="24"/>
          <w:highlight w:val="none"/>
        </w:rPr>
        <w:t>7.竞争性磋商文件的修改和澄清</w:t>
      </w:r>
    </w:p>
    <w:p w14:paraId="15D37339">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66CB3DC7">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1C5AC1D4">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55CD7F9D">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14:paraId="3810FCE2">
      <w:pPr>
        <w:keepNext/>
        <w:keepLines/>
        <w:spacing w:before="312" w:beforeLines="100" w:after="156" w:afterLines="50" w:line="360" w:lineRule="auto"/>
        <w:jc w:val="center"/>
        <w:rPr>
          <w:rFonts w:hAnsi="宋体" w:cs="宋体"/>
          <w:b/>
          <w:sz w:val="32"/>
          <w:szCs w:val="32"/>
          <w:highlight w:val="none"/>
        </w:rPr>
      </w:pPr>
      <w:bookmarkStart w:id="32" w:name="_Toc363474019"/>
      <w:bookmarkStart w:id="33" w:name="_Toc363473974"/>
      <w:bookmarkStart w:id="34" w:name="_Toc403077641"/>
      <w:r>
        <w:rPr>
          <w:rFonts w:hint="eastAsia" w:hAnsi="宋体" w:cs="宋体"/>
          <w:b/>
          <w:sz w:val="32"/>
          <w:szCs w:val="32"/>
          <w:highlight w:val="none"/>
        </w:rPr>
        <w:t>三.磋商响应文件的编制</w:t>
      </w:r>
      <w:bookmarkEnd w:id="32"/>
      <w:bookmarkEnd w:id="33"/>
      <w:bookmarkEnd w:id="34"/>
    </w:p>
    <w:p w14:paraId="061D86F1">
      <w:pPr>
        <w:spacing w:line="360" w:lineRule="auto"/>
        <w:rPr>
          <w:rFonts w:hint="eastAsia" w:hAnsi="宋体" w:cs="宋体"/>
          <w:b/>
          <w:szCs w:val="24"/>
          <w:highlight w:val="none"/>
        </w:rPr>
      </w:pPr>
      <w:r>
        <w:rPr>
          <w:rFonts w:hint="eastAsia" w:hAnsi="宋体" w:cs="宋体"/>
          <w:b/>
          <w:szCs w:val="24"/>
          <w:highlight w:val="none"/>
        </w:rPr>
        <w:t>8. 磋商语言和磋商货币</w:t>
      </w:r>
    </w:p>
    <w:p w14:paraId="5EC51ADB">
      <w:pPr>
        <w:pStyle w:val="8"/>
        <w:rPr>
          <w:highlight w:val="none"/>
        </w:rPr>
      </w:pPr>
    </w:p>
    <w:p w14:paraId="7F90BA65">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14:paraId="5008D974">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14:paraId="753DF40F">
      <w:pPr>
        <w:spacing w:line="360" w:lineRule="auto"/>
        <w:rPr>
          <w:rFonts w:hAnsi="宋体" w:cs="宋体"/>
          <w:b/>
          <w:szCs w:val="24"/>
          <w:highlight w:val="none"/>
        </w:rPr>
      </w:pPr>
      <w:r>
        <w:rPr>
          <w:rFonts w:hint="eastAsia" w:hAnsi="宋体" w:cs="宋体"/>
          <w:b/>
          <w:szCs w:val="24"/>
          <w:highlight w:val="none"/>
        </w:rPr>
        <w:t>9.竞争性磋商响应文件的构成</w:t>
      </w:r>
    </w:p>
    <w:p w14:paraId="06B13796">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14:paraId="47191C16">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14:paraId="54E049C7">
      <w:pPr>
        <w:spacing w:line="360" w:lineRule="auto"/>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14:paraId="6ED85826">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14:paraId="37FB88AA">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14:paraId="6A1A2684">
      <w:pPr>
        <w:spacing w:line="360" w:lineRule="auto"/>
        <w:ind w:firstLine="480" w:firstLineChars="200"/>
        <w:rPr>
          <w:rFonts w:hAnsi="宋体" w:cs="宋体"/>
          <w:szCs w:val="24"/>
          <w:highlight w:val="none"/>
        </w:rPr>
      </w:pPr>
      <w:r>
        <w:rPr>
          <w:rFonts w:hint="eastAsia" w:hAnsi="宋体" w:cs="宋体"/>
          <w:szCs w:val="24"/>
          <w:highlight w:val="none"/>
        </w:rPr>
        <w:t>（5）竞争磋商文件中要求的其他证明文件。</w:t>
      </w:r>
    </w:p>
    <w:p w14:paraId="60DE2C9C">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14:paraId="444FD3B4">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w:t>
      </w:r>
      <w:r>
        <w:rPr>
          <w:rFonts w:hint="eastAsia" w:hAnsi="宋体" w:cs="宋体"/>
          <w:szCs w:val="24"/>
          <w:highlight w:val="none"/>
          <w:lang w:eastAsia="zh-CN"/>
        </w:rPr>
        <w:t>项目</w:t>
      </w:r>
      <w:r>
        <w:rPr>
          <w:rFonts w:hint="eastAsia" w:hAnsi="宋体" w:cs="宋体"/>
          <w:szCs w:val="24"/>
          <w:highlight w:val="none"/>
        </w:rPr>
        <w:t>”，供应商可根据自身的资质情况和经营范围对本次项目进行磋商，不得将其子目再行分解或只对本次项目中的品目进行不完全磋商，任何不完全的响应将会被拒绝。</w:t>
      </w:r>
    </w:p>
    <w:p w14:paraId="7087D953">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14:paraId="331B3316">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0974AB6F">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5D7E8B2B">
      <w:pPr>
        <w:spacing w:line="360" w:lineRule="auto"/>
        <w:rPr>
          <w:rFonts w:hAnsi="宋体" w:cs="宋体"/>
          <w:b/>
          <w:szCs w:val="24"/>
          <w:highlight w:val="none"/>
        </w:rPr>
      </w:pPr>
      <w:r>
        <w:rPr>
          <w:rFonts w:hint="eastAsia" w:hAnsi="宋体" w:cs="宋体"/>
          <w:b/>
          <w:szCs w:val="24"/>
          <w:highlight w:val="none"/>
        </w:rPr>
        <w:t>11.磋商报价</w:t>
      </w:r>
    </w:p>
    <w:p w14:paraId="73BAE53A">
      <w:pPr>
        <w:spacing w:line="360" w:lineRule="auto"/>
        <w:ind w:firstLine="480" w:firstLineChars="200"/>
        <w:rPr>
          <w:highlight w:val="none"/>
        </w:rPr>
      </w:pPr>
      <w:r>
        <w:rPr>
          <w:rFonts w:hint="eastAsia" w:hAnsi="宋体" w:cs="宋体"/>
          <w:highlight w:val="none"/>
        </w:rPr>
        <w:t>11.1</w:t>
      </w:r>
      <w:r>
        <w:rPr>
          <w:rFonts w:hint="eastAsia" w:hAnsi="宋体" w:cs="宋体"/>
          <w:szCs w:val="24"/>
          <w:highlight w:val="none"/>
        </w:rPr>
        <w:t>磋商</w:t>
      </w:r>
      <w:r>
        <w:rPr>
          <w:rFonts w:hint="eastAsia" w:hAnsi="宋体" w:cs="宋体"/>
          <w:highlight w:val="none"/>
        </w:rPr>
        <w:t>报价：本工程发包方式为包工包料。采用</w:t>
      </w:r>
      <w:r>
        <w:rPr>
          <w:rFonts w:hint="eastAsia" w:hAnsi="宋体" w:cs="宋体"/>
          <w:highlight w:val="none"/>
          <w:lang w:val="en-US" w:eastAsia="zh-CN"/>
        </w:rPr>
        <w:t>综合单价</w:t>
      </w:r>
      <w:r>
        <w:rPr>
          <w:rFonts w:hint="eastAsia" w:hAnsi="宋体" w:cs="宋体"/>
          <w:highlight w:val="none"/>
        </w:rPr>
        <w:t>合同，包括但不限于工程施工费（人、材、机等费用）、规费、税金、项目措施费、招标代理服务费等其他一切相关费用。</w:t>
      </w:r>
    </w:p>
    <w:p w14:paraId="46441BA2">
      <w:pPr>
        <w:spacing w:line="360" w:lineRule="auto"/>
        <w:ind w:firstLine="480" w:firstLineChars="200"/>
        <w:rPr>
          <w:rFonts w:hAnsi="宋体" w:cs="宋体"/>
          <w:szCs w:val="24"/>
          <w:highlight w:val="none"/>
        </w:rPr>
      </w:pPr>
      <w:r>
        <w:rPr>
          <w:rFonts w:hint="eastAsia" w:hAnsi="宋体" w:cs="宋体"/>
          <w:szCs w:val="24"/>
          <w:highlight w:val="none"/>
          <w:lang w:val="en-US" w:eastAsia="zh-CN"/>
        </w:rPr>
        <w:t>磋商</w:t>
      </w:r>
      <w:r>
        <w:rPr>
          <w:rFonts w:hint="eastAsia" w:hAnsi="宋体" w:cs="宋体"/>
          <w:szCs w:val="24"/>
          <w:highlight w:val="none"/>
        </w:rPr>
        <w:t>报价为投标人充分考虑</w:t>
      </w:r>
      <w:r>
        <w:rPr>
          <w:rFonts w:hint="eastAsia" w:hAnsi="宋体" w:cs="宋体"/>
          <w:szCs w:val="24"/>
          <w:highlight w:val="none"/>
          <w:lang w:val="en-US" w:eastAsia="zh-CN"/>
        </w:rPr>
        <w:t>磋商</w:t>
      </w:r>
      <w:r>
        <w:rPr>
          <w:rFonts w:hint="eastAsia" w:hAnsi="宋体" w:cs="宋体"/>
          <w:szCs w:val="24"/>
          <w:highlight w:val="none"/>
        </w:rPr>
        <w:t>文件的各项条款和所掌握的市场情况及本工程的实际，依据企业自身情况自主报价、风险自负。所有</w:t>
      </w:r>
      <w:r>
        <w:rPr>
          <w:rFonts w:hint="eastAsia" w:hAnsi="宋体" w:cs="宋体"/>
          <w:szCs w:val="24"/>
          <w:highlight w:val="none"/>
          <w:lang w:val="en-US" w:eastAsia="zh-CN"/>
        </w:rPr>
        <w:t>磋商</w:t>
      </w:r>
      <w:r>
        <w:rPr>
          <w:rFonts w:hint="eastAsia" w:hAnsi="宋体" w:cs="宋体"/>
          <w:szCs w:val="24"/>
          <w:highlight w:val="none"/>
        </w:rPr>
        <w:t>报价中的单价和合价均以人民币表示。投标人在计算报价时必须考虑相应的风险；</w:t>
      </w:r>
    </w:p>
    <w:p w14:paraId="7195EE1E">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14:paraId="4BC16ACA">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14:paraId="54B63ABC">
      <w:pPr>
        <w:spacing w:line="360" w:lineRule="auto"/>
        <w:rPr>
          <w:rFonts w:hAnsi="宋体" w:cs="宋体"/>
          <w:b/>
          <w:szCs w:val="24"/>
          <w:highlight w:val="none"/>
        </w:rPr>
      </w:pPr>
      <w:r>
        <w:rPr>
          <w:rFonts w:hint="eastAsia" w:hAnsi="宋体" w:cs="宋体"/>
          <w:b/>
          <w:szCs w:val="24"/>
          <w:highlight w:val="none"/>
        </w:rPr>
        <w:t>12.证明供应商合格的资格证明文件</w:t>
      </w:r>
    </w:p>
    <w:p w14:paraId="7B759C68">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61BF556F">
      <w:pPr>
        <w:spacing w:line="360" w:lineRule="auto"/>
        <w:rPr>
          <w:rFonts w:hAnsi="宋体" w:cs="宋体"/>
          <w:b/>
          <w:szCs w:val="24"/>
          <w:highlight w:val="none"/>
        </w:rPr>
      </w:pPr>
      <w:r>
        <w:rPr>
          <w:rFonts w:hint="eastAsia" w:hAnsi="宋体" w:cs="宋体"/>
          <w:b/>
          <w:szCs w:val="24"/>
          <w:highlight w:val="none"/>
        </w:rPr>
        <w:t>13.</w:t>
      </w:r>
      <w:r>
        <w:rPr>
          <w:rFonts w:hAnsi="宋体"/>
          <w:b/>
          <w:szCs w:val="24"/>
          <w:highlight w:val="none"/>
        </w:rPr>
        <w:t>证明的合格性和符合</w:t>
      </w:r>
      <w:r>
        <w:rPr>
          <w:rFonts w:hint="eastAsia" w:hAnsi="宋体"/>
          <w:b/>
          <w:szCs w:val="24"/>
          <w:highlight w:val="none"/>
        </w:rPr>
        <w:t>竞争性磋商</w:t>
      </w:r>
      <w:r>
        <w:rPr>
          <w:rFonts w:hAnsi="宋体"/>
          <w:b/>
          <w:szCs w:val="24"/>
          <w:highlight w:val="none"/>
        </w:rPr>
        <w:t>文件规定的文件</w:t>
      </w:r>
    </w:p>
    <w:p w14:paraId="11985A3B">
      <w:pPr>
        <w:spacing w:line="360" w:lineRule="auto"/>
        <w:ind w:firstLine="480" w:firstLineChars="200"/>
        <w:rPr>
          <w:rFonts w:hAnsi="宋体"/>
          <w:szCs w:val="24"/>
          <w:highlight w:val="none"/>
        </w:rPr>
      </w:pPr>
      <w:r>
        <w:rPr>
          <w:rFonts w:hAnsi="宋体"/>
          <w:szCs w:val="24"/>
          <w:highlight w:val="none"/>
        </w:rPr>
        <w:t>13.1</w:t>
      </w:r>
      <w:r>
        <w:rPr>
          <w:rFonts w:hint="eastAsia" w:hAnsi="宋体"/>
          <w:szCs w:val="24"/>
          <w:highlight w:val="none"/>
        </w:rPr>
        <w:t>供应商</w:t>
      </w:r>
      <w:r>
        <w:rPr>
          <w:rFonts w:hAnsi="宋体"/>
          <w:szCs w:val="24"/>
          <w:highlight w:val="none"/>
        </w:rPr>
        <w:t>应在</w:t>
      </w:r>
      <w:r>
        <w:rPr>
          <w:rFonts w:hint="eastAsia" w:hAnsi="宋体"/>
          <w:szCs w:val="24"/>
          <w:highlight w:val="none"/>
        </w:rPr>
        <w:t>竞争性磋商响应文件</w:t>
      </w:r>
      <w:r>
        <w:rPr>
          <w:rFonts w:hAnsi="宋体"/>
          <w:szCs w:val="24"/>
          <w:highlight w:val="none"/>
        </w:rPr>
        <w:t>中提交服务满足</w:t>
      </w:r>
      <w:r>
        <w:rPr>
          <w:rFonts w:hint="eastAsia" w:hAnsi="宋体"/>
          <w:szCs w:val="24"/>
          <w:highlight w:val="none"/>
        </w:rPr>
        <w:t>竞争性磋商</w:t>
      </w:r>
      <w:r>
        <w:rPr>
          <w:rFonts w:hAnsi="宋体"/>
          <w:szCs w:val="24"/>
          <w:highlight w:val="none"/>
        </w:rPr>
        <w:t>文件要求并符合国家法律法规、行业管理部门要求的其他强制性标准的证明文件。缺少证明文件或证明文件不合格的</w:t>
      </w:r>
      <w:r>
        <w:rPr>
          <w:rFonts w:hint="eastAsia" w:hAnsi="宋体"/>
          <w:szCs w:val="24"/>
          <w:highlight w:val="none"/>
        </w:rPr>
        <w:t>磋商响应文件</w:t>
      </w:r>
      <w:r>
        <w:rPr>
          <w:rFonts w:hAnsi="宋体"/>
          <w:szCs w:val="24"/>
          <w:highlight w:val="none"/>
        </w:rPr>
        <w:t>，与</w:t>
      </w:r>
      <w:r>
        <w:rPr>
          <w:rFonts w:hint="eastAsia" w:hAnsi="宋体"/>
          <w:szCs w:val="24"/>
          <w:highlight w:val="none"/>
        </w:rPr>
        <w:t>竞争性磋商</w:t>
      </w:r>
      <w:r>
        <w:rPr>
          <w:rFonts w:hAnsi="宋体"/>
          <w:szCs w:val="24"/>
          <w:highlight w:val="none"/>
        </w:rPr>
        <w:t>文件要求有重大偏离的</w:t>
      </w:r>
      <w:r>
        <w:rPr>
          <w:rFonts w:hint="eastAsia" w:hAnsi="宋体"/>
          <w:szCs w:val="24"/>
          <w:highlight w:val="none"/>
        </w:rPr>
        <w:t>磋商响应文件</w:t>
      </w:r>
      <w:r>
        <w:rPr>
          <w:rFonts w:hAnsi="宋体"/>
          <w:szCs w:val="24"/>
          <w:highlight w:val="none"/>
        </w:rPr>
        <w:t>，不符合国家法律法规、行业管理部门要求的其他强制性标准的</w:t>
      </w:r>
      <w:r>
        <w:rPr>
          <w:rFonts w:hint="eastAsia" w:hAnsi="宋体"/>
          <w:szCs w:val="24"/>
          <w:highlight w:val="none"/>
        </w:rPr>
        <w:t>磋商响应文件</w:t>
      </w:r>
      <w:r>
        <w:rPr>
          <w:rFonts w:hAnsi="宋体"/>
          <w:szCs w:val="24"/>
          <w:highlight w:val="none"/>
        </w:rPr>
        <w:t>将</w:t>
      </w:r>
      <w:r>
        <w:rPr>
          <w:rFonts w:hint="eastAsia" w:hAnsi="宋体"/>
          <w:szCs w:val="24"/>
          <w:highlight w:val="none"/>
        </w:rPr>
        <w:t>按无效磋商处理</w:t>
      </w:r>
      <w:r>
        <w:rPr>
          <w:rFonts w:hAnsi="宋体"/>
          <w:szCs w:val="24"/>
          <w:highlight w:val="none"/>
        </w:rPr>
        <w:t>。</w:t>
      </w:r>
    </w:p>
    <w:p w14:paraId="3E28834D">
      <w:pPr>
        <w:spacing w:line="360" w:lineRule="auto"/>
        <w:ind w:firstLine="480" w:firstLineChars="200"/>
        <w:rPr>
          <w:rFonts w:hAnsi="宋体"/>
          <w:szCs w:val="24"/>
          <w:highlight w:val="none"/>
        </w:rPr>
      </w:pPr>
      <w:r>
        <w:rPr>
          <w:rFonts w:hAnsi="宋体"/>
          <w:szCs w:val="24"/>
          <w:highlight w:val="none"/>
        </w:rPr>
        <w:t>13.2上述证明文件可以是文字资料、图纸、图片</w:t>
      </w:r>
      <w:r>
        <w:rPr>
          <w:rFonts w:hint="eastAsia" w:hAnsi="宋体"/>
          <w:szCs w:val="24"/>
          <w:highlight w:val="none"/>
        </w:rPr>
        <w:t>、</w:t>
      </w:r>
      <w:r>
        <w:rPr>
          <w:rFonts w:hAnsi="宋体"/>
          <w:szCs w:val="24"/>
          <w:highlight w:val="none"/>
        </w:rPr>
        <w:t>数据</w:t>
      </w:r>
      <w:r>
        <w:rPr>
          <w:rFonts w:hint="eastAsia" w:hAnsi="宋体"/>
          <w:szCs w:val="24"/>
          <w:highlight w:val="none"/>
        </w:rPr>
        <w:t>、</w:t>
      </w:r>
      <w:r>
        <w:rPr>
          <w:rFonts w:hAnsi="宋体"/>
          <w:szCs w:val="24"/>
          <w:highlight w:val="none"/>
        </w:rPr>
        <w:t>宣传彩页等，所有证明文件表达意思必须统一。</w:t>
      </w:r>
    </w:p>
    <w:p w14:paraId="09B15243">
      <w:pPr>
        <w:spacing w:line="360" w:lineRule="auto"/>
        <w:rPr>
          <w:rFonts w:hint="eastAsia" w:hAnsi="宋体" w:eastAsia="宋体" w:cs="宋体"/>
          <w:b/>
          <w:szCs w:val="24"/>
          <w:highlight w:val="none"/>
          <w:lang w:eastAsia="zh-CN"/>
        </w:rPr>
      </w:pPr>
      <w:r>
        <w:rPr>
          <w:rFonts w:hint="eastAsia" w:hAnsi="宋体" w:cs="宋体"/>
          <w:b/>
          <w:szCs w:val="24"/>
          <w:highlight w:val="none"/>
        </w:rPr>
        <w:t>14.磋商保证金</w:t>
      </w:r>
    </w:p>
    <w:p w14:paraId="77F02836">
      <w:pPr>
        <w:spacing w:line="360" w:lineRule="auto"/>
        <w:ind w:firstLine="480" w:firstLineChars="200"/>
        <w:rPr>
          <w:rFonts w:hAnsi="宋体" w:cs="宋体"/>
          <w:szCs w:val="24"/>
          <w:highlight w:val="none"/>
        </w:rPr>
      </w:pPr>
      <w:r>
        <w:rPr>
          <w:rFonts w:hint="eastAsia" w:hAnsi="宋体" w:cs="宋体"/>
          <w:szCs w:val="24"/>
          <w:highlight w:val="none"/>
        </w:rPr>
        <w:t>14.1供应商在磋商时应向</w:t>
      </w:r>
      <w:r>
        <w:rPr>
          <w:rFonts w:hint="eastAsia" w:hAnsi="宋体" w:cs="宋体"/>
          <w:szCs w:val="24"/>
          <w:highlight w:val="none"/>
          <w:lang w:eastAsia="zh-CN"/>
        </w:rPr>
        <w:t>陕西至诚项目管理集团有限公司</w:t>
      </w:r>
      <w:r>
        <w:rPr>
          <w:rFonts w:hint="eastAsia" w:hAnsi="宋体" w:cs="宋体"/>
          <w:szCs w:val="24"/>
          <w:highlight w:val="none"/>
        </w:rPr>
        <w:t>提交“供应商须知前附表”规定数额的磋商保证金,并作为其磋商的一部分。</w:t>
      </w:r>
    </w:p>
    <w:p w14:paraId="119CBBD5">
      <w:pPr>
        <w:spacing w:line="360" w:lineRule="auto"/>
        <w:ind w:firstLine="480" w:firstLineChars="200"/>
        <w:rPr>
          <w:rFonts w:hAnsi="宋体" w:cs="宋体"/>
          <w:szCs w:val="24"/>
          <w:highlight w:val="none"/>
        </w:rPr>
      </w:pPr>
      <w:r>
        <w:rPr>
          <w:rFonts w:hint="eastAsia" w:hAnsi="宋体" w:cs="宋体"/>
          <w:szCs w:val="24"/>
          <w:highlight w:val="none"/>
        </w:rPr>
        <w:t>14.2磋商保证金是为了保护采购单位（包括</w:t>
      </w:r>
      <w:r>
        <w:rPr>
          <w:rFonts w:hint="eastAsia" w:hAnsi="宋体" w:cs="宋体"/>
          <w:szCs w:val="24"/>
          <w:highlight w:val="none"/>
          <w:lang w:eastAsia="zh-CN"/>
        </w:rPr>
        <w:t>陕西至诚项目管理集团有限公司</w:t>
      </w:r>
      <w:r>
        <w:rPr>
          <w:rFonts w:hint="eastAsia" w:hAnsi="宋体" w:cs="宋体"/>
          <w:szCs w:val="24"/>
          <w:highlight w:val="none"/>
        </w:rPr>
        <w:t>及采购人）免遭因供应商的行为而蒙受损失。采购单位在因供应商的行为受到损害时可根据本须知的规定没收供应商的磋商保证金。</w:t>
      </w:r>
    </w:p>
    <w:p w14:paraId="7A5B7AF7">
      <w:pPr>
        <w:spacing w:line="360" w:lineRule="auto"/>
        <w:ind w:firstLine="480" w:firstLineChars="200"/>
        <w:rPr>
          <w:rFonts w:hAnsi="宋体" w:cs="宋体"/>
          <w:szCs w:val="24"/>
          <w:highlight w:val="none"/>
        </w:rPr>
      </w:pPr>
      <w:r>
        <w:rPr>
          <w:rFonts w:hint="eastAsia" w:hAnsi="宋体" w:cs="宋体"/>
          <w:szCs w:val="24"/>
          <w:highlight w:val="none"/>
        </w:rPr>
        <w:t>14.3磋商保证金可采取“供应商须知前附表”规定的任何一种形式。</w:t>
      </w:r>
    </w:p>
    <w:p w14:paraId="68F5311A">
      <w:pPr>
        <w:spacing w:line="360" w:lineRule="auto"/>
        <w:ind w:firstLine="480" w:firstLineChars="200"/>
        <w:rPr>
          <w:rFonts w:hAnsi="宋体" w:cs="宋体"/>
          <w:szCs w:val="24"/>
          <w:highlight w:val="none"/>
        </w:rPr>
      </w:pPr>
      <w:r>
        <w:rPr>
          <w:rFonts w:hint="eastAsia" w:hAnsi="宋体" w:cs="宋体"/>
          <w:szCs w:val="24"/>
          <w:highlight w:val="none"/>
        </w:rPr>
        <w:t>14.4磋商保证金必须按照竞争性磋商文件“供应商须知前附表”中规定的缴纳金额及方式办理。</w:t>
      </w:r>
    </w:p>
    <w:p w14:paraId="22E495ED">
      <w:pPr>
        <w:spacing w:line="360" w:lineRule="auto"/>
        <w:ind w:firstLine="480" w:firstLineChars="200"/>
        <w:rPr>
          <w:rFonts w:hAnsi="宋体" w:cs="宋体"/>
          <w:szCs w:val="24"/>
          <w:highlight w:val="none"/>
        </w:rPr>
      </w:pPr>
      <w:r>
        <w:rPr>
          <w:rFonts w:hint="eastAsia" w:hAnsi="宋体" w:cs="宋体"/>
          <w:szCs w:val="24"/>
          <w:highlight w:val="none"/>
        </w:rPr>
        <w:t>14.5磋商后经审查，未提交磋商保证金、未按竞争性磋商文件规定时间提交磋商保证金</w:t>
      </w:r>
      <w:r>
        <w:rPr>
          <w:rFonts w:hint="eastAsia" w:hAnsi="宋体" w:cs="宋体"/>
          <w:highlight w:val="none"/>
        </w:rPr>
        <w:t>或担保机构出具的保函正本未在采购代理机构备案的</w:t>
      </w:r>
      <w:r>
        <w:rPr>
          <w:rFonts w:hint="eastAsia" w:hAnsi="宋体" w:cs="宋体"/>
          <w:szCs w:val="24"/>
          <w:highlight w:val="none"/>
        </w:rPr>
        <w:t>、磋商保证金金额不足或磋商保证金转账凭证复印件/担保机构出具的保函正本复印件未附在磋商响应文件内的磋商将按无效磋商处理。</w:t>
      </w:r>
    </w:p>
    <w:p w14:paraId="2A05765D">
      <w:pPr>
        <w:spacing w:line="360" w:lineRule="auto"/>
        <w:rPr>
          <w:rFonts w:hAnsi="宋体" w:cs="宋体"/>
          <w:szCs w:val="24"/>
          <w:highlight w:val="none"/>
        </w:rPr>
      </w:pPr>
      <w:r>
        <w:rPr>
          <w:rFonts w:hint="eastAsia" w:hAnsi="宋体" w:cs="宋体"/>
          <w:szCs w:val="24"/>
          <w:highlight w:val="none"/>
        </w:rPr>
        <w:t xml:space="preserve">   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szCs w:val="24"/>
          <w:highlight w:val="none"/>
        </w:rPr>
        <w:t>（退还时，须向采购代理机构提供采购合同原件、开户许可证及转账凭证复印件壹份）</w:t>
      </w:r>
      <w:r>
        <w:rPr>
          <w:rFonts w:hint="eastAsia" w:hAnsi="宋体" w:cs="宋体"/>
          <w:szCs w:val="24"/>
          <w:highlight w:val="none"/>
        </w:rPr>
        <w:t>。</w:t>
      </w:r>
    </w:p>
    <w:p w14:paraId="56C64BD9">
      <w:pPr>
        <w:spacing w:line="360" w:lineRule="auto"/>
        <w:ind w:firstLine="480" w:firstLineChars="200"/>
        <w:rPr>
          <w:rFonts w:hAnsi="宋体" w:cs="宋体"/>
          <w:szCs w:val="24"/>
          <w:highlight w:val="none"/>
        </w:rPr>
      </w:pPr>
      <w:r>
        <w:rPr>
          <w:rFonts w:hint="eastAsia" w:hAnsi="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41866D94">
      <w:pPr>
        <w:spacing w:line="360" w:lineRule="auto"/>
        <w:ind w:firstLine="482" w:firstLineChars="200"/>
        <w:rPr>
          <w:rFonts w:hAnsi="宋体" w:cs="宋体"/>
          <w:szCs w:val="24"/>
          <w:highlight w:val="none"/>
        </w:rPr>
      </w:pPr>
      <w:r>
        <w:rPr>
          <w:rFonts w:hint="eastAsia" w:hAnsi="宋体" w:cs="宋体"/>
          <w:b/>
          <w:bCs/>
          <w:szCs w:val="24"/>
          <w:highlight w:val="none"/>
        </w:rPr>
        <w:t>14.8 下列任何情况发生时，视为供应商违约，其磋商保证金将被没收：</w:t>
      </w:r>
    </w:p>
    <w:p w14:paraId="5F663D3A">
      <w:pPr>
        <w:spacing w:line="360" w:lineRule="auto"/>
        <w:ind w:firstLine="480" w:firstLineChars="200"/>
        <w:rPr>
          <w:rFonts w:hAnsi="宋体" w:cs="宋体"/>
          <w:szCs w:val="24"/>
          <w:highlight w:val="none"/>
        </w:rPr>
      </w:pPr>
      <w:r>
        <w:rPr>
          <w:rFonts w:hint="eastAsia" w:hAnsi="宋体" w:cs="宋体"/>
          <w:szCs w:val="24"/>
          <w:highlight w:val="none"/>
        </w:rPr>
        <w:t>1) 供应商在磋商有效期内撤回其磋商响应文件；</w:t>
      </w:r>
    </w:p>
    <w:p w14:paraId="771A48BD">
      <w:pPr>
        <w:spacing w:line="360" w:lineRule="auto"/>
        <w:ind w:firstLine="480" w:firstLineChars="200"/>
        <w:rPr>
          <w:rFonts w:hAnsi="宋体" w:cs="宋体"/>
          <w:szCs w:val="24"/>
          <w:highlight w:val="none"/>
        </w:rPr>
      </w:pPr>
      <w:r>
        <w:rPr>
          <w:rFonts w:hint="eastAsia" w:hAnsi="宋体" w:cs="宋体"/>
          <w:szCs w:val="24"/>
          <w:highlight w:val="none"/>
        </w:rPr>
        <w:t>2）供应商在响应文件中提供伪造、套改、虚假资料参加磋商的。</w:t>
      </w:r>
    </w:p>
    <w:p w14:paraId="70057F10">
      <w:pPr>
        <w:spacing w:line="360" w:lineRule="auto"/>
        <w:ind w:firstLine="480" w:firstLineChars="200"/>
        <w:rPr>
          <w:rFonts w:hAnsi="宋体" w:cs="宋体"/>
          <w:szCs w:val="24"/>
          <w:highlight w:val="none"/>
        </w:rPr>
      </w:pPr>
      <w:r>
        <w:rPr>
          <w:rFonts w:hint="eastAsia" w:hAnsi="宋体" w:cs="宋体"/>
          <w:szCs w:val="24"/>
          <w:highlight w:val="none"/>
        </w:rPr>
        <w:t>3) 供应商成交后放弃成交或未能按规定签订合同；或未能按规定交纳成交代理服务费。</w:t>
      </w:r>
    </w:p>
    <w:p w14:paraId="6A3516B8">
      <w:pPr>
        <w:spacing w:line="360" w:lineRule="auto"/>
        <w:ind w:firstLine="480" w:firstLineChars="200"/>
        <w:rPr>
          <w:rFonts w:hAnsi="宋体" w:cs="宋体"/>
          <w:szCs w:val="24"/>
          <w:highlight w:val="none"/>
        </w:rPr>
      </w:pPr>
      <w:r>
        <w:rPr>
          <w:rFonts w:hint="eastAsia" w:hAnsi="宋体" w:cs="宋体"/>
          <w:szCs w:val="24"/>
          <w:highlight w:val="none"/>
        </w:rPr>
        <w:t>4）供应商成交后将成交项目转让给他人，或者在响应文件中未说明，且未经采购人同意，将成交项目分包给他人的。</w:t>
      </w:r>
    </w:p>
    <w:p w14:paraId="7D4F81EE">
      <w:pPr>
        <w:spacing w:line="360" w:lineRule="auto"/>
        <w:ind w:firstLine="480" w:firstLineChars="200"/>
        <w:rPr>
          <w:rFonts w:hAnsi="宋体" w:cs="宋体"/>
          <w:szCs w:val="24"/>
          <w:highlight w:val="none"/>
        </w:rPr>
      </w:pPr>
      <w:r>
        <w:rPr>
          <w:rFonts w:hint="eastAsia" w:hAnsi="宋体" w:cs="宋体"/>
          <w:szCs w:val="24"/>
          <w:highlight w:val="none"/>
        </w:rPr>
        <w:t>5）供应商事先未通告无故不参加磋商活动的。</w:t>
      </w:r>
    </w:p>
    <w:p w14:paraId="11107673">
      <w:pPr>
        <w:spacing w:line="360" w:lineRule="auto"/>
        <w:ind w:firstLine="480" w:firstLineChars="200"/>
        <w:rPr>
          <w:rFonts w:hAnsi="宋体" w:cs="宋体"/>
          <w:szCs w:val="24"/>
          <w:highlight w:val="none"/>
        </w:rPr>
      </w:pPr>
      <w:r>
        <w:rPr>
          <w:rFonts w:hint="eastAsia" w:hAnsi="宋体" w:cs="宋体"/>
          <w:szCs w:val="24"/>
          <w:highlight w:val="none"/>
        </w:rPr>
        <w:t>6）供应商不按法定程序进行质疑和投诉，捏造事实，查无实据，造成恶劣影响，导致采购活动无法正常进行的。</w:t>
      </w:r>
    </w:p>
    <w:p w14:paraId="5E1B31A1">
      <w:pPr>
        <w:spacing w:line="360" w:lineRule="auto"/>
        <w:rPr>
          <w:rFonts w:hAnsi="宋体" w:cs="宋体"/>
          <w:b/>
          <w:szCs w:val="24"/>
          <w:highlight w:val="none"/>
        </w:rPr>
      </w:pPr>
      <w:r>
        <w:rPr>
          <w:rFonts w:hint="eastAsia" w:hAnsi="宋体" w:cs="宋体"/>
          <w:b/>
          <w:szCs w:val="24"/>
          <w:highlight w:val="none"/>
        </w:rPr>
        <w:t>15.磋商有效期</w:t>
      </w:r>
    </w:p>
    <w:p w14:paraId="7F8B09D5">
      <w:pPr>
        <w:spacing w:line="360" w:lineRule="auto"/>
        <w:ind w:firstLine="480" w:firstLineChars="200"/>
        <w:rPr>
          <w:rFonts w:hAnsi="宋体" w:cs="宋体"/>
          <w:szCs w:val="24"/>
          <w:highlight w:val="none"/>
        </w:rPr>
      </w:pPr>
      <w:bookmarkStart w:id="35"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35"/>
    </w:p>
    <w:p w14:paraId="726B95A4">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5255815A">
      <w:pPr>
        <w:spacing w:line="360" w:lineRule="auto"/>
        <w:rPr>
          <w:rFonts w:hAnsi="宋体" w:cs="宋体"/>
          <w:b/>
          <w:szCs w:val="24"/>
          <w:highlight w:val="none"/>
        </w:rPr>
      </w:pPr>
      <w:r>
        <w:rPr>
          <w:rFonts w:hint="eastAsia" w:hAnsi="宋体" w:cs="宋体"/>
          <w:b/>
          <w:szCs w:val="24"/>
          <w:highlight w:val="none"/>
        </w:rPr>
        <w:t>16.竞争性磋商响应文件的式样和签署</w:t>
      </w:r>
    </w:p>
    <w:p w14:paraId="735E1783">
      <w:pPr>
        <w:spacing w:line="360" w:lineRule="auto"/>
        <w:ind w:firstLine="480" w:firstLineChars="200"/>
        <w:rPr>
          <w:rFonts w:hAnsi="宋体" w:cs="宋体"/>
          <w:szCs w:val="24"/>
          <w:highlight w:val="none"/>
        </w:rPr>
      </w:pPr>
      <w:r>
        <w:rPr>
          <w:rFonts w:hint="eastAsia" w:hAnsi="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highlight w:val="none"/>
        </w:rPr>
        <w:t>电子版（U/光盘）</w:t>
      </w:r>
      <w:r>
        <w:rPr>
          <w:rFonts w:hint="eastAsia" w:hAnsi="宋体" w:cs="宋体"/>
          <w:szCs w:val="24"/>
          <w:highlight w:val="none"/>
        </w:rPr>
        <w:t>并在盘面标注供应商全称、项目名称、项目编号，并与竞争性磋商响应文件同时递交。</w:t>
      </w:r>
    </w:p>
    <w:p w14:paraId="679C29CA">
      <w:pPr>
        <w:spacing w:line="500" w:lineRule="exact"/>
        <w:ind w:firstLine="480" w:firstLineChars="200"/>
        <w:rPr>
          <w:rFonts w:hAnsi="宋体" w:cs="宋体"/>
          <w:b/>
          <w:bCs/>
          <w:highlight w:val="none"/>
        </w:rPr>
      </w:pPr>
      <w:r>
        <w:rPr>
          <w:rFonts w:hint="eastAsia" w:hAnsi="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highlight w:val="none"/>
        </w:rPr>
        <w:t>所有竞争性磋商响应文件正本和副本须按第六章规定的顺序编排、并应编制目录、逐页标注连续页码，并</w:t>
      </w:r>
      <w:r>
        <w:rPr>
          <w:rFonts w:hint="eastAsia" w:hAnsi="宋体" w:cs="宋体"/>
          <w:b/>
          <w:bCs/>
          <w:highlight w:val="none"/>
        </w:rPr>
        <w:t>分别胶装成册。</w:t>
      </w:r>
    </w:p>
    <w:p w14:paraId="5C1CBBB5">
      <w:pPr>
        <w:spacing w:line="360" w:lineRule="auto"/>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16.3任何行间插字、涂改和增删，必须由供应商的法定代表人或其授权代表在旁边签字才有效。</w:t>
      </w:r>
    </w:p>
    <w:p w14:paraId="5D9A5DCA">
      <w:pPr>
        <w:spacing w:line="360" w:lineRule="auto"/>
        <w:ind w:firstLine="482" w:firstLineChars="200"/>
        <w:rPr>
          <w:rFonts w:hAnsi="宋体" w:cs="宋体"/>
          <w:b/>
          <w:bCs/>
          <w:szCs w:val="24"/>
          <w:highlight w:val="none"/>
        </w:rPr>
      </w:pPr>
      <w:r>
        <w:rPr>
          <w:rFonts w:hint="eastAsia" w:hAnsi="宋体" w:cs="宋体"/>
          <w:b/>
          <w:bCs/>
          <w:szCs w:val="24"/>
          <w:highlight w:val="none"/>
        </w:rPr>
        <w:t>16.4供应商名称应填写全称。磋商响应文件正本必须逐页加盖供应商公章（鲜章），否则按无效处理。</w:t>
      </w:r>
    </w:p>
    <w:p w14:paraId="72B1FE4F">
      <w:pPr>
        <w:spacing w:line="360" w:lineRule="auto"/>
        <w:ind w:firstLine="480" w:firstLineChars="200"/>
        <w:rPr>
          <w:rFonts w:hAnsi="宋体" w:cs="宋体"/>
          <w:szCs w:val="24"/>
          <w:highlight w:val="none"/>
        </w:rPr>
      </w:pPr>
      <w:r>
        <w:rPr>
          <w:rFonts w:hint="eastAsia" w:hAnsi="宋体" w:cs="宋体"/>
          <w:szCs w:val="24"/>
          <w:highlight w:val="none"/>
        </w:rPr>
        <w:t>16.5因字迹潦草、表述不清或不按竞争性磋商文件格式编制的竞争性磋商响应文件，所引起的对供应商不利的后果，由供应商自行负责。</w:t>
      </w:r>
    </w:p>
    <w:p w14:paraId="0F9A4CC3">
      <w:pPr>
        <w:spacing w:line="500" w:lineRule="exact"/>
        <w:ind w:firstLine="480" w:firstLineChars="200"/>
        <w:rPr>
          <w:rFonts w:hAnsi="宋体" w:cs="宋体"/>
          <w:highlight w:val="none"/>
        </w:rPr>
      </w:pPr>
      <w:r>
        <w:rPr>
          <w:rFonts w:hint="eastAsia" w:hAnsi="宋体" w:cs="宋体"/>
          <w:szCs w:val="24"/>
          <w:highlight w:val="none"/>
        </w:rPr>
        <w:t>16.6竞争性磋商文件的副本、电子版须和正本保持一致。</w:t>
      </w:r>
      <w:r>
        <w:rPr>
          <w:rFonts w:hint="eastAsia" w:hAnsi="宋体" w:cs="宋体"/>
          <w:highlight w:val="none"/>
        </w:rPr>
        <w:t>若正本、副本和电子版有不一致的内容，以正本为准。</w:t>
      </w:r>
    </w:p>
    <w:p w14:paraId="152879BD">
      <w:pPr>
        <w:keepNext/>
        <w:keepLines/>
        <w:spacing w:before="312" w:beforeLines="100" w:after="156" w:afterLines="50" w:line="360" w:lineRule="auto"/>
        <w:jc w:val="center"/>
        <w:rPr>
          <w:rFonts w:hAnsi="宋体" w:cs="宋体"/>
          <w:b/>
          <w:sz w:val="32"/>
          <w:szCs w:val="32"/>
          <w:highlight w:val="none"/>
        </w:rPr>
      </w:pPr>
      <w:r>
        <w:rPr>
          <w:rFonts w:hint="eastAsia" w:hAnsi="宋体" w:cs="宋体"/>
          <w:b/>
          <w:sz w:val="32"/>
          <w:szCs w:val="32"/>
          <w:highlight w:val="none"/>
        </w:rPr>
        <w:t>四.竞争性磋商响应文件的递交</w:t>
      </w:r>
    </w:p>
    <w:p w14:paraId="679A5FDA">
      <w:pPr>
        <w:spacing w:line="360" w:lineRule="auto"/>
        <w:rPr>
          <w:rFonts w:hAnsi="宋体" w:cs="宋体"/>
          <w:b/>
          <w:szCs w:val="24"/>
          <w:highlight w:val="none"/>
        </w:rPr>
      </w:pPr>
      <w:r>
        <w:rPr>
          <w:rFonts w:hint="eastAsia" w:hAnsi="宋体" w:cs="宋体"/>
          <w:b/>
          <w:szCs w:val="24"/>
          <w:highlight w:val="none"/>
        </w:rPr>
        <w:t>17.竞争性磋商响应文件的密封和标记</w:t>
      </w:r>
    </w:p>
    <w:p w14:paraId="24C9A379">
      <w:pPr>
        <w:spacing w:line="360" w:lineRule="auto"/>
        <w:ind w:firstLine="480" w:firstLineChars="200"/>
        <w:rPr>
          <w:rFonts w:hAnsi="宋体" w:cs="宋体"/>
          <w:szCs w:val="24"/>
          <w:highlight w:val="none"/>
        </w:rPr>
      </w:pPr>
      <w:r>
        <w:rPr>
          <w:rFonts w:hint="eastAsia" w:hAnsi="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356554B3">
      <w:pPr>
        <w:spacing w:line="360" w:lineRule="auto"/>
        <w:ind w:firstLine="480" w:firstLineChars="200"/>
        <w:rPr>
          <w:rFonts w:hAnsi="宋体" w:cs="宋体"/>
          <w:szCs w:val="24"/>
          <w:highlight w:val="none"/>
        </w:rPr>
      </w:pPr>
      <w:r>
        <w:rPr>
          <w:rFonts w:hint="eastAsia" w:hAnsi="宋体" w:cs="宋体"/>
          <w:highlight w:val="none"/>
        </w:rPr>
        <w:t>17.2供应商应将竞争性磋商响应文件正本、</w:t>
      </w:r>
      <w:r>
        <w:rPr>
          <w:rFonts w:hint="eastAsia" w:hAnsi="宋体" w:cs="宋体"/>
          <w:szCs w:val="24"/>
          <w:highlight w:val="none"/>
        </w:rPr>
        <w:t>所有的副本、</w:t>
      </w:r>
      <w:r>
        <w:rPr>
          <w:rFonts w:hint="eastAsia" w:hAnsi="宋体" w:cs="宋体"/>
          <w:highlight w:val="none"/>
        </w:rPr>
        <w:t>电子版本、报价一览表单独密封装在封袋中（封袋不得有破损），且在封袋正面标明</w:t>
      </w:r>
      <w:r>
        <w:rPr>
          <w:rFonts w:hint="eastAsia" w:hAnsi="宋体" w:cs="宋体"/>
          <w:szCs w:val="24"/>
          <w:highlight w:val="none"/>
        </w:rPr>
        <w:t>“正本”“副本”</w:t>
      </w:r>
      <w:r>
        <w:rPr>
          <w:rFonts w:hint="eastAsia" w:hAnsi="宋体" w:cs="宋体"/>
          <w:highlight w:val="none"/>
        </w:rPr>
        <w:t>“电子版本”“报价一览表”字样。封袋应加贴封条，并在封线处加盖供应商公章，封袋正面要粘贴供应商全称、项目名称、项目编号等标识。</w:t>
      </w:r>
    </w:p>
    <w:p w14:paraId="417B7621">
      <w:pPr>
        <w:spacing w:line="360" w:lineRule="auto"/>
        <w:ind w:firstLine="482" w:firstLineChars="200"/>
        <w:rPr>
          <w:rFonts w:hAnsi="宋体" w:cs="宋体"/>
          <w:b/>
          <w:bCs/>
          <w:szCs w:val="24"/>
          <w:highlight w:val="none"/>
        </w:rPr>
      </w:pPr>
      <w:r>
        <w:rPr>
          <w:rFonts w:hint="eastAsia" w:hAnsi="宋体" w:cs="宋体"/>
          <w:b/>
          <w:bCs/>
          <w:szCs w:val="24"/>
          <w:highlight w:val="none"/>
        </w:rPr>
        <w:t>外层包装请按以下要求标记：</w:t>
      </w:r>
    </w:p>
    <w:p w14:paraId="07D1C44A">
      <w:pPr>
        <w:spacing w:line="360" w:lineRule="auto"/>
        <w:ind w:firstLine="720" w:firstLineChars="300"/>
        <w:rPr>
          <w:rFonts w:hAnsi="宋体" w:cs="宋体"/>
          <w:szCs w:val="24"/>
          <w:highlight w:val="none"/>
        </w:rPr>
      </w:pPr>
      <w:r>
        <w:rPr>
          <w:rFonts w:hint="eastAsia" w:hAnsi="宋体" w:cs="宋体"/>
          <w:szCs w:val="24"/>
          <w:highlight w:val="none"/>
        </w:rPr>
        <w:t>1) 磋商响应单位的全称；</w:t>
      </w:r>
    </w:p>
    <w:p w14:paraId="1BA7BBF5">
      <w:pPr>
        <w:spacing w:line="360" w:lineRule="auto"/>
        <w:ind w:firstLine="720" w:firstLineChars="300"/>
        <w:rPr>
          <w:rFonts w:hAnsi="宋体" w:cs="宋体"/>
          <w:szCs w:val="24"/>
          <w:highlight w:val="none"/>
        </w:rPr>
      </w:pPr>
      <w:r>
        <w:rPr>
          <w:rFonts w:hint="eastAsia" w:hAnsi="宋体" w:cs="宋体"/>
          <w:szCs w:val="24"/>
          <w:highlight w:val="none"/>
        </w:rPr>
        <w:t>2) 磋商项目名称、项目编号；</w:t>
      </w:r>
    </w:p>
    <w:p w14:paraId="3C9480AB">
      <w:pPr>
        <w:spacing w:line="360" w:lineRule="auto"/>
        <w:ind w:firstLine="720" w:firstLineChars="300"/>
        <w:rPr>
          <w:rFonts w:hAnsi="宋体" w:cs="宋体"/>
          <w:szCs w:val="24"/>
          <w:highlight w:val="none"/>
        </w:rPr>
      </w:pPr>
      <w:r>
        <w:rPr>
          <w:rFonts w:hint="eastAsia" w:hAnsi="宋体" w:cs="宋体"/>
          <w:szCs w:val="24"/>
          <w:highlight w:val="none"/>
        </w:rPr>
        <w:t>3）正本或副本、电子版、报价一览表“请勿在＿＿＿＿＿(磋商时间)之前启封”。</w:t>
      </w:r>
    </w:p>
    <w:p w14:paraId="00395049">
      <w:pPr>
        <w:spacing w:line="360" w:lineRule="auto"/>
        <w:ind w:firstLine="480" w:firstLineChars="200"/>
        <w:rPr>
          <w:rFonts w:hAnsi="宋体" w:cs="宋体"/>
          <w:szCs w:val="24"/>
          <w:highlight w:val="none"/>
        </w:rPr>
      </w:pPr>
      <w:r>
        <w:rPr>
          <w:rFonts w:hint="eastAsia" w:hAnsi="宋体" w:cs="宋体"/>
          <w:szCs w:val="24"/>
          <w:highlight w:val="none"/>
        </w:rPr>
        <w:t>17.3如果供应商未对竞争性磋商响应文件按上述要求进行完好密封，由此产生的不利后果由供应商自行承担。</w:t>
      </w:r>
    </w:p>
    <w:p w14:paraId="66012913">
      <w:pPr>
        <w:spacing w:line="360" w:lineRule="auto"/>
        <w:rPr>
          <w:rFonts w:hAnsi="宋体" w:cs="宋体"/>
          <w:b/>
          <w:szCs w:val="24"/>
          <w:highlight w:val="none"/>
        </w:rPr>
      </w:pPr>
      <w:r>
        <w:rPr>
          <w:rFonts w:hint="eastAsia" w:hAnsi="宋体" w:cs="宋体"/>
          <w:b/>
          <w:szCs w:val="24"/>
          <w:highlight w:val="none"/>
        </w:rPr>
        <w:t>18．竞争性磋商响应文件的递交</w:t>
      </w:r>
    </w:p>
    <w:p w14:paraId="4E3B5AFE">
      <w:pPr>
        <w:spacing w:line="360" w:lineRule="auto"/>
        <w:ind w:firstLine="480" w:firstLineChars="200"/>
        <w:rPr>
          <w:rFonts w:hAnsi="宋体" w:cs="宋体"/>
          <w:szCs w:val="24"/>
          <w:highlight w:val="none"/>
        </w:rPr>
      </w:pPr>
      <w:r>
        <w:rPr>
          <w:rFonts w:hint="eastAsia" w:hAnsi="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68D617D7">
      <w:pPr>
        <w:spacing w:line="360" w:lineRule="auto"/>
        <w:ind w:firstLine="480" w:firstLineChars="200"/>
        <w:rPr>
          <w:rFonts w:hAnsi="宋体" w:cs="宋体"/>
          <w:szCs w:val="24"/>
          <w:highlight w:val="none"/>
        </w:rPr>
      </w:pPr>
      <w:r>
        <w:rPr>
          <w:rFonts w:hint="eastAsia" w:hAnsi="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607ED2C3">
      <w:pPr>
        <w:spacing w:line="360" w:lineRule="auto"/>
        <w:ind w:firstLine="480" w:firstLineChars="200"/>
        <w:rPr>
          <w:rFonts w:hAnsi="宋体" w:cs="宋体"/>
          <w:szCs w:val="24"/>
          <w:highlight w:val="none"/>
        </w:rPr>
      </w:pPr>
      <w:r>
        <w:rPr>
          <w:rFonts w:hint="eastAsia" w:hAnsi="宋体" w:cs="宋体"/>
          <w:szCs w:val="24"/>
          <w:highlight w:val="none"/>
        </w:rPr>
        <w:t>18.3无论供应商成交与否，其竞争性磋商响应文件恕不退还。</w:t>
      </w:r>
    </w:p>
    <w:p w14:paraId="55101922">
      <w:pPr>
        <w:spacing w:line="360" w:lineRule="auto"/>
        <w:rPr>
          <w:rFonts w:hAnsi="宋体" w:cs="宋体"/>
          <w:b/>
          <w:szCs w:val="24"/>
          <w:highlight w:val="none"/>
        </w:rPr>
      </w:pPr>
      <w:r>
        <w:rPr>
          <w:rFonts w:hint="eastAsia" w:hAnsi="宋体" w:cs="宋体"/>
          <w:b/>
          <w:szCs w:val="24"/>
          <w:highlight w:val="none"/>
        </w:rPr>
        <w:t>19．递交的竞争性磋商响应文件</w:t>
      </w:r>
    </w:p>
    <w:p w14:paraId="3092E513">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14:paraId="63FCA930">
      <w:pPr>
        <w:spacing w:line="360" w:lineRule="auto"/>
        <w:rPr>
          <w:rFonts w:hAnsi="宋体" w:cs="宋体"/>
          <w:b/>
          <w:szCs w:val="24"/>
          <w:highlight w:val="none"/>
        </w:rPr>
      </w:pPr>
      <w:r>
        <w:rPr>
          <w:rFonts w:hint="eastAsia" w:hAnsi="宋体" w:cs="宋体"/>
          <w:b/>
          <w:szCs w:val="24"/>
          <w:highlight w:val="none"/>
        </w:rPr>
        <w:t>20．磋商的修改与撤回</w:t>
      </w:r>
    </w:p>
    <w:p w14:paraId="73A13FD7">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6AC277AB">
      <w:pPr>
        <w:spacing w:line="360" w:lineRule="auto"/>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2A5187EB">
      <w:pPr>
        <w:spacing w:line="360" w:lineRule="auto"/>
        <w:ind w:firstLine="480" w:firstLineChars="200"/>
        <w:rPr>
          <w:rFonts w:hAnsi="宋体" w:cs="宋体"/>
          <w:szCs w:val="24"/>
          <w:highlight w:val="none"/>
        </w:rPr>
      </w:pPr>
      <w:r>
        <w:rPr>
          <w:rFonts w:hint="eastAsia" w:hAnsi="宋体" w:cs="宋体"/>
          <w:szCs w:val="24"/>
          <w:highlight w:val="none"/>
        </w:rPr>
        <w:t>20.3 在磋商截止时间之后，供应商不得对其磋商响应文件做任何修改或撤回。</w:t>
      </w:r>
    </w:p>
    <w:p w14:paraId="4A7E2E90">
      <w:pPr>
        <w:keepNext/>
        <w:keepLines/>
        <w:spacing w:before="312" w:beforeLines="100" w:after="156" w:afterLines="50" w:line="360" w:lineRule="auto"/>
        <w:jc w:val="center"/>
        <w:rPr>
          <w:rFonts w:hAnsi="宋体" w:cs="宋体"/>
          <w:b/>
          <w:sz w:val="32"/>
          <w:szCs w:val="32"/>
          <w:highlight w:val="none"/>
        </w:rPr>
      </w:pPr>
      <w:bookmarkStart w:id="36" w:name="_Toc403077643"/>
      <w:bookmarkStart w:id="37" w:name="_Toc363473976"/>
      <w:bookmarkStart w:id="38" w:name="_Toc363474021"/>
      <w:r>
        <w:rPr>
          <w:rFonts w:hint="eastAsia" w:hAnsi="宋体" w:cs="宋体"/>
          <w:b/>
          <w:sz w:val="32"/>
          <w:szCs w:val="32"/>
          <w:highlight w:val="none"/>
        </w:rPr>
        <w:t>五.磋商与评标</w:t>
      </w:r>
      <w:bookmarkEnd w:id="36"/>
      <w:bookmarkEnd w:id="37"/>
      <w:bookmarkEnd w:id="38"/>
    </w:p>
    <w:p w14:paraId="78505F2F">
      <w:pPr>
        <w:keepNext w:val="0"/>
        <w:keepLines w:val="0"/>
        <w:pageBreakBefore w:val="0"/>
        <w:kinsoku/>
        <w:wordWrap/>
        <w:overflowPunct/>
        <w:topLinePunct w:val="0"/>
        <w:autoSpaceDE/>
        <w:autoSpaceDN/>
        <w:bidi w:val="0"/>
        <w:adjustRightInd/>
        <w:snapToGrid/>
        <w:spacing w:line="360" w:lineRule="auto"/>
        <w:textAlignment w:val="auto"/>
        <w:rPr>
          <w:rFonts w:hAnsi="宋体" w:cs="宋体"/>
          <w:b/>
          <w:szCs w:val="24"/>
          <w:highlight w:val="none"/>
        </w:rPr>
      </w:pPr>
      <w:r>
        <w:rPr>
          <w:rFonts w:hint="eastAsia" w:hAnsi="宋体" w:cs="宋体"/>
          <w:b/>
          <w:szCs w:val="24"/>
          <w:highlight w:val="none"/>
        </w:rPr>
        <w:t>21.磋商大会</w:t>
      </w:r>
    </w:p>
    <w:p w14:paraId="59E40D3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21.1 采购代理机构在规定的时间和地点组织竞争性磋商。磋商时所有供应商代表自愿参加，参加磋商的代表应签名报到以证明其出席。</w:t>
      </w:r>
    </w:p>
    <w:p w14:paraId="46DDCB9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b/>
          <w:szCs w:val="24"/>
          <w:highlight w:val="none"/>
        </w:rPr>
      </w:pPr>
      <w:r>
        <w:rPr>
          <w:rFonts w:hint="eastAsia" w:hAnsi="宋体" w:cs="宋体"/>
          <w:szCs w:val="24"/>
          <w:highlight w:val="none"/>
        </w:rPr>
        <w:t>21.2采购代理机构将做磋商记录，存档备查。</w:t>
      </w:r>
    </w:p>
    <w:p w14:paraId="23BB6BFA">
      <w:pPr>
        <w:keepNext w:val="0"/>
        <w:keepLines w:val="0"/>
        <w:pageBreakBefore w:val="0"/>
        <w:kinsoku/>
        <w:wordWrap/>
        <w:overflowPunct/>
        <w:topLinePunct w:val="0"/>
        <w:autoSpaceDE/>
        <w:autoSpaceDN/>
        <w:bidi w:val="0"/>
        <w:adjustRightInd/>
        <w:snapToGrid/>
        <w:spacing w:line="360" w:lineRule="auto"/>
        <w:textAlignment w:val="auto"/>
        <w:rPr>
          <w:rFonts w:hAnsi="宋体" w:cs="宋体"/>
          <w:b/>
          <w:szCs w:val="24"/>
          <w:highlight w:val="none"/>
        </w:rPr>
      </w:pPr>
      <w:r>
        <w:rPr>
          <w:rFonts w:hint="eastAsia" w:hAnsi="宋体" w:cs="宋体"/>
          <w:b/>
          <w:szCs w:val="24"/>
          <w:highlight w:val="none"/>
        </w:rPr>
        <w:t>22．评审程序</w:t>
      </w:r>
    </w:p>
    <w:p w14:paraId="3D12C9A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8F909E6">
      <w:pPr>
        <w:keepNext w:val="0"/>
        <w:keepLines w:val="0"/>
        <w:pageBreakBefore w:val="0"/>
        <w:kinsoku/>
        <w:wordWrap/>
        <w:overflowPunct/>
        <w:topLinePunct w:val="0"/>
        <w:autoSpaceDE/>
        <w:autoSpaceDN/>
        <w:bidi w:val="0"/>
        <w:adjustRightInd/>
        <w:snapToGrid/>
        <w:spacing w:line="360" w:lineRule="auto"/>
        <w:textAlignment w:val="auto"/>
        <w:rPr>
          <w:rFonts w:hAnsi="宋体" w:cs="宋体"/>
          <w:b/>
          <w:szCs w:val="24"/>
          <w:highlight w:val="none"/>
        </w:rPr>
      </w:pPr>
      <w:r>
        <w:rPr>
          <w:rFonts w:hint="eastAsia" w:hAnsi="宋体" w:cs="宋体"/>
          <w:b/>
          <w:szCs w:val="24"/>
          <w:highlight w:val="none"/>
        </w:rPr>
        <w:t>23．评审组织及评审原则</w:t>
      </w:r>
    </w:p>
    <w:p w14:paraId="72B8B8D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67DB6E0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14:paraId="139D8F2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00153F6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14:paraId="59A5C00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23.5磋商过程中的实质性变动：</w:t>
      </w:r>
    </w:p>
    <w:p w14:paraId="3B4EC1B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66DEC5F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14:paraId="19B1694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23.6竞争性磋商响应文件的初审（含资格性检查和符合性检查）</w:t>
      </w:r>
    </w:p>
    <w:p w14:paraId="5855A5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14:paraId="29A9117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Ansi="宋体" w:cs="宋体"/>
          <w:szCs w:val="24"/>
          <w:highlight w:val="none"/>
        </w:rPr>
      </w:pPr>
      <w:r>
        <w:rPr>
          <w:rFonts w:hint="eastAsia" w:hAnsi="宋体" w:cs="宋体"/>
          <w:b/>
          <w:bCs/>
          <w:szCs w:val="24"/>
          <w:highlight w:val="none"/>
        </w:rPr>
        <w:t>23.6.2计算错误将按以下方法更正：</w:t>
      </w:r>
    </w:p>
    <w:p w14:paraId="3D08BA0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1467AF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（2）磋商响应文件的大写金额和小写金额不一致的，以大写金额为准；</w:t>
      </w:r>
    </w:p>
    <w:p w14:paraId="51FD525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（3）单价金额小数点或者百分比有明显错位的，以单独密封的报价一览表的总价为准，并修改单价；</w:t>
      </w:r>
    </w:p>
    <w:p w14:paraId="146134C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（4）总价金额与按单价汇总金额不一致的，以单价金额计算结果为准。</w:t>
      </w:r>
    </w:p>
    <w:p w14:paraId="2C14A8B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14:paraId="0541878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14:paraId="2769CD9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992D84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szCs w:val="24"/>
          <w:highlight w:val="none"/>
        </w:rPr>
        <w:t>如发现下列情况之一的，其磋商将构成非实质性响应，按无效磋商处理：</w:t>
      </w:r>
    </w:p>
    <w:p w14:paraId="1EBCA282">
      <w:pPr>
        <w:keepNext w:val="0"/>
        <w:keepLines w:val="0"/>
        <w:pageBreakBefore w:val="0"/>
        <w:tabs>
          <w:tab w:val="left" w:pos="1260"/>
        </w:tabs>
        <w:kinsoku/>
        <w:wordWrap/>
        <w:overflowPunct/>
        <w:topLinePunct w:val="0"/>
        <w:autoSpaceDE/>
        <w:autoSpaceDN/>
        <w:bidi w:val="0"/>
        <w:adjustRightInd/>
        <w:snapToGrid/>
        <w:spacing w:line="360" w:lineRule="auto"/>
        <w:ind w:firstLine="482" w:firstLineChars="200"/>
        <w:textAlignment w:val="auto"/>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14:paraId="632770DB">
      <w:pPr>
        <w:keepNext w:val="0"/>
        <w:keepLines w:val="0"/>
        <w:pageBreakBefore w:val="0"/>
        <w:tabs>
          <w:tab w:val="left" w:pos="1260"/>
        </w:tabs>
        <w:kinsoku/>
        <w:wordWrap/>
        <w:overflowPunct/>
        <w:topLinePunct w:val="0"/>
        <w:autoSpaceDE/>
        <w:autoSpaceDN/>
        <w:bidi w:val="0"/>
        <w:adjustRightInd/>
        <w:snapToGrid/>
        <w:spacing w:line="360" w:lineRule="auto"/>
        <w:ind w:firstLine="482" w:firstLineChars="200"/>
        <w:textAlignment w:val="auto"/>
        <w:rPr>
          <w:rFonts w:hAnsi="宋体" w:cs="宋体"/>
          <w:b/>
          <w:bCs/>
          <w:szCs w:val="24"/>
          <w:highlight w:val="none"/>
        </w:rPr>
      </w:pPr>
      <w:r>
        <w:rPr>
          <w:rFonts w:hint="eastAsia" w:hAnsi="宋体" w:cs="宋体"/>
          <w:b/>
          <w:bCs/>
          <w:szCs w:val="24"/>
          <w:highlight w:val="none"/>
          <w:lang w:val="en-US" w:eastAsia="zh-CN"/>
        </w:rPr>
        <w:t>2</w:t>
      </w:r>
      <w:r>
        <w:rPr>
          <w:rFonts w:hint="eastAsia" w:hAnsi="宋体" w:cs="宋体"/>
          <w:b/>
          <w:bCs/>
          <w:szCs w:val="24"/>
          <w:highlight w:val="none"/>
        </w:rPr>
        <w:t>）供应商未提交有效的磋商保证金或金额不足的、磋商保证金形式不符合竞争性磋商文件要求的；</w:t>
      </w:r>
    </w:p>
    <w:p w14:paraId="5CC251E1">
      <w:pPr>
        <w:keepNext w:val="0"/>
        <w:keepLines w:val="0"/>
        <w:pageBreakBefore w:val="0"/>
        <w:tabs>
          <w:tab w:val="left" w:pos="1260"/>
        </w:tabs>
        <w:kinsoku/>
        <w:wordWrap/>
        <w:overflowPunct/>
        <w:topLinePunct w:val="0"/>
        <w:autoSpaceDE/>
        <w:autoSpaceDN/>
        <w:bidi w:val="0"/>
        <w:adjustRightInd/>
        <w:snapToGrid/>
        <w:spacing w:line="360" w:lineRule="auto"/>
        <w:ind w:firstLine="482" w:firstLineChars="200"/>
        <w:textAlignment w:val="auto"/>
        <w:rPr>
          <w:rFonts w:hAnsi="宋体" w:cs="宋体"/>
          <w:b/>
          <w:bCs/>
          <w:szCs w:val="24"/>
          <w:highlight w:val="none"/>
        </w:rPr>
      </w:pPr>
      <w:r>
        <w:rPr>
          <w:rFonts w:hint="eastAsia" w:hAnsi="宋体" w:cs="宋体"/>
          <w:b/>
          <w:bCs/>
          <w:szCs w:val="24"/>
          <w:highlight w:val="none"/>
          <w:lang w:val="en-US" w:eastAsia="zh-CN"/>
        </w:rPr>
        <w:t>3</w:t>
      </w:r>
      <w:r>
        <w:rPr>
          <w:rFonts w:hint="eastAsia" w:hAnsi="宋体" w:cs="宋体"/>
          <w:b/>
          <w:bCs/>
          <w:szCs w:val="24"/>
          <w:highlight w:val="none"/>
        </w:rPr>
        <w:t>）资格证明文件不全的或无效的，或不符合国家规定的；</w:t>
      </w:r>
    </w:p>
    <w:p w14:paraId="4E88128F">
      <w:pPr>
        <w:keepNext w:val="0"/>
        <w:keepLines w:val="0"/>
        <w:pageBreakBefore w:val="0"/>
        <w:tabs>
          <w:tab w:val="left" w:pos="1260"/>
        </w:tabs>
        <w:kinsoku/>
        <w:wordWrap/>
        <w:overflowPunct/>
        <w:topLinePunct w:val="0"/>
        <w:autoSpaceDE/>
        <w:autoSpaceDN/>
        <w:bidi w:val="0"/>
        <w:adjustRightInd/>
        <w:snapToGrid/>
        <w:spacing w:line="360" w:lineRule="auto"/>
        <w:ind w:firstLine="482" w:firstLineChars="200"/>
        <w:textAlignment w:val="auto"/>
        <w:rPr>
          <w:rFonts w:hAnsi="宋体" w:cs="宋体"/>
          <w:b/>
          <w:bCs/>
          <w:szCs w:val="24"/>
          <w:highlight w:val="none"/>
        </w:rPr>
      </w:pPr>
      <w:r>
        <w:rPr>
          <w:rFonts w:hint="eastAsia" w:hAnsi="宋体" w:cs="宋体"/>
          <w:b/>
          <w:bCs/>
          <w:szCs w:val="24"/>
          <w:highlight w:val="none"/>
          <w:lang w:val="en-US" w:eastAsia="zh-CN"/>
        </w:rPr>
        <w:t>4</w:t>
      </w:r>
      <w:r>
        <w:rPr>
          <w:rFonts w:hint="eastAsia" w:hAnsi="宋体" w:cs="宋体"/>
          <w:b/>
          <w:bCs/>
          <w:szCs w:val="24"/>
          <w:highlight w:val="none"/>
        </w:rPr>
        <w:t>）竞争性磋商响应文件无供应商公章、无法定代表人签字或签字人无法定代表人有效委托书的；</w:t>
      </w:r>
    </w:p>
    <w:p w14:paraId="0ABB404C">
      <w:pPr>
        <w:keepNext w:val="0"/>
        <w:keepLines w:val="0"/>
        <w:pageBreakBefore w:val="0"/>
        <w:tabs>
          <w:tab w:val="left" w:pos="1260"/>
        </w:tabs>
        <w:kinsoku/>
        <w:wordWrap/>
        <w:overflowPunct/>
        <w:topLinePunct w:val="0"/>
        <w:autoSpaceDE/>
        <w:autoSpaceDN/>
        <w:bidi w:val="0"/>
        <w:adjustRightInd/>
        <w:snapToGrid/>
        <w:spacing w:line="360" w:lineRule="auto"/>
        <w:ind w:firstLine="482" w:firstLineChars="200"/>
        <w:textAlignment w:val="auto"/>
        <w:rPr>
          <w:rFonts w:hAnsi="宋体" w:cs="宋体"/>
          <w:b/>
          <w:bCs/>
          <w:szCs w:val="24"/>
          <w:highlight w:val="none"/>
        </w:rPr>
      </w:pPr>
      <w:r>
        <w:rPr>
          <w:rFonts w:hint="eastAsia" w:hAnsi="宋体" w:cs="宋体"/>
          <w:b/>
          <w:bCs/>
          <w:szCs w:val="24"/>
          <w:highlight w:val="none"/>
          <w:lang w:val="en-US" w:eastAsia="zh-CN"/>
        </w:rPr>
        <w:t>5</w:t>
      </w:r>
      <w:r>
        <w:rPr>
          <w:rFonts w:hint="eastAsia" w:hAnsi="宋体" w:cs="宋体"/>
          <w:b/>
          <w:bCs/>
          <w:szCs w:val="24"/>
          <w:highlight w:val="none"/>
        </w:rPr>
        <w:t>）</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14:paraId="1A303681">
      <w:pPr>
        <w:keepNext w:val="0"/>
        <w:keepLines w:val="0"/>
        <w:pageBreakBefore w:val="0"/>
        <w:tabs>
          <w:tab w:val="left" w:pos="1260"/>
        </w:tabs>
        <w:kinsoku/>
        <w:wordWrap/>
        <w:overflowPunct/>
        <w:topLinePunct w:val="0"/>
        <w:autoSpaceDE/>
        <w:autoSpaceDN/>
        <w:bidi w:val="0"/>
        <w:adjustRightInd/>
        <w:snapToGrid/>
        <w:spacing w:line="360" w:lineRule="auto"/>
        <w:ind w:firstLine="482" w:firstLineChars="200"/>
        <w:textAlignment w:val="auto"/>
        <w:rPr>
          <w:rFonts w:hAnsi="宋体" w:cs="宋体"/>
          <w:b/>
          <w:bCs/>
          <w:szCs w:val="24"/>
          <w:highlight w:val="none"/>
        </w:rPr>
      </w:pPr>
      <w:r>
        <w:rPr>
          <w:rFonts w:hint="eastAsia" w:hAnsi="宋体" w:cs="宋体"/>
          <w:b/>
          <w:bCs/>
          <w:szCs w:val="24"/>
          <w:highlight w:val="none"/>
          <w:lang w:val="en-US" w:eastAsia="zh-CN"/>
        </w:rPr>
        <w:t>6</w:t>
      </w:r>
      <w:r>
        <w:rPr>
          <w:rFonts w:hint="eastAsia" w:hAnsi="宋体" w:cs="宋体"/>
          <w:b/>
          <w:bCs/>
          <w:szCs w:val="24"/>
          <w:highlight w:val="none"/>
        </w:rPr>
        <w:t>）供应商在同一份竞争性磋商响应文件中，有两个或多个报价的；</w:t>
      </w:r>
    </w:p>
    <w:p w14:paraId="286D6D1D">
      <w:pPr>
        <w:keepNext w:val="0"/>
        <w:keepLines w:val="0"/>
        <w:pageBreakBefore w:val="0"/>
        <w:tabs>
          <w:tab w:val="left" w:pos="1260"/>
        </w:tabs>
        <w:kinsoku/>
        <w:wordWrap/>
        <w:overflowPunct/>
        <w:topLinePunct w:val="0"/>
        <w:autoSpaceDE/>
        <w:autoSpaceDN/>
        <w:bidi w:val="0"/>
        <w:adjustRightInd/>
        <w:snapToGrid/>
        <w:spacing w:line="360" w:lineRule="auto"/>
        <w:ind w:firstLine="482" w:firstLineChars="200"/>
        <w:textAlignment w:val="auto"/>
        <w:rPr>
          <w:rFonts w:hAnsi="宋体" w:cs="宋体"/>
          <w:b/>
          <w:bCs/>
          <w:szCs w:val="24"/>
          <w:highlight w:val="none"/>
        </w:rPr>
      </w:pPr>
      <w:r>
        <w:rPr>
          <w:rFonts w:hint="eastAsia" w:hAnsi="宋体" w:cs="宋体"/>
          <w:b/>
          <w:bCs/>
          <w:szCs w:val="24"/>
          <w:highlight w:val="none"/>
          <w:lang w:val="en-US" w:eastAsia="zh-CN"/>
        </w:rPr>
        <w:t>7</w:t>
      </w:r>
      <w:r>
        <w:rPr>
          <w:rFonts w:hint="eastAsia" w:hAnsi="宋体" w:cs="宋体"/>
          <w:b/>
          <w:bCs/>
          <w:szCs w:val="24"/>
          <w:highlight w:val="none"/>
        </w:rPr>
        <w:t>）存在有重大缺漏项和重大偏离的；</w:t>
      </w:r>
    </w:p>
    <w:p w14:paraId="16BA47A6">
      <w:pPr>
        <w:keepNext w:val="0"/>
        <w:keepLines w:val="0"/>
        <w:pageBreakBefore w:val="0"/>
        <w:tabs>
          <w:tab w:val="left" w:pos="1260"/>
        </w:tabs>
        <w:kinsoku/>
        <w:wordWrap/>
        <w:overflowPunct/>
        <w:topLinePunct w:val="0"/>
        <w:autoSpaceDE/>
        <w:autoSpaceDN/>
        <w:bidi w:val="0"/>
        <w:adjustRightInd/>
        <w:snapToGrid/>
        <w:spacing w:line="360" w:lineRule="auto"/>
        <w:ind w:firstLine="482" w:firstLineChars="200"/>
        <w:textAlignment w:val="auto"/>
        <w:rPr>
          <w:rFonts w:hAnsi="宋体" w:cs="宋体"/>
          <w:b/>
          <w:bCs/>
          <w:szCs w:val="24"/>
          <w:highlight w:val="none"/>
        </w:rPr>
      </w:pPr>
      <w:r>
        <w:rPr>
          <w:rFonts w:hint="eastAsia" w:hAnsi="宋体" w:cs="宋体"/>
          <w:b/>
          <w:bCs/>
          <w:szCs w:val="24"/>
          <w:highlight w:val="none"/>
          <w:lang w:val="en-US" w:eastAsia="zh-CN"/>
        </w:rPr>
        <w:t>8</w:t>
      </w:r>
      <w:r>
        <w:rPr>
          <w:rFonts w:hint="eastAsia" w:hAnsi="宋体" w:cs="宋体"/>
          <w:b/>
          <w:bCs/>
          <w:szCs w:val="24"/>
          <w:highlight w:val="none"/>
        </w:rPr>
        <w:t>）供应商有串通磋商、以他人名义磋商、行贿、提供虚假证明（包括第三方提供的虚假证明），开具虚假资质，出现虚假应答的，除按无效文件处理外，还将按照政府采购的有关规定进行处罚；</w:t>
      </w:r>
    </w:p>
    <w:p w14:paraId="3CB0D38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Ansi="宋体" w:cs="宋体"/>
          <w:b/>
          <w:bCs/>
          <w:szCs w:val="24"/>
          <w:highlight w:val="none"/>
        </w:rPr>
      </w:pPr>
      <w:r>
        <w:rPr>
          <w:rFonts w:hint="eastAsia" w:hAnsi="宋体" w:cs="宋体"/>
          <w:b/>
          <w:bCs/>
          <w:szCs w:val="24"/>
          <w:highlight w:val="none"/>
          <w:lang w:val="en-US" w:eastAsia="zh-CN"/>
        </w:rPr>
        <w:t>9</w:t>
      </w:r>
      <w:r>
        <w:rPr>
          <w:rFonts w:hint="eastAsia" w:hAnsi="宋体" w:cs="宋体"/>
          <w:b/>
          <w:bCs/>
          <w:szCs w:val="24"/>
          <w:highlight w:val="none"/>
        </w:rPr>
        <w:t>）磋商总报价低于成本或者高于竞争性磋商文件公布的采购预算的。</w:t>
      </w:r>
    </w:p>
    <w:p w14:paraId="70C29C5D">
      <w:pPr>
        <w:pStyle w:val="1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cs="宋体"/>
          <w:b/>
          <w:bCs/>
          <w:highlight w:val="none"/>
        </w:rPr>
      </w:pPr>
      <w:r>
        <w:rPr>
          <w:rFonts w:hint="eastAsia" w:cs="宋体"/>
          <w:b/>
          <w:bCs/>
          <w:highlight w:val="none"/>
          <w:lang w:val="en-US" w:eastAsia="zh-CN"/>
        </w:rPr>
        <w:t>10</w:t>
      </w:r>
      <w:r>
        <w:rPr>
          <w:rFonts w:hint="eastAsia" w:cs="宋体"/>
          <w:b/>
          <w:bCs/>
          <w:highlight w:val="none"/>
        </w:rPr>
        <w:t>）竞争性磋商响应文件含有采购人不能接受的附加条件的；</w:t>
      </w:r>
    </w:p>
    <w:p w14:paraId="6C12E8C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Ansi="宋体" w:cs="宋体"/>
          <w:b/>
          <w:bCs/>
          <w:szCs w:val="24"/>
          <w:highlight w:val="none"/>
        </w:rPr>
      </w:pPr>
      <w:r>
        <w:rPr>
          <w:rFonts w:hint="eastAsia" w:hAnsi="宋体" w:cs="宋体"/>
          <w:b/>
          <w:bCs/>
          <w:szCs w:val="24"/>
          <w:highlight w:val="none"/>
          <w:lang w:val="en-US" w:eastAsia="zh-CN"/>
        </w:rPr>
        <w:t>11</w:t>
      </w:r>
      <w:r>
        <w:rPr>
          <w:rFonts w:hint="eastAsia" w:hAnsi="宋体" w:cs="宋体"/>
          <w:b/>
          <w:bCs/>
          <w:szCs w:val="24"/>
          <w:highlight w:val="none"/>
        </w:rPr>
        <w:t>）竞争性磋商响应文件不符合法律法规要求的；</w:t>
      </w:r>
    </w:p>
    <w:p w14:paraId="373EB144">
      <w:pPr>
        <w:pStyle w:val="1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cs="宋体"/>
          <w:highlight w:val="none"/>
        </w:rPr>
      </w:pPr>
      <w:r>
        <w:rPr>
          <w:rFonts w:hint="eastAsia" w:cs="宋体"/>
          <w:b/>
          <w:bCs/>
          <w:highlight w:val="none"/>
          <w:lang w:val="en-US" w:eastAsia="zh-CN"/>
        </w:rPr>
        <w:t>12</w:t>
      </w:r>
      <w:r>
        <w:rPr>
          <w:rFonts w:hint="eastAsia" w:cs="宋体"/>
          <w:b/>
          <w:bCs/>
          <w:highlight w:val="none"/>
        </w:rPr>
        <w:t>）供应商被列入失信被执行人、重大税收违法案件当事人名单、政府采购严重违法失信行为记录名单及其他不符合《中华人民共和国政府采购法》第二十二条规定条件。</w:t>
      </w:r>
    </w:p>
    <w:p w14:paraId="6A04DA4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23.7竞争性磋商响应文件的详细评审</w:t>
      </w:r>
    </w:p>
    <w:p w14:paraId="1CFD040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14:paraId="73E8404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23.7.2详细评审按照“供应商须知前附表”的评审方法进行。</w:t>
      </w:r>
    </w:p>
    <w:p w14:paraId="65116F1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23.8成交候选人的确定</w:t>
      </w:r>
    </w:p>
    <w:p w14:paraId="03FC114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14:paraId="1EA92443">
      <w:pPr>
        <w:keepNext w:val="0"/>
        <w:keepLines w:val="0"/>
        <w:pageBreakBefore w:val="0"/>
        <w:kinsoku/>
        <w:wordWrap/>
        <w:overflowPunct/>
        <w:topLinePunct w:val="0"/>
        <w:autoSpaceDE/>
        <w:autoSpaceDN/>
        <w:bidi w:val="0"/>
        <w:adjustRightInd/>
        <w:snapToGrid/>
        <w:spacing w:line="360" w:lineRule="auto"/>
        <w:textAlignment w:val="auto"/>
        <w:rPr>
          <w:rFonts w:hAnsi="宋体" w:cs="宋体"/>
          <w:b/>
          <w:szCs w:val="24"/>
          <w:highlight w:val="none"/>
        </w:rPr>
      </w:pPr>
      <w:r>
        <w:rPr>
          <w:rFonts w:hint="eastAsia" w:hAnsi="宋体" w:cs="宋体"/>
          <w:b/>
          <w:szCs w:val="24"/>
          <w:highlight w:val="none"/>
        </w:rPr>
        <w:t>24．评审过程的保密</w:t>
      </w:r>
    </w:p>
    <w:p w14:paraId="308E04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p>
    <w:p w14:paraId="4D8E511B">
      <w:pPr>
        <w:keepNext w:val="0"/>
        <w:keepLines w:val="0"/>
        <w:pageBreakBefore w:val="0"/>
        <w:kinsoku/>
        <w:wordWrap/>
        <w:overflowPunct/>
        <w:topLinePunct w:val="0"/>
        <w:autoSpaceDE/>
        <w:autoSpaceDN/>
        <w:bidi w:val="0"/>
        <w:adjustRightInd/>
        <w:snapToGrid/>
        <w:spacing w:line="360" w:lineRule="auto"/>
        <w:jc w:val="left"/>
        <w:textAlignment w:val="auto"/>
        <w:rPr>
          <w:rFonts w:hAnsi="宋体" w:cs="宋体"/>
          <w:b/>
          <w:szCs w:val="24"/>
          <w:highlight w:val="none"/>
        </w:rPr>
      </w:pPr>
      <w:r>
        <w:rPr>
          <w:rFonts w:hint="eastAsia" w:hAnsi="宋体" w:cs="宋体"/>
          <w:b/>
          <w:szCs w:val="24"/>
          <w:highlight w:val="none"/>
        </w:rPr>
        <w:t>25．评审方法</w:t>
      </w:r>
    </w:p>
    <w:p w14:paraId="1661F92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hAnsi="宋体" w:cs="宋体"/>
          <w:szCs w:val="24"/>
          <w:highlight w:val="none"/>
          <w:lang w:eastAsia="zh-CN"/>
        </w:rPr>
        <w:t>推荐</w:t>
      </w:r>
      <w:r>
        <w:rPr>
          <w:rFonts w:hint="eastAsia" w:hAnsi="宋体" w:cs="宋体"/>
          <w:szCs w:val="24"/>
          <w:highlight w:val="none"/>
        </w:rPr>
        <w:t>1-3名成交候选人。</w:t>
      </w:r>
    </w:p>
    <w:p w14:paraId="4935B2BA">
      <w:pPr>
        <w:keepNext/>
        <w:keepLines/>
        <w:spacing w:before="312" w:beforeLines="100" w:after="156" w:afterLines="50" w:line="360" w:lineRule="auto"/>
        <w:jc w:val="center"/>
        <w:rPr>
          <w:rFonts w:hAnsi="宋体" w:cs="宋体"/>
          <w:b/>
          <w:sz w:val="32"/>
          <w:szCs w:val="32"/>
          <w:highlight w:val="none"/>
        </w:rPr>
      </w:pPr>
      <w:r>
        <w:rPr>
          <w:rFonts w:hint="eastAsia" w:hAnsi="宋体" w:cs="宋体"/>
          <w:b/>
          <w:sz w:val="32"/>
          <w:szCs w:val="32"/>
          <w:highlight w:val="none"/>
        </w:rPr>
        <w:t>六.成交、通知与签约</w:t>
      </w:r>
    </w:p>
    <w:p w14:paraId="0A9AD92F">
      <w:pPr>
        <w:keepNext w:val="0"/>
        <w:keepLines w:val="0"/>
        <w:pageBreakBefore w:val="0"/>
        <w:kinsoku/>
        <w:wordWrap/>
        <w:overflowPunct/>
        <w:topLinePunct w:val="0"/>
        <w:autoSpaceDE/>
        <w:autoSpaceDN/>
        <w:bidi w:val="0"/>
        <w:adjustRightInd/>
        <w:snapToGrid/>
        <w:spacing w:line="360" w:lineRule="auto"/>
        <w:textAlignment w:val="auto"/>
        <w:rPr>
          <w:rFonts w:hAnsi="宋体" w:cs="宋体"/>
          <w:b/>
          <w:szCs w:val="24"/>
          <w:highlight w:val="none"/>
        </w:rPr>
      </w:pPr>
      <w:r>
        <w:rPr>
          <w:rFonts w:hint="eastAsia" w:hAnsi="宋体" w:cs="宋体"/>
          <w:b/>
          <w:szCs w:val="24"/>
          <w:highlight w:val="none"/>
        </w:rPr>
        <w:t>26．成交程序</w:t>
      </w:r>
    </w:p>
    <w:p w14:paraId="681BF0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14:paraId="62F79E1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14:paraId="507AEA1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13E5C74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26.4采购人也可以授权磋商小组评审后直接确定成交供应商。</w:t>
      </w:r>
    </w:p>
    <w:p w14:paraId="6937B77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14:paraId="0409549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14:paraId="2F786DA3">
      <w:pPr>
        <w:keepNext w:val="0"/>
        <w:keepLines w:val="0"/>
        <w:pageBreakBefore w:val="0"/>
        <w:kinsoku/>
        <w:wordWrap/>
        <w:overflowPunct/>
        <w:topLinePunct w:val="0"/>
        <w:autoSpaceDE/>
        <w:autoSpaceDN/>
        <w:bidi w:val="0"/>
        <w:adjustRightInd/>
        <w:snapToGrid/>
        <w:spacing w:line="360" w:lineRule="auto"/>
        <w:textAlignment w:val="auto"/>
        <w:rPr>
          <w:rFonts w:hAnsi="宋体" w:cs="宋体"/>
          <w:b/>
          <w:szCs w:val="24"/>
          <w:highlight w:val="none"/>
        </w:rPr>
      </w:pPr>
      <w:r>
        <w:rPr>
          <w:rFonts w:hint="eastAsia" w:hAnsi="宋体" w:cs="宋体"/>
          <w:b/>
          <w:szCs w:val="24"/>
          <w:highlight w:val="none"/>
        </w:rPr>
        <w:t>27．成交通知</w:t>
      </w:r>
    </w:p>
    <w:p w14:paraId="4155114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14:paraId="49383D0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14:paraId="28B2F4AA">
      <w:pPr>
        <w:keepNext w:val="0"/>
        <w:keepLines w:val="0"/>
        <w:pageBreakBefore w:val="0"/>
        <w:kinsoku/>
        <w:wordWrap/>
        <w:overflowPunct/>
        <w:topLinePunct w:val="0"/>
        <w:autoSpaceDE/>
        <w:autoSpaceDN/>
        <w:bidi w:val="0"/>
        <w:adjustRightInd/>
        <w:snapToGrid/>
        <w:spacing w:line="360" w:lineRule="auto"/>
        <w:textAlignment w:val="auto"/>
        <w:rPr>
          <w:rFonts w:hAnsi="宋体" w:cs="宋体"/>
          <w:b/>
          <w:szCs w:val="24"/>
          <w:highlight w:val="none"/>
        </w:rPr>
      </w:pPr>
      <w:r>
        <w:rPr>
          <w:rFonts w:hint="eastAsia" w:hAnsi="宋体" w:cs="宋体"/>
          <w:b/>
          <w:szCs w:val="24"/>
          <w:highlight w:val="none"/>
        </w:rPr>
        <w:t>28. 采购合同的签订</w:t>
      </w:r>
    </w:p>
    <w:p w14:paraId="3D38313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76C6F5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48BA3495">
      <w:pPr>
        <w:keepNext w:val="0"/>
        <w:keepLines w:val="0"/>
        <w:pageBreakBefore w:val="0"/>
        <w:kinsoku/>
        <w:wordWrap/>
        <w:overflowPunct/>
        <w:topLinePunct w:val="0"/>
        <w:autoSpaceDE/>
        <w:autoSpaceDN/>
        <w:bidi w:val="0"/>
        <w:adjustRightInd/>
        <w:snapToGrid/>
        <w:spacing w:line="360" w:lineRule="auto"/>
        <w:textAlignment w:val="auto"/>
        <w:rPr>
          <w:rFonts w:hAnsi="宋体" w:cs="宋体"/>
          <w:b/>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14:paraId="6FD68B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29.1招标代理服务费：以中标金额为基数，依据国家计委颁布《招标代理服务收费管理暂行办法》（计价格[2002]1980号）文件的有关规定执行。</w:t>
      </w:r>
      <w:r>
        <w:rPr>
          <w:rFonts w:hint="eastAsia"/>
          <w:color w:val="auto"/>
          <w:szCs w:val="24"/>
          <w:highlight w:val="none"/>
        </w:rPr>
        <w:t>不足</w:t>
      </w:r>
      <w:r>
        <w:rPr>
          <w:rFonts w:hint="eastAsia"/>
          <w:color w:val="auto"/>
          <w:szCs w:val="24"/>
          <w:highlight w:val="none"/>
          <w:lang w:val="en-US" w:eastAsia="zh-CN"/>
        </w:rPr>
        <w:t>3</w:t>
      </w:r>
      <w:r>
        <w:rPr>
          <w:rFonts w:hint="eastAsia"/>
          <w:color w:val="auto"/>
          <w:szCs w:val="24"/>
          <w:highlight w:val="none"/>
        </w:rPr>
        <w:t>000元按</w:t>
      </w:r>
      <w:r>
        <w:rPr>
          <w:rFonts w:hint="eastAsia"/>
          <w:color w:val="auto"/>
          <w:szCs w:val="24"/>
          <w:highlight w:val="none"/>
          <w:lang w:val="en-US" w:eastAsia="zh-CN"/>
        </w:rPr>
        <w:t>3</w:t>
      </w:r>
      <w:r>
        <w:rPr>
          <w:rFonts w:hint="eastAsia"/>
          <w:color w:val="auto"/>
          <w:szCs w:val="24"/>
          <w:highlight w:val="none"/>
        </w:rPr>
        <w:t>000元收取。</w:t>
      </w:r>
    </w:p>
    <w:p w14:paraId="53BF8FA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szCs w:val="24"/>
          <w:highlight w:val="none"/>
        </w:rPr>
      </w:pPr>
      <w:r>
        <w:rPr>
          <w:rFonts w:hint="eastAsia" w:hAnsi="宋体" w:cs="宋体"/>
          <w:szCs w:val="24"/>
          <w:highlight w:val="none"/>
        </w:rPr>
        <w:t>29.2成交单位在领取成交通知书前，须向采购代理机构一次性支付代理服务费。</w:t>
      </w:r>
    </w:p>
    <w:p w14:paraId="5447161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Ansi="宋体" w:cs="宋体"/>
          <w:b/>
          <w:bCs/>
          <w:szCs w:val="24"/>
          <w:highlight w:val="none"/>
        </w:rPr>
      </w:pPr>
      <w:r>
        <w:rPr>
          <w:rFonts w:hint="eastAsia" w:hAnsi="宋体" w:cs="宋体"/>
          <w:b/>
          <w:bCs/>
          <w:szCs w:val="24"/>
          <w:highlight w:val="none"/>
        </w:rPr>
        <w:t>代理服务费转账账户：</w:t>
      </w:r>
    </w:p>
    <w:p w14:paraId="53AC296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hAnsi="宋体" w:eastAsia="宋体" w:cs="宋体"/>
          <w:b/>
          <w:bCs/>
          <w:szCs w:val="24"/>
          <w:highlight w:val="none"/>
          <w:lang w:val="en-US" w:eastAsia="zh-CN"/>
        </w:rPr>
      </w:pPr>
      <w:r>
        <w:rPr>
          <w:rFonts w:hint="eastAsia" w:hAnsi="宋体" w:cs="宋体"/>
          <w:b/>
          <w:bCs/>
          <w:szCs w:val="24"/>
          <w:highlight w:val="none"/>
        </w:rPr>
        <w:t xml:space="preserve">1、采购代理机构开户名称: </w:t>
      </w:r>
      <w:r>
        <w:rPr>
          <w:rFonts w:hint="eastAsia" w:hAnsi="宋体" w:cs="宋体"/>
          <w:b/>
          <w:bCs/>
          <w:szCs w:val="24"/>
          <w:highlight w:val="none"/>
          <w:lang w:eastAsia="zh-CN"/>
        </w:rPr>
        <w:t>陕西至诚项目管理集团有限公司</w:t>
      </w:r>
      <w:r>
        <w:rPr>
          <w:rFonts w:hint="eastAsia" w:hAnsi="宋体" w:cs="宋体"/>
          <w:b/>
          <w:bCs/>
          <w:szCs w:val="24"/>
          <w:highlight w:val="none"/>
          <w:lang w:val="en-US" w:eastAsia="zh-CN"/>
        </w:rPr>
        <w:t>商洛分公司</w:t>
      </w:r>
    </w:p>
    <w:p w14:paraId="2D3A8E3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Ansi="宋体" w:cs="宋体"/>
          <w:b/>
          <w:bCs/>
          <w:szCs w:val="24"/>
          <w:highlight w:val="none"/>
        </w:rPr>
      </w:pPr>
      <w:r>
        <w:rPr>
          <w:rFonts w:hint="eastAsia" w:hAnsi="宋体" w:cs="宋体"/>
          <w:b/>
          <w:bCs/>
          <w:szCs w:val="24"/>
          <w:highlight w:val="none"/>
        </w:rPr>
        <w:t>2、开户行名称：中国工商银行股份有限公司商洛中心街支行</w:t>
      </w:r>
    </w:p>
    <w:p w14:paraId="3EE58153">
      <w:pPr>
        <w:pStyle w:val="6"/>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sz w:val="24"/>
          <w:szCs w:val="24"/>
          <w:highlight w:val="none"/>
        </w:rPr>
      </w:pPr>
      <w:r>
        <w:rPr>
          <w:rFonts w:hint="eastAsia" w:ascii="宋体" w:hAnsi="宋体" w:cs="宋体"/>
          <w:b/>
          <w:bCs/>
          <w:sz w:val="24"/>
          <w:szCs w:val="24"/>
          <w:highlight w:val="none"/>
        </w:rPr>
        <w:t>3、账号：2608080309200055627。</w:t>
      </w:r>
    </w:p>
    <w:p w14:paraId="50F0C717">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Ansi="宋体" w:cs="宋体"/>
          <w:b/>
          <w:bCs/>
          <w:szCs w:val="24"/>
          <w:highlight w:val="none"/>
        </w:rPr>
      </w:pPr>
      <w:r>
        <w:rPr>
          <w:rFonts w:hint="eastAsia" w:hAnsi="宋体" w:cs="宋体"/>
          <w:b/>
          <w:bCs/>
          <w:szCs w:val="24"/>
          <w:highlight w:val="none"/>
        </w:rPr>
        <w:t>质疑</w:t>
      </w:r>
    </w:p>
    <w:p w14:paraId="0FBFD9EA">
      <w:pPr>
        <w:keepNext w:val="0"/>
        <w:keepLines w:val="0"/>
        <w:pageBreakBefore w:val="0"/>
        <w:kinsoku/>
        <w:wordWrap/>
        <w:overflowPunct/>
        <w:topLinePunct w:val="0"/>
        <w:autoSpaceDE/>
        <w:autoSpaceDN/>
        <w:bidi w:val="0"/>
        <w:adjustRightInd/>
        <w:snapToGrid/>
        <w:spacing w:line="360" w:lineRule="auto"/>
        <w:ind w:right="12" w:firstLine="480"/>
        <w:textAlignment w:val="auto"/>
        <w:rPr>
          <w:rFonts w:hAnsi="宋体" w:cs="宋体"/>
          <w:szCs w:val="24"/>
          <w:highlight w:val="none"/>
        </w:rPr>
      </w:pPr>
      <w:r>
        <w:rPr>
          <w:rFonts w:hint="eastAsia" w:hAnsi="宋体" w:cs="宋体"/>
          <w:szCs w:val="24"/>
          <w:highlight w:val="none"/>
        </w:rPr>
        <w:t>30.1供应商认为磋商</w:t>
      </w:r>
      <w:r>
        <w:rPr>
          <w:rFonts w:hint="eastAsia" w:hAnsi="宋体" w:cs="宋体"/>
          <w:szCs w:val="24"/>
          <w:highlight w:val="none"/>
          <w:lang w:val="en-US" w:eastAsia="zh-CN"/>
        </w:rPr>
        <w:t xml:space="preserve"> </w:t>
      </w:r>
      <w:r>
        <w:rPr>
          <w:rFonts w:hint="eastAsia" w:hAnsi="宋体" w:cs="宋体"/>
          <w:szCs w:val="24"/>
          <w:highlight w:val="none"/>
        </w:rPr>
        <w:t>文件、采购过程、成交结果使自己的权益受到损害的，可以在知道或者应知其权益受到损害之日起7个工作日内，以书面形式向采购人、采购代理机构提出质疑。</w:t>
      </w:r>
    </w:p>
    <w:p w14:paraId="6D670208">
      <w:pPr>
        <w:keepNext w:val="0"/>
        <w:keepLines w:val="0"/>
        <w:pageBreakBefore w:val="0"/>
        <w:kinsoku/>
        <w:wordWrap/>
        <w:overflowPunct/>
        <w:topLinePunct w:val="0"/>
        <w:autoSpaceDE/>
        <w:autoSpaceDN/>
        <w:bidi w:val="0"/>
        <w:adjustRightInd/>
        <w:snapToGrid/>
        <w:spacing w:line="360" w:lineRule="auto"/>
        <w:ind w:right="12" w:firstLine="480"/>
        <w:textAlignment w:val="auto"/>
        <w:rPr>
          <w:rStyle w:val="18"/>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3672131F">
      <w:pPr>
        <w:keepNext w:val="0"/>
        <w:keepLines w:val="0"/>
        <w:pageBreakBefore w:val="0"/>
        <w:kinsoku/>
        <w:wordWrap/>
        <w:overflowPunct/>
        <w:topLinePunct w:val="0"/>
        <w:autoSpaceDE/>
        <w:autoSpaceDN/>
        <w:bidi w:val="0"/>
        <w:adjustRightInd/>
        <w:snapToGrid/>
        <w:spacing w:line="360" w:lineRule="auto"/>
        <w:ind w:left="3" w:firstLine="518" w:firstLineChars="216"/>
        <w:textAlignment w:val="auto"/>
        <w:rPr>
          <w:rStyle w:val="18"/>
          <w:rFonts w:hAnsi="宋体" w:cs="宋体"/>
          <w:b w:val="0"/>
          <w:szCs w:val="24"/>
          <w:highlight w:val="none"/>
          <w:shd w:val="clear" w:color="auto" w:fill="FFFFFF"/>
        </w:rPr>
      </w:pPr>
      <w:r>
        <w:rPr>
          <w:rStyle w:val="18"/>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BFC27BA">
      <w:pPr>
        <w:keepNext w:val="0"/>
        <w:keepLines w:val="0"/>
        <w:pageBreakBefore w:val="0"/>
        <w:kinsoku/>
        <w:wordWrap/>
        <w:overflowPunct/>
        <w:topLinePunct w:val="0"/>
        <w:autoSpaceDE/>
        <w:autoSpaceDN/>
        <w:bidi w:val="0"/>
        <w:adjustRightInd/>
        <w:snapToGrid/>
        <w:spacing w:line="360" w:lineRule="auto"/>
        <w:ind w:left="3" w:firstLine="518" w:firstLineChars="216"/>
        <w:textAlignment w:val="auto"/>
        <w:rPr>
          <w:rStyle w:val="18"/>
          <w:rFonts w:hAnsi="宋体" w:cs="宋体"/>
          <w:b w:val="0"/>
          <w:szCs w:val="24"/>
          <w:highlight w:val="none"/>
          <w:shd w:val="clear" w:color="auto" w:fill="FFFFFF"/>
        </w:rPr>
      </w:pPr>
      <w:r>
        <w:rPr>
          <w:rStyle w:val="18"/>
          <w:rFonts w:hint="eastAsia" w:hAnsi="宋体" w:cs="宋体"/>
          <w:b w:val="0"/>
          <w:szCs w:val="24"/>
          <w:highlight w:val="none"/>
          <w:shd w:val="clear" w:color="auto" w:fill="FFFFFF"/>
        </w:rPr>
        <w:t>30.4以联合体形式参加政府采购活动的，其质疑应当由组成联合体的所有供应商共同提出。</w:t>
      </w:r>
    </w:p>
    <w:p w14:paraId="5A5A981D">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5397DEB8">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Ansi="宋体" w:cs="宋体"/>
          <w:szCs w:val="24"/>
          <w:highlight w:val="none"/>
        </w:rPr>
      </w:pPr>
      <w:r>
        <w:rPr>
          <w:rFonts w:hint="eastAsia" w:hAnsi="宋体" w:cs="宋体"/>
          <w:szCs w:val="24"/>
          <w:highlight w:val="none"/>
        </w:rPr>
        <w:t>30.5.1供应商的姓名或者名称、地址、邮编、联系人及联系电话；</w:t>
      </w:r>
    </w:p>
    <w:p w14:paraId="76FC1A2A">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Ansi="宋体" w:cs="宋体"/>
          <w:szCs w:val="24"/>
          <w:highlight w:val="none"/>
        </w:rPr>
      </w:pPr>
      <w:r>
        <w:rPr>
          <w:rFonts w:hint="eastAsia" w:hAnsi="宋体" w:cs="宋体"/>
          <w:szCs w:val="24"/>
          <w:highlight w:val="none"/>
        </w:rPr>
        <w:t>30.5.2质疑项目的名称、编号；</w:t>
      </w:r>
    </w:p>
    <w:p w14:paraId="6F286466">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Ansi="宋体" w:cs="宋体"/>
          <w:szCs w:val="24"/>
          <w:highlight w:val="none"/>
        </w:rPr>
      </w:pPr>
      <w:r>
        <w:rPr>
          <w:rFonts w:hint="eastAsia" w:hAnsi="宋体" w:cs="宋体"/>
          <w:szCs w:val="24"/>
          <w:highlight w:val="none"/>
        </w:rPr>
        <w:t>30.5.3具体、明确的质疑事项和与质疑事项相关的请求；</w:t>
      </w:r>
    </w:p>
    <w:p w14:paraId="3F2AE131">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Ansi="宋体" w:cs="宋体"/>
          <w:szCs w:val="24"/>
          <w:highlight w:val="none"/>
        </w:rPr>
      </w:pPr>
      <w:r>
        <w:rPr>
          <w:rFonts w:hint="eastAsia" w:hAnsi="宋体" w:cs="宋体"/>
          <w:szCs w:val="24"/>
          <w:highlight w:val="none"/>
        </w:rPr>
        <w:t>30.5.4事实依据；</w:t>
      </w:r>
    </w:p>
    <w:p w14:paraId="7A7F2918">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Ansi="宋体" w:cs="宋体"/>
          <w:szCs w:val="24"/>
          <w:highlight w:val="none"/>
        </w:rPr>
      </w:pPr>
      <w:r>
        <w:rPr>
          <w:rFonts w:hint="eastAsia" w:hAnsi="宋体" w:cs="宋体"/>
          <w:szCs w:val="24"/>
          <w:highlight w:val="none"/>
        </w:rPr>
        <w:t>30.5.5必要的法律依据；</w:t>
      </w:r>
    </w:p>
    <w:p w14:paraId="01C76BD5">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Style w:val="18"/>
          <w:rFonts w:hAnsi="宋体" w:cs="宋体"/>
          <w:b w:val="0"/>
          <w:szCs w:val="24"/>
          <w:highlight w:val="none"/>
          <w:shd w:val="clear" w:color="auto" w:fill="FFFFFF"/>
        </w:rPr>
      </w:pPr>
      <w:r>
        <w:rPr>
          <w:rFonts w:hint="eastAsia" w:hAnsi="宋体" w:cs="宋体"/>
          <w:szCs w:val="24"/>
          <w:highlight w:val="none"/>
        </w:rPr>
        <w:t>30.5.6提出质疑的日期。</w:t>
      </w:r>
    </w:p>
    <w:p w14:paraId="43BD539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Ansi="宋体" w:cs="宋体"/>
          <w:highlight w:val="none"/>
        </w:rPr>
      </w:pPr>
      <w:r>
        <w:rPr>
          <w:rFonts w:hint="eastAsia" w:hAnsi="宋体" w:cs="宋体"/>
          <w:highlight w:val="none"/>
        </w:rPr>
        <w:t>30.6有下列情形之一的，属于无效质疑，采购代理机构和采购人不予受理：</w:t>
      </w:r>
    </w:p>
    <w:p w14:paraId="1AA947A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Ansi="宋体" w:cs="宋体"/>
          <w:highlight w:val="none"/>
        </w:rPr>
      </w:pPr>
      <w:r>
        <w:rPr>
          <w:rFonts w:hint="eastAsia" w:hAnsi="宋体" w:cs="宋体"/>
          <w:highlight w:val="none"/>
        </w:rPr>
        <w:t>30.6.1质疑供应商不是参与本次政府采购项目的供应商；</w:t>
      </w:r>
    </w:p>
    <w:p w14:paraId="32B25E4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Ansi="宋体" w:cs="宋体"/>
          <w:highlight w:val="none"/>
        </w:rPr>
      </w:pPr>
      <w:r>
        <w:rPr>
          <w:rFonts w:hint="eastAsia" w:hAnsi="宋体" w:cs="宋体"/>
          <w:highlight w:val="none"/>
        </w:rPr>
        <w:t>30.6.2质疑供应商与质疑事项不存在利害关系的；</w:t>
      </w:r>
    </w:p>
    <w:p w14:paraId="0046C8C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Ansi="宋体" w:cs="宋体"/>
          <w:highlight w:val="none"/>
        </w:rPr>
      </w:pPr>
      <w:r>
        <w:rPr>
          <w:rFonts w:hint="eastAsia" w:hAnsi="宋体" w:cs="宋体"/>
          <w:highlight w:val="none"/>
        </w:rPr>
        <w:t>30.6.3未在法定期限内提出质疑的；</w:t>
      </w:r>
    </w:p>
    <w:p w14:paraId="09A5A77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Ansi="宋体" w:cs="宋体"/>
          <w:highlight w:val="none"/>
        </w:rPr>
      </w:pPr>
      <w:r>
        <w:rPr>
          <w:rFonts w:hint="eastAsia" w:hAnsi="宋体" w:cs="宋体"/>
          <w:highlight w:val="none"/>
        </w:rPr>
        <w:t>30.6.4质疑未以书面形式提出，或质疑函主要内容构成不完整的；</w:t>
      </w:r>
    </w:p>
    <w:p w14:paraId="7EF8705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Ansi="宋体" w:cs="宋体"/>
          <w:highlight w:val="none"/>
        </w:rPr>
      </w:pPr>
      <w:r>
        <w:rPr>
          <w:rFonts w:hint="eastAsia" w:hAnsi="宋体" w:cs="宋体"/>
          <w:highlight w:val="none"/>
        </w:rPr>
        <w:t>30.6.5应当提交授权书而未提交的；</w:t>
      </w:r>
    </w:p>
    <w:p w14:paraId="542C528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Ansi="宋体" w:cs="宋体"/>
          <w:highlight w:val="none"/>
        </w:rPr>
      </w:pPr>
      <w:r>
        <w:rPr>
          <w:rFonts w:hint="eastAsia" w:hAnsi="宋体" w:cs="宋体"/>
          <w:highlight w:val="none"/>
        </w:rPr>
        <w:t>30.6.6以非法手段取得证据、材料的；</w:t>
      </w:r>
    </w:p>
    <w:p w14:paraId="65D114E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Ansi="宋体" w:cs="宋体"/>
          <w:highlight w:val="none"/>
        </w:rPr>
      </w:pPr>
      <w:r>
        <w:rPr>
          <w:rFonts w:hint="eastAsia" w:hAnsi="宋体" w:cs="宋体"/>
          <w:highlight w:val="none"/>
        </w:rPr>
        <w:t>30.6.7质疑答复后，同一质疑人就同一事项或同一采购程序环节再次提出质疑的；</w:t>
      </w:r>
    </w:p>
    <w:p w14:paraId="35F6F8F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Style w:val="18"/>
          <w:rFonts w:hAnsi="宋体" w:cs="宋体"/>
          <w:b w:val="0"/>
          <w:szCs w:val="24"/>
          <w:highlight w:val="none"/>
          <w:shd w:val="clear" w:color="auto" w:fill="FFFFFF"/>
        </w:rPr>
      </w:pPr>
      <w:r>
        <w:rPr>
          <w:rFonts w:hint="eastAsia" w:hAnsi="宋体" w:cs="宋体"/>
          <w:highlight w:val="none"/>
        </w:rPr>
        <w:t>30.6.8不符合法律、法规、规章和政府采购监管机构规定的其他条件的。</w:t>
      </w:r>
    </w:p>
    <w:p w14:paraId="61BC41EB">
      <w:pPr>
        <w:keepNext w:val="0"/>
        <w:keepLines w:val="0"/>
        <w:pageBreakBefore w:val="0"/>
        <w:kinsoku/>
        <w:wordWrap/>
        <w:overflowPunct/>
        <w:topLinePunct w:val="0"/>
        <w:autoSpaceDE/>
        <w:autoSpaceDN/>
        <w:bidi w:val="0"/>
        <w:adjustRightInd/>
        <w:snapToGrid/>
        <w:spacing w:line="360" w:lineRule="auto"/>
        <w:ind w:right="12"/>
        <w:textAlignment w:val="auto"/>
        <w:rPr>
          <w:rFonts w:hAnsi="宋体" w:cs="宋体"/>
          <w:szCs w:val="24"/>
          <w:highlight w:val="none"/>
        </w:rPr>
      </w:pPr>
      <w:r>
        <w:rPr>
          <w:rFonts w:hint="eastAsia" w:hAnsi="宋体" w:cs="宋体"/>
          <w:szCs w:val="24"/>
          <w:highlight w:val="none"/>
        </w:rPr>
        <w:t xml:space="preserve">    30.7质疑答复</w:t>
      </w:r>
    </w:p>
    <w:p w14:paraId="191B6881">
      <w:pPr>
        <w:pStyle w:val="19"/>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Ansi="宋体" w:cs="宋体"/>
          <w:szCs w:val="24"/>
          <w:highlight w:val="none"/>
        </w:rPr>
      </w:pPr>
      <w:r>
        <w:rPr>
          <w:rFonts w:hint="eastAsia" w:hAnsi="宋体" w:cs="宋体"/>
          <w:szCs w:val="24"/>
          <w:highlight w:val="none"/>
        </w:rPr>
        <w:t>30.7.1采购人或采购代理机构在收到质疑函后7个工作日内作出答复，并以书面形式通知质疑供应商和其他有关供应商。</w:t>
      </w:r>
    </w:p>
    <w:p w14:paraId="7EBCCBBA">
      <w:pPr>
        <w:pStyle w:val="2"/>
        <w:jc w:val="center"/>
        <w:rPr>
          <w:rFonts w:ascii="宋体" w:eastAsia="宋体" w:cs="宋体"/>
          <w:bCs/>
          <w:szCs w:val="24"/>
          <w:highlight w:val="none"/>
        </w:rPr>
      </w:pPr>
      <w:bookmarkStart w:id="39" w:name="_Toc423973074"/>
      <w:bookmarkStart w:id="40" w:name="_Toc25783"/>
      <w:bookmarkStart w:id="41" w:name="_Toc403077645"/>
      <w:bookmarkStart w:id="42" w:name="_Toc363474023"/>
      <w:r>
        <w:rPr>
          <w:rFonts w:hint="eastAsia" w:ascii="宋体" w:eastAsia="宋体" w:cs="宋体"/>
          <w:bCs/>
          <w:sz w:val="36"/>
          <w:szCs w:val="36"/>
          <w:highlight w:val="none"/>
        </w:rPr>
        <w:br w:type="page"/>
      </w:r>
      <w:bookmarkStart w:id="43" w:name="_Toc17808"/>
      <w:r>
        <w:rPr>
          <w:rFonts w:hint="eastAsia" w:ascii="宋体" w:eastAsia="宋体" w:cs="宋体"/>
          <w:bCs/>
          <w:szCs w:val="36"/>
          <w:highlight w:val="none"/>
        </w:rPr>
        <w:t xml:space="preserve">第三章  </w:t>
      </w:r>
      <w:r>
        <w:rPr>
          <w:rFonts w:hint="eastAsia" w:ascii="宋体" w:eastAsia="宋体" w:cs="宋体"/>
          <w:bCs/>
          <w:szCs w:val="32"/>
          <w:highlight w:val="none"/>
        </w:rPr>
        <w:t>评审</w:t>
      </w:r>
      <w:r>
        <w:rPr>
          <w:rFonts w:hint="eastAsia" w:ascii="宋体" w:eastAsia="宋体" w:cs="宋体"/>
          <w:bCs/>
          <w:szCs w:val="36"/>
          <w:highlight w:val="none"/>
        </w:rPr>
        <w:t>方法</w:t>
      </w:r>
      <w:bookmarkEnd w:id="43"/>
    </w:p>
    <w:p w14:paraId="181485C6">
      <w:pPr>
        <w:spacing w:line="360" w:lineRule="auto"/>
        <w:rPr>
          <w:rFonts w:hAnsi="宋体" w:cs="宋体"/>
          <w:b/>
          <w:szCs w:val="24"/>
          <w:highlight w:val="none"/>
        </w:rPr>
      </w:pPr>
      <w:r>
        <w:rPr>
          <w:rFonts w:hint="eastAsia" w:hAnsi="宋体" w:cs="宋体"/>
          <w:b/>
          <w:szCs w:val="24"/>
          <w:highlight w:val="none"/>
        </w:rPr>
        <w:t>一</w:t>
      </w:r>
      <w:r>
        <w:rPr>
          <w:rFonts w:hint="eastAsia" w:hAnsi="宋体" w:cs="宋体"/>
          <w:b/>
          <w:szCs w:val="24"/>
          <w:highlight w:val="none"/>
          <w:lang w:eastAsia="zh-CN"/>
        </w:rPr>
        <w:t>、</w:t>
      </w:r>
      <w:r>
        <w:rPr>
          <w:rFonts w:hint="eastAsia" w:hAnsi="宋体" w:cs="宋体"/>
          <w:b/>
          <w:szCs w:val="24"/>
          <w:highlight w:val="none"/>
        </w:rPr>
        <w:t>评审方法：</w:t>
      </w:r>
    </w:p>
    <w:p w14:paraId="0E95B999">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7397F8C7">
      <w:pPr>
        <w:spacing w:line="500" w:lineRule="exact"/>
        <w:rPr>
          <w:rFonts w:hAnsi="宋体" w:cs="宋体"/>
          <w:b/>
          <w:spacing w:val="4"/>
          <w:szCs w:val="24"/>
          <w:highlight w:val="none"/>
        </w:rPr>
      </w:pPr>
      <w:r>
        <w:rPr>
          <w:rFonts w:hint="eastAsia" w:hAnsi="宋体" w:cs="宋体"/>
          <w:b/>
          <w:spacing w:val="4"/>
          <w:szCs w:val="24"/>
          <w:highlight w:val="none"/>
        </w:rPr>
        <w:t>二、评审程序：</w:t>
      </w:r>
    </w:p>
    <w:p w14:paraId="3907B3DD">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14:paraId="6301B71E">
      <w:pPr>
        <w:numPr>
          <w:ilvl w:val="0"/>
          <w:numId w:val="4"/>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14:paraId="51BD697F">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1.1资格性审查。</w:t>
      </w:r>
      <w:r>
        <w:rPr>
          <w:rFonts w:hint="eastAsia" w:hAnsi="宋体" w:cs="宋体"/>
          <w:highlight w:val="none"/>
          <w:lang w:val="en-US" w:eastAsia="zh-CN"/>
        </w:rPr>
        <w:t>采购人及采购代理机构</w:t>
      </w:r>
      <w:r>
        <w:rPr>
          <w:rFonts w:hint="eastAsia" w:hAnsi="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FE2A488">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14:paraId="41DE8A42">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14:paraId="21EA771E">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14:paraId="6DE37833">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24437517">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14:paraId="6EF1B622">
      <w:pPr>
        <w:rPr>
          <w:rFonts w:hint="eastAsia" w:hAnsi="宋体" w:cs="宋体"/>
          <w:b/>
          <w:highlight w:val="none"/>
        </w:rPr>
      </w:pPr>
      <w:r>
        <w:rPr>
          <w:rFonts w:hint="eastAsia" w:hAnsi="宋体" w:cs="宋体"/>
          <w:b/>
          <w:highlight w:val="none"/>
        </w:rPr>
        <w:br w:type="page"/>
      </w:r>
    </w:p>
    <w:p w14:paraId="19795836">
      <w:pPr>
        <w:spacing w:after="156" w:afterLines="50" w:line="500" w:lineRule="exact"/>
        <w:ind w:firstLine="482" w:firstLineChars="200"/>
        <w:rPr>
          <w:rFonts w:hAnsi="宋体" w:cs="宋体"/>
          <w:b/>
          <w:highlight w:val="none"/>
        </w:rPr>
      </w:pPr>
      <w:r>
        <w:rPr>
          <w:rFonts w:hint="eastAsia" w:hAnsi="宋体" w:cs="宋体"/>
          <w:b/>
          <w:highlight w:val="none"/>
        </w:rPr>
        <w:t>2、磋商响应文件的澄清</w:t>
      </w:r>
    </w:p>
    <w:p w14:paraId="1DF67ACC">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048A1E6D">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14:paraId="03CD46D6">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2F11622C">
      <w:pPr>
        <w:pStyle w:val="6"/>
        <w:spacing w:line="500" w:lineRule="exact"/>
        <w:ind w:firstLine="482" w:firstLineChars="200"/>
        <w:rPr>
          <w:rFonts w:ascii="宋体" w:hAnsi="宋体" w:cs="宋体"/>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17D5F32">
      <w:pPr>
        <w:spacing w:line="360" w:lineRule="auto"/>
        <w:ind w:firstLine="498" w:firstLineChars="200"/>
        <w:jc w:val="center"/>
        <w:rPr>
          <w:rFonts w:hAnsi="宋体" w:cs="宋体"/>
          <w:b/>
          <w:szCs w:val="24"/>
          <w:highlight w:val="none"/>
        </w:rPr>
      </w:pPr>
      <w:r>
        <w:rPr>
          <w:rFonts w:hint="eastAsia" w:hAnsi="宋体" w:cs="宋体"/>
          <w:b/>
          <w:spacing w:val="4"/>
          <w:szCs w:val="24"/>
          <w:highlight w:val="none"/>
        </w:rPr>
        <w:br w:type="page"/>
      </w:r>
      <w:r>
        <w:rPr>
          <w:rFonts w:hint="eastAsia" w:hAnsi="宋体" w:cs="宋体"/>
          <w:b/>
          <w:spacing w:val="4"/>
          <w:szCs w:val="24"/>
          <w:highlight w:val="none"/>
        </w:rPr>
        <w:t>四、</w:t>
      </w:r>
      <w:r>
        <w:rPr>
          <w:rFonts w:hint="eastAsia" w:hAnsi="宋体" w:cs="宋体"/>
          <w:b/>
          <w:szCs w:val="24"/>
          <w:highlight w:val="none"/>
        </w:rPr>
        <w:t>评审要素和分值分解表</w:t>
      </w:r>
    </w:p>
    <w:p w14:paraId="34DDCCCA">
      <w:pPr>
        <w:spacing w:line="360" w:lineRule="auto"/>
        <w:ind w:firstLine="480" w:firstLineChars="200"/>
        <w:jc w:val="left"/>
        <w:rPr>
          <w:rFonts w:hAnsi="宋体" w:cs="宋体"/>
          <w:szCs w:val="24"/>
          <w:highlight w:val="none"/>
        </w:rPr>
      </w:pPr>
      <w:r>
        <w:rPr>
          <w:rFonts w:hint="eastAsia" w:hAnsi="宋体" w:cs="宋体"/>
          <w:szCs w:val="24"/>
          <w:highlight w:val="none"/>
        </w:rPr>
        <w:t>评价和比较以磋商响应文件为依据，从“价格评审”、“技术评审”、“履约能力”等方面进行评审并按照百分制进行赋分。</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772"/>
        <w:gridCol w:w="4311"/>
        <w:gridCol w:w="1946"/>
      </w:tblGrid>
      <w:tr w14:paraId="1C71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826" w:type="pct"/>
            <w:gridSpan w:val="2"/>
            <w:vMerge w:val="restart"/>
            <w:noWrap w:val="0"/>
            <w:vAlign w:val="center"/>
          </w:tcPr>
          <w:p w14:paraId="34EB6A0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分值构成</w:t>
            </w:r>
          </w:p>
          <w:p w14:paraId="5256C4D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（总分100分）</w:t>
            </w:r>
          </w:p>
        </w:tc>
        <w:tc>
          <w:tcPr>
            <w:tcW w:w="3173" w:type="pct"/>
            <w:gridSpan w:val="2"/>
            <w:noWrap w:val="0"/>
            <w:vAlign w:val="center"/>
          </w:tcPr>
          <w:p w14:paraId="1DB00647">
            <w:pPr>
              <w:rPr>
                <w:rFonts w:hint="eastAsia" w:ascii="宋体" w:hAnsi="宋体" w:eastAsia="宋体" w:cs="宋体"/>
                <w:sz w:val="24"/>
                <w:szCs w:val="24"/>
                <w:highlight w:val="none"/>
              </w:rPr>
            </w:pPr>
            <w:r>
              <w:rPr>
                <w:rFonts w:hint="eastAsia" w:ascii="宋体" w:hAnsi="宋体" w:eastAsia="宋体" w:cs="宋体"/>
                <w:sz w:val="24"/>
                <w:szCs w:val="24"/>
                <w:highlight w:val="none"/>
              </w:rPr>
              <w:t>资格部分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符合性评审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【合格/不合格】</w:t>
            </w:r>
          </w:p>
        </w:tc>
      </w:tr>
      <w:tr w14:paraId="578E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26" w:type="pct"/>
            <w:gridSpan w:val="2"/>
            <w:vMerge w:val="continue"/>
            <w:noWrap w:val="0"/>
            <w:vAlign w:val="center"/>
          </w:tcPr>
          <w:p w14:paraId="72980452">
            <w:pPr>
              <w:jc w:val="center"/>
              <w:rPr>
                <w:rFonts w:hint="eastAsia" w:ascii="宋体" w:hAnsi="宋体" w:eastAsia="宋体" w:cs="宋体"/>
                <w:sz w:val="24"/>
                <w:szCs w:val="24"/>
                <w:highlight w:val="none"/>
              </w:rPr>
            </w:pPr>
          </w:p>
        </w:tc>
        <w:tc>
          <w:tcPr>
            <w:tcW w:w="3173" w:type="pct"/>
            <w:gridSpan w:val="2"/>
            <w:noWrap w:val="0"/>
            <w:vAlign w:val="center"/>
          </w:tcPr>
          <w:p w14:paraId="11497312">
            <w:pPr>
              <w:rPr>
                <w:rFonts w:hint="eastAsia" w:ascii="宋体" w:hAnsi="宋体" w:eastAsia="宋体" w:cs="宋体"/>
                <w:sz w:val="24"/>
                <w:szCs w:val="24"/>
                <w:highlight w:val="none"/>
              </w:rPr>
            </w:pPr>
            <w:r>
              <w:rPr>
                <w:rFonts w:hint="eastAsia" w:ascii="宋体" w:hAnsi="宋体" w:eastAsia="宋体" w:cs="宋体"/>
                <w:sz w:val="24"/>
                <w:szCs w:val="24"/>
                <w:highlight w:val="none"/>
              </w:rPr>
              <w:t>技术部分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满分</w:t>
            </w:r>
            <w:r>
              <w:rPr>
                <w:rFonts w:hint="eastAsia" w:ascii="宋体" w:hAnsi="宋体" w:eastAsia="宋体" w:cs="宋体"/>
                <w:sz w:val="24"/>
                <w:szCs w:val="24"/>
                <w:highlight w:val="none"/>
                <w:lang w:val="en-US" w:eastAsia="zh-CN"/>
              </w:rPr>
              <w:t>5</w:t>
            </w:r>
            <w:r>
              <w:rPr>
                <w:rFonts w:hint="eastAsia" w:hAnsi="宋体" w:cs="宋体"/>
                <w:sz w:val="24"/>
                <w:szCs w:val="24"/>
                <w:highlight w:val="none"/>
                <w:lang w:val="en-US" w:eastAsia="zh-CN"/>
              </w:rPr>
              <w:t>7</w:t>
            </w:r>
            <w:r>
              <w:rPr>
                <w:rFonts w:hint="eastAsia" w:ascii="宋体" w:hAnsi="宋体" w:eastAsia="宋体" w:cs="宋体"/>
                <w:sz w:val="24"/>
                <w:szCs w:val="24"/>
                <w:highlight w:val="none"/>
              </w:rPr>
              <w:t>分；</w:t>
            </w:r>
          </w:p>
        </w:tc>
      </w:tr>
      <w:tr w14:paraId="7E33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pct"/>
            <w:gridSpan w:val="2"/>
            <w:vMerge w:val="continue"/>
            <w:noWrap w:val="0"/>
            <w:vAlign w:val="center"/>
          </w:tcPr>
          <w:p w14:paraId="7B092258">
            <w:pPr>
              <w:jc w:val="center"/>
              <w:rPr>
                <w:rFonts w:hint="eastAsia" w:ascii="宋体" w:hAnsi="宋体" w:eastAsia="宋体" w:cs="宋体"/>
                <w:sz w:val="24"/>
                <w:szCs w:val="24"/>
                <w:highlight w:val="none"/>
              </w:rPr>
            </w:pPr>
          </w:p>
        </w:tc>
        <w:tc>
          <w:tcPr>
            <w:tcW w:w="3173" w:type="pct"/>
            <w:gridSpan w:val="2"/>
            <w:noWrap w:val="0"/>
            <w:vAlign w:val="center"/>
          </w:tcPr>
          <w:p w14:paraId="2E77177B">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报价</w:t>
            </w:r>
            <w:r>
              <w:rPr>
                <w:rFonts w:hint="eastAsia" w:ascii="宋体" w:hAnsi="宋体" w:eastAsia="宋体" w:cs="宋体"/>
                <w:sz w:val="24"/>
                <w:szCs w:val="24"/>
                <w:highlight w:val="none"/>
              </w:rPr>
              <w:t>部分：满分</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r>
      <w:tr w14:paraId="56DB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26" w:type="pct"/>
            <w:gridSpan w:val="2"/>
            <w:vMerge w:val="continue"/>
            <w:noWrap w:val="0"/>
            <w:vAlign w:val="center"/>
          </w:tcPr>
          <w:p w14:paraId="5E1EA10D">
            <w:pPr>
              <w:jc w:val="center"/>
              <w:rPr>
                <w:rFonts w:hint="eastAsia" w:ascii="宋体" w:hAnsi="宋体" w:eastAsia="宋体" w:cs="宋体"/>
                <w:sz w:val="24"/>
                <w:szCs w:val="24"/>
                <w:highlight w:val="none"/>
              </w:rPr>
            </w:pPr>
          </w:p>
        </w:tc>
        <w:tc>
          <w:tcPr>
            <w:tcW w:w="3173" w:type="pct"/>
            <w:gridSpan w:val="2"/>
            <w:noWrap w:val="0"/>
            <w:vAlign w:val="center"/>
          </w:tcPr>
          <w:p w14:paraId="592E766A">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商务部分：满分</w:t>
            </w:r>
            <w:r>
              <w:rPr>
                <w:rFonts w:hint="eastAsia" w:ascii="宋体" w:hAnsi="宋体" w:eastAsia="宋体" w:cs="宋体"/>
                <w:sz w:val="24"/>
                <w:szCs w:val="24"/>
                <w:highlight w:val="none"/>
                <w:lang w:val="en-US" w:eastAsia="zh-CN"/>
              </w:rPr>
              <w:t>1</w:t>
            </w:r>
            <w:r>
              <w:rPr>
                <w:rFonts w:hint="eastAsia"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tc>
      </w:tr>
      <w:tr w14:paraId="1C2A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0" w:type="pct"/>
            <w:noWrap w:val="0"/>
            <w:vAlign w:val="center"/>
          </w:tcPr>
          <w:p w14:paraId="501556A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报价</w:t>
            </w:r>
            <w:r>
              <w:rPr>
                <w:rFonts w:hint="eastAsia" w:ascii="宋体" w:hAnsi="宋体" w:eastAsia="宋体" w:cs="宋体"/>
                <w:sz w:val="24"/>
                <w:szCs w:val="24"/>
                <w:highlight w:val="none"/>
              </w:rPr>
              <w:t>部分</w:t>
            </w:r>
          </w:p>
        </w:tc>
        <w:tc>
          <w:tcPr>
            <w:tcW w:w="1406" w:type="pct"/>
            <w:noWrap w:val="0"/>
            <w:vAlign w:val="center"/>
          </w:tcPr>
          <w:p w14:paraId="08CF203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最终报价</w:t>
            </w:r>
          </w:p>
          <w:p w14:paraId="1C36470B">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评分标准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30分</w:t>
            </w:r>
            <w:r>
              <w:rPr>
                <w:rFonts w:hint="eastAsia" w:ascii="宋体" w:hAnsi="宋体" w:eastAsia="宋体" w:cs="宋体"/>
                <w:sz w:val="24"/>
                <w:szCs w:val="24"/>
                <w:highlight w:val="none"/>
                <w:lang w:eastAsia="zh-CN"/>
              </w:rPr>
              <w:t>）</w:t>
            </w:r>
          </w:p>
        </w:tc>
        <w:tc>
          <w:tcPr>
            <w:tcW w:w="3173" w:type="pct"/>
            <w:gridSpan w:val="2"/>
            <w:noWrap w:val="0"/>
            <w:vAlign w:val="center"/>
          </w:tcPr>
          <w:p w14:paraId="1511619A">
            <w:pPr>
              <w:keepNext w:val="0"/>
              <w:keepLines w:val="0"/>
              <w:pageBreakBefore w:val="0"/>
              <w:widowControl w:val="0"/>
              <w:kinsoku/>
              <w:wordWrap/>
              <w:overflowPunct/>
              <w:topLinePunct w:val="0"/>
              <w:autoSpaceDE/>
              <w:autoSpaceDN/>
              <w:bidi w:val="0"/>
              <w:adjustRightInd/>
              <w:snapToGrid/>
              <w:spacing w:line="288" w:lineRule="auto"/>
              <w:ind w:left="-108" w:leftChars="-45" w:firstLine="120" w:firstLineChars="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1.经</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合格的</w:t>
            </w:r>
            <w:r>
              <w:rPr>
                <w:rFonts w:hint="eastAsia" w:hAnsi="宋体" w:cs="宋体"/>
                <w:sz w:val="24"/>
                <w:szCs w:val="24"/>
                <w:highlight w:val="none"/>
                <w:lang w:eastAsia="zh-CN"/>
              </w:rPr>
              <w:t>磋商响应</w:t>
            </w:r>
            <w:r>
              <w:rPr>
                <w:rFonts w:hint="eastAsia" w:ascii="宋体" w:hAnsi="宋体" w:eastAsia="宋体" w:cs="宋体"/>
                <w:sz w:val="24"/>
                <w:szCs w:val="24"/>
                <w:highlight w:val="none"/>
              </w:rPr>
              <w:t>文件，其</w:t>
            </w:r>
            <w:r>
              <w:rPr>
                <w:rFonts w:hint="eastAsia" w:hAnsi="宋体" w:cs="宋体"/>
                <w:sz w:val="24"/>
                <w:szCs w:val="24"/>
                <w:highlight w:val="none"/>
                <w:lang w:eastAsia="zh-CN"/>
              </w:rPr>
              <w:t>磋商</w:t>
            </w:r>
            <w:r>
              <w:rPr>
                <w:rFonts w:hint="eastAsia" w:ascii="宋体" w:hAnsi="宋体" w:eastAsia="宋体" w:cs="宋体"/>
                <w:sz w:val="24"/>
                <w:szCs w:val="24"/>
                <w:highlight w:val="none"/>
                <w:lang w:eastAsia="zh-CN"/>
              </w:rPr>
              <w:t>最终</w:t>
            </w:r>
            <w:r>
              <w:rPr>
                <w:rFonts w:hint="eastAsia" w:ascii="宋体" w:hAnsi="宋体" w:eastAsia="宋体" w:cs="宋体"/>
                <w:sz w:val="24"/>
                <w:szCs w:val="24"/>
                <w:highlight w:val="none"/>
              </w:rPr>
              <w:t>报价为有效</w:t>
            </w:r>
            <w:r>
              <w:rPr>
                <w:rFonts w:hint="eastAsia" w:ascii="宋体" w:hAnsi="宋体" w:eastAsia="宋体" w:cs="宋体"/>
                <w:sz w:val="24"/>
                <w:szCs w:val="24"/>
                <w:highlight w:val="none"/>
                <w:lang w:eastAsia="zh-CN"/>
              </w:rPr>
              <w:t>投标报</w:t>
            </w:r>
            <w:r>
              <w:rPr>
                <w:rFonts w:hint="eastAsia" w:ascii="宋体" w:hAnsi="宋体" w:eastAsia="宋体" w:cs="宋体"/>
                <w:sz w:val="24"/>
                <w:szCs w:val="24"/>
                <w:highlight w:val="none"/>
              </w:rPr>
              <w:t>价进行价格评审。</w:t>
            </w:r>
          </w:p>
          <w:p w14:paraId="112AA6E5">
            <w:pPr>
              <w:keepNext w:val="0"/>
              <w:keepLines w:val="0"/>
              <w:pageBreakBefore w:val="0"/>
              <w:widowControl w:val="0"/>
              <w:kinsoku/>
              <w:wordWrap/>
              <w:overflowPunct/>
              <w:topLinePunct w:val="0"/>
              <w:autoSpaceDE/>
              <w:autoSpaceDN/>
              <w:bidi w:val="0"/>
              <w:adjustRightInd/>
              <w:snapToGrid/>
              <w:spacing w:line="288" w:lineRule="auto"/>
              <w:ind w:left="-108" w:leftChars="-45" w:firstLine="120" w:firstLineChars="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2.有效最低报价为基准价得</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p w14:paraId="58045A13">
            <w:pPr>
              <w:keepNext w:val="0"/>
              <w:keepLines w:val="0"/>
              <w:pageBreakBefore w:val="0"/>
              <w:widowControl w:val="0"/>
              <w:kinsoku/>
              <w:wordWrap/>
              <w:overflowPunct/>
              <w:topLinePunct w:val="0"/>
              <w:autoSpaceDE/>
              <w:autoSpaceDN/>
              <w:bidi w:val="0"/>
              <w:adjustRightInd/>
              <w:snapToGrid/>
              <w:spacing w:line="288" w:lineRule="auto"/>
              <w:ind w:left="-108" w:leftChars="-45" w:firstLine="120" w:firstLineChars="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3.按（有效最低报价/有效</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的公式计算其得分。</w:t>
            </w:r>
          </w:p>
          <w:p w14:paraId="75A3D459">
            <w:pPr>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报价不完整的，不进入评标</w:t>
            </w:r>
            <w:r>
              <w:rPr>
                <w:rFonts w:hint="eastAsia" w:ascii="宋体" w:hAnsi="宋体" w:eastAsia="宋体" w:cs="宋体"/>
                <w:sz w:val="24"/>
                <w:szCs w:val="24"/>
                <w:highlight w:val="none"/>
                <w:lang w:eastAsia="zh-CN"/>
              </w:rPr>
              <w:t>基</w:t>
            </w:r>
            <w:r>
              <w:rPr>
                <w:rFonts w:hint="eastAsia" w:ascii="宋体" w:hAnsi="宋体" w:eastAsia="宋体" w:cs="宋体"/>
                <w:sz w:val="24"/>
                <w:szCs w:val="24"/>
                <w:highlight w:val="none"/>
              </w:rPr>
              <w:t>准价的计算，本项得0分。</w:t>
            </w:r>
          </w:p>
        </w:tc>
      </w:tr>
      <w:tr w14:paraId="2901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0" w:type="pct"/>
            <w:vMerge w:val="restart"/>
            <w:noWrap w:val="0"/>
            <w:vAlign w:val="center"/>
          </w:tcPr>
          <w:p w14:paraId="1E788C35">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商务部分</w:t>
            </w:r>
          </w:p>
        </w:tc>
        <w:tc>
          <w:tcPr>
            <w:tcW w:w="1406" w:type="pct"/>
            <w:noWrap w:val="0"/>
            <w:vAlign w:val="center"/>
          </w:tcPr>
          <w:p w14:paraId="1A9CBB8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企业业绩（5分）</w:t>
            </w:r>
          </w:p>
        </w:tc>
        <w:tc>
          <w:tcPr>
            <w:tcW w:w="3173" w:type="pct"/>
            <w:gridSpan w:val="2"/>
            <w:noWrap w:val="0"/>
            <w:vAlign w:val="center"/>
          </w:tcPr>
          <w:p w14:paraId="7C86B7FA">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应提供20</w:t>
            </w:r>
            <w:r>
              <w:rPr>
                <w:rFonts w:hint="eastAsia" w:hAnsi="宋体" w:cs="宋体"/>
                <w:sz w:val="24"/>
                <w:szCs w:val="24"/>
                <w:highlight w:val="none"/>
                <w:lang w:val="en-US" w:eastAsia="zh-CN"/>
              </w:rPr>
              <w:t>21</w:t>
            </w:r>
            <w:r>
              <w:rPr>
                <w:rFonts w:hint="eastAsia" w:ascii="宋体" w:hAnsi="宋体" w:eastAsia="宋体" w:cs="宋体"/>
                <w:sz w:val="24"/>
                <w:szCs w:val="24"/>
                <w:highlight w:val="none"/>
              </w:rPr>
              <w:t>年</w:t>
            </w:r>
            <w:r>
              <w:rPr>
                <w:rFonts w:hint="eastAsia" w:hAnsi="宋体" w:cs="宋体"/>
                <w:sz w:val="24"/>
                <w:szCs w:val="24"/>
                <w:highlight w:val="none"/>
                <w:lang w:val="en-US" w:eastAsia="zh-CN"/>
              </w:rPr>
              <w:t>11</w:t>
            </w:r>
            <w:r>
              <w:rPr>
                <w:rFonts w:hint="eastAsia" w:ascii="宋体" w:hAnsi="宋体" w:eastAsia="宋体" w:cs="宋体"/>
                <w:sz w:val="24"/>
                <w:szCs w:val="24"/>
                <w:highlight w:val="none"/>
                <w:lang w:val="en-US" w:eastAsia="zh-CN"/>
              </w:rPr>
              <w:t>月</w:t>
            </w:r>
            <w:r>
              <w:rPr>
                <w:rFonts w:hint="eastAsia" w:ascii="宋体" w:hAnsi="宋体" w:eastAsia="宋体" w:cs="宋体"/>
                <w:sz w:val="24"/>
                <w:szCs w:val="24"/>
                <w:highlight w:val="none"/>
              </w:rPr>
              <w:t>起至今的</w:t>
            </w:r>
            <w:r>
              <w:rPr>
                <w:rFonts w:hint="eastAsia" w:ascii="宋体" w:hAnsi="宋体" w:eastAsia="宋体" w:cs="宋体"/>
                <w:sz w:val="24"/>
                <w:szCs w:val="24"/>
                <w:highlight w:val="none"/>
                <w:lang w:eastAsia="zh-CN"/>
              </w:rPr>
              <w:t>类似</w:t>
            </w:r>
            <w:r>
              <w:rPr>
                <w:rFonts w:hint="eastAsia" w:ascii="宋体" w:hAnsi="宋体" w:eastAsia="宋体" w:cs="宋体"/>
                <w:sz w:val="24"/>
                <w:szCs w:val="24"/>
                <w:highlight w:val="none"/>
              </w:rPr>
              <w:t>业绩证明材料，时间以合同签订日期为准</w:t>
            </w:r>
            <w:r>
              <w:rPr>
                <w:rFonts w:hint="eastAsia" w:ascii="宋体" w:hAnsi="宋体" w:eastAsia="宋体" w:cs="宋体"/>
                <w:sz w:val="24"/>
                <w:szCs w:val="24"/>
                <w:highlight w:val="none"/>
                <w:lang w:eastAsia="zh-CN"/>
              </w:rPr>
              <w:t>，（文件中附</w:t>
            </w:r>
            <w:r>
              <w:rPr>
                <w:rFonts w:hint="eastAsia" w:ascii="宋体" w:hAnsi="宋体" w:eastAsia="宋体" w:cs="宋体"/>
                <w:sz w:val="24"/>
                <w:szCs w:val="24"/>
                <w:highlight w:val="none"/>
              </w:rPr>
              <w:t>成交/中标通知书</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eastAsia="zh-CN"/>
              </w:rPr>
              <w:t>复印件</w:t>
            </w:r>
            <w:r>
              <w:rPr>
                <w:rFonts w:hint="eastAsia" w:hAnsi="宋体" w:cs="宋体"/>
                <w:sz w:val="24"/>
                <w:szCs w:val="24"/>
                <w:highlight w:val="none"/>
                <w:lang w:eastAsia="zh-CN"/>
              </w:rPr>
              <w:t>。</w:t>
            </w:r>
            <w:r>
              <w:rPr>
                <w:rFonts w:hint="eastAsia" w:ascii="宋体" w:hAnsi="宋体" w:eastAsia="宋体" w:cs="宋体"/>
                <w:sz w:val="24"/>
                <w:szCs w:val="24"/>
                <w:highlight w:val="none"/>
              </w:rPr>
              <w:t>），每提供一项上述业绩的得1分，最高得5分。证明材料不全的不予赋分。</w:t>
            </w:r>
          </w:p>
        </w:tc>
      </w:tr>
      <w:tr w14:paraId="12FE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20" w:type="pct"/>
            <w:vMerge w:val="continue"/>
            <w:noWrap w:val="0"/>
            <w:vAlign w:val="center"/>
          </w:tcPr>
          <w:p w14:paraId="503230F4">
            <w:pPr>
              <w:spacing w:line="360" w:lineRule="auto"/>
              <w:jc w:val="center"/>
              <w:rPr>
                <w:rFonts w:hint="eastAsia" w:ascii="宋体" w:hAnsi="宋体" w:eastAsia="宋体" w:cs="宋体"/>
                <w:sz w:val="24"/>
                <w:szCs w:val="24"/>
                <w:highlight w:val="none"/>
              </w:rPr>
            </w:pPr>
          </w:p>
        </w:tc>
        <w:tc>
          <w:tcPr>
            <w:tcW w:w="1406" w:type="pct"/>
            <w:noWrap w:val="0"/>
            <w:vAlign w:val="center"/>
          </w:tcPr>
          <w:p w14:paraId="048322D1">
            <w:pPr>
              <w:adjustRightInd w:val="0"/>
              <w:snapToGrid w:val="0"/>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zh-CN"/>
              </w:rPr>
              <w:t>项目部组成人员（</w:t>
            </w:r>
            <w:r>
              <w:rPr>
                <w:rFonts w:hint="eastAsia" w:hAnsi="宋体" w:cs="宋体"/>
                <w:bCs/>
                <w:sz w:val="24"/>
                <w:szCs w:val="24"/>
                <w:highlight w:val="none"/>
                <w:lang w:val="en-US" w:eastAsia="zh-CN"/>
              </w:rPr>
              <w:t>5</w:t>
            </w:r>
            <w:r>
              <w:rPr>
                <w:rFonts w:hint="eastAsia" w:ascii="宋体" w:hAnsi="宋体" w:eastAsia="宋体" w:cs="宋体"/>
                <w:bCs/>
                <w:sz w:val="24"/>
                <w:szCs w:val="24"/>
                <w:highlight w:val="none"/>
              </w:rPr>
              <w:t>分</w:t>
            </w:r>
            <w:r>
              <w:rPr>
                <w:rFonts w:hint="eastAsia" w:ascii="宋体" w:hAnsi="宋体" w:eastAsia="宋体" w:cs="宋体"/>
                <w:bCs/>
                <w:sz w:val="24"/>
                <w:szCs w:val="24"/>
                <w:highlight w:val="none"/>
                <w:lang w:val="zh-CN"/>
              </w:rPr>
              <w:t>）</w:t>
            </w:r>
          </w:p>
        </w:tc>
        <w:tc>
          <w:tcPr>
            <w:tcW w:w="3173" w:type="pct"/>
            <w:gridSpan w:val="2"/>
            <w:noWrap w:val="0"/>
            <w:vAlign w:val="center"/>
          </w:tcPr>
          <w:p w14:paraId="5B26BC1C">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项目团队技术人员配备合理，满足本项目需求，依据配备情况得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分。</w:t>
            </w:r>
          </w:p>
        </w:tc>
      </w:tr>
      <w:tr w14:paraId="2C27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20" w:type="pct"/>
            <w:vMerge w:val="continue"/>
            <w:noWrap w:val="0"/>
            <w:vAlign w:val="center"/>
          </w:tcPr>
          <w:p w14:paraId="1DD4E42A">
            <w:pPr>
              <w:spacing w:line="360" w:lineRule="auto"/>
              <w:jc w:val="center"/>
              <w:rPr>
                <w:rFonts w:hint="eastAsia" w:ascii="宋体" w:hAnsi="宋体" w:eastAsia="宋体" w:cs="宋体"/>
                <w:sz w:val="24"/>
                <w:szCs w:val="24"/>
                <w:highlight w:val="none"/>
              </w:rPr>
            </w:pPr>
          </w:p>
        </w:tc>
        <w:tc>
          <w:tcPr>
            <w:tcW w:w="1406" w:type="pct"/>
            <w:noWrap w:val="0"/>
            <w:vAlign w:val="center"/>
          </w:tcPr>
          <w:p w14:paraId="4D03A529">
            <w:pPr>
              <w:adjustRightInd w:val="0"/>
              <w:snapToGrid w:val="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施工承诺（</w:t>
            </w:r>
            <w:r>
              <w:rPr>
                <w:rFonts w:hint="eastAsia" w:hAnsi="宋体" w:cs="宋体"/>
                <w:bCs/>
                <w:sz w:val="24"/>
                <w:szCs w:val="24"/>
                <w:highlight w:val="none"/>
                <w:lang w:val="en-US" w:eastAsia="zh-CN"/>
              </w:rPr>
              <w:t>3</w:t>
            </w:r>
            <w:r>
              <w:rPr>
                <w:rFonts w:hint="eastAsia" w:ascii="宋体" w:hAnsi="宋体" w:eastAsia="宋体" w:cs="宋体"/>
                <w:bCs/>
                <w:sz w:val="24"/>
                <w:szCs w:val="24"/>
                <w:highlight w:val="none"/>
              </w:rPr>
              <w:t>分</w:t>
            </w:r>
            <w:r>
              <w:rPr>
                <w:rFonts w:hint="eastAsia" w:ascii="宋体" w:hAnsi="宋体" w:eastAsia="宋体" w:cs="宋体"/>
                <w:bCs/>
                <w:sz w:val="24"/>
                <w:szCs w:val="24"/>
                <w:highlight w:val="none"/>
                <w:lang w:val="zh-CN"/>
              </w:rPr>
              <w:t>）</w:t>
            </w:r>
          </w:p>
        </w:tc>
        <w:tc>
          <w:tcPr>
            <w:tcW w:w="3173" w:type="pct"/>
            <w:gridSpan w:val="2"/>
            <w:noWrap w:val="0"/>
            <w:vAlign w:val="center"/>
          </w:tcPr>
          <w:p w14:paraId="5792B718">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eastAsia="zh-CN"/>
              </w:rPr>
              <w:t>针对本项目作出合理有效的工程施工承诺（主要体现不得拖欠施工人员工资、给施工人员缴纳保险等）</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依据响应程度进行综合赋分：</w:t>
            </w:r>
            <w:r>
              <w:rPr>
                <w:rFonts w:hint="eastAsia" w:ascii="宋体" w:hAnsi="宋体" w:eastAsia="宋体" w:cs="宋体"/>
                <w:sz w:val="24"/>
                <w:szCs w:val="24"/>
                <w:highlight w:val="none"/>
                <w:lang w:val="en-US" w:eastAsia="zh-CN"/>
              </w:rPr>
              <w:t>0-</w:t>
            </w:r>
            <w:r>
              <w:rPr>
                <w:rFonts w:hint="eastAsia"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，未提供的不得分。</w:t>
            </w:r>
          </w:p>
        </w:tc>
      </w:tr>
      <w:tr w14:paraId="05A4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0" w:type="pct"/>
            <w:vMerge w:val="restart"/>
            <w:noWrap w:val="0"/>
            <w:vAlign w:val="center"/>
          </w:tcPr>
          <w:p w14:paraId="6CD64DD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技术部分</w:t>
            </w:r>
          </w:p>
        </w:tc>
        <w:tc>
          <w:tcPr>
            <w:tcW w:w="1406" w:type="pct"/>
            <w:vMerge w:val="restart"/>
            <w:noWrap w:val="0"/>
            <w:vAlign w:val="center"/>
          </w:tcPr>
          <w:p w14:paraId="314EFA5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施工组织设计（</w:t>
            </w:r>
            <w:r>
              <w:rPr>
                <w:rFonts w:hint="eastAsia" w:ascii="宋体" w:hAnsi="宋体" w:eastAsia="宋体" w:cs="宋体"/>
                <w:sz w:val="24"/>
                <w:szCs w:val="24"/>
                <w:highlight w:val="none"/>
                <w:lang w:val="en-US" w:eastAsia="zh-CN"/>
              </w:rPr>
              <w:t>5</w:t>
            </w:r>
            <w:r>
              <w:rPr>
                <w:rFonts w:hint="eastAsia" w:hAnsi="宋体" w:cs="宋体"/>
                <w:sz w:val="24"/>
                <w:szCs w:val="24"/>
                <w:highlight w:val="none"/>
                <w:lang w:val="en-US" w:eastAsia="zh-CN"/>
              </w:rPr>
              <w:t>7</w:t>
            </w:r>
            <w:r>
              <w:rPr>
                <w:rFonts w:hint="eastAsia" w:ascii="宋体" w:hAnsi="宋体" w:eastAsia="宋体" w:cs="宋体"/>
                <w:sz w:val="24"/>
                <w:szCs w:val="24"/>
                <w:highlight w:val="none"/>
              </w:rPr>
              <w:t>分）</w:t>
            </w:r>
          </w:p>
        </w:tc>
        <w:tc>
          <w:tcPr>
            <w:tcW w:w="2187" w:type="pct"/>
            <w:noWrap w:val="0"/>
            <w:vAlign w:val="center"/>
          </w:tcPr>
          <w:p w14:paraId="76354F37">
            <w:p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施工技术方案：</w:t>
            </w:r>
          </w:p>
          <w:p w14:paraId="1D4F9D07">
            <w:p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施工总体流程安排合理，对项目关键技术、工艺的表述全面深入，对重点难点工程有先进、合理的建议，提出的解决方案完整、经济、安全、切实可行得7-10分。</w:t>
            </w:r>
          </w:p>
          <w:p w14:paraId="3B31B35D">
            <w:p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施工总体流程安排合理，对项目关键技术、工艺不够全面深入，对重点难点工程分析不全面彻底，提出的解决方案基本满足要求得4-7分。</w:t>
            </w:r>
          </w:p>
          <w:p w14:paraId="7A090EF4">
            <w:p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施工总体流程安排合理，对项目关键技术、工艺描述不足，缺乏对重点难点工程的分析，提出的解决方案不能充分满足工程需要得0-4分。</w:t>
            </w:r>
          </w:p>
        </w:tc>
        <w:tc>
          <w:tcPr>
            <w:tcW w:w="985" w:type="pct"/>
            <w:noWrap w:val="0"/>
            <w:vAlign w:val="center"/>
          </w:tcPr>
          <w:p w14:paraId="42F08CD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r>
      <w:tr w14:paraId="191B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0" w:type="pct"/>
            <w:vMerge w:val="continue"/>
            <w:noWrap w:val="0"/>
            <w:vAlign w:val="center"/>
          </w:tcPr>
          <w:p w14:paraId="6D37795E">
            <w:pPr>
              <w:spacing w:line="360" w:lineRule="auto"/>
              <w:jc w:val="center"/>
              <w:rPr>
                <w:rFonts w:hint="eastAsia" w:ascii="宋体" w:hAnsi="宋体" w:eastAsia="宋体" w:cs="宋体"/>
                <w:sz w:val="24"/>
                <w:szCs w:val="24"/>
                <w:highlight w:val="none"/>
              </w:rPr>
            </w:pPr>
          </w:p>
        </w:tc>
        <w:tc>
          <w:tcPr>
            <w:tcW w:w="1406" w:type="pct"/>
            <w:vMerge w:val="continue"/>
            <w:noWrap w:val="0"/>
            <w:vAlign w:val="center"/>
          </w:tcPr>
          <w:p w14:paraId="42BB359B">
            <w:pPr>
              <w:rPr>
                <w:rFonts w:hint="eastAsia" w:ascii="宋体" w:hAnsi="宋体" w:eastAsia="宋体" w:cs="宋体"/>
                <w:sz w:val="24"/>
                <w:szCs w:val="24"/>
                <w:highlight w:val="none"/>
              </w:rPr>
            </w:pPr>
          </w:p>
        </w:tc>
        <w:tc>
          <w:tcPr>
            <w:tcW w:w="2187" w:type="pct"/>
            <w:noWrap w:val="0"/>
            <w:vAlign w:val="center"/>
          </w:tcPr>
          <w:p w14:paraId="33583D70">
            <w:pPr>
              <w:rPr>
                <w:rFonts w:hint="eastAsia"/>
                <w:spacing w:val="1"/>
                <w:lang w:eastAsia="zh-CN"/>
              </w:rPr>
            </w:pPr>
            <w:r>
              <w:rPr>
                <w:spacing w:val="1"/>
              </w:rPr>
              <w:t>施工进度计划安排</w:t>
            </w:r>
            <w:r>
              <w:rPr>
                <w:rFonts w:hint="eastAsia"/>
                <w:spacing w:val="1"/>
                <w:lang w:eastAsia="zh-CN"/>
              </w:rPr>
              <w:t>：</w:t>
            </w:r>
          </w:p>
          <w:p w14:paraId="2B085807">
            <w:pPr>
              <w:rPr>
                <w:rFonts w:hint="eastAsia" w:ascii="宋体" w:hAnsi="宋体" w:eastAsia="宋体" w:cs="宋体"/>
                <w:sz w:val="24"/>
                <w:szCs w:val="24"/>
                <w:highlight w:val="none"/>
              </w:rPr>
            </w:pPr>
            <w:r>
              <w:rPr>
                <w:rFonts w:hint="eastAsia" w:ascii="宋体" w:hAnsi="宋体" w:eastAsia="宋体" w:cs="宋体"/>
                <w:sz w:val="24"/>
                <w:szCs w:val="24"/>
                <w:highlight w:val="none"/>
              </w:rPr>
              <w:t>分析本项目进度目标及关键节点，同时针对关键节点、具体环节提出相应进度保障措施，并根据本项目的工期要求，提供全面的确保工程按期按质完成的进度计划安排。</w:t>
            </w:r>
          </w:p>
          <w:p w14:paraId="3C54C056">
            <w:pPr>
              <w:rPr>
                <w:rFonts w:hint="eastAsia" w:ascii="宋体" w:hAnsi="宋体" w:eastAsia="宋体" w:cs="宋体"/>
                <w:sz w:val="24"/>
                <w:szCs w:val="24"/>
                <w:highlight w:val="none"/>
              </w:rPr>
            </w:pPr>
            <w:r>
              <w:rPr>
                <w:rFonts w:hint="eastAsia" w:ascii="宋体" w:hAnsi="宋体" w:eastAsia="宋体" w:cs="宋体"/>
                <w:sz w:val="24"/>
                <w:szCs w:val="24"/>
                <w:highlight w:val="none"/>
              </w:rPr>
              <w:t>整体进度安排（施工进度表或施工网络图）及各阶段进度保证措施内容 合理、方案具体可行、完全符合要求得5-7分；</w:t>
            </w:r>
          </w:p>
          <w:p w14:paraId="207CF6B7">
            <w:pPr>
              <w:rPr>
                <w:rFonts w:hint="eastAsia" w:ascii="宋体" w:hAnsi="宋体" w:eastAsia="宋体" w:cs="宋体"/>
                <w:sz w:val="24"/>
                <w:szCs w:val="24"/>
                <w:highlight w:val="none"/>
              </w:rPr>
            </w:pPr>
            <w:r>
              <w:rPr>
                <w:rFonts w:hint="eastAsia" w:ascii="宋体" w:hAnsi="宋体" w:eastAsia="宋体" w:cs="宋体"/>
                <w:sz w:val="24"/>
                <w:szCs w:val="24"/>
                <w:highlight w:val="none"/>
              </w:rPr>
              <w:t>内容较合理、方案可行性一般，基本符合要求得3-5分；</w:t>
            </w:r>
          </w:p>
          <w:p w14:paraId="5F8D8A01">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内容不完备、方案可行性差、不能全面符合要求得1-3分；</w:t>
            </w:r>
          </w:p>
        </w:tc>
        <w:tc>
          <w:tcPr>
            <w:tcW w:w="985" w:type="pct"/>
            <w:noWrap w:val="0"/>
            <w:vAlign w:val="center"/>
          </w:tcPr>
          <w:p w14:paraId="064C66C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hAnsi="宋体" w:cs="宋体"/>
                <w:sz w:val="24"/>
                <w:szCs w:val="24"/>
                <w:highlight w:val="none"/>
                <w:lang w:val="en-US" w:eastAsia="zh-CN"/>
              </w:rPr>
              <w:t>7</w:t>
            </w:r>
            <w:r>
              <w:rPr>
                <w:rFonts w:hint="eastAsia" w:ascii="宋体" w:hAnsi="宋体" w:eastAsia="宋体" w:cs="宋体"/>
                <w:sz w:val="24"/>
                <w:szCs w:val="24"/>
                <w:highlight w:val="none"/>
              </w:rPr>
              <w:t>分）</w:t>
            </w:r>
          </w:p>
        </w:tc>
      </w:tr>
      <w:tr w14:paraId="54BB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0" w:type="pct"/>
            <w:vMerge w:val="continue"/>
            <w:noWrap w:val="0"/>
            <w:vAlign w:val="center"/>
          </w:tcPr>
          <w:p w14:paraId="07B8256A">
            <w:pPr>
              <w:spacing w:line="360" w:lineRule="auto"/>
              <w:jc w:val="center"/>
              <w:rPr>
                <w:rFonts w:hint="eastAsia" w:ascii="宋体" w:hAnsi="宋体" w:eastAsia="宋体" w:cs="宋体"/>
                <w:sz w:val="24"/>
                <w:szCs w:val="24"/>
                <w:highlight w:val="none"/>
              </w:rPr>
            </w:pPr>
          </w:p>
        </w:tc>
        <w:tc>
          <w:tcPr>
            <w:tcW w:w="1406" w:type="pct"/>
            <w:vMerge w:val="continue"/>
            <w:noWrap w:val="0"/>
            <w:vAlign w:val="center"/>
          </w:tcPr>
          <w:p w14:paraId="743EE24D">
            <w:pPr>
              <w:rPr>
                <w:rFonts w:hint="eastAsia" w:ascii="宋体" w:hAnsi="宋体" w:eastAsia="宋体" w:cs="宋体"/>
                <w:sz w:val="24"/>
                <w:szCs w:val="24"/>
                <w:highlight w:val="none"/>
              </w:rPr>
            </w:pPr>
          </w:p>
        </w:tc>
        <w:tc>
          <w:tcPr>
            <w:tcW w:w="2187" w:type="pct"/>
            <w:noWrap w:val="0"/>
            <w:vAlign w:val="center"/>
          </w:tcPr>
          <w:p w14:paraId="545B3D52">
            <w:pPr>
              <w:ind w:firstLine="24"/>
              <w:rPr>
                <w:rFonts w:hint="eastAsia"/>
                <w:lang w:val="en-US" w:eastAsia="zh-CN"/>
              </w:rPr>
            </w:pPr>
            <w:r>
              <w:t>工程质量保证措施</w:t>
            </w:r>
            <w:r>
              <w:rPr>
                <w:rFonts w:hint="eastAsia"/>
                <w:lang w:val="en-US" w:eastAsia="zh-CN"/>
              </w:rPr>
              <w:t>:</w:t>
            </w:r>
          </w:p>
          <w:p w14:paraId="0B98169E">
            <w:pPr>
              <w:ind w:firstLine="24"/>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针对本项目制定切实可行的总体质量控制目标，且对质量控制目标进行合理分解、规划，确保本项目质量标准符合相关标准。</w:t>
            </w:r>
          </w:p>
          <w:p w14:paraId="50611935">
            <w:pPr>
              <w:ind w:firstLine="24"/>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内容合理、方案具体可行、完全符合要求得5-</w:t>
            </w:r>
            <w:r>
              <w:rPr>
                <w:rFonts w:hint="eastAsia" w:hAnsi="宋体" w:cs="宋体"/>
                <w:sz w:val="24"/>
                <w:szCs w:val="24"/>
                <w:highlight w:val="none"/>
                <w:lang w:val="en-US" w:eastAsia="zh-CN" w:bidi="ar-SA"/>
              </w:rPr>
              <w:t>7</w:t>
            </w:r>
            <w:r>
              <w:rPr>
                <w:rFonts w:hint="eastAsia" w:ascii="宋体" w:hAnsi="宋体" w:eastAsia="宋体" w:cs="宋体"/>
                <w:sz w:val="24"/>
                <w:szCs w:val="24"/>
                <w:highlight w:val="none"/>
                <w:lang w:val="en-US" w:eastAsia="zh-CN" w:bidi="ar-SA"/>
              </w:rPr>
              <w:t>分；</w:t>
            </w:r>
          </w:p>
          <w:p w14:paraId="5331D5BE">
            <w:pPr>
              <w:ind w:firstLine="24"/>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内容较合理、方案可行性一般，基本符合要求得3-5分；</w:t>
            </w:r>
          </w:p>
          <w:p w14:paraId="1F69349B">
            <w:pPr>
              <w:ind w:firstLine="24"/>
              <w:rPr>
                <w:rFonts w:hint="eastAsia"/>
                <w:b/>
                <w:bCs/>
                <w:lang w:val="en-US" w:eastAsia="zh-CN"/>
              </w:rPr>
            </w:pPr>
            <w:r>
              <w:rPr>
                <w:rFonts w:hint="eastAsia" w:ascii="宋体" w:hAnsi="宋体" w:eastAsia="宋体" w:cs="宋体"/>
                <w:sz w:val="24"/>
                <w:szCs w:val="24"/>
                <w:highlight w:val="none"/>
                <w:lang w:val="en-US" w:eastAsia="zh-CN" w:bidi="ar-SA"/>
              </w:rPr>
              <w:t>内容不完备、方案可行性差、不能全面符合要求得1-3分；</w:t>
            </w:r>
          </w:p>
        </w:tc>
        <w:tc>
          <w:tcPr>
            <w:tcW w:w="985" w:type="pct"/>
            <w:noWrap w:val="0"/>
            <w:vAlign w:val="center"/>
          </w:tcPr>
          <w:p w14:paraId="4C93F1E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hAnsi="宋体" w:cs="宋体"/>
                <w:sz w:val="24"/>
                <w:szCs w:val="24"/>
                <w:highlight w:val="none"/>
                <w:lang w:val="en-US" w:eastAsia="zh-CN"/>
              </w:rPr>
              <w:t>7</w:t>
            </w:r>
            <w:r>
              <w:rPr>
                <w:rFonts w:hint="eastAsia" w:ascii="宋体" w:hAnsi="宋体" w:eastAsia="宋体" w:cs="宋体"/>
                <w:sz w:val="24"/>
                <w:szCs w:val="24"/>
                <w:highlight w:val="none"/>
              </w:rPr>
              <w:t>分）</w:t>
            </w:r>
          </w:p>
        </w:tc>
      </w:tr>
      <w:tr w14:paraId="0D71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0" w:type="pct"/>
            <w:vMerge w:val="continue"/>
            <w:noWrap w:val="0"/>
            <w:vAlign w:val="center"/>
          </w:tcPr>
          <w:p w14:paraId="0C5A1181">
            <w:pPr>
              <w:spacing w:line="360" w:lineRule="auto"/>
              <w:jc w:val="center"/>
              <w:rPr>
                <w:rFonts w:hint="eastAsia" w:ascii="宋体" w:hAnsi="宋体" w:eastAsia="宋体" w:cs="宋体"/>
                <w:sz w:val="24"/>
                <w:szCs w:val="24"/>
                <w:highlight w:val="none"/>
              </w:rPr>
            </w:pPr>
          </w:p>
        </w:tc>
        <w:tc>
          <w:tcPr>
            <w:tcW w:w="1406" w:type="pct"/>
            <w:vMerge w:val="continue"/>
            <w:noWrap w:val="0"/>
            <w:vAlign w:val="center"/>
          </w:tcPr>
          <w:p w14:paraId="65F21444">
            <w:pPr>
              <w:rPr>
                <w:rFonts w:hint="eastAsia" w:ascii="宋体" w:hAnsi="宋体" w:eastAsia="宋体" w:cs="宋体"/>
                <w:sz w:val="24"/>
                <w:szCs w:val="24"/>
                <w:highlight w:val="none"/>
              </w:rPr>
            </w:pPr>
          </w:p>
        </w:tc>
        <w:tc>
          <w:tcPr>
            <w:tcW w:w="2187" w:type="pct"/>
            <w:noWrap w:val="0"/>
            <w:vAlign w:val="center"/>
          </w:tcPr>
          <w:p w14:paraId="40199B46">
            <w:pPr>
              <w:rPr>
                <w:rFonts w:hint="eastAsia" w:hAnsi="宋体" w:cs="宋体"/>
                <w:sz w:val="24"/>
                <w:szCs w:val="24"/>
                <w:highlight w:val="none"/>
                <w:lang w:val="en-US" w:eastAsia="zh-CN"/>
              </w:rPr>
            </w:pPr>
            <w:r>
              <w:rPr>
                <w:rFonts w:hint="eastAsia" w:ascii="宋体" w:hAnsi="宋体" w:eastAsia="宋体" w:cs="宋体"/>
                <w:sz w:val="24"/>
                <w:szCs w:val="24"/>
                <w:highlight w:val="none"/>
              </w:rPr>
              <w:t>施工应急预案</w:t>
            </w:r>
            <w:r>
              <w:rPr>
                <w:rFonts w:hint="eastAsia" w:hAnsi="宋体" w:cs="宋体"/>
                <w:sz w:val="24"/>
                <w:szCs w:val="24"/>
                <w:highlight w:val="none"/>
                <w:lang w:val="en-US" w:eastAsia="zh-CN"/>
              </w:rPr>
              <w:t>:</w:t>
            </w:r>
          </w:p>
          <w:p w14:paraId="2DD98EDD">
            <w:pP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针对本项目制定切实可行的人工、材料、设备的组织方案、给出有针对性的施工应急预案。</w:t>
            </w:r>
          </w:p>
          <w:p w14:paraId="1128E2B9">
            <w:pP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内容合理、方案具体可行、完全符合要求得3-5分；</w:t>
            </w:r>
          </w:p>
          <w:p w14:paraId="0639C68D">
            <w:pP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内容较合理、方案可行性一般，基本符合要求得2-3分；</w:t>
            </w:r>
          </w:p>
          <w:p w14:paraId="187F9CB4">
            <w:pPr>
              <w:rPr>
                <w:rFonts w:hint="eastAsia" w:hAnsi="宋体" w:cs="宋体"/>
                <w:sz w:val="24"/>
                <w:szCs w:val="24"/>
                <w:highlight w:val="none"/>
                <w:lang w:val="en-US" w:eastAsia="zh-CN"/>
              </w:rPr>
            </w:pPr>
            <w:r>
              <w:rPr>
                <w:rFonts w:hint="eastAsia" w:ascii="宋体" w:hAnsi="宋体" w:eastAsia="宋体" w:cs="宋体"/>
                <w:sz w:val="24"/>
                <w:szCs w:val="24"/>
                <w:highlight w:val="none"/>
                <w:lang w:val="en-US" w:eastAsia="zh-CN" w:bidi="ar-SA"/>
              </w:rPr>
              <w:t>内容不完备、方案可行性差、不能全面符合要求得1-2分；</w:t>
            </w:r>
          </w:p>
        </w:tc>
        <w:tc>
          <w:tcPr>
            <w:tcW w:w="985" w:type="pct"/>
            <w:noWrap w:val="0"/>
            <w:vAlign w:val="center"/>
          </w:tcPr>
          <w:p w14:paraId="44B96CC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hAnsi="宋体" w:cs="宋体"/>
                <w:sz w:val="24"/>
                <w:szCs w:val="24"/>
                <w:highlight w:val="none"/>
                <w:lang w:val="en-US" w:eastAsia="zh-CN"/>
              </w:rPr>
              <w:t>1-5</w:t>
            </w:r>
            <w:r>
              <w:rPr>
                <w:rFonts w:hint="eastAsia" w:ascii="宋体" w:hAnsi="宋体" w:eastAsia="宋体" w:cs="宋体"/>
                <w:sz w:val="24"/>
                <w:szCs w:val="24"/>
                <w:highlight w:val="none"/>
              </w:rPr>
              <w:t>分）</w:t>
            </w:r>
          </w:p>
        </w:tc>
      </w:tr>
      <w:tr w14:paraId="548B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0" w:type="pct"/>
            <w:vMerge w:val="continue"/>
            <w:noWrap w:val="0"/>
            <w:vAlign w:val="center"/>
          </w:tcPr>
          <w:p w14:paraId="674C4041">
            <w:pPr>
              <w:spacing w:line="360" w:lineRule="auto"/>
              <w:jc w:val="center"/>
              <w:rPr>
                <w:rFonts w:hint="eastAsia" w:ascii="宋体" w:hAnsi="宋体" w:eastAsia="宋体" w:cs="宋体"/>
                <w:sz w:val="24"/>
                <w:szCs w:val="24"/>
                <w:highlight w:val="none"/>
              </w:rPr>
            </w:pPr>
          </w:p>
        </w:tc>
        <w:tc>
          <w:tcPr>
            <w:tcW w:w="1406" w:type="pct"/>
            <w:vMerge w:val="continue"/>
            <w:noWrap w:val="0"/>
            <w:vAlign w:val="center"/>
          </w:tcPr>
          <w:p w14:paraId="31A266B5">
            <w:pPr>
              <w:rPr>
                <w:rFonts w:hint="eastAsia" w:ascii="宋体" w:hAnsi="宋体" w:eastAsia="宋体" w:cs="宋体"/>
                <w:sz w:val="24"/>
                <w:szCs w:val="24"/>
                <w:highlight w:val="none"/>
              </w:rPr>
            </w:pPr>
          </w:p>
        </w:tc>
        <w:tc>
          <w:tcPr>
            <w:tcW w:w="2187" w:type="pct"/>
            <w:noWrap w:val="0"/>
            <w:vAlign w:val="center"/>
          </w:tcPr>
          <w:p w14:paraId="1DF804D7">
            <w:pPr>
              <w:rPr>
                <w:rFonts w:hint="eastAsia" w:hAnsi="宋体" w:cs="宋体"/>
                <w:sz w:val="24"/>
                <w:szCs w:val="24"/>
                <w:highlight w:val="none"/>
                <w:lang w:val="en-US" w:eastAsia="zh-CN"/>
              </w:rPr>
            </w:pPr>
            <w:r>
              <w:rPr>
                <w:rFonts w:hint="eastAsia" w:ascii="宋体" w:hAnsi="宋体" w:eastAsia="宋体" w:cs="宋体"/>
                <w:sz w:val="24"/>
                <w:szCs w:val="24"/>
                <w:highlight w:val="none"/>
              </w:rPr>
              <w:t>安全文明施工措施</w:t>
            </w:r>
            <w:r>
              <w:rPr>
                <w:rFonts w:hint="eastAsia" w:hAnsi="宋体" w:cs="宋体"/>
                <w:sz w:val="24"/>
                <w:szCs w:val="24"/>
                <w:highlight w:val="none"/>
                <w:lang w:val="en-US" w:eastAsia="zh-CN"/>
              </w:rPr>
              <w:t>:</w:t>
            </w:r>
          </w:p>
          <w:p w14:paraId="4817C5E3">
            <w:pPr>
              <w:rPr>
                <w:rFonts w:hint="eastAsia" w:hAnsi="宋体" w:cs="宋体"/>
                <w:sz w:val="24"/>
                <w:szCs w:val="24"/>
                <w:highlight w:val="none"/>
                <w:lang w:val="en-US" w:eastAsia="zh-CN"/>
              </w:rPr>
            </w:pPr>
            <w:r>
              <w:rPr>
                <w:rFonts w:hint="eastAsia" w:hAnsi="宋体" w:cs="宋体"/>
                <w:sz w:val="24"/>
                <w:szCs w:val="24"/>
                <w:highlight w:val="none"/>
                <w:lang w:val="en-US" w:eastAsia="zh-CN"/>
              </w:rPr>
              <w:t>结合工程环境、特点分析安全隐患,给出有针对性的安全生产、文明施工、环保施工、防尘降噪等保证措施。安全文明、环保保证体系组织措施和控制点设置合理。</w:t>
            </w:r>
          </w:p>
          <w:p w14:paraId="5C0ABA3C">
            <w:pPr>
              <w:rPr>
                <w:rFonts w:hint="eastAsia" w:hAnsi="宋体" w:cs="宋体"/>
                <w:sz w:val="24"/>
                <w:szCs w:val="24"/>
                <w:highlight w:val="none"/>
                <w:lang w:val="en-US" w:eastAsia="zh-CN"/>
              </w:rPr>
            </w:pPr>
            <w:r>
              <w:rPr>
                <w:rFonts w:hint="eastAsia" w:hAnsi="宋体" w:cs="宋体"/>
                <w:sz w:val="24"/>
                <w:szCs w:val="24"/>
                <w:highlight w:val="none"/>
                <w:lang w:val="en-US" w:eastAsia="zh-CN"/>
              </w:rPr>
              <w:t>内容合理、方案具体可行、完全符合要求得3-5分；</w:t>
            </w:r>
          </w:p>
          <w:p w14:paraId="77D46D62">
            <w:pPr>
              <w:rPr>
                <w:rFonts w:hint="eastAsia" w:hAnsi="宋体" w:cs="宋体"/>
                <w:sz w:val="24"/>
                <w:szCs w:val="24"/>
                <w:highlight w:val="none"/>
                <w:lang w:val="en-US" w:eastAsia="zh-CN"/>
              </w:rPr>
            </w:pPr>
            <w:r>
              <w:rPr>
                <w:rFonts w:hint="eastAsia" w:hAnsi="宋体" w:cs="宋体"/>
                <w:sz w:val="24"/>
                <w:szCs w:val="24"/>
                <w:highlight w:val="none"/>
                <w:lang w:val="en-US" w:eastAsia="zh-CN"/>
              </w:rPr>
              <w:t>内容较合理、方案可行性一般，基本符合要求得2-3分；</w:t>
            </w:r>
          </w:p>
          <w:p w14:paraId="0EA5709D">
            <w:pPr>
              <w:rPr>
                <w:rFonts w:hint="default" w:hAnsi="宋体" w:cs="宋体"/>
                <w:sz w:val="24"/>
                <w:szCs w:val="24"/>
                <w:highlight w:val="none"/>
                <w:lang w:val="en-US" w:eastAsia="zh-CN"/>
              </w:rPr>
            </w:pPr>
            <w:r>
              <w:rPr>
                <w:rFonts w:hint="eastAsia" w:hAnsi="宋体" w:cs="宋体"/>
                <w:sz w:val="24"/>
                <w:szCs w:val="24"/>
                <w:highlight w:val="none"/>
                <w:lang w:val="en-US" w:eastAsia="zh-CN"/>
              </w:rPr>
              <w:t>内容不完备、方案可行性差、不能全面符合要求得1-2分；</w:t>
            </w:r>
          </w:p>
        </w:tc>
        <w:tc>
          <w:tcPr>
            <w:tcW w:w="985" w:type="pct"/>
            <w:noWrap w:val="0"/>
            <w:vAlign w:val="center"/>
          </w:tcPr>
          <w:p w14:paraId="4A18B4A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分）</w:t>
            </w:r>
          </w:p>
        </w:tc>
      </w:tr>
      <w:tr w14:paraId="7B7D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0" w:type="pct"/>
            <w:vMerge w:val="continue"/>
            <w:noWrap w:val="0"/>
            <w:vAlign w:val="center"/>
          </w:tcPr>
          <w:p w14:paraId="3A7896C2">
            <w:pPr>
              <w:spacing w:line="360" w:lineRule="auto"/>
              <w:jc w:val="center"/>
              <w:rPr>
                <w:rFonts w:hint="eastAsia" w:ascii="宋体" w:hAnsi="宋体" w:eastAsia="宋体" w:cs="宋体"/>
                <w:sz w:val="24"/>
                <w:szCs w:val="24"/>
                <w:highlight w:val="none"/>
              </w:rPr>
            </w:pPr>
          </w:p>
        </w:tc>
        <w:tc>
          <w:tcPr>
            <w:tcW w:w="1406" w:type="pct"/>
            <w:vMerge w:val="continue"/>
            <w:noWrap w:val="0"/>
            <w:vAlign w:val="center"/>
          </w:tcPr>
          <w:p w14:paraId="65A5FB5B">
            <w:pPr>
              <w:rPr>
                <w:rFonts w:hint="eastAsia" w:ascii="宋体" w:hAnsi="宋体" w:eastAsia="宋体" w:cs="宋体"/>
                <w:sz w:val="24"/>
                <w:szCs w:val="24"/>
                <w:highlight w:val="none"/>
              </w:rPr>
            </w:pPr>
          </w:p>
        </w:tc>
        <w:tc>
          <w:tcPr>
            <w:tcW w:w="2187" w:type="pct"/>
            <w:noWrap w:val="0"/>
            <w:vAlign w:val="center"/>
          </w:tcPr>
          <w:p w14:paraId="00B255C9">
            <w:pPr>
              <w:rPr>
                <w:rFonts w:hint="eastAsia" w:hAnsi="宋体" w:cs="宋体"/>
                <w:sz w:val="24"/>
                <w:szCs w:val="24"/>
                <w:highlight w:val="none"/>
                <w:lang w:eastAsia="zh-CN"/>
              </w:rPr>
            </w:pPr>
            <w:r>
              <w:rPr>
                <w:rFonts w:hint="eastAsia" w:ascii="宋体" w:hAnsi="宋体" w:eastAsia="宋体" w:cs="宋体"/>
                <w:sz w:val="24"/>
                <w:szCs w:val="24"/>
                <w:highlight w:val="none"/>
              </w:rPr>
              <w:t>项目管理机构</w:t>
            </w:r>
            <w:r>
              <w:rPr>
                <w:rFonts w:hint="eastAsia" w:hAnsi="宋体" w:cs="宋体"/>
                <w:sz w:val="24"/>
                <w:szCs w:val="24"/>
                <w:highlight w:val="none"/>
                <w:lang w:eastAsia="zh-CN"/>
              </w:rPr>
              <w:t>：</w:t>
            </w:r>
          </w:p>
          <w:p w14:paraId="55A75666">
            <w:pP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项目管理机构人员岗位完整，专业种类齐全，搭配合理，职位分明、有相应的技术能力。</w:t>
            </w:r>
          </w:p>
          <w:p w14:paraId="32D0F4F0">
            <w:pPr>
              <w:pStyle w:val="20"/>
              <w:spacing w:before="155" w:line="333" w:lineRule="auto"/>
              <w:ind w:right="122"/>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人员配备合理、科学可行、完全符合要求得3-5分；</w:t>
            </w:r>
          </w:p>
          <w:p w14:paraId="7601CAD5">
            <w:pPr>
              <w:pStyle w:val="20"/>
              <w:spacing w:before="155" w:line="333" w:lineRule="auto"/>
              <w:ind w:right="122"/>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人员配备较合理、可行性一般，基本符合要求得2-3分;</w:t>
            </w:r>
          </w:p>
          <w:p w14:paraId="2AD88250">
            <w:pPr>
              <w:pStyle w:val="20"/>
              <w:spacing w:before="155" w:line="333" w:lineRule="auto"/>
              <w:ind w:right="122"/>
              <w:rPr>
                <w:rFonts w:hint="eastAsia" w:hAnsi="宋体" w:cs="宋体"/>
                <w:sz w:val="24"/>
                <w:szCs w:val="24"/>
                <w:highlight w:val="none"/>
                <w:lang w:eastAsia="zh-CN"/>
              </w:rPr>
            </w:pPr>
            <w:r>
              <w:rPr>
                <w:rFonts w:hint="eastAsia" w:ascii="宋体" w:hAnsi="宋体" w:eastAsia="宋体" w:cs="宋体"/>
                <w:sz w:val="24"/>
                <w:szCs w:val="24"/>
                <w:highlight w:val="none"/>
                <w:lang w:val="en-US" w:eastAsia="zh-CN" w:bidi="ar-SA"/>
              </w:rPr>
              <w:t>人员配备不完备、可行性差、不 能全面符合要求得1-2分；</w:t>
            </w:r>
          </w:p>
        </w:tc>
        <w:tc>
          <w:tcPr>
            <w:tcW w:w="985" w:type="pct"/>
            <w:noWrap w:val="0"/>
            <w:vAlign w:val="center"/>
          </w:tcPr>
          <w:p w14:paraId="29E0FCF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分）</w:t>
            </w:r>
          </w:p>
        </w:tc>
      </w:tr>
      <w:tr w14:paraId="25C4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0" w:type="pct"/>
            <w:vMerge w:val="continue"/>
            <w:noWrap w:val="0"/>
            <w:vAlign w:val="center"/>
          </w:tcPr>
          <w:p w14:paraId="7F040EE0">
            <w:pPr>
              <w:spacing w:line="360" w:lineRule="auto"/>
              <w:jc w:val="center"/>
              <w:rPr>
                <w:rFonts w:hint="eastAsia" w:ascii="宋体" w:hAnsi="宋体" w:eastAsia="宋体" w:cs="宋体"/>
                <w:sz w:val="24"/>
                <w:szCs w:val="24"/>
                <w:highlight w:val="none"/>
              </w:rPr>
            </w:pPr>
          </w:p>
        </w:tc>
        <w:tc>
          <w:tcPr>
            <w:tcW w:w="1406" w:type="pct"/>
            <w:vMerge w:val="continue"/>
            <w:noWrap w:val="0"/>
            <w:vAlign w:val="center"/>
          </w:tcPr>
          <w:p w14:paraId="156F534E">
            <w:pPr>
              <w:rPr>
                <w:rFonts w:hint="eastAsia" w:ascii="宋体" w:hAnsi="宋体" w:eastAsia="宋体" w:cs="宋体"/>
                <w:sz w:val="24"/>
                <w:szCs w:val="24"/>
                <w:highlight w:val="none"/>
              </w:rPr>
            </w:pPr>
          </w:p>
        </w:tc>
        <w:tc>
          <w:tcPr>
            <w:tcW w:w="2187" w:type="pct"/>
            <w:noWrap w:val="0"/>
            <w:vAlign w:val="center"/>
          </w:tcPr>
          <w:p w14:paraId="6915DEB3">
            <w:pPr>
              <w:rPr>
                <w:rFonts w:hint="eastAsia" w:hAnsi="宋体" w:cs="宋体"/>
                <w:sz w:val="24"/>
                <w:szCs w:val="24"/>
                <w:highlight w:val="none"/>
                <w:lang w:eastAsia="zh-CN"/>
              </w:rPr>
            </w:pPr>
            <w:r>
              <w:rPr>
                <w:rFonts w:hint="eastAsia" w:ascii="宋体" w:hAnsi="宋体" w:eastAsia="宋体" w:cs="宋体"/>
                <w:sz w:val="24"/>
                <w:szCs w:val="24"/>
                <w:highlight w:val="none"/>
              </w:rPr>
              <w:t>劳动力和材料投入计划</w:t>
            </w:r>
            <w:r>
              <w:rPr>
                <w:rFonts w:hint="eastAsia" w:hAnsi="宋体" w:cs="宋体"/>
                <w:sz w:val="24"/>
                <w:szCs w:val="24"/>
                <w:highlight w:val="none"/>
                <w:lang w:eastAsia="zh-CN"/>
              </w:rPr>
              <w:t>：</w:t>
            </w:r>
          </w:p>
          <w:p w14:paraId="7C37E38B">
            <w:pPr>
              <w:rPr>
                <w:spacing w:val="1"/>
              </w:rPr>
            </w:pPr>
            <w:r>
              <w:rPr>
                <w:spacing w:val="1"/>
              </w:rPr>
              <w:t>供应商针对本项目提供详细的劳动力和材料投入计划及其保证措施。</w:t>
            </w:r>
          </w:p>
          <w:p w14:paraId="5012CC5C">
            <w:pPr>
              <w:rPr>
                <w:spacing w:val="-2"/>
              </w:rPr>
            </w:pPr>
            <w:r>
              <w:rPr>
                <w:spacing w:val="1"/>
              </w:rPr>
              <w:t>措施完备，详细、可操作性强计</w:t>
            </w:r>
            <w:r>
              <w:rPr>
                <w:rFonts w:ascii="Lucida Sans Unicode" w:hAnsi="Lucida Sans Unicode" w:eastAsia="Lucida Sans Unicode" w:cs="Lucida Sans Unicode"/>
                <w:spacing w:val="1"/>
              </w:rPr>
              <w:t>3</w:t>
            </w:r>
            <w:r>
              <w:rPr>
                <w:rFonts w:ascii="Lucida Sans Unicode" w:hAnsi="Lucida Sans Unicode" w:eastAsia="Lucida Sans Unicode" w:cs="Lucida Sans Unicode"/>
                <w:spacing w:val="-2"/>
              </w:rPr>
              <w:t>-5</w:t>
            </w:r>
            <w:r>
              <w:rPr>
                <w:spacing w:val="-2"/>
              </w:rPr>
              <w:t>分；</w:t>
            </w:r>
          </w:p>
          <w:p w14:paraId="49BFEF9D">
            <w:pPr>
              <w:rPr>
                <w:spacing w:val="-2"/>
              </w:rPr>
            </w:pPr>
            <w:r>
              <w:rPr>
                <w:spacing w:val="-2"/>
              </w:rPr>
              <w:t>措施基本合理、较详细、可操作性一般得</w:t>
            </w:r>
            <w:r>
              <w:rPr>
                <w:rFonts w:ascii="Lucida Sans Unicode" w:hAnsi="Lucida Sans Unicode" w:eastAsia="Lucida Sans Unicode" w:cs="Lucida Sans Unicode"/>
                <w:spacing w:val="-2"/>
              </w:rPr>
              <w:t>2-3</w:t>
            </w:r>
            <w:r>
              <w:rPr>
                <w:spacing w:val="-2"/>
              </w:rPr>
              <w:t>分；</w:t>
            </w:r>
          </w:p>
          <w:p w14:paraId="44584277">
            <w:pPr>
              <w:rPr>
                <w:rFonts w:hint="eastAsia" w:hAnsi="宋体" w:cs="宋体"/>
                <w:sz w:val="24"/>
                <w:szCs w:val="24"/>
                <w:highlight w:val="none"/>
                <w:lang w:val="en-US" w:eastAsia="zh-CN"/>
              </w:rPr>
            </w:pPr>
            <w:r>
              <w:rPr>
                <w:spacing w:val="-2"/>
              </w:rPr>
              <w:t>措施欠缺或内容不完备得</w:t>
            </w:r>
            <w:r>
              <w:rPr>
                <w:rFonts w:ascii="Lucida Sans Unicode" w:hAnsi="Lucida Sans Unicode" w:eastAsia="Lucida Sans Unicode" w:cs="Lucida Sans Unicode"/>
                <w:spacing w:val="-2"/>
              </w:rPr>
              <w:t>1-2</w:t>
            </w:r>
            <w:r>
              <w:rPr>
                <w:spacing w:val="-2"/>
              </w:rPr>
              <w:t>分</w:t>
            </w:r>
          </w:p>
        </w:tc>
        <w:tc>
          <w:tcPr>
            <w:tcW w:w="985" w:type="pct"/>
            <w:noWrap w:val="0"/>
            <w:vAlign w:val="center"/>
          </w:tcPr>
          <w:p w14:paraId="21B9081C">
            <w:pPr>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5C97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0" w:type="pct"/>
            <w:vMerge w:val="continue"/>
            <w:noWrap w:val="0"/>
            <w:vAlign w:val="center"/>
          </w:tcPr>
          <w:p w14:paraId="02B8318E">
            <w:pPr>
              <w:spacing w:line="360" w:lineRule="auto"/>
              <w:jc w:val="center"/>
              <w:rPr>
                <w:rFonts w:hint="eastAsia" w:ascii="宋体" w:hAnsi="宋体" w:eastAsia="宋体" w:cs="宋体"/>
                <w:sz w:val="24"/>
                <w:szCs w:val="24"/>
                <w:highlight w:val="none"/>
              </w:rPr>
            </w:pPr>
          </w:p>
        </w:tc>
        <w:tc>
          <w:tcPr>
            <w:tcW w:w="1406" w:type="pct"/>
            <w:vMerge w:val="continue"/>
            <w:noWrap w:val="0"/>
            <w:vAlign w:val="center"/>
          </w:tcPr>
          <w:p w14:paraId="332922D7">
            <w:pPr>
              <w:rPr>
                <w:rFonts w:hint="eastAsia" w:ascii="宋体" w:hAnsi="宋体" w:eastAsia="宋体" w:cs="宋体"/>
                <w:sz w:val="24"/>
                <w:szCs w:val="24"/>
                <w:highlight w:val="none"/>
              </w:rPr>
            </w:pPr>
          </w:p>
        </w:tc>
        <w:tc>
          <w:tcPr>
            <w:tcW w:w="2187" w:type="pct"/>
            <w:noWrap w:val="0"/>
            <w:vAlign w:val="center"/>
          </w:tcPr>
          <w:p w14:paraId="1BC5B323">
            <w:pPr>
              <w:rPr>
                <w:rFonts w:hint="eastAsia" w:hAnsi="宋体" w:cs="宋体"/>
                <w:sz w:val="24"/>
                <w:szCs w:val="24"/>
                <w:highlight w:val="none"/>
                <w:lang w:eastAsia="zh-CN"/>
              </w:rPr>
            </w:pPr>
            <w:r>
              <w:rPr>
                <w:rFonts w:hint="eastAsia" w:ascii="宋体" w:hAnsi="宋体" w:eastAsia="宋体" w:cs="宋体"/>
                <w:sz w:val="24"/>
                <w:szCs w:val="24"/>
                <w:highlight w:val="none"/>
              </w:rPr>
              <w:t>机械设备投入计划</w:t>
            </w:r>
            <w:r>
              <w:rPr>
                <w:rFonts w:hint="eastAsia" w:hAnsi="宋体" w:cs="宋体"/>
                <w:sz w:val="24"/>
                <w:szCs w:val="24"/>
                <w:highlight w:val="none"/>
                <w:lang w:eastAsia="zh-CN"/>
              </w:rPr>
              <w:t>：</w:t>
            </w:r>
          </w:p>
          <w:p w14:paraId="3BC6C2CE">
            <w:pPr>
              <w:rPr>
                <w:rFonts w:ascii="宋体" w:hAnsi="Times New Roman" w:eastAsia="宋体" w:cs="Times New Roman"/>
                <w:spacing w:val="1"/>
                <w:sz w:val="24"/>
                <w:szCs w:val="20"/>
                <w:lang w:val="en-US" w:eastAsia="zh-CN" w:bidi="ar-SA"/>
              </w:rPr>
            </w:pPr>
            <w:r>
              <w:rPr>
                <w:rFonts w:ascii="宋体" w:hAnsi="Times New Roman" w:eastAsia="宋体" w:cs="Times New Roman"/>
                <w:spacing w:val="1"/>
                <w:sz w:val="24"/>
                <w:szCs w:val="20"/>
                <w:lang w:val="en-US" w:eastAsia="zh-CN" w:bidi="ar-SA"/>
              </w:rPr>
              <w:t>供应商针对本项目提供满足项目施工需要，与项目施工进度相适应的机械设备投入计划。</w:t>
            </w:r>
          </w:p>
          <w:p w14:paraId="6B4657B8">
            <w:pPr>
              <w:rPr>
                <w:rFonts w:ascii="宋体" w:hAnsi="Times New Roman" w:eastAsia="宋体" w:cs="Times New Roman"/>
                <w:spacing w:val="1"/>
                <w:sz w:val="24"/>
                <w:szCs w:val="20"/>
                <w:lang w:val="en-US" w:eastAsia="zh-CN" w:bidi="ar-SA"/>
              </w:rPr>
            </w:pPr>
            <w:r>
              <w:rPr>
                <w:rFonts w:ascii="宋体" w:hAnsi="Times New Roman" w:eastAsia="宋体" w:cs="Times New Roman"/>
                <w:spacing w:val="1"/>
                <w:sz w:val="24"/>
                <w:szCs w:val="20"/>
                <w:lang w:val="en-US" w:eastAsia="zh-CN" w:bidi="ar-SA"/>
              </w:rPr>
              <w:t>计划完备，详细、可行性强计3-5分；</w:t>
            </w:r>
          </w:p>
          <w:p w14:paraId="2F3DF320">
            <w:pPr>
              <w:rPr>
                <w:rFonts w:ascii="宋体" w:hAnsi="Times New Roman" w:eastAsia="宋体" w:cs="Times New Roman"/>
                <w:spacing w:val="1"/>
                <w:sz w:val="24"/>
                <w:szCs w:val="20"/>
                <w:lang w:val="en-US" w:eastAsia="zh-CN" w:bidi="ar-SA"/>
              </w:rPr>
            </w:pPr>
            <w:r>
              <w:rPr>
                <w:rFonts w:ascii="宋体" w:hAnsi="Times New Roman" w:eastAsia="宋体" w:cs="Times New Roman"/>
                <w:spacing w:val="1"/>
                <w:sz w:val="24"/>
                <w:szCs w:val="20"/>
                <w:lang w:val="en-US" w:eastAsia="zh-CN" w:bidi="ar-SA"/>
              </w:rPr>
              <w:t>计划较合理、较详细、基本可行得2-3分；</w:t>
            </w:r>
          </w:p>
          <w:p w14:paraId="2099769C">
            <w:pPr>
              <w:rPr>
                <w:rFonts w:hint="eastAsia" w:hAnsi="宋体" w:cs="宋体"/>
                <w:sz w:val="24"/>
                <w:szCs w:val="24"/>
                <w:highlight w:val="none"/>
                <w:lang w:val="en-US" w:eastAsia="zh-CN"/>
              </w:rPr>
            </w:pPr>
            <w:r>
              <w:rPr>
                <w:rFonts w:ascii="宋体" w:hAnsi="Times New Roman" w:eastAsia="宋体" w:cs="Times New Roman"/>
                <w:spacing w:val="1"/>
                <w:sz w:val="24"/>
                <w:szCs w:val="20"/>
                <w:lang w:val="en-US" w:eastAsia="zh-CN" w:bidi="ar-SA"/>
              </w:rPr>
              <w:t>计划欠缺或内容不完备得1-2分；</w:t>
            </w:r>
          </w:p>
        </w:tc>
        <w:tc>
          <w:tcPr>
            <w:tcW w:w="985" w:type="pct"/>
            <w:noWrap w:val="0"/>
            <w:vAlign w:val="center"/>
          </w:tcPr>
          <w:p w14:paraId="6632DB46">
            <w:pPr>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分）</w:t>
            </w:r>
          </w:p>
        </w:tc>
      </w:tr>
      <w:tr w14:paraId="197E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0" w:type="pct"/>
            <w:vMerge w:val="continue"/>
            <w:noWrap w:val="0"/>
            <w:vAlign w:val="center"/>
          </w:tcPr>
          <w:p w14:paraId="2F53545E">
            <w:pPr>
              <w:spacing w:line="360" w:lineRule="auto"/>
              <w:jc w:val="center"/>
              <w:rPr>
                <w:rFonts w:hint="eastAsia" w:ascii="宋体" w:hAnsi="宋体" w:eastAsia="宋体" w:cs="宋体"/>
                <w:sz w:val="24"/>
                <w:szCs w:val="24"/>
                <w:highlight w:val="none"/>
              </w:rPr>
            </w:pPr>
          </w:p>
        </w:tc>
        <w:tc>
          <w:tcPr>
            <w:tcW w:w="1406" w:type="pct"/>
            <w:vMerge w:val="continue"/>
            <w:noWrap w:val="0"/>
            <w:vAlign w:val="center"/>
          </w:tcPr>
          <w:p w14:paraId="5B2C9DBE">
            <w:pPr>
              <w:rPr>
                <w:rFonts w:hint="eastAsia" w:ascii="宋体" w:hAnsi="宋体" w:eastAsia="宋体" w:cs="宋体"/>
                <w:sz w:val="24"/>
                <w:szCs w:val="24"/>
                <w:highlight w:val="none"/>
              </w:rPr>
            </w:pPr>
          </w:p>
        </w:tc>
        <w:tc>
          <w:tcPr>
            <w:tcW w:w="2187" w:type="pct"/>
            <w:noWrap w:val="0"/>
            <w:vAlign w:val="center"/>
          </w:tcPr>
          <w:p w14:paraId="42F2B722">
            <w:pPr>
              <w:rPr>
                <w:rFonts w:hint="eastAsia" w:hAnsi="宋体" w:cs="宋体"/>
                <w:sz w:val="24"/>
                <w:szCs w:val="24"/>
                <w:highlight w:val="none"/>
                <w:lang w:eastAsia="zh-CN"/>
              </w:rPr>
            </w:pPr>
            <w:r>
              <w:rPr>
                <w:rFonts w:hint="eastAsia" w:ascii="宋体" w:hAnsi="宋体" w:eastAsia="宋体" w:cs="宋体"/>
                <w:sz w:val="24"/>
                <w:szCs w:val="24"/>
                <w:highlight w:val="none"/>
              </w:rPr>
              <w:t>现场施工扬尘环境治理管理措施</w:t>
            </w:r>
            <w:r>
              <w:rPr>
                <w:rFonts w:hint="eastAsia" w:hAnsi="宋体" w:cs="宋体"/>
                <w:sz w:val="24"/>
                <w:szCs w:val="24"/>
                <w:highlight w:val="none"/>
                <w:lang w:eastAsia="zh-CN"/>
              </w:rPr>
              <w:t>：</w:t>
            </w:r>
          </w:p>
          <w:p w14:paraId="0534BEA4">
            <w:pPr>
              <w:pStyle w:val="20"/>
              <w:spacing w:before="90" w:line="346" w:lineRule="auto"/>
              <w:ind w:right="12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供应商针对本项目提供符合本项目实际要求的现场施工扬尘环境治理管理措施。</w:t>
            </w:r>
          </w:p>
          <w:p w14:paraId="7A688347">
            <w:pPr>
              <w:pStyle w:val="20"/>
              <w:spacing w:before="90" w:line="346" w:lineRule="auto"/>
              <w:ind w:right="12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现场扬尘管理措施合理、有详尽的扬尘控制措施并可达到国家控制的标准得3-5分；</w:t>
            </w:r>
          </w:p>
          <w:p w14:paraId="40BB4489">
            <w:pPr>
              <w:pStyle w:val="20"/>
              <w:spacing w:before="90" w:line="346" w:lineRule="auto"/>
              <w:ind w:right="120"/>
              <w:rPr>
                <w:rFonts w:hint="eastAsia" w:hAnsi="宋体" w:cs="宋体"/>
                <w:sz w:val="24"/>
                <w:szCs w:val="24"/>
                <w:highlight w:val="none"/>
                <w:lang w:eastAsia="zh-CN"/>
              </w:rPr>
            </w:pPr>
            <w:r>
              <w:rPr>
                <w:rFonts w:hint="eastAsia" w:ascii="宋体" w:hAnsi="宋体" w:eastAsia="宋体" w:cs="宋体"/>
                <w:sz w:val="24"/>
                <w:szCs w:val="24"/>
                <w:highlight w:val="none"/>
                <w:lang w:val="en-US" w:eastAsia="zh-CN" w:bidi="ar-SA"/>
              </w:rPr>
              <w:t>现场扬尘管理措施较为合理得2-3分；现场扬尘管理措施一般得1-2分；</w:t>
            </w:r>
          </w:p>
        </w:tc>
        <w:tc>
          <w:tcPr>
            <w:tcW w:w="985" w:type="pct"/>
            <w:noWrap w:val="0"/>
            <w:vAlign w:val="center"/>
          </w:tcPr>
          <w:p w14:paraId="3CF2814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分）</w:t>
            </w:r>
          </w:p>
        </w:tc>
      </w:tr>
      <w:tr w14:paraId="3619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0" w:type="pct"/>
            <w:vMerge w:val="continue"/>
            <w:noWrap w:val="0"/>
            <w:vAlign w:val="center"/>
          </w:tcPr>
          <w:p w14:paraId="31F0FE3D">
            <w:pPr>
              <w:spacing w:line="360" w:lineRule="auto"/>
              <w:jc w:val="center"/>
              <w:rPr>
                <w:rFonts w:hint="eastAsia" w:ascii="宋体" w:hAnsi="宋体" w:eastAsia="宋体" w:cs="宋体"/>
                <w:sz w:val="24"/>
                <w:szCs w:val="24"/>
                <w:highlight w:val="none"/>
              </w:rPr>
            </w:pPr>
          </w:p>
        </w:tc>
        <w:tc>
          <w:tcPr>
            <w:tcW w:w="1406" w:type="pct"/>
            <w:vMerge w:val="continue"/>
            <w:noWrap w:val="0"/>
            <w:vAlign w:val="center"/>
          </w:tcPr>
          <w:p w14:paraId="2401F974">
            <w:pPr>
              <w:rPr>
                <w:rFonts w:hint="eastAsia" w:ascii="宋体" w:hAnsi="宋体" w:eastAsia="宋体" w:cs="宋体"/>
                <w:sz w:val="24"/>
                <w:szCs w:val="24"/>
                <w:highlight w:val="none"/>
              </w:rPr>
            </w:pPr>
          </w:p>
        </w:tc>
        <w:tc>
          <w:tcPr>
            <w:tcW w:w="2187" w:type="pct"/>
            <w:noWrap w:val="0"/>
            <w:vAlign w:val="center"/>
          </w:tcPr>
          <w:p w14:paraId="5C868416">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新技术、新产品、新工艺、新材料应用</w:t>
            </w:r>
            <w:r>
              <w:rPr>
                <w:rFonts w:hint="eastAsia" w:ascii="宋体" w:hAnsi="宋体" w:eastAsia="宋体" w:cs="宋体"/>
                <w:sz w:val="24"/>
                <w:szCs w:val="24"/>
                <w:highlight w:val="none"/>
                <w:lang w:eastAsia="zh-CN"/>
              </w:rPr>
              <w:t>；</w:t>
            </w:r>
          </w:p>
        </w:tc>
        <w:tc>
          <w:tcPr>
            <w:tcW w:w="985" w:type="pct"/>
            <w:noWrap w:val="0"/>
            <w:vAlign w:val="center"/>
          </w:tcPr>
          <w:p w14:paraId="4447845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分）</w:t>
            </w:r>
          </w:p>
        </w:tc>
      </w:tr>
      <w:tr w14:paraId="7F4E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noWrap w:val="0"/>
            <w:vAlign w:val="center"/>
          </w:tcPr>
          <w:p w14:paraId="11AB94E1">
            <w:pPr>
              <w:rPr>
                <w:rFonts w:hint="eastAsia" w:ascii="宋体" w:hAnsi="宋体" w:eastAsia="宋体" w:cs="宋体"/>
                <w:sz w:val="24"/>
                <w:szCs w:val="24"/>
                <w:highlight w:val="none"/>
              </w:rPr>
            </w:pPr>
            <w:r>
              <w:rPr>
                <w:rFonts w:hint="eastAsia" w:ascii="宋体" w:hAnsi="宋体" w:eastAsia="宋体" w:cs="宋体"/>
                <w:sz w:val="24"/>
                <w:szCs w:val="24"/>
                <w:highlight w:val="none"/>
              </w:rPr>
              <w:t>注：以上评审项目有任何一项严重错误或漏项的相应项目得0分。</w:t>
            </w:r>
          </w:p>
        </w:tc>
      </w:tr>
      <w:tr w14:paraId="2E9C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6" w:type="pct"/>
            <w:gridSpan w:val="2"/>
            <w:noWrap w:val="0"/>
            <w:vAlign w:val="center"/>
          </w:tcPr>
          <w:p w14:paraId="7F0716F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其他因素评分标准</w:t>
            </w:r>
          </w:p>
        </w:tc>
        <w:tc>
          <w:tcPr>
            <w:tcW w:w="3173" w:type="pct"/>
            <w:gridSpan w:val="2"/>
            <w:noWrap w:val="0"/>
            <w:vAlign w:val="center"/>
          </w:tcPr>
          <w:p w14:paraId="72B44C12">
            <w:pPr>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r w14:paraId="634E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0" w:type="pct"/>
            <w:noWrap w:val="0"/>
            <w:vAlign w:val="center"/>
          </w:tcPr>
          <w:p w14:paraId="58BE68E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备注</w:t>
            </w:r>
          </w:p>
        </w:tc>
        <w:tc>
          <w:tcPr>
            <w:tcW w:w="4579" w:type="pct"/>
            <w:gridSpan w:val="3"/>
            <w:noWrap w:val="0"/>
            <w:vAlign w:val="center"/>
          </w:tcPr>
          <w:p w14:paraId="1C0EDAD5">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1）各评</w:t>
            </w:r>
            <w:r>
              <w:rPr>
                <w:rFonts w:hint="eastAsia" w:ascii="宋体" w:hAnsi="宋体" w:eastAsia="宋体" w:cs="宋体"/>
                <w:sz w:val="24"/>
                <w:szCs w:val="24"/>
                <w:highlight w:val="none"/>
                <w:lang w:eastAsia="zh-CN"/>
              </w:rPr>
              <w:t>磋商小组成员</w:t>
            </w:r>
            <w:r>
              <w:rPr>
                <w:rFonts w:hint="eastAsia" w:ascii="宋体" w:hAnsi="宋体" w:eastAsia="宋体" w:cs="宋体"/>
                <w:sz w:val="24"/>
                <w:szCs w:val="24"/>
                <w:highlight w:val="none"/>
              </w:rPr>
              <w:t>独立打分。</w:t>
            </w:r>
          </w:p>
          <w:p w14:paraId="13EC4434">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成员打分超过得分界限或未按本表规定赋分时，该成员的打分作废，不计入汇总分。</w:t>
            </w:r>
          </w:p>
          <w:p w14:paraId="396570FE">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3）若出现综合得分并列时，比较价格得分，此分项得分高者排序在前；若价格得分仍相同，比较技术得分，此分项得分高者排序在前；若技术得分仍相同，则由全体</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成员无记名投票，得票高者排序在前。</w:t>
            </w:r>
          </w:p>
          <w:p w14:paraId="26D40FDD">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4）各种计算采用插入法，数字均保留一位小数，第二位“四舍五入”。</w:t>
            </w:r>
          </w:p>
          <w:p w14:paraId="126BAB0E">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5）评审过程中，若出现特殊情况时，由</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决定暂停评审，并提出具体处理意见。</w:t>
            </w:r>
          </w:p>
        </w:tc>
      </w:tr>
    </w:tbl>
    <w:p w14:paraId="0586E9CD">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4F3B44C7">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4307DC72">
      <w:pPr>
        <w:spacing w:line="460" w:lineRule="exact"/>
        <w:ind w:firstLine="496" w:firstLineChars="200"/>
        <w:rPr>
          <w:rFonts w:hAnsi="宋体" w:cs="宋体"/>
          <w:bCs/>
          <w:sz w:val="36"/>
          <w:szCs w:val="36"/>
          <w:highlight w:val="none"/>
        </w:rPr>
      </w:pPr>
      <w:r>
        <w:rPr>
          <w:rFonts w:hint="eastAsia" w:hAnsi="宋体" w:cs="宋体"/>
          <w:spacing w:val="4"/>
          <w:szCs w:val="24"/>
          <w:highlight w:val="none"/>
        </w:rPr>
        <w:t>2、采购人根据评标报告中推荐的成交候选人排列顺序确定供应商，以复函通知招标代理机构。</w:t>
      </w:r>
    </w:p>
    <w:p w14:paraId="78ED503D">
      <w:pPr>
        <w:pStyle w:val="12"/>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14:paraId="1F8AE26F">
      <w:pPr>
        <w:pStyle w:val="2"/>
        <w:jc w:val="center"/>
        <w:rPr>
          <w:highlight w:val="none"/>
        </w:rPr>
      </w:pPr>
      <w:bookmarkStart w:id="44" w:name="_Toc7289"/>
      <w:r>
        <w:rPr>
          <w:rFonts w:hint="eastAsia" w:ascii="宋体" w:eastAsia="宋体" w:cs="宋体"/>
          <w:bCs/>
          <w:sz w:val="36"/>
          <w:szCs w:val="36"/>
          <w:highlight w:val="none"/>
        </w:rPr>
        <w:t>第四章  合同条款及格式</w:t>
      </w:r>
      <w:bookmarkEnd w:id="39"/>
      <w:bookmarkEnd w:id="40"/>
      <w:bookmarkEnd w:id="41"/>
      <w:bookmarkEnd w:id="44"/>
      <w:bookmarkStart w:id="45" w:name="_Toc8333"/>
      <w:bookmarkStart w:id="46" w:name="_Toc29888"/>
      <w:bookmarkStart w:id="47" w:name="_Toc19246"/>
      <w:bookmarkStart w:id="48" w:name="_Toc4679"/>
      <w:bookmarkStart w:id="49" w:name="_Toc389582037"/>
      <w:bookmarkStart w:id="50" w:name="_Toc423973075"/>
      <w:bookmarkStart w:id="51" w:name="_Toc26595"/>
      <w:bookmarkStart w:id="52" w:name="_Toc31520"/>
      <w:bookmarkStart w:id="53" w:name="_Toc19199"/>
    </w:p>
    <w:p w14:paraId="272F9C20">
      <w:pPr>
        <w:pStyle w:val="3"/>
        <w:jc w:val="center"/>
        <w:rPr>
          <w:rFonts w:ascii="宋体" w:hAnsi="宋体"/>
          <w:highlight w:val="none"/>
        </w:rPr>
      </w:pPr>
      <w:bookmarkStart w:id="54" w:name="_Toc30560"/>
      <w:bookmarkStart w:id="55" w:name="_Toc32723"/>
      <w:bookmarkStart w:id="56" w:name="_Toc6935"/>
      <w:r>
        <w:rPr>
          <w:rFonts w:hint="eastAsia" w:ascii="宋体" w:hAnsi="宋体"/>
          <w:highlight w:val="none"/>
        </w:rPr>
        <w:t>合同条款及格式前附表</w:t>
      </w:r>
      <w:bookmarkEnd w:id="54"/>
      <w:bookmarkEnd w:id="55"/>
      <w:bookmarkEnd w:id="56"/>
    </w:p>
    <w:p w14:paraId="0BA3F156">
      <w:pPr>
        <w:ind w:firstLine="480" w:firstLineChars="200"/>
        <w:rPr>
          <w:bCs/>
          <w:sz w:val="36"/>
          <w:szCs w:val="36"/>
          <w:highlight w:val="none"/>
        </w:rPr>
      </w:pPr>
      <w:r>
        <w:rPr>
          <w:rFonts w:hint="eastAsia"/>
          <w:szCs w:val="24"/>
          <w:highlight w:val="none"/>
        </w:rPr>
        <w:t>本表是对合同条款的具体补充和修改，如有矛盾，应以本资料表为准。</w:t>
      </w:r>
    </w:p>
    <w:tbl>
      <w:tblPr>
        <w:tblStyle w:val="16"/>
        <w:tblW w:w="932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46"/>
        <w:gridCol w:w="7875"/>
      </w:tblGrid>
      <w:tr w14:paraId="36A7B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46" w:type="dxa"/>
            <w:vAlign w:val="center"/>
          </w:tcPr>
          <w:p w14:paraId="5923575F">
            <w:pPr>
              <w:spacing w:line="360" w:lineRule="auto"/>
              <w:jc w:val="center"/>
              <w:rPr>
                <w:rFonts w:hAnsi="宋体" w:cs="宋体"/>
                <w:b/>
                <w:szCs w:val="21"/>
                <w:highlight w:val="none"/>
              </w:rPr>
            </w:pPr>
            <w:r>
              <w:rPr>
                <w:rFonts w:hint="eastAsia" w:hAnsi="宋体" w:cs="宋体"/>
                <w:b/>
                <w:szCs w:val="21"/>
                <w:highlight w:val="none"/>
              </w:rPr>
              <w:t>序号</w:t>
            </w:r>
          </w:p>
        </w:tc>
        <w:tc>
          <w:tcPr>
            <w:tcW w:w="7875" w:type="dxa"/>
            <w:vAlign w:val="center"/>
          </w:tcPr>
          <w:p w14:paraId="77A2C1E7">
            <w:pPr>
              <w:spacing w:line="360" w:lineRule="auto"/>
              <w:jc w:val="center"/>
              <w:rPr>
                <w:rFonts w:hAnsi="宋体" w:cs="宋体"/>
                <w:b/>
                <w:szCs w:val="21"/>
                <w:highlight w:val="none"/>
              </w:rPr>
            </w:pPr>
            <w:r>
              <w:rPr>
                <w:rFonts w:hint="eastAsia" w:hAnsi="宋体" w:cs="宋体"/>
                <w:b/>
                <w:szCs w:val="21"/>
                <w:highlight w:val="none"/>
              </w:rPr>
              <w:t>内      容</w:t>
            </w:r>
          </w:p>
        </w:tc>
      </w:tr>
      <w:tr w14:paraId="15570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14:paraId="65BB542A">
            <w:pPr>
              <w:jc w:val="center"/>
              <w:rPr>
                <w:rFonts w:hAnsi="宋体" w:cs="宋体"/>
                <w:szCs w:val="21"/>
                <w:highlight w:val="none"/>
              </w:rPr>
            </w:pPr>
            <w:r>
              <w:rPr>
                <w:rFonts w:hint="eastAsia" w:hAnsi="宋体" w:cs="宋体"/>
                <w:szCs w:val="21"/>
                <w:highlight w:val="none"/>
              </w:rPr>
              <w:t>1</w:t>
            </w:r>
          </w:p>
        </w:tc>
        <w:tc>
          <w:tcPr>
            <w:tcW w:w="7875" w:type="dxa"/>
            <w:vAlign w:val="center"/>
          </w:tcPr>
          <w:p w14:paraId="31DE725D">
            <w:pPr>
              <w:spacing w:line="360" w:lineRule="auto"/>
              <w:rPr>
                <w:rFonts w:hint="eastAsia" w:hAnsi="宋体" w:eastAsia="宋体" w:cs="宋体"/>
                <w:szCs w:val="21"/>
                <w:highlight w:val="none"/>
                <w:lang w:eastAsia="zh-CN"/>
              </w:rPr>
            </w:pPr>
            <w:r>
              <w:rPr>
                <w:rFonts w:hint="eastAsia" w:hAnsi="宋体" w:cs="宋体"/>
                <w:szCs w:val="21"/>
                <w:highlight w:val="none"/>
              </w:rPr>
              <w:t>采购人：</w:t>
            </w:r>
            <w:r>
              <w:rPr>
                <w:rFonts w:hint="eastAsia" w:hAnsi="宋体" w:cs="宋体"/>
                <w:szCs w:val="21"/>
                <w:highlight w:val="none"/>
                <w:lang w:eastAsia="zh-CN"/>
              </w:rPr>
              <w:t>商南县民政局（本级）</w:t>
            </w:r>
          </w:p>
          <w:p w14:paraId="1DE3F9A1">
            <w:pPr>
              <w:spacing w:line="360" w:lineRule="auto"/>
              <w:rPr>
                <w:rFonts w:hint="eastAsia" w:hAnsi="宋体" w:eastAsia="宋体" w:cs="宋体"/>
                <w:szCs w:val="21"/>
                <w:highlight w:val="none"/>
                <w:lang w:eastAsia="zh-CN"/>
              </w:rPr>
            </w:pPr>
            <w:r>
              <w:rPr>
                <w:rFonts w:hint="eastAsia" w:hAnsi="宋体" w:cs="宋体"/>
                <w:szCs w:val="21"/>
                <w:highlight w:val="none"/>
              </w:rPr>
              <w:t>地址：</w:t>
            </w:r>
            <w:r>
              <w:rPr>
                <w:rFonts w:hint="eastAsia" w:hAnsi="宋体" w:cs="宋体"/>
                <w:szCs w:val="21"/>
                <w:highlight w:val="none"/>
                <w:lang w:eastAsia="zh-CN"/>
              </w:rPr>
              <w:t xml:space="preserve">商南县东环路8号 </w:t>
            </w:r>
          </w:p>
          <w:p w14:paraId="5D8E6D1A">
            <w:pPr>
              <w:spacing w:line="360" w:lineRule="auto"/>
              <w:rPr>
                <w:rFonts w:hint="eastAsia" w:hAnsi="宋体" w:eastAsia="宋体" w:cs="宋体"/>
                <w:szCs w:val="21"/>
                <w:highlight w:val="none"/>
                <w:lang w:eastAsia="zh-CN"/>
              </w:rPr>
            </w:pPr>
            <w:r>
              <w:rPr>
                <w:rFonts w:hint="eastAsia" w:hAnsi="宋体" w:cs="宋体"/>
                <w:szCs w:val="21"/>
                <w:highlight w:val="none"/>
              </w:rPr>
              <w:t>项目名称：</w:t>
            </w:r>
            <w:r>
              <w:rPr>
                <w:rFonts w:hint="eastAsia" w:cs="宋体"/>
                <w:highlight w:val="none"/>
                <w:shd w:val="clear" w:color="auto" w:fill="FFFFFF"/>
                <w:lang w:eastAsia="zh-CN"/>
              </w:rPr>
              <w:t>富水镇敬老院设施改造与设备配置项目</w:t>
            </w:r>
          </w:p>
        </w:tc>
      </w:tr>
      <w:tr w14:paraId="3B7E2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3" w:hRule="atLeast"/>
        </w:trPr>
        <w:tc>
          <w:tcPr>
            <w:tcW w:w="1446" w:type="dxa"/>
            <w:vAlign w:val="center"/>
          </w:tcPr>
          <w:p w14:paraId="4E000C94">
            <w:pPr>
              <w:spacing w:line="360" w:lineRule="auto"/>
              <w:jc w:val="center"/>
              <w:rPr>
                <w:rFonts w:hAnsi="宋体" w:cs="宋体"/>
                <w:szCs w:val="21"/>
                <w:highlight w:val="none"/>
              </w:rPr>
            </w:pPr>
            <w:r>
              <w:rPr>
                <w:rFonts w:hint="eastAsia" w:hAnsi="宋体" w:cs="宋体"/>
                <w:szCs w:val="21"/>
                <w:highlight w:val="none"/>
              </w:rPr>
              <w:t>2</w:t>
            </w:r>
          </w:p>
        </w:tc>
        <w:tc>
          <w:tcPr>
            <w:tcW w:w="7875" w:type="dxa"/>
            <w:vAlign w:val="center"/>
          </w:tcPr>
          <w:p w14:paraId="3AE9669B">
            <w:pPr>
              <w:spacing w:line="360" w:lineRule="auto"/>
              <w:rPr>
                <w:rFonts w:hint="eastAsia" w:hAnsi="宋体" w:eastAsia="宋体" w:cs="宋体"/>
                <w:szCs w:val="21"/>
                <w:highlight w:val="none"/>
                <w:lang w:eastAsia="zh-CN"/>
              </w:rPr>
            </w:pPr>
            <w:r>
              <w:rPr>
                <w:rFonts w:hint="eastAsia" w:hAnsi="宋体" w:cs="宋体"/>
                <w:szCs w:val="21"/>
                <w:highlight w:val="none"/>
              </w:rPr>
              <w:t>项目实施地点：</w:t>
            </w:r>
            <w:r>
              <w:rPr>
                <w:rFonts w:hint="eastAsia" w:hAnsi="宋体" w:cs="宋体"/>
                <w:szCs w:val="21"/>
                <w:highlight w:val="none"/>
                <w:lang w:eastAsia="zh-CN"/>
              </w:rPr>
              <w:t>采购人指定地点</w:t>
            </w:r>
          </w:p>
        </w:tc>
      </w:tr>
      <w:tr w14:paraId="72CEF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1446" w:type="dxa"/>
            <w:vAlign w:val="center"/>
          </w:tcPr>
          <w:p w14:paraId="0E8A0F65">
            <w:pPr>
              <w:spacing w:line="360" w:lineRule="auto"/>
              <w:jc w:val="center"/>
              <w:rPr>
                <w:rFonts w:hAnsi="宋体" w:cs="宋体"/>
                <w:szCs w:val="21"/>
                <w:highlight w:val="none"/>
              </w:rPr>
            </w:pPr>
            <w:r>
              <w:rPr>
                <w:rFonts w:hint="eastAsia" w:hAnsi="宋体" w:cs="宋体"/>
                <w:szCs w:val="21"/>
                <w:highlight w:val="none"/>
              </w:rPr>
              <w:t>3</w:t>
            </w:r>
          </w:p>
        </w:tc>
        <w:tc>
          <w:tcPr>
            <w:tcW w:w="7875" w:type="dxa"/>
            <w:vAlign w:val="center"/>
          </w:tcPr>
          <w:p w14:paraId="67AD0655">
            <w:pPr>
              <w:spacing w:line="360" w:lineRule="auto"/>
              <w:rPr>
                <w:rFonts w:hint="default" w:ascii="宋体" w:hAnsi="宋体" w:eastAsia="宋体" w:cs="宋体"/>
                <w:szCs w:val="21"/>
                <w:highlight w:val="none"/>
                <w:lang w:eastAsia="zh-CN"/>
              </w:rPr>
            </w:pPr>
            <w:r>
              <w:rPr>
                <w:rFonts w:hint="eastAsia" w:ascii="宋体" w:hAnsi="宋体" w:eastAsia="宋体" w:cs="宋体"/>
                <w:szCs w:val="21"/>
                <w:highlight w:val="none"/>
              </w:rPr>
              <w:t>工期：</w:t>
            </w:r>
            <w:r>
              <w:rPr>
                <w:rFonts w:hint="default" w:hAnsi="宋体" w:cs="宋体"/>
                <w:szCs w:val="21"/>
                <w:highlight w:val="yellow"/>
              </w:rPr>
              <w:t>自合同签订之日起</w:t>
            </w:r>
            <w:r>
              <w:rPr>
                <w:rFonts w:hint="eastAsia" w:hAnsi="宋体" w:cs="宋体"/>
                <w:szCs w:val="21"/>
                <w:highlight w:val="yellow"/>
                <w:lang w:val="en-US" w:eastAsia="zh-CN"/>
              </w:rPr>
              <w:t>30</w:t>
            </w:r>
            <w:r>
              <w:rPr>
                <w:rFonts w:hint="default" w:hAnsi="宋体" w:cs="宋体"/>
                <w:szCs w:val="21"/>
                <w:highlight w:val="yellow"/>
              </w:rPr>
              <w:t>日历天</w:t>
            </w:r>
          </w:p>
          <w:p w14:paraId="473FE084">
            <w:pPr>
              <w:spacing w:line="360" w:lineRule="auto"/>
              <w:rPr>
                <w:rFonts w:hint="default"/>
                <w:highlight w:val="none"/>
                <w:lang w:val="en-US" w:eastAsia="zh-CN"/>
              </w:rPr>
            </w:pPr>
            <w:r>
              <w:rPr>
                <w:rFonts w:hint="eastAsia" w:hAnsi="宋体" w:cs="宋体"/>
                <w:szCs w:val="21"/>
                <w:highlight w:val="none"/>
                <w:lang w:val="en-US" w:eastAsia="zh-CN"/>
              </w:rPr>
              <w:t>缺陷责任期</w:t>
            </w:r>
            <w:r>
              <w:rPr>
                <w:rFonts w:hint="eastAsia" w:ascii="宋体" w:hAnsi="宋体" w:eastAsia="宋体" w:cs="宋体"/>
                <w:szCs w:val="21"/>
                <w:highlight w:val="none"/>
                <w:lang w:val="en-US" w:eastAsia="zh-CN"/>
              </w:rPr>
              <w:t>：</w:t>
            </w:r>
            <w:r>
              <w:rPr>
                <w:rFonts w:hint="eastAsia" w:hAnsi="宋体" w:cs="宋体"/>
                <w:szCs w:val="21"/>
                <w:highlight w:val="yellow"/>
                <w:lang w:val="en-US" w:eastAsia="zh-CN"/>
              </w:rPr>
              <w:t>缺陷责任期12个月</w:t>
            </w:r>
          </w:p>
        </w:tc>
      </w:tr>
      <w:tr w14:paraId="7310F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14:paraId="766BB458">
            <w:pPr>
              <w:spacing w:line="360" w:lineRule="auto"/>
              <w:jc w:val="center"/>
              <w:rPr>
                <w:rFonts w:hAnsi="宋体" w:cs="宋体"/>
                <w:szCs w:val="21"/>
                <w:highlight w:val="none"/>
                <w:shd w:val="clear" w:color="FFFFFF" w:fill="D9D9D9"/>
              </w:rPr>
            </w:pPr>
            <w:r>
              <w:rPr>
                <w:rFonts w:hint="eastAsia" w:hAnsi="宋体" w:cs="宋体"/>
                <w:szCs w:val="21"/>
                <w:highlight w:val="none"/>
              </w:rPr>
              <w:t>4</w:t>
            </w:r>
          </w:p>
        </w:tc>
        <w:tc>
          <w:tcPr>
            <w:tcW w:w="7875" w:type="dxa"/>
            <w:vAlign w:val="center"/>
          </w:tcPr>
          <w:p w14:paraId="29DCEA81">
            <w:pPr>
              <w:spacing w:line="360" w:lineRule="auto"/>
              <w:rPr>
                <w:rFonts w:hint="eastAsia" w:hAnsi="宋体" w:eastAsia="宋体" w:cs="宋体"/>
                <w:szCs w:val="21"/>
                <w:highlight w:val="yellow"/>
                <w:lang w:eastAsia="zh-CN"/>
              </w:rPr>
            </w:pPr>
            <w:r>
              <w:rPr>
                <w:rFonts w:hint="eastAsia" w:hAnsi="宋体" w:cs="宋体"/>
                <w:szCs w:val="21"/>
                <w:highlight w:val="none"/>
              </w:rPr>
              <w:t>1.</w:t>
            </w:r>
            <w:r>
              <w:rPr>
                <w:rFonts w:hint="eastAsia" w:hAnsi="宋体" w:cs="宋体"/>
                <w:szCs w:val="21"/>
                <w:highlight w:val="yellow"/>
                <w:lang w:eastAsia="zh-CN"/>
              </w:rPr>
              <w:t>合同结算方式为</w:t>
            </w:r>
            <w:r>
              <w:rPr>
                <w:rFonts w:hint="eastAsia" w:hAnsi="宋体" w:cs="宋体"/>
                <w:szCs w:val="21"/>
                <w:highlight w:val="yellow"/>
                <w:lang w:val="en-US" w:eastAsia="zh-CN"/>
              </w:rPr>
              <w:t>综合单价</w:t>
            </w:r>
            <w:r>
              <w:rPr>
                <w:rFonts w:hint="eastAsia" w:hAnsi="宋体" w:cs="宋体"/>
                <w:szCs w:val="21"/>
                <w:highlight w:val="yellow"/>
                <w:lang w:eastAsia="zh-CN"/>
              </w:rPr>
              <w:t>合同。</w:t>
            </w:r>
          </w:p>
          <w:p w14:paraId="31CC2A95">
            <w:pPr>
              <w:spacing w:line="360" w:lineRule="auto"/>
              <w:rPr>
                <w:rFonts w:hAnsi="宋体" w:cs="宋体"/>
                <w:szCs w:val="21"/>
                <w:highlight w:val="yellow"/>
              </w:rPr>
            </w:pPr>
            <w:r>
              <w:rPr>
                <w:rFonts w:hint="eastAsia" w:hAnsi="宋体" w:cs="宋体"/>
                <w:szCs w:val="21"/>
                <w:highlight w:val="yellow"/>
                <w:lang w:val="en-US" w:eastAsia="zh-CN"/>
              </w:rPr>
              <w:t>2</w:t>
            </w:r>
            <w:r>
              <w:rPr>
                <w:rFonts w:hint="eastAsia" w:hAnsi="宋体" w:cs="宋体"/>
                <w:szCs w:val="21"/>
                <w:highlight w:val="yellow"/>
              </w:rPr>
              <w:t>.付款方式和程序：</w:t>
            </w:r>
          </w:p>
          <w:p w14:paraId="5F1DDF46">
            <w:pPr>
              <w:spacing w:line="360" w:lineRule="auto"/>
              <w:rPr>
                <w:rFonts w:hAnsi="宋体" w:cs="宋体"/>
                <w:szCs w:val="21"/>
                <w:highlight w:val="yellow"/>
              </w:rPr>
            </w:pPr>
            <w:r>
              <w:rPr>
                <w:rFonts w:hint="eastAsia" w:hAnsi="宋体" w:cs="宋体"/>
                <w:szCs w:val="21"/>
                <w:highlight w:val="yellow"/>
              </w:rPr>
              <w:t>（1）结算方式：</w:t>
            </w:r>
          </w:p>
          <w:p w14:paraId="1BAAC935">
            <w:pPr>
              <w:spacing w:line="360" w:lineRule="auto"/>
              <w:ind w:firstLine="480" w:firstLineChars="200"/>
              <w:rPr>
                <w:rFonts w:hAnsi="宋体" w:cs="宋体"/>
                <w:szCs w:val="21"/>
                <w:highlight w:val="yellow"/>
              </w:rPr>
            </w:pPr>
            <w:r>
              <w:rPr>
                <w:rFonts w:hint="eastAsia" w:hAnsi="宋体" w:cs="宋体"/>
                <w:szCs w:val="21"/>
                <w:highlight w:val="yellow"/>
              </w:rPr>
              <w:t>由采购人负责结算</w:t>
            </w:r>
            <w:r>
              <w:rPr>
                <w:rFonts w:hint="eastAsia" w:hAnsi="宋体" w:cs="宋体"/>
                <w:szCs w:val="21"/>
                <w:highlight w:val="yellow"/>
                <w:lang w:eastAsia="zh-CN"/>
              </w:rPr>
              <w:t>，</w:t>
            </w:r>
            <w:r>
              <w:rPr>
                <w:rFonts w:hint="eastAsia" w:hAnsi="宋体" w:cs="宋体"/>
                <w:szCs w:val="21"/>
                <w:highlight w:val="yellow"/>
              </w:rPr>
              <w:t>在付款前，成交供应商须开具全额发票给采购人。</w:t>
            </w:r>
          </w:p>
          <w:p w14:paraId="6E13670C">
            <w:pPr>
              <w:spacing w:line="360" w:lineRule="auto"/>
              <w:jc w:val="left"/>
              <w:rPr>
                <w:rFonts w:hAnsi="宋体" w:cs="宋体"/>
                <w:szCs w:val="21"/>
                <w:highlight w:val="yellow"/>
              </w:rPr>
            </w:pPr>
            <w:r>
              <w:rPr>
                <w:rFonts w:hint="eastAsia" w:hAnsi="宋体" w:cs="宋体"/>
                <w:szCs w:val="21"/>
                <w:highlight w:val="yellow"/>
              </w:rPr>
              <w:t>（2）付款方式：</w:t>
            </w:r>
          </w:p>
          <w:p w14:paraId="5220D91D">
            <w:pPr>
              <w:spacing w:line="360" w:lineRule="auto"/>
              <w:ind w:firstLine="480" w:firstLineChars="200"/>
              <w:rPr>
                <w:rFonts w:hint="eastAsia" w:eastAsia="宋体"/>
                <w:szCs w:val="22"/>
                <w:highlight w:val="none"/>
                <w:lang w:eastAsia="zh-CN"/>
              </w:rPr>
            </w:pPr>
            <w:r>
              <w:rPr>
                <w:rFonts w:hint="eastAsia" w:ascii="宋体" w:hAnsi="宋体" w:eastAsia="宋体" w:cs="宋体"/>
                <w:szCs w:val="21"/>
                <w:highlight w:val="yellow"/>
                <w:lang w:val="en-US" w:eastAsia="zh-CN"/>
              </w:rPr>
              <w:t>以合同签订为准；</w:t>
            </w:r>
          </w:p>
        </w:tc>
      </w:tr>
      <w:tr w14:paraId="6B4B9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1" w:hRule="atLeast"/>
        </w:trPr>
        <w:tc>
          <w:tcPr>
            <w:tcW w:w="1446" w:type="dxa"/>
            <w:vAlign w:val="center"/>
          </w:tcPr>
          <w:p w14:paraId="2E281CCE">
            <w:pPr>
              <w:spacing w:line="360" w:lineRule="auto"/>
              <w:jc w:val="center"/>
              <w:rPr>
                <w:rFonts w:hAnsi="宋体" w:cs="宋体"/>
                <w:szCs w:val="21"/>
                <w:highlight w:val="none"/>
              </w:rPr>
            </w:pPr>
            <w:r>
              <w:rPr>
                <w:rFonts w:hint="eastAsia" w:hAnsi="宋体" w:cs="宋体"/>
                <w:szCs w:val="21"/>
                <w:highlight w:val="none"/>
              </w:rPr>
              <w:t>5</w:t>
            </w:r>
          </w:p>
        </w:tc>
        <w:tc>
          <w:tcPr>
            <w:tcW w:w="7875" w:type="dxa"/>
            <w:vAlign w:val="center"/>
          </w:tcPr>
          <w:p w14:paraId="53400D11">
            <w:pPr>
              <w:spacing w:line="360" w:lineRule="auto"/>
              <w:rPr>
                <w:rFonts w:hAnsi="宋体" w:cs="宋体"/>
                <w:szCs w:val="21"/>
                <w:highlight w:val="none"/>
              </w:rPr>
            </w:pPr>
            <w:r>
              <w:rPr>
                <w:rFonts w:hint="eastAsia" w:hAnsi="宋体" w:cs="宋体"/>
                <w:szCs w:val="21"/>
                <w:highlight w:val="yellow"/>
              </w:rPr>
              <w:t>缺陷责任期：</w:t>
            </w:r>
            <w:r>
              <w:rPr>
                <w:rFonts w:hint="eastAsia" w:hAnsi="宋体" w:cs="宋体"/>
                <w:szCs w:val="21"/>
                <w:highlight w:val="yellow"/>
                <w:lang w:val="en-US" w:eastAsia="zh-CN"/>
              </w:rPr>
              <w:t>12个月</w:t>
            </w:r>
          </w:p>
        </w:tc>
      </w:tr>
      <w:tr w14:paraId="74BAE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14:paraId="724493C5">
            <w:pPr>
              <w:spacing w:line="360" w:lineRule="auto"/>
              <w:jc w:val="center"/>
              <w:rPr>
                <w:rFonts w:hAnsi="宋体" w:cs="宋体"/>
                <w:szCs w:val="21"/>
                <w:highlight w:val="none"/>
              </w:rPr>
            </w:pPr>
            <w:r>
              <w:rPr>
                <w:rFonts w:hint="eastAsia" w:hAnsi="宋体" w:cs="宋体"/>
                <w:szCs w:val="21"/>
                <w:highlight w:val="none"/>
              </w:rPr>
              <w:t>6</w:t>
            </w:r>
          </w:p>
        </w:tc>
        <w:tc>
          <w:tcPr>
            <w:tcW w:w="7875" w:type="dxa"/>
            <w:vAlign w:val="center"/>
          </w:tcPr>
          <w:p w14:paraId="5820CF26">
            <w:pPr>
              <w:spacing w:line="360" w:lineRule="auto"/>
              <w:jc w:val="left"/>
              <w:rPr>
                <w:rFonts w:hAnsi="宋体" w:cs="宋体"/>
                <w:szCs w:val="21"/>
                <w:highlight w:val="none"/>
              </w:rPr>
            </w:pPr>
            <w:r>
              <w:rPr>
                <w:rFonts w:hint="eastAsia" w:hAnsi="宋体" w:cs="宋体"/>
                <w:szCs w:val="21"/>
                <w:highlight w:val="none"/>
              </w:rPr>
              <w:t>质量保证：</w:t>
            </w:r>
          </w:p>
          <w:p w14:paraId="6A02BA82">
            <w:pPr>
              <w:spacing w:line="520" w:lineRule="exact"/>
              <w:ind w:firstLine="360" w:firstLineChars="150"/>
              <w:rPr>
                <w:rFonts w:hAnsi="宋体" w:cs="宋体"/>
                <w:szCs w:val="21"/>
                <w:highlight w:val="none"/>
              </w:rPr>
            </w:pPr>
            <w:r>
              <w:rPr>
                <w:rFonts w:hint="eastAsia" w:hAnsi="宋体" w:cs="宋体"/>
                <w:szCs w:val="21"/>
                <w:highlight w:val="none"/>
              </w:rPr>
              <w:t>工程质量标准：</w:t>
            </w:r>
            <w:r>
              <w:rPr>
                <w:rFonts w:hint="eastAsia" w:hAnsi="宋体" w:cs="宋体"/>
                <w:b/>
                <w:bCs/>
                <w:szCs w:val="21"/>
                <w:highlight w:val="none"/>
              </w:rPr>
              <w:t>达到现行国家有关验收规范“合格”标准。</w:t>
            </w:r>
          </w:p>
          <w:p w14:paraId="32E73012">
            <w:pPr>
              <w:spacing w:line="520" w:lineRule="exact"/>
              <w:ind w:firstLine="360" w:firstLineChars="150"/>
              <w:rPr>
                <w:rFonts w:hAnsi="宋体" w:cs="宋体"/>
                <w:szCs w:val="21"/>
                <w:highlight w:val="none"/>
              </w:rPr>
            </w:pPr>
            <w:r>
              <w:rPr>
                <w:rFonts w:hint="eastAsia" w:hAnsi="宋体" w:cs="宋体"/>
                <w:szCs w:val="21"/>
                <w:highlight w:val="none"/>
              </w:rPr>
              <w:t>供应商必须保证材料合格、工程及服务质量可靠，并全面满足磋商文件的要求，磋商文件未明确要求的内容，供应商须按采购人的补充要求为准。施工工艺应严格按国家最新发布的规范标准执行，如发生质量问题由供应商承担全部责任。</w:t>
            </w:r>
          </w:p>
        </w:tc>
      </w:tr>
      <w:tr w14:paraId="0D55C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14:paraId="671B41B7">
            <w:pPr>
              <w:spacing w:line="360" w:lineRule="auto"/>
              <w:jc w:val="center"/>
              <w:rPr>
                <w:rFonts w:hAnsi="宋体" w:cs="宋体"/>
                <w:szCs w:val="21"/>
                <w:highlight w:val="none"/>
              </w:rPr>
            </w:pPr>
            <w:r>
              <w:rPr>
                <w:rFonts w:hint="eastAsia" w:hAnsi="宋体" w:cs="宋体"/>
                <w:szCs w:val="21"/>
                <w:highlight w:val="none"/>
              </w:rPr>
              <w:t>7</w:t>
            </w:r>
          </w:p>
        </w:tc>
        <w:tc>
          <w:tcPr>
            <w:tcW w:w="7875" w:type="dxa"/>
            <w:vAlign w:val="center"/>
          </w:tcPr>
          <w:p w14:paraId="7F8BDE41">
            <w:pPr>
              <w:spacing w:line="360" w:lineRule="auto"/>
              <w:rPr>
                <w:rFonts w:hAnsi="宋体" w:cs="宋体"/>
                <w:b/>
                <w:szCs w:val="21"/>
                <w:highlight w:val="none"/>
              </w:rPr>
            </w:pPr>
            <w:r>
              <w:rPr>
                <w:rFonts w:hint="eastAsia" w:hAnsi="宋体" w:cs="宋体"/>
                <w:b/>
                <w:szCs w:val="21"/>
                <w:highlight w:val="none"/>
              </w:rPr>
              <w:t>验收：</w:t>
            </w:r>
          </w:p>
          <w:p w14:paraId="4B8703BD">
            <w:pPr>
              <w:spacing w:line="360" w:lineRule="auto"/>
              <w:ind w:firstLine="480" w:firstLineChars="200"/>
              <w:rPr>
                <w:rFonts w:hAnsi="宋体" w:cs="宋体"/>
                <w:szCs w:val="21"/>
                <w:highlight w:val="none"/>
              </w:rPr>
            </w:pPr>
            <w:r>
              <w:rPr>
                <w:rFonts w:hint="eastAsia" w:hAnsi="宋体" w:cs="宋体"/>
                <w:szCs w:val="21"/>
                <w:highlight w:val="none"/>
              </w:rPr>
              <w:t>由</w:t>
            </w:r>
            <w:r>
              <w:rPr>
                <w:rFonts w:hint="eastAsia" w:hAnsi="宋体" w:cs="宋体"/>
                <w:szCs w:val="21"/>
                <w:highlight w:val="none"/>
                <w:lang w:eastAsia="zh-CN"/>
              </w:rPr>
              <w:t>采购人、</w:t>
            </w:r>
            <w:r>
              <w:rPr>
                <w:rFonts w:hint="eastAsia" w:hAnsi="宋体" w:cs="宋体"/>
                <w:szCs w:val="21"/>
                <w:highlight w:val="none"/>
              </w:rPr>
              <w:t>供应商</w:t>
            </w:r>
            <w:r>
              <w:rPr>
                <w:rFonts w:hint="eastAsia" w:hAnsi="宋体" w:cs="宋体"/>
                <w:szCs w:val="21"/>
                <w:highlight w:val="none"/>
                <w:lang w:eastAsia="zh-CN"/>
              </w:rPr>
              <w:t>及招标代理机构</w:t>
            </w:r>
            <w:r>
              <w:rPr>
                <w:rFonts w:hint="eastAsia" w:hAnsi="宋体" w:cs="宋体"/>
                <w:szCs w:val="21"/>
                <w:highlight w:val="none"/>
              </w:rPr>
              <w:t>共同对项目进行整体验收。其内容包括材料和施工质量是否达到现行国家有关验收规范“合格”标准、是否按照招标人要求按时完工。</w:t>
            </w:r>
          </w:p>
          <w:p w14:paraId="089A05B1">
            <w:pPr>
              <w:spacing w:line="520" w:lineRule="exact"/>
              <w:ind w:firstLine="480" w:firstLineChars="200"/>
              <w:rPr>
                <w:rFonts w:hAnsi="宋体" w:cs="宋体"/>
                <w:szCs w:val="21"/>
                <w:highlight w:val="none"/>
              </w:rPr>
            </w:pPr>
            <w:r>
              <w:rPr>
                <w:rFonts w:hint="eastAsia" w:hAnsi="宋体" w:cs="宋体"/>
                <w:szCs w:val="21"/>
                <w:highlight w:val="none"/>
              </w:rPr>
              <w:t>1.所验各项内容最终验收达不到磋商文件要求和磋商响应文件承诺的，或在后续使用中发现招标人不能容忍的缺陷等，将视为验收不合格，供应商应在采购人要求的时间内无条件整改及恢复。</w:t>
            </w:r>
          </w:p>
          <w:p w14:paraId="44DCC1EB">
            <w:pPr>
              <w:spacing w:line="520" w:lineRule="exact"/>
              <w:ind w:firstLine="480" w:firstLineChars="200"/>
              <w:rPr>
                <w:rFonts w:hAnsi="宋体" w:cs="宋体"/>
                <w:szCs w:val="21"/>
                <w:highlight w:val="none"/>
              </w:rPr>
            </w:pPr>
            <w:r>
              <w:rPr>
                <w:rFonts w:hint="eastAsia" w:hAnsi="宋体" w:cs="宋体"/>
                <w:szCs w:val="21"/>
                <w:highlight w:val="none"/>
              </w:rPr>
              <w:t>2.若发现供应商有弄虚作假的，在磋商阶段故意或随意夸大技术能力、工程、服务质量的，采购人有权解除合同，并且要求供应商赔偿相关损失。</w:t>
            </w:r>
          </w:p>
          <w:p w14:paraId="1CE5FFB6">
            <w:pPr>
              <w:spacing w:line="520" w:lineRule="exact"/>
              <w:ind w:firstLine="480" w:firstLineChars="200"/>
              <w:rPr>
                <w:rFonts w:hAnsi="宋体" w:cs="宋体"/>
                <w:szCs w:val="21"/>
                <w:highlight w:val="none"/>
              </w:rPr>
            </w:pPr>
            <w:r>
              <w:rPr>
                <w:rFonts w:hint="eastAsia" w:hAnsi="宋体" w:cs="宋体"/>
                <w:szCs w:val="21"/>
                <w:highlight w:val="none"/>
              </w:rPr>
              <w:t>3.验收标准：按磋商文件、磋商响应文件及澄清函等技术指标进行验收。各项指标均应符合验收标准及要求。</w:t>
            </w:r>
          </w:p>
          <w:p w14:paraId="2509B863">
            <w:pPr>
              <w:spacing w:line="360" w:lineRule="auto"/>
              <w:ind w:firstLine="480" w:firstLineChars="200"/>
              <w:rPr>
                <w:rFonts w:hAnsi="宋体" w:cs="宋体"/>
                <w:szCs w:val="21"/>
                <w:highlight w:val="none"/>
              </w:rPr>
            </w:pPr>
            <w:r>
              <w:rPr>
                <w:rFonts w:hint="eastAsia" w:hAnsi="宋体" w:cs="宋体"/>
                <w:szCs w:val="21"/>
                <w:highlight w:val="none"/>
              </w:rPr>
              <w:t>4.验收合格后，填写验收单，双方签字生效。</w:t>
            </w:r>
          </w:p>
          <w:p w14:paraId="59E83E63">
            <w:pPr>
              <w:spacing w:line="360" w:lineRule="auto"/>
              <w:ind w:firstLine="480" w:firstLineChars="200"/>
              <w:rPr>
                <w:highlight w:val="none"/>
              </w:rPr>
            </w:pPr>
            <w:r>
              <w:rPr>
                <w:rFonts w:hint="eastAsia" w:hAnsi="宋体" w:cs="宋体"/>
                <w:szCs w:val="21"/>
                <w:highlight w:val="none"/>
              </w:rPr>
              <w:t>5.验收依据：</w:t>
            </w:r>
          </w:p>
          <w:p w14:paraId="3C283C25">
            <w:pPr>
              <w:numPr>
                <w:ilvl w:val="0"/>
                <w:numId w:val="5"/>
              </w:numPr>
              <w:tabs>
                <w:tab w:val="left" w:pos="498"/>
                <w:tab w:val="clear" w:pos="840"/>
              </w:tabs>
              <w:spacing w:line="360" w:lineRule="auto"/>
              <w:ind w:hanging="625"/>
              <w:rPr>
                <w:rFonts w:hAnsi="宋体" w:cs="宋体"/>
                <w:szCs w:val="21"/>
                <w:highlight w:val="none"/>
              </w:rPr>
            </w:pPr>
            <w:r>
              <w:rPr>
                <w:rFonts w:hint="eastAsia" w:hAnsi="宋体" w:cs="宋体"/>
                <w:szCs w:val="21"/>
                <w:highlight w:val="none"/>
              </w:rPr>
              <w:t>合同文本；</w:t>
            </w:r>
          </w:p>
          <w:p w14:paraId="02CE6C91">
            <w:pPr>
              <w:numPr>
                <w:ilvl w:val="0"/>
                <w:numId w:val="5"/>
              </w:numPr>
              <w:tabs>
                <w:tab w:val="left" w:pos="498"/>
                <w:tab w:val="clear" w:pos="840"/>
              </w:tabs>
              <w:spacing w:line="360" w:lineRule="auto"/>
              <w:ind w:hanging="625"/>
              <w:rPr>
                <w:rFonts w:hAnsi="宋体" w:cs="宋体"/>
                <w:szCs w:val="21"/>
                <w:highlight w:val="none"/>
              </w:rPr>
            </w:pPr>
            <w:r>
              <w:rPr>
                <w:rFonts w:hint="eastAsia" w:hAnsi="宋体" w:cs="宋体"/>
                <w:szCs w:val="21"/>
                <w:highlight w:val="none"/>
              </w:rPr>
              <w:t>磋商文件及澄清函、磋商响应文件；</w:t>
            </w:r>
          </w:p>
          <w:p w14:paraId="5E89AEC8">
            <w:pPr>
              <w:numPr>
                <w:ilvl w:val="0"/>
                <w:numId w:val="5"/>
              </w:numPr>
              <w:tabs>
                <w:tab w:val="left" w:pos="498"/>
                <w:tab w:val="clear" w:pos="840"/>
              </w:tabs>
              <w:spacing w:line="360" w:lineRule="auto"/>
              <w:ind w:hanging="625"/>
              <w:rPr>
                <w:rFonts w:hAnsi="宋体" w:cs="宋体"/>
                <w:szCs w:val="21"/>
                <w:highlight w:val="none"/>
              </w:rPr>
            </w:pPr>
            <w:r>
              <w:rPr>
                <w:rFonts w:hint="eastAsia" w:hAnsi="宋体" w:cs="宋体"/>
                <w:szCs w:val="21"/>
                <w:highlight w:val="none"/>
              </w:rPr>
              <w:t>国家和行业制定的相应的标准和规范；</w:t>
            </w:r>
          </w:p>
          <w:p w14:paraId="33807D01">
            <w:pPr>
              <w:tabs>
                <w:tab w:val="left" w:pos="498"/>
              </w:tabs>
              <w:spacing w:line="360" w:lineRule="auto"/>
              <w:ind w:firstLine="240" w:firstLineChars="100"/>
              <w:rPr>
                <w:rFonts w:hAnsi="宋体" w:cs="宋体"/>
                <w:szCs w:val="21"/>
                <w:highlight w:val="none"/>
              </w:rPr>
            </w:pPr>
            <w:r>
              <w:rPr>
                <w:rFonts w:hint="eastAsia" w:hAnsi="宋体" w:cs="宋体"/>
                <w:szCs w:val="21"/>
                <w:highlight w:val="none"/>
              </w:rPr>
              <w:t>d)验收清单。</w:t>
            </w:r>
          </w:p>
        </w:tc>
      </w:tr>
      <w:tr w14:paraId="519B4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14:paraId="01518755">
            <w:pPr>
              <w:pStyle w:val="7"/>
              <w:spacing w:line="360" w:lineRule="auto"/>
              <w:jc w:val="center"/>
              <w:rPr>
                <w:rFonts w:hAnsi="宋体"/>
                <w:szCs w:val="21"/>
                <w:highlight w:val="none"/>
              </w:rPr>
            </w:pPr>
            <w:r>
              <w:rPr>
                <w:rFonts w:hint="eastAsia" w:hAnsi="宋体"/>
                <w:szCs w:val="21"/>
                <w:highlight w:val="none"/>
              </w:rPr>
              <w:t>8</w:t>
            </w:r>
          </w:p>
        </w:tc>
        <w:tc>
          <w:tcPr>
            <w:tcW w:w="7875" w:type="dxa"/>
            <w:vAlign w:val="center"/>
          </w:tcPr>
          <w:p w14:paraId="766DEB42">
            <w:pPr>
              <w:spacing w:line="360" w:lineRule="auto"/>
              <w:rPr>
                <w:rFonts w:hAnsi="宋体" w:cs="宋体"/>
                <w:b/>
                <w:bCs/>
                <w:szCs w:val="21"/>
                <w:highlight w:val="none"/>
              </w:rPr>
            </w:pPr>
            <w:r>
              <w:rPr>
                <w:rFonts w:hint="eastAsia" w:hAnsi="宋体" w:cs="宋体"/>
                <w:b/>
                <w:bCs/>
                <w:szCs w:val="21"/>
                <w:highlight w:val="none"/>
              </w:rPr>
              <w:t>违约责任：</w:t>
            </w:r>
          </w:p>
          <w:p w14:paraId="70BD4A19">
            <w:pPr>
              <w:tabs>
                <w:tab w:val="left" w:pos="152"/>
              </w:tabs>
              <w:spacing w:line="360" w:lineRule="auto"/>
              <w:ind w:firstLine="480" w:firstLineChars="200"/>
              <w:rPr>
                <w:rFonts w:hAnsi="宋体" w:cs="宋体"/>
                <w:szCs w:val="21"/>
                <w:highlight w:val="none"/>
              </w:rPr>
            </w:pPr>
            <w:r>
              <w:rPr>
                <w:rFonts w:hint="eastAsia" w:hAnsi="宋体" w:cs="宋体"/>
                <w:szCs w:val="21"/>
                <w:highlight w:val="none"/>
              </w:rPr>
              <w:t>1、按《中华人民共和国民法典》中的相关条款执行。</w:t>
            </w:r>
          </w:p>
          <w:p w14:paraId="34A409B6">
            <w:pPr>
              <w:tabs>
                <w:tab w:val="left" w:pos="152"/>
              </w:tabs>
              <w:spacing w:line="360" w:lineRule="auto"/>
              <w:ind w:firstLine="480" w:firstLineChars="200"/>
              <w:rPr>
                <w:rFonts w:hAnsi="宋体" w:cs="宋体"/>
                <w:szCs w:val="21"/>
                <w:highlight w:val="none"/>
              </w:rPr>
            </w:pPr>
            <w:r>
              <w:rPr>
                <w:rFonts w:hint="eastAsia" w:hAnsi="宋体" w:cs="宋体"/>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tc>
      </w:tr>
      <w:tr w14:paraId="5DFA2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14:paraId="5AB09E3C">
            <w:pPr>
              <w:spacing w:line="360" w:lineRule="auto"/>
              <w:jc w:val="center"/>
              <w:rPr>
                <w:rFonts w:hAnsi="宋体" w:cs="宋体"/>
                <w:szCs w:val="21"/>
                <w:highlight w:val="none"/>
              </w:rPr>
            </w:pPr>
            <w:r>
              <w:rPr>
                <w:rFonts w:hint="eastAsia" w:hAnsi="宋体" w:cs="宋体"/>
                <w:szCs w:val="21"/>
                <w:highlight w:val="none"/>
              </w:rPr>
              <w:t>9</w:t>
            </w:r>
          </w:p>
        </w:tc>
        <w:tc>
          <w:tcPr>
            <w:tcW w:w="7875" w:type="dxa"/>
            <w:vAlign w:val="center"/>
          </w:tcPr>
          <w:p w14:paraId="3310C26E">
            <w:pPr>
              <w:spacing w:line="360" w:lineRule="auto"/>
              <w:rPr>
                <w:rFonts w:hAnsi="宋体" w:cs="宋体"/>
                <w:b/>
                <w:szCs w:val="21"/>
                <w:highlight w:val="none"/>
              </w:rPr>
            </w:pPr>
            <w:r>
              <w:rPr>
                <w:rFonts w:hint="eastAsia" w:hAnsi="宋体" w:cs="宋体"/>
                <w:b/>
                <w:szCs w:val="21"/>
                <w:highlight w:val="none"/>
              </w:rPr>
              <w:t>政府采购合同：</w:t>
            </w:r>
          </w:p>
          <w:p w14:paraId="55676401">
            <w:pPr>
              <w:spacing w:line="360" w:lineRule="auto"/>
              <w:ind w:firstLine="480" w:firstLineChars="200"/>
              <w:rPr>
                <w:rFonts w:hint="eastAsia" w:hAnsi="宋体" w:eastAsia="宋体" w:cs="宋体"/>
                <w:szCs w:val="21"/>
                <w:highlight w:val="none"/>
                <w:lang w:eastAsia="zh-CN"/>
              </w:rPr>
            </w:pPr>
            <w:r>
              <w:rPr>
                <w:rFonts w:hint="eastAsia" w:hAnsi="宋体" w:cs="宋体"/>
                <w:szCs w:val="21"/>
                <w:highlight w:val="none"/>
              </w:rPr>
              <w:t>政府采购合同适用合同法。采购人和供应商之间的权利和义务，应当按照平等、自愿的原则以合同方式约定。</w:t>
            </w:r>
          </w:p>
          <w:p w14:paraId="7E288C45">
            <w:pPr>
              <w:spacing w:line="360" w:lineRule="auto"/>
              <w:ind w:firstLine="480" w:firstLineChars="200"/>
              <w:rPr>
                <w:rFonts w:hAnsi="宋体" w:cs="宋体"/>
                <w:szCs w:val="21"/>
                <w:highlight w:val="none"/>
              </w:rPr>
            </w:pPr>
            <w:r>
              <w:rPr>
                <w:rFonts w:hint="eastAsia" w:hAnsi="宋体" w:cs="宋体"/>
                <w:szCs w:val="21"/>
                <w:highlight w:val="none"/>
              </w:rPr>
              <w:t xml:space="preserve">    采购人可以委托采购代理机构代表其与供应商签订政府采购合同。由采购代理机构以采购人名义签订合同的，应当提交采购人的授权委托书，作为合同附件。</w:t>
            </w:r>
          </w:p>
          <w:p w14:paraId="6D0C903C">
            <w:pPr>
              <w:spacing w:line="360" w:lineRule="auto"/>
              <w:ind w:firstLine="480" w:firstLineChars="200"/>
              <w:rPr>
                <w:rFonts w:hAnsi="宋体" w:cs="宋体"/>
                <w:szCs w:val="21"/>
                <w:highlight w:val="none"/>
              </w:rPr>
            </w:pPr>
            <w:r>
              <w:rPr>
                <w:rFonts w:hint="eastAsia" w:hAnsi="宋体" w:cs="宋体"/>
                <w:szCs w:val="21"/>
                <w:highlight w:val="none"/>
              </w:rPr>
              <w:t>政府采购合同应当采用书面形式。</w:t>
            </w:r>
          </w:p>
          <w:p w14:paraId="0BD038C5">
            <w:pPr>
              <w:spacing w:line="360" w:lineRule="auto"/>
              <w:ind w:firstLine="480" w:firstLineChars="200"/>
              <w:rPr>
                <w:rFonts w:hint="eastAsia" w:hAnsi="宋体" w:eastAsia="宋体" w:cs="宋体"/>
                <w:szCs w:val="21"/>
                <w:highlight w:val="none"/>
                <w:lang w:eastAsia="zh-CN"/>
              </w:rPr>
            </w:pPr>
            <w:r>
              <w:rPr>
                <w:rFonts w:hint="eastAsia" w:hAnsi="宋体" w:cs="宋体"/>
                <w:szCs w:val="21"/>
                <w:highlight w:val="none"/>
              </w:rPr>
              <w:t>国务院政府采购监督管理部门应当会同国务院有关部门，规定政府采购合同必须具备的条款。</w:t>
            </w:r>
          </w:p>
          <w:p w14:paraId="43CA7B55">
            <w:pPr>
              <w:spacing w:line="360" w:lineRule="auto"/>
              <w:ind w:firstLine="480" w:firstLineChars="200"/>
              <w:rPr>
                <w:rFonts w:hint="eastAsia" w:hAnsi="宋体" w:eastAsia="宋体" w:cs="宋体"/>
                <w:szCs w:val="21"/>
                <w:highlight w:val="none"/>
                <w:lang w:eastAsia="zh-CN"/>
              </w:rPr>
            </w:pPr>
            <w:r>
              <w:rPr>
                <w:rFonts w:hint="eastAsia" w:hAnsi="宋体" w:cs="宋体"/>
                <w:szCs w:val="21"/>
                <w:highlight w:val="none"/>
              </w:rPr>
              <w:t xml:space="preserve">    采购人与中标、成交供应商应当在中标、成交通知书发出之日起三十日内，按照采购文件确定的事项签订政府采购合同。</w:t>
            </w:r>
          </w:p>
          <w:p w14:paraId="1E176C31">
            <w:pPr>
              <w:spacing w:line="360" w:lineRule="auto"/>
              <w:ind w:firstLine="480" w:firstLineChars="200"/>
              <w:rPr>
                <w:rFonts w:hAnsi="宋体" w:cs="宋体"/>
                <w:szCs w:val="21"/>
                <w:highlight w:val="none"/>
              </w:rPr>
            </w:pPr>
            <w:r>
              <w:rPr>
                <w:rFonts w:hint="eastAsia" w:hAnsi="宋体" w:cs="宋体"/>
                <w:szCs w:val="21"/>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52058D84">
            <w:pPr>
              <w:pStyle w:val="7"/>
              <w:spacing w:line="360" w:lineRule="auto"/>
              <w:ind w:firstLine="480" w:firstLineChars="200"/>
              <w:rPr>
                <w:rFonts w:hint="eastAsia" w:hAnsi="宋体" w:eastAsia="宋体" w:cs="宋体"/>
                <w:kern w:val="0"/>
                <w:sz w:val="24"/>
                <w:szCs w:val="21"/>
                <w:highlight w:val="none"/>
                <w:lang w:eastAsia="zh-CN"/>
              </w:rPr>
            </w:pPr>
            <w:r>
              <w:rPr>
                <w:rFonts w:hint="eastAsia" w:hAnsi="宋体" w:cs="宋体"/>
                <w:kern w:val="0"/>
                <w:sz w:val="24"/>
                <w:szCs w:val="21"/>
                <w:highlight w:val="none"/>
              </w:rPr>
              <w:t>政府采购项目的采购合同自签订之日起七个工作日内，采购人应当将合同副本报同级政府采购监督管理部门和有关部门备案。</w:t>
            </w:r>
          </w:p>
          <w:p w14:paraId="713240B8">
            <w:pPr>
              <w:pStyle w:val="7"/>
              <w:spacing w:line="360" w:lineRule="auto"/>
              <w:ind w:firstLine="480" w:firstLineChars="200"/>
              <w:rPr>
                <w:rFonts w:hint="eastAsia" w:hAnsi="宋体" w:eastAsia="宋体" w:cs="宋体"/>
                <w:kern w:val="0"/>
                <w:sz w:val="24"/>
                <w:szCs w:val="21"/>
                <w:highlight w:val="none"/>
                <w:lang w:eastAsia="zh-CN"/>
              </w:rPr>
            </w:pPr>
            <w:r>
              <w:rPr>
                <w:rFonts w:hint="eastAsia" w:hAnsi="宋体" w:cs="宋体"/>
                <w:kern w:val="0"/>
                <w:sz w:val="24"/>
                <w:szCs w:val="21"/>
                <w:highlight w:val="none"/>
              </w:rPr>
              <w:t xml:space="preserve">    经采购人同意，中标、成交供应商可以依法采取分包方式履行合同。政府采购合同分包履行的，中标、成交供应商就采购项目和分包项目向采购人负责，分包供应商就分包项目承担责任。</w:t>
            </w:r>
          </w:p>
          <w:p w14:paraId="0D17AD8E">
            <w:pPr>
              <w:pStyle w:val="7"/>
              <w:spacing w:line="360" w:lineRule="auto"/>
              <w:ind w:firstLine="480" w:firstLineChars="200"/>
              <w:rPr>
                <w:rFonts w:hint="eastAsia" w:hAnsi="宋体" w:eastAsia="宋体" w:cs="宋体"/>
                <w:kern w:val="0"/>
                <w:sz w:val="24"/>
                <w:szCs w:val="21"/>
                <w:highlight w:val="none"/>
                <w:lang w:eastAsia="zh-CN"/>
              </w:rPr>
            </w:pPr>
            <w:r>
              <w:rPr>
                <w:rFonts w:hint="eastAsia" w:hAnsi="宋体" w:cs="宋体"/>
                <w:kern w:val="0"/>
                <w:sz w:val="24"/>
                <w:szCs w:val="21"/>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6F31E91B">
            <w:pPr>
              <w:pStyle w:val="7"/>
              <w:spacing w:line="360" w:lineRule="auto"/>
              <w:ind w:firstLine="480" w:firstLineChars="200"/>
              <w:rPr>
                <w:rFonts w:hint="eastAsia" w:hAnsi="宋体" w:eastAsia="宋体" w:cs="宋体"/>
                <w:kern w:val="0"/>
                <w:sz w:val="24"/>
                <w:szCs w:val="21"/>
                <w:highlight w:val="none"/>
                <w:lang w:eastAsia="zh-CN"/>
              </w:rPr>
            </w:pPr>
            <w:r>
              <w:rPr>
                <w:rFonts w:hint="eastAsia" w:hAnsi="宋体" w:cs="宋体"/>
                <w:kern w:val="0"/>
                <w:sz w:val="24"/>
                <w:szCs w:val="21"/>
                <w:highlight w:val="none"/>
              </w:rPr>
              <w:t xml:space="preserve">    政府采购合同的双方当事人不得擅自变更、中止或者终止合同。</w:t>
            </w:r>
          </w:p>
          <w:p w14:paraId="33B94929">
            <w:pPr>
              <w:pStyle w:val="7"/>
              <w:spacing w:line="360" w:lineRule="auto"/>
              <w:ind w:firstLine="480" w:firstLineChars="200"/>
              <w:rPr>
                <w:rFonts w:hAnsi="宋体"/>
                <w:szCs w:val="21"/>
                <w:highlight w:val="none"/>
              </w:rPr>
            </w:pPr>
            <w:r>
              <w:rPr>
                <w:rFonts w:hint="eastAsia" w:hAnsi="宋体" w:cs="宋体"/>
                <w:kern w:val="0"/>
                <w:sz w:val="24"/>
                <w:szCs w:val="21"/>
                <w:highlight w:val="none"/>
              </w:rPr>
              <w:t>政府采购合同继续履行将损害国家利益和社会公共利益的，双方当事人应当变更、中止或者终止合同。有过错的一方应当承担赔偿责任，双方都有过错的，各自承担相应的责任。</w:t>
            </w:r>
          </w:p>
        </w:tc>
      </w:tr>
    </w:tbl>
    <w:p w14:paraId="4BFCBF73">
      <w:pPr>
        <w:jc w:val="left"/>
        <w:rPr>
          <w:rFonts w:ascii="Times New Roman" w:eastAsia="仿宋_GB2312"/>
          <w:bCs/>
          <w:color w:val="000000"/>
          <w:sz w:val="32"/>
          <w:szCs w:val="32"/>
          <w:highlight w:val="none"/>
        </w:rPr>
      </w:pPr>
      <w:bookmarkStart w:id="57" w:name="_Toc209339595"/>
      <w:bookmarkEnd w:id="57"/>
      <w:bookmarkStart w:id="58" w:name="_Toc107194479"/>
      <w:bookmarkEnd w:id="58"/>
      <w:bookmarkStart w:id="59" w:name="_Toc205891759"/>
      <w:bookmarkEnd w:id="59"/>
      <w:r>
        <w:rPr>
          <w:rFonts w:hint="eastAsia" w:hAnsi="宋体" w:cs="宋体"/>
          <w:b/>
          <w:bCs/>
          <w:spacing w:val="100"/>
          <w:kern w:val="16"/>
          <w:sz w:val="52"/>
          <w:szCs w:val="52"/>
          <w:highlight w:val="none"/>
        </w:rPr>
        <w:br w:type="page"/>
      </w:r>
    </w:p>
    <w:p w14:paraId="265C761D">
      <w:pPr>
        <w:ind w:firstLine="2700" w:firstLineChars="750"/>
        <w:rPr>
          <w:rFonts w:hint="eastAsia" w:ascii="宋体" w:hAnsi="宋体" w:cs="宋体"/>
          <w:bCs/>
          <w:sz w:val="36"/>
          <w:szCs w:val="36"/>
          <w:highlight w:val="none"/>
        </w:rPr>
      </w:pPr>
    </w:p>
    <w:p w14:paraId="67FFD287">
      <w:pPr>
        <w:ind w:firstLine="2700" w:firstLineChars="750"/>
        <w:rPr>
          <w:rFonts w:hint="eastAsia" w:ascii="宋体" w:hAnsi="宋体" w:cs="宋体"/>
          <w:bCs/>
          <w:sz w:val="36"/>
          <w:szCs w:val="36"/>
          <w:highlight w:val="none"/>
        </w:rPr>
      </w:pPr>
      <w:r>
        <w:rPr>
          <w:rFonts w:hint="eastAsia" w:ascii="宋体" w:hAnsi="宋体" w:cs="宋体"/>
          <w:bCs/>
          <w:sz w:val="36"/>
          <w:szCs w:val="36"/>
          <w:highlight w:val="none"/>
        </w:rPr>
        <w:t>（GF-2017-0201）</w:t>
      </w:r>
    </w:p>
    <w:p w14:paraId="5335CB34">
      <w:pPr>
        <w:wordWrap w:val="0"/>
        <w:ind w:right="640"/>
        <w:jc w:val="center"/>
        <w:rPr>
          <w:rFonts w:hint="eastAsia" w:ascii="宋体" w:hAnsi="宋体" w:cs="宋体"/>
          <w:bCs/>
          <w:sz w:val="32"/>
          <w:szCs w:val="32"/>
          <w:highlight w:val="none"/>
        </w:rPr>
      </w:pPr>
      <w:r>
        <w:rPr>
          <w:rFonts w:hint="eastAsia" w:ascii="宋体" w:hAnsi="宋体" w:cs="宋体"/>
          <w:bCs/>
          <w:sz w:val="32"/>
          <w:szCs w:val="32"/>
          <w:highlight w:val="none"/>
        </w:rPr>
        <w:t xml:space="preserve"> </w:t>
      </w:r>
    </w:p>
    <w:p w14:paraId="14101D8F">
      <w:pPr>
        <w:wordWrap w:val="0"/>
        <w:ind w:right="640"/>
        <w:jc w:val="center"/>
        <w:rPr>
          <w:rFonts w:hint="eastAsia" w:ascii="宋体" w:hAnsi="宋体" w:cs="宋体"/>
          <w:bCs/>
          <w:sz w:val="32"/>
          <w:szCs w:val="32"/>
          <w:highlight w:val="none"/>
        </w:rPr>
      </w:pPr>
    </w:p>
    <w:p w14:paraId="6BF99DED">
      <w:pPr>
        <w:jc w:val="center"/>
        <w:rPr>
          <w:rFonts w:hint="eastAsia" w:ascii="宋体" w:hAnsi="宋体" w:cs="宋体"/>
          <w:bCs/>
          <w:sz w:val="52"/>
          <w:szCs w:val="52"/>
          <w:highlight w:val="none"/>
        </w:rPr>
      </w:pPr>
    </w:p>
    <w:p w14:paraId="2D2BE07A">
      <w:pPr>
        <w:jc w:val="center"/>
        <w:rPr>
          <w:rFonts w:hint="eastAsia" w:ascii="宋体" w:hAnsi="宋体" w:cs="宋体"/>
          <w:bCs/>
          <w:sz w:val="52"/>
          <w:szCs w:val="52"/>
          <w:highlight w:val="none"/>
        </w:rPr>
      </w:pPr>
    </w:p>
    <w:p w14:paraId="22B9DBF8">
      <w:pPr>
        <w:jc w:val="center"/>
        <w:rPr>
          <w:rFonts w:hint="eastAsia" w:ascii="宋体" w:hAnsi="宋体" w:cs="宋体"/>
          <w:bCs/>
          <w:sz w:val="52"/>
          <w:szCs w:val="52"/>
          <w:highlight w:val="none"/>
        </w:rPr>
      </w:pPr>
    </w:p>
    <w:p w14:paraId="6A886EF1">
      <w:pPr>
        <w:jc w:val="center"/>
        <w:rPr>
          <w:rFonts w:hint="eastAsia" w:ascii="宋体" w:hAnsi="宋体" w:cs="宋体"/>
          <w:bCs/>
          <w:sz w:val="52"/>
          <w:szCs w:val="52"/>
          <w:highlight w:val="none"/>
        </w:rPr>
      </w:pPr>
    </w:p>
    <w:p w14:paraId="6AFDAC09">
      <w:pPr>
        <w:jc w:val="center"/>
        <w:rPr>
          <w:rFonts w:hint="eastAsia" w:ascii="宋体" w:hAnsi="宋体" w:cs="宋体"/>
          <w:bCs/>
          <w:sz w:val="52"/>
          <w:szCs w:val="52"/>
          <w:highlight w:val="none"/>
        </w:rPr>
      </w:pPr>
    </w:p>
    <w:p w14:paraId="5645999F">
      <w:pPr>
        <w:jc w:val="center"/>
        <w:rPr>
          <w:rFonts w:hint="eastAsia" w:ascii="宋体" w:hAnsi="宋体" w:eastAsia="宋体" w:cs="宋体"/>
          <w:bCs/>
          <w:sz w:val="52"/>
          <w:szCs w:val="52"/>
          <w:highlight w:val="none"/>
          <w:lang w:eastAsia="zh-CN"/>
        </w:rPr>
      </w:pPr>
      <w:r>
        <w:rPr>
          <w:rFonts w:hint="eastAsia" w:ascii="宋体" w:hAnsi="宋体" w:cs="宋体"/>
          <w:bCs/>
          <w:sz w:val="52"/>
          <w:szCs w:val="52"/>
          <w:highlight w:val="none"/>
        </w:rPr>
        <w:t>建设工程施工合同</w:t>
      </w:r>
    </w:p>
    <w:p w14:paraId="318696A9">
      <w:pPr>
        <w:pStyle w:val="21"/>
        <w:rPr>
          <w:rFonts w:hint="eastAsia"/>
          <w:highlight w:val="none"/>
          <w:lang w:eastAsia="zh-CN"/>
        </w:rPr>
      </w:pPr>
    </w:p>
    <w:p w14:paraId="2DDEE40A">
      <w:pPr>
        <w:jc w:val="center"/>
        <w:rPr>
          <w:rFonts w:hint="eastAsia" w:ascii="宋体" w:hAnsi="宋体" w:cs="宋体"/>
          <w:bCs/>
          <w:sz w:val="52"/>
          <w:szCs w:val="52"/>
          <w:highlight w:val="none"/>
        </w:rPr>
      </w:pPr>
      <w:r>
        <w:rPr>
          <w:rFonts w:hint="eastAsia" w:ascii="宋体" w:hAnsi="宋体" w:cs="宋体"/>
          <w:bCs/>
          <w:sz w:val="36"/>
          <w:szCs w:val="36"/>
          <w:highlight w:val="none"/>
        </w:rPr>
        <w:t>（示范文本）</w:t>
      </w:r>
    </w:p>
    <w:p w14:paraId="42552220">
      <w:pPr>
        <w:jc w:val="center"/>
        <w:rPr>
          <w:rFonts w:hint="eastAsia" w:ascii="宋体" w:hAnsi="宋体" w:cs="宋体"/>
          <w:bCs/>
          <w:sz w:val="52"/>
          <w:szCs w:val="52"/>
          <w:highlight w:val="none"/>
        </w:rPr>
      </w:pPr>
    </w:p>
    <w:p w14:paraId="4D7C130F">
      <w:pPr>
        <w:jc w:val="center"/>
        <w:rPr>
          <w:rFonts w:hint="eastAsia" w:ascii="宋体" w:hAnsi="宋体" w:cs="宋体"/>
          <w:bCs/>
          <w:sz w:val="72"/>
          <w:szCs w:val="72"/>
          <w:highlight w:val="none"/>
        </w:rPr>
      </w:pPr>
    </w:p>
    <w:p w14:paraId="160CBCCC">
      <w:pPr>
        <w:jc w:val="center"/>
        <w:rPr>
          <w:rFonts w:hint="eastAsia" w:ascii="宋体" w:hAnsi="宋体" w:cs="宋体"/>
          <w:bCs/>
          <w:sz w:val="72"/>
          <w:szCs w:val="72"/>
          <w:highlight w:val="none"/>
        </w:rPr>
      </w:pPr>
    </w:p>
    <w:p w14:paraId="468E9A7D">
      <w:pPr>
        <w:jc w:val="center"/>
        <w:rPr>
          <w:rFonts w:hint="eastAsia" w:ascii="宋体" w:hAnsi="宋体" w:cs="宋体"/>
          <w:bCs/>
          <w:sz w:val="72"/>
          <w:szCs w:val="72"/>
          <w:highlight w:val="none"/>
        </w:rPr>
      </w:pPr>
    </w:p>
    <w:p w14:paraId="466845E8">
      <w:pPr>
        <w:rPr>
          <w:rFonts w:hint="eastAsia" w:ascii="宋体" w:hAnsi="宋体" w:cs="宋体"/>
          <w:bCs/>
          <w:sz w:val="28"/>
          <w:szCs w:val="28"/>
          <w:highlight w:val="none"/>
        </w:rPr>
      </w:pPr>
    </w:p>
    <w:p w14:paraId="61849B56">
      <w:pPr>
        <w:rPr>
          <w:rFonts w:hint="eastAsia" w:ascii="宋体" w:hAnsi="宋体" w:cs="宋体"/>
          <w:bCs/>
          <w:sz w:val="28"/>
          <w:szCs w:val="28"/>
          <w:highlight w:val="none"/>
        </w:rPr>
      </w:pPr>
    </w:p>
    <w:p w14:paraId="35684E57">
      <w:pPr>
        <w:rPr>
          <w:rFonts w:hint="eastAsia" w:ascii="宋体" w:hAnsi="宋体" w:cs="宋体"/>
          <w:bCs/>
          <w:sz w:val="28"/>
          <w:szCs w:val="28"/>
          <w:highlight w:val="none"/>
        </w:rPr>
      </w:pPr>
    </w:p>
    <w:p w14:paraId="65402418">
      <w:pPr>
        <w:rPr>
          <w:rFonts w:hint="eastAsia" w:ascii="宋体" w:hAnsi="宋体" w:cs="宋体"/>
          <w:bCs/>
          <w:sz w:val="28"/>
          <w:szCs w:val="28"/>
          <w:highlight w:val="none"/>
        </w:rPr>
      </w:pPr>
    </w:p>
    <w:p w14:paraId="245A6C32">
      <w:pPr>
        <w:ind w:right="3108" w:rightChars="1295" w:firstLine="3129" w:firstLineChars="1304"/>
        <w:jc w:val="distribute"/>
        <w:rPr>
          <w:rFonts w:hint="eastAsia" w:ascii="宋体" w:hAnsi="宋体" w:cs="宋体"/>
          <w:bCs/>
          <w:sz w:val="32"/>
          <w:szCs w:val="28"/>
          <w:highlight w:val="none"/>
        </w:rPr>
      </w:pPr>
      <w:r>
        <w:rPr>
          <w:rFonts w:hint="eastAsia" w:ascii="宋体" w:hAnsi="宋体" w:cs="宋体"/>
          <w:bCs/>
          <w:highlight w:val="none"/>
        </w:rPr>
        <mc:AlternateContent>
          <mc:Choice Requires="wps">
            <w:drawing>
              <wp:anchor distT="0" distB="0" distL="114300" distR="114300" simplePos="0" relativeHeight="251659264" behindDoc="0" locked="0" layoutInCell="1" allowOverlap="1">
                <wp:simplePos x="0" y="0"/>
                <wp:positionH relativeFrom="column">
                  <wp:posOffset>4179570</wp:posOffset>
                </wp:positionH>
                <wp:positionV relativeFrom="paragraph">
                  <wp:posOffset>81915</wp:posOffset>
                </wp:positionV>
                <wp:extent cx="723900" cy="457200"/>
                <wp:effectExtent l="4445" t="4445" r="14605" b="14605"/>
                <wp:wrapNone/>
                <wp:docPr id="10" name="文本框 10"/>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09EC5A83">
                            <w:pPr>
                              <w:rPr>
                                <w:rFonts w:ascii="宋体" w:hAnsi="宋体"/>
                                <w:b/>
                                <w:bCs/>
                                <w:sz w:val="32"/>
                              </w:rPr>
                            </w:pPr>
                            <w:r>
                              <w:rPr>
                                <w:rFonts w:hint="eastAsia" w:ascii="宋体" w:hAnsi="宋体"/>
                                <w:b/>
                                <w:bCs/>
                                <w:sz w:val="32"/>
                              </w:rPr>
                              <w:t>制定</w:t>
                            </w:r>
                          </w:p>
                        </w:txbxContent>
                      </wps:txbx>
                      <wps:bodyPr upright="1"/>
                    </wps:wsp>
                  </a:graphicData>
                </a:graphic>
              </wp:anchor>
            </w:drawing>
          </mc:Choice>
          <mc:Fallback>
            <w:pict>
              <v:shape id="_x0000_s1026" o:spid="_x0000_s1026" o:spt="202" type="#_x0000_t202" style="position:absolute;left:0pt;margin-left:329.1pt;margin-top:6.45pt;height:36pt;width:57pt;z-index:251659264;mso-width-relative:page;mso-height-relative:page;" filled="f" stroked="t" coordsize="21600,21600" o:gfxdata="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buEBtgAAAAJAQAADwAAAAAAAAABACAAAAAiAAAAZHJz&#10;L2Rvd25yZXYueG1sUEsBAhQAFAAAAAgAh07iQLMNYbgEAgAADgQAAA4AAAAAAAAAAQAgAAAAJwEA&#10;AGRycy9lMm9Eb2MueG1sUEsFBgAAAAAGAAYAWQEAAJ0FAAAAAA==&#10;">
                <v:fill on="f" focussize="0,0"/>
                <v:stroke color="#FFFFFF" joinstyle="miter"/>
                <v:imagedata o:title=""/>
                <o:lock v:ext="edit" aspectratio="f"/>
                <v:textbox>
                  <w:txbxContent>
                    <w:p w14:paraId="09EC5A83">
                      <w:pPr>
                        <w:rPr>
                          <w:rFonts w:ascii="宋体" w:hAnsi="宋体"/>
                          <w:b/>
                          <w:bCs/>
                          <w:sz w:val="32"/>
                        </w:rPr>
                      </w:pPr>
                      <w:r>
                        <w:rPr>
                          <w:rFonts w:hint="eastAsia" w:ascii="宋体" w:hAnsi="宋体"/>
                          <w:b/>
                          <w:bCs/>
                          <w:sz w:val="32"/>
                        </w:rPr>
                        <w:t>制定</w:t>
                      </w:r>
                    </w:p>
                  </w:txbxContent>
                </v:textbox>
              </v:shape>
            </w:pict>
          </mc:Fallback>
        </mc:AlternateContent>
      </w:r>
      <w:r>
        <w:rPr>
          <w:rFonts w:hint="eastAsia" w:ascii="宋体" w:hAnsi="宋体" w:cs="宋体"/>
          <w:bCs/>
          <w:sz w:val="32"/>
          <w:szCs w:val="28"/>
          <w:highlight w:val="none"/>
        </w:rPr>
        <w:t>住房和城乡建设部</w:t>
      </w:r>
    </w:p>
    <w:p w14:paraId="27BEE644">
      <w:pPr>
        <w:ind w:right="3108" w:rightChars="1295" w:firstLine="2739" w:firstLineChars="856"/>
        <w:jc w:val="distribute"/>
        <w:rPr>
          <w:rFonts w:hint="eastAsia" w:ascii="宋体" w:hAnsi="宋体" w:cs="宋体"/>
          <w:bCs/>
          <w:sz w:val="32"/>
          <w:szCs w:val="28"/>
          <w:highlight w:val="none"/>
        </w:rPr>
      </w:pPr>
      <w:r>
        <w:rPr>
          <w:rFonts w:hint="eastAsia" w:ascii="宋体" w:hAnsi="宋体" w:cs="宋体"/>
          <w:bCs/>
          <w:sz w:val="32"/>
          <w:szCs w:val="28"/>
          <w:highlight w:val="none"/>
        </w:rPr>
        <w:t>国家工商行政管理总局</w:t>
      </w:r>
    </w:p>
    <w:p w14:paraId="74218F4C">
      <w:pPr>
        <w:ind w:right="3108" w:rightChars="1295" w:firstLine="2739" w:firstLineChars="856"/>
        <w:jc w:val="distribute"/>
        <w:rPr>
          <w:rFonts w:hint="eastAsia" w:ascii="宋体" w:hAnsi="宋体" w:cs="宋体"/>
          <w:bCs/>
          <w:sz w:val="32"/>
          <w:szCs w:val="28"/>
          <w:highlight w:val="none"/>
        </w:rPr>
      </w:pPr>
    </w:p>
    <w:p w14:paraId="1E91DD94">
      <w:pPr>
        <w:rPr>
          <w:rFonts w:hint="eastAsia" w:ascii="宋体" w:hAnsi="宋体" w:cs="宋体"/>
          <w:bCs/>
          <w:highlight w:val="none"/>
        </w:rPr>
      </w:pPr>
    </w:p>
    <w:p w14:paraId="79FD9AB3">
      <w:pPr>
        <w:rPr>
          <w:rFonts w:hint="eastAsia"/>
          <w:highlight w:val="none"/>
        </w:rPr>
      </w:pPr>
      <w:r>
        <w:rPr>
          <w:rFonts w:hint="eastAsia"/>
          <w:highlight w:val="none"/>
        </w:rPr>
        <w:br w:type="page"/>
      </w:r>
    </w:p>
    <w:p w14:paraId="58AEE21E">
      <w:pPr>
        <w:rPr>
          <w:rFonts w:hint="eastAsia"/>
          <w:highlight w:val="none"/>
        </w:rPr>
      </w:pPr>
    </w:p>
    <w:p w14:paraId="79C169F5">
      <w:pPr>
        <w:jc w:val="center"/>
        <w:rPr>
          <w:rFonts w:hint="eastAsia" w:ascii="宋体" w:hAnsi="宋体" w:cs="宋体"/>
          <w:bCs/>
          <w:sz w:val="32"/>
          <w:szCs w:val="32"/>
          <w:highlight w:val="none"/>
        </w:rPr>
      </w:pPr>
      <w:bookmarkStart w:id="60" w:name="_Toc351203480"/>
      <w:bookmarkStart w:id="61" w:name="_Toc296503025"/>
      <w:bookmarkStart w:id="62" w:name="_Toc296890982"/>
      <w:r>
        <w:rPr>
          <w:rFonts w:hint="eastAsia" w:ascii="宋体" w:hAnsi="宋体" w:cs="宋体"/>
          <w:bCs/>
          <w:sz w:val="32"/>
          <w:szCs w:val="32"/>
          <w:highlight w:val="none"/>
        </w:rPr>
        <w:t>第一部分 合同协议书</w:t>
      </w:r>
      <w:bookmarkEnd w:id="60"/>
      <w:bookmarkEnd w:id="61"/>
      <w:bookmarkEnd w:id="62"/>
    </w:p>
    <w:p w14:paraId="469A1991">
      <w:pPr>
        <w:spacing w:line="360" w:lineRule="auto"/>
        <w:rPr>
          <w:rFonts w:hint="eastAsia" w:ascii="宋体" w:hAnsi="宋体" w:cs="宋体"/>
          <w:bCs/>
          <w:sz w:val="24"/>
          <w:highlight w:val="none"/>
          <w:u w:val="single"/>
        </w:rPr>
      </w:pPr>
      <w:r>
        <w:rPr>
          <w:rFonts w:hint="eastAsia" w:ascii="宋体" w:hAnsi="宋体" w:cs="宋体"/>
          <w:bCs/>
          <w:sz w:val="24"/>
          <w:highlight w:val="none"/>
        </w:rPr>
        <w:t>发包人（全称）：</w:t>
      </w:r>
      <w:r>
        <w:rPr>
          <w:rFonts w:hint="eastAsia" w:hAnsi="宋体" w:cs="宋体"/>
          <w:bCs/>
          <w:sz w:val="24"/>
          <w:highlight w:val="none"/>
          <w:u w:val="single"/>
          <w:lang w:eastAsia="zh-CN"/>
        </w:rPr>
        <w:t>商南县民政局（本级）</w:t>
      </w:r>
      <w:r>
        <w:rPr>
          <w:rFonts w:hint="eastAsia" w:ascii="宋体" w:hAnsi="宋体" w:cs="宋体"/>
          <w:bCs/>
          <w:sz w:val="24"/>
          <w:highlight w:val="none"/>
          <w:u w:val="single"/>
        </w:rPr>
        <w:t xml:space="preserve">             </w:t>
      </w:r>
    </w:p>
    <w:p w14:paraId="2A39613B">
      <w:pPr>
        <w:spacing w:line="360" w:lineRule="auto"/>
        <w:rPr>
          <w:rFonts w:hint="eastAsia" w:ascii="宋体" w:hAnsi="宋体" w:cs="宋体"/>
          <w:bCs/>
          <w:sz w:val="24"/>
          <w:highlight w:val="none"/>
          <w:u w:val="single"/>
        </w:rPr>
      </w:pPr>
      <w:r>
        <w:rPr>
          <w:rFonts w:hint="eastAsia" w:ascii="宋体" w:hAnsi="宋体" w:cs="宋体"/>
          <w:bCs/>
          <w:sz w:val="24"/>
          <w:highlight w:val="none"/>
        </w:rPr>
        <w:t>承包人（全称）：</w:t>
      </w:r>
      <w:r>
        <w:rPr>
          <w:rFonts w:hint="eastAsia" w:ascii="宋体" w:hAnsi="宋体" w:cs="宋体"/>
          <w:bCs/>
          <w:sz w:val="24"/>
          <w:highlight w:val="none"/>
          <w:u w:val="single"/>
        </w:rPr>
        <w:t>                       </w:t>
      </w:r>
    </w:p>
    <w:p w14:paraId="2EDC285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根据《中华人民共和国</w:t>
      </w:r>
      <w:r>
        <w:rPr>
          <w:rFonts w:hint="eastAsia" w:hAnsi="宋体" w:cs="宋体"/>
          <w:bCs/>
          <w:sz w:val="24"/>
          <w:highlight w:val="none"/>
          <w:lang w:val="en-US" w:eastAsia="zh-CN"/>
        </w:rPr>
        <w:t>民法典</w:t>
      </w:r>
      <w:r>
        <w:rPr>
          <w:rFonts w:hint="eastAsia" w:ascii="宋体" w:hAnsi="宋体" w:cs="宋体"/>
          <w:bCs/>
          <w:sz w:val="24"/>
          <w:highlight w:val="none"/>
        </w:rPr>
        <w:t>》、《中华人民共和国建筑法》及有关法律规定，遵循平等、自愿、公平和诚实信用的原则，双方就</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富水镇敬老院设施改造与设备配置项目</w:t>
      </w:r>
      <w:r>
        <w:rPr>
          <w:rFonts w:hint="eastAsia" w:ascii="宋体" w:hAnsi="宋体"/>
          <w:color w:val="000000"/>
          <w:sz w:val="24"/>
          <w:highlight w:val="none"/>
          <w:u w:val="single"/>
        </w:rPr>
        <w:t xml:space="preserve"> </w:t>
      </w:r>
      <w:r>
        <w:rPr>
          <w:rFonts w:hint="eastAsia" w:ascii="宋体" w:hAnsi="宋体" w:cs="宋体"/>
          <w:bCs/>
          <w:sz w:val="24"/>
          <w:highlight w:val="none"/>
        </w:rPr>
        <w:t>施工及有关事项协商一致，共同达成如下协议：</w:t>
      </w:r>
      <w:bookmarkStart w:id="63" w:name="_Toc351203481"/>
    </w:p>
    <w:p w14:paraId="61FD6F6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一、工程概况</w:t>
      </w:r>
      <w:bookmarkEnd w:id="63"/>
    </w:p>
    <w:p w14:paraId="6EDD62A1">
      <w:pPr>
        <w:spacing w:line="360" w:lineRule="auto"/>
        <w:ind w:firstLine="470" w:firstLineChars="196"/>
        <w:rPr>
          <w:rFonts w:hint="eastAsia" w:ascii="宋体" w:hAnsi="宋体" w:cs="宋体"/>
          <w:bCs/>
          <w:sz w:val="24"/>
          <w:highlight w:val="none"/>
          <w:u w:val="single"/>
        </w:rPr>
      </w:pPr>
      <w:r>
        <w:rPr>
          <w:rFonts w:hint="eastAsia" w:ascii="宋体" w:hAnsi="宋体" w:cs="宋体"/>
          <w:bCs/>
          <w:sz w:val="24"/>
          <w:highlight w:val="none"/>
        </w:rPr>
        <w:t>1.工程名称：</w:t>
      </w:r>
      <w:r>
        <w:rPr>
          <w:rFonts w:hint="eastAsia" w:hAnsi="宋体" w:cs="宋体"/>
          <w:bCs/>
          <w:sz w:val="24"/>
          <w:highlight w:val="none"/>
          <w:u w:val="single"/>
          <w:lang w:eastAsia="zh-CN"/>
        </w:rPr>
        <w:t>富水镇敬老院设施改造与设备配置项目</w:t>
      </w:r>
      <w:r>
        <w:rPr>
          <w:rFonts w:hint="eastAsia" w:ascii="宋体" w:hAnsi="宋体"/>
          <w:color w:val="000000"/>
          <w:sz w:val="24"/>
          <w:highlight w:val="none"/>
          <w:u w:val="single"/>
        </w:rPr>
        <w:t xml:space="preserve">  </w:t>
      </w:r>
      <w:r>
        <w:rPr>
          <w:rFonts w:hint="eastAsia" w:ascii="宋体" w:hAnsi="宋体" w:cs="宋体"/>
          <w:bCs/>
          <w:sz w:val="24"/>
          <w:highlight w:val="none"/>
        </w:rPr>
        <w:t>。</w:t>
      </w:r>
    </w:p>
    <w:p w14:paraId="1F9AB58F">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2.工程地点：</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720201B4">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3.工程立项批准文号：</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BF75880">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4.资金来源：</w:t>
      </w:r>
      <w:r>
        <w:rPr>
          <w:rFonts w:hint="eastAsia" w:ascii="宋体" w:hAnsi="宋体" w:cs="宋体"/>
          <w:bCs/>
          <w:sz w:val="24"/>
          <w:highlight w:val="none"/>
          <w:u w:val="single"/>
        </w:rPr>
        <w:t xml:space="preserve"> 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26B97761">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5.工程内容：</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72E24E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6.工程承包范围：</w:t>
      </w:r>
      <w:r>
        <w:rPr>
          <w:rFonts w:hint="eastAsia" w:ascii="宋体" w:hAnsi="宋体" w:cs="宋体"/>
          <w:bCs/>
          <w:sz w:val="24"/>
          <w:highlight w:val="none"/>
          <w:u w:val="single"/>
        </w:rPr>
        <w:t></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w:t>
      </w:r>
      <w:r>
        <w:rPr>
          <w:rFonts w:hint="eastAsia" w:ascii="宋体" w:hAnsi="宋体" w:cs="宋体"/>
          <w:bCs/>
          <w:sz w:val="24"/>
          <w:highlight w:val="none"/>
        </w:rPr>
        <w:t>。</w:t>
      </w:r>
      <w:bookmarkStart w:id="64" w:name="_Toc351203482"/>
    </w:p>
    <w:p w14:paraId="06E0596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二、合同工期</w:t>
      </w:r>
      <w:bookmarkEnd w:id="64"/>
    </w:p>
    <w:p w14:paraId="3818BF5A">
      <w:pPr>
        <w:spacing w:line="360" w:lineRule="auto"/>
        <w:ind w:firstLine="459"/>
        <w:rPr>
          <w:rFonts w:hint="eastAsia" w:ascii="宋体" w:hAnsi="宋体" w:cs="宋体"/>
          <w:bCs/>
          <w:sz w:val="24"/>
          <w:highlight w:val="none"/>
        </w:rPr>
      </w:pPr>
      <w:r>
        <w:rPr>
          <w:rFonts w:hint="eastAsia" w:ascii="宋体" w:hAnsi="宋体" w:cs="宋体"/>
          <w:bCs/>
          <w:sz w:val="24"/>
          <w:highlight w:val="none"/>
        </w:rPr>
        <w:t>计划开工日期：</w:t>
      </w:r>
      <w:r>
        <w:rPr>
          <w:rFonts w:hint="eastAsia" w:ascii="宋体" w:hAnsi="宋体" w:cs="宋体"/>
          <w:bCs/>
          <w:sz w:val="24"/>
          <w:highlight w:val="none"/>
          <w:u w:val="single"/>
        </w:rPr>
        <w:t></w:t>
      </w:r>
      <w:r>
        <w:rPr>
          <w:rFonts w:hint="eastAsia" w:ascii="宋体" w:hAnsi="宋体" w:cs="宋体"/>
          <w:bCs/>
          <w:sz w:val="24"/>
          <w:highlight w:val="none"/>
        </w:rPr>
        <w:t>年</w:t>
      </w:r>
      <w:r>
        <w:rPr>
          <w:rFonts w:hint="eastAsia" w:ascii="宋体" w:hAnsi="宋体" w:cs="宋体"/>
          <w:bCs/>
          <w:sz w:val="24"/>
          <w:highlight w:val="none"/>
          <w:u w:val="single"/>
        </w:rPr>
        <w:t></w:t>
      </w:r>
      <w:r>
        <w:rPr>
          <w:rFonts w:hint="eastAsia" w:ascii="宋体" w:hAnsi="宋体" w:cs="宋体"/>
          <w:bCs/>
          <w:sz w:val="24"/>
          <w:highlight w:val="none"/>
        </w:rPr>
        <w:t>月</w:t>
      </w:r>
      <w:r>
        <w:rPr>
          <w:rFonts w:hint="eastAsia" w:ascii="宋体" w:hAnsi="宋体" w:cs="宋体"/>
          <w:bCs/>
          <w:sz w:val="24"/>
          <w:highlight w:val="none"/>
          <w:u w:val="single"/>
        </w:rPr>
        <w:t></w:t>
      </w:r>
      <w:r>
        <w:rPr>
          <w:rFonts w:hint="eastAsia" w:ascii="宋体" w:hAnsi="宋体" w:cs="宋体"/>
          <w:bCs/>
          <w:sz w:val="24"/>
          <w:highlight w:val="none"/>
        </w:rPr>
        <w:t>日。</w:t>
      </w:r>
    </w:p>
    <w:p w14:paraId="0B30052F">
      <w:pPr>
        <w:spacing w:line="360" w:lineRule="auto"/>
        <w:ind w:firstLine="459"/>
        <w:rPr>
          <w:rFonts w:hint="eastAsia" w:ascii="宋体" w:hAnsi="宋体" w:cs="宋体"/>
          <w:bCs/>
          <w:sz w:val="24"/>
          <w:highlight w:val="none"/>
        </w:rPr>
      </w:pPr>
      <w:r>
        <w:rPr>
          <w:rFonts w:hint="eastAsia" w:ascii="宋体" w:hAnsi="宋体" w:cs="宋体"/>
          <w:bCs/>
          <w:sz w:val="24"/>
          <w:highlight w:val="none"/>
        </w:rPr>
        <w:t>计划竣工日期：</w:t>
      </w:r>
      <w:r>
        <w:rPr>
          <w:rFonts w:hint="eastAsia" w:ascii="宋体" w:hAnsi="宋体" w:cs="宋体"/>
          <w:bCs/>
          <w:sz w:val="24"/>
          <w:highlight w:val="none"/>
          <w:u w:val="single"/>
        </w:rPr>
        <w:t></w:t>
      </w:r>
      <w:r>
        <w:rPr>
          <w:rFonts w:hint="eastAsia" w:ascii="宋体" w:hAnsi="宋体" w:cs="宋体"/>
          <w:bCs/>
          <w:sz w:val="24"/>
          <w:highlight w:val="none"/>
        </w:rPr>
        <w:t>年</w:t>
      </w:r>
      <w:r>
        <w:rPr>
          <w:rFonts w:hint="eastAsia" w:ascii="宋体" w:hAnsi="宋体" w:cs="宋体"/>
          <w:bCs/>
          <w:sz w:val="24"/>
          <w:highlight w:val="none"/>
          <w:u w:val="single"/>
        </w:rPr>
        <w:t></w:t>
      </w:r>
      <w:r>
        <w:rPr>
          <w:rFonts w:hint="eastAsia" w:ascii="宋体" w:hAnsi="宋体" w:cs="宋体"/>
          <w:bCs/>
          <w:sz w:val="24"/>
          <w:highlight w:val="none"/>
        </w:rPr>
        <w:t>月</w:t>
      </w:r>
      <w:r>
        <w:rPr>
          <w:rFonts w:hint="eastAsia" w:ascii="宋体" w:hAnsi="宋体" w:cs="宋体"/>
          <w:bCs/>
          <w:sz w:val="24"/>
          <w:highlight w:val="none"/>
          <w:u w:val="single"/>
        </w:rPr>
        <w:t></w:t>
      </w:r>
      <w:r>
        <w:rPr>
          <w:rFonts w:hint="eastAsia" w:ascii="宋体" w:hAnsi="宋体" w:cs="宋体"/>
          <w:bCs/>
          <w:sz w:val="24"/>
          <w:highlight w:val="none"/>
        </w:rPr>
        <w:t>日。</w:t>
      </w:r>
    </w:p>
    <w:p w14:paraId="0441FA3D">
      <w:pPr>
        <w:spacing w:line="360" w:lineRule="auto"/>
        <w:ind w:firstLine="459"/>
        <w:rPr>
          <w:rFonts w:hint="eastAsia" w:ascii="宋体" w:hAnsi="宋体" w:cs="宋体"/>
          <w:bCs/>
          <w:sz w:val="24"/>
          <w:highlight w:val="none"/>
        </w:rPr>
      </w:pPr>
      <w:r>
        <w:rPr>
          <w:rFonts w:hint="eastAsia" w:ascii="宋体" w:hAnsi="宋体" w:cs="宋体"/>
          <w:bCs/>
          <w:sz w:val="24"/>
          <w:highlight w:val="none"/>
        </w:rPr>
        <w:t>工期总日历天数：</w:t>
      </w:r>
      <w:r>
        <w:rPr>
          <w:rFonts w:hint="eastAsia" w:hAnsi="宋体" w:cs="宋体"/>
          <w:bCs/>
          <w:sz w:val="24"/>
          <w:highlight w:val="none"/>
          <w:u w:val="single"/>
          <w:lang w:val="en-US" w:eastAsia="zh-CN"/>
        </w:rPr>
        <w:t xml:space="preserve">           </w:t>
      </w:r>
      <w:r>
        <w:rPr>
          <w:rFonts w:hint="eastAsia" w:ascii="宋体" w:hAnsi="宋体" w:cs="宋体"/>
          <w:bCs/>
          <w:sz w:val="24"/>
          <w:highlight w:val="none"/>
        </w:rPr>
        <w:t>。工期总日历天数与根据前述计划开竣工日期计算的工期天数不一致的，以工期总日历天数为准。</w:t>
      </w:r>
    </w:p>
    <w:p w14:paraId="6AB5744A">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5" w:name="_Toc351203483"/>
      <w:r>
        <w:rPr>
          <w:rFonts w:hint="eastAsia" w:ascii="宋体" w:hAnsi="宋体" w:cs="宋体"/>
          <w:bCs/>
          <w:sz w:val="24"/>
          <w:highlight w:val="none"/>
        </w:rPr>
        <w:t>三、质量标准</w:t>
      </w:r>
      <w:bookmarkEnd w:id="65"/>
    </w:p>
    <w:p w14:paraId="112F1303">
      <w:pPr>
        <w:spacing w:line="360" w:lineRule="auto"/>
        <w:ind w:firstLine="459"/>
        <w:rPr>
          <w:rFonts w:hint="eastAsia" w:ascii="宋体" w:hAnsi="宋体" w:cs="宋体"/>
          <w:bCs/>
          <w:sz w:val="24"/>
          <w:highlight w:val="none"/>
        </w:rPr>
      </w:pPr>
      <w:r>
        <w:rPr>
          <w:rFonts w:hint="eastAsia" w:ascii="宋体" w:hAnsi="宋体" w:cs="宋体"/>
          <w:bCs/>
          <w:sz w:val="24"/>
          <w:highlight w:val="none"/>
        </w:rPr>
        <w:t>工程质量符合</w:t>
      </w:r>
      <w:r>
        <w:rPr>
          <w:rFonts w:hint="eastAsia" w:ascii="宋体" w:hAnsi="宋体" w:cs="宋体"/>
          <w:bCs/>
          <w:sz w:val="24"/>
          <w:highlight w:val="none"/>
          <w:u w:val="single"/>
        </w:rPr>
        <w:t>合格</w:t>
      </w:r>
      <w:r>
        <w:rPr>
          <w:rFonts w:hint="eastAsia" w:ascii="宋体" w:hAnsi="宋体" w:cs="宋体"/>
          <w:bCs/>
          <w:sz w:val="24"/>
          <w:highlight w:val="none"/>
        </w:rPr>
        <w:t>标准。</w:t>
      </w:r>
    </w:p>
    <w:p w14:paraId="1DDA4A5F">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6" w:name="_Toc351203484"/>
      <w:r>
        <w:rPr>
          <w:rFonts w:hint="eastAsia" w:ascii="宋体" w:hAnsi="宋体" w:cs="宋体"/>
          <w:bCs/>
          <w:sz w:val="24"/>
          <w:highlight w:val="none"/>
        </w:rPr>
        <w:t>四、签约合同价与合同价格形式</w:t>
      </w:r>
      <w:bookmarkEnd w:id="66"/>
      <w:r>
        <w:rPr>
          <w:rFonts w:hint="eastAsia" w:ascii="宋体" w:hAnsi="宋体" w:cs="宋体"/>
          <w:bCs/>
          <w:sz w:val="24"/>
          <w:highlight w:val="none"/>
        </w:rPr>
        <w:tab/>
      </w:r>
    </w:p>
    <w:p w14:paraId="4C29F99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1.签约合同价为：</w:t>
      </w:r>
    </w:p>
    <w:p w14:paraId="19AB01E0">
      <w:pPr>
        <w:spacing w:line="360" w:lineRule="auto"/>
        <w:ind w:firstLine="600" w:firstLineChars="2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434E13C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其中：</w:t>
      </w:r>
    </w:p>
    <w:p w14:paraId="2C42312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（1）安全文明施工费：</w:t>
      </w:r>
    </w:p>
    <w:p w14:paraId="00433518">
      <w:pPr>
        <w:spacing w:line="360" w:lineRule="auto"/>
        <w:ind w:firstLine="1080" w:firstLineChars="4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09E9D8C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（2）材料和工程设备暂估价金额：</w:t>
      </w:r>
    </w:p>
    <w:p w14:paraId="6D3BF10C">
      <w:pPr>
        <w:spacing w:line="360" w:lineRule="auto"/>
        <w:ind w:firstLine="1080" w:firstLineChars="4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6CC7EC4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2.合同价格形式：</w:t>
      </w:r>
      <w:r>
        <w:rPr>
          <w:rFonts w:hint="eastAsia" w:ascii="宋体" w:hAnsi="宋体" w:cs="宋体"/>
          <w:bCs/>
          <w:sz w:val="24"/>
          <w:highlight w:val="none"/>
          <w:u w:val="single"/>
        </w:rPr>
        <w:t xml:space="preserve">    </w:t>
      </w:r>
      <w:r>
        <w:rPr>
          <w:rFonts w:hint="eastAsia" w:ascii="宋体" w:hAnsi="宋体" w:cs="宋体"/>
          <w:bCs/>
          <w:kern w:val="1"/>
          <w:sz w:val="24"/>
          <w:highlight w:val="none"/>
          <w:u w:val="single"/>
        </w:rPr>
        <w:t xml:space="preserve">         </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93C2F02">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7" w:name="_Toc351203485"/>
      <w:r>
        <w:rPr>
          <w:rFonts w:hint="eastAsia" w:ascii="宋体" w:hAnsi="宋体" w:cs="宋体"/>
          <w:bCs/>
          <w:sz w:val="24"/>
          <w:highlight w:val="none"/>
        </w:rPr>
        <w:t>五、</w:t>
      </w:r>
      <w:bookmarkEnd w:id="67"/>
      <w:r>
        <w:rPr>
          <w:rFonts w:hint="eastAsia" w:ascii="宋体" w:hAnsi="宋体" w:cs="宋体"/>
          <w:bCs/>
          <w:sz w:val="24"/>
          <w:highlight w:val="none"/>
        </w:rPr>
        <w:t>项目经理</w:t>
      </w:r>
    </w:p>
    <w:p w14:paraId="6BC3948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承包人项目经理：</w:t>
      </w:r>
      <w:r>
        <w:rPr>
          <w:rFonts w:hint="eastAsia" w:ascii="宋体" w:hAnsi="宋体" w:cs="宋体"/>
          <w:bCs/>
          <w:sz w:val="24"/>
          <w:highlight w:val="none"/>
          <w:u w:val="single"/>
        </w:rPr>
        <w:t>                     </w:t>
      </w:r>
      <w:r>
        <w:rPr>
          <w:rFonts w:hint="eastAsia" w:ascii="宋体" w:hAnsi="宋体" w:cs="宋体"/>
          <w:bCs/>
          <w:sz w:val="24"/>
          <w:highlight w:val="none"/>
        </w:rPr>
        <w:t>。</w:t>
      </w:r>
    </w:p>
    <w:p w14:paraId="466AF378">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8" w:name="_Toc351203486"/>
      <w:r>
        <w:rPr>
          <w:rFonts w:hint="eastAsia" w:ascii="宋体" w:hAnsi="宋体" w:cs="宋体"/>
          <w:bCs/>
          <w:sz w:val="24"/>
          <w:highlight w:val="none"/>
        </w:rPr>
        <w:t>六、合同文件构成</w:t>
      </w:r>
      <w:bookmarkEnd w:id="68"/>
    </w:p>
    <w:p w14:paraId="7164A6E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本协议书与下列文件一起构成合同文件：</w:t>
      </w:r>
    </w:p>
    <w:p w14:paraId="6FB50F10">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（1）中标通知书（如果有）；</w:t>
      </w:r>
    </w:p>
    <w:p w14:paraId="6BA2684D">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 xml:space="preserve">（2）投标函及其附录（如果有）； </w:t>
      </w:r>
    </w:p>
    <w:p w14:paraId="15783903">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（3）专用合同条款及其附件；</w:t>
      </w:r>
    </w:p>
    <w:p w14:paraId="36F9B481">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（4）通用合同条款；</w:t>
      </w:r>
    </w:p>
    <w:p w14:paraId="4428EF97">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（5）技术标准和要求；</w:t>
      </w:r>
    </w:p>
    <w:p w14:paraId="1C3957B5">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（6）图纸；</w:t>
      </w:r>
    </w:p>
    <w:p w14:paraId="72F36D2C">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（7）已标价工程量清单或预算书；</w:t>
      </w:r>
    </w:p>
    <w:p w14:paraId="02BFD3B1">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（8）其他合同文件。</w:t>
      </w:r>
    </w:p>
    <w:p w14:paraId="3644E7C1">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在合同订立及履行过程中形成的与合同有关的文件均构成合同文件组成部分。</w:t>
      </w:r>
    </w:p>
    <w:p w14:paraId="38920FEB">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上述各项合同文件包括合同当事人就该项合同文件所作出的补充和修改，属于同一类内容的文件，应以最新签署的为准。专用合同条款及其附件须经合同当事人签字或盖章。</w:t>
      </w:r>
    </w:p>
    <w:p w14:paraId="3E98B05B">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9" w:name="_Toc351203487"/>
      <w:r>
        <w:rPr>
          <w:rFonts w:hint="eastAsia" w:ascii="宋体" w:hAnsi="宋体" w:cs="宋体"/>
          <w:bCs/>
          <w:sz w:val="24"/>
          <w:highlight w:val="none"/>
        </w:rPr>
        <w:t>七、承诺</w:t>
      </w:r>
      <w:bookmarkEnd w:id="69"/>
    </w:p>
    <w:p w14:paraId="53AE651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1.发包人承诺按照法律规定履行项目审批手续、筹集工程建设资金并按照合同约定的期限和方式支付合同价款。</w:t>
      </w:r>
    </w:p>
    <w:p w14:paraId="690227F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2.承包人承诺按照法律规定及合同约定组织完成工程施工，确保工程质量和安全，不进行转包及违法分包，并在缺陷责任期及保修期内承担相应的工程维修责任。</w:t>
      </w:r>
    </w:p>
    <w:p w14:paraId="32E4DC3E">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3.发包人和承包人通过招投标形式签订合同的，双方理解并承诺不再就同一工程另行签订与合同实质性内容相背离的协议。</w:t>
      </w:r>
    </w:p>
    <w:p w14:paraId="21A2C97D">
      <w:pPr>
        <w:widowControl/>
        <w:spacing w:line="460" w:lineRule="exact"/>
        <w:jc w:val="left"/>
        <w:rPr>
          <w:rFonts w:hint="eastAsia" w:ascii="宋体" w:hAnsi="宋体" w:cs="宋体"/>
          <w:bCs/>
          <w:sz w:val="24"/>
          <w:highlight w:val="none"/>
        </w:rPr>
      </w:pPr>
      <w:bookmarkStart w:id="70" w:name="_Toc351203488"/>
      <w:r>
        <w:rPr>
          <w:rFonts w:hint="eastAsia" w:ascii="宋体" w:hAnsi="宋体" w:cs="宋体"/>
          <w:bCs/>
          <w:sz w:val="24"/>
          <w:highlight w:val="none"/>
        </w:rPr>
        <w:t xml:space="preserve">    八、词语含义</w:t>
      </w:r>
      <w:bookmarkEnd w:id="70"/>
    </w:p>
    <w:p w14:paraId="680D290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本协议书中词语含义与第二部分通用合同条款中赋予的含义相同。</w:t>
      </w:r>
    </w:p>
    <w:p w14:paraId="4E8C8F85">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1" w:name="_Toc351203489"/>
      <w:r>
        <w:rPr>
          <w:rFonts w:hint="eastAsia" w:ascii="宋体" w:hAnsi="宋体" w:cs="宋体"/>
          <w:bCs/>
          <w:sz w:val="24"/>
          <w:highlight w:val="none"/>
        </w:rPr>
        <w:t>九、签订时间</w:t>
      </w:r>
      <w:bookmarkEnd w:id="71"/>
    </w:p>
    <w:p w14:paraId="3E106704">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本合同于</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日签订。</w:t>
      </w:r>
    </w:p>
    <w:p w14:paraId="3F82367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2" w:name="_Toc351203490"/>
      <w:r>
        <w:rPr>
          <w:rFonts w:hint="eastAsia" w:ascii="宋体" w:hAnsi="宋体" w:cs="宋体"/>
          <w:bCs/>
          <w:sz w:val="24"/>
          <w:highlight w:val="none"/>
        </w:rPr>
        <w:t>十、签订地点</w:t>
      </w:r>
      <w:bookmarkEnd w:id="72"/>
    </w:p>
    <w:p w14:paraId="0D2AC1CA">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本合同在</w:t>
      </w:r>
      <w:r>
        <w:rPr>
          <w:rFonts w:hint="eastAsia" w:ascii="宋体" w:hAnsi="宋体" w:cs="宋体"/>
          <w:bCs/>
          <w:sz w:val="24"/>
          <w:highlight w:val="none"/>
          <w:u w:val="single"/>
        </w:rPr>
        <w:t xml:space="preserve">                                    </w:t>
      </w:r>
      <w:r>
        <w:rPr>
          <w:rFonts w:hint="eastAsia" w:ascii="宋体" w:hAnsi="宋体" w:cs="宋体"/>
          <w:bCs/>
          <w:sz w:val="24"/>
          <w:highlight w:val="none"/>
        </w:rPr>
        <w:t>签订。</w:t>
      </w:r>
    </w:p>
    <w:p w14:paraId="5FF5CB7C">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3" w:name="_Toc351203491"/>
      <w:r>
        <w:rPr>
          <w:rFonts w:hint="eastAsia" w:ascii="宋体" w:hAnsi="宋体" w:cs="宋体"/>
          <w:bCs/>
          <w:sz w:val="24"/>
          <w:highlight w:val="none"/>
        </w:rPr>
        <w:t>十一、补充协议</w:t>
      </w:r>
      <w:bookmarkEnd w:id="73"/>
    </w:p>
    <w:p w14:paraId="4F716ACC">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合同未尽事宜，合同当事人另行签订补充协议，补充协议是合同的组成部分。</w:t>
      </w:r>
    </w:p>
    <w:p w14:paraId="1ABEDF2E">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4" w:name="_Toc351203492"/>
      <w:r>
        <w:rPr>
          <w:rFonts w:hint="eastAsia" w:ascii="宋体" w:hAnsi="宋体" w:cs="宋体"/>
          <w:bCs/>
          <w:sz w:val="24"/>
          <w:highlight w:val="none"/>
        </w:rPr>
        <w:t>十二、合同生效</w:t>
      </w:r>
      <w:bookmarkEnd w:id="74"/>
    </w:p>
    <w:p w14:paraId="42C98E9B">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本合同自</w:t>
      </w:r>
      <w:r>
        <w:rPr>
          <w:rFonts w:hint="eastAsia" w:ascii="宋体" w:hAnsi="宋体" w:cs="宋体"/>
          <w:bCs/>
          <w:sz w:val="24"/>
          <w:highlight w:val="none"/>
          <w:u w:val="single"/>
        </w:rPr>
        <w:t xml:space="preserve">  </w:t>
      </w:r>
      <w:r>
        <w:rPr>
          <w:rFonts w:hint="eastAsia" w:ascii="宋体" w:hAnsi="宋体" w:cs="宋体"/>
          <w:bCs/>
          <w:kern w:val="1"/>
          <w:sz w:val="24"/>
          <w:highlight w:val="none"/>
          <w:u w:val="single"/>
        </w:rPr>
        <w:t>发包方和承包方的法定代表人或其授权代理人在协议书上签字并盖单位章后本合同</w:t>
      </w:r>
      <w:r>
        <w:rPr>
          <w:rFonts w:hint="eastAsia" w:ascii="宋体" w:hAnsi="宋体" w:cs="宋体"/>
          <w:bCs/>
          <w:sz w:val="24"/>
          <w:highlight w:val="none"/>
          <w:u w:val="single"/>
        </w:rPr>
        <w:t xml:space="preserve">  </w:t>
      </w:r>
      <w:r>
        <w:rPr>
          <w:rFonts w:hint="eastAsia" w:ascii="宋体" w:hAnsi="宋体" w:cs="宋体"/>
          <w:bCs/>
          <w:sz w:val="24"/>
          <w:highlight w:val="none"/>
        </w:rPr>
        <w:t>生效。</w:t>
      </w:r>
    </w:p>
    <w:p w14:paraId="1B5AC88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5" w:name="_Toc351203493"/>
      <w:r>
        <w:rPr>
          <w:rFonts w:hint="eastAsia" w:ascii="宋体" w:hAnsi="宋体" w:cs="宋体"/>
          <w:bCs/>
          <w:sz w:val="24"/>
          <w:highlight w:val="none"/>
        </w:rPr>
        <w:t>十三、合同份数</w:t>
      </w:r>
      <w:bookmarkEnd w:id="75"/>
    </w:p>
    <w:p w14:paraId="734312C6">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本合同一式</w:t>
      </w:r>
      <w:r>
        <w:rPr>
          <w:rFonts w:hint="eastAsia" w:ascii="宋体" w:hAnsi="宋体" w:cs="宋体"/>
          <w:bCs/>
          <w:sz w:val="24"/>
          <w:highlight w:val="none"/>
          <w:u w:val="single"/>
        </w:rPr>
        <w:t>陆</w:t>
      </w:r>
      <w:r>
        <w:rPr>
          <w:rFonts w:hint="eastAsia" w:ascii="宋体" w:hAnsi="宋体" w:cs="宋体"/>
          <w:bCs/>
          <w:sz w:val="24"/>
          <w:highlight w:val="none"/>
        </w:rPr>
        <w:t>份，均具有同等法律效力，</w:t>
      </w:r>
      <w:r>
        <w:rPr>
          <w:rFonts w:hint="eastAsia" w:ascii="宋体" w:hAnsi="宋体" w:cs="宋体"/>
          <w:bCs/>
          <w:kern w:val="1"/>
          <w:sz w:val="24"/>
          <w:highlight w:val="none"/>
        </w:rPr>
        <w:t>双方各持正本一份、副本贰份</w:t>
      </w:r>
      <w:r>
        <w:rPr>
          <w:rFonts w:hint="eastAsia" w:ascii="宋体" w:hAnsi="宋体" w:cs="宋体"/>
          <w:bCs/>
          <w:sz w:val="24"/>
          <w:highlight w:val="none"/>
        </w:rPr>
        <w:t>。</w:t>
      </w:r>
    </w:p>
    <w:p w14:paraId="1C400CD8">
      <w:pPr>
        <w:spacing w:line="360" w:lineRule="auto"/>
        <w:rPr>
          <w:rFonts w:hint="eastAsia" w:ascii="宋体" w:hAnsi="宋体" w:cs="宋体"/>
          <w:bCs/>
          <w:sz w:val="24"/>
          <w:highlight w:val="none"/>
        </w:rPr>
      </w:pPr>
    </w:p>
    <w:p w14:paraId="70E561C1">
      <w:pPr>
        <w:spacing w:line="360" w:lineRule="auto"/>
        <w:rPr>
          <w:rFonts w:hint="eastAsia" w:ascii="宋体" w:hAnsi="宋体" w:cs="宋体"/>
          <w:bCs/>
          <w:sz w:val="24"/>
          <w:highlight w:val="none"/>
        </w:rPr>
      </w:pPr>
    </w:p>
    <w:p w14:paraId="40A40494">
      <w:pPr>
        <w:spacing w:line="360" w:lineRule="auto"/>
        <w:rPr>
          <w:rFonts w:hint="eastAsia" w:ascii="宋体" w:hAnsi="宋体" w:cs="宋体"/>
          <w:bCs/>
          <w:sz w:val="24"/>
          <w:highlight w:val="none"/>
          <w:u w:val="single"/>
        </w:rPr>
      </w:pPr>
      <w:r>
        <w:rPr>
          <w:rFonts w:hint="eastAsia" w:ascii="宋体" w:hAnsi="宋体" w:cs="宋体"/>
          <w:bCs/>
          <w:sz w:val="24"/>
          <w:highlight w:val="none"/>
        </w:rPr>
        <w:t>发包人：  (公章)               承包人：  (公章)</w:t>
      </w:r>
    </w:p>
    <w:p w14:paraId="22D571EE">
      <w:pPr>
        <w:spacing w:line="360" w:lineRule="auto"/>
        <w:rPr>
          <w:rFonts w:hint="eastAsia" w:ascii="宋体" w:hAnsi="宋体" w:cs="宋体"/>
          <w:bCs/>
          <w:sz w:val="24"/>
          <w:highlight w:val="none"/>
        </w:rPr>
      </w:pPr>
      <w:r>
        <w:rPr>
          <w:rFonts w:hint="eastAsia" w:ascii="宋体" w:hAnsi="宋体" w:cs="宋体"/>
          <w:bCs/>
          <w:sz w:val="24"/>
          <w:highlight w:val="none"/>
        </w:rPr>
        <w:t>法定代表人                    法定代表人</w:t>
      </w:r>
    </w:p>
    <w:p w14:paraId="3DCC3D12">
      <w:pPr>
        <w:spacing w:line="360" w:lineRule="auto"/>
        <w:rPr>
          <w:rFonts w:hint="eastAsia" w:ascii="宋体" w:hAnsi="宋体" w:cs="宋体"/>
          <w:bCs/>
          <w:sz w:val="24"/>
          <w:highlight w:val="none"/>
        </w:rPr>
      </w:pPr>
      <w:r>
        <w:rPr>
          <w:rFonts w:hint="eastAsia" w:ascii="宋体" w:hAnsi="宋体" w:cs="宋体"/>
          <w:bCs/>
          <w:sz w:val="24"/>
          <w:highlight w:val="none"/>
        </w:rPr>
        <w:t>或其委托代理人（签字）：      或其委托代理人（签字）：</w:t>
      </w:r>
    </w:p>
    <w:p w14:paraId="7745B318">
      <w:pPr>
        <w:tabs>
          <w:tab w:val="left" w:pos="4410"/>
        </w:tabs>
        <w:spacing w:line="360" w:lineRule="auto"/>
        <w:rPr>
          <w:rFonts w:hint="eastAsia" w:ascii="宋体" w:hAnsi="宋体" w:cs="宋体"/>
          <w:bCs/>
          <w:sz w:val="24"/>
          <w:highlight w:val="none"/>
        </w:rPr>
      </w:pPr>
      <w:r>
        <w:rPr>
          <w:rFonts w:hint="eastAsia" w:ascii="宋体" w:hAnsi="宋体" w:cs="宋体"/>
          <w:bCs/>
          <w:sz w:val="24"/>
          <w:highlight w:val="none"/>
        </w:rPr>
        <w:t>组织机构代码：</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组织机构代码：</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042F28F2">
      <w:pPr>
        <w:spacing w:line="360" w:lineRule="auto"/>
        <w:rPr>
          <w:rFonts w:hint="eastAsia" w:ascii="宋体" w:hAnsi="宋体" w:cs="宋体"/>
          <w:bCs/>
          <w:sz w:val="24"/>
          <w:highlight w:val="none"/>
        </w:rPr>
      </w:pPr>
      <w:r>
        <w:rPr>
          <w:rFonts w:hint="eastAsia" w:ascii="宋体" w:hAnsi="宋体" w:cs="宋体"/>
          <w:bCs/>
          <w:sz w:val="24"/>
          <w:highlight w:val="none"/>
        </w:rPr>
        <w:t>地  址：</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地  址：</w:t>
      </w:r>
      <w:r>
        <w:rPr>
          <w:rFonts w:hint="eastAsia" w:ascii="宋体" w:hAnsi="宋体" w:cs="宋体"/>
          <w:bCs/>
          <w:sz w:val="24"/>
          <w:highlight w:val="none"/>
          <w:u w:val="single"/>
        </w:rPr>
        <w:t xml:space="preserve">              </w:t>
      </w:r>
    </w:p>
    <w:p w14:paraId="361CAD59">
      <w:pPr>
        <w:spacing w:line="360" w:lineRule="auto"/>
        <w:rPr>
          <w:rFonts w:hint="eastAsia" w:ascii="宋体" w:hAnsi="宋体" w:cs="宋体"/>
          <w:bCs/>
          <w:sz w:val="24"/>
          <w:highlight w:val="none"/>
        </w:rPr>
      </w:pPr>
      <w:r>
        <w:rPr>
          <w:rFonts w:hint="eastAsia" w:ascii="宋体" w:hAnsi="宋体" w:cs="宋体"/>
          <w:bCs/>
          <w:sz w:val="24"/>
          <w:highlight w:val="none"/>
        </w:rPr>
        <w:t>邮政编码：</w:t>
      </w:r>
      <w:r>
        <w:rPr>
          <w:rFonts w:hint="eastAsia" w:ascii="宋体" w:hAnsi="宋体" w:cs="宋体"/>
          <w:bCs/>
          <w:sz w:val="24"/>
          <w:highlight w:val="none"/>
          <w:u w:val="single"/>
        </w:rPr>
        <w:t xml:space="preserve">      </w:t>
      </w:r>
      <w:r>
        <w:rPr>
          <w:rFonts w:hint="eastAsia" w:ascii="宋体" w:hAnsi="宋体" w:cs="宋体"/>
          <w:bCs/>
          <w:sz w:val="24"/>
          <w:highlight w:val="none"/>
        </w:rPr>
        <w:t xml:space="preserve">  邮政编码：</w:t>
      </w:r>
      <w:r>
        <w:rPr>
          <w:rFonts w:hint="eastAsia" w:ascii="宋体" w:hAnsi="宋体" w:cs="宋体"/>
          <w:bCs/>
          <w:sz w:val="24"/>
          <w:highlight w:val="none"/>
          <w:u w:val="single"/>
        </w:rPr>
        <w:t xml:space="preserve">       </w:t>
      </w:r>
    </w:p>
    <w:p w14:paraId="052F7C78">
      <w:pPr>
        <w:spacing w:line="360" w:lineRule="auto"/>
        <w:rPr>
          <w:rFonts w:hint="eastAsia" w:ascii="宋体" w:hAnsi="宋体" w:cs="宋体"/>
          <w:bCs/>
          <w:sz w:val="24"/>
          <w:highlight w:val="none"/>
        </w:rPr>
      </w:pPr>
      <w:r>
        <w:rPr>
          <w:rFonts w:hint="eastAsia" w:ascii="宋体" w:hAnsi="宋体" w:cs="宋体"/>
          <w:bCs/>
          <w:sz w:val="24"/>
          <w:highlight w:val="none"/>
        </w:rPr>
        <w:t>法定代表人：</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法定代表人：</w:t>
      </w:r>
      <w:r>
        <w:rPr>
          <w:rFonts w:hint="eastAsia" w:ascii="宋体" w:hAnsi="宋体" w:cs="宋体"/>
          <w:bCs/>
          <w:sz w:val="24"/>
          <w:highlight w:val="none"/>
          <w:u w:val="single"/>
        </w:rPr>
        <w:t xml:space="preserve">                     </w:t>
      </w:r>
    </w:p>
    <w:p w14:paraId="30508AC5">
      <w:pPr>
        <w:spacing w:line="360" w:lineRule="auto"/>
        <w:rPr>
          <w:rFonts w:hint="eastAsia" w:ascii="宋体" w:hAnsi="宋体" w:cs="宋体"/>
          <w:bCs/>
          <w:sz w:val="24"/>
          <w:highlight w:val="none"/>
        </w:rPr>
      </w:pPr>
      <w:r>
        <w:rPr>
          <w:rFonts w:hint="eastAsia" w:ascii="宋体" w:hAnsi="宋体" w:cs="宋体"/>
          <w:bCs/>
          <w:sz w:val="24"/>
          <w:highlight w:val="none"/>
        </w:rPr>
        <w:t>委托代理人：</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委托代理人：</w:t>
      </w:r>
      <w:r>
        <w:rPr>
          <w:rFonts w:hint="eastAsia" w:ascii="宋体" w:hAnsi="宋体" w:cs="宋体"/>
          <w:bCs/>
          <w:sz w:val="24"/>
          <w:highlight w:val="none"/>
          <w:u w:val="single"/>
        </w:rPr>
        <w:t xml:space="preserve">                           </w:t>
      </w:r>
    </w:p>
    <w:p w14:paraId="388E0026">
      <w:pPr>
        <w:spacing w:line="360" w:lineRule="auto"/>
        <w:rPr>
          <w:rFonts w:hint="eastAsia" w:ascii="宋体" w:hAnsi="宋体" w:cs="宋体"/>
          <w:bCs/>
          <w:sz w:val="24"/>
          <w:highlight w:val="none"/>
        </w:rPr>
      </w:pPr>
      <w:r>
        <w:rPr>
          <w:rFonts w:hint="eastAsia" w:ascii="宋体" w:hAnsi="宋体" w:cs="宋体"/>
          <w:bCs/>
          <w:sz w:val="24"/>
          <w:highlight w:val="none"/>
        </w:rPr>
        <w:t>电  话：</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电  话：</w:t>
      </w:r>
      <w:r>
        <w:rPr>
          <w:rFonts w:hint="eastAsia" w:ascii="宋体" w:hAnsi="宋体" w:cs="宋体"/>
          <w:bCs/>
          <w:sz w:val="24"/>
          <w:highlight w:val="none"/>
          <w:u w:val="single"/>
        </w:rPr>
        <w:t xml:space="preserve">           </w:t>
      </w:r>
    </w:p>
    <w:p w14:paraId="3027FF38">
      <w:pPr>
        <w:spacing w:line="360" w:lineRule="auto"/>
        <w:rPr>
          <w:rFonts w:hint="eastAsia" w:ascii="宋体" w:hAnsi="宋体" w:cs="宋体"/>
          <w:bCs/>
          <w:sz w:val="24"/>
          <w:highlight w:val="none"/>
        </w:rPr>
      </w:pPr>
      <w:r>
        <w:rPr>
          <w:rFonts w:hint="eastAsia" w:ascii="宋体" w:hAnsi="宋体" w:cs="宋体"/>
          <w:bCs/>
          <w:sz w:val="24"/>
          <w:highlight w:val="none"/>
        </w:rPr>
        <w:t>传  真：</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传  真：</w:t>
      </w:r>
      <w:r>
        <w:rPr>
          <w:rFonts w:hint="eastAsia" w:ascii="宋体" w:hAnsi="宋体" w:cs="宋体"/>
          <w:bCs/>
          <w:sz w:val="24"/>
          <w:highlight w:val="none"/>
          <w:u w:val="single"/>
        </w:rPr>
        <w:t xml:space="preserve">         </w:t>
      </w:r>
    </w:p>
    <w:p w14:paraId="30BB42E5">
      <w:pPr>
        <w:spacing w:line="360" w:lineRule="auto"/>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电子信箱：</w:t>
      </w:r>
      <w:r>
        <w:rPr>
          <w:rFonts w:hint="eastAsia" w:ascii="宋体" w:hAnsi="宋体" w:cs="宋体"/>
          <w:bCs/>
          <w:sz w:val="24"/>
          <w:highlight w:val="none"/>
          <w:u w:val="single"/>
        </w:rPr>
        <w:t xml:space="preserve">       </w:t>
      </w:r>
    </w:p>
    <w:p w14:paraId="4DAD343C">
      <w:pPr>
        <w:spacing w:line="360" w:lineRule="auto"/>
        <w:rPr>
          <w:rFonts w:hint="eastAsia" w:ascii="宋体" w:hAnsi="宋体" w:cs="宋体"/>
          <w:bCs/>
          <w:sz w:val="24"/>
          <w:highlight w:val="none"/>
        </w:rPr>
      </w:pPr>
      <w:r>
        <w:rPr>
          <w:rFonts w:hint="eastAsia" w:ascii="宋体" w:hAnsi="宋体" w:cs="宋体"/>
          <w:bCs/>
          <w:sz w:val="24"/>
          <w:highlight w:val="none"/>
        </w:rPr>
        <w:t>开户银行：</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开户银行：</w:t>
      </w:r>
      <w:r>
        <w:rPr>
          <w:rFonts w:hint="eastAsia" w:ascii="宋体" w:hAnsi="宋体" w:cs="宋体"/>
          <w:bCs/>
          <w:sz w:val="24"/>
          <w:highlight w:val="none"/>
          <w:u w:val="single"/>
        </w:rPr>
        <w:t xml:space="preserve">       </w:t>
      </w:r>
    </w:p>
    <w:p w14:paraId="40C5A6AA">
      <w:pPr>
        <w:spacing w:line="360" w:lineRule="auto"/>
        <w:rPr>
          <w:rFonts w:hint="eastAsia" w:ascii="宋体" w:hAnsi="宋体" w:cs="宋体"/>
          <w:bCs/>
          <w:sz w:val="24"/>
          <w:highlight w:val="none"/>
        </w:rPr>
      </w:pPr>
      <w:r>
        <w:rPr>
          <w:rFonts w:hint="eastAsia" w:ascii="宋体" w:hAnsi="宋体" w:cs="宋体"/>
          <w:bCs/>
          <w:sz w:val="24"/>
          <w:highlight w:val="none"/>
        </w:rPr>
        <w:t>账  号：</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账  号：</w:t>
      </w:r>
      <w:r>
        <w:rPr>
          <w:rFonts w:hint="eastAsia" w:ascii="宋体" w:hAnsi="宋体" w:cs="宋体"/>
          <w:bCs/>
          <w:sz w:val="24"/>
          <w:highlight w:val="none"/>
          <w:u w:val="single"/>
        </w:rPr>
        <w:t xml:space="preserve">           </w:t>
      </w:r>
    </w:p>
    <w:p w14:paraId="2B4EFBCC">
      <w:pPr>
        <w:jc w:val="center"/>
        <w:rPr>
          <w:rFonts w:hint="eastAsia" w:ascii="宋体" w:hAnsi="宋体" w:cs="宋体"/>
          <w:bCs/>
          <w:sz w:val="24"/>
          <w:highlight w:val="none"/>
        </w:rPr>
      </w:pPr>
      <w:r>
        <w:rPr>
          <w:rFonts w:hint="eastAsia" w:ascii="宋体" w:hAnsi="宋体" w:cs="宋体"/>
          <w:bCs/>
          <w:sz w:val="24"/>
          <w:highlight w:val="none"/>
        </w:rPr>
        <w:br w:type="page"/>
      </w:r>
      <w:bookmarkStart w:id="76" w:name="_Toc351203494"/>
    </w:p>
    <w:p w14:paraId="38CA6799">
      <w:pPr>
        <w:jc w:val="center"/>
        <w:rPr>
          <w:rFonts w:hint="eastAsia" w:ascii="宋体" w:hAnsi="宋体" w:cs="宋体"/>
          <w:bCs/>
          <w:sz w:val="24"/>
          <w:highlight w:val="none"/>
        </w:rPr>
      </w:pPr>
      <w:r>
        <w:rPr>
          <w:rFonts w:hint="eastAsia" w:ascii="宋体" w:hAnsi="宋体" w:cs="宋体"/>
          <w:bCs/>
          <w:sz w:val="32"/>
          <w:szCs w:val="32"/>
          <w:highlight w:val="none"/>
        </w:rPr>
        <w:t>第二部分 通用合同条款</w:t>
      </w:r>
      <w:bookmarkEnd w:id="76"/>
      <w:bookmarkStart w:id="77" w:name="_Toc337558727"/>
    </w:p>
    <w:p w14:paraId="5A5FFB49">
      <w:pPr>
        <w:ind w:firstLine="480" w:firstLineChars="200"/>
        <w:jc w:val="left"/>
        <w:rPr>
          <w:rFonts w:hint="eastAsia" w:ascii="宋体" w:hAnsi="宋体" w:cs="宋体"/>
          <w:bCs/>
          <w:sz w:val="24"/>
          <w:highlight w:val="none"/>
        </w:rPr>
      </w:pPr>
    </w:p>
    <w:p w14:paraId="1A55ED3F">
      <w:pPr>
        <w:jc w:val="left"/>
        <w:rPr>
          <w:rFonts w:hint="eastAsia" w:ascii="宋体" w:hAnsi="宋体" w:eastAsia="宋体" w:cs="宋体"/>
          <w:bCs/>
          <w:sz w:val="24"/>
          <w:highlight w:val="none"/>
          <w:lang w:eastAsia="zh-CN"/>
        </w:rPr>
      </w:pPr>
    </w:p>
    <w:p w14:paraId="53DB129D">
      <w:pPr>
        <w:rPr>
          <w:rFonts w:hint="eastAsia" w:ascii="宋体" w:hAnsi="宋体" w:cs="宋体"/>
          <w:bCs/>
          <w:sz w:val="24"/>
          <w:highlight w:val="none"/>
        </w:rPr>
      </w:pPr>
    </w:p>
    <w:p w14:paraId="0050C39C">
      <w:pPr>
        <w:rPr>
          <w:rFonts w:hint="eastAsia" w:ascii="宋体" w:hAnsi="宋体" w:cs="宋体"/>
          <w:bCs/>
          <w:sz w:val="24"/>
          <w:highlight w:val="none"/>
        </w:rPr>
      </w:pPr>
    </w:p>
    <w:p w14:paraId="73CFE5C9">
      <w:pPr>
        <w:rPr>
          <w:rFonts w:hint="eastAsia" w:ascii="宋体" w:hAnsi="宋体" w:cs="宋体"/>
          <w:bCs/>
          <w:sz w:val="24"/>
          <w:highlight w:val="none"/>
        </w:rPr>
      </w:pPr>
    </w:p>
    <w:p w14:paraId="435FEECD">
      <w:pPr>
        <w:rPr>
          <w:rFonts w:hint="eastAsia" w:ascii="宋体" w:hAnsi="宋体" w:cs="宋体"/>
          <w:bCs/>
          <w:sz w:val="24"/>
          <w:highlight w:val="none"/>
        </w:rPr>
      </w:pPr>
    </w:p>
    <w:p w14:paraId="383E4778">
      <w:pPr>
        <w:rPr>
          <w:rFonts w:hint="eastAsia" w:ascii="宋体" w:hAnsi="宋体" w:cs="宋体"/>
          <w:bCs/>
          <w:sz w:val="24"/>
          <w:highlight w:val="none"/>
        </w:rPr>
      </w:pPr>
    </w:p>
    <w:p w14:paraId="7C2B88A0">
      <w:pPr>
        <w:rPr>
          <w:rFonts w:hint="eastAsia" w:ascii="宋体" w:hAnsi="宋体" w:cs="宋体"/>
          <w:bCs/>
          <w:sz w:val="24"/>
          <w:highlight w:val="none"/>
        </w:rPr>
      </w:pPr>
    </w:p>
    <w:p w14:paraId="4A5C32DC">
      <w:pPr>
        <w:rPr>
          <w:rFonts w:hint="eastAsia" w:ascii="宋体" w:hAnsi="宋体" w:cs="宋体"/>
          <w:bCs/>
          <w:sz w:val="24"/>
          <w:highlight w:val="none"/>
        </w:rPr>
      </w:pPr>
    </w:p>
    <w:p w14:paraId="7405970D">
      <w:pPr>
        <w:rPr>
          <w:rFonts w:hint="eastAsia" w:ascii="宋体" w:hAnsi="宋体" w:cs="宋体"/>
          <w:bCs/>
          <w:sz w:val="24"/>
          <w:highlight w:val="none"/>
        </w:rPr>
      </w:pPr>
    </w:p>
    <w:p w14:paraId="1367A9E7">
      <w:pPr>
        <w:rPr>
          <w:rFonts w:hint="eastAsia" w:ascii="宋体" w:hAnsi="宋体" w:cs="宋体"/>
          <w:bCs/>
          <w:sz w:val="24"/>
          <w:highlight w:val="none"/>
        </w:rPr>
      </w:pPr>
    </w:p>
    <w:p w14:paraId="4682CD4C">
      <w:pPr>
        <w:rPr>
          <w:rFonts w:hint="eastAsia" w:ascii="宋体" w:hAnsi="宋体" w:cs="宋体"/>
          <w:bCs/>
          <w:sz w:val="24"/>
          <w:highlight w:val="none"/>
        </w:rPr>
      </w:pPr>
    </w:p>
    <w:p w14:paraId="4B684F8E">
      <w:pPr>
        <w:rPr>
          <w:rFonts w:hint="eastAsia" w:ascii="宋体" w:hAnsi="宋体" w:cs="宋体"/>
          <w:bCs/>
          <w:sz w:val="24"/>
          <w:highlight w:val="none"/>
        </w:rPr>
      </w:pPr>
    </w:p>
    <w:p w14:paraId="5FA10DB3">
      <w:pPr>
        <w:rPr>
          <w:rFonts w:hint="eastAsia" w:ascii="宋体" w:hAnsi="宋体" w:cs="宋体"/>
          <w:bCs/>
          <w:sz w:val="24"/>
          <w:highlight w:val="none"/>
        </w:rPr>
      </w:pPr>
    </w:p>
    <w:p w14:paraId="3D047C0C">
      <w:pPr>
        <w:rPr>
          <w:rFonts w:hint="eastAsia" w:ascii="宋体" w:hAnsi="宋体" w:cs="宋体"/>
          <w:bCs/>
          <w:sz w:val="24"/>
          <w:highlight w:val="none"/>
        </w:rPr>
      </w:pPr>
    </w:p>
    <w:p w14:paraId="7F4D1117">
      <w:pPr>
        <w:rPr>
          <w:rFonts w:hint="eastAsia" w:ascii="宋体" w:hAnsi="宋体" w:cs="宋体"/>
          <w:bCs/>
          <w:sz w:val="24"/>
          <w:highlight w:val="none"/>
        </w:rPr>
      </w:pPr>
    </w:p>
    <w:p w14:paraId="5C6C55FD">
      <w:pPr>
        <w:rPr>
          <w:rFonts w:hint="eastAsia" w:ascii="宋体" w:hAnsi="宋体" w:cs="宋体"/>
          <w:bCs/>
          <w:sz w:val="24"/>
          <w:highlight w:val="none"/>
        </w:rPr>
      </w:pPr>
    </w:p>
    <w:p w14:paraId="67D22F8B">
      <w:pPr>
        <w:rPr>
          <w:rFonts w:hint="eastAsia" w:ascii="宋体" w:hAnsi="宋体" w:cs="宋体"/>
          <w:bCs/>
          <w:sz w:val="24"/>
          <w:highlight w:val="none"/>
        </w:rPr>
      </w:pPr>
    </w:p>
    <w:p w14:paraId="249BCB56">
      <w:pPr>
        <w:rPr>
          <w:rFonts w:hint="eastAsia" w:ascii="宋体" w:hAnsi="宋体" w:cs="宋体"/>
          <w:bCs/>
          <w:sz w:val="24"/>
          <w:highlight w:val="none"/>
        </w:rPr>
      </w:pPr>
    </w:p>
    <w:p w14:paraId="4AFFF526">
      <w:pPr>
        <w:rPr>
          <w:rFonts w:hint="eastAsia" w:ascii="宋体" w:hAnsi="宋体" w:cs="宋体"/>
          <w:bCs/>
          <w:sz w:val="24"/>
          <w:highlight w:val="none"/>
        </w:rPr>
      </w:pPr>
    </w:p>
    <w:p w14:paraId="73805373">
      <w:pPr>
        <w:rPr>
          <w:rFonts w:hint="eastAsia" w:ascii="宋体" w:hAnsi="宋体" w:cs="宋体"/>
          <w:bCs/>
          <w:sz w:val="24"/>
          <w:highlight w:val="none"/>
        </w:rPr>
      </w:pPr>
    </w:p>
    <w:p w14:paraId="67D7491F">
      <w:pPr>
        <w:rPr>
          <w:rFonts w:hint="eastAsia" w:ascii="宋体" w:hAnsi="宋体" w:cs="宋体"/>
          <w:bCs/>
          <w:sz w:val="24"/>
          <w:highlight w:val="none"/>
        </w:rPr>
      </w:pPr>
    </w:p>
    <w:p w14:paraId="626FE27F">
      <w:pPr>
        <w:rPr>
          <w:rFonts w:hint="eastAsia" w:ascii="宋体" w:hAnsi="宋体" w:cs="宋体"/>
          <w:bCs/>
          <w:sz w:val="24"/>
          <w:highlight w:val="none"/>
        </w:rPr>
      </w:pPr>
    </w:p>
    <w:p w14:paraId="2F954E96">
      <w:pPr>
        <w:rPr>
          <w:rFonts w:hint="eastAsia" w:ascii="宋体" w:hAnsi="宋体" w:cs="宋体"/>
          <w:bCs/>
          <w:sz w:val="24"/>
          <w:highlight w:val="none"/>
        </w:rPr>
      </w:pPr>
    </w:p>
    <w:p w14:paraId="1973AB94">
      <w:pPr>
        <w:rPr>
          <w:rFonts w:hint="eastAsia" w:ascii="宋体" w:hAnsi="宋体" w:cs="宋体"/>
          <w:bCs/>
          <w:sz w:val="24"/>
          <w:highlight w:val="none"/>
        </w:rPr>
      </w:pPr>
    </w:p>
    <w:p w14:paraId="2A0AFDF8">
      <w:pPr>
        <w:rPr>
          <w:rFonts w:hint="eastAsia" w:ascii="宋体" w:hAnsi="宋体" w:cs="宋体"/>
          <w:bCs/>
          <w:sz w:val="24"/>
          <w:highlight w:val="none"/>
        </w:rPr>
      </w:pPr>
    </w:p>
    <w:p w14:paraId="031E8E12">
      <w:pPr>
        <w:rPr>
          <w:rFonts w:hint="eastAsia" w:ascii="宋体" w:hAnsi="宋体" w:cs="宋体"/>
          <w:bCs/>
          <w:sz w:val="24"/>
          <w:highlight w:val="none"/>
        </w:rPr>
      </w:pPr>
    </w:p>
    <w:p w14:paraId="6528569D">
      <w:pPr>
        <w:rPr>
          <w:rFonts w:hint="eastAsia" w:ascii="宋体" w:hAnsi="宋体" w:cs="宋体"/>
          <w:bCs/>
          <w:sz w:val="24"/>
          <w:highlight w:val="none"/>
        </w:rPr>
      </w:pPr>
    </w:p>
    <w:p w14:paraId="2A1FD802">
      <w:pPr>
        <w:rPr>
          <w:rFonts w:hint="eastAsia" w:ascii="宋体" w:hAnsi="宋体" w:cs="宋体"/>
          <w:bCs/>
          <w:sz w:val="24"/>
          <w:highlight w:val="none"/>
        </w:rPr>
      </w:pPr>
    </w:p>
    <w:p w14:paraId="3AE4E90F">
      <w:pPr>
        <w:rPr>
          <w:rFonts w:hint="eastAsia" w:ascii="宋体" w:hAnsi="宋体" w:cs="宋体"/>
          <w:bCs/>
          <w:sz w:val="24"/>
          <w:highlight w:val="none"/>
        </w:rPr>
      </w:pPr>
    </w:p>
    <w:p w14:paraId="1F0D5A73">
      <w:pPr>
        <w:rPr>
          <w:rFonts w:hint="eastAsia" w:ascii="宋体" w:hAnsi="宋体" w:cs="宋体"/>
          <w:bCs/>
          <w:sz w:val="24"/>
          <w:highlight w:val="none"/>
        </w:rPr>
      </w:pPr>
    </w:p>
    <w:p w14:paraId="111F55AC">
      <w:pPr>
        <w:rPr>
          <w:rFonts w:hint="eastAsia" w:ascii="宋体" w:hAnsi="宋体" w:cs="宋体"/>
          <w:bCs/>
          <w:sz w:val="24"/>
          <w:highlight w:val="none"/>
        </w:rPr>
      </w:pPr>
    </w:p>
    <w:p w14:paraId="33326322">
      <w:pPr>
        <w:rPr>
          <w:rFonts w:hint="eastAsia" w:ascii="宋体" w:hAnsi="宋体" w:cs="宋体"/>
          <w:bCs/>
          <w:sz w:val="24"/>
          <w:highlight w:val="none"/>
        </w:rPr>
      </w:pPr>
    </w:p>
    <w:p w14:paraId="26DDF716">
      <w:pPr>
        <w:rPr>
          <w:rFonts w:hint="eastAsia" w:ascii="宋体" w:hAnsi="宋体" w:cs="宋体"/>
          <w:bCs/>
          <w:sz w:val="24"/>
          <w:highlight w:val="none"/>
        </w:rPr>
      </w:pPr>
    </w:p>
    <w:p w14:paraId="54D6CA8D">
      <w:pPr>
        <w:rPr>
          <w:rFonts w:hint="eastAsia" w:ascii="宋体" w:hAnsi="宋体" w:cs="宋体"/>
          <w:bCs/>
          <w:sz w:val="24"/>
          <w:highlight w:val="none"/>
        </w:rPr>
      </w:pPr>
    </w:p>
    <w:p w14:paraId="6AA6F556">
      <w:pPr>
        <w:rPr>
          <w:rFonts w:hint="eastAsia" w:ascii="宋体" w:hAnsi="宋体" w:cs="宋体"/>
          <w:bCs/>
          <w:sz w:val="24"/>
          <w:highlight w:val="none"/>
        </w:rPr>
      </w:pPr>
    </w:p>
    <w:p w14:paraId="3CECF6AC">
      <w:pPr>
        <w:rPr>
          <w:rFonts w:hint="eastAsia" w:ascii="宋体" w:hAnsi="宋体" w:cs="宋体"/>
          <w:bCs/>
          <w:sz w:val="24"/>
          <w:highlight w:val="none"/>
        </w:rPr>
      </w:pPr>
    </w:p>
    <w:p w14:paraId="35F165F3">
      <w:pPr>
        <w:rPr>
          <w:rFonts w:hint="eastAsia" w:ascii="宋体" w:hAnsi="宋体" w:cs="宋体"/>
          <w:bCs/>
          <w:sz w:val="24"/>
          <w:highlight w:val="none"/>
        </w:rPr>
      </w:pPr>
    </w:p>
    <w:p w14:paraId="26CEDDF0">
      <w:pPr>
        <w:rPr>
          <w:rFonts w:hint="eastAsia" w:ascii="宋体" w:hAnsi="宋体" w:cs="宋体"/>
          <w:bCs/>
          <w:sz w:val="24"/>
          <w:highlight w:val="none"/>
        </w:rPr>
      </w:pPr>
    </w:p>
    <w:p w14:paraId="71ADF14D">
      <w:pPr>
        <w:rPr>
          <w:rFonts w:hint="eastAsia" w:ascii="宋体" w:hAnsi="宋体" w:cs="宋体"/>
          <w:bCs/>
          <w:sz w:val="24"/>
          <w:highlight w:val="none"/>
        </w:rPr>
      </w:pPr>
    </w:p>
    <w:p w14:paraId="694D038F">
      <w:pPr>
        <w:rPr>
          <w:rFonts w:hint="eastAsia" w:ascii="宋体" w:hAnsi="宋体" w:cs="宋体"/>
          <w:bCs/>
          <w:sz w:val="24"/>
          <w:highlight w:val="none"/>
        </w:rPr>
      </w:pPr>
    </w:p>
    <w:bookmarkEnd w:id="77"/>
    <w:p w14:paraId="7439824F">
      <w:pPr>
        <w:rPr>
          <w:rFonts w:hint="eastAsia" w:ascii="宋体" w:hAnsi="宋体" w:cs="宋体"/>
          <w:bCs/>
          <w:sz w:val="32"/>
          <w:szCs w:val="32"/>
          <w:highlight w:val="none"/>
        </w:rPr>
      </w:pPr>
      <w:bookmarkStart w:id="78" w:name="_Toc351203632"/>
      <w:r>
        <w:rPr>
          <w:rFonts w:hint="eastAsia" w:ascii="宋体" w:hAnsi="宋体" w:cs="宋体"/>
          <w:bCs/>
          <w:sz w:val="32"/>
          <w:szCs w:val="32"/>
          <w:highlight w:val="none"/>
        </w:rPr>
        <w:br w:type="page"/>
      </w:r>
    </w:p>
    <w:p w14:paraId="14FA9A53">
      <w:pPr>
        <w:jc w:val="center"/>
        <w:rPr>
          <w:rFonts w:hint="eastAsia" w:ascii="宋体" w:hAnsi="宋体" w:cs="宋体"/>
          <w:bCs/>
          <w:sz w:val="32"/>
          <w:szCs w:val="32"/>
          <w:highlight w:val="none"/>
        </w:rPr>
      </w:pPr>
      <w:r>
        <w:rPr>
          <w:rFonts w:hint="eastAsia" w:ascii="宋体" w:hAnsi="宋体" w:cs="宋体"/>
          <w:bCs/>
          <w:sz w:val="32"/>
          <w:szCs w:val="32"/>
          <w:highlight w:val="none"/>
        </w:rPr>
        <w:t>第三部分 专用合同条款</w:t>
      </w:r>
      <w:bookmarkEnd w:id="78"/>
    </w:p>
    <w:p w14:paraId="632C22FB">
      <w:pPr>
        <w:spacing w:before="120" w:after="120" w:line="360" w:lineRule="auto"/>
        <w:jc w:val="left"/>
        <w:rPr>
          <w:rFonts w:hint="eastAsia" w:ascii="宋体" w:hAnsi="宋体" w:cs="宋体"/>
          <w:bCs/>
          <w:sz w:val="24"/>
          <w:highlight w:val="none"/>
        </w:rPr>
      </w:pPr>
      <w:bookmarkStart w:id="79" w:name="_Toc351203633"/>
      <w:r>
        <w:rPr>
          <w:rFonts w:hint="eastAsia" w:ascii="宋体" w:hAnsi="宋体" w:cs="宋体"/>
          <w:bCs/>
          <w:sz w:val="24"/>
          <w:highlight w:val="none"/>
        </w:rPr>
        <w:t>1</w:t>
      </w:r>
      <w:bookmarkStart w:id="80" w:name="_Toc296503156"/>
      <w:bookmarkStart w:id="81" w:name="_Toc296891196"/>
      <w:bookmarkStart w:id="82" w:name="_Toc297120456"/>
      <w:bookmarkStart w:id="83" w:name="_Toc296346657"/>
      <w:bookmarkStart w:id="84" w:name="_Toc292559866"/>
      <w:bookmarkStart w:id="85" w:name="_Toc296347155"/>
      <w:bookmarkStart w:id="86" w:name="_Toc297048342"/>
      <w:bookmarkStart w:id="87" w:name="_Toc296890984"/>
      <w:bookmarkStart w:id="88" w:name="_Toc296944495"/>
      <w:bookmarkStart w:id="89" w:name="_Toc292559361"/>
      <w:r>
        <w:rPr>
          <w:rFonts w:hint="eastAsia" w:ascii="宋体" w:hAnsi="宋体" w:cs="宋体"/>
          <w:bCs/>
          <w:sz w:val="24"/>
          <w:highlight w:val="none"/>
        </w:rPr>
        <w:t>. 一般约定</w:t>
      </w:r>
      <w:bookmarkEnd w:id="79"/>
    </w:p>
    <w:bookmarkEnd w:id="80"/>
    <w:bookmarkEnd w:id="81"/>
    <w:bookmarkEnd w:id="82"/>
    <w:bookmarkEnd w:id="83"/>
    <w:bookmarkEnd w:id="84"/>
    <w:bookmarkEnd w:id="85"/>
    <w:bookmarkEnd w:id="86"/>
    <w:bookmarkEnd w:id="87"/>
    <w:bookmarkEnd w:id="88"/>
    <w:bookmarkEnd w:id="89"/>
    <w:p w14:paraId="1D6E321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 词语定义</w:t>
      </w:r>
    </w:p>
    <w:p w14:paraId="7263936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1.1.1合同</w:t>
      </w:r>
    </w:p>
    <w:p w14:paraId="7C3313E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1.1.1.10其他合同文件包括：</w:t>
      </w:r>
      <w:r>
        <w:rPr>
          <w:rFonts w:hint="eastAsia" w:ascii="宋体" w:hAnsi="宋体" w:cs="宋体"/>
          <w:bCs/>
          <w:sz w:val="24"/>
          <w:highlight w:val="none"/>
          <w:u w:val="single"/>
        </w:rPr>
        <w:t>履行合同过程中双方总经理以上管理者（或双方工地代表人）书面确认的对合同内容有实质性影响的会议纪要、签证、设计变更等资料</w:t>
      </w:r>
      <w:r>
        <w:rPr>
          <w:rFonts w:hint="eastAsia" w:ascii="宋体" w:hAnsi="宋体" w:cs="宋体"/>
          <w:bCs/>
          <w:sz w:val="24"/>
          <w:highlight w:val="none"/>
        </w:rPr>
        <w:t>。</w:t>
      </w:r>
    </w:p>
    <w:p w14:paraId="1FF7ACE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 合同当事人及其他相关方</w:t>
      </w:r>
    </w:p>
    <w:p w14:paraId="1CDF6E1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1.1.2.4监理人：</w:t>
      </w:r>
    </w:p>
    <w:p w14:paraId="394773B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名    称：</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3946A4D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资质类别和等级：</w:t>
      </w:r>
      <w:r>
        <w:rPr>
          <w:rFonts w:hint="eastAsia" w:ascii="宋体" w:hAnsi="宋体" w:cs="宋体"/>
          <w:bCs/>
          <w:sz w:val="24"/>
          <w:highlight w:val="none"/>
          <w:u w:val="single"/>
        </w:rPr>
        <w:t>               </w:t>
      </w:r>
      <w:r>
        <w:rPr>
          <w:rFonts w:hint="eastAsia" w:ascii="宋体" w:hAnsi="宋体" w:cs="宋体"/>
          <w:bCs/>
          <w:sz w:val="24"/>
          <w:highlight w:val="none"/>
        </w:rPr>
        <w:t>；</w:t>
      </w:r>
    </w:p>
    <w:p w14:paraId="58F75BC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w:t>
      </w:r>
      <w:r>
        <w:rPr>
          <w:rFonts w:hint="eastAsia" w:ascii="宋体" w:hAnsi="宋体" w:cs="宋体"/>
          <w:bCs/>
          <w:sz w:val="24"/>
          <w:highlight w:val="none"/>
        </w:rPr>
        <w:t>；</w:t>
      </w:r>
    </w:p>
    <w:p w14:paraId="738841B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w:t>
      </w:r>
      <w:r>
        <w:rPr>
          <w:rFonts w:hint="eastAsia" w:ascii="宋体" w:hAnsi="宋体" w:cs="宋体"/>
          <w:bCs/>
          <w:sz w:val="24"/>
          <w:highlight w:val="none"/>
        </w:rPr>
        <w:t>；</w:t>
      </w:r>
    </w:p>
    <w:p w14:paraId="2F0BE4B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1268A90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1.1.2.5 设计人：</w:t>
      </w:r>
    </w:p>
    <w:p w14:paraId="3DA45BA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名    称：</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347BC62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资质类别和等级：</w:t>
      </w:r>
      <w:r>
        <w:rPr>
          <w:rFonts w:hint="eastAsia" w:ascii="宋体" w:hAnsi="宋体" w:cs="宋体"/>
          <w:bCs/>
          <w:sz w:val="24"/>
          <w:highlight w:val="none"/>
          <w:u w:val="single"/>
        </w:rPr>
        <w:t>               </w:t>
      </w:r>
      <w:r>
        <w:rPr>
          <w:rFonts w:hint="eastAsia" w:ascii="宋体" w:hAnsi="宋体" w:cs="宋体"/>
          <w:bCs/>
          <w:sz w:val="24"/>
          <w:highlight w:val="none"/>
        </w:rPr>
        <w:t>；</w:t>
      </w:r>
    </w:p>
    <w:p w14:paraId="3C5CE07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w:t>
      </w:r>
      <w:r>
        <w:rPr>
          <w:rFonts w:hint="eastAsia" w:ascii="宋体" w:hAnsi="宋体" w:cs="宋体"/>
          <w:bCs/>
          <w:sz w:val="24"/>
          <w:highlight w:val="none"/>
        </w:rPr>
        <w:t>；</w:t>
      </w:r>
    </w:p>
    <w:p w14:paraId="614F9EF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2A38962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72FA3B1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 工程和设备</w:t>
      </w:r>
    </w:p>
    <w:p w14:paraId="5EA1C6F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1.1.3.7 作为施工现场组成部分的其他场所包括：</w:t>
      </w:r>
      <w:r>
        <w:rPr>
          <w:rFonts w:hint="eastAsia" w:ascii="宋体" w:hAnsi="宋体" w:cs="宋体"/>
          <w:bCs/>
          <w:sz w:val="24"/>
          <w:highlight w:val="none"/>
          <w:u w:val="single"/>
        </w:rPr>
        <w:t xml:space="preserve">  符合通用条款规定的发包方提供的施工场地。</w:t>
      </w:r>
    </w:p>
    <w:p w14:paraId="75A14F3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1.1.3.9 永久占地包括：</w:t>
      </w:r>
      <w:r>
        <w:rPr>
          <w:rFonts w:hint="eastAsia" w:ascii="宋体" w:hAnsi="宋体" w:cs="宋体"/>
          <w:bCs/>
          <w:sz w:val="24"/>
          <w:highlight w:val="none"/>
          <w:u w:val="single"/>
        </w:rPr>
        <w:t xml:space="preserve">     双方在合同履行过程中确定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59A607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1.1.3.10 临时占地包括：</w:t>
      </w:r>
      <w:r>
        <w:rPr>
          <w:rFonts w:hint="eastAsia" w:ascii="宋体" w:hAnsi="宋体" w:cs="宋体"/>
          <w:bCs/>
          <w:sz w:val="24"/>
          <w:highlight w:val="none"/>
          <w:u w:val="single"/>
        </w:rPr>
        <w:t xml:space="preserve">      双方在合同履行过程中确定    </w:t>
      </w:r>
      <w:r>
        <w:rPr>
          <w:rFonts w:hint="eastAsia" w:ascii="宋体" w:hAnsi="宋体" w:cs="宋体"/>
          <w:bCs/>
          <w:sz w:val="24"/>
          <w:highlight w:val="none"/>
        </w:rPr>
        <w:t>。</w:t>
      </w:r>
    </w:p>
    <w:p w14:paraId="028D797C">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1.3法律 </w:t>
      </w:r>
    </w:p>
    <w:p w14:paraId="2ECE1F38">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rPr>
        <w:t>适用于合同的其他规范性文件：</w:t>
      </w:r>
      <w:r>
        <w:rPr>
          <w:rFonts w:hint="eastAsia" w:ascii="宋体" w:hAnsi="宋体" w:cs="宋体"/>
          <w:bCs/>
          <w:sz w:val="24"/>
          <w:highlight w:val="none"/>
          <w:u w:val="single"/>
        </w:rPr>
        <w:t>包括但不限于：《建设工程质量管理条例》、</w:t>
      </w:r>
      <w:r>
        <w:rPr>
          <w:rFonts w:hint="eastAsia" w:ascii="宋体" w:hAnsi="宋体" w:cs="宋体"/>
          <w:bCs/>
          <w:spacing w:val="-4"/>
          <w:sz w:val="24"/>
          <w:highlight w:val="none"/>
          <w:u w:val="single"/>
        </w:rPr>
        <w:t>《中华人民共和国</w:t>
      </w:r>
      <w:r>
        <w:rPr>
          <w:rFonts w:hint="eastAsia" w:hAnsi="宋体" w:cs="宋体"/>
          <w:bCs/>
          <w:spacing w:val="-4"/>
          <w:sz w:val="24"/>
          <w:highlight w:val="none"/>
          <w:u w:val="single"/>
          <w:lang w:eastAsia="zh-CN"/>
        </w:rPr>
        <w:t>民法典</w:t>
      </w:r>
      <w:r>
        <w:rPr>
          <w:rFonts w:hint="eastAsia" w:ascii="宋体" w:hAnsi="宋体" w:cs="宋体"/>
          <w:bCs/>
          <w:spacing w:val="-4"/>
          <w:sz w:val="24"/>
          <w:highlight w:val="none"/>
          <w:u w:val="single"/>
        </w:rPr>
        <w:t>》、《中华人民共和国建筑法》</w:t>
      </w:r>
      <w:r>
        <w:rPr>
          <w:rFonts w:hint="eastAsia" w:hAnsi="宋体" w:cs="宋体"/>
          <w:bCs/>
          <w:spacing w:val="-4"/>
          <w:sz w:val="24"/>
          <w:highlight w:val="none"/>
          <w:u w:val="single"/>
          <w:lang w:eastAsia="zh-CN"/>
        </w:rPr>
        <w:t>、</w:t>
      </w:r>
      <w:r>
        <w:rPr>
          <w:rFonts w:hint="eastAsia" w:asciiTheme="minorEastAsia" w:hAnsiTheme="minorEastAsia" w:eastAsiaTheme="minorEastAsia" w:cstheme="minorEastAsia"/>
          <w:color w:val="000000"/>
          <w:sz w:val="24"/>
          <w:szCs w:val="24"/>
          <w:highlight w:val="none"/>
          <w:u w:val="single"/>
        </w:rPr>
        <w:t>《建设工程安全生产管理条例》</w:t>
      </w:r>
      <w:r>
        <w:rPr>
          <w:rFonts w:hint="eastAsia" w:ascii="宋体" w:hAnsi="宋体" w:cs="宋体"/>
          <w:bCs/>
          <w:spacing w:val="-4"/>
          <w:sz w:val="24"/>
          <w:highlight w:val="none"/>
          <w:u w:val="single"/>
        </w:rPr>
        <w:t>及地方当期强制执行文件等。</w:t>
      </w:r>
    </w:p>
    <w:p w14:paraId="212109F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 标准和规范</w:t>
      </w:r>
    </w:p>
    <w:p w14:paraId="6A1CC86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1.4.1适用于工程的标准规范包括：</w:t>
      </w:r>
      <w:r>
        <w:rPr>
          <w:rFonts w:hint="eastAsia" w:ascii="宋体" w:hAnsi="宋体" w:cs="宋体"/>
          <w:bCs/>
          <w:sz w:val="24"/>
          <w:highlight w:val="none"/>
          <w:u w:val="single"/>
        </w:rPr>
        <w:t xml:space="preserve">本合同适用国家、行业及工程所在地现行的标准和规范（执行设计和法规明确的标准、规范，未明确的由工程师明确或由承包人提出经工程师书面同意后执行）。 </w:t>
      </w:r>
    </w:p>
    <w:p w14:paraId="2947B57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1.4.2 发包人提供国外标准、规范的名称：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ED0CF0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发包人提供国外标准、规范的份数：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22B1B4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发包人提供国外标准、规范的名称：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94812DB">
      <w:pPr>
        <w:spacing w:line="360" w:lineRule="auto"/>
        <w:ind w:left="682" w:leftChars="284"/>
        <w:rPr>
          <w:rFonts w:hint="eastAsia" w:ascii="宋体" w:hAnsi="宋体" w:cs="宋体"/>
          <w:bCs/>
          <w:sz w:val="24"/>
          <w:highlight w:val="none"/>
        </w:rPr>
      </w:pPr>
      <w:r>
        <w:rPr>
          <w:rFonts w:hint="eastAsia" w:ascii="宋体" w:hAnsi="宋体" w:cs="宋体"/>
          <w:bCs/>
          <w:sz w:val="24"/>
          <w:highlight w:val="none"/>
        </w:rPr>
        <w:t>1.4.3发包人对工程的技术标准和功能要求的特殊要求：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043FFB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 合同文件的优先顺序</w:t>
      </w:r>
    </w:p>
    <w:p w14:paraId="000D8F1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合同文件组成及优先顺序为：</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7FEB786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 图纸和承包人文件</w:t>
      </w:r>
      <w:r>
        <w:rPr>
          <w:rFonts w:hint="eastAsia" w:ascii="宋体" w:hAnsi="宋体" w:cs="宋体"/>
          <w:bCs/>
          <w:sz w:val="24"/>
          <w:highlight w:val="none"/>
        </w:rPr>
        <w:tab/>
      </w:r>
    </w:p>
    <w:p w14:paraId="126EF62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1.6.1 图纸的提供</w:t>
      </w:r>
    </w:p>
    <w:p w14:paraId="3584367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发包人向承包人提供图纸的期限：</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536A80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发包人向承包人提供图纸的数量：</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A9E7CE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发包人向承包人提供图纸的内容：</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2FA3A30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1.6.4 承包人文件</w:t>
      </w:r>
    </w:p>
    <w:p w14:paraId="730D027F">
      <w:pPr>
        <w:spacing w:line="360" w:lineRule="auto"/>
        <w:ind w:left="682" w:leftChars="284"/>
        <w:jc w:val="left"/>
        <w:rPr>
          <w:rFonts w:hint="eastAsia" w:ascii="宋体" w:hAnsi="宋体" w:cs="宋体"/>
          <w:bCs/>
          <w:sz w:val="24"/>
          <w:highlight w:val="none"/>
        </w:rPr>
      </w:pPr>
      <w:r>
        <w:rPr>
          <w:rFonts w:hint="eastAsia" w:ascii="宋体" w:hAnsi="宋体" w:cs="宋体"/>
          <w:bCs/>
          <w:sz w:val="24"/>
          <w:highlight w:val="none"/>
        </w:rPr>
        <w:t>需要由承包人提供的文件，包括：</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FC9A19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承包人提供的文件的期限为：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71B0B9E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承包人提供的文件的数量为：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74F297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承包人提供的文件的形式为：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465087D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发包人审批承包人文件的期限：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06809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1.6.5 现场图纸准备</w:t>
      </w:r>
    </w:p>
    <w:p w14:paraId="6826DDC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关于现场图纸准备的约定：</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01A39E16">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 联络</w:t>
      </w:r>
    </w:p>
    <w:p w14:paraId="49714E8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1.7.1发包人和承包人应当在</w:t>
      </w:r>
      <w:r>
        <w:rPr>
          <w:rFonts w:hint="eastAsia" w:ascii="宋体" w:hAnsi="宋体" w:cs="宋体"/>
          <w:bCs/>
          <w:sz w:val="24"/>
          <w:highlight w:val="none"/>
          <w:u w:val="single"/>
        </w:rPr>
        <w:t>7</w:t>
      </w:r>
      <w:r>
        <w:rPr>
          <w:rFonts w:hint="eastAsia" w:ascii="宋体" w:hAnsi="宋体" w:cs="宋体"/>
          <w:bCs/>
          <w:sz w:val="24"/>
          <w:highlight w:val="none"/>
        </w:rPr>
        <w:t>天内将与合同有关的通知、批准、证明、证书、指示、指令、要求、请求、同意、意见、确定和决定等书面函件送达对方当事人。</w:t>
      </w:r>
    </w:p>
    <w:p w14:paraId="4679334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1.7.2 发包人接收文件的地点：</w:t>
      </w:r>
      <w:r>
        <w:rPr>
          <w:rFonts w:hint="eastAsia" w:ascii="宋体" w:hAnsi="宋体" w:cs="宋体"/>
          <w:bCs/>
          <w:sz w:val="24"/>
          <w:highlight w:val="none"/>
          <w:u w:val="single"/>
        </w:rPr>
        <w:t xml:space="preserve">         项目所在地发包人办公室        </w:t>
      </w:r>
      <w:r>
        <w:rPr>
          <w:rFonts w:hint="eastAsia" w:ascii="宋体" w:hAnsi="宋体" w:cs="宋体"/>
          <w:bCs/>
          <w:sz w:val="24"/>
          <w:highlight w:val="none"/>
        </w:rPr>
        <w:t>；</w:t>
      </w:r>
    </w:p>
    <w:p w14:paraId="7AD836A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发包人指定的接收人为：</w:t>
      </w:r>
      <w:r>
        <w:rPr>
          <w:rFonts w:hint="eastAsia" w:ascii="宋体" w:hAnsi="宋体" w:cs="宋体"/>
          <w:bCs/>
          <w:sz w:val="24"/>
          <w:highlight w:val="none"/>
          <w:u w:val="single"/>
        </w:rPr>
        <w:t xml:space="preserve">             发包人驻工地代表            </w:t>
      </w:r>
      <w:r>
        <w:rPr>
          <w:rFonts w:hint="eastAsia" w:ascii="宋体" w:hAnsi="宋体" w:cs="宋体"/>
          <w:bCs/>
          <w:sz w:val="24"/>
          <w:highlight w:val="none"/>
        </w:rPr>
        <w:t>。</w:t>
      </w:r>
    </w:p>
    <w:p w14:paraId="1CD2006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承包人接收文件的地点：</w:t>
      </w:r>
      <w:r>
        <w:rPr>
          <w:rFonts w:hint="eastAsia" w:ascii="宋体" w:hAnsi="宋体" w:cs="宋体"/>
          <w:bCs/>
          <w:sz w:val="24"/>
          <w:highlight w:val="none"/>
          <w:u w:val="single"/>
        </w:rPr>
        <w:t xml:space="preserve">              项目所在地承包人办公室         </w:t>
      </w:r>
      <w:r>
        <w:rPr>
          <w:rFonts w:hint="eastAsia" w:ascii="宋体" w:hAnsi="宋体" w:cs="宋体"/>
          <w:bCs/>
          <w:sz w:val="24"/>
          <w:highlight w:val="none"/>
        </w:rPr>
        <w:t>；</w:t>
      </w:r>
    </w:p>
    <w:p w14:paraId="6BED389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承包人指定的接收人为：</w:t>
      </w:r>
      <w:r>
        <w:rPr>
          <w:rFonts w:hint="eastAsia" w:ascii="宋体" w:hAnsi="宋体" w:cs="宋体"/>
          <w:bCs/>
          <w:sz w:val="24"/>
          <w:highlight w:val="none"/>
          <w:u w:val="single"/>
        </w:rPr>
        <w:t xml:space="preserve">              承包方项目经理                </w:t>
      </w:r>
      <w:r>
        <w:rPr>
          <w:rFonts w:hint="eastAsia" w:ascii="宋体" w:hAnsi="宋体" w:cs="宋体"/>
          <w:bCs/>
          <w:sz w:val="24"/>
          <w:highlight w:val="none"/>
        </w:rPr>
        <w:t>。</w:t>
      </w:r>
    </w:p>
    <w:p w14:paraId="0C0A838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监理人接收文件的地点：</w:t>
      </w:r>
      <w:r>
        <w:rPr>
          <w:rFonts w:hint="eastAsia" w:ascii="宋体" w:hAnsi="宋体" w:cs="宋体"/>
          <w:bCs/>
          <w:sz w:val="24"/>
          <w:highlight w:val="none"/>
          <w:u w:val="single"/>
        </w:rPr>
        <w:t xml:space="preserve">              项目所在地监理人办公室    </w:t>
      </w:r>
      <w:r>
        <w:rPr>
          <w:rFonts w:hint="eastAsia" w:ascii="宋体" w:hAnsi="宋体" w:cs="宋体"/>
          <w:bCs/>
          <w:sz w:val="24"/>
          <w:highlight w:val="none"/>
        </w:rPr>
        <w:t>；</w:t>
      </w:r>
    </w:p>
    <w:p w14:paraId="488FDA0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监理人指定的接收人为：</w:t>
      </w:r>
      <w:r>
        <w:rPr>
          <w:rFonts w:hint="eastAsia" w:ascii="宋体" w:hAnsi="宋体" w:cs="宋体"/>
          <w:bCs/>
          <w:sz w:val="24"/>
          <w:highlight w:val="none"/>
          <w:u w:val="single"/>
        </w:rPr>
        <w:t xml:space="preserve">              项目总监或总监代表        </w:t>
      </w:r>
      <w:r>
        <w:rPr>
          <w:rFonts w:hint="eastAsia" w:ascii="宋体" w:hAnsi="宋体" w:cs="宋体"/>
          <w:bCs/>
          <w:sz w:val="24"/>
          <w:highlight w:val="none"/>
        </w:rPr>
        <w:t>。</w:t>
      </w:r>
    </w:p>
    <w:p w14:paraId="1E3843E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1.10 交通运输</w:t>
      </w:r>
    </w:p>
    <w:p w14:paraId="660AA26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90" w:name="_Toc318581155"/>
      <w:bookmarkStart w:id="91" w:name="_Toc304295521"/>
      <w:bookmarkStart w:id="92" w:name="_Toc312677986"/>
      <w:bookmarkStart w:id="93" w:name="_Toc303539100"/>
      <w:bookmarkStart w:id="94" w:name="_Toc300934943"/>
      <w:r>
        <w:rPr>
          <w:rFonts w:hint="eastAsia" w:ascii="宋体" w:hAnsi="宋体" w:cs="宋体"/>
          <w:bCs/>
          <w:sz w:val="24"/>
          <w:highlight w:val="none"/>
        </w:rPr>
        <w:t>.10.1 出入现场的权利</w:t>
      </w:r>
    </w:p>
    <w:p w14:paraId="0DD5D61A">
      <w:pPr>
        <w:spacing w:line="360" w:lineRule="auto"/>
        <w:ind w:firstLine="480" w:firstLineChars="200"/>
        <w:rPr>
          <w:rFonts w:hint="default" w:ascii="宋体" w:hAnsi="宋体" w:eastAsia="宋体" w:cs="宋体"/>
          <w:bCs/>
          <w:sz w:val="24"/>
          <w:highlight w:val="none"/>
          <w:u w:val="none"/>
          <w:lang w:val="en-US" w:eastAsia="zh-CN"/>
        </w:rPr>
      </w:pPr>
      <w:r>
        <w:rPr>
          <w:rFonts w:hint="eastAsia" w:ascii="宋体" w:hAnsi="宋体" w:cs="宋体"/>
          <w:bCs/>
          <w:sz w:val="24"/>
          <w:highlight w:val="none"/>
        </w:rPr>
        <w:t>关于出入现场的权利的约定：</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none"/>
          <w:lang w:val="en-US" w:eastAsia="zh-CN"/>
        </w:rPr>
        <w:t>。</w:t>
      </w:r>
    </w:p>
    <w:bookmarkEnd w:id="90"/>
    <w:bookmarkEnd w:id="91"/>
    <w:bookmarkEnd w:id="92"/>
    <w:bookmarkEnd w:id="93"/>
    <w:bookmarkEnd w:id="94"/>
    <w:p w14:paraId="3CD29F3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Start w:id="95" w:name="_Toc303539101"/>
      <w:bookmarkStart w:id="96" w:name="_Toc318581156"/>
      <w:bookmarkStart w:id="97" w:name="_Toc300934944"/>
      <w:bookmarkStart w:id="98" w:name="_Toc312677987"/>
      <w:bookmarkStart w:id="99" w:name="_Toc304295522"/>
      <w:r>
        <w:rPr>
          <w:rFonts w:hint="eastAsia" w:ascii="宋体" w:hAnsi="宋体" w:cs="宋体"/>
          <w:bCs/>
          <w:sz w:val="24"/>
          <w:highlight w:val="none"/>
        </w:rPr>
        <w:t>.10.3 场内交通</w:t>
      </w:r>
    </w:p>
    <w:p w14:paraId="609519F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关于场外交通和场内交通的边界的约定：</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4AEB48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关于发包人向承包人免费提供满足工程施工需要的场内道路和交通设施的约定：</w:t>
      </w:r>
      <w:r>
        <w:rPr>
          <w:rFonts w:hint="eastAsia" w:ascii="宋体" w:hAnsi="宋体" w:cs="宋体"/>
          <w:bCs/>
          <w:sz w:val="24"/>
          <w:highlight w:val="none"/>
          <w:u w:val="single"/>
        </w:rPr>
        <w:t xml:space="preserve"> </w:t>
      </w:r>
      <w:r>
        <w:rPr>
          <w:rFonts w:hint="eastAsia" w:ascii="宋体" w:hAnsi="宋体" w:cs="宋体"/>
          <w:bCs/>
          <w:spacing w:val="14"/>
          <w:sz w:val="24"/>
          <w:highlight w:val="none"/>
          <w:u w:val="single"/>
        </w:rPr>
        <w:t xml:space="preserve">       /      </w:t>
      </w:r>
      <w:r>
        <w:rPr>
          <w:rFonts w:hint="eastAsia" w:ascii="宋体" w:hAnsi="宋体" w:cs="宋体"/>
          <w:bCs/>
          <w:sz w:val="24"/>
          <w:highlight w:val="none"/>
          <w:u w:val="single"/>
        </w:rPr>
        <w:t></w:t>
      </w:r>
      <w:r>
        <w:rPr>
          <w:rFonts w:hint="eastAsia" w:ascii="宋体" w:hAnsi="宋体" w:cs="宋体"/>
          <w:bCs/>
          <w:sz w:val="24"/>
          <w:highlight w:val="none"/>
        </w:rPr>
        <w:t>。</w:t>
      </w:r>
      <w:bookmarkEnd w:id="95"/>
      <w:bookmarkEnd w:id="96"/>
      <w:bookmarkEnd w:id="97"/>
      <w:bookmarkEnd w:id="98"/>
      <w:bookmarkEnd w:id="99"/>
      <w:r>
        <w:rPr>
          <w:rFonts w:hint="eastAsia" w:ascii="宋体" w:hAnsi="宋体" w:cs="宋体"/>
          <w:bCs/>
          <w:sz w:val="24"/>
          <w:highlight w:val="none"/>
        </w:rPr>
        <w:t xml:space="preserve">  </w:t>
      </w:r>
      <w:bookmarkStart w:id="100" w:name="_Toc318581157"/>
    </w:p>
    <w:p w14:paraId="5F156AA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1.10.4超大件和超重件的运输</w:t>
      </w:r>
    </w:p>
    <w:p w14:paraId="71C84AB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运输超大件或超重件所需的道路和桥梁临时加固改造费用和其他有关费用由</w:t>
      </w:r>
      <w:r>
        <w:rPr>
          <w:rFonts w:hint="eastAsia" w:ascii="宋体" w:hAnsi="宋体" w:cs="宋体"/>
          <w:bCs/>
          <w:sz w:val="24"/>
          <w:highlight w:val="none"/>
          <w:lang w:val="en-US" w:eastAsia="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承担。</w:t>
      </w:r>
    </w:p>
    <w:bookmarkEnd w:id="100"/>
    <w:p w14:paraId="41CF72B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 知识产权</w:t>
      </w:r>
    </w:p>
    <w:p w14:paraId="2AB149F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27270908">
      <w:pPr>
        <w:spacing w:line="360" w:lineRule="auto"/>
        <w:rPr>
          <w:rFonts w:hint="eastAsia" w:ascii="宋体" w:hAnsi="宋体" w:cs="宋体"/>
          <w:bCs/>
          <w:sz w:val="24"/>
          <w:highlight w:val="none"/>
        </w:rPr>
      </w:pPr>
      <w:r>
        <w:rPr>
          <w:rFonts w:hint="eastAsia" w:ascii="宋体" w:hAnsi="宋体" w:cs="宋体"/>
          <w:bCs/>
          <w:sz w:val="24"/>
          <w:highlight w:val="none"/>
        </w:rPr>
        <w:t>关于发包人提供的上述文件的使用限制的要求：</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3E8D1B3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1.11.2 关于承包人为实施工程所编制文件的著作权的归属：</w:t>
      </w:r>
      <w:r>
        <w:rPr>
          <w:rFonts w:hint="eastAsia" w:ascii="宋体" w:hAnsi="宋体" w:cs="宋体"/>
          <w:bCs/>
          <w:sz w:val="24"/>
          <w:highlight w:val="none"/>
          <w:u w:val="single"/>
        </w:rPr>
        <w:t xml:space="preserve">执行通用条款 </w:t>
      </w:r>
      <w:r>
        <w:rPr>
          <w:rFonts w:hint="eastAsia" w:ascii="宋体" w:hAnsi="宋体" w:cs="宋体"/>
          <w:bCs/>
          <w:sz w:val="24"/>
          <w:highlight w:val="none"/>
        </w:rPr>
        <w:t>。</w:t>
      </w:r>
    </w:p>
    <w:p w14:paraId="6F8F0B5C">
      <w:pPr>
        <w:spacing w:line="360" w:lineRule="auto"/>
        <w:rPr>
          <w:rFonts w:hint="eastAsia" w:ascii="宋体" w:hAnsi="宋体" w:cs="宋体"/>
          <w:bCs/>
          <w:sz w:val="24"/>
          <w:highlight w:val="none"/>
        </w:rPr>
      </w:pPr>
      <w:r>
        <w:rPr>
          <w:rFonts w:hint="eastAsia" w:ascii="宋体" w:hAnsi="宋体" w:cs="宋体"/>
          <w:bCs/>
          <w:sz w:val="24"/>
          <w:highlight w:val="none"/>
        </w:rPr>
        <w:t>关于承包人提供的上述文件的使用限制的要求：</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67A864D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1.11.4 承包人在施工过程中所采用的专利、专有技术、技术秘密的使用费的承担方式：</w:t>
      </w:r>
      <w:r>
        <w:rPr>
          <w:rFonts w:hint="eastAsia" w:ascii="宋体" w:hAnsi="宋体" w:cs="宋体"/>
          <w:bCs/>
          <w:sz w:val="24"/>
          <w:highlight w:val="none"/>
          <w:u w:val="single"/>
        </w:rPr>
        <w:t xml:space="preserve">                        执行通用条款                        </w:t>
      </w:r>
      <w:r>
        <w:rPr>
          <w:rFonts w:hint="eastAsia" w:ascii="宋体" w:hAnsi="宋体" w:cs="宋体"/>
          <w:bCs/>
          <w:sz w:val="24"/>
          <w:highlight w:val="none"/>
        </w:rPr>
        <w:t>。</w:t>
      </w:r>
    </w:p>
    <w:p w14:paraId="3FA6C936">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1.13工程量清单错误的修正</w:t>
      </w:r>
    </w:p>
    <w:p w14:paraId="141A51D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出现工程量清单错误时，是否调整合同价格：</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允许调整</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659DF81">
      <w:pPr>
        <w:spacing w:line="360" w:lineRule="auto"/>
        <w:rPr>
          <w:rFonts w:hint="eastAsia" w:ascii="宋体" w:hAnsi="宋体" w:cs="宋体"/>
          <w:bCs/>
          <w:sz w:val="24"/>
          <w:highlight w:val="none"/>
        </w:rPr>
      </w:pPr>
      <w:r>
        <w:rPr>
          <w:rFonts w:hint="eastAsia" w:ascii="宋体" w:hAnsi="宋体" w:cs="宋体"/>
          <w:bCs/>
          <w:sz w:val="24"/>
          <w:highlight w:val="none"/>
        </w:rPr>
        <w:t>允许调整合同价格的工程量偏差范围：</w:t>
      </w:r>
      <w:r>
        <w:rPr>
          <w:rFonts w:hint="eastAsia" w:ascii="宋体" w:hAnsi="宋体" w:cs="宋体"/>
          <w:bCs/>
          <w:sz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因工程量增减导致合同价款增减超过中标价±5.00%的部分</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2A1DFE56">
      <w:pPr>
        <w:spacing w:before="120" w:after="120" w:line="360" w:lineRule="auto"/>
        <w:jc w:val="left"/>
        <w:rPr>
          <w:rFonts w:hint="eastAsia" w:ascii="宋体" w:hAnsi="宋体" w:cs="宋体"/>
          <w:bCs/>
          <w:sz w:val="24"/>
          <w:highlight w:val="none"/>
        </w:rPr>
      </w:pPr>
      <w:bookmarkStart w:id="101" w:name="_Toc351203634"/>
      <w:r>
        <w:rPr>
          <w:rFonts w:hint="eastAsia" w:ascii="宋体" w:hAnsi="宋体" w:cs="宋体"/>
          <w:bCs/>
          <w:sz w:val="24"/>
          <w:highlight w:val="none"/>
        </w:rPr>
        <w:t>2</w:t>
      </w:r>
      <w:bookmarkStart w:id="102" w:name="_Toc292559362"/>
      <w:bookmarkStart w:id="103" w:name="_Toc296891197"/>
      <w:bookmarkStart w:id="104" w:name="_Toc297048343"/>
      <w:bookmarkStart w:id="105" w:name="_Toc296944496"/>
      <w:bookmarkStart w:id="106" w:name="_Toc296347156"/>
      <w:bookmarkStart w:id="107" w:name="_Toc296890985"/>
      <w:bookmarkStart w:id="108" w:name="_Toc297120457"/>
      <w:bookmarkStart w:id="109" w:name="_Toc296346658"/>
      <w:bookmarkStart w:id="110" w:name="_Toc292559867"/>
      <w:bookmarkStart w:id="111" w:name="_Toc296503157"/>
      <w:r>
        <w:rPr>
          <w:rFonts w:hint="eastAsia" w:ascii="宋体" w:hAnsi="宋体" w:cs="宋体"/>
          <w:bCs/>
          <w:sz w:val="24"/>
          <w:highlight w:val="none"/>
        </w:rPr>
        <w:t>. 发包人</w:t>
      </w:r>
      <w:bookmarkEnd w:id="101"/>
    </w:p>
    <w:bookmarkEnd w:id="102"/>
    <w:bookmarkEnd w:id="103"/>
    <w:bookmarkEnd w:id="104"/>
    <w:bookmarkEnd w:id="105"/>
    <w:bookmarkEnd w:id="106"/>
    <w:bookmarkEnd w:id="107"/>
    <w:bookmarkEnd w:id="108"/>
    <w:bookmarkEnd w:id="109"/>
    <w:bookmarkEnd w:id="110"/>
    <w:bookmarkEnd w:id="111"/>
    <w:p w14:paraId="00AFD7A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2.2 发包人代表</w:t>
      </w:r>
    </w:p>
    <w:p w14:paraId="790324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发包人代表：</w:t>
      </w:r>
    </w:p>
    <w:p w14:paraId="16964B4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 </w:t>
      </w:r>
      <w:r>
        <w:rPr>
          <w:rFonts w:hint="eastAsia" w:ascii="宋体" w:hAnsi="宋体" w:cs="宋体"/>
          <w:bCs/>
          <w:sz w:val="24"/>
          <w:highlight w:val="none"/>
        </w:rPr>
        <w:t>；</w:t>
      </w:r>
    </w:p>
    <w:p w14:paraId="68FBB40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身份证号：</w:t>
      </w:r>
      <w:r>
        <w:rPr>
          <w:rFonts w:hint="eastAsia" w:ascii="宋体" w:hAnsi="宋体" w:cs="宋体"/>
          <w:bCs/>
          <w:sz w:val="24"/>
          <w:highlight w:val="none"/>
          <w:u w:val="single"/>
        </w:rPr>
        <w:t>      </w:t>
      </w:r>
      <w:r>
        <w:rPr>
          <w:rFonts w:hint="eastAsia" w:ascii="宋体" w:hAnsi="宋体" w:cs="宋体"/>
          <w:bCs/>
          <w:sz w:val="24"/>
          <w:highlight w:val="none"/>
        </w:rPr>
        <w:t>；</w:t>
      </w:r>
    </w:p>
    <w:p w14:paraId="3C915D2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职    务：</w:t>
      </w:r>
      <w:r>
        <w:rPr>
          <w:rFonts w:hint="eastAsia" w:ascii="宋体" w:hAnsi="宋体" w:cs="宋体"/>
          <w:bCs/>
          <w:sz w:val="24"/>
          <w:highlight w:val="none"/>
          <w:u w:val="single"/>
        </w:rPr>
        <w:t>    </w:t>
      </w:r>
      <w:r>
        <w:rPr>
          <w:rFonts w:hint="eastAsia" w:ascii="宋体" w:hAnsi="宋体" w:cs="宋体"/>
          <w:bCs/>
          <w:sz w:val="24"/>
          <w:highlight w:val="none"/>
        </w:rPr>
        <w:t>；</w:t>
      </w:r>
    </w:p>
    <w:p w14:paraId="0E816BF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 </w:t>
      </w:r>
      <w:r>
        <w:rPr>
          <w:rFonts w:hint="eastAsia" w:ascii="宋体" w:hAnsi="宋体" w:cs="宋体"/>
          <w:bCs/>
          <w:sz w:val="24"/>
          <w:highlight w:val="none"/>
        </w:rPr>
        <w:t>；</w:t>
      </w:r>
    </w:p>
    <w:p w14:paraId="3ECF2EB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  </w:t>
      </w:r>
      <w:r>
        <w:rPr>
          <w:rFonts w:hint="eastAsia" w:ascii="宋体" w:hAnsi="宋体" w:cs="宋体"/>
          <w:bCs/>
          <w:sz w:val="24"/>
          <w:highlight w:val="none"/>
        </w:rPr>
        <w:t>；</w:t>
      </w:r>
    </w:p>
    <w:p w14:paraId="6A72388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2F08FD4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发包人对发包人代表的授权范围如下：</w:t>
      </w:r>
      <w:r>
        <w:rPr>
          <w:rFonts w:hint="eastAsia" w:ascii="宋体" w:hAnsi="宋体" w:cs="宋体"/>
          <w:bCs/>
          <w:sz w:val="24"/>
          <w:highlight w:val="none"/>
          <w:u w:val="single"/>
        </w:rPr>
        <w:t xml:space="preserve">督促指导监理工程师行使职权，协调施工现场各方面的关系，监督工程质量，进度和安全文明施工中存在的问题，解决有关设计和技术签证，办理、签认现场经济技术签证，审核工程进度报表  </w:t>
      </w:r>
      <w:r>
        <w:rPr>
          <w:rFonts w:hint="eastAsia" w:ascii="宋体" w:hAnsi="宋体" w:cs="宋体"/>
          <w:bCs/>
          <w:sz w:val="24"/>
          <w:highlight w:val="none"/>
        </w:rPr>
        <w:t>。</w:t>
      </w:r>
    </w:p>
    <w:p w14:paraId="531BAE5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 施工现场、施工条件和基础资料的提供</w:t>
      </w:r>
    </w:p>
    <w:p w14:paraId="7822105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2.4.1 提供施工现场</w:t>
      </w:r>
    </w:p>
    <w:p w14:paraId="752F679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关于发包人移交施工现场的期限要求：</w:t>
      </w:r>
      <w:r>
        <w:rPr>
          <w:rFonts w:hint="eastAsia" w:ascii="宋体" w:hAnsi="宋体" w:cs="宋体"/>
          <w:bCs/>
          <w:sz w:val="24"/>
          <w:highlight w:val="none"/>
          <w:u w:val="single"/>
        </w:rPr>
        <w:t xml:space="preserve">   部分施工场地于合同签约日期以前完成，满足部分工程开工条件    </w:t>
      </w:r>
      <w:r>
        <w:rPr>
          <w:rFonts w:hint="eastAsia" w:ascii="宋体" w:hAnsi="宋体" w:cs="宋体"/>
          <w:bCs/>
          <w:sz w:val="24"/>
          <w:highlight w:val="none"/>
        </w:rPr>
        <w:t>。</w:t>
      </w:r>
    </w:p>
    <w:p w14:paraId="453F1A5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2.4.2 提供施工条件</w:t>
      </w:r>
    </w:p>
    <w:p w14:paraId="4021397B">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关于发包人应负责提供施工所需要的条件，包括：</w:t>
      </w:r>
      <w:r>
        <w:rPr>
          <w:rFonts w:hint="eastAsia" w:ascii="宋体" w:hAnsi="宋体" w:cs="宋体"/>
          <w:bCs/>
          <w:sz w:val="24"/>
          <w:highlight w:val="none"/>
          <w:u w:val="single"/>
        </w:rPr>
        <w:t xml:space="preserve">  施工用水、施工用电由发包方将指定接点，并满足施工要求，接点至施工现场段管道/管线、计量设备由承包人自行解决，承包人每月底向发包人缴纳水电费（价格执行施工当地价格）    </w:t>
      </w:r>
      <w:r>
        <w:rPr>
          <w:rFonts w:hint="eastAsia" w:ascii="宋体" w:hAnsi="宋体" w:cs="宋体"/>
          <w:bCs/>
          <w:sz w:val="24"/>
          <w:highlight w:val="none"/>
        </w:rPr>
        <w:t>。</w:t>
      </w:r>
    </w:p>
    <w:p w14:paraId="215694A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2.5 资金来源证明及支付担保</w:t>
      </w:r>
    </w:p>
    <w:p w14:paraId="1349E84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发包人提供资金来源证明的期限要求：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4AD18B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发包人是否提供支付担保：</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4EB7B655">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发包人提供支付担保的形式：</w:t>
      </w:r>
      <w:r>
        <w:rPr>
          <w:rFonts w:hint="eastAsia" w:ascii="宋体" w:hAnsi="宋体" w:cs="宋体"/>
          <w:bCs/>
          <w:sz w:val="24"/>
          <w:highlight w:val="none"/>
          <w:u w:val="single"/>
        </w:rPr>
        <w:t>                 /                 </w:t>
      </w:r>
      <w:r>
        <w:rPr>
          <w:rFonts w:hint="eastAsia" w:ascii="宋体" w:hAnsi="宋体" w:cs="宋体"/>
          <w:bCs/>
          <w:sz w:val="24"/>
          <w:highlight w:val="none"/>
        </w:rPr>
        <w:t>。</w:t>
      </w:r>
    </w:p>
    <w:p w14:paraId="1003F0B4">
      <w:pPr>
        <w:spacing w:before="120" w:after="120" w:line="360" w:lineRule="auto"/>
        <w:jc w:val="left"/>
        <w:rPr>
          <w:rFonts w:hint="eastAsia" w:ascii="宋体" w:hAnsi="宋体" w:cs="宋体"/>
          <w:bCs/>
          <w:sz w:val="24"/>
          <w:highlight w:val="none"/>
        </w:rPr>
      </w:pPr>
      <w:bookmarkStart w:id="112" w:name="_Toc351203635"/>
      <w:r>
        <w:rPr>
          <w:rFonts w:hint="eastAsia" w:ascii="宋体" w:hAnsi="宋体" w:cs="宋体"/>
          <w:bCs/>
          <w:sz w:val="24"/>
          <w:highlight w:val="none"/>
        </w:rPr>
        <w:t>3</w:t>
      </w:r>
      <w:bookmarkStart w:id="113" w:name="_Toc292559868"/>
      <w:bookmarkStart w:id="114" w:name="_Toc297120458"/>
      <w:bookmarkStart w:id="115" w:name="_Toc296347157"/>
      <w:bookmarkStart w:id="116" w:name="_Toc292559363"/>
      <w:bookmarkStart w:id="117" w:name="_Toc296944497"/>
      <w:bookmarkStart w:id="118" w:name="_Toc296503158"/>
      <w:bookmarkStart w:id="119" w:name="_Toc297048344"/>
      <w:bookmarkStart w:id="120" w:name="_Toc296346659"/>
      <w:bookmarkStart w:id="121" w:name="_Toc296891198"/>
      <w:bookmarkStart w:id="122" w:name="_Toc296890986"/>
      <w:r>
        <w:rPr>
          <w:rFonts w:hint="eastAsia" w:ascii="宋体" w:hAnsi="宋体" w:cs="宋体"/>
          <w:bCs/>
          <w:sz w:val="24"/>
          <w:highlight w:val="none"/>
        </w:rPr>
        <w:t>. 承包人</w:t>
      </w:r>
      <w:bookmarkEnd w:id="112"/>
    </w:p>
    <w:bookmarkEnd w:id="113"/>
    <w:bookmarkEnd w:id="114"/>
    <w:bookmarkEnd w:id="115"/>
    <w:bookmarkEnd w:id="116"/>
    <w:bookmarkEnd w:id="117"/>
    <w:bookmarkEnd w:id="118"/>
    <w:bookmarkEnd w:id="119"/>
    <w:bookmarkEnd w:id="120"/>
    <w:bookmarkEnd w:id="121"/>
    <w:bookmarkEnd w:id="122"/>
    <w:p w14:paraId="37D973C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3.1 承包人的一般义务</w:t>
      </w:r>
    </w:p>
    <w:p w14:paraId="70592F79">
      <w:pPr>
        <w:spacing w:line="360" w:lineRule="auto"/>
        <w:ind w:firstLine="240" w:firstLineChars="100"/>
        <w:jc w:val="left"/>
        <w:rPr>
          <w:rFonts w:hint="eastAsia" w:ascii="宋体" w:hAnsi="宋体" w:cs="宋体"/>
          <w:bCs/>
          <w:sz w:val="24"/>
          <w:highlight w:val="none"/>
        </w:rPr>
      </w:pPr>
      <w:r>
        <w:rPr>
          <w:rFonts w:hint="eastAsia" w:ascii="宋体" w:hAnsi="宋体" w:cs="宋体"/>
          <w:bCs/>
          <w:sz w:val="24"/>
          <w:highlight w:val="none"/>
        </w:rPr>
        <w:t>（9）承包人提交的竣工资料的内容：</w:t>
      </w:r>
      <w:r>
        <w:rPr>
          <w:rFonts w:hint="eastAsia" w:ascii="宋体" w:hAnsi="宋体" w:cs="宋体"/>
          <w:bCs/>
          <w:sz w:val="24"/>
          <w:highlight w:val="none"/>
          <w:u w:val="single"/>
        </w:rPr>
        <w:t xml:space="preserve">  承包人向发包人提交完整竣工图纸及竣工图电子文档  </w:t>
      </w:r>
      <w:r>
        <w:rPr>
          <w:rFonts w:hint="eastAsia" w:ascii="宋体" w:hAnsi="宋体" w:cs="宋体"/>
          <w:bCs/>
          <w:sz w:val="24"/>
          <w:highlight w:val="none"/>
        </w:rPr>
        <w:t>。</w:t>
      </w:r>
    </w:p>
    <w:p w14:paraId="4D4B287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承包人需要提交的竣工资料套数：</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套                </w:t>
      </w:r>
      <w:r>
        <w:rPr>
          <w:rFonts w:hint="eastAsia" w:ascii="宋体" w:hAnsi="宋体" w:cs="宋体"/>
          <w:bCs/>
          <w:sz w:val="24"/>
          <w:highlight w:val="none"/>
        </w:rPr>
        <w:t>。</w:t>
      </w:r>
    </w:p>
    <w:p w14:paraId="48451292">
      <w:pPr>
        <w:spacing w:line="360" w:lineRule="auto"/>
        <w:ind w:left="730" w:leftChars="304"/>
        <w:jc w:val="left"/>
        <w:rPr>
          <w:rFonts w:hint="eastAsia" w:ascii="宋体" w:hAnsi="宋体" w:cs="宋体"/>
          <w:bCs/>
          <w:sz w:val="24"/>
          <w:highlight w:val="none"/>
        </w:rPr>
      </w:pPr>
      <w:r>
        <w:rPr>
          <w:rFonts w:hint="eastAsia" w:ascii="宋体" w:hAnsi="宋体" w:cs="宋体"/>
          <w:bCs/>
          <w:sz w:val="24"/>
          <w:highlight w:val="none"/>
        </w:rPr>
        <w:t>承包人提交的竣工资料的费用承担：</w:t>
      </w:r>
      <w:r>
        <w:rPr>
          <w:rFonts w:hint="eastAsia" w:ascii="宋体" w:hAnsi="宋体" w:cs="宋体"/>
          <w:bCs/>
          <w:sz w:val="24"/>
          <w:highlight w:val="none"/>
          <w:u w:val="single"/>
        </w:rPr>
        <w:t xml:space="preserve">          由承包人承担            </w:t>
      </w:r>
      <w:r>
        <w:rPr>
          <w:rFonts w:hint="eastAsia" w:ascii="宋体" w:hAnsi="宋体" w:cs="宋体"/>
          <w:bCs/>
          <w:sz w:val="24"/>
          <w:highlight w:val="none"/>
        </w:rPr>
        <w:t>。</w:t>
      </w:r>
    </w:p>
    <w:p w14:paraId="677551CC">
      <w:pPr>
        <w:spacing w:line="360" w:lineRule="auto"/>
        <w:ind w:left="730" w:leftChars="304"/>
        <w:jc w:val="left"/>
        <w:rPr>
          <w:rFonts w:hint="eastAsia" w:ascii="宋体" w:hAnsi="宋体" w:cs="宋体"/>
          <w:bCs/>
          <w:sz w:val="24"/>
          <w:highlight w:val="none"/>
        </w:rPr>
      </w:pPr>
      <w:r>
        <w:rPr>
          <w:rFonts w:hint="eastAsia" w:ascii="宋体" w:hAnsi="宋体" w:cs="宋体"/>
          <w:bCs/>
          <w:sz w:val="24"/>
          <w:highlight w:val="none"/>
        </w:rPr>
        <w:t>承包人提交的竣工资料移交时间：</w:t>
      </w:r>
      <w:r>
        <w:rPr>
          <w:rFonts w:hint="eastAsia" w:ascii="宋体" w:hAnsi="宋体" w:cs="宋体"/>
          <w:bCs/>
          <w:sz w:val="24"/>
          <w:highlight w:val="none"/>
          <w:u w:val="single"/>
        </w:rPr>
        <w:t xml:space="preserve">  工程竣工验收合格后</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个月内        </w:t>
      </w:r>
      <w:r>
        <w:rPr>
          <w:rFonts w:hint="eastAsia" w:ascii="宋体" w:hAnsi="宋体" w:cs="宋体"/>
          <w:bCs/>
          <w:sz w:val="24"/>
          <w:highlight w:val="none"/>
        </w:rPr>
        <w:t>。</w:t>
      </w:r>
    </w:p>
    <w:p w14:paraId="225D424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承包人提交的竣工资料形式要求：</w:t>
      </w:r>
      <w:r>
        <w:rPr>
          <w:rFonts w:hint="eastAsia" w:ascii="宋体" w:hAnsi="宋体" w:cs="宋体"/>
          <w:bCs/>
          <w:sz w:val="24"/>
          <w:highlight w:val="none"/>
          <w:u w:val="single"/>
        </w:rPr>
        <w:t xml:space="preserve">            书面及电子文档           </w:t>
      </w:r>
      <w:r>
        <w:rPr>
          <w:rFonts w:hint="eastAsia" w:ascii="宋体" w:hAnsi="宋体" w:cs="宋体"/>
          <w:bCs/>
          <w:sz w:val="24"/>
          <w:highlight w:val="none"/>
        </w:rPr>
        <w:t>。</w:t>
      </w:r>
    </w:p>
    <w:p w14:paraId="2A3517D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（10）承包人应履行的其他义务：</w:t>
      </w:r>
    </w:p>
    <w:p w14:paraId="4BD82F53">
      <w:pPr>
        <w:spacing w:line="420" w:lineRule="exact"/>
        <w:ind w:firstLine="480" w:firstLineChars="200"/>
        <w:rPr>
          <w:rFonts w:hint="eastAsia" w:ascii="宋体" w:hAnsi="宋体" w:cs="宋体"/>
          <w:bCs/>
          <w:sz w:val="24"/>
          <w:highlight w:val="none"/>
        </w:rPr>
      </w:pPr>
      <w:r>
        <w:rPr>
          <w:rFonts w:hint="eastAsia" w:ascii="宋体" w:hAnsi="宋体" w:cs="宋体"/>
          <w:bCs/>
          <w:sz w:val="24"/>
          <w:highlight w:val="none"/>
        </w:rPr>
        <w:t>①每月</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日前向监理人提供次月进度计划、本月工程量统计报表和已完工程累计统计报表。若监理人或发包人要求临时提供某些报表和资料，承包人应无条件按监理和发包人要求提供此类报表和资料。</w:t>
      </w:r>
    </w:p>
    <w:p w14:paraId="6CC0C7BF">
      <w:pPr>
        <w:pStyle w:val="14"/>
        <w:spacing w:before="0" w:beforeAutospacing="0" w:after="0" w:afterAutospacing="0" w:line="420" w:lineRule="exact"/>
        <w:ind w:left="480" w:leftChars="200" w:firstLine="0" w:firstLineChars="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2 \* GB3 </w:instrText>
      </w:r>
      <w:r>
        <w:rPr>
          <w:rFonts w:hint="eastAsia" w:cs="宋体"/>
          <w:bCs/>
          <w:kern w:val="2"/>
          <w:highlight w:val="none"/>
        </w:rPr>
        <w:fldChar w:fldCharType="separate"/>
      </w:r>
      <w:r>
        <w:rPr>
          <w:rFonts w:hint="eastAsia" w:cs="宋体"/>
          <w:bCs/>
          <w:kern w:val="2"/>
          <w:highlight w:val="none"/>
        </w:rPr>
        <w:t>②</w:t>
      </w:r>
      <w:r>
        <w:rPr>
          <w:rFonts w:hint="eastAsia" w:cs="宋体"/>
          <w:bCs/>
          <w:kern w:val="2"/>
          <w:highlight w:val="none"/>
        </w:rPr>
        <w:fldChar w:fldCharType="end"/>
      </w:r>
      <w:r>
        <w:rPr>
          <w:rFonts w:hint="eastAsia" w:cs="宋体"/>
          <w:bCs/>
          <w:kern w:val="2"/>
          <w:highlight w:val="none"/>
        </w:rPr>
        <w:t>应提供计划、报表的名称及完成时间：</w:t>
      </w:r>
      <w:r>
        <w:rPr>
          <w:rFonts w:hint="eastAsia" w:cs="宋体"/>
          <w:bCs/>
          <w:kern w:val="2"/>
          <w:highlight w:val="none"/>
          <w:u w:val="single"/>
        </w:rPr>
        <w:t>开工日期前</w:t>
      </w:r>
      <w:r>
        <w:rPr>
          <w:rFonts w:hint="eastAsia" w:cs="宋体"/>
          <w:bCs/>
          <w:kern w:val="2"/>
          <w:highlight w:val="none"/>
          <w:u w:val="single"/>
          <w:lang w:val="en-US" w:eastAsia="zh-CN"/>
        </w:rPr>
        <w:t xml:space="preserve">  </w:t>
      </w:r>
      <w:r>
        <w:rPr>
          <w:rFonts w:hint="eastAsia" w:cs="宋体"/>
          <w:bCs/>
          <w:kern w:val="2"/>
          <w:highlight w:val="none"/>
          <w:u w:val="single"/>
        </w:rPr>
        <w:t>日内</w:t>
      </w:r>
      <w:r>
        <w:rPr>
          <w:rFonts w:hint="eastAsia" w:cs="宋体"/>
          <w:bCs/>
          <w:kern w:val="2"/>
          <w:highlight w:val="none"/>
        </w:rPr>
        <w:t>提供总体进度计划，</w:t>
      </w:r>
      <w:r>
        <w:rPr>
          <w:rFonts w:hint="eastAsia" w:cs="宋体"/>
          <w:bCs/>
          <w:kern w:val="2"/>
          <w:highlight w:val="none"/>
          <w:lang w:eastAsia="zh-CN"/>
        </w:rPr>
        <w:t>每月</w:t>
      </w:r>
      <w:r>
        <w:rPr>
          <w:rFonts w:hint="eastAsia" w:cs="宋体"/>
          <w:bCs/>
          <w:kern w:val="2"/>
          <w:highlight w:val="none"/>
        </w:rPr>
        <w:t>提供本月完成工程量及下月进度计划，且这些工程中的工作进度计划应经发包人签收并确认。</w:t>
      </w:r>
    </w:p>
    <w:p w14:paraId="0129BAB0">
      <w:pPr>
        <w:spacing w:line="420" w:lineRule="exact"/>
        <w:ind w:firstLine="480" w:firstLineChars="200"/>
        <w:rPr>
          <w:rFonts w:hint="eastAsia" w:ascii="宋体" w:hAnsi="宋体" w:cs="宋体"/>
          <w:bCs/>
          <w:sz w:val="24"/>
          <w:highlight w:val="none"/>
          <w:u w:val="single"/>
        </w:rPr>
      </w:pPr>
      <w:r>
        <w:rPr>
          <w:rFonts w:hint="eastAsia" w:ascii="宋体" w:hAnsi="宋体" w:cs="宋体"/>
          <w:bCs/>
          <w:sz w:val="24"/>
          <w:highlight w:val="none"/>
        </w:rPr>
        <w:fldChar w:fldCharType="begin"/>
      </w:r>
      <w:r>
        <w:rPr>
          <w:rFonts w:hint="eastAsia" w:ascii="宋体" w:hAnsi="宋体" w:cs="宋体"/>
          <w:bCs/>
          <w:sz w:val="24"/>
          <w:highlight w:val="none"/>
        </w:rPr>
        <w:instrText xml:space="preserve"> = 3 \* GB3 </w:instrText>
      </w:r>
      <w:r>
        <w:rPr>
          <w:rFonts w:hint="eastAsia" w:ascii="宋体" w:hAnsi="宋体" w:cs="宋体"/>
          <w:bCs/>
          <w:sz w:val="24"/>
          <w:highlight w:val="none"/>
        </w:rPr>
        <w:fldChar w:fldCharType="separate"/>
      </w:r>
      <w:r>
        <w:rPr>
          <w:rFonts w:hint="eastAsia" w:ascii="宋体" w:hAnsi="宋体" w:cs="宋体"/>
          <w:bCs/>
          <w:sz w:val="24"/>
          <w:highlight w:val="none"/>
        </w:rPr>
        <w:t>③</w:t>
      </w:r>
      <w:r>
        <w:rPr>
          <w:rFonts w:hint="eastAsia" w:ascii="宋体" w:hAnsi="宋体" w:cs="宋体"/>
          <w:bCs/>
          <w:sz w:val="24"/>
          <w:highlight w:val="none"/>
        </w:rPr>
        <w:fldChar w:fldCharType="end"/>
      </w:r>
      <w:r>
        <w:rPr>
          <w:rFonts w:hint="eastAsia" w:ascii="宋体" w:hAnsi="宋体" w:cs="宋体"/>
          <w:bCs/>
          <w:sz w:val="24"/>
          <w:highlight w:val="none"/>
        </w:rPr>
        <w:t xml:space="preserve">承担施工安全保卫工作及非夜间施工照明的责任和要求：遵守政府有关部门的相关管理规定，根据工程需要，提供和维修施工使用的照明、围栏设施，负责安全保卫工作，并承担全部责任和相关费用； </w:t>
      </w:r>
    </w:p>
    <w:p w14:paraId="66AD66DE">
      <w:pPr>
        <w:pStyle w:val="14"/>
        <w:spacing w:before="0" w:beforeAutospacing="0" w:after="0" w:afterAutospacing="0" w:line="420" w:lineRule="exact"/>
        <w:ind w:firstLine="480" w:firstLineChars="200"/>
        <w:jc w:val="both"/>
        <w:rPr>
          <w:rFonts w:hint="eastAsia" w:cs="宋体"/>
          <w:bCs/>
          <w:kern w:val="2"/>
          <w:highlight w:val="none"/>
        </w:rPr>
      </w:pPr>
      <w:r>
        <w:rPr>
          <w:rFonts w:hint="eastAsia" w:cs="宋体"/>
          <w:bCs/>
          <w:kern w:val="2"/>
          <w:highlight w:val="none"/>
        </w:rPr>
        <w:fldChar w:fldCharType="begin"/>
      </w:r>
      <w:r>
        <w:rPr>
          <w:rFonts w:hint="eastAsia" w:cs="宋体"/>
          <w:bCs/>
          <w:kern w:val="2"/>
          <w:highlight w:val="none"/>
        </w:rPr>
        <w:instrText xml:space="preserve"> = 4 \* GB3 </w:instrText>
      </w:r>
      <w:r>
        <w:rPr>
          <w:rFonts w:hint="eastAsia" w:cs="宋体"/>
          <w:bCs/>
          <w:kern w:val="2"/>
          <w:highlight w:val="none"/>
        </w:rPr>
        <w:fldChar w:fldCharType="separate"/>
      </w:r>
      <w:r>
        <w:rPr>
          <w:rFonts w:hint="eastAsia" w:cs="宋体"/>
          <w:bCs/>
          <w:kern w:val="2"/>
          <w:highlight w:val="none"/>
        </w:rPr>
        <w:t>④</w:t>
      </w:r>
      <w:r>
        <w:rPr>
          <w:rFonts w:hint="eastAsia" w:cs="宋体"/>
          <w:bCs/>
          <w:kern w:val="2"/>
          <w:highlight w:val="none"/>
        </w:rPr>
        <w:fldChar w:fldCharType="end"/>
      </w:r>
      <w:r>
        <w:rPr>
          <w:rFonts w:hint="eastAsia" w:cs="宋体"/>
          <w:bCs/>
          <w:kern w:val="2"/>
          <w:highlight w:val="none"/>
        </w:rPr>
        <w:t>需承包人办理的有关施工场地交通、环卫和施工噪音管理等手续： 承包人应按照政府有关部门对施工场地交通、施工噪音、环境保护、安全生产和文明施工等的管理规定，办理有关手续，采取有效措施做好相关工作并达到县级文明合格工地的标准，承担相应的全部费用；如承包人违反有关管理规定而造成工期及费用损失的，一切责任由承包人自行承担；</w:t>
      </w:r>
    </w:p>
    <w:p w14:paraId="5229CA20">
      <w:pPr>
        <w:pStyle w:val="14"/>
        <w:spacing w:before="0" w:beforeAutospacing="0" w:after="0" w:afterAutospacing="0" w:line="420" w:lineRule="exact"/>
        <w:ind w:firstLine="480" w:firstLineChars="200"/>
        <w:jc w:val="both"/>
        <w:rPr>
          <w:rFonts w:hint="eastAsia" w:cs="宋体"/>
          <w:bCs/>
          <w:highlight w:val="none"/>
          <w:u w:val="single"/>
        </w:rPr>
      </w:pPr>
      <w:r>
        <w:rPr>
          <w:rFonts w:hint="eastAsia" w:cs="宋体"/>
          <w:bCs/>
          <w:kern w:val="2"/>
          <w:highlight w:val="none"/>
        </w:rPr>
        <w:fldChar w:fldCharType="begin"/>
      </w:r>
      <w:r>
        <w:rPr>
          <w:rFonts w:hint="eastAsia" w:cs="宋体"/>
          <w:bCs/>
          <w:kern w:val="2"/>
          <w:highlight w:val="none"/>
        </w:rPr>
        <w:instrText xml:space="preserve"> = 5 \* GB3 </w:instrText>
      </w:r>
      <w:r>
        <w:rPr>
          <w:rFonts w:hint="eastAsia" w:cs="宋体"/>
          <w:bCs/>
          <w:kern w:val="2"/>
          <w:highlight w:val="none"/>
        </w:rPr>
        <w:fldChar w:fldCharType="separate"/>
      </w:r>
      <w:r>
        <w:rPr>
          <w:rFonts w:hint="eastAsia" w:cs="宋体"/>
          <w:bCs/>
          <w:kern w:val="2"/>
          <w:highlight w:val="none"/>
        </w:rPr>
        <w:t>⑤</w:t>
      </w:r>
      <w:r>
        <w:rPr>
          <w:rFonts w:hint="eastAsia" w:cs="宋体"/>
          <w:bCs/>
          <w:kern w:val="2"/>
          <w:highlight w:val="none"/>
        </w:rPr>
        <w:fldChar w:fldCharType="end"/>
      </w:r>
      <w:r>
        <w:rPr>
          <w:rFonts w:hint="eastAsia" w:cs="宋体"/>
          <w:bCs/>
          <w:kern w:val="2"/>
          <w:highlight w:val="none"/>
        </w:rPr>
        <w:t>已完工程成品保护的特殊要求及费用承担：承包人自行承建的在建工程或已完工程未交付发包人之前，承包人应负责工程的保护工作，并承担相应费用，如在保护期间发生损坏，承包人应自费予以修复（如损坏由其他承包人造成且有确凿证据时，承包人应先行自费修复，并向其他承包人索赔）；如承包人损坏其他承包人承建的工程，承包人应承担修复费用，修复费用将在当期付款中扣除；</w:t>
      </w:r>
    </w:p>
    <w:p w14:paraId="097E7CB3">
      <w:pPr>
        <w:pStyle w:val="14"/>
        <w:spacing w:before="0" w:beforeAutospacing="0" w:after="0" w:afterAutospacing="0" w:line="420" w:lineRule="exact"/>
        <w:ind w:firstLine="480" w:firstLineChars="20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6 \* GB3 </w:instrText>
      </w:r>
      <w:r>
        <w:rPr>
          <w:rFonts w:hint="eastAsia" w:cs="宋体"/>
          <w:bCs/>
          <w:kern w:val="2"/>
          <w:highlight w:val="none"/>
        </w:rPr>
        <w:fldChar w:fldCharType="separate"/>
      </w:r>
      <w:r>
        <w:rPr>
          <w:rFonts w:hint="eastAsia" w:cs="宋体"/>
          <w:bCs/>
          <w:kern w:val="2"/>
          <w:highlight w:val="none"/>
        </w:rPr>
        <w:t>⑥</w:t>
      </w:r>
      <w:r>
        <w:rPr>
          <w:rFonts w:hint="eastAsia" w:cs="宋体"/>
          <w:bCs/>
          <w:kern w:val="2"/>
          <w:highlight w:val="none"/>
        </w:rPr>
        <w:fldChar w:fldCharType="end"/>
      </w:r>
      <w:r>
        <w:rPr>
          <w:rFonts w:hint="eastAsia" w:cs="宋体"/>
          <w:bCs/>
          <w:kern w:val="2"/>
          <w:highlight w:val="none"/>
        </w:rPr>
        <w:t>施工场地周围底下管线和邻近建筑物、构筑物{含文物保护建筑}、古树名木的保护要求及费用承担：承包人应按政府有关部门的规定做好施工场地地下管线和邻近建筑物、构筑物（包括文物保护建筑）、古树名木的保护工作，并承担其费用；</w:t>
      </w:r>
    </w:p>
    <w:p w14:paraId="134A6E28">
      <w:pPr>
        <w:pStyle w:val="14"/>
        <w:spacing w:before="0" w:beforeAutospacing="0" w:after="0" w:afterAutospacing="0" w:line="420" w:lineRule="exact"/>
        <w:ind w:firstLine="480" w:firstLineChars="200"/>
        <w:jc w:val="both"/>
        <w:rPr>
          <w:rFonts w:hint="eastAsia" w:cs="宋体"/>
          <w:bCs/>
          <w:highlight w:val="none"/>
          <w:u w:val="single"/>
        </w:rPr>
      </w:pPr>
      <w:r>
        <w:rPr>
          <w:rFonts w:hint="eastAsia" w:cs="宋体"/>
          <w:bCs/>
          <w:kern w:val="2"/>
          <w:highlight w:val="none"/>
        </w:rPr>
        <w:fldChar w:fldCharType="begin"/>
      </w:r>
      <w:r>
        <w:rPr>
          <w:rFonts w:hint="eastAsia" w:cs="宋体"/>
          <w:bCs/>
          <w:kern w:val="2"/>
          <w:highlight w:val="none"/>
        </w:rPr>
        <w:instrText xml:space="preserve"> = 7 \* GB3 </w:instrText>
      </w:r>
      <w:r>
        <w:rPr>
          <w:rFonts w:hint="eastAsia" w:cs="宋体"/>
          <w:bCs/>
          <w:kern w:val="2"/>
          <w:highlight w:val="none"/>
        </w:rPr>
        <w:fldChar w:fldCharType="separate"/>
      </w:r>
      <w:r>
        <w:rPr>
          <w:rFonts w:hint="eastAsia" w:cs="宋体"/>
          <w:bCs/>
          <w:kern w:val="2"/>
          <w:highlight w:val="none"/>
        </w:rPr>
        <w:t>⑦</w:t>
      </w:r>
      <w:r>
        <w:rPr>
          <w:rFonts w:hint="eastAsia" w:cs="宋体"/>
          <w:bCs/>
          <w:kern w:val="2"/>
          <w:highlight w:val="none"/>
        </w:rPr>
        <w:fldChar w:fldCharType="end"/>
      </w:r>
      <w:r>
        <w:rPr>
          <w:rFonts w:hint="eastAsia" w:cs="宋体"/>
          <w:bCs/>
          <w:kern w:val="2"/>
          <w:highlight w:val="none"/>
        </w:rPr>
        <w:t>施工场地清洁卫生的要求：承包人应按政府有关部门的规定保证施工场地内外的清洁符合环境卫生管理及文明施工的要求并达到县级文明合格工地的标准，承担相应费用及自身违反有关规定造成的损失和罚款；竣工验收7天前承包人应撤出全部施工设备材料及人员、拆除全部临时设施、清理完全部建筑垃圾并自行运出现场（建筑垃圾及弃土的堆场由承包人自行确定，建筑垃圾应包括其他承包人的建筑垃圾），做到工完场清，并承担相应费用；</w:t>
      </w:r>
    </w:p>
    <w:p w14:paraId="1C56A93E">
      <w:pPr>
        <w:pStyle w:val="14"/>
        <w:spacing w:before="0" w:beforeAutospacing="0" w:after="0" w:afterAutospacing="0" w:line="420" w:lineRule="exact"/>
        <w:ind w:firstLine="480" w:firstLineChars="20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8 \* GB3 </w:instrText>
      </w:r>
      <w:r>
        <w:rPr>
          <w:rFonts w:hint="eastAsia" w:cs="宋体"/>
          <w:bCs/>
          <w:kern w:val="2"/>
          <w:highlight w:val="none"/>
        </w:rPr>
        <w:fldChar w:fldCharType="separate"/>
      </w:r>
      <w:r>
        <w:rPr>
          <w:rFonts w:hint="eastAsia" w:cs="宋体"/>
          <w:bCs/>
          <w:kern w:val="2"/>
          <w:highlight w:val="none"/>
        </w:rPr>
        <w:t>⑧</w:t>
      </w:r>
      <w:r>
        <w:rPr>
          <w:rFonts w:hint="eastAsia" w:cs="宋体"/>
          <w:bCs/>
          <w:kern w:val="2"/>
          <w:highlight w:val="none"/>
        </w:rPr>
        <w:fldChar w:fldCharType="end"/>
      </w:r>
      <w:r>
        <w:rPr>
          <w:rFonts w:hint="eastAsia" w:cs="宋体"/>
          <w:bCs/>
          <w:kern w:val="2"/>
          <w:highlight w:val="none"/>
        </w:rPr>
        <w:t>双方约定承包人应做的其他工作：将发包人提供的施工所需水源、电源接入点接至施工现场，保证施工期间用水用电的需要并承担其费用；建设施工场地红线范围内的临时道路并承担费用，以满足施工运输的需要，保证施工期间的畅通；</w:t>
      </w:r>
    </w:p>
    <w:p w14:paraId="2548DC45">
      <w:pPr>
        <w:spacing w:line="420" w:lineRule="exact"/>
        <w:ind w:firstLine="480" w:firstLineChars="200"/>
        <w:rPr>
          <w:rFonts w:hint="eastAsia" w:ascii="宋体" w:hAnsi="宋体" w:cs="宋体"/>
          <w:bCs/>
          <w:sz w:val="24"/>
          <w:highlight w:val="none"/>
        </w:rPr>
      </w:pPr>
      <w:r>
        <w:rPr>
          <w:rFonts w:hint="eastAsia" w:ascii="宋体" w:hAnsi="宋体" w:cs="宋体"/>
          <w:bCs/>
          <w:sz w:val="24"/>
          <w:highlight w:val="none"/>
        </w:rPr>
        <w:fldChar w:fldCharType="begin"/>
      </w:r>
      <w:r>
        <w:rPr>
          <w:rFonts w:hint="eastAsia" w:ascii="宋体" w:hAnsi="宋体" w:cs="宋体"/>
          <w:bCs/>
          <w:sz w:val="24"/>
          <w:highlight w:val="none"/>
        </w:rPr>
        <w:instrText xml:space="preserve"> = 9 \* GB3 </w:instrText>
      </w:r>
      <w:r>
        <w:rPr>
          <w:rFonts w:hint="eastAsia" w:ascii="宋体" w:hAnsi="宋体" w:cs="宋体"/>
          <w:bCs/>
          <w:sz w:val="24"/>
          <w:highlight w:val="none"/>
        </w:rPr>
        <w:fldChar w:fldCharType="separate"/>
      </w:r>
      <w:r>
        <w:rPr>
          <w:rFonts w:hint="eastAsia" w:ascii="宋体" w:hAnsi="宋体" w:cs="宋体"/>
          <w:bCs/>
          <w:sz w:val="24"/>
          <w:highlight w:val="none"/>
        </w:rPr>
        <w:t>⑨</w:t>
      </w:r>
      <w:r>
        <w:rPr>
          <w:rFonts w:hint="eastAsia" w:ascii="宋体" w:hAnsi="宋体" w:cs="宋体"/>
          <w:bCs/>
          <w:sz w:val="24"/>
          <w:highlight w:val="none"/>
        </w:rPr>
        <w:fldChar w:fldCharType="end"/>
      </w:r>
      <w:r>
        <w:rPr>
          <w:rFonts w:hint="eastAsia" w:ascii="宋体" w:hAnsi="宋体" w:cs="宋体"/>
          <w:bCs/>
          <w:sz w:val="24"/>
          <w:highlight w:val="none"/>
        </w:rPr>
        <w:t>如因承包人原因导致发包人发生额外支出时，发包人将从工程款或履约保证金中扣除相应金额。</w:t>
      </w:r>
    </w:p>
    <w:p w14:paraId="6B5D332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3.2 项目经理</w:t>
      </w:r>
    </w:p>
    <w:p w14:paraId="69A0EF3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3.2.1 项目经理：</w:t>
      </w:r>
    </w:p>
    <w:p w14:paraId="299A570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 </w:t>
      </w:r>
      <w:r>
        <w:rPr>
          <w:rFonts w:hint="eastAsia" w:ascii="宋体" w:hAnsi="宋体" w:cs="宋体"/>
          <w:bCs/>
          <w:sz w:val="24"/>
          <w:highlight w:val="none"/>
        </w:rPr>
        <w:t>；</w:t>
      </w:r>
    </w:p>
    <w:p w14:paraId="3610603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身份证号：</w:t>
      </w:r>
      <w:r>
        <w:rPr>
          <w:rFonts w:hint="eastAsia" w:ascii="宋体" w:hAnsi="宋体" w:cs="宋体"/>
          <w:bCs/>
          <w:sz w:val="24"/>
          <w:highlight w:val="none"/>
          <w:u w:val="single"/>
        </w:rPr>
        <w:t>         </w:t>
      </w:r>
      <w:r>
        <w:rPr>
          <w:rFonts w:hint="eastAsia" w:ascii="宋体" w:hAnsi="宋体" w:cs="宋体"/>
          <w:bCs/>
          <w:sz w:val="24"/>
          <w:highlight w:val="none"/>
        </w:rPr>
        <w:t>；</w:t>
      </w:r>
    </w:p>
    <w:p w14:paraId="17AFC4E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建造师执业资格等级：</w:t>
      </w:r>
      <w:r>
        <w:rPr>
          <w:rFonts w:hint="eastAsia" w:ascii="宋体" w:hAnsi="宋体" w:cs="宋体"/>
          <w:bCs/>
          <w:sz w:val="24"/>
          <w:highlight w:val="none"/>
          <w:u w:val="single"/>
        </w:rPr>
        <w:t>   </w:t>
      </w:r>
      <w:r>
        <w:rPr>
          <w:rFonts w:hint="eastAsia" w:ascii="宋体" w:hAnsi="宋体" w:cs="宋体"/>
          <w:bCs/>
          <w:sz w:val="24"/>
          <w:highlight w:val="none"/>
        </w:rPr>
        <w:t>；</w:t>
      </w:r>
    </w:p>
    <w:p w14:paraId="61510FE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建造师注册证书号：</w:t>
      </w:r>
      <w:r>
        <w:rPr>
          <w:rFonts w:hint="eastAsia" w:ascii="宋体" w:hAnsi="宋体" w:cs="宋体"/>
          <w:bCs/>
          <w:sz w:val="24"/>
          <w:highlight w:val="none"/>
          <w:u w:val="single"/>
        </w:rPr>
        <w:t> </w:t>
      </w:r>
      <w:r>
        <w:rPr>
          <w:rFonts w:hint="eastAsia" w:ascii="宋体" w:hAnsi="宋体" w:cs="宋体"/>
          <w:bCs/>
          <w:sz w:val="24"/>
          <w:highlight w:val="none"/>
        </w:rPr>
        <w:t>；</w:t>
      </w:r>
    </w:p>
    <w:p w14:paraId="4B246F6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建造师执业印章号：</w:t>
      </w:r>
      <w:r>
        <w:rPr>
          <w:rFonts w:hint="eastAsia" w:ascii="宋体" w:hAnsi="宋体" w:cs="宋体"/>
          <w:bCs/>
          <w:sz w:val="24"/>
          <w:highlight w:val="none"/>
          <w:u w:val="single"/>
        </w:rPr>
        <w:t> </w:t>
      </w:r>
      <w:r>
        <w:rPr>
          <w:rFonts w:hint="eastAsia" w:ascii="宋体" w:hAnsi="宋体" w:cs="宋体"/>
          <w:bCs/>
          <w:sz w:val="24"/>
          <w:highlight w:val="none"/>
        </w:rPr>
        <w:t>；</w:t>
      </w:r>
    </w:p>
    <w:p w14:paraId="5332BFE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安全生产考核合格证书号：</w:t>
      </w:r>
      <w:r>
        <w:rPr>
          <w:rFonts w:hint="eastAsia" w:ascii="宋体" w:hAnsi="宋体" w:cs="宋体"/>
          <w:bCs/>
          <w:sz w:val="24"/>
          <w:highlight w:val="none"/>
          <w:u w:val="single"/>
        </w:rPr>
        <w:t> </w:t>
      </w:r>
      <w:r>
        <w:rPr>
          <w:rFonts w:hint="eastAsia" w:ascii="宋体" w:hAnsi="宋体" w:cs="宋体"/>
          <w:bCs/>
          <w:sz w:val="24"/>
          <w:highlight w:val="none"/>
        </w:rPr>
        <w:t>；</w:t>
      </w:r>
    </w:p>
    <w:p w14:paraId="0963B10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w:t>
      </w:r>
      <w:r>
        <w:rPr>
          <w:rFonts w:hint="eastAsia" w:ascii="宋体" w:hAnsi="宋体" w:cs="宋体"/>
          <w:bCs/>
          <w:sz w:val="24"/>
          <w:highlight w:val="none"/>
        </w:rPr>
        <w:t>；</w:t>
      </w:r>
    </w:p>
    <w:p w14:paraId="14EF742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w:t>
      </w:r>
      <w:r>
        <w:rPr>
          <w:rFonts w:hint="eastAsia" w:ascii="宋体" w:hAnsi="宋体" w:cs="宋体"/>
          <w:bCs/>
          <w:sz w:val="24"/>
          <w:highlight w:val="none"/>
        </w:rPr>
        <w:t>；</w:t>
      </w:r>
    </w:p>
    <w:p w14:paraId="4EEF2DE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4472AE7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承包人对项目经理的授权范围如下：</w:t>
      </w:r>
      <w:r>
        <w:rPr>
          <w:rFonts w:hint="eastAsia" w:ascii="宋体" w:hAnsi="宋体" w:cs="宋体"/>
          <w:bCs/>
          <w:sz w:val="24"/>
          <w:highlight w:val="none"/>
          <w:u w:val="single"/>
        </w:rPr>
        <w:t xml:space="preserve">代表承包人负责合同履行，负责处理合同履行过程中与发包人有关的具体事宜，签署各种往来函件，其权利范围以承包人的任命文件或授权文件为准  </w:t>
      </w:r>
      <w:r>
        <w:rPr>
          <w:rFonts w:hint="eastAsia" w:ascii="宋体" w:hAnsi="宋体" w:cs="宋体"/>
          <w:bCs/>
          <w:sz w:val="24"/>
          <w:highlight w:val="none"/>
        </w:rPr>
        <w:t>。</w:t>
      </w:r>
    </w:p>
    <w:p w14:paraId="765C77C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关于项目经理每月在施工现场的时间要求：</w:t>
      </w:r>
      <w:r>
        <w:rPr>
          <w:rFonts w:hint="eastAsia" w:ascii="宋体" w:hAnsi="宋体" w:cs="宋体"/>
          <w:bCs/>
          <w:sz w:val="24"/>
          <w:highlight w:val="none"/>
          <w:u w:val="single"/>
        </w:rPr>
        <w:t xml:space="preserve">  每月不少于</w:t>
      </w:r>
      <w:r>
        <w:rPr>
          <w:rFonts w:hint="eastAsia" w:hAnsi="宋体" w:cs="宋体"/>
          <w:bCs/>
          <w:sz w:val="24"/>
          <w:highlight w:val="none"/>
          <w:u w:val="single"/>
          <w:lang w:val="en-US" w:eastAsia="zh-CN"/>
        </w:rPr>
        <w:t>22</w:t>
      </w:r>
      <w:r>
        <w:rPr>
          <w:rFonts w:hint="eastAsia" w:ascii="宋体" w:hAnsi="宋体" w:cs="宋体"/>
          <w:bCs/>
          <w:sz w:val="24"/>
          <w:highlight w:val="none"/>
          <w:u w:val="single"/>
        </w:rPr>
        <w:t>天；</w:t>
      </w:r>
    </w:p>
    <w:p w14:paraId="012D20F7">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承包人未提交劳动合同，以及没有为项目经理缴纳社会保险证明的违约责任：</w:t>
      </w:r>
      <w:r>
        <w:rPr>
          <w:rFonts w:hint="eastAsia" w:ascii="宋体" w:hAnsi="宋体" w:cs="宋体"/>
          <w:bCs/>
          <w:sz w:val="24"/>
          <w:highlight w:val="none"/>
          <w:u w:val="single"/>
        </w:rPr>
        <w:t xml:space="preserve">  按本合同金额的3.00%向发包人支付违约金，责令限期提交劳动合同并补缴社会保险。发包人责任限期提交劳动合同并补缴社会保险届满仍不提交的，按本合同金额的6.00%向发包人支付违约金。</w:t>
      </w:r>
    </w:p>
    <w:p w14:paraId="193B1AA4">
      <w:pPr>
        <w:pageBreakBefore w:val="0"/>
        <w:widowControl w:val="0"/>
        <w:kinsoku/>
        <w:wordWrap/>
        <w:overflowPunct/>
        <w:topLinePunct w:val="0"/>
        <w:bidi w:val="0"/>
        <w:snapToGrid/>
        <w:spacing w:line="240" w:lineRule="auto"/>
        <w:ind w:left="0" w:leftChars="0" w:right="0" w:rightChars="0" w:firstLine="480" w:firstLineChars="200"/>
        <w:jc w:val="both"/>
        <w:textAlignment w:val="auto"/>
        <w:outlineLvl w:val="9"/>
        <w:rPr>
          <w:rFonts w:hint="eastAsia" w:ascii="宋体" w:hAnsi="宋体" w:cs="宋体"/>
          <w:bCs/>
          <w:sz w:val="24"/>
          <w:highlight w:val="none"/>
          <w:u w:val="single"/>
        </w:rPr>
      </w:pPr>
      <w:r>
        <w:rPr>
          <w:rFonts w:hint="eastAsia" w:ascii="宋体" w:hAnsi="宋体" w:cs="宋体"/>
          <w:bCs/>
          <w:sz w:val="24"/>
          <w:highlight w:val="none"/>
        </w:rPr>
        <w:t>项目经理未经批准，擅自离开施工现场的违约责任：</w:t>
      </w:r>
      <w:r>
        <w:rPr>
          <w:rFonts w:hint="eastAsia" w:ascii="宋体" w:hAnsi="宋体" w:cs="宋体"/>
          <w:bCs/>
          <w:sz w:val="24"/>
          <w:highlight w:val="none"/>
          <w:u w:val="single"/>
        </w:rPr>
        <w:t xml:space="preserve"> 每少一日按本合同金额的1.00‰向发包人支付违约金，承包人承担上述违约给发包人造成的一切损失。（发包人有权在当期的进度款中直接扣除）。</w:t>
      </w:r>
    </w:p>
    <w:p w14:paraId="4FF25E6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3.2.3 承包人擅自更换项目经理的违约责任：</w:t>
      </w:r>
      <w:r>
        <w:rPr>
          <w:rFonts w:hint="eastAsia" w:ascii="宋体" w:hAnsi="宋体" w:cs="宋体"/>
          <w:bCs/>
          <w:sz w:val="24"/>
          <w:highlight w:val="none"/>
          <w:u w:val="single"/>
        </w:rPr>
        <w:t>处以1万元罚款，承包人承担上述违约给发包人造成的一切损失 （发包人有权在当期的进度款中直接扣除）</w:t>
      </w:r>
      <w:r>
        <w:rPr>
          <w:rFonts w:hint="eastAsia" w:ascii="宋体" w:hAnsi="宋体" w:cs="宋体"/>
          <w:bCs/>
          <w:sz w:val="24"/>
          <w:highlight w:val="none"/>
        </w:rPr>
        <w:t>。</w:t>
      </w:r>
    </w:p>
    <w:p w14:paraId="466F743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 xml:space="preserve">    3.2.4 承包人无正当理由拒绝更换经甲方及监理总监认为不称职的项目经理的违约责任：  处以1万元罚款，承包人承担上述违约给发包人造成的一切损失。</w:t>
      </w:r>
    </w:p>
    <w:p w14:paraId="267BF2A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 承包人人员</w:t>
      </w:r>
    </w:p>
    <w:p w14:paraId="443E571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3.3.1 承包人提交项目管理机构及施工现场管理人员安排报告的期限：</w:t>
      </w:r>
      <w:r>
        <w:rPr>
          <w:rFonts w:hint="eastAsia" w:ascii="宋体" w:hAnsi="宋体" w:cs="宋体"/>
          <w:bCs/>
          <w:sz w:val="24"/>
          <w:highlight w:val="none"/>
          <w:u w:val="single"/>
        </w:rPr>
        <w:t xml:space="preserve">  工程开工前2天   </w:t>
      </w:r>
      <w:r>
        <w:rPr>
          <w:rFonts w:hint="eastAsia" w:ascii="宋体" w:hAnsi="宋体" w:cs="宋体"/>
          <w:bCs/>
          <w:sz w:val="24"/>
          <w:highlight w:val="none"/>
        </w:rPr>
        <w:t>。</w:t>
      </w:r>
    </w:p>
    <w:p w14:paraId="022967C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3.3.3 承包人无正当理由拒绝撤换经甲方及监理总监认为不称职的主要施工管理人员的违约责任：</w:t>
      </w:r>
      <w:r>
        <w:rPr>
          <w:rFonts w:hint="eastAsia" w:ascii="宋体" w:hAnsi="宋体" w:cs="宋体"/>
          <w:bCs/>
          <w:sz w:val="24"/>
          <w:highlight w:val="none"/>
          <w:u w:val="single"/>
        </w:rPr>
        <w:t xml:space="preserve">  处以3000元罚款，承包人承担上述违约给发包人造成的一切损失。 </w:t>
      </w:r>
    </w:p>
    <w:p w14:paraId="49360A20">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 xml:space="preserve">3.3.4 承包人主要施工管理人员离开施工现场的批准要求： </w:t>
      </w:r>
      <w:r>
        <w:rPr>
          <w:rFonts w:hint="eastAsia" w:ascii="宋体" w:hAnsi="宋体" w:cs="宋体"/>
          <w:bCs/>
          <w:sz w:val="24"/>
          <w:highlight w:val="none"/>
          <w:u w:val="single"/>
        </w:rPr>
        <w:t xml:space="preserve"> 由总监理工程师批准，发包人认可后方可离开  </w:t>
      </w:r>
      <w:r>
        <w:rPr>
          <w:rFonts w:hint="eastAsia" w:ascii="宋体" w:hAnsi="宋体" w:cs="宋体"/>
          <w:bCs/>
          <w:sz w:val="24"/>
          <w:highlight w:val="none"/>
        </w:rPr>
        <w:t>。</w:t>
      </w:r>
    </w:p>
    <w:p w14:paraId="29120A2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3.3.5承包人擅自更换主要施工管理人员的违约责任：</w:t>
      </w:r>
      <w:r>
        <w:rPr>
          <w:rFonts w:hint="eastAsia" w:ascii="宋体" w:hAnsi="宋体" w:cs="宋体"/>
          <w:bCs/>
          <w:sz w:val="24"/>
          <w:highlight w:val="none"/>
          <w:u w:val="single"/>
        </w:rPr>
        <w:t xml:space="preserve">  处以3000元罚款，承包人承担上述违约给发包人造成的一切损失   </w:t>
      </w:r>
      <w:r>
        <w:rPr>
          <w:rFonts w:hint="eastAsia" w:ascii="宋体" w:hAnsi="宋体" w:cs="宋体"/>
          <w:bCs/>
          <w:sz w:val="24"/>
          <w:highlight w:val="none"/>
        </w:rPr>
        <w:t>。</w:t>
      </w:r>
    </w:p>
    <w:p w14:paraId="3E45AF0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承包人主要施工管理人员擅自离开施工现场的违约责任：</w:t>
      </w:r>
      <w:r>
        <w:rPr>
          <w:rFonts w:hint="eastAsia" w:ascii="宋体" w:hAnsi="宋体" w:cs="宋体"/>
          <w:bCs/>
          <w:sz w:val="24"/>
          <w:highlight w:val="none"/>
          <w:u w:val="single"/>
        </w:rPr>
        <w:t xml:space="preserve"> 处以300元罚款，承包人承担上述违约给发包人造成的一切损失  </w:t>
      </w:r>
      <w:r>
        <w:rPr>
          <w:rFonts w:hint="eastAsia" w:ascii="宋体" w:hAnsi="宋体" w:cs="宋体"/>
          <w:bCs/>
          <w:sz w:val="24"/>
          <w:highlight w:val="none"/>
        </w:rPr>
        <w:t>。</w:t>
      </w:r>
    </w:p>
    <w:p w14:paraId="18D31B2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bookmarkStart w:id="123" w:name="_Toc297048345"/>
      <w:bookmarkStart w:id="124" w:name="_Toc296347158"/>
      <w:bookmarkStart w:id="125" w:name="_Toc300934945"/>
      <w:bookmarkStart w:id="126" w:name="_Toc296890987"/>
      <w:bookmarkStart w:id="127" w:name="_Toc292559869"/>
      <w:bookmarkStart w:id="128" w:name="_Toc296891199"/>
      <w:bookmarkStart w:id="129" w:name="_Toc303539102"/>
      <w:bookmarkStart w:id="130" w:name="_Toc297120459"/>
      <w:bookmarkStart w:id="131" w:name="_Toc296503159"/>
      <w:bookmarkStart w:id="132" w:name="_Toc304295523"/>
      <w:bookmarkStart w:id="133" w:name="_Toc297123492"/>
      <w:bookmarkStart w:id="134" w:name="_Toc292559364"/>
      <w:bookmarkStart w:id="135" w:name="_Toc296346660"/>
      <w:bookmarkStart w:id="136" w:name="_Toc297216151"/>
      <w:bookmarkStart w:id="137" w:name="_Toc312677988"/>
      <w:bookmarkStart w:id="138" w:name="_Toc296944498"/>
      <w:r>
        <w:rPr>
          <w:rFonts w:hint="eastAsia" w:ascii="宋体" w:hAnsi="宋体" w:cs="宋体"/>
          <w:bCs/>
          <w:sz w:val="24"/>
          <w:highlight w:val="none"/>
        </w:rPr>
        <w:t>.5 分包</w:t>
      </w:r>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099F907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bookmarkStart w:id="139" w:name="_Toc303539103"/>
      <w:bookmarkStart w:id="140" w:name="_Toc297216152"/>
      <w:bookmarkStart w:id="141" w:name="_Toc296503160"/>
      <w:bookmarkStart w:id="142" w:name="_Toc296347159"/>
      <w:bookmarkStart w:id="143" w:name="_Toc297120460"/>
      <w:bookmarkStart w:id="144" w:name="_Toc292559365"/>
      <w:bookmarkStart w:id="145" w:name="_Toc297123493"/>
      <w:bookmarkStart w:id="146" w:name="_Toc292559870"/>
      <w:bookmarkStart w:id="147" w:name="_Toc297048346"/>
      <w:bookmarkStart w:id="148" w:name="_Toc300934946"/>
      <w:bookmarkStart w:id="149" w:name="_Toc296890988"/>
      <w:bookmarkStart w:id="150" w:name="_Toc296944499"/>
      <w:bookmarkStart w:id="151" w:name="_Toc296891200"/>
      <w:bookmarkStart w:id="152" w:name="_Toc296346661"/>
      <w:bookmarkStart w:id="153" w:name="_Toc304295524"/>
      <w:bookmarkStart w:id="154" w:name="_Toc312677989"/>
      <w:bookmarkStart w:id="155" w:name="_Toc318581158"/>
      <w:r>
        <w:rPr>
          <w:rFonts w:hint="eastAsia" w:ascii="宋体" w:hAnsi="宋体" w:cs="宋体"/>
          <w:bCs/>
          <w:sz w:val="24"/>
          <w:highlight w:val="none"/>
        </w:rPr>
        <w:t>.5.1 分包的一般约定</w:t>
      </w:r>
    </w:p>
    <w:p w14:paraId="03FB269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禁止分包的工程包括：</w:t>
      </w:r>
      <w:r>
        <w:rPr>
          <w:rFonts w:hint="eastAsia" w:ascii="宋体" w:hAnsi="宋体" w:cs="宋体"/>
          <w:bCs/>
          <w:sz w:val="24"/>
          <w:highlight w:val="none"/>
          <w:u w:val="single"/>
        </w:rPr>
        <w:t xml:space="preserve">  本工程不允许分包（发包人划定的分包工程除外），确需分包的，须征得发包人同意  </w:t>
      </w:r>
      <w:r>
        <w:rPr>
          <w:rFonts w:hint="eastAsia" w:ascii="宋体" w:hAnsi="宋体" w:cs="宋体"/>
          <w:bCs/>
          <w:sz w:val="24"/>
          <w:highlight w:val="none"/>
        </w:rPr>
        <w:t>。</w:t>
      </w:r>
    </w:p>
    <w:p w14:paraId="6AF3286A">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主体结构、关键性工作的范围：</w:t>
      </w:r>
      <w:r>
        <w:rPr>
          <w:rFonts w:hint="eastAsia" w:ascii="宋体" w:hAnsi="宋体" w:cs="宋体"/>
          <w:bCs/>
          <w:sz w:val="24"/>
          <w:highlight w:val="none"/>
          <w:u w:val="single"/>
        </w:rPr>
        <w:t xml:space="preserve">                   /                   </w:t>
      </w:r>
      <w:r>
        <w:rPr>
          <w:rFonts w:hint="eastAsia" w:ascii="宋体" w:hAnsi="宋体" w:cs="宋体"/>
          <w:bCs/>
          <w:sz w:val="24"/>
          <w:highlight w:val="none"/>
        </w:rPr>
        <w: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Start w:id="156" w:name="_Toc297048347"/>
      <w:bookmarkStart w:id="157" w:name="_Toc297120461"/>
      <w:bookmarkStart w:id="158" w:name="_Toc296944500"/>
      <w:bookmarkStart w:id="159" w:name="_Toc296891201"/>
      <w:bookmarkStart w:id="160" w:name="_Toc296346662"/>
      <w:bookmarkStart w:id="161" w:name="_Toc296503161"/>
      <w:bookmarkStart w:id="162" w:name="_Toc304295525"/>
      <w:bookmarkStart w:id="163" w:name="_Toc300934947"/>
      <w:bookmarkStart w:id="164" w:name="_Toc297123494"/>
      <w:bookmarkStart w:id="165" w:name="_Toc296890989"/>
      <w:bookmarkStart w:id="166" w:name="_Toc303539104"/>
      <w:bookmarkStart w:id="167" w:name="_Toc296347160"/>
      <w:bookmarkStart w:id="168" w:name="_Toc297216153"/>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365BEBEA">
      <w:pPr>
        <w:spacing w:line="360" w:lineRule="auto"/>
        <w:rPr>
          <w:rFonts w:hint="eastAsia" w:ascii="宋体" w:hAnsi="宋体" w:cs="宋体"/>
          <w:bCs/>
          <w:sz w:val="24"/>
          <w:highlight w:val="none"/>
        </w:rPr>
      </w:pPr>
      <w:r>
        <w:rPr>
          <w:rFonts w:hint="eastAsia" w:ascii="宋体" w:hAnsi="宋体" w:cs="宋体"/>
          <w:bCs/>
          <w:sz w:val="24"/>
          <w:highlight w:val="none"/>
        </w:rPr>
        <w:t xml:space="preserve">    3</w:t>
      </w:r>
      <w:bookmarkStart w:id="169" w:name="_Toc318581159"/>
      <w:bookmarkStart w:id="170" w:name="_Toc312677990"/>
      <w:r>
        <w:rPr>
          <w:rFonts w:hint="eastAsia" w:ascii="宋体" w:hAnsi="宋体" w:cs="宋体"/>
          <w:bCs/>
          <w:sz w:val="24"/>
          <w:highlight w:val="none"/>
        </w:rPr>
        <w:t>.5.2分包的确定</w:t>
      </w:r>
    </w:p>
    <w:p w14:paraId="3AF757E5">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允许分包的专业工程包括：</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8C88D7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其他关于分包的约定：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A9D64A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3.5.4 分包合同价款</w:t>
      </w:r>
    </w:p>
    <w:p w14:paraId="002B9DC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关于分包合同价款支付的约定：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169"/>
    <w:bookmarkEnd w:id="170"/>
    <w:p w14:paraId="682C974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3.6 工程照管与成品、半成品保护</w:t>
      </w:r>
    </w:p>
    <w:p w14:paraId="5D27822B">
      <w:pPr>
        <w:spacing w:before="120" w:after="120"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承包人负责照管工程及工程相关的材料、工程设备的起始时间：</w:t>
      </w:r>
      <w:r>
        <w:rPr>
          <w:rFonts w:hint="eastAsia" w:ascii="宋体" w:hAnsi="宋体" w:cs="宋体"/>
          <w:bCs/>
          <w:sz w:val="24"/>
          <w:highlight w:val="none"/>
          <w:u w:val="single"/>
        </w:rPr>
        <w:t xml:space="preserve"> 设备、人员进场至验收交付使用前由承包人负责保修，无其它特殊要求的，费用由承包人承担 </w:t>
      </w:r>
      <w:r>
        <w:rPr>
          <w:rFonts w:hint="eastAsia" w:ascii="宋体" w:hAnsi="宋体" w:cs="宋体"/>
          <w:bCs/>
          <w:sz w:val="24"/>
          <w:highlight w:val="none"/>
        </w:rPr>
        <w:t>。</w:t>
      </w:r>
    </w:p>
    <w:p w14:paraId="79FC120F">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3.7 履约担保</w:t>
      </w:r>
    </w:p>
    <w:p w14:paraId="2DB109A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承包人是否提供履约担保：</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CF543D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承包人提供履约担保的形式、金额及期限的：</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97E1A62">
      <w:pPr>
        <w:spacing w:before="120" w:after="120" w:line="360" w:lineRule="auto"/>
        <w:jc w:val="left"/>
        <w:rPr>
          <w:rFonts w:hint="eastAsia" w:ascii="宋体" w:hAnsi="宋体" w:cs="宋体"/>
          <w:bCs/>
          <w:sz w:val="24"/>
          <w:highlight w:val="none"/>
        </w:rPr>
      </w:pPr>
      <w:bookmarkStart w:id="171" w:name="_Toc351203636"/>
      <w:r>
        <w:rPr>
          <w:rFonts w:hint="eastAsia" w:ascii="宋体" w:hAnsi="宋体" w:cs="宋体"/>
          <w:bCs/>
          <w:sz w:val="24"/>
          <w:highlight w:val="none"/>
        </w:rPr>
        <w:t>4</w:t>
      </w:r>
      <w:bookmarkStart w:id="172" w:name="_Toc267251413"/>
      <w:bookmarkStart w:id="173" w:name="_Toc297120462"/>
      <w:bookmarkStart w:id="174" w:name="_Toc296346663"/>
      <w:bookmarkStart w:id="175" w:name="_Toc292559366"/>
      <w:bookmarkStart w:id="176" w:name="_Toc296944501"/>
      <w:bookmarkStart w:id="177" w:name="_Toc296503162"/>
      <w:bookmarkStart w:id="178" w:name="_Toc297048348"/>
      <w:bookmarkStart w:id="179" w:name="_Toc296347161"/>
      <w:bookmarkStart w:id="180" w:name="_Toc296890990"/>
      <w:bookmarkStart w:id="181" w:name="_Toc296891202"/>
      <w:bookmarkStart w:id="182" w:name="_Toc292559871"/>
      <w:r>
        <w:rPr>
          <w:rFonts w:hint="eastAsia" w:ascii="宋体" w:hAnsi="宋体" w:cs="宋体"/>
          <w:bCs/>
          <w:sz w:val="24"/>
          <w:highlight w:val="none"/>
        </w:rPr>
        <w:t>. 监</w:t>
      </w:r>
      <w:bookmarkEnd w:id="172"/>
      <w:bookmarkEnd w:id="173"/>
      <w:bookmarkEnd w:id="174"/>
      <w:bookmarkEnd w:id="175"/>
      <w:bookmarkEnd w:id="176"/>
      <w:bookmarkEnd w:id="177"/>
      <w:bookmarkEnd w:id="178"/>
      <w:bookmarkEnd w:id="179"/>
      <w:bookmarkEnd w:id="180"/>
      <w:bookmarkEnd w:id="181"/>
      <w:bookmarkEnd w:id="182"/>
      <w:r>
        <w:rPr>
          <w:rFonts w:hint="eastAsia" w:ascii="宋体" w:hAnsi="宋体" w:cs="宋体"/>
          <w:bCs/>
          <w:sz w:val="24"/>
          <w:highlight w:val="none"/>
        </w:rPr>
        <w:t>理人</w:t>
      </w:r>
      <w:bookmarkEnd w:id="171"/>
    </w:p>
    <w:p w14:paraId="6EE6A3C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4.1监理人的一般规定</w:t>
      </w:r>
    </w:p>
    <w:p w14:paraId="355A9FC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关于监理人的监理内容：</w:t>
      </w:r>
      <w:r>
        <w:rPr>
          <w:rFonts w:hint="eastAsia" w:ascii="宋体" w:hAnsi="宋体" w:cs="宋体"/>
          <w:bCs/>
          <w:sz w:val="24"/>
          <w:highlight w:val="none"/>
          <w:u w:val="single"/>
        </w:rPr>
        <w:t xml:space="preserve">  质量、进度、安全、投资控制、合同管理、协调等，详见监理委托合同  </w:t>
      </w:r>
      <w:r>
        <w:rPr>
          <w:rFonts w:hint="eastAsia" w:ascii="宋体" w:hAnsi="宋体" w:cs="宋体"/>
          <w:bCs/>
          <w:sz w:val="24"/>
          <w:highlight w:val="none"/>
        </w:rPr>
        <w:t>。</w:t>
      </w:r>
    </w:p>
    <w:p w14:paraId="2FF0420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关于监理人的监理权限：</w:t>
      </w:r>
      <w:r>
        <w:rPr>
          <w:rFonts w:hint="eastAsia" w:ascii="宋体" w:hAnsi="宋体" w:cs="宋体"/>
          <w:bCs/>
          <w:sz w:val="24"/>
          <w:highlight w:val="none"/>
          <w:u w:val="single"/>
        </w:rPr>
        <w:t xml:space="preserve">               见监理合同                    </w:t>
      </w:r>
      <w:r>
        <w:rPr>
          <w:rFonts w:hint="eastAsia" w:ascii="宋体" w:hAnsi="宋体" w:cs="宋体"/>
          <w:bCs/>
          <w:sz w:val="24"/>
          <w:highlight w:val="none"/>
        </w:rPr>
        <w:t xml:space="preserve">。 </w:t>
      </w:r>
    </w:p>
    <w:p w14:paraId="6926B04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关于监理人在施工现场的办公场所、生活场所的提供和费用承担的约定：</w:t>
      </w:r>
      <w:r>
        <w:rPr>
          <w:rFonts w:hint="eastAsia" w:ascii="宋体" w:hAnsi="宋体" w:cs="宋体"/>
          <w:bCs/>
          <w:sz w:val="24"/>
          <w:highlight w:val="none"/>
          <w:u w:val="single"/>
        </w:rPr>
        <w:t>见监理合同</w:t>
      </w:r>
      <w:r>
        <w:rPr>
          <w:rFonts w:hint="eastAsia" w:ascii="宋体" w:hAnsi="宋体" w:cs="宋体"/>
          <w:bCs/>
          <w:sz w:val="24"/>
          <w:highlight w:val="none"/>
        </w:rPr>
        <w:t>。</w:t>
      </w:r>
    </w:p>
    <w:p w14:paraId="27DFAE0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4.2 监理人员</w:t>
      </w:r>
    </w:p>
    <w:p w14:paraId="42A15BE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总监理工程师：</w:t>
      </w:r>
    </w:p>
    <w:p w14:paraId="1CD445F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w:t>
      </w:r>
      <w:r>
        <w:rPr>
          <w:rFonts w:hint="eastAsia" w:ascii="宋体" w:hAnsi="宋体" w:cs="宋体"/>
          <w:bCs/>
          <w:sz w:val="24"/>
          <w:highlight w:val="none"/>
        </w:rPr>
        <w:t>；</w:t>
      </w:r>
    </w:p>
    <w:p w14:paraId="5293249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职    务：</w:t>
      </w:r>
      <w:r>
        <w:rPr>
          <w:rFonts w:hint="eastAsia" w:ascii="宋体" w:hAnsi="宋体" w:cs="宋体"/>
          <w:bCs/>
          <w:sz w:val="24"/>
          <w:highlight w:val="none"/>
          <w:u w:val="single"/>
        </w:rPr>
        <w:t>   </w:t>
      </w:r>
      <w:r>
        <w:rPr>
          <w:rFonts w:hint="eastAsia" w:ascii="宋体" w:hAnsi="宋体" w:cs="宋体"/>
          <w:bCs/>
          <w:sz w:val="24"/>
          <w:highlight w:val="none"/>
        </w:rPr>
        <w:t>；</w:t>
      </w:r>
    </w:p>
    <w:p w14:paraId="78CD09E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监理工程师执业资格证书号：</w:t>
      </w:r>
      <w:r>
        <w:rPr>
          <w:rFonts w:hint="eastAsia" w:ascii="宋体" w:hAnsi="宋体" w:cs="宋体"/>
          <w:bCs/>
          <w:sz w:val="24"/>
          <w:highlight w:val="none"/>
          <w:u w:val="single"/>
        </w:rPr>
        <w:t> </w:t>
      </w:r>
      <w:r>
        <w:rPr>
          <w:rFonts w:hint="eastAsia" w:ascii="宋体" w:hAnsi="宋体" w:cs="宋体"/>
          <w:bCs/>
          <w:sz w:val="24"/>
          <w:highlight w:val="none"/>
        </w:rPr>
        <w:t>；</w:t>
      </w:r>
    </w:p>
    <w:p w14:paraId="0CF75C2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w:t>
      </w:r>
      <w:r>
        <w:rPr>
          <w:rFonts w:hint="eastAsia" w:ascii="宋体" w:hAnsi="宋体" w:cs="宋体"/>
          <w:bCs/>
          <w:sz w:val="24"/>
          <w:highlight w:val="none"/>
        </w:rPr>
        <w:t>；</w:t>
      </w:r>
    </w:p>
    <w:p w14:paraId="022AE0B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w:t>
      </w:r>
      <w:r>
        <w:rPr>
          <w:rFonts w:hint="eastAsia" w:ascii="宋体" w:hAnsi="宋体" w:cs="宋体"/>
          <w:bCs/>
          <w:sz w:val="24"/>
          <w:highlight w:val="none"/>
        </w:rPr>
        <w:t>；</w:t>
      </w:r>
    </w:p>
    <w:p w14:paraId="610A2B8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3F5AA5D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关于监理人的其他约定：</w:t>
      </w:r>
      <w:r>
        <w:rPr>
          <w:rFonts w:hint="eastAsia" w:ascii="宋体" w:hAnsi="宋体" w:cs="宋体"/>
          <w:bCs/>
          <w:sz w:val="24"/>
          <w:highlight w:val="none"/>
          <w:u w:val="single"/>
        </w:rPr>
        <w:t>   </w:t>
      </w:r>
      <w:r>
        <w:rPr>
          <w:rFonts w:hint="eastAsia" w:ascii="宋体" w:hAnsi="宋体" w:cs="宋体"/>
          <w:bCs/>
          <w:sz w:val="24"/>
          <w:highlight w:val="none"/>
        </w:rPr>
        <w:t>。</w:t>
      </w:r>
    </w:p>
    <w:p w14:paraId="57C23D88">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4.4 商定或确定</w:t>
      </w:r>
    </w:p>
    <w:p w14:paraId="2FC1BC4D">
      <w:pPr>
        <w:spacing w:line="360" w:lineRule="auto"/>
        <w:ind w:firstLine="480" w:firstLineChars="200"/>
        <w:rPr>
          <w:rFonts w:hint="eastAsia" w:ascii="宋体" w:hAnsi="宋体" w:cs="宋体"/>
          <w:bCs/>
          <w:sz w:val="24"/>
          <w:highlight w:val="none"/>
        </w:rPr>
      </w:pPr>
      <w:bookmarkStart w:id="183" w:name="_Toc267251418"/>
      <w:r>
        <w:rPr>
          <w:rFonts w:hint="eastAsia" w:ascii="宋体" w:hAnsi="宋体" w:cs="宋体"/>
          <w:bCs/>
          <w:sz w:val="24"/>
          <w:highlight w:val="none"/>
        </w:rPr>
        <w:t>在发包人和承包人不能通过协商达成一致意见时，发包人授权监理人对以下事项进行确定：</w:t>
      </w:r>
    </w:p>
    <w:p w14:paraId="3F75D4D9">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u w:val="single"/>
        </w:rPr>
        <w:t xml:space="preserve">            工程质量               </w:t>
      </w:r>
      <w:r>
        <w:rPr>
          <w:rFonts w:hint="eastAsia" w:ascii="宋体" w:hAnsi="宋体" w:cs="宋体"/>
          <w:bCs/>
          <w:sz w:val="24"/>
          <w:highlight w:val="none"/>
        </w:rPr>
        <w:t>；</w:t>
      </w:r>
    </w:p>
    <w:p w14:paraId="3C386C02">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施工安全               </w:t>
      </w:r>
      <w:r>
        <w:rPr>
          <w:rFonts w:hint="eastAsia" w:ascii="宋体" w:hAnsi="宋体" w:cs="宋体"/>
          <w:bCs/>
          <w:sz w:val="24"/>
          <w:highlight w:val="none"/>
        </w:rPr>
        <w:t>；</w:t>
      </w:r>
    </w:p>
    <w:p w14:paraId="5883DFDD">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076EF32">
      <w:pPr>
        <w:spacing w:before="120" w:after="120" w:line="360" w:lineRule="auto"/>
        <w:jc w:val="left"/>
        <w:rPr>
          <w:rFonts w:hint="eastAsia" w:ascii="宋体" w:hAnsi="宋体" w:cs="宋体"/>
          <w:bCs/>
          <w:sz w:val="24"/>
          <w:highlight w:val="none"/>
        </w:rPr>
      </w:pPr>
      <w:bookmarkStart w:id="184" w:name="_Toc351203637"/>
      <w:r>
        <w:rPr>
          <w:rFonts w:hint="eastAsia" w:ascii="宋体" w:hAnsi="宋体" w:cs="宋体"/>
          <w:bCs/>
          <w:sz w:val="24"/>
          <w:highlight w:val="none"/>
        </w:rPr>
        <w:t>5</w:t>
      </w:r>
      <w:bookmarkEnd w:id="183"/>
      <w:bookmarkStart w:id="185" w:name="_Toc297120463"/>
      <w:bookmarkStart w:id="186" w:name="_Toc292559367"/>
      <w:bookmarkStart w:id="187" w:name="_Toc296347162"/>
      <w:bookmarkStart w:id="188" w:name="_Toc296891203"/>
      <w:bookmarkStart w:id="189" w:name="_Toc296503163"/>
      <w:bookmarkStart w:id="190" w:name="_Toc296890991"/>
      <w:bookmarkStart w:id="191" w:name="_Toc296346664"/>
      <w:bookmarkStart w:id="192" w:name="_Toc296944502"/>
      <w:bookmarkStart w:id="193" w:name="_Toc297048349"/>
      <w:bookmarkStart w:id="194" w:name="_Toc292559872"/>
      <w:r>
        <w:rPr>
          <w:rFonts w:hint="eastAsia" w:ascii="宋体" w:hAnsi="宋体" w:cs="宋体"/>
          <w:bCs/>
          <w:sz w:val="24"/>
          <w:highlight w:val="none"/>
        </w:rPr>
        <w:t>. 工程质量</w:t>
      </w:r>
      <w:bookmarkEnd w:id="184"/>
    </w:p>
    <w:p w14:paraId="69F6C4AA">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5.1 质量要求</w:t>
      </w:r>
    </w:p>
    <w:p w14:paraId="71D5172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w:t>
      </w:r>
      <w:bookmarkStart w:id="195" w:name="_Toc297216155"/>
      <w:bookmarkStart w:id="196" w:name="_Toc297123496"/>
      <w:bookmarkStart w:id="197" w:name="_Toc303539106"/>
      <w:bookmarkStart w:id="198" w:name="_Toc304295527"/>
      <w:bookmarkStart w:id="199" w:name="_Toc318581164"/>
      <w:bookmarkStart w:id="200" w:name="_Toc300934949"/>
      <w:bookmarkStart w:id="201" w:name="_Toc312677997"/>
      <w:r>
        <w:rPr>
          <w:rFonts w:hint="eastAsia" w:ascii="宋体" w:hAnsi="宋体" w:cs="宋体"/>
          <w:bCs/>
          <w:sz w:val="24"/>
          <w:highlight w:val="none"/>
        </w:rPr>
        <w:t>.1.1 特殊质量标准和要求：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A4F129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关于工程奖项的约定：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523D758">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5.3 隐蔽工程检查</w:t>
      </w:r>
    </w:p>
    <w:p w14:paraId="6DC6167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5.3.2承包人提前通知监理人隐蔽工程检查的期限的约定：</w:t>
      </w:r>
      <w:r>
        <w:rPr>
          <w:rFonts w:hint="eastAsia" w:ascii="宋体" w:hAnsi="宋体" w:cs="宋体"/>
          <w:bCs/>
          <w:sz w:val="24"/>
          <w:highlight w:val="none"/>
          <w:u w:val="single"/>
        </w:rPr>
        <w:t xml:space="preserve">  共同检查前48小时书面通知监理人  </w:t>
      </w:r>
      <w:r>
        <w:rPr>
          <w:rFonts w:hint="eastAsia" w:ascii="宋体" w:hAnsi="宋体" w:cs="宋体"/>
          <w:bCs/>
          <w:sz w:val="24"/>
          <w:highlight w:val="none"/>
        </w:rPr>
        <w:t>。</w:t>
      </w:r>
    </w:p>
    <w:p w14:paraId="34CACDC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监理人不能按时进行检查时，应提前</w:t>
      </w:r>
      <w:r>
        <w:rPr>
          <w:rFonts w:hint="eastAsia" w:ascii="宋体" w:hAnsi="宋体" w:cs="宋体"/>
          <w:bCs/>
          <w:sz w:val="24"/>
          <w:highlight w:val="none"/>
          <w:u w:val="single"/>
        </w:rPr>
        <w:t xml:space="preserve"> 24  </w:t>
      </w:r>
      <w:r>
        <w:rPr>
          <w:rFonts w:hint="eastAsia" w:ascii="宋体" w:hAnsi="宋体" w:cs="宋体"/>
          <w:bCs/>
          <w:sz w:val="24"/>
          <w:highlight w:val="none"/>
        </w:rPr>
        <w:t>小时提交书面延期要求。</w:t>
      </w:r>
    </w:p>
    <w:p w14:paraId="0B63ADF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关于延期最长不得超过：</w:t>
      </w:r>
      <w:r>
        <w:rPr>
          <w:rFonts w:hint="eastAsia" w:ascii="宋体" w:hAnsi="宋体" w:cs="宋体"/>
          <w:bCs/>
          <w:sz w:val="24"/>
          <w:highlight w:val="none"/>
          <w:u w:val="single"/>
        </w:rPr>
        <w:t xml:space="preserve">  48   </w:t>
      </w:r>
      <w:r>
        <w:rPr>
          <w:rFonts w:hint="eastAsia" w:ascii="宋体" w:hAnsi="宋体" w:cs="宋体"/>
          <w:bCs/>
          <w:sz w:val="24"/>
          <w:highlight w:val="none"/>
        </w:rPr>
        <w:t>小时。</w:t>
      </w:r>
    </w:p>
    <w:p w14:paraId="7C96434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双方约定中间验收部位：</w:t>
      </w:r>
      <w:r>
        <w:rPr>
          <w:rFonts w:hint="eastAsia" w:ascii="宋体" w:hAnsi="宋体" w:cs="宋体"/>
          <w:bCs/>
          <w:sz w:val="24"/>
          <w:highlight w:val="none"/>
          <w:u w:val="single"/>
        </w:rPr>
        <w:t>执行《通用条款》。除按规定进行正常隐蔽工程验收外，中间验收部分为：双方另行确定。</w:t>
      </w:r>
    </w:p>
    <w:p w14:paraId="1E025F5E">
      <w:pPr>
        <w:spacing w:before="120" w:after="120" w:line="360" w:lineRule="auto"/>
        <w:jc w:val="left"/>
        <w:rPr>
          <w:rFonts w:hint="eastAsia" w:ascii="宋体" w:hAnsi="宋体" w:cs="宋体"/>
          <w:bCs/>
          <w:sz w:val="24"/>
          <w:highlight w:val="none"/>
        </w:rPr>
      </w:pPr>
      <w:bookmarkStart w:id="202" w:name="_Toc351203638"/>
      <w:r>
        <w:rPr>
          <w:rFonts w:hint="eastAsia" w:ascii="宋体" w:hAnsi="宋体" w:cs="宋体"/>
          <w:bCs/>
          <w:sz w:val="24"/>
          <w:highlight w:val="none"/>
        </w:rPr>
        <w:t>6. 安全文明施工与环境保护</w:t>
      </w:r>
      <w:bookmarkEnd w:id="202"/>
    </w:p>
    <w:p w14:paraId="54B46B3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6.1安全文明施工</w:t>
      </w:r>
    </w:p>
    <w:p w14:paraId="196B1AE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6.1.1 项目安全生产的达标目标及相应事项的约定：</w:t>
      </w:r>
      <w:r>
        <w:rPr>
          <w:rFonts w:hint="eastAsia" w:ascii="宋体" w:hAnsi="宋体" w:cs="宋体"/>
          <w:bCs/>
          <w:sz w:val="24"/>
          <w:highlight w:val="none"/>
          <w:u w:val="single"/>
        </w:rPr>
        <w:t xml:space="preserve">  要求达到《建筑施工安全检查标准》（JGJ59-2011）标准</w:t>
      </w:r>
      <w:r>
        <w:rPr>
          <w:rFonts w:hint="eastAsia" w:ascii="宋体" w:hAnsi="宋体" w:cs="宋体"/>
          <w:bCs/>
          <w:sz w:val="24"/>
          <w:highlight w:val="none"/>
        </w:rPr>
        <w:t>。</w:t>
      </w:r>
    </w:p>
    <w:p w14:paraId="67AC598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6.1.4 关于治安保卫的特别约定：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02E90DE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关于编制施工场地治安管理计划的约定：</w:t>
      </w:r>
      <w:r>
        <w:rPr>
          <w:rFonts w:hint="eastAsia" w:ascii="宋体" w:hAnsi="宋体" w:cs="宋体"/>
          <w:bCs/>
          <w:sz w:val="24"/>
          <w:highlight w:val="none"/>
          <w:u w:val="single"/>
        </w:rPr>
        <w:t xml:space="preserve">  开工前提供施工场地治安管理计划   </w:t>
      </w:r>
      <w:r>
        <w:rPr>
          <w:rFonts w:hint="eastAsia" w:ascii="宋体" w:hAnsi="宋体" w:cs="宋体"/>
          <w:bCs/>
          <w:sz w:val="24"/>
          <w:highlight w:val="none"/>
        </w:rPr>
        <w:t>。</w:t>
      </w:r>
    </w:p>
    <w:p w14:paraId="5CA18A5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6.1.5 文明施工</w:t>
      </w:r>
    </w:p>
    <w:p w14:paraId="1264E2A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合同当事人对文明施工的要求：</w:t>
      </w:r>
      <w:r>
        <w:rPr>
          <w:rFonts w:hint="eastAsia" w:ascii="宋体" w:hAnsi="宋体" w:cs="宋体"/>
          <w:bCs/>
          <w:sz w:val="24"/>
          <w:highlight w:val="none"/>
          <w:u w:val="single"/>
        </w:rPr>
        <w:t xml:space="preserve"> 达到《建筑施工现场环境与卫生标准》（JGJ146-2004） </w:t>
      </w:r>
      <w:r>
        <w:rPr>
          <w:rFonts w:hint="eastAsia" w:ascii="宋体" w:hAnsi="宋体" w:cs="宋体"/>
          <w:bCs/>
          <w:sz w:val="24"/>
          <w:highlight w:val="none"/>
        </w:rPr>
        <w:t>。</w:t>
      </w:r>
    </w:p>
    <w:p w14:paraId="0E894470">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6.1.6 关于安全文明施工费支付比例和支付期限的约定：</w:t>
      </w:r>
      <w:r>
        <w:rPr>
          <w:rFonts w:hint="eastAsia" w:ascii="宋体" w:hAnsi="宋体" w:cs="宋体"/>
          <w:bCs/>
          <w:sz w:val="24"/>
          <w:highlight w:val="none"/>
          <w:u w:val="single"/>
        </w:rPr>
        <w:t>纳入合同价格支付。</w:t>
      </w:r>
    </w:p>
    <w:bookmarkEnd w:id="195"/>
    <w:bookmarkEnd w:id="196"/>
    <w:bookmarkEnd w:id="197"/>
    <w:bookmarkEnd w:id="198"/>
    <w:bookmarkEnd w:id="199"/>
    <w:bookmarkEnd w:id="200"/>
    <w:bookmarkEnd w:id="201"/>
    <w:p w14:paraId="660E2290">
      <w:pPr>
        <w:spacing w:before="120" w:after="120" w:line="360" w:lineRule="auto"/>
        <w:ind w:firstLine="480" w:firstLineChars="200"/>
        <w:jc w:val="left"/>
        <w:rPr>
          <w:rFonts w:hint="eastAsia" w:ascii="宋体" w:hAnsi="宋体" w:cs="宋体"/>
          <w:bCs/>
          <w:sz w:val="24"/>
          <w:highlight w:val="none"/>
        </w:rPr>
      </w:pPr>
      <w:bookmarkStart w:id="203" w:name="_Toc351203639"/>
      <w:r>
        <w:rPr>
          <w:rFonts w:hint="eastAsia" w:ascii="宋体" w:hAnsi="宋体" w:cs="宋体"/>
          <w:bCs/>
          <w:sz w:val="24"/>
          <w:highlight w:val="none"/>
        </w:rPr>
        <w:t>7. 工期和进度</w:t>
      </w:r>
      <w:bookmarkEnd w:id="203"/>
    </w:p>
    <w:p w14:paraId="21C4A2D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7.1 施工组织设计</w:t>
      </w:r>
    </w:p>
    <w:p w14:paraId="561C6CA0">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7.1.1 合同当事人约定的施工组织设计应包括的其他内容：</w:t>
      </w:r>
      <w:r>
        <w:rPr>
          <w:rFonts w:hint="eastAsia" w:ascii="宋体" w:hAnsi="宋体" w:cs="宋体"/>
          <w:bCs/>
          <w:sz w:val="24"/>
          <w:highlight w:val="none"/>
          <w:u w:val="single"/>
        </w:rPr>
        <w:t xml:space="preserve">  按磋商文件约定，磋商文件无约定的按通用条款或双方另行约定 </w:t>
      </w:r>
      <w:r>
        <w:rPr>
          <w:rFonts w:hint="eastAsia" w:ascii="宋体" w:hAnsi="宋体" w:cs="宋体"/>
          <w:bCs/>
          <w:sz w:val="24"/>
          <w:highlight w:val="none"/>
        </w:rPr>
        <w:t>。</w:t>
      </w:r>
    </w:p>
    <w:p w14:paraId="6E32B8BF">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7.1.2 施工组织设计的提交和修改</w:t>
      </w:r>
    </w:p>
    <w:p w14:paraId="2BBCF9E7">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rPr>
        <w:t>承包人提交详细施工组织设计的期限的约定：</w:t>
      </w:r>
      <w:r>
        <w:rPr>
          <w:rFonts w:hint="eastAsia" w:ascii="宋体" w:hAnsi="宋体" w:cs="宋体"/>
          <w:bCs/>
          <w:sz w:val="24"/>
          <w:highlight w:val="none"/>
          <w:u w:val="single"/>
        </w:rPr>
        <w:t xml:space="preserve">    开工前    </w:t>
      </w:r>
      <w:r>
        <w:rPr>
          <w:rFonts w:hint="eastAsia" w:ascii="宋体" w:hAnsi="宋体" w:cs="宋体"/>
          <w:bCs/>
          <w:sz w:val="24"/>
          <w:highlight w:val="none"/>
        </w:rPr>
        <w:t>。</w:t>
      </w:r>
    </w:p>
    <w:p w14:paraId="418CDED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发包人和监理人在收到详细的施工组织设计后确认或提出修改意见的期限：</w:t>
      </w:r>
      <w:r>
        <w:rPr>
          <w:rFonts w:hint="eastAsia" w:ascii="宋体" w:hAnsi="宋体" w:cs="宋体"/>
          <w:bCs/>
          <w:sz w:val="24"/>
          <w:highlight w:val="none"/>
          <w:u w:val="single"/>
        </w:rPr>
        <w:t xml:space="preserve"> 收到后7天内  </w:t>
      </w:r>
      <w:r>
        <w:rPr>
          <w:rFonts w:hint="eastAsia" w:ascii="宋体" w:hAnsi="宋体" w:cs="宋体"/>
          <w:bCs/>
          <w:sz w:val="24"/>
          <w:highlight w:val="none"/>
        </w:rPr>
        <w:t>。</w:t>
      </w:r>
    </w:p>
    <w:p w14:paraId="692E39E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04" w:name="_Toc303539123"/>
      <w:bookmarkStart w:id="205" w:name="_Toc312678005"/>
      <w:bookmarkStart w:id="206" w:name="_Toc297123514"/>
      <w:bookmarkStart w:id="207" w:name="_Toc300934966"/>
      <w:bookmarkStart w:id="208" w:name="_Toc312677479"/>
      <w:bookmarkStart w:id="209" w:name="_Toc304295541"/>
      <w:bookmarkStart w:id="210" w:name="_Toc297216173"/>
      <w:r>
        <w:rPr>
          <w:rFonts w:hint="eastAsia" w:ascii="宋体" w:hAnsi="宋体" w:cs="宋体"/>
          <w:bCs/>
          <w:sz w:val="24"/>
          <w:highlight w:val="none"/>
        </w:rPr>
        <w:t>.2 施工进度计划</w:t>
      </w:r>
    </w:p>
    <w:p w14:paraId="027F10D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7.2.2 施工进度计划的修订</w:t>
      </w:r>
    </w:p>
    <w:p w14:paraId="48DA24A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发包人和监理人在收到修订的施工进度计划后确认或提出修改意见的期限：</w:t>
      </w:r>
      <w:r>
        <w:rPr>
          <w:rFonts w:hint="eastAsia" w:ascii="宋体" w:hAnsi="宋体" w:cs="宋体"/>
          <w:bCs/>
          <w:sz w:val="24"/>
          <w:highlight w:val="none"/>
          <w:u w:val="single"/>
        </w:rPr>
        <w:t xml:space="preserve"> 收到后5天内  </w:t>
      </w:r>
      <w:r>
        <w:rPr>
          <w:rFonts w:hint="eastAsia" w:ascii="宋体" w:hAnsi="宋体" w:cs="宋体"/>
          <w:bCs/>
          <w:sz w:val="24"/>
          <w:highlight w:val="none"/>
        </w:rPr>
        <w:t>。</w:t>
      </w:r>
    </w:p>
    <w:p w14:paraId="55620F7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7.3 开工</w:t>
      </w:r>
    </w:p>
    <w:p w14:paraId="1F90B18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7.3.1 开工准备</w:t>
      </w:r>
    </w:p>
    <w:p w14:paraId="64C2F1FE">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关于承包人提交工程开工报审表的期限：</w:t>
      </w:r>
      <w:r>
        <w:rPr>
          <w:rFonts w:hint="eastAsia" w:ascii="宋体" w:hAnsi="宋体" w:cs="宋体"/>
          <w:bCs/>
          <w:sz w:val="24"/>
          <w:highlight w:val="none"/>
          <w:u w:val="single"/>
        </w:rPr>
        <w:t xml:space="preserve">  合同签订后、开工前 </w:t>
      </w:r>
      <w:r>
        <w:rPr>
          <w:rFonts w:hint="eastAsia" w:ascii="宋体" w:hAnsi="宋体" w:cs="宋体"/>
          <w:bCs/>
          <w:sz w:val="24"/>
          <w:highlight w:val="none"/>
        </w:rPr>
        <w:t>。</w:t>
      </w:r>
    </w:p>
    <w:p w14:paraId="5BBF40E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关于发包人应完成的其他开工准备工作及期限：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EB103A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关于承包人应完成的其他开工准备工作及期限：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BDC906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7.3.2开工通知</w:t>
      </w:r>
    </w:p>
    <w:p w14:paraId="3DD911E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因发包人原因造成监理人未能在计划开工日期之日起</w:t>
      </w:r>
      <w:r>
        <w:rPr>
          <w:rFonts w:hint="eastAsia" w:ascii="宋体" w:hAnsi="宋体" w:cs="宋体"/>
          <w:bCs/>
          <w:sz w:val="24"/>
          <w:highlight w:val="none"/>
          <w:u w:val="single"/>
        </w:rPr>
        <w:t xml:space="preserve">  60  </w:t>
      </w:r>
      <w:r>
        <w:rPr>
          <w:rFonts w:hint="eastAsia" w:ascii="宋体" w:hAnsi="宋体" w:cs="宋体"/>
          <w:bCs/>
          <w:sz w:val="24"/>
          <w:highlight w:val="none"/>
        </w:rPr>
        <w:t>天内发出开工通知的，承包人有权提出价格调整要求，或者解除合同。</w:t>
      </w:r>
    </w:p>
    <w:bookmarkEnd w:id="204"/>
    <w:bookmarkEnd w:id="205"/>
    <w:bookmarkEnd w:id="206"/>
    <w:bookmarkEnd w:id="207"/>
    <w:bookmarkEnd w:id="208"/>
    <w:bookmarkEnd w:id="209"/>
    <w:bookmarkEnd w:id="210"/>
    <w:p w14:paraId="2AC56BB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7.4 测量放线</w:t>
      </w:r>
    </w:p>
    <w:p w14:paraId="5A8E78BC">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7.4.1发包人通过监理人向承包人提供测量基准点、基准线和水准点及其书面资料的期限：</w:t>
      </w:r>
      <w:r>
        <w:rPr>
          <w:rFonts w:hint="eastAsia" w:ascii="宋体" w:hAnsi="宋体" w:cs="宋体"/>
          <w:bCs/>
          <w:sz w:val="24"/>
          <w:highlight w:val="none"/>
          <w:u w:val="single"/>
        </w:rPr>
        <w:t xml:space="preserve">      合同签订后、开工前     </w:t>
      </w:r>
      <w:r>
        <w:rPr>
          <w:rFonts w:hint="eastAsia" w:ascii="宋体" w:hAnsi="宋体" w:cs="宋体"/>
          <w:bCs/>
          <w:sz w:val="24"/>
          <w:highlight w:val="none"/>
        </w:rPr>
        <w:t>。</w:t>
      </w:r>
    </w:p>
    <w:p w14:paraId="78D3D76C">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11" w:name="_Toc303539125"/>
      <w:bookmarkStart w:id="212" w:name="_Toc297216175"/>
      <w:bookmarkStart w:id="213" w:name="_Toc300934968"/>
      <w:bookmarkStart w:id="214" w:name="_Toc304295546"/>
      <w:bookmarkStart w:id="215" w:name="_Toc312678010"/>
      <w:bookmarkStart w:id="216" w:name="_Toc297123516"/>
      <w:bookmarkStart w:id="217" w:name="_Toc312677484"/>
      <w:r>
        <w:rPr>
          <w:rFonts w:hint="eastAsia" w:ascii="宋体" w:hAnsi="宋体" w:cs="宋体"/>
          <w:bCs/>
          <w:sz w:val="24"/>
          <w:highlight w:val="none"/>
        </w:rPr>
        <w:t>.5 工期延误</w:t>
      </w:r>
    </w:p>
    <w:bookmarkEnd w:id="211"/>
    <w:bookmarkEnd w:id="212"/>
    <w:bookmarkEnd w:id="213"/>
    <w:bookmarkEnd w:id="214"/>
    <w:bookmarkEnd w:id="215"/>
    <w:bookmarkEnd w:id="216"/>
    <w:bookmarkEnd w:id="217"/>
    <w:p w14:paraId="107D824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7.5.1 因发包人原因导致工期延误</w:t>
      </w:r>
    </w:p>
    <w:p w14:paraId="4041B68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（7）因发包人原因导致工期延误的其他情形：</w:t>
      </w:r>
      <w:r>
        <w:rPr>
          <w:rFonts w:hint="eastAsia" w:ascii="宋体" w:hAnsi="宋体" w:cs="宋体"/>
          <w:bCs/>
          <w:sz w:val="24"/>
          <w:highlight w:val="none"/>
          <w:u w:val="single"/>
        </w:rPr>
        <w:t xml:space="preserve"> ①发包人未按合同规定支付工程款并确实影响施工进度；②重大设计变更而影响施工进度；③政策处理问题影响施工进度；</w:t>
      </w:r>
      <w:r>
        <w:rPr>
          <w:rFonts w:hint="eastAsia" w:ascii="宋体" w:hAnsi="宋体" w:cs="宋体"/>
          <w:bCs/>
          <w:sz w:val="24"/>
          <w:highlight w:val="none"/>
          <w:u w:val="single"/>
        </w:rPr>
        <w:fldChar w:fldCharType="begin"/>
      </w:r>
      <w:r>
        <w:rPr>
          <w:rFonts w:hint="eastAsia" w:ascii="宋体" w:hAnsi="宋体" w:cs="宋体"/>
          <w:bCs/>
          <w:sz w:val="24"/>
          <w:highlight w:val="none"/>
          <w:u w:val="single"/>
        </w:rPr>
        <w:instrText xml:space="preserve"> = 4 \* GB3 </w:instrText>
      </w:r>
      <w:r>
        <w:rPr>
          <w:rFonts w:hint="eastAsia" w:ascii="宋体" w:hAnsi="宋体" w:cs="宋体"/>
          <w:bCs/>
          <w:sz w:val="24"/>
          <w:highlight w:val="none"/>
          <w:u w:val="single"/>
        </w:rPr>
        <w:fldChar w:fldCharType="separate"/>
      </w:r>
      <w:r>
        <w:rPr>
          <w:rFonts w:hint="eastAsia" w:ascii="宋体" w:hAnsi="宋体" w:cs="宋体"/>
          <w:bCs/>
          <w:sz w:val="24"/>
          <w:highlight w:val="none"/>
          <w:u w:val="single"/>
        </w:rPr>
        <w:t>④</w:t>
      </w:r>
      <w:r>
        <w:rPr>
          <w:rFonts w:hint="eastAsia" w:ascii="宋体" w:hAnsi="宋体" w:cs="宋体"/>
          <w:bCs/>
          <w:sz w:val="24"/>
          <w:highlight w:val="none"/>
          <w:u w:val="single"/>
        </w:rPr>
        <w:fldChar w:fldCharType="end"/>
      </w:r>
      <w:r>
        <w:rPr>
          <w:rFonts w:hint="eastAsia" w:ascii="宋体" w:hAnsi="宋体" w:cs="宋体"/>
          <w:bCs/>
          <w:sz w:val="24"/>
          <w:highlight w:val="none"/>
          <w:u w:val="single"/>
        </w:rPr>
        <w:t>不可抗力，此延误工期须在发现后七天内办理签证，逾期不予认可。</w:t>
      </w:r>
    </w:p>
    <w:p w14:paraId="580B4EB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w:t>
      </w:r>
      <w:bookmarkStart w:id="218" w:name="_Toc312677486"/>
      <w:bookmarkStart w:id="219" w:name="_Toc318581169"/>
      <w:bookmarkStart w:id="220" w:name="_Toc312678012"/>
      <w:bookmarkStart w:id="221" w:name="_Toc304295548"/>
      <w:bookmarkStart w:id="222" w:name="_Toc297216177"/>
      <w:bookmarkStart w:id="223" w:name="_Toc303539127"/>
      <w:bookmarkStart w:id="224" w:name="_Toc300934970"/>
      <w:bookmarkStart w:id="225" w:name="_Toc297123518"/>
      <w:r>
        <w:rPr>
          <w:rFonts w:hint="eastAsia" w:ascii="宋体" w:hAnsi="宋体" w:cs="宋体"/>
          <w:bCs/>
          <w:sz w:val="24"/>
          <w:highlight w:val="none"/>
        </w:rPr>
        <w:t>.5.2 因承包人原因导致工期延误</w:t>
      </w:r>
    </w:p>
    <w:bookmarkEnd w:id="218"/>
    <w:bookmarkEnd w:id="219"/>
    <w:bookmarkEnd w:id="220"/>
    <w:p w14:paraId="725357E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w:t>
      </w:r>
      <w:bookmarkStart w:id="226" w:name="_Toc312677487"/>
      <w:bookmarkStart w:id="227" w:name="_Toc312678013"/>
      <w:bookmarkStart w:id="228" w:name="_Toc318581170"/>
      <w:r>
        <w:rPr>
          <w:rFonts w:hint="eastAsia" w:ascii="宋体" w:hAnsi="宋体" w:cs="宋体"/>
          <w:bCs/>
          <w:sz w:val="24"/>
          <w:highlight w:val="none"/>
        </w:rPr>
        <w:t>承包人原因造成工期延误，逾期竣工违约金的计算方法为：</w:t>
      </w:r>
      <w:r>
        <w:rPr>
          <w:rFonts w:hint="eastAsia" w:ascii="宋体" w:hAnsi="宋体" w:cs="宋体"/>
          <w:bCs/>
          <w:sz w:val="24"/>
          <w:highlight w:val="none"/>
          <w:u w:val="single"/>
        </w:rPr>
        <w:t xml:space="preserve">双方另行约定 </w:t>
      </w:r>
      <w:r>
        <w:rPr>
          <w:rFonts w:hint="eastAsia" w:ascii="宋体" w:hAnsi="宋体" w:cs="宋体"/>
          <w:bCs/>
          <w:sz w:val="24"/>
          <w:highlight w:val="none"/>
        </w:rPr>
        <w:t>。</w:t>
      </w:r>
      <w:bookmarkEnd w:id="221"/>
      <w:bookmarkEnd w:id="222"/>
      <w:bookmarkEnd w:id="223"/>
      <w:bookmarkEnd w:id="224"/>
      <w:bookmarkEnd w:id="225"/>
      <w:bookmarkEnd w:id="226"/>
      <w:bookmarkEnd w:id="227"/>
    </w:p>
    <w:bookmarkEnd w:id="228"/>
    <w:p w14:paraId="37987B6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因承包人原因造成工期延误，逾</w:t>
      </w:r>
      <w:bookmarkStart w:id="229" w:name="_Toc318581171"/>
      <w:bookmarkStart w:id="230" w:name="_Toc312678014"/>
      <w:r>
        <w:rPr>
          <w:rFonts w:hint="eastAsia" w:ascii="宋体" w:hAnsi="宋体" w:cs="宋体"/>
          <w:bCs/>
          <w:sz w:val="24"/>
          <w:highlight w:val="none"/>
        </w:rPr>
        <w:t>期竣工违约金的上限：</w:t>
      </w:r>
      <w:r>
        <w:rPr>
          <w:rFonts w:hint="eastAsia" w:ascii="宋体" w:hAnsi="宋体" w:cs="宋体"/>
          <w:bCs/>
          <w:sz w:val="24"/>
          <w:highlight w:val="none"/>
          <w:u w:val="single"/>
        </w:rPr>
        <w:t xml:space="preserve">总额不超过合同价款的10%  </w:t>
      </w:r>
      <w:r>
        <w:rPr>
          <w:rFonts w:hint="eastAsia" w:ascii="宋体" w:hAnsi="宋体" w:cs="宋体"/>
          <w:bCs/>
          <w:sz w:val="24"/>
          <w:highlight w:val="none"/>
        </w:rPr>
        <w:t>。</w:t>
      </w:r>
    </w:p>
    <w:bookmarkEnd w:id="229"/>
    <w:bookmarkEnd w:id="230"/>
    <w:p w14:paraId="404DC98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31" w:name="_Toc300934971"/>
      <w:bookmarkStart w:id="232" w:name="_Toc297216178"/>
      <w:bookmarkStart w:id="233" w:name="_Toc297123519"/>
      <w:bookmarkStart w:id="234" w:name="_Toc312678015"/>
      <w:bookmarkStart w:id="235" w:name="_Toc304295549"/>
      <w:bookmarkStart w:id="236" w:name="_Toc303539128"/>
      <w:r>
        <w:rPr>
          <w:rFonts w:hint="eastAsia" w:ascii="宋体" w:hAnsi="宋体" w:cs="宋体"/>
          <w:bCs/>
          <w:sz w:val="24"/>
          <w:highlight w:val="none"/>
        </w:rPr>
        <w:t>.6 不</w:t>
      </w:r>
      <w:bookmarkEnd w:id="231"/>
      <w:bookmarkEnd w:id="232"/>
      <w:bookmarkEnd w:id="233"/>
      <w:bookmarkEnd w:id="234"/>
      <w:bookmarkEnd w:id="235"/>
      <w:bookmarkEnd w:id="236"/>
      <w:r>
        <w:rPr>
          <w:rFonts w:hint="eastAsia" w:ascii="宋体" w:hAnsi="宋体" w:cs="宋体"/>
          <w:bCs/>
          <w:sz w:val="24"/>
          <w:highlight w:val="none"/>
        </w:rPr>
        <w:t>利物质条件</w:t>
      </w:r>
    </w:p>
    <w:p w14:paraId="6517469D">
      <w:pPr>
        <w:spacing w:line="360" w:lineRule="auto"/>
        <w:ind w:firstLine="480" w:firstLineChars="200"/>
        <w:jc w:val="left"/>
        <w:rPr>
          <w:rFonts w:hint="eastAsia" w:ascii="宋体" w:hAnsi="宋体" w:cs="宋体"/>
          <w:bCs/>
          <w:sz w:val="24"/>
          <w:highlight w:val="none"/>
        </w:rPr>
      </w:pPr>
      <w:bookmarkStart w:id="237" w:name="_Toc297216179"/>
      <w:bookmarkStart w:id="238" w:name="_Toc318581172"/>
      <w:bookmarkStart w:id="239" w:name="_Toc304295550"/>
      <w:bookmarkStart w:id="240" w:name="_Toc297123520"/>
      <w:bookmarkStart w:id="241" w:name="_Toc303539129"/>
      <w:bookmarkStart w:id="242" w:name="_Toc312678016"/>
      <w:bookmarkStart w:id="243" w:name="_Toc300934972"/>
      <w:r>
        <w:rPr>
          <w:rFonts w:hint="eastAsia" w:ascii="宋体" w:hAnsi="宋体" w:cs="宋体"/>
          <w:bCs/>
          <w:sz w:val="24"/>
          <w:highlight w:val="none"/>
        </w:rPr>
        <w:t>不利物质条件的其他情形和有关约定：</w:t>
      </w:r>
      <w:r>
        <w:rPr>
          <w:rFonts w:hint="eastAsia" w:ascii="宋体" w:hAnsi="宋体" w:cs="宋体"/>
          <w:bCs/>
          <w:sz w:val="24"/>
          <w:highlight w:val="none"/>
          <w:u w:val="single"/>
        </w:rPr>
        <w:t xml:space="preserve">  施工区域内原建构物基础、建筑垃圾等由承包人负责清理及挖除（发生的费用由承包人承担），不属于不利物质条件 </w:t>
      </w:r>
      <w:r>
        <w:rPr>
          <w:rFonts w:hint="eastAsia" w:ascii="宋体" w:hAnsi="宋体" w:cs="宋体"/>
          <w:bCs/>
          <w:sz w:val="24"/>
          <w:highlight w:val="none"/>
        </w:rPr>
        <w:t>。</w:t>
      </w:r>
    </w:p>
    <w:bookmarkEnd w:id="237"/>
    <w:bookmarkEnd w:id="238"/>
    <w:bookmarkEnd w:id="239"/>
    <w:bookmarkEnd w:id="240"/>
    <w:bookmarkEnd w:id="241"/>
    <w:bookmarkEnd w:id="242"/>
    <w:bookmarkEnd w:id="243"/>
    <w:p w14:paraId="36E8FF4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44" w:name="_Toc297216180"/>
      <w:bookmarkStart w:id="245" w:name="_Toc304295551"/>
      <w:bookmarkStart w:id="246" w:name="_Toc303539130"/>
      <w:bookmarkStart w:id="247" w:name="_Toc300934973"/>
      <w:bookmarkStart w:id="248" w:name="_Toc312678017"/>
      <w:bookmarkStart w:id="249" w:name="_Toc297123521"/>
      <w:r>
        <w:rPr>
          <w:rFonts w:hint="eastAsia" w:ascii="宋体" w:hAnsi="宋体" w:cs="宋体"/>
          <w:bCs/>
          <w:sz w:val="24"/>
          <w:highlight w:val="none"/>
        </w:rPr>
        <w:t>.7异常恶劣的气候条件</w:t>
      </w:r>
    </w:p>
    <w:bookmarkEnd w:id="244"/>
    <w:bookmarkEnd w:id="245"/>
    <w:bookmarkEnd w:id="246"/>
    <w:bookmarkEnd w:id="247"/>
    <w:bookmarkEnd w:id="248"/>
    <w:bookmarkEnd w:id="249"/>
    <w:p w14:paraId="71E8FDE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发包人和承包人同意以下情形视为异常恶劣的气候条件：</w:t>
      </w:r>
    </w:p>
    <w:p w14:paraId="0C931642">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u w:val="single"/>
        </w:rPr>
        <w:t xml:space="preserve">   风速达到8级以上10级以内的台风     </w:t>
      </w:r>
      <w:r>
        <w:rPr>
          <w:rFonts w:hint="eastAsia" w:ascii="宋体" w:hAnsi="宋体" w:cs="宋体"/>
          <w:bCs/>
          <w:sz w:val="24"/>
          <w:highlight w:val="none"/>
        </w:rPr>
        <w:t>；</w:t>
      </w:r>
    </w:p>
    <w:p w14:paraId="77990510">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24小时内降雨量大于250mm的特大暴雨  </w:t>
      </w:r>
      <w:r>
        <w:rPr>
          <w:rFonts w:hint="eastAsia" w:ascii="宋体" w:hAnsi="宋体" w:cs="宋体"/>
          <w:bCs/>
          <w:sz w:val="24"/>
          <w:highlight w:val="none"/>
        </w:rPr>
        <w:t>；</w:t>
      </w:r>
    </w:p>
    <w:p w14:paraId="011632D2">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u w:val="single"/>
        </w:rPr>
        <w:t xml:space="preserve">  日气温超过42℃或低于-10℃           </w:t>
      </w:r>
      <w:r>
        <w:rPr>
          <w:rFonts w:hint="eastAsia" w:ascii="宋体" w:hAnsi="宋体" w:cs="宋体"/>
          <w:bCs/>
          <w:sz w:val="24"/>
          <w:highlight w:val="none"/>
        </w:rPr>
        <w:t>。</w:t>
      </w:r>
    </w:p>
    <w:p w14:paraId="4C7D44B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7.9 提前竣工的奖励</w:t>
      </w:r>
    </w:p>
    <w:p w14:paraId="7C7E4C0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7.9.2提前竣工的奖励：</w:t>
      </w:r>
      <w:r>
        <w:rPr>
          <w:rFonts w:hint="eastAsia" w:ascii="宋体" w:hAnsi="宋体" w:cs="宋体"/>
          <w:bCs/>
          <w:sz w:val="24"/>
          <w:highlight w:val="none"/>
          <w:u w:val="single"/>
        </w:rPr>
        <w:t xml:space="preserve">     双方另行约定       </w:t>
      </w:r>
      <w:r>
        <w:rPr>
          <w:rFonts w:hint="eastAsia" w:ascii="宋体" w:hAnsi="宋体" w:cs="宋体"/>
          <w:bCs/>
          <w:sz w:val="24"/>
          <w:highlight w:val="none"/>
        </w:rPr>
        <w:t>。</w:t>
      </w:r>
    </w:p>
    <w:p w14:paraId="2DB88269">
      <w:pPr>
        <w:spacing w:before="120" w:after="120" w:line="360" w:lineRule="auto"/>
        <w:rPr>
          <w:rFonts w:hint="eastAsia" w:ascii="宋体" w:hAnsi="宋体" w:cs="宋体"/>
          <w:bCs/>
          <w:sz w:val="24"/>
          <w:highlight w:val="none"/>
        </w:rPr>
      </w:pPr>
      <w:bookmarkStart w:id="250" w:name="_Toc351203640"/>
      <w:r>
        <w:rPr>
          <w:rFonts w:hint="eastAsia" w:ascii="宋体" w:hAnsi="宋体" w:cs="宋体"/>
          <w:bCs/>
          <w:sz w:val="24"/>
          <w:highlight w:val="none"/>
        </w:rPr>
        <w:t>8. 材料与设备</w:t>
      </w:r>
      <w:bookmarkEnd w:id="250"/>
    </w:p>
    <w:bookmarkEnd w:id="185"/>
    <w:bookmarkEnd w:id="186"/>
    <w:bookmarkEnd w:id="187"/>
    <w:bookmarkEnd w:id="188"/>
    <w:bookmarkEnd w:id="189"/>
    <w:bookmarkEnd w:id="190"/>
    <w:bookmarkEnd w:id="191"/>
    <w:bookmarkEnd w:id="192"/>
    <w:bookmarkEnd w:id="193"/>
    <w:bookmarkEnd w:id="194"/>
    <w:p w14:paraId="38BC5CFC">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w:t>
      </w:r>
      <w:bookmarkStart w:id="251" w:name="_Toc303539136"/>
      <w:bookmarkStart w:id="252" w:name="_Toc297123527"/>
      <w:bookmarkStart w:id="253" w:name="_Toc300934979"/>
      <w:bookmarkStart w:id="254" w:name="_Toc280868654"/>
      <w:bookmarkStart w:id="255" w:name="_Toc312677493"/>
      <w:bookmarkStart w:id="256" w:name="_Toc304295556"/>
      <w:bookmarkStart w:id="257" w:name="_Toc296503167"/>
      <w:bookmarkStart w:id="258" w:name="_Toc292559877"/>
      <w:bookmarkStart w:id="259" w:name="_Toc296944506"/>
      <w:bookmarkStart w:id="260" w:name="_Toc312678019"/>
      <w:bookmarkStart w:id="261" w:name="_Toc297048353"/>
      <w:bookmarkStart w:id="262" w:name="_Toc292559372"/>
      <w:bookmarkStart w:id="263" w:name="_Toc296890995"/>
      <w:bookmarkStart w:id="264" w:name="_Toc297216186"/>
      <w:bookmarkStart w:id="265" w:name="_Toc296346668"/>
      <w:bookmarkStart w:id="266" w:name="_Toc296347166"/>
      <w:bookmarkStart w:id="267" w:name="_Toc296891207"/>
      <w:bookmarkStart w:id="268" w:name="_Toc297120467"/>
      <w:bookmarkStart w:id="269" w:name="_Toc267251424"/>
      <w:bookmarkStart w:id="270" w:name="_Toc280868656"/>
      <w:bookmarkStart w:id="271" w:name="_Toc280868655"/>
      <w:r>
        <w:rPr>
          <w:rFonts w:hint="eastAsia" w:ascii="宋体" w:hAnsi="宋体" w:cs="宋体"/>
          <w:bCs/>
          <w:sz w:val="24"/>
          <w:highlight w:val="none"/>
        </w:rPr>
        <w:t>.4材料与工程设备的保管与使用</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3881D1F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w:t>
      </w:r>
      <w:bookmarkStart w:id="272" w:name="_Toc292559878"/>
      <w:bookmarkStart w:id="273" w:name="_Toc292559373"/>
      <w:bookmarkStart w:id="274" w:name="_Toc296891208"/>
      <w:bookmarkStart w:id="275" w:name="_Toc296346669"/>
      <w:bookmarkStart w:id="276" w:name="_Toc297123528"/>
      <w:bookmarkStart w:id="277" w:name="_Toc297216187"/>
      <w:bookmarkStart w:id="278" w:name="_Toc296944507"/>
      <w:bookmarkStart w:id="279" w:name="_Toc296347167"/>
      <w:bookmarkStart w:id="280" w:name="_Toc303539137"/>
      <w:bookmarkStart w:id="281" w:name="_Toc312677494"/>
      <w:bookmarkStart w:id="282" w:name="_Toc312678020"/>
      <w:bookmarkStart w:id="283" w:name="_Toc297120468"/>
      <w:bookmarkStart w:id="284" w:name="_Toc318581173"/>
      <w:bookmarkStart w:id="285" w:name="_Toc297048354"/>
      <w:bookmarkStart w:id="286" w:name="_Toc296503168"/>
      <w:bookmarkStart w:id="287" w:name="_Toc300934980"/>
      <w:bookmarkStart w:id="288" w:name="_Toc304295557"/>
      <w:bookmarkStart w:id="289" w:name="_Toc296890996"/>
      <w:r>
        <w:rPr>
          <w:rFonts w:hint="eastAsia" w:ascii="宋体" w:hAnsi="宋体" w:cs="宋体"/>
          <w:bCs/>
          <w:sz w:val="24"/>
          <w:highlight w:val="none"/>
        </w:rPr>
        <w:t>.4.1发包人供应的材料设备的保管费用的承担：</w:t>
      </w:r>
      <w:r>
        <w:rPr>
          <w:rFonts w:hint="eastAsia" w:ascii="宋体" w:hAnsi="宋体" w:cs="宋体"/>
          <w:bCs/>
          <w:sz w:val="24"/>
          <w:highlight w:val="none"/>
          <w:u w:val="single"/>
        </w:rPr>
        <w:t xml:space="preserve">     双方另行约定    </w:t>
      </w:r>
      <w:r>
        <w:rPr>
          <w:rFonts w:hint="eastAsia" w:ascii="宋体" w:hAnsi="宋体" w:cs="宋体"/>
          <w:bCs/>
          <w:sz w:val="24"/>
          <w:highlight w:val="none"/>
        </w:rPr>
        <w:t>。</w:t>
      </w:r>
      <w:bookmarkEnd w:id="272"/>
      <w:bookmarkEnd w:id="273"/>
    </w:p>
    <w:p w14:paraId="2224A8AF">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8.6 样品</w:t>
      </w:r>
    </w:p>
    <w:p w14:paraId="5EA4843D">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8.6.1</w:t>
      </w:r>
      <w:r>
        <w:rPr>
          <w:rFonts w:hint="eastAsia" w:ascii="宋体" w:hAnsi="宋体" w:cs="宋体"/>
          <w:bCs/>
          <w:sz w:val="24"/>
          <w:highlight w:val="none"/>
        </w:rPr>
        <w:tab/>
      </w:r>
      <w:r>
        <w:rPr>
          <w:rFonts w:hint="eastAsia" w:ascii="宋体" w:hAnsi="宋体" w:cs="宋体"/>
          <w:bCs/>
          <w:sz w:val="24"/>
          <w:highlight w:val="none"/>
        </w:rPr>
        <w:t>样品的报送与封存</w:t>
      </w:r>
    </w:p>
    <w:p w14:paraId="76AA95B2">
      <w:pPr>
        <w:autoSpaceDE w:val="0"/>
        <w:autoSpaceDN w:val="0"/>
        <w:adjustRightInd w:val="0"/>
        <w:spacing w:line="360" w:lineRule="auto"/>
        <w:ind w:firstLine="456" w:firstLineChars="200"/>
        <w:jc w:val="left"/>
        <w:rPr>
          <w:rFonts w:hint="eastAsia" w:ascii="宋体" w:hAnsi="宋体" w:cs="宋体"/>
          <w:bCs/>
          <w:sz w:val="24"/>
          <w:highlight w:val="none"/>
          <w:u w:val="single"/>
        </w:rPr>
      </w:pPr>
      <w:r>
        <w:rPr>
          <w:rFonts w:hint="eastAsia" w:ascii="宋体" w:hAnsi="宋体" w:cs="宋体"/>
          <w:bCs/>
          <w:spacing w:val="-6"/>
          <w:sz w:val="24"/>
          <w:highlight w:val="none"/>
        </w:rPr>
        <w:t>需要承包人报送样品的材料或工程设备，样品的种类、名称、规格、数量要求</w:t>
      </w:r>
      <w:r>
        <w:rPr>
          <w:rFonts w:hint="eastAsia" w:ascii="宋体" w:hAnsi="宋体" w:cs="宋体"/>
          <w:bCs/>
          <w:sz w:val="24"/>
          <w:highlight w:val="none"/>
        </w:rPr>
        <w:t>：</w:t>
      </w:r>
      <w:r>
        <w:rPr>
          <w:rFonts w:hint="eastAsia" w:ascii="宋体" w:hAnsi="宋体" w:cs="宋体"/>
          <w:bCs/>
          <w:sz w:val="24"/>
          <w:highlight w:val="none"/>
          <w:u w:val="single"/>
        </w:rPr>
        <w:t xml:space="preserve">                                          </w:t>
      </w:r>
    </w:p>
    <w:p w14:paraId="7DCB0DF9">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u w:val="single"/>
        </w:rPr>
        <w:t xml:space="preserve">     按管理部门要求和发包人需求确定      </w:t>
      </w:r>
      <w:r>
        <w:rPr>
          <w:rFonts w:hint="eastAsia" w:ascii="宋体" w:hAnsi="宋体" w:cs="宋体"/>
          <w:bCs/>
          <w:sz w:val="24"/>
          <w:highlight w:val="none"/>
        </w:rPr>
        <w:t>。</w:t>
      </w:r>
    </w:p>
    <w:p w14:paraId="73D2C40A">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8.8 施工设备和临时设施</w:t>
      </w:r>
    </w:p>
    <w:p w14:paraId="7BEF2818">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8.8.1 承包人提供的施工设备和临时设施</w:t>
      </w:r>
    </w:p>
    <w:p w14:paraId="1DB9582F">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关于修建临时设施费用承担的约定：</w:t>
      </w:r>
      <w:r>
        <w:rPr>
          <w:rFonts w:hint="eastAsia" w:ascii="宋体" w:hAnsi="宋体" w:cs="宋体"/>
          <w:bCs/>
          <w:sz w:val="24"/>
          <w:highlight w:val="none"/>
          <w:u w:val="single"/>
        </w:rPr>
        <w:t xml:space="preserve">         由承包人承担         </w:t>
      </w:r>
      <w:r>
        <w:rPr>
          <w:rFonts w:hint="eastAsia" w:ascii="宋体" w:hAnsi="宋体" w:cs="宋体"/>
          <w:bCs/>
          <w:sz w:val="24"/>
          <w:highlight w:val="none"/>
        </w:rPr>
        <w:t>。</w:t>
      </w:r>
    </w:p>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14:paraId="1637267B">
      <w:pPr>
        <w:spacing w:before="120" w:after="120" w:line="360" w:lineRule="auto"/>
        <w:jc w:val="left"/>
        <w:rPr>
          <w:rFonts w:hint="eastAsia" w:ascii="宋体" w:hAnsi="宋体" w:cs="宋体"/>
          <w:bCs/>
          <w:sz w:val="24"/>
          <w:highlight w:val="none"/>
        </w:rPr>
      </w:pPr>
      <w:bookmarkStart w:id="290" w:name="_Toc351203641"/>
      <w:r>
        <w:rPr>
          <w:rFonts w:hint="eastAsia" w:ascii="宋体" w:hAnsi="宋体" w:cs="宋体"/>
          <w:bCs/>
          <w:sz w:val="24"/>
          <w:highlight w:val="none"/>
        </w:rPr>
        <w:t>9</w:t>
      </w:r>
      <w:bookmarkEnd w:id="269"/>
      <w:bookmarkEnd w:id="270"/>
      <w:bookmarkEnd w:id="271"/>
      <w:bookmarkStart w:id="291" w:name="_Toc297216192"/>
      <w:bookmarkStart w:id="292" w:name="_Toc312677495"/>
      <w:bookmarkStart w:id="293" w:name="_Toc303539139"/>
      <w:bookmarkStart w:id="294" w:name="_Toc312678021"/>
      <w:bookmarkStart w:id="295" w:name="_Toc304295559"/>
      <w:bookmarkStart w:id="296" w:name="_Toc297123533"/>
      <w:bookmarkStart w:id="297" w:name="_Toc300934982"/>
      <w:bookmarkStart w:id="298" w:name="_Toc296891001"/>
      <w:bookmarkStart w:id="299" w:name="_Toc296891213"/>
      <w:bookmarkStart w:id="300" w:name="_Toc297048359"/>
      <w:bookmarkStart w:id="301" w:name="_Toc292559883"/>
      <w:bookmarkStart w:id="302" w:name="_Toc267251427"/>
      <w:bookmarkStart w:id="303" w:name="_Toc296347172"/>
      <w:bookmarkStart w:id="304" w:name="_Toc296503173"/>
      <w:bookmarkStart w:id="305" w:name="_Toc296944512"/>
      <w:bookmarkStart w:id="306" w:name="_Toc267251428"/>
      <w:bookmarkStart w:id="307" w:name="_Toc292559378"/>
      <w:bookmarkStart w:id="308" w:name="_Toc296346674"/>
      <w:bookmarkStart w:id="309" w:name="_Toc297120473"/>
      <w:r>
        <w:rPr>
          <w:rFonts w:hint="eastAsia" w:ascii="宋体" w:hAnsi="宋体" w:cs="宋体"/>
          <w:bCs/>
          <w:sz w:val="24"/>
          <w:highlight w:val="none"/>
        </w:rPr>
        <w:t>. 试验与检验</w:t>
      </w:r>
      <w:bookmarkEnd w:id="290"/>
    </w:p>
    <w:bookmarkEnd w:id="291"/>
    <w:bookmarkEnd w:id="292"/>
    <w:bookmarkEnd w:id="293"/>
    <w:bookmarkEnd w:id="294"/>
    <w:bookmarkEnd w:id="295"/>
    <w:bookmarkEnd w:id="296"/>
    <w:bookmarkEnd w:id="297"/>
    <w:p w14:paraId="75E23958">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9</w:t>
      </w:r>
      <w:bookmarkStart w:id="310" w:name="_Toc300934983"/>
      <w:bookmarkStart w:id="311" w:name="_Toc312678022"/>
      <w:bookmarkStart w:id="312" w:name="_Toc297216193"/>
      <w:bookmarkStart w:id="313" w:name="_Toc297123534"/>
      <w:bookmarkStart w:id="314" w:name="_Toc312677496"/>
      <w:bookmarkStart w:id="315" w:name="_Toc303539140"/>
      <w:bookmarkStart w:id="316" w:name="_Toc304295560"/>
      <w:r>
        <w:rPr>
          <w:rFonts w:hint="eastAsia" w:ascii="宋体" w:hAnsi="宋体" w:cs="宋体"/>
          <w:bCs/>
          <w:sz w:val="24"/>
          <w:highlight w:val="none"/>
        </w:rPr>
        <w:t>.1试验设备与试验人员</w:t>
      </w:r>
    </w:p>
    <w:bookmarkEnd w:id="310"/>
    <w:bookmarkEnd w:id="311"/>
    <w:bookmarkEnd w:id="312"/>
    <w:bookmarkEnd w:id="313"/>
    <w:bookmarkEnd w:id="314"/>
    <w:bookmarkEnd w:id="315"/>
    <w:bookmarkEnd w:id="316"/>
    <w:p w14:paraId="69656E7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9</w:t>
      </w:r>
      <w:bookmarkStart w:id="317" w:name="_Toc303539141"/>
      <w:bookmarkStart w:id="318" w:name="_Toc300934984"/>
      <w:bookmarkStart w:id="319" w:name="_Toc312677497"/>
      <w:bookmarkStart w:id="320" w:name="_Toc297216194"/>
      <w:bookmarkStart w:id="321" w:name="_Toc312678023"/>
      <w:bookmarkStart w:id="322" w:name="_Toc304295561"/>
      <w:bookmarkStart w:id="323" w:name="_Toc297123535"/>
      <w:bookmarkStart w:id="324" w:name="_Toc318581174"/>
      <w:r>
        <w:rPr>
          <w:rFonts w:hint="eastAsia" w:ascii="宋体" w:hAnsi="宋体" w:cs="宋体"/>
          <w:bCs/>
          <w:sz w:val="24"/>
          <w:highlight w:val="none"/>
        </w:rPr>
        <w:t>.1.2 试验设备</w:t>
      </w:r>
    </w:p>
    <w:p w14:paraId="24908CF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施工现场需要配置的试验场所：</w:t>
      </w:r>
      <w:bookmarkEnd w:id="317"/>
      <w:bookmarkEnd w:id="318"/>
      <w:bookmarkEnd w:id="319"/>
      <w:bookmarkEnd w:id="320"/>
      <w:bookmarkEnd w:id="321"/>
      <w:bookmarkEnd w:id="322"/>
      <w:bookmarkEnd w:id="323"/>
      <w:bookmarkStart w:id="325" w:name="_Toc297216195"/>
      <w:bookmarkStart w:id="326" w:name="_Toc312677498"/>
      <w:bookmarkStart w:id="327" w:name="_Toc300934985"/>
      <w:bookmarkStart w:id="328" w:name="_Toc303539142"/>
      <w:bookmarkStart w:id="329" w:name="_Toc304295562"/>
      <w:bookmarkStart w:id="330" w:name="_Toc312678024"/>
      <w:bookmarkStart w:id="331" w:name="_Toc297123536"/>
      <w:r>
        <w:rPr>
          <w:rFonts w:hint="eastAsia" w:ascii="宋体" w:hAnsi="宋体" w:cs="宋体"/>
          <w:bCs/>
          <w:sz w:val="24"/>
          <w:highlight w:val="none"/>
          <w:u w:val="single"/>
        </w:rPr>
        <w:t xml:space="preserve">         按有关规定执行           </w:t>
      </w:r>
      <w:r>
        <w:rPr>
          <w:rFonts w:hint="eastAsia" w:ascii="宋体" w:hAnsi="宋体" w:cs="宋体"/>
          <w:bCs/>
          <w:sz w:val="24"/>
          <w:highlight w:val="none"/>
        </w:rPr>
        <w:t xml:space="preserve">。 </w:t>
      </w:r>
    </w:p>
    <w:p w14:paraId="5D2A3A8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施工现场需要配备的试验设备：</w:t>
      </w:r>
      <w:r>
        <w:rPr>
          <w:rFonts w:hint="eastAsia" w:ascii="宋体" w:hAnsi="宋体" w:cs="宋体"/>
          <w:bCs/>
          <w:sz w:val="24"/>
          <w:highlight w:val="none"/>
          <w:u w:val="single"/>
        </w:rPr>
        <w:t xml:space="preserve">         按有关规定执行           </w:t>
      </w:r>
      <w:r>
        <w:rPr>
          <w:rFonts w:hint="eastAsia" w:ascii="宋体" w:hAnsi="宋体" w:cs="宋体"/>
          <w:bCs/>
          <w:sz w:val="24"/>
          <w:highlight w:val="none"/>
        </w:rPr>
        <w:t>。</w:t>
      </w:r>
    </w:p>
    <w:p w14:paraId="632368C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施工现场需要具备的其他试验条件：</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73F602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9.4 现场工艺试验 </w:t>
      </w:r>
    </w:p>
    <w:p w14:paraId="7AE9291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现场工艺试验的有关约定：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24"/>
    <w:bookmarkEnd w:id="325"/>
    <w:bookmarkEnd w:id="326"/>
    <w:bookmarkEnd w:id="327"/>
    <w:bookmarkEnd w:id="328"/>
    <w:bookmarkEnd w:id="329"/>
    <w:bookmarkEnd w:id="330"/>
    <w:bookmarkEnd w:id="331"/>
    <w:p w14:paraId="621D0520">
      <w:pPr>
        <w:spacing w:before="120" w:after="120" w:line="360" w:lineRule="auto"/>
        <w:jc w:val="left"/>
        <w:rPr>
          <w:rFonts w:hint="eastAsia" w:ascii="宋体" w:hAnsi="宋体" w:cs="宋体"/>
          <w:bCs/>
          <w:sz w:val="24"/>
          <w:highlight w:val="none"/>
        </w:rPr>
      </w:pPr>
      <w:bookmarkStart w:id="332" w:name="_Toc351203642"/>
      <w:r>
        <w:rPr>
          <w:rFonts w:hint="eastAsia" w:ascii="宋体" w:hAnsi="宋体" w:cs="宋体"/>
          <w:bCs/>
          <w:sz w:val="24"/>
          <w:highlight w:val="none"/>
        </w:rPr>
        <w:t>1</w:t>
      </w:r>
      <w:bookmarkEnd w:id="298"/>
      <w:bookmarkEnd w:id="299"/>
      <w:bookmarkEnd w:id="300"/>
      <w:bookmarkEnd w:id="301"/>
      <w:bookmarkEnd w:id="302"/>
      <w:bookmarkEnd w:id="303"/>
      <w:bookmarkEnd w:id="304"/>
      <w:bookmarkEnd w:id="305"/>
      <w:bookmarkEnd w:id="306"/>
      <w:bookmarkEnd w:id="307"/>
      <w:bookmarkEnd w:id="308"/>
      <w:bookmarkEnd w:id="309"/>
      <w:bookmarkStart w:id="333" w:name="_Toc296891233"/>
      <w:bookmarkStart w:id="334" w:name="_Toc297120493"/>
      <w:bookmarkStart w:id="335" w:name="_Toc296944532"/>
      <w:bookmarkStart w:id="336" w:name="_Toc292559398"/>
      <w:bookmarkStart w:id="337" w:name="_Toc292559903"/>
      <w:bookmarkStart w:id="338" w:name="_Toc297216199"/>
      <w:bookmarkStart w:id="339" w:name="_Toc296347192"/>
      <w:bookmarkStart w:id="340" w:name="_Toc300934989"/>
      <w:bookmarkStart w:id="341" w:name="_Toc296346694"/>
      <w:bookmarkStart w:id="342" w:name="_Toc304295566"/>
      <w:bookmarkStart w:id="343" w:name="_Toc297123540"/>
      <w:bookmarkStart w:id="344" w:name="_Toc303539146"/>
      <w:bookmarkStart w:id="345" w:name="_Toc297048379"/>
      <w:bookmarkStart w:id="346" w:name="_Toc296891021"/>
      <w:bookmarkStart w:id="347" w:name="_Toc296503193"/>
      <w:bookmarkStart w:id="348" w:name="_Toc312677499"/>
      <w:bookmarkStart w:id="349" w:name="_Toc312678025"/>
      <w:bookmarkStart w:id="350" w:name="_Toc267251435"/>
      <w:bookmarkStart w:id="351" w:name="_Toc267251441"/>
      <w:bookmarkStart w:id="352" w:name="_Toc267251440"/>
      <w:bookmarkStart w:id="353" w:name="_Toc267251437"/>
      <w:bookmarkStart w:id="354" w:name="_Toc267251439"/>
      <w:bookmarkStart w:id="355" w:name="_Toc267251433"/>
      <w:bookmarkStart w:id="356" w:name="_Toc267251442"/>
      <w:r>
        <w:rPr>
          <w:rFonts w:hint="eastAsia" w:ascii="宋体" w:hAnsi="宋体" w:cs="宋体"/>
          <w:bCs/>
          <w:sz w:val="24"/>
          <w:highlight w:val="none"/>
        </w:rPr>
        <w:t>0. 变更</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bookmarkEnd w:id="348"/>
    <w:bookmarkEnd w:id="349"/>
    <w:p w14:paraId="58DA0BF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357" w:name="_Toc296944533"/>
      <w:bookmarkStart w:id="358" w:name="_Toc297048380"/>
      <w:bookmarkStart w:id="359" w:name="_Toc297123541"/>
      <w:bookmarkStart w:id="360" w:name="_Toc297120494"/>
      <w:bookmarkStart w:id="361" w:name="_Toc312678026"/>
      <w:bookmarkStart w:id="362" w:name="_Toc292559399"/>
      <w:bookmarkStart w:id="363" w:name="_Toc304295567"/>
      <w:bookmarkStart w:id="364" w:name="_Toc296503194"/>
      <w:bookmarkStart w:id="365" w:name="_Toc296891234"/>
      <w:bookmarkStart w:id="366" w:name="_Toc300934990"/>
      <w:bookmarkStart w:id="367" w:name="_Toc297216200"/>
      <w:bookmarkStart w:id="368" w:name="_Toc292559904"/>
      <w:bookmarkStart w:id="369" w:name="_Toc312677500"/>
      <w:bookmarkStart w:id="370" w:name="_Toc303539147"/>
      <w:bookmarkStart w:id="371" w:name="_Toc296891022"/>
      <w:bookmarkStart w:id="372" w:name="_Toc296347193"/>
      <w:bookmarkStart w:id="373" w:name="_Toc296346695"/>
      <w:r>
        <w:rPr>
          <w:rFonts w:hint="eastAsia" w:ascii="宋体" w:hAnsi="宋体" w:cs="宋体"/>
          <w:bCs/>
          <w:sz w:val="24"/>
          <w:highlight w:val="none"/>
        </w:rPr>
        <w:t>0.1变更的范围</w:t>
      </w:r>
    </w:p>
    <w:p w14:paraId="41418F2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关于变更的范围的约定：</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168AAE2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10.4 变更估价</w:t>
      </w:r>
    </w:p>
    <w:p w14:paraId="122B910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10.4.1 变更估价原则</w:t>
      </w:r>
    </w:p>
    <w:p w14:paraId="451C198E">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 xml:space="preserve">关于变更估价的约定: </w:t>
      </w:r>
      <w:r>
        <w:rPr>
          <w:rFonts w:hint="eastAsia" w:ascii="宋体" w:hAnsi="宋体" w:cs="宋体"/>
          <w:bCs/>
          <w:sz w:val="24"/>
          <w:highlight w:val="none"/>
          <w:u w:val="single"/>
        </w:rPr>
        <w:t xml:space="preserve"> ①合同中有相同或类似工程项目单价的，可以参照合同中相同或类似项目的综合单价计算确定。</w:t>
      </w:r>
    </w:p>
    <w:p w14:paraId="712DED5E">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u w:val="single"/>
        </w:rPr>
        <w:t>②合同中没有类似工程项目综合单价的，由承包人根据合同中约定的组价原则或参考“计价依据”提出适当的单价，经发包人或其委托的工程造价咨询单位审定后，作为结算的依据。</w:t>
      </w:r>
    </w:p>
    <w:p w14:paraId="1B532E82">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u w:val="single"/>
        </w:rPr>
        <w:t>③由于清单项目中项目特征或工程内容发生部分变更的，应以原综合单价为基础，仅就变更部分相应定额子目调整综合单价。</w:t>
      </w:r>
    </w:p>
    <w:p w14:paraId="32C72F4A">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Start w:id="374" w:name="_Toc296346698"/>
      <w:bookmarkStart w:id="375" w:name="_Toc296891237"/>
      <w:bookmarkStart w:id="376" w:name="_Toc300934993"/>
      <w:bookmarkStart w:id="377" w:name="_Toc296891025"/>
      <w:bookmarkStart w:id="378" w:name="_Toc297123544"/>
      <w:bookmarkStart w:id="379" w:name="_Toc292559907"/>
      <w:bookmarkStart w:id="380" w:name="_Toc297120497"/>
      <w:bookmarkStart w:id="381" w:name="_Toc296944536"/>
      <w:bookmarkStart w:id="382" w:name="_Toc292559402"/>
      <w:bookmarkStart w:id="383" w:name="_Toc303539150"/>
      <w:bookmarkStart w:id="384" w:name="_Toc296347196"/>
      <w:bookmarkStart w:id="385" w:name="_Toc296503197"/>
      <w:bookmarkStart w:id="386" w:name="_Toc297048383"/>
      <w:bookmarkStart w:id="387" w:name="_Toc297216203"/>
      <w:bookmarkStart w:id="388" w:name="_Toc312677503"/>
      <w:bookmarkStart w:id="389" w:name="_Toc304295570"/>
      <w:bookmarkStart w:id="390" w:name="_Toc312678029"/>
      <w:r>
        <w:rPr>
          <w:rFonts w:hint="eastAsia" w:ascii="宋体" w:hAnsi="宋体" w:cs="宋体"/>
          <w:bCs/>
          <w:sz w:val="24"/>
          <w:highlight w:val="none"/>
        </w:rPr>
        <w:t>0.5承</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91" w:name="_Toc296944542"/>
      <w:bookmarkStart w:id="392" w:name="_Toc303539151"/>
      <w:bookmarkStart w:id="393" w:name="_Toc297123545"/>
      <w:bookmarkStart w:id="394" w:name="_Toc300934994"/>
      <w:bookmarkStart w:id="395" w:name="_Toc297216204"/>
      <w:bookmarkStart w:id="396" w:name="_Toc296891031"/>
      <w:bookmarkStart w:id="397" w:name="_Toc297120503"/>
      <w:bookmarkStart w:id="398" w:name="_Toc296347202"/>
      <w:bookmarkStart w:id="399" w:name="_Toc297048389"/>
      <w:bookmarkStart w:id="400" w:name="_Toc292559913"/>
      <w:bookmarkStart w:id="401" w:name="_Toc296503203"/>
      <w:bookmarkStart w:id="402" w:name="_Toc292559408"/>
      <w:bookmarkStart w:id="403" w:name="_Toc296346704"/>
      <w:bookmarkStart w:id="404" w:name="_Toc296891243"/>
      <w:r>
        <w:rPr>
          <w:rFonts w:hint="eastAsia" w:ascii="宋体" w:hAnsi="宋体" w:cs="宋体"/>
          <w:bCs/>
          <w:sz w:val="24"/>
          <w:highlight w:val="none"/>
        </w:rPr>
        <w:t>包人的合理化建议</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14:paraId="2541442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监理人审查承包人合理化建议的期限：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C121B5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发包人审批承包人合理化建议的期限：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3FB4D75">
      <w:pPr>
        <w:spacing w:line="360" w:lineRule="auto"/>
        <w:jc w:val="left"/>
        <w:rPr>
          <w:rFonts w:hint="eastAsia" w:ascii="宋体" w:hAnsi="宋体" w:cs="宋体"/>
          <w:bCs/>
          <w:sz w:val="24"/>
          <w:highlight w:val="none"/>
          <w:u w:val="single"/>
        </w:rPr>
      </w:pPr>
      <w:r>
        <w:rPr>
          <w:rFonts w:hint="eastAsia" w:ascii="宋体" w:hAnsi="宋体" w:cs="宋体"/>
          <w:bCs/>
          <w:sz w:val="24"/>
          <w:highlight w:val="none"/>
        </w:rPr>
        <w:t>承</w:t>
      </w:r>
      <w:bookmarkStart w:id="405" w:name="_Toc297048390"/>
      <w:bookmarkStart w:id="406" w:name="_Toc297120504"/>
      <w:bookmarkStart w:id="407" w:name="_Toc297123546"/>
      <w:bookmarkStart w:id="408" w:name="_Toc296944543"/>
      <w:bookmarkStart w:id="409" w:name="_Toc292559409"/>
      <w:bookmarkStart w:id="410" w:name="_Toc296503204"/>
      <w:bookmarkStart w:id="411" w:name="_Toc292559914"/>
      <w:bookmarkStart w:id="412" w:name="_Toc296346705"/>
      <w:bookmarkStart w:id="413" w:name="_Toc300934995"/>
      <w:bookmarkStart w:id="414" w:name="_Toc304295571"/>
      <w:bookmarkStart w:id="415" w:name="_Toc312678030"/>
      <w:bookmarkStart w:id="416" w:name="_Toc296891032"/>
      <w:bookmarkStart w:id="417" w:name="_Toc312677504"/>
      <w:bookmarkStart w:id="418" w:name="_Toc297216205"/>
      <w:bookmarkStart w:id="419" w:name="_Toc296891244"/>
      <w:bookmarkStart w:id="420" w:name="_Toc296347203"/>
      <w:bookmarkStart w:id="421" w:name="_Toc318581175"/>
      <w:bookmarkStart w:id="422" w:name="_Toc303539152"/>
      <w:r>
        <w:rPr>
          <w:rFonts w:hint="eastAsia" w:ascii="宋体" w:hAnsi="宋体" w:cs="宋体"/>
          <w:bCs/>
          <w:sz w:val="24"/>
          <w:highlight w:val="none"/>
        </w:rPr>
        <w:t>包人提出的合理化建议降低了合同价格或者提高了工程经济效益的奖励的方法和金额为：</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4BCB6C5C">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423" w:name="_Toc296944538"/>
      <w:bookmarkStart w:id="424" w:name="_Toc304295574"/>
      <w:bookmarkStart w:id="425" w:name="_Toc297120499"/>
      <w:bookmarkStart w:id="426" w:name="_Toc303539154"/>
      <w:bookmarkStart w:id="427" w:name="_Toc300934997"/>
      <w:bookmarkStart w:id="428" w:name="_Toc296891239"/>
      <w:bookmarkStart w:id="429" w:name="_Toc297048385"/>
      <w:bookmarkStart w:id="430" w:name="_Toc296503199"/>
      <w:bookmarkStart w:id="431" w:name="_Toc292559909"/>
      <w:bookmarkStart w:id="432" w:name="_Toc296346700"/>
      <w:bookmarkStart w:id="433" w:name="_Toc312678033"/>
      <w:bookmarkStart w:id="434" w:name="_Toc296891027"/>
      <w:bookmarkStart w:id="435" w:name="_Toc297216207"/>
      <w:bookmarkStart w:id="436" w:name="_Toc292559404"/>
      <w:bookmarkStart w:id="437" w:name="_Toc296347198"/>
      <w:bookmarkStart w:id="438" w:name="_Toc297123548"/>
      <w:bookmarkStart w:id="439" w:name="_Toc312677507"/>
      <w:r>
        <w:rPr>
          <w:rFonts w:hint="eastAsia" w:ascii="宋体" w:hAnsi="宋体" w:cs="宋体"/>
          <w:bCs/>
          <w:sz w:val="24"/>
          <w:highlight w:val="none"/>
        </w:rPr>
        <w:t>0.7 暂估价</w:t>
      </w:r>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14:paraId="5BAABD1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暂</w:t>
      </w:r>
      <w:bookmarkStart w:id="440" w:name="_Toc318581176"/>
      <w:bookmarkStart w:id="441" w:name="_Toc312678034"/>
      <w:bookmarkStart w:id="442" w:name="_Toc312677508"/>
      <w:r>
        <w:rPr>
          <w:rFonts w:hint="eastAsia" w:ascii="宋体" w:hAnsi="宋体" w:cs="宋体"/>
          <w:bCs/>
          <w:sz w:val="24"/>
          <w:highlight w:val="none"/>
        </w:rPr>
        <w:t>估价材料和工程设备的明细详见附件6：《暂估价一览表》。</w:t>
      </w:r>
    </w:p>
    <w:bookmarkEnd w:id="440"/>
    <w:bookmarkEnd w:id="441"/>
    <w:bookmarkEnd w:id="442"/>
    <w:p w14:paraId="238EE03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Start w:id="443" w:name="_Toc312677509"/>
      <w:bookmarkStart w:id="444" w:name="_Toc312678035"/>
      <w:bookmarkStart w:id="445" w:name="_Toc318581177"/>
      <w:r>
        <w:rPr>
          <w:rFonts w:hint="eastAsia" w:ascii="宋体" w:hAnsi="宋体" w:cs="宋体"/>
          <w:bCs/>
          <w:sz w:val="24"/>
          <w:highlight w:val="none"/>
        </w:rPr>
        <w:t>0.7.1 依法必须招标的暂估价项目</w:t>
      </w:r>
    </w:p>
    <w:bookmarkEnd w:id="443"/>
    <w:bookmarkEnd w:id="444"/>
    <w:bookmarkEnd w:id="445"/>
    <w:p w14:paraId="009A32F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对于依法必须招标的暂估价项目的确认和批准采取第</w:t>
      </w:r>
      <w:r>
        <w:rPr>
          <w:rFonts w:hint="eastAsia" w:ascii="宋体" w:hAnsi="宋体" w:cs="宋体"/>
          <w:bCs/>
          <w:sz w:val="24"/>
          <w:highlight w:val="none"/>
          <w:u w:val="single"/>
        </w:rPr>
        <w:t xml:space="preserve"> 2 </w:t>
      </w:r>
      <w:r>
        <w:rPr>
          <w:rFonts w:hint="eastAsia" w:ascii="宋体" w:hAnsi="宋体" w:cs="宋体"/>
          <w:bCs/>
          <w:sz w:val="24"/>
          <w:highlight w:val="none"/>
        </w:rPr>
        <w:t>种方式确定。</w:t>
      </w:r>
    </w:p>
    <w:p w14:paraId="028791B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第1种方式：对于依法必须招标的暂估价项目，由承包人招标，对该暂估价项目的确认和批准按照以下约定执行：</w:t>
      </w:r>
    </w:p>
    <w:p w14:paraId="2638F3A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76E84A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承包人应当根据施工进度计划，提前14天将磋商文件通过监理人报送发包人审批，发包人应当在收到承包人报送的相关文件后7天内完成审批或提出修改意见；发包人有权确定招标控制价并按照法律规定参加评标；</w:t>
      </w:r>
    </w:p>
    <w:p w14:paraId="083D6B7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（3）承包人与供应商、分包人在签订暂估价合同前，应当提前7天将确定的中标候选供应商或中标候选分包人的资料报送发包人，发包人应在收到资料后3天内与承包人</w:t>
      </w:r>
      <w:r>
        <w:rPr>
          <w:rFonts w:hint="eastAsia" w:ascii="宋体" w:hAnsi="宋体" w:cs="宋体"/>
          <w:bCs/>
          <w:spacing w:val="-10"/>
          <w:sz w:val="24"/>
          <w:highlight w:val="none"/>
        </w:rPr>
        <w:t>共同确定中标人；承包人应当在签订合同后7天内，将暂估价合同副本报送发包人留存。</w:t>
      </w:r>
    </w:p>
    <w:p w14:paraId="515A6DD0">
      <w:pPr>
        <w:spacing w:line="360" w:lineRule="auto"/>
        <w:ind w:firstLine="480" w:firstLineChars="200"/>
        <w:rPr>
          <w:rFonts w:hint="eastAsia" w:ascii="宋体" w:hAnsi="宋体" w:cs="宋体"/>
          <w:bCs/>
          <w:color w:val="FF0000"/>
          <w:sz w:val="24"/>
          <w:highlight w:val="none"/>
        </w:rPr>
      </w:pPr>
      <w:r>
        <w:rPr>
          <w:rFonts w:hint="eastAsia" w:ascii="宋体" w:hAnsi="宋体" w:cs="宋体"/>
          <w:bCs/>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4421825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10.7.2 不属于依法必须招标的暂估价项目</w:t>
      </w:r>
    </w:p>
    <w:p w14:paraId="64F348C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对于不属于依法必须招标的暂估价项目的确认和批准采取第</w:t>
      </w:r>
      <w:r>
        <w:rPr>
          <w:rFonts w:hint="eastAsia" w:ascii="宋体" w:hAnsi="宋体" w:cs="宋体"/>
          <w:bCs/>
          <w:sz w:val="24"/>
          <w:highlight w:val="none"/>
          <w:u w:val="single"/>
        </w:rPr>
        <w:t xml:space="preserve"> 1 </w:t>
      </w:r>
      <w:r>
        <w:rPr>
          <w:rFonts w:hint="eastAsia" w:ascii="宋体" w:hAnsi="宋体" w:cs="宋体"/>
          <w:bCs/>
          <w:sz w:val="24"/>
          <w:highlight w:val="none"/>
        </w:rPr>
        <w:t xml:space="preserve"> 种方式确定。</w:t>
      </w:r>
    </w:p>
    <w:p w14:paraId="1F484860">
      <w:pPr>
        <w:spacing w:line="360" w:lineRule="auto"/>
        <w:ind w:firstLine="464" w:firstLineChars="200"/>
        <w:rPr>
          <w:rFonts w:hint="eastAsia" w:ascii="宋体" w:hAnsi="宋体" w:cs="宋体"/>
          <w:bCs/>
          <w:spacing w:val="-4"/>
          <w:sz w:val="24"/>
          <w:highlight w:val="none"/>
        </w:rPr>
      </w:pPr>
      <w:r>
        <w:rPr>
          <w:rFonts w:hint="eastAsia" w:ascii="宋体" w:hAnsi="宋体" w:cs="宋体"/>
          <w:bCs/>
          <w:spacing w:val="-4"/>
          <w:sz w:val="24"/>
          <w:highlight w:val="none"/>
        </w:rPr>
        <w:t>第1种方式：对于不属于依法必须招标的暂估价项目，按本项约定确认和批准：</w:t>
      </w:r>
    </w:p>
    <w:p w14:paraId="75AD80A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B1C018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（2）发包人认为承包人确定的供应商、分包人无法满足工程质量或合同要求的，发包人可以要求承包人重新确定暂估价项目的供应商、分包人;</w:t>
      </w:r>
    </w:p>
    <w:p w14:paraId="5C1FF17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pacing w:val="-8"/>
          <w:sz w:val="24"/>
          <w:highlight w:val="none"/>
        </w:rPr>
        <w:t>承包人应当在签订暂估价合同后7天内，将暂估价合同副本报送发包人留存。</w:t>
      </w:r>
    </w:p>
    <w:p w14:paraId="3BDDE10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第2种方式：承包人按照第10.7.1项〔依法必须招标的暂估价项目〕约定的第1种方式确定暂估价项目。</w:t>
      </w:r>
    </w:p>
    <w:p w14:paraId="07AECE7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第3种方式：承包人直接实施的暂估价项目</w:t>
      </w:r>
    </w:p>
    <w:p w14:paraId="5274844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承包人直接实施的暂估价项目的约定：</w:t>
      </w:r>
      <w:r>
        <w:rPr>
          <w:rFonts w:hint="eastAsia" w:ascii="宋体" w:hAnsi="宋体" w:cs="宋体"/>
          <w:bCs/>
          <w:sz w:val="24"/>
          <w:highlight w:val="none"/>
          <w:u w:val="single"/>
        </w:rPr>
        <w:t xml:space="preserve">  暂估价（或者</w:t>
      </w:r>
      <w:r>
        <w:rPr>
          <w:rFonts w:hint="eastAsia" w:hAnsi="宋体" w:cs="宋体"/>
          <w:bCs/>
          <w:sz w:val="24"/>
          <w:highlight w:val="none"/>
          <w:u w:val="single"/>
          <w:lang w:eastAsia="zh-CN"/>
        </w:rPr>
        <w:t>成交</w:t>
      </w:r>
      <w:r>
        <w:rPr>
          <w:rFonts w:hint="eastAsia" w:ascii="宋体" w:hAnsi="宋体" w:cs="宋体"/>
          <w:bCs/>
          <w:sz w:val="24"/>
          <w:highlight w:val="none"/>
          <w:u w:val="single"/>
        </w:rPr>
        <w:t xml:space="preserve">价）材料采购，项目实施期间承包人必须在采购前提出使用计划提请发包人进行认质认价，由承包人提出品牌和价格，报采购人审核同意后执行。 </w:t>
      </w:r>
    </w:p>
    <w:p w14:paraId="79C699BF">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10.8 暂列金额</w:t>
      </w:r>
    </w:p>
    <w:p w14:paraId="4601F8A1">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合同当事人关于暂列金额使用的约定：</w:t>
      </w:r>
      <w:r>
        <w:rPr>
          <w:rFonts w:hint="eastAsia" w:ascii="宋体" w:hAnsi="宋体" w:cs="宋体"/>
          <w:bCs/>
          <w:sz w:val="24"/>
          <w:highlight w:val="none"/>
          <w:u w:val="single"/>
        </w:rPr>
        <w:t xml:space="preserve">         </w:t>
      </w:r>
      <w:r>
        <w:rPr>
          <w:rFonts w:ascii="宋体" w:hAnsi="宋体" w:cs="宋体"/>
          <w:bCs/>
          <w:sz w:val="24"/>
          <w:highlight w:val="none"/>
          <w:u w:val="single"/>
        </w:rPr>
        <w:t>/</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7625B974">
      <w:pPr>
        <w:spacing w:before="120" w:after="120" w:line="360" w:lineRule="auto"/>
        <w:jc w:val="left"/>
        <w:rPr>
          <w:rFonts w:hint="eastAsia" w:ascii="宋体" w:hAnsi="宋体" w:cs="宋体"/>
          <w:bCs/>
          <w:sz w:val="24"/>
          <w:highlight w:val="none"/>
        </w:rPr>
      </w:pPr>
      <w:bookmarkStart w:id="446" w:name="_Toc351203643"/>
      <w:r>
        <w:rPr>
          <w:rFonts w:hint="eastAsia" w:ascii="宋体" w:hAnsi="宋体" w:cs="宋体"/>
          <w:bCs/>
          <w:sz w:val="24"/>
          <w:highlight w:val="none"/>
        </w:rPr>
        <w:t>11. 价格调整</w:t>
      </w:r>
      <w:bookmarkEnd w:id="446"/>
    </w:p>
    <w:p w14:paraId="3241B88F">
      <w:pPr>
        <w:spacing w:after="120" w:line="360" w:lineRule="auto"/>
        <w:ind w:firstLine="480" w:firstLineChars="200"/>
        <w:rPr>
          <w:rFonts w:hint="eastAsia" w:ascii="宋体" w:hAnsi="宋体" w:cs="宋体"/>
          <w:bCs/>
          <w:sz w:val="24"/>
          <w:highlight w:val="none"/>
        </w:rPr>
      </w:pPr>
      <w:bookmarkStart w:id="447" w:name="_Toc300935000"/>
      <w:bookmarkStart w:id="448" w:name="_Toc297123550"/>
      <w:bookmarkStart w:id="449" w:name="_Toc296891029"/>
      <w:bookmarkStart w:id="450" w:name="_Toc303539157"/>
      <w:bookmarkStart w:id="451" w:name="_Toc292559911"/>
      <w:bookmarkStart w:id="452" w:name="_Toc296503201"/>
      <w:bookmarkStart w:id="453" w:name="_Toc297120501"/>
      <w:bookmarkStart w:id="454" w:name="_Toc296891241"/>
      <w:bookmarkStart w:id="455" w:name="_Toc296347200"/>
      <w:bookmarkStart w:id="456" w:name="_Toc297216209"/>
      <w:bookmarkStart w:id="457" w:name="_Toc296346702"/>
      <w:bookmarkStart w:id="458" w:name="_Toc297048387"/>
      <w:bookmarkStart w:id="459" w:name="_Toc312678039"/>
      <w:bookmarkStart w:id="460" w:name="_Toc304295577"/>
      <w:bookmarkStart w:id="461" w:name="_Toc292559406"/>
      <w:bookmarkStart w:id="462" w:name="_Toc296944540"/>
      <w:r>
        <w:rPr>
          <w:rFonts w:hint="eastAsia" w:ascii="宋体" w:hAnsi="宋体" w:cs="宋体"/>
          <w:bCs/>
          <w:sz w:val="24"/>
          <w:highlight w:val="none"/>
        </w:rPr>
        <w:t>11.1 市场价格波动引起的调整</w:t>
      </w:r>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14:paraId="337ADA9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市场价格波动是否调整合同价格的约定：</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不调整</w:t>
      </w:r>
      <w:r>
        <w:rPr>
          <w:rFonts w:hint="eastAsia" w:ascii="宋体" w:hAnsi="宋体" w:cs="宋体"/>
          <w:bCs/>
          <w:sz w:val="24"/>
          <w:highlight w:val="none"/>
        </w:rPr>
        <w:t>。</w:t>
      </w:r>
    </w:p>
    <w:p w14:paraId="1C73D9C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因市场价格波动调整合同价格，采用以下第</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种方式对合同价格进行调整：</w:t>
      </w:r>
    </w:p>
    <w:p w14:paraId="4CAE5C6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第1种方式：采用价格指数进行价格调整。</w:t>
      </w:r>
    </w:p>
    <w:p w14:paraId="4B121A5E">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关于各可调因子、定值和变值权重，以及基本价格指数及其来源的约定：</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1157102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第2种方式：采用造价信息进行价格调整。（监理、发包人、承包人三方票据采购价）。</w:t>
      </w:r>
    </w:p>
    <w:p w14:paraId="6614AFF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（2）关于基准价格的约定：</w:t>
      </w:r>
      <w:r>
        <w:rPr>
          <w:rFonts w:hint="eastAsia" w:ascii="宋体" w:hAnsi="宋体" w:cs="宋体"/>
          <w:bCs/>
          <w:sz w:val="24"/>
          <w:highlight w:val="none"/>
          <w:u w:val="single"/>
        </w:rPr>
        <w:t xml:space="preserve"> 施工过程中，监理、发包人、承包人三方采购价（以票据为准） </w:t>
      </w:r>
      <w:r>
        <w:rPr>
          <w:rFonts w:hint="eastAsia" w:ascii="宋体" w:hAnsi="宋体" w:cs="宋体"/>
          <w:bCs/>
          <w:sz w:val="24"/>
          <w:highlight w:val="none"/>
        </w:rPr>
        <w:t>。</w:t>
      </w:r>
    </w:p>
    <w:p w14:paraId="2B56843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%时，或材料单价跌幅以已标价工程量清单或预算书中载明材料单价为基础超过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0A7B9A8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%时，材料单价涨幅以已标价工程量清单或预算书中载明材料单价为基础超过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7DF7DD1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648B0B0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第3种方式：其他价格调整方式：</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50"/>
    <w:bookmarkEnd w:id="351"/>
    <w:bookmarkEnd w:id="352"/>
    <w:bookmarkEnd w:id="353"/>
    <w:bookmarkEnd w:id="354"/>
    <w:bookmarkEnd w:id="355"/>
    <w:p w14:paraId="13EC9F66">
      <w:pPr>
        <w:spacing w:before="120" w:after="120" w:line="360" w:lineRule="auto"/>
        <w:jc w:val="left"/>
        <w:rPr>
          <w:rFonts w:hint="eastAsia" w:ascii="宋体" w:hAnsi="宋体" w:cs="宋体"/>
          <w:bCs/>
          <w:sz w:val="24"/>
          <w:highlight w:val="none"/>
        </w:rPr>
      </w:pPr>
      <w:bookmarkStart w:id="463" w:name="_Toc292559915"/>
      <w:bookmarkStart w:id="464" w:name="_Toc296346706"/>
      <w:bookmarkStart w:id="465" w:name="_Toc297048391"/>
      <w:bookmarkStart w:id="466" w:name="_Toc292559410"/>
      <w:bookmarkStart w:id="467" w:name="_Toc296891245"/>
      <w:bookmarkStart w:id="468" w:name="_Toc296347204"/>
      <w:bookmarkStart w:id="469" w:name="_Toc297120505"/>
      <w:bookmarkStart w:id="470" w:name="_Toc296891033"/>
      <w:bookmarkStart w:id="471" w:name="_Toc296944544"/>
      <w:bookmarkStart w:id="472" w:name="_Toc296503205"/>
      <w:bookmarkStart w:id="473" w:name="_Toc351203644"/>
      <w:bookmarkStart w:id="474" w:name="_Toc300935002"/>
      <w:bookmarkStart w:id="475" w:name="_Toc297123552"/>
      <w:bookmarkStart w:id="476" w:name="_Toc304295579"/>
      <w:bookmarkStart w:id="477" w:name="_Toc303539159"/>
      <w:bookmarkStart w:id="478" w:name="_Toc312678040"/>
      <w:bookmarkStart w:id="479" w:name="_Toc297216211"/>
      <w:r>
        <w:rPr>
          <w:rFonts w:hint="eastAsia" w:ascii="宋体" w:hAnsi="宋体" w:cs="宋体"/>
          <w:bCs/>
          <w:sz w:val="24"/>
          <w:highlight w:val="none"/>
        </w:rPr>
        <w:t xml:space="preserve">12. </w:t>
      </w:r>
      <w:bookmarkEnd w:id="463"/>
      <w:bookmarkEnd w:id="464"/>
      <w:bookmarkEnd w:id="465"/>
      <w:bookmarkEnd w:id="466"/>
      <w:bookmarkEnd w:id="467"/>
      <w:bookmarkEnd w:id="468"/>
      <w:bookmarkEnd w:id="469"/>
      <w:bookmarkEnd w:id="470"/>
      <w:bookmarkEnd w:id="471"/>
      <w:bookmarkEnd w:id="472"/>
      <w:r>
        <w:rPr>
          <w:rFonts w:hint="eastAsia" w:ascii="宋体" w:hAnsi="宋体" w:cs="宋体"/>
          <w:bCs/>
          <w:sz w:val="24"/>
          <w:highlight w:val="none"/>
        </w:rPr>
        <w:t>合同价格、计量与支付</w:t>
      </w:r>
      <w:bookmarkEnd w:id="473"/>
    </w:p>
    <w:bookmarkEnd w:id="474"/>
    <w:bookmarkEnd w:id="475"/>
    <w:bookmarkEnd w:id="476"/>
    <w:bookmarkEnd w:id="477"/>
    <w:bookmarkEnd w:id="478"/>
    <w:bookmarkEnd w:id="479"/>
    <w:p w14:paraId="2512D6E5">
      <w:pPr>
        <w:spacing w:after="120" w:line="360" w:lineRule="auto"/>
        <w:ind w:firstLine="480" w:firstLineChars="200"/>
        <w:rPr>
          <w:rFonts w:hint="eastAsia" w:ascii="宋体" w:hAnsi="宋体" w:cs="宋体"/>
          <w:bCs/>
          <w:sz w:val="24"/>
          <w:highlight w:val="none"/>
        </w:rPr>
      </w:pPr>
      <w:bookmarkStart w:id="480" w:name="_Toc292559411"/>
      <w:bookmarkStart w:id="481" w:name="_Toc292559916"/>
      <w:bookmarkStart w:id="482" w:name="_Toc267251461"/>
      <w:bookmarkStart w:id="483" w:name="_Toc297048392"/>
      <w:bookmarkStart w:id="484" w:name="_Toc296346707"/>
      <w:bookmarkStart w:id="485" w:name="_Toc296347205"/>
      <w:bookmarkStart w:id="486" w:name="_Toc296891034"/>
      <w:bookmarkStart w:id="487" w:name="_Toc296944545"/>
      <w:bookmarkStart w:id="488" w:name="_Toc297120506"/>
      <w:bookmarkStart w:id="489" w:name="_Toc296503206"/>
      <w:bookmarkStart w:id="490" w:name="_Toc296891246"/>
      <w:bookmarkStart w:id="491" w:name="_Toc297123553"/>
      <w:bookmarkStart w:id="492" w:name="_Toc304295580"/>
      <w:bookmarkStart w:id="493" w:name="_Toc300935003"/>
      <w:bookmarkStart w:id="494" w:name="_Toc297216212"/>
      <w:bookmarkStart w:id="495" w:name="_Toc312678041"/>
      <w:bookmarkStart w:id="496" w:name="_Toc303539160"/>
      <w:r>
        <w:rPr>
          <w:rFonts w:hint="eastAsia" w:ascii="宋体" w:hAnsi="宋体" w:cs="宋体"/>
          <w:bCs/>
          <w:sz w:val="24"/>
          <w:highlight w:val="none"/>
        </w:rPr>
        <w:t>12.1 合</w:t>
      </w:r>
      <w:bookmarkEnd w:id="480"/>
      <w:bookmarkEnd w:id="481"/>
      <w:bookmarkEnd w:id="482"/>
      <w:r>
        <w:rPr>
          <w:rFonts w:hint="eastAsia" w:ascii="宋体" w:hAnsi="宋体" w:cs="宋体"/>
          <w:bCs/>
          <w:sz w:val="24"/>
          <w:highlight w:val="none"/>
        </w:rPr>
        <w:t>同价</w:t>
      </w:r>
      <w:bookmarkEnd w:id="483"/>
      <w:bookmarkEnd w:id="484"/>
      <w:bookmarkEnd w:id="485"/>
      <w:bookmarkEnd w:id="486"/>
      <w:bookmarkEnd w:id="487"/>
      <w:bookmarkEnd w:id="488"/>
      <w:bookmarkEnd w:id="489"/>
      <w:bookmarkEnd w:id="490"/>
      <w:r>
        <w:rPr>
          <w:rFonts w:hint="eastAsia" w:ascii="宋体" w:hAnsi="宋体" w:cs="宋体"/>
          <w:bCs/>
          <w:sz w:val="24"/>
          <w:highlight w:val="none"/>
        </w:rPr>
        <w:t>格形式</w:t>
      </w:r>
    </w:p>
    <w:p w14:paraId="10BFE2F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本合同价款采用第</w:t>
      </w:r>
      <w:r>
        <w:rPr>
          <w:rFonts w:hint="eastAsia" w:ascii="宋体" w:hAnsi="宋体" w:cs="宋体"/>
          <w:bCs/>
          <w:sz w:val="24"/>
          <w:highlight w:val="none"/>
          <w:u w:val="single"/>
        </w:rPr>
        <w:t xml:space="preserve"> 1 </w:t>
      </w:r>
      <w:r>
        <w:rPr>
          <w:rFonts w:hint="eastAsia" w:ascii="宋体" w:hAnsi="宋体" w:cs="宋体"/>
          <w:bCs/>
          <w:sz w:val="24"/>
          <w:highlight w:val="none"/>
        </w:rPr>
        <w:t>种方式确定。</w:t>
      </w:r>
    </w:p>
    <w:bookmarkEnd w:id="491"/>
    <w:bookmarkEnd w:id="492"/>
    <w:bookmarkEnd w:id="493"/>
    <w:bookmarkEnd w:id="494"/>
    <w:bookmarkEnd w:id="495"/>
    <w:bookmarkEnd w:id="496"/>
    <w:p w14:paraId="236ECAF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1、单价合同。</w:t>
      </w:r>
    </w:p>
    <w:p w14:paraId="048AC99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综合单价包含的风险范围：</w:t>
      </w:r>
      <w:r>
        <w:rPr>
          <w:rFonts w:hint="eastAsia" w:ascii="宋体" w:hAnsi="宋体" w:cs="宋体"/>
          <w:bCs/>
          <w:sz w:val="24"/>
          <w:highlight w:val="none"/>
          <w:u w:val="single"/>
        </w:rPr>
        <w:t xml:space="preserve"> 人工工资、材料费、施工机械使用费、管理费、利润等变化及风险因素。（施工期间国家及地方造价主管部门发布的相关调价文件除外，即双方按调价文件规定予以执行）。 </w:t>
      </w:r>
    </w:p>
    <w:p w14:paraId="5DFE1E8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风险费用的计算方法：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6B2A072">
      <w:pPr>
        <w:tabs>
          <w:tab w:val="left" w:pos="525"/>
          <w:tab w:val="left" w:pos="1200"/>
        </w:tabs>
        <w:snapToGrid w:val="0"/>
        <w:spacing w:line="360" w:lineRule="auto"/>
        <w:ind w:firstLine="460" w:firstLineChars="192"/>
        <w:rPr>
          <w:rFonts w:hint="eastAsia" w:ascii="宋体" w:hAnsi="宋体" w:cs="宋体"/>
          <w:bCs/>
          <w:sz w:val="24"/>
          <w:highlight w:val="none"/>
        </w:rPr>
      </w:pPr>
      <w:r>
        <w:rPr>
          <w:rFonts w:hint="eastAsia" w:ascii="宋体" w:hAnsi="宋体" w:cs="宋体"/>
          <w:bCs/>
          <w:sz w:val="24"/>
          <w:highlight w:val="none"/>
        </w:rPr>
        <w:t>风险范围以外合同价格的调整方法：</w:t>
      </w:r>
    </w:p>
    <w:p w14:paraId="3D01500A">
      <w:pPr>
        <w:tabs>
          <w:tab w:val="left" w:pos="525"/>
          <w:tab w:val="left" w:pos="1200"/>
        </w:tabs>
        <w:snapToGrid w:val="0"/>
        <w:spacing w:line="360" w:lineRule="auto"/>
        <w:ind w:firstLine="460" w:firstLineChars="192"/>
        <w:rPr>
          <w:rFonts w:hint="eastAsia" w:ascii="宋体" w:hAnsi="宋体" w:cs="宋体"/>
          <w:bCs/>
          <w:sz w:val="24"/>
          <w:highlight w:val="none"/>
          <w:u w:val="single"/>
        </w:rPr>
      </w:pPr>
      <w:r>
        <w:rPr>
          <w:rFonts w:hint="eastAsia" w:ascii="宋体" w:hAnsi="宋体" w:cs="宋体"/>
          <w:bCs/>
          <w:sz w:val="24"/>
          <w:highlight w:val="none"/>
          <w:u w:val="single"/>
        </w:rPr>
        <w:t>1）凡综合单价中涉及发包人在磋商文件及答疑纪要中规定的指定价项目，结算时按发包人确认的单价与上述指定价的差额，置于综合单价的风险范围外位置。</w:t>
      </w:r>
    </w:p>
    <w:p w14:paraId="63D4839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u w:val="single"/>
        </w:rPr>
        <w:t xml:space="preserve">2）因工程量清单的工程量有误或设计变更引起的原有清单项目工程量的增减，其增加或减少的工程量，其适用的综合单价按（1）合同中已有适用综合单价的，执行已有综合单价。（2）合同中有类似综合单价的，可参照类似综合单价调整。 （3）合同中没有适用或类似综合单价的，由承包人提出综合单价，经发包人确认后执行。 </w:t>
      </w:r>
      <w:r>
        <w:rPr>
          <w:rFonts w:hint="eastAsia" w:ascii="宋体" w:hAnsi="宋体" w:cs="宋体"/>
          <w:bCs/>
          <w:sz w:val="24"/>
          <w:highlight w:val="none"/>
        </w:rPr>
        <w:t>。</w:t>
      </w:r>
    </w:p>
    <w:p w14:paraId="20F97B4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2、总价合同。</w:t>
      </w:r>
    </w:p>
    <w:p w14:paraId="2B19FB7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总价包含的风险范围：</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80FCDF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风险费用的计算方法：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06235A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风险范围以外合同价格的调整方法：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20A6D3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3、其他价格方式：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329F90A">
      <w:pPr>
        <w:spacing w:after="120" w:line="360" w:lineRule="auto"/>
        <w:ind w:firstLine="480" w:firstLineChars="200"/>
        <w:rPr>
          <w:rFonts w:hint="eastAsia" w:ascii="宋体" w:hAnsi="宋体" w:cs="宋体"/>
          <w:bCs/>
          <w:sz w:val="24"/>
          <w:highlight w:val="none"/>
        </w:rPr>
      </w:pPr>
      <w:bookmarkStart w:id="497" w:name="_Toc300935004"/>
      <w:bookmarkStart w:id="498" w:name="_Toc304295581"/>
      <w:bookmarkStart w:id="499" w:name="_Toc297216213"/>
      <w:bookmarkStart w:id="500" w:name="_Toc312678042"/>
      <w:bookmarkStart w:id="501" w:name="_Toc297123554"/>
      <w:bookmarkStart w:id="502" w:name="_Toc303539161"/>
      <w:bookmarkStart w:id="503" w:name="_Toc296891035"/>
      <w:bookmarkStart w:id="504" w:name="_Toc296944546"/>
      <w:bookmarkStart w:id="505" w:name="_Toc296503207"/>
      <w:bookmarkStart w:id="506" w:name="_Toc296346708"/>
      <w:bookmarkStart w:id="507" w:name="_Toc296891247"/>
      <w:bookmarkStart w:id="508" w:name="_Toc297048393"/>
      <w:bookmarkStart w:id="509" w:name="_Toc296347206"/>
      <w:bookmarkStart w:id="510" w:name="_Toc292559917"/>
      <w:bookmarkStart w:id="511" w:name="_Toc292559412"/>
      <w:bookmarkStart w:id="512" w:name="_Toc297120507"/>
      <w:r>
        <w:rPr>
          <w:rFonts w:hint="eastAsia" w:ascii="宋体" w:hAnsi="宋体" w:cs="宋体"/>
          <w:bCs/>
          <w:sz w:val="24"/>
          <w:highlight w:val="none"/>
        </w:rPr>
        <w:t>12.2 预付款</w:t>
      </w:r>
    </w:p>
    <w:bookmarkEnd w:id="497"/>
    <w:bookmarkEnd w:id="498"/>
    <w:bookmarkEnd w:id="499"/>
    <w:bookmarkEnd w:id="500"/>
    <w:bookmarkEnd w:id="501"/>
    <w:bookmarkEnd w:id="502"/>
    <w:p w14:paraId="62646F3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12.2.1 预付款的支付</w:t>
      </w:r>
    </w:p>
    <w:p w14:paraId="7767FB1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预付款支付比例或金额：</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合同总价款的</w:t>
      </w:r>
      <w:r>
        <w:rPr>
          <w:rFonts w:hint="eastAsia" w:hAnsi="宋体" w:cs="宋体"/>
          <w:bCs/>
          <w:sz w:val="24"/>
          <w:highlight w:val="none"/>
          <w:u w:val="single"/>
          <w:lang w:val="en-US" w:eastAsia="zh-CN"/>
        </w:rPr>
        <w:t>30%</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BB8B2A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预付款支付期限：</w:t>
      </w:r>
      <w:r>
        <w:rPr>
          <w:rFonts w:hint="eastAsia" w:ascii="宋体" w:hAnsi="宋体" w:cs="宋体"/>
          <w:bCs/>
          <w:sz w:val="24"/>
          <w:highlight w:val="none"/>
          <w:u w:val="single"/>
        </w:rPr>
        <w:t xml:space="preserve">               合同签订后            </w:t>
      </w:r>
      <w:r>
        <w:rPr>
          <w:rFonts w:hint="eastAsia" w:ascii="宋体" w:hAnsi="宋体" w:cs="宋体"/>
          <w:bCs/>
          <w:sz w:val="24"/>
          <w:highlight w:val="none"/>
        </w:rPr>
        <w:t>。</w:t>
      </w:r>
    </w:p>
    <w:p w14:paraId="015A55D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预付款扣回的方式：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A56451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12.2.2 预付款担保</w:t>
      </w:r>
    </w:p>
    <w:p w14:paraId="5277D09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承包人提交预付款担保的期限：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4604D2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预付款担保的形式为：</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503"/>
    <w:bookmarkEnd w:id="504"/>
    <w:bookmarkEnd w:id="505"/>
    <w:bookmarkEnd w:id="506"/>
    <w:bookmarkEnd w:id="507"/>
    <w:bookmarkEnd w:id="508"/>
    <w:bookmarkEnd w:id="509"/>
    <w:bookmarkEnd w:id="510"/>
    <w:bookmarkEnd w:id="511"/>
    <w:bookmarkEnd w:id="512"/>
    <w:p w14:paraId="0CFC0E0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12.3 计量</w:t>
      </w:r>
    </w:p>
    <w:p w14:paraId="22C22DA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12.3.1 计量原则</w:t>
      </w:r>
    </w:p>
    <w:p w14:paraId="42AA3B4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工程量计算规则：</w:t>
      </w:r>
      <w:r>
        <w:rPr>
          <w:rFonts w:hint="eastAsia" w:ascii="宋体" w:hAnsi="宋体" w:cs="宋体"/>
          <w:bCs/>
          <w:sz w:val="24"/>
          <w:highlight w:val="none"/>
          <w:u w:val="single"/>
        </w:rPr>
        <w:t xml:space="preserve">   陕西省建设工程工程量清单计价规则（2009）  </w:t>
      </w:r>
      <w:r>
        <w:rPr>
          <w:rFonts w:hint="eastAsia" w:ascii="宋体" w:hAnsi="宋体" w:cs="宋体"/>
          <w:bCs/>
          <w:sz w:val="24"/>
          <w:highlight w:val="none"/>
        </w:rPr>
        <w:t>。</w:t>
      </w:r>
    </w:p>
    <w:p w14:paraId="07C9503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12.3.2 计量周期</w:t>
      </w:r>
    </w:p>
    <w:p w14:paraId="59AE608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关于计量周期的约定：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6F595E2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12.3.3 单价合同的计量</w:t>
      </w:r>
    </w:p>
    <w:p w14:paraId="2B4C3E3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关于单价合同计量的约定：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6F28425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12.3.4 总价合同的计量</w:t>
      </w:r>
    </w:p>
    <w:p w14:paraId="67C27B2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关于总价合同计量的约定：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6EA241B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12.3.5总价合同采用支付分解表计量支付的，是否适用第12.3.4 项〔总价合同的计量〕约定进行计量：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7172AF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12.3.6 其他价格形式合同的计量</w:t>
      </w:r>
    </w:p>
    <w:p w14:paraId="4F45C04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其他价格形式的计量方式和程序：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EAF3337">
      <w:pPr>
        <w:spacing w:after="120" w:line="360" w:lineRule="auto"/>
        <w:ind w:firstLine="480" w:firstLineChars="200"/>
        <w:rPr>
          <w:rFonts w:hint="default" w:ascii="宋体" w:hAnsi="宋体" w:eastAsia="宋体" w:cs="宋体"/>
          <w:bCs/>
          <w:sz w:val="24"/>
          <w:highlight w:val="none"/>
          <w:lang w:val="en-US" w:eastAsia="zh-CN"/>
        </w:rPr>
      </w:pPr>
      <w:r>
        <w:rPr>
          <w:rFonts w:hint="eastAsia" w:ascii="宋体" w:hAnsi="宋体" w:cs="宋体"/>
          <w:bCs/>
          <w:sz w:val="24"/>
          <w:highlight w:val="none"/>
        </w:rPr>
        <w:t>12.4 工程进度款支付</w:t>
      </w:r>
      <w:r>
        <w:rPr>
          <w:rFonts w:hint="eastAsia" w:hAnsi="宋体" w:cs="宋体"/>
          <w:bCs/>
          <w:sz w:val="24"/>
          <w:highlight w:val="none"/>
          <w:lang w:eastAsia="zh-CN"/>
        </w:rPr>
        <w:t>：</w:t>
      </w:r>
      <w:r>
        <w:rPr>
          <w:rFonts w:hint="eastAsia" w:hAnsi="宋体" w:cs="宋体"/>
          <w:bCs/>
          <w:sz w:val="24"/>
          <w:highlight w:val="none"/>
          <w:lang w:val="en-US" w:eastAsia="zh-CN"/>
        </w:rPr>
        <w:t>以最终签订合同为准。</w:t>
      </w:r>
    </w:p>
    <w:p w14:paraId="3A868068">
      <w:pPr>
        <w:spacing w:line="360" w:lineRule="auto"/>
        <w:ind w:firstLine="480" w:firstLineChars="200"/>
        <w:jc w:val="left"/>
        <w:rPr>
          <w:rFonts w:hint="eastAsia" w:ascii="宋体" w:hAnsi="宋体" w:cs="宋体"/>
          <w:bCs/>
          <w:sz w:val="24"/>
          <w:highlight w:val="none"/>
        </w:rPr>
      </w:pPr>
      <w:bookmarkStart w:id="513" w:name="_Toc300935006"/>
      <w:bookmarkStart w:id="514" w:name="_Toc297120511"/>
      <w:bookmarkStart w:id="515" w:name="_Toc296346712"/>
      <w:bookmarkStart w:id="516" w:name="_Toc296891039"/>
      <w:bookmarkStart w:id="517" w:name="_Toc296347210"/>
      <w:bookmarkStart w:id="518" w:name="_Toc292559921"/>
      <w:bookmarkStart w:id="519" w:name="_Toc303539163"/>
      <w:bookmarkStart w:id="520" w:name="_Toc296891251"/>
      <w:bookmarkStart w:id="521" w:name="_Toc297048397"/>
      <w:bookmarkStart w:id="522" w:name="_Toc296503211"/>
      <w:bookmarkStart w:id="523" w:name="_Toc297123556"/>
      <w:bookmarkStart w:id="524" w:name="_Toc296944550"/>
      <w:bookmarkStart w:id="525" w:name="_Toc297216215"/>
      <w:bookmarkStart w:id="526" w:name="_Toc292559416"/>
      <w:r>
        <w:rPr>
          <w:rFonts w:hint="eastAsia" w:ascii="宋体" w:hAnsi="宋体" w:cs="宋体"/>
          <w:bCs/>
          <w:sz w:val="24"/>
          <w:highlight w:val="none"/>
        </w:rPr>
        <w:t>12.4.1 付款周期</w:t>
      </w:r>
    </w:p>
    <w:p w14:paraId="2FB50647">
      <w:pPr>
        <w:spacing w:line="360" w:lineRule="auto"/>
        <w:ind w:firstLine="480" w:firstLineChars="200"/>
        <w:jc w:val="left"/>
        <w:rPr>
          <w:rFonts w:hint="default"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根据签订合同的要求，</w:t>
      </w:r>
      <w:r>
        <w:rPr>
          <w:rFonts w:hint="eastAsia" w:hAnsi="宋体" w:eastAsia="宋体" w:cs="宋体"/>
          <w:color w:val="auto"/>
          <w:sz w:val="24"/>
          <w:szCs w:val="24"/>
          <w:highlight w:val="none"/>
          <w:lang w:val="en-US" w:eastAsia="zh-CN"/>
        </w:rPr>
        <w:t>根据工程形象进度付款</w:t>
      </w:r>
    </w:p>
    <w:p w14:paraId="396341B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12.4.2 进度付款申请单的编制</w:t>
      </w:r>
    </w:p>
    <w:p w14:paraId="6A0FAAF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关于进度付款申请单编制的约定：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81B46E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ascii="宋体" w:hAnsi="宋体" w:cs="宋体"/>
          <w:bCs/>
          <w:sz w:val="24"/>
          <w:highlight w:val="none"/>
        </w:rPr>
        <w:t>2.4.3 进度付款申请单的提交</w:t>
      </w:r>
    </w:p>
    <w:p w14:paraId="6A92F07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（1）单价合同进度付款申请单提交的约定：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76C981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（2）总价合同进度付款申请单提交的约定：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49CD32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（3）其他价格形式合同进度付款申请单提交的约定：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55242D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12.4.4 进度款审核和支付</w:t>
      </w:r>
    </w:p>
    <w:p w14:paraId="12B5BE9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（1）监理人审查并报送发包人的期限：</w:t>
      </w:r>
      <w:r>
        <w:rPr>
          <w:rFonts w:hint="eastAsia" w:ascii="宋体" w:hAnsi="宋体" w:cs="宋体"/>
          <w:bCs/>
          <w:sz w:val="24"/>
          <w:highlight w:val="none"/>
          <w:u w:val="single"/>
        </w:rPr>
        <w:t xml:space="preserve">       收到申请7天内    </w:t>
      </w:r>
      <w:r>
        <w:rPr>
          <w:rFonts w:hint="eastAsia" w:ascii="宋体" w:hAnsi="宋体" w:cs="宋体"/>
          <w:bCs/>
          <w:sz w:val="24"/>
          <w:highlight w:val="none"/>
        </w:rPr>
        <w:t>。</w:t>
      </w:r>
    </w:p>
    <w:p w14:paraId="0947EF9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发包人完成审批并签发进度款支付证书的期限：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379861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（2）发包人支付进度款的期限：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B374BB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发包人逾期支付进度款的违约金的计算方式：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79F57F4">
      <w:pPr>
        <w:spacing w:line="360" w:lineRule="auto"/>
        <w:ind w:firstLine="600" w:firstLineChars="250"/>
        <w:jc w:val="left"/>
        <w:rPr>
          <w:rFonts w:hint="eastAsia" w:ascii="宋体" w:hAnsi="宋体" w:cs="宋体"/>
          <w:bCs/>
          <w:sz w:val="24"/>
          <w:highlight w:val="none"/>
        </w:rPr>
      </w:pPr>
      <w:r>
        <w:rPr>
          <w:rFonts w:hint="eastAsia" w:ascii="宋体" w:hAnsi="宋体" w:cs="宋体"/>
          <w:bCs/>
          <w:sz w:val="24"/>
          <w:highlight w:val="none"/>
        </w:rPr>
        <w:t>12.4.6 支付分解表的编制</w:t>
      </w:r>
    </w:p>
    <w:p w14:paraId="4DCECB22">
      <w:pPr>
        <w:spacing w:line="360" w:lineRule="auto"/>
        <w:ind w:left="4867" w:leftChars="228" w:hanging="4320" w:hangingChars="1800"/>
        <w:jc w:val="left"/>
        <w:rPr>
          <w:rFonts w:hint="eastAsia" w:ascii="宋体" w:hAnsi="宋体" w:cs="宋体"/>
          <w:bCs/>
          <w:sz w:val="24"/>
          <w:highlight w:val="none"/>
        </w:rPr>
      </w:pPr>
      <w:r>
        <w:rPr>
          <w:rFonts w:hint="eastAsia" w:ascii="宋体" w:hAnsi="宋体" w:cs="宋体"/>
          <w:bCs/>
          <w:sz w:val="24"/>
          <w:highlight w:val="none"/>
        </w:rPr>
        <w:t>2、总价合同支付分解表的编制与审批：</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FD55F7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3、单价合同的总价项目支付分解表的编制与审批：</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56"/>
    <w:p w14:paraId="69C394B7">
      <w:pPr>
        <w:spacing w:before="120" w:after="120" w:line="360" w:lineRule="auto"/>
        <w:jc w:val="left"/>
        <w:rPr>
          <w:rFonts w:hint="eastAsia" w:ascii="宋体" w:hAnsi="宋体" w:cs="宋体"/>
          <w:bCs/>
          <w:sz w:val="24"/>
          <w:highlight w:val="none"/>
        </w:rPr>
      </w:pPr>
      <w:bookmarkStart w:id="527" w:name="_Toc351203645"/>
      <w:bookmarkStart w:id="528" w:name="_Toc292559929"/>
      <w:bookmarkStart w:id="529" w:name="_Toc300935015"/>
      <w:bookmarkStart w:id="530" w:name="_Toc296891047"/>
      <w:bookmarkStart w:id="531" w:name="_Toc297048405"/>
      <w:bookmarkStart w:id="532" w:name="_Toc303539172"/>
      <w:bookmarkStart w:id="533" w:name="_Toc296347218"/>
      <w:bookmarkStart w:id="534" w:name="_Toc312678053"/>
      <w:bookmarkStart w:id="535" w:name="_Toc297216223"/>
      <w:bookmarkStart w:id="536" w:name="_Toc296346720"/>
      <w:bookmarkStart w:id="537" w:name="_Toc292559424"/>
      <w:bookmarkStart w:id="538" w:name="_Toc297120519"/>
      <w:bookmarkStart w:id="539" w:name="_Toc296891259"/>
      <w:bookmarkStart w:id="540" w:name="_Toc296944558"/>
      <w:bookmarkStart w:id="541" w:name="_Toc296503219"/>
      <w:bookmarkStart w:id="542" w:name="_Toc297123564"/>
      <w:bookmarkStart w:id="543" w:name="_Toc304295593"/>
      <w:r>
        <w:rPr>
          <w:rFonts w:hint="eastAsia" w:ascii="宋体" w:hAnsi="宋体" w:cs="宋体"/>
          <w:bCs/>
          <w:sz w:val="24"/>
          <w:highlight w:val="none"/>
        </w:rPr>
        <w:t>13. 验收和工程试车</w:t>
      </w:r>
      <w:bookmarkEnd w:id="527"/>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6F509A6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13.1 分部分项工程验收</w:t>
      </w:r>
    </w:p>
    <w:p w14:paraId="56011E2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13.1.2监理人不能按时进行验收时，应提前</w:t>
      </w:r>
      <w:r>
        <w:rPr>
          <w:rFonts w:hint="eastAsia" w:ascii="宋体" w:hAnsi="宋体" w:cs="宋体"/>
          <w:bCs/>
          <w:sz w:val="24"/>
          <w:highlight w:val="none"/>
          <w:u w:val="single"/>
        </w:rPr>
        <w:t xml:space="preserve">   24   </w:t>
      </w:r>
      <w:r>
        <w:rPr>
          <w:rFonts w:hint="eastAsia" w:ascii="宋体" w:hAnsi="宋体" w:cs="宋体"/>
          <w:bCs/>
          <w:sz w:val="24"/>
          <w:highlight w:val="none"/>
        </w:rPr>
        <w:t>小时提交书面延期要求。</w:t>
      </w:r>
    </w:p>
    <w:p w14:paraId="0A3634A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关于延期最长不得超过：</w:t>
      </w:r>
      <w:r>
        <w:rPr>
          <w:rFonts w:hint="eastAsia" w:ascii="宋体" w:hAnsi="宋体" w:cs="宋体"/>
          <w:bCs/>
          <w:sz w:val="24"/>
          <w:highlight w:val="none"/>
          <w:u w:val="single"/>
        </w:rPr>
        <w:t xml:space="preserve">  48    </w:t>
      </w:r>
      <w:r>
        <w:rPr>
          <w:rFonts w:hint="eastAsia" w:ascii="宋体" w:hAnsi="宋体" w:cs="宋体"/>
          <w:bCs/>
          <w:sz w:val="24"/>
          <w:highlight w:val="none"/>
        </w:rPr>
        <w:t>小时。</w:t>
      </w:r>
    </w:p>
    <w:p w14:paraId="0882D6C2">
      <w:pPr>
        <w:spacing w:after="120" w:line="360" w:lineRule="auto"/>
        <w:ind w:firstLine="480" w:firstLineChars="200"/>
        <w:rPr>
          <w:rFonts w:hint="eastAsia" w:ascii="宋体" w:hAnsi="宋体" w:cs="宋体"/>
          <w:bCs/>
          <w:sz w:val="24"/>
          <w:highlight w:val="none"/>
        </w:rPr>
      </w:pPr>
      <w:bookmarkStart w:id="544" w:name="_Toc297123565"/>
      <w:bookmarkStart w:id="545" w:name="_Toc303539173"/>
      <w:bookmarkStart w:id="546" w:name="_Toc296891263"/>
      <w:bookmarkStart w:id="547" w:name="_Toc296346724"/>
      <w:bookmarkStart w:id="548" w:name="_Toc292559428"/>
      <w:bookmarkStart w:id="549" w:name="_Toc297120523"/>
      <w:bookmarkStart w:id="550" w:name="_Toc304295596"/>
      <w:bookmarkStart w:id="551" w:name="_Toc300935016"/>
      <w:bookmarkStart w:id="552" w:name="_Toc296891051"/>
      <w:bookmarkStart w:id="553" w:name="_Toc312678056"/>
      <w:bookmarkStart w:id="554" w:name="_Toc297216224"/>
      <w:bookmarkStart w:id="555" w:name="_Toc296944562"/>
      <w:bookmarkStart w:id="556" w:name="_Toc296347222"/>
      <w:bookmarkStart w:id="557" w:name="_Toc297048409"/>
      <w:bookmarkStart w:id="558" w:name="_Toc292559933"/>
      <w:bookmarkStart w:id="559" w:name="_Toc296503223"/>
      <w:bookmarkStart w:id="560" w:name="_Toc267251474"/>
      <w:bookmarkStart w:id="561" w:name="_Toc267251470"/>
      <w:bookmarkStart w:id="562" w:name="_Toc267251476"/>
      <w:bookmarkStart w:id="563" w:name="_Toc267251471"/>
      <w:bookmarkStart w:id="564" w:name="_Toc267251475"/>
      <w:bookmarkStart w:id="565" w:name="_Toc267251473"/>
      <w:bookmarkStart w:id="566" w:name="_Toc267251472"/>
      <w:r>
        <w:rPr>
          <w:rFonts w:hint="eastAsia" w:ascii="宋体" w:hAnsi="宋体" w:cs="宋体"/>
          <w:bCs/>
          <w:sz w:val="24"/>
          <w:highlight w:val="none"/>
        </w:rPr>
        <w:t>13.2 竣工验收</w:t>
      </w:r>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14:paraId="4F36EC35">
      <w:pPr>
        <w:spacing w:line="360" w:lineRule="auto"/>
        <w:ind w:firstLine="480" w:firstLineChars="200"/>
        <w:jc w:val="left"/>
        <w:rPr>
          <w:rFonts w:hint="eastAsia" w:ascii="宋体" w:hAnsi="宋体" w:cs="宋体"/>
          <w:bCs/>
          <w:sz w:val="24"/>
          <w:highlight w:val="none"/>
        </w:rPr>
      </w:pPr>
      <w:bookmarkStart w:id="567" w:name="_Toc280868704"/>
      <w:bookmarkStart w:id="568" w:name="_Toc280868705"/>
      <w:bookmarkStart w:id="569" w:name="_Toc280868706"/>
      <w:bookmarkStart w:id="570" w:name="_Toc280868707"/>
      <w:bookmarkStart w:id="571" w:name="_Toc280868708"/>
      <w:bookmarkStart w:id="572" w:name="_Toc280868709"/>
      <w:r>
        <w:rPr>
          <w:rFonts w:hint="eastAsia" w:ascii="宋体" w:hAnsi="宋体" w:cs="宋体"/>
          <w:bCs/>
          <w:sz w:val="24"/>
          <w:highlight w:val="none"/>
        </w:rPr>
        <w:t>13.2.2竣工验收程序</w:t>
      </w:r>
    </w:p>
    <w:bookmarkEnd w:id="567"/>
    <w:p w14:paraId="6D440CB7">
      <w:pPr>
        <w:spacing w:line="360" w:lineRule="auto"/>
        <w:ind w:left="4867" w:leftChars="228" w:hanging="4320" w:hangingChars="1800"/>
        <w:jc w:val="left"/>
        <w:rPr>
          <w:rFonts w:hint="eastAsia" w:ascii="宋体" w:hAnsi="宋体" w:cs="宋体"/>
          <w:bCs/>
          <w:sz w:val="24"/>
          <w:highlight w:val="none"/>
        </w:rPr>
      </w:pPr>
      <w:r>
        <w:rPr>
          <w:rFonts w:hint="eastAsia" w:ascii="宋体" w:hAnsi="宋体" w:cs="宋体"/>
          <w:bCs/>
          <w:sz w:val="24"/>
          <w:highlight w:val="none"/>
        </w:rPr>
        <w:t>关于竣工验收程序的约定：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6F6FD25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发包人不按照本项约定组织竣工验收、颁发工程接收证书的违约金的计算方法：</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bookmarkEnd w:id="568"/>
    <w:p w14:paraId="3053152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13.2.5移交、接收全部与部分工程</w:t>
      </w:r>
    </w:p>
    <w:bookmarkEnd w:id="569"/>
    <w:p w14:paraId="48B1343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承包人向发包人移交工程的期限：</w:t>
      </w:r>
      <w:r>
        <w:rPr>
          <w:rFonts w:hint="eastAsia" w:ascii="宋体" w:hAnsi="宋体" w:cs="宋体"/>
          <w:bCs/>
          <w:sz w:val="24"/>
          <w:highlight w:val="none"/>
          <w:u w:val="single"/>
        </w:rPr>
        <w:t xml:space="preserve">        颁发工程接收证书后7天内     </w:t>
      </w:r>
      <w:r>
        <w:rPr>
          <w:rFonts w:hint="eastAsia" w:ascii="宋体" w:hAnsi="宋体" w:cs="宋体"/>
          <w:bCs/>
          <w:sz w:val="24"/>
          <w:highlight w:val="none"/>
        </w:rPr>
        <w:t>。</w:t>
      </w:r>
    </w:p>
    <w:p w14:paraId="748F9D35">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发包人未按本合同约定接收全部或部分工程的，违约金的计算方法：</w:t>
      </w:r>
      <w:r>
        <w:rPr>
          <w:rFonts w:hint="eastAsia" w:ascii="宋体" w:hAnsi="宋体" w:cs="宋体"/>
          <w:bCs/>
          <w:sz w:val="24"/>
          <w:highlight w:val="none"/>
          <w:u w:val="single"/>
        </w:rPr>
        <w:t xml:space="preserve">  </w:t>
      </w:r>
      <w:r>
        <w:rPr>
          <w:rFonts w:hint="eastAsia" w:ascii="宋体" w:hAnsi="宋体" w:cs="宋体"/>
          <w:bCs/>
          <w:spacing w:val="-32"/>
          <w:sz w:val="24"/>
          <w:highlight w:val="none"/>
          <w:u w:val="single"/>
        </w:rPr>
        <w:t>/</w:t>
      </w:r>
      <w:r>
        <w:rPr>
          <w:rFonts w:hint="eastAsia" w:ascii="宋体" w:hAnsi="宋体" w:cs="宋体"/>
          <w:bCs/>
          <w:sz w:val="24"/>
          <w:highlight w:val="none"/>
          <w:u w:val="single"/>
        </w:rPr>
        <w:t xml:space="preserve">    </w:t>
      </w:r>
      <w:r>
        <w:rPr>
          <w:rFonts w:hint="eastAsia" w:ascii="宋体" w:hAnsi="宋体" w:cs="宋体"/>
          <w:bCs/>
          <w:sz w:val="24"/>
          <w:highlight w:val="none"/>
        </w:rPr>
        <w:t>。</w:t>
      </w:r>
    </w:p>
    <w:bookmarkEnd w:id="570"/>
    <w:p w14:paraId="642DD99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承包人未按时移交工程的，违约金的计算方法为：</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D4BBE0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13.3 工程试车</w:t>
      </w:r>
    </w:p>
    <w:bookmarkEnd w:id="571"/>
    <w:p w14:paraId="397199E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13.3.1 试车程序</w:t>
      </w:r>
    </w:p>
    <w:p w14:paraId="30F62FD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工程试车内容：</w:t>
      </w:r>
      <w:r>
        <w:rPr>
          <w:rFonts w:hint="eastAsia" w:ascii="宋体" w:hAnsi="宋体" w:cs="宋体"/>
          <w:bCs/>
          <w:sz w:val="24"/>
          <w:highlight w:val="none"/>
          <w:u w:val="single"/>
        </w:rPr>
        <w:t xml:space="preserve">  若需试车，试车费用由承包人承担   </w:t>
      </w:r>
      <w:r>
        <w:rPr>
          <w:rFonts w:hint="eastAsia" w:ascii="宋体" w:hAnsi="宋体" w:cs="宋体"/>
          <w:bCs/>
          <w:sz w:val="24"/>
          <w:highlight w:val="none"/>
        </w:rPr>
        <w:t>。</w:t>
      </w:r>
    </w:p>
    <w:p w14:paraId="0840F6C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（1）单机无负荷试车费用由</w:t>
      </w:r>
      <w:r>
        <w:rPr>
          <w:rFonts w:hint="eastAsia" w:ascii="宋体" w:hAnsi="宋体" w:cs="宋体"/>
          <w:bCs/>
          <w:sz w:val="24"/>
          <w:highlight w:val="none"/>
          <w:u w:val="single"/>
        </w:rPr>
        <w:t xml:space="preserve">        /            </w:t>
      </w:r>
      <w:r>
        <w:rPr>
          <w:rFonts w:hint="eastAsia" w:ascii="宋体" w:hAnsi="宋体" w:cs="宋体"/>
          <w:bCs/>
          <w:sz w:val="24"/>
          <w:highlight w:val="none"/>
        </w:rPr>
        <w:t>承担；</w:t>
      </w:r>
    </w:p>
    <w:p w14:paraId="151F53B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（2）无负荷联动试车费用由</w:t>
      </w:r>
      <w:r>
        <w:rPr>
          <w:rFonts w:hint="eastAsia" w:ascii="宋体" w:hAnsi="宋体" w:cs="宋体"/>
          <w:bCs/>
          <w:sz w:val="24"/>
          <w:highlight w:val="none"/>
          <w:u w:val="single"/>
        </w:rPr>
        <w:t xml:space="preserve">        /            </w:t>
      </w:r>
      <w:r>
        <w:rPr>
          <w:rFonts w:hint="eastAsia" w:ascii="宋体" w:hAnsi="宋体" w:cs="宋体"/>
          <w:bCs/>
          <w:sz w:val="24"/>
          <w:highlight w:val="none"/>
        </w:rPr>
        <w:t>承担。</w:t>
      </w:r>
    </w:p>
    <w:p w14:paraId="04091B6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13.3.3 投料试车</w:t>
      </w:r>
    </w:p>
    <w:p w14:paraId="3F9FD13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关于投料试车相关事项的约定：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36A8EA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13.6 竣工退场</w:t>
      </w:r>
    </w:p>
    <w:p w14:paraId="34FD808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13.6.1 竣工退场</w:t>
      </w:r>
    </w:p>
    <w:p w14:paraId="6629987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承包人完成竣工退场的期限：</w:t>
      </w:r>
      <w:r>
        <w:rPr>
          <w:rFonts w:hint="eastAsia" w:ascii="宋体" w:hAnsi="宋体" w:cs="宋体"/>
          <w:bCs/>
          <w:sz w:val="24"/>
          <w:highlight w:val="none"/>
          <w:u w:val="single"/>
        </w:rPr>
        <w:t xml:space="preserve">      颁发工程接收证书后3天内     </w:t>
      </w:r>
      <w:r>
        <w:rPr>
          <w:rFonts w:hint="eastAsia" w:ascii="宋体" w:hAnsi="宋体" w:cs="宋体"/>
          <w:bCs/>
          <w:sz w:val="24"/>
          <w:highlight w:val="none"/>
        </w:rPr>
        <w:t>。</w:t>
      </w:r>
    </w:p>
    <w:p w14:paraId="0DC567E8">
      <w:pPr>
        <w:spacing w:before="120" w:after="120" w:line="360" w:lineRule="auto"/>
        <w:jc w:val="left"/>
        <w:rPr>
          <w:rFonts w:hint="eastAsia" w:ascii="宋体" w:hAnsi="宋体" w:cs="宋体"/>
          <w:bCs/>
          <w:sz w:val="24"/>
          <w:highlight w:val="none"/>
        </w:rPr>
      </w:pPr>
      <w:bookmarkStart w:id="573" w:name="_Toc351203646"/>
      <w:r>
        <w:rPr>
          <w:rFonts w:hint="eastAsia" w:ascii="宋体" w:hAnsi="宋体" w:cs="宋体"/>
          <w:bCs/>
          <w:sz w:val="24"/>
          <w:highlight w:val="none"/>
        </w:rPr>
        <w:t>14. 竣工结算</w:t>
      </w:r>
      <w:bookmarkEnd w:id="573"/>
    </w:p>
    <w:p w14:paraId="088B6EF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14.1 竣工结算申请</w:t>
      </w:r>
    </w:p>
    <w:p w14:paraId="6F973F9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承包人提交竣工结算申请单的期限：</w:t>
      </w:r>
      <w:r>
        <w:rPr>
          <w:rFonts w:hint="eastAsia" w:ascii="宋体" w:hAnsi="宋体" w:cs="宋体"/>
          <w:bCs/>
          <w:sz w:val="24"/>
          <w:highlight w:val="none"/>
          <w:u w:val="single"/>
        </w:rPr>
        <w:t xml:space="preserve">    工程竣工验收合格后28天内      </w:t>
      </w:r>
      <w:r>
        <w:rPr>
          <w:rFonts w:hint="eastAsia" w:ascii="宋体" w:hAnsi="宋体" w:cs="宋体"/>
          <w:bCs/>
          <w:sz w:val="24"/>
          <w:highlight w:val="none"/>
        </w:rPr>
        <w:t>。</w:t>
      </w:r>
    </w:p>
    <w:p w14:paraId="10F135D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竣工结算申请单应包括的内容：</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1DC1238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14.2 竣工结算审核</w:t>
      </w:r>
    </w:p>
    <w:p w14:paraId="23FC20F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发包人审批竣工付款申请单的期限：</w:t>
      </w:r>
      <w:r>
        <w:rPr>
          <w:rFonts w:hint="eastAsia" w:ascii="宋体" w:hAnsi="宋体" w:cs="宋体"/>
          <w:bCs/>
          <w:sz w:val="24"/>
          <w:highlight w:val="none"/>
          <w:u w:val="single"/>
        </w:rPr>
        <w:t xml:space="preserve">    收到竣工付款申请单28天内     </w:t>
      </w:r>
      <w:r>
        <w:rPr>
          <w:rFonts w:hint="eastAsia" w:ascii="宋体" w:hAnsi="宋体" w:cs="宋体"/>
          <w:bCs/>
          <w:sz w:val="24"/>
          <w:highlight w:val="none"/>
        </w:rPr>
        <w:t>。</w:t>
      </w:r>
    </w:p>
    <w:p w14:paraId="4230486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发包人完成竣工付款的期限：</w:t>
      </w:r>
      <w:r>
        <w:rPr>
          <w:rFonts w:hint="eastAsia" w:ascii="宋体" w:hAnsi="宋体" w:cs="宋体"/>
          <w:bCs/>
          <w:sz w:val="24"/>
          <w:highlight w:val="none"/>
          <w:u w:val="single"/>
        </w:rPr>
        <w:t xml:space="preserve">      签发竣工付款申请单28天内         </w:t>
      </w:r>
      <w:r>
        <w:rPr>
          <w:rFonts w:hint="eastAsia" w:ascii="宋体" w:hAnsi="宋体" w:cs="宋体"/>
          <w:bCs/>
          <w:sz w:val="24"/>
          <w:highlight w:val="none"/>
        </w:rPr>
        <w:t>。</w:t>
      </w:r>
    </w:p>
    <w:p w14:paraId="01D95B91">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关于竣工付款证书异议部分复核的方式和程序：</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5C50A059">
      <w:pPr>
        <w:spacing w:line="360" w:lineRule="auto"/>
        <w:ind w:firstLine="480" w:firstLineChars="200"/>
        <w:jc w:val="left"/>
        <w:rPr>
          <w:rFonts w:hint="eastAsia" w:ascii="宋体" w:hAnsi="宋体" w:cs="宋体"/>
          <w:bCs/>
          <w:sz w:val="24"/>
          <w:highlight w:val="none"/>
          <w:u w:val="single"/>
        </w:rPr>
      </w:pPr>
      <w:r>
        <w:rPr>
          <w:rFonts w:hint="eastAsia"/>
          <w:highlight w:val="none"/>
        </w:rPr>
        <w:t xml:space="preserve"> </w:t>
      </w:r>
      <w:r>
        <w:rPr>
          <w:rFonts w:ascii="宋体" w:hAnsi="宋体" w:cs="宋体"/>
          <w:bCs/>
          <w:sz w:val="24"/>
          <w:highlight w:val="none"/>
        </w:rPr>
        <w:t>14.3</w:t>
      </w:r>
      <w:r>
        <w:rPr>
          <w:rFonts w:hint="eastAsia" w:ascii="宋体" w:hAnsi="宋体" w:cs="宋体"/>
          <w:bCs/>
          <w:sz w:val="24"/>
          <w:highlight w:val="none"/>
        </w:rPr>
        <w:t>竣工结算</w:t>
      </w:r>
      <w:r>
        <w:rPr>
          <w:rFonts w:ascii="宋体" w:hAnsi="宋体" w:cs="宋体"/>
          <w:bCs/>
          <w:sz w:val="24"/>
          <w:highlight w:val="none"/>
        </w:rPr>
        <w:t>价款调整</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w:t>
      </w:r>
      <w:r>
        <w:rPr>
          <w:rFonts w:hint="eastAsia" w:ascii="宋体" w:hAnsi="宋体" w:cs="宋体"/>
          <w:bCs/>
          <w:sz w:val="24"/>
          <w:highlight w:val="none"/>
          <w:u w:val="single"/>
        </w:rPr>
        <w:t xml:space="preserve">   </w:t>
      </w:r>
    </w:p>
    <w:p w14:paraId="1CE2813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 最终结清</w:t>
      </w:r>
    </w:p>
    <w:p w14:paraId="403E824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14.4.1 最终结清申请单</w:t>
      </w:r>
    </w:p>
    <w:p w14:paraId="621FE88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承包人提交最终结清申请单的份数：</w:t>
      </w:r>
      <w:r>
        <w:rPr>
          <w:rFonts w:hint="eastAsia" w:ascii="宋体" w:hAnsi="宋体" w:cs="宋体"/>
          <w:bCs/>
          <w:sz w:val="24"/>
          <w:highlight w:val="none"/>
          <w:u w:val="single"/>
        </w:rPr>
        <w:t xml:space="preserve">               四份               </w:t>
      </w:r>
      <w:r>
        <w:rPr>
          <w:rFonts w:hint="eastAsia" w:ascii="宋体" w:hAnsi="宋体" w:cs="宋体"/>
          <w:bCs/>
          <w:sz w:val="24"/>
          <w:highlight w:val="none"/>
        </w:rPr>
        <w:t>。</w:t>
      </w:r>
    </w:p>
    <w:p w14:paraId="1D18B67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承包人提交最终结算申请单的期限：</w:t>
      </w:r>
      <w:r>
        <w:rPr>
          <w:rFonts w:hint="eastAsia" w:ascii="宋体" w:hAnsi="宋体" w:cs="宋体"/>
          <w:bCs/>
          <w:sz w:val="24"/>
          <w:highlight w:val="none"/>
          <w:u w:val="single"/>
        </w:rPr>
        <w:t xml:space="preserve">    </w:t>
      </w:r>
      <w:r>
        <w:rPr>
          <w:rFonts w:hint="eastAsia" w:asciiTheme="minorEastAsia" w:hAnsiTheme="minorEastAsia" w:eastAsiaTheme="minorEastAsia" w:cstheme="minorEastAsia"/>
          <w:b w:val="0"/>
          <w:bCs/>
          <w:sz w:val="24"/>
          <w:szCs w:val="24"/>
          <w:highlight w:val="none"/>
          <w:u w:val="single"/>
        </w:rPr>
        <w:t>在缺陷责任期终止证书颁发后7天内</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240A673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14.4.2 最终结清证书和支付</w:t>
      </w:r>
    </w:p>
    <w:p w14:paraId="7347533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（1）发包人完成最终结清申请单的审批并颁发最终结清证书的期限：</w:t>
      </w:r>
      <w:r>
        <w:rPr>
          <w:rFonts w:hint="eastAsia" w:ascii="宋体" w:hAnsi="宋体" w:cs="宋体"/>
          <w:bCs/>
          <w:sz w:val="24"/>
          <w:highlight w:val="none"/>
          <w:u w:val="single"/>
        </w:rPr>
        <w:t xml:space="preserve"> 收到申请28天内  </w:t>
      </w:r>
      <w:r>
        <w:rPr>
          <w:rFonts w:hint="eastAsia" w:ascii="宋体" w:hAnsi="宋体" w:cs="宋体"/>
          <w:bCs/>
          <w:sz w:val="24"/>
          <w:highlight w:val="none"/>
        </w:rPr>
        <w:t>。</w:t>
      </w:r>
    </w:p>
    <w:p w14:paraId="5DB38D8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（2）发包人完成支付的期限：</w:t>
      </w:r>
      <w:r>
        <w:rPr>
          <w:rFonts w:hint="eastAsia" w:ascii="宋体" w:hAnsi="宋体" w:cs="宋体"/>
          <w:bCs/>
          <w:sz w:val="24"/>
          <w:highlight w:val="none"/>
          <w:u w:val="single"/>
        </w:rPr>
        <w:t xml:space="preserve">     申请签发后14天内     </w:t>
      </w:r>
      <w:r>
        <w:rPr>
          <w:rFonts w:hint="eastAsia" w:ascii="宋体" w:hAnsi="宋体" w:cs="宋体"/>
          <w:bCs/>
          <w:sz w:val="24"/>
          <w:highlight w:val="none"/>
        </w:rPr>
        <w:t>。</w:t>
      </w:r>
    </w:p>
    <w:bookmarkEnd w:id="560"/>
    <w:bookmarkEnd w:id="561"/>
    <w:bookmarkEnd w:id="562"/>
    <w:bookmarkEnd w:id="563"/>
    <w:bookmarkEnd w:id="564"/>
    <w:bookmarkEnd w:id="565"/>
    <w:bookmarkEnd w:id="566"/>
    <w:bookmarkEnd w:id="572"/>
    <w:p w14:paraId="482A674B">
      <w:pPr>
        <w:spacing w:before="120" w:after="120" w:line="360" w:lineRule="auto"/>
        <w:jc w:val="left"/>
        <w:rPr>
          <w:rFonts w:hint="eastAsia" w:ascii="宋体" w:hAnsi="宋体" w:cs="宋体"/>
          <w:bCs/>
          <w:sz w:val="24"/>
          <w:highlight w:val="none"/>
        </w:rPr>
      </w:pPr>
      <w:bookmarkStart w:id="574" w:name="_Toc351203647"/>
      <w:bookmarkStart w:id="575" w:name="_Toc267251483"/>
      <w:bookmarkStart w:id="576" w:name="_Toc267251482"/>
      <w:bookmarkStart w:id="577" w:name="_Toc267251484"/>
      <w:bookmarkStart w:id="578" w:name="_Toc267251485"/>
      <w:bookmarkStart w:id="579" w:name="_Toc267251486"/>
      <w:bookmarkStart w:id="580" w:name="_Toc267251488"/>
      <w:bookmarkStart w:id="581" w:name="_Toc267251489"/>
      <w:bookmarkStart w:id="582" w:name="_Toc267251490"/>
      <w:bookmarkStart w:id="583" w:name="_Toc267251501"/>
      <w:bookmarkStart w:id="584" w:name="_Toc267251496"/>
      <w:bookmarkStart w:id="585" w:name="_Toc267251494"/>
      <w:bookmarkStart w:id="586" w:name="_Toc267251499"/>
      <w:bookmarkStart w:id="587" w:name="_Toc267251493"/>
      <w:bookmarkStart w:id="588" w:name="_Toc267251495"/>
      <w:bookmarkStart w:id="589" w:name="_Toc267251503"/>
      <w:bookmarkStart w:id="590" w:name="_Toc267251492"/>
      <w:bookmarkStart w:id="591" w:name="_Toc267251491"/>
      <w:bookmarkStart w:id="592" w:name="_Toc267251497"/>
      <w:bookmarkStart w:id="593" w:name="_Toc267251498"/>
      <w:bookmarkStart w:id="594" w:name="_Toc267251502"/>
      <w:bookmarkStart w:id="595" w:name="_Toc267251504"/>
      <w:bookmarkStart w:id="596" w:name="_Toc267251506"/>
      <w:bookmarkStart w:id="597" w:name="_Toc267251507"/>
      <w:bookmarkStart w:id="598" w:name="_Toc267251508"/>
      <w:bookmarkStart w:id="599" w:name="_Toc267251515"/>
      <w:bookmarkStart w:id="600" w:name="_Toc267251510"/>
      <w:bookmarkStart w:id="601" w:name="_Toc267251511"/>
      <w:bookmarkStart w:id="602" w:name="_Toc267251509"/>
      <w:bookmarkStart w:id="603" w:name="_Toc267251513"/>
      <w:bookmarkStart w:id="604" w:name="_Toc267251514"/>
      <w:r>
        <w:rPr>
          <w:rFonts w:hint="eastAsia" w:ascii="宋体" w:hAnsi="宋体" w:cs="宋体"/>
          <w:bCs/>
          <w:sz w:val="24"/>
          <w:highlight w:val="none"/>
        </w:rPr>
        <w:t>15. 缺陷责任期与保修</w:t>
      </w:r>
      <w:bookmarkEnd w:id="574"/>
    </w:p>
    <w:p w14:paraId="2CBD705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15.2缺陷责任期</w:t>
      </w:r>
      <w:bookmarkEnd w:id="575"/>
    </w:p>
    <w:p w14:paraId="217516B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缺陷责任期的具体期限：</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12个月</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264CD7CA">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15.3 质量保证金</w:t>
      </w:r>
    </w:p>
    <w:p w14:paraId="64BB4EF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关于是否扣留质量保证金的约定：</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扣留</w:t>
      </w:r>
      <w:r>
        <w:rPr>
          <w:rFonts w:hint="eastAsia" w:ascii="宋体" w:hAnsi="宋体" w:cs="宋体"/>
          <w:bCs/>
          <w:sz w:val="24"/>
          <w:highlight w:val="none"/>
          <w:u w:val="single"/>
        </w:rPr>
        <w:t xml:space="preserve">        </w:t>
      </w:r>
      <w:r>
        <w:rPr>
          <w:rFonts w:hint="eastAsia" w:ascii="宋体" w:hAnsi="宋体" w:cs="宋体"/>
          <w:bCs/>
          <w:sz w:val="24"/>
          <w:highlight w:val="none"/>
        </w:rPr>
        <w:t>。在工程项目竣工前，承包人按专用合同条款第3.7条提供履约担保的，发包人不得同时预留工程质量保证金。</w:t>
      </w:r>
    </w:p>
    <w:p w14:paraId="2A7E778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15.3.1 承包人提供质量保证金的方式</w:t>
      </w:r>
    </w:p>
    <w:p w14:paraId="0F5A582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质量保证金采用以下第</w:t>
      </w:r>
      <w:r>
        <w:rPr>
          <w:rFonts w:hint="eastAsia" w:ascii="宋体" w:hAnsi="宋体" w:cs="宋体"/>
          <w:bCs/>
          <w:sz w:val="24"/>
          <w:highlight w:val="none"/>
          <w:u w:val="single"/>
        </w:rPr>
        <w:t xml:space="preserve">  2  </w:t>
      </w:r>
      <w:r>
        <w:rPr>
          <w:rFonts w:hint="eastAsia" w:ascii="宋体" w:hAnsi="宋体" w:cs="宋体"/>
          <w:bCs/>
          <w:sz w:val="24"/>
          <w:highlight w:val="none"/>
        </w:rPr>
        <w:t>种方式：</w:t>
      </w:r>
    </w:p>
    <w:p w14:paraId="4E7E175F">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（1）质量保证金保函，保证金额为：</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3FCB0364">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3   </w:t>
      </w:r>
      <w:r>
        <w:rPr>
          <w:rFonts w:hint="eastAsia" w:ascii="宋体" w:hAnsi="宋体" w:cs="宋体"/>
          <w:bCs/>
          <w:sz w:val="24"/>
          <w:highlight w:val="none"/>
        </w:rPr>
        <w:t>%的工程款；</w:t>
      </w:r>
    </w:p>
    <w:p w14:paraId="4F943637">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258666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 xml:space="preserve">15.3.2 质量保证金的扣留 </w:t>
      </w:r>
    </w:p>
    <w:p w14:paraId="5151173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质量保证金的扣留采取以下第</w:t>
      </w:r>
      <w:r>
        <w:rPr>
          <w:rFonts w:hint="eastAsia" w:ascii="宋体" w:hAnsi="宋体" w:cs="宋体"/>
          <w:bCs/>
          <w:sz w:val="24"/>
          <w:highlight w:val="none"/>
          <w:u w:val="single"/>
        </w:rPr>
        <w:t xml:space="preserve">  2  </w:t>
      </w:r>
      <w:r>
        <w:rPr>
          <w:rFonts w:hint="eastAsia" w:ascii="宋体" w:hAnsi="宋体" w:cs="宋体"/>
          <w:bCs/>
          <w:sz w:val="24"/>
          <w:highlight w:val="none"/>
        </w:rPr>
        <w:t>种方式：</w:t>
      </w:r>
    </w:p>
    <w:p w14:paraId="560C545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（1）在支付工程进度款时逐次扣留，在此情形下，质量保证金的计算基数不包括预付款的支付、扣回以及价格调整的金额；</w:t>
      </w:r>
    </w:p>
    <w:p w14:paraId="0AA5F241">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（2）工程竣工结算时一次性扣留质量保证金；</w:t>
      </w:r>
    </w:p>
    <w:p w14:paraId="247FF223">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（3）其他扣留方式: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289DD8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关于质量保证金的补充约定：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576"/>
    <w:bookmarkEnd w:id="577"/>
    <w:p w14:paraId="6E78C8F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15.4保修</w:t>
      </w:r>
    </w:p>
    <w:bookmarkEnd w:id="578"/>
    <w:p w14:paraId="561E4C28">
      <w:pPr>
        <w:spacing w:line="360" w:lineRule="auto"/>
        <w:ind w:firstLine="468" w:firstLineChars="195"/>
        <w:jc w:val="left"/>
        <w:rPr>
          <w:rFonts w:hint="eastAsia" w:ascii="宋体" w:hAnsi="宋体" w:cs="宋体"/>
          <w:bCs/>
          <w:sz w:val="24"/>
          <w:highlight w:val="none"/>
        </w:rPr>
      </w:pPr>
      <w:r>
        <w:rPr>
          <w:rFonts w:hint="eastAsia" w:ascii="宋体" w:hAnsi="宋体" w:cs="宋体"/>
          <w:bCs/>
          <w:sz w:val="24"/>
          <w:highlight w:val="none"/>
        </w:rPr>
        <w:t>15.4.1 保修责任</w:t>
      </w:r>
    </w:p>
    <w:p w14:paraId="197D4C1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工程保修期为：</w:t>
      </w:r>
      <w:r>
        <w:rPr>
          <w:rFonts w:hint="eastAsia" w:ascii="宋体" w:hAnsi="宋体" w:cs="宋体"/>
          <w:bCs/>
          <w:sz w:val="24"/>
          <w:highlight w:val="none"/>
          <w:u w:val="single"/>
        </w:rPr>
        <w:t xml:space="preserve">           见工程质量保修书              </w:t>
      </w:r>
      <w:r>
        <w:rPr>
          <w:rFonts w:hint="eastAsia" w:ascii="宋体" w:hAnsi="宋体" w:cs="宋体"/>
          <w:bCs/>
          <w:sz w:val="24"/>
          <w:highlight w:val="none"/>
        </w:rPr>
        <w:t>。</w:t>
      </w:r>
    </w:p>
    <w:p w14:paraId="37938576">
      <w:pPr>
        <w:spacing w:line="360" w:lineRule="auto"/>
        <w:ind w:firstLine="468" w:firstLineChars="195"/>
        <w:jc w:val="left"/>
        <w:rPr>
          <w:rFonts w:hint="eastAsia" w:ascii="宋体" w:hAnsi="宋体" w:cs="宋体"/>
          <w:bCs/>
          <w:sz w:val="24"/>
          <w:highlight w:val="none"/>
        </w:rPr>
      </w:pPr>
      <w:r>
        <w:rPr>
          <w:rFonts w:hint="eastAsia" w:ascii="宋体" w:hAnsi="宋体" w:cs="宋体"/>
          <w:bCs/>
          <w:sz w:val="24"/>
          <w:highlight w:val="none"/>
        </w:rPr>
        <w:t>15.4.3 修复通知</w:t>
      </w:r>
    </w:p>
    <w:p w14:paraId="4584905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承包人收到保修通知并到达工程现场的合理时间：</w:t>
      </w:r>
      <w:r>
        <w:rPr>
          <w:rFonts w:hint="eastAsia" w:ascii="宋体" w:hAnsi="宋体" w:cs="宋体"/>
          <w:bCs/>
          <w:sz w:val="24"/>
          <w:highlight w:val="none"/>
          <w:u w:val="single"/>
        </w:rPr>
        <w:t xml:space="preserve">  24小时内  </w:t>
      </w:r>
      <w:r>
        <w:rPr>
          <w:rFonts w:hint="eastAsia" w:ascii="宋体" w:hAnsi="宋体" w:cs="宋体"/>
          <w:bCs/>
          <w:sz w:val="24"/>
          <w:highlight w:val="none"/>
        </w:rPr>
        <w:t>。</w:t>
      </w:r>
    </w:p>
    <w:bookmarkEnd w:id="579"/>
    <w:bookmarkEnd w:id="580"/>
    <w:bookmarkEnd w:id="581"/>
    <w:bookmarkEnd w:id="582"/>
    <w:p w14:paraId="667C344E">
      <w:pPr>
        <w:spacing w:before="120" w:after="120" w:line="360" w:lineRule="auto"/>
        <w:jc w:val="left"/>
        <w:rPr>
          <w:rFonts w:hint="eastAsia" w:ascii="宋体" w:hAnsi="宋体" w:cs="宋体"/>
          <w:bCs/>
          <w:sz w:val="24"/>
          <w:highlight w:val="none"/>
        </w:rPr>
      </w:pPr>
      <w:bookmarkStart w:id="605" w:name="_Toc351203648"/>
      <w:bookmarkStart w:id="606" w:name="_Toc280868717"/>
      <w:bookmarkStart w:id="607" w:name="_Toc280868718"/>
      <w:r>
        <w:rPr>
          <w:rFonts w:hint="eastAsia" w:ascii="宋体" w:hAnsi="宋体" w:cs="宋体"/>
          <w:bCs/>
          <w:sz w:val="24"/>
          <w:highlight w:val="none"/>
        </w:rPr>
        <w:t>16. 违约</w:t>
      </w:r>
      <w:bookmarkEnd w:id="605"/>
    </w:p>
    <w:p w14:paraId="1C6ADE5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16.1 发包人违约</w:t>
      </w:r>
    </w:p>
    <w:p w14:paraId="33F9333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16.1.1发包人违约的情形</w:t>
      </w:r>
    </w:p>
    <w:p w14:paraId="237A6E56">
      <w:pPr>
        <w:spacing w:line="360" w:lineRule="auto"/>
        <w:ind w:left="1267" w:leftChars="228" w:hanging="720" w:hangingChars="300"/>
        <w:jc w:val="left"/>
        <w:rPr>
          <w:rFonts w:hint="eastAsia" w:ascii="宋体" w:hAnsi="宋体" w:cs="宋体"/>
          <w:bCs/>
          <w:sz w:val="24"/>
          <w:highlight w:val="none"/>
        </w:rPr>
      </w:pPr>
      <w:r>
        <w:rPr>
          <w:rFonts w:hint="eastAsia" w:ascii="宋体" w:hAnsi="宋体" w:cs="宋体"/>
          <w:bCs/>
          <w:sz w:val="24"/>
          <w:highlight w:val="none"/>
        </w:rPr>
        <w:t>发包人违约的其他情形：</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C849A14">
      <w:pPr>
        <w:spacing w:line="360" w:lineRule="auto"/>
        <w:ind w:left="1200" w:hanging="1200" w:hangingChars="500"/>
        <w:jc w:val="left"/>
        <w:rPr>
          <w:rFonts w:hint="eastAsia" w:ascii="宋体" w:hAnsi="宋体" w:cs="宋体"/>
          <w:bCs/>
          <w:sz w:val="24"/>
          <w:highlight w:val="none"/>
        </w:rPr>
      </w:pPr>
      <w:r>
        <w:rPr>
          <w:rFonts w:hint="eastAsia" w:ascii="宋体" w:hAnsi="宋体" w:cs="宋体"/>
          <w:bCs/>
          <w:sz w:val="24"/>
          <w:highlight w:val="none"/>
        </w:rPr>
        <w:t xml:space="preserve">    16.1.2 发包人违约的责任</w:t>
      </w:r>
    </w:p>
    <w:p w14:paraId="43B0E67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发包人违约责任的承担方式和计算方法：</w:t>
      </w:r>
    </w:p>
    <w:p w14:paraId="24C9450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（1）因发包人原因未能在计划开工日期前7天内下达开工通知的违约责任：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5FA41E3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（2）因发包人原因未能按合同约定支付合同价款的违约责任：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049F548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（3）发包人违反第10.1款〔变更的范围〕第（2）项约定，自行实施被取消的工作或转由他人实施的违约责任：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11FC893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68786C7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（5）因发包人违反合同约定造成暂停施工的违约责任：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034654C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（6）发包人无正当理由没有在约定期限内发出复工指示，导致承包人无法复工的违约责任：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5A194ED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（7）其他：</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E5C716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16.1.3 因发包人违约解除合同</w:t>
      </w:r>
    </w:p>
    <w:p w14:paraId="2E24C928">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承包人按16.1.1项〔发包人违约的情形〕约定暂停施工满</w:t>
      </w:r>
      <w:r>
        <w:rPr>
          <w:rFonts w:hint="eastAsia" w:ascii="宋体" w:hAnsi="宋体" w:cs="宋体"/>
          <w:bCs/>
          <w:sz w:val="24"/>
          <w:highlight w:val="none"/>
          <w:u w:val="single"/>
        </w:rPr>
        <w:t xml:space="preserve">  60  </w:t>
      </w:r>
      <w:r>
        <w:rPr>
          <w:rFonts w:hint="eastAsia" w:ascii="宋体" w:hAnsi="宋体" w:cs="宋体"/>
          <w:bCs/>
          <w:sz w:val="24"/>
          <w:highlight w:val="none"/>
        </w:rPr>
        <w:t>天后发包人仍不纠正其违约行为并致使合同目的不能实现的，承包人有权解除合同。</w:t>
      </w:r>
    </w:p>
    <w:p w14:paraId="4465E46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 承包人违约</w:t>
      </w:r>
    </w:p>
    <w:p w14:paraId="55D9BA4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16.2.1 承包人违约的情形</w:t>
      </w:r>
    </w:p>
    <w:p w14:paraId="1353EF2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承包人违约的其他情形：</w:t>
      </w:r>
      <w:r>
        <w:rPr>
          <w:rFonts w:hint="eastAsia" w:ascii="宋体" w:hAnsi="宋体" w:cs="宋体"/>
          <w:bCs/>
          <w:sz w:val="24"/>
          <w:highlight w:val="none"/>
          <w:u w:val="single"/>
        </w:rPr>
        <w:t xml:space="preserve">  双方另行确定  </w:t>
      </w:r>
      <w:r>
        <w:rPr>
          <w:rFonts w:hint="eastAsia" w:ascii="宋体" w:hAnsi="宋体" w:cs="宋体"/>
          <w:bCs/>
          <w:sz w:val="24"/>
          <w:highlight w:val="none"/>
        </w:rPr>
        <w:t>。</w:t>
      </w:r>
    </w:p>
    <w:p w14:paraId="15C893F1">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16.2.2承包人违约的责任</w:t>
      </w:r>
    </w:p>
    <w:p w14:paraId="211B83EE">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承包人违约责任的承担方式和计算方法：</w:t>
      </w:r>
      <w:r>
        <w:rPr>
          <w:rFonts w:hint="eastAsia" w:ascii="宋体" w:hAnsi="宋体" w:cs="宋体"/>
          <w:bCs/>
          <w:sz w:val="24"/>
          <w:highlight w:val="none"/>
          <w:u w:val="single"/>
        </w:rPr>
        <w:t>由承包人承担全部费用并承担相关法律责任</w:t>
      </w:r>
      <w:r>
        <w:rPr>
          <w:rFonts w:hint="eastAsia" w:ascii="宋体" w:hAnsi="宋体" w:cs="宋体"/>
          <w:bCs/>
          <w:sz w:val="24"/>
          <w:highlight w:val="none"/>
        </w:rPr>
        <w:t xml:space="preserve">。    </w:t>
      </w:r>
    </w:p>
    <w:p w14:paraId="0A7B5141">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16.2.3 因承包人违约解除合同</w:t>
      </w:r>
    </w:p>
    <w:p w14:paraId="3699945C">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关于承包人违约解除合同的特别约定：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74381185">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发包人继续使用承包人在施工现场的材料、设备、临时工程、承包人文件和由承包人或以其名义编制的其他文件的费用承担方式：</w:t>
      </w:r>
      <w:r>
        <w:rPr>
          <w:rFonts w:hint="eastAsia" w:ascii="宋体" w:hAnsi="宋体" w:cs="宋体"/>
          <w:bCs/>
          <w:sz w:val="24"/>
          <w:highlight w:val="none"/>
          <w:u w:val="single"/>
        </w:rPr>
        <w:t xml:space="preserve">  双方另行确定   </w:t>
      </w:r>
      <w:r>
        <w:rPr>
          <w:rFonts w:hint="eastAsia" w:ascii="宋体" w:hAnsi="宋体" w:cs="宋体"/>
          <w:bCs/>
          <w:sz w:val="24"/>
          <w:highlight w:val="none"/>
        </w:rPr>
        <w:t>。</w:t>
      </w:r>
    </w:p>
    <w:p w14:paraId="258E6C7F">
      <w:pPr>
        <w:spacing w:before="120" w:after="120" w:line="360" w:lineRule="auto"/>
        <w:jc w:val="left"/>
        <w:rPr>
          <w:rFonts w:hint="eastAsia" w:ascii="宋体" w:hAnsi="宋体" w:cs="宋体"/>
          <w:bCs/>
          <w:sz w:val="24"/>
          <w:highlight w:val="none"/>
        </w:rPr>
      </w:pPr>
      <w:bookmarkStart w:id="608" w:name="_Toc351203649"/>
      <w:r>
        <w:rPr>
          <w:rFonts w:hint="eastAsia" w:ascii="宋体" w:hAnsi="宋体" w:cs="宋体"/>
          <w:bCs/>
          <w:sz w:val="24"/>
          <w:highlight w:val="none"/>
        </w:rPr>
        <w:t>17. 不可抗力</w:t>
      </w:r>
      <w:bookmarkEnd w:id="608"/>
      <w:r>
        <w:rPr>
          <w:rFonts w:hint="eastAsia" w:ascii="宋体" w:hAnsi="宋体" w:cs="宋体"/>
          <w:bCs/>
          <w:sz w:val="24"/>
          <w:highlight w:val="none"/>
        </w:rPr>
        <w:t xml:space="preserve"> </w:t>
      </w:r>
      <w:bookmarkEnd w:id="606"/>
    </w:p>
    <w:p w14:paraId="489D566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17.1 不可抗力的确认</w:t>
      </w:r>
    </w:p>
    <w:p w14:paraId="0AA3971C">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除通用合同条款约定的不可抗力事件之外，视为不可抗力的其他情形：</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BCAA6D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17.4 因不可抗力解除合同</w:t>
      </w:r>
    </w:p>
    <w:p w14:paraId="459258C3">
      <w:pPr>
        <w:spacing w:line="360" w:lineRule="auto"/>
        <w:ind w:firstLine="456" w:firstLineChars="200"/>
        <w:jc w:val="left"/>
        <w:rPr>
          <w:rFonts w:hint="eastAsia" w:ascii="宋体" w:hAnsi="宋体" w:cs="宋体"/>
          <w:bCs/>
          <w:sz w:val="24"/>
          <w:highlight w:val="none"/>
        </w:rPr>
      </w:pPr>
      <w:r>
        <w:rPr>
          <w:rFonts w:hint="eastAsia" w:ascii="宋体" w:hAnsi="宋体" w:cs="宋体"/>
          <w:bCs/>
          <w:spacing w:val="-6"/>
          <w:sz w:val="24"/>
          <w:highlight w:val="none"/>
        </w:rPr>
        <w:t>合同解除后，发包人应在商定或确定发包人应支付款项后</w:t>
      </w:r>
      <w:r>
        <w:rPr>
          <w:rFonts w:hint="eastAsia" w:ascii="宋体" w:hAnsi="宋体" w:cs="宋体"/>
          <w:bCs/>
          <w:spacing w:val="-6"/>
          <w:sz w:val="24"/>
          <w:highlight w:val="none"/>
          <w:u w:val="single"/>
        </w:rPr>
        <w:t>60</w:t>
      </w:r>
      <w:r>
        <w:rPr>
          <w:rFonts w:hint="eastAsia" w:ascii="宋体" w:hAnsi="宋体" w:cs="宋体"/>
          <w:bCs/>
          <w:spacing w:val="-6"/>
          <w:sz w:val="24"/>
          <w:highlight w:val="none"/>
        </w:rPr>
        <w:t>天内完成款项的支付。</w:t>
      </w:r>
    </w:p>
    <w:p w14:paraId="3FE84C6D">
      <w:pPr>
        <w:spacing w:before="120" w:after="120" w:line="360" w:lineRule="auto"/>
        <w:jc w:val="left"/>
        <w:rPr>
          <w:rFonts w:hint="eastAsia" w:ascii="宋体" w:hAnsi="宋体" w:cs="宋体"/>
          <w:bCs/>
          <w:sz w:val="24"/>
          <w:highlight w:val="none"/>
        </w:rPr>
      </w:pPr>
      <w:bookmarkStart w:id="609" w:name="_Toc351203650"/>
      <w:r>
        <w:rPr>
          <w:rFonts w:hint="eastAsia" w:ascii="宋体" w:hAnsi="宋体" w:cs="宋体"/>
          <w:bCs/>
          <w:sz w:val="24"/>
          <w:highlight w:val="none"/>
        </w:rPr>
        <w:t>18. 保险</w:t>
      </w:r>
      <w:bookmarkEnd w:id="609"/>
    </w:p>
    <w:bookmarkEnd w:id="607"/>
    <w:p w14:paraId="32309D0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18.1 工程保险</w:t>
      </w:r>
    </w:p>
    <w:p w14:paraId="0D61AC56">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关于工程保险的特别约定：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3FC87355">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18.3 其他保险</w:t>
      </w:r>
    </w:p>
    <w:p w14:paraId="3DE5D12C">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关于其他保险的约定：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2088CC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承包人是否应为其施工设备等办理财产保险：</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F19B01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18.7 通知义务</w:t>
      </w:r>
    </w:p>
    <w:p w14:paraId="628BAA57">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关于变更保险合同时的通知义务的约定：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bookmarkEnd w:id="583"/>
    <w:bookmarkEnd w:id="584"/>
    <w:bookmarkEnd w:id="585"/>
    <w:bookmarkEnd w:id="586"/>
    <w:bookmarkEnd w:id="587"/>
    <w:bookmarkEnd w:id="588"/>
    <w:bookmarkEnd w:id="589"/>
    <w:bookmarkEnd w:id="590"/>
    <w:bookmarkEnd w:id="591"/>
    <w:bookmarkEnd w:id="592"/>
    <w:bookmarkEnd w:id="593"/>
    <w:bookmarkEnd w:id="594"/>
    <w:p w14:paraId="0259A753">
      <w:pPr>
        <w:widowControl/>
        <w:spacing w:line="460" w:lineRule="exact"/>
        <w:jc w:val="left"/>
        <w:rPr>
          <w:rFonts w:hint="eastAsia" w:ascii="宋体" w:hAnsi="宋体" w:cs="宋体"/>
          <w:bCs/>
          <w:sz w:val="24"/>
          <w:highlight w:val="none"/>
        </w:rPr>
      </w:pPr>
      <w:bookmarkStart w:id="610" w:name="_Toc351203651"/>
      <w:r>
        <w:rPr>
          <w:rFonts w:hint="eastAsia" w:ascii="宋体" w:hAnsi="宋体" w:cs="宋体"/>
          <w:bCs/>
          <w:sz w:val="24"/>
          <w:highlight w:val="none"/>
        </w:rPr>
        <w:t>20. 争议解决</w:t>
      </w:r>
      <w:bookmarkEnd w:id="610"/>
    </w:p>
    <w:bookmarkEnd w:id="595"/>
    <w:bookmarkEnd w:id="596"/>
    <w:p w14:paraId="4196D2DC">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 争</w:t>
      </w:r>
      <w:bookmarkEnd w:id="597"/>
      <w:r>
        <w:rPr>
          <w:rFonts w:hint="eastAsia" w:ascii="宋体" w:hAnsi="宋体" w:cs="宋体"/>
          <w:bCs/>
          <w:sz w:val="24"/>
          <w:highlight w:val="none"/>
        </w:rPr>
        <w:t>议评审</w:t>
      </w:r>
    </w:p>
    <w:p w14:paraId="6FD610BA">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合同当事人是否同意将工程争议提交争议评审小组决定：</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19DA89E6">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20.3.1 争议评审小组的确定</w:t>
      </w:r>
    </w:p>
    <w:p w14:paraId="5E88B889">
      <w:pPr>
        <w:widowControl/>
        <w:spacing w:line="460" w:lineRule="exact"/>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争议评审小组成员的确定：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EB6C61E">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选定争议评审员的期限：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1BDC926">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争议评审小组成员的报酬承担方式：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6F3DB1A">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其他事项的约定：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5288381">
      <w:pPr>
        <w:widowControl/>
        <w:autoSpaceDE w:val="0"/>
        <w:autoSpaceDN w:val="0"/>
        <w:adjustRightInd w:val="0"/>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20.3.2 争议评审小组的决定</w:t>
      </w:r>
    </w:p>
    <w:p w14:paraId="55DA1730">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合同当事人关于本项的约定：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A104E27">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20.4仲裁或诉讼</w:t>
      </w:r>
      <w:bookmarkEnd w:id="598"/>
    </w:p>
    <w:p w14:paraId="46874A8A">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因合同及合同有关事项发生的争议，按下列第</w:t>
      </w:r>
      <w:r>
        <w:rPr>
          <w:rFonts w:hint="eastAsia" w:ascii="宋体" w:hAnsi="宋体" w:cs="宋体"/>
          <w:bCs/>
          <w:sz w:val="24"/>
          <w:highlight w:val="none"/>
          <w:u w:val="single"/>
        </w:rPr>
        <w:t xml:space="preserve">  2  </w:t>
      </w:r>
      <w:r>
        <w:rPr>
          <w:rFonts w:hint="eastAsia" w:ascii="宋体" w:hAnsi="宋体" w:cs="宋体"/>
          <w:bCs/>
          <w:sz w:val="24"/>
          <w:highlight w:val="none"/>
        </w:rPr>
        <w:t>种方式解决：</w:t>
      </w:r>
    </w:p>
    <w:p w14:paraId="413441BE">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（1）向</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仲裁委员会申请仲裁；</w:t>
      </w:r>
    </w:p>
    <w:p w14:paraId="0203BEAA">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（2）向</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商南县 </w:t>
      </w:r>
      <w:r>
        <w:rPr>
          <w:rFonts w:hint="eastAsia" w:ascii="宋体" w:hAnsi="宋体" w:cs="宋体"/>
          <w:bCs/>
          <w:sz w:val="24"/>
          <w:highlight w:val="none"/>
          <w:u w:val="single"/>
        </w:rPr>
        <w:t xml:space="preserve">      </w:t>
      </w:r>
      <w:r>
        <w:rPr>
          <w:rFonts w:hint="eastAsia" w:ascii="宋体" w:hAnsi="宋体" w:cs="宋体"/>
          <w:bCs/>
          <w:sz w:val="24"/>
          <w:highlight w:val="none"/>
        </w:rPr>
        <w:t>人民法院起诉。</w:t>
      </w:r>
      <w:bookmarkEnd w:id="599"/>
      <w:bookmarkEnd w:id="600"/>
      <w:bookmarkEnd w:id="601"/>
      <w:bookmarkEnd w:id="602"/>
      <w:bookmarkEnd w:id="603"/>
      <w:bookmarkEnd w:id="604"/>
    </w:p>
    <w:p w14:paraId="1766624C">
      <w:pPr>
        <w:widowControl/>
        <w:spacing w:line="460" w:lineRule="exact"/>
        <w:jc w:val="left"/>
        <w:rPr>
          <w:rFonts w:hint="eastAsia" w:ascii="宋体" w:hAnsi="宋体" w:cs="宋体"/>
          <w:bCs/>
          <w:sz w:val="24"/>
          <w:highlight w:val="none"/>
        </w:rPr>
      </w:pPr>
      <w:bookmarkStart w:id="611" w:name="_Toc351203652"/>
    </w:p>
    <w:p w14:paraId="72574BC9">
      <w:pPr>
        <w:widowControl/>
        <w:spacing w:line="460" w:lineRule="exact"/>
        <w:jc w:val="left"/>
        <w:rPr>
          <w:rFonts w:hint="eastAsia" w:ascii="宋体" w:hAnsi="宋体" w:cs="宋体"/>
          <w:bCs/>
          <w:sz w:val="24"/>
          <w:highlight w:val="none"/>
        </w:rPr>
      </w:pPr>
    </w:p>
    <w:bookmarkEnd w:id="611"/>
    <w:p w14:paraId="4015BAF0">
      <w:pPr>
        <w:rPr>
          <w:rFonts w:hint="eastAsia" w:ascii="宋体" w:hAnsi="宋体" w:cs="宋体"/>
          <w:sz w:val="24"/>
          <w:szCs w:val="24"/>
          <w:highlight w:val="none"/>
        </w:rPr>
      </w:pPr>
      <w:r>
        <w:rPr>
          <w:rFonts w:hint="eastAsia" w:ascii="宋体" w:hAnsi="宋体" w:cs="宋体"/>
          <w:sz w:val="24"/>
          <w:szCs w:val="24"/>
          <w:highlight w:val="none"/>
        </w:rPr>
        <w:br w:type="page"/>
      </w:r>
    </w:p>
    <w:p w14:paraId="2533DCE9">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w:t>
      </w:r>
    </w:p>
    <w:p w14:paraId="46EB6695">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附件1：发包人供应材料设备一览表</w:t>
      </w:r>
    </w:p>
    <w:p w14:paraId="1A8D623A">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附件2：工程质量保修书</w:t>
      </w:r>
    </w:p>
    <w:p w14:paraId="134825D4">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附件3：主要建设工程文件目录</w:t>
      </w:r>
    </w:p>
    <w:p w14:paraId="503AD8C5">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附件4：承包人用于本工程施工的机械设备表</w:t>
      </w:r>
    </w:p>
    <w:p w14:paraId="48A11303">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附件5：承包人主要施工管理人员表</w:t>
      </w:r>
    </w:p>
    <w:p w14:paraId="0114A6F3">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附件6：暂估价一览表</w:t>
      </w:r>
    </w:p>
    <w:p w14:paraId="3501BF7A">
      <w:pPr>
        <w:widowControl/>
        <w:spacing w:line="460" w:lineRule="exact"/>
        <w:jc w:val="left"/>
        <w:rPr>
          <w:rFonts w:ascii="宋体" w:hAnsi="宋体" w:cs="宋体"/>
          <w:bCs/>
          <w:sz w:val="24"/>
          <w:highlight w:val="none"/>
        </w:rPr>
      </w:pPr>
      <w:r>
        <w:rPr>
          <w:rFonts w:hint="eastAsia" w:ascii="宋体" w:hAnsi="宋体" w:cs="宋体"/>
          <w:bCs/>
          <w:sz w:val="24"/>
          <w:highlight w:val="none"/>
        </w:rPr>
        <w:t>（上述附件具体选用参见《建设工程施工合同》（示范文本）（GF-201</w:t>
      </w:r>
      <w:r>
        <w:rPr>
          <w:rFonts w:ascii="宋体" w:hAnsi="宋体" w:cs="宋体"/>
          <w:bCs/>
          <w:sz w:val="24"/>
          <w:highlight w:val="none"/>
        </w:rPr>
        <w:t>7</w:t>
      </w:r>
      <w:r>
        <w:rPr>
          <w:rFonts w:hint="eastAsia" w:ascii="宋体" w:hAnsi="宋体" w:cs="宋体"/>
          <w:bCs/>
          <w:sz w:val="24"/>
          <w:highlight w:val="none"/>
        </w:rPr>
        <w:t>-0201）中的格式）</w:t>
      </w:r>
    </w:p>
    <w:p w14:paraId="091EE0AF">
      <w:pPr>
        <w:adjustRightInd w:val="0"/>
        <w:snapToGrid w:val="0"/>
        <w:spacing w:before="60" w:after="60" w:line="360" w:lineRule="auto"/>
        <w:jc w:val="center"/>
        <w:rPr>
          <w:rFonts w:hAnsi="宋体" w:cs="宋体"/>
          <w:b/>
          <w:bCs/>
          <w:spacing w:val="100"/>
          <w:kern w:val="16"/>
          <w:sz w:val="52"/>
          <w:szCs w:val="52"/>
          <w:highlight w:val="none"/>
        </w:rPr>
      </w:pPr>
    </w:p>
    <w:p w14:paraId="06E9FAF4">
      <w:pPr>
        <w:tabs>
          <w:tab w:val="left" w:pos="1175"/>
          <w:tab w:val="left" w:pos="2975"/>
          <w:tab w:val="left" w:pos="3455"/>
          <w:tab w:val="left" w:pos="3935"/>
          <w:tab w:val="left" w:pos="3995"/>
          <w:tab w:val="left" w:pos="4415"/>
          <w:tab w:val="left" w:pos="7475"/>
          <w:tab w:val="left" w:pos="7715"/>
        </w:tabs>
        <w:spacing w:line="360" w:lineRule="auto"/>
        <w:jc w:val="left"/>
        <w:rPr>
          <w:rFonts w:hAnsi="宋体" w:cs="宋体"/>
          <w:kern w:val="2"/>
          <w:szCs w:val="24"/>
          <w:highlight w:val="none"/>
        </w:rPr>
        <w:sectPr>
          <w:footerReference r:id="rId8" w:type="default"/>
          <w:pgSz w:w="11911" w:h="16838"/>
          <w:pgMar w:top="1276" w:right="1134" w:bottom="1134" w:left="1134" w:header="771" w:footer="771" w:gutter="0"/>
          <w:pgNumType w:fmt="decimal"/>
          <w:cols w:space="720" w:num="1"/>
          <w:docGrid w:linePitch="1" w:charSpace="0"/>
        </w:sectPr>
      </w:pPr>
    </w:p>
    <w:p w14:paraId="74BE0558">
      <w:pPr>
        <w:pStyle w:val="2"/>
        <w:jc w:val="center"/>
        <w:rPr>
          <w:rFonts w:eastAsia="宋体"/>
          <w:bCs/>
          <w:highlight w:val="none"/>
        </w:rPr>
      </w:pPr>
      <w:bookmarkStart w:id="612" w:name="_Toc8685"/>
      <w:r>
        <w:rPr>
          <w:rFonts w:hint="eastAsia" w:ascii="宋体" w:eastAsia="宋体" w:cs="宋体"/>
          <w:kern w:val="0"/>
          <w:sz w:val="36"/>
          <w:szCs w:val="36"/>
          <w:highlight w:val="none"/>
        </w:rPr>
        <w:t xml:space="preserve">第五章 </w:t>
      </w:r>
      <w:bookmarkEnd w:id="45"/>
      <w:bookmarkEnd w:id="46"/>
      <w:bookmarkEnd w:id="47"/>
      <w:bookmarkEnd w:id="48"/>
      <w:bookmarkEnd w:id="49"/>
      <w:bookmarkEnd w:id="50"/>
      <w:bookmarkEnd w:id="51"/>
      <w:bookmarkEnd w:id="52"/>
      <w:bookmarkEnd w:id="53"/>
      <w:r>
        <w:rPr>
          <w:rFonts w:hint="eastAsia" w:ascii="宋体" w:eastAsia="宋体" w:cs="宋体"/>
          <w:kern w:val="0"/>
          <w:sz w:val="36"/>
          <w:szCs w:val="36"/>
          <w:highlight w:val="none"/>
        </w:rPr>
        <w:t xml:space="preserve"> 磋商内容及技术要求</w:t>
      </w:r>
      <w:bookmarkEnd w:id="612"/>
      <w:bookmarkStart w:id="613" w:name="_Toc4053"/>
      <w:bookmarkStart w:id="614" w:name="_Toc1025"/>
      <w:bookmarkStart w:id="615" w:name="_Toc2711"/>
      <w:bookmarkStart w:id="616" w:name="_Toc20481"/>
      <w:bookmarkStart w:id="617" w:name="_Toc23856"/>
      <w:bookmarkStart w:id="618" w:name="_Toc389582038"/>
      <w:bookmarkStart w:id="619" w:name="_Toc11450"/>
    </w:p>
    <w:bookmarkEnd w:id="42"/>
    <w:bookmarkEnd w:id="613"/>
    <w:bookmarkEnd w:id="614"/>
    <w:bookmarkEnd w:id="615"/>
    <w:bookmarkEnd w:id="616"/>
    <w:bookmarkEnd w:id="617"/>
    <w:bookmarkEnd w:id="618"/>
    <w:bookmarkEnd w:id="619"/>
    <w:p w14:paraId="66F03A96">
      <w:pPr>
        <w:rPr>
          <w:rFonts w:hint="eastAsia"/>
          <w:b w:val="0"/>
          <w:bCs w:val="0"/>
          <w:lang w:val="en-US" w:eastAsia="zh-CN"/>
        </w:rPr>
      </w:pPr>
      <w:bookmarkStart w:id="620" w:name="_Toc363474025"/>
      <w:bookmarkStart w:id="621" w:name="_Toc403077646"/>
      <w:bookmarkStart w:id="622" w:name="_Toc5084"/>
      <w:bookmarkStart w:id="623" w:name="_Toc423973079"/>
      <w:r>
        <w:drawing>
          <wp:inline distT="0" distB="0" distL="114300" distR="114300">
            <wp:extent cx="5855970" cy="8241665"/>
            <wp:effectExtent l="0" t="0" r="1143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855970" cy="8241665"/>
                    </a:xfrm>
                    <a:prstGeom prst="rect">
                      <a:avLst/>
                    </a:prstGeom>
                    <a:noFill/>
                    <a:ln>
                      <a:noFill/>
                    </a:ln>
                  </pic:spPr>
                </pic:pic>
              </a:graphicData>
            </a:graphic>
          </wp:inline>
        </w:drawing>
      </w:r>
      <w:r>
        <w:drawing>
          <wp:inline distT="0" distB="0" distL="114300" distR="114300">
            <wp:extent cx="5887085" cy="8314690"/>
            <wp:effectExtent l="0" t="0" r="18415" b="1016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5887085" cy="8314690"/>
                    </a:xfrm>
                    <a:prstGeom prst="rect">
                      <a:avLst/>
                    </a:prstGeom>
                    <a:noFill/>
                    <a:ln>
                      <a:noFill/>
                    </a:ln>
                  </pic:spPr>
                </pic:pic>
              </a:graphicData>
            </a:graphic>
          </wp:inline>
        </w:drawing>
      </w:r>
      <w:r>
        <w:drawing>
          <wp:inline distT="0" distB="0" distL="114300" distR="114300">
            <wp:extent cx="5915660" cy="8364855"/>
            <wp:effectExtent l="0" t="0" r="8890" b="1714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7"/>
                    <a:stretch>
                      <a:fillRect/>
                    </a:stretch>
                  </pic:blipFill>
                  <pic:spPr>
                    <a:xfrm>
                      <a:off x="0" y="0"/>
                      <a:ext cx="5915660" cy="8364855"/>
                    </a:xfrm>
                    <a:prstGeom prst="rect">
                      <a:avLst/>
                    </a:prstGeom>
                    <a:noFill/>
                    <a:ln>
                      <a:noFill/>
                    </a:ln>
                  </pic:spPr>
                </pic:pic>
              </a:graphicData>
            </a:graphic>
          </wp:inline>
        </w:drawing>
      </w:r>
      <w:r>
        <w:drawing>
          <wp:inline distT="0" distB="0" distL="114300" distR="114300">
            <wp:extent cx="5907405" cy="8358505"/>
            <wp:effectExtent l="0" t="0" r="17145" b="444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8"/>
                    <a:stretch>
                      <a:fillRect/>
                    </a:stretch>
                  </pic:blipFill>
                  <pic:spPr>
                    <a:xfrm>
                      <a:off x="0" y="0"/>
                      <a:ext cx="5907405" cy="8358505"/>
                    </a:xfrm>
                    <a:prstGeom prst="rect">
                      <a:avLst/>
                    </a:prstGeom>
                    <a:noFill/>
                    <a:ln>
                      <a:noFill/>
                    </a:ln>
                  </pic:spPr>
                </pic:pic>
              </a:graphicData>
            </a:graphic>
          </wp:inline>
        </w:drawing>
      </w:r>
      <w:r>
        <w:drawing>
          <wp:inline distT="0" distB="0" distL="114300" distR="114300">
            <wp:extent cx="6012815" cy="8495665"/>
            <wp:effectExtent l="0" t="0" r="6985" b="63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9"/>
                    <a:stretch>
                      <a:fillRect/>
                    </a:stretch>
                  </pic:blipFill>
                  <pic:spPr>
                    <a:xfrm>
                      <a:off x="0" y="0"/>
                      <a:ext cx="6012815" cy="8495665"/>
                    </a:xfrm>
                    <a:prstGeom prst="rect">
                      <a:avLst/>
                    </a:prstGeom>
                    <a:noFill/>
                    <a:ln>
                      <a:noFill/>
                    </a:ln>
                  </pic:spPr>
                </pic:pic>
              </a:graphicData>
            </a:graphic>
          </wp:inline>
        </w:drawing>
      </w:r>
      <w:r>
        <w:drawing>
          <wp:inline distT="0" distB="0" distL="114300" distR="114300">
            <wp:extent cx="6049645" cy="8548370"/>
            <wp:effectExtent l="0" t="0" r="8255" b="508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20"/>
                    <a:stretch>
                      <a:fillRect/>
                    </a:stretch>
                  </pic:blipFill>
                  <pic:spPr>
                    <a:xfrm>
                      <a:off x="0" y="0"/>
                      <a:ext cx="6049645" cy="8548370"/>
                    </a:xfrm>
                    <a:prstGeom prst="rect">
                      <a:avLst/>
                    </a:prstGeom>
                    <a:noFill/>
                    <a:ln>
                      <a:noFill/>
                    </a:ln>
                  </pic:spPr>
                </pic:pic>
              </a:graphicData>
            </a:graphic>
          </wp:inline>
        </w:drawing>
      </w:r>
      <w:r>
        <w:drawing>
          <wp:inline distT="0" distB="0" distL="114300" distR="114300">
            <wp:extent cx="6028690" cy="8514080"/>
            <wp:effectExtent l="0" t="0" r="10160" b="127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21"/>
                    <a:stretch>
                      <a:fillRect/>
                    </a:stretch>
                  </pic:blipFill>
                  <pic:spPr>
                    <a:xfrm>
                      <a:off x="0" y="0"/>
                      <a:ext cx="6028690" cy="8514080"/>
                    </a:xfrm>
                    <a:prstGeom prst="rect">
                      <a:avLst/>
                    </a:prstGeom>
                    <a:noFill/>
                    <a:ln>
                      <a:noFill/>
                    </a:ln>
                  </pic:spPr>
                </pic:pic>
              </a:graphicData>
            </a:graphic>
          </wp:inline>
        </w:drawing>
      </w:r>
      <w:r>
        <w:drawing>
          <wp:inline distT="0" distB="0" distL="114300" distR="114300">
            <wp:extent cx="6001385" cy="8479155"/>
            <wp:effectExtent l="0" t="0" r="18415" b="1714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22"/>
                    <a:stretch>
                      <a:fillRect/>
                    </a:stretch>
                  </pic:blipFill>
                  <pic:spPr>
                    <a:xfrm>
                      <a:off x="0" y="0"/>
                      <a:ext cx="6001385" cy="8479155"/>
                    </a:xfrm>
                    <a:prstGeom prst="rect">
                      <a:avLst/>
                    </a:prstGeom>
                    <a:noFill/>
                    <a:ln>
                      <a:noFill/>
                    </a:ln>
                  </pic:spPr>
                </pic:pic>
              </a:graphicData>
            </a:graphic>
          </wp:inline>
        </w:drawing>
      </w:r>
      <w:r>
        <w:drawing>
          <wp:inline distT="0" distB="0" distL="114300" distR="114300">
            <wp:extent cx="5997575" cy="8427085"/>
            <wp:effectExtent l="0" t="0" r="3175" b="1206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23"/>
                    <a:stretch>
                      <a:fillRect/>
                    </a:stretch>
                  </pic:blipFill>
                  <pic:spPr>
                    <a:xfrm>
                      <a:off x="0" y="0"/>
                      <a:ext cx="5997575" cy="8427085"/>
                    </a:xfrm>
                    <a:prstGeom prst="rect">
                      <a:avLst/>
                    </a:prstGeom>
                    <a:noFill/>
                    <a:ln>
                      <a:noFill/>
                    </a:ln>
                  </pic:spPr>
                </pic:pic>
              </a:graphicData>
            </a:graphic>
          </wp:inline>
        </w:drawing>
      </w:r>
      <w:bookmarkStart w:id="646" w:name="_GoBack"/>
      <w:bookmarkEnd w:id="646"/>
    </w:p>
    <w:p w14:paraId="51F509BF">
      <w:pPr>
        <w:pStyle w:val="2"/>
        <w:jc w:val="center"/>
        <w:rPr>
          <w:rFonts w:hint="eastAsia" w:ascii="宋体" w:eastAsia="宋体" w:cs="宋体"/>
          <w:kern w:val="0"/>
          <w:sz w:val="36"/>
          <w:szCs w:val="36"/>
          <w:highlight w:val="none"/>
        </w:rPr>
      </w:pPr>
      <w:bookmarkStart w:id="624" w:name="_Toc25633"/>
      <w:r>
        <w:rPr>
          <w:rFonts w:hint="eastAsia" w:ascii="宋体" w:eastAsia="宋体" w:cs="宋体"/>
          <w:kern w:val="0"/>
          <w:sz w:val="36"/>
          <w:szCs w:val="36"/>
          <w:highlight w:val="none"/>
          <w:lang w:val="en-US" w:eastAsia="zh-CN"/>
        </w:rPr>
        <w:t>第六章  竞争性磋商响应文件格式</w:t>
      </w:r>
      <w:bookmarkEnd w:id="620"/>
      <w:bookmarkEnd w:id="621"/>
      <w:bookmarkEnd w:id="622"/>
      <w:bookmarkEnd w:id="623"/>
      <w:bookmarkEnd w:id="624"/>
    </w:p>
    <w:p w14:paraId="340E1B71">
      <w:pPr>
        <w:rPr>
          <w:rFonts w:hAnsi="宋体" w:cs="宋体"/>
          <w:highlight w:val="none"/>
        </w:rPr>
      </w:pPr>
    </w:p>
    <w:p w14:paraId="77EBEA57">
      <w:pPr>
        <w:rPr>
          <w:rFonts w:hAnsi="宋体" w:cs="宋体"/>
          <w:highlight w:val="none"/>
        </w:rPr>
      </w:pPr>
    </w:p>
    <w:p w14:paraId="5F301654">
      <w:pPr>
        <w:framePr w:w="5311" w:hSpace="180" w:wrap="around" w:vAnchor="text" w:hAnchor="page" w:x="1473" w:y="19"/>
        <w:rPr>
          <w:rFonts w:hint="eastAsia" w:hAnsi="宋体" w:eastAsia="宋体" w:cs="宋体"/>
          <w:b/>
          <w:bCs/>
          <w:sz w:val="32"/>
          <w:szCs w:val="32"/>
          <w:highlight w:val="none"/>
          <w:lang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SXZCZBSL2024-ZCCS-1112</w:t>
      </w:r>
    </w:p>
    <w:p w14:paraId="1B9EE168">
      <w:pPr>
        <w:jc w:val="right"/>
        <w:rPr>
          <w:rFonts w:hAnsi="宋体" w:cs="宋体"/>
          <w:b/>
          <w:sz w:val="32"/>
          <w:szCs w:val="32"/>
          <w:highlight w:val="none"/>
        </w:rPr>
      </w:pPr>
      <w:r>
        <w:rPr>
          <w:rFonts w:hint="eastAsia" w:hAnsi="宋体" w:cs="宋体"/>
          <w:b/>
          <w:sz w:val="32"/>
          <w:szCs w:val="32"/>
          <w:highlight w:val="none"/>
        </w:rPr>
        <w:t>（正本或副本）</w:t>
      </w:r>
    </w:p>
    <w:p w14:paraId="3F75BE27">
      <w:pPr>
        <w:jc w:val="right"/>
        <w:rPr>
          <w:rFonts w:hAnsi="宋体" w:cs="宋体"/>
          <w:b/>
          <w:sz w:val="32"/>
          <w:szCs w:val="32"/>
          <w:highlight w:val="none"/>
        </w:rPr>
      </w:pPr>
    </w:p>
    <w:p w14:paraId="69839A66">
      <w:pPr>
        <w:jc w:val="center"/>
        <w:rPr>
          <w:rFonts w:hAnsi="宋体" w:cs="宋体"/>
          <w:b/>
          <w:sz w:val="72"/>
          <w:szCs w:val="72"/>
          <w:highlight w:val="none"/>
        </w:rPr>
      </w:pPr>
    </w:p>
    <w:p w14:paraId="50347E1C">
      <w:pPr>
        <w:jc w:val="center"/>
        <w:rPr>
          <w:rFonts w:hAnsi="宋体" w:cs="宋体"/>
          <w:b/>
          <w:sz w:val="72"/>
          <w:szCs w:val="72"/>
          <w:highlight w:val="none"/>
        </w:rPr>
      </w:pPr>
    </w:p>
    <w:p w14:paraId="10D5FA02">
      <w:pPr>
        <w:pStyle w:val="6"/>
        <w:jc w:val="center"/>
        <w:rPr>
          <w:rFonts w:hint="eastAsia" w:hAnsi="宋体" w:cs="宋体"/>
          <w:b/>
          <w:sz w:val="56"/>
          <w:szCs w:val="56"/>
          <w:highlight w:val="none"/>
          <w:lang w:eastAsia="zh-CN"/>
        </w:rPr>
      </w:pPr>
      <w:r>
        <w:rPr>
          <w:rFonts w:hint="eastAsia" w:hAnsi="宋体" w:cs="宋体"/>
          <w:b/>
          <w:sz w:val="56"/>
          <w:szCs w:val="56"/>
          <w:highlight w:val="none"/>
          <w:lang w:eastAsia="zh-CN"/>
        </w:rPr>
        <w:t>富水镇敬老院设施改造与设备配置</w:t>
      </w:r>
    </w:p>
    <w:p w14:paraId="1E026B6F">
      <w:pPr>
        <w:pStyle w:val="6"/>
        <w:jc w:val="center"/>
        <w:rPr>
          <w:highlight w:val="none"/>
        </w:rPr>
      </w:pPr>
      <w:r>
        <w:rPr>
          <w:rFonts w:hint="eastAsia" w:hAnsi="宋体" w:cs="宋体"/>
          <w:b/>
          <w:sz w:val="56"/>
          <w:szCs w:val="56"/>
          <w:highlight w:val="none"/>
          <w:lang w:eastAsia="zh-CN"/>
        </w:rPr>
        <w:t>项目</w:t>
      </w:r>
    </w:p>
    <w:p w14:paraId="0E85E4CF">
      <w:pPr>
        <w:rPr>
          <w:highlight w:val="none"/>
        </w:rPr>
      </w:pPr>
    </w:p>
    <w:p w14:paraId="50901B14">
      <w:pPr>
        <w:jc w:val="center"/>
        <w:rPr>
          <w:rFonts w:hAnsi="宋体" w:cs="宋体"/>
          <w:b/>
          <w:sz w:val="62"/>
          <w:szCs w:val="72"/>
          <w:highlight w:val="none"/>
        </w:rPr>
      </w:pPr>
    </w:p>
    <w:p w14:paraId="44E14C15">
      <w:pPr>
        <w:jc w:val="center"/>
        <w:rPr>
          <w:rFonts w:hAnsi="宋体" w:cs="宋体"/>
          <w:b/>
          <w:sz w:val="62"/>
          <w:szCs w:val="72"/>
          <w:highlight w:val="none"/>
        </w:rPr>
      </w:pPr>
    </w:p>
    <w:p w14:paraId="5AEB20EE">
      <w:pPr>
        <w:jc w:val="center"/>
        <w:rPr>
          <w:rFonts w:hAnsi="宋体" w:cs="宋体"/>
          <w:b/>
          <w:sz w:val="56"/>
          <w:szCs w:val="56"/>
          <w:highlight w:val="none"/>
        </w:rPr>
      </w:pPr>
      <w:r>
        <w:rPr>
          <w:rFonts w:hint="eastAsia" w:hAnsi="宋体" w:cs="宋体"/>
          <w:b/>
          <w:sz w:val="56"/>
          <w:szCs w:val="56"/>
          <w:highlight w:val="none"/>
        </w:rPr>
        <w:t>竞争性磋商响应文件</w:t>
      </w:r>
    </w:p>
    <w:p w14:paraId="3BFA9776">
      <w:pPr>
        <w:jc w:val="center"/>
        <w:rPr>
          <w:rFonts w:hAnsi="宋体" w:cs="宋体"/>
          <w:b/>
          <w:sz w:val="36"/>
          <w:szCs w:val="36"/>
          <w:highlight w:val="none"/>
        </w:rPr>
      </w:pPr>
    </w:p>
    <w:p w14:paraId="23C63739">
      <w:pPr>
        <w:rPr>
          <w:rFonts w:hAnsi="宋体" w:cs="宋体"/>
          <w:b/>
          <w:sz w:val="36"/>
          <w:szCs w:val="36"/>
          <w:highlight w:val="none"/>
        </w:rPr>
      </w:pPr>
    </w:p>
    <w:p w14:paraId="5EB6F3ED">
      <w:pPr>
        <w:rPr>
          <w:rFonts w:hAnsi="宋体" w:cs="宋体"/>
          <w:b/>
          <w:sz w:val="36"/>
          <w:szCs w:val="36"/>
          <w:highlight w:val="none"/>
        </w:rPr>
      </w:pPr>
    </w:p>
    <w:p w14:paraId="213CEE21">
      <w:pPr>
        <w:tabs>
          <w:tab w:val="center" w:pos="5346"/>
        </w:tabs>
        <w:spacing w:line="480" w:lineRule="auto"/>
        <w:jc w:val="center"/>
        <w:rPr>
          <w:rFonts w:hAnsi="宋体" w:cs="宋体"/>
          <w:b/>
          <w:sz w:val="32"/>
          <w:szCs w:val="32"/>
          <w:highlight w:val="none"/>
        </w:rPr>
      </w:pPr>
      <w:r>
        <w:rPr>
          <w:rFonts w:hint="eastAsia" w:hAnsi="宋体" w:cs="宋体"/>
          <w:b/>
          <w:sz w:val="32"/>
          <w:szCs w:val="32"/>
          <w:highlight w:val="none"/>
        </w:rPr>
        <w:t>供应商名称（公章）</w:t>
      </w:r>
    </w:p>
    <w:p w14:paraId="7C5A57FE">
      <w:pPr>
        <w:jc w:val="center"/>
        <w:rPr>
          <w:rFonts w:hAnsi="宋体" w:cs="宋体"/>
          <w:b/>
          <w:sz w:val="44"/>
          <w:highlight w:val="none"/>
        </w:rPr>
      </w:pPr>
      <w:r>
        <w:rPr>
          <w:rFonts w:hint="eastAsia" w:hAnsi="宋体" w:cs="宋体"/>
          <w:b/>
          <w:sz w:val="32"/>
          <w:szCs w:val="32"/>
          <w:highlight w:val="none"/>
        </w:rPr>
        <w:t xml:space="preserve"> 年   月</w:t>
      </w:r>
      <w:r>
        <w:rPr>
          <w:rFonts w:hint="eastAsia" w:hAnsi="宋体" w:cs="宋体"/>
          <w:b/>
          <w:sz w:val="36"/>
          <w:szCs w:val="36"/>
          <w:highlight w:val="none"/>
        </w:rPr>
        <w:br w:type="page"/>
      </w:r>
      <w:bookmarkStart w:id="625" w:name="_Toc344572156"/>
    </w:p>
    <w:p w14:paraId="45DA36BF">
      <w:pPr>
        <w:jc w:val="center"/>
        <w:rPr>
          <w:rFonts w:hAnsi="宋体" w:cs="宋体"/>
          <w:b/>
          <w:sz w:val="44"/>
          <w:highlight w:val="none"/>
        </w:rPr>
      </w:pPr>
      <w:r>
        <w:rPr>
          <w:rFonts w:hint="eastAsia" w:hAnsi="宋体" w:cs="宋体"/>
          <w:b/>
          <w:sz w:val="44"/>
          <w:highlight w:val="none"/>
        </w:rPr>
        <w:t>目  录</w:t>
      </w:r>
    </w:p>
    <w:p w14:paraId="2F15CD40">
      <w:pPr>
        <w:pStyle w:val="6"/>
        <w:rPr>
          <w:rFonts w:ascii="宋体" w:hAnsi="宋体" w:cs="宋体"/>
          <w:highlight w:val="none"/>
        </w:rPr>
      </w:pPr>
    </w:p>
    <w:p w14:paraId="1AFDDEE4">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一、磋商响应函</w:t>
      </w:r>
    </w:p>
    <w:p w14:paraId="73D25760">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二、磋商报价表</w:t>
      </w:r>
    </w:p>
    <w:p w14:paraId="0CA072EA">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三、磋商方案说明书</w:t>
      </w:r>
    </w:p>
    <w:p w14:paraId="03E1EDB2">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四、商务条款偏离表</w:t>
      </w:r>
    </w:p>
    <w:p w14:paraId="32801A68">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五、陕西省政府采购供应商拒绝政府采购领域商业贿赂承诺书</w:t>
      </w:r>
    </w:p>
    <w:p w14:paraId="4292553C">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六、特定资格证明文件</w:t>
      </w:r>
    </w:p>
    <w:p w14:paraId="301159D8">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七、其他</w:t>
      </w:r>
    </w:p>
    <w:p w14:paraId="19A17BEF">
      <w:pPr>
        <w:pStyle w:val="5"/>
        <w:spacing w:line="360" w:lineRule="auto"/>
        <w:rPr>
          <w:rFonts w:ascii="宋体" w:hAnsi="宋体" w:cs="宋体"/>
          <w:highlight w:val="none"/>
        </w:rPr>
      </w:pPr>
    </w:p>
    <w:p w14:paraId="3186ACAC">
      <w:pPr>
        <w:pStyle w:val="5"/>
        <w:spacing w:line="360" w:lineRule="auto"/>
        <w:rPr>
          <w:rFonts w:ascii="宋体" w:hAnsi="宋体" w:cs="宋体"/>
          <w:highlight w:val="none"/>
        </w:rPr>
      </w:pPr>
    </w:p>
    <w:p w14:paraId="5FCAD067">
      <w:pPr>
        <w:keepNext/>
        <w:keepLines/>
        <w:widowControl/>
        <w:tabs>
          <w:tab w:val="left" w:pos="3705"/>
        </w:tabs>
        <w:spacing w:line="360" w:lineRule="auto"/>
        <w:ind w:left="3708"/>
        <w:rPr>
          <w:rFonts w:hAnsi="宋体" w:cs="宋体"/>
          <w:bCs/>
          <w:sz w:val="44"/>
          <w:highlight w:val="none"/>
        </w:rPr>
      </w:pPr>
    </w:p>
    <w:p w14:paraId="0F24870B">
      <w:pPr>
        <w:pStyle w:val="5"/>
        <w:ind w:firstLine="880"/>
        <w:rPr>
          <w:rFonts w:ascii="宋体" w:hAnsi="宋体" w:cs="宋体"/>
          <w:bCs/>
          <w:sz w:val="44"/>
          <w:highlight w:val="none"/>
        </w:rPr>
      </w:pPr>
    </w:p>
    <w:p w14:paraId="12F9610F">
      <w:pPr>
        <w:pStyle w:val="5"/>
        <w:ind w:firstLine="880"/>
        <w:rPr>
          <w:rFonts w:ascii="宋体" w:hAnsi="宋体" w:cs="宋体"/>
          <w:bCs/>
          <w:sz w:val="44"/>
          <w:highlight w:val="none"/>
        </w:rPr>
      </w:pPr>
    </w:p>
    <w:bookmarkEnd w:id="625"/>
    <w:p w14:paraId="10ADA881">
      <w:pPr>
        <w:pStyle w:val="6"/>
        <w:rPr>
          <w:rFonts w:ascii="宋体" w:hAnsi="宋体" w:cs="宋体"/>
          <w:b/>
          <w:sz w:val="32"/>
          <w:szCs w:val="32"/>
          <w:highlight w:val="none"/>
        </w:rPr>
      </w:pPr>
      <w:bookmarkStart w:id="626" w:name="_Toc363474027"/>
      <w:bookmarkStart w:id="627" w:name="_Toc403077648"/>
      <w:bookmarkStart w:id="628" w:name="_Toc204524343"/>
    </w:p>
    <w:p w14:paraId="40F615D0">
      <w:pPr>
        <w:pStyle w:val="6"/>
        <w:rPr>
          <w:rFonts w:ascii="宋体" w:hAnsi="宋体" w:cs="宋体"/>
          <w:b/>
          <w:sz w:val="32"/>
          <w:szCs w:val="32"/>
          <w:highlight w:val="none"/>
        </w:rPr>
      </w:pPr>
    </w:p>
    <w:p w14:paraId="733286F8">
      <w:pPr>
        <w:pStyle w:val="6"/>
        <w:rPr>
          <w:rFonts w:ascii="宋体" w:hAnsi="宋体" w:cs="宋体"/>
          <w:b/>
          <w:sz w:val="32"/>
          <w:szCs w:val="32"/>
          <w:highlight w:val="none"/>
        </w:rPr>
      </w:pPr>
    </w:p>
    <w:p w14:paraId="7AB7D923">
      <w:pPr>
        <w:spacing w:line="520" w:lineRule="exact"/>
        <w:jc w:val="center"/>
        <w:outlineLvl w:val="2"/>
        <w:rPr>
          <w:rFonts w:hAnsi="宋体" w:cs="宋体"/>
          <w:b/>
          <w:sz w:val="32"/>
          <w:szCs w:val="32"/>
          <w:highlight w:val="none"/>
        </w:rPr>
      </w:pPr>
      <w:r>
        <w:rPr>
          <w:rFonts w:hint="eastAsia" w:hAnsi="宋体" w:cs="宋体"/>
          <w:b/>
          <w:sz w:val="32"/>
          <w:szCs w:val="32"/>
          <w:highlight w:val="none"/>
        </w:rPr>
        <w:br w:type="page"/>
      </w:r>
      <w:r>
        <w:rPr>
          <w:rFonts w:hint="eastAsia" w:hAnsi="宋体" w:cs="宋体"/>
          <w:b/>
          <w:sz w:val="32"/>
          <w:szCs w:val="32"/>
          <w:highlight w:val="none"/>
        </w:rPr>
        <w:t>一、磋商</w:t>
      </w:r>
      <w:bookmarkEnd w:id="626"/>
      <w:bookmarkEnd w:id="627"/>
      <w:r>
        <w:rPr>
          <w:rFonts w:hint="eastAsia" w:hAnsi="宋体" w:cs="宋体"/>
          <w:b/>
          <w:sz w:val="32"/>
          <w:szCs w:val="32"/>
          <w:highlight w:val="none"/>
        </w:rPr>
        <w:t>响应函</w:t>
      </w:r>
    </w:p>
    <w:p w14:paraId="544D2C16">
      <w:pPr>
        <w:spacing w:line="360" w:lineRule="auto"/>
        <w:jc w:val="left"/>
        <w:rPr>
          <w:rFonts w:hint="eastAsia" w:hAnsi="宋体" w:eastAsia="宋体" w:cs="宋体"/>
          <w:spacing w:val="4"/>
          <w:szCs w:val="24"/>
          <w:highlight w:val="none"/>
          <w:lang w:eastAsia="zh-CN"/>
        </w:rPr>
      </w:pPr>
      <w:r>
        <w:rPr>
          <w:rFonts w:hint="eastAsia" w:hAnsi="宋体" w:cs="宋体"/>
          <w:spacing w:val="4"/>
          <w:szCs w:val="24"/>
          <w:highlight w:val="none"/>
        </w:rPr>
        <w:t>致：</w:t>
      </w:r>
      <w:r>
        <w:rPr>
          <w:rFonts w:hint="eastAsia" w:hAnsi="宋体" w:cs="宋体"/>
          <w:spacing w:val="4"/>
          <w:szCs w:val="24"/>
          <w:highlight w:val="none"/>
          <w:u w:val="single"/>
          <w:lang w:eastAsia="zh-CN"/>
        </w:rPr>
        <w:t>陕西至诚项目管理集团有限公司</w:t>
      </w:r>
    </w:p>
    <w:p w14:paraId="29189FAA">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提交竞争性磋商响应文件正本壹份、副本一式</w:t>
      </w:r>
      <w:r>
        <w:rPr>
          <w:rFonts w:hint="eastAsia" w:hAnsi="宋体" w:cs="宋体"/>
          <w:spacing w:val="4"/>
          <w:szCs w:val="24"/>
          <w:highlight w:val="none"/>
          <w:u w:val="single"/>
        </w:rPr>
        <w:t xml:space="preserve">  </w:t>
      </w:r>
      <w:r>
        <w:rPr>
          <w:rFonts w:hint="eastAsia" w:hAnsi="宋体" w:cs="宋体"/>
          <w:spacing w:val="4"/>
          <w:szCs w:val="24"/>
          <w:highlight w:val="none"/>
        </w:rPr>
        <w:t>份、报价一览表</w:t>
      </w:r>
      <w:r>
        <w:rPr>
          <w:rFonts w:hint="eastAsia" w:hAnsi="宋体" w:cs="宋体"/>
          <w:spacing w:val="4"/>
          <w:szCs w:val="24"/>
          <w:highlight w:val="none"/>
          <w:u w:val="single"/>
        </w:rPr>
        <w:t xml:space="preserve">   </w:t>
      </w:r>
      <w:r>
        <w:rPr>
          <w:rFonts w:hint="eastAsia" w:hAnsi="宋体" w:cs="宋体"/>
          <w:spacing w:val="4"/>
          <w:szCs w:val="24"/>
          <w:highlight w:val="none"/>
        </w:rPr>
        <w:t>份、电子版</w:t>
      </w:r>
      <w:r>
        <w:rPr>
          <w:rFonts w:hint="eastAsia" w:hAnsi="宋体" w:cs="宋体"/>
          <w:spacing w:val="4"/>
          <w:szCs w:val="24"/>
          <w:highlight w:val="none"/>
          <w:u w:val="single"/>
        </w:rPr>
        <w:t xml:space="preserve">    </w:t>
      </w:r>
      <w:r>
        <w:rPr>
          <w:rFonts w:hint="eastAsia" w:hAnsi="宋体" w:cs="宋体"/>
          <w:spacing w:val="4"/>
          <w:szCs w:val="24"/>
          <w:highlight w:val="none"/>
        </w:rPr>
        <w:t>份。</w:t>
      </w:r>
    </w:p>
    <w:p w14:paraId="37CE8580">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14:paraId="11539761">
      <w:pPr>
        <w:numPr>
          <w:ilvl w:val="0"/>
          <w:numId w:val="6"/>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磋商报价</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24291C9F">
      <w:pPr>
        <w:numPr>
          <w:ilvl w:val="0"/>
          <w:numId w:val="6"/>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14:paraId="3C0D6225">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14:paraId="36442349">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自磋商之日起   天</w:t>
      </w:r>
      <w:r>
        <w:rPr>
          <w:rFonts w:hint="eastAsia" w:hAnsi="宋体" w:cs="宋体"/>
          <w:spacing w:val="4"/>
          <w:szCs w:val="24"/>
          <w:highlight w:val="none"/>
        </w:rPr>
        <w:t>），本磋商响应函对我方具有约束力。</w:t>
      </w:r>
    </w:p>
    <w:p w14:paraId="4A72E7D6">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5</w:t>
      </w:r>
      <w:r>
        <w:rPr>
          <w:rFonts w:hint="eastAsia" w:hAnsi="宋体" w:cs="宋体"/>
          <w:spacing w:val="4"/>
          <w:szCs w:val="24"/>
          <w:highlight w:val="none"/>
        </w:rPr>
        <w:t xml:space="preserve">）同意提供贵方可能另外要求的与本磋商有关的任何证据和资料。 </w:t>
      </w:r>
    </w:p>
    <w:p w14:paraId="018E4B46">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6</w:t>
      </w:r>
      <w:r>
        <w:rPr>
          <w:rFonts w:hint="eastAsia" w:hAnsi="宋体" w:cs="宋体"/>
          <w:spacing w:val="4"/>
          <w:szCs w:val="24"/>
          <w:highlight w:val="none"/>
        </w:rPr>
        <w:t>）我们同意，如果成交，向</w:t>
      </w:r>
      <w:r>
        <w:rPr>
          <w:rFonts w:hint="eastAsia" w:hAnsi="宋体" w:cs="宋体"/>
          <w:spacing w:val="4"/>
          <w:szCs w:val="24"/>
          <w:highlight w:val="none"/>
          <w:lang w:eastAsia="zh-CN"/>
        </w:rPr>
        <w:t>陕西至诚项目管理集团有限公司</w:t>
      </w:r>
      <w:r>
        <w:rPr>
          <w:rFonts w:hint="eastAsia" w:hAnsi="宋体" w:cs="宋体"/>
          <w:spacing w:val="4"/>
          <w:szCs w:val="24"/>
          <w:highlight w:val="none"/>
        </w:rPr>
        <w:t>交纳招标代理服务费。</w:t>
      </w:r>
    </w:p>
    <w:p w14:paraId="08B4AD23">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7</w:t>
      </w:r>
      <w:r>
        <w:rPr>
          <w:rFonts w:hint="eastAsia" w:hAnsi="宋体" w:cs="宋体"/>
          <w:spacing w:val="4"/>
          <w:szCs w:val="24"/>
          <w:highlight w:val="none"/>
        </w:rPr>
        <w:t>）与本磋商有关的一切正式往来通讯为：</w:t>
      </w:r>
    </w:p>
    <w:p w14:paraId="0D9918FB">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14:paraId="27AD384E">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14:paraId="6AE555A8">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14:paraId="7C734959">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14:paraId="0CCC460B">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14:paraId="78365842">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供应商法定代表人</w:t>
      </w:r>
      <w:r>
        <w:rPr>
          <w:rFonts w:hint="eastAsia" w:hAnsi="宋体" w:cs="宋体"/>
          <w:spacing w:val="4"/>
          <w:highlight w:val="none"/>
        </w:rPr>
        <w:t>/被授权人</w:t>
      </w:r>
      <w:r>
        <w:rPr>
          <w:rFonts w:hint="eastAsia" w:hAnsi="宋体" w:cs="宋体"/>
          <w:spacing w:val="4"/>
          <w:szCs w:val="24"/>
          <w:highlight w:val="none"/>
        </w:rPr>
        <w:t>签字</w:t>
      </w:r>
      <w:r>
        <w:rPr>
          <w:rFonts w:hint="eastAsia" w:hAnsi="宋体" w:cs="宋体"/>
          <w:spacing w:val="4"/>
          <w:highlight w:val="none"/>
        </w:rPr>
        <w:t>或盖章</w:t>
      </w:r>
      <w:r>
        <w:rPr>
          <w:rFonts w:hint="eastAsia" w:hAnsi="宋体" w:cs="宋体"/>
          <w:szCs w:val="24"/>
          <w:highlight w:val="none"/>
        </w:rPr>
        <w:t>：</w:t>
      </w:r>
    </w:p>
    <w:p w14:paraId="7B4D70F6">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14:paraId="0F43E679">
      <w:pPr>
        <w:pStyle w:val="4"/>
        <w:spacing w:before="312" w:beforeLines="100" w:line="360" w:lineRule="auto"/>
        <w:rPr>
          <w:rFonts w:ascii="宋体" w:hAnsi="宋体" w:cs="宋体"/>
          <w:sz w:val="32"/>
          <w:szCs w:val="32"/>
          <w:highlight w:val="none"/>
        </w:rPr>
      </w:pPr>
      <w:r>
        <w:rPr>
          <w:rFonts w:hint="eastAsia" w:ascii="宋体" w:hAnsi="宋体" w:cs="宋体"/>
          <w:highlight w:val="none"/>
        </w:rPr>
        <w:br w:type="page"/>
      </w:r>
      <w:bookmarkStart w:id="629" w:name="_Toc403077651"/>
      <w:bookmarkStart w:id="630" w:name="_Toc363474030"/>
      <w:r>
        <w:rPr>
          <w:rFonts w:hint="eastAsia" w:ascii="宋体" w:hAnsi="宋体" w:cs="宋体"/>
          <w:sz w:val="32"/>
          <w:szCs w:val="32"/>
          <w:highlight w:val="none"/>
        </w:rPr>
        <w:t>二、磋商报价表</w:t>
      </w:r>
      <w:bookmarkEnd w:id="629"/>
      <w:bookmarkEnd w:id="630"/>
    </w:p>
    <w:p w14:paraId="464EE39B">
      <w:pPr>
        <w:spacing w:line="360" w:lineRule="auto"/>
        <w:jc w:val="center"/>
        <w:rPr>
          <w:rFonts w:hAnsi="宋体" w:cs="宋体"/>
          <w:szCs w:val="24"/>
          <w:highlight w:val="none"/>
        </w:rPr>
      </w:pPr>
      <w:r>
        <w:rPr>
          <w:rFonts w:hint="eastAsia" w:hAnsi="宋体" w:cs="宋体"/>
          <w:szCs w:val="24"/>
          <w:highlight w:val="none"/>
        </w:rPr>
        <w:t>2.1报价一览表</w:t>
      </w:r>
    </w:p>
    <w:p w14:paraId="30EF5E13">
      <w:pPr>
        <w:spacing w:line="360" w:lineRule="auto"/>
        <w:jc w:val="center"/>
        <w:rPr>
          <w:rFonts w:hAnsi="宋体" w:cs="宋体"/>
          <w:szCs w:val="24"/>
          <w:highlight w:val="none"/>
        </w:rPr>
      </w:pPr>
    </w:p>
    <w:p w14:paraId="51D49393">
      <w:pPr>
        <w:jc w:val="left"/>
        <w:rPr>
          <w:rFonts w:hAnsi="宋体" w:cs="宋体"/>
          <w:highlight w:val="none"/>
        </w:rPr>
      </w:pPr>
      <w:r>
        <w:rPr>
          <w:rFonts w:hint="eastAsia" w:hAnsi="宋体" w:cs="宋体"/>
          <w:highlight w:val="none"/>
        </w:rPr>
        <w:t xml:space="preserve">项目名称：                                                 </w:t>
      </w:r>
    </w:p>
    <w:p w14:paraId="38CE237E">
      <w:pPr>
        <w:jc w:val="left"/>
        <w:rPr>
          <w:rFonts w:hAnsi="宋体" w:cs="宋体"/>
          <w:highlight w:val="none"/>
        </w:rPr>
      </w:pPr>
      <w:r>
        <w:rPr>
          <w:rFonts w:hint="eastAsia" w:hAnsi="宋体" w:cs="宋体"/>
          <w:highlight w:val="none"/>
        </w:rPr>
        <w:t xml:space="preserve">项目编号：                                               </w:t>
      </w:r>
    </w:p>
    <w:tbl>
      <w:tblPr>
        <w:tblStyle w:val="16"/>
        <w:tblpPr w:leftFromText="180" w:rightFromText="180" w:vertAnchor="page" w:horzAnchor="margin" w:tblpXSpec="center" w:tblpY="478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9"/>
        <w:gridCol w:w="6688"/>
        <w:gridCol w:w="6"/>
      </w:tblGrid>
      <w:tr w14:paraId="1039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680" w:hRule="atLeast"/>
        </w:trPr>
        <w:tc>
          <w:tcPr>
            <w:tcW w:w="1500" w:type="pct"/>
            <w:vMerge w:val="restart"/>
            <w:vAlign w:val="center"/>
          </w:tcPr>
          <w:p w14:paraId="2D239EFF">
            <w:pPr>
              <w:jc w:val="center"/>
              <w:rPr>
                <w:rFonts w:hAnsi="宋体"/>
                <w:highlight w:val="none"/>
              </w:rPr>
            </w:pPr>
            <w:r>
              <w:rPr>
                <w:rFonts w:hint="eastAsia" w:hAnsi="宋体"/>
                <w:highlight w:val="none"/>
              </w:rPr>
              <w:t>磋商总报价（元）</w:t>
            </w:r>
          </w:p>
        </w:tc>
        <w:tc>
          <w:tcPr>
            <w:tcW w:w="3497" w:type="pct"/>
            <w:vAlign w:val="center"/>
          </w:tcPr>
          <w:p w14:paraId="6E713F82">
            <w:pPr>
              <w:rPr>
                <w:rFonts w:hAnsi="宋体"/>
                <w:highlight w:val="none"/>
              </w:rPr>
            </w:pPr>
            <w:r>
              <w:rPr>
                <w:rFonts w:hint="eastAsia" w:hAnsi="宋体"/>
                <w:highlight w:val="none"/>
              </w:rPr>
              <w:t>小写：</w:t>
            </w:r>
          </w:p>
        </w:tc>
      </w:tr>
      <w:tr w14:paraId="2027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680" w:hRule="atLeast"/>
        </w:trPr>
        <w:tc>
          <w:tcPr>
            <w:tcW w:w="1500" w:type="pct"/>
            <w:vMerge w:val="continue"/>
            <w:vAlign w:val="center"/>
          </w:tcPr>
          <w:p w14:paraId="174960F6">
            <w:pPr>
              <w:jc w:val="center"/>
              <w:rPr>
                <w:rFonts w:hAnsi="宋体"/>
                <w:highlight w:val="none"/>
              </w:rPr>
            </w:pPr>
          </w:p>
        </w:tc>
        <w:tc>
          <w:tcPr>
            <w:tcW w:w="3497" w:type="pct"/>
            <w:vAlign w:val="center"/>
          </w:tcPr>
          <w:p w14:paraId="4D5212F0">
            <w:pPr>
              <w:rPr>
                <w:rFonts w:hAnsi="宋体"/>
                <w:highlight w:val="none"/>
              </w:rPr>
            </w:pPr>
            <w:r>
              <w:rPr>
                <w:rFonts w:hint="eastAsia" w:hAnsi="宋体"/>
                <w:highlight w:val="none"/>
              </w:rPr>
              <w:t>大写：</w:t>
            </w:r>
          </w:p>
        </w:tc>
      </w:tr>
      <w:tr w14:paraId="10DF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00" w:type="pct"/>
            <w:vAlign w:val="center"/>
          </w:tcPr>
          <w:p w14:paraId="1A8D6F86">
            <w:pPr>
              <w:jc w:val="center"/>
              <w:rPr>
                <w:rFonts w:hAnsi="宋体"/>
                <w:highlight w:val="none"/>
              </w:rPr>
            </w:pPr>
            <w:r>
              <w:rPr>
                <w:rFonts w:hint="eastAsia" w:hAnsi="宋体"/>
                <w:highlight w:val="none"/>
              </w:rPr>
              <w:t>项目经理</w:t>
            </w:r>
          </w:p>
        </w:tc>
        <w:tc>
          <w:tcPr>
            <w:tcW w:w="3500" w:type="pct"/>
            <w:gridSpan w:val="2"/>
            <w:vAlign w:val="center"/>
          </w:tcPr>
          <w:p w14:paraId="67A86A2C">
            <w:pPr>
              <w:rPr>
                <w:rFonts w:hAnsi="宋体"/>
                <w:highlight w:val="none"/>
              </w:rPr>
            </w:pPr>
          </w:p>
        </w:tc>
      </w:tr>
      <w:tr w14:paraId="03FA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00" w:type="pct"/>
            <w:vAlign w:val="center"/>
          </w:tcPr>
          <w:p w14:paraId="5A9ACC10">
            <w:pPr>
              <w:jc w:val="center"/>
              <w:rPr>
                <w:rFonts w:hAnsi="宋体"/>
                <w:highlight w:val="none"/>
              </w:rPr>
            </w:pPr>
            <w:r>
              <w:rPr>
                <w:rFonts w:hint="eastAsia" w:hAnsi="宋体"/>
                <w:highlight w:val="none"/>
              </w:rPr>
              <w:t>质量标准</w:t>
            </w:r>
          </w:p>
        </w:tc>
        <w:tc>
          <w:tcPr>
            <w:tcW w:w="3500" w:type="pct"/>
            <w:gridSpan w:val="2"/>
            <w:vAlign w:val="center"/>
          </w:tcPr>
          <w:p w14:paraId="24C6B2B0">
            <w:pPr>
              <w:rPr>
                <w:rFonts w:hAnsi="宋体"/>
                <w:highlight w:val="none"/>
              </w:rPr>
            </w:pPr>
          </w:p>
        </w:tc>
      </w:tr>
      <w:tr w14:paraId="685E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00" w:type="pct"/>
            <w:vAlign w:val="center"/>
          </w:tcPr>
          <w:p w14:paraId="5D145F2D">
            <w:pPr>
              <w:jc w:val="center"/>
              <w:rPr>
                <w:rFonts w:hint="eastAsia" w:hAnsi="宋体" w:eastAsia="宋体"/>
                <w:highlight w:val="none"/>
                <w:lang w:val="en-US" w:eastAsia="zh-CN"/>
              </w:rPr>
            </w:pPr>
            <w:r>
              <w:rPr>
                <w:rFonts w:hint="eastAsia" w:hAnsi="宋体"/>
                <w:highlight w:val="none"/>
                <w:lang w:val="en-US" w:eastAsia="zh-CN"/>
              </w:rPr>
              <w:t>缺陷责任期</w:t>
            </w:r>
          </w:p>
        </w:tc>
        <w:tc>
          <w:tcPr>
            <w:tcW w:w="3500" w:type="pct"/>
            <w:gridSpan w:val="2"/>
            <w:vAlign w:val="center"/>
          </w:tcPr>
          <w:p w14:paraId="6898731E">
            <w:pPr>
              <w:rPr>
                <w:rFonts w:hAnsi="宋体"/>
                <w:highlight w:val="none"/>
              </w:rPr>
            </w:pPr>
          </w:p>
        </w:tc>
      </w:tr>
      <w:tr w14:paraId="3367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00" w:type="pct"/>
            <w:vAlign w:val="center"/>
          </w:tcPr>
          <w:p w14:paraId="52342F54">
            <w:pPr>
              <w:jc w:val="center"/>
              <w:rPr>
                <w:rFonts w:hAnsi="宋体"/>
                <w:highlight w:val="none"/>
              </w:rPr>
            </w:pPr>
            <w:r>
              <w:rPr>
                <w:rFonts w:hint="eastAsia" w:hAnsi="宋体"/>
                <w:highlight w:val="none"/>
              </w:rPr>
              <w:t>工期</w:t>
            </w:r>
          </w:p>
        </w:tc>
        <w:tc>
          <w:tcPr>
            <w:tcW w:w="3500" w:type="pct"/>
            <w:gridSpan w:val="2"/>
            <w:vAlign w:val="center"/>
          </w:tcPr>
          <w:p w14:paraId="103E7535">
            <w:pPr>
              <w:rPr>
                <w:rFonts w:hAnsi="宋体"/>
                <w:highlight w:val="none"/>
              </w:rPr>
            </w:pPr>
          </w:p>
        </w:tc>
      </w:tr>
      <w:tr w14:paraId="2EB5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00" w:type="pct"/>
            <w:vAlign w:val="center"/>
          </w:tcPr>
          <w:p w14:paraId="4C3E8121">
            <w:pPr>
              <w:jc w:val="center"/>
              <w:rPr>
                <w:rFonts w:hAnsi="宋体"/>
                <w:highlight w:val="none"/>
              </w:rPr>
            </w:pPr>
            <w:r>
              <w:rPr>
                <w:rFonts w:hint="eastAsia" w:hAnsi="宋体"/>
                <w:highlight w:val="none"/>
              </w:rPr>
              <w:t>备注</w:t>
            </w:r>
          </w:p>
        </w:tc>
        <w:tc>
          <w:tcPr>
            <w:tcW w:w="3500" w:type="pct"/>
            <w:gridSpan w:val="2"/>
            <w:vAlign w:val="center"/>
          </w:tcPr>
          <w:p w14:paraId="7911071A">
            <w:pPr>
              <w:rPr>
                <w:rFonts w:hAnsi="宋体"/>
                <w:highlight w:val="none"/>
              </w:rPr>
            </w:pPr>
          </w:p>
        </w:tc>
      </w:tr>
    </w:tbl>
    <w:p w14:paraId="1D3CDC97">
      <w:pPr>
        <w:rPr>
          <w:highlight w:val="none"/>
        </w:rPr>
      </w:pPr>
    </w:p>
    <w:p w14:paraId="009C079E">
      <w:pPr>
        <w:rPr>
          <w:rFonts w:hAnsi="宋体" w:cs="宋体"/>
          <w:szCs w:val="24"/>
          <w:highlight w:val="none"/>
        </w:rPr>
      </w:pPr>
    </w:p>
    <w:p w14:paraId="2C5E02C7">
      <w:pPr>
        <w:spacing w:line="280" w:lineRule="exact"/>
        <w:ind w:right="617" w:rightChars="257"/>
        <w:jc w:val="left"/>
        <w:rPr>
          <w:rFonts w:hAnsi="宋体" w:cs="宋体"/>
          <w:szCs w:val="24"/>
          <w:highlight w:val="none"/>
        </w:rPr>
      </w:pPr>
    </w:p>
    <w:p w14:paraId="3D97D681">
      <w:pPr>
        <w:spacing w:line="280" w:lineRule="exact"/>
        <w:ind w:right="617" w:rightChars="257"/>
        <w:jc w:val="left"/>
        <w:rPr>
          <w:rFonts w:hint="eastAsia" w:hAnsi="宋体" w:cs="宋体"/>
          <w:szCs w:val="24"/>
          <w:highlight w:val="none"/>
        </w:rPr>
      </w:pPr>
    </w:p>
    <w:p w14:paraId="2C3DD9B9">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09A21B76">
      <w:pPr>
        <w:spacing w:line="280" w:lineRule="exact"/>
        <w:ind w:right="617" w:rightChars="257"/>
        <w:jc w:val="left"/>
        <w:rPr>
          <w:rFonts w:hAnsi="宋体" w:cs="宋体"/>
          <w:szCs w:val="24"/>
          <w:highlight w:val="none"/>
        </w:rPr>
      </w:pPr>
    </w:p>
    <w:p w14:paraId="2725AE56">
      <w:pPr>
        <w:spacing w:line="280" w:lineRule="exact"/>
        <w:ind w:right="617" w:rightChars="257"/>
        <w:jc w:val="left"/>
        <w:rPr>
          <w:rFonts w:hAnsi="宋体" w:cs="宋体"/>
          <w:szCs w:val="24"/>
          <w:highlight w:val="none"/>
        </w:rPr>
      </w:pPr>
      <w:r>
        <w:rPr>
          <w:rFonts w:hint="eastAsia" w:hAnsi="宋体" w:cs="宋体"/>
          <w:szCs w:val="24"/>
          <w:highlight w:val="none"/>
        </w:rPr>
        <w:t>法定代表人/授权代表签字</w:t>
      </w:r>
      <w:r>
        <w:rPr>
          <w:rFonts w:hint="eastAsia" w:hAnsi="宋体" w:cs="宋体"/>
          <w:spacing w:val="4"/>
          <w:highlight w:val="none"/>
        </w:rPr>
        <w:t>或盖章</w:t>
      </w:r>
      <w:r>
        <w:rPr>
          <w:rFonts w:hint="eastAsia" w:hAnsi="宋体" w:cs="宋体"/>
          <w:szCs w:val="24"/>
          <w:highlight w:val="none"/>
        </w:rPr>
        <w:t>：</w:t>
      </w:r>
    </w:p>
    <w:p w14:paraId="485B919C">
      <w:pPr>
        <w:spacing w:line="280" w:lineRule="exact"/>
        <w:ind w:right="617" w:rightChars="257"/>
        <w:jc w:val="left"/>
        <w:rPr>
          <w:rFonts w:hAnsi="宋体" w:cs="宋体"/>
          <w:szCs w:val="24"/>
          <w:highlight w:val="none"/>
        </w:rPr>
      </w:pPr>
    </w:p>
    <w:p w14:paraId="094B94CD">
      <w:pPr>
        <w:spacing w:line="280" w:lineRule="exact"/>
        <w:ind w:right="617" w:rightChars="257"/>
        <w:rPr>
          <w:rFonts w:hAnsi="宋体" w:cs="宋体"/>
          <w:szCs w:val="24"/>
          <w:highlight w:val="none"/>
        </w:rPr>
      </w:pPr>
      <w:r>
        <w:rPr>
          <w:rFonts w:hint="eastAsia" w:hAnsi="宋体" w:cs="宋体"/>
          <w:szCs w:val="24"/>
          <w:highlight w:val="none"/>
        </w:rPr>
        <w:t>日    期：</w:t>
      </w:r>
    </w:p>
    <w:p w14:paraId="5FC80854">
      <w:pPr>
        <w:jc w:val="center"/>
        <w:rPr>
          <w:rFonts w:hAnsi="宋体" w:cs="宋体"/>
          <w:szCs w:val="24"/>
          <w:highlight w:val="none"/>
        </w:rPr>
      </w:pPr>
    </w:p>
    <w:p w14:paraId="614888C3">
      <w:pPr>
        <w:spacing w:before="156" w:beforeLines="50" w:after="156" w:afterLines="50" w:line="400" w:lineRule="atLeast"/>
        <w:rPr>
          <w:rFonts w:hAnsi="宋体" w:cs="宋体"/>
          <w:b/>
          <w:sz w:val="30"/>
          <w:szCs w:val="30"/>
          <w:highlight w:val="none"/>
        </w:rPr>
      </w:pPr>
      <w:r>
        <w:rPr>
          <w:rFonts w:hint="eastAsia" w:hAnsi="宋体" w:cs="宋体"/>
          <w:szCs w:val="24"/>
          <w:highlight w:val="none"/>
        </w:rPr>
        <w:t>注：本表应按“供应商须知”的规定密封单独提交。若有折扣声明，请与本表一并装订和密封。严格按照表格格式报价。</w:t>
      </w:r>
    </w:p>
    <w:p w14:paraId="5D9A0EC0">
      <w:pPr>
        <w:jc w:val="center"/>
        <w:rPr>
          <w:rFonts w:hAnsi="宋体" w:cs="宋体"/>
          <w:b/>
          <w:sz w:val="30"/>
          <w:szCs w:val="30"/>
          <w:highlight w:val="none"/>
        </w:rPr>
      </w:pPr>
      <w:r>
        <w:rPr>
          <w:rFonts w:hint="eastAsia" w:hAnsi="宋体" w:cs="宋体"/>
          <w:b/>
          <w:sz w:val="30"/>
          <w:szCs w:val="30"/>
          <w:highlight w:val="none"/>
        </w:rPr>
        <w:br w:type="page"/>
      </w:r>
      <w:r>
        <w:rPr>
          <w:rFonts w:hint="eastAsia" w:hAnsi="宋体" w:cs="宋体"/>
          <w:b/>
          <w:sz w:val="30"/>
          <w:szCs w:val="30"/>
          <w:highlight w:val="none"/>
        </w:rPr>
        <w:t>2.2分项报价表</w:t>
      </w:r>
    </w:p>
    <w:p w14:paraId="6548A23F">
      <w:pPr>
        <w:jc w:val="center"/>
        <w:rPr>
          <w:rFonts w:hAnsi="宋体" w:cs="宋体"/>
          <w:highlight w:val="none"/>
        </w:rPr>
      </w:pPr>
      <w:r>
        <w:rPr>
          <w:rFonts w:hint="eastAsia" w:hAnsi="宋体" w:cs="宋体"/>
          <w:b/>
          <w:sz w:val="30"/>
          <w:szCs w:val="30"/>
          <w:highlight w:val="none"/>
        </w:rPr>
        <w:t>（已标价的工程量清单）</w:t>
      </w:r>
    </w:p>
    <w:p w14:paraId="41FF8DAE">
      <w:pPr>
        <w:jc w:val="center"/>
        <w:outlineLvl w:val="2"/>
        <w:rPr>
          <w:rFonts w:hAnsi="宋体" w:cs="宋体"/>
          <w:sz w:val="32"/>
          <w:szCs w:val="32"/>
          <w:highlight w:val="none"/>
        </w:rPr>
      </w:pPr>
      <w:r>
        <w:rPr>
          <w:rFonts w:hint="eastAsia" w:hAnsi="宋体" w:cs="宋体"/>
          <w:b/>
          <w:sz w:val="30"/>
          <w:szCs w:val="30"/>
          <w:highlight w:val="none"/>
        </w:rPr>
        <w:br w:type="page"/>
      </w:r>
      <w:bookmarkEnd w:id="628"/>
      <w:bookmarkStart w:id="631" w:name="_Toc344572163"/>
      <w:r>
        <w:rPr>
          <w:rFonts w:hint="eastAsia" w:hAnsi="宋体" w:cs="宋体"/>
          <w:b/>
          <w:bCs/>
          <w:sz w:val="32"/>
          <w:szCs w:val="32"/>
          <w:highlight w:val="none"/>
        </w:rPr>
        <w:t>三、磋商方案说明书</w:t>
      </w:r>
    </w:p>
    <w:p w14:paraId="5ADE64A5">
      <w:pPr>
        <w:spacing w:line="580" w:lineRule="exact"/>
        <w:rPr>
          <w:highlight w:val="none"/>
        </w:rPr>
      </w:pPr>
      <w:r>
        <w:rPr>
          <w:rFonts w:hint="eastAsia" w:hAnsi="宋体" w:cs="宋体"/>
          <w:szCs w:val="24"/>
          <w:highlight w:val="none"/>
        </w:rPr>
        <w:t>1、按照磋商文件的要求编制的响应说明书，包括但不限于以下内容：</w:t>
      </w:r>
    </w:p>
    <w:p w14:paraId="6577922E">
      <w:pPr>
        <w:spacing w:line="480" w:lineRule="auto"/>
        <w:ind w:firstLine="240" w:firstLineChars="100"/>
        <w:rPr>
          <w:rFonts w:hint="eastAsia" w:asciiTheme="minorEastAsia" w:hAnsiTheme="minorEastAsia" w:eastAsiaTheme="minorEastAsia" w:cstheme="minorEastAsia"/>
          <w:color w:val="auto"/>
          <w:sz w:val="24"/>
          <w:szCs w:val="24"/>
          <w:highlight w:val="none"/>
          <w:lang w:eastAsia="zh-CN"/>
        </w:rPr>
      </w:pPr>
      <w:r>
        <w:rPr>
          <w:rFonts w:hint="eastAsia" w:hAnsi="宋体" w:cs="宋体"/>
          <w:color w:val="auto"/>
          <w:szCs w:val="24"/>
          <w:highlight w:val="none"/>
        </w:rPr>
        <w:t>1）</w:t>
      </w:r>
      <w:r>
        <w:rPr>
          <w:rFonts w:hint="eastAsia" w:asciiTheme="minorEastAsia" w:hAnsiTheme="minorEastAsia" w:eastAsiaTheme="minorEastAsia" w:cstheme="minorEastAsia"/>
          <w:color w:val="auto"/>
          <w:sz w:val="24"/>
          <w:szCs w:val="24"/>
          <w:highlight w:val="none"/>
          <w:lang w:val="en-US" w:eastAsia="zh-CN"/>
        </w:rPr>
        <w:t>施工技术方案</w:t>
      </w:r>
      <w:r>
        <w:rPr>
          <w:rFonts w:hint="eastAsia" w:asciiTheme="minorEastAsia" w:hAnsiTheme="minorEastAsia" w:eastAsiaTheme="minorEastAsia" w:cstheme="minorEastAsia"/>
          <w:color w:val="auto"/>
          <w:sz w:val="24"/>
          <w:szCs w:val="24"/>
          <w:highlight w:val="none"/>
          <w:lang w:eastAsia="zh-CN"/>
        </w:rPr>
        <w:t>；</w:t>
      </w:r>
    </w:p>
    <w:p w14:paraId="60B16B9F">
      <w:pPr>
        <w:spacing w:line="480" w:lineRule="auto"/>
        <w:ind w:firstLine="240" w:firstLineChars="100"/>
        <w:rPr>
          <w:rFonts w:hint="eastAsia" w:hAnsi="宋体" w:cs="宋体"/>
          <w:color w:val="auto"/>
          <w:szCs w:val="24"/>
          <w:highlight w:val="none"/>
        </w:rPr>
      </w:pPr>
      <w:r>
        <w:rPr>
          <w:rFonts w:hint="eastAsia" w:hAnsi="宋体" w:cs="宋体"/>
          <w:color w:val="auto"/>
          <w:szCs w:val="24"/>
          <w:highlight w:val="none"/>
          <w:lang w:val="en-US" w:eastAsia="zh-CN"/>
        </w:rPr>
        <w:t>2</w:t>
      </w:r>
      <w:r>
        <w:rPr>
          <w:rFonts w:hint="eastAsia" w:hAnsi="宋体" w:cs="宋体"/>
          <w:color w:val="auto"/>
          <w:szCs w:val="24"/>
          <w:highlight w:val="none"/>
        </w:rPr>
        <w:t>）</w:t>
      </w:r>
      <w:r>
        <w:rPr>
          <w:rFonts w:hint="eastAsia" w:asciiTheme="minorEastAsia" w:hAnsiTheme="minorEastAsia" w:eastAsiaTheme="minorEastAsia" w:cstheme="minorEastAsia"/>
          <w:color w:val="auto"/>
          <w:sz w:val="24"/>
          <w:szCs w:val="24"/>
          <w:highlight w:val="none"/>
        </w:rPr>
        <w:t>施工进度计划安排</w:t>
      </w:r>
      <w:r>
        <w:rPr>
          <w:rFonts w:hint="eastAsia" w:asciiTheme="minorEastAsia" w:hAnsiTheme="minorEastAsia" w:eastAsiaTheme="minorEastAsia" w:cstheme="minorEastAsia"/>
          <w:color w:val="auto"/>
          <w:sz w:val="24"/>
          <w:szCs w:val="24"/>
          <w:highlight w:val="none"/>
          <w:lang w:eastAsia="zh-CN"/>
        </w:rPr>
        <w:t>；</w:t>
      </w:r>
    </w:p>
    <w:p w14:paraId="7D61B31C">
      <w:pPr>
        <w:spacing w:line="480" w:lineRule="auto"/>
        <w:ind w:firstLine="240" w:firstLineChars="100"/>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hAnsi="宋体" w:cs="宋体"/>
          <w:color w:val="auto"/>
          <w:szCs w:val="24"/>
          <w:highlight w:val="none"/>
          <w:lang w:val="en-US" w:eastAsia="zh-CN"/>
        </w:rPr>
        <w:t>3</w:t>
      </w:r>
      <w:r>
        <w:rPr>
          <w:rFonts w:hint="eastAsia" w:hAnsi="宋体" w:cs="宋体"/>
          <w:color w:val="auto"/>
          <w:szCs w:val="24"/>
          <w:highlight w:val="none"/>
        </w:rPr>
        <w:t>）</w:t>
      </w:r>
      <w:r>
        <w:rPr>
          <w:rFonts w:hint="eastAsia" w:asciiTheme="minorEastAsia" w:hAnsiTheme="minorEastAsia" w:eastAsiaTheme="minorEastAsia" w:cstheme="minorEastAsia"/>
          <w:b w:val="0"/>
          <w:bCs w:val="0"/>
          <w:i w:val="0"/>
          <w:iCs w:val="0"/>
          <w:color w:val="auto"/>
          <w:sz w:val="24"/>
          <w:szCs w:val="24"/>
          <w:highlight w:val="none"/>
        </w:rPr>
        <w:t>工程质量保证措施</w:t>
      </w:r>
      <w:r>
        <w:rPr>
          <w:rFonts w:hint="eastAsia" w:asciiTheme="minorEastAsia" w:hAnsiTheme="minorEastAsia" w:eastAsiaTheme="minorEastAsia" w:cstheme="minorEastAsia"/>
          <w:b w:val="0"/>
          <w:bCs w:val="0"/>
          <w:i w:val="0"/>
          <w:iCs w:val="0"/>
          <w:color w:val="auto"/>
          <w:sz w:val="24"/>
          <w:szCs w:val="24"/>
          <w:highlight w:val="none"/>
          <w:lang w:eastAsia="zh-CN"/>
        </w:rPr>
        <w:t>；</w:t>
      </w:r>
    </w:p>
    <w:p w14:paraId="5C0808D5">
      <w:pPr>
        <w:spacing w:line="480" w:lineRule="auto"/>
        <w:ind w:firstLine="240" w:firstLineChars="100"/>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hAnsi="宋体" w:cs="宋体"/>
          <w:color w:val="auto"/>
          <w:szCs w:val="24"/>
          <w:highlight w:val="none"/>
          <w:lang w:val="en-US" w:eastAsia="zh-CN"/>
        </w:rPr>
        <w:t>4</w:t>
      </w:r>
      <w:r>
        <w:rPr>
          <w:rFonts w:hint="eastAsia" w:hAnsi="宋体" w:cs="宋体"/>
          <w:color w:val="auto"/>
          <w:szCs w:val="24"/>
          <w:highlight w:val="none"/>
        </w:rPr>
        <w:t>）</w:t>
      </w:r>
      <w:r>
        <w:rPr>
          <w:rFonts w:hint="eastAsia" w:asciiTheme="minorEastAsia" w:hAnsiTheme="minorEastAsia" w:eastAsiaTheme="minorEastAsia" w:cstheme="minorEastAsia"/>
          <w:b w:val="0"/>
          <w:bCs w:val="0"/>
          <w:i w:val="0"/>
          <w:iCs w:val="0"/>
          <w:color w:val="auto"/>
          <w:sz w:val="24"/>
          <w:szCs w:val="24"/>
          <w:highlight w:val="none"/>
        </w:rPr>
        <w:t>施工应急预案</w:t>
      </w:r>
      <w:r>
        <w:rPr>
          <w:rFonts w:hint="eastAsia" w:asciiTheme="minorEastAsia" w:hAnsiTheme="minorEastAsia" w:eastAsiaTheme="minorEastAsia" w:cstheme="minorEastAsia"/>
          <w:b w:val="0"/>
          <w:bCs w:val="0"/>
          <w:i w:val="0"/>
          <w:iCs w:val="0"/>
          <w:color w:val="auto"/>
          <w:sz w:val="24"/>
          <w:szCs w:val="24"/>
          <w:highlight w:val="none"/>
          <w:lang w:eastAsia="zh-CN"/>
        </w:rPr>
        <w:t>；</w:t>
      </w:r>
    </w:p>
    <w:p w14:paraId="48E3C4F5">
      <w:pPr>
        <w:spacing w:line="480" w:lineRule="auto"/>
        <w:ind w:firstLine="240" w:firstLineChars="100"/>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hAnsi="宋体" w:cs="宋体"/>
          <w:color w:val="auto"/>
          <w:szCs w:val="24"/>
          <w:highlight w:val="none"/>
          <w:lang w:val="en-US" w:eastAsia="zh-CN"/>
        </w:rPr>
        <w:t>5</w:t>
      </w:r>
      <w:r>
        <w:rPr>
          <w:rFonts w:hint="eastAsia" w:hAnsi="宋体" w:cs="宋体"/>
          <w:color w:val="auto"/>
          <w:szCs w:val="24"/>
          <w:highlight w:val="none"/>
        </w:rPr>
        <w:t>）</w:t>
      </w:r>
      <w:r>
        <w:rPr>
          <w:rFonts w:hint="eastAsia" w:asciiTheme="minorEastAsia" w:hAnsiTheme="minorEastAsia" w:eastAsiaTheme="minorEastAsia" w:cstheme="minorEastAsia"/>
          <w:b w:val="0"/>
          <w:bCs w:val="0"/>
          <w:i w:val="0"/>
          <w:iCs w:val="0"/>
          <w:color w:val="auto"/>
          <w:sz w:val="24"/>
          <w:szCs w:val="24"/>
          <w:highlight w:val="none"/>
          <w:lang w:val="en-US" w:eastAsia="zh-CN"/>
        </w:rPr>
        <w:t>安全文明施工措施</w:t>
      </w:r>
      <w:r>
        <w:rPr>
          <w:rFonts w:hint="eastAsia" w:asciiTheme="minorEastAsia" w:hAnsiTheme="minorEastAsia" w:eastAsiaTheme="minorEastAsia" w:cstheme="minorEastAsia"/>
          <w:b w:val="0"/>
          <w:bCs w:val="0"/>
          <w:i w:val="0"/>
          <w:iCs w:val="0"/>
          <w:color w:val="auto"/>
          <w:sz w:val="24"/>
          <w:szCs w:val="24"/>
          <w:highlight w:val="none"/>
          <w:lang w:eastAsia="zh-CN"/>
        </w:rPr>
        <w:t>；</w:t>
      </w:r>
    </w:p>
    <w:p w14:paraId="76F57927">
      <w:pPr>
        <w:spacing w:line="480" w:lineRule="auto"/>
        <w:ind w:firstLine="240" w:firstLineChars="100"/>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hAnsi="宋体" w:cs="宋体"/>
          <w:color w:val="auto"/>
          <w:szCs w:val="24"/>
          <w:highlight w:val="none"/>
          <w:lang w:val="en-US" w:eastAsia="zh-CN"/>
        </w:rPr>
        <w:t>6</w:t>
      </w:r>
      <w:r>
        <w:rPr>
          <w:rFonts w:hint="eastAsia" w:hAnsi="宋体" w:cs="宋体"/>
          <w:color w:val="auto"/>
          <w:szCs w:val="24"/>
          <w:highlight w:val="none"/>
        </w:rPr>
        <w:t>）</w:t>
      </w:r>
      <w:r>
        <w:rPr>
          <w:rFonts w:hint="eastAsia" w:asciiTheme="minorEastAsia" w:hAnsiTheme="minorEastAsia" w:eastAsiaTheme="minorEastAsia" w:cstheme="minorEastAsia"/>
          <w:b w:val="0"/>
          <w:bCs w:val="0"/>
          <w:i w:val="0"/>
          <w:iCs w:val="0"/>
          <w:color w:val="auto"/>
          <w:sz w:val="24"/>
          <w:szCs w:val="24"/>
          <w:highlight w:val="none"/>
        </w:rPr>
        <w:t>项目管理机构</w:t>
      </w:r>
      <w:r>
        <w:rPr>
          <w:rFonts w:hint="eastAsia" w:asciiTheme="minorEastAsia" w:hAnsiTheme="minorEastAsia" w:eastAsiaTheme="minorEastAsia" w:cstheme="minorEastAsia"/>
          <w:b w:val="0"/>
          <w:bCs w:val="0"/>
          <w:i w:val="0"/>
          <w:iCs w:val="0"/>
          <w:color w:val="auto"/>
          <w:sz w:val="24"/>
          <w:szCs w:val="24"/>
          <w:highlight w:val="none"/>
          <w:lang w:eastAsia="zh-CN"/>
        </w:rPr>
        <w:t>；</w:t>
      </w:r>
    </w:p>
    <w:p w14:paraId="3EF2AA52">
      <w:pPr>
        <w:spacing w:line="480" w:lineRule="auto"/>
        <w:ind w:firstLine="240" w:firstLineChars="100"/>
        <w:rPr>
          <w:rFonts w:hint="eastAsia" w:asciiTheme="minorEastAsia" w:hAnsiTheme="minorEastAsia" w:eastAsiaTheme="minorEastAsia" w:cstheme="minorEastAsia"/>
          <w:b w:val="0"/>
          <w:bCs w:val="0"/>
          <w:i w:val="0"/>
          <w:iCs w:val="0"/>
          <w:color w:val="auto"/>
          <w:kern w:val="2"/>
          <w:sz w:val="24"/>
          <w:szCs w:val="24"/>
          <w:highlight w:val="none"/>
          <w:lang w:val="en-US" w:eastAsia="zh-CN" w:bidi="ar-SA"/>
        </w:rPr>
      </w:pPr>
      <w:r>
        <w:rPr>
          <w:rFonts w:hint="eastAsia" w:hAnsi="宋体" w:cs="宋体"/>
          <w:color w:val="auto"/>
          <w:szCs w:val="24"/>
          <w:highlight w:val="none"/>
          <w:lang w:val="en-US" w:eastAsia="zh-CN"/>
        </w:rPr>
        <w:t>7</w:t>
      </w:r>
      <w:r>
        <w:rPr>
          <w:rFonts w:hint="eastAsia" w:hAnsi="宋体" w:cs="宋体"/>
          <w:color w:val="auto"/>
          <w:szCs w:val="24"/>
          <w:highlight w:val="none"/>
        </w:rPr>
        <w:t>）</w:t>
      </w:r>
      <w:r>
        <w:rPr>
          <w:rFonts w:hint="eastAsia" w:asciiTheme="minorEastAsia" w:hAnsiTheme="minorEastAsia" w:eastAsiaTheme="minorEastAsia" w:cstheme="minorEastAsia"/>
          <w:b w:val="0"/>
          <w:bCs w:val="0"/>
          <w:i w:val="0"/>
          <w:iCs w:val="0"/>
          <w:color w:val="auto"/>
          <w:kern w:val="2"/>
          <w:sz w:val="24"/>
          <w:szCs w:val="24"/>
          <w:highlight w:val="none"/>
          <w:lang w:val="en-US" w:eastAsia="zh-CN" w:bidi="ar-SA"/>
        </w:rPr>
        <w:t>劳动力和材料投入计划；</w:t>
      </w:r>
    </w:p>
    <w:p w14:paraId="25D6FB7E">
      <w:pPr>
        <w:spacing w:line="480" w:lineRule="auto"/>
        <w:ind w:firstLine="240" w:firstLineChars="100"/>
        <w:rPr>
          <w:rFonts w:hint="eastAsia" w:hAnsi="宋体" w:cs="宋体"/>
          <w:color w:val="auto"/>
          <w:szCs w:val="24"/>
          <w:highlight w:val="none"/>
          <w:lang w:val="en-US" w:eastAsia="zh-CN"/>
        </w:rPr>
      </w:pPr>
      <w:r>
        <w:rPr>
          <w:rFonts w:hint="eastAsia" w:hAnsi="宋体" w:cs="宋体"/>
          <w:color w:val="auto"/>
          <w:szCs w:val="24"/>
          <w:highlight w:val="none"/>
          <w:lang w:val="en-US" w:eastAsia="zh-CN"/>
        </w:rPr>
        <w:t>8）机械设备投入计划；</w:t>
      </w:r>
    </w:p>
    <w:p w14:paraId="4D756A8D">
      <w:pPr>
        <w:spacing w:line="480" w:lineRule="auto"/>
        <w:ind w:firstLine="240" w:firstLineChars="100"/>
        <w:rPr>
          <w:rFonts w:hint="eastAsia" w:hAnsi="宋体" w:cs="宋体"/>
          <w:color w:val="auto"/>
          <w:szCs w:val="24"/>
          <w:highlight w:val="none"/>
          <w:lang w:val="en-US" w:eastAsia="zh-CN"/>
        </w:rPr>
      </w:pPr>
      <w:r>
        <w:rPr>
          <w:rFonts w:hint="eastAsia" w:hAnsi="宋体" w:cs="宋体"/>
          <w:color w:val="auto"/>
          <w:szCs w:val="24"/>
          <w:highlight w:val="none"/>
          <w:lang w:val="en-US" w:eastAsia="zh-CN"/>
        </w:rPr>
        <w:t>9）现场施工扬尘环境治理管理措施；</w:t>
      </w:r>
    </w:p>
    <w:p w14:paraId="1FCE88FC">
      <w:pPr>
        <w:spacing w:line="480" w:lineRule="auto"/>
        <w:ind w:firstLine="240" w:firstLineChars="100"/>
        <w:rPr>
          <w:rFonts w:hint="eastAsia" w:hAnsi="宋体" w:cs="宋体"/>
          <w:color w:val="auto"/>
          <w:szCs w:val="24"/>
          <w:highlight w:val="none"/>
          <w:lang w:val="en-US" w:eastAsia="zh-CN"/>
        </w:rPr>
      </w:pPr>
      <w:r>
        <w:rPr>
          <w:rFonts w:hint="eastAsia" w:hAnsi="宋体" w:cs="宋体"/>
          <w:color w:val="auto"/>
          <w:szCs w:val="24"/>
          <w:highlight w:val="none"/>
          <w:lang w:val="en-US" w:eastAsia="zh-CN"/>
        </w:rPr>
        <w:t>10）其他投标人认为有必要说明的内容。</w:t>
      </w:r>
    </w:p>
    <w:p w14:paraId="21E053B6">
      <w:pPr>
        <w:kinsoku w:val="0"/>
        <w:spacing w:line="580" w:lineRule="exact"/>
        <w:rPr>
          <w:rFonts w:hAnsi="宋体" w:cs="宋体"/>
          <w:szCs w:val="24"/>
          <w:highlight w:val="none"/>
        </w:rPr>
      </w:pPr>
    </w:p>
    <w:p w14:paraId="69DF8BFF">
      <w:pPr>
        <w:spacing w:line="440" w:lineRule="exact"/>
        <w:ind w:left="3725" w:leftChars="1552"/>
        <w:rPr>
          <w:rFonts w:hAnsi="宋体" w:cs="宋体"/>
          <w:szCs w:val="24"/>
          <w:highlight w:val="none"/>
        </w:rPr>
      </w:pPr>
    </w:p>
    <w:p w14:paraId="2D82F764">
      <w:pPr>
        <w:spacing w:line="440" w:lineRule="exact"/>
        <w:ind w:left="3725" w:leftChars="1552"/>
        <w:rPr>
          <w:rFonts w:hAnsi="宋体" w:cs="宋体"/>
          <w:szCs w:val="24"/>
          <w:highlight w:val="none"/>
        </w:rPr>
      </w:pPr>
    </w:p>
    <w:p w14:paraId="11DA0A7B">
      <w:pPr>
        <w:spacing w:line="440" w:lineRule="exact"/>
        <w:ind w:left="3725" w:leftChars="1552"/>
        <w:rPr>
          <w:rFonts w:hAnsi="宋体" w:cs="宋体"/>
          <w:szCs w:val="24"/>
          <w:highlight w:val="none"/>
        </w:rPr>
      </w:pPr>
    </w:p>
    <w:p w14:paraId="4986DEE9">
      <w:pPr>
        <w:spacing w:line="440" w:lineRule="exact"/>
        <w:ind w:left="3725" w:leftChars="1552"/>
        <w:rPr>
          <w:rFonts w:hAnsi="宋体" w:cs="宋体"/>
          <w:szCs w:val="24"/>
          <w:highlight w:val="none"/>
        </w:rPr>
      </w:pPr>
    </w:p>
    <w:p w14:paraId="06A9506E">
      <w:pPr>
        <w:spacing w:line="440" w:lineRule="exact"/>
        <w:ind w:left="3725" w:leftChars="1552"/>
        <w:rPr>
          <w:rFonts w:hAnsi="宋体" w:cs="宋体"/>
          <w:szCs w:val="24"/>
          <w:highlight w:val="none"/>
        </w:rPr>
      </w:pPr>
      <w:r>
        <w:rPr>
          <w:rFonts w:hint="eastAsia" w:hAnsi="宋体" w:cs="宋体"/>
          <w:szCs w:val="24"/>
          <w:highlight w:val="none"/>
        </w:rPr>
        <w:t>被授权人签字或盖章：</w:t>
      </w:r>
    </w:p>
    <w:p w14:paraId="5646A6F4">
      <w:pPr>
        <w:spacing w:line="440" w:lineRule="exact"/>
        <w:ind w:left="3725" w:leftChars="1552"/>
        <w:rPr>
          <w:rFonts w:hAnsi="宋体" w:cs="宋体"/>
          <w:szCs w:val="24"/>
          <w:highlight w:val="none"/>
        </w:rPr>
      </w:pPr>
    </w:p>
    <w:p w14:paraId="7A3E1B40">
      <w:pPr>
        <w:spacing w:line="440" w:lineRule="exact"/>
        <w:ind w:left="3725" w:leftChars="1552"/>
        <w:rPr>
          <w:rFonts w:hAnsi="宋体" w:cs="宋体"/>
          <w:szCs w:val="24"/>
          <w:highlight w:val="none"/>
        </w:rPr>
      </w:pPr>
      <w:r>
        <w:rPr>
          <w:rFonts w:hint="eastAsia" w:hAnsi="宋体" w:cs="宋体"/>
          <w:szCs w:val="24"/>
          <w:highlight w:val="none"/>
        </w:rPr>
        <w:t>公      章：</w:t>
      </w:r>
    </w:p>
    <w:p w14:paraId="72E09320">
      <w:pPr>
        <w:spacing w:line="440" w:lineRule="exact"/>
        <w:ind w:firstLine="3734" w:firstLineChars="1556"/>
        <w:rPr>
          <w:rFonts w:hAnsi="宋体" w:cs="宋体"/>
          <w:szCs w:val="24"/>
          <w:highlight w:val="none"/>
        </w:rPr>
      </w:pPr>
    </w:p>
    <w:p w14:paraId="4F6109F7">
      <w:pPr>
        <w:spacing w:line="440" w:lineRule="exact"/>
        <w:ind w:firstLine="3734" w:firstLineChars="1556"/>
        <w:rPr>
          <w:rFonts w:hAnsi="宋体" w:cs="宋体"/>
          <w:szCs w:val="24"/>
          <w:highlight w:val="none"/>
        </w:rPr>
      </w:pPr>
      <w:r>
        <w:rPr>
          <w:rFonts w:hint="eastAsia" w:hAnsi="宋体" w:cs="宋体"/>
          <w:szCs w:val="24"/>
          <w:highlight w:val="none"/>
        </w:rPr>
        <w:t>日      期：</w:t>
      </w:r>
    </w:p>
    <w:p w14:paraId="18EBA388">
      <w:pPr>
        <w:rPr>
          <w:highlight w:val="none"/>
        </w:rPr>
      </w:pPr>
      <w:r>
        <w:rPr>
          <w:rFonts w:hint="eastAsia"/>
          <w:highlight w:val="none"/>
        </w:rPr>
        <w:t xml:space="preserve"> </w:t>
      </w:r>
    </w:p>
    <w:p w14:paraId="34C8650C">
      <w:pPr>
        <w:rPr>
          <w:highlight w:val="none"/>
        </w:rPr>
        <w:sectPr>
          <w:headerReference r:id="rId9" w:type="default"/>
          <w:footerReference r:id="rId11" w:type="default"/>
          <w:headerReference r:id="rId10" w:type="even"/>
          <w:pgSz w:w="11906" w:h="16838"/>
          <w:pgMar w:top="1276" w:right="1134" w:bottom="1134" w:left="1417" w:header="851" w:footer="992" w:gutter="0"/>
          <w:pgNumType w:fmt="decimal"/>
          <w:cols w:space="720" w:num="1"/>
          <w:docGrid w:type="lines" w:linePitch="312" w:charSpace="0"/>
        </w:sectPr>
      </w:pPr>
      <w:r>
        <w:rPr>
          <w:rFonts w:hint="eastAsia"/>
          <w:highlight w:val="none"/>
        </w:rPr>
        <w:t xml:space="preserve"> </w:t>
      </w:r>
    </w:p>
    <w:p w14:paraId="5E7D6929">
      <w:pPr>
        <w:spacing w:line="440" w:lineRule="exact"/>
        <w:rPr>
          <w:rFonts w:hAnsi="宋体" w:cs="宋体"/>
          <w:szCs w:val="24"/>
          <w:highlight w:val="none"/>
        </w:rPr>
      </w:pPr>
    </w:p>
    <w:p w14:paraId="14200251">
      <w:pPr>
        <w:spacing w:line="440" w:lineRule="exact"/>
        <w:jc w:val="center"/>
        <w:outlineLvl w:val="2"/>
        <w:rPr>
          <w:rFonts w:hAnsi="宋体" w:cs="宋体"/>
          <w:sz w:val="32"/>
          <w:szCs w:val="32"/>
          <w:highlight w:val="none"/>
        </w:rPr>
      </w:pPr>
      <w:bookmarkStart w:id="632" w:name="_Toc21284"/>
      <w:bookmarkStart w:id="633" w:name="_Toc2621"/>
      <w:bookmarkStart w:id="634" w:name="_Toc23455"/>
      <w:bookmarkStart w:id="635" w:name="_Toc1379"/>
      <w:bookmarkStart w:id="636" w:name="_Toc9218"/>
      <w:r>
        <w:rPr>
          <w:rFonts w:hint="eastAsia" w:hAnsi="宋体" w:cs="宋体"/>
          <w:b/>
          <w:bCs/>
          <w:sz w:val="32"/>
          <w:szCs w:val="32"/>
          <w:highlight w:val="none"/>
        </w:rPr>
        <w:t>四、</w:t>
      </w:r>
      <w:bookmarkEnd w:id="632"/>
      <w:bookmarkEnd w:id="633"/>
      <w:bookmarkEnd w:id="634"/>
      <w:bookmarkEnd w:id="635"/>
      <w:bookmarkEnd w:id="636"/>
      <w:r>
        <w:rPr>
          <w:rFonts w:hint="eastAsia" w:hAnsi="宋体" w:cs="宋体"/>
          <w:b/>
          <w:bCs/>
          <w:sz w:val="32"/>
          <w:szCs w:val="32"/>
          <w:highlight w:val="none"/>
        </w:rPr>
        <w:t>商务条款偏离表</w:t>
      </w:r>
    </w:p>
    <w:p w14:paraId="2267AAA2">
      <w:pPr>
        <w:pStyle w:val="14"/>
        <w:widowControl w:val="0"/>
        <w:spacing w:before="0" w:beforeAutospacing="0" w:after="0" w:afterAutospacing="0"/>
        <w:jc w:val="both"/>
        <w:rPr>
          <w:rFonts w:cs="宋体"/>
          <w:highlight w:val="none"/>
        </w:rPr>
      </w:pPr>
    </w:p>
    <w:p w14:paraId="160A77A3">
      <w:pPr>
        <w:pStyle w:val="14"/>
        <w:widowControl w:val="0"/>
        <w:spacing w:before="156" w:beforeLines="50" w:beforeAutospacing="0" w:after="156" w:afterLines="50" w:afterAutospacing="0"/>
        <w:rPr>
          <w:rFonts w:cs="宋体"/>
          <w:highlight w:val="none"/>
        </w:rPr>
      </w:pPr>
      <w:r>
        <w:rPr>
          <w:rFonts w:hint="eastAsia" w:cs="宋体"/>
          <w:highlight w:val="none"/>
        </w:rPr>
        <w:t>项目名称：</w:t>
      </w:r>
    </w:p>
    <w:p w14:paraId="130D97D8">
      <w:pPr>
        <w:pStyle w:val="14"/>
        <w:widowControl w:val="0"/>
        <w:spacing w:before="156" w:beforeLines="50" w:beforeAutospacing="0" w:after="156" w:afterLines="50" w:afterAutospacing="0"/>
        <w:rPr>
          <w:rFonts w:cs="宋体"/>
          <w:highlight w:val="none"/>
          <w:u w:val="single"/>
        </w:rPr>
      </w:pPr>
      <w:r>
        <w:rPr>
          <w:rFonts w:hint="eastAsia" w:cs="宋体"/>
          <w:highlight w:val="none"/>
        </w:rPr>
        <w:t>项目编号：</w:t>
      </w:r>
    </w:p>
    <w:p w14:paraId="31A1CDC7">
      <w:pPr>
        <w:pStyle w:val="14"/>
        <w:widowControl w:val="0"/>
        <w:spacing w:before="0" w:beforeAutospacing="0" w:after="0" w:afterAutospacing="0"/>
        <w:ind w:firstLine="480" w:firstLineChars="200"/>
        <w:jc w:val="center"/>
        <w:rPr>
          <w:rFonts w:cs="宋体"/>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3013"/>
        <w:gridCol w:w="1428"/>
        <w:gridCol w:w="1253"/>
      </w:tblGrid>
      <w:tr w14:paraId="21FC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C431E68">
            <w:pPr>
              <w:pStyle w:val="14"/>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6B4DFDCB">
            <w:pPr>
              <w:pStyle w:val="14"/>
              <w:widowControl w:val="0"/>
              <w:spacing w:before="0" w:beforeAutospacing="0" w:after="0" w:afterAutospacing="0"/>
              <w:jc w:val="center"/>
              <w:rPr>
                <w:rFonts w:cs="宋体"/>
                <w:highlight w:val="none"/>
              </w:rPr>
            </w:pPr>
            <w:r>
              <w:rPr>
                <w:rFonts w:hint="eastAsia" w:cs="宋体"/>
                <w:highlight w:val="none"/>
              </w:rPr>
              <w:t>磋商文件的商务条款</w:t>
            </w:r>
          </w:p>
        </w:tc>
        <w:tc>
          <w:tcPr>
            <w:tcW w:w="3013" w:type="dxa"/>
            <w:tcBorders>
              <w:top w:val="single" w:color="auto" w:sz="4" w:space="0"/>
              <w:left w:val="single" w:color="auto" w:sz="4" w:space="0"/>
              <w:bottom w:val="single" w:color="auto" w:sz="4" w:space="0"/>
              <w:right w:val="single" w:color="auto" w:sz="4" w:space="0"/>
            </w:tcBorders>
            <w:vAlign w:val="center"/>
          </w:tcPr>
          <w:p w14:paraId="0BCA53BD">
            <w:pPr>
              <w:pStyle w:val="14"/>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428" w:type="dxa"/>
            <w:tcBorders>
              <w:top w:val="single" w:color="auto" w:sz="4" w:space="0"/>
              <w:left w:val="single" w:color="auto" w:sz="4" w:space="0"/>
              <w:bottom w:val="single" w:color="auto" w:sz="4" w:space="0"/>
              <w:right w:val="single" w:color="auto" w:sz="4" w:space="0"/>
            </w:tcBorders>
            <w:vAlign w:val="center"/>
          </w:tcPr>
          <w:p w14:paraId="43A89A64">
            <w:pPr>
              <w:pStyle w:val="14"/>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4502430B">
            <w:pPr>
              <w:pStyle w:val="14"/>
              <w:widowControl w:val="0"/>
              <w:spacing w:before="0" w:beforeAutospacing="0" w:after="0" w:afterAutospacing="0"/>
              <w:jc w:val="center"/>
              <w:rPr>
                <w:rFonts w:cs="宋体"/>
                <w:highlight w:val="none"/>
              </w:rPr>
            </w:pPr>
            <w:r>
              <w:rPr>
                <w:rFonts w:hint="eastAsia" w:cs="宋体"/>
                <w:highlight w:val="none"/>
              </w:rPr>
              <w:t>说明</w:t>
            </w:r>
          </w:p>
        </w:tc>
      </w:tr>
      <w:tr w14:paraId="5E09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CCB47A7">
            <w:pPr>
              <w:pStyle w:val="14"/>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6F19B8D">
            <w:pPr>
              <w:pStyle w:val="14"/>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26947325">
            <w:pPr>
              <w:pStyle w:val="14"/>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07675812">
            <w:pPr>
              <w:pStyle w:val="14"/>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270EACB">
            <w:pPr>
              <w:pStyle w:val="14"/>
              <w:widowControl w:val="0"/>
              <w:spacing w:before="0" w:beforeAutospacing="0" w:after="0" w:afterAutospacing="0"/>
              <w:ind w:firstLine="480" w:firstLineChars="200"/>
              <w:jc w:val="center"/>
              <w:rPr>
                <w:rFonts w:cs="宋体"/>
                <w:highlight w:val="none"/>
              </w:rPr>
            </w:pPr>
          </w:p>
        </w:tc>
      </w:tr>
      <w:tr w14:paraId="5FF9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DEC1D96">
            <w:pPr>
              <w:pStyle w:val="14"/>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BA1850F">
            <w:pPr>
              <w:pStyle w:val="14"/>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49ECE8AE">
            <w:pPr>
              <w:pStyle w:val="14"/>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59415213">
            <w:pPr>
              <w:pStyle w:val="14"/>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8979914">
            <w:pPr>
              <w:pStyle w:val="14"/>
              <w:widowControl w:val="0"/>
              <w:spacing w:before="0" w:beforeAutospacing="0" w:after="0" w:afterAutospacing="0"/>
              <w:ind w:firstLine="480" w:firstLineChars="200"/>
              <w:jc w:val="center"/>
              <w:rPr>
                <w:rFonts w:cs="宋体"/>
                <w:highlight w:val="none"/>
              </w:rPr>
            </w:pPr>
          </w:p>
        </w:tc>
      </w:tr>
      <w:tr w14:paraId="6070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1E47655">
            <w:pPr>
              <w:pStyle w:val="14"/>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B8EF32C">
            <w:pPr>
              <w:pStyle w:val="14"/>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065F9BC6">
            <w:pPr>
              <w:pStyle w:val="14"/>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49C1F7C3">
            <w:pPr>
              <w:pStyle w:val="14"/>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52B291A">
            <w:pPr>
              <w:pStyle w:val="14"/>
              <w:widowControl w:val="0"/>
              <w:spacing w:before="0" w:beforeAutospacing="0" w:after="0" w:afterAutospacing="0"/>
              <w:ind w:firstLine="480" w:firstLineChars="200"/>
              <w:jc w:val="center"/>
              <w:rPr>
                <w:rFonts w:cs="宋体"/>
                <w:highlight w:val="none"/>
              </w:rPr>
            </w:pPr>
          </w:p>
        </w:tc>
      </w:tr>
      <w:tr w14:paraId="7136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6F984C4">
            <w:pPr>
              <w:pStyle w:val="14"/>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5B8E7FF">
            <w:pPr>
              <w:pStyle w:val="14"/>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78EA9FC7">
            <w:pPr>
              <w:pStyle w:val="14"/>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6D85C531">
            <w:pPr>
              <w:pStyle w:val="14"/>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1F57789">
            <w:pPr>
              <w:pStyle w:val="14"/>
              <w:widowControl w:val="0"/>
              <w:spacing w:before="0" w:beforeAutospacing="0" w:after="0" w:afterAutospacing="0"/>
              <w:ind w:firstLine="480" w:firstLineChars="200"/>
              <w:jc w:val="center"/>
              <w:rPr>
                <w:rFonts w:cs="宋体"/>
                <w:highlight w:val="none"/>
              </w:rPr>
            </w:pPr>
          </w:p>
        </w:tc>
      </w:tr>
      <w:tr w14:paraId="629B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8E5709E">
            <w:pPr>
              <w:pStyle w:val="14"/>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40408FC">
            <w:pPr>
              <w:pStyle w:val="14"/>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1A3B7323">
            <w:pPr>
              <w:pStyle w:val="14"/>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6CF72768">
            <w:pPr>
              <w:pStyle w:val="14"/>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D3D9F4B">
            <w:pPr>
              <w:pStyle w:val="14"/>
              <w:widowControl w:val="0"/>
              <w:spacing w:before="0" w:beforeAutospacing="0" w:after="0" w:afterAutospacing="0"/>
              <w:ind w:firstLine="480" w:firstLineChars="200"/>
              <w:jc w:val="center"/>
              <w:rPr>
                <w:rFonts w:cs="宋体"/>
                <w:highlight w:val="none"/>
              </w:rPr>
            </w:pPr>
          </w:p>
        </w:tc>
      </w:tr>
      <w:tr w14:paraId="4A81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EC67103">
            <w:pPr>
              <w:pStyle w:val="14"/>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CCD5558">
            <w:pPr>
              <w:pStyle w:val="14"/>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507E5D5B">
            <w:pPr>
              <w:pStyle w:val="14"/>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007C1239">
            <w:pPr>
              <w:pStyle w:val="14"/>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3203719">
            <w:pPr>
              <w:pStyle w:val="14"/>
              <w:widowControl w:val="0"/>
              <w:spacing w:before="0" w:beforeAutospacing="0" w:after="0" w:afterAutospacing="0"/>
              <w:ind w:firstLine="480" w:firstLineChars="200"/>
              <w:jc w:val="center"/>
              <w:rPr>
                <w:rFonts w:cs="宋体"/>
                <w:highlight w:val="none"/>
              </w:rPr>
            </w:pPr>
          </w:p>
        </w:tc>
      </w:tr>
      <w:tr w14:paraId="3054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D7905B8">
            <w:pPr>
              <w:pStyle w:val="14"/>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56DBD2E">
            <w:pPr>
              <w:pStyle w:val="14"/>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1B43326C">
            <w:pPr>
              <w:pStyle w:val="14"/>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445332A2">
            <w:pPr>
              <w:pStyle w:val="14"/>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9ADF643">
            <w:pPr>
              <w:pStyle w:val="14"/>
              <w:widowControl w:val="0"/>
              <w:spacing w:before="0" w:beforeAutospacing="0" w:after="0" w:afterAutospacing="0"/>
              <w:ind w:firstLine="480" w:firstLineChars="200"/>
              <w:jc w:val="center"/>
              <w:rPr>
                <w:rFonts w:cs="宋体"/>
                <w:highlight w:val="none"/>
              </w:rPr>
            </w:pPr>
          </w:p>
        </w:tc>
      </w:tr>
    </w:tbl>
    <w:p w14:paraId="37C24887">
      <w:pPr>
        <w:pStyle w:val="14"/>
        <w:widowControl w:val="0"/>
        <w:spacing w:before="0" w:beforeAutospacing="0" w:after="0" w:afterAutospacing="0"/>
        <w:rPr>
          <w:rFonts w:cs="宋体"/>
          <w:highlight w:val="none"/>
        </w:rPr>
      </w:pPr>
      <w:r>
        <w:rPr>
          <w:rFonts w:hint="eastAsia" w:cs="宋体"/>
          <w:highlight w:val="none"/>
        </w:rPr>
        <w:t>说明：</w:t>
      </w:r>
    </w:p>
    <w:p w14:paraId="2BFEF5DF">
      <w:pPr>
        <w:pStyle w:val="14"/>
        <w:widowControl w:val="0"/>
        <w:spacing w:before="0" w:beforeAutospacing="0" w:after="0" w:afterAutospacing="0"/>
        <w:ind w:firstLine="480" w:firstLineChars="200"/>
        <w:jc w:val="both"/>
        <w:rPr>
          <w:rFonts w:cs="宋体"/>
          <w:highlight w:val="none"/>
        </w:rPr>
      </w:pPr>
      <w:r>
        <w:rPr>
          <w:rFonts w:hint="eastAsia" w:cs="宋体"/>
          <w:highlight w:val="none"/>
        </w:rPr>
        <w:t>1.参照第四章合同条款要求内容进行响应。</w:t>
      </w:r>
    </w:p>
    <w:p w14:paraId="75A45AE0">
      <w:pPr>
        <w:pStyle w:val="14"/>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14:paraId="1D8F2F8C">
      <w:pPr>
        <w:pStyle w:val="14"/>
        <w:widowControl w:val="0"/>
        <w:spacing w:before="0" w:beforeAutospacing="0" w:after="0" w:afterAutospacing="0"/>
        <w:ind w:firstLine="480" w:firstLineChars="200"/>
        <w:rPr>
          <w:rFonts w:cs="宋体"/>
          <w:highlight w:val="none"/>
        </w:rPr>
      </w:pPr>
      <w:r>
        <w:rPr>
          <w:rFonts w:hint="eastAsia" w:cs="宋体"/>
          <w:highlight w:val="none"/>
        </w:rPr>
        <w:t>2.供应商必须据实填写，不得虚假响应，否则将取消其磋商或成交资格，并按有关规定</w:t>
      </w:r>
      <w:r>
        <w:rPr>
          <w:rFonts w:hint="eastAsia" w:cs="宋体"/>
          <w:highlight w:val="none"/>
          <w:lang w:eastAsia="zh-CN"/>
        </w:rPr>
        <w:t>进行处罚</w:t>
      </w:r>
      <w:r>
        <w:rPr>
          <w:rFonts w:hint="eastAsia" w:cs="宋体"/>
          <w:highlight w:val="none"/>
        </w:rPr>
        <w:t>。</w:t>
      </w:r>
    </w:p>
    <w:p w14:paraId="69EA9557">
      <w:pPr>
        <w:pStyle w:val="14"/>
        <w:widowControl w:val="0"/>
        <w:spacing w:before="0" w:beforeAutospacing="0" w:after="0" w:afterAutospacing="0"/>
        <w:ind w:firstLine="480" w:firstLineChars="200"/>
        <w:jc w:val="center"/>
        <w:rPr>
          <w:rFonts w:cs="宋体"/>
          <w:highlight w:val="none"/>
        </w:rPr>
      </w:pPr>
    </w:p>
    <w:p w14:paraId="30BD7D43">
      <w:pPr>
        <w:pStyle w:val="14"/>
        <w:widowControl w:val="0"/>
        <w:spacing w:before="0" w:beforeAutospacing="0" w:after="0" w:afterAutospacing="0"/>
        <w:ind w:firstLine="480" w:firstLineChars="200"/>
        <w:rPr>
          <w:rFonts w:cs="宋体"/>
          <w:highlight w:val="none"/>
        </w:rPr>
      </w:pPr>
      <w:r>
        <w:rPr>
          <w:rFonts w:hint="eastAsia" w:cs="宋体"/>
          <w:highlight w:val="none"/>
        </w:rPr>
        <w:t xml:space="preserve">供应商名称：                       </w:t>
      </w:r>
      <w:r>
        <w:rPr>
          <w:rFonts w:hint="eastAsia" w:cs="宋体"/>
          <w:highlight w:val="none"/>
          <w:lang w:val="en-US" w:eastAsia="zh-CN"/>
        </w:rPr>
        <w:t xml:space="preserve">    </w:t>
      </w:r>
      <w:r>
        <w:rPr>
          <w:rFonts w:hint="eastAsia" w:cs="宋体"/>
          <w:highlight w:val="none"/>
        </w:rPr>
        <w:t>（单位公章）</w:t>
      </w:r>
    </w:p>
    <w:p w14:paraId="744EEB2B">
      <w:pPr>
        <w:pStyle w:val="14"/>
        <w:widowControl w:val="0"/>
        <w:spacing w:before="0" w:beforeAutospacing="0" w:after="0" w:afterAutospacing="0"/>
        <w:ind w:firstLine="480" w:firstLineChars="200"/>
        <w:jc w:val="center"/>
        <w:rPr>
          <w:rFonts w:cs="宋体"/>
          <w:highlight w:val="none"/>
        </w:rPr>
      </w:pPr>
    </w:p>
    <w:p w14:paraId="1B90E93B">
      <w:pPr>
        <w:spacing w:line="400" w:lineRule="exact"/>
        <w:ind w:firstLine="480" w:firstLineChars="200"/>
        <w:rPr>
          <w:rFonts w:hAnsi="宋体" w:cs="宋体"/>
          <w:szCs w:val="24"/>
          <w:highlight w:val="none"/>
        </w:rPr>
      </w:pPr>
      <w:r>
        <w:rPr>
          <w:rFonts w:hint="eastAsia" w:hAnsi="宋体" w:cs="宋体"/>
          <w:highlight w:val="none"/>
        </w:rPr>
        <w:t>法定代表人或委托代理人：              （签字</w:t>
      </w:r>
      <w:r>
        <w:rPr>
          <w:rFonts w:hint="eastAsia" w:hAnsi="宋体" w:cs="宋体"/>
          <w:highlight w:val="none"/>
          <w:lang w:val="en-US" w:eastAsia="zh-CN"/>
        </w:rPr>
        <w:t>或盖章</w:t>
      </w:r>
      <w:r>
        <w:rPr>
          <w:rFonts w:hint="eastAsia" w:hAnsi="宋体" w:cs="宋体"/>
          <w:highlight w:val="none"/>
        </w:rPr>
        <w:t xml:space="preserve">） </w:t>
      </w:r>
    </w:p>
    <w:p w14:paraId="44F05D59">
      <w:pPr>
        <w:spacing w:line="360" w:lineRule="auto"/>
        <w:ind w:left="600" w:leftChars="250"/>
        <w:rPr>
          <w:rFonts w:hAnsi="宋体" w:cs="宋体"/>
          <w:b/>
          <w:bCs/>
          <w:sz w:val="28"/>
          <w:szCs w:val="28"/>
          <w:highlight w:val="none"/>
        </w:rPr>
      </w:pPr>
    </w:p>
    <w:p w14:paraId="19B22B91">
      <w:pPr>
        <w:spacing w:line="440" w:lineRule="exact"/>
        <w:ind w:left="3725" w:leftChars="1552"/>
        <w:rPr>
          <w:rFonts w:hAnsi="宋体" w:cs="宋体"/>
          <w:szCs w:val="24"/>
          <w:highlight w:val="none"/>
        </w:rPr>
      </w:pPr>
    </w:p>
    <w:p w14:paraId="43E201CF">
      <w:pPr>
        <w:spacing w:line="440" w:lineRule="exact"/>
        <w:ind w:left="3725" w:leftChars="1552"/>
        <w:rPr>
          <w:rFonts w:hAnsi="宋体" w:cs="宋体"/>
          <w:szCs w:val="24"/>
          <w:highlight w:val="none"/>
        </w:rPr>
      </w:pPr>
    </w:p>
    <w:p w14:paraId="2BBD6024">
      <w:pPr>
        <w:spacing w:line="440" w:lineRule="exact"/>
        <w:ind w:left="3725" w:leftChars="1552"/>
        <w:rPr>
          <w:rFonts w:hAnsi="宋体" w:cs="宋体"/>
          <w:szCs w:val="24"/>
          <w:highlight w:val="none"/>
        </w:rPr>
      </w:pPr>
    </w:p>
    <w:bookmarkEnd w:id="631"/>
    <w:p w14:paraId="4A33F415">
      <w:pPr>
        <w:spacing w:line="360" w:lineRule="auto"/>
        <w:jc w:val="center"/>
        <w:outlineLvl w:val="2"/>
        <w:rPr>
          <w:rFonts w:hAnsi="宋体" w:cs="宋体"/>
          <w:b/>
          <w:bCs/>
          <w:sz w:val="30"/>
          <w:szCs w:val="30"/>
          <w:highlight w:val="none"/>
        </w:rPr>
      </w:pPr>
      <w:bookmarkStart w:id="637" w:name="_Toc363474033"/>
      <w:bookmarkStart w:id="638" w:name="_Toc403077656"/>
      <w:r>
        <w:rPr>
          <w:rFonts w:hint="eastAsia" w:hAnsi="宋体" w:cs="宋体"/>
          <w:b/>
          <w:bCs/>
          <w:sz w:val="30"/>
          <w:szCs w:val="30"/>
          <w:highlight w:val="none"/>
        </w:rPr>
        <w:br w:type="page"/>
      </w:r>
      <w:r>
        <w:rPr>
          <w:rFonts w:hint="eastAsia" w:hAnsi="宋体" w:cs="宋体"/>
          <w:b/>
          <w:bCs/>
          <w:sz w:val="30"/>
          <w:szCs w:val="30"/>
          <w:highlight w:val="none"/>
        </w:rPr>
        <w:t>五、陕西省政府采购供应商拒绝政府采购领域商业贿赂承诺书</w:t>
      </w:r>
      <w:bookmarkEnd w:id="637"/>
      <w:bookmarkEnd w:id="638"/>
    </w:p>
    <w:p w14:paraId="0E4E827C">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14:paraId="7545C823">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14:paraId="693A9FA1">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14:paraId="3AD54EAC">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14:paraId="3D1F9A27">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4、不采取“围标、陪标”等商业欺诈手段获得政府采购定单。</w:t>
      </w:r>
    </w:p>
    <w:p w14:paraId="22F2AAFF">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14:paraId="1D23038C">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14:paraId="01A10D85">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7、不与采购人、采购代理机构政府采购评审专家或其它供应商恶意串通，进行质疑和投诉，维护政府采购市场秩序。</w:t>
      </w:r>
    </w:p>
    <w:p w14:paraId="4E434281">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14:paraId="1C8932CC">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14:paraId="120B7693">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14:paraId="47C85E12">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p>
    <w:p w14:paraId="23CAB07D">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14:paraId="0C27EC8C">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14:paraId="138D1B44">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14:paraId="5AC65B9D">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14:paraId="7F9EE2CC">
      <w:pPr>
        <w:jc w:val="center"/>
        <w:outlineLvl w:val="2"/>
        <w:rPr>
          <w:rFonts w:hAnsi="宋体" w:cs="宋体"/>
          <w:b/>
          <w:bCs/>
          <w:sz w:val="30"/>
          <w:szCs w:val="30"/>
          <w:highlight w:val="none"/>
        </w:rPr>
      </w:pPr>
      <w:bookmarkStart w:id="639" w:name="_Toc403077657"/>
      <w:bookmarkStart w:id="640" w:name="_Toc363474034"/>
      <w:r>
        <w:rPr>
          <w:rFonts w:hint="eastAsia" w:hAnsi="宋体" w:cs="宋体"/>
          <w:b/>
          <w:bCs/>
          <w:sz w:val="30"/>
          <w:szCs w:val="30"/>
          <w:highlight w:val="none"/>
        </w:rPr>
        <w:br w:type="page"/>
      </w:r>
      <w:r>
        <w:rPr>
          <w:rFonts w:hint="eastAsia" w:hAnsi="宋体" w:cs="宋体"/>
          <w:b/>
          <w:bCs/>
          <w:sz w:val="30"/>
          <w:szCs w:val="30"/>
          <w:highlight w:val="none"/>
        </w:rPr>
        <w:t>六、特定资格证明文件</w:t>
      </w:r>
      <w:bookmarkEnd w:id="639"/>
      <w:bookmarkEnd w:id="640"/>
    </w:p>
    <w:p w14:paraId="43763309">
      <w:pPr>
        <w:spacing w:line="560" w:lineRule="exact"/>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（1）提供合格有效的法人或者其他组织的营业执照等证明文件，自然人的身份证明；</w:t>
      </w:r>
    </w:p>
    <w:p w14:paraId="61EE7802">
      <w:pPr>
        <w:spacing w:line="560" w:lineRule="exact"/>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（2）提供法定代表人授权书（附法定代表人、被授权人身份证复印件）及被授权人身份证原件（法定代表人直接参加投标，须提供法定代表人身份证明及身份证原件）；</w:t>
      </w:r>
    </w:p>
    <w:p w14:paraId="15C9DD97">
      <w:pPr>
        <w:spacing w:line="560" w:lineRule="exact"/>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（3）财务状况报告：提供 2023 年度的财务审计报告（至少包括资产负债表和利润表，成立时间至提交投标文件截止时间不足一年的可提供成立后任意时段的资产负债表），或开标时间前六个月内银行出具的资信证明；</w:t>
      </w:r>
    </w:p>
    <w:p w14:paraId="14DAF1EE">
      <w:pPr>
        <w:spacing w:line="560" w:lineRule="exact"/>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（4）税收缴纳证明：提供投标截止日前近一年内任意一个月的纳税证明或完税证明（任意税种），依法免税的单位应提供相关证明材料；</w:t>
      </w:r>
    </w:p>
    <w:p w14:paraId="3C328FBD">
      <w:pPr>
        <w:spacing w:line="560" w:lineRule="exact"/>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（5）社会保障资金缴纳证明：提供投标截止日前近一年内任意一个月的社会保障资金缴存单据或社保机构开具的社会保险参保缴费情况证明，依法不需要缴纳社会保障资金的单位应提供相关证明材料；</w:t>
      </w:r>
    </w:p>
    <w:p w14:paraId="05462388">
      <w:pPr>
        <w:spacing w:line="560" w:lineRule="exact"/>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（6）供应商应通过“信用中国”网站(www.creditchina.gov.cn)、中国政府采购网(www.ccgp.gov.cn)查询相关主体信用记录；</w:t>
      </w:r>
    </w:p>
    <w:p w14:paraId="4F3612EB">
      <w:pPr>
        <w:spacing w:line="560" w:lineRule="exact"/>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（7）参加政府采购活动前 3 年内，在经营活动中没有重大违法记录的书面声明；</w:t>
      </w:r>
    </w:p>
    <w:p w14:paraId="660957F9">
      <w:pPr>
        <w:spacing w:line="560" w:lineRule="exact"/>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（8）提供具有履行本合同所必需的设备和专业技术能力的声明；</w:t>
      </w:r>
    </w:p>
    <w:p w14:paraId="2833464F">
      <w:pPr>
        <w:spacing w:line="560" w:lineRule="exact"/>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（9）供应商须具有建设行政主管部门颁发的建筑工程施工总承包三级及以上资质，并具有合格有效的安全生产许可证；</w:t>
      </w:r>
    </w:p>
    <w:p w14:paraId="4A6FAA7C">
      <w:pPr>
        <w:spacing w:line="560" w:lineRule="exact"/>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（10）拟派项目经理需具备建筑工程专业二级及以上（含二级）注册建造师证书和安全生产考核 B 证，提供无在建工程声明；</w:t>
      </w:r>
    </w:p>
    <w:p w14:paraId="09103EE8">
      <w:pPr>
        <w:spacing w:line="560" w:lineRule="exact"/>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（11）本项目不接受联合体磋商；</w:t>
      </w:r>
    </w:p>
    <w:p w14:paraId="472A949B">
      <w:pPr>
        <w:spacing w:line="560" w:lineRule="exact"/>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（12）供应商须提供中小企业声明函。</w:t>
      </w:r>
    </w:p>
    <w:p w14:paraId="126828E7">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735942F6">
      <w:pPr>
        <w:jc w:val="center"/>
        <w:outlineLvl w:val="2"/>
        <w:rPr>
          <w:rFonts w:hAnsi="宋体" w:cs="宋体"/>
          <w:b/>
          <w:bCs/>
          <w:sz w:val="30"/>
          <w:szCs w:val="30"/>
          <w:highlight w:val="none"/>
        </w:rPr>
      </w:pPr>
      <w:r>
        <w:rPr>
          <w:rFonts w:hint="eastAsia" w:hAnsi="宋体" w:cs="宋体"/>
          <w:szCs w:val="24"/>
          <w:highlight w:val="none"/>
        </w:rPr>
        <w:br w:type="page"/>
      </w:r>
      <w:r>
        <w:rPr>
          <w:rFonts w:hint="eastAsia" w:hAnsi="宋体" w:cs="宋体"/>
          <w:b/>
          <w:bCs/>
          <w:sz w:val="30"/>
          <w:szCs w:val="30"/>
          <w:highlight w:val="none"/>
        </w:rPr>
        <w:t>七、其它</w:t>
      </w:r>
    </w:p>
    <w:p w14:paraId="72D4D429">
      <w:pPr>
        <w:pStyle w:val="6"/>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14:paraId="34C44A19">
      <w:pPr>
        <w:pStyle w:val="6"/>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0155EA61">
      <w:pPr>
        <w:spacing w:before="156" w:beforeLines="50" w:after="156" w:afterLines="50" w:line="500" w:lineRule="exact"/>
        <w:rPr>
          <w:rFonts w:hAnsi="宋体" w:cs="宋体"/>
          <w:b/>
          <w:sz w:val="28"/>
          <w:szCs w:val="28"/>
          <w:highlight w:val="none"/>
        </w:rPr>
      </w:pPr>
      <w:r>
        <w:rPr>
          <w:rFonts w:hint="eastAsia" w:hAnsi="宋体" w:cs="宋体"/>
          <w:szCs w:val="24"/>
          <w:highlight w:val="none"/>
        </w:rPr>
        <w:br w:type="page"/>
      </w:r>
      <w:r>
        <w:rPr>
          <w:rFonts w:hint="eastAsia" w:hAnsi="宋体" w:cs="宋体"/>
          <w:b/>
          <w:sz w:val="28"/>
          <w:szCs w:val="28"/>
          <w:highlight w:val="none"/>
        </w:rPr>
        <w:t>附件1：</w:t>
      </w:r>
    </w:p>
    <w:p w14:paraId="7BC93D8C">
      <w:pPr>
        <w:keepNext/>
        <w:spacing w:before="312" w:beforeLines="100" w:line="360" w:lineRule="auto"/>
        <w:rPr>
          <w:rFonts w:hAnsi="宋体" w:cs="宋体"/>
          <w:sz w:val="32"/>
          <w:szCs w:val="32"/>
          <w:highlight w:val="none"/>
        </w:rPr>
      </w:pPr>
      <w:bookmarkStart w:id="641" w:name="_Toc363474028"/>
      <w:bookmarkStart w:id="642" w:name="_Toc403077649"/>
      <w:r>
        <w:rPr>
          <w:rFonts w:hint="eastAsia" w:hAnsi="宋体" w:cs="宋体"/>
          <w:sz w:val="32"/>
          <w:szCs w:val="32"/>
          <w:highlight w:val="none"/>
        </w:rPr>
        <w:t>法定代表人身份证明/法定代表人授权书</w:t>
      </w:r>
      <w:bookmarkEnd w:id="641"/>
      <w:bookmarkEnd w:id="642"/>
    </w:p>
    <w:p w14:paraId="4E260579">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4D6C2F74">
      <w:pPr>
        <w:pStyle w:val="6"/>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14:paraId="0128AA4E">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14:paraId="56B06862">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30EB6B89">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31044C48">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7CD684BA">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05BCE8A9">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年龄：</w:t>
      </w:r>
      <w:r>
        <w:rPr>
          <w:rFonts w:hint="eastAsia" w:hAnsi="宋体" w:cs="宋体"/>
          <w:highlight w:val="none"/>
          <w:u w:val="single"/>
        </w:rPr>
        <w:t xml:space="preserve">   </w:t>
      </w:r>
      <w:r>
        <w:rPr>
          <w:rFonts w:hint="eastAsia" w:hAnsi="宋体" w:cs="宋体"/>
          <w:highlight w:val="none"/>
        </w:rPr>
        <w:t>系</w:t>
      </w:r>
      <w:r>
        <w:rPr>
          <w:rFonts w:hint="eastAsia" w:hAnsi="宋体" w:cs="宋体"/>
          <w:highlight w:val="none"/>
          <w:u w:val="single"/>
        </w:rPr>
        <w:t xml:space="preserve">            </w:t>
      </w:r>
      <w:r>
        <w:rPr>
          <w:rFonts w:hint="eastAsia" w:hAnsi="宋体" w:cs="宋体"/>
          <w:highlight w:val="none"/>
        </w:rPr>
        <w:t>（供应商名称）的法定代表人。</w:t>
      </w:r>
    </w:p>
    <w:p w14:paraId="41892242">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2BE9C06F">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16"/>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7BE9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0A26702E">
            <w:pPr>
              <w:snapToGrid w:val="0"/>
              <w:spacing w:line="480" w:lineRule="auto"/>
              <w:jc w:val="center"/>
              <w:rPr>
                <w:rFonts w:hAnsi="宋体" w:cs="宋体"/>
                <w:szCs w:val="21"/>
                <w:highlight w:val="none"/>
              </w:rPr>
            </w:pPr>
          </w:p>
          <w:p w14:paraId="1DC95F82">
            <w:pPr>
              <w:snapToGrid w:val="0"/>
              <w:spacing w:line="480" w:lineRule="auto"/>
              <w:jc w:val="center"/>
              <w:rPr>
                <w:rFonts w:hAnsi="宋体" w:cs="宋体"/>
                <w:szCs w:val="21"/>
                <w:highlight w:val="none"/>
              </w:rPr>
            </w:pPr>
          </w:p>
          <w:p w14:paraId="6551E66A">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02B3EA49">
            <w:pPr>
              <w:pStyle w:val="6"/>
              <w:jc w:val="center"/>
              <w:rPr>
                <w:rFonts w:ascii="宋体" w:hAnsi="宋体" w:cs="宋体"/>
                <w:highlight w:val="none"/>
              </w:rPr>
            </w:pPr>
            <w:r>
              <w:rPr>
                <w:rFonts w:hint="eastAsia" w:ascii="宋体" w:hAnsi="宋体" w:cs="宋体"/>
                <w:szCs w:val="21"/>
                <w:highlight w:val="none"/>
              </w:rPr>
              <w:t>（正反面）</w:t>
            </w:r>
          </w:p>
          <w:p w14:paraId="4C836A02">
            <w:pPr>
              <w:snapToGrid w:val="0"/>
              <w:spacing w:line="480" w:lineRule="auto"/>
              <w:jc w:val="center"/>
              <w:rPr>
                <w:rFonts w:hAnsi="宋体" w:cs="宋体"/>
                <w:szCs w:val="21"/>
                <w:highlight w:val="none"/>
              </w:rPr>
            </w:pPr>
          </w:p>
          <w:p w14:paraId="656EA6EF">
            <w:pPr>
              <w:snapToGrid w:val="0"/>
              <w:spacing w:line="480" w:lineRule="auto"/>
              <w:jc w:val="center"/>
              <w:rPr>
                <w:rFonts w:hAnsi="宋体" w:cs="宋体"/>
                <w:szCs w:val="21"/>
                <w:highlight w:val="none"/>
              </w:rPr>
            </w:pPr>
          </w:p>
        </w:tc>
      </w:tr>
    </w:tbl>
    <w:p w14:paraId="20DAD097">
      <w:pPr>
        <w:snapToGrid w:val="0"/>
        <w:spacing w:line="480" w:lineRule="auto"/>
        <w:rPr>
          <w:rFonts w:hAnsi="宋体" w:cs="宋体"/>
          <w:szCs w:val="21"/>
          <w:highlight w:val="none"/>
        </w:rPr>
      </w:pPr>
    </w:p>
    <w:p w14:paraId="728B2211">
      <w:pPr>
        <w:snapToGrid w:val="0"/>
        <w:rPr>
          <w:rFonts w:hAnsi="宋体" w:cs="宋体"/>
          <w:szCs w:val="21"/>
          <w:highlight w:val="none"/>
        </w:rPr>
      </w:pPr>
    </w:p>
    <w:p w14:paraId="2357789A">
      <w:pPr>
        <w:snapToGrid w:val="0"/>
        <w:rPr>
          <w:rFonts w:hAnsi="宋体" w:cs="宋体"/>
          <w:szCs w:val="21"/>
          <w:highlight w:val="none"/>
        </w:rPr>
      </w:pPr>
    </w:p>
    <w:p w14:paraId="25444753">
      <w:pPr>
        <w:snapToGrid w:val="0"/>
        <w:rPr>
          <w:rFonts w:hAnsi="宋体" w:cs="宋体"/>
          <w:szCs w:val="21"/>
          <w:highlight w:val="none"/>
        </w:rPr>
      </w:pPr>
    </w:p>
    <w:p w14:paraId="5E9CD62A">
      <w:pPr>
        <w:snapToGrid w:val="0"/>
        <w:rPr>
          <w:rFonts w:hAnsi="宋体" w:cs="宋体"/>
          <w:szCs w:val="21"/>
          <w:highlight w:val="none"/>
        </w:rPr>
      </w:pPr>
    </w:p>
    <w:p w14:paraId="60520377">
      <w:pPr>
        <w:adjustRightInd w:val="0"/>
        <w:snapToGrid w:val="0"/>
        <w:spacing w:line="360" w:lineRule="auto"/>
        <w:rPr>
          <w:rFonts w:hAnsi="宋体" w:cs="宋体"/>
          <w:highlight w:val="none"/>
        </w:rPr>
      </w:pPr>
    </w:p>
    <w:p w14:paraId="5045C5AD">
      <w:pPr>
        <w:adjustRightInd w:val="0"/>
        <w:snapToGrid w:val="0"/>
        <w:spacing w:line="360" w:lineRule="auto"/>
        <w:ind w:right="420"/>
        <w:rPr>
          <w:rFonts w:hAnsi="宋体" w:cs="宋体"/>
          <w:highlight w:val="none"/>
        </w:rPr>
      </w:pPr>
    </w:p>
    <w:p w14:paraId="1A714E82">
      <w:pPr>
        <w:adjustRightInd w:val="0"/>
        <w:snapToGrid w:val="0"/>
        <w:spacing w:line="360" w:lineRule="auto"/>
        <w:ind w:right="420"/>
        <w:rPr>
          <w:rFonts w:hAnsi="宋体" w:cs="宋体"/>
          <w:highlight w:val="none"/>
        </w:rPr>
      </w:pPr>
    </w:p>
    <w:p w14:paraId="435652A1">
      <w:pPr>
        <w:adjustRightInd w:val="0"/>
        <w:snapToGrid w:val="0"/>
        <w:spacing w:line="360" w:lineRule="auto"/>
        <w:ind w:right="420"/>
        <w:rPr>
          <w:rFonts w:hAnsi="宋体" w:cs="宋体"/>
          <w:highlight w:val="none"/>
        </w:rPr>
      </w:pPr>
    </w:p>
    <w:p w14:paraId="0C61BB6C">
      <w:pPr>
        <w:adjustRightInd w:val="0"/>
        <w:snapToGrid w:val="0"/>
        <w:spacing w:line="360" w:lineRule="auto"/>
        <w:ind w:right="420"/>
        <w:rPr>
          <w:rFonts w:hAnsi="宋体" w:cs="宋体"/>
          <w:highlight w:val="none"/>
        </w:rPr>
      </w:pPr>
    </w:p>
    <w:p w14:paraId="30311B09">
      <w:pPr>
        <w:adjustRightInd w:val="0"/>
        <w:snapToGrid w:val="0"/>
        <w:spacing w:line="360" w:lineRule="auto"/>
        <w:ind w:right="420"/>
        <w:rPr>
          <w:rFonts w:hAnsi="宋体" w:cs="宋体"/>
          <w:highlight w:val="none"/>
        </w:rPr>
      </w:pPr>
      <w:r>
        <w:rPr>
          <w:rFonts w:hint="eastAsia" w:hAnsi="宋体" w:cs="宋体"/>
          <w:highlight w:val="none"/>
        </w:rPr>
        <w:t>供应商名称（公章）：</w:t>
      </w:r>
    </w:p>
    <w:p w14:paraId="45396780">
      <w:pPr>
        <w:adjustRightInd w:val="0"/>
        <w:snapToGrid w:val="0"/>
        <w:spacing w:line="360" w:lineRule="auto"/>
        <w:ind w:right="420"/>
        <w:rPr>
          <w:rFonts w:hAnsi="宋体" w:cs="宋体"/>
          <w:highlight w:val="none"/>
        </w:rPr>
      </w:pPr>
      <w:r>
        <w:rPr>
          <w:rFonts w:hint="eastAsia" w:hAnsi="宋体" w:cs="宋体"/>
          <w:highlight w:val="none"/>
        </w:rPr>
        <w:t>日期：    年  月  日</w:t>
      </w:r>
    </w:p>
    <w:p w14:paraId="1B16967F">
      <w:pPr>
        <w:pStyle w:val="6"/>
        <w:rPr>
          <w:rFonts w:ascii="宋体" w:hAnsi="宋体" w:cs="宋体"/>
          <w:highlight w:val="none"/>
        </w:rPr>
      </w:pPr>
    </w:p>
    <w:p w14:paraId="250F0C0C">
      <w:pPr>
        <w:spacing w:line="360" w:lineRule="auto"/>
        <w:jc w:val="left"/>
        <w:rPr>
          <w:rFonts w:hAnsi="宋体" w:cs="宋体"/>
          <w:spacing w:val="4"/>
          <w:szCs w:val="24"/>
          <w:highlight w:val="none"/>
        </w:rPr>
      </w:pPr>
    </w:p>
    <w:p w14:paraId="48A06C73">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14:paraId="33443153">
      <w:pPr>
        <w:spacing w:line="500" w:lineRule="exact"/>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lang w:eastAsia="zh-CN"/>
        </w:rPr>
        <w:t>陕西至诚项目管理集团有限公司</w:t>
      </w:r>
      <w:r>
        <w:rPr>
          <w:rFonts w:hint="eastAsia" w:hAnsi="宋体" w:cs="宋体"/>
          <w:spacing w:val="4"/>
          <w:szCs w:val="24"/>
          <w:highlight w:val="none"/>
          <w:u w:val="single"/>
        </w:rPr>
        <w:t xml:space="preserve"> </w:t>
      </w:r>
    </w:p>
    <w:p w14:paraId="44D97A3E">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    ）</w:t>
      </w:r>
      <w:r>
        <w:rPr>
          <w:rFonts w:hint="eastAsia" w:hAnsi="宋体" w:cs="宋体"/>
          <w:spacing w:val="4"/>
          <w:szCs w:val="24"/>
          <w:highlight w:val="none"/>
        </w:rPr>
        <w:t>项目的磋商、签约等具体工作，并签署全部有关的文件、协议及合同。</w:t>
      </w:r>
    </w:p>
    <w:p w14:paraId="4BEAB19B">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5AB219F8">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14:paraId="6781CDFA">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14:paraId="24962D82">
      <w:pPr>
        <w:spacing w:line="360" w:lineRule="auto"/>
        <w:ind w:firstLine="496" w:firstLineChars="200"/>
        <w:jc w:val="left"/>
        <w:rPr>
          <w:rFonts w:hAnsi="宋体" w:cs="宋体"/>
          <w:spacing w:val="4"/>
          <w:szCs w:val="24"/>
          <w:highlight w:val="none"/>
        </w:rPr>
      </w:pPr>
    </w:p>
    <w:tbl>
      <w:tblPr>
        <w:tblStyle w:val="16"/>
        <w:tblW w:w="0" w:type="auto"/>
        <w:tblInd w:w="633" w:type="dxa"/>
        <w:tblLayout w:type="fixed"/>
        <w:tblCellMar>
          <w:top w:w="0" w:type="dxa"/>
          <w:left w:w="108" w:type="dxa"/>
          <w:bottom w:w="0" w:type="dxa"/>
          <w:right w:w="108" w:type="dxa"/>
        </w:tblCellMar>
      </w:tblPr>
      <w:tblGrid>
        <w:gridCol w:w="4200"/>
        <w:gridCol w:w="3990"/>
      </w:tblGrid>
      <w:tr w14:paraId="0EFC06FE">
        <w:tblPrEx>
          <w:tblCellMar>
            <w:top w:w="0" w:type="dxa"/>
            <w:left w:w="108" w:type="dxa"/>
            <w:bottom w:w="0" w:type="dxa"/>
            <w:right w:w="108" w:type="dxa"/>
          </w:tblCellMar>
        </w:tblPrEx>
        <w:trPr>
          <w:trHeight w:val="600" w:hRule="atLeast"/>
        </w:trPr>
        <w:tc>
          <w:tcPr>
            <w:tcW w:w="4200" w:type="dxa"/>
          </w:tcPr>
          <w:p w14:paraId="5C557AB9">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77E42978">
            <w:pPr>
              <w:spacing w:line="360" w:lineRule="auto"/>
              <w:jc w:val="left"/>
              <w:rPr>
                <w:rFonts w:hAnsi="宋体" w:cs="宋体"/>
                <w:spacing w:val="4"/>
                <w:szCs w:val="24"/>
                <w:highlight w:val="none"/>
              </w:rPr>
            </w:pPr>
            <w:r>
              <w:rPr>
                <w:rFonts w:hint="eastAsia" w:hAnsi="宋体" w:cs="宋体"/>
                <w:spacing w:val="4"/>
                <w:szCs w:val="24"/>
                <w:highlight w:val="none"/>
              </w:rPr>
              <w:t>法定代表人签字或盖章：</w:t>
            </w:r>
          </w:p>
        </w:tc>
      </w:tr>
      <w:tr w14:paraId="429EAF1F">
        <w:tblPrEx>
          <w:tblCellMar>
            <w:top w:w="0" w:type="dxa"/>
            <w:left w:w="108" w:type="dxa"/>
            <w:bottom w:w="0" w:type="dxa"/>
            <w:right w:w="108" w:type="dxa"/>
          </w:tblCellMar>
        </w:tblPrEx>
        <w:trPr>
          <w:trHeight w:val="600" w:hRule="atLeast"/>
        </w:trPr>
        <w:tc>
          <w:tcPr>
            <w:tcW w:w="4200" w:type="dxa"/>
          </w:tcPr>
          <w:p w14:paraId="38BC594E">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3EB3A274">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14:paraId="3ACA6937">
        <w:tblPrEx>
          <w:tblCellMar>
            <w:top w:w="0" w:type="dxa"/>
            <w:left w:w="108" w:type="dxa"/>
            <w:bottom w:w="0" w:type="dxa"/>
            <w:right w:w="108" w:type="dxa"/>
          </w:tblCellMar>
        </w:tblPrEx>
        <w:trPr>
          <w:trHeight w:val="600" w:hRule="atLeast"/>
        </w:trPr>
        <w:tc>
          <w:tcPr>
            <w:tcW w:w="4200" w:type="dxa"/>
          </w:tcPr>
          <w:p w14:paraId="522151A6">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794EF7B5">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14:paraId="4D3345B4">
        <w:tblPrEx>
          <w:tblCellMar>
            <w:top w:w="0" w:type="dxa"/>
            <w:left w:w="108" w:type="dxa"/>
            <w:bottom w:w="0" w:type="dxa"/>
            <w:right w:w="108" w:type="dxa"/>
          </w:tblCellMar>
        </w:tblPrEx>
        <w:trPr>
          <w:trHeight w:val="600" w:hRule="atLeast"/>
        </w:trPr>
        <w:tc>
          <w:tcPr>
            <w:tcW w:w="4200" w:type="dxa"/>
          </w:tcPr>
          <w:p w14:paraId="0466C23B">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14D49390">
            <w:pPr>
              <w:spacing w:line="360" w:lineRule="auto"/>
              <w:jc w:val="left"/>
              <w:rPr>
                <w:rFonts w:hAnsi="宋体" w:cs="宋体"/>
                <w:spacing w:val="4"/>
                <w:szCs w:val="24"/>
                <w:highlight w:val="none"/>
              </w:rPr>
            </w:pPr>
          </w:p>
        </w:tc>
      </w:tr>
    </w:tbl>
    <w:p w14:paraId="14B47DE7">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附：法定代表人、被授权人身份证复印件</w:t>
      </w:r>
    </w:p>
    <w:p w14:paraId="6629DE61">
      <w:pPr>
        <w:spacing w:line="360" w:lineRule="auto"/>
        <w:rPr>
          <w:rFonts w:hAnsi="宋体" w:cs="宋体"/>
          <w:spacing w:val="4"/>
          <w:szCs w:val="24"/>
          <w:highlight w:val="none"/>
        </w:rPr>
      </w:pPr>
    </w:p>
    <w:tbl>
      <w:tblPr>
        <w:tblStyle w:val="16"/>
        <w:tblW w:w="0" w:type="auto"/>
        <w:tblInd w:w="540" w:type="dxa"/>
        <w:tblLayout w:type="fixed"/>
        <w:tblCellMar>
          <w:top w:w="0" w:type="dxa"/>
          <w:left w:w="108" w:type="dxa"/>
          <w:bottom w:w="0" w:type="dxa"/>
          <w:right w:w="108" w:type="dxa"/>
        </w:tblCellMar>
      </w:tblPr>
      <w:tblGrid>
        <w:gridCol w:w="4246"/>
        <w:gridCol w:w="4111"/>
      </w:tblGrid>
      <w:tr w14:paraId="3BD421C3">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01F5332F">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4B2F804F">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7F1BFF30">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14:paraId="7255003D">
            <w:pPr>
              <w:spacing w:line="360" w:lineRule="auto"/>
              <w:jc w:val="center"/>
              <w:rPr>
                <w:rFonts w:hAnsi="宋体" w:cs="宋体"/>
                <w:highlight w:val="none"/>
                <w:u w:val="single"/>
              </w:rPr>
            </w:pPr>
            <w:r>
              <w:rPr>
                <w:rFonts w:hint="eastAsia" w:hAnsi="宋体" w:cs="宋体"/>
                <w:szCs w:val="21"/>
                <w:highlight w:val="none"/>
                <w:lang w:val="zh-CN"/>
              </w:rPr>
              <w:t>（正反面）</w:t>
            </w:r>
          </w:p>
        </w:tc>
      </w:tr>
    </w:tbl>
    <w:p w14:paraId="739B2FCB">
      <w:pPr>
        <w:spacing w:line="360" w:lineRule="auto"/>
        <w:ind w:firstLine="510"/>
        <w:rPr>
          <w:rFonts w:hAnsi="宋体" w:cs="宋体"/>
          <w:spacing w:val="4"/>
          <w:szCs w:val="24"/>
          <w:highlight w:val="none"/>
        </w:rPr>
      </w:pPr>
    </w:p>
    <w:p w14:paraId="4A0AEA1B">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14:paraId="3A4058ED">
      <w:pPr>
        <w:spacing w:before="156" w:beforeLines="50" w:after="156" w:afterLines="50" w:line="360" w:lineRule="auto"/>
        <w:rPr>
          <w:rFonts w:hAnsi="宋体" w:cs="宋体"/>
          <w:highlight w:val="none"/>
        </w:rPr>
      </w:pPr>
      <w:r>
        <w:rPr>
          <w:rFonts w:hint="eastAsia" w:hAnsi="宋体" w:cs="宋体"/>
          <w:spacing w:val="4"/>
          <w:szCs w:val="24"/>
          <w:highlight w:val="none"/>
        </w:rPr>
        <w:t>日期：</w:t>
      </w:r>
    </w:p>
    <w:p w14:paraId="39B15928">
      <w:pPr>
        <w:rPr>
          <w:rFonts w:hint="eastAsia" w:hAnsi="宋体" w:cs="宋体"/>
          <w:color w:val="auto"/>
          <w:spacing w:val="4"/>
          <w:szCs w:val="30"/>
          <w:highlight w:val="none"/>
        </w:rPr>
      </w:pPr>
      <w:r>
        <w:rPr>
          <w:rFonts w:hint="eastAsia" w:hAnsi="宋体" w:cs="宋体"/>
          <w:sz w:val="28"/>
          <w:szCs w:val="28"/>
          <w:highlight w:val="none"/>
          <w:u w:val="single"/>
        </w:rPr>
        <w:br w:type="page"/>
      </w:r>
    </w:p>
    <w:p w14:paraId="0A82FC98">
      <w:pPr>
        <w:widowControl/>
        <w:spacing w:line="360" w:lineRule="auto"/>
        <w:ind w:left="1" w:firstLine="281" w:firstLineChars="100"/>
        <w:rPr>
          <w:rFonts w:hint="eastAsia" w:ascii="宋体" w:hAnsi="宋体" w:eastAsia="宋体" w:cs="宋体"/>
          <w:b/>
          <w:kern w:val="0"/>
          <w:sz w:val="28"/>
          <w:szCs w:val="28"/>
          <w:highlight w:val="none"/>
        </w:rPr>
      </w:pPr>
    </w:p>
    <w:p w14:paraId="007D94AA">
      <w:pPr>
        <w:widowControl/>
        <w:spacing w:line="360" w:lineRule="auto"/>
        <w:ind w:left="1" w:firstLine="321" w:firstLineChars="1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参加政府采购活动前3年内在经营活动中没有重大违法</w:t>
      </w:r>
      <w:r>
        <w:rPr>
          <w:rFonts w:hint="eastAsia" w:hAnsi="宋体" w:cs="宋体"/>
          <w:b/>
          <w:kern w:val="0"/>
          <w:sz w:val="32"/>
          <w:szCs w:val="32"/>
          <w:highlight w:val="none"/>
          <w:lang w:eastAsia="zh-CN"/>
        </w:rPr>
        <w:t>记录</w:t>
      </w:r>
      <w:r>
        <w:rPr>
          <w:rFonts w:hint="eastAsia" w:ascii="宋体" w:hAnsi="宋体" w:eastAsia="宋体" w:cs="宋体"/>
          <w:b/>
          <w:kern w:val="0"/>
          <w:sz w:val="32"/>
          <w:szCs w:val="32"/>
          <w:highlight w:val="none"/>
        </w:rPr>
        <w:t>的书面声明</w:t>
      </w:r>
    </w:p>
    <w:p w14:paraId="46B06810">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216461C9">
      <w:pPr>
        <w:pStyle w:val="14"/>
        <w:wordWrap w:val="0"/>
        <w:spacing w:beforeAutospacing="0" w:afterAutospacing="0" w:line="560" w:lineRule="exact"/>
        <w:rPr>
          <w:rFonts w:hint="eastAsia" w:ascii="宋体" w:hAnsi="宋体" w:eastAsia="宋体" w:cs="宋体"/>
          <w:highlight w:val="none"/>
          <w:u w:val="single"/>
          <w:shd w:val="clear" w:color="auto" w:fill="FFFFFF"/>
        </w:rPr>
      </w:pPr>
      <w:r>
        <w:rPr>
          <w:rFonts w:hint="eastAsia" w:ascii="宋体" w:hAnsi="宋体" w:eastAsia="宋体" w:cs="宋体"/>
          <w:highlight w:val="none"/>
          <w:u w:val="single"/>
          <w:shd w:val="clear" w:color="auto" w:fill="FFFFFF"/>
        </w:rPr>
        <w:t xml:space="preserve">      （采购人）           ：</w:t>
      </w:r>
    </w:p>
    <w:p w14:paraId="3DE090CC">
      <w:pPr>
        <w:pStyle w:val="14"/>
        <w:wordWrap w:val="0"/>
        <w:spacing w:beforeAutospacing="0" w:afterAutospacing="0" w:line="560" w:lineRule="exact"/>
        <w:ind w:firstLine="640"/>
        <w:rPr>
          <w:rFonts w:hint="eastAsia" w:ascii="宋体" w:hAnsi="宋体" w:eastAsia="宋体" w:cs="宋体"/>
          <w:highlight w:val="none"/>
        </w:rPr>
      </w:pPr>
      <w:r>
        <w:rPr>
          <w:rFonts w:hint="eastAsia" w:ascii="宋体" w:hAnsi="宋体" w:eastAsia="宋体" w:cs="宋体"/>
          <w:highlight w:val="none"/>
          <w:shd w:val="clear" w:color="auto" w:fill="FFFFFF"/>
        </w:rPr>
        <w:t>我方作为项目名称</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（项目编号：</w:t>
      </w:r>
      <w:r>
        <w:rPr>
          <w:rFonts w:hint="eastAsia" w:ascii="宋体" w:hAnsi="宋体" w:eastAsia="宋体" w:cs="宋体"/>
          <w:i/>
          <w:iCs/>
          <w:highlight w:val="none"/>
          <w:u w:val="single"/>
          <w:shd w:val="clear" w:color="auto" w:fill="FFFFFF"/>
        </w:rPr>
        <w:t xml:space="preserve">          </w:t>
      </w:r>
      <w:r>
        <w:rPr>
          <w:rFonts w:hint="eastAsia" w:ascii="宋体" w:hAnsi="宋体" w:eastAsia="宋体" w:cs="宋体"/>
          <w:highlight w:val="none"/>
          <w:shd w:val="clear" w:color="auto" w:fill="FFFFFF"/>
        </w:rPr>
        <w:t xml:space="preserve">）的供应商，在此郑重声明： </w:t>
      </w:r>
    </w:p>
    <w:p w14:paraId="03768B19">
      <w:pPr>
        <w:pStyle w:val="14"/>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在参加本次政府采购活动前3年内的经营活动中</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C624757">
      <w:pPr>
        <w:pStyle w:val="14"/>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 xml:space="preserve">如有不实，我方将无条件地退出本项目的采购活动，并遵照《政府采购法》有关“提供虚假材料的规定”接受处罚。 </w:t>
      </w:r>
    </w:p>
    <w:p w14:paraId="2E3A71C7">
      <w:pPr>
        <w:pStyle w:val="14"/>
        <w:wordWrap w:val="0"/>
        <w:spacing w:beforeAutospacing="0" w:afterAutospacing="0" w:line="560" w:lineRule="exact"/>
        <w:ind w:firstLine="42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特此声明！</w:t>
      </w:r>
    </w:p>
    <w:p w14:paraId="34001C25">
      <w:pPr>
        <w:pStyle w:val="14"/>
        <w:wordWrap w:val="0"/>
        <w:spacing w:beforeAutospacing="0" w:afterAutospacing="0" w:line="560" w:lineRule="exact"/>
        <w:ind w:firstLine="420"/>
        <w:rPr>
          <w:rFonts w:hint="eastAsia" w:ascii="宋体" w:hAnsi="宋体" w:eastAsia="宋体" w:cs="宋体"/>
          <w:highlight w:val="none"/>
          <w:shd w:val="clear" w:color="auto" w:fill="FFFFFF"/>
        </w:rPr>
      </w:pPr>
    </w:p>
    <w:p w14:paraId="79E6E643">
      <w:pPr>
        <w:spacing w:line="480" w:lineRule="auto"/>
        <w:ind w:firstLine="3360" w:firstLineChars="1400"/>
        <w:rPr>
          <w:rFonts w:hint="eastAsia" w:ascii="宋体" w:hAnsi="宋体" w:eastAsia="宋体" w:cs="宋体"/>
          <w:sz w:val="24"/>
          <w:highlight w:val="none"/>
        </w:rPr>
      </w:pPr>
      <w:r>
        <w:rPr>
          <w:rFonts w:hint="eastAsia" w:ascii="宋体" w:hAnsi="宋体" w:cs="宋体"/>
          <w:sz w:val="24"/>
          <w:highlight w:val="none"/>
          <w:lang w:val="en-US" w:eastAsia="zh-CN"/>
        </w:rPr>
        <w:t>投标人</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6DBABEC8">
      <w:pPr>
        <w:pStyle w:val="22"/>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439C290">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1676ACD6">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60546B8E">
      <w:pPr>
        <w:adjustRightInd w:val="0"/>
        <w:snapToGrid w:val="0"/>
        <w:spacing w:line="360" w:lineRule="auto"/>
        <w:jc w:val="center"/>
        <w:rPr>
          <w:rFonts w:hint="eastAsia" w:ascii="宋体" w:hAnsi="宋体" w:eastAsia="宋体" w:cs="宋体"/>
          <w:b/>
          <w:sz w:val="32"/>
          <w:szCs w:val="32"/>
          <w:highlight w:val="none"/>
        </w:rPr>
      </w:pPr>
    </w:p>
    <w:p w14:paraId="22DCF50D">
      <w:pPr>
        <w:adjustRightInd w:val="0"/>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32"/>
          <w:szCs w:val="32"/>
          <w:highlight w:val="none"/>
        </w:rPr>
        <w:t>具有履行本合同所必需的设备和专业技术能力的书面声明</w:t>
      </w:r>
    </w:p>
    <w:p w14:paraId="0E2C46E5">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269DD7E2">
      <w:pPr>
        <w:bidi w:val="0"/>
        <w:rPr>
          <w:rFonts w:hint="eastAsia"/>
          <w:highlight w:val="none"/>
        </w:rPr>
      </w:pPr>
    </w:p>
    <w:p w14:paraId="206041C2">
      <w:pPr>
        <w:pStyle w:val="7"/>
        <w:adjustRightInd w:val="0"/>
        <w:snapToGrid w:val="0"/>
        <w:spacing w:line="720" w:lineRule="exact"/>
        <w:jc w:val="center"/>
        <w:rPr>
          <w:rFonts w:hint="eastAsia" w:ascii="宋体" w:hAnsi="宋体" w:eastAsia="宋体" w:cs="宋体"/>
          <w:b/>
          <w:sz w:val="28"/>
          <w:szCs w:val="28"/>
          <w:highlight w:val="none"/>
        </w:rPr>
      </w:pPr>
    </w:p>
    <w:p w14:paraId="0CA35F53">
      <w:pPr>
        <w:spacing w:line="720" w:lineRule="exact"/>
        <w:rPr>
          <w:rFonts w:hint="eastAsia" w:ascii="宋体" w:hAnsi="宋体" w:eastAsia="宋体" w:cs="宋体"/>
          <w:spacing w:val="4"/>
          <w:sz w:val="24"/>
          <w:highlight w:val="none"/>
          <w:u w:val="single"/>
        </w:rPr>
      </w:pPr>
      <w:r>
        <w:rPr>
          <w:rFonts w:hint="eastAsia" w:ascii="宋体" w:hAnsi="宋体" w:eastAsia="宋体" w:cs="宋体"/>
          <w:spacing w:val="4"/>
          <w:sz w:val="24"/>
          <w:highlight w:val="none"/>
          <w:u w:val="single"/>
        </w:rPr>
        <w:t xml:space="preserve">     （采购人名称）    ：</w:t>
      </w:r>
    </w:p>
    <w:p w14:paraId="6C68E069">
      <w:pPr>
        <w:pStyle w:val="7"/>
        <w:adjustRightInd w:val="0"/>
        <w:snapToGrid w:val="0"/>
        <w:spacing w:line="720" w:lineRule="exact"/>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（供应商名称）    </w:t>
      </w:r>
      <w:r>
        <w:rPr>
          <w:rFonts w:hint="eastAsia" w:ascii="宋体" w:hAnsi="宋体" w:eastAsia="宋体" w:cs="宋体"/>
          <w:spacing w:val="4"/>
          <w:sz w:val="24"/>
          <w:szCs w:val="24"/>
          <w:highlight w:val="none"/>
        </w:rPr>
        <w:t xml:space="preserve"> 于</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日在中华人民共和国境内</w:t>
      </w:r>
      <w:r>
        <w:rPr>
          <w:rFonts w:hint="eastAsia" w:ascii="宋体" w:hAnsi="宋体" w:eastAsia="宋体" w:cs="宋体"/>
          <w:spacing w:val="4"/>
          <w:sz w:val="24"/>
          <w:szCs w:val="24"/>
          <w:highlight w:val="none"/>
          <w:u w:val="single"/>
        </w:rPr>
        <w:t xml:space="preserve">               （详细注册地址）     </w:t>
      </w:r>
      <w:r>
        <w:rPr>
          <w:rFonts w:hint="eastAsia" w:ascii="宋体" w:hAnsi="宋体" w:eastAsia="宋体" w:cs="宋体"/>
          <w:spacing w:val="4"/>
          <w:sz w:val="24"/>
          <w:szCs w:val="24"/>
          <w:highlight w:val="none"/>
        </w:rPr>
        <w:t>合法注册并经营，公司主营业务为</w:t>
      </w:r>
      <w:r>
        <w:rPr>
          <w:rFonts w:hint="eastAsia" w:ascii="宋体" w:hAnsi="宋体" w:eastAsia="宋体" w:cs="宋体"/>
          <w:spacing w:val="4"/>
          <w:sz w:val="24"/>
          <w:szCs w:val="24"/>
          <w:highlight w:val="none"/>
          <w:u w:val="single"/>
        </w:rPr>
        <w:t xml:space="preserve">                        </w:t>
      </w:r>
      <w:r>
        <w:rPr>
          <w:rFonts w:hint="eastAsia" w:hAnsi="宋体" w:cs="宋体"/>
          <w:spacing w:val="4"/>
          <w:sz w:val="24"/>
          <w:szCs w:val="24"/>
          <w:highlight w:val="none"/>
          <w:u w:val="none"/>
          <w:lang w:eastAsia="zh-CN"/>
        </w:rPr>
        <w:t>。</w:t>
      </w:r>
    </w:p>
    <w:p w14:paraId="7E9AB4D4">
      <w:pPr>
        <w:pStyle w:val="7"/>
        <w:adjustRightInd w:val="0"/>
        <w:snapToGrid w:val="0"/>
        <w:spacing w:line="720" w:lineRule="exact"/>
        <w:ind w:firstLine="550" w:firstLineChars="222"/>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我公司郑重承诺，我公司具有履行本合同所必需的设备和专业技术能力，合同履约中将无条件增加相关设备、人员，直至满足项目需求。</w:t>
      </w:r>
    </w:p>
    <w:p w14:paraId="2D28C6F0">
      <w:pPr>
        <w:pStyle w:val="7"/>
        <w:adjustRightInd w:val="0"/>
        <w:snapToGrid w:val="0"/>
        <w:spacing w:line="720" w:lineRule="exact"/>
        <w:rPr>
          <w:rFonts w:hint="eastAsia" w:ascii="宋体" w:hAnsi="宋体" w:eastAsia="宋体" w:cs="宋体"/>
          <w:spacing w:val="4"/>
          <w:sz w:val="24"/>
          <w:szCs w:val="24"/>
          <w:highlight w:val="none"/>
        </w:rPr>
      </w:pPr>
    </w:p>
    <w:p w14:paraId="47281CED">
      <w:pPr>
        <w:pStyle w:val="7"/>
        <w:adjustRightInd w:val="0"/>
        <w:snapToGrid w:val="0"/>
        <w:spacing w:line="720" w:lineRule="exact"/>
        <w:rPr>
          <w:rFonts w:hint="eastAsia" w:ascii="宋体" w:hAnsi="宋体" w:eastAsia="宋体" w:cs="宋体"/>
          <w:spacing w:val="4"/>
          <w:sz w:val="24"/>
          <w:szCs w:val="24"/>
          <w:highlight w:val="none"/>
        </w:rPr>
      </w:pPr>
    </w:p>
    <w:p w14:paraId="049B000B">
      <w:pPr>
        <w:pStyle w:val="7"/>
        <w:adjustRightInd w:val="0"/>
        <w:snapToGrid w:val="0"/>
        <w:spacing w:line="720" w:lineRule="exact"/>
        <w:rPr>
          <w:rFonts w:hint="eastAsia" w:ascii="宋体" w:hAnsi="宋体" w:eastAsia="宋体" w:cs="宋体"/>
          <w:spacing w:val="4"/>
          <w:sz w:val="24"/>
          <w:szCs w:val="24"/>
          <w:highlight w:val="none"/>
        </w:rPr>
      </w:pPr>
    </w:p>
    <w:p w14:paraId="5C1D9454">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553828FE">
      <w:pPr>
        <w:pStyle w:val="22"/>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F927B8D">
      <w:pPr>
        <w:rPr>
          <w:rFonts w:hint="eastAsia"/>
          <w:highlight w:val="none"/>
          <w:lang w:eastAsia="zh-CN"/>
        </w:rPr>
      </w:pPr>
    </w:p>
    <w:p w14:paraId="0F3B6332">
      <w:pPr>
        <w:rPr>
          <w:rFonts w:hAnsi="宋体" w:cs="宋体"/>
          <w:szCs w:val="24"/>
          <w:highlight w:val="none"/>
        </w:rPr>
      </w:pPr>
      <w:r>
        <w:rPr>
          <w:rFonts w:hAnsi="宋体" w:cs="宋体"/>
          <w:szCs w:val="24"/>
          <w:highlight w:val="none"/>
        </w:rPr>
        <w:br w:type="page"/>
      </w:r>
    </w:p>
    <w:p w14:paraId="73934852">
      <w:pPr>
        <w:spacing w:before="240" w:beforeLines="100" w:after="240" w:afterLines="100"/>
        <w:jc w:val="center"/>
        <w:rPr>
          <w:rFonts w:hint="eastAsia" w:ascii="宋体" w:hAnsi="宋体"/>
          <w:b/>
          <w:color w:val="auto"/>
          <w:sz w:val="24"/>
          <w:szCs w:val="24"/>
          <w:highlight w:val="none"/>
          <w:lang w:eastAsia="zh-CN"/>
        </w:rPr>
      </w:pPr>
    </w:p>
    <w:p w14:paraId="19BE1AAD">
      <w:pPr>
        <w:spacing w:before="240" w:beforeLines="100" w:after="240" w:afterLines="100"/>
        <w:jc w:val="center"/>
        <w:rPr>
          <w:rFonts w:hint="eastAsia" w:ascii="宋体" w:hAnsi="宋体"/>
          <w:b/>
          <w:color w:val="auto"/>
          <w:sz w:val="24"/>
          <w:szCs w:val="24"/>
          <w:highlight w:val="none"/>
          <w:lang w:eastAsia="zh-CN"/>
        </w:rPr>
      </w:pPr>
    </w:p>
    <w:p w14:paraId="5D3560D5">
      <w:pPr>
        <w:spacing w:before="240" w:beforeLines="100" w:after="240" w:afterLines="100"/>
        <w:jc w:val="center"/>
        <w:rPr>
          <w:rFonts w:hint="eastAsia" w:ascii="宋体" w:hAnsi="宋体"/>
          <w:b/>
          <w:color w:val="auto"/>
          <w:sz w:val="24"/>
          <w:szCs w:val="24"/>
          <w:highlight w:val="none"/>
          <w:lang w:eastAsia="zh-CN"/>
        </w:rPr>
      </w:pPr>
    </w:p>
    <w:p w14:paraId="14EA33F6">
      <w:pPr>
        <w:spacing w:before="240" w:beforeLines="100" w:after="240" w:afterLines="100"/>
        <w:jc w:val="center"/>
        <w:rPr>
          <w:rFonts w:ascii="宋体" w:hAnsi="宋体"/>
          <w:b/>
          <w:color w:val="auto"/>
          <w:sz w:val="24"/>
          <w:szCs w:val="24"/>
          <w:highlight w:val="none"/>
        </w:rPr>
      </w:pPr>
      <w:r>
        <w:rPr>
          <w:rFonts w:hint="eastAsia" w:ascii="宋体" w:hAnsi="宋体"/>
          <w:b/>
          <w:color w:val="auto"/>
          <w:sz w:val="24"/>
          <w:szCs w:val="24"/>
          <w:highlight w:val="none"/>
          <w:lang w:eastAsia="zh-CN"/>
        </w:rPr>
        <w:t>项目经理无在建</w:t>
      </w:r>
      <w:r>
        <w:rPr>
          <w:rFonts w:hint="eastAsia" w:ascii="宋体" w:hAnsi="宋体"/>
          <w:b/>
          <w:color w:val="auto"/>
          <w:sz w:val="24"/>
          <w:szCs w:val="24"/>
          <w:highlight w:val="none"/>
        </w:rPr>
        <w:t>承诺书</w:t>
      </w:r>
    </w:p>
    <w:p w14:paraId="6219C4B5">
      <w:pPr>
        <w:spacing w:after="240" w:afterLines="100" w:line="440" w:lineRule="exac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hAnsi="宋体"/>
          <w:color w:val="auto"/>
          <w:sz w:val="24"/>
          <w:szCs w:val="24"/>
          <w:highlight w:val="none"/>
          <w:lang w:val="en-US" w:eastAsia="zh-CN"/>
        </w:rPr>
        <w:t>采购</w:t>
      </w:r>
      <w:r>
        <w:rPr>
          <w:rFonts w:hint="eastAsia" w:ascii="宋体" w:hAnsi="宋体"/>
          <w:color w:val="auto"/>
          <w:sz w:val="24"/>
          <w:szCs w:val="24"/>
          <w:highlight w:val="none"/>
        </w:rPr>
        <w:t>人名称）：</w:t>
      </w:r>
    </w:p>
    <w:p w14:paraId="0B358B3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我方在此声明，我方拟派往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（项目名称）（以下简称“本工程”）的项目经理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（项目经理姓名）现阶段没有担任任何在施建设工程项目的项目经理。</w:t>
      </w:r>
    </w:p>
    <w:p w14:paraId="3E56590F">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我方保证上述信息的真实和准确，并愿意承担因我方就此弄虚作假所引起的一切法律后果。</w:t>
      </w:r>
    </w:p>
    <w:p w14:paraId="3616B8E0">
      <w:pPr>
        <w:spacing w:line="440" w:lineRule="exact"/>
        <w:ind w:firstLine="480" w:firstLineChars="200"/>
        <w:rPr>
          <w:rFonts w:ascii="宋体" w:hAnsi="宋体"/>
          <w:color w:val="auto"/>
          <w:sz w:val="24"/>
          <w:szCs w:val="24"/>
          <w:highlight w:val="none"/>
        </w:rPr>
      </w:pPr>
    </w:p>
    <w:p w14:paraId="7E96FA5E">
      <w:pPr>
        <w:spacing w:line="440" w:lineRule="exact"/>
        <w:ind w:firstLine="480" w:firstLineChars="200"/>
        <w:rPr>
          <w:rFonts w:ascii="宋体" w:hAnsi="宋体"/>
          <w:color w:val="auto"/>
          <w:sz w:val="24"/>
          <w:szCs w:val="24"/>
          <w:highlight w:val="none"/>
        </w:rPr>
      </w:pPr>
    </w:p>
    <w:p w14:paraId="074E6FC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42BAD94A">
      <w:pPr>
        <w:spacing w:line="440" w:lineRule="exact"/>
        <w:ind w:firstLine="480" w:firstLineChars="200"/>
        <w:rPr>
          <w:rFonts w:ascii="宋体" w:hAnsi="宋体"/>
          <w:color w:val="auto"/>
          <w:sz w:val="24"/>
          <w:szCs w:val="24"/>
          <w:highlight w:val="none"/>
        </w:rPr>
      </w:pPr>
    </w:p>
    <w:p w14:paraId="0856BA1D">
      <w:pPr>
        <w:spacing w:line="440" w:lineRule="exact"/>
        <w:ind w:firstLine="480" w:firstLineChars="200"/>
        <w:rPr>
          <w:rFonts w:ascii="宋体" w:hAnsi="宋体"/>
          <w:color w:val="auto"/>
          <w:sz w:val="24"/>
          <w:szCs w:val="24"/>
          <w:highlight w:val="none"/>
        </w:rPr>
      </w:pPr>
    </w:p>
    <w:p w14:paraId="18288898">
      <w:pPr>
        <w:spacing w:line="440" w:lineRule="exact"/>
        <w:ind w:firstLine="480" w:firstLineChars="200"/>
        <w:rPr>
          <w:rFonts w:ascii="宋体" w:hAnsi="宋体"/>
          <w:color w:val="auto"/>
          <w:sz w:val="24"/>
          <w:szCs w:val="24"/>
          <w:highlight w:val="none"/>
        </w:rPr>
      </w:pPr>
    </w:p>
    <w:p w14:paraId="71ECD6BC">
      <w:pPr>
        <w:spacing w:line="440" w:lineRule="exact"/>
        <w:ind w:firstLine="480" w:firstLineChars="200"/>
        <w:rPr>
          <w:rFonts w:ascii="宋体" w:hAnsi="宋体"/>
          <w:color w:val="auto"/>
          <w:sz w:val="24"/>
          <w:szCs w:val="24"/>
          <w:highlight w:val="none"/>
        </w:rPr>
      </w:pPr>
    </w:p>
    <w:p w14:paraId="7B97A1DB">
      <w:pPr>
        <w:spacing w:line="440" w:lineRule="exact"/>
        <w:ind w:firstLine="480" w:firstLineChars="200"/>
        <w:rPr>
          <w:rFonts w:ascii="宋体" w:hAnsi="宋体"/>
          <w:color w:val="auto"/>
          <w:sz w:val="24"/>
          <w:szCs w:val="24"/>
          <w:highlight w:val="none"/>
        </w:rPr>
      </w:pPr>
    </w:p>
    <w:p w14:paraId="3E3B54EF">
      <w:pPr>
        <w:spacing w:line="440" w:lineRule="exact"/>
        <w:ind w:firstLine="480" w:firstLineChars="200"/>
        <w:rPr>
          <w:rFonts w:ascii="宋体" w:hAnsi="宋体"/>
          <w:color w:val="auto"/>
          <w:sz w:val="24"/>
          <w:szCs w:val="24"/>
          <w:highlight w:val="none"/>
        </w:rPr>
      </w:pPr>
    </w:p>
    <w:p w14:paraId="1E80BC0F">
      <w:pPr>
        <w:spacing w:line="440" w:lineRule="exact"/>
        <w:jc w:val="right"/>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14:paraId="37B04F2D">
      <w:pPr>
        <w:spacing w:line="440" w:lineRule="exact"/>
        <w:jc w:val="right"/>
        <w:rPr>
          <w:rFonts w:ascii="宋体" w:hAnsi="宋体"/>
          <w:color w:val="auto"/>
          <w:sz w:val="24"/>
          <w:szCs w:val="24"/>
          <w:highlight w:val="none"/>
        </w:rPr>
      </w:pPr>
    </w:p>
    <w:p w14:paraId="211F66D2">
      <w:pPr>
        <w:spacing w:line="440" w:lineRule="exact"/>
        <w:jc w:val="right"/>
        <w:rPr>
          <w:rFonts w:ascii="宋体" w:hAnsi="宋体"/>
          <w:color w:val="auto"/>
          <w:sz w:val="24"/>
          <w:szCs w:val="24"/>
          <w:highlight w:val="none"/>
        </w:rPr>
      </w:pPr>
    </w:p>
    <w:p w14:paraId="2AA6CC47">
      <w:pPr>
        <w:jc w:val="right"/>
        <w:rPr>
          <w:rFonts w:hint="eastAsia" w:hAnsi="宋体" w:cs="宋体"/>
          <w:sz w:val="28"/>
          <w:szCs w:val="28"/>
          <w:highlight w:val="none"/>
          <w:u w:val="singl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41F8005B">
      <w:pPr>
        <w:rPr>
          <w:highlight w:val="none"/>
        </w:rPr>
      </w:pPr>
      <w:r>
        <w:rPr>
          <w:highlight w:val="none"/>
        </w:rPr>
        <w:br w:type="page"/>
      </w:r>
    </w:p>
    <w:p w14:paraId="3EEBC738">
      <w:pPr>
        <w:spacing w:before="156" w:beforeLines="50" w:after="156" w:afterLines="50"/>
        <w:rPr>
          <w:color w:val="auto"/>
          <w:highlight w:val="none"/>
        </w:rPr>
      </w:pPr>
      <w:r>
        <w:rPr>
          <w:rFonts w:hint="eastAsia" w:hAnsi="宋体"/>
          <w:b/>
          <w:bCs/>
          <w:color w:val="auto"/>
          <w:sz w:val="28"/>
          <w:szCs w:val="28"/>
          <w:highlight w:val="none"/>
        </w:rPr>
        <w:t>附件2</w:t>
      </w:r>
      <w:r>
        <w:rPr>
          <w:rFonts w:hint="eastAsia" w:hAnsi="宋体"/>
          <w:b/>
          <w:bCs/>
          <w:color w:val="auto"/>
          <w:sz w:val="28"/>
          <w:szCs w:val="28"/>
          <w:highlight w:val="none"/>
          <w:lang w:eastAsia="zh-CN"/>
        </w:rPr>
        <w:t>（</w:t>
      </w:r>
      <w:r>
        <w:rPr>
          <w:rFonts w:hint="eastAsia" w:hAnsi="宋体"/>
          <w:b/>
          <w:bCs/>
          <w:color w:val="auto"/>
          <w:sz w:val="28"/>
          <w:szCs w:val="28"/>
          <w:highlight w:val="none"/>
          <w:lang w:val="en-US" w:eastAsia="zh-CN"/>
        </w:rPr>
        <w:t>如是</w:t>
      </w:r>
      <w:r>
        <w:rPr>
          <w:rFonts w:hint="eastAsia" w:hAnsi="宋体"/>
          <w:b/>
          <w:bCs/>
          <w:color w:val="auto"/>
          <w:sz w:val="28"/>
          <w:szCs w:val="28"/>
          <w:highlight w:val="none"/>
          <w:lang w:eastAsia="zh-CN"/>
        </w:rPr>
        <w:t>）</w:t>
      </w:r>
      <w:r>
        <w:rPr>
          <w:rFonts w:hint="eastAsia" w:hAnsi="宋体"/>
          <w:b/>
          <w:bCs/>
          <w:color w:val="auto"/>
          <w:sz w:val="28"/>
          <w:szCs w:val="28"/>
          <w:highlight w:val="none"/>
        </w:rPr>
        <w:t>：</w:t>
      </w:r>
    </w:p>
    <w:p w14:paraId="5DE010D5">
      <w:pPr>
        <w:spacing w:before="156" w:beforeLines="50" w:after="156" w:afterLines="50" w:line="360" w:lineRule="auto"/>
        <w:jc w:val="center"/>
        <w:rPr>
          <w:rFonts w:hint="eastAsia" w:hAnsi="宋体" w:cs="宋体"/>
          <w:b/>
          <w:sz w:val="28"/>
          <w:szCs w:val="28"/>
          <w:highlight w:val="none"/>
        </w:rPr>
      </w:pPr>
      <w:bookmarkStart w:id="643" w:name="_Toc13836"/>
    </w:p>
    <w:p w14:paraId="72B22DAB">
      <w:pPr>
        <w:spacing w:before="156" w:beforeLines="50" w:after="156" w:afterLines="50" w:line="360" w:lineRule="auto"/>
        <w:jc w:val="center"/>
        <w:rPr>
          <w:rFonts w:hint="eastAsia" w:hAnsi="宋体" w:cs="宋体"/>
          <w:szCs w:val="24"/>
          <w:highlight w:val="none"/>
        </w:rPr>
      </w:pPr>
      <w:r>
        <w:rPr>
          <w:rFonts w:hint="eastAsia" w:hAnsi="宋体" w:cs="宋体"/>
          <w:b/>
          <w:sz w:val="28"/>
          <w:szCs w:val="28"/>
          <w:highlight w:val="none"/>
        </w:rPr>
        <w:t>中小企业声明函</w:t>
      </w:r>
    </w:p>
    <w:p w14:paraId="410D6981">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49BC3836">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53632ECB">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0D088DD0">
      <w:pPr>
        <w:tabs>
          <w:tab w:val="left" w:pos="1620"/>
          <w:tab w:val="left" w:pos="1800"/>
        </w:tabs>
        <w:spacing w:line="500" w:lineRule="exact"/>
        <w:rPr>
          <w:rFonts w:hint="eastAsia" w:hAnsi="宋体" w:cs="宋体"/>
          <w:szCs w:val="24"/>
          <w:highlight w:val="none"/>
        </w:rPr>
      </w:pPr>
      <w:r>
        <w:rPr>
          <w:rFonts w:hint="eastAsia" w:hAnsi="宋体" w:cs="宋体"/>
          <w:szCs w:val="24"/>
          <w:highlight w:val="none"/>
        </w:rPr>
        <w:t>……</w:t>
      </w:r>
    </w:p>
    <w:p w14:paraId="72EC474A">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3EF3A13F">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14:paraId="4AF4129D">
      <w:pPr>
        <w:tabs>
          <w:tab w:val="left" w:pos="1620"/>
          <w:tab w:val="left" w:pos="1800"/>
        </w:tabs>
        <w:spacing w:line="500" w:lineRule="exact"/>
        <w:rPr>
          <w:rFonts w:hint="eastAsia" w:hAnsi="宋体" w:cs="宋体"/>
          <w:szCs w:val="24"/>
          <w:highlight w:val="none"/>
        </w:rPr>
      </w:pPr>
    </w:p>
    <w:p w14:paraId="22F5C0D9">
      <w:pPr>
        <w:tabs>
          <w:tab w:val="left" w:pos="1620"/>
          <w:tab w:val="left" w:pos="1800"/>
        </w:tabs>
        <w:spacing w:line="500" w:lineRule="exact"/>
        <w:rPr>
          <w:rFonts w:hint="eastAsia" w:hAnsi="宋体" w:cs="宋体"/>
          <w:szCs w:val="24"/>
          <w:highlight w:val="none"/>
        </w:rPr>
      </w:pPr>
    </w:p>
    <w:p w14:paraId="7E2F34EB">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企业名称（盖章）：</w:t>
      </w:r>
    </w:p>
    <w:p w14:paraId="22A02591">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日期：</w:t>
      </w:r>
    </w:p>
    <w:bookmarkEnd w:id="643"/>
    <w:p w14:paraId="373C1048">
      <w:pPr>
        <w:rPr>
          <w:highlight w:val="none"/>
        </w:rPr>
      </w:pPr>
      <w:r>
        <w:rPr>
          <w:highlight w:val="none"/>
        </w:rPr>
        <w:br w:type="page"/>
      </w:r>
    </w:p>
    <w:p w14:paraId="0387C971">
      <w:pPr>
        <w:spacing w:before="100" w:beforeAutospacing="1" w:afterLines="50" w:line="360" w:lineRule="auto"/>
        <w:rPr>
          <w:rFonts w:hint="eastAsia" w:ascii="宋体" w:hAnsi="宋体" w:eastAsia="宋体" w:cs="宋体"/>
          <w:b/>
          <w:bCs/>
          <w:color w:val="auto"/>
          <w:spacing w:val="6"/>
          <w:sz w:val="30"/>
          <w:szCs w:val="30"/>
          <w:highlight w:val="none"/>
        </w:rPr>
      </w:pPr>
      <w:r>
        <w:rPr>
          <w:rFonts w:hint="eastAsia" w:ascii="宋体" w:hAnsi="宋体" w:eastAsia="宋体" w:cs="宋体"/>
          <w:b/>
          <w:bCs/>
          <w:color w:val="auto"/>
          <w:spacing w:val="6"/>
          <w:sz w:val="30"/>
          <w:szCs w:val="30"/>
          <w:highlight w:val="none"/>
        </w:rPr>
        <w:t>附件3（如有）：</w:t>
      </w:r>
    </w:p>
    <w:p w14:paraId="4AE5BEEA">
      <w:pPr>
        <w:spacing w:line="588" w:lineRule="exact"/>
        <w:jc w:val="center"/>
        <w:rPr>
          <w:rFonts w:hint="eastAsia" w:ascii="宋体" w:hAnsi="宋体" w:eastAsia="宋体" w:cs="宋体"/>
          <w:b/>
          <w:color w:val="auto"/>
          <w:spacing w:val="6"/>
          <w:sz w:val="32"/>
          <w:szCs w:val="32"/>
          <w:highlight w:val="none"/>
        </w:rPr>
      </w:pPr>
      <w:bookmarkStart w:id="644" w:name="OLE_LINK14"/>
      <w:bookmarkStart w:id="645" w:name="OLE_LINK13"/>
      <w:r>
        <w:rPr>
          <w:rFonts w:hint="eastAsia" w:ascii="宋体" w:hAnsi="宋体" w:eastAsia="宋体" w:cs="宋体"/>
          <w:b/>
          <w:color w:val="auto"/>
          <w:spacing w:val="6"/>
          <w:sz w:val="32"/>
          <w:szCs w:val="32"/>
          <w:highlight w:val="none"/>
        </w:rPr>
        <w:t>残疾人福利性单位声明函</w:t>
      </w:r>
    </w:p>
    <w:bookmarkEnd w:id="644"/>
    <w:bookmarkEnd w:id="645"/>
    <w:p w14:paraId="1F7B16F6">
      <w:pPr>
        <w:spacing w:line="588" w:lineRule="exact"/>
        <w:rPr>
          <w:rFonts w:hint="eastAsia" w:ascii="宋体" w:hAnsi="宋体" w:eastAsia="宋体" w:cs="宋体"/>
          <w:b/>
          <w:color w:val="auto"/>
          <w:spacing w:val="6"/>
          <w:sz w:val="30"/>
          <w:szCs w:val="30"/>
          <w:highlight w:val="none"/>
        </w:rPr>
      </w:pPr>
    </w:p>
    <w:p w14:paraId="47B54D6B">
      <w:pPr>
        <w:spacing w:line="588" w:lineRule="exact"/>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本单位郑重声明，根据《财政部 民政部 中国残疾人联合会关于促进残疾人就业政府采购政策的通知》（财库</w:t>
      </w:r>
      <w:r>
        <w:rPr>
          <w:rFonts w:hint="eastAsia" w:ascii="宋体" w:hAnsi="宋体" w:eastAsia="宋体" w:cs="宋体"/>
          <w:color w:val="auto"/>
          <w:szCs w:val="24"/>
          <w:highlight w:val="none"/>
        </w:rPr>
        <w:t>〔2017〕 141</w:t>
      </w:r>
      <w:r>
        <w:rPr>
          <w:rFonts w:hint="eastAsia" w:ascii="宋体" w:hAnsi="宋体" w:eastAsia="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6370D6">
      <w:pPr>
        <w:spacing w:line="588" w:lineRule="exact"/>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本单位对上述声明的真实性负责。如有虚假，将依法承担相应责任。</w:t>
      </w:r>
    </w:p>
    <w:p w14:paraId="19583333">
      <w:pPr>
        <w:spacing w:line="588" w:lineRule="exact"/>
        <w:ind w:firstLine="504" w:firstLineChars="200"/>
        <w:rPr>
          <w:rFonts w:hint="eastAsia" w:ascii="宋体" w:hAnsi="宋体" w:eastAsia="宋体" w:cs="宋体"/>
          <w:color w:val="auto"/>
          <w:spacing w:val="6"/>
          <w:szCs w:val="24"/>
          <w:highlight w:val="none"/>
        </w:rPr>
      </w:pPr>
    </w:p>
    <w:p w14:paraId="72C2F863">
      <w:pPr>
        <w:spacing w:line="588" w:lineRule="exact"/>
        <w:ind w:firstLine="504" w:firstLineChars="200"/>
        <w:rPr>
          <w:rFonts w:hint="eastAsia" w:ascii="宋体" w:hAnsi="宋体" w:eastAsia="宋体" w:cs="宋体"/>
          <w:color w:val="auto"/>
          <w:spacing w:val="6"/>
          <w:szCs w:val="24"/>
          <w:highlight w:val="none"/>
        </w:rPr>
      </w:pPr>
    </w:p>
    <w:p w14:paraId="4AB8DAB6">
      <w:pPr>
        <w:spacing w:line="588" w:lineRule="exact"/>
        <w:ind w:firstLine="504" w:firstLineChars="200"/>
        <w:rPr>
          <w:rFonts w:hint="eastAsia" w:ascii="宋体" w:hAnsi="宋体" w:eastAsia="宋体" w:cs="宋体"/>
          <w:color w:val="auto"/>
          <w:spacing w:val="6"/>
          <w:szCs w:val="24"/>
          <w:highlight w:val="none"/>
        </w:rPr>
      </w:pPr>
    </w:p>
    <w:p w14:paraId="4EABC89B">
      <w:pPr>
        <w:spacing w:line="588" w:lineRule="exact"/>
        <w:ind w:firstLine="504" w:firstLineChars="200"/>
        <w:rPr>
          <w:rFonts w:hint="eastAsia" w:ascii="宋体" w:hAnsi="宋体" w:eastAsia="宋体" w:cs="宋体"/>
          <w:color w:val="auto"/>
          <w:spacing w:val="6"/>
          <w:szCs w:val="24"/>
          <w:highlight w:val="none"/>
        </w:rPr>
      </w:pPr>
    </w:p>
    <w:p w14:paraId="74573A4F">
      <w:pPr>
        <w:tabs>
          <w:tab w:val="left" w:pos="4860"/>
        </w:tabs>
        <w:spacing w:line="588" w:lineRule="exact"/>
        <w:ind w:right="1560" w:firstLine="504" w:firstLineChars="200"/>
        <w:jc w:val="center"/>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单位名称（盖章）：</w:t>
      </w:r>
    </w:p>
    <w:p w14:paraId="6E909AC5">
      <w:pPr>
        <w:tabs>
          <w:tab w:val="left" w:pos="4860"/>
        </w:tabs>
        <w:spacing w:line="588" w:lineRule="exact"/>
        <w:ind w:right="1560" w:firstLine="504" w:firstLineChars="200"/>
        <w:jc w:val="center"/>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日    期：</w:t>
      </w:r>
    </w:p>
    <w:p w14:paraId="76763081">
      <w:pPr>
        <w:rPr>
          <w:rFonts w:hint="eastAsia"/>
          <w:sz w:val="18"/>
          <w:szCs w:val="20"/>
          <w:highlight w:val="none"/>
        </w:rPr>
      </w:pPr>
    </w:p>
    <w:p w14:paraId="62D59378">
      <w:pPr>
        <w:rPr>
          <w:highlight w:val="none"/>
        </w:rPr>
      </w:pPr>
    </w:p>
    <w:p w14:paraId="15A5A7FE">
      <w:pPr>
        <w:rPr>
          <w:highlight w:val="none"/>
        </w:rPr>
      </w:pPr>
    </w:p>
    <w:p w14:paraId="7FA69074">
      <w:pPr>
        <w:keepLines/>
        <w:pageBreakBefore/>
        <w:spacing w:before="100" w:beforeAutospacing="1" w:after="166" w:afterLines="50"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附件5：（参考格式）</w:t>
      </w:r>
    </w:p>
    <w:p w14:paraId="5EBD195C">
      <w:pPr>
        <w:spacing w:before="100" w:beforeAutospacing="1" w:after="166" w:afterLines="50"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投标担保函</w:t>
      </w:r>
    </w:p>
    <w:p w14:paraId="782E436D">
      <w:pPr>
        <w:rPr>
          <w:rFonts w:hint="eastAsia" w:ascii="宋体" w:hAnsi="宋体" w:eastAsia="宋体" w:cs="宋体"/>
          <w:szCs w:val="32"/>
          <w:highlight w:val="none"/>
        </w:rPr>
      </w:pPr>
      <w:r>
        <w:rPr>
          <w:rFonts w:hint="eastAsia" w:ascii="宋体" w:hAnsi="宋体" w:eastAsia="宋体" w:cs="宋体"/>
          <w:szCs w:val="32"/>
          <w:highlight w:val="none"/>
        </w:rPr>
        <w:t xml:space="preserve">                                         </w:t>
      </w:r>
    </w:p>
    <w:p w14:paraId="1AC17671">
      <w:pPr>
        <w:jc w:val="center"/>
        <w:rPr>
          <w:rFonts w:hint="eastAsia" w:ascii="宋体" w:hAnsi="宋体" w:eastAsia="宋体" w:cs="宋体"/>
          <w:szCs w:val="32"/>
          <w:highlight w:val="none"/>
        </w:rPr>
      </w:pPr>
      <w:r>
        <w:rPr>
          <w:rFonts w:hint="eastAsia" w:ascii="宋体" w:hAnsi="宋体" w:eastAsia="宋体" w:cs="宋体"/>
          <w:szCs w:val="32"/>
          <w:highlight w:val="none"/>
        </w:rPr>
        <w:t xml:space="preserve">                     </w:t>
      </w:r>
      <w:r>
        <w:rPr>
          <w:rFonts w:hint="eastAsia" w:ascii="宋体" w:hAnsi="宋体" w:eastAsia="宋体" w:cs="宋体"/>
          <w:szCs w:val="24"/>
          <w:highlight w:val="none"/>
        </w:rPr>
        <w:t xml:space="preserve">         编号： </w:t>
      </w:r>
    </w:p>
    <w:p w14:paraId="48A612B6">
      <w:pPr>
        <w:rPr>
          <w:rFonts w:hint="eastAsia" w:ascii="宋体" w:hAnsi="宋体" w:eastAsia="宋体" w:cs="宋体"/>
          <w:szCs w:val="32"/>
          <w:highlight w:val="none"/>
          <w:u w:val="single"/>
        </w:rPr>
      </w:pPr>
    </w:p>
    <w:p w14:paraId="7DA50D40">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___________________（采购人或采购代理机构）： </w:t>
      </w:r>
    </w:p>
    <w:p w14:paraId="14FF90CE">
      <w:pPr>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 xml:space="preserve">    鉴于_______________（以下简称“供应商”）拟参加编号为___________的_______项目</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 xml:space="preserve">（以下简称“本项目”）投标，根据本项目招标文件，供应商参加投标时应向你方交纳投标保证金，且可以投标担保函的形式交纳投标保证金。应供应商的申请，我方以保证的方式向你方提供如下投标保证金担保： </w:t>
      </w:r>
    </w:p>
    <w:p w14:paraId="65B40277">
      <w:pPr>
        <w:spacing w:line="360" w:lineRule="auto"/>
        <w:rPr>
          <w:rFonts w:hint="eastAsia" w:ascii="宋体" w:hAnsi="宋体" w:eastAsia="宋体" w:cs="宋体"/>
          <w:b/>
          <w:szCs w:val="24"/>
          <w:highlight w:val="none"/>
        </w:rPr>
      </w:pPr>
      <w:r>
        <w:rPr>
          <w:rFonts w:hint="eastAsia" w:ascii="宋体" w:hAnsi="宋体" w:eastAsia="宋体" w:cs="宋体"/>
          <w:szCs w:val="24"/>
          <w:highlight w:val="none"/>
        </w:rPr>
        <w:t xml:space="preserve">   </w:t>
      </w:r>
      <w:r>
        <w:rPr>
          <w:rFonts w:hint="eastAsia" w:ascii="宋体" w:hAnsi="宋体" w:eastAsia="宋体" w:cs="宋体"/>
          <w:b/>
          <w:szCs w:val="24"/>
          <w:highlight w:val="none"/>
        </w:rPr>
        <w:t xml:space="preserve"> 一、保证责任的情形及保证金额 </w:t>
      </w:r>
    </w:p>
    <w:p w14:paraId="14BE46BF">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（一）在供应商出现下列情形之一时，我方承担保证责任： </w:t>
      </w:r>
    </w:p>
    <w:p w14:paraId="00F95E04">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1．中标后供应商无正当理由不与采购人或者采购代理机构签订《政府采购合同》； </w:t>
      </w:r>
    </w:p>
    <w:p w14:paraId="15442BF8">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2．招标文件规定的供应商应当缴纳保证金的其他情形。 </w:t>
      </w:r>
    </w:p>
    <w:p w14:paraId="2B00EDEA">
      <w:pPr>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 xml:space="preserve">  （二）我方承担保证责任的最高金额为人民币______元（大写_________________），即本项目</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 xml:space="preserve">的投标保证金金额。 </w:t>
      </w:r>
    </w:p>
    <w:p w14:paraId="145B99FC">
      <w:pPr>
        <w:spacing w:line="360" w:lineRule="auto"/>
        <w:rPr>
          <w:rFonts w:hint="eastAsia" w:ascii="宋体" w:hAnsi="宋体" w:eastAsia="宋体" w:cs="宋体"/>
          <w:b/>
          <w:szCs w:val="24"/>
          <w:highlight w:val="none"/>
        </w:rPr>
      </w:pPr>
      <w:r>
        <w:rPr>
          <w:rFonts w:hint="eastAsia" w:ascii="宋体" w:hAnsi="宋体" w:eastAsia="宋体" w:cs="宋体"/>
          <w:szCs w:val="24"/>
          <w:highlight w:val="none"/>
        </w:rPr>
        <w:t xml:space="preserve">   </w:t>
      </w:r>
      <w:r>
        <w:rPr>
          <w:rFonts w:hint="eastAsia" w:ascii="宋体" w:hAnsi="宋体" w:eastAsia="宋体" w:cs="宋体"/>
          <w:b/>
          <w:szCs w:val="24"/>
          <w:highlight w:val="none"/>
        </w:rPr>
        <w:t xml:space="preserve"> 二、保证的方式及保证期间 </w:t>
      </w:r>
    </w:p>
    <w:p w14:paraId="65D18967">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我方保证的方式为：连带责任保证。 </w:t>
      </w:r>
    </w:p>
    <w:p w14:paraId="1017BD70">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我方的保证期间为：自本保函生效之日起______个月止。 </w:t>
      </w:r>
    </w:p>
    <w:p w14:paraId="35E52724">
      <w:pPr>
        <w:spacing w:line="360" w:lineRule="auto"/>
        <w:rPr>
          <w:rFonts w:hint="eastAsia" w:ascii="宋体" w:hAnsi="宋体" w:eastAsia="宋体" w:cs="宋体"/>
          <w:b/>
          <w:szCs w:val="24"/>
          <w:highlight w:val="none"/>
        </w:rPr>
      </w:pPr>
      <w:r>
        <w:rPr>
          <w:rFonts w:hint="eastAsia" w:ascii="宋体" w:hAnsi="宋体" w:eastAsia="宋体" w:cs="宋体"/>
          <w:szCs w:val="24"/>
          <w:highlight w:val="none"/>
        </w:rPr>
        <w:t xml:space="preserve">   </w:t>
      </w:r>
      <w:r>
        <w:rPr>
          <w:rFonts w:hint="eastAsia" w:ascii="宋体" w:hAnsi="宋体" w:eastAsia="宋体" w:cs="宋体"/>
          <w:b/>
          <w:szCs w:val="24"/>
          <w:highlight w:val="none"/>
        </w:rPr>
        <w:t xml:space="preserve"> 三、承担保证责任的程序 </w:t>
      </w:r>
    </w:p>
    <w:p w14:paraId="3601ADBB">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1．你方要求我方承担保证责任的，应在本保函保证期间内向我方发出书面索赔通知。索赔通知应写明要求索赔的金额，支付款项应到达的账号，并附有证明供应商发生我方应承担保证责任情形的事实材料。 </w:t>
      </w:r>
    </w:p>
    <w:p w14:paraId="41FE7272">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2．我方在收到索赔通知及相关证明材料后，在_____个工作日内进行审查，符合应承担保证责任情形的，我方应按照你方的要求代供应商向你方支付投标保证金。 </w:t>
      </w:r>
    </w:p>
    <w:p w14:paraId="0750446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 xml:space="preserve">    四、保证责任的终止 </w:t>
      </w:r>
    </w:p>
    <w:p w14:paraId="44FAAFF5">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1．保证期间届满你方未向我方书面主张保证责任的，自保证期间届满次日起，我方保证责任自动终止。 </w:t>
      </w:r>
    </w:p>
    <w:p w14:paraId="47F04664">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2．我方按照本保函向你方履行了保证责任后，自我方向你方支付款项（支付款项从我方账户划出）之日起，保证责任终止。 </w:t>
      </w:r>
    </w:p>
    <w:p w14:paraId="13BEC5E0">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3．按照法律法规的规定或出现我方保证责任终止的其它情形的，我方在本保函项下的保证责任亦终止。 </w:t>
      </w:r>
    </w:p>
    <w:p w14:paraId="0E5D62D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 xml:space="preserve">    五、免责条款 </w:t>
      </w:r>
    </w:p>
    <w:p w14:paraId="74E13381">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1．依照法律规定或你方与供应商的另行约定，全部或者部分免除供应商投标保证金义务时，我方亦免除相应的保证责任。 </w:t>
      </w:r>
    </w:p>
    <w:p w14:paraId="08E7A053">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2．因你方原因致使供应商发生本保函第一条第（一）款约定情形的，我方不承担保证责任。 </w:t>
      </w:r>
    </w:p>
    <w:p w14:paraId="3390EBF7">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3．因不可抗力造成供应商发生本保函第一条约定情形的，我方不承担保证责任。 </w:t>
      </w:r>
    </w:p>
    <w:p w14:paraId="6941F7C1">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4．你方或其他有权机关对招标文件进行任何澄清或修改，加重我方保证责任的，我方对加重部分不承担保证责任，但该澄清或修改经我方事先书面同意的除外。 </w:t>
      </w:r>
    </w:p>
    <w:p w14:paraId="3627DFB0">
      <w:pPr>
        <w:spacing w:line="360" w:lineRule="auto"/>
        <w:rPr>
          <w:rFonts w:hint="eastAsia" w:ascii="宋体" w:hAnsi="宋体" w:eastAsia="宋体" w:cs="宋体"/>
          <w:b/>
          <w:szCs w:val="24"/>
          <w:highlight w:val="none"/>
        </w:rPr>
      </w:pPr>
      <w:r>
        <w:rPr>
          <w:rFonts w:hint="eastAsia" w:ascii="宋体" w:hAnsi="宋体" w:eastAsia="宋体" w:cs="宋体"/>
          <w:szCs w:val="24"/>
          <w:highlight w:val="none"/>
        </w:rPr>
        <w:t xml:space="preserve">   </w:t>
      </w:r>
      <w:r>
        <w:rPr>
          <w:rFonts w:hint="eastAsia" w:ascii="宋体" w:hAnsi="宋体" w:eastAsia="宋体" w:cs="宋体"/>
          <w:b/>
          <w:szCs w:val="24"/>
          <w:highlight w:val="none"/>
        </w:rPr>
        <w:t xml:space="preserve"> 六、争议的解决 </w:t>
      </w:r>
    </w:p>
    <w:p w14:paraId="1BFC7BAF">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因本保函发生的纠纷，由你我双方协商解决，协商不成的，通过诉讼程序解决，诉讼管辖地法院为________________法院。 </w:t>
      </w:r>
    </w:p>
    <w:p w14:paraId="0A3EB28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 xml:space="preserve">    七、保函的生效 </w:t>
      </w:r>
    </w:p>
    <w:p w14:paraId="64FF230E">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本保函自我方加盖公章之日起生效。 </w:t>
      </w:r>
    </w:p>
    <w:p w14:paraId="6FF21874">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w:t>
      </w:r>
    </w:p>
    <w:p w14:paraId="0392AD43">
      <w:pPr>
        <w:spacing w:line="360" w:lineRule="auto"/>
        <w:rPr>
          <w:rFonts w:hint="eastAsia" w:ascii="宋体" w:hAnsi="宋体" w:eastAsia="宋体" w:cs="宋体"/>
          <w:szCs w:val="24"/>
          <w:highlight w:val="none"/>
        </w:rPr>
      </w:pPr>
    </w:p>
    <w:p w14:paraId="690055F8">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w:t>
      </w:r>
    </w:p>
    <w:p w14:paraId="4080046D">
      <w:pPr>
        <w:spacing w:line="360" w:lineRule="auto"/>
        <w:rPr>
          <w:rFonts w:hint="eastAsia" w:ascii="宋体" w:hAnsi="宋体" w:eastAsia="宋体" w:cs="宋体"/>
          <w:szCs w:val="24"/>
          <w:highlight w:val="none"/>
        </w:rPr>
      </w:pPr>
    </w:p>
    <w:p w14:paraId="2FAEE656">
      <w:pPr>
        <w:spacing w:line="360" w:lineRule="auto"/>
        <w:ind w:right="640" w:firstLine="3840" w:firstLineChars="1600"/>
        <w:rPr>
          <w:rFonts w:hint="eastAsia" w:ascii="宋体" w:hAnsi="宋体" w:eastAsia="宋体" w:cs="宋体"/>
          <w:szCs w:val="24"/>
          <w:highlight w:val="none"/>
        </w:rPr>
      </w:pPr>
      <w:r>
        <w:rPr>
          <w:rFonts w:hint="eastAsia" w:ascii="宋体" w:hAnsi="宋体" w:eastAsia="宋体" w:cs="宋体"/>
          <w:szCs w:val="24"/>
          <w:highlight w:val="none"/>
        </w:rPr>
        <w:t>保证人：（公章）</w:t>
      </w:r>
    </w:p>
    <w:p w14:paraId="5B1610F3">
      <w:pPr>
        <w:spacing w:line="360" w:lineRule="auto"/>
        <w:ind w:right="640"/>
        <w:rPr>
          <w:rFonts w:hint="eastAsia" w:ascii="宋体" w:hAnsi="宋体" w:eastAsia="宋体" w:cs="宋体"/>
          <w:szCs w:val="24"/>
          <w:highlight w:val="none"/>
        </w:rPr>
      </w:pPr>
      <w:r>
        <w:rPr>
          <w:rFonts w:hint="eastAsia" w:ascii="宋体" w:hAnsi="宋体" w:eastAsia="宋体" w:cs="宋体"/>
          <w:szCs w:val="24"/>
          <w:highlight w:val="none"/>
        </w:rPr>
        <w:t xml:space="preserve">                                年   月   日</w:t>
      </w:r>
    </w:p>
    <w:p w14:paraId="5A8C5659">
      <w:pPr>
        <w:tabs>
          <w:tab w:val="left" w:pos="1620"/>
          <w:tab w:val="left" w:pos="1800"/>
        </w:tabs>
        <w:spacing w:line="440" w:lineRule="exact"/>
        <w:ind w:right="617" w:rightChars="257"/>
        <w:rPr>
          <w:rFonts w:hint="eastAsia" w:ascii="宋体" w:hAnsi="宋体" w:eastAsia="宋体" w:cs="宋体"/>
          <w:highlight w:val="none"/>
        </w:rPr>
      </w:pPr>
    </w:p>
    <w:p w14:paraId="45809C2E"/>
    <w:sectPr>
      <w:footerReference r:id="rId13" w:type="first"/>
      <w:footerReference r:id="rId12" w:type="default"/>
      <w:pgSz w:w="11906" w:h="16838"/>
      <w:pgMar w:top="1276" w:right="1134" w:bottom="113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17045">
    <w:pPr>
      <w:pStyle w:val="9"/>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陕西省商洛市商州区民主路陕西至诚项目管理集团有限公司商洛分公司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0544">
    <w:pPr>
      <w:pStyle w:val="9"/>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4161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34161B">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陕西至诚项目管理集团有限公司</w:t>
    </w:r>
    <w:r>
      <w:rPr>
        <w:rFonts w:hint="eastAsia"/>
      </w:rPr>
      <w:t xml:space="preserve">                         </w:t>
    </w:r>
    <w:r>
      <w:rPr>
        <w:rFonts w:hint="eastAsia"/>
      </w:rPr>
      <w:tab/>
    </w:r>
    <w:r>
      <w:rPr>
        <w:rFonts w:hint="eastAsia"/>
      </w:rPr>
      <w:t xml:space="preserve">         西安市</w:t>
    </w:r>
    <w:r>
      <w:rPr>
        <w:rFonts w:hint="eastAsia"/>
        <w:lang w:eastAsia="zh-CN"/>
      </w:rPr>
      <w:t>陕西省商洛市商州区民主路陕西至诚项目管理集团有限公司商洛分公司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BFC8A">
    <w:pPr>
      <w:pStyle w:val="9"/>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D3E4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1D3E4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B9203">
    <w:pPr>
      <w:pStyle w:val="9"/>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CA531">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5ACA531">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EEB09">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477D9">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F477D9">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0F69">
    <w:pPr>
      <w:tabs>
        <w:tab w:val="left" w:pos="5646"/>
      </w:tabs>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1B7B0">
                          <w:pPr>
                            <w:pStyle w:val="9"/>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8B1B7B0">
                    <w:pPr>
                      <w:pStyle w:val="9"/>
                    </w:pPr>
                    <w:r>
                      <w:fldChar w:fldCharType="begin"/>
                    </w:r>
                    <w:r>
                      <w:instrText xml:space="preserve"> PAGE  \* MERGEFORMAT </w:instrText>
                    </w:r>
                    <w:r>
                      <w:fldChar w:fldCharType="separate"/>
                    </w:r>
                    <w:r>
                      <w:t>89</w:t>
                    </w:r>
                    <w:r>
                      <w:fldChar w:fldCharType="end"/>
                    </w:r>
                  </w:p>
                </w:txbxContent>
              </v:textbox>
            </v:shape>
          </w:pict>
        </mc:Fallback>
      </mc:AlternateContent>
    </w:r>
  </w:p>
  <w:p w14:paraId="4AF02184">
    <w:pPr>
      <w:pStyle w:val="9"/>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B4EC9">
    <w:pPr>
      <w:pStyle w:val="9"/>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F714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38F714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6F066">
    <w:pPr>
      <w:spacing w:line="500" w:lineRule="exact"/>
      <w:ind w:left="1530" w:hanging="1530" w:hangingChars="850"/>
      <w:jc w:val="left"/>
      <w:rPr>
        <w:rFonts w:hAnsi="宋体"/>
        <w:bCs/>
        <w:sz w:val="18"/>
        <w:szCs w:val="18"/>
        <w:u w:val="single"/>
      </w:rPr>
    </w:pPr>
    <w:r>
      <w:rPr>
        <w:rFonts w:hint="eastAsia" w:hAnsi="宋体"/>
        <w:bCs/>
        <w:sz w:val="18"/>
        <w:szCs w:val="18"/>
        <w:u w:val="single"/>
        <w:lang w:eastAsia="zh-CN"/>
      </w:rPr>
      <w:t>富水镇敬老院设施改造与设备配置项目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E678C">
    <w:pPr>
      <w:pStyle w:val="10"/>
      <w:pBdr>
        <w:bottom w:val="none" w:color="auto" w:sz="0" w:space="1"/>
      </w:pBdr>
      <w:jc w:val="both"/>
    </w:pPr>
  </w:p>
  <w:p w14:paraId="682548C8">
    <w:pPr>
      <w:pStyle w:val="10"/>
      <w:pBdr>
        <w:bottom w:val="none" w:color="auto" w:sz="0" w:space="1"/>
      </w:pBdr>
      <w:jc w:val="both"/>
      <w:rPr>
        <w:rFonts w:hAnsi="宋体"/>
        <w:b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E0FAA">
    <w:pPr>
      <w:pStyle w:val="10"/>
      <w:jc w:val="left"/>
      <w:rPr>
        <w:rFonts w:cs="宋体"/>
        <w:bCs/>
        <w:shd w:val="clear" w:color="auto" w:fill="FFFFFF"/>
      </w:rPr>
    </w:pPr>
  </w:p>
  <w:p w14:paraId="1305B498">
    <w:pPr>
      <w:pStyle w:val="10"/>
      <w:jc w:val="left"/>
      <w:rPr>
        <w:rFonts w:ascii="宋体" w:hAnsi="宋体"/>
        <w:bCs/>
      </w:rPr>
    </w:pPr>
    <w:r>
      <w:rPr>
        <w:rFonts w:hint="eastAsia" w:cs="宋体"/>
        <w:bCs/>
        <w:shd w:val="clear" w:color="auto" w:fill="FFFFFF"/>
        <w:lang w:eastAsia="zh-CN"/>
      </w:rPr>
      <w:t>富水镇敬老院设施改造与设备配置项目</w:t>
    </w:r>
    <w:r>
      <w:rPr>
        <w:rFonts w:hint="eastAsia" w:cs="宋体"/>
        <w:bCs/>
        <w:shd w:val="clear" w:color="auto" w:fill="FFFFFF"/>
        <w:lang w:val="en-US" w:eastAsia="zh-CN"/>
      </w:rPr>
      <w:t xml:space="preserve">                          </w:t>
    </w:r>
    <w:r>
      <w:rPr>
        <w:rFonts w:hint="eastAsia" w:cs="宋体"/>
        <w:bCs/>
        <w:shd w:val="clear" w:color="auto" w:fill="FFFFFF"/>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F5461">
    <w:pPr>
      <w:pStyle w:val="10"/>
      <w:jc w:val="left"/>
      <w:rPr>
        <w:rFonts w:ascii="宋体" w:hAnsi="宋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345DCC0"/>
    <w:multiLevelType w:val="singleLevel"/>
    <w:tmpl w:val="3345DCC0"/>
    <w:lvl w:ilvl="0" w:tentative="0">
      <w:start w:val="1"/>
      <w:numFmt w:val="decimal"/>
      <w:suff w:val="nothing"/>
      <w:lvlText w:val="%1）"/>
      <w:lvlJc w:val="left"/>
    </w:lvl>
  </w:abstractNum>
  <w:abstractNum w:abstractNumId="2">
    <w:nsid w:val="5354ECB6"/>
    <w:multiLevelType w:val="singleLevel"/>
    <w:tmpl w:val="5354ECB6"/>
    <w:lvl w:ilvl="0" w:tentative="0">
      <w:start w:val="1"/>
      <w:numFmt w:val="decimal"/>
      <w:suff w:val="nothing"/>
      <w:lvlText w:val="%1、"/>
      <w:lvlJc w:val="left"/>
    </w:lvl>
  </w:abstractNum>
  <w:abstractNum w:abstractNumId="3">
    <w:nsid w:val="590049E8"/>
    <w:multiLevelType w:val="singleLevel"/>
    <w:tmpl w:val="590049E8"/>
    <w:lvl w:ilvl="0" w:tentative="0">
      <w:start w:val="30"/>
      <w:numFmt w:val="decimal"/>
      <w:suff w:val="nothing"/>
      <w:lvlText w:val="%1."/>
      <w:lvlJc w:val="left"/>
    </w:lvl>
  </w:abstractNum>
  <w:abstractNum w:abstractNumId="4">
    <w:nsid w:val="59B2460E"/>
    <w:multiLevelType w:val="singleLevel"/>
    <w:tmpl w:val="59B2460E"/>
    <w:lvl w:ilvl="0" w:tentative="0">
      <w:start w:val="2"/>
      <w:numFmt w:val="decimal"/>
      <w:suff w:val="nothing"/>
      <w:lvlText w:val="%1."/>
      <w:lvlJc w:val="left"/>
    </w:lvl>
  </w:abstractNum>
  <w:abstractNum w:abstractNumId="5">
    <w:nsid w:val="59CF0981"/>
    <w:multiLevelType w:val="singleLevel"/>
    <w:tmpl w:val="59CF0981"/>
    <w:lvl w:ilvl="0" w:tentative="0">
      <w:start w:val="1"/>
      <w:numFmt w:val="decimal"/>
      <w:suff w:val="nothing"/>
      <w:lvlText w:val="%1、"/>
      <w:lvlJc w:val="left"/>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NzNhNDgxYzlmZTM3ODE0MGFlNDFkMmFiMWRmZDMifQ=="/>
  </w:docVars>
  <w:rsids>
    <w:rsidRoot w:val="111869AE"/>
    <w:rsid w:val="111869AE"/>
    <w:rsid w:val="2F55552A"/>
    <w:rsid w:val="45664E3E"/>
    <w:rsid w:val="53F5200D"/>
    <w:rsid w:val="59D9523A"/>
    <w:rsid w:val="5E955665"/>
    <w:rsid w:val="6C1D3300"/>
    <w:rsid w:val="6E00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outlineLvl w:val="0"/>
    </w:pPr>
    <w:rPr>
      <w:rFonts w:ascii="仿宋_GB2312" w:hAnsi="宋体" w:eastAsia="仿宋_GB2312"/>
      <w:b/>
      <w:kern w:val="2"/>
      <w:sz w:val="32"/>
    </w:rPr>
  </w:style>
  <w:style w:type="paragraph" w:styleId="3">
    <w:name w:val="heading 2"/>
    <w:basedOn w:val="1"/>
    <w:next w:val="1"/>
    <w:qFormat/>
    <w:uiPriority w:val="0"/>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line="300" w:lineRule="auto"/>
      <w:ind w:firstLine="420" w:firstLineChars="200"/>
    </w:pPr>
    <w:rPr>
      <w:rFonts w:ascii="Times New Roman"/>
      <w:kern w:val="2"/>
      <w:sz w:val="21"/>
      <w:szCs w:val="24"/>
    </w:rPr>
  </w:style>
  <w:style w:type="paragraph" w:styleId="6">
    <w:name w:val="Body Text"/>
    <w:basedOn w:val="1"/>
    <w:next w:val="1"/>
    <w:qFormat/>
    <w:uiPriority w:val="0"/>
    <w:pPr>
      <w:spacing w:after="120"/>
    </w:pPr>
    <w:rPr>
      <w:rFonts w:ascii="Times New Roman"/>
      <w:kern w:val="2"/>
      <w:sz w:val="21"/>
    </w:rPr>
  </w:style>
  <w:style w:type="paragraph" w:styleId="7">
    <w:name w:val="Plain Text"/>
    <w:basedOn w:val="1"/>
    <w:qFormat/>
    <w:uiPriority w:val="0"/>
    <w:rPr>
      <w:rFonts w:hAnsi="Courier New"/>
      <w:kern w:val="2"/>
      <w:sz w:val="21"/>
    </w:rPr>
  </w:style>
  <w:style w:type="paragraph" w:styleId="8">
    <w:name w:val="Body Text Indent 2"/>
    <w:basedOn w:val="1"/>
    <w:qFormat/>
    <w:uiPriority w:val="99"/>
    <w:pPr>
      <w:widowControl/>
      <w:spacing w:after="120" w:line="480" w:lineRule="auto"/>
      <w:ind w:left="420" w:leftChars="200"/>
      <w:jc w:val="left"/>
    </w:pPr>
    <w:rPr>
      <w:rFonts w:ascii="Times New Roman" w:hAnsi="Times New Roman"/>
      <w:kern w:val="0"/>
      <w:sz w:val="20"/>
      <w:szCs w:val="20"/>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1">
    <w:name w:val="toc 1"/>
    <w:basedOn w:val="1"/>
    <w:next w:val="1"/>
    <w:unhideWhenUsed/>
    <w:qFormat/>
    <w:uiPriority w:val="0"/>
  </w:style>
  <w:style w:type="paragraph" w:styleId="12">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3">
    <w:name w:val="toc 2"/>
    <w:basedOn w:val="1"/>
    <w:next w:val="1"/>
    <w:unhideWhenUsed/>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hAnsi="宋体"/>
      <w:szCs w:val="24"/>
    </w:rPr>
  </w:style>
  <w:style w:type="paragraph" w:styleId="15">
    <w:name w:val="Body Text First Indent"/>
    <w:basedOn w:val="6"/>
    <w:qFormat/>
    <w:uiPriority w:val="99"/>
    <w:pPr>
      <w:ind w:firstLine="420" w:firstLineChars="100"/>
    </w:pPr>
    <w:rPr>
      <w:rFonts w:ascii="宋体"/>
    </w:rPr>
  </w:style>
  <w:style w:type="character" w:styleId="18">
    <w:name w:val="Strong"/>
    <w:qFormat/>
    <w:uiPriority w:val="0"/>
    <w:rPr>
      <w:b/>
      <w:bCs/>
    </w:rPr>
  </w:style>
  <w:style w:type="paragraph" w:customStyle="1" w:styleId="19">
    <w:name w:val="列出段落1"/>
    <w:basedOn w:val="1"/>
    <w:autoRedefine/>
    <w:qFormat/>
    <w:uiPriority w:val="34"/>
    <w:pPr>
      <w:ind w:firstLine="420" w:firstLineChars="200"/>
    </w:pPr>
  </w:style>
  <w:style w:type="paragraph" w:customStyle="1" w:styleId="20">
    <w:name w:val="Table Text"/>
    <w:basedOn w:val="1"/>
    <w:semiHidden/>
    <w:qFormat/>
    <w:uiPriority w:val="0"/>
    <w:rPr>
      <w:rFonts w:ascii="宋体" w:hAnsi="宋体" w:eastAsia="宋体" w:cs="宋体"/>
      <w:sz w:val="19"/>
      <w:szCs w:val="19"/>
      <w:lang w:val="en-US" w:eastAsia="en-US" w:bidi="ar-SA"/>
    </w:rPr>
  </w:style>
  <w:style w:type="paragraph" w:customStyle="1" w:styleId="21">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列出段落11"/>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16007</Words>
  <Characters>17355</Characters>
  <Lines>0</Lines>
  <Paragraphs>0</Paragraphs>
  <TotalTime>65</TotalTime>
  <ScaleCrop>false</ScaleCrop>
  <LinksUpToDate>false</LinksUpToDate>
  <CharactersWithSpaces>17521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2024-09-24T01:00:00Z</dcterms:created>
  <dc:creator>至诚商洛分公司</dc:creator>
  <cp:lastModifiedBy>至诚商洛分公司</cp:lastModifiedBy>
  <dcterms:modified xsi:type="dcterms:W3CDTF">2024-12-03T06:54:36Z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8A990326D5DE45C1881CCBB4B50D54F3_11</vt:lpwstr>
  </property>
</Properties>
</file>