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7F9AE">
      <w:pPr>
        <w:adjustRightInd w:val="0"/>
        <w:snapToGrid w:val="0"/>
        <w:spacing w:line="360" w:lineRule="auto"/>
        <w:jc w:val="right"/>
        <w:rPr>
          <w:rFonts w:ascii="宋体" w:cs="Times New Roman"/>
          <w:b/>
          <w:bCs/>
          <w:sz w:val="30"/>
          <w:szCs w:val="30"/>
        </w:rPr>
      </w:pPr>
      <w:bookmarkStart w:id="0" w:name="OLE_LINK9"/>
      <w:r>
        <w:rPr>
          <w:rFonts w:hint="eastAsia" w:ascii="宋体" w:hAnsi="宋体" w:cs="宋体"/>
          <w:b/>
          <w:bCs/>
          <w:sz w:val="30"/>
          <w:szCs w:val="30"/>
        </w:rPr>
        <w:t>政府采购项目</w:t>
      </w:r>
    </w:p>
    <w:p w14:paraId="1FF6B6F9">
      <w:pPr>
        <w:tabs>
          <w:tab w:val="left" w:pos="7400"/>
        </w:tabs>
        <w:adjustRightInd w:val="0"/>
        <w:snapToGrid w:val="0"/>
        <w:spacing w:line="360" w:lineRule="auto"/>
        <w:rPr>
          <w:rFonts w:hint="eastAsia" w:ascii="宋体" w:cs="Times New Roman"/>
          <w:b/>
          <w:bCs/>
          <w:sz w:val="44"/>
          <w:szCs w:val="44"/>
        </w:rPr>
      </w:pPr>
      <w:r>
        <w:rPr>
          <w:rFonts w:hint="eastAsia" w:ascii="宋体" w:hAnsi="宋体" w:cs="宋体"/>
          <w:b/>
          <w:bCs/>
          <w:sz w:val="30"/>
          <w:szCs w:val="30"/>
        </w:rPr>
        <w:t>项目编号：</w:t>
      </w:r>
      <w:r>
        <w:rPr>
          <w:rFonts w:hint="eastAsia" w:ascii="宋体" w:hAnsi="宋体" w:cs="宋体"/>
          <w:b/>
          <w:bCs/>
          <w:color w:val="auto"/>
          <w:sz w:val="30"/>
          <w:szCs w:val="30"/>
          <w:lang w:eastAsia="zh-CN"/>
        </w:rPr>
        <w:t>AKSH2024-ZCS-162</w:t>
      </w:r>
      <w:r>
        <w:rPr>
          <w:rFonts w:hint="eastAsia" w:ascii="宋体" w:cs="Times New Roman"/>
          <w:b/>
          <w:bCs/>
          <w:sz w:val="44"/>
          <w:szCs w:val="44"/>
        </w:rPr>
        <w:tab/>
      </w:r>
    </w:p>
    <w:p w14:paraId="6525FAF0">
      <w:pPr>
        <w:tabs>
          <w:tab w:val="left" w:pos="0"/>
        </w:tabs>
        <w:adjustRightInd w:val="0"/>
        <w:snapToGrid w:val="0"/>
        <w:spacing w:line="360" w:lineRule="auto"/>
        <w:ind w:firstLine="2811" w:firstLineChars="500"/>
        <w:jc w:val="both"/>
        <w:rPr>
          <w:rFonts w:hint="eastAsia" w:ascii="宋体" w:hAnsi="宋体" w:eastAsia="宋体" w:cs="宋体"/>
          <w:b/>
          <w:bCs/>
          <w:kern w:val="2"/>
          <w:sz w:val="56"/>
          <w:szCs w:val="56"/>
          <w:lang w:val="en-US" w:eastAsia="zh-CN" w:bidi="ar-SA"/>
        </w:rPr>
      </w:pPr>
    </w:p>
    <w:p w14:paraId="34990053">
      <w:pPr>
        <w:tabs>
          <w:tab w:val="left" w:pos="0"/>
        </w:tabs>
        <w:adjustRightInd w:val="0"/>
        <w:snapToGrid w:val="0"/>
        <w:spacing w:line="360" w:lineRule="auto"/>
        <w:jc w:val="center"/>
        <w:rPr>
          <w:rFonts w:hint="eastAsia" w:ascii="宋体" w:hAnsi="宋体" w:eastAsia="宋体" w:cs="宋体"/>
          <w:b/>
          <w:bCs/>
          <w:kern w:val="2"/>
          <w:sz w:val="56"/>
          <w:szCs w:val="56"/>
          <w:lang w:val="en-US" w:eastAsia="zh-CN" w:bidi="ar-SA"/>
        </w:rPr>
      </w:pPr>
      <w:r>
        <w:rPr>
          <w:rFonts w:hint="eastAsia" w:ascii="宋体" w:hAnsi="宋体" w:cs="宋体"/>
          <w:b/>
          <w:bCs/>
          <w:kern w:val="2"/>
          <w:sz w:val="52"/>
          <w:szCs w:val="52"/>
          <w:lang w:val="en-US" w:eastAsia="zh-CN" w:bidi="ar-SA"/>
        </w:rPr>
        <w:t xml:space="preserve"> 平利县中医医院保洁服务采购项目</w:t>
      </w:r>
      <w:r>
        <w:rPr>
          <w:rFonts w:hint="eastAsia" w:ascii="宋体" w:hAnsi="宋体" w:cs="宋体"/>
          <w:b/>
          <w:bCs/>
          <w:kern w:val="2"/>
          <w:sz w:val="56"/>
          <w:szCs w:val="56"/>
          <w:lang w:val="en-US" w:eastAsia="zh-CN" w:bidi="ar-SA"/>
        </w:rPr>
        <w:t xml:space="preserve">  </w:t>
      </w:r>
    </w:p>
    <w:p w14:paraId="5065CBAC">
      <w:pPr>
        <w:pStyle w:val="7"/>
        <w:rPr>
          <w:rFonts w:hint="eastAsia"/>
          <w:lang w:val="en-US" w:eastAsia="zh-CN"/>
        </w:rPr>
      </w:pPr>
    </w:p>
    <w:p w14:paraId="57772E9B">
      <w:pPr>
        <w:tabs>
          <w:tab w:val="left" w:pos="0"/>
        </w:tabs>
        <w:adjustRightInd w:val="0"/>
        <w:snapToGrid w:val="0"/>
        <w:spacing w:line="360" w:lineRule="auto"/>
        <w:ind w:firstLine="2811" w:firstLineChars="500"/>
        <w:jc w:val="both"/>
        <w:rPr>
          <w:rFonts w:hint="eastAsia" w:ascii="宋体" w:hAnsi="宋体" w:eastAsia="宋体" w:cs="宋体"/>
          <w:b/>
          <w:bCs/>
          <w:kern w:val="2"/>
          <w:sz w:val="56"/>
          <w:szCs w:val="56"/>
          <w:lang w:val="en-US" w:eastAsia="zh-CN" w:bidi="ar-SA"/>
        </w:rPr>
      </w:pPr>
      <w:r>
        <w:rPr>
          <w:rFonts w:hint="eastAsia" w:ascii="宋体" w:hAnsi="宋体" w:eastAsia="宋体" w:cs="宋体"/>
          <w:b/>
          <w:bCs/>
          <w:kern w:val="2"/>
          <w:sz w:val="56"/>
          <w:szCs w:val="56"/>
          <w:lang w:val="en-US" w:eastAsia="zh-CN" w:bidi="ar-SA"/>
        </w:rPr>
        <w:drawing>
          <wp:anchor distT="0" distB="0" distL="114300" distR="114300" simplePos="0" relativeHeight="251661312" behindDoc="0" locked="0" layoutInCell="1" allowOverlap="1">
            <wp:simplePos x="0" y="0"/>
            <wp:positionH relativeFrom="column">
              <wp:posOffset>2165350</wp:posOffset>
            </wp:positionH>
            <wp:positionV relativeFrom="paragraph">
              <wp:posOffset>181610</wp:posOffset>
            </wp:positionV>
            <wp:extent cx="1552575" cy="1123950"/>
            <wp:effectExtent l="0" t="0" r="9525" b="0"/>
            <wp:wrapNone/>
            <wp:docPr id="12" name="图片 12"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尚昊 标"/>
                    <pic:cNvPicPr>
                      <a:picLocks noChangeAspect="1"/>
                    </pic:cNvPicPr>
                  </pic:nvPicPr>
                  <pic:blipFill>
                    <a:blip r:embed="rId21"/>
                    <a:stretch>
                      <a:fillRect/>
                    </a:stretch>
                  </pic:blipFill>
                  <pic:spPr>
                    <a:xfrm>
                      <a:off x="0" y="0"/>
                      <a:ext cx="1599474" cy="1157901"/>
                    </a:xfrm>
                    <a:prstGeom prst="rect">
                      <a:avLst/>
                    </a:prstGeom>
                  </pic:spPr>
                </pic:pic>
              </a:graphicData>
            </a:graphic>
          </wp:anchor>
        </w:drawing>
      </w:r>
      <w:r>
        <w:rPr>
          <w:rFonts w:hint="eastAsia" w:ascii="宋体" w:hAnsi="宋体" w:eastAsia="宋体" w:cs="宋体"/>
          <w:b/>
          <w:bCs/>
          <w:kern w:val="2"/>
          <w:sz w:val="56"/>
          <w:szCs w:val="56"/>
          <w:lang w:val="en-US" w:eastAsia="zh-CN" w:bidi="ar-SA"/>
        </w:rPr>
        <w:t xml:space="preserve"> </w:t>
      </w:r>
    </w:p>
    <w:p w14:paraId="4555EABF">
      <w:pPr>
        <w:pStyle w:val="7"/>
        <w:rPr>
          <w:rFonts w:hint="eastAsia"/>
          <w:lang w:val="en-US" w:eastAsia="zh-CN"/>
        </w:rPr>
      </w:pPr>
    </w:p>
    <w:p w14:paraId="08502B79">
      <w:pPr>
        <w:adjustRightInd w:val="0"/>
        <w:snapToGrid w:val="0"/>
        <w:spacing w:line="360" w:lineRule="auto"/>
        <w:jc w:val="left"/>
        <w:rPr>
          <w:rFonts w:hint="default" w:ascii="宋体" w:eastAsia="宋体" w:cs="Times New Roman"/>
          <w:b/>
          <w:bCs/>
          <w:sz w:val="52"/>
          <w:szCs w:val="52"/>
          <w:lang w:val="en-US" w:eastAsia="zh-CN"/>
        </w:rPr>
      </w:pPr>
      <w:r>
        <w:rPr>
          <w:rFonts w:hint="eastAsia" w:ascii="宋体" w:cs="Times New Roman"/>
          <w:b/>
          <w:bCs/>
          <w:sz w:val="52"/>
          <w:szCs w:val="52"/>
        </w:rPr>
        <w:t xml:space="preserve"> </w:t>
      </w:r>
      <w:r>
        <w:rPr>
          <w:rFonts w:hint="eastAsia" w:ascii="宋体" w:cs="Times New Roman"/>
          <w:b/>
          <w:bCs/>
          <w:sz w:val="52"/>
          <w:szCs w:val="52"/>
          <w:lang w:val="en-US" w:eastAsia="zh-CN"/>
        </w:rPr>
        <w:t xml:space="preserve">         </w:t>
      </w:r>
    </w:p>
    <w:p w14:paraId="4BDF1E48">
      <w:pPr>
        <w:tabs>
          <w:tab w:val="left" w:pos="0"/>
        </w:tabs>
        <w:adjustRightInd w:val="0"/>
        <w:snapToGrid w:val="0"/>
        <w:spacing w:line="360" w:lineRule="auto"/>
        <w:rPr>
          <w:rFonts w:hint="eastAsia" w:ascii="宋体" w:eastAsia="宋体" w:cs="Times New Roman"/>
          <w:b/>
          <w:bCs/>
          <w:lang w:val="en-US" w:eastAsia="zh-CN"/>
        </w:rPr>
      </w:pPr>
    </w:p>
    <w:p w14:paraId="5D257507">
      <w:pPr>
        <w:tabs>
          <w:tab w:val="left" w:pos="0"/>
        </w:tabs>
        <w:adjustRightInd w:val="0"/>
        <w:snapToGrid w:val="0"/>
        <w:spacing w:line="360" w:lineRule="auto"/>
        <w:ind w:firstLine="2811" w:firstLineChars="500"/>
        <w:jc w:val="both"/>
        <w:rPr>
          <w:rFonts w:hint="eastAsia" w:ascii="宋体" w:hAnsi="宋体" w:eastAsia="宋体" w:cs="宋体"/>
          <w:b/>
          <w:bCs/>
          <w:kern w:val="2"/>
          <w:sz w:val="56"/>
          <w:szCs w:val="56"/>
          <w:lang w:val="en-US" w:eastAsia="zh-CN" w:bidi="ar-SA"/>
        </w:rPr>
      </w:pPr>
      <w:r>
        <w:rPr>
          <w:rFonts w:hint="eastAsia" w:ascii="宋体" w:hAnsi="宋体" w:eastAsia="宋体" w:cs="宋体"/>
          <w:b/>
          <w:bCs/>
          <w:kern w:val="2"/>
          <w:sz w:val="56"/>
          <w:szCs w:val="56"/>
          <w:lang w:val="en-US" w:eastAsia="zh-CN" w:bidi="ar-SA"/>
        </w:rPr>
        <w:t>竞争性磋商文件</w:t>
      </w:r>
    </w:p>
    <w:p w14:paraId="13513707">
      <w:pPr>
        <w:pStyle w:val="73"/>
        <w:rPr>
          <w:rFonts w:ascii="宋体" w:hAnsi="宋体" w:cs="宋体"/>
          <w:b/>
          <w:bCs/>
          <w:sz w:val="30"/>
          <w:szCs w:val="30"/>
        </w:rPr>
      </w:pPr>
    </w:p>
    <w:p w14:paraId="7C0629BF">
      <w:pPr>
        <w:pStyle w:val="73"/>
        <w:rPr>
          <w:rFonts w:ascii="宋体" w:hAnsi="宋体" w:cs="宋体"/>
          <w:b/>
          <w:bCs/>
          <w:sz w:val="30"/>
          <w:szCs w:val="30"/>
        </w:rPr>
      </w:pPr>
    </w:p>
    <w:p w14:paraId="7EC72F45">
      <w:pPr>
        <w:pStyle w:val="73"/>
        <w:rPr>
          <w:rFonts w:ascii="宋体" w:hAnsi="宋体" w:cs="宋体"/>
          <w:b/>
          <w:bCs/>
          <w:sz w:val="30"/>
          <w:szCs w:val="30"/>
        </w:rPr>
      </w:pPr>
    </w:p>
    <w:p w14:paraId="6281965D">
      <w:pPr>
        <w:keepNext w:val="0"/>
        <w:keepLines w:val="0"/>
        <w:pageBreakBefore w:val="0"/>
        <w:widowControl w:val="0"/>
        <w:kinsoku/>
        <w:wordWrap/>
        <w:overflowPunct/>
        <w:topLinePunct w:val="0"/>
        <w:autoSpaceDE/>
        <w:autoSpaceDN/>
        <w:bidi w:val="0"/>
        <w:adjustRightInd w:val="0"/>
        <w:snapToGrid w:val="0"/>
        <w:spacing w:line="480" w:lineRule="exact"/>
        <w:ind w:firstLine="1807" w:firstLineChars="6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highlight w:val="none"/>
        </w:rPr>
        <w:t>采</w:t>
      </w:r>
      <w:r>
        <w:rPr>
          <w:rFonts w:hint="eastAsia" w:asciiTheme="minorEastAsia" w:hAnsiTheme="minorEastAsia" w:eastAsiaTheme="minorEastAsia" w:cstheme="minorEastAsia"/>
          <w:b/>
          <w:bCs/>
          <w:sz w:val="30"/>
          <w:szCs w:val="30"/>
          <w:highlight w:val="none"/>
          <w:lang w:val="en-US" w:eastAsia="zh-CN"/>
        </w:rPr>
        <w:t xml:space="preserve"> </w:t>
      </w:r>
      <w:r>
        <w:rPr>
          <w:rFonts w:hint="eastAsia" w:asciiTheme="minorEastAsia" w:hAnsiTheme="minorEastAsia" w:eastAsiaTheme="minorEastAsia" w:cstheme="minorEastAsia"/>
          <w:b/>
          <w:bCs/>
          <w:sz w:val="30"/>
          <w:szCs w:val="30"/>
          <w:highlight w:val="none"/>
        </w:rPr>
        <w:t>购</w:t>
      </w:r>
      <w:r>
        <w:rPr>
          <w:rFonts w:hint="eastAsia" w:asciiTheme="minorEastAsia" w:hAnsiTheme="minorEastAsia" w:eastAsiaTheme="minorEastAsia" w:cstheme="minorEastAsia"/>
          <w:b/>
          <w:bCs/>
          <w:sz w:val="30"/>
          <w:szCs w:val="30"/>
          <w:highlight w:val="none"/>
          <w:lang w:val="en-US" w:eastAsia="zh-CN"/>
        </w:rPr>
        <w:t xml:space="preserve"> </w:t>
      </w:r>
      <w:r>
        <w:rPr>
          <w:rFonts w:hint="eastAsia" w:asciiTheme="minorEastAsia" w:hAnsiTheme="minorEastAsia" w:eastAsiaTheme="minorEastAsia" w:cstheme="minorEastAsia"/>
          <w:b/>
          <w:bCs/>
          <w:sz w:val="30"/>
          <w:szCs w:val="30"/>
          <w:highlight w:val="none"/>
        </w:rPr>
        <w:t>人：</w:t>
      </w:r>
      <w:r>
        <w:rPr>
          <w:rFonts w:hint="eastAsia" w:asciiTheme="minorEastAsia" w:hAnsiTheme="minorEastAsia" w:eastAsiaTheme="minorEastAsia" w:cstheme="minorEastAsia"/>
          <w:b/>
          <w:bCs/>
          <w:sz w:val="30"/>
          <w:szCs w:val="30"/>
          <w:highlight w:val="none"/>
          <w:lang w:eastAsia="zh-CN"/>
        </w:rPr>
        <w:t>平利县中医医院</w:t>
      </w:r>
    </w:p>
    <w:p w14:paraId="15D967E6">
      <w:pPr>
        <w:keepNext w:val="0"/>
        <w:keepLines w:val="0"/>
        <w:pageBreakBefore w:val="0"/>
        <w:widowControl w:val="0"/>
        <w:kinsoku/>
        <w:wordWrap/>
        <w:overflowPunct/>
        <w:topLinePunct w:val="0"/>
        <w:autoSpaceDE/>
        <w:autoSpaceDN/>
        <w:bidi w:val="0"/>
        <w:adjustRightInd w:val="0"/>
        <w:snapToGrid w:val="0"/>
        <w:spacing w:line="1000" w:lineRule="exact"/>
        <w:ind w:firstLine="1807" w:firstLineChars="6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代理机构：安康尚昊招标代理有限公司</w:t>
      </w:r>
    </w:p>
    <w:p w14:paraId="28A63BF3">
      <w:pPr>
        <w:keepNext w:val="0"/>
        <w:keepLines w:val="0"/>
        <w:pageBreakBefore w:val="0"/>
        <w:widowControl w:val="0"/>
        <w:kinsoku/>
        <w:wordWrap/>
        <w:overflowPunct/>
        <w:topLinePunct w:val="0"/>
        <w:autoSpaceDE/>
        <w:autoSpaceDN/>
        <w:bidi w:val="0"/>
        <w:adjustRightInd w:val="0"/>
        <w:snapToGrid w:val="0"/>
        <w:spacing w:line="1000" w:lineRule="exact"/>
        <w:ind w:firstLine="2711" w:firstLineChars="900"/>
        <w:jc w:val="both"/>
        <w:textAlignment w:val="auto"/>
        <w:rPr>
          <w:rFonts w:hint="eastAsia" w:asciiTheme="minorEastAsia" w:hAnsiTheme="minorEastAsia" w:eastAsiaTheme="minorEastAsia" w:cstheme="minorEastAsia"/>
          <w:b/>
          <w:bCs/>
          <w:sz w:val="30"/>
          <w:szCs w:val="30"/>
          <w:highlight w:val="red"/>
        </w:rPr>
        <w:sectPr>
          <w:headerReference r:id="rId4" w:type="first"/>
          <w:headerReference r:id="rId3" w:type="default"/>
          <w:footerReference r:id="rId5" w:type="default"/>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Theme="minorEastAsia" w:hAnsiTheme="minorEastAsia" w:eastAsiaTheme="minorEastAsia" w:cstheme="minorEastAsia"/>
          <w:b/>
          <w:bCs/>
          <w:sz w:val="30"/>
          <w:szCs w:val="30"/>
          <w:highlight w:val="none"/>
          <w:lang w:val="en-US" w:eastAsia="zh-CN"/>
        </w:rPr>
        <w:t xml:space="preserve"> 二〇二四年十一</w:t>
      </w:r>
      <w:r>
        <w:rPr>
          <w:rFonts w:hint="eastAsia" w:asciiTheme="minorEastAsia" w:hAnsiTheme="minorEastAsia" w:eastAsiaTheme="minorEastAsia" w:cstheme="minorEastAsia"/>
          <w:b/>
          <w:bCs/>
          <w:sz w:val="30"/>
          <w:szCs w:val="30"/>
          <w:highlight w:val="none"/>
        </w:rPr>
        <w:t>月</w:t>
      </w:r>
    </w:p>
    <w:p w14:paraId="4086AC1A">
      <w:pPr>
        <w:pStyle w:val="32"/>
        <w:tabs>
          <w:tab w:val="center" w:pos="4819"/>
          <w:tab w:val="left" w:pos="6069"/>
          <w:tab w:val="right" w:leader="dot" w:pos="8306"/>
        </w:tabs>
        <w:spacing w:before="0" w:after="0" w:line="480" w:lineRule="exact"/>
        <w:rPr>
          <w:rFonts w:ascii="宋体" w:hAnsi="宋体" w:cs="宋体"/>
          <w:b w:val="0"/>
          <w:bCs w:val="0"/>
          <w:sz w:val="48"/>
          <w:szCs w:val="52"/>
        </w:rPr>
      </w:pPr>
      <w:r>
        <w:rPr>
          <w:rFonts w:ascii="宋体" w:hAnsi="宋体" w:cs="宋体"/>
          <w:b w:val="0"/>
          <w:bCs w:val="0"/>
          <w:sz w:val="48"/>
          <w:szCs w:val="52"/>
        </w:rPr>
        <w:tab/>
      </w:r>
    </w:p>
    <w:p w14:paraId="40478D8E">
      <w:pPr>
        <w:pStyle w:val="32"/>
        <w:pageBreakBefore w:val="0"/>
        <w:widowControl w:val="0"/>
        <w:tabs>
          <w:tab w:val="center" w:pos="4819"/>
          <w:tab w:val="left" w:pos="6069"/>
          <w:tab w:val="right" w:leader="dot" w:pos="8306"/>
        </w:tabs>
        <w:kinsoku/>
        <w:wordWrap/>
        <w:overflowPunct/>
        <w:topLinePunct w:val="0"/>
        <w:autoSpaceDE/>
        <w:autoSpaceDN/>
        <w:bidi w:val="0"/>
        <w:adjustRightInd w:val="0"/>
        <w:snapToGrid w:val="0"/>
        <w:spacing w:before="0" w:after="0" w:line="360" w:lineRule="auto"/>
        <w:ind w:left="0" w:leftChars="0" w:firstLine="0" w:firstLineChars="0"/>
        <w:jc w:val="center"/>
        <w:textAlignment w:val="auto"/>
        <w:rPr>
          <w:rFonts w:ascii="宋体" w:hAnsi="宋体" w:cs="宋体"/>
          <w:b w:val="0"/>
          <w:bCs w:val="0"/>
          <w:sz w:val="48"/>
          <w:szCs w:val="52"/>
        </w:rPr>
      </w:pPr>
      <w:r>
        <w:rPr>
          <w:rFonts w:hint="eastAsia" w:ascii="宋体" w:hAnsi="宋体" w:cs="宋体"/>
          <w:b w:val="0"/>
          <w:bCs w:val="0"/>
          <w:sz w:val="48"/>
          <w:szCs w:val="52"/>
        </w:rPr>
        <w:t>目</w:t>
      </w:r>
      <w:r>
        <w:rPr>
          <w:rFonts w:hint="eastAsia" w:ascii="宋体" w:hAnsi="宋体" w:cs="宋体"/>
          <w:b w:val="0"/>
          <w:bCs w:val="0"/>
          <w:sz w:val="48"/>
          <w:szCs w:val="52"/>
          <w:lang w:val="en-US" w:eastAsia="zh-CN"/>
        </w:rPr>
        <w:t xml:space="preserve">   </w:t>
      </w:r>
      <w:r>
        <w:rPr>
          <w:rFonts w:hint="eastAsia" w:ascii="宋体" w:hAnsi="宋体" w:cs="宋体"/>
          <w:b w:val="0"/>
          <w:bCs w:val="0"/>
          <w:sz w:val="48"/>
          <w:szCs w:val="52"/>
        </w:rPr>
        <w:t>录</w:t>
      </w:r>
    </w:p>
    <w:p w14:paraId="34B9D87A">
      <w:pPr>
        <w:pageBreakBefore w:val="0"/>
        <w:widowControl w:val="0"/>
        <w:kinsoku/>
        <w:wordWrap/>
        <w:overflowPunct/>
        <w:topLinePunct w:val="0"/>
        <w:autoSpaceDE/>
        <w:autoSpaceDN/>
        <w:bidi w:val="0"/>
        <w:adjustRightInd w:val="0"/>
        <w:snapToGrid w:val="0"/>
        <w:spacing w:line="360" w:lineRule="auto"/>
        <w:textAlignment w:val="auto"/>
      </w:pPr>
    </w:p>
    <w:p w14:paraId="66F052F7">
      <w:pPr>
        <w:pageBreakBefore w:val="0"/>
        <w:widowControl w:val="0"/>
        <w:kinsoku/>
        <w:wordWrap/>
        <w:overflowPunct/>
        <w:topLinePunct w:val="0"/>
        <w:autoSpaceDE/>
        <w:autoSpaceDN/>
        <w:bidi w:val="0"/>
        <w:adjustRightInd w:val="0"/>
        <w:snapToGrid w:val="0"/>
        <w:spacing w:line="360" w:lineRule="auto"/>
        <w:textAlignment w:val="auto"/>
      </w:pPr>
    </w:p>
    <w:p w14:paraId="6E4C9DEB">
      <w:pPr>
        <w:pStyle w:val="32"/>
        <w:pageBreakBefore w:val="0"/>
        <w:widowControl w:val="0"/>
        <w:tabs>
          <w:tab w:val="right" w:leader="dot" w:pos="9059"/>
        </w:tabs>
        <w:kinsoku/>
        <w:wordWrap/>
        <w:overflowPunct/>
        <w:topLinePunct w:val="0"/>
        <w:autoSpaceDE/>
        <w:autoSpaceDN/>
        <w:bidi w:val="0"/>
        <w:adjustRightInd w:val="0"/>
        <w:snapToGrid w:val="0"/>
        <w:spacing w:before="329" w:beforeLines="100" w:after="0" w:line="360" w:lineRule="auto"/>
        <w:ind w:left="210" w:leftChars="100" w:right="210" w:rightChars="100" w:firstLine="0" w:firstLineChars="0"/>
        <w:textAlignment w:val="auto"/>
        <w:rPr>
          <w:rFonts w:hint="eastAsia" w:ascii="宋体" w:hAnsi="宋体" w:eastAsia="宋体" w:cs="宋体"/>
          <w:sz w:val="30"/>
          <w:szCs w:val="30"/>
        </w:rPr>
      </w:pPr>
      <w:bookmarkStart w:id="1" w:name="OLE_LINK27"/>
      <w:bookmarkStart w:id="2" w:name="_Toc536429369"/>
      <w:bookmarkStart w:id="3" w:name="_Toc536202376"/>
      <w:bookmarkStart w:id="4" w:name="_Toc536202282"/>
      <w:bookmarkStart w:id="5" w:name="OLE_LINK3"/>
      <w:bookmarkStart w:id="6" w:name="_Toc438048787"/>
      <w:bookmarkStart w:id="7" w:name="_Toc30089"/>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TOC \o "1-1" \h \z \u </w:instrText>
      </w:r>
      <w:r>
        <w:rPr>
          <w:rFonts w:hint="eastAsia" w:ascii="宋体" w:hAnsi="宋体" w:eastAsia="宋体" w:cs="宋体"/>
          <w:sz w:val="30"/>
          <w:szCs w:val="30"/>
        </w:rPr>
        <w:fldChar w:fldCharType="separate"/>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_Toc22520 </w:instrText>
      </w:r>
      <w:r>
        <w:rPr>
          <w:rFonts w:hint="eastAsia" w:ascii="宋体" w:hAnsi="宋体" w:eastAsia="宋体" w:cs="宋体"/>
          <w:sz w:val="30"/>
          <w:szCs w:val="30"/>
        </w:rPr>
        <w:fldChar w:fldCharType="separate"/>
      </w:r>
      <w:r>
        <w:rPr>
          <w:rFonts w:hint="eastAsia" w:ascii="宋体" w:hAnsi="宋体" w:eastAsia="宋体" w:cs="宋体"/>
          <w:sz w:val="30"/>
          <w:szCs w:val="30"/>
        </w:rPr>
        <w:t>第一部分  竞争性磋商公告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_Toc22520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4B421DD">
      <w:pPr>
        <w:pStyle w:val="32"/>
        <w:pageBreakBefore w:val="0"/>
        <w:widowControl w:val="0"/>
        <w:tabs>
          <w:tab w:val="right" w:leader="dot" w:pos="9059"/>
        </w:tabs>
        <w:kinsoku/>
        <w:wordWrap/>
        <w:overflowPunct/>
        <w:topLinePunct w:val="0"/>
        <w:autoSpaceDE/>
        <w:autoSpaceDN/>
        <w:bidi w:val="0"/>
        <w:adjustRightInd w:val="0"/>
        <w:snapToGrid w:val="0"/>
        <w:spacing w:before="329" w:beforeLines="100" w:after="0" w:line="360" w:lineRule="auto"/>
        <w:ind w:left="210" w:leftChars="100" w:right="210" w:rightChars="100" w:firstLine="0" w:firstLineChars="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_Toc32478 </w:instrText>
      </w:r>
      <w:r>
        <w:rPr>
          <w:rFonts w:hint="eastAsia" w:ascii="宋体" w:hAnsi="宋体" w:eastAsia="宋体" w:cs="宋体"/>
          <w:sz w:val="30"/>
          <w:szCs w:val="30"/>
        </w:rPr>
        <w:fldChar w:fldCharType="separate"/>
      </w:r>
      <w:r>
        <w:rPr>
          <w:rFonts w:hint="eastAsia" w:ascii="宋体" w:hAnsi="宋体" w:eastAsia="宋体" w:cs="宋体"/>
          <w:sz w:val="30"/>
          <w:szCs w:val="30"/>
        </w:rPr>
        <w:t>第二部分  供应商须知前附表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_Toc32478 \h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F57A794">
      <w:pPr>
        <w:pStyle w:val="32"/>
        <w:pageBreakBefore w:val="0"/>
        <w:widowControl w:val="0"/>
        <w:tabs>
          <w:tab w:val="right" w:leader="dot" w:pos="9059"/>
        </w:tabs>
        <w:kinsoku/>
        <w:wordWrap/>
        <w:overflowPunct/>
        <w:topLinePunct w:val="0"/>
        <w:autoSpaceDE/>
        <w:autoSpaceDN/>
        <w:bidi w:val="0"/>
        <w:adjustRightInd w:val="0"/>
        <w:snapToGrid w:val="0"/>
        <w:spacing w:before="329" w:beforeLines="100" w:after="0" w:line="360" w:lineRule="auto"/>
        <w:ind w:left="210" w:leftChars="100" w:right="210" w:rightChars="100" w:firstLine="0" w:firstLineChars="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_Toc4958 </w:instrText>
      </w:r>
      <w:r>
        <w:rPr>
          <w:rFonts w:hint="eastAsia" w:ascii="宋体" w:hAnsi="宋体" w:eastAsia="宋体" w:cs="宋体"/>
          <w:sz w:val="30"/>
          <w:szCs w:val="30"/>
        </w:rPr>
        <w:fldChar w:fldCharType="separate"/>
      </w:r>
      <w:r>
        <w:rPr>
          <w:rFonts w:hint="eastAsia" w:ascii="宋体" w:hAnsi="宋体" w:eastAsia="宋体" w:cs="宋体"/>
          <w:bCs/>
          <w:kern w:val="44"/>
          <w:sz w:val="30"/>
          <w:szCs w:val="30"/>
          <w:lang w:val="en-US" w:eastAsia="zh-CN" w:bidi="ar-SA"/>
        </w:rPr>
        <w:t>第三部分  供应商须知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_Toc4958 \h </w:instrText>
      </w:r>
      <w:r>
        <w:rPr>
          <w:rFonts w:hint="eastAsia" w:ascii="宋体" w:hAnsi="宋体" w:eastAsia="宋体" w:cs="宋体"/>
          <w:sz w:val="30"/>
          <w:szCs w:val="30"/>
        </w:rPr>
        <w:fldChar w:fldCharType="separate"/>
      </w:r>
      <w:r>
        <w:rPr>
          <w:rFonts w:hint="eastAsia" w:ascii="宋体" w:hAnsi="宋体" w:eastAsia="宋体" w:cs="宋体"/>
          <w:sz w:val="30"/>
          <w:szCs w:val="30"/>
        </w:rPr>
        <w:t>10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62009833">
      <w:pPr>
        <w:pStyle w:val="32"/>
        <w:pageBreakBefore w:val="0"/>
        <w:widowControl w:val="0"/>
        <w:tabs>
          <w:tab w:val="right" w:leader="dot" w:pos="9059"/>
        </w:tabs>
        <w:kinsoku/>
        <w:wordWrap/>
        <w:overflowPunct/>
        <w:topLinePunct w:val="0"/>
        <w:autoSpaceDE/>
        <w:autoSpaceDN/>
        <w:bidi w:val="0"/>
        <w:adjustRightInd w:val="0"/>
        <w:snapToGrid w:val="0"/>
        <w:spacing w:before="329" w:beforeLines="100" w:after="0" w:line="360" w:lineRule="auto"/>
        <w:ind w:left="210" w:leftChars="100" w:right="210" w:rightChars="100" w:firstLine="0" w:firstLineChars="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_Toc3957 </w:instrText>
      </w:r>
      <w:r>
        <w:rPr>
          <w:rFonts w:hint="eastAsia" w:ascii="宋体" w:hAnsi="宋体" w:eastAsia="宋体" w:cs="宋体"/>
          <w:sz w:val="30"/>
          <w:szCs w:val="30"/>
        </w:rPr>
        <w:fldChar w:fldCharType="separate"/>
      </w:r>
      <w:r>
        <w:rPr>
          <w:rFonts w:hint="eastAsia" w:ascii="宋体" w:hAnsi="宋体" w:eastAsia="宋体" w:cs="宋体"/>
          <w:sz w:val="30"/>
          <w:szCs w:val="30"/>
        </w:rPr>
        <w:t xml:space="preserve">第四部分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评分标准</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_Toc3957 \h </w:instrText>
      </w:r>
      <w:r>
        <w:rPr>
          <w:rFonts w:hint="eastAsia" w:ascii="宋体" w:hAnsi="宋体" w:eastAsia="宋体" w:cs="宋体"/>
          <w:sz w:val="30"/>
          <w:szCs w:val="30"/>
        </w:rPr>
        <w:fldChar w:fldCharType="separate"/>
      </w:r>
      <w:r>
        <w:rPr>
          <w:rFonts w:hint="eastAsia" w:ascii="宋体" w:hAnsi="宋体" w:eastAsia="宋体" w:cs="宋体"/>
          <w:sz w:val="30"/>
          <w:szCs w:val="30"/>
        </w:rPr>
        <w:t>26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33033FC2">
      <w:pPr>
        <w:pStyle w:val="32"/>
        <w:pageBreakBefore w:val="0"/>
        <w:widowControl w:val="0"/>
        <w:tabs>
          <w:tab w:val="right" w:leader="dot" w:pos="9059"/>
        </w:tabs>
        <w:kinsoku/>
        <w:wordWrap/>
        <w:overflowPunct/>
        <w:topLinePunct w:val="0"/>
        <w:autoSpaceDE/>
        <w:autoSpaceDN/>
        <w:bidi w:val="0"/>
        <w:adjustRightInd w:val="0"/>
        <w:snapToGrid w:val="0"/>
        <w:spacing w:before="329" w:beforeLines="100" w:after="0" w:line="360" w:lineRule="auto"/>
        <w:ind w:left="210" w:leftChars="100" w:right="210" w:rightChars="100" w:firstLine="0" w:firstLineChars="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_Toc11999 </w:instrText>
      </w:r>
      <w:r>
        <w:rPr>
          <w:rFonts w:hint="eastAsia" w:ascii="宋体" w:hAnsi="宋体" w:eastAsia="宋体" w:cs="宋体"/>
          <w:sz w:val="30"/>
          <w:szCs w:val="30"/>
        </w:rPr>
        <w:fldChar w:fldCharType="separate"/>
      </w:r>
      <w:r>
        <w:rPr>
          <w:rFonts w:hint="eastAsia" w:ascii="宋体" w:hAnsi="宋体" w:eastAsia="宋体" w:cs="宋体"/>
          <w:sz w:val="30"/>
          <w:szCs w:val="30"/>
        </w:rPr>
        <w:t xml:space="preserve">第五部分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highlight w:val="none"/>
        </w:rPr>
        <w:t>采购内容及要求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_Toc11999 \h </w:instrText>
      </w:r>
      <w:r>
        <w:rPr>
          <w:rFonts w:hint="eastAsia" w:ascii="宋体" w:hAnsi="宋体" w:eastAsia="宋体" w:cs="宋体"/>
          <w:sz w:val="30"/>
          <w:szCs w:val="30"/>
        </w:rPr>
        <w:fldChar w:fldCharType="separate"/>
      </w:r>
      <w:r>
        <w:rPr>
          <w:rFonts w:hint="eastAsia" w:ascii="宋体" w:hAnsi="宋体" w:eastAsia="宋体" w:cs="宋体"/>
          <w:sz w:val="30"/>
          <w:szCs w:val="30"/>
        </w:rPr>
        <w:t>29</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51FB23B0">
      <w:pPr>
        <w:pStyle w:val="32"/>
        <w:pageBreakBefore w:val="0"/>
        <w:widowControl w:val="0"/>
        <w:tabs>
          <w:tab w:val="right" w:leader="dot" w:pos="9059"/>
        </w:tabs>
        <w:kinsoku/>
        <w:wordWrap/>
        <w:overflowPunct/>
        <w:topLinePunct w:val="0"/>
        <w:autoSpaceDE/>
        <w:autoSpaceDN/>
        <w:bidi w:val="0"/>
        <w:adjustRightInd w:val="0"/>
        <w:snapToGrid w:val="0"/>
        <w:spacing w:before="329" w:beforeLines="100" w:after="0" w:line="360" w:lineRule="auto"/>
        <w:ind w:left="210" w:leftChars="100" w:right="210" w:rightChars="100" w:firstLine="0" w:firstLineChars="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_Toc5186 </w:instrText>
      </w:r>
      <w:r>
        <w:rPr>
          <w:rFonts w:hint="eastAsia" w:ascii="宋体" w:hAnsi="宋体" w:eastAsia="宋体" w:cs="宋体"/>
          <w:sz w:val="30"/>
          <w:szCs w:val="30"/>
        </w:rPr>
        <w:fldChar w:fldCharType="separate"/>
      </w:r>
      <w:r>
        <w:rPr>
          <w:rFonts w:hint="eastAsia" w:ascii="宋体" w:hAnsi="宋体" w:eastAsia="宋体" w:cs="宋体"/>
          <w:sz w:val="30"/>
          <w:szCs w:val="30"/>
        </w:rPr>
        <w:t xml:space="preserve">第六部分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合同主要条款</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_Toc5186 \h </w:instrText>
      </w:r>
      <w:r>
        <w:rPr>
          <w:rFonts w:hint="eastAsia" w:ascii="宋体" w:hAnsi="宋体" w:eastAsia="宋体" w:cs="宋体"/>
          <w:sz w:val="30"/>
          <w:szCs w:val="30"/>
        </w:rPr>
        <w:fldChar w:fldCharType="separate"/>
      </w:r>
      <w:r>
        <w:rPr>
          <w:rFonts w:hint="eastAsia" w:ascii="宋体" w:hAnsi="宋体" w:eastAsia="宋体" w:cs="宋体"/>
          <w:sz w:val="30"/>
          <w:szCs w:val="30"/>
        </w:rPr>
        <w:t>35</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23F352F4">
      <w:pPr>
        <w:pStyle w:val="32"/>
        <w:pageBreakBefore w:val="0"/>
        <w:widowControl w:val="0"/>
        <w:tabs>
          <w:tab w:val="right" w:leader="dot" w:pos="9059"/>
        </w:tabs>
        <w:kinsoku/>
        <w:wordWrap/>
        <w:overflowPunct/>
        <w:topLinePunct w:val="0"/>
        <w:autoSpaceDE/>
        <w:autoSpaceDN/>
        <w:bidi w:val="0"/>
        <w:adjustRightInd w:val="0"/>
        <w:snapToGrid w:val="0"/>
        <w:spacing w:before="329" w:beforeLines="100" w:after="0" w:line="360" w:lineRule="auto"/>
        <w:ind w:left="210" w:leftChars="100" w:right="210" w:rightChars="100" w:firstLine="0" w:firstLineChars="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_Toc23847 </w:instrText>
      </w:r>
      <w:r>
        <w:rPr>
          <w:rFonts w:hint="eastAsia" w:ascii="宋体" w:hAnsi="宋体" w:eastAsia="宋体" w:cs="宋体"/>
          <w:sz w:val="30"/>
          <w:szCs w:val="30"/>
        </w:rPr>
        <w:fldChar w:fldCharType="separate"/>
      </w:r>
      <w:r>
        <w:rPr>
          <w:rFonts w:hint="eastAsia" w:ascii="宋体" w:hAnsi="宋体" w:eastAsia="宋体" w:cs="宋体"/>
          <w:sz w:val="30"/>
          <w:szCs w:val="30"/>
        </w:rPr>
        <w:t xml:space="preserve">第七部分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响应文件格式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_Toc23847 \h </w:instrText>
      </w:r>
      <w:r>
        <w:rPr>
          <w:rFonts w:hint="eastAsia" w:ascii="宋体" w:hAnsi="宋体" w:eastAsia="宋体" w:cs="宋体"/>
          <w:sz w:val="30"/>
          <w:szCs w:val="30"/>
        </w:rPr>
        <w:fldChar w:fldCharType="separate"/>
      </w:r>
      <w:r>
        <w:rPr>
          <w:rFonts w:hint="eastAsia" w:ascii="宋体" w:hAnsi="宋体" w:eastAsia="宋体" w:cs="宋体"/>
          <w:sz w:val="30"/>
          <w:szCs w:val="30"/>
        </w:rPr>
        <w:t>38</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7CF8AEB">
      <w:pPr>
        <w:pStyle w:val="4"/>
        <w:pageBreakBefore w:val="0"/>
        <w:widowControl w:val="0"/>
        <w:tabs>
          <w:tab w:val="left" w:pos="206"/>
        </w:tabs>
        <w:kinsoku/>
        <w:wordWrap/>
        <w:overflowPunct/>
        <w:topLinePunct w:val="0"/>
        <w:autoSpaceDE/>
        <w:autoSpaceDN/>
        <w:bidi w:val="0"/>
        <w:adjustRightInd w:val="0"/>
        <w:snapToGrid w:val="0"/>
        <w:spacing w:before="329" w:beforeLines="100" w:line="360" w:lineRule="auto"/>
        <w:ind w:left="210" w:leftChars="100" w:right="210" w:rightChars="100" w:firstLine="0" w:firstLineChars="0"/>
        <w:jc w:val="left"/>
        <w:textAlignment w:val="auto"/>
      </w:pPr>
      <w:r>
        <w:rPr>
          <w:rFonts w:hint="eastAsia" w:ascii="宋体" w:hAnsi="宋体" w:eastAsia="宋体" w:cs="宋体"/>
          <w:sz w:val="30"/>
          <w:szCs w:val="30"/>
        </w:rPr>
        <w:fldChar w:fldCharType="end"/>
      </w:r>
      <w:bookmarkEnd w:id="1"/>
      <w:bookmarkStart w:id="8" w:name="_Toc19543333"/>
    </w:p>
    <w:p w14:paraId="417BB2F2">
      <w:pPr>
        <w:bidi w:val="0"/>
      </w:pPr>
    </w:p>
    <w:p w14:paraId="362D35B9">
      <w:pPr>
        <w:bidi w:val="0"/>
      </w:pPr>
    </w:p>
    <w:p w14:paraId="7100A519">
      <w:pPr>
        <w:bidi w:val="0"/>
      </w:pPr>
    </w:p>
    <w:p w14:paraId="23574DA5">
      <w:pPr>
        <w:bidi w:val="0"/>
      </w:pPr>
    </w:p>
    <w:p w14:paraId="55A86FBC">
      <w:pPr>
        <w:bidi w:val="0"/>
      </w:pPr>
    </w:p>
    <w:p w14:paraId="38823E12">
      <w:pPr>
        <w:bidi w:val="0"/>
      </w:pPr>
    </w:p>
    <w:p w14:paraId="73FCDB61">
      <w:pPr>
        <w:bidi w:val="0"/>
      </w:pPr>
    </w:p>
    <w:p w14:paraId="31CA46E5">
      <w:pPr>
        <w:tabs>
          <w:tab w:val="left" w:pos="6811"/>
        </w:tabs>
        <w:bidi w:val="0"/>
        <w:jc w:val="left"/>
        <w:rPr>
          <w:rFonts w:hint="eastAsia" w:eastAsia="宋体"/>
          <w:lang w:eastAsia="zh-CN"/>
        </w:rPr>
        <w:sectPr>
          <w:footerReference r:id="rId7" w:type="first"/>
          <w:footerReference r:id="rId6" w:type="default"/>
          <w:pgSz w:w="11905" w:h="16838"/>
          <w:pgMar w:top="1361" w:right="1423" w:bottom="1361" w:left="1423" w:header="794" w:footer="992" w:gutter="0"/>
          <w:pgBorders>
            <w:top w:val="none" w:sz="0" w:space="0"/>
            <w:left w:val="none" w:sz="0" w:space="0"/>
            <w:bottom w:val="none" w:sz="0" w:space="0"/>
            <w:right w:val="none" w:sz="0" w:space="0"/>
          </w:pgBorders>
          <w:pgNumType w:fmt="decimal" w:start="1"/>
          <w:cols w:space="0" w:num="1"/>
          <w:titlePg/>
          <w:rtlGutter w:val="0"/>
          <w:docGrid w:type="lines" w:linePitch="328" w:charSpace="0"/>
        </w:sectPr>
      </w:pPr>
      <w:r>
        <w:rPr>
          <w:rFonts w:hint="eastAsia"/>
          <w:lang w:eastAsia="zh-CN"/>
        </w:rPr>
        <w:tab/>
      </w:r>
    </w:p>
    <w:p w14:paraId="65DE4168">
      <w:pPr>
        <w:pStyle w:val="4"/>
        <w:tabs>
          <w:tab w:val="left" w:pos="206"/>
        </w:tabs>
        <w:spacing w:line="360" w:lineRule="auto"/>
        <w:jc w:val="left"/>
      </w:pPr>
      <w:r>
        <w:rPr>
          <w:rFonts w:hint="eastAsia"/>
        </w:rPr>
        <w:tab/>
      </w:r>
      <w:r>
        <w:rPr>
          <w:rFonts w:hint="eastAsia"/>
        </w:rPr>
        <w:t xml:space="preserve">             </w:t>
      </w:r>
      <w:r>
        <w:rPr>
          <w:rFonts w:hint="eastAsia"/>
          <w:lang w:val="en-US" w:eastAsia="zh-CN"/>
        </w:rPr>
        <w:t xml:space="preserve"> </w:t>
      </w:r>
      <w:r>
        <w:rPr>
          <w:rFonts w:hint="eastAsia"/>
        </w:rPr>
        <w:t xml:space="preserve"> </w:t>
      </w:r>
      <w:bookmarkStart w:id="9" w:name="_Toc22520"/>
      <w:r>
        <w:rPr>
          <w:rFonts w:hint="eastAsia"/>
        </w:rPr>
        <w:t xml:space="preserve">第一部分  </w:t>
      </w:r>
      <w:bookmarkStart w:id="10" w:name="OLE_LINK4"/>
      <w:bookmarkStart w:id="11" w:name="OLE_LINK1"/>
      <w:r>
        <w:rPr>
          <w:rFonts w:hint="eastAsia"/>
        </w:rPr>
        <w:t>竞争性</w:t>
      </w:r>
      <w:r>
        <w:t>磋商公告</w:t>
      </w:r>
      <w:bookmarkEnd w:id="2"/>
      <w:bookmarkEnd w:id="3"/>
      <w:bookmarkEnd w:id="4"/>
      <w:bookmarkEnd w:id="8"/>
      <w:bookmarkEnd w:id="9"/>
    </w:p>
    <w:bookmarkEnd w:id="5"/>
    <w:bookmarkEnd w:id="10"/>
    <w:bookmarkEnd w:id="11"/>
    <w:p w14:paraId="1EF6C02E">
      <w:pPr>
        <w:pStyle w:val="64"/>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eastAsia="宋体" w:cs="宋体"/>
          <w:kern w:val="0"/>
          <w:sz w:val="24"/>
          <w:szCs w:val="24"/>
        </w:rPr>
      </w:pPr>
      <w:r>
        <w:rPr>
          <w:rFonts w:hint="eastAsia" w:ascii="宋体" w:hAnsi="宋体"/>
          <w:color w:val="000000" w:themeColor="text1"/>
          <w:sz w:val="24"/>
          <w:szCs w:val="24"/>
          <w:lang w:eastAsia="zh-CN"/>
          <w14:textFill>
            <w14:solidFill>
              <w14:schemeClr w14:val="tx1"/>
            </w14:solidFill>
          </w14:textFill>
        </w:rPr>
        <w:t>平利县中医医院保洁服务采购项目</w:t>
      </w:r>
      <w:r>
        <w:rPr>
          <w:rFonts w:hint="eastAsia" w:ascii="宋体" w:hAnsi="宋体" w:eastAsia="宋体" w:cs="宋体"/>
          <w:kern w:val="0"/>
          <w:sz w:val="24"/>
          <w:szCs w:val="24"/>
          <w:lang w:val="en-US" w:eastAsia="zh-CN"/>
        </w:rPr>
        <w:t>的潜在</w:t>
      </w:r>
      <w:r>
        <w:rPr>
          <w:rFonts w:hint="eastAsia" w:ascii="宋体" w:hAnsi="宋体" w:cs="宋体"/>
          <w:kern w:val="0"/>
          <w:sz w:val="24"/>
          <w:szCs w:val="24"/>
          <w:lang w:val="en-US" w:eastAsia="zh-CN"/>
        </w:rPr>
        <w:t>投标人应</w:t>
      </w:r>
      <w:r>
        <w:rPr>
          <w:rFonts w:hint="eastAsia" w:ascii="宋体" w:hAnsi="宋体" w:eastAsia="宋体" w:cs="宋体"/>
          <w:kern w:val="0"/>
          <w:sz w:val="24"/>
          <w:szCs w:val="24"/>
          <w:lang w:val="en-US" w:eastAsia="zh-CN"/>
        </w:rPr>
        <w:t>在全国公共资源交易平台（陕西省 安康市）</w:t>
      </w:r>
      <w:r>
        <w:rPr>
          <w:rFonts w:hint="eastAsia" w:ascii="宋体" w:hAnsi="宋体" w:eastAsia="宋体" w:cs="宋体"/>
          <w:color w:val="000000" w:themeColor="text1"/>
          <w:kern w:val="0"/>
          <w:sz w:val="24"/>
          <w:szCs w:val="24"/>
          <w:lang w:val="en-US" w:eastAsia="zh-CN"/>
          <w14:textFill>
            <w14:solidFill>
              <w14:schemeClr w14:val="tx1"/>
            </w14:solidFill>
          </w14:textFill>
        </w:rPr>
        <w:t>获取采购文件</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并于</w:t>
      </w:r>
      <w:r>
        <w:rPr>
          <w:rFonts w:hint="eastAsia" w:ascii="宋体" w:hAnsi="宋体" w:cs="宋体"/>
          <w:color w:val="auto"/>
          <w:kern w:val="0"/>
          <w:sz w:val="24"/>
          <w:szCs w:val="24"/>
          <w:lang w:val="en-US" w:eastAsia="zh-CN"/>
        </w:rPr>
        <w:t>2024</w:t>
      </w:r>
      <w:r>
        <w:rPr>
          <w:rFonts w:hint="eastAsia" w:ascii="宋体" w:hAnsi="宋体" w:eastAsia="宋体" w:cs="宋体"/>
          <w:color w:val="auto"/>
          <w:kern w:val="0"/>
          <w:sz w:val="24"/>
          <w:szCs w:val="24"/>
          <w:lang w:val="en-US" w:eastAsia="zh-CN"/>
        </w:rPr>
        <w:t>年</w:t>
      </w: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14:00时</w:t>
      </w:r>
      <w:r>
        <w:rPr>
          <w:rFonts w:hint="eastAsia" w:ascii="宋体" w:hAnsi="宋体" w:eastAsia="宋体" w:cs="宋体"/>
          <w:color w:val="000000" w:themeColor="text1"/>
          <w:kern w:val="0"/>
          <w:sz w:val="24"/>
          <w:szCs w:val="24"/>
          <w:lang w:val="en-US" w:eastAsia="zh-CN"/>
          <w14:textFill>
            <w14:solidFill>
              <w14:schemeClr w14:val="tx1"/>
            </w14:solidFill>
          </w14:textFill>
        </w:rPr>
        <w:t>（北京时间）前提交响应文件</w:t>
      </w:r>
      <w:r>
        <w:rPr>
          <w:rFonts w:hint="eastAsia" w:ascii="宋体" w:hAnsi="宋体" w:eastAsia="宋体" w:cs="宋体"/>
          <w:kern w:val="0"/>
          <w:sz w:val="24"/>
          <w:szCs w:val="24"/>
        </w:rPr>
        <w:t>。</w:t>
      </w:r>
    </w:p>
    <w:p w14:paraId="4B94D9CA">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left="0" w:leftChars="0"/>
        <w:jc w:val="left"/>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bidi="ar-SA"/>
        </w:rPr>
        <w:t>一、</w:t>
      </w:r>
      <w:r>
        <w:rPr>
          <w:rFonts w:hint="eastAsia" w:ascii="宋体" w:hAnsi="宋体" w:eastAsia="宋体" w:cs="宋体"/>
          <w:b/>
          <w:bCs/>
          <w:kern w:val="0"/>
          <w:sz w:val="24"/>
          <w:szCs w:val="24"/>
          <w:lang w:val="en-US" w:eastAsia="zh-CN"/>
        </w:rPr>
        <w:t>项目基本情况</w:t>
      </w:r>
    </w:p>
    <w:p w14:paraId="72F0807C">
      <w:pPr>
        <w:keepNext w:val="0"/>
        <w:keepLines w:val="0"/>
        <w:pageBreakBefore w:val="0"/>
        <w:widowControl/>
        <w:kinsoku/>
        <w:wordWrap/>
        <w:overflowPunct/>
        <w:topLinePunct w:val="0"/>
        <w:autoSpaceDE/>
        <w:autoSpaceDN/>
        <w:bidi w:val="0"/>
        <w:adjustRightInd/>
        <w:snapToGrid w:val="0"/>
        <w:spacing w:line="440" w:lineRule="exact"/>
        <w:ind w:left="0" w:firstLine="482" w:firstLineChars="200"/>
        <w:jc w:val="left"/>
        <w:textAlignment w:val="auto"/>
        <w:outlineLvl w:val="9"/>
        <w:rPr>
          <w:rFonts w:hint="eastAsia" w:ascii="宋体" w:hAnsi="宋体" w:eastAsia="宋体" w:cs="宋体"/>
          <w:kern w:val="0"/>
          <w:sz w:val="24"/>
          <w:szCs w:val="24"/>
          <w:lang w:val="en-US" w:eastAsia="zh-CN"/>
        </w:rPr>
      </w:pPr>
      <w:r>
        <w:rPr>
          <w:rFonts w:hint="eastAsia" w:ascii="宋体" w:hAnsi="宋体" w:cs="宋体"/>
          <w:b/>
          <w:bCs/>
          <w:kern w:val="0"/>
          <w:sz w:val="24"/>
          <w:szCs w:val="24"/>
          <w:lang w:val="en-US" w:eastAsia="zh-CN"/>
        </w:rPr>
        <w:t>1.</w:t>
      </w:r>
      <w:r>
        <w:rPr>
          <w:rFonts w:hint="eastAsia" w:ascii="宋体" w:hAnsi="宋体" w:eastAsia="宋体" w:cs="宋体"/>
          <w:b/>
          <w:bCs/>
          <w:kern w:val="0"/>
          <w:sz w:val="24"/>
          <w:szCs w:val="24"/>
        </w:rPr>
        <w:t>项目编号：</w:t>
      </w:r>
      <w:r>
        <w:rPr>
          <w:rFonts w:hint="eastAsia" w:ascii="宋体" w:hAnsi="宋体" w:cs="宋体"/>
          <w:kern w:val="0"/>
          <w:sz w:val="24"/>
          <w:szCs w:val="24"/>
          <w:lang w:eastAsia="zh-CN"/>
        </w:rPr>
        <w:t>AKSH2024-ZCS-162</w:t>
      </w:r>
    </w:p>
    <w:p w14:paraId="1B6EAC1D">
      <w:pPr>
        <w:pStyle w:val="64"/>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color w:val="000000" w:themeColor="text1"/>
          <w:sz w:val="24"/>
          <w:szCs w:val="24"/>
          <w:lang w:eastAsia="zh-CN"/>
          <w14:textFill>
            <w14:solidFill>
              <w14:schemeClr w14:val="tx1"/>
            </w14:solidFill>
          </w14:textFill>
        </w:rPr>
      </w:pPr>
      <w:r>
        <w:rPr>
          <w:rFonts w:hint="eastAsia" w:ascii="宋体" w:hAnsi="宋体" w:cs="宋体"/>
          <w:b/>
          <w:bCs/>
          <w:kern w:val="0"/>
          <w:sz w:val="24"/>
          <w:szCs w:val="24"/>
          <w:lang w:val="en-US" w:eastAsia="zh-CN"/>
        </w:rPr>
        <w:t>2.</w:t>
      </w:r>
      <w:r>
        <w:rPr>
          <w:rFonts w:hint="eastAsia" w:ascii="宋体" w:hAnsi="宋体" w:eastAsia="宋体" w:cs="宋体"/>
          <w:b/>
          <w:bCs/>
          <w:kern w:val="0"/>
          <w:sz w:val="24"/>
          <w:szCs w:val="24"/>
          <w:lang w:val="en-US" w:eastAsia="zh-CN"/>
        </w:rPr>
        <w:t>项目名称：</w:t>
      </w:r>
      <w:bookmarkStart w:id="12" w:name="OLE_LINK2"/>
      <w:r>
        <w:rPr>
          <w:rFonts w:hint="eastAsia" w:ascii="宋体" w:hAnsi="宋体" w:cs="宋体"/>
          <w:kern w:val="0"/>
          <w:sz w:val="24"/>
          <w:szCs w:val="24"/>
          <w:lang w:val="en-US" w:eastAsia="zh-CN" w:bidi="ar-SA"/>
        </w:rPr>
        <w:t>平利县中医医院保洁服务采购项目</w:t>
      </w:r>
      <w:r>
        <w:rPr>
          <w:rFonts w:hint="eastAsia" w:ascii="宋体" w:hAnsi="宋体" w:eastAsia="宋体" w:cs="宋体"/>
          <w:kern w:val="0"/>
          <w:sz w:val="24"/>
          <w:szCs w:val="24"/>
          <w:lang w:val="en-US" w:eastAsia="zh-CN" w:bidi="ar-SA"/>
        </w:rPr>
        <w:t xml:space="preserve">    </w:t>
      </w:r>
      <w:r>
        <w:rPr>
          <w:rFonts w:hint="eastAsia" w:ascii="宋体" w:hAnsi="宋体" w:cs="宋体"/>
          <w:kern w:val="0"/>
          <w:sz w:val="24"/>
          <w:szCs w:val="24"/>
          <w:lang w:val="en-US" w:eastAsia="zh-CN"/>
        </w:rPr>
        <w:t xml:space="preserve">                                  </w:t>
      </w:r>
    </w:p>
    <w:bookmarkEnd w:id="12"/>
    <w:p w14:paraId="10DAC4E1">
      <w:pPr>
        <w:pStyle w:val="64"/>
        <w:keepNext w:val="0"/>
        <w:keepLines w:val="0"/>
        <w:pageBreakBefore w:val="0"/>
        <w:kinsoku/>
        <w:wordWrap/>
        <w:overflowPunct/>
        <w:topLinePunct w:val="0"/>
        <w:autoSpaceDE/>
        <w:autoSpaceDN/>
        <w:bidi w:val="0"/>
        <w:adjustRightInd/>
        <w:spacing w:line="440" w:lineRule="exact"/>
        <w:ind w:left="0"/>
        <w:textAlignment w:val="auto"/>
        <w:outlineLvl w:val="9"/>
        <w:rPr>
          <w:rFonts w:hint="default" w:ascii="宋体" w:hAnsi="宋体" w:eastAsia="宋体" w:cs="宋体"/>
          <w:kern w:val="0"/>
          <w:sz w:val="24"/>
          <w:szCs w:val="24"/>
          <w:lang w:val="en-US" w:eastAsia="zh-CN"/>
        </w:rPr>
      </w:pPr>
      <w:r>
        <w:rPr>
          <w:rFonts w:hint="eastAsia" w:ascii="宋体" w:hAnsi="宋体" w:cs="宋体"/>
          <w:b/>
          <w:bCs/>
          <w:kern w:val="0"/>
          <w:sz w:val="24"/>
          <w:szCs w:val="24"/>
          <w:lang w:val="en-US" w:eastAsia="zh-CN"/>
        </w:rPr>
        <w:t>3.采购方式：</w:t>
      </w:r>
      <w:r>
        <w:rPr>
          <w:rFonts w:hint="eastAsia" w:ascii="宋体" w:hAnsi="宋体" w:cs="宋体"/>
          <w:kern w:val="0"/>
          <w:sz w:val="24"/>
          <w:szCs w:val="24"/>
          <w:lang w:val="en-US" w:eastAsia="zh-CN"/>
        </w:rPr>
        <w:t>竞争性磋商</w:t>
      </w:r>
    </w:p>
    <w:p w14:paraId="4758F884">
      <w:pPr>
        <w:pStyle w:val="64"/>
        <w:keepNext w:val="0"/>
        <w:keepLines w:val="0"/>
        <w:pageBreakBefore w:val="0"/>
        <w:kinsoku/>
        <w:wordWrap/>
        <w:overflowPunct/>
        <w:topLinePunct w:val="0"/>
        <w:autoSpaceDE/>
        <w:autoSpaceDN/>
        <w:bidi w:val="0"/>
        <w:adjustRightInd/>
        <w:spacing w:line="440" w:lineRule="exact"/>
        <w:ind w:left="0"/>
        <w:textAlignment w:val="auto"/>
        <w:outlineLvl w:val="9"/>
        <w:rPr>
          <w:rFonts w:hint="default" w:ascii="宋体" w:hAnsi="宋体" w:eastAsia="宋体" w:cs="宋体"/>
          <w:kern w:val="0"/>
          <w:sz w:val="24"/>
          <w:szCs w:val="24"/>
          <w:lang w:val="en-US" w:eastAsia="zh-CN"/>
        </w:rPr>
      </w:pPr>
      <w:r>
        <w:rPr>
          <w:rFonts w:hint="eastAsia" w:ascii="宋体" w:hAnsi="宋体" w:cs="宋体"/>
          <w:b/>
          <w:bCs/>
          <w:kern w:val="0"/>
          <w:sz w:val="24"/>
          <w:szCs w:val="24"/>
          <w:lang w:val="en-US" w:eastAsia="zh-CN"/>
        </w:rPr>
        <w:t>4.</w:t>
      </w:r>
      <w:r>
        <w:rPr>
          <w:rFonts w:hint="eastAsia" w:ascii="宋体" w:hAnsi="宋体" w:eastAsia="宋体" w:cs="宋体"/>
          <w:b/>
          <w:bCs/>
          <w:kern w:val="0"/>
          <w:sz w:val="24"/>
          <w:szCs w:val="24"/>
          <w:lang w:val="en-US" w:eastAsia="zh-CN"/>
        </w:rPr>
        <w:t>预算金额：</w:t>
      </w:r>
      <w:r>
        <w:rPr>
          <w:rFonts w:hint="eastAsia" w:ascii="宋体" w:hAnsi="宋体" w:cs="宋体"/>
          <w:b/>
          <w:bCs/>
          <w:kern w:val="0"/>
          <w:sz w:val="24"/>
          <w:szCs w:val="24"/>
          <w:highlight w:val="none"/>
          <w:lang w:val="en-US" w:eastAsia="zh-CN"/>
        </w:rPr>
        <w:t>75</w:t>
      </w:r>
      <w:r>
        <w:rPr>
          <w:rFonts w:hint="eastAsia" w:ascii="宋体" w:hAnsi="宋体" w:cs="宋体"/>
          <w:color w:val="auto"/>
          <w:kern w:val="0"/>
          <w:sz w:val="24"/>
          <w:szCs w:val="24"/>
          <w:highlight w:val="none"/>
          <w:lang w:val="en-US" w:eastAsia="zh-CN"/>
        </w:rPr>
        <w:t>万元/年</w:t>
      </w:r>
    </w:p>
    <w:p w14:paraId="361ACA48">
      <w:pPr>
        <w:pStyle w:val="64"/>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eastAsia="宋体" w:cs="宋体"/>
          <w:b w:val="0"/>
          <w:bCs w:val="0"/>
          <w:color w:val="auto"/>
          <w:kern w:val="0"/>
          <w:sz w:val="24"/>
          <w:szCs w:val="24"/>
        </w:rPr>
      </w:pPr>
      <w:r>
        <w:rPr>
          <w:rFonts w:hint="eastAsia" w:ascii="宋体" w:hAnsi="宋体" w:cs="宋体"/>
          <w:b/>
          <w:bCs/>
          <w:kern w:val="0"/>
          <w:sz w:val="24"/>
          <w:szCs w:val="24"/>
          <w:lang w:val="en-US" w:eastAsia="zh-CN"/>
        </w:rPr>
        <w:t>5.</w:t>
      </w:r>
      <w:r>
        <w:rPr>
          <w:rFonts w:hint="eastAsia" w:ascii="宋体" w:hAnsi="宋体" w:eastAsia="宋体" w:cs="宋体"/>
          <w:b/>
          <w:bCs/>
          <w:kern w:val="0"/>
          <w:sz w:val="24"/>
          <w:szCs w:val="24"/>
          <w:lang w:val="en-US" w:eastAsia="zh-CN"/>
        </w:rPr>
        <w:t>采购需求：</w:t>
      </w:r>
      <w:bookmarkStart w:id="13" w:name="OLE_LINK6"/>
      <w:r>
        <w:rPr>
          <w:rFonts w:hint="eastAsia" w:ascii="宋体" w:hAnsi="宋体" w:cs="宋体"/>
          <w:kern w:val="0"/>
          <w:sz w:val="24"/>
          <w:szCs w:val="24"/>
          <w:lang w:val="en-US" w:eastAsia="zh-CN"/>
        </w:rPr>
        <w:t>平利县中医医院保洁服务采购项目，1 项</w:t>
      </w:r>
      <w:r>
        <w:rPr>
          <w:rFonts w:hint="eastAsia" w:ascii="宋体" w:hAnsi="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lang w:val="en-US" w:eastAsia="zh-CN"/>
        </w:rPr>
        <w:t xml:space="preserve"> 预算金额：</w:t>
      </w:r>
      <w:r>
        <w:rPr>
          <w:rFonts w:hint="eastAsia" w:ascii="宋体" w:hAnsi="宋体" w:cs="宋体"/>
          <w:b w:val="0"/>
          <w:bCs w:val="0"/>
          <w:color w:val="auto"/>
          <w:kern w:val="0"/>
          <w:sz w:val="24"/>
          <w:szCs w:val="24"/>
          <w:u w:val="single"/>
          <w:lang w:val="en-US" w:eastAsia="zh-CN"/>
        </w:rPr>
        <w:t xml:space="preserve"> 75 </w:t>
      </w:r>
      <w:r>
        <w:rPr>
          <w:rFonts w:hint="eastAsia" w:ascii="宋体" w:hAnsi="宋体" w:cs="宋体"/>
          <w:b w:val="0"/>
          <w:bCs w:val="0"/>
          <w:color w:val="auto"/>
          <w:kern w:val="0"/>
          <w:sz w:val="24"/>
          <w:szCs w:val="24"/>
          <w:u w:val="none"/>
          <w:lang w:val="en-US" w:eastAsia="zh-CN"/>
        </w:rPr>
        <w:t>万</w:t>
      </w:r>
      <w:r>
        <w:rPr>
          <w:rFonts w:hint="eastAsia" w:ascii="宋体" w:hAnsi="宋体" w:cs="宋体"/>
          <w:b w:val="0"/>
          <w:bCs w:val="0"/>
          <w:color w:val="auto"/>
          <w:kern w:val="0"/>
          <w:sz w:val="24"/>
          <w:szCs w:val="24"/>
          <w:lang w:val="en-US" w:eastAsia="zh-CN"/>
        </w:rPr>
        <w:t>元每年，</w:t>
      </w:r>
      <w:r>
        <w:rPr>
          <w:rFonts w:hint="eastAsia" w:ascii="宋体" w:hAnsi="宋体" w:eastAsia="宋体" w:cs="宋体"/>
          <w:b w:val="0"/>
          <w:bCs w:val="0"/>
          <w:color w:val="auto"/>
          <w:kern w:val="0"/>
          <w:sz w:val="24"/>
          <w:szCs w:val="24"/>
          <w:lang w:val="en-US" w:eastAsia="zh-CN"/>
        </w:rPr>
        <w:t>项目概况：平利县中医医院辖区内的卫生保洁服务； 简要技术要求、用途：自用，技术要求详见磋商文件“采购内容及要求”</w:t>
      </w:r>
      <w:r>
        <w:rPr>
          <w:rFonts w:hint="eastAsia" w:ascii="宋体" w:hAnsi="宋体" w:cs="宋体"/>
          <w:b w:val="0"/>
          <w:bCs w:val="0"/>
          <w:color w:val="auto"/>
          <w:kern w:val="0"/>
          <w:sz w:val="24"/>
          <w:szCs w:val="24"/>
          <w:lang w:val="en-US" w:eastAsia="zh-CN"/>
        </w:rPr>
        <w:t>。</w:t>
      </w:r>
    </w:p>
    <w:bookmarkEnd w:id="13"/>
    <w:p w14:paraId="679049AB">
      <w:pPr>
        <w:pStyle w:val="64"/>
        <w:keepNext w:val="0"/>
        <w:keepLines w:val="0"/>
        <w:pageBreakBefore w:val="0"/>
        <w:kinsoku/>
        <w:wordWrap/>
        <w:overflowPunct/>
        <w:topLinePunct w:val="0"/>
        <w:autoSpaceDE/>
        <w:autoSpaceDN/>
        <w:bidi w:val="0"/>
        <w:adjustRightInd/>
        <w:spacing w:line="440" w:lineRule="exact"/>
        <w:textAlignment w:val="auto"/>
        <w:outlineLvl w:val="9"/>
        <w:rPr>
          <w:rFonts w:hint="default" w:ascii="宋体" w:hAnsi="宋体" w:cs="宋体"/>
          <w:b w:val="0"/>
          <w:bCs w:val="0"/>
          <w:color w:val="FF0000"/>
          <w:kern w:val="0"/>
          <w:sz w:val="24"/>
          <w:szCs w:val="24"/>
          <w:lang w:val="en-US" w:eastAsia="zh-CN"/>
        </w:rPr>
      </w:pPr>
      <w:r>
        <w:rPr>
          <w:rFonts w:hint="eastAsia" w:ascii="宋体" w:hAnsi="宋体" w:cs="宋体"/>
          <w:b/>
          <w:bCs/>
          <w:color w:val="auto"/>
          <w:kern w:val="0"/>
          <w:sz w:val="24"/>
          <w:szCs w:val="24"/>
          <w:lang w:val="en-US" w:eastAsia="zh-CN"/>
        </w:rPr>
        <w:t>6.合同履行期限：</w:t>
      </w:r>
      <w:r>
        <w:rPr>
          <w:rFonts w:hint="eastAsia" w:ascii="宋体" w:hAnsi="宋体" w:cs="宋体"/>
          <w:b w:val="0"/>
          <w:bCs w:val="0"/>
          <w:color w:val="auto"/>
          <w:kern w:val="0"/>
          <w:sz w:val="24"/>
          <w:szCs w:val="24"/>
          <w:lang w:val="en-US" w:eastAsia="zh-CN"/>
        </w:rPr>
        <w:t>本次采购1年，本次采购服务期限满后，若服务质量及考核标准满足采购方要求，则可续签下一年度合同，最长可续签两年。</w:t>
      </w:r>
    </w:p>
    <w:p w14:paraId="2E3238ED">
      <w:pPr>
        <w:pStyle w:val="64"/>
        <w:keepNext w:val="0"/>
        <w:keepLines w:val="0"/>
        <w:pageBreakBefore w:val="0"/>
        <w:kinsoku/>
        <w:wordWrap/>
        <w:overflowPunct/>
        <w:topLinePunct w:val="0"/>
        <w:autoSpaceDE/>
        <w:autoSpaceDN/>
        <w:bidi w:val="0"/>
        <w:adjustRightInd/>
        <w:spacing w:line="440" w:lineRule="exact"/>
        <w:textAlignment w:val="auto"/>
        <w:outlineLvl w:val="9"/>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7.本项目是否接受联合体投标：否</w:t>
      </w:r>
    </w:p>
    <w:p w14:paraId="1FFF0480">
      <w:pPr>
        <w:keepNext w:val="0"/>
        <w:keepLines w:val="0"/>
        <w:pageBreakBefore w:val="0"/>
        <w:widowControl/>
        <w:tabs>
          <w:tab w:val="left" w:pos="1620"/>
        </w:tabs>
        <w:kinsoku/>
        <w:wordWrap/>
        <w:overflowPunct/>
        <w:topLinePunct w:val="0"/>
        <w:autoSpaceDE/>
        <w:autoSpaceDN/>
        <w:bidi w:val="0"/>
        <w:adjustRightInd/>
        <w:snapToGrid w:val="0"/>
        <w:spacing w:line="440" w:lineRule="exact"/>
        <w:ind w:left="0"/>
        <w:jc w:val="left"/>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二</w:t>
      </w:r>
      <w:r>
        <w:rPr>
          <w:rFonts w:hint="eastAsia" w:ascii="宋体" w:hAnsi="宋体" w:eastAsia="宋体" w:cs="宋体"/>
          <w:b/>
          <w:bCs/>
          <w:kern w:val="0"/>
          <w:sz w:val="24"/>
          <w:szCs w:val="24"/>
        </w:rPr>
        <w:t>、</w:t>
      </w:r>
      <w:r>
        <w:rPr>
          <w:rFonts w:hint="eastAsia" w:ascii="宋体" w:hAnsi="宋体" w:cs="宋体"/>
          <w:b/>
          <w:bCs/>
          <w:kern w:val="0"/>
          <w:sz w:val="24"/>
          <w:szCs w:val="24"/>
          <w:lang w:val="en-US" w:eastAsia="zh-CN"/>
        </w:rPr>
        <w:t>投标</w:t>
      </w:r>
      <w:r>
        <w:rPr>
          <w:rFonts w:hint="eastAsia" w:ascii="宋体" w:hAnsi="宋体" w:eastAsia="宋体" w:cs="宋体"/>
          <w:b/>
          <w:bCs/>
          <w:kern w:val="0"/>
          <w:sz w:val="24"/>
          <w:szCs w:val="24"/>
          <w:lang w:val="en-US" w:eastAsia="zh-CN"/>
        </w:rPr>
        <w:t>人的资格要求</w:t>
      </w:r>
      <w:bookmarkStart w:id="206" w:name="_GoBack"/>
      <w:bookmarkEnd w:id="206"/>
    </w:p>
    <w:p w14:paraId="6A159A44">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（一）满足</w:t>
      </w:r>
      <w:r>
        <w:rPr>
          <w:rFonts w:hint="eastAsia" w:ascii="宋体" w:hAnsi="宋体" w:eastAsia="宋体" w:cs="宋体"/>
          <w:sz w:val="24"/>
          <w:szCs w:val="24"/>
        </w:rPr>
        <w:t>《中华人民共和国政府采购法》第二十二条的规定</w:t>
      </w:r>
      <w:r>
        <w:rPr>
          <w:rFonts w:hint="eastAsia" w:ascii="宋体" w:hAnsi="宋体" w:eastAsia="宋体" w:cs="宋体"/>
          <w:sz w:val="24"/>
          <w:szCs w:val="24"/>
          <w:lang w:eastAsia="zh-CN"/>
        </w:rPr>
        <w:t>；</w:t>
      </w:r>
    </w:p>
    <w:p w14:paraId="1CD4A249">
      <w:pPr>
        <w:keepNext w:val="0"/>
        <w:keepLines w:val="0"/>
        <w:pageBreakBefore w:val="0"/>
        <w:kinsoku/>
        <w:wordWrap/>
        <w:overflowPunct/>
        <w:topLinePunct w:val="0"/>
        <w:autoSpaceDE/>
        <w:autoSpaceDN/>
        <w:bidi w:val="0"/>
        <w:adjustRightIn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（二）特定资格条件： </w:t>
      </w:r>
    </w:p>
    <w:p w14:paraId="5F38D914">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.具有独立承担民事责任能力的法人、非法人组织或自然人，提供合法有效的营业执照/事业单位法人证书/专业服务机构执业许可证/民办非企业单位登记证书等相关证明，自然人参与地提供其身份证明</w:t>
      </w:r>
      <w:r>
        <w:rPr>
          <w:rFonts w:hint="eastAsia" w:ascii="宋体" w:hAnsi="宋体" w:eastAsia="宋体" w:cs="宋体"/>
          <w:sz w:val="24"/>
          <w:szCs w:val="24"/>
          <w:lang w:val="en-US" w:eastAsia="zh-CN"/>
        </w:rPr>
        <w:t>。</w:t>
      </w:r>
    </w:p>
    <w:p w14:paraId="7F1156F0">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法定代表人授权书及被授权人身份证。（法定代表人直接投标</w:t>
      </w:r>
      <w:r>
        <w:rPr>
          <w:rFonts w:hint="eastAsia" w:ascii="宋体" w:hAnsi="宋体" w:cs="宋体"/>
          <w:sz w:val="24"/>
          <w:szCs w:val="24"/>
          <w:lang w:val="en-US" w:eastAsia="zh-CN"/>
        </w:rPr>
        <w:t>只需</w:t>
      </w:r>
      <w:r>
        <w:rPr>
          <w:rFonts w:hint="eastAsia" w:ascii="宋体" w:hAnsi="宋体" w:eastAsia="宋体" w:cs="宋体"/>
          <w:sz w:val="24"/>
          <w:szCs w:val="24"/>
          <w:lang w:val="en-US" w:eastAsia="zh-CN"/>
        </w:rPr>
        <w:t>提交其身份证明资料）</w:t>
      </w:r>
    </w:p>
    <w:p w14:paraId="33548D24">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信用记录：投标人通过“信用中国”网站</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www.creditchina.gov.cn</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、中国政府采购网</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www.ccgp.gov.cn</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等渠道查询相关主体无失信记录。对列入失信被执行人、重大税收违法案件当事人名单、政府采购严重违法失信行为记录名单的投标人，将拒绝其参与政府采购活动；以“信用中国”网站</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www.creditchina.gov.cn</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或中国政府采购</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www.ccgp.gov.cn</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 xml:space="preserve"> 查询结果为准（</w:t>
      </w:r>
      <w:r>
        <w:rPr>
          <w:rFonts w:hint="eastAsia" w:ascii="宋体" w:hAnsi="宋体" w:cs="宋体"/>
          <w:sz w:val="24"/>
          <w:szCs w:val="24"/>
          <w:lang w:val="en-US" w:eastAsia="zh-CN"/>
        </w:rPr>
        <w:t>响应</w:t>
      </w:r>
      <w:r>
        <w:rPr>
          <w:rFonts w:hint="eastAsia" w:ascii="宋体" w:hAnsi="宋体" w:eastAsia="宋体" w:cs="宋体"/>
          <w:sz w:val="24"/>
          <w:szCs w:val="24"/>
          <w:lang w:val="en-US" w:eastAsia="zh-CN"/>
        </w:rPr>
        <w:t>文件中提供查询结果网页截图并加盖投标人公章，查询日期为从</w:t>
      </w:r>
      <w:r>
        <w:rPr>
          <w:rFonts w:hint="eastAsia" w:ascii="宋体" w:hAnsi="宋体" w:cs="宋体"/>
          <w:sz w:val="24"/>
          <w:szCs w:val="24"/>
          <w:lang w:val="en-US" w:eastAsia="zh-CN"/>
        </w:rPr>
        <w:t>磋商</w:t>
      </w:r>
      <w:r>
        <w:rPr>
          <w:rFonts w:hint="eastAsia" w:ascii="宋体" w:hAnsi="宋体" w:eastAsia="宋体" w:cs="宋体"/>
          <w:sz w:val="24"/>
          <w:szCs w:val="24"/>
          <w:lang w:val="en-US" w:eastAsia="zh-CN"/>
        </w:rPr>
        <w:t>文件发售之日起至投标截止日前，评标现场通过网站对信用记录进行核实）。</w:t>
      </w:r>
    </w:p>
    <w:p w14:paraId="39684F9A">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书面声明：投标人必须提供参加政府采购活动前3年内在经营活动中没有重大违法记录的书面声明。</w:t>
      </w:r>
    </w:p>
    <w:p w14:paraId="67C55D7A">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财务状况报告：提供</w:t>
      </w:r>
      <w:r>
        <w:rPr>
          <w:rFonts w:hint="eastAsia" w:ascii="宋体" w:hAnsi="宋体" w:cs="宋体"/>
          <w:sz w:val="24"/>
          <w:szCs w:val="24"/>
          <w:lang w:val="en-US" w:eastAsia="zh-CN"/>
        </w:rPr>
        <w:t>2023</w:t>
      </w:r>
      <w:r>
        <w:rPr>
          <w:rFonts w:hint="eastAsia" w:ascii="宋体" w:hAnsi="宋体" w:eastAsia="宋体" w:cs="宋体"/>
          <w:sz w:val="24"/>
          <w:szCs w:val="24"/>
          <w:lang w:val="en-US" w:eastAsia="zh-CN"/>
        </w:rPr>
        <w:t>年度经审计的财务审计报告或投标截止时间前六个月内基本开户银行出具的资信证明（成立时间至提交响应文件截止时间不足一年的可提供成立后任意时段的资产负债表）。</w:t>
      </w:r>
    </w:p>
    <w:p w14:paraId="45FC4C21">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税收缴纳证明：提供</w:t>
      </w:r>
      <w:r>
        <w:rPr>
          <w:rFonts w:hint="eastAsia" w:ascii="宋体" w:hAnsi="宋体" w:cs="宋体"/>
          <w:sz w:val="24"/>
          <w:szCs w:val="24"/>
          <w:lang w:val="en-US" w:eastAsia="zh-CN"/>
        </w:rPr>
        <w:t>2024</w:t>
      </w:r>
      <w:r>
        <w:rPr>
          <w:rFonts w:hint="eastAsia" w:ascii="宋体" w:hAnsi="宋体" w:eastAsia="宋体" w:cs="宋体"/>
          <w:sz w:val="24"/>
          <w:szCs w:val="24"/>
          <w:lang w:val="en-US" w:eastAsia="zh-CN"/>
        </w:rPr>
        <w:t>年1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0AADDC4C">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社会保障资金缴纳证明：提供</w:t>
      </w:r>
      <w:r>
        <w:rPr>
          <w:rFonts w:hint="eastAsia" w:ascii="宋体" w:hAnsi="宋体" w:cs="宋体"/>
          <w:sz w:val="24"/>
          <w:szCs w:val="24"/>
          <w:lang w:val="en-US" w:eastAsia="zh-CN"/>
        </w:rPr>
        <w:t>2024</w:t>
      </w:r>
      <w:r>
        <w:rPr>
          <w:rFonts w:hint="eastAsia" w:ascii="宋体" w:hAnsi="宋体" w:eastAsia="宋体" w:cs="宋体"/>
          <w:sz w:val="24"/>
          <w:szCs w:val="24"/>
          <w:lang w:val="en-US" w:eastAsia="zh-CN"/>
        </w:rPr>
        <w:t>年1月至今任意三个月社会保障资金缴存单据或社保机构开具的社会保险参保缴费情况证明，依法不需要缴纳</w:t>
      </w:r>
      <w:r>
        <w:rPr>
          <w:rFonts w:hint="eastAsia" w:ascii="宋体" w:hAnsi="宋体" w:cs="宋体"/>
          <w:sz w:val="24"/>
          <w:szCs w:val="24"/>
          <w:lang w:val="en-US" w:eastAsia="zh-CN"/>
        </w:rPr>
        <w:t>社会保险</w:t>
      </w:r>
      <w:r>
        <w:rPr>
          <w:rFonts w:hint="eastAsia" w:ascii="宋体" w:hAnsi="宋体" w:eastAsia="宋体" w:cs="宋体"/>
          <w:sz w:val="24"/>
          <w:szCs w:val="24"/>
          <w:lang w:val="en-US" w:eastAsia="zh-CN"/>
        </w:rPr>
        <w:t>资金的单位应提供相关证明材料，单据或证明上应有社保机构或代收机构的印章（成立时间至提交响应文件截止时间不足三个月的可不提供）。</w:t>
      </w:r>
    </w:p>
    <w:p w14:paraId="2700FFFF">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本项目专门面向</w:t>
      </w:r>
      <w:r>
        <w:rPr>
          <w:rFonts w:hint="eastAsia" w:ascii="宋体" w:hAnsi="宋体" w:cs="宋体"/>
          <w:sz w:val="24"/>
          <w:szCs w:val="24"/>
          <w:lang w:val="en-US" w:eastAsia="zh-CN"/>
        </w:rPr>
        <w:t>中小</w:t>
      </w:r>
      <w:r>
        <w:rPr>
          <w:rFonts w:hint="eastAsia" w:ascii="宋体" w:hAnsi="宋体" w:eastAsia="宋体" w:cs="宋体"/>
          <w:sz w:val="24"/>
          <w:szCs w:val="24"/>
          <w:lang w:val="en-US" w:eastAsia="zh-CN"/>
        </w:rPr>
        <w:t>企业采购，投标人须提供《</w:t>
      </w:r>
      <w:r>
        <w:rPr>
          <w:rFonts w:hint="eastAsia" w:ascii="宋体" w:hAnsi="宋体" w:cs="宋体"/>
          <w:sz w:val="24"/>
          <w:szCs w:val="24"/>
          <w:lang w:val="en-US" w:eastAsia="zh-CN"/>
        </w:rPr>
        <w:t>中小</w:t>
      </w:r>
      <w:r>
        <w:rPr>
          <w:rFonts w:hint="eastAsia" w:ascii="宋体" w:hAnsi="宋体" w:eastAsia="宋体" w:cs="宋体"/>
          <w:sz w:val="24"/>
          <w:szCs w:val="24"/>
          <w:lang w:val="en-US" w:eastAsia="zh-CN"/>
        </w:rPr>
        <w:t>企业声明函》。</w:t>
      </w:r>
    </w:p>
    <w:p w14:paraId="0D236B98">
      <w:pPr>
        <w:pStyle w:val="72"/>
        <w:keepNext/>
        <w:keepLines/>
        <w:pageBreakBefore w:val="0"/>
        <w:widowControl w:val="0"/>
        <w:kinsoku/>
        <w:wordWrap/>
        <w:overflowPunct/>
        <w:topLinePunct w:val="0"/>
        <w:autoSpaceDE/>
        <w:autoSpaceDN/>
        <w:bidi w:val="0"/>
        <w:adjustRightInd/>
        <w:snapToGrid/>
        <w:spacing w:before="0" w:line="440" w:lineRule="exact"/>
        <w:ind w:left="0"/>
        <w:jc w:val="left"/>
        <w:textAlignment w:val="auto"/>
        <w:rPr>
          <w:rFonts w:ascii="宋体" w:hAnsi="宋体" w:cs="宋体"/>
          <w:sz w:val="24"/>
          <w:szCs w:val="24"/>
        </w:rPr>
      </w:pPr>
      <w:r>
        <w:rPr>
          <w:rFonts w:hint="eastAsia" w:ascii="宋体" w:hAnsi="宋体" w:eastAsia="宋体" w:cs="宋体"/>
          <w:color w:val="000000"/>
          <w:kern w:val="0"/>
          <w:sz w:val="24"/>
          <w:szCs w:val="24"/>
          <w:lang w:val="en-US" w:eastAsia="zh-CN" w:bidi="ar-SA"/>
        </w:rPr>
        <w:t xml:space="preserve">  </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r>
        <w:rPr>
          <w:rFonts w:hint="eastAsia" w:ascii="宋体" w:hAnsi="宋体" w:eastAsia="宋体" w:cs="宋体"/>
          <w:color w:val="auto"/>
          <w:kern w:val="0"/>
          <w:sz w:val="24"/>
          <w:szCs w:val="24"/>
          <w:lang w:val="en-US" w:eastAsia="zh-CN" w:bidi="ar-SA"/>
        </w:rPr>
        <w:t xml:space="preserve"> （三）采购项目需要落实的政府采购政策</w:t>
      </w:r>
    </w:p>
    <w:p w14:paraId="5A2AD54A">
      <w:pPr>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i w:val="0"/>
          <w:iCs w:val="0"/>
          <w:caps w:val="0"/>
          <w:color w:val="333333"/>
          <w:spacing w:val="0"/>
          <w:sz w:val="24"/>
          <w:szCs w:val="24"/>
          <w:shd w:val="clear" w:fill="FFFFFF"/>
        </w:rPr>
      </w:pPr>
      <w:bookmarkStart w:id="14" w:name="OLE_LINK29"/>
      <w:r>
        <w:rPr>
          <w:rFonts w:hint="eastAsia" w:ascii="宋体" w:hAnsi="宋体" w:eastAsia="宋体" w:cs="宋体"/>
          <w:i w:val="0"/>
          <w:iCs w:val="0"/>
          <w:caps w:val="0"/>
          <w:color w:val="333333"/>
          <w:spacing w:val="0"/>
          <w:sz w:val="24"/>
          <w:szCs w:val="24"/>
          <w:shd w:val="clear" w:fill="FFFFFF"/>
        </w:rPr>
        <w:t>依据《中华人民共和国政府采购法》和《中华人民共和国政府采购法实施条例》的有关规定，落实政府采购“优先购买节能环保产品、扶持小微企业、监狱企业、福利企业”等相关政策：</w:t>
      </w:r>
    </w:p>
    <w:p w14:paraId="33A2FD1E">
      <w:pPr>
        <w:keepNext w:val="0"/>
        <w:keepLines w:val="0"/>
        <w:pageBreakBefore w:val="0"/>
        <w:widowControl w:val="0"/>
        <w:numPr>
          <w:ilvl w:val="0"/>
          <w:numId w:val="3"/>
        </w:numPr>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《政府采购促进中小企业发展管理办法》（财库〔2020〕46号）；</w:t>
      </w:r>
    </w:p>
    <w:p w14:paraId="4976BE80">
      <w:pPr>
        <w:keepNext w:val="0"/>
        <w:keepLines w:val="0"/>
        <w:pageBreakBefore w:val="0"/>
        <w:widowControl w:val="0"/>
        <w:numPr>
          <w:ilvl w:val="0"/>
          <w:numId w:val="3"/>
        </w:numPr>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《财政部司法部关于政府采购支持监狱企业发展有关问题的通知》（财库〔2014〕68号）；</w:t>
      </w:r>
    </w:p>
    <w:p w14:paraId="79ED270E">
      <w:pPr>
        <w:keepNext w:val="0"/>
        <w:keepLines w:val="0"/>
        <w:pageBreakBefore w:val="0"/>
        <w:widowControl w:val="0"/>
        <w:numPr>
          <w:ilvl w:val="0"/>
          <w:numId w:val="3"/>
        </w:numPr>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《财政部发展改革委生态环境部市场监督总局关于调整优化节能产品、环境标志产品政府采购执行机制的通知》（财库〔2019〕9号）；</w:t>
      </w:r>
    </w:p>
    <w:p w14:paraId="410A2F20">
      <w:pPr>
        <w:keepNext w:val="0"/>
        <w:keepLines w:val="0"/>
        <w:pageBreakBefore w:val="0"/>
        <w:widowControl w:val="0"/>
        <w:numPr>
          <w:ilvl w:val="0"/>
          <w:numId w:val="3"/>
        </w:numPr>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《财政部民政部中国残疾人联合会关于促进残疾人就业政府采购政策的通知》（财库〔2017〕141号）；</w:t>
      </w:r>
    </w:p>
    <w:p w14:paraId="347CE09F">
      <w:pPr>
        <w:keepNext w:val="0"/>
        <w:keepLines w:val="0"/>
        <w:pageBreakBefore w:val="0"/>
        <w:widowControl w:val="0"/>
        <w:numPr>
          <w:ilvl w:val="0"/>
          <w:numId w:val="3"/>
        </w:numPr>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color w:val="333333"/>
          <w:sz w:val="24"/>
          <w:szCs w:val="24"/>
          <w:shd w:val="clear" w:color="auto" w:fill="FFFFFF"/>
        </w:rPr>
        <w:t>《财政部农业农村部国家乡村振兴局关于运用政府采购政策支持乡村产业振兴的通知》财库〔2021〕19号</w:t>
      </w:r>
      <w:r>
        <w:rPr>
          <w:rFonts w:hint="eastAsia" w:ascii="宋体" w:hAnsi="宋体" w:eastAsia="宋体" w:cs="宋体"/>
          <w:i w:val="0"/>
          <w:iCs w:val="0"/>
          <w:caps w:val="0"/>
          <w:color w:val="333333"/>
          <w:spacing w:val="0"/>
          <w:sz w:val="24"/>
          <w:szCs w:val="24"/>
          <w:shd w:val="clear" w:fill="FFFFFF"/>
        </w:rPr>
        <w:t>；</w:t>
      </w:r>
    </w:p>
    <w:p w14:paraId="62144311">
      <w:pPr>
        <w:numPr>
          <w:ilvl w:val="0"/>
          <w:numId w:val="3"/>
        </w:numPr>
        <w:snapToGrid w:val="0"/>
        <w:spacing w:line="460" w:lineRule="exact"/>
        <w:ind w:firstLine="480" w:firstLineChars="20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b w:val="0"/>
          <w:bCs/>
          <w:color w:val="333333"/>
          <w:sz w:val="24"/>
          <w:szCs w:val="24"/>
          <w:highlight w:val="none"/>
          <w:shd w:val="clear" w:color="auto" w:fill="FFFFFF"/>
        </w:rPr>
        <w:t>《陕西省财政厅关于加快推进我省中小企业政府采购信用融资工作的通知》（陕 财办采〔2020〕15 号）、陕西省财政厅关于印发《陕西省中小企业政府采购信用融资办 法》（陕财办采〔2018〕23 号）</w:t>
      </w:r>
      <w:r>
        <w:rPr>
          <w:rFonts w:hint="eastAsia" w:ascii="宋体" w:hAnsi="宋体" w:eastAsia="宋体" w:cs="宋体"/>
          <w:i w:val="0"/>
          <w:iCs w:val="0"/>
          <w:caps w:val="0"/>
          <w:color w:val="333333"/>
          <w:spacing w:val="0"/>
          <w:sz w:val="24"/>
          <w:szCs w:val="24"/>
          <w:shd w:val="clear" w:fill="FFFFFF"/>
        </w:rPr>
        <w:t>；</w:t>
      </w:r>
    </w:p>
    <w:p w14:paraId="2782E390">
      <w:pPr>
        <w:keepNext w:val="0"/>
        <w:keepLines w:val="0"/>
        <w:pageBreakBefore w:val="0"/>
        <w:widowControl w:val="0"/>
        <w:numPr>
          <w:ilvl w:val="0"/>
          <w:numId w:val="3"/>
        </w:numPr>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其他需要落实的政府采购政策。</w:t>
      </w:r>
    </w:p>
    <w:bookmarkEnd w:id="14"/>
    <w:p w14:paraId="692FFC3D">
      <w:pPr>
        <w:keepNext w:val="0"/>
        <w:keepLines w:val="0"/>
        <w:pageBreakBefore w:val="0"/>
        <w:kinsoku/>
        <w:wordWrap/>
        <w:overflowPunct/>
        <w:topLinePunct w:val="0"/>
        <w:autoSpaceDE/>
        <w:autoSpaceDN/>
        <w:bidi w:val="0"/>
        <w:adjustRightInd/>
        <w:snapToGrid w:val="0"/>
        <w:spacing w:line="440" w:lineRule="exact"/>
        <w:ind w:left="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r>
        <w:rPr>
          <w:rFonts w:hint="eastAsia" w:ascii="宋体" w:hAnsi="宋体" w:cs="宋体"/>
          <w:b/>
          <w:bCs/>
          <w:sz w:val="24"/>
          <w:szCs w:val="24"/>
          <w:lang w:val="en-US" w:eastAsia="zh-CN"/>
        </w:rPr>
        <w:t>磋商</w:t>
      </w:r>
      <w:r>
        <w:rPr>
          <w:rFonts w:hint="eastAsia" w:ascii="宋体" w:hAnsi="宋体" w:eastAsia="宋体" w:cs="宋体"/>
          <w:b/>
          <w:bCs/>
          <w:sz w:val="24"/>
          <w:szCs w:val="24"/>
          <w:lang w:val="en-US" w:eastAsia="zh-CN"/>
        </w:rPr>
        <w:t>文件</w:t>
      </w:r>
      <w:r>
        <w:rPr>
          <w:rFonts w:hint="eastAsia" w:ascii="宋体" w:hAnsi="宋体" w:cs="宋体"/>
          <w:b/>
          <w:bCs/>
          <w:sz w:val="24"/>
          <w:szCs w:val="24"/>
          <w:lang w:val="en-US" w:eastAsia="zh-CN"/>
        </w:rPr>
        <w:t>获取</w:t>
      </w:r>
      <w:r>
        <w:rPr>
          <w:rFonts w:hint="eastAsia" w:ascii="宋体" w:hAnsi="宋体" w:eastAsia="宋体" w:cs="宋体"/>
          <w:b/>
          <w:bCs/>
          <w:sz w:val="24"/>
          <w:szCs w:val="24"/>
        </w:rPr>
        <w:t xml:space="preserve"> </w:t>
      </w:r>
    </w:p>
    <w:p w14:paraId="0B078913">
      <w:pPr>
        <w:keepNext w:val="0"/>
        <w:keepLines w:val="0"/>
        <w:pageBreakBefore w:val="0"/>
        <w:kinsoku/>
        <w:wordWrap/>
        <w:overflowPunct/>
        <w:topLinePunct w:val="0"/>
        <w:autoSpaceDE/>
        <w:autoSpaceDN/>
        <w:bidi w:val="0"/>
        <w:adjustRightInd/>
        <w:spacing w:line="440" w:lineRule="exact"/>
        <w:ind w:left="0" w:firstLine="482" w:firstLineChars="200"/>
        <w:textAlignment w:val="auto"/>
        <w:outlineLvl w:val="9"/>
        <w:rPr>
          <w:rFonts w:hint="eastAsia" w:ascii="宋体" w:hAnsi="宋体" w:eastAsia="宋体" w:cs="宋体"/>
          <w:color w:val="000000" w:themeColor="text1"/>
          <w:kern w:val="0"/>
          <w:sz w:val="24"/>
          <w:szCs w:val="24"/>
          <w14:textFill>
            <w14:solidFill>
              <w14:schemeClr w14:val="tx1"/>
            </w14:solidFill>
          </w14:textFill>
        </w:rPr>
      </w:pPr>
      <w:bookmarkStart w:id="15" w:name="_Toc35529352"/>
      <w:r>
        <w:rPr>
          <w:rFonts w:hint="eastAsia" w:ascii="宋体" w:hAnsi="宋体" w:eastAsia="宋体" w:cs="宋体"/>
          <w:b/>
          <w:bCs/>
          <w:kern w:val="0"/>
          <w:sz w:val="24"/>
          <w:szCs w:val="24"/>
        </w:rPr>
        <w:t>1</w:t>
      </w:r>
      <w:r>
        <w:rPr>
          <w:rFonts w:hint="eastAsia" w:ascii="宋体" w:hAnsi="宋体" w:cs="宋体"/>
          <w:b/>
          <w:bCs/>
          <w:kern w:val="0"/>
          <w:sz w:val="24"/>
          <w:szCs w:val="24"/>
          <w:lang w:val="en-US" w:eastAsia="zh-CN"/>
        </w:rPr>
        <w:t>.</w:t>
      </w:r>
      <w:r>
        <w:rPr>
          <w:rFonts w:hint="eastAsia" w:ascii="宋体" w:hAnsi="宋体" w:eastAsia="宋体" w:cs="宋体"/>
          <w:b/>
          <w:bCs/>
          <w:kern w:val="0"/>
          <w:sz w:val="24"/>
          <w:szCs w:val="24"/>
        </w:rPr>
        <w:t>获取时间：</w:t>
      </w:r>
      <w:r>
        <w:rPr>
          <w:rFonts w:hint="eastAsia" w:ascii="宋体" w:hAnsi="宋体" w:cs="宋体"/>
          <w:color w:val="auto"/>
          <w:kern w:val="0"/>
          <w:sz w:val="24"/>
          <w:szCs w:val="24"/>
          <w:lang w:val="en-US" w:eastAsia="zh-CN"/>
        </w:rPr>
        <w:t>2024</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11</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30</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rPr>
        <w:t>至</w:t>
      </w:r>
      <w:r>
        <w:rPr>
          <w:rFonts w:hint="eastAsia" w:ascii="宋体" w:hAnsi="宋体" w:cs="宋体"/>
          <w:color w:val="auto"/>
          <w:kern w:val="0"/>
          <w:sz w:val="24"/>
          <w:szCs w:val="24"/>
          <w:lang w:val="en-US" w:eastAsia="zh-CN"/>
        </w:rPr>
        <w:t>2024</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highlight w:val="none"/>
        </w:rPr>
        <w:t>日</w:t>
      </w:r>
      <w:r>
        <w:rPr>
          <w:rFonts w:hint="eastAsia" w:ascii="宋体" w:hAnsi="宋体" w:eastAsia="宋体" w:cs="宋体"/>
          <w:color w:val="000000" w:themeColor="text1"/>
          <w:kern w:val="0"/>
          <w:sz w:val="24"/>
          <w:szCs w:val="24"/>
          <w14:textFill>
            <w14:solidFill>
              <w14:schemeClr w14:val="tx1"/>
            </w14:solidFill>
          </w14:textFill>
        </w:rPr>
        <w:t>上午9:00-12:00，下午14:00-17:00（节假日除外）。</w:t>
      </w:r>
      <w:bookmarkEnd w:id="15"/>
    </w:p>
    <w:p w14:paraId="2B67420D">
      <w:pPr>
        <w:keepNext w:val="0"/>
        <w:keepLines w:val="0"/>
        <w:pageBreakBefore w:val="0"/>
        <w:kinsoku/>
        <w:wordWrap/>
        <w:overflowPunct/>
        <w:topLinePunct w:val="0"/>
        <w:autoSpaceDE/>
        <w:autoSpaceDN/>
        <w:bidi w:val="0"/>
        <w:adjustRightInd/>
        <w:spacing w:line="440" w:lineRule="exact"/>
        <w:ind w:left="0" w:firstLine="482" w:firstLineChars="200"/>
        <w:textAlignment w:val="auto"/>
        <w:outlineLvl w:val="9"/>
        <w:rPr>
          <w:rFonts w:hint="eastAsia" w:ascii="宋体" w:hAnsi="宋体" w:eastAsia="宋体" w:cs="宋体"/>
          <w:color w:val="000000" w:themeColor="text1"/>
          <w:kern w:val="0"/>
          <w:sz w:val="24"/>
          <w:szCs w:val="24"/>
          <w14:textFill>
            <w14:solidFill>
              <w14:schemeClr w14:val="tx1"/>
            </w14:solidFill>
          </w14:textFill>
        </w:rPr>
      </w:pPr>
      <w:bookmarkStart w:id="16" w:name="_Toc35529353"/>
      <w:r>
        <w:rPr>
          <w:rFonts w:hint="eastAsia" w:ascii="宋体" w:hAnsi="宋体" w:eastAsia="宋体" w:cs="宋体"/>
          <w:b/>
          <w:bCs/>
          <w:color w:val="000000" w:themeColor="text1"/>
          <w:kern w:val="0"/>
          <w:sz w:val="24"/>
          <w:szCs w:val="24"/>
          <w14:textFill>
            <w14:solidFill>
              <w14:schemeClr w14:val="tx1"/>
            </w14:solidFill>
          </w14:textFill>
        </w:rPr>
        <w:t>2</w:t>
      </w:r>
      <w:r>
        <w:rPr>
          <w:rFonts w:hint="eastAsia" w:ascii="宋体" w:hAnsi="宋体" w:cs="宋体"/>
          <w:b/>
          <w:bCs/>
          <w:color w:val="000000" w:themeColor="text1"/>
          <w:kern w:val="0"/>
          <w:sz w:val="24"/>
          <w:szCs w:val="24"/>
          <w:lang w:val="en-US" w:eastAsia="zh-CN"/>
          <w14:textFill>
            <w14:solidFill>
              <w14:schemeClr w14:val="tx1"/>
            </w14:solidFill>
          </w14:textFill>
        </w:rPr>
        <w:t>.</w:t>
      </w:r>
      <w:r>
        <w:rPr>
          <w:rFonts w:hint="eastAsia" w:ascii="宋体" w:hAnsi="宋体" w:eastAsia="宋体" w:cs="宋体"/>
          <w:b/>
          <w:bCs/>
          <w:color w:val="000000" w:themeColor="text1"/>
          <w:kern w:val="0"/>
          <w:sz w:val="24"/>
          <w:szCs w:val="24"/>
          <w14:textFill>
            <w14:solidFill>
              <w14:schemeClr w14:val="tx1"/>
            </w14:solidFill>
          </w14:textFill>
        </w:rPr>
        <w:t>获取地点：</w:t>
      </w:r>
      <w:r>
        <w:rPr>
          <w:rFonts w:hint="eastAsia" w:ascii="宋体" w:hAnsi="宋体" w:eastAsia="宋体" w:cs="宋体"/>
          <w:kern w:val="0"/>
          <w:sz w:val="24"/>
          <w:szCs w:val="24"/>
          <w:lang w:val="en-US" w:eastAsia="zh-CN"/>
        </w:rPr>
        <w:t>全国公共资源交易平台（陕西省 安康市）</w:t>
      </w:r>
      <w:r>
        <w:rPr>
          <w:rFonts w:hint="eastAsia" w:ascii="宋体" w:hAnsi="宋体" w:eastAsia="宋体" w:cs="宋体"/>
          <w:color w:val="000000" w:themeColor="text1"/>
          <w:kern w:val="0"/>
          <w:sz w:val="24"/>
          <w:szCs w:val="24"/>
          <w14:textFill>
            <w14:solidFill>
              <w14:schemeClr w14:val="tx1"/>
            </w14:solidFill>
          </w14:textFill>
        </w:rPr>
        <w:t>。</w:t>
      </w:r>
      <w:bookmarkEnd w:id="16"/>
    </w:p>
    <w:p w14:paraId="0EB36702">
      <w:pPr>
        <w:pStyle w:val="64"/>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eastAsia="宋体" w:cs="宋体"/>
          <w:sz w:val="24"/>
          <w:szCs w:val="24"/>
          <w:lang w:val="en-US" w:eastAsia="zh-CN"/>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3</w:t>
      </w:r>
      <w:r>
        <w:rPr>
          <w:rFonts w:hint="eastAsia" w:ascii="宋体" w:hAnsi="宋体" w:cs="宋体"/>
          <w:b/>
          <w:bCs/>
          <w:color w:val="000000" w:themeColor="text1"/>
          <w:kern w:val="0"/>
          <w:sz w:val="24"/>
          <w:szCs w:val="24"/>
          <w:lang w:val="en-US" w:eastAsia="zh-CN"/>
          <w14:textFill>
            <w14:solidFill>
              <w14:schemeClr w14:val="tx1"/>
            </w14:solidFill>
          </w14:textFill>
        </w:rPr>
        <w:t>.</w:t>
      </w:r>
      <w:r>
        <w:rPr>
          <w:rFonts w:hint="eastAsia" w:ascii="宋体" w:hAnsi="宋体" w:eastAsia="宋体" w:cs="宋体"/>
          <w:b/>
          <w:bCs/>
          <w:color w:val="000000" w:themeColor="text1"/>
          <w:kern w:val="0"/>
          <w:sz w:val="24"/>
          <w:szCs w:val="24"/>
          <w:lang w:val="en-US" w:eastAsia="zh-CN"/>
          <w14:textFill>
            <w14:solidFill>
              <w14:schemeClr w14:val="tx1"/>
            </w14:solidFill>
          </w14:textFill>
        </w:rPr>
        <w:t>获取方式：</w:t>
      </w:r>
      <w:r>
        <w:rPr>
          <w:rFonts w:hint="eastAsia" w:ascii="宋体" w:hAnsi="宋体" w:cs="宋体"/>
          <w:color w:val="000000" w:themeColor="text1"/>
          <w:kern w:val="0"/>
          <w:sz w:val="24"/>
          <w:szCs w:val="24"/>
          <w:lang w:val="en-US" w:eastAsia="zh-CN"/>
          <w14:textFill>
            <w14:solidFill>
              <w14:schemeClr w14:val="tx1"/>
            </w14:solidFill>
          </w14:textFill>
        </w:rPr>
        <w:t>在线获取。</w:t>
      </w:r>
    </w:p>
    <w:p w14:paraId="2FAC8D52">
      <w:pPr>
        <w:pageBreakBefore w:val="0"/>
        <w:kinsoku/>
        <w:wordWrap/>
        <w:overflowPunct/>
        <w:topLinePunct w:val="0"/>
        <w:bidi w:val="0"/>
        <w:adjustRightInd/>
        <w:spacing w:line="440" w:lineRule="exact"/>
        <w:ind w:left="0" w:firstLine="482" w:firstLineChars="200"/>
        <w:textAlignment w:val="auto"/>
        <w:rPr>
          <w:rFonts w:ascii="宋体" w:hAnsi="宋体" w:cs="宋体"/>
          <w:kern w:val="0"/>
          <w:sz w:val="24"/>
          <w:szCs w:val="28"/>
        </w:rPr>
      </w:pPr>
      <w:bookmarkStart w:id="17" w:name="_Toc35529354"/>
      <w:r>
        <w:rPr>
          <w:rFonts w:hint="eastAsia" w:ascii="宋体" w:hAnsi="宋体" w:eastAsia="宋体" w:cs="宋体"/>
          <w:b/>
          <w:bCs/>
          <w:kern w:val="0"/>
          <w:sz w:val="24"/>
          <w:szCs w:val="24"/>
          <w:lang w:val="en-US" w:eastAsia="zh-CN"/>
        </w:rPr>
        <w:t>4</w:t>
      </w:r>
      <w:r>
        <w:rPr>
          <w:rFonts w:hint="eastAsia" w:ascii="宋体" w:hAnsi="宋体" w:cs="宋体"/>
          <w:b/>
          <w:bCs/>
          <w:kern w:val="0"/>
          <w:sz w:val="24"/>
          <w:szCs w:val="24"/>
          <w:lang w:val="en-US" w:eastAsia="zh-CN"/>
        </w:rPr>
        <w:t>.</w:t>
      </w:r>
      <w:r>
        <w:rPr>
          <w:rFonts w:hint="eastAsia" w:ascii="宋体" w:hAnsi="宋体" w:eastAsia="宋体" w:cs="宋体"/>
          <w:b/>
          <w:bCs/>
          <w:kern w:val="0"/>
          <w:sz w:val="24"/>
          <w:szCs w:val="24"/>
        </w:rPr>
        <w:t>文件售价</w:t>
      </w:r>
      <w:r>
        <w:rPr>
          <w:rFonts w:hint="eastAsia" w:ascii="宋体" w:hAnsi="宋体" w:cs="宋体"/>
          <w:b/>
          <w:bCs/>
          <w:kern w:val="0"/>
          <w:sz w:val="24"/>
          <w:szCs w:val="24"/>
          <w:lang w:eastAsia="zh-CN"/>
        </w:rPr>
        <w:t>：</w:t>
      </w:r>
      <w:r>
        <w:rPr>
          <w:rFonts w:hint="eastAsia" w:ascii="宋体" w:hAnsi="宋体" w:eastAsia="宋体" w:cs="宋体"/>
          <w:b/>
          <w:bCs/>
          <w:kern w:val="0"/>
          <w:sz w:val="24"/>
          <w:szCs w:val="24"/>
        </w:rPr>
        <w:t xml:space="preserve"> </w:t>
      </w:r>
      <w:r>
        <w:rPr>
          <w:rFonts w:hint="eastAsia" w:ascii="宋体" w:hAnsi="宋体" w:cs="宋体"/>
          <w:kern w:val="0"/>
          <w:sz w:val="24"/>
          <w:szCs w:val="24"/>
          <w:lang w:val="en-US" w:eastAsia="zh-CN"/>
        </w:rPr>
        <w:t>免费获取</w:t>
      </w:r>
      <w:r>
        <w:rPr>
          <w:rFonts w:hint="eastAsia" w:ascii="宋体" w:hAnsi="宋体" w:eastAsia="宋体" w:cs="宋体"/>
          <w:kern w:val="0"/>
          <w:sz w:val="24"/>
          <w:szCs w:val="24"/>
        </w:rPr>
        <w:t>。</w:t>
      </w:r>
      <w:bookmarkEnd w:id="17"/>
    </w:p>
    <w:p w14:paraId="482AE1B3">
      <w:pPr>
        <w:keepNext w:val="0"/>
        <w:keepLines w:val="0"/>
        <w:pageBreakBefore w:val="0"/>
        <w:kinsoku/>
        <w:wordWrap/>
        <w:overflowPunct/>
        <w:topLinePunct w:val="0"/>
        <w:autoSpaceDE/>
        <w:autoSpaceDN/>
        <w:bidi w:val="0"/>
        <w:adjustRightInd/>
        <w:spacing w:line="440" w:lineRule="exact"/>
        <w:ind w:left="0" w:firstLine="482" w:firstLineChars="200"/>
        <w:textAlignment w:val="auto"/>
        <w:outlineLvl w:val="9"/>
        <w:rPr>
          <w:rFonts w:hint="eastAsia" w:ascii="宋体" w:hAnsi="宋体" w:cs="宋体"/>
          <w:kern w:val="0"/>
          <w:sz w:val="24"/>
          <w:szCs w:val="28"/>
          <w:lang w:val="en-US" w:eastAsia="zh-CN"/>
        </w:rPr>
      </w:pPr>
      <w:bookmarkStart w:id="18" w:name="_Toc35529356"/>
      <w:bookmarkStart w:id="19" w:name="OLE_LINK30"/>
      <w:r>
        <w:rPr>
          <w:rFonts w:hint="eastAsia" w:ascii="宋体" w:hAnsi="宋体" w:cs="宋体"/>
          <w:b/>
          <w:bCs/>
          <w:kern w:val="0"/>
          <w:sz w:val="24"/>
          <w:szCs w:val="28"/>
        </w:rPr>
        <w:t>备注：</w:t>
      </w:r>
      <w:bookmarkEnd w:id="18"/>
      <w:r>
        <w:rPr>
          <w:rFonts w:hint="eastAsia" w:ascii="宋体" w:hAnsi="宋体" w:eastAsia="宋体" w:cs="宋体"/>
          <w:sz w:val="24"/>
          <w:szCs w:val="24"/>
          <w:highlight w:val="none"/>
        </w:rPr>
        <w:t>（1）获取须知：投标供应商使用捆绑省交易平台的CA锁登录电子交易平台，</w:t>
      </w:r>
      <w:r>
        <w:rPr>
          <w:rFonts w:hint="eastAsia" w:ascii="宋体" w:hAnsi="宋体" w:eastAsia="宋体" w:cs="宋体"/>
          <w:sz w:val="24"/>
          <w:szCs w:val="24"/>
        </w:rPr>
        <w:t>选择电子交易平台中的陕西政府采购交易系统</w:t>
      </w:r>
      <w:r>
        <w:rPr>
          <w:rFonts w:hint="eastAsia" w:ascii="宋体" w:hAnsi="宋体" w:cs="宋体"/>
          <w:sz w:val="24"/>
          <w:szCs w:val="24"/>
          <w:lang w:val="en-US" w:eastAsia="zh-CN"/>
        </w:rPr>
        <w:t>企业端</w:t>
      </w:r>
      <w:r>
        <w:rPr>
          <w:rFonts w:hint="eastAsia" w:ascii="宋体" w:hAnsi="宋体" w:eastAsia="宋体" w:cs="宋体"/>
          <w:sz w:val="24"/>
          <w:szCs w:val="24"/>
        </w:rPr>
        <w:t>进行登录，登录后选择“交易乙方”身份进入供应商界面进行网上报名。</w:t>
      </w:r>
      <w:r>
        <w:rPr>
          <w:rFonts w:hint="eastAsia" w:ascii="宋体" w:hAnsi="宋体" w:eastAsia="宋体" w:cs="宋体"/>
          <w:sz w:val="24"/>
          <w:szCs w:val="24"/>
          <w:highlight w:val="none"/>
        </w:rPr>
        <w:t>（2）采购代理公司确认：供应商须在采购文件</w:t>
      </w:r>
      <w:r>
        <w:rPr>
          <w:rFonts w:hint="eastAsia" w:ascii="宋体" w:hAnsi="宋体" w:cs="宋体"/>
          <w:sz w:val="24"/>
          <w:szCs w:val="24"/>
          <w:highlight w:val="none"/>
          <w:lang w:val="en-US" w:eastAsia="zh-CN"/>
        </w:rPr>
        <w:t>获取</w:t>
      </w:r>
      <w:r>
        <w:rPr>
          <w:rFonts w:hint="eastAsia" w:ascii="宋体" w:hAnsi="宋体" w:eastAsia="宋体" w:cs="宋体"/>
          <w:sz w:val="24"/>
          <w:szCs w:val="24"/>
          <w:highlight w:val="none"/>
        </w:rPr>
        <w:t>时间内将报名回执单、介绍信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备注经办人联系电话及电子邮箱</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、身份证复印件加盖公章递交至</w:t>
      </w:r>
      <w:r>
        <w:rPr>
          <w:rFonts w:hint="eastAsia" w:ascii="宋体" w:hAnsi="宋体" w:eastAsia="宋体" w:cs="宋体"/>
          <w:color w:val="000000"/>
          <w:sz w:val="24"/>
          <w:szCs w:val="24"/>
          <w:highlight w:val="none"/>
        </w:rPr>
        <w:t>安康尚昊招标代理有限公司</w:t>
      </w:r>
      <w:r>
        <w:rPr>
          <w:rFonts w:hint="eastAsia" w:ascii="宋体" w:hAnsi="宋体" w:eastAsia="宋体" w:cs="宋体"/>
          <w:sz w:val="24"/>
          <w:szCs w:val="24"/>
          <w:highlight w:val="none"/>
        </w:rPr>
        <w:t>，代理公司确认报名资料无误后方可下载文件，（3）未完成网上投标成功的或未经采购代理公司确认或未在规定时间内在平台上下载文件的，导致无法完成后续流程</w:t>
      </w:r>
      <w:r>
        <w:rPr>
          <w:rFonts w:hint="eastAsia" w:ascii="宋体" w:hAnsi="宋体" w:cs="宋体"/>
          <w:sz w:val="24"/>
          <w:szCs w:val="24"/>
          <w:highlight w:val="none"/>
          <w:lang w:val="en-US" w:eastAsia="zh-CN"/>
        </w:rPr>
        <w:t>或因供应商未提交报名资料无法接收后续相关信息</w:t>
      </w:r>
      <w:r>
        <w:rPr>
          <w:rFonts w:hint="eastAsia" w:ascii="宋体" w:hAnsi="宋体" w:eastAsia="宋体" w:cs="宋体"/>
          <w:sz w:val="24"/>
          <w:szCs w:val="24"/>
          <w:highlight w:val="none"/>
        </w:rPr>
        <w:t>的责任自负。 （4）</w:t>
      </w:r>
      <w:r>
        <w:rPr>
          <w:rFonts w:hint="eastAsia" w:ascii="宋体" w:hAnsi="宋体" w:eastAsia="宋体" w:cs="宋体"/>
          <w:sz w:val="24"/>
          <w:szCs w:val="24"/>
        </w:rPr>
        <w:t>本项目采用电子化投标及远程不见面开标方式，相关操作流程详见全国公共资源交易平台（陕西省）网站[服务指南</w:t>
      </w:r>
      <w:r>
        <w:rPr>
          <w:rFonts w:hint="eastAsia" w:ascii="宋体" w:hAnsi="宋体" w:cs="宋体"/>
          <w:sz w:val="24"/>
          <w:szCs w:val="24"/>
          <w:lang w:eastAsia="zh-CN"/>
        </w:rPr>
        <w:t>－</w:t>
      </w:r>
      <w:r>
        <w:rPr>
          <w:rFonts w:hint="eastAsia" w:ascii="宋体" w:hAnsi="宋体" w:eastAsia="宋体" w:cs="宋体"/>
          <w:sz w:val="24"/>
          <w:szCs w:val="24"/>
        </w:rPr>
        <w:t>下载专区]中的《陕西省公共资源交易中心政府采购项目投标指南》。开标前，供应商需登录网络开标大厅。开标时，按照工作人员要求进行远程解密，如因供应商自身原因造成无法签到或解密</w:t>
      </w:r>
      <w:r>
        <w:rPr>
          <w:rFonts w:hint="eastAsia" w:ascii="宋体" w:hAnsi="宋体" w:cs="宋体"/>
          <w:sz w:val="24"/>
          <w:szCs w:val="24"/>
          <w:lang w:val="en-US" w:eastAsia="zh-CN"/>
        </w:rPr>
        <w:t>响应</w:t>
      </w:r>
      <w:r>
        <w:rPr>
          <w:rFonts w:hint="eastAsia" w:ascii="宋体" w:hAnsi="宋体" w:eastAsia="宋体" w:cs="宋体"/>
          <w:sz w:val="24"/>
          <w:szCs w:val="24"/>
        </w:rPr>
        <w:t>文件</w:t>
      </w:r>
      <w:r>
        <w:rPr>
          <w:rFonts w:hint="eastAsia" w:ascii="宋体" w:hAnsi="宋体" w:eastAsia="宋体" w:cs="宋体"/>
          <w:color w:val="auto"/>
          <w:sz w:val="24"/>
          <w:szCs w:val="24"/>
        </w:rPr>
        <w:t>，按无效投标对待。</w:t>
      </w:r>
      <w:r>
        <w:rPr>
          <w:rFonts w:hint="eastAsia" w:ascii="宋体" w:hAnsi="宋体" w:eastAsia="宋体" w:cs="宋体"/>
          <w:sz w:val="24"/>
          <w:szCs w:val="24"/>
          <w:highlight w:val="none"/>
        </w:rPr>
        <w:t>（5）电子投标文件技术支持：4009280095、4009980000。</w:t>
      </w:r>
      <w:r>
        <w:rPr>
          <w:rFonts w:hint="eastAsia" w:ascii="宋体" w:hAnsi="宋体" w:cs="宋体"/>
          <w:kern w:val="0"/>
          <w:sz w:val="24"/>
          <w:szCs w:val="28"/>
          <w:highlight w:val="none"/>
        </w:rPr>
        <w:t>（6）请各供应商</w:t>
      </w:r>
      <w:r>
        <w:rPr>
          <w:rFonts w:hint="eastAsia" w:ascii="宋体" w:hAnsi="宋体" w:cs="宋体"/>
          <w:kern w:val="0"/>
          <w:sz w:val="24"/>
          <w:szCs w:val="28"/>
          <w:highlight w:val="none"/>
          <w:lang w:val="en-US" w:eastAsia="zh-CN"/>
        </w:rPr>
        <w:t>获取磋商</w:t>
      </w:r>
      <w:r>
        <w:rPr>
          <w:rFonts w:hint="eastAsia" w:ascii="宋体" w:hAnsi="宋体" w:cs="宋体"/>
          <w:kern w:val="0"/>
          <w:sz w:val="24"/>
          <w:szCs w:val="28"/>
          <w:highlight w:val="none"/>
        </w:rPr>
        <w:t>文件后，按照陕西省财政厅《关于政府采购供应商注册登记有关事项的通知》要求，通过</w:t>
      </w:r>
      <w:r>
        <w:rPr>
          <w:rFonts w:hint="eastAsia" w:ascii="宋体" w:hAnsi="宋体" w:cs="宋体"/>
          <w:kern w:val="0"/>
          <w:sz w:val="24"/>
          <w:szCs w:val="24"/>
          <w:highlight w:val="none"/>
        </w:rPr>
        <w:t>陕西省政府采购</w:t>
      </w:r>
      <w:r>
        <w:rPr>
          <w:rFonts w:hint="eastAsia" w:ascii="宋体" w:hAnsi="宋体" w:cs="宋体"/>
          <w:kern w:val="0"/>
          <w:sz w:val="24"/>
          <w:szCs w:val="28"/>
          <w:highlight w:val="none"/>
        </w:rPr>
        <w:t>网注册登记加入陕西省政府采购供应商库。</w:t>
      </w:r>
    </w:p>
    <w:bookmarkEnd w:id="19"/>
    <w:p w14:paraId="42021856">
      <w:pPr>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eastAsia="宋体" w:cs="宋体"/>
          <w:b/>
          <w:bCs/>
          <w:kern w:val="0"/>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r>
        <w:rPr>
          <w:rFonts w:hint="eastAsia" w:ascii="宋体" w:hAnsi="宋体" w:cs="宋体"/>
          <w:b/>
          <w:bCs/>
          <w:kern w:val="0"/>
          <w:sz w:val="24"/>
          <w:szCs w:val="24"/>
          <w:lang w:val="en-US" w:eastAsia="zh-CN"/>
        </w:rPr>
        <w:t>响应</w:t>
      </w:r>
      <w:r>
        <w:rPr>
          <w:rFonts w:hint="eastAsia" w:ascii="宋体" w:hAnsi="宋体" w:eastAsia="宋体" w:cs="宋体"/>
          <w:b/>
          <w:bCs/>
          <w:kern w:val="0"/>
          <w:sz w:val="24"/>
          <w:szCs w:val="24"/>
          <w:lang w:val="en-US" w:eastAsia="zh-CN"/>
        </w:rPr>
        <w:t>文件</w:t>
      </w:r>
      <w:r>
        <w:rPr>
          <w:rFonts w:hint="eastAsia" w:ascii="宋体" w:hAnsi="宋体" w:cs="宋体"/>
          <w:b/>
          <w:bCs/>
          <w:kern w:val="0"/>
          <w:sz w:val="24"/>
          <w:szCs w:val="24"/>
          <w:lang w:val="en-US" w:eastAsia="zh-CN"/>
        </w:rPr>
        <w:t>递交</w:t>
      </w:r>
      <w:r>
        <w:rPr>
          <w:rFonts w:hint="eastAsia" w:ascii="宋体" w:hAnsi="宋体" w:eastAsia="宋体" w:cs="宋体"/>
          <w:b/>
          <w:bCs/>
          <w:kern w:val="0"/>
          <w:sz w:val="24"/>
          <w:szCs w:val="24"/>
        </w:rPr>
        <w:t>：</w:t>
      </w:r>
    </w:p>
    <w:p w14:paraId="6ADDAE84">
      <w:pPr>
        <w:pStyle w:val="64"/>
        <w:keepNext w:val="0"/>
        <w:keepLines w:val="0"/>
        <w:pageBreakBefore w:val="0"/>
        <w:kinsoku/>
        <w:wordWrap/>
        <w:overflowPunct/>
        <w:topLinePunct w:val="0"/>
        <w:autoSpaceDE/>
        <w:autoSpaceDN/>
        <w:bidi w:val="0"/>
        <w:adjustRightInd/>
        <w:spacing w:line="440" w:lineRule="exact"/>
        <w:ind w:left="0" w:leftChars="0" w:firstLine="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递交截止</w:t>
      </w:r>
      <w:r>
        <w:rPr>
          <w:rFonts w:hint="eastAsia" w:ascii="宋体" w:hAnsi="宋体" w:eastAsia="宋体" w:cs="宋体"/>
          <w:color w:val="auto"/>
          <w:kern w:val="0"/>
          <w:sz w:val="24"/>
          <w:szCs w:val="24"/>
        </w:rPr>
        <w:t>时间：</w:t>
      </w:r>
      <w:r>
        <w:rPr>
          <w:rFonts w:hint="eastAsia" w:ascii="宋体" w:hAnsi="宋体" w:cs="宋体"/>
          <w:color w:val="auto"/>
          <w:kern w:val="0"/>
          <w:sz w:val="24"/>
          <w:szCs w:val="24"/>
          <w:lang w:val="en-US" w:eastAsia="zh-CN"/>
        </w:rPr>
        <w:t>2024</w:t>
      </w:r>
      <w:r>
        <w:rPr>
          <w:rFonts w:hint="eastAsia" w:ascii="宋体" w:hAnsi="宋体" w:eastAsia="宋体" w:cs="宋体"/>
          <w:color w:val="auto"/>
          <w:kern w:val="0"/>
          <w:sz w:val="24"/>
          <w:szCs w:val="24"/>
          <w:lang w:val="en-US" w:eastAsia="zh-CN"/>
        </w:rPr>
        <w:t>年</w:t>
      </w: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14:00时</w:t>
      </w:r>
      <w:r>
        <w:rPr>
          <w:rFonts w:hint="eastAsia" w:ascii="宋体" w:hAnsi="宋体" w:eastAsia="宋体" w:cs="宋体"/>
          <w:color w:val="auto"/>
          <w:kern w:val="0"/>
          <w:sz w:val="24"/>
          <w:szCs w:val="24"/>
        </w:rPr>
        <w:t xml:space="preserve">前 </w:t>
      </w:r>
    </w:p>
    <w:p w14:paraId="07CF3D44">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40" w:lineRule="exact"/>
        <w:ind w:left="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递交地点：全国公共资源交易中心平台（陕西省 安康市）</w:t>
      </w:r>
    </w:p>
    <w:p w14:paraId="6E1AFE8A">
      <w:pPr>
        <w:pStyle w:val="42"/>
        <w:shd w:val="clear" w:color="auto" w:fill="FFFFFF"/>
        <w:spacing w:before="0" w:beforeAutospacing="0" w:after="0" w:afterAutospacing="0" w:line="440" w:lineRule="exact"/>
        <w:rPr>
          <w:rFonts w:hint="eastAsia" w:eastAsia="宋体" w:cs="宋体"/>
          <w:szCs w:val="24"/>
          <w:lang w:val="en-US" w:eastAsia="zh-CN"/>
        </w:rPr>
      </w:pPr>
      <w:r>
        <w:rPr>
          <w:rFonts w:hint="eastAsia" w:cs="宋体"/>
          <w:color w:val="auto"/>
          <w:kern w:val="0"/>
          <w:sz w:val="24"/>
          <w:szCs w:val="24"/>
          <w:lang w:val="en-US" w:eastAsia="zh-CN"/>
        </w:rPr>
        <w:t>3.</w:t>
      </w:r>
      <w:r>
        <w:rPr>
          <w:rFonts w:hint="eastAsia" w:cs="宋体"/>
          <w:szCs w:val="24"/>
          <w:lang w:val="en-US" w:eastAsia="zh-CN"/>
        </w:rPr>
        <w:t>开标地点：</w:t>
      </w:r>
      <w:r>
        <w:rPr>
          <w:rFonts w:ascii="宋体" w:hAnsi="宋体" w:eastAsia="宋体" w:cs="宋体"/>
          <w:sz w:val="24"/>
          <w:szCs w:val="24"/>
        </w:rPr>
        <w:t>安康不见面开标大厅系统</w:t>
      </w:r>
    </w:p>
    <w:p w14:paraId="5395CE6E">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40" w:lineRule="exact"/>
        <w:ind w:left="0"/>
        <w:jc w:val="left"/>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五、公告期限</w:t>
      </w:r>
      <w:r>
        <w:rPr>
          <w:rFonts w:hint="eastAsia" w:ascii="宋体" w:hAnsi="宋体" w:eastAsia="宋体" w:cs="宋体"/>
          <w:b/>
          <w:bCs/>
          <w:kern w:val="0"/>
          <w:sz w:val="24"/>
          <w:szCs w:val="24"/>
        </w:rPr>
        <w:t>：</w:t>
      </w:r>
      <w:r>
        <w:rPr>
          <w:rFonts w:hint="eastAsia" w:ascii="宋体" w:hAnsi="宋体" w:eastAsia="宋体" w:cs="宋体"/>
          <w:kern w:val="0"/>
          <w:sz w:val="24"/>
          <w:szCs w:val="24"/>
          <w:lang w:val="en-US" w:eastAsia="zh-CN"/>
        </w:rPr>
        <w:t>自本公告发布之日起</w:t>
      </w: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个工作日。</w:t>
      </w:r>
    </w:p>
    <w:p w14:paraId="5A0D7742">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40" w:lineRule="exact"/>
        <w:ind w:left="0"/>
        <w:jc w:val="left"/>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六、其他补充事宜</w:t>
      </w:r>
      <w:r>
        <w:rPr>
          <w:rFonts w:hint="eastAsia" w:ascii="宋体" w:hAnsi="宋体" w:eastAsia="宋体" w:cs="宋体"/>
          <w:b/>
          <w:bCs/>
          <w:kern w:val="0"/>
          <w:sz w:val="24"/>
          <w:szCs w:val="24"/>
        </w:rPr>
        <w:t>：</w:t>
      </w:r>
      <w:r>
        <w:rPr>
          <w:rFonts w:hint="eastAsia" w:ascii="宋体" w:hAnsi="宋体" w:cs="宋体"/>
          <w:kern w:val="0"/>
          <w:sz w:val="24"/>
          <w:szCs w:val="24"/>
          <w:lang w:val="en-US" w:eastAsia="zh-CN"/>
        </w:rPr>
        <w:t>无</w:t>
      </w:r>
    </w:p>
    <w:p w14:paraId="6F0AE674">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七、对本次</w:t>
      </w:r>
      <w:r>
        <w:rPr>
          <w:rFonts w:hint="eastAsia" w:ascii="宋体" w:hAnsi="宋体" w:cs="宋体"/>
          <w:kern w:val="0"/>
          <w:sz w:val="24"/>
          <w:szCs w:val="24"/>
          <w:lang w:val="en-US" w:eastAsia="zh-CN"/>
        </w:rPr>
        <w:t>采购</w:t>
      </w:r>
      <w:r>
        <w:rPr>
          <w:rFonts w:hint="eastAsia" w:ascii="宋体" w:hAnsi="宋体" w:eastAsia="宋体" w:cs="宋体"/>
          <w:kern w:val="0"/>
          <w:sz w:val="24"/>
          <w:szCs w:val="24"/>
          <w:lang w:val="en-US" w:eastAsia="zh-CN"/>
        </w:rPr>
        <w:t>提出询问，请按以下方式联系</w:t>
      </w:r>
    </w:p>
    <w:p w14:paraId="65BCD174">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bidi="ar-SA"/>
        </w:rPr>
        <w:t>1</w:t>
      </w:r>
      <w:r>
        <w:rPr>
          <w:rFonts w:hint="eastAsia" w:ascii="宋体" w:hAnsi="宋体" w:cs="宋体"/>
          <w:b/>
          <w:bCs/>
          <w:kern w:val="0"/>
          <w:sz w:val="24"/>
          <w:szCs w:val="24"/>
          <w:lang w:val="en-US" w:eastAsia="zh-CN" w:bidi="ar-SA"/>
        </w:rPr>
        <w:t>.</w:t>
      </w:r>
      <w:r>
        <w:rPr>
          <w:rFonts w:hint="eastAsia" w:ascii="宋体" w:hAnsi="宋体" w:eastAsia="宋体" w:cs="宋体"/>
          <w:b/>
          <w:bCs/>
          <w:kern w:val="0"/>
          <w:sz w:val="24"/>
          <w:szCs w:val="24"/>
          <w:lang w:val="en-US" w:eastAsia="zh-CN"/>
        </w:rPr>
        <w:t>采购人信息</w:t>
      </w:r>
    </w:p>
    <w:p w14:paraId="010DA5CF">
      <w:pPr>
        <w:pStyle w:val="64"/>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名    称：</w:t>
      </w:r>
      <w:r>
        <w:rPr>
          <w:rFonts w:hint="eastAsia" w:ascii="宋体" w:hAnsi="宋体" w:cs="宋体"/>
          <w:kern w:val="0"/>
          <w:sz w:val="24"/>
          <w:szCs w:val="24"/>
          <w:lang w:val="en-US" w:eastAsia="zh-CN"/>
        </w:rPr>
        <w:t>平利县中医医院</w:t>
      </w:r>
    </w:p>
    <w:p w14:paraId="30B4DC59">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地    址：</w:t>
      </w:r>
      <w:bookmarkStart w:id="20" w:name="OLE_LINK16"/>
      <w:r>
        <w:rPr>
          <w:rFonts w:hint="eastAsia" w:ascii="宋体" w:hAnsi="宋体" w:eastAsia="宋体" w:cs="宋体"/>
          <w:color w:val="auto"/>
          <w:kern w:val="0"/>
          <w:sz w:val="24"/>
          <w:szCs w:val="24"/>
          <w:lang w:val="en-US" w:eastAsia="zh-CN"/>
        </w:rPr>
        <w:t>陕西省安康市平利县城关镇月湖南路</w:t>
      </w:r>
    </w:p>
    <w:p w14:paraId="13FE35E7">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联 系 人：蔡女士 </w:t>
      </w:r>
    </w:p>
    <w:p w14:paraId="00C5704D">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联系方式：18391567839</w:t>
      </w:r>
    </w:p>
    <w:bookmarkEnd w:id="20"/>
    <w:p w14:paraId="66596A5F">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bidi="ar-SA"/>
        </w:rPr>
        <w:t>2</w:t>
      </w:r>
      <w:r>
        <w:rPr>
          <w:rFonts w:hint="eastAsia" w:ascii="宋体" w:hAnsi="宋体" w:cs="宋体"/>
          <w:b/>
          <w:bCs/>
          <w:kern w:val="0"/>
          <w:sz w:val="24"/>
          <w:szCs w:val="24"/>
          <w:lang w:val="en-US" w:eastAsia="zh-CN" w:bidi="ar-SA"/>
        </w:rPr>
        <w:t>.</w:t>
      </w:r>
      <w:r>
        <w:rPr>
          <w:rFonts w:hint="eastAsia" w:ascii="宋体" w:hAnsi="宋体" w:eastAsia="宋体" w:cs="宋体"/>
          <w:b/>
          <w:bCs/>
          <w:kern w:val="0"/>
          <w:sz w:val="24"/>
          <w:szCs w:val="24"/>
          <w:lang w:val="en-US" w:eastAsia="zh-CN"/>
        </w:rPr>
        <w:t>采购代理机构信息</w:t>
      </w:r>
    </w:p>
    <w:p w14:paraId="37FAF189">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名    称：</w:t>
      </w:r>
      <w:r>
        <w:rPr>
          <w:rFonts w:hint="eastAsia" w:ascii="宋体" w:hAnsi="宋体" w:eastAsia="宋体" w:cs="宋体"/>
          <w:color w:val="000000" w:themeColor="text1"/>
          <w:kern w:val="0"/>
          <w:sz w:val="24"/>
          <w:szCs w:val="24"/>
          <w14:textFill>
            <w14:solidFill>
              <w14:schemeClr w14:val="tx1"/>
            </w14:solidFill>
          </w14:textFill>
        </w:rPr>
        <w:t>安康尚昊招标代理有限公司</w:t>
      </w:r>
    </w:p>
    <w:p w14:paraId="1EBCFC8B">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地    址：</w:t>
      </w:r>
      <w:bookmarkStart w:id="21" w:name="OLE_LINK21"/>
      <w:r>
        <w:rPr>
          <w:rFonts w:hint="eastAsia" w:ascii="宋体" w:hAnsi="宋体" w:cs="宋体"/>
          <w:color w:val="000000" w:themeColor="text1"/>
          <w:kern w:val="0"/>
          <w:sz w:val="24"/>
          <w:szCs w:val="24"/>
          <w:lang w:eastAsia="zh-CN"/>
          <w14:textFill>
            <w14:solidFill>
              <w14:schemeClr w14:val="tx1"/>
            </w14:solidFill>
          </w14:textFill>
        </w:rPr>
        <w:t>安康市高新区高新观澜8幢2单元801室</w:t>
      </w:r>
    </w:p>
    <w:bookmarkEnd w:id="21"/>
    <w:p w14:paraId="5B341CAC">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联系方式：</w:t>
      </w:r>
      <w:r>
        <w:rPr>
          <w:rFonts w:hint="eastAsia" w:ascii="宋体" w:hAnsi="宋体" w:eastAsia="宋体" w:cs="宋体"/>
          <w:kern w:val="0"/>
          <w:sz w:val="24"/>
          <w:szCs w:val="24"/>
        </w:rPr>
        <w:t>15991480332</w:t>
      </w:r>
    </w:p>
    <w:p w14:paraId="0252DBB6">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bidi="ar-SA"/>
        </w:rPr>
        <w:t>3</w:t>
      </w:r>
      <w:r>
        <w:rPr>
          <w:rFonts w:hint="eastAsia" w:ascii="宋体" w:hAnsi="宋体" w:cs="宋体"/>
          <w:b/>
          <w:bCs/>
          <w:kern w:val="0"/>
          <w:sz w:val="24"/>
          <w:szCs w:val="24"/>
          <w:lang w:val="en-US" w:eastAsia="zh-CN" w:bidi="ar-SA"/>
        </w:rPr>
        <w:t>.</w:t>
      </w:r>
      <w:r>
        <w:rPr>
          <w:rFonts w:hint="eastAsia" w:ascii="宋体" w:hAnsi="宋体" w:eastAsia="宋体" w:cs="宋体"/>
          <w:b/>
          <w:bCs/>
          <w:kern w:val="0"/>
          <w:sz w:val="24"/>
          <w:szCs w:val="24"/>
          <w:lang w:val="en-US" w:eastAsia="zh-CN"/>
        </w:rPr>
        <w:t>项目联系方式</w:t>
      </w:r>
    </w:p>
    <w:p w14:paraId="709B5568">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项目联系人：</w:t>
      </w:r>
      <w:r>
        <w:rPr>
          <w:rFonts w:hint="eastAsia" w:ascii="宋体" w:hAnsi="宋体" w:cs="宋体"/>
          <w:kern w:val="0"/>
          <w:sz w:val="24"/>
          <w:szCs w:val="24"/>
          <w:lang w:val="en-US" w:eastAsia="zh-CN"/>
        </w:rPr>
        <w:t>陈工</w:t>
      </w:r>
    </w:p>
    <w:p w14:paraId="4A3539A0">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电      话</w:t>
      </w:r>
      <w:r>
        <w:rPr>
          <w:rFonts w:hint="eastAsia" w:ascii="宋体" w:hAnsi="宋体" w:cs="宋体"/>
          <w:kern w:val="0"/>
          <w:sz w:val="24"/>
          <w:szCs w:val="24"/>
          <w:lang w:val="en-US" w:eastAsia="zh-CN"/>
        </w:rPr>
        <w:t>：15991480332</w:t>
      </w:r>
    </w:p>
    <w:p w14:paraId="38373B0D">
      <w:pPr>
        <w:keepNext w:val="0"/>
        <w:keepLines w:val="0"/>
        <w:pageBreakBefore w:val="0"/>
        <w:widowControl w:val="0"/>
        <w:kinsoku/>
        <w:wordWrap/>
        <w:overflowPunct/>
        <w:topLinePunct w:val="0"/>
        <w:autoSpaceDE/>
        <w:autoSpaceDN/>
        <w:bidi w:val="0"/>
        <w:adjustRightInd/>
        <w:snapToGrid/>
        <w:spacing w:line="440" w:lineRule="exact"/>
        <w:ind w:left="0"/>
        <w:jc w:val="righ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安康尚昊招标代理有限公司</w:t>
      </w:r>
    </w:p>
    <w:p w14:paraId="4C4B8994">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w:t>
      </w:r>
      <w:r>
        <w:rPr>
          <w:rFonts w:hint="eastAsia" w:ascii="宋体" w:hAnsi="宋体" w:cs="宋体"/>
          <w:kern w:val="0"/>
          <w:sz w:val="24"/>
          <w:szCs w:val="24"/>
          <w:lang w:val="en-US" w:eastAsia="zh-CN" w:bidi="ar-SA"/>
        </w:rPr>
        <w:t>2024</w:t>
      </w:r>
      <w:r>
        <w:rPr>
          <w:rFonts w:hint="eastAsia" w:ascii="宋体" w:hAnsi="宋体" w:eastAsia="宋体" w:cs="宋体"/>
          <w:kern w:val="0"/>
          <w:sz w:val="24"/>
          <w:szCs w:val="24"/>
          <w:lang w:val="en-US" w:eastAsia="zh-CN" w:bidi="ar-SA"/>
        </w:rPr>
        <w:t>年</w:t>
      </w:r>
      <w:r>
        <w:rPr>
          <w:rFonts w:hint="eastAsia" w:ascii="宋体" w:hAnsi="宋体" w:cs="宋体"/>
          <w:kern w:val="0"/>
          <w:sz w:val="24"/>
          <w:szCs w:val="24"/>
          <w:lang w:val="en-US" w:eastAsia="zh-CN" w:bidi="ar-SA"/>
        </w:rPr>
        <w:t>11</w:t>
      </w:r>
      <w:r>
        <w:rPr>
          <w:rFonts w:hint="eastAsia" w:ascii="宋体" w:hAnsi="宋体" w:eastAsia="宋体" w:cs="宋体"/>
          <w:kern w:val="0"/>
          <w:sz w:val="24"/>
          <w:szCs w:val="24"/>
          <w:lang w:val="en-US" w:eastAsia="zh-CN" w:bidi="ar-SA"/>
        </w:rPr>
        <w:t>月</w:t>
      </w:r>
      <w:r>
        <w:rPr>
          <w:rFonts w:hint="eastAsia" w:ascii="宋体" w:hAnsi="宋体" w:cs="宋体"/>
          <w:kern w:val="0"/>
          <w:sz w:val="24"/>
          <w:szCs w:val="24"/>
          <w:lang w:val="en-US" w:eastAsia="zh-CN" w:bidi="ar-SA"/>
        </w:rPr>
        <w:t>29</w:t>
      </w:r>
      <w:r>
        <w:rPr>
          <w:rFonts w:hint="eastAsia" w:ascii="宋体" w:hAnsi="宋体" w:eastAsia="宋体" w:cs="宋体"/>
          <w:kern w:val="0"/>
          <w:sz w:val="24"/>
          <w:szCs w:val="24"/>
          <w:lang w:val="en-US" w:eastAsia="zh-CN" w:bidi="ar-SA"/>
        </w:rPr>
        <w:t>日</w:t>
      </w:r>
    </w:p>
    <w:p w14:paraId="48765381">
      <w:pPr>
        <w:keepNext w:val="0"/>
        <w:keepLines w:val="0"/>
        <w:pageBreakBefore w:val="0"/>
        <w:widowControl/>
        <w:kinsoku/>
        <w:wordWrap/>
        <w:overflowPunct/>
        <w:topLinePunct w:val="0"/>
        <w:autoSpaceDE/>
        <w:autoSpaceDN/>
        <w:bidi w:val="0"/>
        <w:adjustRightInd/>
        <w:spacing w:line="336" w:lineRule="auto"/>
        <w:jc w:val="left"/>
        <w:textAlignment w:val="auto"/>
        <w:rPr>
          <w:rFonts w:ascii="宋体" w:hAnsi="宋体" w:cs="宋体"/>
          <w:b/>
          <w:bCs/>
          <w:kern w:val="44"/>
          <w:sz w:val="32"/>
          <w:szCs w:val="32"/>
        </w:rPr>
      </w:pPr>
      <w:bookmarkStart w:id="22" w:name="_Toc5018"/>
      <w:bookmarkStart w:id="23" w:name="_Toc536202283"/>
      <w:bookmarkStart w:id="24" w:name="_Toc536202377"/>
      <w:bookmarkStart w:id="25" w:name="_Toc536429317"/>
      <w:bookmarkStart w:id="26" w:name="_Toc536429370"/>
      <w:r>
        <w:rPr>
          <w:rFonts w:ascii="宋体" w:hAnsi="宋体" w:cs="宋体"/>
          <w:b/>
          <w:bCs/>
          <w:kern w:val="44"/>
          <w:sz w:val="32"/>
          <w:szCs w:val="32"/>
        </w:rPr>
        <w:br w:type="page"/>
      </w:r>
    </w:p>
    <w:p w14:paraId="7F61C0DA">
      <w:pPr>
        <w:widowControl/>
        <w:jc w:val="left"/>
        <w:rPr>
          <w:rFonts w:ascii="宋体" w:hAnsi="宋体" w:cs="宋体"/>
          <w:b/>
          <w:bCs/>
          <w:kern w:val="44"/>
          <w:sz w:val="32"/>
          <w:szCs w:val="32"/>
        </w:rPr>
      </w:pPr>
      <w:r>
        <w:rPr>
          <w:rFonts w:hint="eastAsia" w:ascii="宋体" w:hAnsi="宋体" w:cs="宋体"/>
          <w:b/>
          <w:bCs/>
          <w:kern w:val="44"/>
          <w:sz w:val="32"/>
          <w:szCs w:val="32"/>
        </w:rPr>
        <w:t>特别提醒：</w:t>
      </w:r>
    </w:p>
    <w:p w14:paraId="6B9C6FBF">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r>
        <w:rPr>
          <w:rFonts w:hint="eastAsia" w:ascii="宋体" w:hAnsi="宋体" w:cs="宋体"/>
          <w:b/>
          <w:bCs/>
          <w:color w:val="000000"/>
          <w:sz w:val="24"/>
          <w:szCs w:val="24"/>
          <w:lang w:val="en-US" w:eastAsia="zh-CN"/>
        </w:rPr>
        <w:t>.</w:t>
      </w:r>
      <w:r>
        <w:rPr>
          <w:rFonts w:hint="eastAsia" w:ascii="宋体" w:hAnsi="宋体" w:eastAsia="宋体" w:cs="宋体"/>
          <w:b/>
          <w:bCs/>
          <w:color w:val="000000"/>
          <w:sz w:val="24"/>
          <w:szCs w:val="24"/>
        </w:rPr>
        <w:t>本项目采用电子化投标及远程不见面开标方式（无需提供纸质版文件，无需到开标现场），开标时请务必携带数字认证证书，如因供应商自身原因未携带数字认证证书造成无法解密投标文件，按无效投标对待。“不见面大厅”登录网址为：</w:t>
      </w:r>
    </w:p>
    <w:p w14:paraId="2F626B88">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http://219.145.206.209/BidOpeningHall/bidopeninghallaction/hall/login</w:t>
      </w: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请各投标人下载最新驱动，详细操作请关注《关于陕西省公共资源交易平台多CA互认系统正式上线运行的通知》</w:t>
      </w:r>
      <w:r>
        <w:rPr>
          <w:rFonts w:hint="eastAsia" w:ascii="宋体" w:hAnsi="宋体" w:cs="宋体"/>
          <w:b/>
          <w:bCs/>
          <w:color w:val="000000"/>
          <w:sz w:val="24"/>
          <w:szCs w:val="24"/>
          <w:lang w:eastAsia="zh-CN"/>
        </w:rPr>
        <w:t>）</w:t>
      </w:r>
      <w:r>
        <w:rPr>
          <w:rFonts w:hint="eastAsia" w:ascii="宋体" w:hAnsi="宋体" w:eastAsia="宋体" w:cs="宋体"/>
          <w:b/>
          <w:bCs/>
          <w:color w:val="000000"/>
          <w:sz w:val="24"/>
          <w:szCs w:val="24"/>
        </w:rPr>
        <w:t>电子开标、评标无法进行时，按照《安康市公共资源交易平台电子化交易应急处置管理办法</w:t>
      </w:r>
      <w:r>
        <w:rPr>
          <w:rFonts w:hint="eastAsia" w:ascii="宋体" w:hAnsi="宋体" w:cs="宋体"/>
          <w:b/>
          <w:bCs/>
          <w:color w:val="000000"/>
          <w:sz w:val="24"/>
          <w:szCs w:val="24"/>
          <w:lang w:eastAsia="zh-CN"/>
        </w:rPr>
        <w:t>（</w:t>
      </w:r>
      <w:r>
        <w:rPr>
          <w:rFonts w:hint="eastAsia" w:ascii="宋体" w:hAnsi="宋体" w:eastAsia="宋体" w:cs="宋体"/>
          <w:b/>
          <w:bCs/>
          <w:color w:val="000000"/>
          <w:sz w:val="24"/>
          <w:szCs w:val="24"/>
        </w:rPr>
        <w:t>试行</w:t>
      </w:r>
      <w:r>
        <w:rPr>
          <w:rFonts w:hint="eastAsia" w:ascii="宋体" w:hAnsi="宋体" w:cs="宋体"/>
          <w:b/>
          <w:bCs/>
          <w:color w:val="000000"/>
          <w:sz w:val="24"/>
          <w:szCs w:val="24"/>
          <w:lang w:eastAsia="zh-CN"/>
        </w:rPr>
        <w:t>）</w:t>
      </w:r>
      <w:r>
        <w:rPr>
          <w:rFonts w:hint="eastAsia" w:ascii="宋体" w:hAnsi="宋体" w:eastAsia="宋体" w:cs="宋体"/>
          <w:b/>
          <w:bCs/>
          <w:color w:val="000000"/>
          <w:sz w:val="24"/>
          <w:szCs w:val="24"/>
        </w:rPr>
        <w:t>》规定执行。</w:t>
      </w:r>
    </w:p>
    <w:p w14:paraId="2E72B7A7">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w:t>
      </w:r>
      <w:r>
        <w:rPr>
          <w:rFonts w:hint="eastAsia" w:ascii="宋体" w:hAnsi="宋体" w:cs="宋体"/>
          <w:b/>
          <w:bCs/>
          <w:kern w:val="0"/>
          <w:sz w:val="24"/>
          <w:szCs w:val="24"/>
          <w:lang w:val="en-US" w:eastAsia="zh-CN"/>
        </w:rPr>
        <w:t>.</w:t>
      </w:r>
      <w:r>
        <w:rPr>
          <w:rFonts w:hint="eastAsia" w:ascii="宋体" w:hAnsi="宋体" w:eastAsia="宋体" w:cs="宋体"/>
          <w:b/>
          <w:bCs/>
          <w:kern w:val="0"/>
          <w:sz w:val="24"/>
          <w:szCs w:val="24"/>
        </w:rPr>
        <w:t>制作电子投标文件</w:t>
      </w:r>
    </w:p>
    <w:p w14:paraId="415160CC">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投标供应商须在“全国公共资源交易中心平台（陕西省）（http://www.sxggzyjy.cn/）”的“服务指南”栏目“下载专区”中，免费下载“陕西省公共资源交易平台政府采购电子标书制作工具</w:t>
      </w:r>
      <w:r>
        <w:rPr>
          <w:rFonts w:hint="eastAsia" w:ascii="宋体" w:hAnsi="宋体" w:cs="宋体"/>
          <w:b/>
          <w:bCs/>
          <w:kern w:val="0"/>
          <w:sz w:val="24"/>
          <w:szCs w:val="24"/>
          <w:lang w:eastAsia="zh-CN"/>
        </w:rPr>
        <w:t>（</w:t>
      </w:r>
      <w:r>
        <w:rPr>
          <w:rFonts w:hint="eastAsia" w:ascii="宋体" w:hAnsi="宋体" w:eastAsia="宋体" w:cs="宋体"/>
          <w:b/>
          <w:bCs/>
          <w:kern w:val="0"/>
          <w:sz w:val="24"/>
          <w:szCs w:val="24"/>
        </w:rPr>
        <w:t>V8.0.0.2</w:t>
      </w:r>
      <w:r>
        <w:rPr>
          <w:rFonts w:hint="eastAsia" w:ascii="宋体" w:hAnsi="宋体" w:cs="宋体"/>
          <w:b/>
          <w:bCs/>
          <w:kern w:val="0"/>
          <w:sz w:val="24"/>
          <w:szCs w:val="24"/>
          <w:lang w:eastAsia="zh-CN"/>
        </w:rPr>
        <w:t>）</w:t>
      </w:r>
      <w:r>
        <w:rPr>
          <w:rFonts w:hint="eastAsia" w:ascii="宋体" w:hAnsi="宋体" w:eastAsia="宋体" w:cs="宋体"/>
          <w:b/>
          <w:bCs/>
          <w:kern w:val="0"/>
          <w:sz w:val="24"/>
          <w:szCs w:val="24"/>
        </w:rPr>
        <w:t>”，并升级至最新版本，使用该客户端制作电子投标文件，制作扩展名为“.SXSTF”的电子投标文件。</w:t>
      </w:r>
    </w:p>
    <w:p w14:paraId="104EDC12">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w:t>
      </w:r>
      <w:r>
        <w:rPr>
          <w:rFonts w:hint="eastAsia" w:ascii="宋体" w:hAnsi="宋体" w:cs="宋体"/>
          <w:b/>
          <w:bCs/>
          <w:kern w:val="0"/>
          <w:sz w:val="24"/>
          <w:szCs w:val="24"/>
          <w:lang w:val="en-US" w:eastAsia="zh-CN"/>
        </w:rPr>
        <w:t>.</w:t>
      </w:r>
      <w:r>
        <w:rPr>
          <w:rFonts w:hint="eastAsia" w:ascii="宋体" w:hAnsi="宋体" w:eastAsia="宋体" w:cs="宋体"/>
          <w:b/>
          <w:bCs/>
          <w:kern w:val="0"/>
          <w:sz w:val="24"/>
          <w:szCs w:val="24"/>
        </w:rPr>
        <w:t>递交电子投标文件</w:t>
      </w:r>
    </w:p>
    <w:p w14:paraId="6ABB59E6">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477F10A4">
      <w:pPr>
        <w:pStyle w:val="64"/>
        <w:keepNext w:val="0"/>
        <w:keepLines w:val="0"/>
        <w:pageBreakBefore w:val="0"/>
        <w:kinsoku/>
        <w:wordWrap/>
        <w:overflowPunct/>
        <w:topLinePunct w:val="0"/>
        <w:autoSpaceDE/>
        <w:autoSpaceDN/>
        <w:bidi w:val="0"/>
        <w:adjustRightInd/>
        <w:spacing w:line="460" w:lineRule="exact"/>
        <w:ind w:firstLine="48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项目如有变更文件，则应点击“项目流程——答疑文件下载”下载更新后的电子招标文件（*.SXSCF），使用旧版电子招标文件制作的电子投标文件，系统将拒绝接收。</w:t>
      </w:r>
    </w:p>
    <w:p w14:paraId="788B3032">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60" w:lineRule="exact"/>
        <w:ind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w:t>
      </w: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电子投标文件技术支持：4009280095、4009980000</w:t>
      </w:r>
    </w:p>
    <w:p w14:paraId="58986B9B">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00" w:lineRule="exact"/>
        <w:ind w:firstLine="482"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5</w:t>
      </w: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投标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6A9DEF07">
      <w:pPr>
        <w:widowControl/>
        <w:jc w:val="left"/>
        <w:rPr>
          <w:rFonts w:ascii="Times New Roman" w:hAnsi="Times New Roman" w:cs="Times New Roman"/>
          <w:b/>
          <w:bCs/>
          <w:kern w:val="44"/>
          <w:sz w:val="32"/>
          <w:szCs w:val="32"/>
        </w:rPr>
      </w:pPr>
      <w:bookmarkStart w:id="27" w:name="_Toc19543334"/>
      <w:r>
        <w:br w:type="page"/>
      </w:r>
    </w:p>
    <w:p w14:paraId="4903BBE4">
      <w:pPr>
        <w:pStyle w:val="4"/>
        <w:spacing w:line="360" w:lineRule="auto"/>
        <w:rPr>
          <w:rFonts w:ascii="宋体" w:hAnsi="宋体" w:cs="宋体"/>
        </w:rPr>
      </w:pPr>
      <w:bookmarkStart w:id="28" w:name="_Toc32478"/>
      <w:r>
        <w:rPr>
          <w:rFonts w:hint="eastAsia"/>
        </w:rPr>
        <w:t>第二部分</w:t>
      </w:r>
      <w:r>
        <w:t xml:space="preserve">  </w:t>
      </w:r>
      <w:r>
        <w:rPr>
          <w:rFonts w:hint="eastAsia"/>
        </w:rPr>
        <w:t>供应商须知前附表</w:t>
      </w:r>
      <w:bookmarkEnd w:id="6"/>
      <w:bookmarkEnd w:id="7"/>
      <w:bookmarkEnd w:id="22"/>
      <w:bookmarkEnd w:id="23"/>
      <w:bookmarkEnd w:id="24"/>
      <w:bookmarkEnd w:id="25"/>
      <w:bookmarkEnd w:id="26"/>
      <w:bookmarkEnd w:id="27"/>
      <w:bookmarkEnd w:id="28"/>
    </w:p>
    <w:tbl>
      <w:tblPr>
        <w:tblStyle w:val="104"/>
        <w:tblW w:w="9884" w:type="dxa"/>
        <w:jc w:val="center"/>
        <w:tblLayout w:type="fixed"/>
        <w:tblCellMar>
          <w:top w:w="147" w:type="dxa"/>
          <w:left w:w="108" w:type="dxa"/>
          <w:bottom w:w="56" w:type="dxa"/>
          <w:right w:w="0" w:type="dxa"/>
        </w:tblCellMar>
      </w:tblPr>
      <w:tblGrid>
        <w:gridCol w:w="704"/>
        <w:gridCol w:w="1769"/>
        <w:gridCol w:w="7411"/>
      </w:tblGrid>
      <w:tr w14:paraId="285F7D0F">
        <w:tblPrEx>
          <w:tblCellMar>
            <w:top w:w="147" w:type="dxa"/>
            <w:left w:w="108" w:type="dxa"/>
            <w:bottom w:w="56" w:type="dxa"/>
            <w:right w:w="0" w:type="dxa"/>
          </w:tblCellMar>
        </w:tblPrEx>
        <w:trPr>
          <w:trHeight w:val="33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7BE8881">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1769" w:type="dxa"/>
            <w:tcBorders>
              <w:top w:val="single" w:color="000000" w:sz="4" w:space="0"/>
              <w:left w:val="single" w:color="000000" w:sz="4" w:space="0"/>
              <w:bottom w:val="single" w:color="000000" w:sz="4" w:space="0"/>
              <w:right w:val="single" w:color="000000" w:sz="4" w:space="0"/>
            </w:tcBorders>
            <w:vAlign w:val="center"/>
          </w:tcPr>
          <w:p w14:paraId="57E53F3C">
            <w:pPr>
              <w:spacing w:line="259" w:lineRule="auto"/>
              <w:ind w:right="310"/>
              <w:jc w:val="center"/>
              <w:rPr>
                <w:rFonts w:asciiTheme="minorEastAsia" w:hAnsiTheme="minorEastAsia" w:eastAsiaTheme="minorEastAsia"/>
                <w:sz w:val="24"/>
                <w:szCs w:val="24"/>
              </w:rPr>
            </w:pPr>
            <w:r>
              <w:rPr>
                <w:rFonts w:asciiTheme="minorEastAsia" w:hAnsiTheme="minorEastAsia" w:eastAsiaTheme="minorEastAsia"/>
                <w:sz w:val="24"/>
                <w:szCs w:val="24"/>
              </w:rPr>
              <w:t>内 容</w:t>
            </w:r>
          </w:p>
        </w:tc>
        <w:tc>
          <w:tcPr>
            <w:tcW w:w="7411" w:type="dxa"/>
            <w:tcBorders>
              <w:top w:val="single" w:color="000000" w:sz="4" w:space="0"/>
              <w:left w:val="single" w:color="000000" w:sz="4" w:space="0"/>
              <w:bottom w:val="single" w:color="000000" w:sz="4" w:space="0"/>
              <w:right w:val="single" w:color="000000" w:sz="4" w:space="0"/>
            </w:tcBorders>
            <w:vAlign w:val="center"/>
          </w:tcPr>
          <w:p w14:paraId="6EE88123">
            <w:pPr>
              <w:spacing w:line="259" w:lineRule="auto"/>
              <w:ind w:left="840" w:right="111"/>
              <w:jc w:val="center"/>
              <w:rPr>
                <w:rFonts w:asciiTheme="minorEastAsia" w:hAnsiTheme="minorEastAsia" w:eastAsiaTheme="minorEastAsia"/>
                <w:sz w:val="24"/>
                <w:szCs w:val="24"/>
              </w:rPr>
            </w:pPr>
            <w:r>
              <w:rPr>
                <w:rFonts w:asciiTheme="minorEastAsia" w:hAnsiTheme="minorEastAsia" w:eastAsiaTheme="minorEastAsia"/>
                <w:sz w:val="24"/>
                <w:szCs w:val="24"/>
              </w:rPr>
              <w:t>说明与要求</w:t>
            </w:r>
          </w:p>
        </w:tc>
      </w:tr>
      <w:tr w14:paraId="7682EDBC">
        <w:tblPrEx>
          <w:tblCellMar>
            <w:top w:w="147" w:type="dxa"/>
            <w:left w:w="108" w:type="dxa"/>
            <w:bottom w:w="56" w:type="dxa"/>
            <w:right w:w="0" w:type="dxa"/>
          </w:tblCellMar>
        </w:tblPrEx>
        <w:trPr>
          <w:trHeight w:val="20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127F162">
            <w:pPr>
              <w:pStyle w:val="103"/>
              <w:numPr>
                <w:ilvl w:val="0"/>
                <w:numId w:val="4"/>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08348DF2">
            <w:pPr>
              <w:spacing w:line="259" w:lineRule="auto"/>
              <w:ind w:right="109"/>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采购人</w:t>
            </w:r>
          </w:p>
        </w:tc>
        <w:tc>
          <w:tcPr>
            <w:tcW w:w="7411" w:type="dxa"/>
            <w:tcBorders>
              <w:top w:val="single" w:color="000000" w:sz="4" w:space="0"/>
              <w:left w:val="single" w:color="000000" w:sz="4" w:space="0"/>
              <w:bottom w:val="single" w:color="000000" w:sz="4" w:space="0"/>
              <w:right w:val="single" w:color="000000" w:sz="4" w:space="0"/>
            </w:tcBorders>
            <w:vAlign w:val="center"/>
          </w:tcPr>
          <w:p w14:paraId="476E42F0">
            <w:pPr>
              <w:spacing w:line="259" w:lineRule="auto"/>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 xml:space="preserve">平利县中医医院 </w:t>
            </w:r>
          </w:p>
        </w:tc>
      </w:tr>
      <w:tr w14:paraId="7BCACA76">
        <w:tblPrEx>
          <w:tblCellMar>
            <w:top w:w="147" w:type="dxa"/>
            <w:left w:w="108" w:type="dxa"/>
            <w:bottom w:w="56" w:type="dxa"/>
            <w:right w:w="0" w:type="dxa"/>
          </w:tblCellMar>
        </w:tblPrEx>
        <w:trPr>
          <w:trHeight w:val="21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F6A4C6B">
            <w:pPr>
              <w:pStyle w:val="103"/>
              <w:numPr>
                <w:ilvl w:val="0"/>
                <w:numId w:val="4"/>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2EC7A853">
            <w:pPr>
              <w:spacing w:line="259" w:lineRule="auto"/>
              <w:ind w:right="109"/>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代理机构</w:t>
            </w:r>
          </w:p>
        </w:tc>
        <w:tc>
          <w:tcPr>
            <w:tcW w:w="7411" w:type="dxa"/>
            <w:tcBorders>
              <w:top w:val="single" w:color="000000" w:sz="4" w:space="0"/>
              <w:left w:val="single" w:color="000000" w:sz="4" w:space="0"/>
              <w:bottom w:val="single" w:color="000000" w:sz="4" w:space="0"/>
              <w:right w:val="single" w:color="000000" w:sz="4" w:space="0"/>
            </w:tcBorders>
            <w:vAlign w:val="center"/>
          </w:tcPr>
          <w:p w14:paraId="22830284">
            <w:pPr>
              <w:spacing w:line="259"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安康</w:t>
            </w:r>
            <w:r>
              <w:rPr>
                <w:rFonts w:asciiTheme="minorEastAsia" w:hAnsiTheme="minorEastAsia" w:eastAsiaTheme="minorEastAsia"/>
                <w:sz w:val="24"/>
                <w:szCs w:val="24"/>
              </w:rPr>
              <w:t>尚昊招标代理有限公司</w:t>
            </w:r>
          </w:p>
        </w:tc>
      </w:tr>
      <w:tr w14:paraId="612F4331">
        <w:tblPrEx>
          <w:tblCellMar>
            <w:top w:w="147" w:type="dxa"/>
            <w:left w:w="108" w:type="dxa"/>
            <w:bottom w:w="56" w:type="dxa"/>
            <w:right w:w="0" w:type="dxa"/>
          </w:tblCellMar>
        </w:tblPrEx>
        <w:trPr>
          <w:trHeight w:val="47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9B616AE">
            <w:pPr>
              <w:pStyle w:val="103"/>
              <w:numPr>
                <w:ilvl w:val="0"/>
                <w:numId w:val="4"/>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1B071C6E">
            <w:pPr>
              <w:spacing w:line="259" w:lineRule="auto"/>
              <w:ind w:right="111"/>
              <w:jc w:val="center"/>
              <w:rPr>
                <w:rFonts w:asciiTheme="minorEastAsia" w:hAnsiTheme="minorEastAsia" w:eastAsiaTheme="minorEastAsia"/>
                <w:sz w:val="24"/>
                <w:szCs w:val="24"/>
                <w:highlight w:val="red"/>
              </w:rPr>
            </w:pPr>
            <w:r>
              <w:rPr>
                <w:rFonts w:asciiTheme="minorEastAsia" w:hAnsiTheme="minorEastAsia" w:eastAsiaTheme="minorEastAsia"/>
                <w:sz w:val="24"/>
                <w:szCs w:val="24"/>
                <w:highlight w:val="none"/>
              </w:rPr>
              <w:t>项目名称</w:t>
            </w:r>
          </w:p>
        </w:tc>
        <w:tc>
          <w:tcPr>
            <w:tcW w:w="7411" w:type="dxa"/>
            <w:tcBorders>
              <w:top w:val="single" w:color="000000" w:sz="4" w:space="0"/>
              <w:left w:val="single" w:color="000000" w:sz="4" w:space="0"/>
              <w:bottom w:val="single" w:color="000000" w:sz="4" w:space="0"/>
              <w:right w:val="single" w:color="000000" w:sz="4" w:space="0"/>
            </w:tcBorders>
            <w:vAlign w:val="center"/>
          </w:tcPr>
          <w:p w14:paraId="2DC28BF6">
            <w:pPr>
              <w:pStyle w:val="64"/>
              <w:keepNext w:val="0"/>
              <w:keepLines w:val="0"/>
              <w:pageBreakBefore w:val="0"/>
              <w:kinsoku/>
              <w:wordWrap/>
              <w:overflowPunct/>
              <w:topLinePunct w:val="0"/>
              <w:autoSpaceDE/>
              <w:autoSpaceDN/>
              <w:bidi w:val="0"/>
              <w:adjustRightInd/>
              <w:spacing w:line="336" w:lineRule="auto"/>
              <w:ind w:left="0" w:leftChars="0" w:firstLine="0" w:firstLineChars="0"/>
              <w:textAlignment w:val="auto"/>
              <w:outlineLvl w:val="9"/>
              <w:rPr>
                <w:rFonts w:hint="eastAsia" w:asciiTheme="minorEastAsia" w:hAnsiTheme="minorEastAsia" w:eastAsiaTheme="minorEastAsia"/>
                <w:sz w:val="24"/>
                <w:szCs w:val="24"/>
                <w:highlight w:val="red"/>
                <w:lang w:eastAsia="zh-CN"/>
              </w:rPr>
            </w:pPr>
            <w:r>
              <w:rPr>
                <w:rFonts w:hint="eastAsia" w:cs="Calibri" w:asciiTheme="minorEastAsia" w:hAnsiTheme="minorEastAsia" w:eastAsiaTheme="minorEastAsia"/>
                <w:kern w:val="2"/>
                <w:sz w:val="24"/>
                <w:szCs w:val="24"/>
                <w:lang w:val="en-US" w:eastAsia="zh-CN" w:bidi="ar-SA"/>
              </w:rPr>
              <w:t xml:space="preserve">平利县中医医院保洁服务采购项目   </w:t>
            </w:r>
          </w:p>
        </w:tc>
      </w:tr>
      <w:tr w14:paraId="1FB195A0">
        <w:tblPrEx>
          <w:tblCellMar>
            <w:top w:w="147" w:type="dxa"/>
            <w:left w:w="108" w:type="dxa"/>
            <w:bottom w:w="56" w:type="dxa"/>
            <w:right w:w="0" w:type="dxa"/>
          </w:tblCellMar>
        </w:tblPrEx>
        <w:trPr>
          <w:trHeight w:val="85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1BBFD04">
            <w:pPr>
              <w:pStyle w:val="103"/>
              <w:numPr>
                <w:ilvl w:val="0"/>
                <w:numId w:val="4"/>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6AF1E09F">
            <w:pPr>
              <w:spacing w:line="259" w:lineRule="auto"/>
              <w:ind w:right="111"/>
              <w:jc w:val="center"/>
              <w:rPr>
                <w:rFonts w:asciiTheme="minorEastAsia" w:hAnsiTheme="minorEastAsia" w:eastAsiaTheme="minorEastAsia"/>
                <w:sz w:val="24"/>
                <w:szCs w:val="24"/>
                <w:highlight w:val="red"/>
              </w:rPr>
            </w:pPr>
            <w:r>
              <w:rPr>
                <w:rFonts w:hint="eastAsia" w:asciiTheme="minorEastAsia" w:hAnsiTheme="minorEastAsia" w:eastAsiaTheme="minorEastAsia"/>
                <w:sz w:val="24"/>
                <w:szCs w:val="24"/>
                <w:highlight w:val="none"/>
              </w:rPr>
              <w:t>采购</w:t>
            </w:r>
            <w:r>
              <w:rPr>
                <w:rFonts w:asciiTheme="minorEastAsia" w:hAnsiTheme="minorEastAsia" w:eastAsiaTheme="minorEastAsia"/>
                <w:sz w:val="24"/>
                <w:szCs w:val="24"/>
                <w:highlight w:val="none"/>
              </w:rPr>
              <w:t>内容</w:t>
            </w:r>
          </w:p>
        </w:tc>
        <w:tc>
          <w:tcPr>
            <w:tcW w:w="7411" w:type="dxa"/>
            <w:tcBorders>
              <w:top w:val="single" w:color="000000" w:sz="4" w:space="0"/>
              <w:left w:val="single" w:color="000000" w:sz="4" w:space="0"/>
              <w:bottom w:val="single" w:color="000000" w:sz="4" w:space="0"/>
              <w:right w:val="single" w:color="000000" w:sz="4" w:space="0"/>
            </w:tcBorders>
          </w:tcPr>
          <w:p w14:paraId="39E11A20">
            <w:pPr>
              <w:pStyle w:val="64"/>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cs="宋体" w:asciiTheme="minorEastAsia" w:hAnsiTheme="minorEastAsia" w:eastAsiaTheme="minorEastAsia"/>
                <w:kern w:val="0"/>
                <w:sz w:val="24"/>
                <w:szCs w:val="24"/>
                <w:highlight w:val="red"/>
                <w:lang w:eastAsia="zh-CN"/>
              </w:rPr>
            </w:pPr>
            <w:r>
              <w:rPr>
                <w:rFonts w:hint="eastAsia" w:ascii="宋体" w:hAnsi="宋体" w:cs="宋体"/>
                <w:kern w:val="0"/>
                <w:sz w:val="24"/>
                <w:szCs w:val="24"/>
                <w:lang w:val="en-US" w:eastAsia="zh-CN"/>
              </w:rPr>
              <w:t>平利县中医医院保洁服务采购项目，1 项</w:t>
            </w:r>
            <w:r>
              <w:rPr>
                <w:rFonts w:hint="eastAsia" w:ascii="宋体" w:hAnsi="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lang w:val="en-US" w:eastAsia="zh-CN"/>
              </w:rPr>
              <w:t xml:space="preserve"> 预算金额：</w:t>
            </w:r>
            <w:r>
              <w:rPr>
                <w:rFonts w:hint="eastAsia" w:ascii="宋体" w:hAnsi="宋体" w:cs="宋体"/>
                <w:b w:val="0"/>
                <w:bCs w:val="0"/>
                <w:color w:val="auto"/>
                <w:kern w:val="0"/>
                <w:sz w:val="24"/>
                <w:szCs w:val="24"/>
                <w:u w:val="single"/>
                <w:lang w:val="en-US" w:eastAsia="zh-CN"/>
              </w:rPr>
              <w:t xml:space="preserve"> 75 </w:t>
            </w:r>
            <w:r>
              <w:rPr>
                <w:rFonts w:hint="eastAsia" w:ascii="宋体" w:hAnsi="宋体" w:cs="宋体"/>
                <w:b w:val="0"/>
                <w:bCs w:val="0"/>
                <w:color w:val="auto"/>
                <w:kern w:val="0"/>
                <w:sz w:val="24"/>
                <w:szCs w:val="24"/>
                <w:u w:val="none"/>
                <w:lang w:val="en-US" w:eastAsia="zh-CN"/>
              </w:rPr>
              <w:t>万</w:t>
            </w:r>
            <w:r>
              <w:rPr>
                <w:rFonts w:hint="eastAsia" w:ascii="宋体" w:hAnsi="宋体" w:cs="宋体"/>
                <w:b w:val="0"/>
                <w:bCs w:val="0"/>
                <w:color w:val="auto"/>
                <w:kern w:val="0"/>
                <w:sz w:val="24"/>
                <w:szCs w:val="24"/>
                <w:lang w:val="en-US" w:eastAsia="zh-CN"/>
              </w:rPr>
              <w:t>元每年，</w:t>
            </w:r>
            <w:r>
              <w:rPr>
                <w:rFonts w:hint="eastAsia" w:ascii="宋体" w:hAnsi="宋体" w:eastAsia="宋体" w:cs="宋体"/>
                <w:b w:val="0"/>
                <w:bCs w:val="0"/>
                <w:color w:val="auto"/>
                <w:kern w:val="0"/>
                <w:sz w:val="24"/>
                <w:szCs w:val="24"/>
                <w:lang w:val="en-US" w:eastAsia="zh-CN"/>
              </w:rPr>
              <w:t>项目概况：平利县中医医院辖区内的卫生保洁服务； 简要技术要求、用途：自用，技术要求详见磋商文件“采购内容及要求”</w:t>
            </w:r>
            <w:r>
              <w:rPr>
                <w:rFonts w:hint="eastAsia" w:ascii="宋体" w:hAnsi="宋体" w:cs="宋体"/>
                <w:b w:val="0"/>
                <w:bCs w:val="0"/>
                <w:color w:val="auto"/>
                <w:kern w:val="0"/>
                <w:sz w:val="24"/>
                <w:szCs w:val="24"/>
                <w:lang w:val="en-US" w:eastAsia="zh-CN"/>
              </w:rPr>
              <w:t>。</w:t>
            </w:r>
          </w:p>
        </w:tc>
      </w:tr>
      <w:tr w14:paraId="4CFDFF59">
        <w:tblPrEx>
          <w:tblCellMar>
            <w:top w:w="147" w:type="dxa"/>
            <w:left w:w="108" w:type="dxa"/>
            <w:bottom w:w="56" w:type="dxa"/>
            <w:right w:w="0" w:type="dxa"/>
          </w:tblCellMar>
        </w:tblPrEx>
        <w:trPr>
          <w:trHeight w:val="510" w:hRule="exact"/>
          <w:jc w:val="center"/>
        </w:trPr>
        <w:tc>
          <w:tcPr>
            <w:tcW w:w="704" w:type="dxa"/>
            <w:tcBorders>
              <w:top w:val="single" w:color="000000" w:sz="4" w:space="0"/>
              <w:left w:val="single" w:color="000000" w:sz="4" w:space="0"/>
              <w:bottom w:val="single" w:color="000000" w:sz="4" w:space="0"/>
              <w:right w:val="single" w:color="000000" w:sz="4" w:space="0"/>
            </w:tcBorders>
          </w:tcPr>
          <w:p w14:paraId="2430641F">
            <w:pPr>
              <w:pStyle w:val="103"/>
              <w:numPr>
                <w:ilvl w:val="0"/>
                <w:numId w:val="4"/>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tcPr>
          <w:p w14:paraId="5D543C9A">
            <w:pPr>
              <w:spacing w:line="259" w:lineRule="auto"/>
              <w:ind w:right="111"/>
              <w:jc w:val="center"/>
              <w:rPr>
                <w:rFonts w:asciiTheme="minorEastAsia" w:hAnsiTheme="minorEastAsia" w:eastAsiaTheme="minorEastAsia"/>
                <w:sz w:val="24"/>
                <w:szCs w:val="24"/>
              </w:rPr>
            </w:pPr>
            <w:r>
              <w:rPr>
                <w:rFonts w:asciiTheme="minorEastAsia" w:hAnsiTheme="minorEastAsia" w:eastAsiaTheme="minorEastAsia"/>
                <w:sz w:val="24"/>
                <w:szCs w:val="24"/>
              </w:rPr>
              <w:t>预算金额</w:t>
            </w:r>
          </w:p>
        </w:tc>
        <w:tc>
          <w:tcPr>
            <w:tcW w:w="7411" w:type="dxa"/>
            <w:tcBorders>
              <w:top w:val="single" w:color="000000" w:sz="4" w:space="0"/>
              <w:left w:val="single" w:color="000000" w:sz="4" w:space="0"/>
              <w:bottom w:val="single" w:color="000000" w:sz="4" w:space="0"/>
              <w:right w:val="single" w:color="000000" w:sz="4" w:space="0"/>
            </w:tcBorders>
          </w:tcPr>
          <w:p w14:paraId="4727E0F5">
            <w:pPr>
              <w:spacing w:line="259" w:lineRule="auto"/>
              <w:rPr>
                <w:rFonts w:hint="default" w:asciiTheme="minorEastAsia" w:hAnsiTheme="minorEastAsia" w:eastAsiaTheme="minorEastAsia"/>
                <w:sz w:val="24"/>
                <w:szCs w:val="24"/>
                <w:highlight w:val="red"/>
                <w:lang w:val="en-US"/>
              </w:rPr>
            </w:pPr>
            <w:r>
              <w:rPr>
                <w:rFonts w:hint="eastAsia" w:ascii="宋体" w:hAnsi="宋体" w:cs="宋体"/>
                <w:kern w:val="0"/>
                <w:sz w:val="24"/>
                <w:szCs w:val="24"/>
                <w:lang w:val="en-US" w:eastAsia="zh-CN"/>
              </w:rPr>
              <w:t>75万元/年</w:t>
            </w:r>
          </w:p>
        </w:tc>
      </w:tr>
      <w:tr w14:paraId="68FE1902">
        <w:tblPrEx>
          <w:tblCellMar>
            <w:top w:w="147" w:type="dxa"/>
            <w:left w:w="108" w:type="dxa"/>
            <w:bottom w:w="56" w:type="dxa"/>
            <w:right w:w="0" w:type="dxa"/>
          </w:tblCellMar>
        </w:tblPrEx>
        <w:trPr>
          <w:trHeight w:val="1066"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EEF4415">
            <w:pPr>
              <w:pStyle w:val="103"/>
              <w:numPr>
                <w:ilvl w:val="0"/>
                <w:numId w:val="4"/>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6884B598">
            <w:pPr>
              <w:spacing w:line="259" w:lineRule="auto"/>
              <w:ind w:right="111"/>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合同履行期限</w:t>
            </w:r>
          </w:p>
        </w:tc>
        <w:tc>
          <w:tcPr>
            <w:tcW w:w="7411" w:type="dxa"/>
            <w:tcBorders>
              <w:top w:val="single" w:color="000000" w:sz="4" w:space="0"/>
              <w:left w:val="single" w:color="000000" w:sz="4" w:space="0"/>
              <w:bottom w:val="single" w:color="000000" w:sz="4" w:space="0"/>
              <w:right w:val="single" w:color="000000" w:sz="4" w:space="0"/>
            </w:tcBorders>
            <w:vAlign w:val="center"/>
          </w:tcPr>
          <w:p w14:paraId="6778B590">
            <w:pPr>
              <w:pStyle w:val="64"/>
              <w:keepNext w:val="0"/>
              <w:keepLines w:val="0"/>
              <w:pageBreakBefore w:val="0"/>
              <w:kinsoku/>
              <w:wordWrap/>
              <w:overflowPunct/>
              <w:topLinePunct w:val="0"/>
              <w:autoSpaceDE/>
              <w:autoSpaceDN/>
              <w:bidi w:val="0"/>
              <w:adjustRightInd/>
              <w:spacing w:line="440" w:lineRule="exact"/>
              <w:textAlignment w:val="auto"/>
              <w:outlineLvl w:val="9"/>
              <w:rPr>
                <w:rFonts w:hint="default" w:ascii="宋体" w:hAnsi="宋体" w:cs="宋体"/>
                <w:b w:val="0"/>
                <w:bCs w:val="0"/>
                <w:color w:val="FF0000"/>
                <w:kern w:val="0"/>
                <w:sz w:val="24"/>
                <w:szCs w:val="24"/>
                <w:lang w:val="en-US" w:eastAsia="zh-CN"/>
              </w:rPr>
            </w:pPr>
            <w:r>
              <w:rPr>
                <w:rFonts w:hint="eastAsia" w:ascii="宋体" w:hAnsi="宋体" w:cs="宋体"/>
                <w:b w:val="0"/>
                <w:bCs w:val="0"/>
                <w:color w:val="auto"/>
                <w:kern w:val="0"/>
                <w:sz w:val="24"/>
                <w:szCs w:val="24"/>
                <w:lang w:val="en-US" w:eastAsia="zh-CN"/>
              </w:rPr>
              <w:t>本次采购1年，本次采购服务期限满后，若服务质量及考核标准满足采购方要求，则可续签下一年度合同，最长可续签两年。</w:t>
            </w:r>
          </w:p>
          <w:p w14:paraId="04ECF818">
            <w:pPr>
              <w:keepNext w:val="0"/>
              <w:keepLines w:val="0"/>
              <w:pageBreakBefore w:val="0"/>
              <w:widowControl w:val="0"/>
              <w:kinsoku/>
              <w:wordWrap/>
              <w:overflowPunct/>
              <w:topLinePunct w:val="0"/>
              <w:autoSpaceDE/>
              <w:autoSpaceDN/>
              <w:bidi w:val="0"/>
              <w:adjustRightInd w:val="0"/>
              <w:snapToGrid w:val="0"/>
              <w:spacing w:line="360" w:lineRule="auto"/>
              <w:ind w:right="113"/>
              <w:jc w:val="both"/>
              <w:textAlignment w:val="auto"/>
              <w:rPr>
                <w:rFonts w:hint="default" w:ascii="宋体" w:hAnsi="宋体" w:eastAsia="宋体" w:cs="宋体"/>
                <w:kern w:val="0"/>
                <w:sz w:val="24"/>
                <w:szCs w:val="24"/>
                <w:lang w:val="en-US" w:eastAsia="zh-CN" w:bidi="ar-SA"/>
              </w:rPr>
            </w:pPr>
          </w:p>
        </w:tc>
      </w:tr>
      <w:tr w14:paraId="399D289F">
        <w:tblPrEx>
          <w:tblCellMar>
            <w:top w:w="147" w:type="dxa"/>
            <w:left w:w="108" w:type="dxa"/>
            <w:bottom w:w="56" w:type="dxa"/>
            <w:right w:w="0" w:type="dxa"/>
          </w:tblCellMar>
        </w:tblPrEx>
        <w:trPr>
          <w:trHeight w:val="557" w:hRule="exact"/>
          <w:jc w:val="center"/>
        </w:trPr>
        <w:tc>
          <w:tcPr>
            <w:tcW w:w="704" w:type="dxa"/>
            <w:tcBorders>
              <w:top w:val="single" w:color="000000" w:sz="4" w:space="0"/>
              <w:left w:val="single" w:color="000000" w:sz="4" w:space="0"/>
              <w:bottom w:val="single" w:color="000000" w:sz="4" w:space="0"/>
              <w:right w:val="single" w:color="000000" w:sz="4" w:space="0"/>
            </w:tcBorders>
          </w:tcPr>
          <w:p w14:paraId="3BE74D3D">
            <w:pPr>
              <w:pStyle w:val="103"/>
              <w:numPr>
                <w:ilvl w:val="0"/>
                <w:numId w:val="4"/>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tcPr>
          <w:p w14:paraId="28DABE5F">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资格审查方式</w:t>
            </w:r>
          </w:p>
        </w:tc>
        <w:tc>
          <w:tcPr>
            <w:tcW w:w="7411" w:type="dxa"/>
            <w:tcBorders>
              <w:top w:val="single" w:color="000000" w:sz="4" w:space="0"/>
              <w:left w:val="single" w:color="000000" w:sz="4" w:space="0"/>
              <w:bottom w:val="single" w:color="000000" w:sz="4" w:space="0"/>
              <w:right w:val="single" w:color="000000" w:sz="4" w:space="0"/>
            </w:tcBorders>
          </w:tcPr>
          <w:p w14:paraId="12674217">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rPr>
              <w:t>资格后审</w:t>
            </w:r>
          </w:p>
        </w:tc>
      </w:tr>
      <w:tr w14:paraId="33A0379C">
        <w:tblPrEx>
          <w:tblCellMar>
            <w:top w:w="147" w:type="dxa"/>
            <w:left w:w="108" w:type="dxa"/>
            <w:bottom w:w="56"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83ED61B">
            <w:pPr>
              <w:pStyle w:val="103"/>
              <w:numPr>
                <w:ilvl w:val="0"/>
                <w:numId w:val="4"/>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69B3E99E">
            <w:pPr>
              <w:spacing w:line="259" w:lineRule="auto"/>
              <w:ind w:right="29"/>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投标人资质要求</w:t>
            </w:r>
          </w:p>
        </w:tc>
        <w:tc>
          <w:tcPr>
            <w:tcW w:w="7411" w:type="dxa"/>
            <w:tcBorders>
              <w:top w:val="single" w:color="000000" w:sz="4" w:space="0"/>
              <w:left w:val="single" w:color="000000" w:sz="4" w:space="0"/>
              <w:bottom w:val="single" w:color="000000" w:sz="4" w:space="0"/>
              <w:right w:val="single" w:color="000000" w:sz="4" w:space="0"/>
            </w:tcBorders>
          </w:tcPr>
          <w:p w14:paraId="79CD4D5E">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1.具有独立承担民事责任能力的法人、非法人组织或自然人，提供合法有效的营业执照/事业单位法人证书/专业服务机构执业许可证/民办非企业单位登记证书等相关证明，自然人参与</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地提供</w:t>
            </w:r>
            <w:r>
              <w:rPr>
                <w:rFonts w:hint="eastAsia" w:cs="宋体" w:asciiTheme="minorEastAsia" w:hAnsiTheme="minorEastAsia" w:eastAsiaTheme="minorEastAsia"/>
                <w:color w:val="000000" w:themeColor="text1"/>
                <w:kern w:val="0"/>
                <w:sz w:val="24"/>
                <w:szCs w:val="24"/>
                <w14:textFill>
                  <w14:solidFill>
                    <w14:schemeClr w14:val="tx1"/>
                  </w14:solidFill>
                </w14:textFill>
              </w:rPr>
              <w:t>其身份证明。</w:t>
            </w:r>
          </w:p>
          <w:p w14:paraId="3F8D2751">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2.法定代表人授权书及被授权人身份证。（法定代表人直接投标只需提交其身份证明资料）</w:t>
            </w:r>
          </w:p>
          <w:p w14:paraId="267588A2">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www.ccgp.gov.cn） 查询结果为准（响应文件中提供查询结果网页截图并加盖投标人公章，查询日期为从磋商文件发售之日起至投标截止日前，评标现场通过网站对信用记录进行核实）。</w:t>
            </w:r>
          </w:p>
          <w:p w14:paraId="10480D6B">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4.书面声明：投标人必须提供参加政府采购活动前3年内在经营活动中没有重大违法记录的书面声明。</w:t>
            </w:r>
          </w:p>
          <w:p w14:paraId="0831185E">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5.财务状况报告：提供2023年度经审计的财务审计报告或投标截止时间前六个月内基本开户银行出具的资信证明（成立时间至提交响应文件截止时间不足一年的可提供成立后任意时段的资产负债表）。</w:t>
            </w:r>
          </w:p>
          <w:p w14:paraId="1A4DC733">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6.税收缴纳证明：提供2024年1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2FAA4205">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7.社会保障资金缴纳证明：提供2024年1月至今任意三个月社会保障资金缴存单据或社保机构开具的社会保险参保缴费情况证明，依法不需要缴纳</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社会保险</w:t>
            </w:r>
            <w:r>
              <w:rPr>
                <w:rFonts w:hint="eastAsia" w:cs="宋体" w:asciiTheme="minorEastAsia" w:hAnsiTheme="minorEastAsia" w:eastAsiaTheme="minorEastAsia"/>
                <w:color w:val="000000" w:themeColor="text1"/>
                <w:kern w:val="0"/>
                <w:sz w:val="24"/>
                <w:szCs w:val="24"/>
                <w14:textFill>
                  <w14:solidFill>
                    <w14:schemeClr w14:val="tx1"/>
                  </w14:solidFill>
                </w14:textFill>
              </w:rPr>
              <w:t>资金的单位应提供相关证明材料，单据或证明上应有社保机构或代收机构的印章（成立时间至提交响应文件截止时间不足三个月的可不提供）。</w:t>
            </w:r>
          </w:p>
          <w:p w14:paraId="5D2B5102">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8.本项目专门面向中小企业采购，投标人须提供《中小企业声明函》。</w:t>
            </w:r>
          </w:p>
        </w:tc>
      </w:tr>
      <w:tr w14:paraId="21DAEF4C">
        <w:tblPrEx>
          <w:tblCellMar>
            <w:top w:w="147" w:type="dxa"/>
            <w:left w:w="108" w:type="dxa"/>
            <w:bottom w:w="56" w:type="dxa"/>
            <w:right w:w="0" w:type="dxa"/>
          </w:tblCellMar>
        </w:tblPrEx>
        <w:trPr>
          <w:trHeight w:val="36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4383058">
            <w:pPr>
              <w:pStyle w:val="103"/>
              <w:numPr>
                <w:ilvl w:val="0"/>
                <w:numId w:val="4"/>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tcPr>
          <w:p w14:paraId="3A50CCCF">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是否接受联合体</w:t>
            </w:r>
          </w:p>
          <w:p w14:paraId="0BA52560">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投标</w:t>
            </w:r>
          </w:p>
        </w:tc>
        <w:tc>
          <w:tcPr>
            <w:tcW w:w="7411" w:type="dxa"/>
            <w:tcBorders>
              <w:top w:val="single" w:color="000000" w:sz="4" w:space="0"/>
              <w:left w:val="single" w:color="000000" w:sz="4" w:space="0"/>
              <w:bottom w:val="single" w:color="000000" w:sz="4" w:space="0"/>
              <w:right w:val="single" w:color="000000" w:sz="4" w:space="0"/>
            </w:tcBorders>
            <w:vAlign w:val="center"/>
          </w:tcPr>
          <w:p w14:paraId="3C27CB36">
            <w:pPr>
              <w:spacing w:line="259"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不接受联合体磋商。</w:t>
            </w:r>
          </w:p>
        </w:tc>
      </w:tr>
      <w:tr w14:paraId="10C9A13B">
        <w:tblPrEx>
          <w:tblCellMar>
            <w:top w:w="147" w:type="dxa"/>
            <w:left w:w="108" w:type="dxa"/>
            <w:bottom w:w="56" w:type="dxa"/>
            <w:right w:w="0" w:type="dxa"/>
          </w:tblCellMar>
        </w:tblPrEx>
        <w:trPr>
          <w:trHeight w:val="46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D4D6D86">
            <w:pPr>
              <w:pStyle w:val="103"/>
              <w:numPr>
                <w:ilvl w:val="0"/>
                <w:numId w:val="4"/>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72CFBE14">
            <w:pPr>
              <w:spacing w:line="259" w:lineRule="auto"/>
              <w:ind w:right="111"/>
              <w:jc w:val="center"/>
              <w:rPr>
                <w:rFonts w:asciiTheme="minorEastAsia" w:hAnsiTheme="minorEastAsia" w:eastAsiaTheme="minorEastAsia"/>
                <w:sz w:val="24"/>
                <w:szCs w:val="24"/>
              </w:rPr>
            </w:pPr>
            <w:r>
              <w:rPr>
                <w:rFonts w:asciiTheme="minorEastAsia" w:hAnsiTheme="minorEastAsia" w:eastAsiaTheme="minorEastAsia"/>
                <w:sz w:val="24"/>
                <w:szCs w:val="24"/>
              </w:rPr>
              <w:t>现场踏勘</w:t>
            </w:r>
          </w:p>
        </w:tc>
        <w:tc>
          <w:tcPr>
            <w:tcW w:w="7411" w:type="dxa"/>
            <w:tcBorders>
              <w:top w:val="single" w:color="000000" w:sz="4" w:space="0"/>
              <w:left w:val="single" w:color="000000" w:sz="4" w:space="0"/>
              <w:bottom w:val="single" w:color="000000" w:sz="4" w:space="0"/>
              <w:right w:val="single" w:color="000000" w:sz="4" w:space="0"/>
            </w:tcBorders>
          </w:tcPr>
          <w:p w14:paraId="02AFEF18">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自行勘察，未勘察现场造成的一切后果由投标人自行承担。（一切费用自理）。 </w:t>
            </w:r>
          </w:p>
        </w:tc>
      </w:tr>
      <w:tr w14:paraId="60A96675">
        <w:tblPrEx>
          <w:tblCellMar>
            <w:top w:w="147" w:type="dxa"/>
            <w:left w:w="108" w:type="dxa"/>
            <w:bottom w:w="56" w:type="dxa"/>
            <w:right w:w="0" w:type="dxa"/>
          </w:tblCellMar>
        </w:tblPrEx>
        <w:trPr>
          <w:trHeight w:val="53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F5F2786">
            <w:pPr>
              <w:pStyle w:val="103"/>
              <w:numPr>
                <w:ilvl w:val="0"/>
                <w:numId w:val="4"/>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56E7AAFC">
            <w:pPr>
              <w:spacing w:line="259"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磋商时间和地点</w:t>
            </w:r>
          </w:p>
        </w:tc>
        <w:tc>
          <w:tcPr>
            <w:tcW w:w="7411" w:type="dxa"/>
            <w:tcBorders>
              <w:top w:val="single" w:color="000000" w:sz="4" w:space="0"/>
              <w:left w:val="single" w:color="000000" w:sz="4" w:space="0"/>
              <w:bottom w:val="single" w:color="000000" w:sz="4" w:space="0"/>
              <w:right w:val="single" w:color="000000" w:sz="4" w:space="0"/>
            </w:tcBorders>
          </w:tcPr>
          <w:p w14:paraId="077B36BB">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磋商时间：</w:t>
            </w:r>
            <w:r>
              <w:rPr>
                <w:rFonts w:hint="eastAsia" w:ascii="宋体" w:hAnsi="宋体" w:cs="宋体"/>
                <w:color w:val="auto"/>
                <w:kern w:val="0"/>
                <w:sz w:val="24"/>
                <w:szCs w:val="24"/>
                <w:lang w:val="en-US" w:eastAsia="zh-CN"/>
              </w:rPr>
              <w:t>2024</w:t>
            </w:r>
            <w:r>
              <w:rPr>
                <w:rFonts w:hint="eastAsia" w:ascii="宋体" w:hAnsi="宋体" w:eastAsia="宋体" w:cs="宋体"/>
                <w:color w:val="auto"/>
                <w:kern w:val="0"/>
                <w:sz w:val="24"/>
                <w:szCs w:val="24"/>
                <w:lang w:val="en-US" w:eastAsia="zh-CN"/>
              </w:rPr>
              <w:t>年</w:t>
            </w: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14:00时</w:t>
            </w:r>
            <w:r>
              <w:rPr>
                <w:rFonts w:hint="eastAsia"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 xml:space="preserve"> </w:t>
            </w:r>
          </w:p>
          <w:p w14:paraId="6A915B85">
            <w:pPr>
              <w:pStyle w:val="42"/>
              <w:shd w:val="clear" w:color="auto" w:fill="FFFFFF"/>
              <w:spacing w:before="0" w:beforeAutospacing="0" w:after="0" w:afterAutospacing="0" w:line="440" w:lineRule="exact"/>
              <w:rPr>
                <w:rFonts w:hint="eastAsia" w:eastAsia="宋体" w:cs="宋体"/>
                <w:szCs w:val="24"/>
                <w:lang w:val="en-US" w:eastAsia="zh-CN"/>
              </w:rPr>
            </w:pPr>
            <w:r>
              <w:rPr>
                <w:rFonts w:asciiTheme="minorEastAsia" w:hAnsiTheme="minorEastAsia" w:eastAsiaTheme="minorEastAsia"/>
                <w:color w:val="auto"/>
                <w:sz w:val="24"/>
                <w:szCs w:val="24"/>
              </w:rPr>
              <w:t>磋商地点：</w:t>
            </w:r>
            <w:r>
              <w:rPr>
                <w:rFonts w:ascii="宋体" w:hAnsi="宋体" w:eastAsia="宋体" w:cs="宋体"/>
                <w:sz w:val="24"/>
                <w:szCs w:val="24"/>
              </w:rPr>
              <w:t>安康不见面开标大厅系统</w:t>
            </w:r>
          </w:p>
          <w:p w14:paraId="6812A73F">
            <w:pPr>
              <w:spacing w:line="259"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auto"/>
                <w:sz w:val="24"/>
                <w:szCs w:val="24"/>
                <w:highlight w:val="none"/>
                <w:lang w:val="en-US" w:eastAsia="zh-CN"/>
              </w:rPr>
              <w:t xml:space="preserve"> </w:t>
            </w:r>
            <w:r>
              <w:rPr>
                <w:rFonts w:asciiTheme="minorEastAsia" w:hAnsiTheme="minorEastAsia" w:eastAsiaTheme="minorEastAsia"/>
                <w:color w:val="000000" w:themeColor="text1"/>
                <w:sz w:val="24"/>
                <w:szCs w:val="24"/>
                <w14:textFill>
                  <w14:solidFill>
                    <w14:schemeClr w14:val="tx1"/>
                  </w14:solidFill>
                </w14:textFill>
              </w:rPr>
              <w:t>（如有变动，另行通知）</w:t>
            </w:r>
          </w:p>
        </w:tc>
      </w:tr>
      <w:tr w14:paraId="2BB8DFCA">
        <w:tblPrEx>
          <w:tblCellMar>
            <w:top w:w="147" w:type="dxa"/>
            <w:left w:w="108" w:type="dxa"/>
            <w:bottom w:w="56" w:type="dxa"/>
            <w:right w:w="0" w:type="dxa"/>
          </w:tblCellMar>
        </w:tblPrEx>
        <w:trPr>
          <w:trHeight w:val="64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4E39DF6">
            <w:pPr>
              <w:pStyle w:val="103"/>
              <w:numPr>
                <w:ilvl w:val="0"/>
                <w:numId w:val="4"/>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tcPr>
          <w:p w14:paraId="7D2CFFAA">
            <w:pPr>
              <w:spacing w:line="259"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磋商响应文件递交截止时间</w:t>
            </w:r>
            <w:r>
              <w:rPr>
                <w:rFonts w:hint="eastAsia" w:asciiTheme="minorEastAsia" w:hAnsiTheme="minorEastAsia" w:eastAsiaTheme="minorEastAsia"/>
                <w:color w:val="000000" w:themeColor="text1"/>
                <w:sz w:val="24"/>
                <w:szCs w:val="24"/>
                <w14:textFill>
                  <w14:solidFill>
                    <w14:schemeClr w14:val="tx1"/>
                  </w14:solidFill>
                </w14:textFill>
              </w:rPr>
              <w:t>地点</w:t>
            </w:r>
          </w:p>
        </w:tc>
        <w:tc>
          <w:tcPr>
            <w:tcW w:w="7411" w:type="dxa"/>
            <w:tcBorders>
              <w:top w:val="single" w:color="000000" w:sz="4" w:space="0"/>
              <w:left w:val="single" w:color="000000" w:sz="4" w:space="0"/>
              <w:bottom w:val="single" w:color="000000" w:sz="4" w:space="0"/>
              <w:right w:val="single" w:color="000000" w:sz="4" w:space="0"/>
            </w:tcBorders>
            <w:vAlign w:val="center"/>
          </w:tcPr>
          <w:p w14:paraId="4988D46A">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递交</w:t>
            </w:r>
            <w:r>
              <w:rPr>
                <w:rFonts w:asciiTheme="minorEastAsia" w:hAnsiTheme="minorEastAsia" w:eastAsiaTheme="minorEastAsia"/>
                <w:color w:val="auto"/>
                <w:sz w:val="24"/>
                <w:szCs w:val="24"/>
              </w:rPr>
              <w:t>截止时间：</w:t>
            </w:r>
            <w:r>
              <w:rPr>
                <w:rFonts w:hint="eastAsia" w:ascii="宋体" w:hAnsi="宋体" w:cs="宋体"/>
                <w:color w:val="auto"/>
                <w:kern w:val="0"/>
                <w:sz w:val="24"/>
                <w:szCs w:val="24"/>
                <w:lang w:val="en-US" w:eastAsia="zh-CN"/>
              </w:rPr>
              <w:t>2024</w:t>
            </w:r>
            <w:r>
              <w:rPr>
                <w:rFonts w:hint="eastAsia" w:ascii="宋体" w:hAnsi="宋体" w:eastAsia="宋体" w:cs="宋体"/>
                <w:color w:val="auto"/>
                <w:kern w:val="0"/>
                <w:sz w:val="24"/>
                <w:szCs w:val="24"/>
                <w:lang w:val="en-US" w:eastAsia="zh-CN"/>
              </w:rPr>
              <w:t>年</w:t>
            </w: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14:00时</w:t>
            </w:r>
            <w:r>
              <w:rPr>
                <w:rFonts w:hint="eastAsia" w:ascii="宋体" w:hAnsi="宋体" w:cs="宋体"/>
                <w:color w:val="auto"/>
                <w:kern w:val="0"/>
                <w:sz w:val="24"/>
                <w:szCs w:val="28"/>
                <w:highlight w:val="none"/>
                <w:lang w:val="en-US" w:eastAsia="zh-CN"/>
              </w:rPr>
              <w:t>止</w:t>
            </w:r>
            <w:r>
              <w:rPr>
                <w:rFonts w:asciiTheme="minorEastAsia" w:hAnsiTheme="minorEastAsia" w:eastAsiaTheme="minorEastAsia"/>
                <w:color w:val="auto"/>
                <w:sz w:val="24"/>
                <w:szCs w:val="24"/>
              </w:rPr>
              <w:t xml:space="preserve"> </w:t>
            </w:r>
          </w:p>
          <w:p w14:paraId="066D316E">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40" w:lineRule="exact"/>
              <w:ind w:left="0"/>
              <w:jc w:val="left"/>
              <w:textAlignment w:val="auto"/>
              <w:outlineLvl w:val="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auto"/>
                <w:sz w:val="24"/>
                <w:szCs w:val="24"/>
              </w:rPr>
              <w:t>递交</w:t>
            </w:r>
            <w:r>
              <w:rPr>
                <w:rFonts w:asciiTheme="minorEastAsia" w:hAnsiTheme="minorEastAsia" w:eastAsiaTheme="minorEastAsia"/>
                <w:color w:val="auto"/>
                <w:sz w:val="24"/>
                <w:szCs w:val="24"/>
              </w:rPr>
              <w:t>地点</w:t>
            </w:r>
            <w:r>
              <w:rPr>
                <w:rFonts w:asciiTheme="minorEastAsia" w:hAnsiTheme="minorEastAsia" w:eastAsiaTheme="minorEastAsia"/>
                <w:color w:val="auto"/>
                <w:sz w:val="24"/>
                <w:szCs w:val="24"/>
                <w:highlight w:val="none"/>
              </w:rPr>
              <w:t>：</w:t>
            </w:r>
            <w:r>
              <w:rPr>
                <w:rFonts w:hint="eastAsia" w:ascii="宋体" w:hAnsi="宋体" w:eastAsia="宋体" w:cs="宋体"/>
                <w:color w:val="auto"/>
                <w:kern w:val="0"/>
                <w:sz w:val="24"/>
                <w:szCs w:val="24"/>
              </w:rPr>
              <w:t>全国公共资源交易中心平台（陕西省 安康市）</w:t>
            </w:r>
            <w:r>
              <w:rPr>
                <w:rFonts w:hint="eastAsia" w:ascii="宋体" w:hAnsi="宋体" w:eastAsia="宋体" w:cs="宋体"/>
                <w:color w:val="auto"/>
                <w:kern w:val="0"/>
                <w:sz w:val="24"/>
                <w:szCs w:val="24"/>
                <w:lang w:val="en-US" w:eastAsia="zh-CN" w:bidi="ar-SA"/>
              </w:rPr>
              <w:t xml:space="preserve"> </w:t>
            </w:r>
          </w:p>
        </w:tc>
      </w:tr>
      <w:tr w14:paraId="4D821FFE">
        <w:tblPrEx>
          <w:tblCellMar>
            <w:top w:w="147" w:type="dxa"/>
            <w:left w:w="108" w:type="dxa"/>
            <w:bottom w:w="56" w:type="dxa"/>
            <w:right w:w="0" w:type="dxa"/>
          </w:tblCellMar>
        </w:tblPrEx>
        <w:trPr>
          <w:trHeight w:val="262"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4BA5494A">
            <w:pPr>
              <w:pStyle w:val="103"/>
              <w:numPr>
                <w:ilvl w:val="0"/>
                <w:numId w:val="4"/>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tcPr>
          <w:p w14:paraId="542F3EBF">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响应有效期</w:t>
            </w:r>
          </w:p>
        </w:tc>
        <w:tc>
          <w:tcPr>
            <w:tcW w:w="7411" w:type="dxa"/>
            <w:tcBorders>
              <w:top w:val="single" w:color="000000" w:sz="4" w:space="0"/>
              <w:left w:val="single" w:color="000000" w:sz="4" w:space="0"/>
              <w:bottom w:val="single" w:color="000000" w:sz="4" w:space="0"/>
              <w:right w:val="single" w:color="000000" w:sz="4" w:space="0"/>
            </w:tcBorders>
          </w:tcPr>
          <w:p w14:paraId="7390BF8A">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u w:val="single" w:color="000000"/>
              </w:rPr>
              <w:t>90</w:t>
            </w:r>
            <w:r>
              <w:rPr>
                <w:rFonts w:asciiTheme="minorEastAsia" w:hAnsiTheme="minorEastAsia" w:eastAsiaTheme="minorEastAsia"/>
                <w:sz w:val="24"/>
                <w:szCs w:val="24"/>
              </w:rPr>
              <w:t xml:space="preserve">日历天（从提交响应文件日起计算） </w:t>
            </w:r>
          </w:p>
        </w:tc>
      </w:tr>
      <w:tr w14:paraId="7FF5F0A9">
        <w:tblPrEx>
          <w:tblCellMar>
            <w:top w:w="147" w:type="dxa"/>
            <w:left w:w="108" w:type="dxa"/>
            <w:bottom w:w="56" w:type="dxa"/>
            <w:right w:w="0" w:type="dxa"/>
          </w:tblCellMar>
        </w:tblPrEx>
        <w:trPr>
          <w:trHeight w:val="12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CC7ABD1">
            <w:pPr>
              <w:pStyle w:val="103"/>
              <w:numPr>
                <w:ilvl w:val="0"/>
                <w:numId w:val="4"/>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62539142">
            <w:pPr>
              <w:spacing w:line="259" w:lineRule="auto"/>
              <w:ind w:right="111"/>
              <w:jc w:val="center"/>
              <w:rPr>
                <w:rFonts w:asciiTheme="minorEastAsia" w:hAnsiTheme="minorEastAsia" w:eastAsiaTheme="minorEastAsia"/>
                <w:sz w:val="24"/>
                <w:szCs w:val="24"/>
              </w:rPr>
            </w:pPr>
            <w:r>
              <w:rPr>
                <w:rFonts w:asciiTheme="minorEastAsia" w:hAnsiTheme="minorEastAsia" w:eastAsiaTheme="minorEastAsia"/>
                <w:sz w:val="24"/>
                <w:szCs w:val="24"/>
              </w:rPr>
              <w:t>评分办法</w:t>
            </w:r>
          </w:p>
        </w:tc>
        <w:tc>
          <w:tcPr>
            <w:tcW w:w="7411" w:type="dxa"/>
            <w:tcBorders>
              <w:top w:val="single" w:color="000000" w:sz="4" w:space="0"/>
              <w:left w:val="single" w:color="000000" w:sz="4" w:space="0"/>
              <w:bottom w:val="single" w:color="000000" w:sz="4" w:space="0"/>
              <w:right w:val="single" w:color="000000" w:sz="4" w:space="0"/>
            </w:tcBorders>
          </w:tcPr>
          <w:p w14:paraId="5978C645">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综合评分法 </w:t>
            </w:r>
          </w:p>
        </w:tc>
      </w:tr>
      <w:tr w14:paraId="4F660267">
        <w:tblPrEx>
          <w:tblCellMar>
            <w:top w:w="147" w:type="dxa"/>
            <w:left w:w="108" w:type="dxa"/>
            <w:bottom w:w="56" w:type="dxa"/>
            <w:right w:w="0" w:type="dxa"/>
          </w:tblCellMar>
        </w:tblPrEx>
        <w:trPr>
          <w:trHeight w:val="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FC186C2">
            <w:pPr>
              <w:pStyle w:val="103"/>
              <w:numPr>
                <w:ilvl w:val="0"/>
                <w:numId w:val="4"/>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37BA9882">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磋商小组构成</w:t>
            </w:r>
          </w:p>
        </w:tc>
        <w:tc>
          <w:tcPr>
            <w:tcW w:w="7411" w:type="dxa"/>
            <w:tcBorders>
              <w:top w:val="single" w:color="000000" w:sz="4" w:space="0"/>
              <w:left w:val="single" w:color="000000" w:sz="4" w:space="0"/>
              <w:bottom w:val="single" w:color="000000" w:sz="4" w:space="0"/>
              <w:right w:val="single" w:color="000000" w:sz="4" w:space="0"/>
            </w:tcBorders>
          </w:tcPr>
          <w:p w14:paraId="68772E63">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rPr>
              <w:t>根据《中华人民共和国政府采购法</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rPr>
              <w:t>中华人民共和国</w:t>
            </w:r>
            <w:r>
              <w:rPr>
                <w:rFonts w:hint="eastAsia" w:asciiTheme="minorEastAsia" w:hAnsiTheme="minorEastAsia" w:eastAsiaTheme="minorEastAsia"/>
                <w:sz w:val="24"/>
                <w:szCs w:val="24"/>
                <w:lang w:val="en-US" w:eastAsia="zh-CN"/>
              </w:rPr>
              <w:t>政府采购法实施条例</w:t>
            </w:r>
            <w:r>
              <w:rPr>
                <w:rFonts w:asciiTheme="minorEastAsia" w:hAnsiTheme="minorEastAsia" w:eastAsiaTheme="minorEastAsia"/>
                <w:sz w:val="24"/>
                <w:szCs w:val="24"/>
              </w:rPr>
              <w:t>》等有关法律规定组建磋商小组。</w:t>
            </w:r>
            <w:r>
              <w:rPr>
                <w:rFonts w:cs="Times New Roman" w:asciiTheme="minorEastAsia" w:hAnsiTheme="minorEastAsia" w:eastAsiaTheme="minorEastAsia"/>
                <w:sz w:val="24"/>
                <w:szCs w:val="24"/>
              </w:rPr>
              <w:t xml:space="preserve"> </w:t>
            </w:r>
          </w:p>
        </w:tc>
      </w:tr>
      <w:tr w14:paraId="785F11EB">
        <w:tblPrEx>
          <w:tblCellMar>
            <w:top w:w="147" w:type="dxa"/>
            <w:left w:w="108" w:type="dxa"/>
            <w:bottom w:w="56" w:type="dxa"/>
            <w:right w:w="0" w:type="dxa"/>
          </w:tblCellMar>
        </w:tblPrEx>
        <w:trPr>
          <w:trHeight w:val="32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780C2C8">
            <w:pPr>
              <w:pStyle w:val="103"/>
              <w:numPr>
                <w:ilvl w:val="0"/>
                <w:numId w:val="4"/>
              </w:numPr>
              <w:spacing w:line="259" w:lineRule="auto"/>
              <w:ind w:firstLineChars="0"/>
              <w:jc w:val="center"/>
              <w:rPr>
                <w:rFonts w:cs="Calibri" w:asciiTheme="minorEastAsia" w:hAnsiTheme="minorEastAsia" w:eastAsiaTheme="minorEastAsia"/>
                <w:kern w:val="2"/>
                <w:sz w:val="24"/>
                <w:szCs w:val="24"/>
                <w:lang w:val="en-US" w:eastAsia="zh-CN" w:bidi="ar-SA"/>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6D2E5B77">
            <w:pPr>
              <w:spacing w:line="259" w:lineRule="auto"/>
              <w:ind w:firstLine="480" w:firstLineChars="200"/>
              <w:rPr>
                <w:rFonts w:asciiTheme="minorEastAsia" w:hAnsiTheme="minorEastAsia" w:eastAsiaTheme="minorEastAsia"/>
                <w:color w:val="FF0000"/>
                <w:sz w:val="24"/>
                <w:szCs w:val="24"/>
                <w:lang w:val="en-US" w:eastAsia="zh-CN"/>
              </w:rPr>
            </w:pPr>
            <w:r>
              <w:rPr>
                <w:rFonts w:hint="eastAsia" w:asciiTheme="minorEastAsia" w:hAnsiTheme="minorEastAsia" w:eastAsiaTheme="minorEastAsia"/>
                <w:color w:val="auto"/>
                <w:sz w:val="24"/>
                <w:szCs w:val="24"/>
                <w:lang w:val="en-US" w:eastAsia="zh-CN"/>
              </w:rPr>
              <w:t>付款方式</w:t>
            </w:r>
          </w:p>
        </w:tc>
        <w:tc>
          <w:tcPr>
            <w:tcW w:w="7411" w:type="dxa"/>
            <w:tcBorders>
              <w:top w:val="single" w:color="000000" w:sz="4" w:space="0"/>
              <w:left w:val="single" w:color="000000" w:sz="4" w:space="0"/>
              <w:bottom w:val="single" w:color="000000" w:sz="4" w:space="0"/>
              <w:right w:val="single" w:color="000000" w:sz="4" w:space="0"/>
            </w:tcBorders>
            <w:vAlign w:val="center"/>
          </w:tcPr>
          <w:p w14:paraId="291A6525">
            <w:pPr>
              <w:keepNext w:val="0"/>
              <w:keepLines w:val="0"/>
              <w:pageBreakBefore w:val="0"/>
              <w:widowControl w:val="0"/>
              <w:kinsoku/>
              <w:wordWrap/>
              <w:overflowPunct/>
              <w:topLinePunct w:val="0"/>
              <w:bidi w:val="0"/>
              <w:spacing w:line="540" w:lineRule="exact"/>
              <w:ind w:firstLine="480" w:firstLineChars="200"/>
              <w:textAlignment w:val="auto"/>
              <w:outlineLvl w:val="9"/>
              <w:rPr>
                <w:rFonts w:hint="default"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以签订合同为准</w:t>
            </w:r>
          </w:p>
        </w:tc>
      </w:tr>
      <w:tr w14:paraId="241A9788">
        <w:tblPrEx>
          <w:tblCellMar>
            <w:top w:w="147" w:type="dxa"/>
            <w:left w:w="108" w:type="dxa"/>
            <w:bottom w:w="56" w:type="dxa"/>
            <w:right w:w="0" w:type="dxa"/>
          </w:tblCellMar>
        </w:tblPrEx>
        <w:trPr>
          <w:trHeight w:val="368"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0DBEC65D">
            <w:pPr>
              <w:pStyle w:val="103"/>
              <w:numPr>
                <w:ilvl w:val="0"/>
                <w:numId w:val="4"/>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tcPr>
          <w:p w14:paraId="71D830EA">
            <w:pPr>
              <w:spacing w:line="259" w:lineRule="auto"/>
              <w:ind w:right="109"/>
              <w:jc w:val="center"/>
              <w:rPr>
                <w:rFonts w:asciiTheme="minorEastAsia" w:hAnsiTheme="minorEastAsia" w:eastAsiaTheme="minorEastAsia"/>
                <w:sz w:val="24"/>
                <w:szCs w:val="24"/>
              </w:rPr>
            </w:pPr>
            <w:r>
              <w:rPr>
                <w:rFonts w:asciiTheme="minorEastAsia" w:hAnsiTheme="minorEastAsia" w:eastAsiaTheme="minorEastAsia"/>
                <w:sz w:val="24"/>
                <w:szCs w:val="24"/>
              </w:rPr>
              <w:t>答疑</w:t>
            </w:r>
          </w:p>
        </w:tc>
        <w:tc>
          <w:tcPr>
            <w:tcW w:w="7411" w:type="dxa"/>
            <w:tcBorders>
              <w:top w:val="single" w:color="000000" w:sz="4" w:space="0"/>
              <w:left w:val="single" w:color="000000" w:sz="4" w:space="0"/>
              <w:bottom w:val="single" w:color="000000" w:sz="4" w:space="0"/>
              <w:right w:val="single" w:color="000000" w:sz="4" w:space="0"/>
            </w:tcBorders>
          </w:tcPr>
          <w:p w14:paraId="1280AEA9">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如有疑问，投标人需书面提出，经采购人收集问题后，统一答疑。 </w:t>
            </w:r>
          </w:p>
        </w:tc>
      </w:tr>
      <w:tr w14:paraId="64FC7D45">
        <w:tblPrEx>
          <w:tblCellMar>
            <w:top w:w="147" w:type="dxa"/>
            <w:left w:w="108" w:type="dxa"/>
            <w:bottom w:w="56" w:type="dxa"/>
            <w:right w:w="0" w:type="dxa"/>
          </w:tblCellMar>
        </w:tblPrEx>
        <w:trPr>
          <w:trHeight w:val="36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129B818">
            <w:pPr>
              <w:pStyle w:val="103"/>
              <w:numPr>
                <w:ilvl w:val="0"/>
                <w:numId w:val="4"/>
              </w:numPr>
              <w:spacing w:line="259" w:lineRule="auto"/>
              <w:ind w:firstLineChars="0"/>
              <w:jc w:val="center"/>
              <w:rPr>
                <w:rFonts w:asciiTheme="minorEastAsia" w:hAnsiTheme="minorEastAsia" w:eastAsiaTheme="minorEastAsia"/>
                <w:sz w:val="24"/>
                <w:szCs w:val="24"/>
              </w:rPr>
            </w:pPr>
            <w:bookmarkStart w:id="29" w:name="_Toc19543335"/>
            <w:bookmarkStart w:id="30" w:name="_Toc21495"/>
            <w:bookmarkStart w:id="31" w:name="_Toc536429318"/>
            <w:bookmarkStart w:id="32" w:name="_Toc19272"/>
            <w:bookmarkStart w:id="33" w:name="_Toc536202284"/>
            <w:bookmarkStart w:id="34" w:name="_Toc536429371"/>
            <w:bookmarkStart w:id="35" w:name="_Toc536202378"/>
          </w:p>
        </w:tc>
        <w:tc>
          <w:tcPr>
            <w:tcW w:w="1769" w:type="dxa"/>
            <w:tcBorders>
              <w:top w:val="single" w:color="000000" w:sz="4" w:space="0"/>
              <w:left w:val="single" w:color="000000" w:sz="4" w:space="0"/>
              <w:bottom w:val="single" w:color="000000" w:sz="4" w:space="0"/>
              <w:right w:val="single" w:color="000000" w:sz="4" w:space="0"/>
            </w:tcBorders>
            <w:vAlign w:val="center"/>
          </w:tcPr>
          <w:p w14:paraId="57ABF9C1">
            <w:pPr>
              <w:spacing w:line="259" w:lineRule="auto"/>
              <w:ind w:right="-11"/>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中小企业划分说明</w:t>
            </w:r>
          </w:p>
        </w:tc>
        <w:tc>
          <w:tcPr>
            <w:tcW w:w="7411" w:type="dxa"/>
            <w:tcBorders>
              <w:top w:val="single" w:color="000000" w:sz="4" w:space="0"/>
              <w:left w:val="single" w:color="000000" w:sz="4" w:space="0"/>
              <w:bottom w:val="single" w:color="000000" w:sz="4" w:space="0"/>
              <w:right w:val="single" w:color="000000" w:sz="4" w:space="0"/>
            </w:tcBorders>
            <w:vAlign w:val="center"/>
          </w:tcPr>
          <w:p w14:paraId="4690436E">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color w:val="auto"/>
                <w:kern w:val="0"/>
                <w:sz w:val="24"/>
                <w:szCs w:val="24"/>
                <w:lang w:val="en-US" w:eastAsia="zh-CN"/>
              </w:rPr>
              <w:t>采购标的对应的中小企业划分标准所属行业为物业管理，物业管理</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bl>
    <w:p w14:paraId="6F424FD3">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宋体" w:cs="Times New Roman"/>
          <w:b/>
          <w:bCs/>
          <w:kern w:val="44"/>
          <w:sz w:val="32"/>
          <w:szCs w:val="32"/>
          <w:lang w:val="en-US" w:eastAsia="zh-CN" w:bidi="ar-SA"/>
        </w:rPr>
        <w:sectPr>
          <w:headerReference r:id="rId9" w:type="first"/>
          <w:footerReference r:id="rId11" w:type="first"/>
          <w:headerReference r:id="rId8" w:type="default"/>
          <w:footerReference r:id="rId10" w:type="default"/>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0F0E60CF">
      <w:pPr>
        <w:pStyle w:val="3"/>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宋体" w:cs="Times New Roman"/>
          <w:b/>
          <w:bCs/>
          <w:kern w:val="44"/>
          <w:sz w:val="32"/>
          <w:szCs w:val="32"/>
          <w:lang w:val="en-US" w:eastAsia="zh-CN" w:bidi="ar-SA"/>
        </w:rPr>
      </w:pPr>
      <w:bookmarkStart w:id="36" w:name="_Toc4958"/>
      <w:r>
        <w:rPr>
          <w:rFonts w:hint="eastAsia" w:ascii="Times New Roman" w:hAnsi="Times New Roman" w:eastAsia="宋体" w:cs="Times New Roman"/>
          <w:b/>
          <w:bCs/>
          <w:kern w:val="44"/>
          <w:sz w:val="32"/>
          <w:szCs w:val="32"/>
          <w:lang w:val="en-US" w:eastAsia="zh-CN" w:bidi="ar-SA"/>
        </w:rPr>
        <w:t>第三部分  供应商须知</w:t>
      </w:r>
      <w:bookmarkEnd w:id="29"/>
      <w:bookmarkEnd w:id="30"/>
      <w:bookmarkEnd w:id="31"/>
      <w:bookmarkEnd w:id="32"/>
      <w:bookmarkEnd w:id="33"/>
      <w:bookmarkEnd w:id="34"/>
      <w:bookmarkEnd w:id="35"/>
      <w:bookmarkEnd w:id="36"/>
    </w:p>
    <w:p w14:paraId="11EFAD02">
      <w:pPr>
        <w:keepLines w:val="0"/>
        <w:pageBreakBefore w:val="0"/>
        <w:widowControl/>
        <w:numPr>
          <w:ilvl w:val="0"/>
          <w:numId w:val="5"/>
        </w:numPr>
        <w:kinsoku/>
        <w:wordWrap/>
        <w:overflowPunct/>
        <w:topLinePunct w:val="0"/>
        <w:autoSpaceDE/>
        <w:autoSpaceDN/>
        <w:bidi w:val="0"/>
        <w:adjustRightInd/>
        <w:snapToGrid/>
        <w:spacing w:before="318" w:beforeLines="100" w:line="360" w:lineRule="auto"/>
        <w:ind w:firstLine="643" w:firstLineChars="200"/>
        <w:jc w:val="center"/>
        <w:textAlignment w:val="auto"/>
        <w:outlineLvl w:val="1"/>
        <w:rPr>
          <w:rFonts w:ascii="宋体" w:cs="Times New Roman"/>
          <w:b/>
          <w:bCs/>
          <w:kern w:val="0"/>
          <w:sz w:val="32"/>
          <w:szCs w:val="32"/>
        </w:rPr>
      </w:pPr>
      <w:bookmarkStart w:id="37" w:name="_Toc536429372"/>
      <w:bookmarkStart w:id="38" w:name="_Toc17059"/>
      <w:bookmarkStart w:id="39" w:name="_Toc19543336"/>
      <w:bookmarkStart w:id="40" w:name="_Toc536202379"/>
      <w:bookmarkStart w:id="41" w:name="_Toc536429319"/>
      <w:bookmarkStart w:id="42" w:name="_Toc26739"/>
      <w:bookmarkStart w:id="43" w:name="_Toc536202285"/>
      <w:r>
        <w:rPr>
          <w:rFonts w:hint="eastAsia" w:ascii="宋体" w:hAnsi="宋体" w:cs="宋体"/>
          <w:b/>
          <w:bCs/>
          <w:kern w:val="0"/>
          <w:sz w:val="32"/>
          <w:szCs w:val="32"/>
        </w:rPr>
        <w:t>总则</w:t>
      </w:r>
      <w:bookmarkEnd w:id="37"/>
      <w:bookmarkEnd w:id="38"/>
      <w:bookmarkEnd w:id="39"/>
      <w:bookmarkEnd w:id="40"/>
      <w:bookmarkEnd w:id="41"/>
      <w:bookmarkEnd w:id="42"/>
      <w:bookmarkEnd w:id="43"/>
    </w:p>
    <w:p w14:paraId="788A8C38">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cs="宋体"/>
          <w:b/>
          <w:bCs/>
          <w:sz w:val="24"/>
          <w:szCs w:val="24"/>
          <w:lang w:val="en-US" w:eastAsia="zh-CN"/>
        </w:rPr>
        <w:t>.</w:t>
      </w:r>
      <w:r>
        <w:rPr>
          <w:rFonts w:hint="eastAsia" w:ascii="宋体" w:hAnsi="宋体" w:eastAsia="宋体" w:cs="宋体"/>
          <w:b/>
          <w:bCs/>
          <w:sz w:val="24"/>
          <w:szCs w:val="24"/>
        </w:rPr>
        <w:t>适用范围</w:t>
      </w:r>
    </w:p>
    <w:p w14:paraId="12661851">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1.1本磋商文件适用于本次采购活动的全过程。</w:t>
      </w:r>
    </w:p>
    <w:p w14:paraId="4577198A">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1.2本次采购属政府采购，采购人、采购代理机构、供应商、磋商小组的相关行为均受《中华人民共和国政府采购法》及实施条例、财政部规章及政府采购项目所在地有关法规、规章的约束，其权利受到上述法律法规的保护。</w:t>
      </w:r>
    </w:p>
    <w:p w14:paraId="045B9663">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cs="宋体"/>
          <w:b/>
          <w:bCs/>
          <w:sz w:val="24"/>
          <w:szCs w:val="24"/>
          <w:lang w:val="en-US" w:eastAsia="zh-CN"/>
        </w:rPr>
        <w:t>.</w:t>
      </w:r>
      <w:r>
        <w:rPr>
          <w:rFonts w:hint="eastAsia" w:ascii="宋体" w:hAnsi="宋体" w:eastAsia="宋体" w:cs="宋体"/>
          <w:b/>
          <w:bCs/>
          <w:sz w:val="24"/>
          <w:szCs w:val="24"/>
        </w:rPr>
        <w:t>定义</w:t>
      </w:r>
    </w:p>
    <w:p w14:paraId="0F701B75">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rPr>
        <w:t>2.</w:t>
      </w:r>
      <w:r>
        <w:rPr>
          <w:rFonts w:hint="eastAsia" w:ascii="宋体" w:hAnsi="宋体" w:eastAsia="宋体" w:cs="宋体"/>
          <w:bCs/>
          <w:sz w:val="24"/>
          <w:szCs w:val="24"/>
          <w:highlight w:val="none"/>
        </w:rPr>
        <w:t>1采购人：</w:t>
      </w:r>
      <w:r>
        <w:rPr>
          <w:rFonts w:hint="eastAsia" w:ascii="宋体" w:hAnsi="宋体" w:cs="宋体"/>
          <w:bCs/>
          <w:sz w:val="24"/>
          <w:szCs w:val="24"/>
          <w:highlight w:val="none"/>
          <w:lang w:eastAsia="zh-CN"/>
        </w:rPr>
        <w:t>平利县中医医院</w:t>
      </w:r>
      <w:r>
        <w:rPr>
          <w:rFonts w:hint="eastAsia" w:ascii="宋体" w:hAnsi="宋体" w:cs="宋体"/>
          <w:bCs/>
          <w:sz w:val="24"/>
          <w:szCs w:val="24"/>
          <w:highlight w:val="none"/>
          <w:lang w:val="en-US" w:eastAsia="zh-CN"/>
        </w:rPr>
        <w:t xml:space="preserve"> </w:t>
      </w:r>
    </w:p>
    <w:p w14:paraId="2C50EF62">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2.2采购代理机构：安康尚昊招标代理有限公司</w:t>
      </w:r>
    </w:p>
    <w:p w14:paraId="47C1B755">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sz w:val="24"/>
          <w:szCs w:val="24"/>
          <w:lang w:val="en-US" w:eastAsia="zh-CN"/>
        </w:rPr>
        <w:t>2.3</w:t>
      </w:r>
      <w:r>
        <w:rPr>
          <w:rFonts w:hint="eastAsia" w:ascii="宋体" w:hAnsi="宋体" w:eastAsia="宋体" w:cs="宋体"/>
          <w:bCs/>
          <w:sz w:val="24"/>
          <w:szCs w:val="24"/>
          <w:lang w:eastAsia="zh-CN"/>
        </w:rPr>
        <w:t>监管机构：</w:t>
      </w:r>
      <w:r>
        <w:rPr>
          <w:rFonts w:hint="eastAsia" w:ascii="宋体" w:hAnsi="宋体" w:cs="宋体"/>
          <w:bCs/>
          <w:color w:val="000000" w:themeColor="text1"/>
          <w:sz w:val="24"/>
          <w:szCs w:val="24"/>
          <w:lang w:val="en-US" w:eastAsia="zh-CN"/>
          <w14:textFill>
            <w14:solidFill>
              <w14:schemeClr w14:val="tx1"/>
            </w14:solidFill>
          </w14:textFill>
        </w:rPr>
        <w:t>平利县</w:t>
      </w:r>
      <w:r>
        <w:rPr>
          <w:rFonts w:hint="eastAsia" w:ascii="宋体" w:hAnsi="宋体" w:eastAsia="宋体" w:cs="宋体"/>
          <w:bCs/>
          <w:color w:val="000000" w:themeColor="text1"/>
          <w:sz w:val="24"/>
          <w:szCs w:val="24"/>
          <w14:textFill>
            <w14:solidFill>
              <w14:schemeClr w14:val="tx1"/>
            </w14:solidFill>
          </w14:textFill>
        </w:rPr>
        <w:t>财政局</w:t>
      </w:r>
    </w:p>
    <w:p w14:paraId="57121A5C">
      <w:pPr>
        <w:pageBreakBefore w:val="0"/>
        <w:widowControl/>
        <w:wordWrap/>
        <w:topLinePunct w:val="0"/>
        <w:autoSpaceDE/>
        <w:autoSpaceDN/>
        <w:bidi w:val="0"/>
        <w:snapToGrid w:val="0"/>
        <w:spacing w:line="336" w:lineRule="auto"/>
        <w:ind w:right="-90" w:rightChars="-43" w:firstLine="360" w:firstLineChars="150"/>
        <w:jc w:val="left"/>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w:t>
      </w:r>
      <w:r>
        <w:rPr>
          <w:rFonts w:hint="eastAsia" w:ascii="宋体" w:hAnsi="宋体" w:eastAsia="宋体" w:cs="宋体"/>
          <w:bCs/>
          <w:sz w:val="24"/>
          <w:szCs w:val="24"/>
          <w:lang w:val="en-US" w:eastAsia="zh-CN"/>
        </w:rPr>
        <w:t>4</w:t>
      </w:r>
      <w:r>
        <w:rPr>
          <w:rFonts w:hint="eastAsia" w:ascii="宋体" w:hAnsi="宋体" w:eastAsia="宋体" w:cs="宋体"/>
          <w:bCs/>
          <w:sz w:val="24"/>
          <w:szCs w:val="24"/>
        </w:rPr>
        <w:t>供应商：是参与本项目磋商活动的法人、其他组织或自然人。</w:t>
      </w:r>
    </w:p>
    <w:p w14:paraId="53806E7B">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5</w:t>
      </w:r>
      <w:r>
        <w:rPr>
          <w:rFonts w:hint="eastAsia" w:ascii="宋体" w:hAnsi="宋体" w:eastAsia="宋体" w:cs="宋体"/>
          <w:bCs/>
          <w:sz w:val="24"/>
          <w:szCs w:val="24"/>
        </w:rPr>
        <w:t>货物：是指</w:t>
      </w:r>
      <w:r>
        <w:rPr>
          <w:rFonts w:hint="eastAsia" w:ascii="宋体" w:hAnsi="宋体" w:eastAsia="宋体" w:cs="宋体"/>
          <w:bCs/>
          <w:sz w:val="24"/>
          <w:szCs w:val="24"/>
          <w:lang w:eastAsia="zh-CN"/>
        </w:rPr>
        <w:t>本次投标所需的</w:t>
      </w:r>
      <w:r>
        <w:rPr>
          <w:rFonts w:hint="eastAsia" w:ascii="宋体" w:hAnsi="宋体" w:eastAsia="宋体" w:cs="宋体"/>
          <w:bCs/>
          <w:sz w:val="24"/>
          <w:szCs w:val="24"/>
        </w:rPr>
        <w:t>各种形态和种类的物品。</w:t>
      </w:r>
    </w:p>
    <w:p w14:paraId="7D614E32">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6</w:t>
      </w:r>
      <w:r>
        <w:rPr>
          <w:rFonts w:hint="eastAsia" w:ascii="宋体" w:hAnsi="宋体" w:eastAsia="宋体" w:cs="宋体"/>
          <w:bCs/>
          <w:sz w:val="24"/>
          <w:szCs w:val="24"/>
        </w:rPr>
        <w:t>服务：指除了货物和工程外的其他政府采购对象。包含除货物以外规定由供应商承担的与货物有关的辅助服务。</w:t>
      </w:r>
    </w:p>
    <w:p w14:paraId="6BC40A16">
      <w:pPr>
        <w:widowControl/>
        <w:snapToGrid w:val="0"/>
        <w:spacing w:line="400" w:lineRule="exact"/>
        <w:ind w:right="-90" w:rightChars="-43" w:firstLine="482" w:firstLineChars="200"/>
        <w:jc w:val="left"/>
        <w:rPr>
          <w:rFonts w:ascii="宋体" w:hAnsi="宋体" w:cs="宋体"/>
          <w:b/>
          <w:bCs/>
          <w:sz w:val="24"/>
          <w:szCs w:val="24"/>
        </w:rPr>
      </w:pPr>
      <w:r>
        <w:rPr>
          <w:rFonts w:hint="eastAsia" w:ascii="宋体" w:hAnsi="宋体" w:cs="宋体"/>
          <w:b/>
          <w:bCs/>
          <w:sz w:val="24"/>
          <w:szCs w:val="24"/>
        </w:rPr>
        <w:t>3</w:t>
      </w:r>
      <w:r>
        <w:rPr>
          <w:rFonts w:hint="eastAsia" w:ascii="宋体" w:hAnsi="宋体" w:cs="宋体"/>
          <w:b/>
          <w:bCs/>
          <w:sz w:val="24"/>
          <w:szCs w:val="24"/>
          <w:lang w:val="en-US" w:eastAsia="zh-CN"/>
        </w:rPr>
        <w:t>.</w:t>
      </w:r>
      <w:r>
        <w:rPr>
          <w:rFonts w:hint="eastAsia" w:ascii="宋体" w:hAnsi="宋体" w:cs="宋体"/>
          <w:b/>
          <w:bCs/>
          <w:sz w:val="24"/>
          <w:szCs w:val="24"/>
        </w:rPr>
        <w:t>合格的供应商</w:t>
      </w:r>
    </w:p>
    <w:p w14:paraId="2BCF41AD">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3.1具有本项目生产、制造、加工、供应或实施能力，符合、承认并承诺履行本磋商文件各项规定的国内供应商。</w:t>
      </w:r>
    </w:p>
    <w:p w14:paraId="77ECC94A">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3.2供应商应遵守有关的国家</w:t>
      </w:r>
      <w:r>
        <w:rPr>
          <w:rFonts w:hint="eastAsia" w:ascii="宋体" w:hAnsi="宋体" w:cs="宋体"/>
          <w:bCs/>
          <w:sz w:val="24"/>
          <w:szCs w:val="24"/>
          <w:lang w:eastAsia="zh-CN"/>
        </w:rPr>
        <w:t>法律法规</w:t>
      </w:r>
      <w:r>
        <w:rPr>
          <w:rFonts w:hint="eastAsia" w:ascii="宋体" w:hAnsi="宋体" w:cs="宋体"/>
          <w:bCs/>
          <w:sz w:val="24"/>
          <w:szCs w:val="24"/>
        </w:rPr>
        <w:t>和条例，具备《中华人民共和国政府采购法》和本文件中规定的条件：</w:t>
      </w:r>
    </w:p>
    <w:p w14:paraId="2CD17348">
      <w:pPr>
        <w:keepNext w:val="0"/>
        <w:keepLines w:val="0"/>
        <w:pageBreakBefore w:val="0"/>
        <w:widowControl/>
        <w:numPr>
          <w:ilvl w:val="0"/>
          <w:numId w:val="6"/>
        </w:numPr>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供应商</w:t>
      </w:r>
      <w:r>
        <w:rPr>
          <w:rFonts w:hint="eastAsia" w:ascii="宋体" w:hAnsi="宋体" w:cs="宋体"/>
          <w:kern w:val="0"/>
          <w:sz w:val="24"/>
          <w:szCs w:val="24"/>
        </w:rPr>
        <w:t>具有独立承担民事责任能力的法人、其他组织或自然人，并出具合法有效的营业执照或事业单位法人证书等国家规定的相关证明</w:t>
      </w:r>
      <w:r>
        <w:rPr>
          <w:rFonts w:hint="eastAsia" w:ascii="宋体" w:hAnsi="宋体" w:cs="宋体"/>
          <w:bCs/>
          <w:sz w:val="24"/>
          <w:szCs w:val="24"/>
        </w:rPr>
        <w:t>；</w:t>
      </w:r>
    </w:p>
    <w:p w14:paraId="5D41E5AC">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（2） 供应商具有良好的商业信誉和健全的财务会计制度；</w:t>
      </w:r>
    </w:p>
    <w:p w14:paraId="584E5325">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 xml:space="preserve"> </w:t>
      </w:r>
      <w:r>
        <w:rPr>
          <w:rFonts w:hint="eastAsia" w:ascii="宋体" w:hAnsi="宋体" w:cs="宋体"/>
          <w:bCs/>
          <w:sz w:val="24"/>
          <w:szCs w:val="24"/>
        </w:rPr>
        <w:t>供应商具有履行合同所必需的产品和专业技术能力；</w:t>
      </w:r>
    </w:p>
    <w:p w14:paraId="40E80D22">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sz w:val="24"/>
          <w:szCs w:val="24"/>
        </w:rPr>
      </w:pPr>
      <w:r>
        <w:rPr>
          <w:rFonts w:hint="eastAsia" w:ascii="宋体" w:hAnsi="宋体" w:cs="宋体"/>
          <w:bCs/>
          <w:sz w:val="24"/>
          <w:szCs w:val="24"/>
        </w:rPr>
        <w:t>（4）</w:t>
      </w:r>
      <w:r>
        <w:rPr>
          <w:rFonts w:hint="eastAsia" w:ascii="宋体" w:hAnsi="宋体" w:cs="宋体"/>
          <w:bCs/>
          <w:sz w:val="24"/>
          <w:szCs w:val="24"/>
          <w:lang w:val="en-US" w:eastAsia="zh-CN"/>
        </w:rPr>
        <w:t xml:space="preserve"> </w:t>
      </w:r>
      <w:r>
        <w:rPr>
          <w:rFonts w:hint="eastAsia" w:ascii="宋体" w:hAnsi="宋体" w:cs="宋体"/>
          <w:bCs/>
          <w:sz w:val="24"/>
          <w:szCs w:val="24"/>
        </w:rPr>
        <w:t>供应商参加此项采购活动前三年内，在经营活动中没有重大违法记录；</w:t>
      </w:r>
    </w:p>
    <w:p w14:paraId="5954F658">
      <w:pPr>
        <w:keepNext w:val="0"/>
        <w:keepLines w:val="0"/>
        <w:pageBreakBefore w:val="0"/>
        <w:widowControl/>
        <w:numPr>
          <w:ilvl w:val="0"/>
          <w:numId w:val="0"/>
        </w:numPr>
        <w:kinsoku/>
        <w:wordWrap/>
        <w:overflowPunct/>
        <w:topLinePunct w:val="0"/>
        <w:autoSpaceDE/>
        <w:autoSpaceDN/>
        <w:bidi w:val="0"/>
        <w:adjustRightInd/>
        <w:snapToGrid w:val="0"/>
        <w:spacing w:line="460" w:lineRule="exact"/>
        <w:ind w:right="0" w:rightChars="0"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rPr>
        <w:t>3.3</w:t>
      </w:r>
      <w:r>
        <w:rPr>
          <w:rFonts w:hint="eastAsia" w:ascii="宋体" w:hAnsi="宋体" w:eastAsia="宋体" w:cs="宋体"/>
          <w:bCs/>
          <w:sz w:val="24"/>
          <w:szCs w:val="24"/>
        </w:rPr>
        <w:t>投标人必须从采购代理机构</w:t>
      </w:r>
      <w:r>
        <w:rPr>
          <w:rFonts w:hint="eastAsia" w:ascii="宋体" w:hAnsi="宋体" w:cs="宋体"/>
          <w:bCs/>
          <w:sz w:val="24"/>
          <w:szCs w:val="24"/>
          <w:lang w:val="en-US" w:eastAsia="zh-CN"/>
        </w:rPr>
        <w:t>获取磋商</w:t>
      </w:r>
      <w:r>
        <w:rPr>
          <w:rFonts w:hint="eastAsia" w:ascii="宋体" w:hAnsi="宋体" w:eastAsia="宋体" w:cs="宋体"/>
          <w:bCs/>
          <w:sz w:val="24"/>
          <w:szCs w:val="24"/>
        </w:rPr>
        <w:t>文件并登记备案，未从采购代理机构</w:t>
      </w:r>
      <w:r>
        <w:rPr>
          <w:rFonts w:hint="eastAsia" w:ascii="宋体" w:hAnsi="宋体" w:cs="宋体"/>
          <w:bCs/>
          <w:sz w:val="24"/>
          <w:szCs w:val="24"/>
          <w:lang w:val="en-US" w:eastAsia="zh-CN"/>
        </w:rPr>
        <w:t>获取磋商</w:t>
      </w:r>
      <w:r>
        <w:rPr>
          <w:rFonts w:hint="eastAsia" w:ascii="宋体" w:hAnsi="宋体" w:eastAsia="宋体" w:cs="宋体"/>
          <w:bCs/>
          <w:sz w:val="24"/>
          <w:szCs w:val="24"/>
        </w:rPr>
        <w:t>文件并登记备案的潜在投标人均无资格参加</w:t>
      </w:r>
      <w:r>
        <w:rPr>
          <w:rFonts w:hint="eastAsia" w:ascii="宋体" w:hAnsi="宋体" w:eastAsia="宋体" w:cs="宋体"/>
          <w:bCs/>
          <w:sz w:val="24"/>
          <w:szCs w:val="24"/>
          <w:lang w:val="en-US" w:eastAsia="zh-CN"/>
        </w:rPr>
        <w:t>投标</w:t>
      </w:r>
      <w:r>
        <w:rPr>
          <w:rFonts w:hint="eastAsia" w:ascii="宋体" w:hAnsi="宋体" w:eastAsia="宋体" w:cs="宋体"/>
          <w:bCs/>
          <w:sz w:val="24"/>
          <w:szCs w:val="24"/>
        </w:rPr>
        <w:t>。</w:t>
      </w:r>
    </w:p>
    <w:p w14:paraId="5B8C2793">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 xml:space="preserve">3.4如供应商代表不是法定代表人，须持有《法定代表人授权委托书》 </w:t>
      </w:r>
      <w:r>
        <w:rPr>
          <w:rFonts w:hint="eastAsia" w:ascii="宋体" w:hAnsi="宋体" w:cs="宋体"/>
          <w:bCs/>
          <w:sz w:val="24"/>
          <w:szCs w:val="24"/>
          <w:lang w:eastAsia="zh-CN"/>
        </w:rPr>
        <w:t>（</w:t>
      </w:r>
      <w:r>
        <w:rPr>
          <w:rFonts w:hint="eastAsia" w:ascii="宋体" w:hAnsi="宋体" w:cs="宋体"/>
          <w:bCs/>
          <w:sz w:val="24"/>
          <w:szCs w:val="24"/>
        </w:rPr>
        <w:t>按磋商文件提供的格式填写</w:t>
      </w:r>
      <w:r>
        <w:rPr>
          <w:rFonts w:hint="eastAsia" w:ascii="宋体" w:hAnsi="宋体" w:cs="宋体"/>
          <w:bCs/>
          <w:sz w:val="24"/>
          <w:szCs w:val="24"/>
          <w:lang w:eastAsia="zh-CN"/>
        </w:rPr>
        <w:t>）</w:t>
      </w:r>
      <w:r>
        <w:rPr>
          <w:rFonts w:hint="eastAsia" w:ascii="宋体" w:hAnsi="宋体" w:cs="宋体"/>
          <w:bCs/>
          <w:sz w:val="24"/>
          <w:szCs w:val="24"/>
        </w:rPr>
        <w:t>。</w:t>
      </w:r>
    </w:p>
    <w:p w14:paraId="1AEB72CD">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3.5供应商应独立于采购人，不得直接或间接地与采购人为采购本次招标的货物或服务进行设计、编制技术规格</w:t>
      </w:r>
      <w:r>
        <w:rPr>
          <w:rFonts w:hint="eastAsia" w:ascii="宋体" w:hAnsi="宋体" w:cs="宋体"/>
          <w:bCs/>
          <w:sz w:val="24"/>
          <w:szCs w:val="24"/>
          <w:lang w:eastAsia="zh-CN"/>
        </w:rPr>
        <w:t>和其他</w:t>
      </w:r>
      <w:r>
        <w:rPr>
          <w:rFonts w:hint="eastAsia" w:ascii="宋体" w:hAnsi="宋体" w:cs="宋体"/>
          <w:bCs/>
          <w:sz w:val="24"/>
          <w:szCs w:val="24"/>
        </w:rPr>
        <w:t>文件所委托的咨询公司或其附属机构有任何关联。</w:t>
      </w:r>
    </w:p>
    <w:p w14:paraId="7F2EF3F7">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3.6供应商不得存在下列情形之一：</w:t>
      </w:r>
    </w:p>
    <w:p w14:paraId="6399623E">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（1）与采购人或采购代理机构存在隶属关系或者其他利害关系；</w:t>
      </w:r>
    </w:p>
    <w:p w14:paraId="17CEEEE5">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（2）与其他供应商的法定代表人（或者负责人）为同一人，或者与其他供应商存在直接控股、管理关系；</w:t>
      </w:r>
    </w:p>
    <w:p w14:paraId="416C73CF">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3）受到刑事处罚，或者受到三万元以上罚款，责令停产停业、在一年至三年内禁止参加政府采购活动、暂扣或吊销许可证、暂扣或吊销执照等情形之一的行政处罚，或者存在财政部门认定的其他重大违法记录。</w:t>
      </w:r>
    </w:p>
    <w:p w14:paraId="5FB66113">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hint="eastAsia" w:ascii="宋体" w:hAnsi="宋体" w:eastAsia="宋体" w:cs="宋体"/>
          <w:bCs/>
          <w:sz w:val="24"/>
          <w:szCs w:val="24"/>
          <w:lang w:eastAsia="zh-CN"/>
        </w:rPr>
      </w:pPr>
      <w:r>
        <w:rPr>
          <w:rFonts w:hint="eastAsia" w:ascii="宋体" w:hAnsi="宋体" w:cs="宋体"/>
          <w:bCs/>
          <w:sz w:val="24"/>
          <w:szCs w:val="24"/>
        </w:rPr>
        <w:t>（4）供应商在投标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须提供信用中国网及中国政府采购网相应查询结果的网站截图（加盖企业公章）</w:t>
      </w:r>
      <w:r>
        <w:rPr>
          <w:rFonts w:hint="eastAsia" w:ascii="宋体" w:hAnsi="宋体" w:cs="宋体"/>
          <w:bCs/>
          <w:sz w:val="24"/>
          <w:szCs w:val="24"/>
          <w:lang w:eastAsia="zh-CN"/>
        </w:rPr>
        <w:t>。</w:t>
      </w:r>
    </w:p>
    <w:p w14:paraId="7BE69FEE">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cs="宋体"/>
          <w:b/>
          <w:bCs/>
          <w:sz w:val="24"/>
          <w:szCs w:val="24"/>
          <w:lang w:val="en-US" w:eastAsia="zh-CN"/>
        </w:rPr>
        <w:t>.</w:t>
      </w:r>
      <w:r>
        <w:rPr>
          <w:rFonts w:hint="eastAsia" w:ascii="宋体" w:hAnsi="宋体" w:eastAsia="宋体" w:cs="宋体"/>
          <w:b/>
          <w:bCs/>
          <w:sz w:val="24"/>
          <w:szCs w:val="24"/>
        </w:rPr>
        <w:t>政府采购政策支持</w:t>
      </w:r>
    </w:p>
    <w:p w14:paraId="2DF1996A">
      <w:pPr>
        <w:spacing w:line="360" w:lineRule="auto"/>
        <w:ind w:firstLine="480" w:firstLineChars="200"/>
        <w:rPr>
          <w:rFonts w:ascii="宋体" w:hAnsi="宋体"/>
          <w:sz w:val="24"/>
          <w:szCs w:val="24"/>
        </w:rPr>
      </w:pPr>
      <w:r>
        <w:rPr>
          <w:rFonts w:hint="eastAsia" w:ascii="宋体" w:hAnsi="宋体"/>
          <w:sz w:val="24"/>
          <w:szCs w:val="24"/>
        </w:rPr>
        <w:t>根据《政府采购促进中小企业发展管理办法》（财库〔2020〕46号）和《陕西省财政厅关于加快推进我省中小企业政府采购信用融资工作的通知》（陕财办采〔2020〕15 号）有关要求，对政府采购相关政策落实如下：</w:t>
      </w:r>
    </w:p>
    <w:p w14:paraId="2BE4ECEF">
      <w:pPr>
        <w:tabs>
          <w:tab w:val="left" w:pos="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根据《政府采购促进中小企业发展管理办法》（财库〔2020〕46号）的有关规定，中小企业提供本企业制造的货物、承担的工程或者服务，或者提供其他中小企业制造的货物（不包括使用大型、中型企业注册商标的货物）参与政府采购活动时对小型和微型企业产品的价格给予</w:t>
      </w:r>
      <w:r>
        <w:rPr>
          <w:rFonts w:hint="eastAsia" w:ascii="宋体" w:hAnsi="宋体"/>
          <w:sz w:val="24"/>
          <w:szCs w:val="24"/>
          <w:lang w:val="en-US" w:eastAsia="zh-CN"/>
        </w:rPr>
        <w:t>10%</w:t>
      </w:r>
      <w:r>
        <w:rPr>
          <w:rFonts w:hint="eastAsia" w:ascii="宋体" w:hAnsi="宋体"/>
          <w:sz w:val="24"/>
          <w:szCs w:val="24"/>
        </w:rPr>
        <w:t xml:space="preserve">的价格扣除，用扣除后的价格参与评标。  </w:t>
      </w:r>
    </w:p>
    <w:p w14:paraId="50C247E5">
      <w:pPr>
        <w:tabs>
          <w:tab w:val="left" w:pos="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（2）根据财政部、司法部联合下发的《关于政府采购支持监狱企业发展有关问题的通知》（财库〔2014〕68号）的规定，监狱企业视同小型、微型企业。评标时，对监狱企业</w:t>
      </w:r>
      <w:r>
        <w:rPr>
          <w:rFonts w:hint="eastAsia" w:ascii="宋体" w:hAnsi="宋体"/>
          <w:sz w:val="24"/>
          <w:szCs w:val="24"/>
          <w:lang w:eastAsia="zh-CN"/>
        </w:rPr>
        <w:t>给予</w:t>
      </w:r>
      <w:r>
        <w:rPr>
          <w:rFonts w:hint="eastAsia" w:ascii="宋体" w:hAnsi="宋体"/>
          <w:sz w:val="24"/>
          <w:szCs w:val="24"/>
          <w:lang w:val="en-US" w:eastAsia="zh-CN"/>
        </w:rPr>
        <w:t>10%</w:t>
      </w:r>
      <w:r>
        <w:rPr>
          <w:rFonts w:hint="eastAsia" w:ascii="宋体" w:hAnsi="宋体"/>
          <w:sz w:val="24"/>
          <w:szCs w:val="24"/>
        </w:rPr>
        <w:t>的价格扣除，用扣除后的价格参与评审；</w:t>
      </w:r>
    </w:p>
    <w:p w14:paraId="6D2DD316">
      <w:pPr>
        <w:tabs>
          <w:tab w:val="left" w:pos="0"/>
        </w:tabs>
        <w:autoSpaceDE w:val="0"/>
        <w:autoSpaceDN w:val="0"/>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(3) 根据财政部、民政部、中国残疾人联合会下发的《关于促进残疾人就业政府采购政策的通知》（财库〔201</w:t>
      </w:r>
      <w:r>
        <w:rPr>
          <w:rFonts w:ascii="宋体" w:hAnsi="宋体"/>
          <w:sz w:val="24"/>
          <w:szCs w:val="24"/>
        </w:rPr>
        <w:t>7</w:t>
      </w:r>
      <w:r>
        <w:rPr>
          <w:rFonts w:hint="eastAsia" w:ascii="宋体" w:hAnsi="宋体"/>
          <w:sz w:val="24"/>
          <w:szCs w:val="24"/>
        </w:rPr>
        <w:t>〕</w:t>
      </w:r>
      <w:r>
        <w:rPr>
          <w:rFonts w:ascii="宋体" w:hAnsi="宋体"/>
          <w:sz w:val="24"/>
          <w:szCs w:val="24"/>
        </w:rPr>
        <w:t>141</w:t>
      </w:r>
      <w:r>
        <w:rPr>
          <w:rFonts w:hint="eastAsia" w:ascii="宋体" w:hAnsi="宋体"/>
          <w:sz w:val="24"/>
          <w:szCs w:val="24"/>
        </w:rPr>
        <w:t>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236C2991">
      <w:pPr>
        <w:tabs>
          <w:tab w:val="left" w:pos="0"/>
        </w:tabs>
        <w:autoSpaceDE w:val="0"/>
        <w:autoSpaceDN w:val="0"/>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（4）对专门面向中小企业采购项目，不再执行价格扣除政策。</w:t>
      </w:r>
    </w:p>
    <w:p w14:paraId="063AA777">
      <w:pPr>
        <w:tabs>
          <w:tab w:val="left" w:pos="0"/>
        </w:tabs>
        <w:autoSpaceDE w:val="0"/>
        <w:autoSpaceDN w:val="0"/>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（5）对非专门面向中小企业采购项目，执行以上价格扣除政策。</w:t>
      </w:r>
    </w:p>
    <w:p w14:paraId="7407840F">
      <w:pPr>
        <w:spacing w:line="360" w:lineRule="auto"/>
        <w:ind w:firstLine="482" w:firstLineChars="200"/>
        <w:rPr>
          <w:rFonts w:ascii="宋体" w:hAnsi="宋体"/>
          <w:sz w:val="24"/>
          <w:szCs w:val="24"/>
        </w:rPr>
      </w:pPr>
      <w:r>
        <w:rPr>
          <w:rFonts w:hint="eastAsia" w:ascii="宋体" w:hAnsi="宋体"/>
          <w:b/>
          <w:sz w:val="24"/>
          <w:szCs w:val="24"/>
        </w:rPr>
        <w:t>注：</w:t>
      </w:r>
      <w:r>
        <w:rPr>
          <w:rFonts w:hint="eastAsia" w:ascii="宋体" w:hAnsi="宋体"/>
          <w:sz w:val="24"/>
          <w:szCs w:val="24"/>
        </w:rPr>
        <w:t>参加政府采购活动的</w:t>
      </w:r>
      <w:r>
        <w:rPr>
          <w:rFonts w:hint="eastAsia" w:ascii="宋体" w:hAnsi="宋体"/>
          <w:sz w:val="24"/>
          <w:szCs w:val="24"/>
          <w:lang w:val="en-US" w:eastAsia="zh-CN"/>
        </w:rPr>
        <w:t>中小</w:t>
      </w:r>
      <w:r>
        <w:rPr>
          <w:rFonts w:hint="eastAsia" w:ascii="宋体" w:hAnsi="宋体"/>
          <w:sz w:val="24"/>
          <w:szCs w:val="24"/>
        </w:rPr>
        <w:t>企业/残疾人单位应提供《</w:t>
      </w:r>
      <w:r>
        <w:rPr>
          <w:rFonts w:hint="eastAsia" w:ascii="宋体" w:hAnsi="宋体"/>
          <w:sz w:val="24"/>
          <w:szCs w:val="24"/>
          <w:lang w:val="en-US" w:eastAsia="zh-CN"/>
        </w:rPr>
        <w:t>中小</w:t>
      </w:r>
      <w:r>
        <w:rPr>
          <w:rFonts w:hint="eastAsia" w:ascii="宋体" w:hAnsi="宋体"/>
          <w:sz w:val="24"/>
          <w:szCs w:val="24"/>
        </w:rPr>
        <w:t>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w:t>
      </w:r>
      <w:r>
        <w:rPr>
          <w:rFonts w:hint="eastAsia" w:ascii="宋体" w:hAnsi="宋体"/>
          <w:sz w:val="24"/>
          <w:szCs w:val="24"/>
          <w:lang w:val="en-US" w:eastAsia="zh-CN"/>
        </w:rPr>
        <w:t>磋商</w:t>
      </w:r>
      <w:r>
        <w:rPr>
          <w:rFonts w:hint="eastAsia" w:ascii="宋体" w:hAnsi="宋体"/>
          <w:sz w:val="24"/>
          <w:szCs w:val="24"/>
        </w:rPr>
        <w:t>文件规定的价格扣除，但不影响响应文件的有效性</w:t>
      </w:r>
      <w:r>
        <w:rPr>
          <w:rFonts w:hint="eastAsia" w:ascii="宋体" w:hAnsi="宋体"/>
          <w:sz w:val="24"/>
          <w:szCs w:val="24"/>
          <w:lang w:eastAsia="zh-CN"/>
        </w:rPr>
        <w:t>，</w:t>
      </w:r>
      <w:r>
        <w:rPr>
          <w:rFonts w:hint="eastAsia" w:ascii="宋体" w:hAnsi="宋体"/>
          <w:sz w:val="24"/>
          <w:szCs w:val="24"/>
        </w:rPr>
        <w:t>对既属于监狱企业、福利企业，同时又满足</w:t>
      </w:r>
      <w:r>
        <w:rPr>
          <w:rFonts w:hint="eastAsia" w:ascii="宋体" w:hAnsi="宋体"/>
          <w:sz w:val="24"/>
          <w:szCs w:val="24"/>
          <w:lang w:val="en-US" w:eastAsia="zh-CN"/>
        </w:rPr>
        <w:t>中小</w:t>
      </w:r>
      <w:r>
        <w:rPr>
          <w:rFonts w:hint="eastAsia" w:ascii="宋体" w:hAnsi="宋体"/>
          <w:sz w:val="24"/>
          <w:szCs w:val="24"/>
        </w:rPr>
        <w:t>企业规定的投标单位，其价格扣除仅适用一次。</w:t>
      </w:r>
    </w:p>
    <w:p w14:paraId="12240F65">
      <w:pPr>
        <w:spacing w:line="360" w:lineRule="auto"/>
        <w:ind w:firstLine="480" w:firstLineChars="200"/>
        <w:rPr>
          <w:rFonts w:ascii="宋体" w:hAnsi="宋体"/>
          <w:sz w:val="24"/>
          <w:szCs w:val="24"/>
        </w:rPr>
      </w:pPr>
      <w:r>
        <w:rPr>
          <w:rFonts w:hint="eastAsia" w:ascii="宋体" w:hAnsi="宋体"/>
          <w:sz w:val="24"/>
          <w:szCs w:val="24"/>
        </w:rPr>
        <w:t>(4) ①根据财政部、国家发展改革委《关于印发〈节能产品政府采购实施意见〉的通知》（财库〔2004〕185号）所投产品属于节能产品政府采购清单所列产品，在技术、服务同等的条件下，应当优先采用清单中的节能产品；</w:t>
      </w:r>
    </w:p>
    <w:p w14:paraId="6D8BF53E">
      <w:pPr>
        <w:spacing w:line="360" w:lineRule="auto"/>
        <w:ind w:firstLine="480" w:firstLineChars="200"/>
        <w:rPr>
          <w:rFonts w:ascii="宋体" w:hAnsi="宋体"/>
          <w:sz w:val="24"/>
          <w:szCs w:val="24"/>
        </w:rPr>
      </w:pPr>
      <w:r>
        <w:rPr>
          <w:rFonts w:hint="eastAsia" w:ascii="宋体" w:hAnsi="宋体"/>
          <w:sz w:val="24"/>
          <w:szCs w:val="24"/>
        </w:rPr>
        <w:t>②所投产品为“环境标志产品政府采购清单”所列产品，在性能、技术、服务等指标同等的条件下，应当优先采用；</w:t>
      </w:r>
    </w:p>
    <w:p w14:paraId="402B3230">
      <w:pPr>
        <w:spacing w:line="360" w:lineRule="auto"/>
        <w:ind w:firstLine="480" w:firstLineChars="200"/>
        <w:rPr>
          <w:rFonts w:ascii="宋体" w:hAnsi="宋体"/>
          <w:sz w:val="24"/>
          <w:szCs w:val="24"/>
        </w:rPr>
      </w:pPr>
      <w:r>
        <w:rPr>
          <w:rFonts w:hint="eastAsia" w:ascii="宋体" w:hAnsi="宋体"/>
          <w:sz w:val="24"/>
          <w:szCs w:val="24"/>
        </w:rPr>
        <w:t>③节能产品根据《国务院办公厅关于建立政府强制采购节能产品制度的通知》国办发</w:t>
      </w:r>
      <w:r>
        <w:rPr>
          <w:rFonts w:hint="eastAsia" w:ascii="宋体" w:hAnsi="宋体"/>
          <w:sz w:val="24"/>
          <w:szCs w:val="24"/>
          <w:lang w:eastAsia="zh-CN"/>
        </w:rPr>
        <w:t>〔</w:t>
      </w:r>
      <w:r>
        <w:rPr>
          <w:rFonts w:hint="eastAsia" w:ascii="宋体" w:hAnsi="宋体"/>
          <w:sz w:val="24"/>
          <w:szCs w:val="24"/>
        </w:rPr>
        <w:t>2007</w:t>
      </w:r>
      <w:r>
        <w:rPr>
          <w:rFonts w:hint="eastAsia" w:ascii="宋体" w:hAnsi="宋体"/>
          <w:sz w:val="24"/>
          <w:szCs w:val="24"/>
          <w:lang w:eastAsia="zh-CN"/>
        </w:rPr>
        <w:t>〕</w:t>
      </w:r>
      <w:r>
        <w:rPr>
          <w:rFonts w:hint="eastAsia" w:ascii="宋体" w:hAnsi="宋体"/>
          <w:sz w:val="24"/>
          <w:szCs w:val="24"/>
        </w:rPr>
        <w:t>51号的规定，以中国政府采购网（http://www.ccgp.gov.cn/）公布的最新一期节能产品政府采购清单为准；</w:t>
      </w:r>
    </w:p>
    <w:p w14:paraId="2D52A3F1">
      <w:pPr>
        <w:spacing w:line="360" w:lineRule="auto"/>
        <w:ind w:firstLine="480" w:firstLineChars="200"/>
        <w:rPr>
          <w:rFonts w:ascii="宋体" w:hAnsi="宋体"/>
          <w:sz w:val="24"/>
          <w:szCs w:val="24"/>
        </w:rPr>
      </w:pPr>
      <w:r>
        <w:rPr>
          <w:rFonts w:hint="eastAsia" w:ascii="宋体" w:hAnsi="宋体"/>
          <w:sz w:val="24"/>
          <w:szCs w:val="24"/>
        </w:rPr>
        <w:t>④环境标志产品根据《环境标志产品政府采购实施的意见》（财库</w:t>
      </w:r>
      <w:r>
        <w:rPr>
          <w:rFonts w:hint="eastAsia" w:ascii="宋体" w:hAnsi="宋体"/>
          <w:sz w:val="24"/>
          <w:szCs w:val="24"/>
          <w:lang w:eastAsia="zh-CN"/>
        </w:rPr>
        <w:t>〔2006〕90号</w:t>
      </w:r>
      <w:r>
        <w:rPr>
          <w:rFonts w:hint="eastAsia" w:ascii="宋体" w:hAnsi="宋体"/>
          <w:sz w:val="24"/>
          <w:szCs w:val="24"/>
        </w:rPr>
        <w:t>）的规定，以中国政府采购网（http://www.ccgp.gov.cn/）公布的最新一期环境标志产品政府采购清单为准；</w:t>
      </w:r>
    </w:p>
    <w:p w14:paraId="400D40C8">
      <w:pPr>
        <w:spacing w:line="360" w:lineRule="auto"/>
        <w:ind w:firstLine="480" w:firstLineChars="200"/>
        <w:rPr>
          <w:rFonts w:ascii="宋体" w:hAnsi="宋体"/>
          <w:sz w:val="24"/>
          <w:szCs w:val="24"/>
        </w:rPr>
      </w:pPr>
      <w:r>
        <w:rPr>
          <w:rFonts w:hint="eastAsia" w:ascii="宋体" w:hAnsi="宋体"/>
          <w:sz w:val="24"/>
          <w:szCs w:val="24"/>
        </w:rPr>
        <w:t>⑤若节能、环保、环境标志清单内的产品仅是构成投标产品的部件、组件或零件的，则该投标产品不享受鼓励优惠政策；</w:t>
      </w:r>
    </w:p>
    <w:p w14:paraId="74DA2B91">
      <w:pPr>
        <w:ind w:firstLine="480" w:firstLineChars="200"/>
        <w:rPr>
          <w:rFonts w:ascii="Calibri" w:hAnsi="Calibri"/>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w:t>
      </w:r>
      <w:r>
        <w:rPr>
          <w:rFonts w:ascii="宋体" w:hAnsi="宋体"/>
          <w:sz w:val="24"/>
          <w:szCs w:val="24"/>
        </w:rPr>
        <w:t>关于信用记录的查询和使用</w:t>
      </w:r>
    </w:p>
    <w:p w14:paraId="39861E75">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采购人将在</w:t>
      </w:r>
      <w:r>
        <w:rPr>
          <w:rFonts w:ascii="宋体" w:hAnsi="宋体"/>
          <w:sz w:val="24"/>
          <w:szCs w:val="24"/>
        </w:rPr>
        <w:t>资格审查</w:t>
      </w:r>
      <w:r>
        <w:rPr>
          <w:rFonts w:hint="eastAsia" w:ascii="宋体" w:hAnsi="宋体"/>
          <w:sz w:val="24"/>
          <w:szCs w:val="24"/>
        </w:rPr>
        <w:t>阶段通过【</w:t>
      </w:r>
      <w:r>
        <w:fldChar w:fldCharType="begin"/>
      </w:r>
      <w:r>
        <w:instrText xml:space="preserve"> HYPERLINK "http://www.creditchina.gov.cn" </w:instrText>
      </w:r>
      <w:r>
        <w:fldChar w:fldCharType="separate"/>
      </w:r>
      <w:r>
        <w:rPr>
          <w:rFonts w:hint="eastAsia" w:ascii="宋体" w:hAnsi="宋体"/>
          <w:sz w:val="24"/>
          <w:szCs w:val="24"/>
        </w:rPr>
        <w:t>信用中国</w:t>
      </w:r>
      <w:r>
        <w:rPr>
          <w:rFonts w:hint="eastAsia" w:ascii="宋体" w:hAnsi="宋体"/>
          <w:sz w:val="24"/>
          <w:szCs w:val="24"/>
        </w:rPr>
        <w:fldChar w:fldCharType="end"/>
      </w:r>
      <w:r>
        <w:rPr>
          <w:rFonts w:hint="eastAsia" w:ascii="宋体" w:hAnsi="宋体"/>
          <w:sz w:val="24"/>
          <w:szCs w:val="24"/>
        </w:rPr>
        <w:t>（www.creditchina.gov.cn）】、【</w:t>
      </w:r>
      <w:r>
        <w:fldChar w:fldCharType="begin"/>
      </w:r>
      <w:r>
        <w:instrText xml:space="preserve"> HYPERLINK "http://www.ccgp.gov.cn/cr/list" </w:instrText>
      </w:r>
      <w:r>
        <w:fldChar w:fldCharType="separate"/>
      </w:r>
      <w:r>
        <w:rPr>
          <w:rFonts w:hint="eastAsia" w:ascii="宋体" w:hAnsi="宋体"/>
          <w:sz w:val="24"/>
          <w:szCs w:val="24"/>
        </w:rPr>
        <w:t>中国政府采购网</w:t>
      </w:r>
      <w:r>
        <w:rPr>
          <w:rFonts w:hint="eastAsia" w:ascii="宋体" w:hAnsi="宋体"/>
          <w:sz w:val="24"/>
          <w:szCs w:val="24"/>
        </w:rPr>
        <w:fldChar w:fldCharType="end"/>
      </w:r>
      <w:r>
        <w:rPr>
          <w:rFonts w:hint="eastAsia" w:ascii="宋体" w:hAnsi="宋体"/>
          <w:sz w:val="24"/>
          <w:szCs w:val="24"/>
        </w:rPr>
        <w:t>（www.ccgp.gov.cn）】网站对响应文件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738C5D03">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lang w:eastAsia="zh-CN"/>
        </w:rPr>
        <w:t>.</w:t>
      </w:r>
      <w:r>
        <w:rPr>
          <w:rFonts w:hint="eastAsia" w:ascii="宋体" w:hAnsi="宋体"/>
          <w:sz w:val="24"/>
          <w:szCs w:val="24"/>
        </w:rPr>
        <w:t>投标人在参加政府采购活动前3年内因违法经营被禁止在一定期限内参加政府采购活动，期限届满的，可以参加政府采购活动的，但投标人应提供相关证明材料；</w:t>
      </w:r>
    </w:p>
    <w:p w14:paraId="3D566972">
      <w:pPr>
        <w:spacing w:line="360" w:lineRule="auto"/>
        <w:ind w:firstLine="480" w:firstLineChars="200"/>
        <w:rPr>
          <w:rFonts w:hint="eastAsia" w:ascii="宋体" w:hAnsi="宋体"/>
          <w:sz w:val="24"/>
          <w:szCs w:val="24"/>
        </w:rPr>
      </w:pPr>
      <w:r>
        <w:rPr>
          <w:rFonts w:ascii="宋体" w:hAnsi="宋体"/>
          <w:sz w:val="24"/>
          <w:szCs w:val="24"/>
        </w:rPr>
        <w:t>3</w:t>
      </w:r>
      <w:r>
        <w:rPr>
          <w:rFonts w:hint="eastAsia" w:ascii="宋体" w:hAnsi="宋体"/>
          <w:sz w:val="24"/>
          <w:szCs w:val="24"/>
          <w:lang w:eastAsia="zh-CN"/>
        </w:rPr>
        <w:t>.</w:t>
      </w:r>
      <w:r>
        <w:rPr>
          <w:rFonts w:ascii="宋体" w:hAnsi="宋体"/>
          <w:sz w:val="24"/>
          <w:szCs w:val="24"/>
        </w:rPr>
        <w:t>信用记录查询的截止时点为“</w:t>
      </w:r>
      <w:r>
        <w:rPr>
          <w:rFonts w:hint="eastAsia" w:ascii="宋体" w:hAnsi="宋体"/>
          <w:sz w:val="24"/>
          <w:szCs w:val="24"/>
          <w:lang w:val="en-US" w:eastAsia="zh-CN"/>
        </w:rPr>
        <w:t>磋商</w:t>
      </w:r>
      <w:r>
        <w:rPr>
          <w:rFonts w:hint="eastAsia" w:ascii="宋体" w:hAnsi="宋体"/>
          <w:sz w:val="24"/>
          <w:szCs w:val="24"/>
        </w:rPr>
        <w:t>文件发售之日起至投标截止日前</w:t>
      </w:r>
      <w:r>
        <w:rPr>
          <w:rFonts w:ascii="宋体" w:hAnsi="宋体"/>
          <w:sz w:val="24"/>
          <w:szCs w:val="24"/>
        </w:rPr>
        <w:t>”。</w:t>
      </w:r>
      <w:r>
        <w:rPr>
          <w:rFonts w:hint="eastAsia" w:ascii="宋体" w:hAnsi="宋体"/>
          <w:sz w:val="24"/>
          <w:szCs w:val="24"/>
        </w:rPr>
        <w:t>信用记录查询的结果，将以纸质截图或将截图保存至电子介质的形式留存。投标人未如实填报《投标人书面声明函》的，视为“投标人提供虚假材料谋取中标、成交的”行为。</w:t>
      </w:r>
    </w:p>
    <w:p w14:paraId="24BE8DE0">
      <w:pPr>
        <w:spacing w:line="360" w:lineRule="auto"/>
        <w:ind w:firstLine="480" w:firstLineChars="200"/>
        <w:rPr>
          <w:rFonts w:hint="eastAsia" w:ascii="宋体" w:hAnsi="宋体"/>
          <w:sz w:val="24"/>
          <w:szCs w:val="24"/>
          <w:lang w:val="zh-CN"/>
        </w:rPr>
      </w:pPr>
      <w:r>
        <w:rPr>
          <w:rFonts w:hint="eastAsia" w:ascii="宋体" w:hAnsi="宋体"/>
          <w:sz w:val="24"/>
          <w:szCs w:val="24"/>
          <w:lang w:val="zh-CN"/>
        </w:rPr>
        <w:t>（</w:t>
      </w:r>
      <w:r>
        <w:rPr>
          <w:rFonts w:hint="eastAsia" w:ascii="宋体" w:hAnsi="宋体"/>
          <w:sz w:val="24"/>
          <w:szCs w:val="24"/>
          <w:lang w:val="en-US" w:eastAsia="zh-CN"/>
        </w:rPr>
        <w:t>6</w:t>
      </w:r>
      <w:r>
        <w:rPr>
          <w:rFonts w:hint="eastAsia" w:ascii="宋体" w:hAnsi="宋体"/>
          <w:sz w:val="24"/>
          <w:szCs w:val="24"/>
          <w:lang w:val="zh-CN"/>
        </w:rPr>
        <w:t>）融资政策</w:t>
      </w:r>
    </w:p>
    <w:p w14:paraId="6A60096A">
      <w:pPr>
        <w:spacing w:line="360" w:lineRule="auto"/>
        <w:ind w:firstLine="480" w:firstLineChars="200"/>
        <w:rPr>
          <w:rFonts w:hint="eastAsia" w:ascii="宋体" w:hAnsi="宋体"/>
          <w:sz w:val="24"/>
          <w:szCs w:val="24"/>
          <w:lang w:val="zh-CN"/>
        </w:rPr>
      </w:pPr>
      <w:r>
        <w:rPr>
          <w:rFonts w:hint="eastAsia" w:ascii="宋体" w:hAnsi="宋体"/>
          <w:sz w:val="24"/>
          <w:szCs w:val="24"/>
          <w:lang w:val="zh-CN"/>
        </w:rPr>
        <w:t>根据《陕西省财政厅关于加快推进我省中小企业政府采购信用融资工作的通知》（陕财办采</w:t>
      </w:r>
      <w:r>
        <w:rPr>
          <w:rFonts w:hint="eastAsia" w:ascii="宋体" w:hAnsi="宋体"/>
          <w:sz w:val="24"/>
          <w:szCs w:val="24"/>
        </w:rPr>
        <w:t>〔</w:t>
      </w:r>
      <w:r>
        <w:rPr>
          <w:rFonts w:hint="eastAsia" w:ascii="宋体" w:hAnsi="宋体"/>
          <w:sz w:val="24"/>
          <w:szCs w:val="24"/>
          <w:lang w:val="zh-CN"/>
        </w:rPr>
        <w:t>2020</w:t>
      </w:r>
      <w:r>
        <w:rPr>
          <w:rFonts w:hint="eastAsia" w:ascii="宋体" w:hAnsi="宋体"/>
          <w:sz w:val="24"/>
          <w:szCs w:val="24"/>
        </w:rPr>
        <w:t>〕</w:t>
      </w:r>
      <w:r>
        <w:rPr>
          <w:rFonts w:hint="eastAsia" w:ascii="宋体" w:hAnsi="宋体"/>
          <w:sz w:val="24"/>
          <w:szCs w:val="24"/>
          <w:lang w:val="zh-CN"/>
        </w:rPr>
        <w:t>15号）文件精神，有融资需求的</w:t>
      </w:r>
      <w:r>
        <w:rPr>
          <w:rFonts w:hint="eastAsia" w:ascii="宋体" w:hAnsi="宋体"/>
          <w:sz w:val="24"/>
          <w:szCs w:val="24"/>
        </w:rPr>
        <w:t>中标（成交）人</w:t>
      </w:r>
      <w:r>
        <w:rPr>
          <w:rFonts w:hint="eastAsia" w:ascii="宋体" w:hAnsi="宋体"/>
          <w:sz w:val="24"/>
          <w:szCs w:val="24"/>
          <w:lang w:val="zh-CN"/>
        </w:rPr>
        <w:t>可根据自身情况，在陕西省政府采购信用融资平台（含各市分平台）自主选择金融机构及其融资产品，凭政府采购中标（成交）通知书或政府采购合同向金融机构提出融资申请。陕西省政府采购信用融资平台网址：http://www.ccgp-shaanxi.gov.cn/zcdservice/zcd/shanxi/s</w:t>
      </w:r>
    </w:p>
    <w:p w14:paraId="1F8F3FC6">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cs="宋体"/>
          <w:b/>
          <w:bCs/>
          <w:sz w:val="24"/>
          <w:szCs w:val="24"/>
          <w:lang w:val="en-US" w:eastAsia="zh-CN"/>
        </w:rPr>
        <w:t>.</w:t>
      </w:r>
      <w:r>
        <w:rPr>
          <w:rFonts w:hint="eastAsia" w:ascii="宋体" w:hAnsi="宋体" w:eastAsia="宋体" w:cs="宋体"/>
          <w:b/>
          <w:bCs/>
          <w:sz w:val="24"/>
          <w:szCs w:val="24"/>
        </w:rPr>
        <w:t>费用承担</w:t>
      </w:r>
    </w:p>
    <w:p w14:paraId="068C67B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供应商准备和参加磋商活动发生的费用自理。</w:t>
      </w:r>
    </w:p>
    <w:p w14:paraId="5B6011E1">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6</w:t>
      </w:r>
      <w:r>
        <w:rPr>
          <w:rFonts w:hint="eastAsia" w:ascii="宋体" w:hAnsi="宋体" w:cs="宋体"/>
          <w:b/>
          <w:bCs/>
          <w:sz w:val="24"/>
          <w:szCs w:val="24"/>
          <w:lang w:val="en-US" w:eastAsia="zh-CN"/>
        </w:rPr>
        <w:t>.</w:t>
      </w:r>
      <w:r>
        <w:rPr>
          <w:rFonts w:hint="eastAsia" w:ascii="宋体" w:hAnsi="宋体" w:eastAsia="宋体" w:cs="宋体"/>
          <w:b/>
          <w:bCs/>
          <w:sz w:val="24"/>
          <w:szCs w:val="24"/>
        </w:rPr>
        <w:t>保密</w:t>
      </w:r>
    </w:p>
    <w:p w14:paraId="7B3B646D">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参与磋商活动的各方应对磋商文件和响应文件的商业和技术等秘密保密，违者应对由此造成的后果承担法律责任。</w:t>
      </w:r>
    </w:p>
    <w:p w14:paraId="3A09A092">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7</w:t>
      </w:r>
      <w:r>
        <w:rPr>
          <w:rFonts w:hint="eastAsia" w:ascii="宋体" w:hAnsi="宋体" w:cs="宋体"/>
          <w:b/>
          <w:bCs/>
          <w:sz w:val="24"/>
          <w:szCs w:val="24"/>
          <w:lang w:val="en-US" w:eastAsia="zh-CN"/>
        </w:rPr>
        <w:t>.</w:t>
      </w:r>
      <w:r>
        <w:rPr>
          <w:rFonts w:hint="eastAsia" w:ascii="宋体" w:hAnsi="宋体" w:eastAsia="宋体" w:cs="宋体"/>
          <w:b/>
          <w:bCs/>
          <w:sz w:val="24"/>
          <w:szCs w:val="24"/>
        </w:rPr>
        <w:t>语言文字</w:t>
      </w:r>
    </w:p>
    <w:p w14:paraId="631B559D">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除专用术语外，与磋商文件有关的语言均使用中文；必要时专用术语应附有中文注释。</w:t>
      </w:r>
    </w:p>
    <w:p w14:paraId="72320F4E">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8</w:t>
      </w:r>
      <w:r>
        <w:rPr>
          <w:rFonts w:hint="eastAsia" w:ascii="宋体" w:hAnsi="宋体" w:cs="宋体"/>
          <w:b/>
          <w:bCs/>
          <w:sz w:val="24"/>
          <w:szCs w:val="24"/>
          <w:lang w:val="en-US" w:eastAsia="zh-CN"/>
        </w:rPr>
        <w:t>.</w:t>
      </w:r>
      <w:r>
        <w:rPr>
          <w:rFonts w:hint="eastAsia" w:ascii="宋体" w:hAnsi="宋体" w:eastAsia="宋体" w:cs="宋体"/>
          <w:b/>
          <w:bCs/>
          <w:sz w:val="24"/>
          <w:szCs w:val="24"/>
        </w:rPr>
        <w:t>计量单位</w:t>
      </w:r>
    </w:p>
    <w:p w14:paraId="661AFC0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所有计量均采用中华人民共和国法定计量单位。</w:t>
      </w:r>
    </w:p>
    <w:p w14:paraId="64972351">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9</w:t>
      </w:r>
      <w:r>
        <w:rPr>
          <w:rFonts w:hint="eastAsia" w:ascii="宋体" w:hAnsi="宋体" w:cs="宋体"/>
          <w:b/>
          <w:bCs/>
          <w:sz w:val="24"/>
          <w:szCs w:val="24"/>
          <w:lang w:val="en-US" w:eastAsia="zh-CN"/>
        </w:rPr>
        <w:t>.</w:t>
      </w:r>
      <w:r>
        <w:rPr>
          <w:rFonts w:hint="eastAsia" w:ascii="宋体" w:hAnsi="宋体" w:eastAsia="宋体" w:cs="宋体"/>
          <w:b/>
          <w:bCs/>
          <w:sz w:val="24"/>
          <w:szCs w:val="24"/>
        </w:rPr>
        <w:t>踏勘现场</w:t>
      </w:r>
    </w:p>
    <w:p w14:paraId="706FB25A">
      <w:pPr>
        <w:pStyle w:val="3"/>
        <w:pageBreakBefore w:val="0"/>
        <w:wordWrap/>
        <w:topLinePunct w:val="0"/>
        <w:autoSpaceDE/>
        <w:autoSpaceDN/>
        <w:bidi w:val="0"/>
        <w:spacing w:line="336"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自行勘察，未勘察现场造成的一切后果由投标人自行承担。（一切费用自理）。</w:t>
      </w:r>
    </w:p>
    <w:p w14:paraId="4868458E">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10</w:t>
      </w:r>
      <w:r>
        <w:rPr>
          <w:rFonts w:hint="eastAsia" w:ascii="宋体" w:hAnsi="宋体" w:cs="宋体"/>
          <w:b/>
          <w:bCs/>
          <w:sz w:val="24"/>
          <w:szCs w:val="24"/>
          <w:lang w:val="en-US" w:eastAsia="zh-CN"/>
        </w:rPr>
        <w:t>.</w:t>
      </w:r>
      <w:r>
        <w:rPr>
          <w:rFonts w:hint="eastAsia" w:ascii="宋体" w:hAnsi="宋体" w:eastAsia="宋体" w:cs="宋体"/>
          <w:b/>
          <w:bCs/>
          <w:sz w:val="24"/>
          <w:szCs w:val="24"/>
        </w:rPr>
        <w:t>偏离</w:t>
      </w:r>
    </w:p>
    <w:p w14:paraId="21EBA672">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除供应商须知前附表另有规定外，供应商递交的响应文件不允许严重负偏离。</w:t>
      </w:r>
    </w:p>
    <w:p w14:paraId="6BC0E6B1">
      <w:pPr>
        <w:pageBreakBefore w:val="0"/>
        <w:widowControl/>
        <w:numPr>
          <w:ilvl w:val="0"/>
          <w:numId w:val="5"/>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rPr>
      </w:pPr>
      <w:bookmarkStart w:id="44" w:name="_Toc3976"/>
      <w:bookmarkStart w:id="45" w:name="_Toc19543337"/>
      <w:bookmarkStart w:id="46" w:name="_Toc536429320"/>
      <w:bookmarkStart w:id="47" w:name="_Toc536202288"/>
      <w:bookmarkStart w:id="48" w:name="_Toc536429373"/>
      <w:bookmarkStart w:id="49" w:name="_Toc536202380"/>
      <w:r>
        <w:rPr>
          <w:rFonts w:hint="eastAsia" w:ascii="宋体" w:hAnsi="宋体" w:eastAsia="宋体" w:cs="宋体"/>
          <w:b/>
          <w:bCs/>
          <w:kern w:val="0"/>
          <w:sz w:val="24"/>
          <w:szCs w:val="24"/>
        </w:rPr>
        <w:t>竞争性磋商文件</w:t>
      </w:r>
      <w:bookmarkEnd w:id="44"/>
      <w:bookmarkEnd w:id="45"/>
      <w:bookmarkEnd w:id="46"/>
      <w:bookmarkEnd w:id="47"/>
      <w:bookmarkEnd w:id="48"/>
      <w:bookmarkEnd w:id="49"/>
    </w:p>
    <w:p w14:paraId="65DDA592">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50" w:name="_Toc5801"/>
      <w:bookmarkStart w:id="51" w:name="_Toc536202289"/>
      <w:r>
        <w:rPr>
          <w:rFonts w:hint="default" w:ascii="宋体" w:hAnsi="宋体" w:eastAsia="宋体" w:cs="宋体"/>
          <w:b/>
          <w:bCs/>
          <w:kern w:val="2"/>
          <w:sz w:val="24"/>
          <w:szCs w:val="24"/>
          <w:lang w:val="en-US" w:eastAsia="zh-CN" w:bidi="ar-SA"/>
        </w:rPr>
        <w:t>1</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竞争性磋商文件的构成</w:t>
      </w:r>
      <w:bookmarkEnd w:id="50"/>
      <w:bookmarkEnd w:id="51"/>
    </w:p>
    <w:p w14:paraId="2930F048">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竞争性磋商文件是供应商准备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 </w:t>
      </w:r>
    </w:p>
    <w:p w14:paraId="6B607B4C">
      <w:pPr>
        <w:pageBreakBefore w:val="0"/>
        <w:numPr>
          <w:ilvl w:val="0"/>
          <w:numId w:val="7"/>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竞争性磋商公告；</w:t>
      </w:r>
    </w:p>
    <w:p w14:paraId="634351EC">
      <w:pPr>
        <w:pageBreakBefore w:val="0"/>
        <w:numPr>
          <w:ilvl w:val="0"/>
          <w:numId w:val="7"/>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供应商须知前附表；</w:t>
      </w:r>
    </w:p>
    <w:p w14:paraId="7C14D1F9">
      <w:pPr>
        <w:pageBreakBefore w:val="0"/>
        <w:numPr>
          <w:ilvl w:val="0"/>
          <w:numId w:val="7"/>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供应商须知；</w:t>
      </w:r>
    </w:p>
    <w:p w14:paraId="0D8ADF00">
      <w:pPr>
        <w:pageBreakBefore w:val="0"/>
        <w:numPr>
          <w:ilvl w:val="0"/>
          <w:numId w:val="7"/>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评分标准；</w:t>
      </w:r>
    </w:p>
    <w:p w14:paraId="774C4A6E">
      <w:pPr>
        <w:pageBreakBefore w:val="0"/>
        <w:numPr>
          <w:ilvl w:val="0"/>
          <w:numId w:val="7"/>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采购要求；</w:t>
      </w:r>
    </w:p>
    <w:p w14:paraId="1EF3522B">
      <w:pPr>
        <w:pageBreakBefore w:val="0"/>
        <w:numPr>
          <w:ilvl w:val="0"/>
          <w:numId w:val="7"/>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合同条款；</w:t>
      </w:r>
    </w:p>
    <w:p w14:paraId="62166EF3">
      <w:pPr>
        <w:pageBreakBefore w:val="0"/>
        <w:numPr>
          <w:ilvl w:val="0"/>
          <w:numId w:val="7"/>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响应文件格式。</w:t>
      </w:r>
    </w:p>
    <w:p w14:paraId="6692AEE7">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52" w:name="_Toc536202290"/>
      <w:r>
        <w:rPr>
          <w:rFonts w:hint="default" w:ascii="宋体" w:hAnsi="宋体" w:eastAsia="宋体" w:cs="宋体"/>
          <w:b/>
          <w:bCs/>
          <w:kern w:val="2"/>
          <w:sz w:val="24"/>
          <w:szCs w:val="24"/>
          <w:lang w:val="en-US" w:eastAsia="zh-CN" w:bidi="ar-SA"/>
        </w:rPr>
        <w:t>2</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磋商文件的检查及阅读</w:t>
      </w:r>
      <w:bookmarkEnd w:id="52"/>
    </w:p>
    <w:p w14:paraId="0D4C30F2">
      <w:pPr>
        <w:pageBreakBefore w:val="0"/>
        <w:tabs>
          <w:tab w:val="left" w:pos="0"/>
        </w:tabs>
        <w:wordWrap/>
        <w:topLinePunct w:val="0"/>
        <w:autoSpaceDE/>
        <w:autoSpaceDN/>
        <w:bidi w:val="0"/>
        <w:adjustRightInd w:val="0"/>
        <w:snapToGrid w:val="0"/>
        <w:spacing w:line="336" w:lineRule="auto"/>
        <w:ind w:firstLine="600" w:firstLineChars="250"/>
        <w:jc w:val="left"/>
        <w:textAlignment w:val="auto"/>
        <w:rPr>
          <w:rFonts w:hint="eastAsia" w:ascii="宋体" w:hAnsi="宋体" w:eastAsia="宋体" w:cs="宋体"/>
          <w:sz w:val="24"/>
          <w:szCs w:val="24"/>
        </w:rPr>
      </w:pPr>
      <w:r>
        <w:rPr>
          <w:rFonts w:hint="eastAsia" w:ascii="宋体" w:hAnsi="宋体" w:eastAsia="宋体" w:cs="宋体"/>
          <w:sz w:val="24"/>
          <w:szCs w:val="24"/>
        </w:rPr>
        <w:t>供应商应认真阅读和充分理解竞争性磋商文件中所有的事项、格式条款和规范要求。供应商没有对竞争性磋商文件全面做出实质性响应是供应商的风险。没有按照竞争性磋商文件要求作出实质性响应的响应文件应作</w:t>
      </w:r>
      <w:r>
        <w:rPr>
          <w:rFonts w:hint="eastAsia" w:ascii="宋体" w:hAnsi="宋体" w:cs="宋体"/>
          <w:sz w:val="24"/>
          <w:szCs w:val="24"/>
          <w:lang w:val="en-US" w:eastAsia="zh-CN"/>
        </w:rPr>
        <w:t>无效投标</w:t>
      </w:r>
      <w:r>
        <w:rPr>
          <w:rFonts w:hint="eastAsia" w:ascii="宋体" w:hAnsi="宋体" w:eastAsia="宋体" w:cs="宋体"/>
          <w:sz w:val="24"/>
          <w:szCs w:val="24"/>
        </w:rPr>
        <w:t>处理。</w:t>
      </w:r>
    </w:p>
    <w:p w14:paraId="778AD954">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53" w:name="_Toc536202292"/>
      <w:r>
        <w:rPr>
          <w:rFonts w:hint="default" w:ascii="宋体" w:hAnsi="宋体" w:eastAsia="宋体" w:cs="宋体"/>
          <w:b/>
          <w:bCs/>
          <w:color w:val="000000" w:themeColor="text1"/>
          <w:kern w:val="2"/>
          <w:sz w:val="24"/>
          <w:szCs w:val="24"/>
          <w:lang w:val="en-US" w:eastAsia="zh-CN" w:bidi="ar-SA"/>
          <w14:textFill>
            <w14:solidFill>
              <w14:schemeClr w14:val="tx1"/>
            </w14:solidFill>
          </w14:textFill>
        </w:rPr>
        <w:t>3</w:t>
      </w:r>
      <w:r>
        <w:rPr>
          <w:rFonts w:hint="eastAsia" w:ascii="宋体" w:hAnsi="宋体" w:cs="宋体"/>
          <w:b/>
          <w:bCs/>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现场踏勘及磋商文件答疑</w:t>
      </w:r>
      <w:bookmarkEnd w:id="53"/>
    </w:p>
    <w:p w14:paraId="3D4345E6">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6035F7E4">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54" w:name="_Toc19797"/>
      <w:bookmarkStart w:id="55" w:name="_Toc536202293"/>
      <w:r>
        <w:rPr>
          <w:rFonts w:hint="default" w:ascii="宋体" w:hAnsi="宋体" w:eastAsia="宋体" w:cs="宋体"/>
          <w:b/>
          <w:bCs/>
          <w:kern w:val="2"/>
          <w:sz w:val="24"/>
          <w:szCs w:val="24"/>
          <w:lang w:val="en-US" w:eastAsia="zh-CN" w:bidi="ar-SA"/>
        </w:rPr>
        <w:t>4</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竞争性磋商文件的澄清</w:t>
      </w:r>
      <w:bookmarkEnd w:id="54"/>
      <w:bookmarkEnd w:id="55"/>
    </w:p>
    <w:p w14:paraId="3042D640">
      <w:pPr>
        <w:pageBreakBefore w:val="0"/>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4.1供应商应认真阅读和充分理解竞争性磋商文件中所有的事项，如有问题或疑议请及时函告。否则，视为同意竞争性磋商文件的一切条款和要求并承担由此引起的一切法律责任。凡因供应商对竞争性磋商文件阅读不深、理解不透、误解、疏漏</w:t>
      </w:r>
      <w:r>
        <w:rPr>
          <w:rFonts w:hint="eastAsia" w:ascii="宋体" w:hAnsi="宋体" w:cs="宋体"/>
          <w:sz w:val="24"/>
          <w:szCs w:val="24"/>
          <w:lang w:eastAsia="zh-CN"/>
        </w:rPr>
        <w:t>或</w:t>
      </w:r>
      <w:r>
        <w:rPr>
          <w:rFonts w:hint="eastAsia" w:ascii="宋体" w:hAnsi="宋体" w:eastAsia="宋体" w:cs="宋体"/>
          <w:sz w:val="24"/>
          <w:szCs w:val="24"/>
        </w:rPr>
        <w:t>因市场行情了解不清造成的后果和风险均由供应商自负。</w:t>
      </w:r>
    </w:p>
    <w:p w14:paraId="758DD068">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4.2响应人若对磋商文件有任何疑问要求澄清，或认为有必要与采购人进行技术交流的，响应人在收到采购文件之日或者采购文件公告期限届满之日七个工作日内，以书面形式向招标代理机构提出</w:t>
      </w:r>
      <w:r>
        <w:rPr>
          <w:rFonts w:hint="eastAsia" w:ascii="宋体" w:hAnsi="宋体" w:eastAsia="宋体" w:cs="宋体"/>
          <w:sz w:val="24"/>
          <w:szCs w:val="24"/>
          <w:lang w:eastAsia="zh-CN"/>
        </w:rPr>
        <w:t>。采购代理机构将视情况确定采用适当方式予以澄清或以书面形式予以答复，涉及变更或修正内容在政府采购发布媒体上发布变更公告。在此之后提出的询问或者质疑均为无效，采购代理机构不予受理。</w:t>
      </w:r>
    </w:p>
    <w:p w14:paraId="3B3AC1A1">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对于在规定时间内收到的投标人依法提出的询问或者质疑，采购代理机构将按程序及时</w:t>
      </w:r>
      <w:r>
        <w:rPr>
          <w:rFonts w:hint="eastAsia" w:ascii="宋体" w:hAnsi="宋体" w:cs="宋体"/>
          <w:sz w:val="24"/>
          <w:szCs w:val="24"/>
          <w:lang w:eastAsia="zh-CN"/>
        </w:rPr>
        <w:t>作出</w:t>
      </w:r>
      <w:r>
        <w:rPr>
          <w:rFonts w:hint="eastAsia" w:ascii="宋体" w:hAnsi="宋体" w:eastAsia="宋体" w:cs="宋体"/>
          <w:sz w:val="24"/>
          <w:szCs w:val="24"/>
        </w:rPr>
        <w:t>答复，若对</w:t>
      </w:r>
      <w:r>
        <w:rPr>
          <w:rFonts w:hint="eastAsia" w:ascii="宋体" w:hAnsi="宋体" w:cs="宋体"/>
          <w:sz w:val="24"/>
          <w:szCs w:val="24"/>
          <w:lang w:val="en-US" w:eastAsia="zh-CN"/>
        </w:rPr>
        <w:t>磋商</w:t>
      </w:r>
      <w:r>
        <w:rPr>
          <w:rFonts w:hint="eastAsia" w:ascii="宋体" w:hAnsi="宋体" w:eastAsia="宋体" w:cs="宋体"/>
          <w:sz w:val="24"/>
          <w:szCs w:val="24"/>
        </w:rPr>
        <w:t>文件做出实质性变动，则按照相关规定延长投标截止时间。</w:t>
      </w:r>
    </w:p>
    <w:p w14:paraId="6905F795">
      <w:pPr>
        <w:pStyle w:val="15"/>
        <w:pageBreakBefore w:val="0"/>
        <w:wordWrap/>
        <w:topLinePunct w:val="0"/>
        <w:autoSpaceDE/>
        <w:autoSpaceDN/>
        <w:bidi w:val="0"/>
        <w:spacing w:line="336"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4.4</w:t>
      </w:r>
      <w:r>
        <w:rPr>
          <w:rFonts w:hint="eastAsia" w:ascii="宋体" w:hAnsi="宋体" w:eastAsia="宋体" w:cs="宋体"/>
          <w:sz w:val="24"/>
          <w:szCs w:val="24"/>
        </w:rPr>
        <w:t>投标人提出质疑应当有明确的请求和必要的证明材料。</w:t>
      </w:r>
    </w:p>
    <w:p w14:paraId="0786965C">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56" w:name="_Toc536202294"/>
      <w:bookmarkStart w:id="57" w:name="_Toc6390"/>
      <w:r>
        <w:rPr>
          <w:rFonts w:hint="default" w:ascii="宋体" w:hAnsi="宋体" w:eastAsia="宋体" w:cs="宋体"/>
          <w:b/>
          <w:bCs/>
          <w:kern w:val="2"/>
          <w:sz w:val="24"/>
          <w:szCs w:val="24"/>
          <w:lang w:val="en-US" w:eastAsia="zh-CN" w:bidi="ar-SA"/>
        </w:rPr>
        <w:t>5</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竞争性磋商文件的修改</w:t>
      </w:r>
      <w:bookmarkEnd w:id="56"/>
      <w:bookmarkEnd w:id="57"/>
    </w:p>
    <w:p w14:paraId="72F18684">
      <w:pPr>
        <w:keepNext w:val="0"/>
        <w:keepLines w:val="0"/>
        <w:pageBreakBefore w:val="0"/>
        <w:widowControl w:val="0"/>
        <w:kinsoku/>
        <w:wordWrap/>
        <w:overflowPunct w:val="0"/>
        <w:topLinePunct w:val="0"/>
        <w:autoSpaceDE/>
        <w:autoSpaceDN/>
        <w:bidi w:val="0"/>
        <w:adjustRightInd w:val="0"/>
        <w:snapToGrid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 在磋商截止时间五日前，无论出于何种原因，代理机构可主动或在解答供应商提出的澄清问题时，对竞争性磋商文件进行修改</w:t>
      </w:r>
      <w:r>
        <w:rPr>
          <w:rFonts w:hint="eastAsia" w:ascii="宋体" w:hAnsi="宋体" w:eastAsia="宋体" w:cs="宋体"/>
          <w:sz w:val="24"/>
          <w:szCs w:val="24"/>
          <w:lang w:eastAsia="zh-CN"/>
        </w:rPr>
        <w:t>，</w:t>
      </w:r>
      <w:r>
        <w:rPr>
          <w:rFonts w:hint="eastAsia" w:ascii="宋体" w:hAnsi="宋体" w:eastAsia="宋体" w:cs="宋体"/>
          <w:sz w:val="24"/>
          <w:szCs w:val="24"/>
        </w:rPr>
        <w:t>不足</w:t>
      </w:r>
      <w:r>
        <w:rPr>
          <w:rFonts w:hint="eastAsia" w:ascii="宋体" w:hAnsi="宋体" w:eastAsia="宋体" w:cs="宋体"/>
          <w:sz w:val="24"/>
          <w:szCs w:val="24"/>
          <w:lang w:val="en-US" w:eastAsia="zh-CN"/>
        </w:rPr>
        <w:t>5</w:t>
      </w:r>
      <w:r>
        <w:rPr>
          <w:rFonts w:hint="eastAsia" w:ascii="宋体" w:hAnsi="宋体" w:eastAsia="宋体" w:cs="宋体"/>
          <w:sz w:val="24"/>
          <w:szCs w:val="24"/>
        </w:rPr>
        <w:t>日的，顺延提交</w:t>
      </w:r>
      <w:r>
        <w:rPr>
          <w:rFonts w:hint="eastAsia" w:ascii="宋体" w:hAnsi="宋体" w:eastAsia="宋体" w:cs="宋体"/>
          <w:sz w:val="24"/>
          <w:szCs w:val="24"/>
          <w:lang w:eastAsia="zh-CN"/>
        </w:rPr>
        <w:t>响应</w:t>
      </w:r>
      <w:r>
        <w:rPr>
          <w:rFonts w:hint="eastAsia" w:ascii="宋体" w:hAnsi="宋体" w:eastAsia="宋体" w:cs="宋体"/>
          <w:sz w:val="24"/>
          <w:szCs w:val="24"/>
        </w:rPr>
        <w:t>文件的截止时间</w:t>
      </w:r>
      <w:r>
        <w:rPr>
          <w:rFonts w:hint="eastAsia" w:ascii="宋体" w:hAnsi="宋体" w:eastAsia="宋体" w:cs="宋体"/>
          <w:sz w:val="24"/>
          <w:szCs w:val="24"/>
          <w:lang w:eastAsia="zh-CN"/>
        </w:rPr>
        <w:t>，并</w:t>
      </w:r>
      <w:r>
        <w:rPr>
          <w:rFonts w:hint="eastAsia" w:ascii="宋体" w:hAnsi="宋体" w:eastAsia="宋体" w:cs="宋体"/>
          <w:sz w:val="24"/>
          <w:szCs w:val="24"/>
        </w:rPr>
        <w:t>在发布</w:t>
      </w:r>
      <w:r>
        <w:rPr>
          <w:rFonts w:hint="eastAsia" w:ascii="宋体" w:hAnsi="宋体" w:eastAsia="宋体" w:cs="宋体"/>
          <w:sz w:val="24"/>
          <w:szCs w:val="24"/>
          <w:lang w:eastAsia="zh-CN"/>
        </w:rPr>
        <w:t>磋商</w:t>
      </w:r>
      <w:r>
        <w:rPr>
          <w:rFonts w:hint="eastAsia" w:ascii="宋体" w:hAnsi="宋体" w:eastAsia="宋体" w:cs="宋体"/>
          <w:sz w:val="24"/>
          <w:szCs w:val="24"/>
        </w:rPr>
        <w:t>公告的财政部门指定媒体上由采购代理机构发布变更公告，并以书面形式通知所有</w:t>
      </w:r>
      <w:r>
        <w:rPr>
          <w:rFonts w:hint="eastAsia" w:ascii="宋体" w:hAnsi="宋体" w:cs="宋体"/>
          <w:sz w:val="24"/>
          <w:szCs w:val="24"/>
          <w:lang w:val="en-US" w:eastAsia="zh-CN"/>
        </w:rPr>
        <w:t>获取</w:t>
      </w:r>
      <w:r>
        <w:rPr>
          <w:rFonts w:hint="eastAsia" w:ascii="宋体" w:hAnsi="宋体" w:eastAsia="宋体" w:cs="宋体"/>
          <w:sz w:val="24"/>
          <w:szCs w:val="24"/>
          <w:lang w:eastAsia="zh-CN"/>
        </w:rPr>
        <w:t>磋商</w:t>
      </w:r>
      <w:r>
        <w:rPr>
          <w:rFonts w:hint="eastAsia" w:ascii="宋体" w:hAnsi="宋体" w:eastAsia="宋体" w:cs="宋体"/>
          <w:sz w:val="24"/>
          <w:szCs w:val="24"/>
        </w:rPr>
        <w:t>文件的单位。该澄清或者修改的内容为</w:t>
      </w:r>
      <w:r>
        <w:rPr>
          <w:rFonts w:hint="eastAsia" w:ascii="宋体" w:hAnsi="宋体" w:cs="宋体"/>
          <w:sz w:val="24"/>
          <w:szCs w:val="24"/>
          <w:lang w:val="en-US" w:eastAsia="zh-CN"/>
        </w:rPr>
        <w:t>磋商</w:t>
      </w:r>
      <w:r>
        <w:rPr>
          <w:rFonts w:hint="eastAsia" w:ascii="宋体" w:hAnsi="宋体" w:eastAsia="宋体" w:cs="宋体"/>
          <w:sz w:val="24"/>
          <w:szCs w:val="24"/>
        </w:rPr>
        <w:t>文件的组成部分。</w:t>
      </w:r>
    </w:p>
    <w:p w14:paraId="0190ECD9">
      <w:pPr>
        <w:keepNext w:val="0"/>
        <w:keepLines w:val="0"/>
        <w:pageBreakBefore w:val="0"/>
        <w:widowControl w:val="0"/>
        <w:kinsoku/>
        <w:wordWrap/>
        <w:overflowPunct w:val="0"/>
        <w:topLinePunct w:val="0"/>
        <w:autoSpaceDE/>
        <w:autoSpaceDN/>
        <w:bidi w:val="0"/>
        <w:adjustRightInd w:val="0"/>
        <w:snapToGrid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5.2</w:t>
      </w:r>
      <w:r>
        <w:rPr>
          <w:rFonts w:hint="eastAsia" w:ascii="宋体" w:hAnsi="宋体" w:cs="宋体"/>
          <w:sz w:val="24"/>
          <w:szCs w:val="24"/>
          <w:lang w:val="en-US" w:eastAsia="zh-CN"/>
        </w:rPr>
        <w:t>磋商</w:t>
      </w:r>
      <w:r>
        <w:rPr>
          <w:rFonts w:hint="eastAsia" w:ascii="宋体" w:hAnsi="宋体" w:eastAsia="宋体" w:cs="宋体"/>
          <w:sz w:val="24"/>
          <w:szCs w:val="24"/>
        </w:rPr>
        <w:t>文件的修改书将构成</w:t>
      </w:r>
      <w:r>
        <w:rPr>
          <w:rFonts w:hint="eastAsia" w:ascii="宋体" w:hAnsi="宋体" w:cs="宋体"/>
          <w:sz w:val="24"/>
          <w:szCs w:val="24"/>
          <w:lang w:val="en-US" w:eastAsia="zh-CN"/>
        </w:rPr>
        <w:t>磋商</w:t>
      </w:r>
      <w:r>
        <w:rPr>
          <w:rFonts w:hint="eastAsia" w:ascii="宋体" w:hAnsi="宋体" w:eastAsia="宋体" w:cs="宋体"/>
          <w:sz w:val="24"/>
          <w:szCs w:val="24"/>
        </w:rPr>
        <w:t>文件的一部分，对采购人和投标人都具有约束力。</w:t>
      </w:r>
    </w:p>
    <w:p w14:paraId="5164696B">
      <w:pPr>
        <w:keepNext w:val="0"/>
        <w:keepLines w:val="0"/>
        <w:pageBreakBefore w:val="0"/>
        <w:widowControl w:val="0"/>
        <w:kinsoku/>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5.3</w:t>
      </w:r>
      <w:r>
        <w:rPr>
          <w:rFonts w:hint="eastAsia" w:ascii="宋体" w:hAnsi="宋体" w:eastAsia="宋体" w:cs="宋体"/>
          <w:sz w:val="24"/>
          <w:szCs w:val="24"/>
        </w:rPr>
        <w:t>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s="宋体"/>
          <w:sz w:val="24"/>
          <w:szCs w:val="24"/>
          <w:lang w:val="en-US" w:eastAsia="zh-CN"/>
        </w:rPr>
        <w:t>获取</w:t>
      </w:r>
      <w:r>
        <w:rPr>
          <w:rFonts w:hint="eastAsia" w:ascii="宋体" w:hAnsi="宋体" w:eastAsia="宋体" w:cs="宋体"/>
          <w:sz w:val="24"/>
          <w:szCs w:val="24"/>
          <w:lang w:eastAsia="zh-CN"/>
        </w:rPr>
        <w:t>磋商</w:t>
      </w:r>
      <w:r>
        <w:rPr>
          <w:rFonts w:hint="eastAsia" w:ascii="宋体" w:hAnsi="宋体" w:eastAsia="宋体" w:cs="宋体"/>
          <w:sz w:val="24"/>
          <w:szCs w:val="24"/>
        </w:rPr>
        <w:t>文件的单位。</w:t>
      </w:r>
    </w:p>
    <w:p w14:paraId="2B5E0686">
      <w:pPr>
        <w:pStyle w:val="6"/>
        <w:pageBreakBefore w:val="0"/>
        <w:numPr>
          <w:ilvl w:val="0"/>
          <w:numId w:val="0"/>
        </w:numPr>
        <w:wordWrap/>
        <w:topLinePunct w:val="0"/>
        <w:autoSpaceDE/>
        <w:autoSpaceDN/>
        <w:bidi w:val="0"/>
        <w:spacing w:line="336" w:lineRule="auto"/>
        <w:ind w:firstLine="420" w:firstLineChars="0"/>
        <w:textAlignment w:val="auto"/>
        <w:rPr>
          <w:rFonts w:hint="eastAsia" w:ascii="宋体" w:hAnsi="宋体" w:eastAsia="宋体" w:cs="宋体"/>
          <w:sz w:val="24"/>
          <w:szCs w:val="24"/>
        </w:rPr>
      </w:pPr>
      <w:bookmarkStart w:id="58" w:name="_Toc31188"/>
      <w:bookmarkStart w:id="59" w:name="_Toc536202295"/>
      <w:r>
        <w:rPr>
          <w:rFonts w:hint="default" w:ascii="宋体" w:hAnsi="宋体" w:eastAsia="宋体" w:cs="宋体"/>
          <w:b/>
          <w:bCs/>
          <w:kern w:val="2"/>
          <w:sz w:val="24"/>
          <w:szCs w:val="24"/>
          <w:lang w:val="en-US" w:eastAsia="zh-CN" w:bidi="ar-SA"/>
        </w:rPr>
        <w:t>6</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质疑</w:t>
      </w:r>
    </w:p>
    <w:p w14:paraId="5C4EB2BA">
      <w:pPr>
        <w:pStyle w:val="6"/>
        <w:pageBreakBefore w:val="0"/>
        <w:wordWrap/>
        <w:topLinePunct w:val="0"/>
        <w:autoSpaceDE/>
        <w:autoSpaceDN/>
        <w:bidi w:val="0"/>
        <w:spacing w:line="336" w:lineRule="auto"/>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供应商认为磋商文件、招标过程和中标结果使自己的权益受到损害的，可以按《</w:t>
      </w:r>
      <w:r>
        <w:rPr>
          <w:rFonts w:hint="eastAsia" w:ascii="宋体" w:hAnsi="宋体" w:cs="宋体"/>
          <w:b w:val="0"/>
          <w:sz w:val="24"/>
          <w:szCs w:val="24"/>
          <w:lang w:eastAsia="zh-CN"/>
        </w:rPr>
        <w:t>中华人民共和国政府采购法》第五十二条</w:t>
      </w:r>
      <w:r>
        <w:rPr>
          <w:rFonts w:hint="eastAsia" w:ascii="宋体" w:hAnsi="宋体" w:eastAsia="宋体" w:cs="宋体"/>
          <w:b w:val="0"/>
          <w:sz w:val="24"/>
          <w:szCs w:val="24"/>
        </w:rPr>
        <w:t>执行。</w:t>
      </w:r>
    </w:p>
    <w:p w14:paraId="7F48C1CE">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b/>
          <w:bCs/>
          <w:color w:val="000000" w:themeColor="text1"/>
          <w:kern w:val="2"/>
          <w:sz w:val="24"/>
          <w:szCs w:val="24"/>
          <w:lang w:val="en-US" w:eastAsia="zh-CN" w:bidi="ar-SA"/>
          <w14:textFill>
            <w14:solidFill>
              <w14:schemeClr w14:val="tx1"/>
            </w14:solidFill>
          </w14:textFill>
        </w:rPr>
        <w:t>7</w:t>
      </w:r>
      <w:r>
        <w:rPr>
          <w:rFonts w:hint="eastAsia" w:ascii="宋体" w:hAnsi="宋体" w:cs="宋体"/>
          <w:b/>
          <w:bCs/>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竞争性磋商文件的获取</w:t>
      </w:r>
      <w:bookmarkEnd w:id="58"/>
      <w:bookmarkEnd w:id="59"/>
    </w:p>
    <w:p w14:paraId="33FEE821">
      <w:pPr>
        <w:pageBreakBefore w:val="0"/>
        <w:widowControl/>
        <w:wordWrap/>
        <w:topLinePunct w:val="0"/>
        <w:autoSpaceDE/>
        <w:autoSpaceDN/>
        <w:bidi w:val="0"/>
        <w:spacing w:line="336"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供应商必须从代理机构</w:t>
      </w:r>
      <w:r>
        <w:rPr>
          <w:rFonts w:hint="eastAsia" w:ascii="宋体" w:hAnsi="宋体" w:cs="宋体"/>
          <w:color w:val="000000" w:themeColor="text1"/>
          <w:sz w:val="24"/>
          <w:szCs w:val="24"/>
          <w:lang w:val="en-US" w:eastAsia="zh-CN"/>
          <w14:textFill>
            <w14:solidFill>
              <w14:schemeClr w14:val="tx1"/>
            </w14:solidFill>
          </w14:textFill>
        </w:rPr>
        <w:t>获取</w:t>
      </w:r>
      <w:r>
        <w:rPr>
          <w:rFonts w:hint="eastAsia" w:ascii="宋体" w:hAnsi="宋体" w:eastAsia="宋体" w:cs="宋体"/>
          <w:color w:val="000000" w:themeColor="text1"/>
          <w:sz w:val="24"/>
          <w:szCs w:val="24"/>
          <w14:textFill>
            <w14:solidFill>
              <w14:schemeClr w14:val="tx1"/>
            </w14:solidFill>
          </w14:textFill>
        </w:rPr>
        <w:t>竞争性磋商文件，供应商自行转让或复制竞争性磋商文件视为无效。</w:t>
      </w:r>
    </w:p>
    <w:p w14:paraId="3AC6A58C">
      <w:pPr>
        <w:pStyle w:val="15"/>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bookmarkStart w:id="60" w:name="_Toc5095"/>
      <w:bookmarkStart w:id="61" w:name="_Toc536202296"/>
      <w:r>
        <w:rPr>
          <w:rFonts w:hint="eastAsia" w:ascii="宋体" w:hAnsi="宋体" w:eastAsia="宋体" w:cs="宋体"/>
          <w:sz w:val="24"/>
          <w:szCs w:val="24"/>
        </w:rPr>
        <w:t>8</w:t>
      </w:r>
      <w:r>
        <w:rPr>
          <w:rFonts w:hint="eastAsia" w:ascii="宋体" w:hAnsi="宋体" w:cs="宋体"/>
          <w:sz w:val="24"/>
          <w:szCs w:val="24"/>
          <w:lang w:val="en-US" w:eastAsia="zh-CN"/>
        </w:rPr>
        <w:t>.</w:t>
      </w:r>
      <w:r>
        <w:rPr>
          <w:rFonts w:hint="eastAsia" w:ascii="宋体" w:hAnsi="宋体" w:eastAsia="宋体" w:cs="宋体"/>
          <w:b/>
          <w:bCs/>
          <w:sz w:val="24"/>
          <w:szCs w:val="24"/>
        </w:rPr>
        <w:t>竞争性磋商文件的解释权归代理机构</w:t>
      </w:r>
      <w:bookmarkEnd w:id="60"/>
      <w:bookmarkEnd w:id="61"/>
      <w:r>
        <w:rPr>
          <w:rFonts w:hint="eastAsia" w:ascii="宋体" w:hAnsi="宋体" w:eastAsia="宋体" w:cs="宋体"/>
          <w:sz w:val="24"/>
          <w:szCs w:val="24"/>
        </w:rPr>
        <w:t>（ 如发现</w:t>
      </w:r>
      <w:r>
        <w:rPr>
          <w:rFonts w:hint="eastAsia" w:ascii="宋体" w:hAnsi="宋体" w:cs="宋体"/>
          <w:sz w:val="24"/>
          <w:szCs w:val="24"/>
          <w:lang w:val="en-US" w:eastAsia="zh-CN"/>
        </w:rPr>
        <w:t>磋商</w:t>
      </w:r>
      <w:r>
        <w:rPr>
          <w:rFonts w:hint="eastAsia" w:ascii="宋体" w:hAnsi="宋体" w:eastAsia="宋体" w:cs="宋体"/>
          <w:sz w:val="24"/>
          <w:szCs w:val="24"/>
        </w:rPr>
        <w:t>文件内容与现行法律法规不相符的情况，以现行法律法规为准</w:t>
      </w:r>
      <w:r>
        <w:rPr>
          <w:rFonts w:hint="eastAsia" w:ascii="宋体" w:hAnsi="宋体" w:cs="宋体"/>
          <w:sz w:val="24"/>
          <w:szCs w:val="24"/>
          <w:lang w:eastAsia="zh-CN"/>
        </w:rPr>
        <w:t>）</w:t>
      </w:r>
    </w:p>
    <w:p w14:paraId="60BF22EA">
      <w:pPr>
        <w:pageBreakBefore w:val="0"/>
        <w:widowControl/>
        <w:numPr>
          <w:ilvl w:val="0"/>
          <w:numId w:val="5"/>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rPr>
      </w:pPr>
      <w:bookmarkStart w:id="62" w:name="_Toc536202381"/>
      <w:bookmarkStart w:id="63" w:name="_Toc19543338"/>
      <w:bookmarkStart w:id="64" w:name="_Toc536202297"/>
      <w:bookmarkStart w:id="65" w:name="_Toc536429374"/>
      <w:bookmarkStart w:id="66" w:name="_Toc622"/>
      <w:bookmarkStart w:id="67" w:name="_Toc536429321"/>
      <w:r>
        <w:rPr>
          <w:rFonts w:hint="eastAsia" w:ascii="宋体" w:hAnsi="宋体" w:eastAsia="宋体" w:cs="宋体"/>
          <w:b/>
          <w:bCs/>
          <w:kern w:val="0"/>
          <w:sz w:val="24"/>
          <w:szCs w:val="24"/>
        </w:rPr>
        <w:t>响应文件</w:t>
      </w:r>
      <w:bookmarkEnd w:id="62"/>
      <w:bookmarkEnd w:id="63"/>
      <w:bookmarkEnd w:id="64"/>
      <w:bookmarkEnd w:id="65"/>
      <w:bookmarkEnd w:id="66"/>
      <w:bookmarkEnd w:id="67"/>
    </w:p>
    <w:p w14:paraId="789061F9">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default" w:ascii="宋体" w:hAnsi="宋体" w:eastAsia="宋体" w:cs="宋体"/>
          <w:b/>
          <w:bCs/>
          <w:kern w:val="2"/>
          <w:sz w:val="24"/>
          <w:szCs w:val="24"/>
          <w:lang w:val="en-US" w:eastAsia="zh-CN" w:bidi="ar-SA"/>
        </w:rPr>
        <w:t>1</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响应文件编制的原则</w:t>
      </w:r>
    </w:p>
    <w:p w14:paraId="606CD8EF">
      <w:pPr>
        <w:pageBreakBefore w:val="0"/>
        <w:widowControl/>
        <w:wordWrap/>
        <w:topLinePunct w:val="0"/>
        <w:autoSpaceDE/>
        <w:autoSpaceDN/>
        <w:bidi w:val="0"/>
        <w:spacing w:line="336" w:lineRule="auto"/>
        <w:ind w:firstLine="600" w:firstLineChars="250"/>
        <w:textAlignment w:val="auto"/>
        <w:outlineLvl w:val="1"/>
        <w:rPr>
          <w:rFonts w:hint="eastAsia" w:ascii="宋体" w:hAnsi="宋体" w:eastAsia="宋体" w:cs="宋体"/>
          <w:bCs/>
          <w:kern w:val="0"/>
          <w:sz w:val="24"/>
          <w:szCs w:val="24"/>
        </w:rPr>
      </w:pPr>
      <w:r>
        <w:rPr>
          <w:rFonts w:hint="eastAsia" w:ascii="宋体" w:hAnsi="宋体" w:cs="宋体"/>
          <w:bCs/>
          <w:kern w:val="0"/>
          <w:sz w:val="24"/>
          <w:szCs w:val="24"/>
          <w:lang w:val="en-US" w:eastAsia="zh-CN"/>
        </w:rPr>
        <w:t>1.1</w:t>
      </w:r>
      <w:r>
        <w:rPr>
          <w:rFonts w:hint="eastAsia" w:ascii="宋体" w:hAnsi="宋体" w:eastAsia="宋体" w:cs="宋体"/>
          <w:bCs/>
          <w:kern w:val="0"/>
          <w:sz w:val="24"/>
          <w:szCs w:val="24"/>
        </w:rPr>
        <w:t xml:space="preserve">投标人应在认真阅读磋商文件所有内容的基础上，按照磋商文件的要求编制完整的响应文件。磋商文件中对响应文件格式有要求的，应按格式编制并逐项填写内容。响应文件中留有空项的或没有按格式制作的，将被视为不完整响应的响应文件，其投标将有可能被拒绝。 </w:t>
      </w:r>
    </w:p>
    <w:p w14:paraId="785B4557">
      <w:pPr>
        <w:pageBreakBefore w:val="0"/>
        <w:widowControl/>
        <w:wordWrap/>
        <w:topLinePunct w:val="0"/>
        <w:autoSpaceDE/>
        <w:autoSpaceDN/>
        <w:bidi w:val="0"/>
        <w:spacing w:line="336" w:lineRule="auto"/>
        <w:ind w:firstLine="600" w:firstLineChars="250"/>
        <w:textAlignment w:val="auto"/>
        <w:outlineLvl w:val="1"/>
        <w:rPr>
          <w:rFonts w:hint="eastAsia" w:ascii="宋体" w:hAnsi="宋体" w:eastAsia="宋体" w:cs="宋体"/>
          <w:bCs/>
          <w:kern w:val="0"/>
          <w:sz w:val="24"/>
          <w:szCs w:val="24"/>
        </w:rPr>
      </w:pPr>
      <w:r>
        <w:rPr>
          <w:rFonts w:hint="eastAsia" w:ascii="宋体" w:hAnsi="宋体" w:cs="宋体"/>
          <w:bCs/>
          <w:kern w:val="0"/>
          <w:sz w:val="24"/>
          <w:szCs w:val="24"/>
          <w:lang w:val="en-US" w:eastAsia="zh-CN"/>
        </w:rPr>
        <w:t>1.2</w:t>
      </w:r>
      <w:r>
        <w:rPr>
          <w:rFonts w:hint="eastAsia" w:ascii="宋体" w:hAnsi="宋体" w:eastAsia="宋体" w:cs="宋体"/>
          <w:bCs/>
          <w:kern w:val="0"/>
          <w:sz w:val="24"/>
          <w:szCs w:val="24"/>
        </w:rPr>
        <w:t>投标人必须保证响应文件所提供的全部资料真实可靠，并接受对其中任何资料进一步审查的要求。</w:t>
      </w:r>
    </w:p>
    <w:p w14:paraId="7ACDD8A0">
      <w:pPr>
        <w:pageBreakBefore w:val="0"/>
        <w:widowControl/>
        <w:wordWrap/>
        <w:topLinePunct w:val="0"/>
        <w:autoSpaceDE/>
        <w:autoSpaceDN/>
        <w:bidi w:val="0"/>
        <w:spacing w:line="336" w:lineRule="auto"/>
        <w:ind w:firstLine="600" w:firstLineChars="250"/>
        <w:textAlignment w:val="auto"/>
        <w:outlineLvl w:val="1"/>
        <w:rPr>
          <w:rFonts w:hint="eastAsia" w:ascii="宋体" w:hAnsi="宋体" w:eastAsia="宋体" w:cs="宋体"/>
          <w:sz w:val="24"/>
          <w:szCs w:val="24"/>
        </w:rPr>
      </w:pPr>
      <w:r>
        <w:rPr>
          <w:rFonts w:hint="eastAsia" w:ascii="宋体" w:hAnsi="宋体" w:cs="宋体"/>
          <w:bCs/>
          <w:kern w:val="0"/>
          <w:sz w:val="24"/>
          <w:szCs w:val="24"/>
          <w:lang w:val="en-US" w:eastAsia="zh-CN"/>
        </w:rPr>
        <w:t>1.3响应</w:t>
      </w:r>
      <w:r>
        <w:rPr>
          <w:rFonts w:hint="eastAsia" w:ascii="宋体" w:hAnsi="宋体" w:eastAsia="宋体" w:cs="宋体"/>
          <w:bCs/>
          <w:kern w:val="0"/>
          <w:sz w:val="24"/>
          <w:szCs w:val="24"/>
        </w:rPr>
        <w:t>文件须对</w:t>
      </w:r>
      <w:r>
        <w:rPr>
          <w:rFonts w:hint="eastAsia" w:ascii="宋体" w:hAnsi="宋体" w:cs="宋体"/>
          <w:bCs/>
          <w:kern w:val="0"/>
          <w:sz w:val="24"/>
          <w:szCs w:val="24"/>
          <w:lang w:val="en-US" w:eastAsia="zh-CN"/>
        </w:rPr>
        <w:t>磋商</w:t>
      </w:r>
      <w:r>
        <w:rPr>
          <w:rFonts w:hint="eastAsia" w:ascii="宋体" w:hAnsi="宋体" w:eastAsia="宋体" w:cs="宋体"/>
          <w:bCs/>
          <w:kern w:val="0"/>
          <w:sz w:val="24"/>
          <w:szCs w:val="24"/>
        </w:rPr>
        <w:t>文件中的内容做出实质性和完整性的响应，否则其投标将被视为无效投标。</w:t>
      </w:r>
    </w:p>
    <w:p w14:paraId="3350C7B2">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default" w:ascii="宋体" w:hAnsi="宋体" w:eastAsia="宋体" w:cs="宋体"/>
          <w:b/>
          <w:bCs/>
          <w:kern w:val="2"/>
          <w:sz w:val="24"/>
          <w:szCs w:val="24"/>
          <w:lang w:val="en-US" w:eastAsia="zh-CN" w:bidi="ar-SA"/>
        </w:rPr>
        <w:t>2</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响应文件构成</w:t>
      </w:r>
    </w:p>
    <w:p w14:paraId="7658E8FE">
      <w:pPr>
        <w:widowControl/>
        <w:spacing w:line="360" w:lineRule="auto"/>
        <w:ind w:firstLine="480" w:firstLineChars="200"/>
        <w:outlineLvl w:val="1"/>
        <w:rPr>
          <w:rFonts w:hint="eastAsia" w:ascii="宋体" w:hAnsi="宋体" w:eastAsia="宋体" w:cs="宋体"/>
          <w:sz w:val="24"/>
          <w:szCs w:val="24"/>
        </w:rPr>
      </w:pPr>
      <w:r>
        <w:rPr>
          <w:rFonts w:hint="eastAsia" w:ascii="宋体" w:cs="Times New Roman"/>
          <w:bCs/>
          <w:kern w:val="0"/>
          <w:sz w:val="24"/>
          <w:szCs w:val="24"/>
        </w:rPr>
        <w:t>投标人应按照本须知响应文件构成和格式及第七部分提供的格式编写响应文件，不得缺少</w:t>
      </w:r>
      <w:r>
        <w:rPr>
          <w:rFonts w:hint="eastAsia" w:ascii="宋体" w:cs="Times New Roman"/>
          <w:bCs/>
          <w:kern w:val="0"/>
          <w:sz w:val="24"/>
          <w:szCs w:val="24"/>
          <w:lang w:val="en-US" w:eastAsia="zh-CN"/>
        </w:rPr>
        <w:t>磋商</w:t>
      </w:r>
      <w:r>
        <w:rPr>
          <w:rFonts w:hint="eastAsia" w:ascii="宋体" w:cs="Times New Roman"/>
          <w:bCs/>
          <w:kern w:val="0"/>
          <w:sz w:val="24"/>
          <w:szCs w:val="24"/>
        </w:rPr>
        <w:t>文件要求填写的表格或提交的资料。</w:t>
      </w:r>
    </w:p>
    <w:p w14:paraId="1524A46C">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default" w:ascii="宋体" w:hAnsi="宋体" w:eastAsia="宋体" w:cs="宋体"/>
          <w:b/>
          <w:bCs/>
          <w:kern w:val="2"/>
          <w:sz w:val="24"/>
          <w:szCs w:val="24"/>
          <w:lang w:val="en-US" w:eastAsia="zh-CN" w:bidi="ar-SA"/>
        </w:rPr>
        <w:t>3</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磋商报价</w:t>
      </w:r>
    </w:p>
    <w:p w14:paraId="3DDB39DD">
      <w:pPr>
        <w:spacing w:line="360" w:lineRule="auto"/>
        <w:ind w:firstLine="480" w:firstLineChars="200"/>
        <w:rPr>
          <w:rFonts w:ascii="宋体" w:hAnsi="宋体"/>
          <w:sz w:val="28"/>
          <w:szCs w:val="22"/>
          <w:highlight w:val="none"/>
        </w:rPr>
      </w:pPr>
      <w:bookmarkStart w:id="68" w:name="_Toc29200"/>
      <w:bookmarkStart w:id="69" w:name="_Toc536202300"/>
      <w:r>
        <w:rPr>
          <w:rFonts w:hint="eastAsia" w:ascii="宋体" w:hAnsi="宋体"/>
          <w:sz w:val="24"/>
          <w:highlight w:val="none"/>
          <w:lang w:val="en-US" w:eastAsia="zh-CN"/>
        </w:rPr>
        <w:t>3.1</w:t>
      </w:r>
      <w:r>
        <w:rPr>
          <w:rFonts w:hint="eastAsia" w:ascii="宋体" w:hAnsi="宋体"/>
          <w:sz w:val="24"/>
          <w:highlight w:val="none"/>
        </w:rPr>
        <w:t>磋商报价为供应商充分考虑磋商文件的各项条款和所掌握的市场情况及本项目的实际情况，根据自身情况自主报价。</w:t>
      </w:r>
    </w:p>
    <w:p w14:paraId="102FEAF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3.2</w:t>
      </w:r>
      <w:r>
        <w:rPr>
          <w:rFonts w:hint="eastAsia" w:ascii="宋体" w:hAnsi="宋体"/>
          <w:color w:val="000000" w:themeColor="text1"/>
          <w:sz w:val="24"/>
          <w:highlight w:val="none"/>
          <w14:textFill>
            <w14:solidFill>
              <w14:schemeClr w14:val="tx1"/>
            </w14:solidFill>
          </w14:textFill>
        </w:rPr>
        <w:t>供应商可先到项目服务</w:t>
      </w:r>
      <w:r>
        <w:rPr>
          <w:rFonts w:ascii="宋体" w:hAnsi="宋体"/>
          <w:color w:val="000000" w:themeColor="text1"/>
          <w:sz w:val="24"/>
          <w:highlight w:val="none"/>
          <w14:textFill>
            <w14:solidFill>
              <w14:schemeClr w14:val="tx1"/>
            </w14:solidFill>
          </w14:textFill>
        </w:rPr>
        <w:t>地点</w:t>
      </w:r>
      <w:r>
        <w:rPr>
          <w:rFonts w:hint="eastAsia" w:ascii="宋体" w:hAnsi="宋体"/>
          <w:color w:val="000000" w:themeColor="text1"/>
          <w:sz w:val="24"/>
          <w:highlight w:val="none"/>
          <w14:textFill>
            <w14:solidFill>
              <w14:schemeClr w14:val="tx1"/>
            </w14:solidFill>
          </w14:textFill>
        </w:rPr>
        <w:t>踏勘以充分了解各方面情况，因忽视或误解情况而导致的索赔申请将不被批准。凡因供应商对磋商文件阅读疏忽或误解，或因对服务地点市场行情等了解不清而造成的后果和风险，由供应商负责。</w:t>
      </w:r>
      <w:r>
        <w:rPr>
          <w:rFonts w:ascii="宋体" w:hAnsi="宋体"/>
          <w:color w:val="000000" w:themeColor="text1"/>
          <w:sz w:val="24"/>
          <w:highlight w:val="none"/>
          <w14:textFill>
            <w14:solidFill>
              <w14:schemeClr w14:val="tx1"/>
            </w14:solidFill>
          </w14:textFill>
        </w:rPr>
        <w:t xml:space="preserve"> </w:t>
      </w:r>
    </w:p>
    <w:p w14:paraId="0452A52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3.3</w:t>
      </w:r>
      <w:r>
        <w:rPr>
          <w:rFonts w:hint="eastAsia" w:ascii="宋体" w:hAnsi="宋体"/>
          <w:color w:val="000000" w:themeColor="text1"/>
          <w:sz w:val="24"/>
          <w:highlight w:val="none"/>
          <w14:textFill>
            <w14:solidFill>
              <w14:schemeClr w14:val="tx1"/>
            </w14:solidFill>
          </w14:textFill>
        </w:rPr>
        <w:t>凡本磋商文件要求（或允许）及供应商认为需要进行报价的各项费用项目，（不论是否要求进入报价）若磋商时未报或未在响应</w:t>
      </w:r>
      <w:r>
        <w:rPr>
          <w:rFonts w:ascii="宋体" w:hAnsi="宋体"/>
          <w:color w:val="000000" w:themeColor="text1"/>
          <w:sz w:val="24"/>
          <w:highlight w:val="none"/>
          <w14:textFill>
            <w14:solidFill>
              <w14:schemeClr w14:val="tx1"/>
            </w14:solidFill>
          </w14:textFill>
        </w:rPr>
        <w:t>文件</w:t>
      </w:r>
      <w:r>
        <w:rPr>
          <w:rFonts w:hint="eastAsia" w:ascii="宋体" w:hAnsi="宋体"/>
          <w:color w:val="000000" w:themeColor="text1"/>
          <w:sz w:val="24"/>
          <w:highlight w:val="none"/>
          <w14:textFill>
            <w14:solidFill>
              <w14:schemeClr w14:val="tx1"/>
            </w14:solidFill>
          </w14:textFill>
        </w:rPr>
        <w:t>中予以说明，采购人将按这些费用已包含在磋商报价中对待；</w:t>
      </w:r>
      <w:r>
        <w:rPr>
          <w:rFonts w:hint="eastAsia" w:ascii="宋体" w:hAnsi="宋体"/>
          <w:color w:val="000000" w:themeColor="text1"/>
          <w:spacing w:val="4"/>
          <w:sz w:val="24"/>
          <w:highlight w:val="none"/>
          <w14:textFill>
            <w14:solidFill>
              <w14:schemeClr w14:val="tx1"/>
            </w14:solidFill>
          </w14:textFill>
        </w:rPr>
        <w:t>供应商应考虑全部材料的风险，供应商一旦成交，采购人将不再对此部分进行调整；供应商的报价应将此差异考虑在综合单价内，</w:t>
      </w:r>
      <w:r>
        <w:rPr>
          <w:rFonts w:hint="eastAsia" w:ascii="宋体" w:hAnsi="宋体" w:cs="宋体"/>
          <w:color w:val="000000" w:themeColor="text1"/>
          <w:sz w:val="24"/>
          <w:szCs w:val="24"/>
          <w:highlight w:val="none"/>
          <w14:textFill>
            <w14:solidFill>
              <w14:schemeClr w14:val="tx1"/>
            </w14:solidFill>
          </w14:textFill>
        </w:rPr>
        <w:t>采购人不再</w:t>
      </w:r>
      <w:r>
        <w:rPr>
          <w:rFonts w:hint="eastAsia" w:ascii="宋体" w:hAnsi="宋体" w:cs="宋体"/>
          <w:color w:val="000000" w:themeColor="text1"/>
          <w:sz w:val="24"/>
          <w:szCs w:val="24"/>
          <w:highlight w:val="none"/>
          <w:lang w:eastAsia="zh-CN"/>
          <w14:textFill>
            <w14:solidFill>
              <w14:schemeClr w14:val="tx1"/>
            </w14:solidFill>
          </w14:textFill>
        </w:rPr>
        <w:t>承担其他任何</w:t>
      </w:r>
      <w:r>
        <w:rPr>
          <w:rFonts w:hint="eastAsia" w:ascii="宋体" w:hAnsi="宋体" w:cs="宋体"/>
          <w:color w:val="000000" w:themeColor="text1"/>
          <w:sz w:val="24"/>
          <w:szCs w:val="24"/>
          <w:highlight w:val="none"/>
          <w14:textFill>
            <w14:solidFill>
              <w14:schemeClr w14:val="tx1"/>
            </w14:solidFill>
          </w14:textFill>
        </w:rPr>
        <w:t>费用</w:t>
      </w:r>
      <w:r>
        <w:rPr>
          <w:rFonts w:hint="eastAsia" w:ascii="宋体" w:hAnsi="宋体"/>
          <w:color w:val="000000" w:themeColor="text1"/>
          <w:spacing w:val="4"/>
          <w:sz w:val="24"/>
          <w:highlight w:val="none"/>
          <w14:textFill>
            <w14:solidFill>
              <w14:schemeClr w14:val="tx1"/>
            </w14:solidFill>
          </w14:textFill>
        </w:rPr>
        <w:t>。</w:t>
      </w:r>
    </w:p>
    <w:p w14:paraId="02273F4D">
      <w:pPr>
        <w:spacing w:line="360" w:lineRule="auto"/>
        <w:ind w:firstLine="480" w:firstLineChars="200"/>
        <w:rPr>
          <w:rFonts w:ascii="宋体" w:hAnsi="宋体"/>
          <w:sz w:val="24"/>
        </w:rPr>
      </w:pPr>
      <w:r>
        <w:rPr>
          <w:rFonts w:hint="eastAsia" w:ascii="宋体" w:hAnsi="宋体"/>
          <w:sz w:val="24"/>
          <w:lang w:val="en-US" w:eastAsia="zh-CN"/>
        </w:rPr>
        <w:t>3.4</w:t>
      </w:r>
      <w:r>
        <w:rPr>
          <w:rFonts w:hint="eastAsia" w:hAnsi="宋体"/>
          <w:sz w:val="24"/>
        </w:rPr>
        <w:t>响应报价表</w:t>
      </w:r>
      <w:r>
        <w:rPr>
          <w:rFonts w:hint="eastAsia" w:ascii="宋体" w:hAnsi="宋体"/>
          <w:sz w:val="24"/>
        </w:rPr>
        <w:t>应有法定代表人或被授权人的签字。</w:t>
      </w:r>
    </w:p>
    <w:p w14:paraId="7155CBC6">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default" w:ascii="宋体" w:hAnsi="宋体" w:eastAsia="宋体" w:cs="宋体"/>
          <w:b/>
          <w:bCs/>
          <w:kern w:val="2"/>
          <w:sz w:val="24"/>
          <w:szCs w:val="24"/>
          <w:lang w:val="en-US" w:eastAsia="zh-CN" w:bidi="ar-SA"/>
        </w:rPr>
        <w:t>4</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 xml:space="preserve"> 磋商货币</w:t>
      </w:r>
      <w:bookmarkEnd w:id="68"/>
      <w:bookmarkEnd w:id="69"/>
    </w:p>
    <w:p w14:paraId="4AA0E050">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采购人只接受人民币作为唯一磋商货币。以人民币为投标货币。以元为报价单位，保留小数点后两位。</w:t>
      </w:r>
    </w:p>
    <w:p w14:paraId="40B46268">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70" w:name="_Toc536202301"/>
      <w:bookmarkStart w:id="71" w:name="_Toc1311"/>
      <w:r>
        <w:rPr>
          <w:rFonts w:hint="default" w:ascii="宋体" w:hAnsi="宋体" w:eastAsia="宋体" w:cs="宋体"/>
          <w:b/>
          <w:bCs/>
          <w:kern w:val="2"/>
          <w:sz w:val="24"/>
          <w:szCs w:val="24"/>
          <w:lang w:val="en-US" w:eastAsia="zh-CN" w:bidi="ar-SA"/>
        </w:rPr>
        <w:t>5</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磋商保证金</w:t>
      </w:r>
      <w:bookmarkEnd w:id="70"/>
      <w:bookmarkEnd w:id="71"/>
    </w:p>
    <w:p w14:paraId="63FF97AB">
      <w:pPr>
        <w:ind w:firstLine="480" w:firstLineChars="200"/>
        <w:rPr>
          <w:rFonts w:hint="eastAsia"/>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本项目不设置投标保证金</w:t>
      </w:r>
    </w:p>
    <w:p w14:paraId="7C8AC1E9">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72" w:name="_Toc536202302"/>
      <w:r>
        <w:rPr>
          <w:rFonts w:hint="default" w:ascii="宋体" w:hAnsi="宋体" w:eastAsia="宋体" w:cs="宋体"/>
          <w:b/>
          <w:bCs/>
          <w:kern w:val="2"/>
          <w:sz w:val="24"/>
          <w:szCs w:val="24"/>
          <w:lang w:val="en-US" w:eastAsia="zh-CN" w:bidi="ar-SA"/>
        </w:rPr>
        <w:t>6</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响应有效期</w:t>
      </w:r>
      <w:bookmarkEnd w:id="72"/>
    </w:p>
    <w:p w14:paraId="3E0766AB">
      <w:pPr>
        <w:pageBreakBefore w:val="0"/>
        <w:wordWrap/>
        <w:topLinePunct w:val="0"/>
        <w:autoSpaceDE/>
        <w:autoSpaceDN/>
        <w:bidi w:val="0"/>
        <w:adjustRightInd w:val="0"/>
        <w:snapToGrid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224481BE">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73" w:name="_Toc536202303"/>
      <w:bookmarkStart w:id="74" w:name="_Toc24827"/>
      <w:r>
        <w:rPr>
          <w:rFonts w:hint="default" w:ascii="宋体" w:hAnsi="宋体" w:eastAsia="宋体" w:cs="宋体"/>
          <w:b/>
          <w:bCs/>
          <w:kern w:val="2"/>
          <w:sz w:val="24"/>
          <w:szCs w:val="24"/>
          <w:lang w:val="en-US" w:eastAsia="zh-CN" w:bidi="ar-SA"/>
        </w:rPr>
        <w:t>7</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响应文件的格式</w:t>
      </w:r>
      <w:bookmarkEnd w:id="73"/>
      <w:bookmarkEnd w:id="74"/>
      <w:r>
        <w:rPr>
          <w:rFonts w:hint="eastAsia" w:ascii="宋体" w:hAnsi="宋体" w:cs="宋体"/>
          <w:sz w:val="24"/>
          <w:szCs w:val="24"/>
          <w:lang w:val="en-US" w:eastAsia="zh-CN"/>
        </w:rPr>
        <w:t>及签署</w:t>
      </w:r>
    </w:p>
    <w:p w14:paraId="4542BA1F">
      <w:pPr>
        <w:spacing w:line="360" w:lineRule="auto"/>
        <w:ind w:firstLine="480" w:firstLineChars="200"/>
        <w:rPr>
          <w:rFonts w:hint="eastAsia" w:ascii="宋体" w:hAnsi="宋体"/>
          <w:sz w:val="24"/>
          <w:szCs w:val="24"/>
        </w:rPr>
      </w:pPr>
      <w:r>
        <w:rPr>
          <w:rFonts w:hint="eastAsia" w:ascii="宋体" w:hAnsi="宋体" w:eastAsia="宋体" w:cs="宋体"/>
          <w:sz w:val="24"/>
          <w:szCs w:val="24"/>
        </w:rPr>
        <w:t>7.1供应商须依据竞争性磋商文件内容和响应文件格式的要求编制响应文件；</w:t>
      </w:r>
      <w:r>
        <w:rPr>
          <w:rFonts w:hint="eastAsia" w:ascii="宋体" w:hAnsi="宋体"/>
          <w:sz w:val="24"/>
          <w:szCs w:val="24"/>
        </w:rPr>
        <w:t>并编制目录和对应的页码。</w:t>
      </w:r>
    </w:p>
    <w:p w14:paraId="785BB829">
      <w:pPr>
        <w:widowControl/>
        <w:spacing w:line="336" w:lineRule="auto"/>
        <w:ind w:firstLine="600" w:firstLineChars="250"/>
        <w:outlineLvl w:val="1"/>
        <w:rPr>
          <w:rFonts w:ascii="宋体" w:hAnsi="宋体" w:cs="宋体"/>
          <w:bCs/>
          <w:kern w:val="0"/>
          <w:sz w:val="24"/>
          <w:szCs w:val="24"/>
          <w:highlight w:val="none"/>
        </w:rPr>
      </w:pPr>
      <w:r>
        <w:rPr>
          <w:rFonts w:hint="eastAsia" w:ascii="宋体" w:hAnsi="宋体" w:cs="宋体"/>
          <w:bCs/>
          <w:kern w:val="0"/>
          <w:sz w:val="24"/>
          <w:szCs w:val="24"/>
          <w:highlight w:val="none"/>
          <w:lang w:val="en-US" w:eastAsia="zh-CN"/>
        </w:rPr>
        <w:t>7.1.1</w:t>
      </w:r>
      <w:r>
        <w:rPr>
          <w:rFonts w:hint="eastAsia" w:ascii="宋体" w:hAnsi="宋体" w:cs="宋体"/>
          <w:bCs/>
          <w:kern w:val="0"/>
          <w:sz w:val="24"/>
          <w:szCs w:val="24"/>
          <w:highlight w:val="none"/>
        </w:rPr>
        <w:t>为确保采购项目顺利开展，本项目采用电子</w:t>
      </w:r>
      <w:bookmarkStart w:id="75" w:name="_Hlk34128658"/>
      <w:r>
        <w:rPr>
          <w:rFonts w:hint="eastAsia" w:ascii="宋体" w:hAnsi="宋体" w:cs="宋体"/>
          <w:bCs/>
          <w:kern w:val="0"/>
          <w:sz w:val="24"/>
          <w:szCs w:val="24"/>
          <w:highlight w:val="none"/>
        </w:rPr>
        <w:t>响应文件</w:t>
      </w:r>
      <w:bookmarkEnd w:id="75"/>
      <w:r>
        <w:rPr>
          <w:rFonts w:hint="eastAsia" w:ascii="宋体" w:hAnsi="宋体" w:cs="宋体"/>
          <w:bCs/>
          <w:kern w:val="0"/>
          <w:sz w:val="24"/>
          <w:szCs w:val="24"/>
          <w:highlight w:val="none"/>
        </w:rPr>
        <w:t>。投标人在投标前须提供电子响应文件。</w:t>
      </w:r>
    </w:p>
    <w:p w14:paraId="1314825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7.2.2</w:t>
      </w:r>
      <w:r>
        <w:rPr>
          <w:rFonts w:hint="eastAsia" w:ascii="宋体" w:hAnsi="宋体"/>
          <w:color w:val="000000" w:themeColor="text1"/>
          <w:sz w:val="24"/>
          <w:highlight w:val="none"/>
          <w14:textFill>
            <w14:solidFill>
              <w14:schemeClr w14:val="tx1"/>
            </w14:solidFill>
          </w14:textFill>
        </w:rPr>
        <w:t>编制电子响应文件时，应使用最新发布的电子</w:t>
      </w:r>
      <w:r>
        <w:rPr>
          <w:rFonts w:hint="eastAsia" w:ascii="宋体" w:hAnsi="宋体"/>
          <w:color w:val="000000" w:themeColor="text1"/>
          <w:sz w:val="24"/>
          <w:highlight w:val="none"/>
          <w:lang w:val="en-US" w:eastAsia="zh-CN"/>
          <w14:textFill>
            <w14:solidFill>
              <w14:schemeClr w14:val="tx1"/>
            </w14:solidFill>
          </w14:textFill>
        </w:rPr>
        <w:t>磋商</w:t>
      </w:r>
      <w:r>
        <w:rPr>
          <w:rFonts w:hint="eastAsia" w:ascii="宋体" w:hAnsi="宋体"/>
          <w:color w:val="000000" w:themeColor="text1"/>
          <w:sz w:val="24"/>
          <w:highlight w:val="none"/>
          <w14:textFill>
            <w14:solidFill>
              <w14:schemeClr w14:val="tx1"/>
            </w14:solidFill>
          </w14:textFill>
        </w:rPr>
        <w:t>文件及专用制作工具进行编制。并使用数字认证证书（CA）对电子响应文件进行签署、加密、递交及开标时解密等相关操作。响应文件中需要加盖法定代表人私章的地方，请使用“法人CA”进行签章；需要加盖供应商公章的地方，请使用“企业 CA”进行盖章。加密和解密应当使用同一 CA，否则将会导致解密失败。因供应商自身原因未使用最新发布的电子</w:t>
      </w:r>
      <w:r>
        <w:rPr>
          <w:rFonts w:hint="eastAsia" w:ascii="宋体" w:hAnsi="宋体"/>
          <w:color w:val="000000" w:themeColor="text1"/>
          <w:sz w:val="24"/>
          <w:highlight w:val="none"/>
          <w:lang w:val="en-US" w:eastAsia="zh-CN"/>
          <w14:textFill>
            <w14:solidFill>
              <w14:schemeClr w14:val="tx1"/>
            </w14:solidFill>
          </w14:textFill>
        </w:rPr>
        <w:t>磋商</w:t>
      </w:r>
      <w:r>
        <w:rPr>
          <w:rFonts w:hint="eastAsia" w:ascii="宋体" w:hAnsi="宋体"/>
          <w:color w:val="000000" w:themeColor="text1"/>
          <w:sz w:val="24"/>
          <w:highlight w:val="none"/>
          <w14:textFill>
            <w14:solidFill>
              <w14:schemeClr w14:val="tx1"/>
            </w14:solidFill>
          </w14:textFill>
        </w:rPr>
        <w:t>文件及专用制作工具进行编制，导致电子文件上传失败，由供应商自行承担全部责任。</w:t>
      </w:r>
    </w:p>
    <w:p w14:paraId="6AFBEDB3">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val="en-US" w:eastAsia="zh-CN"/>
        </w:rPr>
        <w:t>2</w:t>
      </w:r>
      <w:r>
        <w:rPr>
          <w:rFonts w:hint="eastAsia" w:ascii="宋体" w:hAnsi="宋体" w:eastAsia="宋体" w:cs="宋体"/>
          <w:sz w:val="24"/>
          <w:szCs w:val="24"/>
        </w:rPr>
        <w:t>响应文件的签署</w:t>
      </w:r>
    </w:p>
    <w:p w14:paraId="5D6D989E">
      <w:pPr>
        <w:pageBreakBefore w:val="0"/>
        <w:numPr>
          <w:ilvl w:val="0"/>
          <w:numId w:val="8"/>
        </w:numPr>
        <w:wordWrap/>
        <w:topLinePunct w:val="0"/>
        <w:autoSpaceDE/>
        <w:autoSpaceDN/>
        <w:bidi w:val="0"/>
        <w:spacing w:line="336" w:lineRule="auto"/>
        <w:jc w:val="left"/>
        <w:textAlignment w:val="auto"/>
        <w:rPr>
          <w:rFonts w:hint="eastAsia" w:ascii="宋体" w:hAnsi="宋体" w:eastAsia="宋体" w:cs="宋体"/>
          <w:sz w:val="24"/>
          <w:szCs w:val="24"/>
        </w:rPr>
      </w:pPr>
      <w:r>
        <w:rPr>
          <w:rFonts w:hint="eastAsia" w:ascii="宋体" w:hAnsi="宋体" w:eastAsia="宋体" w:cs="宋体"/>
          <w:sz w:val="24"/>
          <w:szCs w:val="24"/>
        </w:rPr>
        <w:t>供应商应在响应文件中指定的页面落款处填写供应商全称，并按要求加盖公章</w:t>
      </w:r>
      <w:r>
        <w:rPr>
          <w:rFonts w:hint="eastAsia" w:ascii="宋体" w:hAnsi="宋体" w:cs="宋体"/>
          <w:sz w:val="24"/>
          <w:szCs w:val="24"/>
          <w:lang w:eastAsia="zh-CN"/>
        </w:rPr>
        <w:t>（</w:t>
      </w:r>
      <w:r>
        <w:rPr>
          <w:rFonts w:hint="eastAsia" w:ascii="宋体" w:hAnsi="宋体" w:eastAsia="宋体" w:cs="宋体"/>
          <w:sz w:val="24"/>
          <w:szCs w:val="24"/>
        </w:rPr>
        <w:t>包括响应文件的封面）。</w:t>
      </w:r>
    </w:p>
    <w:p w14:paraId="56E3B459">
      <w:pPr>
        <w:pageBreakBefore w:val="0"/>
        <w:numPr>
          <w:ilvl w:val="0"/>
          <w:numId w:val="8"/>
        </w:numPr>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响应文件应字迹清楚、内容齐全、不得涂改或增删。如有修改和增删，必须有供应商公章及法定代表人或其授权代表签字。</w:t>
      </w:r>
    </w:p>
    <w:p w14:paraId="2D385556">
      <w:pPr>
        <w:pageBreakBefore w:val="0"/>
        <w:numPr>
          <w:ilvl w:val="0"/>
          <w:numId w:val="8"/>
        </w:numPr>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因响应文件字迹潦草或表达不清所引起的不利后果由供应商承担。</w:t>
      </w:r>
    </w:p>
    <w:p w14:paraId="14732661">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val="en-US" w:eastAsia="zh-CN"/>
        </w:rPr>
        <w:t>3</w:t>
      </w:r>
      <w:r>
        <w:rPr>
          <w:rFonts w:hint="eastAsia" w:ascii="宋体" w:hAnsi="宋体" w:eastAsia="宋体" w:cs="宋体"/>
          <w:sz w:val="24"/>
          <w:szCs w:val="24"/>
        </w:rPr>
        <w:t>本次磋商只接受简体中文文字的响应文件；如响应文件中出现外文资料，必须配以中文译文。否则，由此引发的一切责任由供应商自负。</w:t>
      </w:r>
    </w:p>
    <w:p w14:paraId="5E42B16A">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7.</w:t>
      </w:r>
      <w:r>
        <w:rPr>
          <w:rFonts w:hint="eastAsia" w:ascii="宋体" w:hAnsi="宋体" w:cs="宋体"/>
          <w:kern w:val="0"/>
          <w:sz w:val="24"/>
          <w:szCs w:val="24"/>
          <w:lang w:val="en-US" w:eastAsia="zh-CN"/>
        </w:rPr>
        <w:t>4</w:t>
      </w:r>
      <w:r>
        <w:rPr>
          <w:rFonts w:hint="eastAsia" w:ascii="宋体" w:hAnsi="宋体" w:eastAsia="宋体" w:cs="宋体"/>
          <w:kern w:val="0"/>
          <w:sz w:val="24"/>
          <w:szCs w:val="24"/>
        </w:rPr>
        <w:t>拒绝接受以电话、传真、电子邮件形式的磋商。</w:t>
      </w:r>
    </w:p>
    <w:p w14:paraId="7A45DB00">
      <w:pPr>
        <w:pStyle w:val="6"/>
        <w:pageBreakBefore w:val="0"/>
        <w:numPr>
          <w:ilvl w:val="0"/>
          <w:numId w:val="0"/>
        </w:numPr>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bookmarkStart w:id="76" w:name="_Toc536202304"/>
      <w:bookmarkStart w:id="77" w:name="_Toc22752"/>
      <w:r>
        <w:rPr>
          <w:rFonts w:hint="default" w:ascii="宋体" w:hAnsi="宋体" w:eastAsia="宋体" w:cs="宋体"/>
          <w:b/>
          <w:bCs/>
          <w:kern w:val="2"/>
          <w:sz w:val="24"/>
          <w:szCs w:val="24"/>
          <w:lang w:val="en-US" w:eastAsia="zh-CN" w:bidi="ar-SA"/>
        </w:rPr>
        <w:t>8</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知识产权</w:t>
      </w:r>
      <w:bookmarkEnd w:id="76"/>
      <w:bookmarkEnd w:id="77"/>
    </w:p>
    <w:p w14:paraId="6752FDC2">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.1供应商应保证在本项目使用的任何产品和服务（包括部分使用）时，不会产生因第三方提出侵犯其专利权、商标权或其它知识产权而引起的法律和经济纠纷，如因专利权、商标权</w:t>
      </w:r>
      <w:r>
        <w:rPr>
          <w:rFonts w:hint="eastAsia" w:ascii="宋体" w:hAnsi="宋体" w:cs="宋体"/>
          <w:sz w:val="24"/>
          <w:szCs w:val="24"/>
          <w:lang w:eastAsia="zh-CN"/>
        </w:rPr>
        <w:t>或其他</w:t>
      </w:r>
      <w:r>
        <w:rPr>
          <w:rFonts w:hint="eastAsia" w:ascii="宋体" w:hAnsi="宋体" w:eastAsia="宋体" w:cs="宋体"/>
          <w:sz w:val="24"/>
          <w:szCs w:val="24"/>
        </w:rPr>
        <w:t>知识产权而引起法律纠纷和经济纠纷，由供应商承担所有相关责任。</w:t>
      </w:r>
    </w:p>
    <w:p w14:paraId="7AE5BBAD">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.2采购人享有本项目在实施过程中产生的知识成果及知识产权。</w:t>
      </w:r>
    </w:p>
    <w:p w14:paraId="39D8D9C3">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3供应商如欲在项目实施过程中采用自有知识成果，需在响应文件中声明，并提供相关知识产权证明文件。使用该知识成果后，供应商须提供开发接口和开发手册等技术文档，并承诺提供无限期技术支持，采购人享有永久使用权。</w:t>
      </w:r>
    </w:p>
    <w:p w14:paraId="3C87384C">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.4如供应商所不拥有的知识产权，则在响应报价中必须包括合法获取该知识产权的相关费用。</w:t>
      </w:r>
    </w:p>
    <w:p w14:paraId="58825657">
      <w:pPr>
        <w:pageBreakBefore w:val="0"/>
        <w:widowControl/>
        <w:numPr>
          <w:ilvl w:val="0"/>
          <w:numId w:val="5"/>
        </w:numPr>
        <w:wordWrap/>
        <w:topLinePunct w:val="0"/>
        <w:autoSpaceDE/>
        <w:autoSpaceDN/>
        <w:bidi w:val="0"/>
        <w:spacing w:line="336" w:lineRule="auto"/>
        <w:jc w:val="center"/>
        <w:textAlignment w:val="auto"/>
        <w:outlineLvl w:val="1"/>
        <w:rPr>
          <w:rFonts w:hint="eastAsia" w:ascii="宋体" w:hAnsi="宋体" w:eastAsia="宋体" w:cs="宋体"/>
          <w:b/>
          <w:bCs/>
          <w:kern w:val="0"/>
          <w:sz w:val="24"/>
          <w:szCs w:val="24"/>
        </w:rPr>
      </w:pPr>
      <w:bookmarkStart w:id="78" w:name="_Toc536429375"/>
      <w:bookmarkStart w:id="79" w:name="_Toc536202382"/>
      <w:bookmarkStart w:id="80" w:name="_Toc536429322"/>
      <w:bookmarkStart w:id="81" w:name="_Toc4747"/>
      <w:bookmarkStart w:id="82" w:name="_Toc536202305"/>
      <w:bookmarkStart w:id="83" w:name="_Toc3565"/>
      <w:bookmarkStart w:id="84" w:name="_Toc19543339"/>
      <w:bookmarkStart w:id="85" w:name="_Toc3736"/>
      <w:r>
        <w:rPr>
          <w:rFonts w:hint="eastAsia" w:ascii="宋体" w:hAnsi="宋体" w:eastAsia="宋体" w:cs="宋体"/>
          <w:b/>
          <w:bCs/>
          <w:kern w:val="0"/>
          <w:sz w:val="24"/>
          <w:szCs w:val="24"/>
        </w:rPr>
        <w:t>响应文件的递交</w:t>
      </w:r>
      <w:bookmarkEnd w:id="78"/>
      <w:bookmarkEnd w:id="79"/>
      <w:bookmarkEnd w:id="80"/>
      <w:bookmarkEnd w:id="81"/>
      <w:bookmarkEnd w:id="82"/>
      <w:bookmarkEnd w:id="83"/>
      <w:bookmarkEnd w:id="84"/>
    </w:p>
    <w:bookmarkEnd w:id="85"/>
    <w:p w14:paraId="1D137CEB">
      <w:pPr>
        <w:keepNext/>
        <w:keepLines/>
        <w:spacing w:line="400" w:lineRule="exact"/>
        <w:ind w:firstLine="482" w:firstLineChars="200"/>
        <w:outlineLvl w:val="2"/>
        <w:rPr>
          <w:rFonts w:ascii="宋体" w:hAnsi="宋体" w:cs="宋体"/>
          <w:b/>
          <w:bCs/>
          <w:sz w:val="24"/>
          <w:szCs w:val="28"/>
        </w:rPr>
      </w:pPr>
      <w:bookmarkStart w:id="86" w:name="_Toc536429376"/>
      <w:bookmarkStart w:id="87" w:name="_Toc536429323"/>
      <w:bookmarkStart w:id="88" w:name="_Toc536202383"/>
      <w:bookmarkStart w:id="89" w:name="_Toc19543340"/>
      <w:bookmarkStart w:id="90" w:name="_Toc27066"/>
      <w:bookmarkStart w:id="91" w:name="_Toc14415"/>
      <w:bookmarkStart w:id="92" w:name="_Toc175"/>
      <w:bookmarkStart w:id="93" w:name="_Toc536202308"/>
      <w:r>
        <w:rPr>
          <w:rFonts w:hint="eastAsia" w:ascii="宋体" w:hAnsi="宋体" w:cs="宋体"/>
          <w:b/>
          <w:bCs/>
          <w:sz w:val="24"/>
          <w:szCs w:val="28"/>
          <w:lang w:val="en-US" w:eastAsia="zh-CN"/>
        </w:rPr>
        <w:t>1.</w:t>
      </w:r>
      <w:r>
        <w:rPr>
          <w:rFonts w:hint="eastAsia" w:ascii="宋体" w:hAnsi="宋体" w:eastAsia="宋体" w:cs="宋体"/>
          <w:b/>
          <w:bCs/>
          <w:kern w:val="0"/>
          <w:sz w:val="24"/>
          <w:szCs w:val="24"/>
        </w:rPr>
        <w:t>响应</w:t>
      </w:r>
      <w:r>
        <w:rPr>
          <w:rFonts w:hint="eastAsia" w:ascii="宋体" w:hAnsi="宋体" w:cs="宋体"/>
          <w:b/>
          <w:bCs/>
          <w:sz w:val="24"/>
          <w:szCs w:val="28"/>
        </w:rPr>
        <w:t>文件递交</w:t>
      </w:r>
    </w:p>
    <w:p w14:paraId="43B838AF">
      <w:pPr>
        <w:adjustRightInd w:val="0"/>
        <w:snapToGrid w:val="0"/>
        <w:spacing w:line="440" w:lineRule="exact"/>
        <w:ind w:firstLine="480" w:firstLineChars="200"/>
        <w:rPr>
          <w:rFonts w:ascii="宋体" w:hAnsi="宋体" w:cs="宋体"/>
          <w:b/>
          <w:color w:val="000000"/>
          <w:kern w:val="0"/>
          <w:sz w:val="24"/>
          <w:szCs w:val="24"/>
        </w:rPr>
      </w:pPr>
      <w:r>
        <w:rPr>
          <w:rFonts w:hint="eastAsia" w:ascii="宋体" w:hAnsi="宋体" w:cs="宋体"/>
          <w:color w:val="000000"/>
          <w:kern w:val="0"/>
          <w:sz w:val="24"/>
          <w:szCs w:val="24"/>
          <w:lang w:val="en-US" w:eastAsia="zh-CN"/>
        </w:rPr>
        <w:t>1.1</w:t>
      </w:r>
      <w:r>
        <w:rPr>
          <w:rFonts w:hint="eastAsia" w:ascii="宋体" w:hAnsi="宋体" w:cs="宋体"/>
          <w:color w:val="000000"/>
          <w:kern w:val="0"/>
          <w:sz w:val="24"/>
          <w:szCs w:val="24"/>
        </w:rPr>
        <w:t>电子响应文件递交</w:t>
      </w:r>
    </w:p>
    <w:p w14:paraId="5A261D97">
      <w:pPr>
        <w:adjustRightInd w:val="0"/>
        <w:snapToGri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电子响应文件可于提交响应文件截止时间前任意时段登录全国公共资源交易平台（陕西省）网站[电子交易平台</w:t>
      </w:r>
      <w:r>
        <w:rPr>
          <w:rFonts w:hint="eastAsia" w:ascii="宋体" w:hAnsi="宋体" w:cs="宋体"/>
          <w:kern w:val="0"/>
          <w:sz w:val="24"/>
          <w:szCs w:val="24"/>
          <w:lang w:eastAsia="zh-CN"/>
        </w:rPr>
        <w:t>－</w:t>
      </w:r>
      <w:r>
        <w:rPr>
          <w:rFonts w:hint="eastAsia" w:ascii="宋体" w:hAnsi="宋体" w:cs="宋体"/>
          <w:kern w:val="0"/>
          <w:sz w:val="24"/>
          <w:szCs w:val="24"/>
        </w:rPr>
        <w:t>企业端]进行提交，逾期系统将拒绝接收。提交时，供应商应登录全国公共资源交易中心平台（陕西省），选择“首页</w:t>
      </w:r>
      <w:r>
        <w:rPr>
          <w:rFonts w:hint="eastAsia" w:ascii="宋体" w:hAnsi="宋体" w:cs="宋体"/>
          <w:kern w:val="0"/>
          <w:sz w:val="24"/>
          <w:szCs w:val="24"/>
          <w:lang w:eastAsia="zh-CN"/>
        </w:rPr>
        <w:t>〉</w:t>
      </w:r>
      <w:r>
        <w:rPr>
          <w:rFonts w:hint="eastAsia" w:ascii="宋体" w:hAnsi="宋体" w:cs="宋体"/>
          <w:kern w:val="0"/>
          <w:sz w:val="24"/>
          <w:szCs w:val="24"/>
        </w:rPr>
        <w:t>电子交易平台</w:t>
      </w:r>
      <w:r>
        <w:rPr>
          <w:rFonts w:hint="eastAsia" w:ascii="宋体" w:hAnsi="宋体" w:cs="宋体"/>
          <w:kern w:val="0"/>
          <w:sz w:val="24"/>
          <w:szCs w:val="24"/>
          <w:lang w:eastAsia="zh-CN"/>
        </w:rPr>
        <w:t>〉</w:t>
      </w:r>
      <w:r>
        <w:rPr>
          <w:rFonts w:hint="eastAsia" w:ascii="宋体" w:hAnsi="宋体" w:cs="宋体"/>
          <w:kern w:val="0"/>
          <w:sz w:val="24"/>
          <w:szCs w:val="24"/>
        </w:rPr>
        <w:t>企业端</w:t>
      </w:r>
      <w:r>
        <w:rPr>
          <w:rFonts w:hint="eastAsia" w:ascii="宋体" w:hAnsi="宋体" w:cs="宋体"/>
          <w:kern w:val="0"/>
          <w:sz w:val="24"/>
          <w:szCs w:val="24"/>
          <w:lang w:eastAsia="zh-CN"/>
        </w:rPr>
        <w:t>〉</w:t>
      </w:r>
      <w:r>
        <w:rPr>
          <w:rFonts w:hint="eastAsia" w:ascii="宋体" w:hAnsi="宋体" w:cs="宋体"/>
          <w:kern w:val="0"/>
          <w:sz w:val="24"/>
          <w:szCs w:val="24"/>
        </w:rPr>
        <w:t>我的项目”，点击[项目流程]，在打开的[项目管理]对话框中选择[上传响应文件]，上传加密的电子响应文件（</w:t>
      </w:r>
      <w:r>
        <w:rPr>
          <w:rFonts w:hint="eastAsia" w:ascii="宋体" w:hAnsi="宋体" w:cs="宋体"/>
          <w:kern w:val="0"/>
          <w:sz w:val="24"/>
          <w:szCs w:val="24"/>
          <w:lang w:eastAsia="zh-CN"/>
        </w:rPr>
        <w:t xml:space="preserve">*  </w:t>
      </w:r>
      <w:r>
        <w:rPr>
          <w:rFonts w:hint="eastAsia" w:ascii="宋体" w:hAnsi="宋体" w:cs="宋体"/>
          <w:kern w:val="0"/>
          <w:sz w:val="24"/>
          <w:szCs w:val="24"/>
        </w:rPr>
        <w:t>.SXSTF），上传成功后，电子化平台将予以记录。</w:t>
      </w:r>
    </w:p>
    <w:p w14:paraId="715BB0CA">
      <w:pPr>
        <w:widowControl/>
        <w:tabs>
          <w:tab w:val="left" w:pos="0"/>
        </w:tabs>
        <w:spacing w:line="400" w:lineRule="exact"/>
        <w:ind w:firstLine="480" w:firstLineChars="200"/>
        <w:jc w:val="left"/>
        <w:rPr>
          <w:rFonts w:ascii="宋体" w:hAnsi="Calibri"/>
          <w:sz w:val="24"/>
          <w:szCs w:val="28"/>
        </w:rPr>
      </w:pPr>
      <w:r>
        <w:rPr>
          <w:rFonts w:hint="eastAsia" w:ascii="宋体" w:hAnsi="宋体" w:cs="宋体"/>
          <w:sz w:val="24"/>
          <w:szCs w:val="28"/>
          <w:lang w:val="en-US" w:eastAsia="zh-CN"/>
        </w:rPr>
        <w:t>1.2</w:t>
      </w:r>
      <w:r>
        <w:rPr>
          <w:rFonts w:hint="eastAsia" w:ascii="宋体" w:hAnsi="宋体" w:cs="宋体"/>
          <w:sz w:val="24"/>
          <w:szCs w:val="28"/>
        </w:rPr>
        <w:t>代理机构不接受邮寄的响应文件；</w:t>
      </w:r>
    </w:p>
    <w:p w14:paraId="3884C728">
      <w:pPr>
        <w:widowControl/>
        <w:tabs>
          <w:tab w:val="left" w:pos="0"/>
        </w:tabs>
        <w:spacing w:line="400" w:lineRule="exact"/>
        <w:ind w:firstLine="480" w:firstLineChars="200"/>
        <w:jc w:val="left"/>
        <w:rPr>
          <w:rFonts w:ascii="宋体" w:hAnsi="宋体" w:cs="宋体"/>
          <w:sz w:val="24"/>
          <w:szCs w:val="28"/>
        </w:rPr>
      </w:pPr>
      <w:r>
        <w:rPr>
          <w:rFonts w:hint="eastAsia" w:ascii="宋体" w:hAnsi="宋体" w:cs="宋体"/>
          <w:sz w:val="24"/>
          <w:szCs w:val="28"/>
          <w:lang w:val="en-US" w:eastAsia="zh-CN"/>
        </w:rPr>
        <w:t>1.3</w:t>
      </w:r>
      <w:r>
        <w:rPr>
          <w:rFonts w:hint="eastAsia" w:ascii="宋体" w:hAnsi="宋体" w:cs="宋体"/>
          <w:sz w:val="24"/>
          <w:szCs w:val="28"/>
        </w:rPr>
        <w:t>无论供应商成交与否，其响应文件恕不退还。</w:t>
      </w:r>
    </w:p>
    <w:p w14:paraId="04056ED4">
      <w:pPr>
        <w:pStyle w:val="6"/>
        <w:pageBreakBefore w:val="0"/>
        <w:numPr>
          <w:ilvl w:val="0"/>
          <w:numId w:val="0"/>
        </w:numPr>
        <w:wordWrap/>
        <w:topLinePunct w:val="0"/>
        <w:autoSpaceDE/>
        <w:autoSpaceDN/>
        <w:bidi w:val="0"/>
        <w:spacing w:line="336" w:lineRule="auto"/>
        <w:ind w:left="420" w:leftChars="0"/>
        <w:textAlignment w:val="auto"/>
        <w:rPr>
          <w:rFonts w:hint="eastAsia" w:ascii="宋体" w:hAnsi="宋体" w:eastAsia="宋体" w:cs="宋体"/>
          <w:sz w:val="24"/>
          <w:szCs w:val="24"/>
        </w:rPr>
      </w:pPr>
      <w:bookmarkStart w:id="94" w:name="_Toc536202307"/>
      <w:bookmarkStart w:id="95" w:name="_Toc12741"/>
      <w:r>
        <w:rPr>
          <w:rFonts w:hint="eastAsia" w:ascii="宋体" w:hAnsi="宋体" w:cs="宋体"/>
          <w:sz w:val="24"/>
          <w:szCs w:val="24"/>
          <w:lang w:val="en-US" w:eastAsia="zh-CN"/>
        </w:rPr>
        <w:t>2.</w:t>
      </w:r>
      <w:r>
        <w:rPr>
          <w:rFonts w:hint="eastAsia" w:ascii="宋体" w:hAnsi="宋体" w:eastAsia="宋体" w:cs="宋体"/>
          <w:sz w:val="24"/>
          <w:szCs w:val="24"/>
        </w:rPr>
        <w:t>响应文件的修改和撤回</w:t>
      </w:r>
      <w:bookmarkEnd w:id="94"/>
      <w:bookmarkEnd w:id="95"/>
    </w:p>
    <w:p w14:paraId="541D2EAC">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2.1供应商在</w:t>
      </w:r>
      <w:r>
        <w:rPr>
          <w:rFonts w:hint="eastAsia" w:ascii="宋体" w:hAnsi="宋体" w:eastAsia="宋体" w:cs="宋体"/>
          <w:sz w:val="24"/>
          <w:szCs w:val="24"/>
          <w:lang w:val="en-US" w:eastAsia="zh-CN"/>
        </w:rPr>
        <w:t>上传响应</w:t>
      </w:r>
      <w:r>
        <w:rPr>
          <w:rFonts w:hint="eastAsia" w:ascii="宋体" w:hAnsi="宋体" w:eastAsia="宋体" w:cs="宋体"/>
          <w:sz w:val="24"/>
          <w:szCs w:val="24"/>
        </w:rPr>
        <w:t>文件以后，在规定的投标截止时间之前</w:t>
      </w:r>
      <w:r>
        <w:rPr>
          <w:rFonts w:hint="eastAsia" w:ascii="宋体" w:hAnsi="宋体" w:cs="宋体"/>
          <w:sz w:val="24"/>
          <w:szCs w:val="24"/>
          <w:lang w:eastAsia="zh-CN"/>
        </w:rPr>
        <w:t>，</w:t>
      </w:r>
      <w:r>
        <w:rPr>
          <w:rFonts w:hint="eastAsia" w:ascii="宋体" w:hAnsi="宋体" w:eastAsia="宋体" w:cs="宋体"/>
          <w:sz w:val="24"/>
          <w:szCs w:val="24"/>
        </w:rPr>
        <w:t>可以</w:t>
      </w:r>
      <w:r>
        <w:rPr>
          <w:rFonts w:hint="eastAsia" w:ascii="宋体" w:hAnsi="宋体" w:eastAsia="宋体" w:cs="宋体"/>
          <w:sz w:val="24"/>
          <w:szCs w:val="24"/>
          <w:lang w:val="en-US" w:eastAsia="zh-CN"/>
        </w:rPr>
        <w:t>对已</w:t>
      </w:r>
      <w:r>
        <w:rPr>
          <w:rFonts w:hint="eastAsia" w:ascii="宋体" w:hAnsi="宋体" w:eastAsia="宋体" w:cs="宋体"/>
          <w:sz w:val="24"/>
          <w:szCs w:val="24"/>
        </w:rPr>
        <w:t>递交的响应文件</w:t>
      </w:r>
      <w:r>
        <w:rPr>
          <w:rFonts w:hint="eastAsia" w:ascii="宋体" w:hAnsi="宋体" w:eastAsia="宋体" w:cs="宋体"/>
          <w:sz w:val="24"/>
          <w:szCs w:val="24"/>
          <w:lang w:val="en-US" w:eastAsia="zh-CN"/>
        </w:rPr>
        <w:t>进行修改、撤回</w:t>
      </w:r>
      <w:r>
        <w:rPr>
          <w:rFonts w:hint="eastAsia" w:ascii="宋体" w:hAnsi="宋体" w:eastAsia="宋体" w:cs="宋体"/>
          <w:sz w:val="24"/>
          <w:szCs w:val="24"/>
        </w:rPr>
        <w:t>。补充、修改的内容应当按</w:t>
      </w:r>
      <w:r>
        <w:rPr>
          <w:rFonts w:hint="eastAsia" w:ascii="宋体" w:hAnsi="宋体" w:cs="宋体"/>
          <w:sz w:val="24"/>
          <w:szCs w:val="24"/>
          <w:lang w:val="en-US" w:eastAsia="zh-CN"/>
        </w:rPr>
        <w:t>磋商</w:t>
      </w:r>
      <w:r>
        <w:rPr>
          <w:rFonts w:hint="eastAsia" w:ascii="宋体" w:hAnsi="宋体" w:eastAsia="宋体" w:cs="宋体"/>
          <w:sz w:val="24"/>
          <w:szCs w:val="24"/>
        </w:rPr>
        <w:t>文件要求</w:t>
      </w:r>
      <w:r>
        <w:rPr>
          <w:rFonts w:hint="eastAsia" w:ascii="宋体" w:hAnsi="宋体" w:eastAsia="宋体" w:cs="宋体"/>
          <w:sz w:val="24"/>
          <w:szCs w:val="24"/>
          <w:lang w:val="en-US" w:eastAsia="zh-CN"/>
        </w:rPr>
        <w:t>签章、加密上传。</w:t>
      </w:r>
    </w:p>
    <w:p w14:paraId="0D7347A7">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投标截止时间之后，供应商不得补充、修改响应文件。</w:t>
      </w:r>
    </w:p>
    <w:p w14:paraId="787E5D5F">
      <w:pPr>
        <w:pageBreakBefore w:val="0"/>
        <w:widowControl/>
        <w:numPr>
          <w:ilvl w:val="0"/>
          <w:numId w:val="5"/>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rPr>
      </w:pPr>
      <w:r>
        <w:rPr>
          <w:rFonts w:hint="eastAsia" w:ascii="宋体" w:hAnsi="宋体" w:eastAsia="宋体" w:cs="宋体"/>
          <w:b/>
          <w:bCs/>
          <w:kern w:val="0"/>
          <w:sz w:val="24"/>
          <w:szCs w:val="24"/>
        </w:rPr>
        <w:t>磋商、评审、定标</w:t>
      </w:r>
      <w:bookmarkEnd w:id="86"/>
      <w:bookmarkEnd w:id="87"/>
      <w:bookmarkEnd w:id="88"/>
      <w:bookmarkEnd w:id="89"/>
      <w:bookmarkEnd w:id="90"/>
      <w:bookmarkEnd w:id="91"/>
      <w:bookmarkEnd w:id="92"/>
      <w:bookmarkEnd w:id="93"/>
    </w:p>
    <w:p w14:paraId="54243062">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96" w:name="_Toc536202309"/>
      <w:bookmarkStart w:id="97" w:name="_Toc536202310"/>
      <w:r>
        <w:rPr>
          <w:rFonts w:hint="default" w:ascii="宋体" w:hAnsi="宋体" w:eastAsia="宋体" w:cs="宋体"/>
          <w:b/>
          <w:bCs/>
          <w:kern w:val="2"/>
          <w:sz w:val="24"/>
          <w:szCs w:val="24"/>
          <w:lang w:val="en-US" w:eastAsia="zh-CN" w:bidi="ar-SA"/>
        </w:rPr>
        <w:t>1</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磋商</w:t>
      </w:r>
      <w:bookmarkEnd w:id="96"/>
    </w:p>
    <w:p w14:paraId="686C92F0">
      <w:pPr>
        <w:overflowPunct w:val="0"/>
        <w:adjustRightInd w:val="0"/>
        <w:snapToGrid w:val="0"/>
        <w:spacing w:line="360" w:lineRule="auto"/>
        <w:ind w:firstLine="480" w:firstLineChars="200"/>
        <w:rPr>
          <w:rFonts w:hint="eastAsia" w:ascii="宋体" w:hAnsi="宋体" w:eastAsia="宋体"/>
          <w:sz w:val="24"/>
          <w:szCs w:val="24"/>
          <w:lang w:eastAsia="zh-CN"/>
        </w:rPr>
      </w:pPr>
      <w:r>
        <w:rPr>
          <w:rFonts w:hint="eastAsia" w:ascii="宋体" w:hAnsi="宋体"/>
          <w:sz w:val="24"/>
          <w:szCs w:val="24"/>
          <w:lang w:val="en-US" w:eastAsia="zh-CN"/>
        </w:rPr>
        <w:t>1.1</w:t>
      </w:r>
      <w:r>
        <w:rPr>
          <w:rFonts w:ascii="宋体" w:hAnsi="宋体"/>
          <w:sz w:val="24"/>
          <w:szCs w:val="24"/>
        </w:rPr>
        <w:t>采购代理机构在</w:t>
      </w:r>
      <w:r>
        <w:rPr>
          <w:rFonts w:hint="eastAsia" w:ascii="宋体" w:hAnsi="宋体"/>
          <w:sz w:val="24"/>
          <w:szCs w:val="24"/>
          <w:lang w:val="en-US" w:eastAsia="zh-CN"/>
        </w:rPr>
        <w:t>磋商</w:t>
      </w:r>
      <w:r>
        <w:rPr>
          <w:rFonts w:hint="eastAsia" w:ascii="宋体" w:hAnsi="宋体"/>
          <w:sz w:val="24"/>
          <w:szCs w:val="24"/>
        </w:rPr>
        <w:t>文件</w:t>
      </w:r>
      <w:r>
        <w:rPr>
          <w:rFonts w:ascii="宋体" w:hAnsi="宋体"/>
          <w:sz w:val="24"/>
          <w:szCs w:val="24"/>
        </w:rPr>
        <w:t>规定的时间和地点组织</w:t>
      </w:r>
      <w:r>
        <w:rPr>
          <w:rFonts w:hint="eastAsia" w:ascii="宋体" w:hAnsi="宋体"/>
          <w:sz w:val="24"/>
          <w:szCs w:val="24"/>
          <w:lang w:val="en-US" w:eastAsia="zh-CN"/>
        </w:rPr>
        <w:t>开标会议</w:t>
      </w:r>
      <w:r>
        <w:rPr>
          <w:rFonts w:hint="eastAsia" w:ascii="宋体" w:hAnsi="宋体"/>
          <w:sz w:val="24"/>
          <w:szCs w:val="24"/>
          <w:lang w:eastAsia="zh-CN"/>
        </w:rPr>
        <w:t>，</w:t>
      </w:r>
      <w:r>
        <w:rPr>
          <w:rFonts w:hint="eastAsia" w:ascii="宋体" w:hAnsi="宋体" w:eastAsia="宋体" w:cs="宋体"/>
          <w:spacing w:val="-8"/>
          <w:w w:val="100"/>
          <w:sz w:val="24"/>
          <w:szCs w:val="24"/>
        </w:rPr>
        <w:t>整个过程受政府采购监管机构的监督、管理。</w:t>
      </w:r>
    </w:p>
    <w:p w14:paraId="2879D10E">
      <w:pPr>
        <w:overflowPunct w:val="0"/>
        <w:adjustRightInd w:val="0"/>
        <w:snapToGrid w:val="0"/>
        <w:spacing w:line="360" w:lineRule="auto"/>
        <w:ind w:firstLine="480" w:firstLineChars="200"/>
        <w:rPr>
          <w:rFonts w:ascii="宋体" w:hAnsi="宋体"/>
          <w:sz w:val="24"/>
          <w:szCs w:val="24"/>
        </w:rPr>
      </w:pPr>
      <w:r>
        <w:rPr>
          <w:rFonts w:hint="eastAsia" w:ascii="宋体" w:hAnsi="宋体"/>
          <w:sz w:val="24"/>
          <w:szCs w:val="24"/>
          <w:lang w:val="en-US" w:eastAsia="zh-CN"/>
        </w:rPr>
        <w:t>1.2</w:t>
      </w:r>
      <w:r>
        <w:rPr>
          <w:rFonts w:hint="eastAsia" w:ascii="宋体" w:hAnsi="宋体"/>
          <w:sz w:val="24"/>
          <w:szCs w:val="24"/>
        </w:rPr>
        <w:t>开标仪式由采购代理机构主持，采购人代表及有关人员参加。</w:t>
      </w:r>
    </w:p>
    <w:p w14:paraId="0A136734">
      <w:pPr>
        <w:keepNext w:val="0"/>
        <w:keepLines w:val="0"/>
        <w:pageBreakBefore w:val="0"/>
        <w:widowControl w:val="0"/>
        <w:kinsoku/>
        <w:wordWrap/>
        <w:overflowPunct/>
        <w:topLinePunct w:val="0"/>
        <w:autoSpaceDE/>
        <w:autoSpaceDN/>
        <w:bidi w:val="0"/>
        <w:adjustRightInd/>
        <w:snapToGrid/>
        <w:spacing w:line="460" w:lineRule="exact"/>
        <w:ind w:left="0" w:right="0" w:firstLine="480" w:firstLineChars="200"/>
        <w:textAlignment w:val="auto"/>
        <w:rPr>
          <w:rFonts w:hint="eastAsia" w:ascii="宋体" w:hAnsi="宋体" w:eastAsia="宋体" w:cs="宋体"/>
          <w:spacing w:val="-8"/>
          <w:w w:val="100"/>
          <w:sz w:val="24"/>
          <w:szCs w:val="24"/>
          <w:lang w:eastAsia="zh-CN"/>
        </w:rPr>
      </w:pPr>
      <w:r>
        <w:rPr>
          <w:rFonts w:hint="eastAsia" w:ascii="宋体" w:hAnsi="宋体" w:eastAsia="宋体"/>
          <w:sz w:val="24"/>
          <w:szCs w:val="24"/>
          <w:lang w:val="en-US" w:eastAsia="zh-CN"/>
        </w:rPr>
        <w:t>1.3</w:t>
      </w:r>
      <w:r>
        <w:rPr>
          <w:rFonts w:hint="eastAsia" w:ascii="宋体" w:hAnsi="宋体" w:eastAsia="宋体" w:cs="宋体"/>
          <w:spacing w:val="-8"/>
          <w:w w:val="100"/>
          <w:sz w:val="24"/>
          <w:szCs w:val="24"/>
        </w:rPr>
        <w:t>本项目采用远程不见面开标方式进行开标、采购代理机构在规定的时间和地点组织开标，投标单位授权代表不到现场参加开标，须自行在各自办公场所，自备电脑在投标截止时间前登录不见面开标大厅，进行远程开标</w:t>
      </w:r>
      <w:r>
        <w:rPr>
          <w:rFonts w:hint="eastAsia" w:ascii="宋体" w:hAnsi="宋体" w:eastAsia="宋体" w:cs="宋体"/>
          <w:spacing w:val="-8"/>
          <w:w w:val="100"/>
          <w:sz w:val="24"/>
          <w:szCs w:val="24"/>
          <w:lang w:eastAsia="zh-CN"/>
        </w:rPr>
        <w:t>。</w:t>
      </w:r>
    </w:p>
    <w:p w14:paraId="02CA996E">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default" w:ascii="宋体" w:hAnsi="宋体" w:eastAsia="宋体" w:cs="宋体"/>
          <w:spacing w:val="-8"/>
          <w:w w:val="100"/>
          <w:sz w:val="24"/>
          <w:szCs w:val="24"/>
          <w:lang w:val="en-US" w:eastAsia="zh-CN"/>
        </w:rPr>
      </w:pPr>
      <w:r>
        <w:rPr>
          <w:rFonts w:hint="eastAsia" w:ascii="宋体" w:hAnsi="宋体" w:eastAsia="宋体" w:cs="宋体"/>
          <w:spacing w:val="-8"/>
          <w:w w:val="100"/>
          <w:sz w:val="24"/>
          <w:szCs w:val="24"/>
          <w:lang w:val="en-US" w:eastAsia="zh-CN"/>
        </w:rPr>
        <w:t>1.3.1投标供应商在获取</w:t>
      </w:r>
      <w:r>
        <w:rPr>
          <w:rFonts w:hint="eastAsia" w:ascii="宋体" w:hAnsi="宋体" w:cs="宋体"/>
          <w:spacing w:val="-8"/>
          <w:w w:val="100"/>
          <w:sz w:val="24"/>
          <w:szCs w:val="24"/>
          <w:lang w:val="en-US" w:eastAsia="zh-CN"/>
        </w:rPr>
        <w:t>磋商</w:t>
      </w:r>
      <w:r>
        <w:rPr>
          <w:rFonts w:hint="eastAsia" w:ascii="宋体" w:hAnsi="宋体" w:eastAsia="宋体" w:cs="宋体"/>
          <w:spacing w:val="-8"/>
          <w:w w:val="100"/>
          <w:sz w:val="24"/>
          <w:szCs w:val="24"/>
          <w:lang w:val="en-US" w:eastAsia="zh-CN"/>
        </w:rPr>
        <w:t>文件后应在全国公共资源交易平台（陕西省.安康市）网站[新闻咨询→通知公告]中下载并详细阅读安康公共资源交易中心不见面开标系统（投标人）操作 http://www.sxggzyjy.cn/xwzx/002002/subPage.html，下载并详细阅读《关于陕西省公共资源交易平台多CA互认系统正式上线运行的通知》并下载最新版本驱动。</w:t>
      </w:r>
    </w:p>
    <w:p w14:paraId="41A5BDD8">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rPr>
      </w:pPr>
      <w:r>
        <w:rPr>
          <w:rFonts w:hint="eastAsia" w:ascii="宋体" w:hAnsi="宋体" w:eastAsia="宋体" w:cs="宋体"/>
          <w:spacing w:val="-8"/>
          <w:w w:val="100"/>
          <w:sz w:val="24"/>
          <w:szCs w:val="24"/>
          <w:lang w:val="en-US" w:eastAsia="zh-CN"/>
        </w:rPr>
        <w:t>1.3.2</w:t>
      </w:r>
      <w:r>
        <w:rPr>
          <w:rFonts w:hint="eastAsia" w:ascii="宋体" w:hAnsi="宋体" w:eastAsia="宋体" w:cs="宋体"/>
          <w:spacing w:val="-8"/>
          <w:w w:val="100"/>
          <w:sz w:val="24"/>
          <w:szCs w:val="24"/>
        </w:rPr>
        <w:t>为顺利实现不见面开标系统的远程交互，建议投标人配置的软硬件设施有：高配置电脑、高速稳定的网络、电源（不间断）、CA 锁、音视频设备（话筒、耳麦、高清摄像头、音响），浏览器要求使用 IE11 浏览器，且电脑已经正确安装了陕西省公共资源 CA 驱动。</w:t>
      </w:r>
    </w:p>
    <w:p w14:paraId="7CDB398D">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rPr>
      </w:pPr>
      <w:r>
        <w:rPr>
          <w:rFonts w:hint="eastAsia" w:ascii="宋体" w:hAnsi="宋体" w:eastAsia="宋体" w:cs="宋体"/>
          <w:spacing w:val="-8"/>
          <w:w w:val="100"/>
          <w:sz w:val="24"/>
          <w:szCs w:val="24"/>
          <w:lang w:val="en-US" w:eastAsia="zh-CN"/>
        </w:rPr>
        <w:t>1.3.3</w:t>
      </w:r>
      <w:r>
        <w:rPr>
          <w:rFonts w:hint="eastAsia" w:ascii="宋体" w:hAnsi="宋体" w:eastAsia="宋体" w:cs="宋体"/>
          <w:spacing w:val="-8"/>
          <w:w w:val="100"/>
          <w:sz w:val="24"/>
          <w:szCs w:val="24"/>
        </w:rPr>
        <w:t>投标人需注意 CA 锁一定要提前准备好，并确保 CA 锁为制作响应文件的 CA 锁。</w:t>
      </w:r>
    </w:p>
    <w:p w14:paraId="10669432">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lang w:val="en-AU"/>
        </w:rPr>
      </w:pPr>
      <w:r>
        <w:rPr>
          <w:rFonts w:hint="eastAsia" w:ascii="宋体" w:hAnsi="宋体" w:eastAsia="宋体" w:cs="宋体"/>
          <w:spacing w:val="-8"/>
          <w:w w:val="100"/>
          <w:sz w:val="24"/>
          <w:szCs w:val="24"/>
          <w:lang w:val="en-AU"/>
        </w:rPr>
        <w:t>不见面开标方式因投标人不来开标现场，资格审查如需提供复印件，请按文件中要求， 在响应文件中上传电子版。</w:t>
      </w:r>
    </w:p>
    <w:p w14:paraId="7BAC8067">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lang w:eastAsia="zh-CN"/>
        </w:rPr>
      </w:pPr>
      <w:r>
        <w:rPr>
          <w:rFonts w:hint="eastAsia" w:ascii="宋体" w:hAnsi="宋体" w:eastAsia="宋体" w:cs="宋体"/>
          <w:spacing w:val="-8"/>
          <w:w w:val="100"/>
          <w:sz w:val="24"/>
          <w:szCs w:val="24"/>
          <w:lang w:val="en-US" w:eastAsia="zh-CN"/>
        </w:rPr>
        <w:t>1.3.4</w:t>
      </w:r>
      <w:r>
        <w:rPr>
          <w:rFonts w:hint="eastAsia" w:ascii="宋体" w:hAnsi="宋体" w:eastAsia="宋体" w:cs="宋体"/>
          <w:spacing w:val="-8"/>
          <w:w w:val="100"/>
          <w:sz w:val="24"/>
          <w:szCs w:val="24"/>
        </w:rPr>
        <w:t>开标时间到了之后就不能签到，建议投标人在开标前半小时登录不见面开标大厅， 并及时签到（开标前 60 分钟即可签到），遇到问题及时联系客服 029-88661292、88661267、88661241</w:t>
      </w:r>
      <w:r>
        <w:rPr>
          <w:rFonts w:hint="eastAsia" w:ascii="宋体" w:hAnsi="宋体" w:eastAsia="宋体" w:cs="宋体"/>
          <w:spacing w:val="-8"/>
          <w:w w:val="100"/>
          <w:sz w:val="24"/>
          <w:szCs w:val="24"/>
          <w:lang w:eastAsia="zh-CN"/>
        </w:rPr>
        <w:t>。</w:t>
      </w:r>
    </w:p>
    <w:p w14:paraId="18D5C3B2">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rPr>
      </w:pPr>
      <w:r>
        <w:rPr>
          <w:rFonts w:hint="eastAsia" w:ascii="宋体" w:hAnsi="宋体" w:eastAsia="宋体" w:cs="宋体"/>
          <w:spacing w:val="-8"/>
          <w:w w:val="100"/>
          <w:sz w:val="24"/>
          <w:szCs w:val="24"/>
          <w:lang w:val="en-US" w:eastAsia="zh-CN"/>
        </w:rPr>
        <w:t>1.3.5</w:t>
      </w:r>
      <w:r>
        <w:rPr>
          <w:rFonts w:hint="eastAsia" w:ascii="宋体" w:hAnsi="宋体" w:eastAsia="宋体" w:cs="宋体"/>
          <w:spacing w:val="-8"/>
          <w:w w:val="100"/>
          <w:sz w:val="24"/>
          <w:szCs w:val="24"/>
        </w:rPr>
        <w:t>开标时，供应商须使用电子响应文件加密时所用的数字认证证书CA 锁在自备电脑上自行远程解密电子响应文件，由电子交易系统进行自动唱标。</w:t>
      </w:r>
    </w:p>
    <w:p w14:paraId="0ED2FF13">
      <w:pPr>
        <w:spacing w:line="460" w:lineRule="exact"/>
        <w:ind w:firstLine="448" w:firstLineChars="200"/>
        <w:rPr>
          <w:rFonts w:hint="eastAsia" w:ascii="宋体" w:hAnsi="宋体" w:cs="宋体"/>
          <w:spacing w:val="-8"/>
          <w:sz w:val="24"/>
          <w:szCs w:val="24"/>
          <w:highlight w:val="none"/>
        </w:rPr>
      </w:pPr>
      <w:r>
        <w:rPr>
          <w:rFonts w:hint="eastAsia" w:ascii="宋体" w:hAnsi="宋体" w:cs="宋体"/>
          <w:spacing w:val="-8"/>
          <w:sz w:val="24"/>
          <w:szCs w:val="24"/>
        </w:rPr>
        <w:t xml:space="preserve">系统默认解密时长为 </w:t>
      </w:r>
      <w:r>
        <w:rPr>
          <w:rFonts w:hint="eastAsia" w:ascii="宋体" w:hAnsi="宋体" w:cs="宋体"/>
          <w:spacing w:val="-8"/>
          <w:sz w:val="24"/>
          <w:szCs w:val="24"/>
          <w:lang w:val="en-US" w:eastAsia="zh-CN"/>
        </w:rPr>
        <w:t>60</w:t>
      </w:r>
      <w:r>
        <w:rPr>
          <w:rFonts w:hint="eastAsia" w:ascii="宋体" w:hAnsi="宋体" w:cs="宋体"/>
          <w:spacing w:val="-8"/>
          <w:sz w:val="24"/>
          <w:szCs w:val="24"/>
        </w:rPr>
        <w:t>分钟，投标单位需在解密时</w:t>
      </w:r>
      <w:r>
        <w:rPr>
          <w:rFonts w:hint="eastAsia" w:ascii="宋体" w:hAnsi="宋体" w:eastAsia="宋体" w:cs="宋体"/>
          <w:spacing w:val="-8"/>
          <w:w w:val="100"/>
          <w:sz w:val="24"/>
          <w:szCs w:val="24"/>
        </w:rPr>
        <w:t>间规定内完成响应</w:t>
      </w:r>
      <w:r>
        <w:rPr>
          <w:rFonts w:hint="eastAsia" w:ascii="宋体" w:hAnsi="宋体" w:eastAsia="宋体" w:cs="宋体"/>
          <w:spacing w:val="-8"/>
          <w:w w:val="100"/>
          <w:sz w:val="24"/>
          <w:szCs w:val="24"/>
          <w:lang w:val="en-US" w:eastAsia="zh-CN"/>
        </w:rPr>
        <w:t>文件</w:t>
      </w:r>
      <w:r>
        <w:rPr>
          <w:rFonts w:hint="eastAsia" w:ascii="宋体" w:hAnsi="宋体" w:cs="宋体"/>
          <w:spacing w:val="-8"/>
          <w:sz w:val="24"/>
          <w:szCs w:val="24"/>
        </w:rPr>
        <w:t>解密</w:t>
      </w:r>
      <w:r>
        <w:rPr>
          <w:rFonts w:hint="eastAsia" w:ascii="宋体" w:hAnsi="宋体" w:cs="宋体"/>
          <w:spacing w:val="-8"/>
          <w:sz w:val="24"/>
          <w:szCs w:val="24"/>
          <w:lang w:eastAsia="zh-CN"/>
        </w:rPr>
        <w:t>，</w:t>
      </w:r>
      <w:r>
        <w:rPr>
          <w:rFonts w:hint="eastAsia" w:ascii="宋体" w:hAnsi="宋体" w:cs="宋体"/>
          <w:spacing w:val="-8"/>
          <w:sz w:val="24"/>
          <w:szCs w:val="24"/>
          <w:lang w:val="en-US" w:eastAsia="zh-CN"/>
        </w:rPr>
        <w:t>如因</w:t>
      </w:r>
      <w:r>
        <w:rPr>
          <w:rFonts w:hint="eastAsia" w:ascii="宋体" w:hAnsi="宋体" w:cs="宋体"/>
          <w:spacing w:val="-8"/>
          <w:sz w:val="24"/>
          <w:szCs w:val="24"/>
        </w:rPr>
        <w:t>投标单位</w:t>
      </w:r>
      <w:r>
        <w:rPr>
          <w:rFonts w:hint="eastAsia" w:ascii="宋体" w:hAnsi="宋体" w:cs="宋体"/>
          <w:spacing w:val="-8"/>
          <w:sz w:val="24"/>
          <w:szCs w:val="24"/>
          <w:lang w:val="en-US" w:eastAsia="zh-CN"/>
        </w:rPr>
        <w:t>自身原因未在</w:t>
      </w:r>
      <w:r>
        <w:rPr>
          <w:rFonts w:hint="eastAsia" w:ascii="宋体" w:hAnsi="宋体" w:cs="宋体"/>
          <w:spacing w:val="-8"/>
          <w:sz w:val="24"/>
          <w:szCs w:val="24"/>
        </w:rPr>
        <w:t>规定</w:t>
      </w:r>
      <w:r>
        <w:rPr>
          <w:rFonts w:hint="eastAsia" w:ascii="宋体" w:hAnsi="宋体" w:cs="宋体"/>
          <w:spacing w:val="-8"/>
          <w:sz w:val="24"/>
          <w:szCs w:val="24"/>
          <w:lang w:val="en-US" w:eastAsia="zh-CN"/>
        </w:rPr>
        <w:t>时间内完成解密的，采购代理机构将在系统中退回未解密的响应文件，被退回的响应文件将不再参与后续的开标活动</w:t>
      </w:r>
      <w:r>
        <w:rPr>
          <w:rFonts w:hint="eastAsia" w:ascii="宋体" w:hAnsi="宋体" w:cs="宋体"/>
          <w:spacing w:val="-8"/>
          <w:sz w:val="24"/>
          <w:szCs w:val="24"/>
        </w:rPr>
        <w:t>。所有投标单位解密完成后由开标人员将响应文件导入开评标系统。</w:t>
      </w:r>
    </w:p>
    <w:p w14:paraId="34F6B020">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rPr>
      </w:pPr>
      <w:r>
        <w:rPr>
          <w:rFonts w:hint="eastAsia" w:ascii="宋体" w:hAnsi="宋体" w:eastAsia="宋体" w:cs="宋体"/>
          <w:spacing w:val="-8"/>
          <w:w w:val="100"/>
          <w:sz w:val="24"/>
          <w:szCs w:val="24"/>
          <w:lang w:val="en-US" w:eastAsia="zh-CN"/>
        </w:rPr>
        <w:t>1.4</w:t>
      </w:r>
      <w:r>
        <w:rPr>
          <w:rFonts w:hint="eastAsia" w:ascii="宋体" w:hAnsi="宋体" w:eastAsia="宋体" w:cs="宋体"/>
          <w:spacing w:val="-8"/>
          <w:w w:val="100"/>
          <w:sz w:val="24"/>
          <w:szCs w:val="24"/>
        </w:rPr>
        <w:t>特殊情形下的应急处置</w:t>
      </w:r>
    </w:p>
    <w:p w14:paraId="480FAD88">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ascii="宋体" w:hAnsi="Calibri"/>
          <w:sz w:val="24"/>
          <w:szCs w:val="28"/>
        </w:rPr>
      </w:pPr>
      <w:r>
        <w:rPr>
          <w:rFonts w:hint="eastAsia" w:ascii="宋体" w:hAnsi="宋体" w:eastAsia="宋体" w:cs="宋体"/>
          <w:spacing w:val="-8"/>
          <w:w w:val="100"/>
          <w:sz w:val="24"/>
          <w:szCs w:val="24"/>
        </w:rPr>
        <w:t>在开标、评审过程中，如因停电、断网、电子化系统故障等原因导致电子 化开、评标无法正常进行时，将</w:t>
      </w:r>
      <w:r>
        <w:rPr>
          <w:rFonts w:hint="eastAsia" w:ascii="宋体" w:hAnsi="宋体" w:eastAsia="宋体" w:cs="宋体"/>
          <w:spacing w:val="-8"/>
          <w:w w:val="100"/>
          <w:sz w:val="24"/>
          <w:szCs w:val="24"/>
          <w:lang w:eastAsia="zh-CN"/>
        </w:rPr>
        <w:t>按照采购监管机构及公共资源交易中心统一安排部署</w:t>
      </w:r>
      <w:r>
        <w:rPr>
          <w:rFonts w:hint="eastAsia" w:ascii="宋体" w:hAnsi="宋体" w:eastAsia="宋体" w:cs="宋体"/>
          <w:spacing w:val="-8"/>
          <w:w w:val="100"/>
          <w:sz w:val="24"/>
          <w:szCs w:val="24"/>
        </w:rPr>
        <w:t>开展后续采购活动。</w:t>
      </w:r>
    </w:p>
    <w:p w14:paraId="6177C53D">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default" w:ascii="宋体" w:hAnsi="宋体" w:eastAsia="宋体" w:cs="宋体"/>
          <w:b/>
          <w:bCs/>
          <w:kern w:val="2"/>
          <w:sz w:val="24"/>
          <w:szCs w:val="24"/>
          <w:lang w:val="en-US" w:eastAsia="zh-CN" w:bidi="ar-SA"/>
        </w:rPr>
        <w:t>2</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磋商小组</w:t>
      </w:r>
      <w:bookmarkEnd w:id="97"/>
    </w:p>
    <w:p w14:paraId="390F6B1E">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bookmarkStart w:id="98" w:name="_Toc385958808"/>
      <w:bookmarkStart w:id="99" w:name="_Toc28085"/>
      <w:bookmarkStart w:id="100" w:name="_Toc386129876"/>
      <w:bookmarkStart w:id="101" w:name="_Toc536202311"/>
      <w:bookmarkStart w:id="102" w:name="_Toc27940"/>
      <w:r>
        <w:rPr>
          <w:rFonts w:hint="eastAsia" w:ascii="宋体" w:hAnsi="宋体" w:eastAsia="宋体" w:cs="宋体"/>
          <w:sz w:val="24"/>
          <w:szCs w:val="24"/>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1A5A3CBD">
      <w:pPr>
        <w:pageBreakBefore w:val="0"/>
        <w:wordWrap/>
        <w:topLinePunct w:val="0"/>
        <w:autoSpaceDE/>
        <w:autoSpaceDN/>
        <w:bidi w:val="0"/>
        <w:spacing w:line="336" w:lineRule="auto"/>
        <w:ind w:firstLine="458" w:firstLineChars="191"/>
        <w:textAlignment w:val="auto"/>
        <w:rPr>
          <w:rFonts w:hint="eastAsia" w:ascii="宋体" w:hAnsi="宋体" w:eastAsia="宋体" w:cs="宋体"/>
          <w:sz w:val="24"/>
          <w:szCs w:val="24"/>
        </w:rPr>
      </w:pPr>
      <w:r>
        <w:rPr>
          <w:rFonts w:hint="eastAsia" w:ascii="宋体" w:hAnsi="宋体" w:eastAsia="宋体" w:cs="宋体"/>
          <w:sz w:val="24"/>
          <w:szCs w:val="24"/>
        </w:rPr>
        <w:t>（1）要严格遵守政府采购相关法律制度，依法履行各自职责，公正、客观、审慎地组织和参与评审工作；</w:t>
      </w:r>
    </w:p>
    <w:p w14:paraId="71C86C77">
      <w:pPr>
        <w:pageBreakBefore w:val="0"/>
        <w:tabs>
          <w:tab w:val="left" w:pos="1200"/>
        </w:tabs>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（2）对所有响应文件逐一进行资格性、符合性审查，并</w:t>
      </w:r>
      <w:r>
        <w:rPr>
          <w:rFonts w:hint="eastAsia" w:ascii="宋体" w:hAnsi="宋体" w:cs="宋体"/>
          <w:sz w:val="24"/>
          <w:szCs w:val="24"/>
          <w:lang w:eastAsia="zh-CN"/>
        </w:rPr>
        <w:t>作出评价</w:t>
      </w:r>
      <w:r>
        <w:rPr>
          <w:rFonts w:hint="eastAsia" w:ascii="宋体" w:hAnsi="宋体" w:eastAsia="宋体" w:cs="宋体"/>
          <w:sz w:val="24"/>
          <w:szCs w:val="24"/>
        </w:rPr>
        <w:t>；</w:t>
      </w:r>
    </w:p>
    <w:p w14:paraId="3755DB5B">
      <w:pPr>
        <w:pageBreakBefore w:val="0"/>
        <w:tabs>
          <w:tab w:val="left" w:pos="1200"/>
        </w:tabs>
        <w:wordWrap/>
        <w:topLinePunct w:val="0"/>
        <w:autoSpaceDE/>
        <w:autoSpaceDN/>
        <w:bidi w:val="0"/>
        <w:spacing w:line="336" w:lineRule="auto"/>
        <w:ind w:left="17" w:leftChars="8" w:firstLine="458" w:firstLineChars="191"/>
        <w:textAlignment w:val="auto"/>
        <w:rPr>
          <w:rFonts w:hint="eastAsia" w:ascii="宋体" w:hAnsi="宋体" w:eastAsia="宋体" w:cs="宋体"/>
          <w:sz w:val="24"/>
          <w:szCs w:val="24"/>
        </w:rPr>
      </w:pPr>
      <w:r>
        <w:rPr>
          <w:rFonts w:hint="eastAsia" w:ascii="宋体" w:hAnsi="宋体" w:eastAsia="宋体" w:cs="宋体"/>
          <w:sz w:val="24"/>
          <w:szCs w:val="24"/>
        </w:rPr>
        <w:t>（3）按磋商文件规定的评审方法和标准，进行比较和评价；对供应商的价格分等客观评分项的评分应当一致；</w:t>
      </w:r>
    </w:p>
    <w:p w14:paraId="572FB3E2">
      <w:pPr>
        <w:pageBreakBefore w:val="0"/>
        <w:wordWrap/>
        <w:topLinePunct w:val="0"/>
        <w:autoSpaceDE/>
        <w:autoSpaceDN/>
        <w:bidi w:val="0"/>
        <w:spacing w:line="336" w:lineRule="auto"/>
        <w:ind w:left="839" w:leftChars="228" w:hanging="360" w:hangingChars="150"/>
        <w:textAlignment w:val="auto"/>
        <w:rPr>
          <w:rFonts w:hint="eastAsia" w:ascii="宋体" w:hAnsi="宋体" w:eastAsia="宋体" w:cs="宋体"/>
          <w:sz w:val="24"/>
          <w:szCs w:val="24"/>
        </w:rPr>
      </w:pPr>
      <w:r>
        <w:rPr>
          <w:rFonts w:hint="eastAsia" w:ascii="宋体" w:hAnsi="宋体" w:eastAsia="宋体" w:cs="宋体"/>
          <w:sz w:val="24"/>
          <w:szCs w:val="24"/>
        </w:rPr>
        <w:t>（4）要求供应商对响应文件有关事项作出解释或澄清；</w:t>
      </w:r>
    </w:p>
    <w:p w14:paraId="1764227F">
      <w:pPr>
        <w:pageBreakBefore w:val="0"/>
        <w:wordWrap/>
        <w:topLinePunct w:val="0"/>
        <w:autoSpaceDE/>
        <w:autoSpaceDN/>
        <w:bidi w:val="0"/>
        <w:spacing w:line="336" w:lineRule="auto"/>
        <w:ind w:left="17" w:leftChars="8" w:firstLine="458" w:firstLineChars="191"/>
        <w:textAlignment w:val="auto"/>
        <w:rPr>
          <w:rFonts w:hint="eastAsia" w:ascii="宋体" w:hAnsi="宋体" w:eastAsia="宋体" w:cs="宋体"/>
          <w:sz w:val="24"/>
          <w:szCs w:val="24"/>
        </w:rPr>
      </w:pPr>
      <w:r>
        <w:rPr>
          <w:rFonts w:hint="eastAsia" w:ascii="宋体" w:hAnsi="宋体" w:eastAsia="宋体" w:cs="宋体"/>
          <w:sz w:val="24"/>
          <w:szCs w:val="24"/>
        </w:rPr>
        <w:t>（5）要依法独立评审，按照磋商文件的要求和评标标准进行评标，推荐成交候选供应商名单，对评审意见承担个人责任；</w:t>
      </w:r>
    </w:p>
    <w:p w14:paraId="1B69CC2B">
      <w:pPr>
        <w:pageBreakBefore w:val="0"/>
        <w:wordWrap/>
        <w:topLinePunct w:val="0"/>
        <w:autoSpaceDE/>
        <w:autoSpaceDN/>
        <w:bidi w:val="0"/>
        <w:spacing w:line="336" w:lineRule="auto"/>
        <w:ind w:left="1" w:leftChars="-171" w:hanging="360" w:hangingChars="150"/>
        <w:textAlignment w:val="auto"/>
        <w:rPr>
          <w:rFonts w:hint="eastAsia" w:ascii="宋体" w:hAnsi="宋体" w:eastAsia="宋体" w:cs="宋体"/>
          <w:sz w:val="24"/>
          <w:szCs w:val="24"/>
        </w:rPr>
      </w:pPr>
      <w:r>
        <w:rPr>
          <w:rFonts w:hint="eastAsia" w:ascii="宋体" w:hAnsi="宋体" w:eastAsia="宋体" w:cs="宋体"/>
          <w:sz w:val="24"/>
          <w:szCs w:val="24"/>
        </w:rPr>
        <w:t xml:space="preserve">       （6）对需要共同认定的事项存在争议的，按照少数服从多数的原则</w:t>
      </w:r>
      <w:r>
        <w:rPr>
          <w:rFonts w:hint="eastAsia" w:ascii="宋体" w:hAnsi="宋体" w:cs="宋体"/>
          <w:sz w:val="24"/>
          <w:szCs w:val="24"/>
          <w:lang w:eastAsia="zh-CN"/>
        </w:rPr>
        <w:t>作出</w:t>
      </w:r>
      <w:r>
        <w:rPr>
          <w:rFonts w:hint="eastAsia" w:ascii="宋体" w:hAnsi="宋体" w:eastAsia="宋体" w:cs="宋体"/>
          <w:sz w:val="24"/>
          <w:szCs w:val="24"/>
        </w:rPr>
        <w:t xml:space="preserve">结论。持不同意见的磋商小组成员应当在评审报告上签署不同意见并说明理由，否则视为同意； </w:t>
      </w:r>
    </w:p>
    <w:p w14:paraId="201371BC">
      <w:pPr>
        <w:pageBreakBefore w:val="0"/>
        <w:wordWrap/>
        <w:topLinePunct w:val="0"/>
        <w:autoSpaceDE/>
        <w:autoSpaceDN/>
        <w:bidi w:val="0"/>
        <w:spacing w:line="336" w:lineRule="auto"/>
        <w:ind w:left="839" w:leftChars="228" w:hanging="360" w:hangingChars="150"/>
        <w:textAlignment w:val="auto"/>
        <w:rPr>
          <w:rFonts w:hint="eastAsia" w:ascii="宋体" w:hAnsi="宋体" w:eastAsia="宋体" w:cs="宋体"/>
          <w:sz w:val="24"/>
          <w:szCs w:val="24"/>
        </w:rPr>
      </w:pPr>
      <w:r>
        <w:rPr>
          <w:rFonts w:hint="eastAsia" w:ascii="宋体" w:hAnsi="宋体" w:eastAsia="宋体" w:cs="宋体"/>
          <w:sz w:val="24"/>
          <w:szCs w:val="24"/>
        </w:rPr>
        <w:t>（7）对评审情况以及在评审过程中获悉的国家秘密、商业秘密负有保密责任；</w:t>
      </w:r>
    </w:p>
    <w:p w14:paraId="38B48272">
      <w:pPr>
        <w:pageBreakBefore w:val="0"/>
        <w:wordWrap/>
        <w:topLinePunct w:val="0"/>
        <w:autoSpaceDE/>
        <w:autoSpaceDN/>
        <w:bidi w:val="0"/>
        <w:spacing w:line="336" w:lineRule="auto"/>
        <w:ind w:left="359" w:leftChars="171"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(8) 配合财政部门的投诉处理工作；</w:t>
      </w:r>
    </w:p>
    <w:p w14:paraId="5238D913">
      <w:pPr>
        <w:pageBreakBefore w:val="0"/>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(9) 配合采购人、采购代理机构答复供应商提出的质疑。</w:t>
      </w:r>
    </w:p>
    <w:bookmarkEnd w:id="98"/>
    <w:bookmarkEnd w:id="99"/>
    <w:bookmarkEnd w:id="100"/>
    <w:bookmarkEnd w:id="101"/>
    <w:bookmarkEnd w:id="102"/>
    <w:p w14:paraId="578A0B60">
      <w:pPr>
        <w:pageBreakBefore w:val="0"/>
        <w:wordWrap/>
        <w:topLinePunct w:val="0"/>
        <w:autoSpaceDE/>
        <w:autoSpaceDN/>
        <w:bidi w:val="0"/>
        <w:spacing w:line="336" w:lineRule="auto"/>
        <w:ind w:firstLine="482" w:firstLineChars="200"/>
        <w:textAlignment w:val="auto"/>
        <w:rPr>
          <w:rFonts w:hint="eastAsia" w:ascii="宋体" w:hAnsi="宋体" w:eastAsia="宋体" w:cs="宋体"/>
          <w:b/>
          <w:sz w:val="24"/>
          <w:szCs w:val="24"/>
        </w:rPr>
      </w:pPr>
      <w:bookmarkStart w:id="103" w:name="_Toc536202313"/>
      <w:r>
        <w:rPr>
          <w:rFonts w:hint="eastAsia" w:ascii="宋体" w:hAnsi="宋体" w:eastAsia="宋体" w:cs="宋体"/>
          <w:b/>
          <w:sz w:val="24"/>
          <w:szCs w:val="24"/>
        </w:rPr>
        <w:t>3</w:t>
      </w:r>
      <w:r>
        <w:rPr>
          <w:rFonts w:hint="eastAsia" w:ascii="宋体" w:hAnsi="宋体" w:cs="宋体"/>
          <w:b/>
          <w:sz w:val="24"/>
          <w:szCs w:val="24"/>
          <w:lang w:val="en-US" w:eastAsia="zh-CN"/>
        </w:rPr>
        <w:t>.</w:t>
      </w:r>
      <w:r>
        <w:rPr>
          <w:rFonts w:hint="eastAsia" w:ascii="宋体" w:hAnsi="宋体" w:eastAsia="宋体" w:cs="宋体"/>
          <w:b/>
          <w:sz w:val="24"/>
          <w:szCs w:val="24"/>
        </w:rPr>
        <w:t>响应文件的初审</w:t>
      </w:r>
    </w:p>
    <w:p w14:paraId="5DA70C8C">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（1）初审分为资格性审查和符合性审查。</w:t>
      </w:r>
    </w:p>
    <w:p w14:paraId="5EC034E6">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（2）资格性审查：依据法律法规和</w:t>
      </w:r>
      <w:r>
        <w:rPr>
          <w:rFonts w:hint="eastAsia" w:ascii="宋体" w:hAnsi="宋体" w:cs="宋体"/>
          <w:sz w:val="24"/>
          <w:szCs w:val="24"/>
          <w:lang w:val="en-US" w:eastAsia="zh-CN"/>
        </w:rPr>
        <w:t>磋商</w:t>
      </w:r>
      <w:r>
        <w:rPr>
          <w:rFonts w:hint="eastAsia" w:ascii="宋体" w:hAnsi="宋体" w:eastAsia="宋体" w:cs="宋体"/>
          <w:sz w:val="24"/>
          <w:szCs w:val="24"/>
        </w:rPr>
        <w:t>文件的规定，对投标人按照</w:t>
      </w:r>
      <w:r>
        <w:rPr>
          <w:rFonts w:hint="eastAsia" w:ascii="宋体" w:hAnsi="宋体" w:cs="宋体"/>
          <w:sz w:val="24"/>
          <w:szCs w:val="24"/>
          <w:lang w:val="en-US" w:eastAsia="zh-CN"/>
        </w:rPr>
        <w:t>磋商</w:t>
      </w:r>
      <w:r>
        <w:rPr>
          <w:rFonts w:hint="eastAsia" w:ascii="宋体" w:hAnsi="宋体" w:eastAsia="宋体" w:cs="宋体"/>
          <w:sz w:val="24"/>
          <w:szCs w:val="24"/>
        </w:rPr>
        <w:t>文件中投标人须知前附表资格要求进行资格审查，以确保投标人是否具备相应的投标资格，任意一条不符合要求的，按无效投标处理。</w:t>
      </w:r>
    </w:p>
    <w:p w14:paraId="1A7B5508">
      <w:pPr>
        <w:overflowPunct w:val="0"/>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（3）符合性审查：依据磋商文件规定，从响应文件的有效性、完整性和对磋商文件的响应程度进行审查</w:t>
      </w:r>
      <w:r>
        <w:rPr>
          <w:rFonts w:hint="eastAsia" w:ascii="宋体" w:hAnsi="宋体" w:cs="宋体"/>
          <w:sz w:val="24"/>
          <w:szCs w:val="24"/>
          <w:lang w:eastAsia="zh-CN"/>
        </w:rPr>
        <w:t>，</w:t>
      </w:r>
      <w:r>
        <w:rPr>
          <w:rFonts w:hint="eastAsia" w:ascii="宋体" w:hAnsi="宋体"/>
          <w:sz w:val="24"/>
          <w:szCs w:val="24"/>
        </w:rPr>
        <w:t>以确定是否对</w:t>
      </w:r>
      <w:r>
        <w:rPr>
          <w:rFonts w:hint="eastAsia" w:ascii="宋体" w:hAnsi="宋体"/>
          <w:sz w:val="24"/>
          <w:szCs w:val="24"/>
          <w:lang w:val="en-US" w:eastAsia="zh-CN"/>
        </w:rPr>
        <w:t>磋商</w:t>
      </w:r>
      <w:r>
        <w:rPr>
          <w:rFonts w:hint="eastAsia" w:ascii="宋体" w:hAnsi="宋体"/>
          <w:sz w:val="24"/>
          <w:szCs w:val="24"/>
        </w:rPr>
        <w:t>文件的实质性内容作出响应</w:t>
      </w:r>
      <w:r>
        <w:rPr>
          <w:rFonts w:hint="eastAsia" w:ascii="宋体" w:hAnsi="宋体"/>
          <w:sz w:val="24"/>
          <w:szCs w:val="24"/>
          <w:lang w:val="zh-CN"/>
        </w:rPr>
        <w:t>。</w:t>
      </w:r>
      <w:r>
        <w:rPr>
          <w:rFonts w:ascii="宋体" w:hAnsi="宋体"/>
          <w:sz w:val="24"/>
          <w:szCs w:val="24"/>
        </w:rPr>
        <w:t>审查应包含以下内容：</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58"/>
        <w:gridCol w:w="3760"/>
        <w:gridCol w:w="1004"/>
        <w:gridCol w:w="1493"/>
      </w:tblGrid>
      <w:tr w14:paraId="7517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47988991">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271"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67FF0D2A">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符合性审查项</w:t>
            </w:r>
          </w:p>
        </w:tc>
        <w:tc>
          <w:tcPr>
            <w:tcW w:w="2027"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0D0CA445">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通过条件</w:t>
            </w:r>
          </w:p>
        </w:tc>
        <w:tc>
          <w:tcPr>
            <w:tcW w:w="541"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17E1BDD">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结论</w:t>
            </w:r>
          </w:p>
        </w:tc>
        <w:tc>
          <w:tcPr>
            <w:tcW w:w="803"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5B97557">
            <w:pPr>
              <w:keepNext w:val="0"/>
              <w:keepLines w:val="0"/>
              <w:pageBreakBefore w:val="0"/>
              <w:widowControl/>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未通过原因</w:t>
            </w:r>
          </w:p>
        </w:tc>
      </w:tr>
      <w:tr w14:paraId="118F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76711988">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1</w:t>
            </w:r>
          </w:p>
        </w:tc>
        <w:tc>
          <w:tcPr>
            <w:tcW w:w="1271" w:type="pct"/>
            <w:tcBorders>
              <w:top w:val="single" w:color="auto" w:sz="4" w:space="0"/>
              <w:left w:val="single" w:color="auto" w:sz="4" w:space="0"/>
              <w:bottom w:val="single" w:color="auto" w:sz="4" w:space="0"/>
              <w:right w:val="single" w:color="auto" w:sz="4" w:space="0"/>
            </w:tcBorders>
            <w:vAlign w:val="top"/>
          </w:tcPr>
          <w:p w14:paraId="0C3E21B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rPr>
            </w:pPr>
            <w:bookmarkStart w:id="104" w:name="OLE_LINK38"/>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文件封面、响应函、法定代表人委托授权书三处的项目名称、项目编号</w:t>
            </w:r>
            <w:bookmarkEnd w:id="104"/>
          </w:p>
        </w:tc>
        <w:tc>
          <w:tcPr>
            <w:tcW w:w="2027" w:type="pct"/>
            <w:tcBorders>
              <w:top w:val="single" w:color="auto" w:sz="4" w:space="0"/>
              <w:left w:val="single" w:color="auto" w:sz="4" w:space="0"/>
              <w:bottom w:val="single" w:color="auto" w:sz="4" w:space="0"/>
              <w:right w:val="single" w:color="auto" w:sz="4" w:space="0"/>
            </w:tcBorders>
            <w:vAlign w:val="center"/>
          </w:tcPr>
          <w:p w14:paraId="35240782">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bookmarkStart w:id="105" w:name="OLE_LINK39"/>
            <w:r>
              <w:rPr>
                <w:rFonts w:hint="eastAsia" w:ascii="宋体" w:hAnsi="宋体" w:eastAsia="宋体" w:cs="宋体"/>
                <w:bCs/>
                <w:color w:val="auto"/>
                <w:kern w:val="0"/>
                <w:sz w:val="24"/>
                <w:szCs w:val="24"/>
                <w:highlight w:val="none"/>
              </w:rPr>
              <w:t>三处均无遗漏，且与所投项目名称、项目编号完全一致。</w:t>
            </w:r>
            <w:bookmarkEnd w:id="105"/>
          </w:p>
        </w:tc>
        <w:tc>
          <w:tcPr>
            <w:tcW w:w="541" w:type="pct"/>
            <w:tcBorders>
              <w:top w:val="single" w:color="auto" w:sz="4" w:space="0"/>
              <w:left w:val="single" w:color="auto" w:sz="4" w:space="0"/>
              <w:bottom w:val="single" w:color="auto" w:sz="4" w:space="0"/>
              <w:right w:val="single" w:color="auto" w:sz="4" w:space="0"/>
            </w:tcBorders>
            <w:vAlign w:val="top"/>
          </w:tcPr>
          <w:p w14:paraId="63CEAF51">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5C9A044B">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2A59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00FE4991">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2</w:t>
            </w:r>
          </w:p>
        </w:tc>
        <w:tc>
          <w:tcPr>
            <w:tcW w:w="1271" w:type="pct"/>
            <w:tcBorders>
              <w:top w:val="single" w:color="auto" w:sz="4" w:space="0"/>
              <w:left w:val="single" w:color="auto" w:sz="4" w:space="0"/>
              <w:bottom w:val="single" w:color="auto" w:sz="4" w:space="0"/>
              <w:right w:val="single" w:color="auto" w:sz="4" w:space="0"/>
            </w:tcBorders>
            <w:vAlign w:val="center"/>
          </w:tcPr>
          <w:p w14:paraId="19A64C00">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文件签署、盖章</w:t>
            </w:r>
          </w:p>
        </w:tc>
        <w:tc>
          <w:tcPr>
            <w:tcW w:w="2027" w:type="pct"/>
            <w:tcBorders>
              <w:top w:val="single" w:color="auto" w:sz="4" w:space="0"/>
              <w:left w:val="single" w:color="auto" w:sz="4" w:space="0"/>
              <w:bottom w:val="single" w:color="auto" w:sz="4" w:space="0"/>
              <w:right w:val="single" w:color="auto" w:sz="4" w:space="0"/>
            </w:tcBorders>
            <w:vAlign w:val="top"/>
          </w:tcPr>
          <w:p w14:paraId="10E4634C">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bookmarkStart w:id="106" w:name="OLE_LINK40"/>
            <w:r>
              <w:rPr>
                <w:rFonts w:hint="eastAsia" w:ascii="宋体" w:hAnsi="宋体" w:eastAsia="宋体" w:cs="宋体"/>
                <w:color w:val="auto"/>
                <w:sz w:val="24"/>
                <w:szCs w:val="24"/>
                <w:highlight w:val="none"/>
              </w:rPr>
              <w:t>均按</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文件要求签字、盖章。</w:t>
            </w:r>
          </w:p>
          <w:p w14:paraId="52A2F27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（《评标要素及分值一览表》中要求提供的证明材料除外）。</w:t>
            </w:r>
            <w:bookmarkEnd w:id="106"/>
          </w:p>
        </w:tc>
        <w:tc>
          <w:tcPr>
            <w:tcW w:w="541" w:type="pct"/>
            <w:tcBorders>
              <w:top w:val="single" w:color="auto" w:sz="4" w:space="0"/>
              <w:left w:val="single" w:color="auto" w:sz="4" w:space="0"/>
              <w:bottom w:val="single" w:color="auto" w:sz="4" w:space="0"/>
              <w:right w:val="single" w:color="auto" w:sz="4" w:space="0"/>
            </w:tcBorders>
            <w:vAlign w:val="top"/>
          </w:tcPr>
          <w:p w14:paraId="01928CAF">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3638A9E5">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5805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14CBC9AF">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3</w:t>
            </w:r>
          </w:p>
        </w:tc>
        <w:tc>
          <w:tcPr>
            <w:tcW w:w="1271" w:type="pct"/>
            <w:tcBorders>
              <w:top w:val="single" w:color="auto" w:sz="4" w:space="0"/>
              <w:left w:val="single" w:color="auto" w:sz="4" w:space="0"/>
              <w:bottom w:val="single" w:color="auto" w:sz="4" w:space="0"/>
              <w:right w:val="single" w:color="auto" w:sz="4" w:space="0"/>
            </w:tcBorders>
            <w:vAlign w:val="center"/>
          </w:tcPr>
          <w:p w14:paraId="5376D144">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red"/>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文件组成</w:t>
            </w:r>
          </w:p>
        </w:tc>
        <w:tc>
          <w:tcPr>
            <w:tcW w:w="2027" w:type="pct"/>
            <w:tcBorders>
              <w:top w:val="single" w:color="auto" w:sz="4" w:space="0"/>
              <w:left w:val="single" w:color="auto" w:sz="4" w:space="0"/>
              <w:bottom w:val="single" w:color="auto" w:sz="4" w:space="0"/>
              <w:right w:val="single" w:color="auto" w:sz="4" w:space="0"/>
            </w:tcBorders>
            <w:vAlign w:val="top"/>
          </w:tcPr>
          <w:p w14:paraId="12D1A655">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bookmarkStart w:id="107" w:name="OLE_LINK41"/>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文件应包含以下内容：</w:t>
            </w:r>
          </w:p>
          <w:p w14:paraId="1B630A3F">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磋商响应函</w:t>
            </w:r>
          </w:p>
          <w:p w14:paraId="6A4D2375">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响应报价表</w:t>
            </w:r>
          </w:p>
          <w:p w14:paraId="5D3A2D77">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资格证明文件</w:t>
            </w:r>
          </w:p>
          <w:p w14:paraId="17594253">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第四章   </w:t>
            </w:r>
            <w:r>
              <w:rPr>
                <w:rFonts w:hint="eastAsia" w:ascii="宋体" w:hAnsi="宋体" w:cs="宋体"/>
                <w:color w:val="auto"/>
                <w:sz w:val="24"/>
                <w:szCs w:val="24"/>
                <w:highlight w:val="none"/>
                <w:lang w:val="en-US" w:eastAsia="zh-CN"/>
              </w:rPr>
              <w:t>技术</w:t>
            </w:r>
            <w:r>
              <w:rPr>
                <w:rFonts w:hint="eastAsia" w:ascii="宋体" w:hAnsi="宋体" w:eastAsia="宋体" w:cs="宋体"/>
                <w:color w:val="auto"/>
                <w:sz w:val="24"/>
                <w:szCs w:val="24"/>
                <w:highlight w:val="none"/>
                <w:lang w:val="en-US" w:eastAsia="zh-CN"/>
              </w:rPr>
              <w:t>商务</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偏离表</w:t>
            </w:r>
          </w:p>
          <w:p w14:paraId="47A2B84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投标方案</w:t>
            </w:r>
          </w:p>
          <w:p w14:paraId="6409FB45">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red"/>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章  投标人拒绝政府采购领域商业贿赂承诺书</w:t>
            </w:r>
            <w:bookmarkEnd w:id="107"/>
          </w:p>
        </w:tc>
        <w:tc>
          <w:tcPr>
            <w:tcW w:w="541" w:type="pct"/>
            <w:tcBorders>
              <w:top w:val="single" w:color="auto" w:sz="4" w:space="0"/>
              <w:left w:val="single" w:color="auto" w:sz="4" w:space="0"/>
              <w:bottom w:val="single" w:color="auto" w:sz="4" w:space="0"/>
              <w:right w:val="single" w:color="auto" w:sz="4" w:space="0"/>
            </w:tcBorders>
            <w:vAlign w:val="top"/>
          </w:tcPr>
          <w:p w14:paraId="2B85C26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4E35708F">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2BCE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0C59200D">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4</w:t>
            </w:r>
          </w:p>
        </w:tc>
        <w:tc>
          <w:tcPr>
            <w:tcW w:w="1271" w:type="pct"/>
            <w:tcBorders>
              <w:top w:val="single" w:color="auto" w:sz="4" w:space="0"/>
              <w:left w:val="single" w:color="auto" w:sz="4" w:space="0"/>
              <w:bottom w:val="single" w:color="auto" w:sz="4" w:space="0"/>
              <w:right w:val="single" w:color="auto" w:sz="4" w:space="0"/>
            </w:tcBorders>
            <w:vAlign w:val="center"/>
          </w:tcPr>
          <w:p w14:paraId="659C4635">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文件的计量单位、语言、报价货币、投标有效期</w:t>
            </w:r>
          </w:p>
        </w:tc>
        <w:tc>
          <w:tcPr>
            <w:tcW w:w="2027" w:type="pct"/>
            <w:tcBorders>
              <w:top w:val="single" w:color="auto" w:sz="4" w:space="0"/>
              <w:left w:val="single" w:color="auto" w:sz="4" w:space="0"/>
              <w:bottom w:val="single" w:color="auto" w:sz="4" w:space="0"/>
              <w:right w:val="single" w:color="auto" w:sz="4" w:space="0"/>
            </w:tcBorders>
            <w:vAlign w:val="center"/>
          </w:tcPr>
          <w:p w14:paraId="104B19B1">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
                <w:bCs/>
                <w:color w:val="auto"/>
                <w:kern w:val="0"/>
                <w:sz w:val="24"/>
                <w:szCs w:val="24"/>
                <w:highlight w:val="none"/>
              </w:rPr>
            </w:pPr>
            <w:bookmarkStart w:id="108" w:name="OLE_LINK42"/>
            <w:r>
              <w:rPr>
                <w:rFonts w:hint="eastAsia" w:ascii="宋体" w:hAnsi="宋体" w:eastAsia="宋体" w:cs="宋体"/>
                <w:color w:val="auto"/>
                <w:sz w:val="24"/>
                <w:szCs w:val="24"/>
                <w:highlight w:val="none"/>
              </w:rPr>
              <w:t>计量单位、语言、报价货币、投标有效期均符合</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文件的要求。</w:t>
            </w:r>
            <w:bookmarkEnd w:id="108"/>
          </w:p>
        </w:tc>
        <w:tc>
          <w:tcPr>
            <w:tcW w:w="541" w:type="pct"/>
            <w:tcBorders>
              <w:top w:val="single" w:color="auto" w:sz="4" w:space="0"/>
              <w:left w:val="single" w:color="auto" w:sz="4" w:space="0"/>
              <w:bottom w:val="single" w:color="auto" w:sz="4" w:space="0"/>
              <w:right w:val="single" w:color="auto" w:sz="4" w:space="0"/>
            </w:tcBorders>
            <w:vAlign w:val="center"/>
          </w:tcPr>
          <w:p w14:paraId="13D12B42">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15253316">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7B26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50C32049">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lang w:val="en-US" w:eastAsia="zh-CN"/>
              </w:rPr>
            </w:pPr>
          </w:p>
          <w:p w14:paraId="5D29AD6D">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5</w:t>
            </w:r>
          </w:p>
        </w:tc>
        <w:tc>
          <w:tcPr>
            <w:tcW w:w="1271" w:type="pct"/>
            <w:tcBorders>
              <w:top w:val="single" w:color="auto" w:sz="4" w:space="0"/>
              <w:left w:val="single" w:color="auto" w:sz="4" w:space="0"/>
              <w:bottom w:val="single" w:color="auto" w:sz="4" w:space="0"/>
              <w:right w:val="single" w:color="auto" w:sz="4" w:space="0"/>
            </w:tcBorders>
            <w:vAlign w:val="center"/>
          </w:tcPr>
          <w:p w14:paraId="1C59F185">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bookmarkStart w:id="109" w:name="OLE_LINK43"/>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报价</w:t>
            </w:r>
            <w:bookmarkEnd w:id="109"/>
          </w:p>
        </w:tc>
        <w:tc>
          <w:tcPr>
            <w:tcW w:w="2027" w:type="pct"/>
            <w:tcBorders>
              <w:top w:val="single" w:color="auto" w:sz="4" w:space="0"/>
              <w:left w:val="single" w:color="auto" w:sz="4" w:space="0"/>
              <w:bottom w:val="single" w:color="auto" w:sz="4" w:space="0"/>
              <w:right w:val="single" w:color="auto" w:sz="4" w:space="0"/>
            </w:tcBorders>
            <w:vAlign w:val="top"/>
          </w:tcPr>
          <w:p w14:paraId="112F602B">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报价符合唯一性要求：</w:t>
            </w:r>
          </w:p>
          <w:p w14:paraId="7C4CBC09">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（2）响应报价表填写符合要求；</w:t>
            </w:r>
          </w:p>
          <w:p w14:paraId="1D2D9463">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kern w:val="0"/>
                <w:sz w:val="24"/>
                <w:szCs w:val="24"/>
                <w:highlight w:val="none"/>
              </w:rPr>
              <w:t>（3）未超出采购预算或</w:t>
            </w: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文件规定的最高限价</w:t>
            </w:r>
            <w:r>
              <w:rPr>
                <w:rFonts w:hint="eastAsia" w:ascii="宋体" w:hAnsi="宋体" w:cs="宋体"/>
                <w:bCs/>
                <w:color w:val="auto"/>
                <w:kern w:val="0"/>
                <w:sz w:val="24"/>
                <w:szCs w:val="24"/>
                <w:highlight w:val="none"/>
                <w:lang w:eastAsia="zh-CN"/>
              </w:rPr>
              <w:t>。</w:t>
            </w:r>
          </w:p>
        </w:tc>
        <w:tc>
          <w:tcPr>
            <w:tcW w:w="541" w:type="pct"/>
            <w:tcBorders>
              <w:top w:val="single" w:color="auto" w:sz="4" w:space="0"/>
              <w:left w:val="single" w:color="auto" w:sz="4" w:space="0"/>
              <w:bottom w:val="single" w:color="auto" w:sz="4" w:space="0"/>
              <w:right w:val="single" w:color="auto" w:sz="4" w:space="0"/>
            </w:tcBorders>
            <w:vAlign w:val="top"/>
          </w:tcPr>
          <w:p w14:paraId="0B0F8BD6">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520C78E8">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1242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2EBAF011">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6</w:t>
            </w:r>
          </w:p>
        </w:tc>
        <w:tc>
          <w:tcPr>
            <w:tcW w:w="1271" w:type="pct"/>
            <w:tcBorders>
              <w:top w:val="single" w:color="auto" w:sz="4" w:space="0"/>
              <w:left w:val="single" w:color="auto" w:sz="4" w:space="0"/>
              <w:bottom w:val="single" w:color="auto" w:sz="4" w:space="0"/>
              <w:right w:val="single" w:color="auto" w:sz="4" w:space="0"/>
            </w:tcBorders>
            <w:vAlign w:val="center"/>
          </w:tcPr>
          <w:p w14:paraId="081FE28A">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bookmarkStart w:id="110" w:name="OLE_LINK44"/>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文件要求的实质性条款</w:t>
            </w:r>
            <w:bookmarkEnd w:id="110"/>
          </w:p>
        </w:tc>
        <w:tc>
          <w:tcPr>
            <w:tcW w:w="2027" w:type="pct"/>
            <w:tcBorders>
              <w:top w:val="single" w:color="auto" w:sz="4" w:space="0"/>
              <w:left w:val="single" w:color="auto" w:sz="4" w:space="0"/>
              <w:bottom w:val="single" w:color="auto" w:sz="4" w:space="0"/>
              <w:right w:val="single" w:color="auto" w:sz="4" w:space="0"/>
            </w:tcBorders>
            <w:vAlign w:val="center"/>
          </w:tcPr>
          <w:p w14:paraId="6F70D3C2">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color w:val="auto"/>
                <w:sz w:val="24"/>
                <w:szCs w:val="24"/>
                <w:highlight w:val="none"/>
              </w:rPr>
            </w:pPr>
            <w:bookmarkStart w:id="111" w:name="OLE_LINK45"/>
            <w:r>
              <w:rPr>
                <w:rFonts w:hint="eastAsia" w:ascii="宋体" w:hAnsi="宋体" w:eastAsia="宋体" w:cs="宋体"/>
                <w:color w:val="auto"/>
                <w:sz w:val="24"/>
                <w:szCs w:val="24"/>
                <w:highlight w:val="none"/>
              </w:rPr>
              <w:t>完全响应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文件要求的各项实质性条款。</w:t>
            </w:r>
            <w:bookmarkEnd w:id="111"/>
          </w:p>
        </w:tc>
        <w:tc>
          <w:tcPr>
            <w:tcW w:w="541" w:type="pct"/>
            <w:tcBorders>
              <w:top w:val="single" w:color="auto" w:sz="4" w:space="0"/>
              <w:left w:val="single" w:color="auto" w:sz="4" w:space="0"/>
              <w:bottom w:val="single" w:color="auto" w:sz="4" w:space="0"/>
              <w:right w:val="single" w:color="auto" w:sz="4" w:space="0"/>
            </w:tcBorders>
            <w:vAlign w:val="top"/>
          </w:tcPr>
          <w:p w14:paraId="5F772732">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1D15F05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3728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5D4A60ED">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1271" w:type="pct"/>
            <w:tcBorders>
              <w:top w:val="single" w:color="auto" w:sz="4" w:space="0"/>
              <w:left w:val="single" w:color="auto" w:sz="4" w:space="0"/>
              <w:bottom w:val="single" w:color="auto" w:sz="4" w:space="0"/>
              <w:right w:val="single" w:color="auto" w:sz="4" w:space="0"/>
            </w:tcBorders>
            <w:vAlign w:val="center"/>
          </w:tcPr>
          <w:p w14:paraId="23AC58D2">
            <w:pPr>
              <w:keepNext w:val="0"/>
              <w:keepLines w:val="0"/>
              <w:pageBreakBefore w:val="0"/>
              <w:widowControl/>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Cs/>
                <w:color w:val="auto"/>
                <w:kern w:val="0"/>
                <w:sz w:val="24"/>
                <w:szCs w:val="24"/>
                <w:highlight w:val="none"/>
              </w:rPr>
            </w:pPr>
            <w:bookmarkStart w:id="112" w:name="OLE_LINK46"/>
            <w:r>
              <w:rPr>
                <w:rFonts w:hint="eastAsia" w:ascii="宋体" w:hAnsi="宋体" w:eastAsia="宋体" w:cs="宋体"/>
                <w:bCs/>
                <w:color w:val="auto"/>
                <w:sz w:val="24"/>
                <w:szCs w:val="24"/>
                <w:highlight w:val="none"/>
              </w:rPr>
              <w:t>合同主要条款响应</w:t>
            </w:r>
            <w:bookmarkEnd w:id="112"/>
          </w:p>
        </w:tc>
        <w:tc>
          <w:tcPr>
            <w:tcW w:w="2027" w:type="pct"/>
            <w:tcBorders>
              <w:top w:val="single" w:color="auto" w:sz="4" w:space="0"/>
              <w:left w:val="single" w:color="auto" w:sz="4" w:space="0"/>
              <w:bottom w:val="single" w:color="auto" w:sz="4" w:space="0"/>
              <w:right w:val="single" w:color="auto" w:sz="4" w:space="0"/>
            </w:tcBorders>
            <w:vAlign w:val="center"/>
          </w:tcPr>
          <w:p w14:paraId="0BC6C9D3">
            <w:pPr>
              <w:keepNext w:val="0"/>
              <w:keepLines w:val="0"/>
              <w:pageBreakBefore w:val="0"/>
              <w:widowControl/>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4"/>
                <w:szCs w:val="24"/>
                <w:highlight w:val="none"/>
              </w:rPr>
            </w:pPr>
            <w:bookmarkStart w:id="113" w:name="OLE_LINK47"/>
            <w:r>
              <w:rPr>
                <w:rFonts w:hint="eastAsia" w:ascii="宋体" w:hAnsi="宋体" w:eastAsia="宋体" w:cs="宋体"/>
                <w:color w:val="auto"/>
                <w:sz w:val="24"/>
                <w:szCs w:val="24"/>
                <w:highlight w:val="none"/>
              </w:rPr>
              <w:t>完整响应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文件合同主要条款。</w:t>
            </w:r>
            <w:bookmarkEnd w:id="113"/>
          </w:p>
        </w:tc>
        <w:tc>
          <w:tcPr>
            <w:tcW w:w="541" w:type="pct"/>
            <w:tcBorders>
              <w:top w:val="single" w:color="auto" w:sz="4" w:space="0"/>
              <w:left w:val="single" w:color="auto" w:sz="4" w:space="0"/>
              <w:bottom w:val="single" w:color="auto" w:sz="4" w:space="0"/>
              <w:right w:val="single" w:color="auto" w:sz="4" w:space="0"/>
            </w:tcBorders>
            <w:vAlign w:val="top"/>
          </w:tcPr>
          <w:p w14:paraId="5296A636">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2322F23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4D60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2CDFD79F">
            <w:pPr>
              <w:keepNext w:val="0"/>
              <w:keepLines w:val="0"/>
              <w:pageBreakBefore w:val="0"/>
              <w:widowControl/>
              <w:kinsoku/>
              <w:wordWrap/>
              <w:overflowPunct/>
              <w:topLinePunct w:val="0"/>
              <w:autoSpaceDE/>
              <w:autoSpaceDN/>
              <w:bidi w:val="0"/>
              <w:adjustRightInd/>
              <w:snapToGrid/>
              <w:spacing w:line="288" w:lineRule="auto"/>
              <w:ind w:left="0" w:right="0" w:firstLine="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磋商小组</w:t>
            </w:r>
            <w:r>
              <w:rPr>
                <w:rFonts w:hint="eastAsia" w:ascii="宋体" w:hAnsi="宋体" w:eastAsia="宋体" w:cs="宋体"/>
                <w:b/>
                <w:bCs/>
                <w:color w:val="auto"/>
                <w:kern w:val="0"/>
                <w:sz w:val="24"/>
                <w:szCs w:val="24"/>
                <w:highlight w:val="none"/>
              </w:rPr>
              <w:t>成员：（签字或盖章）</w:t>
            </w:r>
          </w:p>
        </w:tc>
      </w:tr>
    </w:tbl>
    <w:p w14:paraId="06745350">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 xml:space="preserve"> （4）磋商时，响应文件中出现下列情况，修正原则为：</w:t>
      </w:r>
    </w:p>
    <w:p w14:paraId="2A7BAA26">
      <w:pPr>
        <w:pageBreakBefore w:val="0"/>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color w:val="000000"/>
          <w:sz w:val="24"/>
          <w:szCs w:val="24"/>
        </w:rPr>
        <w:t>A</w:t>
      </w:r>
      <w:r>
        <w:rPr>
          <w:rFonts w:hint="eastAsia" w:ascii="宋体" w:hAnsi="宋体" w:cs="宋体"/>
          <w:color w:val="000000"/>
          <w:sz w:val="24"/>
          <w:szCs w:val="24"/>
          <w:lang w:eastAsia="zh-CN"/>
        </w:rPr>
        <w:t>.</w:t>
      </w:r>
      <w:r>
        <w:rPr>
          <w:rFonts w:hint="eastAsia" w:ascii="宋体" w:hAnsi="宋体" w:eastAsia="宋体" w:cs="宋体"/>
          <w:color w:val="000000"/>
          <w:sz w:val="24"/>
          <w:szCs w:val="24"/>
        </w:rPr>
        <w:t>响应文件中响应报价表内容与响应文件中明细内容不一致的，以响应报价表为准；</w:t>
      </w:r>
    </w:p>
    <w:p w14:paraId="7A8028A8">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B</w:t>
      </w:r>
      <w:r>
        <w:rPr>
          <w:rFonts w:hint="eastAsia" w:ascii="宋体" w:hAnsi="宋体" w:cs="宋体"/>
          <w:sz w:val="24"/>
          <w:szCs w:val="24"/>
          <w:lang w:eastAsia="zh-CN"/>
        </w:rPr>
        <w:t>.</w:t>
      </w:r>
      <w:r>
        <w:rPr>
          <w:rFonts w:hint="eastAsia" w:ascii="宋体" w:hAnsi="宋体" w:eastAsia="宋体" w:cs="宋体"/>
          <w:sz w:val="24"/>
          <w:szCs w:val="24"/>
        </w:rPr>
        <w:t>大写金额和小写金额不一致的，以大写金额为准；</w:t>
      </w:r>
    </w:p>
    <w:p w14:paraId="48F14849">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C</w:t>
      </w:r>
      <w:r>
        <w:rPr>
          <w:rFonts w:hint="eastAsia" w:ascii="宋体" w:hAnsi="宋体" w:cs="宋体"/>
          <w:sz w:val="24"/>
          <w:szCs w:val="24"/>
          <w:lang w:eastAsia="zh-CN"/>
        </w:rPr>
        <w:t>.</w:t>
      </w:r>
      <w:r>
        <w:rPr>
          <w:rFonts w:hint="eastAsia" w:ascii="宋体" w:hAnsi="宋体" w:eastAsia="宋体" w:cs="宋体"/>
          <w:sz w:val="24"/>
          <w:szCs w:val="24"/>
        </w:rPr>
        <w:t>单价金额小数点或者百分比有明显错位的，以</w:t>
      </w:r>
      <w:r>
        <w:rPr>
          <w:rFonts w:hint="eastAsia" w:ascii="宋体" w:hAnsi="宋体" w:eastAsia="宋体" w:cs="宋体"/>
          <w:color w:val="000000"/>
          <w:sz w:val="24"/>
          <w:szCs w:val="24"/>
        </w:rPr>
        <w:t>响应报价表</w:t>
      </w:r>
      <w:r>
        <w:rPr>
          <w:rFonts w:hint="eastAsia" w:ascii="宋体" w:hAnsi="宋体" w:eastAsia="宋体" w:cs="宋体"/>
          <w:sz w:val="24"/>
          <w:szCs w:val="24"/>
        </w:rPr>
        <w:t>的总价为准，并修改单价；</w:t>
      </w:r>
    </w:p>
    <w:p w14:paraId="066D2BDE">
      <w:pPr>
        <w:pageBreakBefore w:val="0"/>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cs="宋体"/>
          <w:sz w:val="24"/>
          <w:szCs w:val="24"/>
          <w:lang w:eastAsia="zh-CN"/>
        </w:rPr>
        <w:t>.</w:t>
      </w:r>
      <w:r>
        <w:rPr>
          <w:rFonts w:hint="eastAsia" w:ascii="宋体" w:hAnsi="宋体" w:eastAsia="宋体" w:cs="宋体"/>
          <w:sz w:val="24"/>
          <w:szCs w:val="24"/>
        </w:rPr>
        <w:t xml:space="preserve">总价金额与按单价汇总金额不一致的，以单价金额计算结果为准； </w:t>
      </w:r>
    </w:p>
    <w:p w14:paraId="12BAAC22">
      <w:pPr>
        <w:pageBreakBefore w:val="0"/>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cs="宋体"/>
          <w:sz w:val="24"/>
          <w:szCs w:val="24"/>
          <w:lang w:val="en-US" w:eastAsia="zh-CN"/>
        </w:rPr>
        <w:t>E.</w:t>
      </w:r>
      <w:r>
        <w:rPr>
          <w:rFonts w:hint="eastAsia" w:ascii="宋体" w:hAnsi="宋体" w:eastAsia="宋体" w:cs="宋体"/>
          <w:sz w:val="24"/>
          <w:szCs w:val="24"/>
        </w:rPr>
        <w:t>多处内容交叉不符时，以磋商小组评审结果为准；</w:t>
      </w:r>
    </w:p>
    <w:p w14:paraId="3BBC09B2">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F.</w:t>
      </w:r>
      <w:r>
        <w:rPr>
          <w:rFonts w:hint="eastAsia" w:ascii="宋体" w:hAnsi="宋体" w:eastAsia="宋体" w:cs="宋体"/>
          <w:sz w:val="24"/>
          <w:szCs w:val="24"/>
        </w:rPr>
        <w:t>文字与图表不符的，以文字为准。</w:t>
      </w:r>
    </w:p>
    <w:p w14:paraId="09CE9AE1">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6CB2A780">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（5）磋商开始后，直到向成交供应商授予合同为止，凡审查、澄清、评价和比较磋商的有关资料，磋商小组成员均不得向供应商及与磋商无关的其他人透露。</w:t>
      </w:r>
    </w:p>
    <w:p w14:paraId="2B51B212">
      <w:pPr>
        <w:pageBreakBefore w:val="0"/>
        <w:wordWrap/>
        <w:topLinePunct w:val="0"/>
        <w:autoSpaceDE/>
        <w:autoSpaceDN/>
        <w:bidi w:val="0"/>
        <w:spacing w:line="336"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4</w:t>
      </w:r>
      <w:r>
        <w:rPr>
          <w:rFonts w:hint="eastAsia" w:ascii="宋体" w:hAnsi="宋体" w:cs="宋体"/>
          <w:b/>
          <w:sz w:val="24"/>
          <w:szCs w:val="24"/>
          <w:lang w:val="en-US" w:eastAsia="zh-CN"/>
        </w:rPr>
        <w:t>.</w:t>
      </w:r>
      <w:r>
        <w:rPr>
          <w:rFonts w:hint="eastAsia" w:ascii="宋体" w:hAnsi="宋体" w:eastAsia="宋体" w:cs="宋体"/>
          <w:b/>
          <w:sz w:val="24"/>
          <w:szCs w:val="24"/>
        </w:rPr>
        <w:t>出现下列情况之一者（但不限于），按无效文件处理：</w:t>
      </w:r>
    </w:p>
    <w:p w14:paraId="4658C364">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cs="宋体"/>
          <w:sz w:val="24"/>
          <w:szCs w:val="24"/>
          <w:lang w:eastAsia="zh-CN"/>
        </w:rPr>
        <w:t>.</w:t>
      </w:r>
      <w:r>
        <w:rPr>
          <w:rFonts w:hint="eastAsia" w:ascii="宋体" w:hAnsi="宋体" w:eastAsia="宋体" w:cs="宋体"/>
          <w:sz w:val="24"/>
          <w:szCs w:val="24"/>
        </w:rPr>
        <w:t>供应商的响应报价不符合</w:t>
      </w:r>
      <w:r>
        <w:rPr>
          <w:rFonts w:hint="eastAsia" w:ascii="宋体" w:hAnsi="宋体" w:cs="宋体"/>
          <w:sz w:val="24"/>
          <w:szCs w:val="24"/>
          <w:lang w:val="en-US" w:eastAsia="zh-CN"/>
        </w:rPr>
        <w:t>磋商</w:t>
      </w:r>
      <w:r>
        <w:rPr>
          <w:rFonts w:hint="eastAsia" w:ascii="宋体" w:hAnsi="宋体" w:eastAsia="宋体" w:cs="宋体"/>
          <w:sz w:val="24"/>
          <w:szCs w:val="24"/>
        </w:rPr>
        <w:t>文件要求的；</w:t>
      </w:r>
    </w:p>
    <w:p w14:paraId="6952B415">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cs="宋体"/>
          <w:sz w:val="24"/>
          <w:szCs w:val="24"/>
          <w:lang w:eastAsia="zh-CN"/>
        </w:rPr>
        <w:t>.</w:t>
      </w:r>
      <w:r>
        <w:rPr>
          <w:rFonts w:hint="eastAsia" w:ascii="宋体" w:hAnsi="宋体" w:eastAsia="宋体" w:cs="宋体"/>
          <w:sz w:val="24"/>
          <w:szCs w:val="24"/>
        </w:rPr>
        <w:t>供应商未经过正常渠道</w:t>
      </w:r>
      <w:r>
        <w:rPr>
          <w:rFonts w:hint="eastAsia" w:ascii="宋体" w:hAnsi="宋体" w:cs="宋体"/>
          <w:sz w:val="24"/>
          <w:szCs w:val="24"/>
          <w:lang w:val="en-US" w:eastAsia="zh-CN"/>
        </w:rPr>
        <w:t>获取</w:t>
      </w:r>
      <w:r>
        <w:rPr>
          <w:rFonts w:hint="eastAsia" w:ascii="宋体" w:hAnsi="宋体" w:eastAsia="宋体" w:cs="宋体"/>
          <w:sz w:val="24"/>
          <w:szCs w:val="24"/>
        </w:rPr>
        <w:t>磋商文件，或供应商名称与</w:t>
      </w:r>
      <w:r>
        <w:rPr>
          <w:rFonts w:hint="eastAsia" w:ascii="宋体" w:hAnsi="宋体" w:cs="宋体"/>
          <w:sz w:val="24"/>
          <w:szCs w:val="24"/>
          <w:lang w:val="en-US" w:eastAsia="zh-CN"/>
        </w:rPr>
        <w:t>获取</w:t>
      </w:r>
      <w:r>
        <w:rPr>
          <w:rFonts w:hint="eastAsia" w:ascii="宋体" w:hAnsi="宋体" w:eastAsia="宋体" w:cs="宋体"/>
          <w:sz w:val="24"/>
          <w:szCs w:val="24"/>
        </w:rPr>
        <w:t>磋商文件时登记的供应商名称不符的；</w:t>
      </w:r>
    </w:p>
    <w:p w14:paraId="56CF8597">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cs="宋体"/>
          <w:sz w:val="24"/>
          <w:szCs w:val="24"/>
          <w:lang w:eastAsia="zh-CN"/>
        </w:rPr>
        <w:t>.</w:t>
      </w:r>
      <w:r>
        <w:rPr>
          <w:rFonts w:hint="eastAsia" w:ascii="宋体" w:hAnsi="宋体" w:eastAsia="宋体" w:cs="宋体"/>
          <w:sz w:val="24"/>
          <w:szCs w:val="24"/>
        </w:rPr>
        <w:t>不同供应商单位负责人为同一人或者存在控股、管理关系的；</w:t>
      </w:r>
    </w:p>
    <w:p w14:paraId="3B9376E0">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cs="宋体"/>
          <w:sz w:val="24"/>
          <w:szCs w:val="24"/>
          <w:lang w:eastAsia="zh-CN"/>
        </w:rPr>
        <w:t>.</w:t>
      </w:r>
      <w:r>
        <w:rPr>
          <w:rFonts w:hint="eastAsia" w:ascii="宋体" w:hAnsi="宋体" w:eastAsia="宋体" w:cs="宋体"/>
          <w:sz w:val="24"/>
          <w:szCs w:val="24"/>
        </w:rPr>
        <w:t>响应文件的有效性和符合性不符合要求的；</w:t>
      </w:r>
    </w:p>
    <w:p w14:paraId="65757F8C">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w:t>
      </w:r>
      <w:r>
        <w:rPr>
          <w:rFonts w:hint="eastAsia" w:ascii="宋体" w:hAnsi="宋体" w:cs="宋体"/>
          <w:sz w:val="24"/>
          <w:szCs w:val="24"/>
          <w:lang w:eastAsia="zh-CN"/>
        </w:rPr>
        <w:t>.</w:t>
      </w:r>
      <w:r>
        <w:rPr>
          <w:rFonts w:hint="eastAsia" w:ascii="宋体" w:hAnsi="宋体" w:eastAsia="宋体" w:cs="宋体"/>
          <w:sz w:val="24"/>
          <w:szCs w:val="24"/>
        </w:rPr>
        <w:t>实质性内容不满足或未响应的；</w:t>
      </w:r>
    </w:p>
    <w:p w14:paraId="22E0429E">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w:t>
      </w:r>
      <w:r>
        <w:rPr>
          <w:rFonts w:hint="eastAsia" w:ascii="宋体" w:hAnsi="宋体" w:cs="宋体"/>
          <w:sz w:val="24"/>
          <w:szCs w:val="24"/>
          <w:lang w:eastAsia="zh-CN"/>
        </w:rPr>
        <w:t>.</w:t>
      </w:r>
      <w:r>
        <w:rPr>
          <w:rFonts w:hint="eastAsia" w:ascii="宋体" w:hAnsi="宋体" w:eastAsia="宋体" w:cs="宋体"/>
          <w:sz w:val="24"/>
          <w:szCs w:val="24"/>
        </w:rPr>
        <w:t>响应文件未按磋商文件要求签字、加盖公章的；</w:t>
      </w:r>
    </w:p>
    <w:p w14:paraId="0F0A11FA">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w:t>
      </w:r>
      <w:r>
        <w:rPr>
          <w:rFonts w:hint="eastAsia" w:ascii="宋体" w:hAnsi="宋体" w:cs="宋体"/>
          <w:sz w:val="24"/>
          <w:szCs w:val="24"/>
          <w:lang w:eastAsia="zh-CN"/>
        </w:rPr>
        <w:t>.</w:t>
      </w:r>
      <w:r>
        <w:rPr>
          <w:rFonts w:hint="eastAsia" w:ascii="宋体" w:hAnsi="宋体" w:eastAsia="宋体" w:cs="宋体"/>
          <w:sz w:val="24"/>
          <w:szCs w:val="24"/>
        </w:rPr>
        <w:t>无磋商有效期或有效期达不到磋商文件要求的；</w:t>
      </w:r>
    </w:p>
    <w:p w14:paraId="187197C3">
      <w:pPr>
        <w:keepNext w:val="0"/>
        <w:keepLines w:val="0"/>
        <w:pageBreakBefore w:val="0"/>
        <w:widowControl w:val="0"/>
        <w:kinsoku/>
        <w:wordWrap/>
        <w:overflowPunct/>
        <w:topLinePunct/>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H.</w:t>
      </w:r>
      <w:r>
        <w:rPr>
          <w:rFonts w:hint="eastAsia" w:ascii="宋体" w:hAnsi="宋体" w:eastAsia="宋体" w:cs="宋体"/>
          <w:sz w:val="24"/>
          <w:szCs w:val="24"/>
        </w:rPr>
        <w:t>供应商有串通投标、弄虚作假（包括但不限于虚假资质、虚假证明、虚假应答等）、行贿等违法行为的；</w:t>
      </w:r>
    </w:p>
    <w:p w14:paraId="61EE7A6D">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I.</w:t>
      </w:r>
      <w:r>
        <w:rPr>
          <w:rFonts w:hint="eastAsia" w:ascii="宋体" w:hAnsi="宋体" w:eastAsia="宋体" w:cs="宋体"/>
          <w:sz w:val="24"/>
          <w:szCs w:val="24"/>
        </w:rPr>
        <w:t>响应文件在商务响应方面附加了采购人难以接受的条件或条款的；</w:t>
      </w:r>
    </w:p>
    <w:p w14:paraId="67834204">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J.</w:t>
      </w:r>
      <w:r>
        <w:rPr>
          <w:rFonts w:hint="eastAsia" w:ascii="宋体" w:hAnsi="宋体" w:eastAsia="宋体" w:cs="宋体"/>
          <w:sz w:val="24"/>
          <w:szCs w:val="24"/>
        </w:rPr>
        <w:t>在政府采购</w:t>
      </w:r>
      <w:r>
        <w:rPr>
          <w:rFonts w:hint="eastAsia" w:ascii="宋体" w:hAnsi="宋体" w:cs="宋体"/>
          <w:sz w:val="24"/>
          <w:szCs w:val="24"/>
          <w:lang w:eastAsia="zh-CN"/>
        </w:rPr>
        <w:t>或其他</w:t>
      </w:r>
      <w:r>
        <w:rPr>
          <w:rFonts w:hint="eastAsia" w:ascii="宋体" w:hAnsi="宋体" w:eastAsia="宋体" w:cs="宋体"/>
          <w:sz w:val="24"/>
          <w:szCs w:val="24"/>
        </w:rPr>
        <w:t>重大项目履约过程中有不良记录，未能按期履约的；</w:t>
      </w:r>
    </w:p>
    <w:p w14:paraId="146F88D4">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K.</w:t>
      </w:r>
      <w:r>
        <w:rPr>
          <w:rFonts w:hint="eastAsia" w:ascii="宋体" w:hAnsi="宋体" w:eastAsia="宋体" w:cs="宋体"/>
          <w:sz w:val="24"/>
          <w:szCs w:val="24"/>
        </w:rPr>
        <w:t>磋商报价与市场价格偏离较大、低于成本、形成不正当竞争的；</w:t>
      </w:r>
    </w:p>
    <w:p w14:paraId="37D1932D">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L.</w:t>
      </w:r>
      <w:r>
        <w:rPr>
          <w:rFonts w:hint="eastAsia" w:ascii="宋体" w:hAnsi="宋体" w:eastAsia="宋体" w:cs="宋体"/>
          <w:sz w:val="24"/>
          <w:szCs w:val="24"/>
        </w:rPr>
        <w:t>报价子目出现漏项或报价数量与要求不符的；</w:t>
      </w:r>
    </w:p>
    <w:p w14:paraId="1D65E115">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M.</w:t>
      </w:r>
      <w:r>
        <w:rPr>
          <w:rFonts w:hint="eastAsia" w:ascii="宋体" w:hAnsi="宋体" w:eastAsia="宋体" w:cs="宋体"/>
          <w:sz w:val="24"/>
          <w:szCs w:val="24"/>
        </w:rPr>
        <w:t>响应文件的技术要求与磋商文件出现重大负偏差的；</w:t>
      </w:r>
    </w:p>
    <w:p w14:paraId="2DCCB4E7">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N.</w:t>
      </w:r>
      <w:r>
        <w:rPr>
          <w:rFonts w:hint="eastAsia" w:ascii="宋体" w:hAnsi="宋体" w:eastAsia="宋体" w:cs="宋体"/>
          <w:sz w:val="24"/>
          <w:szCs w:val="24"/>
        </w:rPr>
        <w:t>提供虚假技术指标的。</w:t>
      </w:r>
    </w:p>
    <w:p w14:paraId="68FA2272">
      <w:pPr>
        <w:pageBreakBefore w:val="0"/>
        <w:wordWrap/>
        <w:topLinePunct w:val="0"/>
        <w:autoSpaceDE/>
        <w:autoSpaceDN/>
        <w:bidi w:val="0"/>
        <w:spacing w:line="336" w:lineRule="auto"/>
        <w:ind w:firstLine="602" w:firstLineChars="250"/>
        <w:textAlignment w:val="auto"/>
        <w:rPr>
          <w:rFonts w:hint="eastAsia" w:ascii="宋体" w:hAnsi="宋体" w:eastAsia="宋体" w:cs="宋体"/>
          <w:b/>
          <w:sz w:val="24"/>
          <w:szCs w:val="24"/>
        </w:rPr>
      </w:pPr>
      <w:r>
        <w:rPr>
          <w:rFonts w:hint="eastAsia" w:ascii="宋体" w:hAnsi="宋体" w:eastAsia="宋体" w:cs="宋体"/>
          <w:b/>
          <w:sz w:val="24"/>
          <w:szCs w:val="24"/>
        </w:rPr>
        <w:t>5</w:t>
      </w:r>
      <w:r>
        <w:rPr>
          <w:rFonts w:hint="eastAsia" w:ascii="宋体" w:hAnsi="宋体" w:cs="宋体"/>
          <w:b/>
          <w:sz w:val="24"/>
          <w:szCs w:val="24"/>
          <w:lang w:val="en-US" w:eastAsia="zh-CN"/>
        </w:rPr>
        <w:t>.</w:t>
      </w:r>
      <w:r>
        <w:rPr>
          <w:rFonts w:hint="eastAsia" w:ascii="宋体" w:hAnsi="宋体" w:eastAsia="宋体" w:cs="宋体"/>
          <w:b/>
          <w:sz w:val="24"/>
          <w:szCs w:val="24"/>
        </w:rPr>
        <w:t>有下列情形之一的，视为供应商串通投标，磋商小组应当认定其响应文件无效：</w:t>
      </w:r>
    </w:p>
    <w:p w14:paraId="2696E0AE">
      <w:pPr>
        <w:pageBreakBefore w:val="0"/>
        <w:wordWrap/>
        <w:topLinePunct w:val="0"/>
        <w:autoSpaceDE/>
        <w:autoSpaceDN/>
        <w:bidi w:val="0"/>
        <w:spacing w:line="336" w:lineRule="auto"/>
        <w:ind w:firstLine="600" w:firstLineChars="250"/>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A</w:t>
      </w:r>
      <w:r>
        <w:rPr>
          <w:rFonts w:hint="eastAsia" w:ascii="宋体" w:hAnsi="宋体" w:cs="宋体"/>
          <w:sz w:val="24"/>
          <w:szCs w:val="24"/>
          <w:lang w:eastAsia="zh-CN"/>
        </w:rPr>
        <w:t>.</w:t>
      </w:r>
      <w:r>
        <w:rPr>
          <w:rFonts w:hint="eastAsia" w:ascii="宋体" w:hAnsi="宋体" w:eastAsia="宋体" w:cs="宋体"/>
          <w:sz w:val="24"/>
          <w:szCs w:val="24"/>
        </w:rPr>
        <w:t>不同供应商的响应文件由同一单位或者个人编制；</w:t>
      </w:r>
    </w:p>
    <w:p w14:paraId="394F2C72">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cs="宋体"/>
          <w:sz w:val="24"/>
          <w:szCs w:val="24"/>
          <w:lang w:eastAsia="zh-CN"/>
        </w:rPr>
        <w:t>.</w:t>
      </w:r>
      <w:r>
        <w:rPr>
          <w:rFonts w:hint="eastAsia" w:ascii="宋体" w:hAnsi="宋体" w:eastAsia="宋体" w:cs="宋体"/>
          <w:sz w:val="24"/>
          <w:szCs w:val="24"/>
        </w:rPr>
        <w:t xml:space="preserve">不同供应商委托同一单位或者个人办理磋商事宜； </w:t>
      </w:r>
    </w:p>
    <w:p w14:paraId="5BF17009">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cs="宋体"/>
          <w:sz w:val="24"/>
          <w:szCs w:val="24"/>
          <w:lang w:eastAsia="zh-CN"/>
        </w:rPr>
        <w:t>.</w:t>
      </w:r>
      <w:r>
        <w:rPr>
          <w:rFonts w:hint="eastAsia" w:ascii="宋体" w:hAnsi="宋体" w:eastAsia="宋体" w:cs="宋体"/>
          <w:sz w:val="24"/>
          <w:szCs w:val="24"/>
        </w:rPr>
        <w:t>不同供应商的响应文件载明的项目管理成员或者联系人员为同一人；</w:t>
      </w:r>
    </w:p>
    <w:p w14:paraId="1273F9FA">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cs="宋体"/>
          <w:sz w:val="24"/>
          <w:szCs w:val="24"/>
          <w:lang w:eastAsia="zh-CN"/>
        </w:rPr>
        <w:t>.</w:t>
      </w:r>
      <w:r>
        <w:rPr>
          <w:rFonts w:hint="eastAsia" w:ascii="宋体" w:hAnsi="宋体" w:eastAsia="宋体" w:cs="宋体"/>
          <w:sz w:val="24"/>
          <w:szCs w:val="24"/>
        </w:rPr>
        <w:t>不同供应商的响应文件异常一致或者磋商报价呈规律性差异；</w:t>
      </w:r>
    </w:p>
    <w:p w14:paraId="24DEFD17">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E</w:t>
      </w:r>
      <w:r>
        <w:rPr>
          <w:rFonts w:hint="eastAsia" w:ascii="宋体" w:hAnsi="宋体" w:cs="宋体"/>
          <w:sz w:val="24"/>
          <w:szCs w:val="24"/>
          <w:lang w:eastAsia="zh-CN"/>
        </w:rPr>
        <w:t>.</w:t>
      </w:r>
      <w:r>
        <w:rPr>
          <w:rFonts w:hint="eastAsia" w:ascii="宋体" w:hAnsi="宋体" w:eastAsia="宋体" w:cs="宋体"/>
          <w:sz w:val="24"/>
          <w:szCs w:val="24"/>
        </w:rPr>
        <w:t>不同供应商的响应文件相互混装；</w:t>
      </w:r>
    </w:p>
    <w:p w14:paraId="272C493E">
      <w:pPr>
        <w:pStyle w:val="6"/>
        <w:keepNext w:val="0"/>
        <w:keepLines w:val="0"/>
        <w:pageBreakBefore w:val="0"/>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val="en-US" w:eastAsia="zh-CN"/>
        </w:rPr>
        <w:t>.</w:t>
      </w:r>
      <w:r>
        <w:rPr>
          <w:rFonts w:hint="eastAsia" w:ascii="宋体" w:hAnsi="宋体" w:eastAsia="宋体" w:cs="宋体"/>
          <w:sz w:val="24"/>
          <w:szCs w:val="24"/>
        </w:rPr>
        <w:t>澄清</w:t>
      </w:r>
    </w:p>
    <w:p w14:paraId="71D62996">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07CF034">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color w:val="FF0000"/>
          <w:sz w:val="24"/>
          <w:szCs w:val="24"/>
        </w:rPr>
      </w:pPr>
      <w:r>
        <w:rPr>
          <w:rFonts w:hint="eastAsia" w:ascii="宋体" w:hAnsi="宋体" w:eastAsia="宋体" w:cs="宋体"/>
          <w:sz w:val="24"/>
          <w:szCs w:val="24"/>
        </w:rPr>
        <w:t>（2）实质性内容包括但不限于：</w:t>
      </w:r>
      <w:r>
        <w:rPr>
          <w:rFonts w:hint="eastAsia" w:ascii="宋体" w:hAnsi="宋体" w:eastAsia="宋体" w:cs="宋体"/>
          <w:color w:val="000000" w:themeColor="text1"/>
          <w:sz w:val="24"/>
          <w:szCs w:val="24"/>
          <w14:textFill>
            <w14:solidFill>
              <w14:schemeClr w14:val="tx1"/>
            </w14:solidFill>
          </w14:textFill>
        </w:rPr>
        <w:t>服务期、付款方式、质量指标、主要技术指标等。</w:t>
      </w:r>
    </w:p>
    <w:p w14:paraId="0E79ED55">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（3）磋商小组要求供应商澄清、说明或者更正响应文件应当以书面形式作出，并由其法定代表人或被授权人签字。</w:t>
      </w:r>
    </w:p>
    <w:p w14:paraId="33EA8199">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（4）在磋商过程中，磋商小组可以根据磋商文件和磋商情况实质性变动采购需求中的技术、服务要求以及合同草案条款，但不得变动磋商文件中的其他内容。实质性变动的内容，须经采购人代表确认。</w:t>
      </w:r>
    </w:p>
    <w:bookmarkEnd w:id="103"/>
    <w:p w14:paraId="5FC4627F">
      <w:pPr>
        <w:pStyle w:val="6"/>
        <w:keepNext w:val="0"/>
        <w:keepLines w:val="0"/>
        <w:pageBreakBefore w:val="0"/>
        <w:wordWrap/>
        <w:topLinePunct w:val="0"/>
        <w:autoSpaceDE/>
        <w:autoSpaceDN/>
        <w:bidi w:val="0"/>
        <w:spacing w:line="336" w:lineRule="auto"/>
        <w:ind w:firstLine="602" w:firstLineChars="250"/>
        <w:textAlignment w:val="auto"/>
        <w:rPr>
          <w:rFonts w:hint="eastAsia" w:ascii="宋体" w:hAnsi="宋体" w:eastAsia="宋体" w:cs="宋体"/>
          <w:sz w:val="24"/>
          <w:szCs w:val="24"/>
        </w:rPr>
      </w:pPr>
      <w:bookmarkStart w:id="114" w:name="_Toc536202314"/>
      <w:bookmarkStart w:id="115" w:name="_Toc12947"/>
      <w:r>
        <w:rPr>
          <w:rFonts w:hint="eastAsia" w:ascii="宋体" w:hAnsi="宋体" w:eastAsia="宋体" w:cs="宋体"/>
          <w:sz w:val="24"/>
          <w:szCs w:val="24"/>
        </w:rPr>
        <w:t>7</w:t>
      </w:r>
      <w:r>
        <w:rPr>
          <w:rFonts w:hint="eastAsia" w:ascii="宋体" w:hAnsi="宋体" w:cs="宋体"/>
          <w:sz w:val="24"/>
          <w:szCs w:val="24"/>
          <w:lang w:val="en-US" w:eastAsia="zh-CN"/>
        </w:rPr>
        <w:t>.</w:t>
      </w:r>
      <w:r>
        <w:rPr>
          <w:rFonts w:hint="eastAsia" w:ascii="宋体" w:hAnsi="宋体" w:eastAsia="宋体" w:cs="宋体"/>
          <w:sz w:val="24"/>
          <w:szCs w:val="24"/>
        </w:rPr>
        <w:t>评审方法及内容</w:t>
      </w:r>
      <w:r>
        <w:rPr>
          <w:rFonts w:hint="eastAsia" w:ascii="宋体" w:hAnsi="宋体" w:eastAsia="宋体" w:cs="宋体"/>
          <w:sz w:val="24"/>
          <w:szCs w:val="24"/>
        </w:rPr>
        <w:tab/>
      </w:r>
    </w:p>
    <w:p w14:paraId="4D131690">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（1）按照磋商文件规定的评审方法和标准，对资格性审查和符合性审查合格的响应文件进行商务和技术评审，综合比较和评价。</w:t>
      </w:r>
    </w:p>
    <w:p w14:paraId="537AD1F8">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采用综合评分法：二次报价为最终报价，在满足磋商文件所有实质性要求前提下，提交最终报价。如采购需求没有实质性变化，各供应商的报价应逐次降低，二次报价高于一次报价的，为无效报价，按无效文件处理。最终报价后按照磋商文件中规定的各项因素进行综合评审，以磋商总得分最高的供应商作为成交供应商的磋商方法。若有两个或两个以上最高得分相同，推荐其中报价最低的供应商为成交候选供应商。磋商总得分</w:t>
      </w:r>
      <w:r>
        <w:rPr>
          <w:rFonts w:hint="eastAsia" w:ascii="宋体" w:hAnsi="宋体" w:eastAsia="宋体" w:cs="宋体"/>
          <w:sz w:val="24"/>
          <w:szCs w:val="24"/>
          <w:lang w:eastAsia="zh-CN"/>
        </w:rPr>
        <w:t>和</w:t>
      </w:r>
      <w:r>
        <w:rPr>
          <w:rFonts w:hint="eastAsia" w:ascii="宋体" w:hAnsi="宋体" w:eastAsia="宋体" w:cs="宋体"/>
          <w:sz w:val="24"/>
          <w:szCs w:val="24"/>
        </w:rPr>
        <w:t>最后报价</w:t>
      </w:r>
      <w:r>
        <w:rPr>
          <w:rFonts w:hint="eastAsia" w:ascii="宋体" w:hAnsi="宋体" w:eastAsia="宋体" w:cs="宋体"/>
          <w:sz w:val="24"/>
          <w:szCs w:val="24"/>
          <w:lang w:eastAsia="zh-CN"/>
        </w:rPr>
        <w:t>都</w:t>
      </w:r>
      <w:r>
        <w:rPr>
          <w:rFonts w:hint="eastAsia" w:ascii="宋体" w:hAnsi="宋体" w:eastAsia="宋体" w:cs="宋体"/>
          <w:sz w:val="24"/>
          <w:szCs w:val="24"/>
        </w:rPr>
        <w:t>相同的，按照技术指标优劣顺序推荐。</w:t>
      </w:r>
    </w:p>
    <w:p w14:paraId="5337FCAA">
      <w:pPr>
        <w:pageBreakBefore w:val="0"/>
        <w:wordWrap/>
        <w:topLinePunct w:val="0"/>
        <w:autoSpaceDE/>
        <w:autoSpaceDN/>
        <w:bidi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3）磋商小组根据以下内容进行综合比较，自主打分，按最后得分由高到低汇总排序，以项目为单位分别推荐三名以上成交候选供应商；磋商小组根据磋商结果写出磋商意见。如果磋商小组出现对磋商结果有不同意见的，应当书面签署不同意见和理由。磋商小组拒绝在磋商意见中签字又不书面说明其不同意见和理由的，视为同意磋商结果。</w:t>
      </w:r>
    </w:p>
    <w:p w14:paraId="1D3FE76F">
      <w:pPr>
        <w:pStyle w:val="103"/>
        <w:pageBreakBefore w:val="0"/>
        <w:numPr>
          <w:ilvl w:val="0"/>
          <w:numId w:val="0"/>
        </w:numPr>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）磋商小组须对畸高、畸低的重大差异评分进行复核或书面说明理由。</w:t>
      </w:r>
    </w:p>
    <w:p w14:paraId="3244F303">
      <w:pPr>
        <w:pStyle w:val="6"/>
        <w:pageBreakBefore w:val="0"/>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val="en-US" w:eastAsia="zh-CN"/>
        </w:rPr>
        <w:t>.</w:t>
      </w:r>
      <w:r>
        <w:rPr>
          <w:rFonts w:hint="eastAsia" w:ascii="宋体" w:hAnsi="宋体" w:eastAsia="宋体" w:cs="宋体"/>
          <w:sz w:val="24"/>
          <w:szCs w:val="24"/>
        </w:rPr>
        <w:t>定标</w:t>
      </w:r>
      <w:bookmarkEnd w:id="114"/>
      <w:bookmarkEnd w:id="115"/>
    </w:p>
    <w:p w14:paraId="12009813">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8.1代理机构在评审结束后2个工作日内将评审报告送达采购单位，采购单位在收到评审报告后5个工作日内，按照评审报告中推荐的成交候选人顺序确认第一成交候选人为成交单位，同时书面复函代理机构；</w:t>
      </w:r>
    </w:p>
    <w:p w14:paraId="04E20095">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8.2代理机构收到采购单位“定标复函”后2日内，在财政部门指定的政府采购信息媒体上发布公告，并向成交供应商发出“成交通知书”。</w:t>
      </w:r>
    </w:p>
    <w:p w14:paraId="6F968636">
      <w:pPr>
        <w:pageBreakBefore w:val="0"/>
        <w:widowControl/>
        <w:numPr>
          <w:ilvl w:val="0"/>
          <w:numId w:val="5"/>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rPr>
      </w:pPr>
      <w:bookmarkStart w:id="116" w:name="_Toc19543341"/>
      <w:bookmarkStart w:id="117" w:name="_Toc536202384"/>
      <w:bookmarkStart w:id="118" w:name="_Toc536429324"/>
      <w:bookmarkStart w:id="119" w:name="_Toc25308"/>
      <w:bookmarkStart w:id="120" w:name="_Toc11870"/>
      <w:bookmarkStart w:id="121" w:name="_Toc536202315"/>
      <w:bookmarkStart w:id="122" w:name="_Toc536429377"/>
      <w:bookmarkStart w:id="123" w:name="_Toc19972"/>
      <w:r>
        <w:rPr>
          <w:rFonts w:hint="eastAsia" w:ascii="宋体" w:hAnsi="宋体" w:eastAsia="宋体" w:cs="宋体"/>
          <w:b/>
          <w:bCs/>
          <w:kern w:val="0"/>
          <w:sz w:val="24"/>
          <w:szCs w:val="24"/>
        </w:rPr>
        <w:t>签订合同</w:t>
      </w:r>
      <w:bookmarkEnd w:id="116"/>
      <w:bookmarkEnd w:id="117"/>
      <w:bookmarkEnd w:id="118"/>
      <w:bookmarkEnd w:id="119"/>
      <w:bookmarkEnd w:id="120"/>
      <w:bookmarkEnd w:id="121"/>
      <w:bookmarkEnd w:id="122"/>
      <w:bookmarkEnd w:id="123"/>
    </w:p>
    <w:p w14:paraId="367C34B6">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成交后，成交供应商在收到成交通知书后三十（30）个日历日内，应按磋商文件的要求与采购人洽谈合同条款，并签订供货合同，同时送监督机构备案，磋商文件及成交供应商的响应文件均作为合同的组成部分；</w:t>
      </w:r>
    </w:p>
    <w:p w14:paraId="7A192C69">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采购人不得向成交供应商提出超出磋商文件以外的任何要求作为签订合同的条件，不得与成交供应商订立背离磋商文件确定的合同文本以及采购服务要求实质性内容的协议。</w:t>
      </w:r>
    </w:p>
    <w:p w14:paraId="416995FF">
      <w:pPr>
        <w:pStyle w:val="103"/>
        <w:pageBreakBefore w:val="0"/>
        <w:numPr>
          <w:ilvl w:val="0"/>
          <w:numId w:val="0"/>
        </w:numPr>
        <w:wordWrap/>
        <w:topLinePunct w:val="0"/>
        <w:autoSpaceDE/>
        <w:autoSpaceDN/>
        <w:bidi w:val="0"/>
        <w:spacing w:line="336" w:lineRule="auto"/>
        <w:ind w:firstLine="420" w:firstLineChars="0"/>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3</w:t>
      </w:r>
      <w:r>
        <w:rPr>
          <w:rFonts w:hint="eastAsia" w:ascii="宋体" w:hAnsi="宋体" w:cs="宋体"/>
          <w:kern w:val="2"/>
          <w:sz w:val="24"/>
          <w:szCs w:val="24"/>
          <w:lang w:val="en-US" w:eastAsia="zh-CN" w:bidi="ar-SA"/>
        </w:rPr>
        <w:t>.</w:t>
      </w:r>
      <w:r>
        <w:rPr>
          <w:rFonts w:hint="eastAsia" w:ascii="宋体" w:hAnsi="宋体" w:eastAsia="宋体" w:cs="宋体"/>
          <w:sz w:val="24"/>
          <w:szCs w:val="24"/>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157D15BD">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政府采购合同在执行过程中，确需修改、变更时，应当按照相应的审核批准程序办理。</w:t>
      </w:r>
    </w:p>
    <w:p w14:paraId="40FBF5BA">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w:t>
      </w:r>
      <w:r>
        <w:rPr>
          <w:rFonts w:hint="eastAsia" w:ascii="宋体" w:hAnsi="宋体" w:eastAsia="宋体" w:cs="宋体"/>
          <w:sz w:val="24"/>
          <w:szCs w:val="24"/>
        </w:rPr>
        <w:t>磋商文件、响应文件、澄清等为政府采购合同的组成部分，具有同等法律效力。</w:t>
      </w:r>
    </w:p>
    <w:p w14:paraId="35AE6DF8">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bookmarkStart w:id="124" w:name="_Toc32237"/>
      <w:bookmarkStart w:id="125" w:name="_Toc28110"/>
      <w:bookmarkStart w:id="126" w:name="_Toc536429325"/>
      <w:bookmarkStart w:id="127" w:name="_Toc26132"/>
      <w:bookmarkStart w:id="128" w:name="_Toc536202385"/>
      <w:bookmarkStart w:id="129" w:name="_Toc536202316"/>
      <w:bookmarkStart w:id="130" w:name="_Toc536429378"/>
      <w:r>
        <w:rPr>
          <w:rFonts w:hint="eastAsia" w:ascii="宋体" w:hAnsi="宋体" w:eastAsia="宋体" w:cs="宋体"/>
          <w:sz w:val="24"/>
          <w:szCs w:val="24"/>
        </w:rPr>
        <w:t>6</w:t>
      </w:r>
      <w:r>
        <w:rPr>
          <w:rFonts w:hint="eastAsia" w:ascii="宋体" w:hAnsi="宋体" w:cs="宋体"/>
          <w:sz w:val="24"/>
          <w:szCs w:val="24"/>
          <w:lang w:val="en-US" w:eastAsia="zh-CN"/>
        </w:rPr>
        <w:t>.</w:t>
      </w:r>
      <w:r>
        <w:rPr>
          <w:rFonts w:hint="eastAsia" w:ascii="宋体" w:hAnsi="宋体" w:eastAsia="宋体" w:cs="宋体"/>
          <w:sz w:val="24"/>
          <w:szCs w:val="24"/>
        </w:rPr>
        <w:t>政府采购管理部门在合同履行期间以及履行期后，可以随时检查项目的执行情况，对采购标准、采购内容进行调查核实，并对发现的问题进行处理。</w:t>
      </w:r>
    </w:p>
    <w:p w14:paraId="61B7CD48">
      <w:pPr>
        <w:pageBreakBefore w:val="0"/>
        <w:widowControl/>
        <w:numPr>
          <w:ilvl w:val="0"/>
          <w:numId w:val="5"/>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rPr>
      </w:pPr>
      <w:bookmarkStart w:id="131" w:name="_Toc19543342"/>
      <w:r>
        <w:rPr>
          <w:rFonts w:hint="eastAsia" w:ascii="宋体" w:hAnsi="宋体" w:eastAsia="宋体" w:cs="宋体"/>
          <w:b/>
          <w:bCs/>
          <w:kern w:val="0"/>
          <w:sz w:val="24"/>
          <w:szCs w:val="24"/>
        </w:rPr>
        <w:t>代理服务费</w:t>
      </w:r>
      <w:bookmarkEnd w:id="124"/>
      <w:bookmarkEnd w:id="125"/>
      <w:bookmarkEnd w:id="126"/>
      <w:bookmarkEnd w:id="127"/>
      <w:bookmarkEnd w:id="128"/>
      <w:bookmarkEnd w:id="129"/>
      <w:bookmarkEnd w:id="130"/>
      <w:bookmarkEnd w:id="131"/>
    </w:p>
    <w:p w14:paraId="749B753F">
      <w:pPr>
        <w:pageBreakBefore w:val="0"/>
        <w:widowControl/>
        <w:numPr>
          <w:ilvl w:val="0"/>
          <w:numId w:val="0"/>
        </w:numPr>
        <w:wordWrap/>
        <w:topLinePunct w:val="0"/>
        <w:autoSpaceDE/>
        <w:autoSpaceDN/>
        <w:bidi w:val="0"/>
        <w:spacing w:line="336" w:lineRule="auto"/>
        <w:ind w:firstLine="480" w:firstLineChars="200"/>
        <w:jc w:val="both"/>
        <w:textAlignment w:val="auto"/>
        <w:outlineLvl w:val="1"/>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color w:val="auto"/>
          <w:sz w:val="24"/>
          <w:szCs w:val="24"/>
        </w:rPr>
        <w:t>中标人：需先缴纳足额服务费，凭借转账凭证前来领取中标通知书。</w:t>
      </w:r>
    </w:p>
    <w:p w14:paraId="46CECBB5">
      <w:pPr>
        <w:spacing w:line="360" w:lineRule="auto"/>
        <w:ind w:firstLine="480" w:firstLineChars="200"/>
        <w:rPr>
          <w:rFonts w:ascii="宋体" w:hAnsi="宋体"/>
          <w:sz w:val="24"/>
          <w:szCs w:val="24"/>
          <w:highlight w:val="none"/>
        </w:rPr>
      </w:pPr>
      <w:r>
        <w:rPr>
          <w:rFonts w:hint="eastAsia" w:ascii="宋体" w:hAnsi="宋体" w:cs="宋体"/>
          <w:color w:val="auto"/>
          <w:sz w:val="24"/>
          <w:szCs w:val="24"/>
          <w:lang w:val="en-US" w:eastAsia="zh-CN"/>
        </w:rPr>
        <w:t>2.</w:t>
      </w:r>
      <w:r>
        <w:rPr>
          <w:rFonts w:hint="eastAsia" w:ascii="宋体" w:hAnsi="宋体"/>
          <w:sz w:val="24"/>
          <w:szCs w:val="24"/>
        </w:rPr>
        <w:t>中标服务费参照</w:t>
      </w:r>
      <w:r>
        <w:rPr>
          <w:rFonts w:hint="eastAsia" w:ascii="宋体" w:hAnsi="宋体"/>
          <w:sz w:val="24"/>
          <w:szCs w:val="24"/>
          <w:lang w:val="en-US" w:eastAsia="zh-CN"/>
        </w:rPr>
        <w:t>国家计委关于印发</w:t>
      </w:r>
      <w:r>
        <w:rPr>
          <w:rFonts w:hint="eastAsia" w:ascii="宋体" w:hAnsi="宋体"/>
          <w:sz w:val="24"/>
          <w:szCs w:val="24"/>
        </w:rPr>
        <w:t>《招标代理服务收费管理暂行办法》</w:t>
      </w:r>
      <w:r>
        <w:rPr>
          <w:rFonts w:hint="eastAsia" w:ascii="宋体" w:hAnsi="宋体"/>
          <w:sz w:val="24"/>
          <w:szCs w:val="24"/>
          <w:lang w:val="en-US" w:eastAsia="zh-CN"/>
        </w:rPr>
        <w:t>的通知</w:t>
      </w:r>
      <w:r>
        <w:rPr>
          <w:rFonts w:hint="eastAsia" w:ascii="宋体" w:hAnsi="宋体"/>
          <w:sz w:val="24"/>
          <w:szCs w:val="24"/>
        </w:rPr>
        <w:t>（计价格</w:t>
      </w:r>
      <w:r>
        <w:rPr>
          <w:rFonts w:hint="eastAsia" w:ascii="宋体" w:hAnsi="宋体"/>
          <w:sz w:val="24"/>
          <w:szCs w:val="24"/>
          <w:lang w:eastAsia="zh-CN"/>
        </w:rPr>
        <w:t>〔2002〕1980号</w:t>
      </w:r>
      <w:r>
        <w:rPr>
          <w:rFonts w:hint="eastAsia" w:ascii="宋体" w:hAnsi="宋体"/>
          <w:sz w:val="24"/>
          <w:szCs w:val="24"/>
        </w:rPr>
        <w:t>）和</w:t>
      </w:r>
      <w:r>
        <w:rPr>
          <w:rFonts w:hint="eastAsia" w:ascii="宋体" w:hAnsi="宋体"/>
          <w:sz w:val="24"/>
          <w:szCs w:val="24"/>
          <w:lang w:eastAsia="zh-CN"/>
        </w:rPr>
        <w:t>《</w:t>
      </w:r>
      <w:r>
        <w:rPr>
          <w:rFonts w:hint="eastAsia" w:ascii="宋体" w:hAnsi="宋体"/>
          <w:sz w:val="24"/>
          <w:szCs w:val="24"/>
          <w:lang w:val="en-US" w:eastAsia="zh-CN"/>
        </w:rPr>
        <w:t>国家发展改革委办公厅关于招标代理服务收费有关问题的通知</w:t>
      </w:r>
      <w:r>
        <w:rPr>
          <w:rFonts w:hint="eastAsia" w:ascii="宋体" w:hAnsi="宋体"/>
          <w:sz w:val="24"/>
          <w:szCs w:val="24"/>
          <w:lang w:eastAsia="zh-CN"/>
        </w:rPr>
        <w:t>》</w:t>
      </w:r>
      <w:r>
        <w:rPr>
          <w:rFonts w:hint="eastAsia" w:ascii="宋体" w:hAnsi="宋体"/>
          <w:sz w:val="24"/>
          <w:szCs w:val="24"/>
        </w:rPr>
        <w:t>（发改办价格</w:t>
      </w:r>
      <w:r>
        <w:rPr>
          <w:rFonts w:hint="eastAsia" w:ascii="宋体" w:hAnsi="宋体"/>
          <w:sz w:val="24"/>
          <w:szCs w:val="24"/>
          <w:lang w:eastAsia="zh-CN"/>
        </w:rPr>
        <w:t>〔2003〕857号</w:t>
      </w:r>
      <w:r>
        <w:rPr>
          <w:rFonts w:hint="eastAsia" w:ascii="宋体" w:hAnsi="宋体"/>
          <w:sz w:val="24"/>
          <w:szCs w:val="24"/>
        </w:rPr>
        <w:t>）规定标准计取。（采购代理机构开户名称：安康尚昊招标代理有限公司  开户行名称：中国建设银行股份有限公司安康分行营业部  帐      号：61050166371100000492）</w:t>
      </w:r>
    </w:p>
    <w:p w14:paraId="7E42C4D5">
      <w:pPr>
        <w:pageBreakBefore w:val="0"/>
        <w:widowControl/>
        <w:numPr>
          <w:ilvl w:val="0"/>
          <w:numId w:val="5"/>
        </w:numPr>
        <w:wordWrap/>
        <w:topLinePunct w:val="0"/>
        <w:autoSpaceDE/>
        <w:autoSpaceDN/>
        <w:bidi w:val="0"/>
        <w:spacing w:line="336" w:lineRule="auto"/>
        <w:ind w:firstLine="0"/>
        <w:jc w:val="center"/>
        <w:textAlignment w:val="auto"/>
        <w:outlineLvl w:val="1"/>
        <w:rPr>
          <w:rFonts w:hint="eastAsia" w:ascii="宋体" w:hAnsi="宋体" w:eastAsia="宋体" w:cs="宋体"/>
          <w:b/>
          <w:bCs/>
          <w:kern w:val="0"/>
          <w:sz w:val="24"/>
          <w:szCs w:val="24"/>
        </w:rPr>
      </w:pPr>
      <w:bookmarkStart w:id="132" w:name="_Toc19543343"/>
      <w:bookmarkStart w:id="133" w:name="_Toc664"/>
      <w:bookmarkStart w:id="134" w:name="_Toc536429326"/>
      <w:bookmarkStart w:id="135" w:name="_Toc536202317"/>
      <w:bookmarkStart w:id="136" w:name="_Toc536429379"/>
      <w:bookmarkStart w:id="137" w:name="_Toc536202386"/>
      <w:bookmarkStart w:id="138" w:name="_Toc11491"/>
      <w:r>
        <w:rPr>
          <w:rFonts w:hint="eastAsia" w:ascii="宋体" w:hAnsi="宋体" w:eastAsia="宋体" w:cs="宋体"/>
          <w:b/>
          <w:bCs/>
          <w:kern w:val="0"/>
          <w:sz w:val="24"/>
          <w:szCs w:val="24"/>
        </w:rPr>
        <w:t>质疑和投诉</w:t>
      </w:r>
      <w:bookmarkEnd w:id="132"/>
      <w:bookmarkEnd w:id="133"/>
      <w:bookmarkEnd w:id="134"/>
      <w:bookmarkEnd w:id="135"/>
      <w:bookmarkEnd w:id="136"/>
      <w:bookmarkEnd w:id="137"/>
      <w:bookmarkEnd w:id="138"/>
    </w:p>
    <w:p w14:paraId="36C2008E">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质疑或投诉的接收和处理应当按照《中华人民共和国政府采购法》及其实施条例、《政府采购质疑和投诉办法</w:t>
      </w:r>
      <w:r>
        <w:rPr>
          <w:rFonts w:hint="eastAsia" w:ascii="宋体" w:hAnsi="宋体" w:cs="宋体"/>
          <w:sz w:val="24"/>
          <w:szCs w:val="24"/>
          <w:lang w:eastAsia="zh-CN"/>
        </w:rPr>
        <w:t>》《</w:t>
      </w:r>
      <w:r>
        <w:rPr>
          <w:rFonts w:hint="eastAsia" w:ascii="宋体" w:hAnsi="宋体" w:eastAsia="宋体" w:cs="宋体"/>
          <w:sz w:val="24"/>
          <w:szCs w:val="24"/>
        </w:rPr>
        <w:t>财政部关于加强政府采购供应商投诉受理审查工作的通知》等的相关规定办理。</w:t>
      </w:r>
    </w:p>
    <w:p w14:paraId="770C114E">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2D2E59B6">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（1）对采购文件提出质疑的，为收到采购文件之日或者采购文件公告期限届满之日；</w:t>
      </w:r>
    </w:p>
    <w:p w14:paraId="048E4854">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（2）对采购过程提出质疑的，为各采购程序环节结束之日；</w:t>
      </w:r>
    </w:p>
    <w:p w14:paraId="42C7CBBC">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（3）对中标或者成交结果提出质疑的，为中标或者成交结果公告期限届满之日。</w:t>
      </w:r>
    </w:p>
    <w:p w14:paraId="189B70FE">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2、供应商应当在法定质疑期内一次性提出针对同一采购程序环节的质疑。</w:t>
      </w:r>
    </w:p>
    <w:p w14:paraId="0C1F5BBC">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3、质疑函应当包括下列主要内容：</w:t>
      </w:r>
    </w:p>
    <w:p w14:paraId="42C45DA6">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（1）供应商的姓名或者名称、地址、邮编、联系人及联系电话；</w:t>
      </w:r>
    </w:p>
    <w:p w14:paraId="4521DF21">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（2）质疑项目的名称、编号；</w:t>
      </w:r>
    </w:p>
    <w:p w14:paraId="1FB1DBBE">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（3）具体、明确的质疑事项和与质疑事项相关的请求；</w:t>
      </w:r>
    </w:p>
    <w:p w14:paraId="42ED5333">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（4）事实依据；</w:t>
      </w:r>
    </w:p>
    <w:p w14:paraId="5A790B3E">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（5）必要的法律依据；</w:t>
      </w:r>
    </w:p>
    <w:p w14:paraId="79CD10CA">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（6）提出质疑的日期。</w:t>
      </w:r>
    </w:p>
    <w:p w14:paraId="7133916B">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391D2A97">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w:t>
      </w:r>
      <w:r>
        <w:rPr>
          <w:rFonts w:hint="eastAsia" w:ascii="宋体" w:hAnsi="宋体" w:eastAsia="宋体" w:cs="宋体"/>
          <w:sz w:val="24"/>
          <w:szCs w:val="24"/>
        </w:rPr>
        <w:t>质疑函内容不得含有虚假、恶意</w:t>
      </w:r>
      <w:r>
        <w:rPr>
          <w:rFonts w:hint="eastAsia" w:ascii="宋体" w:hAnsi="宋体" w:cs="宋体"/>
          <w:sz w:val="24"/>
          <w:szCs w:val="24"/>
          <w:lang w:eastAsia="zh-CN"/>
        </w:rPr>
        <w:t>成分</w:t>
      </w:r>
      <w:r>
        <w:rPr>
          <w:rFonts w:hint="eastAsia" w:ascii="宋体" w:hAnsi="宋体" w:eastAsia="宋体" w:cs="宋体"/>
          <w:sz w:val="24"/>
          <w:szCs w:val="24"/>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w:t>
      </w:r>
      <w:r>
        <w:rPr>
          <w:rFonts w:hint="eastAsia" w:ascii="宋体" w:hAnsi="宋体" w:cs="宋体"/>
          <w:sz w:val="24"/>
          <w:szCs w:val="24"/>
          <w:lang w:eastAsia="zh-CN"/>
        </w:rPr>
        <w:t>滥用职权</w:t>
      </w:r>
      <w:r>
        <w:rPr>
          <w:rFonts w:hint="eastAsia" w:ascii="宋体" w:hAnsi="宋体" w:eastAsia="宋体" w:cs="宋体"/>
          <w:sz w:val="24"/>
          <w:szCs w:val="24"/>
        </w:rPr>
        <w:t>扰乱采购秩序的恶意质疑者，采购人、采购代理机构应当依法驳回。</w:t>
      </w:r>
    </w:p>
    <w:p w14:paraId="3883889D">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val="en-US" w:eastAsia="zh-CN"/>
        </w:rPr>
        <w:t>.</w:t>
      </w:r>
      <w:r>
        <w:rPr>
          <w:rFonts w:hint="eastAsia" w:ascii="宋体" w:hAnsi="宋体" w:eastAsia="宋体" w:cs="宋体"/>
          <w:sz w:val="24"/>
          <w:szCs w:val="24"/>
        </w:rPr>
        <w:t xml:space="preserve">质疑函接收方式：由自然人本人或法定代表人或者其授权代表携带书面原件及身份证明原件到现场递交，否则不予受理 。 </w:t>
      </w:r>
    </w:p>
    <w:p w14:paraId="5F26F15F">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val="en-US" w:eastAsia="zh-CN"/>
        </w:rPr>
        <w:t>.</w:t>
      </w:r>
      <w:r>
        <w:rPr>
          <w:rFonts w:hint="eastAsia" w:ascii="宋体" w:hAnsi="宋体" w:eastAsia="宋体" w:cs="宋体"/>
          <w:sz w:val="24"/>
          <w:szCs w:val="24"/>
        </w:rPr>
        <w:t>质疑受理部门：安康尚昊招标代理有限公司</w:t>
      </w:r>
    </w:p>
    <w:p w14:paraId="3EB9ADB1">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质疑受理电话：15991480332</w:t>
      </w:r>
    </w:p>
    <w:p w14:paraId="6B3B1FC9">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8</w:t>
      </w:r>
      <w:r>
        <w:rPr>
          <w:rFonts w:hint="eastAsia" w:ascii="宋体" w:hAnsi="宋体" w:cs="宋体"/>
          <w:sz w:val="24"/>
          <w:szCs w:val="24"/>
          <w:lang w:val="en-US" w:eastAsia="zh-CN"/>
        </w:rPr>
        <w:t>.</w:t>
      </w:r>
      <w:r>
        <w:rPr>
          <w:rFonts w:hint="eastAsia" w:ascii="宋体" w:hAnsi="宋体" w:eastAsia="宋体" w:cs="宋体"/>
          <w:sz w:val="24"/>
          <w:szCs w:val="24"/>
        </w:rPr>
        <w:t>提交质疑函地点：</w:t>
      </w:r>
      <w:r>
        <w:rPr>
          <w:rFonts w:hint="eastAsia" w:ascii="宋体" w:hAnsi="宋体" w:cs="宋体"/>
          <w:color w:val="000000" w:themeColor="text1"/>
          <w:kern w:val="0"/>
          <w:sz w:val="24"/>
          <w:szCs w:val="24"/>
          <w:lang w:eastAsia="zh-CN"/>
          <w14:textFill>
            <w14:solidFill>
              <w14:schemeClr w14:val="tx1"/>
            </w14:solidFill>
          </w14:textFill>
        </w:rPr>
        <w:t>安康市高新区高新观澜8幢2单元801室</w:t>
      </w:r>
      <w:r>
        <w:rPr>
          <w:rFonts w:hint="eastAsia" w:ascii="宋体" w:hAnsi="宋体" w:eastAsia="宋体" w:cs="宋体"/>
          <w:color w:val="000000" w:themeColor="text1"/>
          <w:kern w:val="0"/>
          <w:sz w:val="24"/>
          <w:szCs w:val="24"/>
          <w14:textFill>
            <w14:solidFill>
              <w14:schemeClr w14:val="tx1"/>
            </w14:solidFill>
          </w14:textFill>
        </w:rPr>
        <w:t>。</w:t>
      </w:r>
    </w:p>
    <w:p w14:paraId="2519209F">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cs="宋体"/>
          <w:sz w:val="24"/>
          <w:szCs w:val="24"/>
          <w:lang w:val="en-US" w:eastAsia="zh-CN"/>
        </w:rPr>
        <w:t>.</w:t>
      </w:r>
      <w:r>
        <w:rPr>
          <w:rFonts w:hint="eastAsia" w:ascii="宋体" w:hAnsi="宋体" w:eastAsia="宋体" w:cs="宋体"/>
          <w:sz w:val="24"/>
          <w:szCs w:val="24"/>
        </w:rPr>
        <w:t>本次采购活动中，采购代理机构对质疑函回复的书面文件的送达方式为现场取件。</w:t>
      </w:r>
    </w:p>
    <w:p w14:paraId="378ECB93">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如所质疑的问题比较复杂，采购人或者采购代理机构在规定的答复时间内无法回复，应事先告知提出质疑的供应商，同时向同级政府采购监督管理部门报告。</w:t>
      </w:r>
    </w:p>
    <w:p w14:paraId="1B88A2E9">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cs="宋体"/>
          <w:sz w:val="24"/>
          <w:szCs w:val="24"/>
          <w:lang w:val="en-US" w:eastAsia="zh-CN"/>
        </w:rPr>
        <w:t>.</w:t>
      </w:r>
      <w:r>
        <w:rPr>
          <w:rFonts w:hint="eastAsia" w:ascii="宋体" w:hAnsi="宋体" w:eastAsia="宋体" w:cs="宋体"/>
          <w:sz w:val="24"/>
          <w:szCs w:val="24"/>
        </w:rPr>
        <w:t>质疑供应商对采购人、采购代理机构的答复不满意，或者采购人、采购代理机构未在规定的时间内作出答复的，可以在答复期满后15个工作日内向采购人的同级政府采购监督管理部门投诉。</w:t>
      </w:r>
    </w:p>
    <w:p w14:paraId="1CC0B651">
      <w:pPr>
        <w:keepNext w:val="0"/>
        <w:keepLines w:val="0"/>
        <w:pageBreakBefore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cs="宋体"/>
          <w:sz w:val="24"/>
          <w:szCs w:val="24"/>
          <w:lang w:val="en-US" w:eastAsia="zh-CN"/>
        </w:rPr>
        <w:t>.</w:t>
      </w:r>
      <w:r>
        <w:rPr>
          <w:rFonts w:hint="eastAsia" w:ascii="宋体" w:hAnsi="宋体" w:eastAsia="宋体" w:cs="宋体"/>
          <w:sz w:val="24"/>
          <w:szCs w:val="24"/>
        </w:rPr>
        <w:t>质疑函应当使用中文。</w:t>
      </w:r>
    </w:p>
    <w:p w14:paraId="299DF236">
      <w:pPr>
        <w:keepNext w:val="0"/>
        <w:keepLines w:val="0"/>
        <w:pageBreakBefore w:val="0"/>
        <w:widowControl/>
        <w:numPr>
          <w:ilvl w:val="0"/>
          <w:numId w:val="5"/>
        </w:numPr>
        <w:kinsoku/>
        <w:wordWrap/>
        <w:overflowPunct/>
        <w:topLinePunct w:val="0"/>
        <w:autoSpaceDE/>
        <w:autoSpaceDN/>
        <w:bidi w:val="0"/>
        <w:adjustRightInd/>
        <w:snapToGrid/>
        <w:spacing w:line="336" w:lineRule="auto"/>
        <w:ind w:firstLine="0"/>
        <w:jc w:val="center"/>
        <w:textAlignment w:val="auto"/>
        <w:outlineLvl w:val="1"/>
        <w:rPr>
          <w:rFonts w:hint="eastAsia" w:ascii="宋体" w:hAnsi="宋体" w:eastAsia="宋体" w:cs="宋体"/>
          <w:b/>
          <w:bCs/>
          <w:kern w:val="0"/>
          <w:sz w:val="24"/>
          <w:szCs w:val="24"/>
        </w:rPr>
      </w:pPr>
      <w:bookmarkStart w:id="139" w:name="_Toc536202318"/>
      <w:bookmarkStart w:id="140" w:name="_Toc536202387"/>
      <w:bookmarkStart w:id="141" w:name="_Toc536429380"/>
      <w:bookmarkStart w:id="142" w:name="_Toc19543344"/>
      <w:bookmarkStart w:id="143" w:name="_Toc536429327"/>
      <w:r>
        <w:rPr>
          <w:rFonts w:hint="eastAsia" w:ascii="宋体" w:hAnsi="宋体" w:eastAsia="宋体" w:cs="宋体"/>
          <w:b/>
          <w:bCs/>
          <w:kern w:val="0"/>
          <w:sz w:val="24"/>
          <w:szCs w:val="24"/>
        </w:rPr>
        <w:t>其他</w:t>
      </w:r>
      <w:bookmarkEnd w:id="139"/>
      <w:bookmarkEnd w:id="140"/>
      <w:bookmarkEnd w:id="141"/>
      <w:bookmarkEnd w:id="142"/>
      <w:bookmarkEnd w:id="143"/>
    </w:p>
    <w:p w14:paraId="39FE834C">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szCs w:val="24"/>
        </w:rPr>
      </w:pPr>
      <w:bookmarkStart w:id="144" w:name="_Toc3298"/>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7557C167">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14:paraId="4A7AA671">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14:paraId="634A791B">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39F245D4">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（4）因重大变故，采购任务取消的。</w:t>
      </w:r>
    </w:p>
    <w:p w14:paraId="21CBE399">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磋商失败后，除采购任务取消外，将重新组织采购</w:t>
      </w:r>
      <w:bookmarkEnd w:id="144"/>
      <w:bookmarkStart w:id="145" w:name="_Toc25345"/>
      <w:bookmarkStart w:id="146" w:name="_Toc536202388"/>
      <w:bookmarkStart w:id="147" w:name="_Toc536429381"/>
      <w:bookmarkStart w:id="148" w:name="_Toc536202319"/>
      <w:bookmarkStart w:id="149" w:name="_Toc536429328"/>
      <w:r>
        <w:rPr>
          <w:rFonts w:hint="eastAsia" w:ascii="宋体" w:hAnsi="宋体" w:eastAsia="宋体" w:cs="宋体"/>
          <w:sz w:val="24"/>
          <w:szCs w:val="24"/>
        </w:rPr>
        <w:t>。</w:t>
      </w:r>
      <w:bookmarkEnd w:id="145"/>
      <w:bookmarkEnd w:id="146"/>
      <w:bookmarkEnd w:id="147"/>
      <w:bookmarkEnd w:id="148"/>
      <w:bookmarkEnd w:id="149"/>
    </w:p>
    <w:p w14:paraId="5101203E">
      <w:pPr>
        <w:widowControl/>
        <w:jc w:val="left"/>
        <w:rPr>
          <w:rFonts w:asciiTheme="minorHAnsi" w:hAnsiTheme="minorHAnsi"/>
          <w:b/>
          <w:bCs/>
          <w:caps/>
          <w:color w:val="000000" w:themeColor="text1"/>
          <w:sz w:val="36"/>
          <w:szCs w:val="20"/>
          <w14:textFill>
            <w14:solidFill>
              <w14:schemeClr w14:val="tx1"/>
            </w14:solidFill>
          </w14:textFill>
        </w:rPr>
      </w:pPr>
      <w:bookmarkStart w:id="150" w:name="_Toc19543345"/>
      <w:r>
        <w:rPr>
          <w:color w:val="000000" w:themeColor="text1"/>
          <w:sz w:val="36"/>
          <w14:textFill>
            <w14:solidFill>
              <w14:schemeClr w14:val="tx1"/>
            </w14:solidFill>
          </w14:textFill>
        </w:rPr>
        <w:br w:type="page"/>
      </w:r>
    </w:p>
    <w:p w14:paraId="5B067F5F">
      <w:pPr>
        <w:pStyle w:val="32"/>
        <w:numPr>
          <w:ilvl w:val="0"/>
          <w:numId w:val="9"/>
        </w:numPr>
        <w:spacing w:before="0" w:after="0" w:line="420" w:lineRule="exact"/>
        <w:jc w:val="center"/>
        <w:outlineLvl w:val="0"/>
        <w:rPr>
          <w:color w:val="auto"/>
          <w:sz w:val="36"/>
        </w:rPr>
      </w:pPr>
      <w:r>
        <w:rPr>
          <w:rFonts w:hint="eastAsia"/>
          <w:color w:val="auto"/>
          <w:sz w:val="36"/>
        </w:rPr>
        <w:t xml:space="preserve"> </w:t>
      </w:r>
      <w:bookmarkStart w:id="151" w:name="_Toc3957"/>
      <w:r>
        <w:rPr>
          <w:rFonts w:hint="eastAsia"/>
          <w:color w:val="auto"/>
          <w:sz w:val="36"/>
        </w:rPr>
        <w:t>评分</w:t>
      </w:r>
      <w:r>
        <w:rPr>
          <w:color w:val="auto"/>
          <w:sz w:val="36"/>
        </w:rPr>
        <w:t>标准</w:t>
      </w:r>
      <w:bookmarkEnd w:id="150"/>
      <w:bookmarkEnd w:id="151"/>
      <w:bookmarkStart w:id="152" w:name="_Toc262"/>
    </w:p>
    <w:tbl>
      <w:tblPr>
        <w:tblStyle w:val="45"/>
        <w:tblW w:w="9544" w:type="dxa"/>
        <w:jc w:val="center"/>
        <w:tblLayout w:type="fixed"/>
        <w:tblCellMar>
          <w:top w:w="0" w:type="dxa"/>
          <w:left w:w="108" w:type="dxa"/>
          <w:bottom w:w="0" w:type="dxa"/>
          <w:right w:w="108" w:type="dxa"/>
        </w:tblCellMar>
      </w:tblPr>
      <w:tblGrid>
        <w:gridCol w:w="754"/>
        <w:gridCol w:w="1432"/>
        <w:gridCol w:w="7358"/>
      </w:tblGrid>
      <w:tr w14:paraId="09EC9E55">
        <w:trPr>
          <w:trHeight w:val="818" w:hRule="atLeast"/>
          <w:jc w:val="center"/>
        </w:trPr>
        <w:tc>
          <w:tcPr>
            <w:tcW w:w="754" w:type="dxa"/>
            <w:tcBorders>
              <w:top w:val="single" w:color="auto" w:sz="4" w:space="0"/>
              <w:left w:val="single" w:color="auto" w:sz="4" w:space="0"/>
              <w:bottom w:val="single" w:color="000000" w:sz="6" w:space="0"/>
              <w:right w:val="single" w:color="000000" w:sz="6" w:space="0"/>
            </w:tcBorders>
            <w:vAlign w:val="center"/>
          </w:tcPr>
          <w:p w14:paraId="7B1DF122">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val="0"/>
                <w:bCs/>
                <w:color w:val="auto"/>
                <w:kern w:val="0"/>
                <w:sz w:val="24"/>
                <w:szCs w:val="24"/>
              </w:rPr>
            </w:pPr>
            <w:bookmarkStart w:id="153" w:name="OLE_LINK18"/>
            <w:r>
              <w:rPr>
                <w:rFonts w:hint="eastAsia" w:ascii="宋体" w:hAnsi="宋体" w:eastAsia="宋体" w:cs="宋体"/>
                <w:b w:val="0"/>
                <w:bCs/>
                <w:color w:val="auto"/>
                <w:kern w:val="0"/>
                <w:sz w:val="24"/>
                <w:szCs w:val="24"/>
              </w:rPr>
              <w:t>序号</w:t>
            </w:r>
          </w:p>
        </w:tc>
        <w:tc>
          <w:tcPr>
            <w:tcW w:w="1432" w:type="dxa"/>
            <w:tcBorders>
              <w:top w:val="single" w:color="auto" w:sz="4" w:space="0"/>
              <w:left w:val="single" w:color="000000" w:sz="6" w:space="0"/>
              <w:bottom w:val="single" w:color="000000" w:sz="6" w:space="0"/>
              <w:right w:val="single" w:color="auto" w:sz="4" w:space="0"/>
            </w:tcBorders>
            <w:vAlign w:val="center"/>
          </w:tcPr>
          <w:p w14:paraId="6910340C">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评审因素</w:t>
            </w:r>
          </w:p>
          <w:p w14:paraId="7623FD4D">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及分</w:t>
            </w:r>
            <w:r>
              <w:rPr>
                <w:rFonts w:hint="eastAsia" w:ascii="宋体" w:hAnsi="宋体" w:eastAsia="宋体" w:cs="宋体"/>
                <w:b w:val="0"/>
                <w:bCs/>
                <w:color w:val="auto"/>
                <w:kern w:val="0"/>
                <w:sz w:val="24"/>
                <w:szCs w:val="24"/>
              </w:rPr>
              <w:t>值</w:t>
            </w:r>
          </w:p>
        </w:tc>
        <w:tc>
          <w:tcPr>
            <w:tcW w:w="7358" w:type="dxa"/>
            <w:tcBorders>
              <w:top w:val="single" w:color="auto" w:sz="4" w:space="0"/>
              <w:left w:val="single" w:color="000000" w:sz="6" w:space="0"/>
              <w:bottom w:val="single" w:color="000000" w:sz="6" w:space="0"/>
              <w:right w:val="single" w:color="auto" w:sz="4" w:space="0"/>
            </w:tcBorders>
            <w:vAlign w:val="center"/>
          </w:tcPr>
          <w:p w14:paraId="1E8CE894">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评审标准</w:t>
            </w:r>
          </w:p>
        </w:tc>
      </w:tr>
      <w:tr w14:paraId="2918B610">
        <w:tblPrEx>
          <w:tblCellMar>
            <w:top w:w="0" w:type="dxa"/>
            <w:left w:w="108" w:type="dxa"/>
            <w:bottom w:w="0" w:type="dxa"/>
            <w:right w:w="108" w:type="dxa"/>
          </w:tblCellMar>
        </w:tblPrEx>
        <w:trPr>
          <w:trHeight w:val="90" w:hRule="atLeast"/>
          <w:jc w:val="center"/>
        </w:trPr>
        <w:tc>
          <w:tcPr>
            <w:tcW w:w="754" w:type="dxa"/>
            <w:tcBorders>
              <w:top w:val="single" w:color="000000" w:sz="6" w:space="0"/>
              <w:left w:val="single" w:color="auto" w:sz="4" w:space="0"/>
              <w:bottom w:val="single" w:color="000000" w:sz="6" w:space="0"/>
              <w:right w:val="single" w:color="000000" w:sz="6" w:space="0"/>
            </w:tcBorders>
            <w:vAlign w:val="center"/>
          </w:tcPr>
          <w:p w14:paraId="6173947B">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1</w:t>
            </w:r>
          </w:p>
        </w:tc>
        <w:tc>
          <w:tcPr>
            <w:tcW w:w="1432" w:type="dxa"/>
            <w:tcBorders>
              <w:top w:val="single" w:color="000000" w:sz="6" w:space="0"/>
              <w:left w:val="single" w:color="000000" w:sz="6" w:space="0"/>
              <w:bottom w:val="single" w:color="000000" w:sz="6" w:space="0"/>
              <w:right w:val="single" w:color="auto" w:sz="4" w:space="0"/>
            </w:tcBorders>
            <w:vAlign w:val="center"/>
          </w:tcPr>
          <w:p w14:paraId="648B5ED7">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投标报价</w:t>
            </w:r>
          </w:p>
          <w:p w14:paraId="4E1DACA1">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val="en-US" w:eastAsia="zh-CN"/>
              </w:rPr>
              <w:t>（15</w:t>
            </w:r>
            <w:r>
              <w:rPr>
                <w:rFonts w:hint="eastAsia" w:ascii="宋体" w:hAnsi="宋体" w:eastAsia="宋体" w:cs="宋体"/>
                <w:b w:val="0"/>
                <w:bCs/>
                <w:color w:val="auto"/>
                <w:kern w:val="0"/>
                <w:sz w:val="24"/>
                <w:szCs w:val="24"/>
              </w:rPr>
              <w:t>分</w:t>
            </w:r>
            <w:r>
              <w:rPr>
                <w:rFonts w:hint="eastAsia" w:ascii="宋体" w:hAnsi="宋体" w:eastAsia="宋体" w:cs="宋体"/>
                <w:b w:val="0"/>
                <w:bCs/>
                <w:color w:val="auto"/>
                <w:kern w:val="0"/>
                <w:sz w:val="24"/>
                <w:szCs w:val="24"/>
                <w:lang w:val="en-US" w:eastAsia="zh-CN"/>
              </w:rPr>
              <w:t>）</w:t>
            </w:r>
          </w:p>
        </w:tc>
        <w:tc>
          <w:tcPr>
            <w:tcW w:w="7358" w:type="dxa"/>
            <w:tcBorders>
              <w:top w:val="single" w:color="000000" w:sz="6" w:space="0"/>
              <w:left w:val="single" w:color="000000" w:sz="6" w:space="0"/>
              <w:bottom w:val="single" w:color="000000" w:sz="6" w:space="0"/>
              <w:right w:val="single" w:color="auto" w:sz="4" w:space="0"/>
            </w:tcBorders>
            <w:vAlign w:val="center"/>
          </w:tcPr>
          <w:p w14:paraId="7040B400">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满足磋商文件要求且最后报价最低的供应商的价格为基准价得</w:t>
            </w:r>
            <w:r>
              <w:rPr>
                <w:rFonts w:hint="eastAsia" w:ascii="宋体" w:hAnsi="宋体" w:eastAsia="宋体" w:cs="宋体"/>
                <w:b w:val="0"/>
                <w:bCs/>
                <w:color w:val="auto"/>
                <w:kern w:val="0"/>
                <w:sz w:val="24"/>
                <w:szCs w:val="24"/>
                <w:lang w:val="en-US" w:eastAsia="zh-CN"/>
              </w:rPr>
              <w:t>15</w:t>
            </w:r>
            <w:r>
              <w:rPr>
                <w:rFonts w:hint="eastAsia" w:ascii="宋体" w:hAnsi="宋体" w:eastAsia="宋体" w:cs="宋体"/>
                <w:b w:val="0"/>
                <w:bCs/>
                <w:color w:val="auto"/>
                <w:kern w:val="0"/>
                <w:sz w:val="24"/>
                <w:szCs w:val="24"/>
              </w:rPr>
              <w:t>分，其他各供应商的最后报价得分按下列公式计：（基准价/投标报价）×</w:t>
            </w:r>
            <w:r>
              <w:rPr>
                <w:rFonts w:hint="eastAsia" w:ascii="宋体" w:hAnsi="宋体" w:eastAsia="宋体" w:cs="宋体"/>
                <w:b w:val="0"/>
                <w:bCs/>
                <w:color w:val="auto"/>
                <w:kern w:val="0"/>
                <w:sz w:val="24"/>
                <w:szCs w:val="24"/>
                <w:lang w:val="en-US" w:eastAsia="zh-CN"/>
              </w:rPr>
              <w:t>15</w:t>
            </w:r>
            <w:r>
              <w:rPr>
                <w:rFonts w:hint="eastAsia" w:ascii="宋体" w:hAnsi="宋体" w:eastAsia="宋体" w:cs="宋体"/>
                <w:b w:val="0"/>
                <w:bCs/>
                <w:color w:val="auto"/>
                <w:kern w:val="0"/>
                <w:sz w:val="24"/>
                <w:szCs w:val="24"/>
              </w:rPr>
              <w:t>%×100。</w:t>
            </w:r>
          </w:p>
        </w:tc>
      </w:tr>
      <w:tr w14:paraId="29853846">
        <w:tblPrEx>
          <w:tblCellMar>
            <w:top w:w="0" w:type="dxa"/>
            <w:left w:w="108" w:type="dxa"/>
            <w:bottom w:w="0" w:type="dxa"/>
            <w:right w:w="108" w:type="dxa"/>
          </w:tblCellMar>
        </w:tblPrEx>
        <w:trPr>
          <w:trHeight w:val="90" w:hRule="atLeast"/>
          <w:jc w:val="center"/>
        </w:trPr>
        <w:tc>
          <w:tcPr>
            <w:tcW w:w="754" w:type="dxa"/>
            <w:tcBorders>
              <w:top w:val="single" w:color="000000" w:sz="6" w:space="0"/>
              <w:left w:val="single" w:color="auto" w:sz="4" w:space="0"/>
              <w:bottom w:val="single" w:color="000000" w:sz="6" w:space="0"/>
              <w:right w:val="single" w:color="000000" w:sz="6" w:space="0"/>
            </w:tcBorders>
            <w:vAlign w:val="center"/>
          </w:tcPr>
          <w:p w14:paraId="0CD59796">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kern w:val="0"/>
                <w:sz w:val="24"/>
                <w:szCs w:val="24"/>
                <w:lang w:val="en-US" w:eastAsia="zh-CN"/>
              </w:rPr>
            </w:pPr>
          </w:p>
        </w:tc>
        <w:tc>
          <w:tcPr>
            <w:tcW w:w="1432" w:type="dxa"/>
            <w:tcBorders>
              <w:top w:val="single" w:color="000000" w:sz="6" w:space="0"/>
              <w:left w:val="single" w:color="000000" w:sz="6" w:space="0"/>
              <w:bottom w:val="single" w:color="000000" w:sz="6" w:space="0"/>
              <w:right w:val="single" w:color="auto" w:sz="4" w:space="0"/>
            </w:tcBorders>
            <w:vAlign w:val="center"/>
          </w:tcPr>
          <w:p w14:paraId="594BC5DB">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商务响应</w:t>
            </w:r>
          </w:p>
          <w:p w14:paraId="0FB4D652">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（3分）</w:t>
            </w:r>
          </w:p>
        </w:tc>
        <w:tc>
          <w:tcPr>
            <w:tcW w:w="7358" w:type="dxa"/>
            <w:tcBorders>
              <w:top w:val="single" w:color="000000" w:sz="6" w:space="0"/>
              <w:left w:val="single" w:color="000000" w:sz="6" w:space="0"/>
              <w:bottom w:val="single" w:color="000000" w:sz="6" w:space="0"/>
              <w:right w:val="single" w:color="auto" w:sz="4" w:space="0"/>
            </w:tcBorders>
            <w:vAlign w:val="center"/>
          </w:tcPr>
          <w:p w14:paraId="7152A153">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经过有效性和符合性审核合格的单位，对付款、服务等商务要求进行响应，完全响应且逐项详细说明的计</w:t>
            </w:r>
            <w:r>
              <w:rPr>
                <w:rFonts w:hint="eastAsia" w:ascii="宋体" w:hAnsi="宋体" w:eastAsia="宋体" w:cs="宋体"/>
                <w:b w:val="0"/>
                <w:bCs/>
                <w:color w:val="auto"/>
                <w:kern w:val="0"/>
                <w:sz w:val="24"/>
                <w:szCs w:val="24"/>
                <w:lang w:val="en-US" w:eastAsia="zh-CN"/>
              </w:rPr>
              <w:t>3</w:t>
            </w:r>
            <w:r>
              <w:rPr>
                <w:rFonts w:hint="eastAsia" w:ascii="宋体" w:hAnsi="宋体" w:eastAsia="宋体" w:cs="宋体"/>
                <w:b w:val="0"/>
                <w:bCs/>
                <w:color w:val="auto"/>
                <w:kern w:val="0"/>
                <w:sz w:val="24"/>
                <w:szCs w:val="24"/>
              </w:rPr>
              <w:t>分，未做详细响应的，按响应程度计 1</w:t>
            </w:r>
            <w:r>
              <w:rPr>
                <w:rFonts w:hint="eastAsia" w:ascii="宋体" w:hAnsi="宋体" w:cs="宋体"/>
                <w:b w:val="0"/>
                <w:bCs/>
                <w:color w:val="auto"/>
                <w:kern w:val="0"/>
                <w:sz w:val="24"/>
                <w:szCs w:val="24"/>
                <w:lang w:eastAsia="zh-CN"/>
              </w:rPr>
              <w:t>～</w:t>
            </w:r>
            <w:r>
              <w:rPr>
                <w:rFonts w:hint="eastAsia" w:ascii="宋体" w:hAnsi="宋体" w:eastAsia="宋体" w:cs="宋体"/>
                <w:b w:val="0"/>
                <w:bCs/>
                <w:color w:val="auto"/>
                <w:kern w:val="0"/>
                <w:sz w:val="24"/>
                <w:szCs w:val="24"/>
                <w:lang w:val="en-US" w:eastAsia="zh-CN"/>
              </w:rPr>
              <w:t>2</w:t>
            </w:r>
            <w:r>
              <w:rPr>
                <w:rFonts w:hint="eastAsia" w:ascii="宋体" w:hAnsi="宋体" w:eastAsia="宋体" w:cs="宋体"/>
                <w:b w:val="0"/>
                <w:bCs/>
                <w:color w:val="auto"/>
                <w:kern w:val="0"/>
                <w:sz w:val="24"/>
                <w:szCs w:val="24"/>
              </w:rPr>
              <w:t>分。</w:t>
            </w:r>
          </w:p>
        </w:tc>
      </w:tr>
      <w:tr w14:paraId="25A47765">
        <w:tblPrEx>
          <w:tblCellMar>
            <w:top w:w="0" w:type="dxa"/>
            <w:left w:w="108" w:type="dxa"/>
            <w:bottom w:w="0" w:type="dxa"/>
            <w:right w:w="108" w:type="dxa"/>
          </w:tblCellMar>
        </w:tblPrEx>
        <w:trPr>
          <w:trHeight w:val="1549" w:hRule="atLeast"/>
          <w:jc w:val="center"/>
        </w:trPr>
        <w:tc>
          <w:tcPr>
            <w:tcW w:w="754" w:type="dxa"/>
            <w:tcBorders>
              <w:top w:val="single" w:color="000000" w:sz="6" w:space="0"/>
              <w:left w:val="single" w:color="auto" w:sz="4" w:space="0"/>
              <w:bottom w:val="single" w:color="auto" w:sz="4" w:space="0"/>
              <w:right w:val="single" w:color="000000" w:sz="6" w:space="0"/>
            </w:tcBorders>
            <w:vAlign w:val="center"/>
          </w:tcPr>
          <w:p w14:paraId="3AE8CBA2">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2</w:t>
            </w:r>
          </w:p>
          <w:p w14:paraId="5D0C5A36">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kern w:val="0"/>
                <w:sz w:val="24"/>
                <w:szCs w:val="24"/>
                <w:lang w:val="en-US" w:eastAsia="zh-CN"/>
              </w:rPr>
            </w:pPr>
          </w:p>
        </w:tc>
        <w:tc>
          <w:tcPr>
            <w:tcW w:w="1432" w:type="dxa"/>
            <w:tcBorders>
              <w:top w:val="single" w:color="000000" w:sz="6" w:space="0"/>
              <w:left w:val="single" w:color="000000" w:sz="6" w:space="0"/>
              <w:bottom w:val="single" w:color="auto" w:sz="4" w:space="0"/>
              <w:right w:val="single" w:color="auto" w:sz="4" w:space="0"/>
            </w:tcBorders>
            <w:vAlign w:val="center"/>
          </w:tcPr>
          <w:p w14:paraId="72E4AC41">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服务方案（10分）</w:t>
            </w:r>
          </w:p>
        </w:tc>
        <w:tc>
          <w:tcPr>
            <w:tcW w:w="7358" w:type="dxa"/>
            <w:tcBorders>
              <w:top w:val="single" w:color="000000" w:sz="6" w:space="0"/>
              <w:left w:val="single" w:color="000000" w:sz="6" w:space="0"/>
              <w:bottom w:val="single" w:color="auto" w:sz="4" w:space="0"/>
              <w:right w:val="single" w:color="auto" w:sz="4" w:space="0"/>
            </w:tcBorders>
            <w:vAlign w:val="center"/>
          </w:tcPr>
          <w:p w14:paraId="628EAD2A">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整体服务方案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按照国家关于医院卫生、感控等相关法律规定，结合采购单位卫生保洁实际需求，对总体目标、服务内容、管理方式、质量控制方式以及方案的完整性、可行性等情况赋分。</w:t>
            </w:r>
          </w:p>
          <w:p w14:paraId="44D2663F">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 xml:space="preserve">方案全面具体、针对性强，责任明确，条理清晰， 完全符合本项目实际情况，得 </w:t>
            </w:r>
            <w:r>
              <w:rPr>
                <w:rFonts w:hint="eastAsia" w:ascii="宋体" w:hAnsi="宋体" w:eastAsia="宋体" w:cs="宋体"/>
                <w:color w:val="auto"/>
                <w:sz w:val="24"/>
                <w:szCs w:val="24"/>
                <w:lang w:val="en-US" w:eastAsia="zh-CN"/>
              </w:rPr>
              <w:t>7</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p w14:paraId="1D25215C">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方案存在瑕疵，基本符合本项目实际情况，得</w:t>
            </w: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p w14:paraId="53E199D6">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eastAsia="宋体" w:cs="宋体"/>
                <w:color w:val="auto"/>
                <w:sz w:val="24"/>
                <w:szCs w:val="24"/>
              </w:rPr>
              <w:t>3</w:t>
            </w:r>
            <w:r>
              <w:rPr>
                <w:rFonts w:hint="eastAsia" w:ascii="宋体" w:hAnsi="宋体" w:cs="宋体"/>
                <w:color w:val="auto"/>
                <w:sz w:val="24"/>
                <w:szCs w:val="24"/>
                <w:lang w:eastAsia="zh-CN"/>
              </w:rPr>
              <w:t>）</w:t>
            </w:r>
            <w:r>
              <w:rPr>
                <w:rFonts w:hint="eastAsia" w:ascii="宋体" w:hAnsi="宋体" w:eastAsia="宋体" w:cs="宋体"/>
                <w:color w:val="auto"/>
                <w:sz w:val="24"/>
                <w:szCs w:val="24"/>
              </w:rPr>
              <w:t>方案合理性差，项 目关联度低，得 1-2 分</w:t>
            </w:r>
            <w:r>
              <w:rPr>
                <w:rFonts w:hint="eastAsia" w:ascii="宋体" w:hAnsi="宋体" w:eastAsia="宋体" w:cs="宋体"/>
                <w:color w:val="auto"/>
                <w:sz w:val="24"/>
                <w:szCs w:val="24"/>
                <w:lang w:eastAsia="zh-CN"/>
              </w:rPr>
              <w:t>；</w:t>
            </w:r>
          </w:p>
          <w:p w14:paraId="235C91E5">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4</w:t>
            </w:r>
            <w:r>
              <w:rPr>
                <w:rFonts w:hint="eastAsia" w:ascii="宋体" w:hAnsi="宋体" w:cs="宋体"/>
                <w:color w:val="auto"/>
                <w:sz w:val="24"/>
                <w:szCs w:val="24"/>
                <w:lang w:eastAsia="zh-CN"/>
              </w:rPr>
              <w:t>）</w:t>
            </w:r>
            <w:r>
              <w:rPr>
                <w:rFonts w:hint="eastAsia" w:ascii="宋体" w:hAnsi="宋体" w:eastAsia="宋体" w:cs="宋体"/>
                <w:color w:val="auto"/>
                <w:sz w:val="24"/>
                <w:szCs w:val="24"/>
              </w:rPr>
              <w:t>仅有标题或未提供方案得 0 分。</w:t>
            </w:r>
          </w:p>
        </w:tc>
      </w:tr>
      <w:tr w14:paraId="6D8813DB">
        <w:tblPrEx>
          <w:tblCellMar>
            <w:top w:w="0" w:type="dxa"/>
            <w:left w:w="108" w:type="dxa"/>
            <w:bottom w:w="0" w:type="dxa"/>
            <w:right w:w="108" w:type="dxa"/>
          </w:tblCellMar>
        </w:tblPrEx>
        <w:trPr>
          <w:trHeight w:val="2481" w:hRule="atLeast"/>
          <w:jc w:val="center"/>
        </w:trPr>
        <w:tc>
          <w:tcPr>
            <w:tcW w:w="754" w:type="dxa"/>
            <w:tcBorders>
              <w:top w:val="single" w:color="auto" w:sz="4" w:space="0"/>
              <w:left w:val="single" w:color="auto" w:sz="4" w:space="0"/>
              <w:bottom w:val="single" w:color="auto" w:sz="4" w:space="0"/>
              <w:right w:val="single" w:color="000000" w:sz="6" w:space="0"/>
            </w:tcBorders>
            <w:vAlign w:val="center"/>
          </w:tcPr>
          <w:p w14:paraId="0052A05F">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3</w:t>
            </w:r>
          </w:p>
        </w:tc>
        <w:tc>
          <w:tcPr>
            <w:tcW w:w="1432" w:type="dxa"/>
            <w:tcBorders>
              <w:top w:val="single" w:color="auto" w:sz="4" w:space="0"/>
              <w:left w:val="single" w:color="000000" w:sz="6" w:space="0"/>
              <w:bottom w:val="single" w:color="auto" w:sz="4" w:space="0"/>
              <w:right w:val="single" w:color="auto" w:sz="4" w:space="0"/>
            </w:tcBorders>
            <w:vAlign w:val="center"/>
          </w:tcPr>
          <w:p w14:paraId="572CA7E9">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应急方案</w:t>
            </w:r>
          </w:p>
          <w:p w14:paraId="38EE5547">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7358" w:type="dxa"/>
            <w:tcBorders>
              <w:top w:val="single" w:color="auto" w:sz="4" w:space="0"/>
              <w:left w:val="single" w:color="000000" w:sz="6" w:space="0"/>
              <w:bottom w:val="single" w:color="auto" w:sz="4" w:space="0"/>
              <w:right w:val="single" w:color="auto" w:sz="4" w:space="0"/>
            </w:tcBorders>
            <w:vAlign w:val="center"/>
          </w:tcPr>
          <w:p w14:paraId="4CE86F88">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应急方案：</w:t>
            </w:r>
          </w:p>
          <w:p w14:paraId="501B18BA">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b w:val="0"/>
                <w:bCs/>
                <w:color w:val="auto"/>
                <w:kern w:val="0"/>
                <w:sz w:val="24"/>
                <w:szCs w:val="24"/>
              </w:rPr>
            </w:pPr>
            <w:r>
              <w:rPr>
                <w:rFonts w:hint="eastAsia" w:ascii="宋体" w:hAnsi="宋体" w:cs="宋体"/>
                <w:b w:val="0"/>
                <w:bCs/>
                <w:color w:val="auto"/>
                <w:kern w:val="0"/>
                <w:sz w:val="24"/>
                <w:szCs w:val="24"/>
                <w:lang w:eastAsia="zh-CN"/>
              </w:rPr>
              <w:t>（</w:t>
            </w:r>
            <w:r>
              <w:rPr>
                <w:rFonts w:hint="eastAsia" w:ascii="宋体" w:hAnsi="宋体" w:eastAsia="宋体" w:cs="宋体"/>
                <w:b w:val="0"/>
                <w:bCs/>
                <w:color w:val="auto"/>
                <w:kern w:val="0"/>
                <w:sz w:val="24"/>
                <w:szCs w:val="24"/>
              </w:rPr>
              <w:t>1</w:t>
            </w:r>
            <w:r>
              <w:rPr>
                <w:rFonts w:hint="eastAsia" w:ascii="宋体" w:hAnsi="宋体" w:cs="宋体"/>
                <w:b w:val="0"/>
                <w:bCs/>
                <w:color w:val="auto"/>
                <w:kern w:val="0"/>
                <w:sz w:val="24"/>
                <w:szCs w:val="24"/>
                <w:lang w:eastAsia="zh-CN"/>
              </w:rPr>
              <w:t>）</w:t>
            </w:r>
            <w:r>
              <w:rPr>
                <w:rFonts w:hint="eastAsia" w:ascii="宋体" w:hAnsi="宋体" w:eastAsia="宋体" w:cs="宋体"/>
                <w:b w:val="0"/>
                <w:bCs/>
                <w:color w:val="auto"/>
                <w:kern w:val="0"/>
                <w:sz w:val="24"/>
                <w:szCs w:val="24"/>
              </w:rPr>
              <w:t>突发性医疗卫生事件应急方案 (0-2 分</w:t>
            </w:r>
            <w:r>
              <w:rPr>
                <w:rFonts w:hint="eastAsia" w:ascii="宋体" w:hAnsi="宋体" w:cs="宋体"/>
                <w:b w:val="0"/>
                <w:bCs/>
                <w:color w:val="auto"/>
                <w:kern w:val="0"/>
                <w:sz w:val="24"/>
                <w:szCs w:val="24"/>
                <w:lang w:eastAsia="zh-CN"/>
              </w:rPr>
              <w:t>）</w:t>
            </w:r>
            <w:r>
              <w:rPr>
                <w:rFonts w:hint="eastAsia" w:ascii="宋体" w:hAnsi="宋体" w:eastAsia="宋体" w:cs="宋体"/>
                <w:b w:val="0"/>
                <w:bCs/>
                <w:color w:val="auto"/>
                <w:kern w:val="0"/>
                <w:sz w:val="24"/>
                <w:szCs w:val="24"/>
              </w:rPr>
              <w:t>。</w:t>
            </w:r>
          </w:p>
          <w:p w14:paraId="33DB3D1A">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b w:val="0"/>
                <w:bCs/>
                <w:color w:val="auto"/>
                <w:kern w:val="0"/>
                <w:sz w:val="24"/>
                <w:szCs w:val="24"/>
              </w:rPr>
            </w:pPr>
            <w:r>
              <w:rPr>
                <w:rFonts w:hint="eastAsia" w:ascii="宋体" w:hAnsi="宋体" w:cs="宋体"/>
                <w:b w:val="0"/>
                <w:bCs/>
                <w:color w:val="auto"/>
                <w:kern w:val="0"/>
                <w:sz w:val="24"/>
                <w:szCs w:val="24"/>
                <w:lang w:eastAsia="zh-CN"/>
              </w:rPr>
              <w:t>（</w:t>
            </w:r>
            <w:r>
              <w:rPr>
                <w:rFonts w:hint="eastAsia" w:ascii="宋体" w:hAnsi="宋体" w:eastAsia="宋体" w:cs="宋体"/>
                <w:b w:val="0"/>
                <w:bCs/>
                <w:color w:val="auto"/>
                <w:kern w:val="0"/>
                <w:sz w:val="24"/>
                <w:szCs w:val="24"/>
              </w:rPr>
              <w:t>2</w:t>
            </w:r>
            <w:r>
              <w:rPr>
                <w:rFonts w:hint="eastAsia" w:ascii="宋体" w:hAnsi="宋体" w:cs="宋体"/>
                <w:b w:val="0"/>
                <w:bCs/>
                <w:color w:val="auto"/>
                <w:kern w:val="0"/>
                <w:sz w:val="24"/>
                <w:szCs w:val="24"/>
                <w:lang w:eastAsia="zh-CN"/>
              </w:rPr>
              <w:t>）</w:t>
            </w:r>
            <w:r>
              <w:rPr>
                <w:rFonts w:hint="eastAsia" w:ascii="宋体" w:hAnsi="宋体" w:eastAsia="宋体" w:cs="宋体"/>
                <w:b w:val="0"/>
                <w:bCs/>
                <w:color w:val="auto"/>
                <w:kern w:val="0"/>
                <w:sz w:val="24"/>
                <w:szCs w:val="24"/>
              </w:rPr>
              <w:t>聘用员工劳务纠纷及突发事件应急处理预案 (0-2 分</w:t>
            </w:r>
            <w:r>
              <w:rPr>
                <w:rFonts w:hint="eastAsia" w:ascii="宋体" w:hAnsi="宋体" w:cs="宋体"/>
                <w:b w:val="0"/>
                <w:bCs/>
                <w:color w:val="auto"/>
                <w:kern w:val="0"/>
                <w:sz w:val="24"/>
                <w:szCs w:val="24"/>
                <w:lang w:eastAsia="zh-CN"/>
              </w:rPr>
              <w:t>）</w:t>
            </w:r>
            <w:r>
              <w:rPr>
                <w:rFonts w:hint="eastAsia" w:ascii="宋体" w:hAnsi="宋体" w:eastAsia="宋体" w:cs="宋体"/>
                <w:b w:val="0"/>
                <w:bCs/>
                <w:color w:val="auto"/>
                <w:kern w:val="0"/>
                <w:sz w:val="24"/>
                <w:szCs w:val="24"/>
              </w:rPr>
              <w:t>。</w:t>
            </w:r>
          </w:p>
          <w:p w14:paraId="4D098D48">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b w:val="0"/>
                <w:bCs/>
                <w:color w:val="auto"/>
                <w:kern w:val="0"/>
                <w:sz w:val="24"/>
                <w:szCs w:val="24"/>
              </w:rPr>
            </w:pPr>
            <w:r>
              <w:rPr>
                <w:rFonts w:hint="eastAsia" w:ascii="宋体" w:hAnsi="宋体" w:cs="宋体"/>
                <w:b w:val="0"/>
                <w:bCs/>
                <w:color w:val="auto"/>
                <w:kern w:val="0"/>
                <w:sz w:val="24"/>
                <w:szCs w:val="24"/>
                <w:lang w:eastAsia="zh-CN"/>
              </w:rPr>
              <w:t>（</w:t>
            </w:r>
            <w:r>
              <w:rPr>
                <w:rFonts w:hint="eastAsia" w:ascii="宋体" w:hAnsi="宋体" w:eastAsia="宋体" w:cs="宋体"/>
                <w:b w:val="0"/>
                <w:bCs/>
                <w:color w:val="auto"/>
                <w:kern w:val="0"/>
                <w:sz w:val="24"/>
                <w:szCs w:val="24"/>
              </w:rPr>
              <w:t>3</w:t>
            </w:r>
            <w:r>
              <w:rPr>
                <w:rFonts w:hint="eastAsia" w:ascii="宋体" w:hAnsi="宋体" w:cs="宋体"/>
                <w:b w:val="0"/>
                <w:bCs/>
                <w:color w:val="auto"/>
                <w:kern w:val="0"/>
                <w:sz w:val="24"/>
                <w:szCs w:val="24"/>
                <w:lang w:eastAsia="zh-CN"/>
              </w:rPr>
              <w:t>）</w:t>
            </w:r>
            <w:r>
              <w:rPr>
                <w:rFonts w:hint="eastAsia" w:ascii="宋体" w:hAnsi="宋体" w:eastAsia="宋体" w:cs="宋体"/>
                <w:b w:val="0"/>
                <w:bCs/>
                <w:color w:val="auto"/>
                <w:kern w:val="0"/>
                <w:sz w:val="24"/>
                <w:szCs w:val="24"/>
              </w:rPr>
              <w:t>雨雪等特殊天气及管道漏水应急方案</w:t>
            </w:r>
            <w:r>
              <w:rPr>
                <w:rFonts w:hint="eastAsia" w:ascii="宋体" w:hAnsi="宋体" w:cs="宋体"/>
                <w:b w:val="0"/>
                <w:bCs/>
                <w:color w:val="auto"/>
                <w:kern w:val="0"/>
                <w:sz w:val="24"/>
                <w:szCs w:val="24"/>
                <w:lang w:eastAsia="zh-CN"/>
              </w:rPr>
              <w:t>（</w:t>
            </w:r>
            <w:r>
              <w:rPr>
                <w:rFonts w:hint="eastAsia" w:ascii="宋体" w:hAnsi="宋体" w:eastAsia="宋体" w:cs="宋体"/>
                <w:b w:val="0"/>
                <w:bCs/>
                <w:color w:val="auto"/>
                <w:kern w:val="0"/>
                <w:sz w:val="24"/>
                <w:szCs w:val="24"/>
              </w:rPr>
              <w:t>0-2 分</w:t>
            </w:r>
            <w:r>
              <w:rPr>
                <w:rFonts w:hint="eastAsia" w:ascii="宋体" w:hAnsi="宋体" w:cs="宋体"/>
                <w:b w:val="0"/>
                <w:bCs/>
                <w:color w:val="auto"/>
                <w:kern w:val="0"/>
                <w:sz w:val="24"/>
                <w:szCs w:val="24"/>
                <w:lang w:eastAsia="zh-CN"/>
              </w:rPr>
              <w:t>）</w:t>
            </w:r>
            <w:r>
              <w:rPr>
                <w:rFonts w:hint="eastAsia" w:ascii="宋体" w:hAnsi="宋体" w:eastAsia="宋体" w:cs="宋体"/>
                <w:b w:val="0"/>
                <w:bCs/>
                <w:color w:val="auto"/>
                <w:kern w:val="0"/>
                <w:sz w:val="24"/>
                <w:szCs w:val="24"/>
              </w:rPr>
              <w:t>。</w:t>
            </w:r>
          </w:p>
          <w:p w14:paraId="09DAFF23">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b w:val="0"/>
                <w:bCs/>
                <w:color w:val="auto"/>
                <w:kern w:val="0"/>
                <w:sz w:val="24"/>
                <w:szCs w:val="24"/>
              </w:rPr>
            </w:pPr>
            <w:r>
              <w:rPr>
                <w:rFonts w:hint="eastAsia" w:ascii="宋体" w:hAnsi="宋体" w:cs="宋体"/>
                <w:b w:val="0"/>
                <w:bCs/>
                <w:color w:val="auto"/>
                <w:kern w:val="0"/>
                <w:sz w:val="24"/>
                <w:szCs w:val="24"/>
                <w:lang w:eastAsia="zh-CN"/>
              </w:rPr>
              <w:t>（</w:t>
            </w:r>
            <w:r>
              <w:rPr>
                <w:rFonts w:hint="eastAsia" w:ascii="宋体" w:hAnsi="宋体" w:eastAsia="宋体" w:cs="宋体"/>
                <w:b w:val="0"/>
                <w:bCs/>
                <w:color w:val="auto"/>
                <w:kern w:val="0"/>
                <w:sz w:val="24"/>
                <w:szCs w:val="24"/>
              </w:rPr>
              <w:t>4</w:t>
            </w:r>
            <w:r>
              <w:rPr>
                <w:rFonts w:hint="eastAsia" w:ascii="宋体" w:hAnsi="宋体" w:cs="宋体"/>
                <w:b w:val="0"/>
                <w:bCs/>
                <w:color w:val="auto"/>
                <w:kern w:val="0"/>
                <w:sz w:val="24"/>
                <w:szCs w:val="24"/>
                <w:lang w:eastAsia="zh-CN"/>
              </w:rPr>
              <w:t>）</w:t>
            </w:r>
            <w:r>
              <w:rPr>
                <w:rFonts w:hint="eastAsia" w:ascii="宋体" w:hAnsi="宋体" w:eastAsia="宋体" w:cs="宋体"/>
                <w:b w:val="0"/>
                <w:bCs/>
                <w:color w:val="auto"/>
                <w:kern w:val="0"/>
                <w:sz w:val="24"/>
                <w:szCs w:val="24"/>
              </w:rPr>
              <w:t>大型活动或上级检查应急方案</w:t>
            </w:r>
            <w:r>
              <w:rPr>
                <w:rFonts w:hint="eastAsia" w:ascii="宋体" w:hAnsi="宋体" w:cs="宋体"/>
                <w:b w:val="0"/>
                <w:bCs/>
                <w:color w:val="auto"/>
                <w:kern w:val="0"/>
                <w:sz w:val="24"/>
                <w:szCs w:val="24"/>
                <w:lang w:eastAsia="zh-CN"/>
              </w:rPr>
              <w:t>（</w:t>
            </w:r>
            <w:r>
              <w:rPr>
                <w:rFonts w:hint="eastAsia" w:ascii="宋体" w:hAnsi="宋体" w:eastAsia="宋体" w:cs="宋体"/>
                <w:b w:val="0"/>
                <w:bCs/>
                <w:color w:val="auto"/>
                <w:kern w:val="0"/>
                <w:sz w:val="24"/>
                <w:szCs w:val="24"/>
              </w:rPr>
              <w:t>0-2 分</w:t>
            </w:r>
            <w:r>
              <w:rPr>
                <w:rFonts w:hint="eastAsia" w:ascii="宋体" w:hAnsi="宋体" w:cs="宋体"/>
                <w:b w:val="0"/>
                <w:bCs/>
                <w:color w:val="auto"/>
                <w:kern w:val="0"/>
                <w:sz w:val="24"/>
                <w:szCs w:val="24"/>
                <w:lang w:eastAsia="zh-CN"/>
              </w:rPr>
              <w:t>）</w:t>
            </w:r>
            <w:r>
              <w:rPr>
                <w:rFonts w:hint="eastAsia" w:ascii="宋体" w:hAnsi="宋体" w:eastAsia="宋体" w:cs="宋体"/>
                <w:b w:val="0"/>
                <w:bCs/>
                <w:color w:val="auto"/>
                <w:kern w:val="0"/>
                <w:sz w:val="24"/>
                <w:szCs w:val="24"/>
              </w:rPr>
              <w:t xml:space="preserve">。    </w:t>
            </w:r>
          </w:p>
          <w:p w14:paraId="75DD3F2F">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(5) 消防问题应急方案 (0-2 分</w:t>
            </w:r>
            <w:r>
              <w:rPr>
                <w:rFonts w:hint="eastAsia" w:ascii="宋体" w:hAnsi="宋体" w:cs="宋体"/>
                <w:b w:val="0"/>
                <w:bCs/>
                <w:color w:val="auto"/>
                <w:kern w:val="0"/>
                <w:sz w:val="24"/>
                <w:szCs w:val="24"/>
                <w:lang w:eastAsia="zh-CN"/>
              </w:rPr>
              <w:t>）</w:t>
            </w:r>
            <w:r>
              <w:rPr>
                <w:rFonts w:hint="eastAsia" w:ascii="宋体" w:hAnsi="宋体" w:eastAsia="宋体" w:cs="宋体"/>
                <w:b w:val="0"/>
                <w:bCs/>
                <w:color w:val="auto"/>
                <w:kern w:val="0"/>
                <w:sz w:val="24"/>
                <w:szCs w:val="24"/>
              </w:rPr>
              <w:t>。</w:t>
            </w:r>
          </w:p>
          <w:p w14:paraId="1BEEBCF8">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240" w:firstLineChars="100"/>
              <w:jc w:val="left"/>
              <w:textAlignment w:val="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每项方案评分依据：方案措施合理、完善，条理清晰，操作性强，科学得当，得2分；方案存在瑕疵，基本符合实际情况，得 1 分；仅有标题或未提供的，得0分。</w:t>
            </w:r>
          </w:p>
        </w:tc>
      </w:tr>
      <w:tr w14:paraId="21190E01">
        <w:tblPrEx>
          <w:tblCellMar>
            <w:top w:w="0" w:type="dxa"/>
            <w:left w:w="108" w:type="dxa"/>
            <w:bottom w:w="0" w:type="dxa"/>
            <w:right w:w="108" w:type="dxa"/>
          </w:tblCellMar>
        </w:tblPrEx>
        <w:trPr>
          <w:trHeight w:val="1216" w:hRule="atLeast"/>
          <w:jc w:val="center"/>
        </w:trPr>
        <w:tc>
          <w:tcPr>
            <w:tcW w:w="754" w:type="dxa"/>
            <w:tcBorders>
              <w:top w:val="single" w:color="auto" w:sz="4" w:space="0"/>
              <w:left w:val="single" w:color="auto" w:sz="4" w:space="0"/>
              <w:bottom w:val="single" w:color="auto" w:sz="4" w:space="0"/>
              <w:right w:val="single" w:color="000000" w:sz="6" w:space="0"/>
            </w:tcBorders>
            <w:vAlign w:val="center"/>
          </w:tcPr>
          <w:p w14:paraId="05F92373">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4</w:t>
            </w:r>
          </w:p>
        </w:tc>
        <w:tc>
          <w:tcPr>
            <w:tcW w:w="1432" w:type="dxa"/>
            <w:tcBorders>
              <w:top w:val="single" w:color="auto" w:sz="4" w:space="0"/>
              <w:left w:val="single" w:color="000000" w:sz="6" w:space="0"/>
              <w:bottom w:val="single" w:color="auto" w:sz="4" w:space="0"/>
              <w:right w:val="single" w:color="auto" w:sz="4" w:space="0"/>
            </w:tcBorders>
            <w:vAlign w:val="center"/>
          </w:tcPr>
          <w:p w14:paraId="2BB1DDDA">
            <w:pPr>
              <w:pStyle w:val="3"/>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工作方案及措施</w:t>
            </w:r>
          </w:p>
          <w:p w14:paraId="546C3E6B">
            <w:pPr>
              <w:pStyle w:val="3"/>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b w:val="0"/>
                <w:bCs/>
                <w:color w:val="auto"/>
                <w:kern w:val="0"/>
                <w:sz w:val="24"/>
                <w:szCs w:val="24"/>
                <w:lang w:eastAsia="zh-CN"/>
              </w:rPr>
              <w:t>（</w:t>
            </w:r>
            <w:r>
              <w:rPr>
                <w:rFonts w:hint="eastAsia" w:ascii="宋体" w:hAnsi="宋体" w:eastAsia="宋体" w:cs="宋体"/>
                <w:b w:val="0"/>
                <w:bCs/>
                <w:color w:val="auto"/>
                <w:kern w:val="0"/>
                <w:sz w:val="24"/>
                <w:szCs w:val="24"/>
                <w:lang w:val="en-US" w:eastAsia="zh-CN"/>
              </w:rPr>
              <w:t>21分</w:t>
            </w:r>
            <w:r>
              <w:rPr>
                <w:rFonts w:hint="eastAsia" w:ascii="宋体" w:hAnsi="宋体" w:eastAsia="宋体" w:cs="宋体"/>
                <w:b w:val="0"/>
                <w:bCs/>
                <w:color w:val="auto"/>
                <w:kern w:val="0"/>
                <w:sz w:val="24"/>
                <w:szCs w:val="24"/>
                <w:lang w:eastAsia="zh-CN"/>
              </w:rPr>
              <w:t>）</w:t>
            </w:r>
          </w:p>
        </w:tc>
        <w:tc>
          <w:tcPr>
            <w:tcW w:w="7358" w:type="dxa"/>
            <w:tcBorders>
              <w:top w:val="single" w:color="auto" w:sz="4" w:space="0"/>
              <w:left w:val="single" w:color="000000" w:sz="6" w:space="0"/>
              <w:bottom w:val="single" w:color="auto" w:sz="4" w:space="0"/>
              <w:right w:val="single" w:color="auto" w:sz="4" w:space="0"/>
            </w:tcBorders>
            <w:shd w:val="clear" w:color="auto" w:fill="auto"/>
            <w:vAlign w:val="center"/>
          </w:tcPr>
          <w:p w14:paraId="167100AB">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bidi="ar-SA"/>
              </w:rPr>
              <w:t>1.</w:t>
            </w:r>
            <w:r>
              <w:rPr>
                <w:rFonts w:hint="eastAsia" w:ascii="宋体" w:hAnsi="宋体" w:eastAsia="宋体" w:cs="宋体"/>
                <w:b w:val="0"/>
                <w:bCs/>
                <w:color w:val="auto"/>
                <w:kern w:val="0"/>
                <w:sz w:val="24"/>
                <w:szCs w:val="24"/>
                <w:lang w:val="en-US" w:eastAsia="zh-CN"/>
              </w:rPr>
              <w:t xml:space="preserve">提供医院常规的清洁、消毒方案及措施（0-3 分） </w:t>
            </w:r>
          </w:p>
          <w:p w14:paraId="5CF412A5">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bidi="ar-SA"/>
              </w:rPr>
              <w:t>2.</w:t>
            </w:r>
            <w:r>
              <w:rPr>
                <w:rFonts w:hint="eastAsia" w:ascii="宋体" w:hAnsi="宋体" w:eastAsia="宋体" w:cs="宋体"/>
                <w:b w:val="0"/>
                <w:bCs/>
                <w:color w:val="auto"/>
                <w:kern w:val="0"/>
                <w:sz w:val="24"/>
                <w:szCs w:val="24"/>
                <w:lang w:val="en-US" w:eastAsia="zh-CN"/>
              </w:rPr>
              <w:t>提供病区的环境卫生保洁工作流程方案，结合医院感染控制要求</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0-3 分</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w:t>
            </w:r>
          </w:p>
          <w:p w14:paraId="3B9617B2">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3.办公区域与户外区域的环境卫生保洁工作流程方案，结合医院感染控制要求</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0-3 分</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w:t>
            </w:r>
          </w:p>
          <w:p w14:paraId="00C380E9">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4.提供污物处理的操作流程</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0-3 分</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w:t>
            </w:r>
          </w:p>
          <w:p w14:paraId="5B0DFAF1">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 xml:space="preserve">5.卫生间保洁、垃圾收集 </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医疗废物、固体废物、 生活垃圾分类管理</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 xml:space="preserve"> 、转运的时间安排、方案和流程</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0-3 分</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w:t>
            </w:r>
          </w:p>
          <w:p w14:paraId="17736F9A">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6.提供保洁工作中自我防护措施、劳动安全保护措施、职业暴露处置措施</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0-3 分</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w:t>
            </w:r>
          </w:p>
          <w:p w14:paraId="0BCC6543">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7.保洁频次设计方案、结合医院保洁服务特点，满足医院需求 (0-3 分</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w:t>
            </w:r>
          </w:p>
          <w:p w14:paraId="244330D8">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80" w:firstLineChars="20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每项方案评分依据：方案措施合理、完善，条理清晰，操作性强，科学得当，符合项目实际情况得 3 分；方案存在瑕疵，基本符合实际情况，得2分；方案合理性差，项目关联度低，得1分；仅有 标题或未提供的，得 0 分。</w:t>
            </w:r>
          </w:p>
        </w:tc>
      </w:tr>
      <w:tr w14:paraId="09760653">
        <w:tblPrEx>
          <w:tblCellMar>
            <w:top w:w="0" w:type="dxa"/>
            <w:left w:w="108" w:type="dxa"/>
            <w:bottom w:w="0" w:type="dxa"/>
            <w:right w:w="108" w:type="dxa"/>
          </w:tblCellMar>
        </w:tblPrEx>
        <w:trPr>
          <w:trHeight w:val="1216" w:hRule="atLeast"/>
          <w:jc w:val="center"/>
        </w:trPr>
        <w:tc>
          <w:tcPr>
            <w:tcW w:w="754" w:type="dxa"/>
            <w:tcBorders>
              <w:top w:val="single" w:color="auto" w:sz="4" w:space="0"/>
              <w:left w:val="single" w:color="auto" w:sz="4" w:space="0"/>
              <w:bottom w:val="single" w:color="auto" w:sz="4" w:space="0"/>
              <w:right w:val="single" w:color="000000" w:sz="6" w:space="0"/>
            </w:tcBorders>
            <w:vAlign w:val="center"/>
          </w:tcPr>
          <w:p w14:paraId="6E88C922">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5</w:t>
            </w:r>
          </w:p>
        </w:tc>
        <w:tc>
          <w:tcPr>
            <w:tcW w:w="1432" w:type="dxa"/>
            <w:tcBorders>
              <w:top w:val="single" w:color="auto" w:sz="4" w:space="0"/>
              <w:left w:val="single" w:color="000000" w:sz="6" w:space="0"/>
              <w:bottom w:val="single" w:color="auto" w:sz="4" w:space="0"/>
              <w:right w:val="single" w:color="auto" w:sz="4" w:space="0"/>
            </w:tcBorders>
            <w:vAlign w:val="center"/>
          </w:tcPr>
          <w:p w14:paraId="6F1FA37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人员配置</w:t>
            </w:r>
          </w:p>
          <w:p w14:paraId="091A725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（15分）</w:t>
            </w:r>
          </w:p>
          <w:p w14:paraId="604C4F2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lang w:val="en-US" w:eastAsia="zh-CN"/>
              </w:rPr>
            </w:pPr>
          </w:p>
        </w:tc>
        <w:tc>
          <w:tcPr>
            <w:tcW w:w="7358" w:type="dxa"/>
            <w:tcBorders>
              <w:top w:val="single" w:color="auto" w:sz="4" w:space="0"/>
              <w:left w:val="single" w:color="000000" w:sz="6" w:space="0"/>
              <w:bottom w:val="single" w:color="auto" w:sz="4" w:space="0"/>
              <w:right w:val="single" w:color="auto" w:sz="4" w:space="0"/>
            </w:tcBorders>
            <w:shd w:val="clear" w:color="auto" w:fill="auto"/>
            <w:vAlign w:val="center"/>
          </w:tcPr>
          <w:p w14:paraId="01C484F6">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80" w:firstLineChars="20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1.保洁主管</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为本项目配备保洁主管1名，具有专科及以上学历计2分</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提供毕业证或学历证明，未提供不计分</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，配备的保洁主管无重大工作失误、违纪、违法和违反职业道德的记录承诺原件</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承诺须本人签名、出具时间应为本项目采购公告发布后</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得2分，本项最高4分。</w:t>
            </w:r>
          </w:p>
          <w:p w14:paraId="5AE12A44">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80" w:firstLineChars="20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2.根据采购需求中的人员设置要求，提供全部拟保洁人员身份证和健康证明得 6分，每有一人证明不全或未提供扣 1 分，扣完为止。</w:t>
            </w:r>
          </w:p>
          <w:p w14:paraId="13A56C23">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kern w:val="0"/>
                <w:sz w:val="24"/>
                <w:szCs w:val="24"/>
                <w:lang w:val="en-US" w:eastAsia="zh-CN"/>
              </w:rPr>
              <w:t>3.根据配备人员制定相应的管理方案，按其响应程度计[0-5]分。</w:t>
            </w:r>
          </w:p>
        </w:tc>
      </w:tr>
      <w:tr w14:paraId="04A53847">
        <w:tblPrEx>
          <w:tblCellMar>
            <w:top w:w="0" w:type="dxa"/>
            <w:left w:w="108" w:type="dxa"/>
            <w:bottom w:w="0" w:type="dxa"/>
            <w:right w:w="108" w:type="dxa"/>
          </w:tblCellMar>
        </w:tblPrEx>
        <w:trPr>
          <w:trHeight w:val="779" w:hRule="atLeast"/>
          <w:jc w:val="center"/>
        </w:trPr>
        <w:tc>
          <w:tcPr>
            <w:tcW w:w="754" w:type="dxa"/>
            <w:tcBorders>
              <w:top w:val="single" w:color="auto" w:sz="4" w:space="0"/>
              <w:left w:val="single" w:color="auto" w:sz="4" w:space="0"/>
              <w:bottom w:val="single" w:color="auto" w:sz="4" w:space="0"/>
              <w:right w:val="single" w:color="000000" w:sz="6" w:space="0"/>
            </w:tcBorders>
            <w:vAlign w:val="center"/>
          </w:tcPr>
          <w:p w14:paraId="1C40811C">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6</w:t>
            </w:r>
          </w:p>
        </w:tc>
        <w:tc>
          <w:tcPr>
            <w:tcW w:w="1432" w:type="dxa"/>
            <w:tcBorders>
              <w:top w:val="single" w:color="auto" w:sz="4" w:space="0"/>
              <w:left w:val="single" w:color="000000" w:sz="6" w:space="0"/>
              <w:bottom w:val="single" w:color="auto" w:sz="4" w:space="0"/>
              <w:right w:val="single" w:color="auto" w:sz="4" w:space="0"/>
            </w:tcBorders>
            <w:vAlign w:val="center"/>
          </w:tcPr>
          <w:p w14:paraId="3D8446FA">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配套设备</w:t>
            </w:r>
          </w:p>
          <w:p w14:paraId="7770A999">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（5分）</w:t>
            </w:r>
          </w:p>
        </w:tc>
        <w:tc>
          <w:tcPr>
            <w:tcW w:w="7358" w:type="dxa"/>
            <w:tcBorders>
              <w:top w:val="single" w:color="auto" w:sz="4" w:space="0"/>
              <w:left w:val="single" w:color="000000" w:sz="6" w:space="0"/>
              <w:bottom w:val="single" w:color="000000" w:sz="6" w:space="0"/>
              <w:right w:val="single" w:color="auto" w:sz="4" w:space="0"/>
            </w:tcBorders>
          </w:tcPr>
          <w:p w14:paraId="69EBA4E4">
            <w:pPr>
              <w:pStyle w:val="21"/>
              <w:keepNext w:val="0"/>
              <w:keepLines w:val="0"/>
              <w:pageBreakBefore w:val="0"/>
              <w:widowControl w:val="0"/>
              <w:kinsoku/>
              <w:wordWrap/>
              <w:overflowPunct/>
              <w:topLinePunct w:val="0"/>
              <w:autoSpaceDE/>
              <w:autoSpaceDN/>
              <w:bidi w:val="0"/>
              <w:adjustRightInd w:val="0"/>
              <w:snapToGrid w:val="0"/>
              <w:spacing w:after="0" w:line="312"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color w:val="auto"/>
                <w:kern w:val="0"/>
                <w:sz w:val="24"/>
                <w:szCs w:val="24"/>
                <w:lang w:val="en-US" w:eastAsia="zh-CN" w:bidi="ar-SA"/>
              </w:rPr>
              <w:t>供应商针对本项目拟投入的配套设备情况，包含清洁工具、通信设备等，具有详细的设备配套清单，并能列明设备的功能及作用，确保保洁服务工作有序进行的计</w:t>
            </w:r>
            <w:r>
              <w:rPr>
                <w:rFonts w:hint="eastAsia" w:ascii="宋体" w:hAnsi="宋体" w:cs="宋体"/>
                <w:b w:val="0"/>
                <w:bCs/>
                <w:color w:val="auto"/>
                <w:kern w:val="0"/>
                <w:sz w:val="24"/>
                <w:szCs w:val="24"/>
                <w:lang w:val="en-US" w:eastAsia="zh-CN" w:bidi="ar-SA"/>
              </w:rPr>
              <w:t>（</w:t>
            </w:r>
            <w:r>
              <w:rPr>
                <w:rFonts w:hint="eastAsia" w:ascii="宋体" w:hAnsi="宋体" w:eastAsia="宋体" w:cs="宋体"/>
                <w:b w:val="0"/>
                <w:bCs/>
                <w:color w:val="auto"/>
                <w:kern w:val="0"/>
                <w:sz w:val="24"/>
                <w:szCs w:val="24"/>
                <w:lang w:val="en-US" w:eastAsia="zh-CN" w:bidi="ar-SA"/>
              </w:rPr>
              <w:t>0</w:t>
            </w:r>
            <w:r>
              <w:rPr>
                <w:rFonts w:hint="eastAsia" w:ascii="宋体" w:hAnsi="宋体" w:cs="宋体"/>
                <w:b w:val="0"/>
                <w:bCs/>
                <w:color w:val="auto"/>
                <w:kern w:val="0"/>
                <w:sz w:val="24"/>
                <w:szCs w:val="24"/>
                <w:lang w:val="en-US" w:eastAsia="zh-CN" w:bidi="ar-SA"/>
              </w:rPr>
              <w:t>～</w:t>
            </w:r>
            <w:r>
              <w:rPr>
                <w:rFonts w:hint="eastAsia" w:ascii="宋体" w:hAnsi="宋体" w:eastAsia="宋体" w:cs="宋体"/>
                <w:b w:val="0"/>
                <w:bCs/>
                <w:color w:val="auto"/>
                <w:kern w:val="0"/>
                <w:sz w:val="24"/>
                <w:szCs w:val="24"/>
                <w:lang w:val="en-US" w:eastAsia="zh-CN" w:bidi="ar-SA"/>
              </w:rPr>
              <w:t>5分）</w:t>
            </w:r>
          </w:p>
        </w:tc>
      </w:tr>
      <w:tr w14:paraId="45D4040C">
        <w:tblPrEx>
          <w:tblCellMar>
            <w:top w:w="0" w:type="dxa"/>
            <w:left w:w="108" w:type="dxa"/>
            <w:bottom w:w="0" w:type="dxa"/>
            <w:right w:w="108" w:type="dxa"/>
          </w:tblCellMar>
        </w:tblPrEx>
        <w:trPr>
          <w:trHeight w:val="3923" w:hRule="atLeast"/>
          <w:jc w:val="center"/>
        </w:trPr>
        <w:tc>
          <w:tcPr>
            <w:tcW w:w="754" w:type="dxa"/>
            <w:tcBorders>
              <w:top w:val="single" w:color="auto" w:sz="4" w:space="0"/>
              <w:left w:val="single" w:color="auto" w:sz="4" w:space="0"/>
              <w:right w:val="single" w:color="000000" w:sz="6" w:space="0"/>
            </w:tcBorders>
            <w:vAlign w:val="center"/>
          </w:tcPr>
          <w:p w14:paraId="07A5845C">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7</w:t>
            </w:r>
          </w:p>
        </w:tc>
        <w:tc>
          <w:tcPr>
            <w:tcW w:w="1432" w:type="dxa"/>
            <w:tcBorders>
              <w:top w:val="single" w:color="auto" w:sz="4" w:space="0"/>
              <w:left w:val="single" w:color="auto" w:sz="4" w:space="0"/>
              <w:bottom w:val="single" w:color="auto" w:sz="4" w:space="0"/>
              <w:right w:val="single" w:color="auto" w:sz="4" w:space="0"/>
            </w:tcBorders>
            <w:vAlign w:val="center"/>
          </w:tcPr>
          <w:p w14:paraId="789E7999">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pacing w:val="-17"/>
                <w:sz w:val="24"/>
                <w:szCs w:val="24"/>
                <w:lang w:val="en-US" w:eastAsia="zh-CN"/>
              </w:rPr>
            </w:pPr>
            <w:r>
              <w:rPr>
                <w:rFonts w:hint="eastAsia" w:ascii="宋体" w:hAnsi="宋体" w:eastAsia="宋体" w:cs="宋体"/>
                <w:spacing w:val="-17"/>
                <w:sz w:val="24"/>
                <w:szCs w:val="24"/>
                <w:lang w:val="en-US" w:eastAsia="zh-CN"/>
              </w:rPr>
              <w:t>管理及</w:t>
            </w:r>
          </w:p>
          <w:p w14:paraId="16CE7644">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kern w:val="0"/>
                <w:sz w:val="24"/>
                <w:szCs w:val="24"/>
                <w:lang w:eastAsia="zh-CN"/>
              </w:rPr>
            </w:pPr>
            <w:r>
              <w:rPr>
                <w:rFonts w:hint="eastAsia" w:ascii="宋体" w:hAnsi="宋体" w:eastAsia="宋体" w:cs="宋体"/>
                <w:spacing w:val="-17"/>
                <w:sz w:val="24"/>
                <w:szCs w:val="24"/>
              </w:rPr>
              <w:t>培训 制度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15分</w:t>
            </w:r>
            <w:r>
              <w:rPr>
                <w:rFonts w:hint="eastAsia" w:ascii="宋体" w:hAnsi="宋体" w:eastAsia="宋体" w:cs="宋体"/>
                <w:color w:val="auto"/>
                <w:sz w:val="24"/>
                <w:szCs w:val="24"/>
                <w:lang w:eastAsia="zh-CN"/>
              </w:rPr>
              <w:t>）</w:t>
            </w:r>
          </w:p>
        </w:tc>
        <w:tc>
          <w:tcPr>
            <w:tcW w:w="7358" w:type="dxa"/>
            <w:tcBorders>
              <w:top w:val="single" w:color="000000" w:sz="6" w:space="0"/>
              <w:left w:val="single" w:color="auto" w:sz="4" w:space="0"/>
              <w:right w:val="single" w:color="auto" w:sz="4" w:space="0"/>
            </w:tcBorders>
          </w:tcPr>
          <w:p w14:paraId="3D2CBF14">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80" w:firstLineChars="20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1. 项目机构设置、岗位责任制度、奖惩及考核制度</w:t>
            </w:r>
          </w:p>
          <w:p w14:paraId="78703187">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80" w:firstLineChars="20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1</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机构设置职责清晰、各制度设置合理、完善得4分</w:t>
            </w:r>
            <w:r>
              <w:rPr>
                <w:rFonts w:hint="eastAsia" w:ascii="宋体" w:hAnsi="宋体" w:cs="宋体"/>
                <w:b w:val="0"/>
                <w:bCs/>
                <w:color w:val="auto"/>
                <w:kern w:val="0"/>
                <w:sz w:val="24"/>
                <w:szCs w:val="24"/>
                <w:lang w:val="en-US" w:eastAsia="zh-CN"/>
              </w:rPr>
              <w:t>；</w:t>
            </w:r>
          </w:p>
          <w:p w14:paraId="48F23A1F">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80" w:firstLineChars="20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2</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职责表述不全面、制度设置有缺陷得2</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3分</w:t>
            </w:r>
            <w:r>
              <w:rPr>
                <w:rFonts w:hint="eastAsia" w:ascii="宋体" w:hAnsi="宋体" w:cs="宋体"/>
                <w:b w:val="0"/>
                <w:bCs/>
                <w:color w:val="auto"/>
                <w:kern w:val="0"/>
                <w:sz w:val="24"/>
                <w:szCs w:val="24"/>
                <w:lang w:val="en-US" w:eastAsia="zh-CN"/>
              </w:rPr>
              <w:t>；</w:t>
            </w:r>
          </w:p>
          <w:p w14:paraId="06A27B02">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80" w:firstLineChars="20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3</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制度不合理、实用度低得1分</w:t>
            </w:r>
            <w:r>
              <w:rPr>
                <w:rFonts w:hint="eastAsia" w:ascii="宋体" w:hAnsi="宋体" w:cs="宋体"/>
                <w:b w:val="0"/>
                <w:bCs/>
                <w:color w:val="auto"/>
                <w:kern w:val="0"/>
                <w:sz w:val="24"/>
                <w:szCs w:val="24"/>
                <w:lang w:val="en-US" w:eastAsia="zh-CN"/>
              </w:rPr>
              <w:t>；</w:t>
            </w:r>
          </w:p>
          <w:p w14:paraId="1D7BC157">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80" w:firstLineChars="20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4</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仅有标题或未提供，得0分。</w:t>
            </w:r>
          </w:p>
          <w:p w14:paraId="69F26427">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80" w:firstLineChars="20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2.根据医院保洁特点制定的工作制度</w:t>
            </w:r>
            <w:r>
              <w:rPr>
                <w:rFonts w:hint="eastAsia" w:ascii="宋体" w:hAnsi="宋体" w:cs="宋体"/>
                <w:b w:val="0"/>
                <w:bCs/>
                <w:color w:val="auto"/>
                <w:kern w:val="0"/>
                <w:sz w:val="24"/>
                <w:szCs w:val="24"/>
                <w:lang w:val="en-US" w:eastAsia="zh-CN"/>
              </w:rPr>
              <w:t>：</w:t>
            </w:r>
          </w:p>
          <w:p w14:paraId="4544367F">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80" w:firstLineChars="20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a.院内感染控制制度</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b.节假日换休的替换班制度</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c.管理人员现场巡查制度。每项得2分，满分6分。</w:t>
            </w:r>
          </w:p>
          <w:p w14:paraId="535A2F3A">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80" w:firstLineChars="20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3.培训制度</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员工岗前培训计划、培训的具体内容及方式、日常培训制度、定期感染相关专业培训、消防安全知识培训。</w:t>
            </w:r>
          </w:p>
          <w:p w14:paraId="54D45E5F">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80" w:firstLineChars="20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1</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培训内容清晰、各培训内容完善、培训计划合理 得 5 分</w:t>
            </w:r>
            <w:r>
              <w:rPr>
                <w:rFonts w:hint="eastAsia" w:ascii="宋体" w:hAnsi="宋体" w:cs="宋体"/>
                <w:b w:val="0"/>
                <w:bCs/>
                <w:color w:val="auto"/>
                <w:kern w:val="0"/>
                <w:sz w:val="24"/>
                <w:szCs w:val="24"/>
                <w:lang w:val="en-US" w:eastAsia="zh-CN"/>
              </w:rPr>
              <w:t>；</w:t>
            </w:r>
          </w:p>
          <w:p w14:paraId="4C7B04E9">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80" w:firstLineChars="20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2</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培训内容不全面、培训计划基本符合医院要求得 3-4 分</w:t>
            </w:r>
            <w:r>
              <w:rPr>
                <w:rFonts w:hint="eastAsia" w:ascii="宋体" w:hAnsi="宋体" w:cs="宋体"/>
                <w:b w:val="0"/>
                <w:bCs/>
                <w:color w:val="auto"/>
                <w:kern w:val="0"/>
                <w:sz w:val="24"/>
                <w:szCs w:val="24"/>
                <w:lang w:val="en-US" w:eastAsia="zh-CN"/>
              </w:rPr>
              <w:t>；</w:t>
            </w:r>
          </w:p>
          <w:p w14:paraId="3622D7D1">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80" w:firstLineChars="20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3</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培训内容不合理、实用度低得 1-2 分</w:t>
            </w:r>
            <w:r>
              <w:rPr>
                <w:rFonts w:hint="eastAsia" w:ascii="宋体" w:hAnsi="宋体" w:cs="宋体"/>
                <w:b w:val="0"/>
                <w:bCs/>
                <w:color w:val="auto"/>
                <w:kern w:val="0"/>
                <w:sz w:val="24"/>
                <w:szCs w:val="24"/>
                <w:lang w:val="en-US" w:eastAsia="zh-CN"/>
              </w:rPr>
              <w:t>；</w:t>
            </w:r>
          </w:p>
          <w:p w14:paraId="7BE02B6B">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80" w:firstLineChars="20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4</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仅有标题或未提供，得 0 分。</w:t>
            </w:r>
          </w:p>
        </w:tc>
      </w:tr>
      <w:tr w14:paraId="04024BA3">
        <w:tblPrEx>
          <w:tblCellMar>
            <w:top w:w="0" w:type="dxa"/>
            <w:left w:w="108" w:type="dxa"/>
            <w:bottom w:w="0" w:type="dxa"/>
            <w:right w:w="108" w:type="dxa"/>
          </w:tblCellMar>
        </w:tblPrEx>
        <w:trPr>
          <w:trHeight w:val="1070"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025CCAA2">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8</w:t>
            </w:r>
          </w:p>
        </w:tc>
        <w:tc>
          <w:tcPr>
            <w:tcW w:w="1432" w:type="dxa"/>
            <w:tcBorders>
              <w:top w:val="single" w:color="auto" w:sz="4" w:space="0"/>
              <w:left w:val="single" w:color="auto" w:sz="4" w:space="0"/>
              <w:bottom w:val="single" w:color="auto" w:sz="4" w:space="0"/>
              <w:right w:val="single" w:color="auto" w:sz="4" w:space="0"/>
            </w:tcBorders>
            <w:vAlign w:val="center"/>
          </w:tcPr>
          <w:p w14:paraId="7A382E3C">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业绩（6分）</w:t>
            </w:r>
          </w:p>
        </w:tc>
        <w:tc>
          <w:tcPr>
            <w:tcW w:w="7358" w:type="dxa"/>
            <w:tcBorders>
              <w:top w:val="single" w:color="000000" w:sz="6" w:space="0"/>
              <w:left w:val="single" w:color="auto" w:sz="4" w:space="0"/>
              <w:bottom w:val="single" w:color="000000" w:sz="6" w:space="0"/>
              <w:right w:val="single" w:color="auto" w:sz="4" w:space="0"/>
            </w:tcBorders>
            <w:vAlign w:val="center"/>
          </w:tcPr>
          <w:p w14:paraId="195A7A1B">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80" w:firstLineChars="200"/>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供应商提供自2021年11月1日起至今的类似项目业绩，每提供一份有效业绩得2分，满分6分。</w:t>
            </w:r>
            <w:r>
              <w:rPr>
                <w:rFonts w:hint="eastAsia" w:ascii="宋体" w:hAnsi="宋体" w:cs="宋体"/>
                <w:b w:val="0"/>
                <w:bCs/>
                <w:color w:val="auto"/>
                <w:kern w:val="0"/>
                <w:sz w:val="24"/>
                <w:szCs w:val="24"/>
                <w:lang w:val="en-US" w:eastAsia="zh-CN"/>
              </w:rPr>
              <w:t>（</w:t>
            </w:r>
            <w:r>
              <w:rPr>
                <w:rFonts w:hint="eastAsia" w:ascii="宋体" w:hAnsi="宋体" w:eastAsia="宋体" w:cs="宋体"/>
                <w:b w:val="0"/>
                <w:bCs/>
                <w:color w:val="auto"/>
                <w:kern w:val="0"/>
                <w:sz w:val="24"/>
                <w:szCs w:val="24"/>
                <w:lang w:val="en-US" w:eastAsia="zh-CN"/>
              </w:rPr>
              <w:t>须提供合同复印件并加盖供应商公章</w:t>
            </w:r>
            <w:r>
              <w:rPr>
                <w:rFonts w:hint="eastAsia" w:ascii="宋体" w:hAnsi="宋体" w:cs="宋体"/>
                <w:b w:val="0"/>
                <w:bCs/>
                <w:color w:val="auto"/>
                <w:kern w:val="0"/>
                <w:sz w:val="24"/>
                <w:szCs w:val="24"/>
                <w:lang w:val="en-US" w:eastAsia="zh-CN"/>
              </w:rPr>
              <w:t>）</w:t>
            </w:r>
          </w:p>
        </w:tc>
      </w:tr>
      <w:bookmarkEnd w:id="153"/>
    </w:tbl>
    <w:p w14:paraId="0C979CAC">
      <w:pPr>
        <w:keepNext w:val="0"/>
        <w:keepLines w:val="0"/>
        <w:pageBreakBefore w:val="0"/>
        <w:widowControl w:val="0"/>
        <w:kinsoku/>
        <w:wordWrap/>
        <w:overflowPunct/>
        <w:topLinePunct w:val="0"/>
        <w:autoSpaceDE/>
        <w:autoSpaceDN/>
        <w:bidi w:val="0"/>
        <w:adjustRightInd/>
        <w:snapToGrid/>
        <w:spacing w:line="336" w:lineRule="auto"/>
        <w:textAlignment w:val="auto"/>
        <w:rPr>
          <w:rFonts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备注</w:t>
      </w:r>
      <w:r>
        <w:rPr>
          <w:rFonts w:hint="eastAsia" w:cs="宋体" w:asciiTheme="minorEastAsia" w:hAnsiTheme="minorEastAsia" w:eastAsiaTheme="minorEastAsia"/>
          <w:bCs/>
          <w:sz w:val="24"/>
          <w:szCs w:val="24"/>
        </w:rPr>
        <w:t>：</w:t>
      </w:r>
    </w:p>
    <w:p w14:paraId="0B819F7A">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cs="宋体"/>
          <w:bCs/>
          <w:sz w:val="24"/>
          <w:szCs w:val="24"/>
          <w:lang w:val="en-US" w:eastAsia="zh-CN"/>
        </w:rPr>
        <w:t>.</w:t>
      </w:r>
      <w:r>
        <w:rPr>
          <w:rFonts w:hint="eastAsia" w:ascii="宋体" w:hAnsi="宋体" w:eastAsia="宋体" w:cs="宋体"/>
          <w:bCs/>
          <w:sz w:val="24"/>
          <w:szCs w:val="24"/>
        </w:rPr>
        <w:t>以上各项打分均由</w:t>
      </w:r>
      <w:r>
        <w:rPr>
          <w:rFonts w:hint="eastAsia" w:ascii="宋体" w:hAnsi="宋体" w:cs="宋体"/>
          <w:bCs/>
          <w:sz w:val="24"/>
          <w:szCs w:val="24"/>
          <w:lang w:val="en-US" w:eastAsia="zh-CN"/>
        </w:rPr>
        <w:t>磋商小组</w:t>
      </w:r>
      <w:r>
        <w:rPr>
          <w:rFonts w:hint="eastAsia" w:ascii="宋体" w:hAnsi="宋体" w:eastAsia="宋体" w:cs="宋体"/>
          <w:bCs/>
          <w:sz w:val="24"/>
          <w:szCs w:val="24"/>
        </w:rPr>
        <w:t>独立评分，评分相邻</w:t>
      </w:r>
      <w:r>
        <w:rPr>
          <w:rFonts w:hint="eastAsia" w:ascii="宋体" w:hAnsi="宋体" w:cs="宋体"/>
          <w:bCs/>
          <w:sz w:val="24"/>
          <w:szCs w:val="24"/>
          <w:lang w:eastAsia="zh-CN"/>
        </w:rPr>
        <w:t>两档之间的</w:t>
      </w:r>
      <w:r>
        <w:rPr>
          <w:rFonts w:hint="eastAsia" w:ascii="宋体" w:hAnsi="宋体" w:eastAsia="宋体" w:cs="宋体"/>
          <w:bCs/>
          <w:sz w:val="24"/>
          <w:szCs w:val="24"/>
        </w:rPr>
        <w:t>得分，归属于较低一档</w:t>
      </w:r>
      <w:r>
        <w:rPr>
          <w:rFonts w:hint="eastAsia" w:ascii="宋体" w:hAnsi="宋体" w:cs="宋体"/>
          <w:bCs/>
          <w:sz w:val="24"/>
          <w:szCs w:val="24"/>
          <w:lang w:eastAsia="zh-CN"/>
        </w:rPr>
        <w:t>，</w:t>
      </w:r>
      <w:r>
        <w:rPr>
          <w:rFonts w:hint="eastAsia" w:ascii="宋体" w:hAnsi="宋体" w:eastAsia="宋体" w:cs="宋体"/>
          <w:bCs/>
          <w:sz w:val="24"/>
          <w:szCs w:val="24"/>
        </w:rPr>
        <w:t>两档之间可取小数</w:t>
      </w:r>
      <w:bookmarkStart w:id="154" w:name="OLE_LINK15"/>
      <w:r>
        <w:rPr>
          <w:rFonts w:hint="eastAsia" w:ascii="宋体" w:hAnsi="宋体" w:eastAsia="宋体" w:cs="宋体"/>
          <w:bCs/>
          <w:sz w:val="24"/>
          <w:szCs w:val="24"/>
        </w:rPr>
        <w:t>点进行打分，按评审后综合得分由高到低推荐一至三名中标候选人。</w:t>
      </w:r>
    </w:p>
    <w:p w14:paraId="1753064D">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cs="宋体"/>
          <w:bCs/>
          <w:sz w:val="24"/>
          <w:szCs w:val="24"/>
          <w:lang w:val="en-US" w:eastAsia="zh-CN"/>
        </w:rPr>
        <w:t>.</w:t>
      </w:r>
      <w:r>
        <w:rPr>
          <w:rFonts w:hint="eastAsia" w:ascii="宋体" w:hAnsi="宋体" w:eastAsia="宋体" w:cs="宋体"/>
          <w:bCs/>
          <w:sz w:val="24"/>
          <w:szCs w:val="24"/>
        </w:rPr>
        <w:t>对于非专门面向中小企业的项目，对小型和微型企业产品的价格给予</w:t>
      </w:r>
      <w:r>
        <w:rPr>
          <w:rFonts w:hint="eastAsia" w:ascii="宋体" w:hAnsi="宋体" w:cs="宋体"/>
          <w:bCs/>
          <w:sz w:val="24"/>
          <w:szCs w:val="24"/>
          <w:lang w:val="en-US" w:eastAsia="zh-CN"/>
        </w:rPr>
        <w:t>10%</w:t>
      </w:r>
      <w:r>
        <w:rPr>
          <w:rFonts w:hint="eastAsia" w:ascii="宋体" w:hAnsi="宋体" w:eastAsia="宋体" w:cs="宋体"/>
          <w:bCs/>
          <w:sz w:val="24"/>
          <w:szCs w:val="24"/>
        </w:rPr>
        <w:t>的扣除，用扣除后的价格参与评审；</w:t>
      </w:r>
    </w:p>
    <w:bookmarkEnd w:id="154"/>
    <w:p w14:paraId="0B03665E">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cs="宋体"/>
          <w:bCs/>
          <w:sz w:val="24"/>
          <w:szCs w:val="24"/>
          <w:lang w:val="en-US" w:eastAsia="zh-CN"/>
        </w:rPr>
        <w:t>.</w:t>
      </w:r>
      <w:r>
        <w:rPr>
          <w:rFonts w:hint="eastAsia" w:ascii="宋体" w:hAnsi="宋体" w:eastAsia="宋体" w:cs="宋体"/>
          <w:bCs/>
          <w:sz w:val="24"/>
          <w:szCs w:val="24"/>
        </w:rPr>
        <w:t>对于非专门面向</w:t>
      </w:r>
      <w:r>
        <w:rPr>
          <w:rFonts w:hint="eastAsia" w:ascii="宋体" w:hAnsi="宋体"/>
          <w:sz w:val="24"/>
          <w:szCs w:val="24"/>
          <w:lang w:val="en-US" w:eastAsia="zh-CN"/>
        </w:rPr>
        <w:t>中小</w:t>
      </w:r>
      <w:r>
        <w:rPr>
          <w:rFonts w:hint="eastAsia" w:ascii="宋体" w:hAnsi="宋体" w:eastAsia="宋体" w:cs="宋体"/>
          <w:bCs/>
          <w:sz w:val="24"/>
          <w:szCs w:val="24"/>
        </w:rPr>
        <w:t>企业的项目、残疾人福利性单位的项目，对小型和微型企业，残疾人福利性单位产品的价格给予</w:t>
      </w:r>
      <w:r>
        <w:rPr>
          <w:rFonts w:hint="eastAsia" w:ascii="宋体" w:hAnsi="宋体" w:cs="宋体"/>
          <w:bCs/>
          <w:sz w:val="24"/>
          <w:szCs w:val="24"/>
          <w:lang w:val="en-US" w:eastAsia="zh-CN"/>
        </w:rPr>
        <w:t>10%</w:t>
      </w:r>
      <w:r>
        <w:rPr>
          <w:rFonts w:hint="eastAsia" w:ascii="宋体" w:hAnsi="宋体" w:eastAsia="宋体" w:cs="宋体"/>
          <w:bCs/>
          <w:sz w:val="24"/>
          <w:szCs w:val="24"/>
        </w:rPr>
        <w:t>的扣除，用扣除后的价格参与评审，残疾人福利性单位属于小型、微型企业的，不重复享受政策；</w:t>
      </w:r>
    </w:p>
    <w:p w14:paraId="6F84EB6A">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cs="宋体"/>
          <w:bCs/>
          <w:sz w:val="24"/>
          <w:szCs w:val="24"/>
          <w:lang w:val="en-US" w:eastAsia="zh-CN"/>
        </w:rPr>
        <w:t>.</w:t>
      </w:r>
      <w:r>
        <w:rPr>
          <w:rFonts w:hint="eastAsia" w:ascii="宋体" w:hAnsi="宋体" w:eastAsia="宋体" w:cs="宋体"/>
          <w:bCs/>
          <w:sz w:val="24"/>
          <w:szCs w:val="24"/>
        </w:rPr>
        <w:t>《关于政府采购支持监狱企业发展有关问题的通知》（财库</w:t>
      </w:r>
      <w:r>
        <w:rPr>
          <w:rFonts w:hint="eastAsia" w:ascii="宋体" w:hAnsi="宋体" w:cs="宋体"/>
          <w:bCs/>
          <w:sz w:val="24"/>
          <w:szCs w:val="24"/>
          <w:lang w:eastAsia="zh-CN"/>
        </w:rPr>
        <w:t>〔2014〕68号</w:t>
      </w:r>
      <w:r>
        <w:rPr>
          <w:rFonts w:hint="eastAsia" w:ascii="宋体" w:hAnsi="宋体" w:eastAsia="宋体" w:cs="宋体"/>
          <w:bCs/>
          <w:sz w:val="24"/>
          <w:szCs w:val="24"/>
        </w:rPr>
        <w:t>）的规定，对监狱企业给予</w:t>
      </w:r>
      <w:r>
        <w:rPr>
          <w:rFonts w:hint="eastAsia" w:ascii="宋体" w:hAnsi="宋体" w:cs="宋体"/>
          <w:bCs/>
          <w:sz w:val="24"/>
          <w:szCs w:val="24"/>
          <w:lang w:val="en-US" w:eastAsia="zh-CN"/>
        </w:rPr>
        <w:t>10</w:t>
      </w:r>
      <w:r>
        <w:rPr>
          <w:rFonts w:hint="eastAsia" w:ascii="宋体" w:hAnsi="宋体" w:eastAsia="宋体" w:cs="宋体"/>
          <w:bCs/>
          <w:sz w:val="24"/>
          <w:szCs w:val="24"/>
        </w:rPr>
        <w:t>%的价格扣除，用扣除后的价格参与评审。（提供由省级以上监狱管理局、戒毒管理局（含新疆生产建设兵团）出具的属于监狱企业的证明文件）</w:t>
      </w:r>
    </w:p>
    <w:p w14:paraId="761B7048">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cs="宋体"/>
          <w:bCs/>
          <w:sz w:val="24"/>
          <w:szCs w:val="24"/>
          <w:lang w:val="en-US" w:eastAsia="zh-CN"/>
        </w:rPr>
        <w:t>.磋商小组</w:t>
      </w:r>
      <w:r>
        <w:rPr>
          <w:rFonts w:hint="eastAsia" w:ascii="宋体" w:hAnsi="宋体" w:eastAsia="宋体" w:cs="宋体"/>
          <w:bCs/>
          <w:sz w:val="24"/>
          <w:szCs w:val="24"/>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14:paraId="799167C5">
      <w:pPr>
        <w:pStyle w:val="25"/>
        <w:spacing w:line="6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w:t>
      </w:r>
      <w:r>
        <w:rPr>
          <w:rFonts w:hint="eastAsia" w:hAnsi="宋体" w:cs="宋体"/>
          <w:bCs/>
          <w:sz w:val="24"/>
          <w:szCs w:val="24"/>
          <w:lang w:val="en-US" w:eastAsia="zh-CN"/>
        </w:rPr>
        <w:t>.</w:t>
      </w:r>
      <w:r>
        <w:rPr>
          <w:rFonts w:hint="eastAsia" w:ascii="宋体" w:hAnsi="宋体" w:eastAsia="宋体" w:cs="宋体"/>
          <w:bCs/>
          <w:sz w:val="24"/>
          <w:szCs w:val="24"/>
        </w:rPr>
        <w:t>若出现综合得分并列时，按投标报价由低到高顺序排列。得分且投标报价相同的并列。响应文件满足</w:t>
      </w:r>
      <w:r>
        <w:rPr>
          <w:rFonts w:hint="eastAsia" w:hAnsi="宋体" w:cs="宋体"/>
          <w:bCs/>
          <w:sz w:val="24"/>
          <w:szCs w:val="24"/>
          <w:lang w:val="en-US" w:eastAsia="zh-CN"/>
        </w:rPr>
        <w:t>磋商</w:t>
      </w:r>
      <w:r>
        <w:rPr>
          <w:rFonts w:hint="eastAsia" w:ascii="宋体" w:hAnsi="宋体" w:eastAsia="宋体" w:cs="宋体"/>
          <w:bCs/>
          <w:sz w:val="24"/>
          <w:szCs w:val="24"/>
        </w:rPr>
        <w:t>文件全部实质性要求，且按照评审因素的量化指标评审得分最高的投标人为排名第一的中标候选人。</w:t>
      </w:r>
    </w:p>
    <w:bookmarkEnd w:id="152"/>
    <w:p w14:paraId="30637CC6">
      <w:pPr>
        <w:pStyle w:val="4"/>
        <w:pageBreakBefore/>
        <w:numPr>
          <w:ilvl w:val="0"/>
          <w:numId w:val="9"/>
        </w:numPr>
        <w:ind w:left="0" w:leftChars="0" w:firstLine="0" w:firstLineChars="0"/>
        <w:rPr>
          <w:color w:val="auto"/>
          <w:highlight w:val="none"/>
        </w:rPr>
      </w:pPr>
      <w:bookmarkStart w:id="155" w:name="_Toc6835"/>
      <w:bookmarkStart w:id="156" w:name="_Toc15647"/>
      <w:r>
        <w:rPr>
          <w:rFonts w:ascii="宋体" w:hAnsi="宋体" w:cs="宋体"/>
          <w:color w:val="auto"/>
          <w:highlight w:val="none"/>
        </w:rPr>
        <w:t xml:space="preserve"> </w:t>
      </w:r>
      <w:bookmarkStart w:id="157" w:name="_Toc11999"/>
      <w:r>
        <w:rPr>
          <w:rFonts w:hint="eastAsia" w:ascii="宋体" w:hAnsi="宋体" w:cs="宋体"/>
          <w:color w:val="auto"/>
          <w:highlight w:val="none"/>
        </w:rPr>
        <w:t>采购内容及要求</w:t>
      </w:r>
      <w:bookmarkEnd w:id="157"/>
    </w:p>
    <w:p w14:paraId="532BC96B">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482" w:firstLineChars="200"/>
        <w:textAlignment w:val="auto"/>
        <w:rPr>
          <w:rFonts w:hint="eastAsia" w:ascii="宋体" w:hAnsi="宋体" w:eastAsia="宋体" w:cs="宋体"/>
          <w:b/>
          <w:bCs w:val="0"/>
          <w:kern w:val="2"/>
          <w:sz w:val="24"/>
          <w:szCs w:val="24"/>
          <w:lang w:val="en-US" w:eastAsia="zh-CN" w:bidi="ar-SA"/>
        </w:rPr>
      </w:pPr>
      <w:bookmarkStart w:id="158" w:name="OLE_LINK14"/>
      <w:bookmarkStart w:id="159" w:name="OLE_LINK10"/>
      <w:r>
        <w:rPr>
          <w:rFonts w:hint="eastAsia" w:ascii="宋体" w:hAnsi="宋体" w:eastAsia="宋体" w:cs="宋体"/>
          <w:b/>
          <w:bCs w:val="0"/>
          <w:kern w:val="2"/>
          <w:sz w:val="24"/>
          <w:szCs w:val="24"/>
          <w:lang w:val="en-US" w:eastAsia="zh-CN" w:bidi="ar-SA"/>
        </w:rPr>
        <w:t>一、项目概况</w:t>
      </w:r>
    </w:p>
    <w:bookmarkEnd w:id="158"/>
    <w:bookmarkEnd w:id="159"/>
    <w:p w14:paraId="3D09A9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为加强平利县中医医院辖区内的卫生保洁服务，促进精神文明建设，创造干净、整洁、文明、舒心、安全的工作及就医环境，特采购一项医院保洁服务。</w:t>
      </w:r>
    </w:p>
    <w:p w14:paraId="501D8B78">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482" w:firstLineChars="200"/>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二、配备人员要求及标准：</w:t>
      </w:r>
    </w:p>
    <w:p w14:paraId="72CC21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1.年龄要求：女性在 55 岁</w:t>
      </w:r>
      <w:r>
        <w:rPr>
          <w:rFonts w:hint="eastAsia" w:ascii="宋体" w:hAnsi="宋体" w:cs="宋体"/>
          <w:sz w:val="24"/>
          <w:szCs w:val="24"/>
          <w:lang w:val="en-US" w:eastAsia="zh-CN"/>
        </w:rPr>
        <w:t>及</w:t>
      </w:r>
      <w:r>
        <w:rPr>
          <w:rFonts w:hint="eastAsia" w:ascii="宋体" w:hAnsi="宋体" w:eastAsia="宋体" w:cs="宋体"/>
          <w:sz w:val="24"/>
          <w:szCs w:val="24"/>
          <w:lang w:val="en-US" w:eastAsia="zh-CN"/>
        </w:rPr>
        <w:t>以下，男性在 60 岁</w:t>
      </w:r>
      <w:r>
        <w:rPr>
          <w:rFonts w:hint="eastAsia" w:ascii="宋体" w:hAnsi="宋体" w:cs="宋体"/>
          <w:sz w:val="24"/>
          <w:szCs w:val="24"/>
          <w:lang w:val="en-US" w:eastAsia="zh-CN"/>
        </w:rPr>
        <w:t>及</w:t>
      </w:r>
      <w:r>
        <w:rPr>
          <w:rFonts w:hint="eastAsia" w:ascii="宋体" w:hAnsi="宋体" w:eastAsia="宋体" w:cs="宋体"/>
          <w:sz w:val="24"/>
          <w:szCs w:val="24"/>
          <w:lang w:val="en-US" w:eastAsia="zh-CN"/>
        </w:rPr>
        <w:t>以下。</w:t>
      </w:r>
    </w:p>
    <w:p w14:paraId="20E7E3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2.身体状况：身体健康，无重大疾病，无违法犯罪不良记录，能够适应轮班工作和长时间站立、走动等工作强度，能吃苦耐劳（需持有效期健康证</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t>
      </w:r>
    </w:p>
    <w:p w14:paraId="65BF59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3.文化程度：初中以上学历，以便能够更好地理解和执行工作中的各种指示、规定以及填写相关记录等。</w:t>
      </w:r>
    </w:p>
    <w:p w14:paraId="62DCDC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4.工作态度与职业素养</w:t>
      </w:r>
    </w:p>
    <w:p w14:paraId="796A4F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责任心：对工作高度负责，认真履行岗位职责，严格按照规定的标准和流程完成清洁工作，确保医院环境的整洁和卫生，不放过任何一个卫生死角。</w:t>
      </w:r>
    </w:p>
    <w:p w14:paraId="733160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敬业精神：热爱本职工作，能够吃苦耐劳，不怕脏累，在工作中保持积极主动的态度，按时完成各项清洁任务，不敷衍、不推诿。</w:t>
      </w:r>
    </w:p>
    <w:p w14:paraId="71008B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服务意识：树立良好的服务意识，尊重患者和医护人员，在工作中尽量不影响患者的休息和治疗，为患者和医护人员提供一个舒适、整洁的环境，对患者的合理需求能够及时响应和协助。</w:t>
      </w:r>
    </w:p>
    <w:p w14:paraId="42C346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团队合作：具有良好的团队合作精神，能够与同事相互配合、相互支持，共同完成医院的清洁工作任务，在工作中遇到问题时能够及时沟通、协调解决。</w:t>
      </w:r>
    </w:p>
    <w:p w14:paraId="22A4FC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遵守纪律：严格遵守医院的各项规章制度，包括工作时间、考勤制度、请假制度等，服从上级领导的工作安排，不得擅自离岗、串岗或无故旷工。</w:t>
      </w:r>
    </w:p>
    <w:p w14:paraId="1E5CFF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5.特殊要求</w:t>
      </w:r>
    </w:p>
    <w:p w14:paraId="56DAC5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感染控制意识：由于医院是一个特殊的公共场所，保洁人员需要具备较强的感染控制意识，严格遵守医院的感染控制制度和操作规范，如正确处理医疗垃圾、防止交叉感染等，以保障患者和医护人员的健康安全。</w:t>
      </w:r>
    </w:p>
    <w:p w14:paraId="169280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保护患者隐私：在工作过程中，保洁人员要注意保护患者的隐私，不得随意泄露患者的个人信息和病情，不得在未经允许的情况下进入患者的病房或诊室等私人空间。</w:t>
      </w:r>
    </w:p>
    <w:p w14:paraId="0EAA3C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应急处理能力：具备一定的应急处理能力，在遇到突发情况时，如火灾、地震、患者突发疾病等，能够保持冷静，按照医院的应急预案采取相应的措施，协助医院进行应急处理。</w:t>
      </w:r>
    </w:p>
    <w:p w14:paraId="4C9BE6E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val="0"/>
          <w:kern w:val="2"/>
          <w:sz w:val="24"/>
          <w:szCs w:val="24"/>
          <w:lang w:val="en-US" w:eastAsia="zh-CN" w:bidi="ar-SA"/>
        </w:rPr>
      </w:pPr>
      <w:r>
        <w:rPr>
          <w:rFonts w:hint="eastAsia" w:ascii="宋体" w:hAnsi="宋体" w:cs="宋体"/>
          <w:b/>
          <w:bCs w:val="0"/>
          <w:kern w:val="2"/>
          <w:sz w:val="24"/>
          <w:szCs w:val="24"/>
          <w:lang w:val="en-US" w:eastAsia="zh-CN" w:bidi="ar-SA"/>
        </w:rPr>
        <w:t>三</w:t>
      </w:r>
      <w:r>
        <w:rPr>
          <w:rFonts w:hint="eastAsia" w:ascii="宋体" w:hAnsi="宋体" w:eastAsia="宋体" w:cs="宋体"/>
          <w:b/>
          <w:bCs w:val="0"/>
          <w:kern w:val="2"/>
          <w:sz w:val="24"/>
          <w:szCs w:val="24"/>
          <w:lang w:val="en-US" w:eastAsia="zh-CN" w:bidi="ar-SA"/>
        </w:rPr>
        <w:t>、保洁服务方案</w:t>
      </w:r>
      <w:r>
        <w:rPr>
          <w:rFonts w:hint="eastAsia" w:ascii="宋体" w:hAnsi="宋体" w:eastAsia="宋体" w:cs="宋体"/>
          <w:b/>
          <w:bCs w:val="0"/>
          <w:kern w:val="2"/>
          <w:sz w:val="24"/>
          <w:szCs w:val="24"/>
          <w:lang w:val="en-US" w:eastAsia="zh-CN" w:bidi="ar-SA"/>
        </w:rPr>
        <w:tab/>
      </w:r>
    </w:p>
    <w:p w14:paraId="54AB70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i w:val="0"/>
          <w:iCs w:val="0"/>
          <w:color w:val="auto"/>
          <w:sz w:val="30"/>
          <w:szCs w:val="30"/>
          <w:highlight w:val="none"/>
          <w:u w:val="none"/>
          <w:lang w:val="en-US" w:eastAsia="zh-CN"/>
        </w:rPr>
      </w:pPr>
      <w:r>
        <w:rPr>
          <w:rFonts w:hint="eastAsia" w:ascii="宋体" w:hAnsi="宋体" w:eastAsia="宋体" w:cs="宋体"/>
          <w:sz w:val="24"/>
          <w:szCs w:val="24"/>
          <w:lang w:val="en-US" w:eastAsia="zh-CN"/>
        </w:rPr>
        <w:t>（1）按服务面积、工作量、专科等设置保洁岗33人，结合陕西省最低生活标准和公司承担的员工保险等核算年服务费。</w:t>
      </w:r>
    </w:p>
    <w:p w14:paraId="64D3F13C">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rPr>
          <w:rFonts w:hint="eastAsia" w:ascii="仿宋" w:hAnsi="仿宋" w:eastAsia="仿宋" w:cs="仿宋"/>
          <w:b/>
          <w:bCs/>
          <w:i w:val="0"/>
          <w:iCs w:val="0"/>
          <w:color w:val="auto"/>
          <w:sz w:val="30"/>
          <w:szCs w:val="30"/>
          <w:highlight w:val="none"/>
          <w:u w:val="none"/>
          <w:lang w:val="en-US" w:eastAsia="zh-CN"/>
        </w:rPr>
      </w:pPr>
      <w:r>
        <w:rPr>
          <w:rFonts w:hint="eastAsia" w:ascii="仿宋" w:hAnsi="仿宋" w:eastAsia="仿宋" w:cs="仿宋"/>
          <w:b/>
          <w:bCs/>
          <w:i w:val="0"/>
          <w:iCs w:val="0"/>
          <w:color w:val="auto"/>
          <w:sz w:val="30"/>
          <w:szCs w:val="30"/>
          <w:highlight w:val="none"/>
          <w:u w:val="none"/>
          <w:lang w:val="en-US" w:eastAsia="zh-CN"/>
        </w:rPr>
        <w:t>附表1：平利县中医医院2024年保洁岗位设置和服务内容</w:t>
      </w:r>
    </w:p>
    <w:tbl>
      <w:tblPr>
        <w:tblStyle w:val="46"/>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004"/>
        <w:gridCol w:w="1350"/>
        <w:gridCol w:w="731"/>
        <w:gridCol w:w="5437"/>
      </w:tblGrid>
      <w:tr w14:paraId="2196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2D0993F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4939F5F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岗位</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8F9910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保洁区域</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22575AF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人数</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3F618B8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服务内容</w:t>
            </w:r>
          </w:p>
        </w:tc>
      </w:tr>
      <w:tr w14:paraId="3D5C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754D48B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51DC258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保洁</w:t>
            </w:r>
          </w:p>
          <w:p w14:paraId="14A6BEB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主管</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198A48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全院</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735995F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0CA8A37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全面负责医院保洁服务管理，及时协调解决工作中存在的问题。</w:t>
            </w:r>
          </w:p>
        </w:tc>
      </w:tr>
      <w:tr w14:paraId="011F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38614AD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004" w:type="dxa"/>
            <w:vMerge w:val="restart"/>
            <w:tcBorders>
              <w:top w:val="single" w:color="auto" w:sz="4" w:space="0"/>
              <w:left w:val="single" w:color="auto" w:sz="4" w:space="0"/>
              <w:right w:val="single" w:color="auto" w:sz="4" w:space="0"/>
            </w:tcBorders>
            <w:noWrap w:val="0"/>
            <w:vAlign w:val="center"/>
          </w:tcPr>
          <w:p w14:paraId="502CCA4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p w14:paraId="459A1C4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p w14:paraId="56BE752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p w14:paraId="51E5016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p w14:paraId="2E3585B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p w14:paraId="1793482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p w14:paraId="1910019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p w14:paraId="3F2EBD5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p w14:paraId="1EA7244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科室保洁</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6A358C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住院部</w:t>
            </w:r>
          </w:p>
          <w:p w14:paraId="0DB8147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1F</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0C7973F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373C970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办公区域外地面、门窗、卫生间、墙面、阶梯、电梯等的清洁和消毒。</w:t>
            </w:r>
          </w:p>
        </w:tc>
      </w:tr>
      <w:tr w14:paraId="0655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3BA4F6F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004" w:type="dxa"/>
            <w:vMerge w:val="continue"/>
            <w:tcBorders>
              <w:left w:val="single" w:color="auto" w:sz="4" w:space="0"/>
              <w:right w:val="single" w:color="auto" w:sz="4" w:space="0"/>
            </w:tcBorders>
            <w:noWrap w:val="0"/>
            <w:vAlign w:val="center"/>
          </w:tcPr>
          <w:p w14:paraId="2A84439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3CAF51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住院部</w:t>
            </w:r>
          </w:p>
          <w:p w14:paraId="1B93881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2F</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39AFA0D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41432E3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办公区域外地面、卫生间、墙面、阶梯、门、烧水区等的清洁和消毒及被服管理等。</w:t>
            </w:r>
          </w:p>
        </w:tc>
      </w:tr>
      <w:tr w14:paraId="6954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62100DB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004" w:type="dxa"/>
            <w:vMerge w:val="continue"/>
            <w:tcBorders>
              <w:left w:val="single" w:color="auto" w:sz="4" w:space="0"/>
              <w:right w:val="single" w:color="auto" w:sz="4" w:space="0"/>
            </w:tcBorders>
            <w:noWrap w:val="0"/>
            <w:vAlign w:val="center"/>
          </w:tcPr>
          <w:p w14:paraId="3D1BBBD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C55E01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住院部</w:t>
            </w:r>
          </w:p>
          <w:p w14:paraId="5E711BD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3F</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1571EDD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6CBDBA2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办公区域外地面、卫生间、墙面、阶梯、门等清洁和消毒及被服管理等。</w:t>
            </w:r>
          </w:p>
        </w:tc>
      </w:tr>
      <w:tr w14:paraId="043A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04CF7E7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004" w:type="dxa"/>
            <w:vMerge w:val="continue"/>
            <w:tcBorders>
              <w:left w:val="single" w:color="auto" w:sz="4" w:space="0"/>
              <w:right w:val="single" w:color="auto" w:sz="4" w:space="0"/>
            </w:tcBorders>
            <w:noWrap w:val="0"/>
            <w:vAlign w:val="center"/>
          </w:tcPr>
          <w:p w14:paraId="7594E51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B93C68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住院部</w:t>
            </w:r>
          </w:p>
          <w:p w14:paraId="23F8F1D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4F</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34D3B18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67F699B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办公区域外地面、卫生间、墙面、阶梯、门、烧水区的清洁和消毒及被服管理等。</w:t>
            </w:r>
          </w:p>
        </w:tc>
      </w:tr>
      <w:tr w14:paraId="68AE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1FF3B30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004" w:type="dxa"/>
            <w:vMerge w:val="continue"/>
            <w:tcBorders>
              <w:left w:val="single" w:color="auto" w:sz="4" w:space="0"/>
              <w:right w:val="single" w:color="auto" w:sz="4" w:space="0"/>
            </w:tcBorders>
            <w:noWrap w:val="0"/>
            <w:vAlign w:val="center"/>
          </w:tcPr>
          <w:p w14:paraId="20B4354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FBCA70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住院部</w:t>
            </w:r>
          </w:p>
          <w:p w14:paraId="7807C9B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5F</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4164A34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6FFD348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办公区域外地面、卫生间、墙面、阶梯、门的清洁和消毒及被服管理等。</w:t>
            </w:r>
          </w:p>
        </w:tc>
      </w:tr>
      <w:tr w14:paraId="606B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41C8572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004" w:type="dxa"/>
            <w:vMerge w:val="continue"/>
            <w:tcBorders>
              <w:left w:val="single" w:color="auto" w:sz="4" w:space="0"/>
              <w:right w:val="single" w:color="auto" w:sz="4" w:space="0"/>
            </w:tcBorders>
            <w:noWrap w:val="0"/>
            <w:vAlign w:val="center"/>
          </w:tcPr>
          <w:p w14:paraId="7B20DCF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7BF664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住院部</w:t>
            </w:r>
          </w:p>
          <w:p w14:paraId="63FFB0D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6F</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1660EB5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43EA4B1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办公区域外地面、卫生间、墙面、阶梯、门、烧水区的清洁和消毒及被服管理等。</w:t>
            </w:r>
          </w:p>
        </w:tc>
      </w:tr>
      <w:tr w14:paraId="7CF6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62E0F95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004" w:type="dxa"/>
            <w:vMerge w:val="continue"/>
            <w:tcBorders>
              <w:left w:val="single" w:color="auto" w:sz="4" w:space="0"/>
              <w:right w:val="single" w:color="auto" w:sz="4" w:space="0"/>
            </w:tcBorders>
            <w:noWrap w:val="0"/>
            <w:vAlign w:val="center"/>
          </w:tcPr>
          <w:p w14:paraId="3CD2D5C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97120E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住院部</w:t>
            </w:r>
          </w:p>
          <w:p w14:paraId="5A3CD01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7F</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118B563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06A1367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办公区域外地面、卫生间、墙面、阶梯、门的清洁和消毒及被服管理等。</w:t>
            </w:r>
          </w:p>
        </w:tc>
      </w:tr>
      <w:tr w14:paraId="5825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3734A9F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1004" w:type="dxa"/>
            <w:vMerge w:val="continue"/>
            <w:tcBorders>
              <w:left w:val="single" w:color="auto" w:sz="4" w:space="0"/>
              <w:right w:val="single" w:color="auto" w:sz="4" w:space="0"/>
            </w:tcBorders>
            <w:noWrap w:val="0"/>
            <w:vAlign w:val="center"/>
          </w:tcPr>
          <w:p w14:paraId="1CE9807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3CE928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住院部</w:t>
            </w:r>
          </w:p>
          <w:p w14:paraId="686FFA6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8F</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0D14506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33D7EA9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办公区域外地面、卫生间、墙面、阶梯、门、烧水区的清洁和消毒及被服管理等。</w:t>
            </w:r>
          </w:p>
        </w:tc>
      </w:tr>
      <w:tr w14:paraId="5D3B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62E09FE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004" w:type="dxa"/>
            <w:vMerge w:val="continue"/>
            <w:tcBorders>
              <w:left w:val="single" w:color="auto" w:sz="4" w:space="0"/>
              <w:bottom w:val="single" w:color="auto" w:sz="4" w:space="0"/>
              <w:right w:val="single" w:color="auto" w:sz="4" w:space="0"/>
            </w:tcBorders>
            <w:noWrap w:val="0"/>
            <w:vAlign w:val="center"/>
          </w:tcPr>
          <w:p w14:paraId="67075DF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97CE2C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住院部</w:t>
            </w:r>
          </w:p>
          <w:p w14:paraId="655ED1B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9F</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3F9A0C4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1DD0091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 xml:space="preserve">手术室值班室、办公室外的地面、墙面、卫生间、门、西侧阶梯的清洁和消毒等。 </w:t>
            </w:r>
          </w:p>
        </w:tc>
      </w:tr>
      <w:tr w14:paraId="4165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2FDFBB1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004" w:type="dxa"/>
            <w:vMerge w:val="restart"/>
            <w:tcBorders>
              <w:top w:val="single" w:color="auto" w:sz="4" w:space="0"/>
              <w:left w:val="single" w:color="auto" w:sz="4" w:space="0"/>
              <w:right w:val="single" w:color="auto" w:sz="4" w:space="0"/>
            </w:tcBorders>
            <w:noWrap w:val="0"/>
            <w:vAlign w:val="center"/>
          </w:tcPr>
          <w:p w14:paraId="2EB84E4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p w14:paraId="22D4341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p w14:paraId="39368B4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p w14:paraId="7ED495D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p w14:paraId="7EEFA53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p w14:paraId="0769FF9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p w14:paraId="0CEF54D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p w14:paraId="34EF430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p w14:paraId="1344CAC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p w14:paraId="42C0786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科室保洁</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7D614E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住院部</w:t>
            </w:r>
          </w:p>
          <w:p w14:paraId="406BABB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9F</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6FB7EF4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6D99F3C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供应室办公区外的地面、墙面、阶梯、门、卫生间的清洁和消毒；洗涤洗手衣、敷纱；东侧阶梯和住院部楼顶地面清洁等。</w:t>
            </w:r>
          </w:p>
        </w:tc>
      </w:tr>
      <w:tr w14:paraId="3104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039F588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1004" w:type="dxa"/>
            <w:vMerge w:val="continue"/>
            <w:tcBorders>
              <w:left w:val="single" w:color="auto" w:sz="4" w:space="0"/>
              <w:right w:val="single" w:color="auto" w:sz="4" w:space="0"/>
            </w:tcBorders>
            <w:noWrap w:val="0"/>
            <w:vAlign w:val="center"/>
          </w:tcPr>
          <w:p w14:paraId="37C6CE7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DC0F93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连接楼</w:t>
            </w:r>
          </w:p>
          <w:p w14:paraId="2B11479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1.2层</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7E39460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35A4963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办公区域外地面、门窗、墙面、阶梯、电梯等的清洁和消毒。</w:t>
            </w:r>
          </w:p>
        </w:tc>
      </w:tr>
      <w:tr w14:paraId="56B2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5ADC5CF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1004" w:type="dxa"/>
            <w:vMerge w:val="continue"/>
            <w:tcBorders>
              <w:left w:val="single" w:color="auto" w:sz="4" w:space="0"/>
              <w:right w:val="single" w:color="auto" w:sz="4" w:space="0"/>
            </w:tcBorders>
            <w:noWrap w:val="0"/>
            <w:vAlign w:val="center"/>
          </w:tcPr>
          <w:p w14:paraId="2811F2E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672A77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连接楼</w:t>
            </w:r>
          </w:p>
          <w:p w14:paraId="308BDC9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3.4层</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3AE6A52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1121698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办公区域外地面、门窗、卫生间、墙面、阶梯等的清洁和消毒。</w:t>
            </w:r>
          </w:p>
        </w:tc>
      </w:tr>
      <w:tr w14:paraId="44C2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6938881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1004" w:type="dxa"/>
            <w:vMerge w:val="continue"/>
            <w:tcBorders>
              <w:left w:val="single" w:color="auto" w:sz="4" w:space="0"/>
              <w:right w:val="single" w:color="auto" w:sz="4" w:space="0"/>
            </w:tcBorders>
            <w:noWrap w:val="0"/>
            <w:vAlign w:val="center"/>
          </w:tcPr>
          <w:p w14:paraId="5921B00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F8FE30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连接楼</w:t>
            </w:r>
          </w:p>
          <w:p w14:paraId="3A481D7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5.6层</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7D67FAF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54B008A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办公区域外地面、门窗、卫生间、墙面、阶梯等的清洁和消毒。</w:t>
            </w:r>
          </w:p>
        </w:tc>
      </w:tr>
      <w:tr w14:paraId="1407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5205DF4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1004" w:type="dxa"/>
            <w:vMerge w:val="continue"/>
            <w:tcBorders>
              <w:left w:val="single" w:color="auto" w:sz="4" w:space="0"/>
              <w:right w:val="single" w:color="auto" w:sz="4" w:space="0"/>
            </w:tcBorders>
            <w:noWrap w:val="0"/>
            <w:vAlign w:val="center"/>
          </w:tcPr>
          <w:p w14:paraId="28D6BE0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3B69DD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连接楼</w:t>
            </w:r>
          </w:p>
          <w:p w14:paraId="3693BF0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7.8层</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29E533A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2D1E5CF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办公区域外地面、门窗、卫生间、墙面、阶梯、楼顶地面等的清洁和消毒。</w:t>
            </w:r>
          </w:p>
        </w:tc>
      </w:tr>
      <w:tr w14:paraId="3B06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57DBEC0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16</w:t>
            </w:r>
          </w:p>
        </w:tc>
        <w:tc>
          <w:tcPr>
            <w:tcW w:w="1004" w:type="dxa"/>
            <w:vMerge w:val="continue"/>
            <w:tcBorders>
              <w:left w:val="single" w:color="auto" w:sz="4" w:space="0"/>
              <w:right w:val="single" w:color="auto" w:sz="4" w:space="0"/>
            </w:tcBorders>
            <w:noWrap w:val="0"/>
            <w:vAlign w:val="center"/>
          </w:tcPr>
          <w:p w14:paraId="65D7788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D0E28C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门诊楼</w:t>
            </w:r>
          </w:p>
          <w:p w14:paraId="370FB54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1F</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4882A1C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41F91A4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ICU办公区、值班室外的地面、墙面、门窗、卫生间、阶梯的清洁和消毒及被服管理等。</w:t>
            </w:r>
          </w:p>
        </w:tc>
      </w:tr>
      <w:tr w14:paraId="61CA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5AA0BFB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17</w:t>
            </w:r>
          </w:p>
        </w:tc>
        <w:tc>
          <w:tcPr>
            <w:tcW w:w="1004" w:type="dxa"/>
            <w:vMerge w:val="continue"/>
            <w:tcBorders>
              <w:left w:val="single" w:color="auto" w:sz="4" w:space="0"/>
              <w:right w:val="single" w:color="auto" w:sz="4" w:space="0"/>
            </w:tcBorders>
            <w:noWrap w:val="0"/>
            <w:vAlign w:val="center"/>
          </w:tcPr>
          <w:p w14:paraId="567ECDB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53433D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门诊楼</w:t>
            </w:r>
          </w:p>
          <w:p w14:paraId="788BDE3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1F</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1F572B3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50AE602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办公区外的地面、墙面、阶梯、门窗、电梯、卫生间的清洁和消毒。</w:t>
            </w:r>
          </w:p>
        </w:tc>
      </w:tr>
      <w:tr w14:paraId="3D265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01B0DAE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c>
          <w:tcPr>
            <w:tcW w:w="1004" w:type="dxa"/>
            <w:vMerge w:val="continue"/>
            <w:tcBorders>
              <w:left w:val="single" w:color="auto" w:sz="4" w:space="0"/>
              <w:right w:val="single" w:color="auto" w:sz="4" w:space="0"/>
            </w:tcBorders>
            <w:noWrap w:val="0"/>
            <w:vAlign w:val="center"/>
          </w:tcPr>
          <w:p w14:paraId="451B47B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FF53D0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门诊楼</w:t>
            </w:r>
          </w:p>
          <w:p w14:paraId="590CBA3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2F</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07B1DC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0C44D9A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办公区外的地面、墙面、阶梯、门、卫生间的清洁和消毒。</w:t>
            </w:r>
          </w:p>
        </w:tc>
      </w:tr>
      <w:tr w14:paraId="6AD7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7CBAAA9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19</w:t>
            </w:r>
          </w:p>
        </w:tc>
        <w:tc>
          <w:tcPr>
            <w:tcW w:w="1004" w:type="dxa"/>
            <w:vMerge w:val="continue"/>
            <w:tcBorders>
              <w:left w:val="single" w:color="auto" w:sz="4" w:space="0"/>
              <w:right w:val="single" w:color="auto" w:sz="4" w:space="0"/>
            </w:tcBorders>
            <w:noWrap w:val="0"/>
            <w:vAlign w:val="center"/>
          </w:tcPr>
          <w:p w14:paraId="0DBCCBC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DFF9BD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门诊楼</w:t>
            </w:r>
          </w:p>
          <w:p w14:paraId="3B5A5DF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3F</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6D09611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01BF872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办公区外的地面、墙面、阶梯、门、卫生间的清洁和消毒。</w:t>
            </w:r>
          </w:p>
        </w:tc>
      </w:tr>
      <w:tr w14:paraId="5CFC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3E77D81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1004" w:type="dxa"/>
            <w:vMerge w:val="continue"/>
            <w:tcBorders>
              <w:left w:val="single" w:color="auto" w:sz="4" w:space="0"/>
              <w:right w:val="single" w:color="auto" w:sz="4" w:space="0"/>
            </w:tcBorders>
            <w:noWrap w:val="0"/>
            <w:vAlign w:val="center"/>
          </w:tcPr>
          <w:p w14:paraId="7A6CC58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E32D5C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门诊楼</w:t>
            </w:r>
          </w:p>
          <w:p w14:paraId="1981568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4F</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6498ED9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29FDE0E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针灸科病区的地面、墙面、阶梯、门、卫生间的清洁和消毒及被服管理等。</w:t>
            </w:r>
          </w:p>
        </w:tc>
      </w:tr>
      <w:tr w14:paraId="6301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2A28DEB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w:t>
            </w:r>
          </w:p>
        </w:tc>
        <w:tc>
          <w:tcPr>
            <w:tcW w:w="1004" w:type="dxa"/>
            <w:vMerge w:val="continue"/>
            <w:tcBorders>
              <w:left w:val="single" w:color="auto" w:sz="4" w:space="0"/>
              <w:bottom w:val="single" w:color="auto" w:sz="4" w:space="0"/>
              <w:right w:val="single" w:color="auto" w:sz="4" w:space="0"/>
            </w:tcBorders>
            <w:noWrap w:val="0"/>
            <w:vAlign w:val="center"/>
          </w:tcPr>
          <w:p w14:paraId="78CE385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01422D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门诊楼</w:t>
            </w:r>
          </w:p>
          <w:p w14:paraId="7EFF95C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5F</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06BCEE2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1EAC8D8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西侧血透室办公区外的地面、墙面、阶梯、门、卫生间的清洁和消毒等。</w:t>
            </w:r>
          </w:p>
        </w:tc>
      </w:tr>
      <w:tr w14:paraId="5B71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64EE185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22</w:t>
            </w:r>
          </w:p>
        </w:tc>
        <w:tc>
          <w:tcPr>
            <w:tcW w:w="1004" w:type="dxa"/>
            <w:vMerge w:val="restart"/>
            <w:tcBorders>
              <w:top w:val="single" w:color="auto" w:sz="4" w:space="0"/>
              <w:left w:val="single" w:color="auto" w:sz="4" w:space="0"/>
              <w:right w:val="single" w:color="auto" w:sz="4" w:space="0"/>
            </w:tcBorders>
            <w:noWrap w:val="0"/>
            <w:vAlign w:val="center"/>
          </w:tcPr>
          <w:p w14:paraId="0DC933D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p w14:paraId="64E0B9E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p w14:paraId="2EAF468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p w14:paraId="51E30C2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p w14:paraId="3D06BB0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p w14:paraId="5C2D74D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p w14:paraId="194AC63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p w14:paraId="7EC4F0B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p w14:paraId="23A647F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科室保洁</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89B7D7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门诊楼5F</w:t>
            </w:r>
          </w:p>
          <w:p w14:paraId="62259F7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门诊楼6F</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3E07DFB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3365A41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东侧办公区外的地面、墙面、阶梯、门的清洁和消毒；6楼办公区外整层卫生。</w:t>
            </w:r>
          </w:p>
        </w:tc>
      </w:tr>
      <w:tr w14:paraId="769B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7C8D6A7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23</w:t>
            </w:r>
          </w:p>
        </w:tc>
        <w:tc>
          <w:tcPr>
            <w:tcW w:w="1004" w:type="dxa"/>
            <w:vMerge w:val="continue"/>
            <w:tcBorders>
              <w:left w:val="single" w:color="auto" w:sz="4" w:space="0"/>
              <w:right w:val="single" w:color="auto" w:sz="4" w:space="0"/>
            </w:tcBorders>
            <w:noWrap w:val="0"/>
            <w:vAlign w:val="center"/>
          </w:tcPr>
          <w:p w14:paraId="4D68343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C15FBE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行政楼</w:t>
            </w:r>
          </w:p>
          <w:p w14:paraId="6D53103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1F</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3CF9CC1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64DBD6F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办公区外的地面、卫生间、墙面、阶梯、门、电梯的清洁和消毒等（含发热门诊）。</w:t>
            </w:r>
          </w:p>
        </w:tc>
      </w:tr>
      <w:tr w14:paraId="3149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134FA5C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24</w:t>
            </w:r>
          </w:p>
        </w:tc>
        <w:tc>
          <w:tcPr>
            <w:tcW w:w="1004" w:type="dxa"/>
            <w:vMerge w:val="continue"/>
            <w:tcBorders>
              <w:left w:val="single" w:color="auto" w:sz="4" w:space="0"/>
              <w:right w:val="single" w:color="auto" w:sz="4" w:space="0"/>
            </w:tcBorders>
            <w:noWrap w:val="0"/>
            <w:vAlign w:val="center"/>
          </w:tcPr>
          <w:p w14:paraId="78ABE95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BAB173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行政楼</w:t>
            </w:r>
          </w:p>
          <w:p w14:paraId="5D69D5C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2F</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1C41D23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6F2C6B7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办公区外的地面、卫生间、墙面、阶梯、门的清洁和消毒等（含微生物实验室办公区域外卫生）。</w:t>
            </w:r>
          </w:p>
        </w:tc>
      </w:tr>
      <w:tr w14:paraId="61BD4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1E531E5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25</w:t>
            </w:r>
          </w:p>
        </w:tc>
        <w:tc>
          <w:tcPr>
            <w:tcW w:w="1004" w:type="dxa"/>
            <w:vMerge w:val="continue"/>
            <w:tcBorders>
              <w:left w:val="single" w:color="auto" w:sz="4" w:space="0"/>
              <w:right w:val="single" w:color="auto" w:sz="4" w:space="0"/>
            </w:tcBorders>
            <w:noWrap w:val="0"/>
            <w:vAlign w:val="center"/>
          </w:tcPr>
          <w:p w14:paraId="368B044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6A078E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行政楼</w:t>
            </w:r>
          </w:p>
          <w:p w14:paraId="7AB4F2F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3F</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6D39C14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4B7A5C8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办公区外的地面、卫生间、墙面、阶梯、门的清洁和消毒等（含内镜室办公区域外卫生）。</w:t>
            </w:r>
          </w:p>
        </w:tc>
      </w:tr>
      <w:tr w14:paraId="4D8F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20EDE84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26</w:t>
            </w:r>
          </w:p>
        </w:tc>
        <w:tc>
          <w:tcPr>
            <w:tcW w:w="1004" w:type="dxa"/>
            <w:vMerge w:val="continue"/>
            <w:tcBorders>
              <w:left w:val="single" w:color="auto" w:sz="4" w:space="0"/>
              <w:right w:val="single" w:color="auto" w:sz="4" w:space="0"/>
            </w:tcBorders>
            <w:noWrap w:val="0"/>
            <w:vAlign w:val="center"/>
          </w:tcPr>
          <w:p w14:paraId="2CC4C37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8D6F57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行政楼</w:t>
            </w:r>
          </w:p>
          <w:p w14:paraId="639ED22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4F</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62C76FD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73C2742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办公区外的地面、卫生间、墙面、阶梯、门的清洁和消毒（含病理科办公区域外卫生）。</w:t>
            </w:r>
          </w:p>
        </w:tc>
      </w:tr>
      <w:tr w14:paraId="0FA8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45C957F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27</w:t>
            </w:r>
          </w:p>
        </w:tc>
        <w:tc>
          <w:tcPr>
            <w:tcW w:w="1004" w:type="dxa"/>
            <w:vMerge w:val="continue"/>
            <w:tcBorders>
              <w:left w:val="single" w:color="auto" w:sz="4" w:space="0"/>
              <w:right w:val="single" w:color="auto" w:sz="4" w:space="0"/>
            </w:tcBorders>
            <w:noWrap w:val="0"/>
            <w:vAlign w:val="center"/>
          </w:tcPr>
          <w:p w14:paraId="731EDC7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0F65CC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行政楼</w:t>
            </w:r>
          </w:p>
          <w:p w14:paraId="22BCEB7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5F</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1A90C7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4E8B8AD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办公区外的地面、卫生间、墙面、阶梯、门的清洁和消毒（含附楼楼顶地面卫生）</w:t>
            </w:r>
          </w:p>
        </w:tc>
      </w:tr>
      <w:tr w14:paraId="2FE5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6CE0945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28</w:t>
            </w:r>
          </w:p>
        </w:tc>
        <w:tc>
          <w:tcPr>
            <w:tcW w:w="1004" w:type="dxa"/>
            <w:vMerge w:val="continue"/>
            <w:tcBorders>
              <w:left w:val="single" w:color="auto" w:sz="4" w:space="0"/>
              <w:right w:val="single" w:color="auto" w:sz="4" w:space="0"/>
            </w:tcBorders>
            <w:noWrap w:val="0"/>
            <w:vAlign w:val="center"/>
          </w:tcPr>
          <w:p w14:paraId="1B7EFB4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B9C9DD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行政楼</w:t>
            </w:r>
          </w:p>
          <w:p w14:paraId="682D0C2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6F</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6E0ACFA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337AE6E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办公区外的地面、卫生间、墙面、阶梯、门的清洁和消毒（含会议室）</w:t>
            </w:r>
          </w:p>
        </w:tc>
      </w:tr>
      <w:tr w14:paraId="7F3C9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4B2E141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29</w:t>
            </w:r>
          </w:p>
        </w:tc>
        <w:tc>
          <w:tcPr>
            <w:tcW w:w="1004" w:type="dxa"/>
            <w:vMerge w:val="continue"/>
            <w:tcBorders>
              <w:left w:val="single" w:color="auto" w:sz="4" w:space="0"/>
              <w:bottom w:val="single" w:color="auto" w:sz="4" w:space="0"/>
              <w:right w:val="single" w:color="auto" w:sz="4" w:space="0"/>
            </w:tcBorders>
            <w:noWrap w:val="0"/>
            <w:vAlign w:val="center"/>
          </w:tcPr>
          <w:p w14:paraId="3E56963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93A6BB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行政楼</w:t>
            </w:r>
          </w:p>
          <w:p w14:paraId="3F1C548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7F</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2F1E292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21EFFBB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办公区外的地面、卫生间、墙面、阶梯、门的清洁和消毒（含大会议室、楼顶地面）</w:t>
            </w:r>
          </w:p>
        </w:tc>
      </w:tr>
      <w:tr w14:paraId="48B6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108BB73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30</w:t>
            </w:r>
          </w:p>
        </w:tc>
        <w:tc>
          <w:tcPr>
            <w:tcW w:w="1004" w:type="dxa"/>
            <w:vMerge w:val="restart"/>
            <w:tcBorders>
              <w:top w:val="single" w:color="auto" w:sz="4" w:space="0"/>
              <w:left w:val="single" w:color="auto" w:sz="4" w:space="0"/>
              <w:right w:val="single" w:color="auto" w:sz="4" w:space="0"/>
            </w:tcBorders>
            <w:noWrap w:val="0"/>
            <w:vAlign w:val="center"/>
          </w:tcPr>
          <w:p w14:paraId="7AF3AD9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p w14:paraId="4EDB4D4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外围保洁</w:t>
            </w:r>
          </w:p>
          <w:p w14:paraId="04754A9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收医废等</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4750E0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外围保洁</w:t>
            </w:r>
          </w:p>
          <w:p w14:paraId="09413A8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收输液瓶</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375C372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0AD4260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负责行政医技楼院落和花坛卫生，收存被污染的输液瓶。</w:t>
            </w:r>
          </w:p>
        </w:tc>
      </w:tr>
      <w:tr w14:paraId="2711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30FFF19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31</w:t>
            </w:r>
          </w:p>
        </w:tc>
        <w:tc>
          <w:tcPr>
            <w:tcW w:w="1004" w:type="dxa"/>
            <w:vMerge w:val="continue"/>
            <w:tcBorders>
              <w:left w:val="single" w:color="auto" w:sz="4" w:space="0"/>
              <w:bottom w:val="single" w:color="auto" w:sz="4" w:space="0"/>
              <w:right w:val="single" w:color="auto" w:sz="4" w:space="0"/>
            </w:tcBorders>
            <w:noWrap w:val="0"/>
            <w:vAlign w:val="center"/>
          </w:tcPr>
          <w:p w14:paraId="34FF90D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927338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外围保洁</w:t>
            </w:r>
          </w:p>
          <w:p w14:paraId="2AEDB3D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医废回收</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6473D3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5379133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负责门诊楼、住院楼院落卫生和花坛卫生，收医废。</w:t>
            </w:r>
          </w:p>
        </w:tc>
      </w:tr>
      <w:tr w14:paraId="3E55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35FC327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32</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483A5B0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下班时间段保洁</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C8631A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全院</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47437D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p w14:paraId="1192FD2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19C787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中午：11:30至13:30</w:t>
            </w:r>
          </w:p>
          <w:p w14:paraId="08FF74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夜间：16:30至22:30</w:t>
            </w:r>
          </w:p>
        </w:tc>
      </w:tr>
      <w:tr w14:paraId="3C8C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67751F3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33</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7AA7E5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机动</w:t>
            </w:r>
          </w:p>
          <w:p w14:paraId="52CE8B6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人员</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7DEC0D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全院</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3284CE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0638AB7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擦玻璃、地面和外墙面洗刷、不锈钢护栏养护、搬运杂物等。</w:t>
            </w:r>
          </w:p>
        </w:tc>
      </w:tr>
      <w:tr w14:paraId="391D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231334C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合计</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14243B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40E1F8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tc>
        <w:tc>
          <w:tcPr>
            <w:tcW w:w="731" w:type="dxa"/>
            <w:tcBorders>
              <w:top w:val="single" w:color="auto" w:sz="4" w:space="0"/>
              <w:left w:val="single" w:color="auto" w:sz="4" w:space="0"/>
              <w:bottom w:val="single" w:color="auto" w:sz="4" w:space="0"/>
              <w:right w:val="single" w:color="auto" w:sz="4" w:space="0"/>
            </w:tcBorders>
            <w:noWrap w:val="0"/>
            <w:vAlign w:val="center"/>
          </w:tcPr>
          <w:p w14:paraId="4F386DD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33人</w:t>
            </w:r>
          </w:p>
        </w:tc>
        <w:tc>
          <w:tcPr>
            <w:tcW w:w="5437" w:type="dxa"/>
            <w:tcBorders>
              <w:top w:val="single" w:color="auto" w:sz="4" w:space="0"/>
              <w:left w:val="single" w:color="auto" w:sz="4" w:space="0"/>
              <w:bottom w:val="single" w:color="auto" w:sz="4" w:space="0"/>
              <w:right w:val="single" w:color="auto" w:sz="4" w:space="0"/>
            </w:tcBorders>
            <w:noWrap w:val="0"/>
            <w:vAlign w:val="center"/>
          </w:tcPr>
          <w:p w14:paraId="62293CC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最高限价75万元，保洁所用耗材由保洁公司承担。</w:t>
            </w:r>
          </w:p>
        </w:tc>
      </w:tr>
    </w:tbl>
    <w:p w14:paraId="65C987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u w:val="none"/>
          <w:lang w:val="en-US" w:eastAsia="zh-CN"/>
        </w:rPr>
        <w:sectPr>
          <w:headerReference r:id="rId12" w:type="default"/>
          <w:footerReference r:id="rId13" w:type="default"/>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宋体" w:hAnsi="宋体" w:eastAsia="宋体" w:cs="宋体"/>
          <w:i w:val="0"/>
          <w:iCs w:val="0"/>
          <w:color w:val="auto"/>
          <w:sz w:val="24"/>
          <w:szCs w:val="24"/>
          <w:highlight w:val="none"/>
          <w:u w:val="none"/>
          <w:lang w:val="en-US" w:eastAsia="zh-CN"/>
        </w:rPr>
        <w:t>备注：目前门诊楼五楼和门诊楼加盖六楼会议室未建成投入使用前， 2名保洁员暂不设岗，期间医院支付理应扣除两个岗位上的平均费用，待正式投入使用后，再按实际招标总价支付费用。</w:t>
      </w:r>
    </w:p>
    <w:p w14:paraId="7935ACE3">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rPr>
          <w:rFonts w:hint="eastAsia" w:ascii="仿宋" w:hAnsi="仿宋" w:eastAsia="仿宋" w:cs="仿宋"/>
          <w:b/>
          <w:bCs/>
          <w:i w:val="0"/>
          <w:iCs w:val="0"/>
          <w:color w:val="auto"/>
          <w:sz w:val="30"/>
          <w:szCs w:val="30"/>
          <w:highlight w:val="none"/>
          <w:u w:val="none"/>
          <w:lang w:val="en-US" w:eastAsia="zh-CN"/>
        </w:rPr>
      </w:pPr>
      <w:r>
        <w:rPr>
          <w:rFonts w:hint="eastAsia" w:ascii="仿宋" w:hAnsi="仿宋" w:eastAsia="仿宋" w:cs="仿宋"/>
          <w:b/>
          <w:bCs/>
          <w:i w:val="0"/>
          <w:iCs w:val="0"/>
          <w:color w:val="auto"/>
          <w:sz w:val="30"/>
          <w:szCs w:val="30"/>
          <w:highlight w:val="none"/>
          <w:u w:val="none"/>
          <w:lang w:val="en-US" w:eastAsia="zh-CN"/>
        </w:rPr>
        <w:t>附表2：平利县中医医院保洁服务项目工作质量考核表</w:t>
      </w:r>
    </w:p>
    <w:tbl>
      <w:tblPr>
        <w:tblStyle w:val="45"/>
        <w:tblW w:w="9956"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5650"/>
        <w:gridCol w:w="833"/>
        <w:gridCol w:w="1250"/>
        <w:gridCol w:w="884"/>
      </w:tblGrid>
      <w:tr w14:paraId="7C12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39" w:type="dxa"/>
            <w:tcBorders>
              <w:top w:val="single" w:color="auto" w:sz="4" w:space="0"/>
              <w:left w:val="single" w:color="auto" w:sz="4" w:space="0"/>
              <w:bottom w:val="single" w:color="auto" w:sz="4" w:space="0"/>
              <w:right w:val="single" w:color="auto" w:sz="4" w:space="0"/>
            </w:tcBorders>
            <w:noWrap w:val="0"/>
            <w:vAlign w:val="center"/>
          </w:tcPr>
          <w:p w14:paraId="31441497">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0" w:firstLine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范 围</w:t>
            </w:r>
          </w:p>
        </w:tc>
        <w:tc>
          <w:tcPr>
            <w:tcW w:w="5650" w:type="dxa"/>
            <w:tcBorders>
              <w:top w:val="single" w:color="auto" w:sz="4" w:space="0"/>
              <w:left w:val="nil"/>
              <w:bottom w:val="single" w:color="auto" w:sz="4" w:space="0"/>
              <w:right w:val="single" w:color="auto" w:sz="4" w:space="0"/>
            </w:tcBorders>
            <w:noWrap w:val="0"/>
            <w:vAlign w:val="center"/>
          </w:tcPr>
          <w:p w14:paraId="40E6A09C">
            <w:pPr>
              <w:keepNext w:val="0"/>
              <w:keepLines w:val="0"/>
              <w:pageBreakBefore w:val="0"/>
              <w:widowControl w:val="0"/>
              <w:kinsoku/>
              <w:wordWrap/>
              <w:overflowPunct/>
              <w:topLinePunct w:val="0"/>
              <w:autoSpaceDE/>
              <w:autoSpaceDN/>
              <w:bidi w:val="0"/>
              <w:adjustRightInd w:val="0"/>
              <w:snapToGrid w:val="0"/>
              <w:spacing w:line="336" w:lineRule="auto"/>
              <w:ind w:firstLine="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质  量  标  准</w:t>
            </w:r>
          </w:p>
        </w:tc>
        <w:tc>
          <w:tcPr>
            <w:tcW w:w="833" w:type="dxa"/>
            <w:tcBorders>
              <w:top w:val="single" w:color="auto" w:sz="4" w:space="0"/>
              <w:left w:val="nil"/>
              <w:bottom w:val="single" w:color="auto" w:sz="4" w:space="0"/>
              <w:right w:val="single" w:color="auto" w:sz="4" w:space="0"/>
            </w:tcBorders>
            <w:noWrap w:val="0"/>
            <w:vAlign w:val="center"/>
          </w:tcPr>
          <w:p w14:paraId="71F7E0E4">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0" w:firstLine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分值</w:t>
            </w:r>
          </w:p>
        </w:tc>
        <w:tc>
          <w:tcPr>
            <w:tcW w:w="1250" w:type="dxa"/>
            <w:tcBorders>
              <w:top w:val="single" w:color="auto" w:sz="4" w:space="0"/>
              <w:left w:val="nil"/>
              <w:bottom w:val="single" w:color="auto" w:sz="4" w:space="0"/>
              <w:right w:val="single" w:color="auto" w:sz="4" w:space="0"/>
            </w:tcBorders>
            <w:noWrap w:val="0"/>
            <w:vAlign w:val="center"/>
          </w:tcPr>
          <w:p w14:paraId="548A35A6">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0" w:firstLine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扣分标准</w:t>
            </w:r>
          </w:p>
        </w:tc>
        <w:tc>
          <w:tcPr>
            <w:tcW w:w="884" w:type="dxa"/>
            <w:tcBorders>
              <w:top w:val="single" w:color="auto" w:sz="4" w:space="0"/>
              <w:left w:val="nil"/>
              <w:bottom w:val="single" w:color="auto" w:sz="4" w:space="0"/>
              <w:right w:val="single" w:color="auto" w:sz="4" w:space="0"/>
            </w:tcBorders>
            <w:noWrap w:val="0"/>
            <w:vAlign w:val="center"/>
          </w:tcPr>
          <w:p w14:paraId="1AEFB7DE">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0" w:firstLineChars="0"/>
              <w:jc w:val="center"/>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得分</w:t>
            </w:r>
          </w:p>
        </w:tc>
      </w:tr>
      <w:tr w14:paraId="2C47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339" w:type="dxa"/>
            <w:tcBorders>
              <w:top w:val="single" w:color="auto" w:sz="4" w:space="0"/>
              <w:left w:val="single" w:color="auto" w:sz="4" w:space="0"/>
              <w:bottom w:val="single" w:color="auto" w:sz="4" w:space="0"/>
              <w:right w:val="single" w:color="auto" w:sz="4" w:space="0"/>
            </w:tcBorders>
            <w:noWrap w:val="0"/>
            <w:vAlign w:val="center"/>
          </w:tcPr>
          <w:p w14:paraId="15D16861">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病房</w:t>
            </w:r>
          </w:p>
        </w:tc>
        <w:tc>
          <w:tcPr>
            <w:tcW w:w="5650" w:type="dxa"/>
            <w:tcBorders>
              <w:top w:val="single" w:color="auto" w:sz="4" w:space="0"/>
              <w:left w:val="nil"/>
              <w:bottom w:val="single" w:color="auto" w:sz="4" w:space="0"/>
              <w:right w:val="single" w:color="auto" w:sz="4" w:space="0"/>
            </w:tcBorders>
            <w:noWrap w:val="0"/>
            <w:vAlign w:val="center"/>
          </w:tcPr>
          <w:p w14:paraId="22028765">
            <w:pPr>
              <w:keepNext w:val="0"/>
              <w:keepLines w:val="0"/>
              <w:pageBreakBefore w:val="0"/>
              <w:widowControl w:val="0"/>
              <w:kinsoku/>
              <w:wordWrap/>
              <w:overflowPunct/>
              <w:topLinePunct w:val="0"/>
              <w:autoSpaceDE/>
              <w:autoSpaceDN/>
              <w:bidi w:val="0"/>
              <w:adjustRightInd w:val="0"/>
              <w:snapToGrid w:val="0"/>
              <w:spacing w:line="336" w:lineRule="auto"/>
              <w:ind w:firstLine="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天花板、四壁无积尘、无蛛网。</w:t>
            </w:r>
          </w:p>
          <w:p w14:paraId="60353D22">
            <w:pPr>
              <w:keepNext w:val="0"/>
              <w:keepLines w:val="0"/>
              <w:pageBreakBefore w:val="0"/>
              <w:widowControl w:val="0"/>
              <w:kinsoku/>
              <w:wordWrap/>
              <w:overflowPunct/>
              <w:topLinePunct w:val="0"/>
              <w:autoSpaceDE/>
              <w:autoSpaceDN/>
              <w:bidi w:val="0"/>
              <w:adjustRightInd w:val="0"/>
              <w:snapToGrid w:val="0"/>
              <w:spacing w:line="336" w:lineRule="auto"/>
              <w:ind w:firstLine="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门、窗玻璃擦</w:t>
            </w:r>
            <w:r>
              <w:rPr>
                <w:rFonts w:hint="eastAsia" w:ascii="宋体" w:hAnsi="宋体" w:eastAsia="宋体" w:cs="宋体"/>
                <w:color w:val="000000"/>
                <w:sz w:val="24"/>
                <w:szCs w:val="24"/>
                <w:lang w:eastAsia="zh-CN"/>
              </w:rPr>
              <w:t>拭</w:t>
            </w:r>
            <w:r>
              <w:rPr>
                <w:rFonts w:hint="eastAsia" w:ascii="宋体" w:hAnsi="宋体" w:eastAsia="宋体" w:cs="宋体"/>
                <w:color w:val="000000"/>
                <w:sz w:val="24"/>
                <w:szCs w:val="24"/>
              </w:rPr>
              <w:t>干净，无积尘、无污迹。</w:t>
            </w:r>
          </w:p>
          <w:p w14:paraId="0061D7EC">
            <w:pPr>
              <w:keepNext w:val="0"/>
              <w:keepLines w:val="0"/>
              <w:pageBreakBefore w:val="0"/>
              <w:widowControl w:val="0"/>
              <w:kinsoku/>
              <w:wordWrap/>
              <w:overflowPunct/>
              <w:topLinePunct w:val="0"/>
              <w:autoSpaceDE/>
              <w:autoSpaceDN/>
              <w:bidi w:val="0"/>
              <w:adjustRightInd w:val="0"/>
              <w:snapToGrid w:val="0"/>
              <w:spacing w:line="336" w:lineRule="auto"/>
              <w:ind w:firstLine="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灯罩、空调、电器开关、各种管道外壁干净卫生。</w:t>
            </w:r>
          </w:p>
          <w:p w14:paraId="6FC39A73">
            <w:pPr>
              <w:keepNext w:val="0"/>
              <w:keepLines w:val="0"/>
              <w:pageBreakBefore w:val="0"/>
              <w:widowControl w:val="0"/>
              <w:kinsoku/>
              <w:wordWrap/>
              <w:overflowPunct/>
              <w:topLinePunct w:val="0"/>
              <w:autoSpaceDE/>
              <w:autoSpaceDN/>
              <w:bidi w:val="0"/>
              <w:adjustRightInd w:val="0"/>
              <w:snapToGrid w:val="0"/>
              <w:spacing w:line="336" w:lineRule="auto"/>
              <w:ind w:firstLine="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4、地面无痰迹、污垢、烟头、纸屑、果皮、积水，清洁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墙角及踢脚线清洁卫生。</w:t>
            </w:r>
          </w:p>
          <w:p w14:paraId="73D257EF">
            <w:pPr>
              <w:keepNext w:val="0"/>
              <w:keepLines w:val="0"/>
              <w:pageBreakBefore w:val="0"/>
              <w:widowControl w:val="0"/>
              <w:kinsoku/>
              <w:wordWrap/>
              <w:overflowPunct/>
              <w:topLinePunct w:val="0"/>
              <w:autoSpaceDE/>
              <w:autoSpaceDN/>
              <w:bidi w:val="0"/>
              <w:adjustRightInd w:val="0"/>
              <w:snapToGrid w:val="0"/>
              <w:spacing w:line="336" w:lineRule="auto"/>
              <w:ind w:firstLine="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卫生间脸盆、便池、地面、洗手池、管道、灯具、电器开关、四壁干净卫生、光亮，无积水，下水道无堵塞。便池无垢，</w:t>
            </w:r>
            <w:r>
              <w:rPr>
                <w:rFonts w:hint="eastAsia" w:ascii="宋体" w:hAnsi="宋体" w:eastAsia="宋体" w:cs="宋体"/>
                <w:color w:val="000000"/>
                <w:sz w:val="24"/>
                <w:szCs w:val="24"/>
                <w:lang w:eastAsia="zh-CN"/>
              </w:rPr>
              <w:t>无</w:t>
            </w:r>
            <w:r>
              <w:rPr>
                <w:rFonts w:hint="eastAsia" w:ascii="宋体" w:hAnsi="宋体" w:eastAsia="宋体" w:cs="宋体"/>
                <w:color w:val="000000"/>
                <w:sz w:val="24"/>
                <w:szCs w:val="24"/>
              </w:rPr>
              <w:t>臭味。</w:t>
            </w:r>
          </w:p>
          <w:p w14:paraId="4E3DCF70">
            <w:pPr>
              <w:keepNext w:val="0"/>
              <w:keepLines w:val="0"/>
              <w:pageBreakBefore w:val="0"/>
              <w:widowControl w:val="0"/>
              <w:kinsoku/>
              <w:wordWrap/>
              <w:overflowPunct/>
              <w:topLinePunct w:val="0"/>
              <w:autoSpaceDE/>
              <w:autoSpaceDN/>
              <w:bidi w:val="0"/>
              <w:adjustRightInd w:val="0"/>
              <w:snapToGrid w:val="0"/>
              <w:spacing w:line="336" w:lineRule="auto"/>
              <w:ind w:firstLine="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病床、床头柜、电视、设备带及储物柜内外、椅子保持清洁，做好终末消毒。</w:t>
            </w:r>
          </w:p>
        </w:tc>
        <w:tc>
          <w:tcPr>
            <w:tcW w:w="833" w:type="dxa"/>
            <w:tcBorders>
              <w:top w:val="single" w:color="auto" w:sz="4" w:space="0"/>
              <w:left w:val="nil"/>
              <w:bottom w:val="single" w:color="auto" w:sz="4" w:space="0"/>
              <w:right w:val="single" w:color="auto" w:sz="4" w:space="0"/>
            </w:tcBorders>
            <w:noWrap w:val="0"/>
            <w:vAlign w:val="center"/>
          </w:tcPr>
          <w:p w14:paraId="3C10C930">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0" w:firstLine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30</w:t>
            </w:r>
          </w:p>
        </w:tc>
        <w:tc>
          <w:tcPr>
            <w:tcW w:w="1250" w:type="dxa"/>
            <w:tcBorders>
              <w:top w:val="single" w:color="auto" w:sz="4" w:space="0"/>
              <w:left w:val="nil"/>
              <w:bottom w:val="single" w:color="auto" w:sz="4" w:space="0"/>
              <w:right w:val="single" w:color="auto" w:sz="4" w:space="0"/>
            </w:tcBorders>
            <w:noWrap w:val="0"/>
            <w:vAlign w:val="center"/>
          </w:tcPr>
          <w:p w14:paraId="5D65C218">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一项不达标扣</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tc>
        <w:tc>
          <w:tcPr>
            <w:tcW w:w="884" w:type="dxa"/>
            <w:tcBorders>
              <w:top w:val="single" w:color="auto" w:sz="4" w:space="0"/>
              <w:left w:val="nil"/>
              <w:bottom w:val="single" w:color="auto" w:sz="4" w:space="0"/>
              <w:right w:val="single" w:color="auto" w:sz="4" w:space="0"/>
            </w:tcBorders>
            <w:noWrap w:val="0"/>
            <w:vAlign w:val="center"/>
          </w:tcPr>
          <w:p w14:paraId="08D99964">
            <w:pPr>
              <w:keepNext w:val="0"/>
              <w:keepLines w:val="0"/>
              <w:pageBreakBefore w:val="0"/>
              <w:widowControl w:val="0"/>
              <w:kinsoku/>
              <w:wordWrap/>
              <w:overflowPunct/>
              <w:topLinePunct w:val="0"/>
              <w:autoSpaceDE/>
              <w:autoSpaceDN/>
              <w:bidi w:val="0"/>
              <w:adjustRightInd w:val="0"/>
              <w:snapToGrid w:val="0"/>
              <w:spacing w:line="336" w:lineRule="auto"/>
              <w:ind w:firstLine="480"/>
              <w:jc w:val="both"/>
              <w:textAlignment w:val="auto"/>
              <w:rPr>
                <w:rFonts w:hint="eastAsia" w:ascii="宋体" w:hAnsi="宋体" w:eastAsia="宋体" w:cs="宋体"/>
                <w:color w:val="000000"/>
                <w:sz w:val="24"/>
                <w:szCs w:val="24"/>
              </w:rPr>
            </w:pPr>
          </w:p>
        </w:tc>
      </w:tr>
      <w:tr w14:paraId="16AD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39" w:type="dxa"/>
            <w:tcBorders>
              <w:top w:val="single" w:color="auto" w:sz="4" w:space="0"/>
              <w:left w:val="single" w:color="auto" w:sz="4" w:space="0"/>
              <w:bottom w:val="single" w:color="auto" w:sz="4" w:space="0"/>
              <w:right w:val="single" w:color="auto" w:sz="4" w:space="0"/>
            </w:tcBorders>
            <w:noWrap w:val="0"/>
            <w:vAlign w:val="center"/>
          </w:tcPr>
          <w:p w14:paraId="49EA4D16">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护士站</w:t>
            </w:r>
          </w:p>
        </w:tc>
        <w:tc>
          <w:tcPr>
            <w:tcW w:w="5650" w:type="dxa"/>
            <w:tcBorders>
              <w:top w:val="single" w:color="auto" w:sz="4" w:space="0"/>
              <w:left w:val="nil"/>
              <w:bottom w:val="single" w:color="auto" w:sz="4" w:space="0"/>
              <w:right w:val="single" w:color="auto" w:sz="4" w:space="0"/>
            </w:tcBorders>
            <w:noWrap w:val="0"/>
            <w:vAlign w:val="center"/>
          </w:tcPr>
          <w:p w14:paraId="740D3196">
            <w:pPr>
              <w:keepNext w:val="0"/>
              <w:keepLines w:val="0"/>
              <w:pageBreakBefore w:val="0"/>
              <w:widowControl w:val="0"/>
              <w:kinsoku/>
              <w:wordWrap/>
              <w:overflowPunct/>
              <w:topLinePunct w:val="0"/>
              <w:autoSpaceDE/>
              <w:autoSpaceDN/>
              <w:bidi w:val="0"/>
              <w:adjustRightInd w:val="0"/>
              <w:snapToGrid w:val="0"/>
              <w:spacing w:line="336" w:lineRule="auto"/>
              <w:ind w:firstLine="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与病房相同项目，其卫生标准同病房要求一样。</w:t>
            </w:r>
          </w:p>
          <w:p w14:paraId="0600671A">
            <w:pPr>
              <w:keepNext w:val="0"/>
              <w:keepLines w:val="0"/>
              <w:pageBreakBefore w:val="0"/>
              <w:widowControl w:val="0"/>
              <w:kinsoku/>
              <w:wordWrap/>
              <w:overflowPunct/>
              <w:topLinePunct w:val="0"/>
              <w:autoSpaceDE/>
              <w:autoSpaceDN/>
              <w:bidi w:val="0"/>
              <w:adjustRightInd w:val="0"/>
              <w:snapToGrid w:val="0"/>
              <w:spacing w:line="336" w:lineRule="auto"/>
              <w:ind w:firstLine="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分类垃圾桶内外清洁，垃圾袋更换及时。</w:t>
            </w:r>
          </w:p>
        </w:tc>
        <w:tc>
          <w:tcPr>
            <w:tcW w:w="833" w:type="dxa"/>
            <w:tcBorders>
              <w:top w:val="single" w:color="auto" w:sz="4" w:space="0"/>
              <w:left w:val="nil"/>
              <w:bottom w:val="single" w:color="auto" w:sz="4" w:space="0"/>
              <w:right w:val="single" w:color="auto" w:sz="4" w:space="0"/>
            </w:tcBorders>
            <w:noWrap w:val="0"/>
            <w:vAlign w:val="center"/>
          </w:tcPr>
          <w:p w14:paraId="04871E10">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0" w:firstLine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1250" w:type="dxa"/>
            <w:tcBorders>
              <w:top w:val="single" w:color="auto" w:sz="4" w:space="0"/>
              <w:left w:val="nil"/>
              <w:bottom w:val="single" w:color="auto" w:sz="4" w:space="0"/>
              <w:right w:val="single" w:color="auto" w:sz="4" w:space="0"/>
            </w:tcBorders>
            <w:noWrap w:val="0"/>
            <w:vAlign w:val="center"/>
          </w:tcPr>
          <w:p w14:paraId="69C57367">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一项不达标扣</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tc>
        <w:tc>
          <w:tcPr>
            <w:tcW w:w="884" w:type="dxa"/>
            <w:tcBorders>
              <w:top w:val="single" w:color="auto" w:sz="4" w:space="0"/>
              <w:left w:val="nil"/>
              <w:bottom w:val="single" w:color="auto" w:sz="4" w:space="0"/>
              <w:right w:val="single" w:color="auto" w:sz="4" w:space="0"/>
            </w:tcBorders>
            <w:noWrap w:val="0"/>
            <w:vAlign w:val="center"/>
          </w:tcPr>
          <w:p w14:paraId="3FD9CBC5">
            <w:pPr>
              <w:keepNext w:val="0"/>
              <w:keepLines w:val="0"/>
              <w:pageBreakBefore w:val="0"/>
              <w:widowControl w:val="0"/>
              <w:kinsoku/>
              <w:wordWrap/>
              <w:overflowPunct/>
              <w:topLinePunct w:val="0"/>
              <w:autoSpaceDE/>
              <w:autoSpaceDN/>
              <w:bidi w:val="0"/>
              <w:adjustRightInd w:val="0"/>
              <w:snapToGrid w:val="0"/>
              <w:spacing w:line="336" w:lineRule="auto"/>
              <w:ind w:firstLine="480"/>
              <w:jc w:val="both"/>
              <w:textAlignment w:val="auto"/>
              <w:rPr>
                <w:rFonts w:hint="eastAsia" w:ascii="宋体" w:hAnsi="宋体" w:eastAsia="宋体" w:cs="宋体"/>
                <w:color w:val="000000"/>
                <w:sz w:val="24"/>
                <w:szCs w:val="24"/>
              </w:rPr>
            </w:pPr>
          </w:p>
        </w:tc>
      </w:tr>
      <w:tr w14:paraId="0E07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39" w:type="dxa"/>
            <w:tcBorders>
              <w:top w:val="single" w:color="auto" w:sz="4" w:space="0"/>
              <w:left w:val="single" w:color="auto" w:sz="4" w:space="0"/>
              <w:bottom w:val="single" w:color="auto" w:sz="4" w:space="0"/>
              <w:right w:val="single" w:color="auto" w:sz="4" w:space="0"/>
            </w:tcBorders>
            <w:noWrap w:val="0"/>
            <w:vAlign w:val="center"/>
          </w:tcPr>
          <w:p w14:paraId="02221DEA">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病区</w:t>
            </w:r>
          </w:p>
          <w:p w14:paraId="7984B7B4">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通道</w:t>
            </w:r>
          </w:p>
        </w:tc>
        <w:tc>
          <w:tcPr>
            <w:tcW w:w="5650" w:type="dxa"/>
            <w:tcBorders>
              <w:top w:val="single" w:color="auto" w:sz="4" w:space="0"/>
              <w:left w:val="nil"/>
              <w:bottom w:val="single" w:color="auto" w:sz="4" w:space="0"/>
              <w:right w:val="single" w:color="auto" w:sz="4" w:space="0"/>
            </w:tcBorders>
            <w:noWrap w:val="0"/>
            <w:vAlign w:val="center"/>
          </w:tcPr>
          <w:p w14:paraId="7F983049">
            <w:pPr>
              <w:keepNext w:val="0"/>
              <w:keepLines w:val="0"/>
              <w:pageBreakBefore w:val="0"/>
              <w:widowControl w:val="0"/>
              <w:kinsoku/>
              <w:wordWrap/>
              <w:overflowPunct/>
              <w:topLinePunct w:val="0"/>
              <w:autoSpaceDE/>
              <w:autoSpaceDN/>
              <w:bidi w:val="0"/>
              <w:adjustRightInd w:val="0"/>
              <w:snapToGrid w:val="0"/>
              <w:spacing w:line="336" w:lineRule="auto"/>
              <w:ind w:firstLine="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与病房相同项目，其卫生标准同病房要求一样。</w:t>
            </w:r>
          </w:p>
          <w:p w14:paraId="65BD1911">
            <w:pPr>
              <w:keepNext w:val="0"/>
              <w:keepLines w:val="0"/>
              <w:pageBreakBefore w:val="0"/>
              <w:widowControl w:val="0"/>
              <w:kinsoku/>
              <w:wordWrap/>
              <w:overflowPunct/>
              <w:topLinePunct w:val="0"/>
              <w:autoSpaceDE/>
              <w:autoSpaceDN/>
              <w:bidi w:val="0"/>
              <w:adjustRightInd w:val="0"/>
              <w:snapToGrid w:val="0"/>
              <w:spacing w:line="336" w:lineRule="auto"/>
              <w:ind w:firstLine="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宣传栏、标识标牌无尘、无迹，干净卫生。</w:t>
            </w:r>
          </w:p>
          <w:p w14:paraId="59B37647">
            <w:pPr>
              <w:keepNext w:val="0"/>
              <w:keepLines w:val="0"/>
              <w:pageBreakBefore w:val="0"/>
              <w:widowControl w:val="0"/>
              <w:kinsoku/>
              <w:wordWrap/>
              <w:overflowPunct/>
              <w:topLinePunct w:val="0"/>
              <w:autoSpaceDE/>
              <w:autoSpaceDN/>
              <w:bidi w:val="0"/>
              <w:adjustRightInd w:val="0"/>
              <w:snapToGrid w:val="0"/>
              <w:spacing w:line="336" w:lineRule="auto"/>
              <w:ind w:firstLine="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消火箱、防火门、应急灯、护栏、呼叫显示屏无尘，干净卫生。</w:t>
            </w:r>
          </w:p>
        </w:tc>
        <w:tc>
          <w:tcPr>
            <w:tcW w:w="833" w:type="dxa"/>
            <w:tcBorders>
              <w:top w:val="single" w:color="auto" w:sz="4" w:space="0"/>
              <w:left w:val="nil"/>
              <w:bottom w:val="single" w:color="auto" w:sz="4" w:space="0"/>
              <w:right w:val="single" w:color="auto" w:sz="4" w:space="0"/>
            </w:tcBorders>
            <w:noWrap w:val="0"/>
            <w:vAlign w:val="center"/>
          </w:tcPr>
          <w:p w14:paraId="31FE0013">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0" w:firstLine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1250" w:type="dxa"/>
            <w:tcBorders>
              <w:top w:val="single" w:color="auto" w:sz="4" w:space="0"/>
              <w:left w:val="nil"/>
              <w:bottom w:val="single" w:color="auto" w:sz="4" w:space="0"/>
              <w:right w:val="single" w:color="auto" w:sz="4" w:space="0"/>
            </w:tcBorders>
            <w:noWrap w:val="0"/>
            <w:vAlign w:val="center"/>
          </w:tcPr>
          <w:p w14:paraId="599DC2D9">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一次不达标扣</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tc>
        <w:tc>
          <w:tcPr>
            <w:tcW w:w="884" w:type="dxa"/>
            <w:tcBorders>
              <w:top w:val="single" w:color="auto" w:sz="4" w:space="0"/>
              <w:left w:val="nil"/>
              <w:bottom w:val="single" w:color="auto" w:sz="4" w:space="0"/>
              <w:right w:val="single" w:color="auto" w:sz="4" w:space="0"/>
            </w:tcBorders>
            <w:noWrap w:val="0"/>
            <w:vAlign w:val="center"/>
          </w:tcPr>
          <w:p w14:paraId="5E494CA5">
            <w:pPr>
              <w:keepNext w:val="0"/>
              <w:keepLines w:val="0"/>
              <w:pageBreakBefore w:val="0"/>
              <w:widowControl w:val="0"/>
              <w:kinsoku/>
              <w:wordWrap/>
              <w:overflowPunct/>
              <w:topLinePunct w:val="0"/>
              <w:autoSpaceDE/>
              <w:autoSpaceDN/>
              <w:bidi w:val="0"/>
              <w:adjustRightInd w:val="0"/>
              <w:snapToGrid w:val="0"/>
              <w:spacing w:line="336" w:lineRule="auto"/>
              <w:ind w:firstLine="480"/>
              <w:jc w:val="both"/>
              <w:textAlignment w:val="auto"/>
              <w:rPr>
                <w:rFonts w:hint="eastAsia" w:ascii="宋体" w:hAnsi="宋体" w:eastAsia="宋体" w:cs="宋体"/>
                <w:color w:val="000000"/>
                <w:sz w:val="24"/>
                <w:szCs w:val="24"/>
              </w:rPr>
            </w:pPr>
          </w:p>
        </w:tc>
      </w:tr>
      <w:tr w14:paraId="505C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9" w:type="dxa"/>
            <w:tcBorders>
              <w:top w:val="single" w:color="auto" w:sz="4" w:space="0"/>
              <w:left w:val="single" w:color="auto" w:sz="4" w:space="0"/>
              <w:bottom w:val="single" w:color="auto" w:sz="4" w:space="0"/>
              <w:right w:val="single" w:color="auto" w:sz="4" w:space="0"/>
            </w:tcBorders>
            <w:noWrap w:val="0"/>
            <w:vAlign w:val="center"/>
          </w:tcPr>
          <w:p w14:paraId="1279660E">
            <w:pPr>
              <w:keepNext w:val="0"/>
              <w:keepLines w:val="0"/>
              <w:pageBreakBefore w:val="0"/>
              <w:widowControl w:val="0"/>
              <w:kinsoku/>
              <w:wordWrap/>
              <w:overflowPunct/>
              <w:topLinePunct w:val="0"/>
              <w:autoSpaceDE/>
              <w:autoSpaceDN/>
              <w:bidi w:val="0"/>
              <w:adjustRightInd w:val="0"/>
              <w:snapToGrid w:val="0"/>
              <w:spacing w:line="336" w:lineRule="auto"/>
              <w:ind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电梯</w:t>
            </w:r>
            <w:r>
              <w:rPr>
                <w:rFonts w:hint="eastAsia" w:ascii="宋体" w:hAnsi="宋体" w:eastAsia="宋体" w:cs="宋体"/>
                <w:color w:val="000000"/>
                <w:sz w:val="24"/>
                <w:szCs w:val="24"/>
              </w:rPr>
              <w:t>等候间和楼梯间</w:t>
            </w:r>
          </w:p>
        </w:tc>
        <w:tc>
          <w:tcPr>
            <w:tcW w:w="5650" w:type="dxa"/>
            <w:tcBorders>
              <w:top w:val="single" w:color="auto" w:sz="4" w:space="0"/>
              <w:left w:val="nil"/>
              <w:bottom w:val="single" w:color="auto" w:sz="4" w:space="0"/>
              <w:right w:val="single" w:color="auto" w:sz="4" w:space="0"/>
            </w:tcBorders>
            <w:noWrap w:val="0"/>
            <w:vAlign w:val="center"/>
          </w:tcPr>
          <w:p w14:paraId="6DECA043">
            <w:pPr>
              <w:keepNext w:val="0"/>
              <w:keepLines w:val="0"/>
              <w:pageBreakBefore w:val="0"/>
              <w:widowControl w:val="0"/>
              <w:kinsoku/>
              <w:wordWrap/>
              <w:overflowPunct/>
              <w:topLinePunct w:val="0"/>
              <w:autoSpaceDE/>
              <w:autoSpaceDN/>
              <w:bidi w:val="0"/>
              <w:adjustRightInd w:val="0"/>
              <w:snapToGrid w:val="0"/>
              <w:spacing w:line="336" w:lineRule="auto"/>
              <w:ind w:firstLine="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与病房相同项目，其卫生标准同病房要求一样。</w:t>
            </w:r>
          </w:p>
          <w:p w14:paraId="0C33C404">
            <w:pPr>
              <w:keepNext w:val="0"/>
              <w:keepLines w:val="0"/>
              <w:pageBreakBefore w:val="0"/>
              <w:widowControl w:val="0"/>
              <w:kinsoku/>
              <w:wordWrap/>
              <w:overflowPunct/>
              <w:topLinePunct w:val="0"/>
              <w:autoSpaceDE/>
              <w:autoSpaceDN/>
              <w:bidi w:val="0"/>
              <w:adjustRightInd w:val="0"/>
              <w:snapToGrid w:val="0"/>
              <w:spacing w:line="336" w:lineRule="auto"/>
              <w:ind w:firstLine="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宣传栏、标识牌、警示牌等无尘无迹，干净卫生。</w:t>
            </w:r>
          </w:p>
          <w:p w14:paraId="35384825">
            <w:pPr>
              <w:keepNext w:val="0"/>
              <w:keepLines w:val="0"/>
              <w:pageBreakBefore w:val="0"/>
              <w:widowControl w:val="0"/>
              <w:kinsoku/>
              <w:wordWrap/>
              <w:overflowPunct/>
              <w:topLinePunct w:val="0"/>
              <w:autoSpaceDE/>
              <w:autoSpaceDN/>
              <w:bidi w:val="0"/>
              <w:adjustRightInd w:val="0"/>
              <w:snapToGrid w:val="0"/>
              <w:spacing w:line="336" w:lineRule="auto"/>
              <w:ind w:firstLine="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电梯、消火箱、防火门、楼梯扶手、梯步等干净卫生。</w:t>
            </w:r>
          </w:p>
        </w:tc>
        <w:tc>
          <w:tcPr>
            <w:tcW w:w="833" w:type="dxa"/>
            <w:tcBorders>
              <w:top w:val="single" w:color="auto" w:sz="4" w:space="0"/>
              <w:left w:val="nil"/>
              <w:bottom w:val="single" w:color="auto" w:sz="4" w:space="0"/>
              <w:right w:val="single" w:color="auto" w:sz="4" w:space="0"/>
            </w:tcBorders>
            <w:noWrap w:val="0"/>
            <w:vAlign w:val="center"/>
          </w:tcPr>
          <w:p w14:paraId="67967D6A">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0" w:firstLine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1250" w:type="dxa"/>
            <w:tcBorders>
              <w:top w:val="single" w:color="auto" w:sz="4" w:space="0"/>
              <w:left w:val="nil"/>
              <w:bottom w:val="single" w:color="auto" w:sz="4" w:space="0"/>
              <w:right w:val="single" w:color="auto" w:sz="4" w:space="0"/>
            </w:tcBorders>
            <w:noWrap w:val="0"/>
            <w:vAlign w:val="center"/>
          </w:tcPr>
          <w:p w14:paraId="7D18FCA6">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一项不达标扣</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tc>
        <w:tc>
          <w:tcPr>
            <w:tcW w:w="884" w:type="dxa"/>
            <w:tcBorders>
              <w:top w:val="single" w:color="auto" w:sz="4" w:space="0"/>
              <w:left w:val="nil"/>
              <w:bottom w:val="single" w:color="auto" w:sz="4" w:space="0"/>
              <w:right w:val="single" w:color="auto" w:sz="4" w:space="0"/>
            </w:tcBorders>
            <w:noWrap w:val="0"/>
            <w:vAlign w:val="center"/>
          </w:tcPr>
          <w:p w14:paraId="0025EC99">
            <w:pPr>
              <w:keepNext w:val="0"/>
              <w:keepLines w:val="0"/>
              <w:pageBreakBefore w:val="0"/>
              <w:widowControl w:val="0"/>
              <w:kinsoku/>
              <w:wordWrap/>
              <w:overflowPunct/>
              <w:topLinePunct w:val="0"/>
              <w:autoSpaceDE/>
              <w:autoSpaceDN/>
              <w:bidi w:val="0"/>
              <w:adjustRightInd w:val="0"/>
              <w:snapToGrid w:val="0"/>
              <w:spacing w:line="336" w:lineRule="auto"/>
              <w:ind w:firstLine="480"/>
              <w:jc w:val="both"/>
              <w:textAlignment w:val="auto"/>
              <w:rPr>
                <w:rFonts w:hint="eastAsia" w:ascii="宋体" w:hAnsi="宋体" w:eastAsia="宋体" w:cs="宋体"/>
                <w:color w:val="000000"/>
                <w:sz w:val="24"/>
                <w:szCs w:val="24"/>
              </w:rPr>
            </w:pPr>
          </w:p>
        </w:tc>
      </w:tr>
      <w:tr w14:paraId="323E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39" w:type="dxa"/>
            <w:tcBorders>
              <w:top w:val="single" w:color="auto" w:sz="4" w:space="0"/>
              <w:left w:val="single" w:color="auto" w:sz="4" w:space="0"/>
              <w:bottom w:val="single" w:color="auto" w:sz="4" w:space="0"/>
              <w:right w:val="single" w:color="auto" w:sz="4" w:space="0"/>
            </w:tcBorders>
            <w:noWrap w:val="0"/>
            <w:vAlign w:val="center"/>
          </w:tcPr>
          <w:p w14:paraId="44823B5B">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w:t>
            </w:r>
          </w:p>
          <w:p w14:paraId="2E2F22B7">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水</w:t>
            </w:r>
          </w:p>
          <w:p w14:paraId="52D9AF3A">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房</w:t>
            </w:r>
          </w:p>
        </w:tc>
        <w:tc>
          <w:tcPr>
            <w:tcW w:w="5650" w:type="dxa"/>
            <w:tcBorders>
              <w:top w:val="single" w:color="auto" w:sz="4" w:space="0"/>
              <w:left w:val="nil"/>
              <w:bottom w:val="single" w:color="auto" w:sz="4" w:space="0"/>
              <w:right w:val="single" w:color="auto" w:sz="4" w:space="0"/>
            </w:tcBorders>
            <w:noWrap w:val="0"/>
            <w:vAlign w:val="center"/>
          </w:tcPr>
          <w:p w14:paraId="60227C23">
            <w:pPr>
              <w:keepNext w:val="0"/>
              <w:keepLines w:val="0"/>
              <w:pageBreakBefore w:val="0"/>
              <w:widowControl w:val="0"/>
              <w:kinsoku/>
              <w:wordWrap/>
              <w:overflowPunct/>
              <w:topLinePunct w:val="0"/>
              <w:autoSpaceDE/>
              <w:autoSpaceDN/>
              <w:bidi w:val="0"/>
              <w:adjustRightInd w:val="0"/>
              <w:snapToGrid w:val="0"/>
              <w:spacing w:line="336" w:lineRule="auto"/>
              <w:ind w:firstLine="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与病房相同项目，其卫生标准同病房要求一样。</w:t>
            </w:r>
          </w:p>
          <w:p w14:paraId="601AD6AD">
            <w:pPr>
              <w:keepNext w:val="0"/>
              <w:keepLines w:val="0"/>
              <w:pageBreakBefore w:val="0"/>
              <w:widowControl w:val="0"/>
              <w:kinsoku/>
              <w:wordWrap/>
              <w:overflowPunct/>
              <w:topLinePunct w:val="0"/>
              <w:autoSpaceDE/>
              <w:autoSpaceDN/>
              <w:bidi w:val="0"/>
              <w:adjustRightInd w:val="0"/>
              <w:snapToGrid w:val="0"/>
              <w:spacing w:line="336" w:lineRule="auto"/>
              <w:ind w:firstLine="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四壁干净卫生、光亮，无积水，无异味，水道无堵塞</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洗手池卫生，不堵塞、下水道畅通。</w:t>
            </w:r>
          </w:p>
          <w:p w14:paraId="5A7F40C2">
            <w:pPr>
              <w:keepNext w:val="0"/>
              <w:keepLines w:val="0"/>
              <w:pageBreakBefore w:val="0"/>
              <w:widowControl w:val="0"/>
              <w:kinsoku/>
              <w:wordWrap/>
              <w:overflowPunct/>
              <w:topLinePunct w:val="0"/>
              <w:autoSpaceDE/>
              <w:autoSpaceDN/>
              <w:bidi w:val="0"/>
              <w:adjustRightInd w:val="0"/>
              <w:snapToGrid w:val="0"/>
              <w:spacing w:line="336" w:lineRule="auto"/>
              <w:ind w:firstLine="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热水器保持清洁卫生并保障开水供应。</w:t>
            </w:r>
          </w:p>
        </w:tc>
        <w:tc>
          <w:tcPr>
            <w:tcW w:w="833" w:type="dxa"/>
            <w:tcBorders>
              <w:top w:val="single" w:color="auto" w:sz="4" w:space="0"/>
              <w:left w:val="nil"/>
              <w:bottom w:val="single" w:color="auto" w:sz="4" w:space="0"/>
              <w:right w:val="single" w:color="auto" w:sz="4" w:space="0"/>
            </w:tcBorders>
            <w:noWrap w:val="0"/>
            <w:vAlign w:val="center"/>
          </w:tcPr>
          <w:p w14:paraId="0C35543B">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0" w:firstLine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1250" w:type="dxa"/>
            <w:tcBorders>
              <w:top w:val="single" w:color="auto" w:sz="4" w:space="0"/>
              <w:left w:val="nil"/>
              <w:bottom w:val="single" w:color="auto" w:sz="4" w:space="0"/>
              <w:right w:val="single" w:color="auto" w:sz="4" w:space="0"/>
            </w:tcBorders>
            <w:noWrap w:val="0"/>
            <w:vAlign w:val="center"/>
          </w:tcPr>
          <w:p w14:paraId="53E880C0">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一项不达标扣</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tc>
        <w:tc>
          <w:tcPr>
            <w:tcW w:w="884" w:type="dxa"/>
            <w:tcBorders>
              <w:top w:val="single" w:color="auto" w:sz="4" w:space="0"/>
              <w:left w:val="nil"/>
              <w:bottom w:val="single" w:color="auto" w:sz="4" w:space="0"/>
              <w:right w:val="single" w:color="auto" w:sz="4" w:space="0"/>
            </w:tcBorders>
            <w:noWrap w:val="0"/>
            <w:vAlign w:val="center"/>
          </w:tcPr>
          <w:p w14:paraId="62995A42">
            <w:pPr>
              <w:keepNext w:val="0"/>
              <w:keepLines w:val="0"/>
              <w:pageBreakBefore w:val="0"/>
              <w:widowControl w:val="0"/>
              <w:kinsoku/>
              <w:wordWrap/>
              <w:overflowPunct/>
              <w:topLinePunct w:val="0"/>
              <w:autoSpaceDE/>
              <w:autoSpaceDN/>
              <w:bidi w:val="0"/>
              <w:adjustRightInd w:val="0"/>
              <w:snapToGrid w:val="0"/>
              <w:spacing w:line="336" w:lineRule="auto"/>
              <w:ind w:firstLine="480"/>
              <w:jc w:val="both"/>
              <w:textAlignment w:val="auto"/>
              <w:rPr>
                <w:rFonts w:hint="eastAsia" w:ascii="宋体" w:hAnsi="宋体" w:eastAsia="宋体" w:cs="宋体"/>
                <w:color w:val="000000"/>
                <w:sz w:val="24"/>
                <w:szCs w:val="24"/>
              </w:rPr>
            </w:pPr>
          </w:p>
        </w:tc>
      </w:tr>
      <w:tr w14:paraId="3ED0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39" w:type="dxa"/>
            <w:tcBorders>
              <w:top w:val="single" w:color="auto" w:sz="4" w:space="0"/>
              <w:left w:val="single" w:color="auto" w:sz="4" w:space="0"/>
              <w:bottom w:val="single" w:color="auto" w:sz="4" w:space="0"/>
              <w:right w:val="single" w:color="auto" w:sz="4" w:space="0"/>
            </w:tcBorders>
            <w:noWrap w:val="0"/>
            <w:vAlign w:val="center"/>
          </w:tcPr>
          <w:p w14:paraId="698AE6EA">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公用卫生间</w:t>
            </w:r>
          </w:p>
        </w:tc>
        <w:tc>
          <w:tcPr>
            <w:tcW w:w="5650" w:type="dxa"/>
            <w:tcBorders>
              <w:top w:val="single" w:color="auto" w:sz="4" w:space="0"/>
              <w:left w:val="nil"/>
              <w:bottom w:val="single" w:color="auto" w:sz="4" w:space="0"/>
              <w:right w:val="single" w:color="auto" w:sz="4" w:space="0"/>
            </w:tcBorders>
            <w:noWrap w:val="0"/>
            <w:vAlign w:val="center"/>
          </w:tcPr>
          <w:p w14:paraId="39FB3009">
            <w:pPr>
              <w:keepNext w:val="0"/>
              <w:keepLines w:val="0"/>
              <w:pageBreakBefore w:val="0"/>
              <w:widowControl w:val="0"/>
              <w:kinsoku/>
              <w:wordWrap/>
              <w:overflowPunct/>
              <w:topLinePunct w:val="0"/>
              <w:autoSpaceDE/>
              <w:autoSpaceDN/>
              <w:bidi w:val="0"/>
              <w:adjustRightInd w:val="0"/>
              <w:snapToGrid w:val="0"/>
              <w:spacing w:line="336" w:lineRule="auto"/>
              <w:ind w:firstLine="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与病房相同项目，其卫生标准同病房要求一样。</w:t>
            </w:r>
          </w:p>
          <w:p w14:paraId="0A4B33AD">
            <w:pPr>
              <w:keepNext w:val="0"/>
              <w:keepLines w:val="0"/>
              <w:pageBreakBefore w:val="0"/>
              <w:widowControl w:val="0"/>
              <w:kinsoku/>
              <w:wordWrap/>
              <w:overflowPunct/>
              <w:topLinePunct w:val="0"/>
              <w:autoSpaceDE/>
              <w:autoSpaceDN/>
              <w:bidi w:val="0"/>
              <w:adjustRightInd w:val="0"/>
              <w:snapToGrid w:val="0"/>
              <w:spacing w:line="336" w:lineRule="auto"/>
              <w:ind w:firstLine="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便池、地面、管道、灯具、墙壁干净卫生，无积水，下水道无堵塞。便池无垢，</w:t>
            </w:r>
            <w:r>
              <w:rPr>
                <w:rFonts w:hint="eastAsia" w:ascii="宋体" w:hAnsi="宋体" w:eastAsia="宋体" w:cs="宋体"/>
                <w:color w:val="000000"/>
                <w:sz w:val="24"/>
                <w:szCs w:val="24"/>
                <w:lang w:eastAsia="zh-CN"/>
              </w:rPr>
              <w:t>无</w:t>
            </w:r>
            <w:r>
              <w:rPr>
                <w:rFonts w:hint="eastAsia" w:ascii="宋体" w:hAnsi="宋体" w:eastAsia="宋体" w:cs="宋体"/>
                <w:color w:val="000000"/>
                <w:sz w:val="24"/>
                <w:szCs w:val="24"/>
              </w:rPr>
              <w:t>臭味。</w:t>
            </w:r>
          </w:p>
        </w:tc>
        <w:tc>
          <w:tcPr>
            <w:tcW w:w="833" w:type="dxa"/>
            <w:tcBorders>
              <w:top w:val="single" w:color="auto" w:sz="4" w:space="0"/>
              <w:left w:val="nil"/>
              <w:bottom w:val="single" w:color="auto" w:sz="4" w:space="0"/>
              <w:right w:val="single" w:color="auto" w:sz="4" w:space="0"/>
            </w:tcBorders>
            <w:noWrap w:val="0"/>
            <w:vAlign w:val="center"/>
          </w:tcPr>
          <w:p w14:paraId="508C492B">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250" w:type="dxa"/>
            <w:tcBorders>
              <w:top w:val="single" w:color="auto" w:sz="4" w:space="0"/>
              <w:left w:val="nil"/>
              <w:bottom w:val="single" w:color="auto" w:sz="4" w:space="0"/>
              <w:right w:val="single" w:color="auto" w:sz="4" w:space="0"/>
            </w:tcBorders>
            <w:noWrap w:val="0"/>
            <w:vAlign w:val="center"/>
          </w:tcPr>
          <w:p w14:paraId="7C753FFD">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一项不达标扣</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tc>
        <w:tc>
          <w:tcPr>
            <w:tcW w:w="884" w:type="dxa"/>
            <w:tcBorders>
              <w:top w:val="single" w:color="auto" w:sz="4" w:space="0"/>
              <w:left w:val="nil"/>
              <w:bottom w:val="single" w:color="auto" w:sz="4" w:space="0"/>
              <w:right w:val="single" w:color="auto" w:sz="4" w:space="0"/>
            </w:tcBorders>
            <w:noWrap w:val="0"/>
            <w:vAlign w:val="center"/>
          </w:tcPr>
          <w:p w14:paraId="6BE85CDA">
            <w:pPr>
              <w:keepNext w:val="0"/>
              <w:keepLines w:val="0"/>
              <w:pageBreakBefore w:val="0"/>
              <w:widowControl w:val="0"/>
              <w:kinsoku/>
              <w:wordWrap/>
              <w:overflowPunct/>
              <w:topLinePunct w:val="0"/>
              <w:autoSpaceDE/>
              <w:autoSpaceDN/>
              <w:bidi w:val="0"/>
              <w:adjustRightInd w:val="0"/>
              <w:snapToGrid w:val="0"/>
              <w:spacing w:line="336" w:lineRule="auto"/>
              <w:ind w:firstLine="480"/>
              <w:jc w:val="both"/>
              <w:textAlignment w:val="auto"/>
              <w:rPr>
                <w:rFonts w:hint="eastAsia" w:ascii="宋体" w:hAnsi="宋体" w:eastAsia="宋体" w:cs="宋体"/>
                <w:color w:val="000000"/>
                <w:sz w:val="24"/>
                <w:szCs w:val="24"/>
              </w:rPr>
            </w:pPr>
          </w:p>
        </w:tc>
      </w:tr>
      <w:tr w14:paraId="0A16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39" w:type="dxa"/>
            <w:tcBorders>
              <w:top w:val="single" w:color="auto" w:sz="4" w:space="0"/>
              <w:left w:val="single" w:color="auto" w:sz="4" w:space="0"/>
              <w:bottom w:val="single" w:color="auto" w:sz="4" w:space="0"/>
              <w:right w:val="single" w:color="auto" w:sz="4" w:space="0"/>
            </w:tcBorders>
            <w:noWrap w:val="0"/>
            <w:vAlign w:val="center"/>
          </w:tcPr>
          <w:p w14:paraId="59AE879B">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公共通道玻璃</w:t>
            </w:r>
          </w:p>
        </w:tc>
        <w:tc>
          <w:tcPr>
            <w:tcW w:w="5650" w:type="dxa"/>
            <w:tcBorders>
              <w:top w:val="single" w:color="auto" w:sz="4" w:space="0"/>
              <w:left w:val="nil"/>
              <w:bottom w:val="single" w:color="auto" w:sz="4" w:space="0"/>
              <w:right w:val="single" w:color="auto" w:sz="4" w:space="0"/>
            </w:tcBorders>
            <w:noWrap w:val="0"/>
            <w:vAlign w:val="center"/>
          </w:tcPr>
          <w:p w14:paraId="27ACC30A">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无灰尘、无印迹、清洁干净</w:t>
            </w:r>
          </w:p>
        </w:tc>
        <w:tc>
          <w:tcPr>
            <w:tcW w:w="833" w:type="dxa"/>
            <w:tcBorders>
              <w:top w:val="single" w:color="auto" w:sz="4" w:space="0"/>
              <w:left w:val="nil"/>
              <w:bottom w:val="single" w:color="auto" w:sz="4" w:space="0"/>
              <w:right w:val="single" w:color="auto" w:sz="4" w:space="0"/>
            </w:tcBorders>
            <w:noWrap w:val="0"/>
            <w:vAlign w:val="center"/>
          </w:tcPr>
          <w:p w14:paraId="62EE9814">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0" w:firstLineChars="0"/>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5</w:t>
            </w:r>
          </w:p>
        </w:tc>
        <w:tc>
          <w:tcPr>
            <w:tcW w:w="1250" w:type="dxa"/>
            <w:tcBorders>
              <w:top w:val="single" w:color="auto" w:sz="4" w:space="0"/>
              <w:left w:val="nil"/>
              <w:bottom w:val="single" w:color="auto" w:sz="4" w:space="0"/>
              <w:right w:val="single" w:color="auto" w:sz="4" w:space="0"/>
            </w:tcBorders>
            <w:noWrap w:val="0"/>
            <w:vAlign w:val="center"/>
          </w:tcPr>
          <w:p w14:paraId="1041DE95">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一项不达标扣</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tc>
        <w:tc>
          <w:tcPr>
            <w:tcW w:w="884" w:type="dxa"/>
            <w:tcBorders>
              <w:top w:val="single" w:color="auto" w:sz="4" w:space="0"/>
              <w:left w:val="nil"/>
              <w:bottom w:val="single" w:color="auto" w:sz="4" w:space="0"/>
              <w:right w:val="single" w:color="auto" w:sz="4" w:space="0"/>
            </w:tcBorders>
            <w:noWrap w:val="0"/>
            <w:vAlign w:val="center"/>
          </w:tcPr>
          <w:p w14:paraId="18383A2D">
            <w:pPr>
              <w:keepNext w:val="0"/>
              <w:keepLines w:val="0"/>
              <w:pageBreakBefore w:val="0"/>
              <w:widowControl w:val="0"/>
              <w:kinsoku/>
              <w:wordWrap/>
              <w:overflowPunct/>
              <w:topLinePunct w:val="0"/>
              <w:autoSpaceDE/>
              <w:autoSpaceDN/>
              <w:bidi w:val="0"/>
              <w:adjustRightInd w:val="0"/>
              <w:snapToGrid w:val="0"/>
              <w:spacing w:line="336" w:lineRule="auto"/>
              <w:ind w:firstLine="480"/>
              <w:jc w:val="both"/>
              <w:textAlignment w:val="auto"/>
              <w:rPr>
                <w:rFonts w:hint="eastAsia" w:ascii="宋体" w:hAnsi="宋体" w:eastAsia="宋体" w:cs="宋体"/>
                <w:color w:val="000000"/>
                <w:sz w:val="24"/>
                <w:szCs w:val="24"/>
              </w:rPr>
            </w:pPr>
          </w:p>
        </w:tc>
      </w:tr>
      <w:tr w14:paraId="1449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339" w:type="dxa"/>
            <w:tcBorders>
              <w:top w:val="single" w:color="auto" w:sz="4" w:space="0"/>
              <w:left w:val="single" w:color="auto" w:sz="4" w:space="0"/>
              <w:bottom w:val="single" w:color="auto" w:sz="4" w:space="0"/>
              <w:right w:val="single" w:color="auto" w:sz="4" w:space="0"/>
            </w:tcBorders>
            <w:noWrap w:val="0"/>
            <w:vAlign w:val="center"/>
          </w:tcPr>
          <w:p w14:paraId="1CF9AA86">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rPr>
              <w:t>考</w:t>
            </w:r>
            <w:r>
              <w:rPr>
                <w:rFonts w:hint="eastAsia" w:ascii="宋体" w:hAnsi="宋体" w:eastAsia="宋体" w:cs="宋体"/>
                <w:sz w:val="24"/>
                <w:szCs w:val="24"/>
                <w:lang w:eastAsia="zh-CN"/>
              </w:rPr>
              <w:t>核</w:t>
            </w:r>
            <w:r>
              <w:rPr>
                <w:rFonts w:hint="eastAsia" w:ascii="宋体" w:hAnsi="宋体" w:eastAsia="宋体" w:cs="宋体"/>
                <w:color w:val="000000"/>
                <w:sz w:val="24"/>
                <w:szCs w:val="24"/>
                <w:lang w:val="en-US" w:eastAsia="zh-CN"/>
              </w:rPr>
              <w:t>等级</w:t>
            </w:r>
          </w:p>
        </w:tc>
        <w:tc>
          <w:tcPr>
            <w:tcW w:w="5650" w:type="dxa"/>
            <w:tcBorders>
              <w:top w:val="single" w:color="auto" w:sz="4" w:space="0"/>
              <w:left w:val="nil"/>
              <w:bottom w:val="single" w:color="auto" w:sz="4" w:space="0"/>
              <w:right w:val="single" w:color="auto" w:sz="4" w:space="0"/>
            </w:tcBorders>
            <w:noWrap w:val="0"/>
            <w:vAlign w:val="center"/>
          </w:tcPr>
          <w:p w14:paraId="303F5817">
            <w:pPr>
              <w:keepNext w:val="0"/>
              <w:keepLines w:val="0"/>
              <w:pageBreakBefore w:val="0"/>
              <w:widowControl w:val="0"/>
              <w:tabs>
                <w:tab w:val="left" w:pos="3225"/>
              </w:tabs>
              <w:kinsoku/>
              <w:wordWrap/>
              <w:overflowPunct/>
              <w:topLinePunct w:val="0"/>
              <w:autoSpaceDE/>
              <w:autoSpaceDN/>
              <w:bidi w:val="0"/>
              <w:adjustRightInd w:val="0"/>
              <w:snapToGrid w:val="0"/>
              <w:spacing w:line="336" w:lineRule="auto"/>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ab/>
            </w:r>
          </w:p>
        </w:tc>
        <w:tc>
          <w:tcPr>
            <w:tcW w:w="833" w:type="dxa"/>
            <w:tcBorders>
              <w:top w:val="single" w:color="auto" w:sz="4" w:space="0"/>
              <w:left w:val="nil"/>
              <w:bottom w:val="single" w:color="auto" w:sz="4" w:space="0"/>
              <w:right w:val="single" w:color="auto" w:sz="4" w:space="0"/>
            </w:tcBorders>
            <w:noWrap w:val="0"/>
            <w:vAlign w:val="center"/>
          </w:tcPr>
          <w:p w14:paraId="769DB20C">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0" w:firstLine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合计得分</w:t>
            </w:r>
          </w:p>
        </w:tc>
        <w:tc>
          <w:tcPr>
            <w:tcW w:w="2134" w:type="dxa"/>
            <w:gridSpan w:val="2"/>
            <w:tcBorders>
              <w:top w:val="single" w:color="auto" w:sz="4" w:space="0"/>
              <w:left w:val="nil"/>
              <w:bottom w:val="single" w:color="auto" w:sz="4" w:space="0"/>
              <w:right w:val="single" w:color="auto" w:sz="4" w:space="0"/>
            </w:tcBorders>
            <w:noWrap w:val="0"/>
            <w:vAlign w:val="center"/>
          </w:tcPr>
          <w:p w14:paraId="5C9636E8">
            <w:pPr>
              <w:keepNext w:val="0"/>
              <w:keepLines w:val="0"/>
              <w:pageBreakBefore w:val="0"/>
              <w:widowControl w:val="0"/>
              <w:kinsoku/>
              <w:wordWrap/>
              <w:overflowPunct/>
              <w:topLinePunct w:val="0"/>
              <w:autoSpaceDE/>
              <w:autoSpaceDN/>
              <w:bidi w:val="0"/>
              <w:adjustRightInd w:val="0"/>
              <w:snapToGrid w:val="0"/>
              <w:spacing w:line="336" w:lineRule="auto"/>
              <w:ind w:firstLine="480"/>
              <w:jc w:val="both"/>
              <w:textAlignment w:val="auto"/>
              <w:rPr>
                <w:rFonts w:hint="eastAsia" w:ascii="宋体" w:hAnsi="宋体" w:eastAsia="宋体" w:cs="宋体"/>
                <w:color w:val="000000"/>
                <w:sz w:val="24"/>
                <w:szCs w:val="24"/>
              </w:rPr>
            </w:pPr>
          </w:p>
        </w:tc>
      </w:tr>
      <w:tr w14:paraId="6D2C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9956" w:type="dxa"/>
            <w:gridSpan w:val="5"/>
            <w:tcBorders>
              <w:top w:val="single" w:color="auto" w:sz="4" w:space="0"/>
              <w:left w:val="single" w:color="auto" w:sz="4" w:space="0"/>
              <w:bottom w:val="single" w:color="auto" w:sz="4" w:space="0"/>
              <w:right w:val="single" w:color="auto" w:sz="4" w:space="0"/>
            </w:tcBorders>
            <w:noWrap w:val="0"/>
            <w:vAlign w:val="center"/>
          </w:tcPr>
          <w:p w14:paraId="5681A4C7">
            <w:pPr>
              <w:keepNext w:val="0"/>
              <w:keepLines w:val="0"/>
              <w:pageBreakBefore w:val="0"/>
              <w:widowControl w:val="0"/>
              <w:tabs>
                <w:tab w:val="left" w:pos="3468"/>
                <w:tab w:val="center" w:pos="4449"/>
              </w:tabs>
              <w:kinsoku/>
              <w:wordWrap/>
              <w:overflowPunct/>
              <w:topLinePunct w:val="0"/>
              <w:autoSpaceDE/>
              <w:autoSpaceDN/>
              <w:bidi w:val="0"/>
              <w:adjustRightInd w:val="0"/>
              <w:snapToGrid w:val="0"/>
              <w:spacing w:line="336"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合计</w:t>
            </w:r>
            <w:r>
              <w:rPr>
                <w:rFonts w:hint="eastAsia" w:ascii="宋体" w:hAnsi="宋体" w:eastAsia="宋体" w:cs="宋体"/>
                <w:sz w:val="24"/>
                <w:szCs w:val="24"/>
                <w:lang w:val="en-US" w:eastAsia="zh-CN"/>
              </w:rPr>
              <w:t>分值</w:t>
            </w:r>
            <w:r>
              <w:rPr>
                <w:rFonts w:hint="eastAsia" w:ascii="宋体" w:hAnsi="宋体" w:eastAsia="宋体" w:cs="宋体"/>
                <w:sz w:val="24"/>
                <w:szCs w:val="24"/>
                <w:lang w:eastAsia="zh-CN"/>
              </w:rPr>
              <w:t>：</w:t>
            </w:r>
            <w:r>
              <w:rPr>
                <w:rFonts w:hint="eastAsia" w:ascii="宋体" w:hAnsi="宋体" w:eastAsia="宋体" w:cs="宋体"/>
                <w:sz w:val="24"/>
                <w:szCs w:val="24"/>
              </w:rPr>
              <w:t>100分</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p>
          <w:p w14:paraId="6809A120">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扣分标准：</w:t>
            </w:r>
            <w:r>
              <w:rPr>
                <w:rFonts w:hint="eastAsia" w:ascii="宋体" w:hAnsi="宋体" w:eastAsia="宋体" w:cs="宋体"/>
                <w:color w:val="000000"/>
                <w:sz w:val="24"/>
                <w:szCs w:val="24"/>
              </w:rPr>
              <w:t>一次不达标扣</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r>
              <w:rPr>
                <w:rFonts w:hint="eastAsia" w:ascii="宋体" w:hAnsi="宋体" w:eastAsia="宋体" w:cs="宋体"/>
                <w:color w:val="000000"/>
                <w:sz w:val="24"/>
                <w:szCs w:val="24"/>
                <w:lang w:val="en-US" w:eastAsia="zh-CN"/>
              </w:rPr>
              <w:t>；</w:t>
            </w:r>
          </w:p>
          <w:p w14:paraId="71A2E61C">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lang w:eastAsia="zh-CN"/>
              </w:rPr>
              <w:t>得分</w:t>
            </w:r>
            <w:r>
              <w:rPr>
                <w:rFonts w:hint="eastAsia" w:ascii="宋体" w:hAnsi="宋体" w:eastAsia="宋体" w:cs="宋体"/>
                <w:sz w:val="24"/>
                <w:szCs w:val="24"/>
                <w:lang w:val="en-US" w:eastAsia="zh-CN"/>
              </w:rPr>
              <w:t>标准：</w:t>
            </w:r>
            <w:r>
              <w:rPr>
                <w:rFonts w:hint="eastAsia" w:ascii="宋体" w:hAnsi="宋体" w:eastAsia="宋体" w:cs="宋体"/>
                <w:sz w:val="24"/>
                <w:szCs w:val="24"/>
                <w:lang w:eastAsia="zh-CN"/>
              </w:rPr>
              <w:t>7</w:t>
            </w:r>
            <w:r>
              <w:rPr>
                <w:rFonts w:hint="eastAsia" w:ascii="宋体" w:hAnsi="宋体" w:eastAsia="宋体" w:cs="宋体"/>
                <w:sz w:val="24"/>
                <w:szCs w:val="24"/>
                <w:lang w:val="en-US" w:eastAsia="zh-CN"/>
              </w:rPr>
              <w:t>0分及以下</w:t>
            </w:r>
            <w:r>
              <w:rPr>
                <w:rFonts w:hint="eastAsia" w:ascii="宋体" w:hAnsi="宋体" w:eastAsia="宋体" w:cs="宋体"/>
                <w:sz w:val="24"/>
                <w:szCs w:val="24"/>
                <w:lang w:eastAsia="zh-CN"/>
              </w:rPr>
              <w:t>计差评为不合格；</w:t>
            </w:r>
            <w:r>
              <w:rPr>
                <w:rFonts w:hint="eastAsia" w:ascii="宋体" w:hAnsi="宋体" w:eastAsia="宋体" w:cs="宋体"/>
                <w:sz w:val="24"/>
                <w:szCs w:val="24"/>
                <w:lang w:val="en-US" w:eastAsia="zh-CN"/>
              </w:rPr>
              <w:t>75-</w:t>
            </w:r>
            <w:r>
              <w:rPr>
                <w:rFonts w:hint="eastAsia" w:ascii="宋体" w:hAnsi="宋体" w:eastAsia="宋体" w:cs="宋体"/>
                <w:sz w:val="24"/>
                <w:szCs w:val="24"/>
                <w:lang w:eastAsia="zh-CN"/>
              </w:rPr>
              <w:t>85分计一般为合格；90分计良好；95</w:t>
            </w:r>
            <w:r>
              <w:rPr>
                <w:rFonts w:hint="eastAsia" w:ascii="宋体" w:hAnsi="宋体" w:eastAsia="宋体" w:cs="宋体"/>
                <w:sz w:val="24"/>
                <w:szCs w:val="24"/>
                <w:lang w:val="en-US" w:eastAsia="zh-CN"/>
              </w:rPr>
              <w:t>及满分</w:t>
            </w:r>
            <w:r>
              <w:rPr>
                <w:rFonts w:hint="eastAsia" w:ascii="宋体" w:hAnsi="宋体" w:eastAsia="宋体" w:cs="宋体"/>
                <w:sz w:val="24"/>
                <w:szCs w:val="24"/>
                <w:lang w:eastAsia="zh-CN"/>
              </w:rPr>
              <w:t>计好。</w:t>
            </w:r>
          </w:p>
        </w:tc>
      </w:tr>
    </w:tbl>
    <w:p w14:paraId="31CB2592">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优化卫生考核标准，严格考核措施。</w:t>
      </w:r>
    </w:p>
    <w:p w14:paraId="1B0935D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1.总值班考核：由总值班每天通报卫生情况，差评为不合格，计70分；一般为合格，计75-85分；良好计90分；好计95分或满分；最终得分按平均分计算，低于90分者每低五分扣减服务费100.00元，依次累加。</w:t>
      </w:r>
    </w:p>
    <w:p w14:paraId="59B9AF3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2.后勤管理科考核：由后勤管理主管每周定时对全院公共区域卫生进行抽查，每月进行综合考核打分，考核大于等于90分为合格，低于90分者每低五分扣减服务费100.00元，依次累加。</w:t>
      </w:r>
    </w:p>
    <w:p w14:paraId="160E25E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3.总务科考核：由总务科不定期对全院公共区域卫生进行检查，每月进行综合考核打分，考核大于等于90分为合格，低于90分者每低一分扣减服务费100.00元，依次累加。</w:t>
      </w:r>
    </w:p>
    <w:p w14:paraId="2995D4D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4.科室考核：由各科室护士长每月综合考核打分，考核大于等于90分为合格，低于90分者每低五分扣减服务费100.00元，依次累加。</w:t>
      </w:r>
    </w:p>
    <w:p w14:paraId="4546472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5.单项考核：在保洁服务过程中发生投诉或纠纷等，每发生一次扣减当月服务费300.00元；被县级部门通报批评一次扣减当月服务费500.00元；被市级及以上部门通报批评一次扣减当月服务费1000.00元。</w:t>
      </w:r>
    </w:p>
    <w:p w14:paraId="1911439E">
      <w:pPr>
        <w:numPr>
          <w:ilvl w:val="0"/>
          <w:numId w:val="0"/>
        </w:numPr>
        <w:ind w:left="0" w:leftChars="0" w:firstLine="562" w:firstLineChars="200"/>
        <w:jc w:val="left"/>
        <w:rPr>
          <w:rFonts w:hint="eastAsia" w:ascii="宋体" w:hAnsi="宋体" w:cs="宋体"/>
          <w:b/>
          <w:bCs w:val="0"/>
          <w:kern w:val="2"/>
          <w:sz w:val="28"/>
          <w:szCs w:val="28"/>
          <w:lang w:val="en-US" w:eastAsia="zh-CN" w:bidi="ar-SA"/>
        </w:rPr>
      </w:pPr>
      <w:r>
        <w:rPr>
          <w:rFonts w:hint="eastAsia" w:ascii="宋体" w:hAnsi="宋体" w:cs="宋体"/>
          <w:b/>
          <w:bCs w:val="0"/>
          <w:kern w:val="2"/>
          <w:sz w:val="28"/>
          <w:szCs w:val="28"/>
          <w:lang w:val="en-US" w:eastAsia="zh-CN" w:bidi="ar-SA"/>
        </w:rPr>
        <w:t>四、商务要求</w:t>
      </w:r>
    </w:p>
    <w:p w14:paraId="0A4F1E4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1.服务期限：本次采购1年，本次采购服务期限满后，若服务质量及考核标准满足采购方要求，则可续签下一年度合同，最长可续签两年。</w:t>
      </w:r>
      <w:r>
        <w:rPr>
          <w:rFonts w:hint="eastAsia" w:ascii="宋体" w:hAnsi="宋体" w:eastAsia="宋体" w:cs="宋体"/>
          <w:i w:val="0"/>
          <w:iCs w:val="0"/>
          <w:color w:val="auto"/>
          <w:sz w:val="24"/>
          <w:szCs w:val="24"/>
          <w:highlight w:val="none"/>
          <w:u w:val="none"/>
          <w:lang w:val="en-US" w:eastAsia="zh-CN"/>
        </w:rPr>
        <w:tab/>
      </w:r>
    </w:p>
    <w:p w14:paraId="57B10D8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2.服务地点：采购人指定地点</w:t>
      </w:r>
    </w:p>
    <w:p w14:paraId="7D4DE9B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3.付款方式：以签订合同为准</w:t>
      </w:r>
    </w:p>
    <w:p w14:paraId="4A739E00">
      <w:pPr>
        <w:pStyle w:val="4"/>
        <w:keepNext/>
        <w:keepLines/>
        <w:pageBreakBefore/>
        <w:widowControl w:val="0"/>
        <w:numPr>
          <w:ilvl w:val="0"/>
          <w:numId w:val="9"/>
        </w:numPr>
        <w:kinsoku/>
        <w:wordWrap/>
        <w:overflowPunct/>
        <w:topLinePunct w:val="0"/>
        <w:autoSpaceDE/>
        <w:autoSpaceDN/>
        <w:bidi w:val="0"/>
        <w:adjustRightInd/>
        <w:snapToGrid/>
        <w:ind w:left="0" w:leftChars="0" w:firstLine="0" w:firstLineChars="0"/>
        <w:textAlignment w:val="auto"/>
        <w:rPr>
          <w:rFonts w:hint="eastAsia" w:ascii="宋体" w:hAnsi="宋体" w:cs="宋体"/>
          <w:color w:val="000000" w:themeColor="text1"/>
          <w14:textFill>
            <w14:solidFill>
              <w14:schemeClr w14:val="tx1"/>
            </w14:solidFill>
          </w14:textFill>
        </w:rPr>
      </w:pPr>
      <w:bookmarkStart w:id="160" w:name="_Toc536202391"/>
      <w:bookmarkStart w:id="161" w:name="_Toc536202322"/>
      <w:bookmarkStart w:id="162" w:name="_Toc536429384"/>
      <w:bookmarkStart w:id="163" w:name="_Toc536429331"/>
      <w:bookmarkStart w:id="164" w:name="_Toc10286"/>
      <w:bookmarkStart w:id="165" w:name="_Toc30668"/>
      <w:bookmarkStart w:id="166" w:name="_Toc19543347"/>
      <w:r>
        <w:rPr>
          <w:rFonts w:ascii="宋体" w:hAnsi="宋体" w:cs="宋体"/>
          <w:color w:val="000000" w:themeColor="text1"/>
          <w14:textFill>
            <w14:solidFill>
              <w14:schemeClr w14:val="tx1"/>
            </w14:solidFill>
          </w14:textFill>
        </w:rPr>
        <w:t xml:space="preserve"> </w:t>
      </w:r>
      <w:bookmarkEnd w:id="155"/>
      <w:bookmarkEnd w:id="156"/>
      <w:bookmarkEnd w:id="160"/>
      <w:bookmarkEnd w:id="161"/>
      <w:bookmarkEnd w:id="162"/>
      <w:bookmarkEnd w:id="163"/>
      <w:bookmarkEnd w:id="164"/>
      <w:bookmarkStart w:id="167" w:name="_Toc3837039"/>
      <w:bookmarkStart w:id="168" w:name="_Toc5186"/>
      <w:r>
        <w:rPr>
          <w:rFonts w:hint="eastAsia" w:ascii="宋体" w:hAnsi="宋体" w:cs="宋体"/>
          <w:color w:val="000000" w:themeColor="text1"/>
          <w14:textFill>
            <w14:solidFill>
              <w14:schemeClr w14:val="tx1"/>
            </w14:solidFill>
          </w14:textFill>
        </w:rPr>
        <w:t>合同主要条款</w:t>
      </w:r>
      <w:bookmarkEnd w:id="165"/>
      <w:bookmarkEnd w:id="166"/>
      <w:bookmarkEnd w:id="167"/>
      <w:bookmarkEnd w:id="168"/>
    </w:p>
    <w:p w14:paraId="1BC7C711">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textAlignment w:val="auto"/>
        <w:rPr>
          <w:rFonts w:hint="eastAsia" w:ascii="宋体" w:hAnsi="宋体" w:cs="宋体"/>
          <w:b/>
          <w:bCs/>
          <w:sz w:val="24"/>
          <w:szCs w:val="24"/>
        </w:rPr>
      </w:pPr>
      <w:bookmarkStart w:id="169" w:name="_Toc13998"/>
      <w:bookmarkStart w:id="170" w:name="_Toc2234"/>
      <w:bookmarkStart w:id="171" w:name="_Toc536429332"/>
      <w:bookmarkStart w:id="172" w:name="_Toc536202392"/>
      <w:bookmarkStart w:id="173" w:name="_Toc536429385"/>
      <w:bookmarkStart w:id="174" w:name="_Toc536202323"/>
      <w:bookmarkStart w:id="175" w:name="_Toc19543348"/>
      <w:r>
        <w:rPr>
          <w:rFonts w:hint="eastAsia" w:ascii="宋体" w:hAnsi="宋体" w:cs="宋体"/>
          <w:b/>
          <w:bCs/>
          <w:sz w:val="24"/>
          <w:szCs w:val="24"/>
        </w:rPr>
        <w:t>（说明：本合同作为合同的基本格式，不作为最终合同，甲方有权在签订合同时对合同的相关条款及内容</w:t>
      </w:r>
      <w:r>
        <w:rPr>
          <w:rFonts w:hint="eastAsia" w:ascii="宋体" w:hAnsi="宋体" w:cs="宋体"/>
          <w:b/>
          <w:bCs/>
          <w:sz w:val="24"/>
          <w:szCs w:val="24"/>
          <w:lang w:eastAsia="zh-CN"/>
        </w:rPr>
        <w:t>做</w:t>
      </w:r>
      <w:r>
        <w:rPr>
          <w:rFonts w:hint="eastAsia" w:ascii="宋体" w:hAnsi="宋体" w:cs="宋体"/>
          <w:b/>
          <w:bCs/>
          <w:sz w:val="24"/>
          <w:szCs w:val="24"/>
        </w:rPr>
        <w:t>进一步的细化和修改）</w:t>
      </w:r>
    </w:p>
    <w:p w14:paraId="2B0AE1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甲方（全称）：                     </w:t>
      </w:r>
    </w:p>
    <w:p w14:paraId="4F0472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乙方（全称）：                     </w:t>
      </w:r>
    </w:p>
    <w:p w14:paraId="02D4A4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经甲、乙双方友好协商，遵循平等、自愿、公平和诚实信用的原则，双方就平利县中医医院保洁服务项目事宜达成一致，并签订本合同。 </w:t>
      </w:r>
      <w:r>
        <w:rPr>
          <w:rFonts w:hint="eastAsia" w:ascii="宋体" w:hAnsi="宋体" w:eastAsia="宋体" w:cs="宋体"/>
          <w:sz w:val="24"/>
          <w:szCs w:val="24"/>
        </w:rPr>
        <w:t xml:space="preserve">  </w:t>
      </w:r>
    </w:p>
    <w:p w14:paraId="4DC342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、甲方权利义务</w:t>
      </w:r>
    </w:p>
    <w:p w14:paraId="321516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甲方随时对乙方工作进行监督、检查，乙方工作中出现问题应及时整改，如不及时整改，甲方有权扣减承包费用。</w:t>
      </w:r>
    </w:p>
    <w:p w14:paraId="718EC8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甲方有权要求乙方更换不符合要求的工作人员。</w:t>
      </w:r>
    </w:p>
    <w:p w14:paraId="001AFB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甲方为乙方免费提供办公场所、洗涤场所、配送中心场所。</w:t>
      </w:r>
    </w:p>
    <w:p w14:paraId="504B3C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4.甲方随时对乙方工作进行监督、检查，乙方工作中出现问题应及时整改，经警示后如不及时整改，甲方有权提出中止合同。</w:t>
      </w:r>
    </w:p>
    <w:p w14:paraId="50452D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5.甲方有权要求乙方更换不符合要求的工作人员。</w:t>
      </w:r>
    </w:p>
    <w:p w14:paraId="2254DD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、乙方权利义务</w:t>
      </w:r>
    </w:p>
    <w:p w14:paraId="3BBAD6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1.乙方必须成立专门的现场质量管理小组，服从配合甲方的总体工作安排管理，及时有效完成合同条款内指定的各项工作任务，要做到随叫随到保证甲方各区域清洁，病人和职工满意。</w:t>
      </w:r>
    </w:p>
    <w:p w14:paraId="1E9E8F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2.乙方必须严格遵守国家法律法规，遵守本合同条款及甲方的各项规章制度，认真执行治安、消防、安全等管理法规，接受甲方的监督、指导和管理。</w:t>
      </w:r>
    </w:p>
    <w:p w14:paraId="7E4849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乙方聘用人员由甲方负责日常监督管理。派遣到甲方现场工作的人员必须进行规范化岗前职业素质技能培训，言行举止文明礼貌、优质服务，严格执行保洁服务管理制度。熟练掌握消防安全知识技能，安全意识强。甲方有权检查现场工作人员对方法和技巧的掌握是否达要求。</w:t>
      </w:r>
    </w:p>
    <w:p w14:paraId="0B622D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4.乙方应服从完成甲方在重大节日及重大活动安排的临时性工作。</w:t>
      </w:r>
    </w:p>
    <w:p w14:paraId="4D52B3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5.乙方应服从完成甲方组织、安排的各种救灾抢险、突发疫情、公共卫生事件等相关工作任务。</w:t>
      </w:r>
    </w:p>
    <w:p w14:paraId="239714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6.乙方为所聘员工办理用工相关手续，且与甲方无任何劳动合同关系。</w:t>
      </w:r>
    </w:p>
    <w:p w14:paraId="2F6CE1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7.乙方聘用员工必须保持相对稳定，有备用人员，不得频繁调换工作人员影响甲方工作正常运行，否则，承担全部损失。</w:t>
      </w:r>
    </w:p>
    <w:p w14:paraId="7453FB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保洁所需的工具、设备、耗材、人工、培训、服装等一切费用由乙方自行解决（垃圾运送箱、被服服务中心被服运送车、垃圾桶、果皮箱、地垫等除外），统一着装，挂牌上岗，使用国家正规品牌的保洁、洗涤、消毒用品，且符合消毒规范达标要求，若因使用伪劣商品而造成的后果由乙方负责。</w:t>
      </w:r>
    </w:p>
    <w:p w14:paraId="4F4FD7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9.乙方需保证工作时间内所有保洁员完成岗位工作，按质量管理要求，主动巡视岗位责任区，保持环境卫生整洁，不得从事其他与保洁无关的事务，如收集废药瓶、废包装纸箱等。</w:t>
      </w:r>
    </w:p>
    <w:p w14:paraId="0F0C0D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10.乙方工作人员必须爱护甲方的各种设施、设备，如果因乙方人员造成的损失，则由乙方负责照价赔偿。</w:t>
      </w:r>
    </w:p>
    <w:p w14:paraId="5C034B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11.乙方保洁服务人员在服务过程中有责任和义务为甲方节约用水、电等。</w:t>
      </w:r>
    </w:p>
    <w:p w14:paraId="6B25DF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12.乙方需做好与上一任保洁公司的交接工作。</w:t>
      </w:r>
    </w:p>
    <w:p w14:paraId="5BECE5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、工作质量标准</w:t>
      </w:r>
    </w:p>
    <w:p w14:paraId="6EF699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卫生质量标准：卫生质量达到医院、社区及省、市、县主管部门有关标准，达到国家、省、市创卫标准。清洁消毒等符合医院感染管理要求。</w:t>
      </w:r>
    </w:p>
    <w:p w14:paraId="72CEA8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rPr>
        <w:t>、付款方式</w:t>
      </w:r>
    </w:p>
    <w:p w14:paraId="21B28A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rPr>
        <w:t>付款方式：</w:t>
      </w:r>
      <w:r>
        <w:rPr>
          <w:rFonts w:hint="eastAsia" w:ascii="宋体" w:hAnsi="宋体" w:eastAsia="宋体" w:cs="宋体"/>
          <w:sz w:val="24"/>
          <w:szCs w:val="24"/>
          <w:lang w:val="en-US" w:eastAsia="zh-CN"/>
        </w:rPr>
        <w:t>以签订合同为准</w:t>
      </w:r>
    </w:p>
    <w:p w14:paraId="035268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、考核办法</w:t>
      </w:r>
    </w:p>
    <w:p w14:paraId="296200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按医院考核实行月考核制度及日常巡查、满意度调查综合考核标准，甲方主管科室安排专职组织相关人员负责检查，并按保洁质量评分表进行考核。</w:t>
      </w:r>
    </w:p>
    <w:p w14:paraId="64D7E3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、安全责任</w:t>
      </w:r>
    </w:p>
    <w:p w14:paraId="1A24D5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乙方人员在工作中应高度重视人员安全和消防安全，凡造成员工本人或他人伤、残、亡所产生的一切后果由乙方承担，甲方不负担任何责任。</w:t>
      </w:r>
    </w:p>
    <w:p w14:paraId="7598CA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w:t>
      </w:r>
      <w:r>
        <w:rPr>
          <w:rFonts w:hint="eastAsia" w:ascii="宋体" w:hAnsi="宋体" w:eastAsia="宋体" w:cs="宋体"/>
          <w:sz w:val="24"/>
          <w:szCs w:val="24"/>
        </w:rPr>
        <w:t>、应急预案</w:t>
      </w:r>
    </w:p>
    <w:p w14:paraId="1A4FD4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如果岗位出现其他突发情况，在5分钟内通知相邻岗位保洁员，15分钟之内通知组长，并通知到保洁主管，主管在30分钟内组织协调解决并向公司汇报。</w:t>
      </w:r>
    </w:p>
    <w:p w14:paraId="7723EE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八</w:t>
      </w:r>
      <w:r>
        <w:rPr>
          <w:rFonts w:hint="eastAsia" w:ascii="宋体" w:hAnsi="宋体" w:eastAsia="宋体" w:cs="宋体"/>
          <w:sz w:val="24"/>
          <w:szCs w:val="24"/>
        </w:rPr>
        <w:t>、违约责任</w:t>
      </w:r>
    </w:p>
    <w:p w14:paraId="6FF218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本合同每年度签订，甲乙双方应信守本合同，严格按合同条款执行，发生争议时，由双方协商解决，如不能协商解决，可向所在地人民法院起诉，承担违约责任。</w:t>
      </w:r>
    </w:p>
    <w:p w14:paraId="2C27C0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如乙方未按合同标准执行，甲方在合同期满后有权解除合同。</w:t>
      </w:r>
    </w:p>
    <w:p w14:paraId="69BBF0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本合同未尽事宜，由甲乙双方协商后再签订补充协议，补充协议与原合同具有同等法律效力。</w:t>
      </w:r>
    </w:p>
    <w:p w14:paraId="43C000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本合同一式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份，甲方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份，乙方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份，经甲乙双方签字、单位盖章后生效。</w:t>
      </w:r>
    </w:p>
    <w:p w14:paraId="6FDAA4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24F4CF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094923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38DB57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744915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甲方名称（盖章）: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乙方名称（盖章）:</w:t>
      </w:r>
    </w:p>
    <w:p w14:paraId="0F5899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地址：</w:t>
      </w:r>
    </w:p>
    <w:p w14:paraId="7D5DEF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代表人（签字）：</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代表人（签字）：</w:t>
      </w:r>
    </w:p>
    <w:p w14:paraId="5363B1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电话：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电话：</w:t>
      </w:r>
    </w:p>
    <w:p w14:paraId="3D4EAA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开户银行：</w:t>
      </w:r>
    </w:p>
    <w:p w14:paraId="721FB5A3">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0FC1206C">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textAlignment w:val="auto"/>
        <w:rPr>
          <w:rFonts w:hint="eastAsia" w:ascii="宋体" w:hAnsi="宋体" w:cs="宋体"/>
          <w:b/>
          <w:bCs/>
          <w:sz w:val="24"/>
          <w:szCs w:val="24"/>
        </w:rPr>
      </w:pPr>
    </w:p>
    <w:p w14:paraId="74F584A0">
      <w:pPr>
        <w:pStyle w:val="4"/>
        <w:keepNext/>
        <w:keepLines/>
        <w:pageBreakBefore/>
        <w:widowControl w:val="0"/>
        <w:numPr>
          <w:ilvl w:val="0"/>
          <w:numId w:val="9"/>
        </w:numPr>
        <w:kinsoku/>
        <w:wordWrap/>
        <w:overflowPunct/>
        <w:topLinePunct w:val="0"/>
        <w:autoSpaceDE/>
        <w:autoSpaceDN/>
        <w:bidi w:val="0"/>
        <w:adjustRightInd/>
        <w:snapToGrid/>
        <w:ind w:left="0" w:leftChars="0" w:firstLine="0" w:firstLineChars="0"/>
        <w:textAlignment w:val="auto"/>
        <w:rPr>
          <w:rFonts w:ascii="宋体" w:hAnsi="宋体" w:cs="宋体"/>
          <w:color w:val="000000" w:themeColor="text1"/>
          <w14:textFill>
            <w14:solidFill>
              <w14:schemeClr w14:val="tx1"/>
            </w14:solidFill>
          </w14:textFill>
        </w:rPr>
      </w:pPr>
      <w:bookmarkStart w:id="176" w:name="_Toc32731"/>
      <w:r>
        <w:rPr>
          <w:rFonts w:ascii="宋体" w:hAnsi="宋体" w:cs="宋体"/>
          <w:color w:val="000000" w:themeColor="text1"/>
          <w14:textFill>
            <w14:solidFill>
              <w14:schemeClr w14:val="tx1"/>
            </w14:solidFill>
          </w14:textFill>
        </w:rPr>
        <w:t xml:space="preserve"> </w:t>
      </w:r>
      <w:bookmarkStart w:id="177" w:name="_Toc23847"/>
      <w:r>
        <w:rPr>
          <w:rFonts w:hint="eastAsia" w:ascii="宋体" w:hAnsi="宋体" w:cs="宋体"/>
          <w:color w:val="000000" w:themeColor="text1"/>
          <w14:textFill>
            <w14:solidFill>
              <w14:schemeClr w14:val="tx1"/>
            </w14:solidFill>
          </w14:textFill>
        </w:rPr>
        <w:t>响应文件格式</w:t>
      </w:r>
      <w:bookmarkEnd w:id="169"/>
      <w:bookmarkEnd w:id="170"/>
      <w:bookmarkEnd w:id="171"/>
      <w:bookmarkEnd w:id="172"/>
      <w:bookmarkEnd w:id="173"/>
      <w:bookmarkEnd w:id="174"/>
      <w:bookmarkEnd w:id="175"/>
      <w:bookmarkEnd w:id="176"/>
      <w:bookmarkEnd w:id="177"/>
    </w:p>
    <w:p w14:paraId="599101E6">
      <w:pPr>
        <w:widowControl/>
        <w:spacing w:line="400" w:lineRule="exact"/>
        <w:jc w:val="right"/>
        <w:rPr>
          <w:rFonts w:cs="仿宋" w:asciiTheme="minorEastAsia" w:hAnsiTheme="minorEastAsia" w:eastAsiaTheme="minorEastAsia"/>
          <w:b/>
          <w:sz w:val="36"/>
          <w:szCs w:val="36"/>
          <w:bdr w:val="single" w:color="auto" w:sz="4" w:space="0"/>
          <w:shd w:val="pct10" w:color="auto" w:fill="FFFFFF"/>
        </w:rPr>
      </w:pPr>
      <w:r>
        <w:rPr>
          <w:rFonts w:hint="eastAsia" w:cs="仿宋" w:asciiTheme="minorEastAsia" w:hAnsiTheme="minorEastAsia" w:eastAsiaTheme="minorEastAsia"/>
          <w:b/>
          <w:sz w:val="36"/>
          <w:szCs w:val="36"/>
          <w:bdr w:val="single" w:color="auto" w:sz="4" w:space="0"/>
          <w:shd w:val="pct10" w:color="auto" w:fill="FFFFFF"/>
        </w:rPr>
        <w:t>政府采购项目</w:t>
      </w:r>
    </w:p>
    <w:p w14:paraId="61A93B0B">
      <w:pPr>
        <w:widowControl/>
        <w:spacing w:line="440" w:lineRule="exact"/>
        <w:rPr>
          <w:rFonts w:hint="default" w:cs="仿宋" w:asciiTheme="minorEastAsia" w:hAnsiTheme="minorEastAsia" w:eastAsiaTheme="minorEastAsia"/>
          <w:bCs/>
          <w:sz w:val="32"/>
          <w:szCs w:val="32"/>
          <w:lang w:val="en-US"/>
        </w:rPr>
      </w:pPr>
      <w:r>
        <w:rPr>
          <w:rFonts w:hint="eastAsia" w:ascii="宋体" w:hAnsi="宋体" w:cs="宋体"/>
          <w:b/>
          <w:bCs/>
          <w:kern w:val="44"/>
          <w:sz w:val="32"/>
          <w:szCs w:val="32"/>
          <w:lang w:eastAsia="zh-CN"/>
        </w:rPr>
        <w:t>项目</w:t>
      </w:r>
      <w:r>
        <w:rPr>
          <w:rFonts w:hint="eastAsia" w:ascii="宋体" w:hAnsi="宋体" w:cs="宋体"/>
          <w:b/>
          <w:bCs/>
          <w:kern w:val="44"/>
          <w:sz w:val="32"/>
          <w:szCs w:val="32"/>
        </w:rPr>
        <w:t>编号</w:t>
      </w:r>
      <w:r>
        <w:rPr>
          <w:rFonts w:hint="eastAsia" w:ascii="宋体" w:hAnsi="宋体" w:cs="宋体"/>
          <w:b/>
          <w:bCs/>
          <w:kern w:val="44"/>
          <w:sz w:val="32"/>
          <w:szCs w:val="32"/>
          <w:lang w:eastAsia="zh-CN"/>
        </w:rPr>
        <w:t>：</w:t>
      </w:r>
      <w:r>
        <w:rPr>
          <w:rFonts w:hint="eastAsia" w:cs="仿宋" w:asciiTheme="minorEastAsia" w:hAnsiTheme="minorEastAsia" w:eastAsiaTheme="minorEastAsia"/>
          <w:bCs/>
          <w:sz w:val="32"/>
          <w:szCs w:val="32"/>
        </w:rPr>
        <w:t xml:space="preserve"> </w:t>
      </w:r>
      <w:r>
        <w:rPr>
          <w:rFonts w:hint="eastAsia" w:cs="仿宋" w:asciiTheme="minorEastAsia" w:hAnsiTheme="minorEastAsia" w:eastAsiaTheme="minorEastAsia"/>
          <w:bCs/>
          <w:sz w:val="32"/>
          <w:szCs w:val="32"/>
          <w:lang w:val="en-US" w:eastAsia="zh-CN"/>
        </w:rPr>
        <w:t>AKSH2024-ZCS-162</w:t>
      </w:r>
    </w:p>
    <w:p w14:paraId="3E657748">
      <w:pPr>
        <w:widowControl/>
        <w:spacing w:line="600" w:lineRule="exact"/>
        <w:rPr>
          <w:rFonts w:cs="仿宋" w:asciiTheme="minorEastAsia" w:hAnsiTheme="minorEastAsia" w:eastAsiaTheme="minorEastAsia"/>
          <w:bCs/>
          <w:spacing w:val="20"/>
          <w:kern w:val="0"/>
          <w:sz w:val="84"/>
          <w:szCs w:val="84"/>
        </w:rPr>
      </w:pPr>
    </w:p>
    <w:p w14:paraId="65865A3C">
      <w:pPr>
        <w:pStyle w:val="7"/>
      </w:pPr>
    </w:p>
    <w:p w14:paraId="5927CC44">
      <w:pPr>
        <w:widowControl/>
        <w:spacing w:before="158" w:beforeLines="50" w:line="800" w:lineRule="exact"/>
        <w:jc w:val="center"/>
        <w:rPr>
          <w:rFonts w:hint="eastAsia" w:cs="仿宋" w:asciiTheme="minorEastAsia" w:hAnsiTheme="minorEastAsia" w:eastAsiaTheme="minorEastAsia"/>
          <w:b/>
          <w:spacing w:val="20"/>
          <w:kern w:val="0"/>
          <w:sz w:val="84"/>
          <w:szCs w:val="84"/>
        </w:rPr>
      </w:pPr>
    </w:p>
    <w:p w14:paraId="2C5CDB99">
      <w:pPr>
        <w:widowControl/>
        <w:spacing w:before="158" w:beforeLines="50" w:line="800" w:lineRule="exact"/>
        <w:jc w:val="center"/>
        <w:rPr>
          <w:rFonts w:hint="eastAsia" w:cs="仿宋" w:asciiTheme="minorEastAsia" w:hAnsiTheme="minorEastAsia" w:eastAsiaTheme="minorEastAsia"/>
          <w:b/>
          <w:spacing w:val="20"/>
          <w:kern w:val="0"/>
          <w:sz w:val="52"/>
          <w:szCs w:val="52"/>
          <w:lang w:val="en-US" w:eastAsia="zh-CN"/>
        </w:rPr>
      </w:pPr>
      <w:r>
        <w:rPr>
          <w:rFonts w:hint="eastAsia" w:cs="仿宋" w:asciiTheme="minorEastAsia" w:hAnsiTheme="minorEastAsia" w:eastAsiaTheme="minorEastAsia"/>
          <w:b/>
          <w:spacing w:val="20"/>
          <w:kern w:val="0"/>
          <w:sz w:val="52"/>
          <w:szCs w:val="52"/>
          <w:u w:val="single"/>
          <w:lang w:val="en-US" w:eastAsia="zh-CN"/>
        </w:rPr>
        <w:t xml:space="preserve">         </w:t>
      </w:r>
      <w:r>
        <w:rPr>
          <w:rFonts w:hint="eastAsia" w:cs="仿宋" w:asciiTheme="minorEastAsia" w:hAnsiTheme="minorEastAsia" w:eastAsiaTheme="minorEastAsia"/>
          <w:b/>
          <w:spacing w:val="20"/>
          <w:kern w:val="0"/>
          <w:sz w:val="52"/>
          <w:szCs w:val="52"/>
          <w:lang w:val="en-US" w:eastAsia="zh-CN"/>
        </w:rPr>
        <w:t xml:space="preserve">项目 </w:t>
      </w:r>
    </w:p>
    <w:p w14:paraId="1B9DB742">
      <w:pPr>
        <w:widowControl/>
        <w:spacing w:before="158" w:beforeLines="50" w:line="800" w:lineRule="exact"/>
        <w:jc w:val="center"/>
        <w:rPr>
          <w:rFonts w:hint="eastAsia" w:cs="仿宋" w:asciiTheme="minorEastAsia" w:hAnsiTheme="minorEastAsia" w:eastAsiaTheme="minorEastAsia"/>
          <w:b/>
          <w:spacing w:val="20"/>
          <w:kern w:val="0"/>
          <w:sz w:val="84"/>
          <w:szCs w:val="84"/>
        </w:rPr>
      </w:pPr>
    </w:p>
    <w:p w14:paraId="76D073FC">
      <w:pPr>
        <w:widowControl/>
        <w:spacing w:before="158" w:beforeLines="50" w:line="800" w:lineRule="exact"/>
        <w:jc w:val="center"/>
        <w:rPr>
          <w:rFonts w:hint="eastAsia" w:cs="仿宋" w:asciiTheme="minorEastAsia" w:hAnsiTheme="minorEastAsia" w:eastAsiaTheme="minorEastAsia"/>
          <w:b/>
          <w:spacing w:val="20"/>
          <w:kern w:val="0"/>
          <w:sz w:val="84"/>
          <w:szCs w:val="84"/>
        </w:rPr>
      </w:pPr>
    </w:p>
    <w:p w14:paraId="29852FBC">
      <w:pPr>
        <w:pStyle w:val="30"/>
      </w:pPr>
    </w:p>
    <w:p w14:paraId="12B72847">
      <w:pPr>
        <w:pStyle w:val="30"/>
      </w:pPr>
    </w:p>
    <w:p w14:paraId="443742EE">
      <w:pPr>
        <w:widowControl/>
        <w:spacing w:before="158" w:beforeLines="50" w:line="800" w:lineRule="exact"/>
        <w:jc w:val="center"/>
        <w:rPr>
          <w:rFonts w:cs="仿宋" w:asciiTheme="minorEastAsia" w:hAnsiTheme="minorEastAsia" w:eastAsiaTheme="minorEastAsia"/>
          <w:b/>
          <w:spacing w:val="20"/>
          <w:kern w:val="0"/>
          <w:sz w:val="84"/>
          <w:szCs w:val="84"/>
        </w:rPr>
      </w:pPr>
      <w:r>
        <w:rPr>
          <w:rFonts w:hint="eastAsia" w:cs="仿宋" w:asciiTheme="minorEastAsia" w:hAnsiTheme="minorEastAsia" w:eastAsiaTheme="minorEastAsia"/>
          <w:b/>
          <w:spacing w:val="20"/>
          <w:kern w:val="0"/>
          <w:sz w:val="84"/>
          <w:szCs w:val="84"/>
        </w:rPr>
        <w:t>响应文件</w:t>
      </w:r>
    </w:p>
    <w:p w14:paraId="2D11C751">
      <w:pPr>
        <w:pStyle w:val="30"/>
      </w:pPr>
    </w:p>
    <w:p w14:paraId="2C8B951A">
      <w:pPr>
        <w:widowControl/>
        <w:spacing w:line="480" w:lineRule="exact"/>
        <w:rPr>
          <w:rFonts w:cs="仿宋" w:asciiTheme="minorEastAsia" w:hAnsiTheme="minorEastAsia" w:eastAsiaTheme="minorEastAsia"/>
          <w:bCs/>
          <w:sz w:val="44"/>
          <w:szCs w:val="44"/>
        </w:rPr>
      </w:pPr>
      <w:r>
        <w:rPr>
          <w:rFonts w:hint="eastAsia" w:cs="仿宋" w:asciiTheme="minorEastAsia" w:hAnsiTheme="minorEastAsia" w:eastAsiaTheme="minorEastAsia"/>
          <w:bCs/>
          <w:sz w:val="32"/>
          <w:szCs w:val="28"/>
        </w:rPr>
        <w:t xml:space="preserve">                     </w:t>
      </w:r>
    </w:p>
    <w:p w14:paraId="3B48E8A4">
      <w:pPr>
        <w:widowControl/>
        <w:spacing w:line="400" w:lineRule="exact"/>
        <w:rPr>
          <w:rFonts w:cs="仿宋" w:asciiTheme="minorEastAsia" w:hAnsiTheme="minorEastAsia" w:eastAsiaTheme="minorEastAsia"/>
          <w:bCs/>
          <w:sz w:val="18"/>
          <w:szCs w:val="18"/>
        </w:rPr>
      </w:pPr>
    </w:p>
    <w:p w14:paraId="13DB574C">
      <w:pPr>
        <w:widowControl/>
        <w:spacing w:line="400" w:lineRule="exact"/>
        <w:rPr>
          <w:rFonts w:cs="仿宋" w:asciiTheme="minorEastAsia" w:hAnsiTheme="minorEastAsia" w:eastAsiaTheme="minorEastAsia"/>
          <w:bCs/>
          <w:sz w:val="18"/>
          <w:szCs w:val="18"/>
        </w:rPr>
      </w:pPr>
    </w:p>
    <w:p w14:paraId="459AE8F3">
      <w:pPr>
        <w:widowControl/>
        <w:spacing w:line="480" w:lineRule="auto"/>
        <w:rPr>
          <w:rFonts w:cs="仿宋" w:asciiTheme="minorEastAsia" w:hAnsiTheme="minorEastAsia" w:eastAsiaTheme="minorEastAsia"/>
          <w:bCs/>
          <w:sz w:val="36"/>
          <w:szCs w:val="36"/>
        </w:rPr>
      </w:pPr>
    </w:p>
    <w:p w14:paraId="0466A9B6">
      <w:pPr>
        <w:pStyle w:val="3"/>
      </w:pPr>
    </w:p>
    <w:p w14:paraId="58E20C20">
      <w:pPr>
        <w:keepNext w:val="0"/>
        <w:keepLines w:val="0"/>
        <w:pageBreakBefore w:val="0"/>
        <w:widowControl w:val="0"/>
        <w:kinsoku/>
        <w:wordWrap/>
        <w:overflowPunct/>
        <w:topLinePunct w:val="0"/>
        <w:autoSpaceDE/>
        <w:autoSpaceDN/>
        <w:bidi w:val="0"/>
        <w:adjustRightInd/>
        <w:snapToGrid w:val="0"/>
        <w:spacing w:line="740" w:lineRule="exact"/>
        <w:ind w:firstLine="480" w:firstLineChars="200"/>
        <w:jc w:val="left"/>
        <w:textAlignment w:val="auto"/>
        <w:rPr>
          <w:rFonts w:ascii="宋体" w:cs="Times New Roman"/>
          <w:sz w:val="24"/>
          <w:szCs w:val="24"/>
          <w:u w:val="single"/>
        </w:rPr>
      </w:pPr>
      <w:r>
        <w:rPr>
          <w:rFonts w:hint="eastAsia" w:ascii="宋体" w:hAnsi="宋体" w:cs="宋体"/>
          <w:sz w:val="24"/>
          <w:szCs w:val="24"/>
          <w:lang w:val="zh-CN"/>
        </w:rPr>
        <w:t>供应商（单位名称及公章）：</w:t>
      </w:r>
      <w:r>
        <w:rPr>
          <w:rFonts w:hint="eastAsia" w:ascii="宋体" w:hAnsi="宋体" w:cs="宋体"/>
          <w:sz w:val="24"/>
          <w:szCs w:val="24"/>
        </w:rPr>
        <w:t>____________________________</w:t>
      </w:r>
    </w:p>
    <w:p w14:paraId="33A41D94">
      <w:pPr>
        <w:keepNext w:val="0"/>
        <w:keepLines w:val="0"/>
        <w:pageBreakBefore w:val="0"/>
        <w:widowControl w:val="0"/>
        <w:kinsoku/>
        <w:wordWrap/>
        <w:overflowPunct/>
        <w:topLinePunct w:val="0"/>
        <w:autoSpaceDE/>
        <w:autoSpaceDN/>
        <w:bidi w:val="0"/>
        <w:adjustRightInd/>
        <w:snapToGrid w:val="0"/>
        <w:spacing w:line="740" w:lineRule="exact"/>
        <w:ind w:firstLine="480" w:firstLineChars="200"/>
        <w:jc w:val="left"/>
        <w:textAlignment w:val="auto"/>
        <w:rPr>
          <w:rFonts w:cs="Times New Roman"/>
          <w:sz w:val="24"/>
          <w:szCs w:val="24"/>
        </w:rPr>
      </w:pPr>
      <w:r>
        <w:rPr>
          <w:rFonts w:hint="eastAsia" w:ascii="宋体" w:hAnsi="宋体" w:cs="宋体"/>
          <w:sz w:val="24"/>
          <w:szCs w:val="24"/>
          <w:lang w:val="zh-CN"/>
        </w:rPr>
        <w:t>法定代表人</w:t>
      </w:r>
      <w:r>
        <w:rPr>
          <w:rFonts w:hint="eastAsia" w:ascii="宋体" w:hAnsi="宋体" w:cs="宋体"/>
          <w:sz w:val="24"/>
          <w:szCs w:val="24"/>
          <w:lang w:val="en-US" w:eastAsia="zh-CN"/>
        </w:rPr>
        <w:t>或</w:t>
      </w:r>
      <w:r>
        <w:rPr>
          <w:rFonts w:hint="eastAsia" w:ascii="宋体" w:hAnsi="宋体" w:cs="宋体"/>
          <w:sz w:val="24"/>
          <w:szCs w:val="24"/>
          <w:lang w:val="zh-CN"/>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lang w:val="zh-CN"/>
        </w:rPr>
        <w:t>）：</w:t>
      </w:r>
      <w:r>
        <w:rPr>
          <w:rFonts w:hint="eastAsia" w:ascii="宋体" w:hAnsi="宋体" w:cs="宋体"/>
          <w:sz w:val="24"/>
          <w:szCs w:val="24"/>
        </w:rPr>
        <w:t>________________________</w:t>
      </w:r>
    </w:p>
    <w:p w14:paraId="254880E0">
      <w:pPr>
        <w:keepNext w:val="0"/>
        <w:keepLines w:val="0"/>
        <w:pageBreakBefore w:val="0"/>
        <w:widowControl w:val="0"/>
        <w:kinsoku/>
        <w:wordWrap/>
        <w:overflowPunct/>
        <w:topLinePunct w:val="0"/>
        <w:autoSpaceDE/>
        <w:autoSpaceDN/>
        <w:bidi w:val="0"/>
        <w:adjustRightInd/>
        <w:snapToGrid w:val="0"/>
        <w:spacing w:line="74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lang w:val="zh-CN"/>
        </w:rPr>
        <w:t>：</w:t>
      </w:r>
      <w:r>
        <w:rPr>
          <w:rFonts w:hint="eastAsia" w:ascii="宋体" w:hAnsi="宋体" w:cs="宋体"/>
          <w:sz w:val="24"/>
          <w:szCs w:val="24"/>
        </w:rPr>
        <w:t>________________________________________________</w:t>
      </w:r>
      <w:bookmarkEnd w:id="0"/>
    </w:p>
    <w:p w14:paraId="4744FD44">
      <w:pPr>
        <w:pStyle w:val="73"/>
        <w:rPr>
          <w:rFonts w:hint="eastAsia" w:ascii="宋体" w:hAnsi="宋体" w:cs="宋体"/>
          <w:sz w:val="24"/>
          <w:szCs w:val="24"/>
        </w:rPr>
      </w:pPr>
    </w:p>
    <w:p w14:paraId="085425E2">
      <w:pPr>
        <w:pStyle w:val="73"/>
        <w:rPr>
          <w:rFonts w:hint="eastAsia" w:ascii="宋体" w:hAnsi="宋体" w:cs="宋体"/>
          <w:sz w:val="24"/>
          <w:szCs w:val="24"/>
        </w:rPr>
      </w:pPr>
    </w:p>
    <w:p w14:paraId="3A95A66E">
      <w:pPr>
        <w:pStyle w:val="30"/>
        <w:keepNext w:val="0"/>
        <w:keepLines w:val="0"/>
        <w:widowControl w:val="0"/>
        <w:kinsoku/>
        <w:wordWrap/>
        <w:overflowPunct/>
        <w:topLinePunct w:val="0"/>
        <w:autoSpaceDE/>
        <w:autoSpaceDN/>
        <w:bidi w:val="0"/>
        <w:adjustRightInd/>
        <w:spacing w:line="360" w:lineRule="auto"/>
        <w:ind w:left="945" w:leftChars="450"/>
        <w:jc w:val="center"/>
        <w:textAlignment w:val="auto"/>
        <w:rPr>
          <w:rFonts w:hint="eastAsia" w:ascii="宋体" w:hAnsi="宋体" w:eastAsia="宋体"/>
          <w:sz w:val="48"/>
          <w:szCs w:val="44"/>
          <w:lang w:val="en-US" w:eastAsia="zh-CN"/>
        </w:rPr>
      </w:pPr>
      <w:r>
        <w:rPr>
          <w:rFonts w:hint="eastAsia" w:ascii="宋体" w:hAnsi="宋体"/>
          <w:sz w:val="48"/>
          <w:szCs w:val="44"/>
          <w:lang w:val="en-US" w:eastAsia="zh-CN"/>
        </w:rPr>
        <w:t>目   录</w:t>
      </w:r>
    </w:p>
    <w:p w14:paraId="4CED17AA">
      <w:pPr>
        <w:pStyle w:val="30"/>
        <w:keepNext w:val="0"/>
        <w:keepLines w:val="0"/>
        <w:widowControl w:val="0"/>
        <w:kinsoku/>
        <w:wordWrap/>
        <w:overflowPunct/>
        <w:topLinePunct w:val="0"/>
        <w:autoSpaceDE/>
        <w:autoSpaceDN/>
        <w:bidi w:val="0"/>
        <w:adjustRightInd/>
        <w:spacing w:line="360" w:lineRule="auto"/>
        <w:ind w:left="945" w:leftChars="450"/>
        <w:textAlignment w:val="auto"/>
        <w:rPr>
          <w:rFonts w:hint="eastAsia" w:ascii="宋体" w:hAnsi="宋体"/>
          <w:sz w:val="32"/>
          <w:szCs w:val="28"/>
        </w:rPr>
      </w:pPr>
    </w:p>
    <w:p w14:paraId="40899523">
      <w:pPr>
        <w:pStyle w:val="30"/>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sz w:val="32"/>
          <w:szCs w:val="28"/>
        </w:rPr>
      </w:pPr>
      <w:r>
        <w:rPr>
          <w:rFonts w:hint="eastAsia" w:ascii="宋体" w:hAnsi="宋体"/>
          <w:sz w:val="32"/>
          <w:szCs w:val="28"/>
        </w:rPr>
        <w:t xml:space="preserve">第一章 </w:t>
      </w:r>
      <w:r>
        <w:rPr>
          <w:rFonts w:ascii="宋体" w:hAnsi="宋体"/>
          <w:sz w:val="32"/>
          <w:szCs w:val="28"/>
        </w:rPr>
        <w:t xml:space="preserve">  </w:t>
      </w:r>
      <w:r>
        <w:rPr>
          <w:rFonts w:hint="eastAsia" w:ascii="宋体" w:hAnsi="宋体"/>
          <w:sz w:val="32"/>
          <w:szCs w:val="28"/>
        </w:rPr>
        <w:t>磋商响应函</w:t>
      </w:r>
    </w:p>
    <w:p w14:paraId="77C69E28">
      <w:pPr>
        <w:pStyle w:val="30"/>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sz w:val="32"/>
          <w:szCs w:val="28"/>
        </w:rPr>
      </w:pPr>
      <w:r>
        <w:rPr>
          <w:rFonts w:hint="eastAsia" w:ascii="宋体" w:hAnsi="宋体"/>
          <w:sz w:val="32"/>
          <w:szCs w:val="28"/>
        </w:rPr>
        <w:t xml:space="preserve">第二章 </w:t>
      </w:r>
      <w:r>
        <w:rPr>
          <w:rFonts w:ascii="宋体" w:hAnsi="宋体"/>
          <w:sz w:val="32"/>
          <w:szCs w:val="28"/>
        </w:rPr>
        <w:t xml:space="preserve">  </w:t>
      </w:r>
      <w:r>
        <w:rPr>
          <w:rFonts w:hint="eastAsia" w:ascii="宋体" w:hAnsi="宋体"/>
          <w:sz w:val="32"/>
          <w:szCs w:val="28"/>
        </w:rPr>
        <w:t>响应报价表</w:t>
      </w:r>
    </w:p>
    <w:p w14:paraId="412845C7">
      <w:pPr>
        <w:pStyle w:val="30"/>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sz w:val="32"/>
          <w:szCs w:val="28"/>
        </w:rPr>
      </w:pPr>
      <w:r>
        <w:rPr>
          <w:rFonts w:hint="eastAsia" w:ascii="宋体" w:hAnsi="宋体"/>
          <w:sz w:val="32"/>
          <w:szCs w:val="28"/>
        </w:rPr>
        <w:t xml:space="preserve">第三章  </w:t>
      </w:r>
      <w:r>
        <w:rPr>
          <w:rFonts w:ascii="宋体" w:hAnsi="宋体"/>
          <w:sz w:val="32"/>
          <w:szCs w:val="28"/>
        </w:rPr>
        <w:t xml:space="preserve"> </w:t>
      </w:r>
      <w:r>
        <w:rPr>
          <w:rFonts w:hint="eastAsia" w:ascii="宋体" w:hAnsi="宋体"/>
          <w:sz w:val="32"/>
          <w:szCs w:val="28"/>
        </w:rPr>
        <w:t>资格证明文件</w:t>
      </w:r>
    </w:p>
    <w:p w14:paraId="67BE46C0">
      <w:pPr>
        <w:pStyle w:val="30"/>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sz w:val="32"/>
          <w:szCs w:val="28"/>
        </w:rPr>
      </w:pPr>
      <w:r>
        <w:rPr>
          <w:rFonts w:hint="eastAsia" w:ascii="宋体" w:hAnsi="宋体"/>
          <w:sz w:val="32"/>
          <w:szCs w:val="28"/>
        </w:rPr>
        <w:t>第四章   技术商务偏离表</w:t>
      </w:r>
    </w:p>
    <w:p w14:paraId="50A8AA10">
      <w:pPr>
        <w:pStyle w:val="30"/>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sz w:val="32"/>
          <w:szCs w:val="28"/>
        </w:rPr>
      </w:pPr>
      <w:r>
        <w:rPr>
          <w:rFonts w:hint="eastAsia" w:ascii="宋体" w:hAnsi="宋体"/>
          <w:sz w:val="32"/>
          <w:szCs w:val="28"/>
        </w:rPr>
        <w:t xml:space="preserve">第五章   </w:t>
      </w:r>
      <w:r>
        <w:rPr>
          <w:rFonts w:hint="eastAsia" w:ascii="宋体" w:hAnsi="宋体"/>
          <w:sz w:val="32"/>
          <w:szCs w:val="28"/>
          <w:lang w:val="en-US" w:eastAsia="zh-CN"/>
        </w:rPr>
        <w:t>响应</w:t>
      </w:r>
      <w:r>
        <w:rPr>
          <w:rFonts w:hint="eastAsia" w:ascii="宋体" w:hAnsi="宋体"/>
          <w:sz w:val="32"/>
          <w:szCs w:val="28"/>
        </w:rPr>
        <w:t>方案</w:t>
      </w:r>
    </w:p>
    <w:p w14:paraId="1A36E7B1">
      <w:pPr>
        <w:pStyle w:val="30"/>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sz w:val="32"/>
          <w:szCs w:val="28"/>
        </w:rPr>
      </w:pPr>
      <w:r>
        <w:rPr>
          <w:rFonts w:hint="eastAsia" w:ascii="宋体" w:hAnsi="宋体"/>
          <w:sz w:val="32"/>
          <w:szCs w:val="28"/>
        </w:rPr>
        <w:t>第</w:t>
      </w:r>
      <w:r>
        <w:rPr>
          <w:rFonts w:hint="eastAsia" w:ascii="宋体" w:hAnsi="宋体"/>
          <w:sz w:val="32"/>
          <w:szCs w:val="28"/>
          <w:lang w:eastAsia="zh-CN"/>
        </w:rPr>
        <w:t>六</w:t>
      </w:r>
      <w:r>
        <w:rPr>
          <w:rFonts w:hint="eastAsia" w:ascii="宋体" w:hAnsi="宋体"/>
          <w:sz w:val="32"/>
          <w:szCs w:val="28"/>
        </w:rPr>
        <w:t>章   投标人拒绝政府采购领域商业贿赂承诺书</w:t>
      </w:r>
    </w:p>
    <w:p w14:paraId="2633B98F">
      <w:pPr>
        <w:keepNext w:val="0"/>
        <w:keepLines w:val="0"/>
        <w:pageBreakBefore w:val="0"/>
        <w:widowControl w:val="0"/>
        <w:kinsoku/>
        <w:wordWrap/>
        <w:overflowPunct/>
        <w:topLinePunct w:val="0"/>
        <w:autoSpaceDE/>
        <w:autoSpaceDN/>
        <w:bidi w:val="0"/>
        <w:adjustRightInd/>
        <w:snapToGrid/>
        <w:spacing w:line="600" w:lineRule="exact"/>
        <w:ind w:firstLine="1044" w:firstLineChars="290"/>
        <w:textAlignment w:val="auto"/>
        <w:rPr>
          <w:rFonts w:ascii="Times New Roman" w:hAnsi="宋体" w:cs="Times New Roman"/>
          <w:b w:val="0"/>
          <w:bCs/>
          <w:sz w:val="36"/>
          <w:szCs w:val="36"/>
        </w:rPr>
      </w:pPr>
    </w:p>
    <w:p w14:paraId="7FD30BF8">
      <w:pPr>
        <w:pStyle w:val="30"/>
        <w:spacing w:line="360" w:lineRule="auto"/>
        <w:ind w:left="1155" w:leftChars="550"/>
        <w:rPr>
          <w:rFonts w:ascii="宋体" w:hAnsi="宋体"/>
          <w:sz w:val="32"/>
          <w:szCs w:val="28"/>
        </w:rPr>
      </w:pPr>
    </w:p>
    <w:p w14:paraId="12073045">
      <w:pPr>
        <w:pStyle w:val="30"/>
        <w:spacing w:line="480" w:lineRule="auto"/>
        <w:ind w:left="945" w:leftChars="450"/>
      </w:pPr>
      <w:r>
        <w:rPr>
          <w:rFonts w:hint="eastAsia"/>
          <w:sz w:val="30"/>
          <w:szCs w:val="30"/>
        </w:rPr>
        <w:tab/>
      </w:r>
    </w:p>
    <w:p w14:paraId="76A5430C">
      <w:pPr>
        <w:widowControl/>
        <w:jc w:val="left"/>
        <w:rPr>
          <w:rFonts w:hAnsi="宋体"/>
          <w:b/>
          <w:sz w:val="32"/>
          <w:szCs w:val="32"/>
        </w:rPr>
      </w:pPr>
      <w:bookmarkStart w:id="178" w:name="_Toc536429343"/>
      <w:bookmarkStart w:id="179" w:name="_Toc536429396"/>
      <w:bookmarkStart w:id="180" w:name="_Toc25514"/>
      <w:bookmarkStart w:id="181" w:name="_Toc536202403"/>
      <w:bookmarkStart w:id="182" w:name="_Toc536202334"/>
      <w:r>
        <w:rPr>
          <w:rFonts w:hAnsi="宋体"/>
          <w:b/>
          <w:sz w:val="32"/>
          <w:szCs w:val="32"/>
        </w:rPr>
        <w:br w:type="page"/>
      </w:r>
    </w:p>
    <w:p w14:paraId="3A8E1432">
      <w:pPr>
        <w:autoSpaceDE w:val="0"/>
        <w:autoSpaceDN w:val="0"/>
        <w:adjustRightInd w:val="0"/>
        <w:snapToGrid w:val="0"/>
        <w:spacing w:line="600" w:lineRule="exact"/>
        <w:ind w:firstLine="3213" w:firstLineChars="1000"/>
        <w:rPr>
          <w:rFonts w:hAnsi="宋体"/>
          <w:b/>
          <w:sz w:val="32"/>
          <w:szCs w:val="32"/>
        </w:rPr>
      </w:pPr>
      <w:r>
        <w:rPr>
          <w:rFonts w:hint="eastAsia" w:hAnsi="宋体"/>
          <w:b/>
          <w:sz w:val="32"/>
          <w:szCs w:val="32"/>
          <w:lang w:val="en-US" w:eastAsia="zh-CN"/>
        </w:rPr>
        <w:t xml:space="preserve">第一章 </w:t>
      </w:r>
      <w:r>
        <w:rPr>
          <w:rFonts w:hint="eastAsia" w:hAnsi="宋体"/>
          <w:b/>
          <w:sz w:val="32"/>
          <w:szCs w:val="32"/>
        </w:rPr>
        <w:t>磋商响应函</w:t>
      </w:r>
    </w:p>
    <w:p w14:paraId="477C3F0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cs="Times New Roman"/>
          <w:sz w:val="24"/>
          <w:szCs w:val="24"/>
        </w:rPr>
      </w:pPr>
      <w:r>
        <w:rPr>
          <w:rFonts w:hint="eastAsia" w:ascii="宋体" w:hAnsi="宋体" w:cs="宋体"/>
          <w:sz w:val="24"/>
          <w:szCs w:val="24"/>
        </w:rPr>
        <w:t>安康尚昊招标代理有限公司：</w:t>
      </w:r>
    </w:p>
    <w:p w14:paraId="3952FF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sz w:val="24"/>
          <w:szCs w:val="24"/>
        </w:rPr>
        <w:t>我单位收到贵公司</w:t>
      </w:r>
      <w:r>
        <w:rPr>
          <w:rFonts w:ascii="宋体" w:hAnsi="宋体" w:cs="宋体"/>
          <w:sz w:val="24"/>
          <w:szCs w:val="24"/>
          <w:u w:val="single"/>
        </w:rPr>
        <w:t xml:space="preserve">  </w:t>
      </w:r>
      <w:r>
        <w:rPr>
          <w:rFonts w:hint="eastAsia" w:ascii="宋体" w:hAnsi="宋体"/>
          <w:sz w:val="24"/>
          <w:szCs w:val="24"/>
          <w:u w:val="single"/>
        </w:rPr>
        <w:t>（项目名称） （项目编号）</w:t>
      </w:r>
      <w:r>
        <w:rPr>
          <w:rFonts w:ascii="宋体" w:hAnsi="宋体" w:cs="宋体"/>
          <w:sz w:val="24"/>
          <w:szCs w:val="24"/>
          <w:u w:val="single"/>
        </w:rPr>
        <w:t xml:space="preserve">     </w:t>
      </w:r>
      <w:r>
        <w:rPr>
          <w:rFonts w:hint="eastAsia" w:ascii="宋体" w:hAnsi="宋体" w:cs="宋体"/>
          <w:sz w:val="24"/>
          <w:szCs w:val="24"/>
        </w:rPr>
        <w:t>的竞争性磋商文件，经详细研究，我公司决定参加本次磋商活动。为此，我方郑重承诺以下诸点，并负法律责任。</w:t>
      </w:r>
    </w:p>
    <w:p w14:paraId="1ABC4C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愿意按照竞争性磋商文件中的全部要求，提供合格的产品及完善的技术服务，履行合同的责任和义务。</w:t>
      </w:r>
    </w:p>
    <w:p w14:paraId="2350B4B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cs="Times New Roman"/>
          <w:sz w:val="24"/>
          <w:szCs w:val="24"/>
        </w:rPr>
      </w:pPr>
      <w:r>
        <w:rPr>
          <w:rFonts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按照竞争性磋商文件的规定，我公司的响应总报价为：</w:t>
      </w:r>
    </w:p>
    <w:p w14:paraId="0053D44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人民币（大写）：______________元；（小写）￥：______元；</w:t>
      </w:r>
    </w:p>
    <w:p w14:paraId="55B0F1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cs="宋体"/>
          <w:sz w:val="24"/>
          <w:szCs w:val="24"/>
          <w:lang w:val="en-US" w:eastAsia="zh-CN"/>
        </w:rPr>
        <w:t>3.</w:t>
      </w:r>
      <w:r>
        <w:rPr>
          <w:rFonts w:hint="eastAsia" w:ascii="宋体" w:hAnsi="宋体" w:cs="宋体"/>
          <w:sz w:val="24"/>
          <w:szCs w:val="24"/>
        </w:rPr>
        <w:t>我们已详细阅读了竞争性磋商文件，完全理解并同意放弃提出含糊不清和误解问题的权力。</w:t>
      </w:r>
    </w:p>
    <w:p w14:paraId="112448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cs="宋体"/>
          <w:sz w:val="24"/>
          <w:szCs w:val="24"/>
          <w:lang w:val="en-US" w:eastAsia="zh-CN"/>
        </w:rPr>
        <w:t>4.</w:t>
      </w:r>
      <w:r>
        <w:rPr>
          <w:rFonts w:hint="eastAsia" w:ascii="宋体" w:hAnsi="宋体" w:cs="宋体"/>
          <w:sz w:val="24"/>
          <w:szCs w:val="24"/>
        </w:rPr>
        <w:t>如果我方在磋商后到规定的响应有效期内撤回响应文件及承诺，我们的保证金将被对方没收。</w:t>
      </w:r>
    </w:p>
    <w:p w14:paraId="6C6106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cs="宋体"/>
          <w:sz w:val="24"/>
          <w:szCs w:val="24"/>
          <w:lang w:val="en-US" w:eastAsia="zh-CN"/>
        </w:rPr>
        <w:t>5.</w:t>
      </w:r>
      <w:r>
        <w:rPr>
          <w:rFonts w:hint="eastAsia" w:ascii="宋体" w:hAnsi="宋体" w:cs="宋体"/>
          <w:sz w:val="24"/>
          <w:szCs w:val="24"/>
        </w:rPr>
        <w:t>同意向贵方提供贵方可能要求的、与本次磋商有关的任何证据资料。</w:t>
      </w:r>
    </w:p>
    <w:p w14:paraId="3F65CC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cs="宋体"/>
          <w:sz w:val="24"/>
          <w:szCs w:val="24"/>
          <w:lang w:val="en-US" w:eastAsia="zh-CN"/>
        </w:rPr>
        <w:t>6.</w:t>
      </w:r>
      <w:r>
        <w:rPr>
          <w:rFonts w:hint="eastAsia" w:ascii="宋体" w:hAnsi="宋体" w:cs="宋体"/>
          <w:sz w:val="24"/>
          <w:szCs w:val="24"/>
        </w:rPr>
        <w:t>我方承诺响应有效期为磋商后______日历日内有效。</w:t>
      </w:r>
    </w:p>
    <w:p w14:paraId="713EC7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cs="宋体"/>
          <w:sz w:val="24"/>
          <w:szCs w:val="24"/>
          <w:lang w:val="en-US" w:eastAsia="zh-CN"/>
        </w:rPr>
        <w:t>7.</w:t>
      </w:r>
      <w:r>
        <w:rPr>
          <w:rFonts w:hint="eastAsia" w:ascii="宋体" w:hAnsi="宋体" w:cs="宋体"/>
          <w:sz w:val="24"/>
          <w:szCs w:val="24"/>
        </w:rPr>
        <w:t>所有关于本次磋商的函电，请按下列地址联系：</w:t>
      </w:r>
    </w:p>
    <w:p w14:paraId="1529C2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sz w:val="24"/>
          <w:szCs w:val="24"/>
        </w:rPr>
      </w:pPr>
    </w:p>
    <w:p w14:paraId="20DCFC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u w:val="single"/>
        </w:rPr>
      </w:pPr>
      <w:r>
        <w:rPr>
          <w:rFonts w:hint="eastAsia" w:ascii="宋体" w:hAnsi="宋体" w:cs="宋体"/>
          <w:sz w:val="24"/>
          <w:szCs w:val="24"/>
        </w:rPr>
        <w:t>供应商（单位名称及公章）：__________</w:t>
      </w:r>
      <w:r>
        <w:rPr>
          <w:rFonts w:hint="eastAsia" w:ascii="宋体" w:hAnsi="宋体" w:cs="宋体"/>
          <w:sz w:val="24"/>
          <w:szCs w:val="24"/>
          <w:u w:val="none"/>
        </w:rPr>
        <w:t>____________</w:t>
      </w:r>
      <w:r>
        <w:rPr>
          <w:rFonts w:hint="eastAsia" w:ascii="宋体" w:hAnsi="宋体" w:cs="宋体"/>
          <w:sz w:val="24"/>
          <w:szCs w:val="24"/>
        </w:rPr>
        <w:t>____</w:t>
      </w:r>
    </w:p>
    <w:p w14:paraId="369BCE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rPr>
        <w:t>）：_____________________</w:t>
      </w:r>
    </w:p>
    <w:p w14:paraId="2C915E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址：___________________________________</w:t>
      </w:r>
    </w:p>
    <w:p w14:paraId="08FB16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u w:val="single"/>
        </w:rPr>
      </w:pPr>
      <w:r>
        <w:rPr>
          <w:rFonts w:hint="eastAsia" w:ascii="宋体" w:hAnsi="宋体" w:cs="宋体"/>
          <w:sz w:val="24"/>
          <w:szCs w:val="24"/>
        </w:rPr>
        <w:t>开户银行：___________________________________</w:t>
      </w:r>
    </w:p>
    <w:p w14:paraId="33E07D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u w:val="single"/>
        </w:rPr>
      </w:pP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号：___________________________________</w:t>
      </w:r>
    </w:p>
    <w:p w14:paraId="617360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u w:val="single"/>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话：___________________________________</w:t>
      </w:r>
    </w:p>
    <w:p w14:paraId="6311BD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u w:val="single"/>
        </w:rPr>
      </w:pPr>
      <w:r>
        <w:rPr>
          <w:rFonts w:hint="eastAsia" w:ascii="宋体" w:hAnsi="宋体" w:cs="宋体"/>
          <w:sz w:val="24"/>
          <w:szCs w:val="24"/>
        </w:rPr>
        <w:t>邮</w:t>
      </w:r>
      <w:r>
        <w:rPr>
          <w:rFonts w:ascii="宋体" w:hAnsi="宋体" w:cs="宋体"/>
          <w:sz w:val="24"/>
          <w:szCs w:val="24"/>
        </w:rPr>
        <w:t xml:space="preserve">    </w:t>
      </w:r>
      <w:r>
        <w:rPr>
          <w:rFonts w:hint="eastAsia" w:ascii="宋体" w:hAnsi="宋体" w:cs="宋体"/>
          <w:sz w:val="24"/>
          <w:szCs w:val="24"/>
        </w:rPr>
        <w:t>编：___________________________________</w:t>
      </w:r>
    </w:p>
    <w:p w14:paraId="69F772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cs="Times New Roman"/>
          <w:sz w:val="24"/>
          <w:szCs w:val="24"/>
        </w:rPr>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74584969">
      <w:pPr>
        <w:autoSpaceDE w:val="0"/>
        <w:autoSpaceDN w:val="0"/>
        <w:adjustRightInd w:val="0"/>
        <w:snapToGrid w:val="0"/>
        <w:spacing w:line="360" w:lineRule="auto"/>
        <w:jc w:val="center"/>
        <w:rPr>
          <w:b/>
          <w:sz w:val="24"/>
        </w:rPr>
      </w:pPr>
      <w:r>
        <w:rPr>
          <w:rFonts w:hint="eastAsia" w:hAnsi="宋体"/>
          <w:b/>
          <w:sz w:val="32"/>
          <w:szCs w:val="32"/>
          <w:lang w:val="en-US" w:eastAsia="zh-CN"/>
        </w:rPr>
        <w:t>第二章 响应</w:t>
      </w:r>
      <w:r>
        <w:rPr>
          <w:rFonts w:hint="eastAsia" w:hAnsi="宋体"/>
          <w:b/>
          <w:sz w:val="32"/>
          <w:szCs w:val="32"/>
        </w:rPr>
        <w:t>报价表</w:t>
      </w:r>
    </w:p>
    <w:p w14:paraId="1C21EA0C">
      <w:pPr>
        <w:autoSpaceDE w:val="0"/>
        <w:autoSpaceDN w:val="0"/>
        <w:adjustRightInd w:val="0"/>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 </w:t>
      </w:r>
    </w:p>
    <w:p w14:paraId="52A017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供应商名称：                                        </w:t>
      </w:r>
    </w:p>
    <w:p w14:paraId="0D225F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cs="Times New Roman" w:eastAsiaTheme="minorEastAsia"/>
          <w:sz w:val="24"/>
          <w:szCs w:val="24"/>
          <w:lang w:val="en-US" w:eastAsia="zh-CN"/>
        </w:rPr>
      </w:pPr>
      <w:r>
        <w:rPr>
          <w:rFonts w:hint="eastAsia" w:ascii="宋体" w:hAnsi="宋体" w:eastAsia="宋体" w:cs="宋体"/>
          <w:sz w:val="24"/>
          <w:szCs w:val="24"/>
        </w:rPr>
        <w:t xml:space="preserve">项目名称：  </w:t>
      </w:r>
      <w:r>
        <w:rPr>
          <w:rFonts w:hint="eastAsia" w:cs="Times New Roman" w:asciiTheme="minorEastAsia" w:hAnsiTheme="minorEastAsia" w:eastAsiaTheme="minorEastAsia"/>
          <w:sz w:val="28"/>
          <w:szCs w:val="28"/>
        </w:rPr>
        <w:t xml:space="preserve">                       </w:t>
      </w:r>
      <w:r>
        <w:rPr>
          <w:rFonts w:hint="eastAsia" w:cs="Times New Roman" w:asciiTheme="minorEastAsia" w:hAnsiTheme="minorEastAsia" w:eastAsiaTheme="minorEastAsia"/>
          <w:sz w:val="28"/>
          <w:szCs w:val="28"/>
          <w:u w:val="none"/>
        </w:rPr>
        <w:t xml:space="preserve"> </w:t>
      </w:r>
      <w:r>
        <w:rPr>
          <w:rFonts w:hint="eastAsia" w:cs="Times New Roman" w:asciiTheme="minorEastAsia" w:hAnsiTheme="minorEastAsia" w:eastAsiaTheme="minorEastAsia"/>
          <w:sz w:val="28"/>
          <w:szCs w:val="28"/>
        </w:rPr>
        <w:t xml:space="preserve">    </w:t>
      </w:r>
    </w:p>
    <w:tbl>
      <w:tblPr>
        <w:tblStyle w:val="45"/>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2450"/>
        <w:gridCol w:w="2156"/>
        <w:gridCol w:w="2387"/>
      </w:tblGrid>
      <w:tr w14:paraId="594F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2845" w:type="dxa"/>
            <w:tcBorders>
              <w:tl2br w:val="single" w:color="auto" w:sz="4" w:space="0"/>
            </w:tcBorders>
          </w:tcPr>
          <w:p w14:paraId="069D61D3">
            <w:pPr>
              <w:keepNext w:val="0"/>
              <w:keepLines w:val="0"/>
              <w:suppressLineNumbers w:val="0"/>
              <w:tabs>
                <w:tab w:val="left" w:pos="1091"/>
              </w:tabs>
              <w:kinsoku w:val="0"/>
              <w:spacing w:before="0" w:beforeAutospacing="0" w:after="0" w:afterAutospacing="0" w:line="500" w:lineRule="exact"/>
              <w:ind w:left="0" w:right="0" w:firstLine="1200" w:firstLineChars="500"/>
              <w:rPr>
                <w:rFonts w:hint="default" w:ascii="宋体" w:hAnsi="宋体" w:cs="Times New Roman"/>
                <w:sz w:val="24"/>
                <w:szCs w:val="24"/>
              </w:rPr>
            </w:pPr>
            <w:r>
              <w:rPr>
                <w:rFonts w:hint="eastAsia" w:ascii="宋体" w:hAnsi="宋体" w:cs="Times New Roman"/>
                <w:sz w:val="24"/>
                <w:szCs w:val="24"/>
                <w:lang w:eastAsia="zh-CN"/>
              </w:rPr>
              <w:tab/>
            </w:r>
            <w:r>
              <w:rPr>
                <w:rFonts w:hint="eastAsia" w:ascii="宋体" w:hAnsi="宋体" w:cs="Times New Roman"/>
                <w:sz w:val="24"/>
                <w:szCs w:val="24"/>
                <w:lang w:val="en-US" w:eastAsia="zh-CN"/>
              </w:rPr>
              <w:t xml:space="preserve">   </w:t>
            </w:r>
            <w:r>
              <w:rPr>
                <w:rFonts w:hint="eastAsia" w:ascii="宋体" w:hAnsi="宋体" w:cs="Times New Roman"/>
                <w:sz w:val="24"/>
                <w:szCs w:val="24"/>
              </w:rPr>
              <w:t>报价内容</w:t>
            </w:r>
          </w:p>
          <w:p w14:paraId="47CF473D">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p w14:paraId="7B5F65F6">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p w14:paraId="41069F1B">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p w14:paraId="5F4A26EE">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r>
              <w:rPr>
                <w:rFonts w:hint="eastAsia" w:ascii="宋体" w:hAnsi="宋体" w:cs="Times New Roman"/>
                <w:sz w:val="24"/>
                <w:szCs w:val="24"/>
              </w:rPr>
              <w:t>投标内容</w:t>
            </w:r>
          </w:p>
        </w:tc>
        <w:tc>
          <w:tcPr>
            <w:tcW w:w="2450" w:type="dxa"/>
            <w:vAlign w:val="center"/>
          </w:tcPr>
          <w:p w14:paraId="13C8C452">
            <w:pPr>
              <w:keepNext w:val="0"/>
              <w:keepLines w:val="0"/>
              <w:suppressLineNumbers w:val="0"/>
              <w:kinsoku w:val="0"/>
              <w:spacing w:before="0" w:beforeAutospacing="0" w:after="0" w:afterAutospacing="0" w:line="500" w:lineRule="exact"/>
              <w:ind w:left="0" w:right="0"/>
              <w:jc w:val="center"/>
              <w:rPr>
                <w:rFonts w:hint="eastAsia" w:ascii="宋体" w:hAnsi="宋体" w:cs="Times New Roman"/>
                <w:color w:val="000000" w:themeColor="text1"/>
                <w:sz w:val="24"/>
                <w:szCs w:val="24"/>
                <w:lang w:eastAsia="zh-CN"/>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w:t>
            </w:r>
            <w:r>
              <w:rPr>
                <w:rFonts w:hint="eastAsia" w:ascii="宋体" w:hAnsi="宋体" w:cs="Times New Roman"/>
                <w:color w:val="000000" w:themeColor="text1"/>
                <w:sz w:val="24"/>
                <w:szCs w:val="24"/>
                <w:lang w:val="en-US" w:eastAsia="zh-CN"/>
                <w14:textFill>
                  <w14:solidFill>
                    <w14:schemeClr w14:val="tx1"/>
                  </w14:solidFill>
                </w14:textFill>
              </w:rPr>
              <w:t>总报价</w:t>
            </w:r>
          </w:p>
          <w:p w14:paraId="2E633325">
            <w:pPr>
              <w:keepNext w:val="0"/>
              <w:keepLines w:val="0"/>
              <w:suppressLineNumbers w:val="0"/>
              <w:kinsoku w:val="0"/>
              <w:spacing w:before="0" w:beforeAutospacing="0" w:after="0" w:afterAutospacing="0" w:line="500" w:lineRule="exact"/>
              <w:ind w:left="0" w:right="0"/>
              <w:jc w:val="center"/>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eastAsia="zh-CN"/>
                <w14:textFill>
                  <w14:solidFill>
                    <w14:schemeClr w14:val="tx1"/>
                  </w14:solidFill>
                </w14:textFill>
              </w:rPr>
              <w:t>（</w:t>
            </w:r>
            <w:r>
              <w:rPr>
                <w:rFonts w:hint="eastAsia" w:ascii="宋体" w:hAnsi="宋体" w:cs="Times New Roman"/>
                <w:color w:val="000000" w:themeColor="text1"/>
                <w:sz w:val="24"/>
                <w:szCs w:val="24"/>
                <w:lang w:val="en-US" w:eastAsia="zh-CN"/>
                <w14:textFill>
                  <w14:solidFill>
                    <w14:schemeClr w14:val="tx1"/>
                  </w14:solidFill>
                </w14:textFill>
              </w:rPr>
              <w:t>元</w:t>
            </w:r>
            <w:r>
              <w:rPr>
                <w:rFonts w:hint="eastAsia" w:ascii="宋体" w:hAnsi="宋体" w:cs="Times New Roman"/>
                <w:color w:val="000000" w:themeColor="text1"/>
                <w:sz w:val="24"/>
                <w:szCs w:val="24"/>
                <w:lang w:eastAsia="zh-CN"/>
                <w14:textFill>
                  <w14:solidFill>
                    <w14:schemeClr w14:val="tx1"/>
                  </w14:solidFill>
                </w14:textFill>
              </w:rPr>
              <w:t>）</w:t>
            </w:r>
          </w:p>
        </w:tc>
        <w:tc>
          <w:tcPr>
            <w:tcW w:w="2156" w:type="dxa"/>
            <w:vAlign w:val="center"/>
          </w:tcPr>
          <w:p w14:paraId="77198D60">
            <w:pPr>
              <w:keepNext w:val="0"/>
              <w:keepLines w:val="0"/>
              <w:suppressLineNumbers w:val="0"/>
              <w:kinsoku w:val="0"/>
              <w:spacing w:before="0" w:beforeAutospacing="0" w:after="0" w:afterAutospacing="0" w:line="500" w:lineRule="exact"/>
              <w:ind w:left="0" w:right="0" w:firstLine="141" w:firstLineChars="59"/>
              <w:jc w:val="center"/>
              <w:rPr>
                <w:rFonts w:hint="default" w:ascii="宋体" w:hAnsi="宋体" w:eastAsia="宋体" w:cs="Times New Roman"/>
                <w:color w:val="000000" w:themeColor="text1"/>
                <w:sz w:val="24"/>
                <w:szCs w:val="24"/>
                <w:lang w:val="en-US" w:eastAsia="zh-CN"/>
                <w14:textFill>
                  <w14:solidFill>
                    <w14:schemeClr w14:val="tx1"/>
                  </w14:solidFill>
                </w14:textFill>
              </w:rPr>
            </w:pPr>
            <w:bookmarkStart w:id="183" w:name="OLE_LINK33"/>
            <w:r>
              <w:rPr>
                <w:rFonts w:hint="eastAsia" w:ascii="宋体" w:hAnsi="宋体" w:cs="Times New Roman"/>
                <w:color w:val="000000" w:themeColor="text1"/>
                <w:sz w:val="24"/>
                <w:szCs w:val="24"/>
                <w:lang w:val="en-US" w:eastAsia="zh-CN"/>
                <w14:textFill>
                  <w14:solidFill>
                    <w14:schemeClr w14:val="tx1"/>
                  </w14:solidFill>
                </w14:textFill>
              </w:rPr>
              <w:t>合同履行期</w:t>
            </w:r>
            <w:bookmarkEnd w:id="183"/>
          </w:p>
        </w:tc>
        <w:tc>
          <w:tcPr>
            <w:tcW w:w="2387" w:type="dxa"/>
            <w:vAlign w:val="center"/>
          </w:tcPr>
          <w:p w14:paraId="13231F7B">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r>
              <w:rPr>
                <w:rFonts w:hint="eastAsia" w:ascii="宋体" w:hAnsi="宋体" w:cs="Times New Roman"/>
                <w:sz w:val="24"/>
                <w:szCs w:val="24"/>
              </w:rPr>
              <w:t>备注</w:t>
            </w:r>
          </w:p>
          <w:p w14:paraId="72127529">
            <w:pPr>
              <w:keepNext w:val="0"/>
              <w:keepLines w:val="0"/>
              <w:suppressLineNumbers w:val="0"/>
              <w:kinsoku w:val="0"/>
              <w:spacing w:before="0" w:beforeAutospacing="0" w:after="0" w:afterAutospacing="0" w:line="500" w:lineRule="exact"/>
              <w:ind w:left="0" w:right="0"/>
              <w:jc w:val="both"/>
              <w:rPr>
                <w:rFonts w:hint="eastAsia" w:ascii="宋体" w:hAnsi="宋体" w:cs="Times New Roman"/>
                <w:sz w:val="24"/>
                <w:szCs w:val="24"/>
              </w:rPr>
            </w:pPr>
          </w:p>
        </w:tc>
      </w:tr>
      <w:tr w14:paraId="3810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2845" w:type="dxa"/>
            <w:vAlign w:val="center"/>
          </w:tcPr>
          <w:p w14:paraId="6CFF8B1B">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c>
          <w:tcPr>
            <w:tcW w:w="2450" w:type="dxa"/>
            <w:vAlign w:val="center"/>
          </w:tcPr>
          <w:p w14:paraId="570DFCAB">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tc>
        <w:tc>
          <w:tcPr>
            <w:tcW w:w="2156" w:type="dxa"/>
            <w:vAlign w:val="center"/>
          </w:tcPr>
          <w:p w14:paraId="79EB4129">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c>
          <w:tcPr>
            <w:tcW w:w="2387" w:type="dxa"/>
            <w:vAlign w:val="center"/>
          </w:tcPr>
          <w:p w14:paraId="62552FBE">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r>
      <w:tr w14:paraId="39766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838" w:type="dxa"/>
            <w:gridSpan w:val="4"/>
            <w:vAlign w:val="center"/>
          </w:tcPr>
          <w:p w14:paraId="66AEBA5C">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r>
              <w:rPr>
                <w:rFonts w:hint="eastAsia" w:ascii="宋体" w:hAnsi="宋体" w:cs="Times New Roman"/>
                <w:color w:val="000000" w:themeColor="text1"/>
                <w:sz w:val="24"/>
                <w:szCs w:val="24"/>
                <w14:textFill>
                  <w14:solidFill>
                    <w14:schemeClr w14:val="tx1"/>
                  </w14:solidFill>
                </w14:textFill>
              </w:rPr>
              <w:t>投标</w:t>
            </w:r>
            <w:r>
              <w:rPr>
                <w:rFonts w:hint="eastAsia" w:ascii="宋体" w:hAnsi="宋体" w:cs="Times New Roman"/>
                <w:color w:val="000000" w:themeColor="text1"/>
                <w:sz w:val="24"/>
                <w:szCs w:val="24"/>
                <w:lang w:val="en-US" w:eastAsia="zh-CN"/>
                <w14:textFill>
                  <w14:solidFill>
                    <w14:schemeClr w14:val="tx1"/>
                  </w14:solidFill>
                </w14:textFill>
              </w:rPr>
              <w:t>总报价</w:t>
            </w:r>
            <w:r>
              <w:rPr>
                <w:rFonts w:hint="eastAsia" w:ascii="宋体" w:hAnsi="宋体" w:cs="Times New Roman"/>
                <w:color w:val="000000" w:themeColor="text1"/>
                <w:sz w:val="24"/>
                <w:szCs w:val="24"/>
                <w14:textFill>
                  <w14:solidFill>
                    <w14:schemeClr w14:val="tx1"/>
                  </w14:solidFill>
                </w14:textFill>
              </w:rPr>
              <w:t xml:space="preserve">：（大写） </w:t>
            </w:r>
            <w:r>
              <w:rPr>
                <w:rFonts w:hint="eastAsia" w:ascii="宋体" w:hAnsi="宋体" w:cs="Times New Roman"/>
                <w:color w:val="FF0000"/>
                <w:sz w:val="24"/>
                <w:szCs w:val="24"/>
              </w:rPr>
              <w:t xml:space="preserve">  </w:t>
            </w:r>
            <w:r>
              <w:rPr>
                <w:rFonts w:hint="eastAsia" w:ascii="宋体" w:hAnsi="宋体" w:cs="Times New Roman"/>
                <w:sz w:val="24"/>
                <w:szCs w:val="24"/>
              </w:rPr>
              <w:t xml:space="preserve">                                </w:t>
            </w:r>
          </w:p>
        </w:tc>
      </w:tr>
      <w:tr w14:paraId="723B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838" w:type="dxa"/>
            <w:gridSpan w:val="4"/>
            <w:vAlign w:val="center"/>
          </w:tcPr>
          <w:p w14:paraId="3FB4E57B">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lang w:val="en-US"/>
              </w:rPr>
            </w:pPr>
            <w:r>
              <w:rPr>
                <w:rFonts w:hint="eastAsia" w:ascii="宋体" w:hAnsi="宋体" w:cs="Times New Roman"/>
                <w:sz w:val="24"/>
                <w:szCs w:val="24"/>
              </w:rPr>
              <w:t>备注：表内</w:t>
            </w:r>
            <w:r>
              <w:rPr>
                <w:rFonts w:hint="eastAsia" w:ascii="宋体" w:hAnsi="宋体" w:cs="Times New Roman"/>
                <w:sz w:val="24"/>
                <w:szCs w:val="24"/>
                <w:lang w:eastAsia="zh-CN"/>
              </w:rPr>
              <w:t>投标</w:t>
            </w:r>
            <w:r>
              <w:rPr>
                <w:rFonts w:hint="eastAsia" w:ascii="宋体" w:hAnsi="宋体" w:cs="Times New Roman"/>
                <w:sz w:val="24"/>
                <w:szCs w:val="24"/>
              </w:rPr>
              <w:t>报价</w:t>
            </w:r>
            <w:r>
              <w:rPr>
                <w:rFonts w:hint="eastAsia" w:ascii="宋体" w:hAnsi="宋体" w:cs="Times New Roman"/>
                <w:sz w:val="24"/>
                <w:szCs w:val="24"/>
                <w:lang w:eastAsia="zh-CN"/>
              </w:rPr>
              <w:t>以元为单位，保留小数点后两位。</w:t>
            </w:r>
          </w:p>
        </w:tc>
      </w:tr>
    </w:tbl>
    <w:p w14:paraId="54163544">
      <w:pPr>
        <w:spacing w:line="360" w:lineRule="auto"/>
        <w:jc w:val="left"/>
        <w:rPr>
          <w:rFonts w:hint="eastAsia" w:ascii="宋体" w:hAnsi="宋体" w:cs="仿宋"/>
          <w:sz w:val="24"/>
          <w:szCs w:val="24"/>
        </w:rPr>
      </w:pPr>
    </w:p>
    <w:p w14:paraId="1AC186A8">
      <w:pPr>
        <w:spacing w:line="360" w:lineRule="auto"/>
        <w:jc w:val="left"/>
        <w:rPr>
          <w:rFonts w:ascii="宋体" w:hAnsi="宋体" w:cs="仿宋"/>
          <w:sz w:val="24"/>
          <w:szCs w:val="24"/>
        </w:rPr>
      </w:pPr>
      <w:r>
        <w:rPr>
          <w:rFonts w:hint="eastAsia" w:ascii="宋体" w:hAnsi="宋体" w:cs="仿宋"/>
          <w:sz w:val="24"/>
          <w:szCs w:val="24"/>
        </w:rPr>
        <w:t>备注</w:t>
      </w:r>
      <w:r>
        <w:rPr>
          <w:rFonts w:ascii="宋体" w:hAnsi="宋体" w:cs="仿宋"/>
          <w:sz w:val="24"/>
          <w:szCs w:val="24"/>
        </w:rPr>
        <w:t>：</w:t>
      </w:r>
    </w:p>
    <w:p w14:paraId="6CA559F0">
      <w:pPr>
        <w:spacing w:line="360" w:lineRule="auto"/>
        <w:ind w:firstLine="360" w:firstLineChars="150"/>
        <w:jc w:val="left"/>
        <w:rPr>
          <w:rFonts w:hint="eastAsia" w:ascii="宋体" w:hAnsi="宋体" w:eastAsia="宋体" w:cs="仿宋"/>
          <w:sz w:val="24"/>
          <w:szCs w:val="24"/>
          <w:lang w:eastAsia="zh-CN"/>
        </w:rPr>
      </w:pPr>
      <w:r>
        <w:rPr>
          <w:rFonts w:hint="eastAsia" w:ascii="宋体" w:hAnsi="宋体" w:cs="仿宋"/>
          <w:sz w:val="24"/>
          <w:szCs w:val="24"/>
        </w:rPr>
        <w:t>投标人所报的价格应考虑到可能发生的所有与完成本项目相关服务及履行合同义务有关的一切费用。</w:t>
      </w:r>
    </w:p>
    <w:p w14:paraId="072AF1DE">
      <w:pPr>
        <w:kinsoku w:val="0"/>
        <w:spacing w:line="360" w:lineRule="auto"/>
        <w:jc w:val="left"/>
        <w:rPr>
          <w:rFonts w:ascii="宋体" w:cs="Times New Roman"/>
          <w:sz w:val="24"/>
          <w:szCs w:val="24"/>
        </w:rPr>
      </w:pPr>
    </w:p>
    <w:p w14:paraId="68DDC034">
      <w:pPr>
        <w:adjustRightInd w:val="0"/>
        <w:snapToGrid w:val="0"/>
        <w:spacing w:line="480" w:lineRule="auto"/>
        <w:jc w:val="left"/>
        <w:rPr>
          <w:rFonts w:hint="default" w:eastAsia="宋体"/>
          <w:lang w:val="en-US" w:eastAsia="zh-CN"/>
        </w:rPr>
      </w:pPr>
      <w:r>
        <w:rPr>
          <w:rFonts w:hint="eastAsia" w:ascii="宋体" w:hAnsi="宋体" w:cs="宋体"/>
          <w:sz w:val="24"/>
          <w:szCs w:val="24"/>
        </w:rPr>
        <w:t>供应商（单位名称及公章）：____________________________</w:t>
      </w:r>
      <w:r>
        <w:rPr>
          <w:rFonts w:hint="eastAsia" w:ascii="宋体" w:hAnsi="宋体" w:cs="宋体"/>
          <w:sz w:val="24"/>
          <w:szCs w:val="24"/>
          <w:lang w:val="en-US" w:eastAsia="zh-CN"/>
        </w:rPr>
        <w:t xml:space="preserve">  </w:t>
      </w:r>
    </w:p>
    <w:p w14:paraId="4F8E7F10">
      <w:pPr>
        <w:adjustRightInd w:val="0"/>
        <w:snapToGrid w:val="0"/>
        <w:spacing w:line="480" w:lineRule="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rPr>
        <w:t>）：________________________</w:t>
      </w:r>
    </w:p>
    <w:p w14:paraId="4A1CEAB1">
      <w:pPr>
        <w:adjustRightInd w:val="0"/>
        <w:snapToGrid w:val="0"/>
        <w:spacing w:line="480" w:lineRule="auto"/>
        <w:rPr>
          <w:rFonts w:hint="eastAsia" w:ascii="宋体" w:hAnsi="宋体" w:cs="宋体"/>
          <w:sz w:val="24"/>
          <w:szCs w:val="24"/>
        </w:rPr>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期：_______年_______月______日</w:t>
      </w:r>
    </w:p>
    <w:p w14:paraId="049F194B">
      <w:pPr>
        <w:spacing w:line="500" w:lineRule="exact"/>
        <w:jc w:val="center"/>
        <w:rPr>
          <w:rFonts w:hint="eastAsia" w:ascii="Calibri Light" w:hAnsi="Calibri Light" w:eastAsia="宋体" w:cs="Times New Roman"/>
          <w:b/>
          <w:bCs/>
          <w:kern w:val="2"/>
          <w:sz w:val="32"/>
          <w:szCs w:val="32"/>
          <w:highlight w:val="none"/>
          <w:lang w:val="en-US" w:eastAsia="zh-CN" w:bidi="ar-SA"/>
        </w:rPr>
      </w:pPr>
      <w:r>
        <w:rPr>
          <w:rFonts w:hint="eastAsia" w:ascii="Calibri Light" w:hAnsi="Calibri Light" w:eastAsia="宋体" w:cs="Times New Roman"/>
          <w:b/>
          <w:bCs/>
          <w:kern w:val="2"/>
          <w:sz w:val="32"/>
          <w:szCs w:val="32"/>
          <w:highlight w:val="none"/>
          <w:lang w:val="en-US" w:eastAsia="zh-CN" w:bidi="ar-SA"/>
        </w:rPr>
        <w:t>投标分项报价表</w:t>
      </w:r>
    </w:p>
    <w:p w14:paraId="0837AB16">
      <w:pPr>
        <w:tabs>
          <w:tab w:val="right" w:pos="8435"/>
        </w:tabs>
        <w:ind w:firstLine="280" w:firstLineChars="100"/>
        <w:rPr>
          <w:rFonts w:hint="eastAsia" w:ascii="宋体" w:hAnsi="宋体" w:eastAsia="宋体" w:cs="Times New Roman"/>
          <w:sz w:val="28"/>
          <w:szCs w:val="28"/>
          <w:lang w:val="en-US" w:eastAsia="zh-CN"/>
        </w:rPr>
      </w:pPr>
      <w:r>
        <w:rPr>
          <w:rFonts w:hint="eastAsia" w:ascii="宋体" w:hAnsi="宋体" w:eastAsia="宋体" w:cs="Times New Roman"/>
          <w:sz w:val="28"/>
          <w:szCs w:val="28"/>
        </w:rPr>
        <w:t>供应商名称：</w:t>
      </w:r>
      <w:r>
        <w:rPr>
          <w:rFonts w:hint="eastAsia" w:ascii="宋体" w:hAnsi="宋体" w:eastAsia="宋体" w:cs="Times New Roman"/>
          <w:sz w:val="28"/>
          <w:szCs w:val="28"/>
        </w:rPr>
        <w:tab/>
      </w:r>
      <w:r>
        <w:rPr>
          <w:rFonts w:hint="eastAsia" w:ascii="宋体" w:hAnsi="宋体" w:eastAsia="宋体" w:cs="Times New Roman"/>
          <w:sz w:val="28"/>
          <w:szCs w:val="28"/>
          <w:lang w:val="en-US" w:eastAsia="zh-CN"/>
        </w:rPr>
        <w:t xml:space="preserve">      </w:t>
      </w:r>
      <w:r>
        <w:rPr>
          <w:rFonts w:hint="eastAsia" w:ascii="宋体" w:hAnsi="宋体" w:cs="Times New Roman"/>
          <w:sz w:val="28"/>
          <w:szCs w:val="28"/>
          <w:lang w:val="en-US" w:eastAsia="zh-CN"/>
        </w:rPr>
        <w:t xml:space="preserve"> </w:t>
      </w:r>
      <w:r>
        <w:rPr>
          <w:rFonts w:hint="eastAsia" w:ascii="宋体" w:hAnsi="宋体" w:eastAsia="宋体" w:cs="Times New Roman"/>
          <w:sz w:val="28"/>
          <w:szCs w:val="28"/>
          <w:lang w:val="en-US" w:eastAsia="zh-CN"/>
        </w:rPr>
        <w:t xml:space="preserve"> </w:t>
      </w:r>
      <w:r>
        <w:rPr>
          <w:rFonts w:hint="eastAsia" w:ascii="宋体" w:hAnsi="宋体" w:cs="Times New Roman"/>
          <w:sz w:val="28"/>
          <w:szCs w:val="28"/>
          <w:lang w:val="en-US" w:eastAsia="zh-CN"/>
        </w:rPr>
        <w:t xml:space="preserve">  </w:t>
      </w:r>
      <w:r>
        <w:rPr>
          <w:rFonts w:hint="eastAsia" w:ascii="宋体" w:hAnsi="宋体" w:eastAsia="宋体" w:cs="Times New Roman"/>
          <w:sz w:val="28"/>
          <w:szCs w:val="28"/>
          <w:lang w:val="en-US" w:eastAsia="zh-CN"/>
        </w:rPr>
        <w:t xml:space="preserve">    </w:t>
      </w:r>
      <w:r>
        <w:rPr>
          <w:rFonts w:hint="eastAsia" w:ascii="宋体" w:hAnsi="宋体" w:cs="Times New Roman"/>
          <w:sz w:val="28"/>
          <w:szCs w:val="28"/>
          <w:lang w:val="en-US" w:eastAsia="zh-CN"/>
        </w:rPr>
        <w:t xml:space="preserve">  </w:t>
      </w:r>
      <w:r>
        <w:rPr>
          <w:rFonts w:hint="eastAsia" w:ascii="宋体" w:hAnsi="宋体" w:eastAsia="宋体" w:cs="Times New Roman"/>
          <w:sz w:val="28"/>
          <w:szCs w:val="28"/>
          <w:lang w:val="en-US" w:eastAsia="zh-CN"/>
        </w:rPr>
        <w:t xml:space="preserve"> </w:t>
      </w:r>
      <w:r>
        <w:rPr>
          <w:rFonts w:hint="eastAsia" w:ascii="宋体" w:hAnsi="宋体" w:cs="Times New Roman"/>
          <w:sz w:val="28"/>
          <w:szCs w:val="28"/>
          <w:lang w:val="en-US" w:eastAsia="zh-CN"/>
        </w:rPr>
        <w:t xml:space="preserve"> </w:t>
      </w:r>
      <w:r>
        <w:rPr>
          <w:rFonts w:hint="eastAsia" w:ascii="宋体" w:hAnsi="宋体" w:eastAsia="宋体" w:cs="Times New Roman"/>
          <w:sz w:val="28"/>
          <w:szCs w:val="28"/>
          <w:lang w:val="en-US" w:eastAsia="zh-CN"/>
        </w:rPr>
        <w:t xml:space="preserve"> </w:t>
      </w:r>
      <w:r>
        <w:rPr>
          <w:rFonts w:hint="eastAsia" w:ascii="宋体" w:hAnsi="宋体" w:cs="Times New Roman"/>
          <w:sz w:val="28"/>
          <w:szCs w:val="28"/>
          <w:lang w:val="en-US" w:eastAsia="zh-CN"/>
        </w:rPr>
        <w:t xml:space="preserve"> </w:t>
      </w:r>
      <w:r>
        <w:rPr>
          <w:rFonts w:hint="eastAsia" w:ascii="宋体" w:hAnsi="宋体" w:eastAsia="宋体" w:cs="Times New Roman"/>
          <w:sz w:val="28"/>
          <w:szCs w:val="28"/>
        </w:rPr>
        <w:t>金额单位：人民币 （元</w:t>
      </w:r>
      <w:r>
        <w:rPr>
          <w:rFonts w:hint="default" w:ascii="宋体" w:hAnsi="宋体" w:eastAsia="宋体" w:cs="Times New Roman"/>
          <w:sz w:val="28"/>
          <w:szCs w:val="28"/>
        </w:rPr>
        <w:t>）</w:t>
      </w:r>
      <w:r>
        <w:rPr>
          <w:rFonts w:hint="eastAsia" w:ascii="宋体" w:hAnsi="宋体" w:cs="Times New Roman"/>
          <w:sz w:val="28"/>
          <w:szCs w:val="28"/>
          <w:lang w:val="en-US" w:eastAsia="zh-CN"/>
        </w:rPr>
        <w:t xml:space="preserve"> </w:t>
      </w:r>
    </w:p>
    <w:tbl>
      <w:tblPr>
        <w:tblStyle w:val="45"/>
        <w:tblW w:w="4926"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598"/>
        <w:gridCol w:w="2040"/>
        <w:gridCol w:w="1243"/>
        <w:gridCol w:w="1243"/>
        <w:gridCol w:w="1243"/>
        <w:gridCol w:w="453"/>
        <w:gridCol w:w="2318"/>
      </w:tblGrid>
      <w:tr w14:paraId="2EFB94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27" w:hRule="atLeast"/>
        </w:trPr>
        <w:tc>
          <w:tcPr>
            <w:tcW w:w="327" w:type="pct"/>
            <w:vAlign w:val="center"/>
          </w:tcPr>
          <w:p w14:paraId="77C8715F">
            <w:pPr>
              <w:keepNext w:val="0"/>
              <w:keepLines w:val="0"/>
              <w:suppressLineNumbers w:val="0"/>
              <w:snapToGrid w:val="0"/>
              <w:spacing w:before="0" w:beforeAutospacing="0" w:after="0" w:afterAutospacing="0"/>
              <w:ind w:left="0" w:right="0"/>
              <w:jc w:val="center"/>
              <w:rPr>
                <w:rFonts w:hint="eastAsia" w:ascii="宋体" w:hAnsi="宋体" w:eastAsia="宋体" w:cs="Times New Roman"/>
                <w:sz w:val="28"/>
                <w:szCs w:val="28"/>
              </w:rPr>
            </w:pPr>
            <w:r>
              <w:rPr>
                <w:rFonts w:hint="eastAsia" w:ascii="宋体" w:hAnsi="宋体" w:eastAsia="宋体" w:cs="Times New Roman"/>
                <w:sz w:val="28"/>
                <w:szCs w:val="28"/>
              </w:rPr>
              <w:t>序号</w:t>
            </w:r>
          </w:p>
        </w:tc>
        <w:tc>
          <w:tcPr>
            <w:tcW w:w="1116" w:type="pct"/>
            <w:vAlign w:val="center"/>
          </w:tcPr>
          <w:p w14:paraId="255AFA43">
            <w:pPr>
              <w:keepNext w:val="0"/>
              <w:keepLines w:val="0"/>
              <w:widowControl/>
              <w:suppressLineNumbers w:val="0"/>
              <w:topLinePunct/>
              <w:snapToGrid w:val="0"/>
              <w:spacing w:before="0" w:beforeAutospacing="0" w:after="0" w:afterAutospacing="0"/>
              <w:ind w:left="0" w:right="0"/>
              <w:jc w:val="center"/>
              <w:rPr>
                <w:rFonts w:hint="eastAsia" w:ascii="宋体" w:hAnsi="宋体" w:eastAsia="宋体" w:cs="Times New Roman"/>
                <w:sz w:val="28"/>
                <w:szCs w:val="28"/>
              </w:rPr>
            </w:pPr>
            <w:r>
              <w:rPr>
                <w:rFonts w:hint="eastAsia" w:ascii="宋体" w:hAnsi="宋体" w:eastAsia="宋体" w:cs="Times New Roman"/>
                <w:sz w:val="28"/>
                <w:szCs w:val="28"/>
              </w:rPr>
              <w:t>服务内容</w:t>
            </w:r>
          </w:p>
        </w:tc>
        <w:tc>
          <w:tcPr>
            <w:tcW w:w="680" w:type="pct"/>
            <w:vAlign w:val="center"/>
          </w:tcPr>
          <w:p w14:paraId="4530F67D">
            <w:pPr>
              <w:keepNext w:val="0"/>
              <w:keepLines w:val="0"/>
              <w:suppressLineNumbers w:val="0"/>
              <w:snapToGrid w:val="0"/>
              <w:spacing w:before="0" w:beforeAutospacing="0" w:after="0" w:afterAutospacing="0"/>
              <w:ind w:left="0" w:right="0"/>
              <w:jc w:val="center"/>
              <w:rPr>
                <w:rFonts w:hint="eastAsia" w:ascii="宋体" w:hAnsi="宋体" w:eastAsia="宋体" w:cs="Times New Roman"/>
                <w:sz w:val="28"/>
                <w:szCs w:val="28"/>
              </w:rPr>
            </w:pPr>
            <w:r>
              <w:rPr>
                <w:rFonts w:hint="eastAsia" w:ascii="宋体" w:hAnsi="宋体" w:eastAsia="宋体" w:cs="Times New Roman"/>
                <w:sz w:val="28"/>
                <w:szCs w:val="28"/>
              </w:rPr>
              <w:t>数量</w:t>
            </w:r>
          </w:p>
        </w:tc>
        <w:tc>
          <w:tcPr>
            <w:tcW w:w="680" w:type="pct"/>
            <w:vAlign w:val="center"/>
          </w:tcPr>
          <w:p w14:paraId="752D074D">
            <w:pPr>
              <w:keepNext w:val="0"/>
              <w:keepLines w:val="0"/>
              <w:suppressLineNumbers w:val="0"/>
              <w:snapToGrid w:val="0"/>
              <w:spacing w:before="0" w:beforeAutospacing="0" w:after="0" w:afterAutospacing="0"/>
              <w:ind w:left="0" w:right="0"/>
              <w:jc w:val="center"/>
              <w:rPr>
                <w:rFonts w:hint="eastAsia" w:ascii="宋体" w:hAnsi="宋体" w:eastAsia="宋体" w:cs="Times New Roman"/>
                <w:sz w:val="28"/>
                <w:szCs w:val="28"/>
              </w:rPr>
            </w:pPr>
            <w:r>
              <w:rPr>
                <w:rFonts w:hint="eastAsia" w:ascii="宋体" w:hAnsi="宋体" w:eastAsia="宋体" w:cs="Times New Roman"/>
                <w:sz w:val="28"/>
                <w:szCs w:val="28"/>
              </w:rPr>
              <w:t>单价</w:t>
            </w:r>
          </w:p>
        </w:tc>
        <w:tc>
          <w:tcPr>
            <w:tcW w:w="680" w:type="pct"/>
            <w:vAlign w:val="center"/>
          </w:tcPr>
          <w:p w14:paraId="1BA98B7D">
            <w:pPr>
              <w:keepNext w:val="0"/>
              <w:keepLines w:val="0"/>
              <w:suppressLineNumbers w:val="0"/>
              <w:snapToGrid w:val="0"/>
              <w:spacing w:before="0" w:beforeAutospacing="0" w:after="0" w:afterAutospacing="0"/>
              <w:ind w:left="0" w:right="0"/>
              <w:jc w:val="center"/>
              <w:rPr>
                <w:rFonts w:hint="eastAsia" w:ascii="宋体" w:hAnsi="宋体" w:eastAsia="宋体" w:cs="Times New Roman"/>
                <w:sz w:val="28"/>
                <w:szCs w:val="28"/>
              </w:rPr>
            </w:pPr>
            <w:r>
              <w:rPr>
                <w:rFonts w:hint="eastAsia" w:ascii="宋体" w:hAnsi="宋体" w:eastAsia="宋体" w:cs="Times New Roman"/>
                <w:sz w:val="28"/>
                <w:szCs w:val="28"/>
              </w:rPr>
              <w:t>总价</w:t>
            </w:r>
          </w:p>
        </w:tc>
        <w:tc>
          <w:tcPr>
            <w:tcW w:w="1515" w:type="pct"/>
            <w:gridSpan w:val="2"/>
            <w:vAlign w:val="center"/>
          </w:tcPr>
          <w:p w14:paraId="3B7EC79A">
            <w:pPr>
              <w:keepNext w:val="0"/>
              <w:keepLines w:val="0"/>
              <w:suppressLineNumbers w:val="0"/>
              <w:snapToGrid w:val="0"/>
              <w:spacing w:before="0" w:beforeAutospacing="0" w:after="0" w:afterAutospacing="0"/>
              <w:ind w:left="0" w:right="0"/>
              <w:jc w:val="center"/>
              <w:rPr>
                <w:rFonts w:hint="eastAsia" w:ascii="宋体" w:hAnsi="宋体" w:eastAsia="宋体" w:cs="Times New Roman"/>
                <w:sz w:val="28"/>
                <w:szCs w:val="28"/>
              </w:rPr>
            </w:pPr>
          </w:p>
          <w:p w14:paraId="35E30AC5">
            <w:pPr>
              <w:keepNext w:val="0"/>
              <w:keepLines w:val="0"/>
              <w:suppressLineNumbers w:val="0"/>
              <w:snapToGrid w:val="0"/>
              <w:spacing w:before="0" w:beforeAutospacing="0" w:after="0" w:afterAutospacing="0"/>
              <w:ind w:left="0" w:right="0"/>
              <w:jc w:val="center"/>
              <w:rPr>
                <w:rFonts w:hint="eastAsia" w:ascii="宋体" w:hAnsi="宋体" w:eastAsia="宋体" w:cs="Times New Roman"/>
                <w:sz w:val="28"/>
                <w:szCs w:val="28"/>
              </w:rPr>
            </w:pPr>
            <w:r>
              <w:rPr>
                <w:rFonts w:hint="eastAsia" w:ascii="宋体" w:hAnsi="宋体" w:eastAsia="宋体" w:cs="Times New Roman"/>
                <w:sz w:val="28"/>
                <w:szCs w:val="28"/>
              </w:rPr>
              <w:t>备注</w:t>
            </w:r>
          </w:p>
          <w:p w14:paraId="15FD0903">
            <w:pPr>
              <w:keepNext w:val="0"/>
              <w:keepLines w:val="0"/>
              <w:suppressLineNumbers w:val="0"/>
              <w:snapToGrid w:val="0"/>
              <w:spacing w:before="0" w:beforeAutospacing="0" w:after="0" w:afterAutospacing="0"/>
              <w:ind w:left="0" w:right="0"/>
              <w:jc w:val="center"/>
              <w:rPr>
                <w:rFonts w:hint="eastAsia" w:ascii="宋体" w:hAnsi="宋体" w:eastAsia="宋体" w:cs="Times New Roman"/>
                <w:sz w:val="28"/>
                <w:szCs w:val="28"/>
              </w:rPr>
            </w:pPr>
          </w:p>
        </w:tc>
      </w:tr>
      <w:tr w14:paraId="48B0FAC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01" w:hRule="atLeast"/>
        </w:trPr>
        <w:tc>
          <w:tcPr>
            <w:tcW w:w="327" w:type="pct"/>
            <w:vAlign w:val="center"/>
          </w:tcPr>
          <w:p w14:paraId="7D121FB6">
            <w:pPr>
              <w:keepNext w:val="0"/>
              <w:keepLines w:val="0"/>
              <w:suppressLineNumbers w:val="0"/>
              <w:spacing w:before="0" w:beforeAutospacing="0" w:after="0" w:afterAutospacing="0"/>
              <w:ind w:left="0" w:right="0"/>
              <w:jc w:val="center"/>
              <w:rPr>
                <w:rFonts w:hint="eastAsia" w:ascii="宋体" w:hAnsi="宋体" w:eastAsia="宋体" w:cs="Times New Roman"/>
                <w:sz w:val="28"/>
                <w:szCs w:val="28"/>
                <w:lang w:val="en-US" w:eastAsia="zh-CN"/>
              </w:rPr>
            </w:pPr>
            <w:r>
              <w:rPr>
                <w:rFonts w:hint="eastAsia" w:ascii="宋体" w:hAnsi="宋体" w:cs="Times New Roman"/>
                <w:sz w:val="28"/>
                <w:szCs w:val="28"/>
                <w:lang w:val="en-US" w:eastAsia="zh-CN"/>
              </w:rPr>
              <w:t>1</w:t>
            </w:r>
          </w:p>
        </w:tc>
        <w:tc>
          <w:tcPr>
            <w:tcW w:w="1116" w:type="pct"/>
            <w:vAlign w:val="center"/>
          </w:tcPr>
          <w:p w14:paraId="4DAABC67">
            <w:pPr>
              <w:pStyle w:val="63"/>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kern w:val="2"/>
                <w:sz w:val="28"/>
                <w:szCs w:val="28"/>
                <w:lang w:val="en-US" w:eastAsia="zh-CN" w:bidi="ar-SA"/>
              </w:rPr>
            </w:pPr>
          </w:p>
        </w:tc>
        <w:tc>
          <w:tcPr>
            <w:tcW w:w="680" w:type="pct"/>
            <w:vAlign w:val="center"/>
          </w:tcPr>
          <w:p w14:paraId="1E71A62F">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680" w:type="pct"/>
            <w:vAlign w:val="center"/>
          </w:tcPr>
          <w:p w14:paraId="1AB9D60E">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680" w:type="pct"/>
            <w:vAlign w:val="center"/>
          </w:tcPr>
          <w:p w14:paraId="4FE08FFB">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1515" w:type="pct"/>
            <w:gridSpan w:val="2"/>
            <w:vAlign w:val="center"/>
          </w:tcPr>
          <w:p w14:paraId="63AA1921">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r>
      <w:tr w14:paraId="0C9C67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01" w:hRule="atLeast"/>
        </w:trPr>
        <w:tc>
          <w:tcPr>
            <w:tcW w:w="327" w:type="pct"/>
            <w:vAlign w:val="center"/>
          </w:tcPr>
          <w:p w14:paraId="3AAD070A">
            <w:pPr>
              <w:keepNext w:val="0"/>
              <w:keepLines w:val="0"/>
              <w:suppressLineNumbers w:val="0"/>
              <w:spacing w:before="0" w:beforeAutospacing="0" w:after="0" w:afterAutospacing="0"/>
              <w:ind w:left="0" w:right="0"/>
              <w:jc w:val="center"/>
              <w:rPr>
                <w:rFonts w:hint="eastAsia" w:ascii="宋体" w:hAnsi="宋体" w:eastAsia="宋体" w:cs="Times New Roman"/>
                <w:sz w:val="28"/>
                <w:szCs w:val="28"/>
                <w:lang w:val="en-US" w:eastAsia="zh-CN"/>
              </w:rPr>
            </w:pPr>
            <w:r>
              <w:rPr>
                <w:rFonts w:hint="eastAsia" w:ascii="宋体" w:hAnsi="宋体" w:cs="Times New Roman"/>
                <w:sz w:val="28"/>
                <w:szCs w:val="28"/>
                <w:lang w:val="en-US" w:eastAsia="zh-CN"/>
              </w:rPr>
              <w:t>2</w:t>
            </w:r>
          </w:p>
        </w:tc>
        <w:tc>
          <w:tcPr>
            <w:tcW w:w="1116" w:type="pct"/>
            <w:vAlign w:val="center"/>
          </w:tcPr>
          <w:p w14:paraId="5D4D3B26">
            <w:pPr>
              <w:pStyle w:val="63"/>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kern w:val="2"/>
                <w:sz w:val="28"/>
                <w:szCs w:val="28"/>
                <w:lang w:val="en-US" w:eastAsia="zh-CN" w:bidi="ar-SA"/>
              </w:rPr>
            </w:pPr>
          </w:p>
        </w:tc>
        <w:tc>
          <w:tcPr>
            <w:tcW w:w="680" w:type="pct"/>
            <w:vAlign w:val="center"/>
          </w:tcPr>
          <w:p w14:paraId="1FF7E334">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680" w:type="pct"/>
            <w:vAlign w:val="center"/>
          </w:tcPr>
          <w:p w14:paraId="2E62A6CD">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680" w:type="pct"/>
            <w:vAlign w:val="center"/>
          </w:tcPr>
          <w:p w14:paraId="21D6C90A">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1515" w:type="pct"/>
            <w:gridSpan w:val="2"/>
            <w:vAlign w:val="center"/>
          </w:tcPr>
          <w:p w14:paraId="3CC7D8AF">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r>
      <w:tr w14:paraId="0288A0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01" w:hRule="atLeast"/>
        </w:trPr>
        <w:tc>
          <w:tcPr>
            <w:tcW w:w="327" w:type="pct"/>
            <w:vAlign w:val="center"/>
          </w:tcPr>
          <w:p w14:paraId="136ED935">
            <w:pPr>
              <w:keepNext w:val="0"/>
              <w:keepLines w:val="0"/>
              <w:suppressLineNumbers w:val="0"/>
              <w:spacing w:before="0" w:beforeAutospacing="0" w:after="0" w:afterAutospacing="0"/>
              <w:ind w:left="0" w:right="0"/>
              <w:jc w:val="center"/>
              <w:rPr>
                <w:rFonts w:hint="eastAsia" w:ascii="宋体" w:hAnsi="宋体" w:eastAsia="宋体" w:cs="Times New Roman"/>
                <w:sz w:val="28"/>
                <w:szCs w:val="28"/>
                <w:lang w:val="en-US" w:eastAsia="zh-CN"/>
              </w:rPr>
            </w:pPr>
            <w:r>
              <w:rPr>
                <w:rFonts w:hint="eastAsia" w:ascii="宋体" w:hAnsi="宋体" w:cs="Times New Roman"/>
                <w:sz w:val="28"/>
                <w:szCs w:val="28"/>
                <w:lang w:val="en-US" w:eastAsia="zh-CN"/>
              </w:rPr>
              <w:t>3</w:t>
            </w:r>
          </w:p>
        </w:tc>
        <w:tc>
          <w:tcPr>
            <w:tcW w:w="1116" w:type="pct"/>
            <w:vAlign w:val="center"/>
          </w:tcPr>
          <w:p w14:paraId="49CC3B79">
            <w:pPr>
              <w:pStyle w:val="63"/>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kern w:val="2"/>
                <w:sz w:val="28"/>
                <w:szCs w:val="28"/>
                <w:lang w:val="en-US" w:eastAsia="zh-CN" w:bidi="ar-SA"/>
              </w:rPr>
            </w:pPr>
          </w:p>
        </w:tc>
        <w:tc>
          <w:tcPr>
            <w:tcW w:w="680" w:type="pct"/>
            <w:vAlign w:val="center"/>
          </w:tcPr>
          <w:p w14:paraId="3228EFE4">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680" w:type="pct"/>
            <w:vAlign w:val="center"/>
          </w:tcPr>
          <w:p w14:paraId="788A3203">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680" w:type="pct"/>
            <w:vAlign w:val="center"/>
          </w:tcPr>
          <w:p w14:paraId="2BF66810">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1515" w:type="pct"/>
            <w:gridSpan w:val="2"/>
            <w:vAlign w:val="center"/>
          </w:tcPr>
          <w:p w14:paraId="0CBF4275">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r>
      <w:tr w14:paraId="3B749C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01" w:hRule="atLeast"/>
        </w:trPr>
        <w:tc>
          <w:tcPr>
            <w:tcW w:w="327" w:type="pct"/>
            <w:vAlign w:val="center"/>
          </w:tcPr>
          <w:p w14:paraId="6033BEEF">
            <w:pPr>
              <w:keepNext w:val="0"/>
              <w:keepLines w:val="0"/>
              <w:suppressLineNumbers w:val="0"/>
              <w:spacing w:before="0" w:beforeAutospacing="0" w:after="0" w:afterAutospacing="0"/>
              <w:ind w:left="0" w:right="0"/>
              <w:jc w:val="center"/>
              <w:rPr>
                <w:rFonts w:hint="eastAsia" w:ascii="宋体" w:hAnsi="宋体" w:eastAsia="宋体" w:cs="Times New Roman"/>
                <w:sz w:val="28"/>
                <w:szCs w:val="28"/>
                <w:lang w:val="en-US" w:eastAsia="zh-CN"/>
              </w:rPr>
            </w:pPr>
            <w:r>
              <w:rPr>
                <w:rFonts w:hint="eastAsia" w:ascii="宋体" w:hAnsi="宋体" w:cs="Times New Roman"/>
                <w:sz w:val="28"/>
                <w:szCs w:val="28"/>
                <w:lang w:val="en-US" w:eastAsia="zh-CN"/>
              </w:rPr>
              <w:t>4</w:t>
            </w:r>
          </w:p>
        </w:tc>
        <w:tc>
          <w:tcPr>
            <w:tcW w:w="1116" w:type="pct"/>
            <w:vAlign w:val="center"/>
          </w:tcPr>
          <w:p w14:paraId="2ECD8591">
            <w:pPr>
              <w:pStyle w:val="63"/>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kern w:val="2"/>
                <w:sz w:val="28"/>
                <w:szCs w:val="28"/>
                <w:lang w:val="en-US" w:eastAsia="zh-CN" w:bidi="ar-SA"/>
              </w:rPr>
            </w:pPr>
          </w:p>
        </w:tc>
        <w:tc>
          <w:tcPr>
            <w:tcW w:w="680" w:type="pct"/>
            <w:vAlign w:val="center"/>
          </w:tcPr>
          <w:p w14:paraId="14CD1E6D">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680" w:type="pct"/>
            <w:vAlign w:val="center"/>
          </w:tcPr>
          <w:p w14:paraId="245A2133">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680" w:type="pct"/>
            <w:vAlign w:val="center"/>
          </w:tcPr>
          <w:p w14:paraId="75E815D1">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1515" w:type="pct"/>
            <w:gridSpan w:val="2"/>
            <w:vAlign w:val="center"/>
          </w:tcPr>
          <w:p w14:paraId="77C1E0C6">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r>
      <w:tr w14:paraId="6879C7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01" w:hRule="atLeast"/>
        </w:trPr>
        <w:tc>
          <w:tcPr>
            <w:tcW w:w="327" w:type="pct"/>
            <w:vAlign w:val="center"/>
          </w:tcPr>
          <w:p w14:paraId="72FED139">
            <w:pPr>
              <w:keepNext w:val="0"/>
              <w:keepLines w:val="0"/>
              <w:suppressLineNumbers w:val="0"/>
              <w:spacing w:before="0" w:beforeAutospacing="0" w:after="0" w:afterAutospacing="0"/>
              <w:ind w:left="0" w:right="0"/>
              <w:jc w:val="center"/>
              <w:rPr>
                <w:rFonts w:hint="eastAsia" w:ascii="宋体" w:hAnsi="宋体" w:eastAsia="宋体" w:cs="Times New Roman"/>
                <w:sz w:val="28"/>
                <w:szCs w:val="28"/>
                <w:lang w:val="en-US" w:eastAsia="zh-CN"/>
              </w:rPr>
            </w:pPr>
            <w:r>
              <w:rPr>
                <w:rFonts w:hint="eastAsia" w:ascii="宋体" w:hAnsi="宋体" w:cs="Times New Roman"/>
                <w:sz w:val="28"/>
                <w:szCs w:val="28"/>
                <w:lang w:val="en-US" w:eastAsia="zh-CN"/>
              </w:rPr>
              <w:t>5</w:t>
            </w:r>
          </w:p>
        </w:tc>
        <w:tc>
          <w:tcPr>
            <w:tcW w:w="1116" w:type="pct"/>
            <w:vAlign w:val="center"/>
          </w:tcPr>
          <w:p w14:paraId="5D05B1D4">
            <w:pPr>
              <w:pStyle w:val="63"/>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kern w:val="2"/>
                <w:sz w:val="28"/>
                <w:szCs w:val="28"/>
                <w:lang w:val="en-US" w:eastAsia="zh-CN" w:bidi="ar-SA"/>
              </w:rPr>
            </w:pPr>
          </w:p>
        </w:tc>
        <w:tc>
          <w:tcPr>
            <w:tcW w:w="680" w:type="pct"/>
            <w:vAlign w:val="center"/>
          </w:tcPr>
          <w:p w14:paraId="2995928E">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680" w:type="pct"/>
            <w:vAlign w:val="center"/>
          </w:tcPr>
          <w:p w14:paraId="7FAE29F8">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680" w:type="pct"/>
            <w:vAlign w:val="center"/>
          </w:tcPr>
          <w:p w14:paraId="199CF42D">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1515" w:type="pct"/>
            <w:gridSpan w:val="2"/>
            <w:vAlign w:val="center"/>
          </w:tcPr>
          <w:p w14:paraId="319A5782">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r>
      <w:tr w14:paraId="07AC0C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01" w:hRule="atLeast"/>
        </w:trPr>
        <w:tc>
          <w:tcPr>
            <w:tcW w:w="327" w:type="pct"/>
            <w:vAlign w:val="center"/>
          </w:tcPr>
          <w:p w14:paraId="538E0830">
            <w:pPr>
              <w:keepNext w:val="0"/>
              <w:keepLines w:val="0"/>
              <w:suppressLineNumbers w:val="0"/>
              <w:spacing w:before="0" w:beforeAutospacing="0" w:after="0" w:afterAutospacing="0"/>
              <w:ind w:left="0" w:right="0"/>
              <w:jc w:val="center"/>
              <w:rPr>
                <w:rFonts w:hint="eastAsia" w:ascii="宋体" w:hAnsi="宋体" w:eastAsia="宋体" w:cs="Times New Roman"/>
                <w:sz w:val="28"/>
                <w:szCs w:val="28"/>
                <w:lang w:val="en-US" w:eastAsia="zh-CN"/>
              </w:rPr>
            </w:pPr>
            <w:r>
              <w:rPr>
                <w:rFonts w:hint="eastAsia" w:ascii="宋体" w:hAnsi="宋体" w:cs="Times New Roman"/>
                <w:sz w:val="28"/>
                <w:szCs w:val="28"/>
                <w:lang w:val="en-US" w:eastAsia="zh-CN"/>
              </w:rPr>
              <w:t>6</w:t>
            </w:r>
          </w:p>
        </w:tc>
        <w:tc>
          <w:tcPr>
            <w:tcW w:w="1116" w:type="pct"/>
            <w:vAlign w:val="center"/>
          </w:tcPr>
          <w:p w14:paraId="02404D32">
            <w:pPr>
              <w:pStyle w:val="63"/>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kern w:val="2"/>
                <w:sz w:val="28"/>
                <w:szCs w:val="28"/>
                <w:lang w:val="en-US" w:eastAsia="zh-CN" w:bidi="ar-SA"/>
              </w:rPr>
            </w:pPr>
          </w:p>
        </w:tc>
        <w:tc>
          <w:tcPr>
            <w:tcW w:w="680" w:type="pct"/>
            <w:vAlign w:val="center"/>
          </w:tcPr>
          <w:p w14:paraId="3D75B1AE">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680" w:type="pct"/>
            <w:vAlign w:val="center"/>
          </w:tcPr>
          <w:p w14:paraId="4D019AFC">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680" w:type="pct"/>
            <w:vAlign w:val="center"/>
          </w:tcPr>
          <w:p w14:paraId="14C3F763">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c>
          <w:tcPr>
            <w:tcW w:w="1515" w:type="pct"/>
            <w:gridSpan w:val="2"/>
            <w:vAlign w:val="center"/>
          </w:tcPr>
          <w:p w14:paraId="32849E03">
            <w:pPr>
              <w:keepNext w:val="0"/>
              <w:keepLines w:val="0"/>
              <w:suppressLineNumbers w:val="0"/>
              <w:spacing w:before="0" w:beforeAutospacing="0" w:after="0" w:afterAutospacing="0"/>
              <w:ind w:left="0" w:right="0"/>
              <w:jc w:val="center"/>
              <w:rPr>
                <w:rFonts w:hint="eastAsia" w:ascii="宋体" w:hAnsi="宋体" w:eastAsia="宋体" w:cs="Times New Roman"/>
                <w:sz w:val="28"/>
                <w:szCs w:val="28"/>
              </w:rPr>
            </w:pPr>
          </w:p>
        </w:tc>
      </w:tr>
      <w:tr w14:paraId="09A6DD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0" w:hRule="atLeast"/>
        </w:trPr>
        <w:tc>
          <w:tcPr>
            <w:tcW w:w="3731" w:type="pct"/>
            <w:gridSpan w:val="6"/>
            <w:vAlign w:val="center"/>
          </w:tcPr>
          <w:p w14:paraId="1051820C">
            <w:pPr>
              <w:keepNext w:val="0"/>
              <w:keepLines w:val="0"/>
              <w:suppressLineNumbers w:val="0"/>
              <w:spacing w:before="0" w:beforeAutospacing="0" w:after="0" w:afterAutospacing="0"/>
              <w:ind w:left="0" w:right="0"/>
              <w:rPr>
                <w:rFonts w:hint="eastAsia" w:ascii="宋体" w:hAnsi="宋体" w:eastAsia="宋体" w:cs="Times New Roman"/>
                <w:sz w:val="28"/>
                <w:szCs w:val="28"/>
              </w:rPr>
            </w:pPr>
            <w:r>
              <w:rPr>
                <w:rFonts w:hint="eastAsia" w:ascii="宋体" w:hAnsi="宋体" w:eastAsia="宋体" w:cs="Times New Roman"/>
                <w:sz w:val="28"/>
                <w:szCs w:val="28"/>
              </w:rPr>
              <w:t>总计（大写</w:t>
            </w:r>
            <w:r>
              <w:rPr>
                <w:rFonts w:hint="default" w:ascii="宋体" w:hAnsi="宋体" w:eastAsia="宋体" w:cs="Times New Roman"/>
                <w:sz w:val="28"/>
                <w:szCs w:val="28"/>
              </w:rPr>
              <w:t>）</w:t>
            </w:r>
            <w:r>
              <w:rPr>
                <w:rFonts w:hint="eastAsia" w:ascii="宋体" w:hAnsi="宋体" w:eastAsia="宋体" w:cs="Times New Roman"/>
                <w:sz w:val="28"/>
                <w:szCs w:val="28"/>
              </w:rPr>
              <w:t>：</w:t>
            </w:r>
          </w:p>
        </w:tc>
        <w:tc>
          <w:tcPr>
            <w:tcW w:w="1268" w:type="pct"/>
            <w:vAlign w:val="center"/>
          </w:tcPr>
          <w:p w14:paraId="4E5C5149">
            <w:pPr>
              <w:keepNext w:val="0"/>
              <w:keepLines w:val="0"/>
              <w:suppressLineNumbers w:val="0"/>
              <w:spacing w:before="0" w:beforeAutospacing="0" w:after="0" w:afterAutospacing="0"/>
              <w:ind w:left="0" w:right="0"/>
              <w:rPr>
                <w:rFonts w:hint="eastAsia" w:ascii="宋体" w:hAnsi="宋体" w:eastAsia="宋体" w:cs="Times New Roman"/>
                <w:sz w:val="28"/>
                <w:szCs w:val="28"/>
              </w:rPr>
            </w:pPr>
            <w:r>
              <w:rPr>
                <w:rFonts w:hint="eastAsia" w:ascii="宋体" w:hAnsi="宋体" w:eastAsia="宋体" w:cs="Times New Roman"/>
                <w:sz w:val="28"/>
                <w:szCs w:val="28"/>
              </w:rPr>
              <w:t>小写</w:t>
            </w:r>
            <w:r>
              <w:rPr>
                <w:rFonts w:hint="default" w:ascii="宋体" w:hAnsi="宋体" w:eastAsia="宋体" w:cs="Times New Roman"/>
                <w:sz w:val="28"/>
                <w:szCs w:val="28"/>
              </w:rPr>
              <w:t>：</w:t>
            </w:r>
          </w:p>
        </w:tc>
      </w:tr>
    </w:tbl>
    <w:p w14:paraId="3339A574">
      <w:pPr>
        <w:spacing w:line="360" w:lineRule="auto"/>
        <w:rPr>
          <w:rFonts w:ascii="宋体" w:hAnsi="宋体" w:cs="仿宋"/>
          <w:sz w:val="24"/>
          <w:szCs w:val="24"/>
          <w:highlight w:val="none"/>
        </w:rPr>
      </w:pPr>
      <w:r>
        <w:rPr>
          <w:rFonts w:hint="eastAsia" w:ascii="宋体" w:hAnsi="宋体" w:cs="仿宋"/>
          <w:sz w:val="24"/>
          <w:szCs w:val="24"/>
          <w:highlight w:val="none"/>
        </w:rPr>
        <w:t>注：1.投标人可根据实际情况自行扩展表格细项。</w:t>
      </w:r>
    </w:p>
    <w:p w14:paraId="6B4616CE">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2.如果分项报价合计与投标总报价不一致，以分项报价合计为准进行结算。</w:t>
      </w:r>
    </w:p>
    <w:p w14:paraId="71562874">
      <w:pPr>
        <w:spacing w:line="360" w:lineRule="auto"/>
        <w:ind w:firstLine="480" w:firstLineChars="200"/>
        <w:rPr>
          <w:rFonts w:hint="eastAsia" w:ascii="宋体" w:hAnsi="宋体" w:cs="仿宋"/>
          <w:sz w:val="24"/>
          <w:szCs w:val="24"/>
          <w:highlight w:val="none"/>
        </w:rPr>
      </w:pPr>
      <w:r>
        <w:rPr>
          <w:rFonts w:ascii="宋体" w:hAnsi="宋体" w:cs="仿宋"/>
          <w:sz w:val="24"/>
          <w:szCs w:val="24"/>
          <w:highlight w:val="none"/>
        </w:rPr>
        <w:t>3.</w:t>
      </w:r>
      <w:r>
        <w:rPr>
          <w:rFonts w:hint="eastAsia" w:ascii="宋体" w:hAnsi="宋体" w:cs="仿宋"/>
          <w:sz w:val="24"/>
          <w:szCs w:val="24"/>
          <w:highlight w:val="none"/>
        </w:rPr>
        <w:t>如果不提供详细分项报价将视为没有实质性响应</w:t>
      </w:r>
      <w:r>
        <w:rPr>
          <w:rFonts w:hint="eastAsia" w:ascii="宋体" w:hAnsi="宋体" w:cs="仿宋"/>
          <w:sz w:val="24"/>
          <w:szCs w:val="24"/>
          <w:highlight w:val="none"/>
          <w:lang w:val="en-US" w:eastAsia="zh-CN"/>
        </w:rPr>
        <w:t>磋商</w:t>
      </w:r>
      <w:r>
        <w:rPr>
          <w:rFonts w:hint="eastAsia" w:ascii="宋体" w:hAnsi="宋体" w:cs="仿宋"/>
          <w:sz w:val="24"/>
          <w:szCs w:val="24"/>
          <w:highlight w:val="none"/>
        </w:rPr>
        <w:t>文件。</w:t>
      </w:r>
    </w:p>
    <w:p w14:paraId="7D174E92">
      <w:pPr>
        <w:pStyle w:val="3"/>
        <w:ind w:firstLine="480" w:firstLineChars="200"/>
        <w:rPr>
          <w:rFonts w:hint="default" w:ascii="宋体" w:hAnsi="宋体" w:eastAsia="宋体" w:cs="仿宋"/>
          <w:kern w:val="2"/>
          <w:sz w:val="24"/>
          <w:szCs w:val="24"/>
          <w:highlight w:val="none"/>
          <w:lang w:val="en-US" w:eastAsia="zh-CN" w:bidi="ar-SA"/>
        </w:rPr>
      </w:pPr>
      <w:r>
        <w:rPr>
          <w:rFonts w:hint="eastAsia" w:ascii="宋体" w:hAnsi="宋体" w:eastAsia="宋体" w:cs="仿宋"/>
          <w:kern w:val="2"/>
          <w:sz w:val="24"/>
          <w:szCs w:val="24"/>
          <w:highlight w:val="none"/>
          <w:lang w:val="en-US" w:eastAsia="zh-CN" w:bidi="ar-SA"/>
        </w:rPr>
        <w:t>4.如中标，本表内容将作为采购人验收、查找内容之一。</w:t>
      </w:r>
    </w:p>
    <w:p w14:paraId="23DF08E8">
      <w:pPr>
        <w:numPr>
          <w:ilvl w:val="0"/>
          <w:numId w:val="0"/>
        </w:numPr>
        <w:spacing w:line="440" w:lineRule="exact"/>
        <w:ind w:leftChars="0"/>
        <w:jc w:val="center"/>
        <w:outlineLvl w:val="1"/>
        <w:rPr>
          <w:rFonts w:hint="eastAsia" w:hAnsi="宋体"/>
          <w:b/>
          <w:bCs/>
          <w:sz w:val="32"/>
          <w:szCs w:val="32"/>
          <w:lang w:val="en-US" w:eastAsia="zh-CN"/>
        </w:rPr>
      </w:pPr>
    </w:p>
    <w:p w14:paraId="1EA09514">
      <w:pPr>
        <w:adjustRightInd w:val="0"/>
        <w:snapToGrid w:val="0"/>
        <w:spacing w:line="480" w:lineRule="auto"/>
        <w:jc w:val="left"/>
        <w:rPr>
          <w:rFonts w:hint="default" w:eastAsia="宋体"/>
          <w:lang w:val="en-US" w:eastAsia="zh-CN"/>
        </w:rPr>
      </w:pPr>
      <w:r>
        <w:rPr>
          <w:rFonts w:hint="eastAsia" w:ascii="宋体" w:hAnsi="宋体" w:cs="宋体"/>
          <w:sz w:val="24"/>
          <w:szCs w:val="24"/>
        </w:rPr>
        <w:t>供应商（单位名称及公章）：____________________________</w:t>
      </w:r>
      <w:r>
        <w:rPr>
          <w:rFonts w:hint="eastAsia" w:ascii="宋体" w:hAnsi="宋体" w:cs="宋体"/>
          <w:sz w:val="24"/>
          <w:szCs w:val="24"/>
          <w:lang w:val="en-US" w:eastAsia="zh-CN"/>
        </w:rPr>
        <w:t xml:space="preserve">  </w:t>
      </w:r>
    </w:p>
    <w:p w14:paraId="40CA1BDC">
      <w:pPr>
        <w:adjustRightInd w:val="0"/>
        <w:snapToGrid w:val="0"/>
        <w:spacing w:line="480" w:lineRule="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rPr>
        <w:t>）：________________________</w:t>
      </w:r>
    </w:p>
    <w:p w14:paraId="13237ACA">
      <w:pPr>
        <w:adjustRightInd w:val="0"/>
        <w:snapToGrid w:val="0"/>
        <w:spacing w:line="480" w:lineRule="auto"/>
        <w:rPr>
          <w:rFonts w:hint="eastAsia" w:ascii="宋体" w:hAnsi="宋体" w:cs="宋体"/>
          <w:sz w:val="24"/>
          <w:szCs w:val="24"/>
        </w:rPr>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期：_______年_______月______日</w:t>
      </w:r>
    </w:p>
    <w:p w14:paraId="2606C722">
      <w:pPr>
        <w:numPr>
          <w:ilvl w:val="0"/>
          <w:numId w:val="0"/>
        </w:numPr>
        <w:spacing w:line="440" w:lineRule="exact"/>
        <w:ind w:leftChars="0"/>
        <w:jc w:val="center"/>
        <w:outlineLvl w:val="1"/>
        <w:rPr>
          <w:rFonts w:hint="eastAsia" w:hAnsi="宋体"/>
          <w:b/>
          <w:bCs/>
          <w:sz w:val="32"/>
          <w:szCs w:val="32"/>
        </w:rPr>
      </w:pPr>
      <w:r>
        <w:rPr>
          <w:rFonts w:hint="eastAsia" w:hAnsi="宋体"/>
          <w:b/>
          <w:bCs/>
          <w:sz w:val="32"/>
          <w:szCs w:val="32"/>
          <w:lang w:val="en-US" w:eastAsia="zh-CN"/>
        </w:rPr>
        <w:t xml:space="preserve">第三章 </w:t>
      </w:r>
      <w:r>
        <w:rPr>
          <w:rFonts w:hint="eastAsia" w:hAnsi="宋体"/>
          <w:b/>
          <w:bCs/>
          <w:sz w:val="32"/>
          <w:szCs w:val="32"/>
        </w:rPr>
        <w:t>资格证明文件</w:t>
      </w:r>
    </w:p>
    <w:p w14:paraId="5B404F8D">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.具有独立承担民事责任能力的法人、非法人组织或自然人，提供合法有效的营业执照/事业单位法人证书/专业服务机构执业许可证/民办非企业单位登记证书等相关证明，自然人参与地提供其身份证明</w:t>
      </w:r>
      <w:r>
        <w:rPr>
          <w:rFonts w:hint="eastAsia" w:ascii="宋体" w:hAnsi="宋体" w:eastAsia="宋体" w:cs="宋体"/>
          <w:sz w:val="24"/>
          <w:szCs w:val="24"/>
          <w:lang w:val="en-US" w:eastAsia="zh-CN"/>
        </w:rPr>
        <w:t>。</w:t>
      </w:r>
    </w:p>
    <w:p w14:paraId="692584ED">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法定代表人授权书及被授权人身份证。（法定代表人直接投标</w:t>
      </w:r>
      <w:r>
        <w:rPr>
          <w:rFonts w:hint="eastAsia" w:ascii="宋体" w:hAnsi="宋体" w:cs="宋体"/>
          <w:sz w:val="24"/>
          <w:szCs w:val="24"/>
          <w:lang w:val="en-US" w:eastAsia="zh-CN"/>
        </w:rPr>
        <w:t>只需</w:t>
      </w:r>
      <w:r>
        <w:rPr>
          <w:rFonts w:hint="eastAsia" w:ascii="宋体" w:hAnsi="宋体" w:eastAsia="宋体" w:cs="宋体"/>
          <w:sz w:val="24"/>
          <w:szCs w:val="24"/>
          <w:lang w:val="en-US" w:eastAsia="zh-CN"/>
        </w:rPr>
        <w:t>提交其身份证明资料）</w:t>
      </w:r>
    </w:p>
    <w:p w14:paraId="03ECB5FF">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信用记录：投标人通过“信用中国”网站</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www.creditchina.gov.cn</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、中国政府采购网</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www.ccgp.gov.cn</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等渠道查询相关主体无失信记录。对列入失信被执行人、重大税收违法案件当事人名单、政府采购严重违法失信行为记录名单的投标人，将拒绝其参与政府采购活动；以“信用中国”网站</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www.creditchina.gov.cn</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或中国政府采购</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www.ccgp.gov.cn</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 xml:space="preserve"> 查询结果为准（</w:t>
      </w:r>
      <w:r>
        <w:rPr>
          <w:rFonts w:hint="eastAsia" w:ascii="宋体" w:hAnsi="宋体" w:cs="宋体"/>
          <w:sz w:val="24"/>
          <w:szCs w:val="24"/>
          <w:lang w:val="en-US" w:eastAsia="zh-CN"/>
        </w:rPr>
        <w:t>响应</w:t>
      </w:r>
      <w:r>
        <w:rPr>
          <w:rFonts w:hint="eastAsia" w:ascii="宋体" w:hAnsi="宋体" w:eastAsia="宋体" w:cs="宋体"/>
          <w:sz w:val="24"/>
          <w:szCs w:val="24"/>
          <w:lang w:val="en-US" w:eastAsia="zh-CN"/>
        </w:rPr>
        <w:t>文件中提供查询结果网页截图并加盖投标人公章，查询日期为从</w:t>
      </w:r>
      <w:r>
        <w:rPr>
          <w:rFonts w:hint="eastAsia" w:ascii="宋体" w:hAnsi="宋体" w:cs="宋体"/>
          <w:sz w:val="24"/>
          <w:szCs w:val="24"/>
          <w:lang w:val="en-US" w:eastAsia="zh-CN"/>
        </w:rPr>
        <w:t>磋商</w:t>
      </w:r>
      <w:r>
        <w:rPr>
          <w:rFonts w:hint="eastAsia" w:ascii="宋体" w:hAnsi="宋体" w:eastAsia="宋体" w:cs="宋体"/>
          <w:sz w:val="24"/>
          <w:szCs w:val="24"/>
          <w:lang w:val="en-US" w:eastAsia="zh-CN"/>
        </w:rPr>
        <w:t>文件发售之日起至投标截止日前，评标现场通过网站对信用记录进行核实）。</w:t>
      </w:r>
    </w:p>
    <w:p w14:paraId="2B89E35E">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书面声明：投标人必须提供参加政府采购活动前3年内在经营活动中没有重大违法记录的书面声明。</w:t>
      </w:r>
    </w:p>
    <w:p w14:paraId="6DF86384">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财务状况报告：提供</w:t>
      </w:r>
      <w:r>
        <w:rPr>
          <w:rFonts w:hint="eastAsia" w:ascii="宋体" w:hAnsi="宋体" w:cs="宋体"/>
          <w:sz w:val="24"/>
          <w:szCs w:val="24"/>
          <w:lang w:val="en-US" w:eastAsia="zh-CN"/>
        </w:rPr>
        <w:t>2023</w:t>
      </w:r>
      <w:r>
        <w:rPr>
          <w:rFonts w:hint="eastAsia" w:ascii="宋体" w:hAnsi="宋体" w:eastAsia="宋体" w:cs="宋体"/>
          <w:sz w:val="24"/>
          <w:szCs w:val="24"/>
          <w:lang w:val="en-US" w:eastAsia="zh-CN"/>
        </w:rPr>
        <w:t>年度经审计的财务审计报告或投标截止时间前六个月内基本开户银行出具的资信证明（成立时间至提交响应文件截止时间不足一年的可提供成立后任意时段的资产负债表）。</w:t>
      </w:r>
    </w:p>
    <w:p w14:paraId="04D0D6B0">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税收缴纳证明：提供</w:t>
      </w:r>
      <w:r>
        <w:rPr>
          <w:rFonts w:hint="eastAsia" w:ascii="宋体" w:hAnsi="宋体" w:cs="宋体"/>
          <w:sz w:val="24"/>
          <w:szCs w:val="24"/>
          <w:lang w:val="en-US" w:eastAsia="zh-CN"/>
        </w:rPr>
        <w:t>2024</w:t>
      </w:r>
      <w:r>
        <w:rPr>
          <w:rFonts w:hint="eastAsia" w:ascii="宋体" w:hAnsi="宋体" w:eastAsia="宋体" w:cs="宋体"/>
          <w:sz w:val="24"/>
          <w:szCs w:val="24"/>
          <w:lang w:val="en-US" w:eastAsia="zh-CN"/>
        </w:rPr>
        <w:t>年1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0DDA2449">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社会保障资金缴纳证明：提供</w:t>
      </w:r>
      <w:r>
        <w:rPr>
          <w:rFonts w:hint="eastAsia" w:ascii="宋体" w:hAnsi="宋体" w:cs="宋体"/>
          <w:sz w:val="24"/>
          <w:szCs w:val="24"/>
          <w:lang w:val="en-US" w:eastAsia="zh-CN"/>
        </w:rPr>
        <w:t>2024</w:t>
      </w:r>
      <w:r>
        <w:rPr>
          <w:rFonts w:hint="eastAsia" w:ascii="宋体" w:hAnsi="宋体" w:eastAsia="宋体" w:cs="宋体"/>
          <w:sz w:val="24"/>
          <w:szCs w:val="24"/>
          <w:lang w:val="en-US" w:eastAsia="zh-CN"/>
        </w:rPr>
        <w:t>年1月至今任意三个月社会保障资金缴存单据或社保机构开具的社会保险参保缴费情况证明，依法不需要缴纳</w:t>
      </w:r>
      <w:r>
        <w:rPr>
          <w:rFonts w:hint="eastAsia" w:ascii="宋体" w:hAnsi="宋体" w:cs="宋体"/>
          <w:sz w:val="24"/>
          <w:szCs w:val="24"/>
          <w:lang w:val="en-US" w:eastAsia="zh-CN"/>
        </w:rPr>
        <w:t>社会保险</w:t>
      </w:r>
      <w:r>
        <w:rPr>
          <w:rFonts w:hint="eastAsia" w:ascii="宋体" w:hAnsi="宋体" w:eastAsia="宋体" w:cs="宋体"/>
          <w:sz w:val="24"/>
          <w:szCs w:val="24"/>
          <w:lang w:val="en-US" w:eastAsia="zh-CN"/>
        </w:rPr>
        <w:t>资金的单位应提供相关证明材料，单据或证明上应有社保机构或代收机构的印章（成立时间至提交响应文件截止时间不足三个月的可不提供）。</w:t>
      </w:r>
    </w:p>
    <w:p w14:paraId="23D06956">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本项目专门面向</w:t>
      </w:r>
      <w:r>
        <w:rPr>
          <w:rFonts w:hint="eastAsia" w:ascii="宋体" w:hAnsi="宋体" w:cs="宋体"/>
          <w:sz w:val="24"/>
          <w:szCs w:val="24"/>
          <w:lang w:val="en-US" w:eastAsia="zh-CN"/>
        </w:rPr>
        <w:t>中小</w:t>
      </w:r>
      <w:r>
        <w:rPr>
          <w:rFonts w:hint="eastAsia" w:ascii="宋体" w:hAnsi="宋体" w:eastAsia="宋体" w:cs="宋体"/>
          <w:sz w:val="24"/>
          <w:szCs w:val="24"/>
          <w:lang w:val="en-US" w:eastAsia="zh-CN"/>
        </w:rPr>
        <w:t>企业采购，投标人须提供《</w:t>
      </w:r>
      <w:r>
        <w:rPr>
          <w:rFonts w:hint="eastAsia" w:ascii="宋体" w:hAnsi="宋体" w:cs="宋体"/>
          <w:sz w:val="24"/>
          <w:szCs w:val="24"/>
          <w:lang w:val="en-US" w:eastAsia="zh-CN"/>
        </w:rPr>
        <w:t>中小</w:t>
      </w:r>
      <w:r>
        <w:rPr>
          <w:rFonts w:hint="eastAsia" w:ascii="宋体" w:hAnsi="宋体" w:eastAsia="宋体" w:cs="宋体"/>
          <w:sz w:val="24"/>
          <w:szCs w:val="24"/>
          <w:lang w:val="en-US" w:eastAsia="zh-CN"/>
        </w:rPr>
        <w:t>企业声明函》。</w:t>
      </w:r>
    </w:p>
    <w:p w14:paraId="5B3EB27A">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p>
    <w:p w14:paraId="4DDAC4BB">
      <w:pPr>
        <w:spacing w:line="520" w:lineRule="exact"/>
        <w:ind w:firstLine="480" w:firstLineChars="200"/>
        <w:jc w:val="left"/>
        <w:rPr>
          <w:rFonts w:hint="eastAsia" w:ascii="宋体" w:hAnsi="宋体" w:eastAsia="宋体" w:cs="宋体"/>
          <w:color w:val="000000"/>
          <w:sz w:val="24"/>
          <w:szCs w:val="24"/>
        </w:rPr>
      </w:pPr>
    </w:p>
    <w:p w14:paraId="654CF54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73E5EA18">
      <w:pPr>
        <w:rPr>
          <w:rFonts w:hint="eastAsia"/>
          <w:lang w:val="en-US" w:eastAsia="zh-CN"/>
        </w:rPr>
      </w:pPr>
    </w:p>
    <w:p w14:paraId="0C238BE0">
      <w:pPr>
        <w:widowControl/>
        <w:jc w:val="center"/>
        <w:rPr>
          <w:rFonts w:hAnsi="宋体"/>
          <w:b/>
          <w:sz w:val="28"/>
          <w:szCs w:val="32"/>
        </w:rPr>
      </w:pPr>
      <w:r>
        <w:rPr>
          <w:rFonts w:hint="eastAsia" w:hAnsi="宋体"/>
          <w:b/>
          <w:sz w:val="28"/>
          <w:szCs w:val="32"/>
        </w:rPr>
        <w:t>法定代表人证明书</w:t>
      </w:r>
    </w:p>
    <w:p w14:paraId="0C4789DC">
      <w:r>
        <w:rPr>
          <w:rFonts w:hint="eastAsia"/>
        </w:rPr>
        <w:t xml:space="preserve"> </w:t>
      </w:r>
    </w:p>
    <w:tbl>
      <w:tblPr>
        <w:tblStyle w:val="45"/>
        <w:tblW w:w="93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146"/>
        <w:gridCol w:w="2129"/>
        <w:gridCol w:w="1448"/>
        <w:gridCol w:w="2575"/>
      </w:tblGrid>
      <w:tr w14:paraId="3BC4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320" w:type="dxa"/>
            <w:gridSpan w:val="5"/>
            <w:tcBorders>
              <w:top w:val="single" w:color="auto" w:sz="4" w:space="0"/>
              <w:left w:val="single" w:color="auto" w:sz="4" w:space="0"/>
              <w:bottom w:val="single" w:color="auto" w:sz="4" w:space="0"/>
              <w:right w:val="single" w:color="auto" w:sz="4" w:space="0"/>
            </w:tcBorders>
          </w:tcPr>
          <w:p w14:paraId="7AAD95DD">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致：安</w:t>
            </w:r>
            <w:r>
              <w:rPr>
                <w:rFonts w:hint="eastAsia" w:ascii="宋体" w:hAnsi="宋体" w:cs="仿宋"/>
                <w:bCs/>
                <w:sz w:val="24"/>
                <w:szCs w:val="24"/>
              </w:rPr>
              <w:t>康尚昊招标代理有限公司</w:t>
            </w:r>
          </w:p>
        </w:tc>
      </w:tr>
      <w:tr w14:paraId="106E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restart"/>
            <w:tcBorders>
              <w:top w:val="single" w:color="auto" w:sz="4" w:space="0"/>
              <w:left w:val="single" w:color="auto" w:sz="4" w:space="0"/>
              <w:bottom w:val="single" w:color="auto" w:sz="4" w:space="0"/>
              <w:right w:val="single" w:color="auto" w:sz="4" w:space="0"/>
            </w:tcBorders>
          </w:tcPr>
          <w:p w14:paraId="7BC47A87">
            <w:pPr>
              <w:widowControl/>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p>
          <w:p w14:paraId="114B7B23">
            <w:pPr>
              <w:widowControl/>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p>
          <w:p w14:paraId="2F000D01">
            <w:pPr>
              <w:widowControl/>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r>
              <w:rPr>
                <w:rFonts w:hint="eastAsia" w:ascii="宋体" w:hAnsi="宋体" w:cs="仿宋"/>
                <w:bCs/>
                <w:caps/>
                <w:sz w:val="24"/>
                <w:szCs w:val="24"/>
              </w:rPr>
              <w:t>企</w:t>
            </w:r>
          </w:p>
          <w:p w14:paraId="5AB92262">
            <w:pPr>
              <w:widowControl/>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r>
              <w:rPr>
                <w:rFonts w:hint="eastAsia" w:ascii="宋体" w:hAnsi="宋体" w:cs="仿宋"/>
                <w:bCs/>
                <w:caps/>
                <w:sz w:val="24"/>
                <w:szCs w:val="24"/>
              </w:rPr>
              <w:t>业</w:t>
            </w:r>
          </w:p>
          <w:p w14:paraId="62691A91">
            <w:pPr>
              <w:widowControl/>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r>
              <w:rPr>
                <w:rFonts w:hint="eastAsia" w:ascii="宋体" w:hAnsi="宋体" w:cs="仿宋"/>
                <w:bCs/>
                <w:caps/>
                <w:sz w:val="24"/>
                <w:szCs w:val="24"/>
              </w:rPr>
              <w:t>法</w:t>
            </w:r>
          </w:p>
          <w:p w14:paraId="6EB354F2">
            <w:pPr>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r>
              <w:rPr>
                <w:rFonts w:hint="eastAsia" w:ascii="宋体" w:hAnsi="宋体" w:cs="仿宋"/>
                <w:bCs/>
                <w:caps/>
                <w:sz w:val="24"/>
                <w:szCs w:val="24"/>
              </w:rPr>
              <w:t>人</w:t>
            </w:r>
          </w:p>
        </w:tc>
        <w:tc>
          <w:tcPr>
            <w:tcW w:w="2146" w:type="dxa"/>
            <w:tcBorders>
              <w:top w:val="single" w:color="auto" w:sz="4" w:space="0"/>
              <w:left w:val="single" w:color="auto" w:sz="4" w:space="0"/>
              <w:bottom w:val="single" w:color="auto" w:sz="4" w:space="0"/>
              <w:right w:val="single" w:color="auto" w:sz="4" w:space="0"/>
            </w:tcBorders>
          </w:tcPr>
          <w:p w14:paraId="5798FCC5">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 xml:space="preserve">企 业 名 称 </w:t>
            </w:r>
          </w:p>
        </w:tc>
        <w:tc>
          <w:tcPr>
            <w:tcW w:w="6152" w:type="dxa"/>
            <w:gridSpan w:val="3"/>
            <w:tcBorders>
              <w:top w:val="single" w:color="auto" w:sz="4" w:space="0"/>
              <w:left w:val="single" w:color="auto" w:sz="4" w:space="0"/>
              <w:bottom w:val="single" w:color="auto" w:sz="4" w:space="0"/>
              <w:right w:val="single" w:color="auto" w:sz="4" w:space="0"/>
            </w:tcBorders>
          </w:tcPr>
          <w:p w14:paraId="3C4812B9">
            <w:pPr>
              <w:tabs>
                <w:tab w:val="right" w:leader="dot" w:pos="9022"/>
              </w:tabs>
              <w:autoSpaceDE w:val="0"/>
              <w:autoSpaceDN w:val="0"/>
              <w:adjustRightInd w:val="0"/>
              <w:spacing w:line="500" w:lineRule="exact"/>
              <w:jc w:val="left"/>
              <w:rPr>
                <w:rFonts w:ascii="宋体" w:hAnsi="宋体" w:cs="仿宋"/>
                <w:bCs/>
                <w:caps/>
                <w:sz w:val="24"/>
                <w:szCs w:val="24"/>
              </w:rPr>
            </w:pPr>
          </w:p>
        </w:tc>
      </w:tr>
      <w:tr w14:paraId="3224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1BFD742B">
            <w:pPr>
              <w:widowControl/>
              <w:spacing w:line="400" w:lineRule="exact"/>
              <w:jc w:val="left"/>
              <w:rPr>
                <w:rFonts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0B2DBFF">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法 定 地 址</w:t>
            </w:r>
          </w:p>
        </w:tc>
        <w:tc>
          <w:tcPr>
            <w:tcW w:w="6152" w:type="dxa"/>
            <w:gridSpan w:val="3"/>
            <w:tcBorders>
              <w:top w:val="single" w:color="auto" w:sz="4" w:space="0"/>
              <w:left w:val="single" w:color="auto" w:sz="4" w:space="0"/>
              <w:bottom w:val="single" w:color="auto" w:sz="4" w:space="0"/>
              <w:right w:val="single" w:color="auto" w:sz="4" w:space="0"/>
            </w:tcBorders>
          </w:tcPr>
          <w:p w14:paraId="3930095B">
            <w:pPr>
              <w:tabs>
                <w:tab w:val="right" w:leader="dot" w:pos="9022"/>
              </w:tabs>
              <w:autoSpaceDE w:val="0"/>
              <w:autoSpaceDN w:val="0"/>
              <w:adjustRightInd w:val="0"/>
              <w:spacing w:line="500" w:lineRule="exact"/>
              <w:jc w:val="left"/>
              <w:rPr>
                <w:rFonts w:ascii="宋体" w:hAnsi="宋体" w:cs="仿宋"/>
                <w:bCs/>
                <w:caps/>
                <w:sz w:val="24"/>
                <w:szCs w:val="24"/>
              </w:rPr>
            </w:pPr>
          </w:p>
        </w:tc>
      </w:tr>
      <w:tr w14:paraId="67D4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09652EDA">
            <w:pPr>
              <w:widowControl/>
              <w:spacing w:line="400" w:lineRule="exact"/>
              <w:jc w:val="left"/>
              <w:rPr>
                <w:rFonts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1DB5773">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邮 政 编 码</w:t>
            </w:r>
          </w:p>
        </w:tc>
        <w:tc>
          <w:tcPr>
            <w:tcW w:w="6152" w:type="dxa"/>
            <w:gridSpan w:val="3"/>
            <w:tcBorders>
              <w:top w:val="single" w:color="auto" w:sz="4" w:space="0"/>
              <w:left w:val="single" w:color="auto" w:sz="4" w:space="0"/>
              <w:bottom w:val="single" w:color="auto" w:sz="4" w:space="0"/>
              <w:right w:val="single" w:color="auto" w:sz="4" w:space="0"/>
            </w:tcBorders>
          </w:tcPr>
          <w:p w14:paraId="2F405AC6">
            <w:pPr>
              <w:tabs>
                <w:tab w:val="right" w:leader="dot" w:pos="9022"/>
              </w:tabs>
              <w:autoSpaceDE w:val="0"/>
              <w:autoSpaceDN w:val="0"/>
              <w:adjustRightInd w:val="0"/>
              <w:spacing w:line="500" w:lineRule="exact"/>
              <w:jc w:val="left"/>
              <w:rPr>
                <w:rFonts w:ascii="宋体" w:hAnsi="宋体" w:cs="仿宋"/>
                <w:bCs/>
                <w:caps/>
                <w:sz w:val="24"/>
                <w:szCs w:val="24"/>
              </w:rPr>
            </w:pPr>
          </w:p>
        </w:tc>
      </w:tr>
      <w:tr w14:paraId="3FEC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3B2A8F49">
            <w:pPr>
              <w:widowControl/>
              <w:spacing w:line="400" w:lineRule="exact"/>
              <w:jc w:val="left"/>
              <w:rPr>
                <w:rFonts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45296C56">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网       址</w:t>
            </w:r>
          </w:p>
        </w:tc>
        <w:tc>
          <w:tcPr>
            <w:tcW w:w="6152" w:type="dxa"/>
            <w:gridSpan w:val="3"/>
            <w:tcBorders>
              <w:top w:val="single" w:color="auto" w:sz="4" w:space="0"/>
              <w:left w:val="single" w:color="auto" w:sz="4" w:space="0"/>
              <w:bottom w:val="single" w:color="auto" w:sz="4" w:space="0"/>
              <w:right w:val="single" w:color="auto" w:sz="4" w:space="0"/>
            </w:tcBorders>
          </w:tcPr>
          <w:p w14:paraId="3909498D">
            <w:pPr>
              <w:tabs>
                <w:tab w:val="right" w:leader="dot" w:pos="9022"/>
              </w:tabs>
              <w:autoSpaceDE w:val="0"/>
              <w:autoSpaceDN w:val="0"/>
              <w:adjustRightInd w:val="0"/>
              <w:spacing w:line="500" w:lineRule="exact"/>
              <w:jc w:val="left"/>
              <w:rPr>
                <w:rFonts w:ascii="宋体" w:hAnsi="宋体" w:cs="仿宋"/>
                <w:bCs/>
                <w:caps/>
                <w:sz w:val="24"/>
                <w:szCs w:val="24"/>
              </w:rPr>
            </w:pPr>
          </w:p>
        </w:tc>
      </w:tr>
      <w:tr w14:paraId="45A4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0F0056DD">
            <w:pPr>
              <w:widowControl/>
              <w:spacing w:line="400" w:lineRule="exact"/>
              <w:jc w:val="left"/>
              <w:rPr>
                <w:rFonts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65EBF0E6">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工商登记机关</w:t>
            </w:r>
          </w:p>
        </w:tc>
        <w:tc>
          <w:tcPr>
            <w:tcW w:w="6152" w:type="dxa"/>
            <w:gridSpan w:val="3"/>
            <w:tcBorders>
              <w:top w:val="single" w:color="auto" w:sz="4" w:space="0"/>
              <w:left w:val="single" w:color="auto" w:sz="4" w:space="0"/>
              <w:bottom w:val="single" w:color="auto" w:sz="4" w:space="0"/>
              <w:right w:val="single" w:color="auto" w:sz="4" w:space="0"/>
            </w:tcBorders>
          </w:tcPr>
          <w:p w14:paraId="669EF38E">
            <w:pPr>
              <w:tabs>
                <w:tab w:val="right" w:leader="dot" w:pos="9022"/>
              </w:tabs>
              <w:autoSpaceDE w:val="0"/>
              <w:autoSpaceDN w:val="0"/>
              <w:adjustRightInd w:val="0"/>
              <w:spacing w:line="500" w:lineRule="exact"/>
              <w:ind w:firstLine="2400" w:firstLineChars="1000"/>
              <w:jc w:val="left"/>
              <w:rPr>
                <w:rFonts w:ascii="宋体" w:hAnsi="宋体" w:cs="仿宋"/>
                <w:bCs/>
                <w:caps/>
                <w:sz w:val="24"/>
                <w:szCs w:val="24"/>
              </w:rPr>
            </w:pPr>
          </w:p>
        </w:tc>
      </w:tr>
      <w:tr w14:paraId="58FF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5327499C">
            <w:pPr>
              <w:widowControl/>
              <w:spacing w:line="400" w:lineRule="exact"/>
              <w:jc w:val="left"/>
              <w:rPr>
                <w:rFonts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vAlign w:val="center"/>
          </w:tcPr>
          <w:p w14:paraId="0DD38C96">
            <w:pPr>
              <w:tabs>
                <w:tab w:val="right" w:leader="dot" w:pos="9022"/>
              </w:tabs>
              <w:autoSpaceDE w:val="0"/>
              <w:autoSpaceDN w:val="0"/>
              <w:adjustRightInd w:val="0"/>
              <w:spacing w:line="500" w:lineRule="exact"/>
              <w:rPr>
                <w:rFonts w:ascii="宋体" w:hAnsi="宋体" w:cs="仿宋"/>
                <w:bCs/>
                <w:caps/>
                <w:sz w:val="24"/>
                <w:szCs w:val="24"/>
              </w:rPr>
            </w:pPr>
            <w:r>
              <w:rPr>
                <w:rFonts w:hint="eastAsia" w:ascii="宋体" w:hAnsi="宋体" w:cs="仿宋"/>
                <w:bCs/>
                <w:caps/>
                <w:sz w:val="24"/>
                <w:szCs w:val="24"/>
              </w:rPr>
              <w:t>税务登记机关</w:t>
            </w:r>
          </w:p>
        </w:tc>
        <w:tc>
          <w:tcPr>
            <w:tcW w:w="6152" w:type="dxa"/>
            <w:gridSpan w:val="3"/>
            <w:tcBorders>
              <w:top w:val="single" w:color="auto" w:sz="4" w:space="0"/>
              <w:left w:val="single" w:color="auto" w:sz="4" w:space="0"/>
              <w:bottom w:val="single" w:color="auto" w:sz="4" w:space="0"/>
              <w:right w:val="single" w:color="auto" w:sz="4" w:space="0"/>
            </w:tcBorders>
          </w:tcPr>
          <w:p w14:paraId="1ADB0224">
            <w:pPr>
              <w:tabs>
                <w:tab w:val="right" w:leader="dot" w:pos="9022"/>
              </w:tabs>
              <w:autoSpaceDE w:val="0"/>
              <w:autoSpaceDN w:val="0"/>
              <w:adjustRightInd w:val="0"/>
              <w:spacing w:line="500" w:lineRule="exact"/>
              <w:jc w:val="left"/>
              <w:rPr>
                <w:rFonts w:ascii="宋体" w:hAnsi="宋体" w:cs="仿宋"/>
                <w:bCs/>
                <w:caps/>
                <w:sz w:val="24"/>
                <w:szCs w:val="24"/>
              </w:rPr>
            </w:pPr>
          </w:p>
        </w:tc>
      </w:tr>
      <w:tr w14:paraId="6949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1AB519F8">
            <w:pPr>
              <w:widowControl/>
              <w:spacing w:line="400" w:lineRule="exact"/>
              <w:jc w:val="left"/>
              <w:rPr>
                <w:rFonts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4FE7B165">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机构代码证号</w:t>
            </w:r>
          </w:p>
        </w:tc>
        <w:tc>
          <w:tcPr>
            <w:tcW w:w="6152" w:type="dxa"/>
            <w:gridSpan w:val="3"/>
            <w:tcBorders>
              <w:top w:val="single" w:color="auto" w:sz="4" w:space="0"/>
              <w:left w:val="single" w:color="auto" w:sz="4" w:space="0"/>
              <w:bottom w:val="single" w:color="auto" w:sz="4" w:space="0"/>
              <w:right w:val="single" w:color="auto" w:sz="4" w:space="0"/>
            </w:tcBorders>
          </w:tcPr>
          <w:p w14:paraId="4545384F">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kern w:val="0"/>
                <w:sz w:val="24"/>
                <w:szCs w:val="24"/>
              </w:rPr>
              <w:t>（若三证合一则填统一信用代码证号）</w:t>
            </w:r>
          </w:p>
        </w:tc>
      </w:tr>
      <w:tr w14:paraId="4778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restart"/>
            <w:tcBorders>
              <w:top w:val="single" w:color="auto" w:sz="4" w:space="0"/>
              <w:left w:val="single" w:color="auto" w:sz="4" w:space="0"/>
              <w:bottom w:val="single" w:color="auto" w:sz="4" w:space="0"/>
              <w:right w:val="single" w:color="auto" w:sz="4" w:space="0"/>
            </w:tcBorders>
            <w:vAlign w:val="center"/>
          </w:tcPr>
          <w:p w14:paraId="51418EF6">
            <w:pPr>
              <w:widowControl/>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法 定</w:t>
            </w:r>
          </w:p>
          <w:p w14:paraId="416FD19E">
            <w:pPr>
              <w:widowControl/>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代 表</w:t>
            </w:r>
          </w:p>
          <w:p w14:paraId="46B4650C">
            <w:pPr>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r>
              <w:rPr>
                <w:rFonts w:hint="eastAsia" w:ascii="宋体" w:hAnsi="宋体" w:cs="仿宋"/>
                <w:bCs/>
                <w:caps/>
                <w:sz w:val="24"/>
                <w:szCs w:val="24"/>
              </w:rPr>
              <w:t>人</w:t>
            </w:r>
          </w:p>
        </w:tc>
        <w:tc>
          <w:tcPr>
            <w:tcW w:w="2146" w:type="dxa"/>
            <w:tcBorders>
              <w:top w:val="single" w:color="auto" w:sz="4" w:space="0"/>
              <w:left w:val="single" w:color="auto" w:sz="4" w:space="0"/>
              <w:bottom w:val="single" w:color="auto" w:sz="4" w:space="0"/>
              <w:right w:val="single" w:color="auto" w:sz="4" w:space="0"/>
            </w:tcBorders>
          </w:tcPr>
          <w:p w14:paraId="48E02F93">
            <w:pPr>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r>
              <w:rPr>
                <w:rFonts w:hint="eastAsia" w:ascii="宋体" w:hAnsi="宋体" w:cs="仿宋"/>
                <w:bCs/>
                <w:caps/>
                <w:sz w:val="24"/>
                <w:szCs w:val="24"/>
              </w:rPr>
              <w:t>姓    名</w:t>
            </w:r>
          </w:p>
        </w:tc>
        <w:tc>
          <w:tcPr>
            <w:tcW w:w="2129" w:type="dxa"/>
            <w:tcBorders>
              <w:top w:val="single" w:color="auto" w:sz="4" w:space="0"/>
              <w:left w:val="single" w:color="auto" w:sz="4" w:space="0"/>
              <w:bottom w:val="single" w:color="auto" w:sz="4" w:space="0"/>
              <w:right w:val="single" w:color="auto" w:sz="4" w:space="0"/>
            </w:tcBorders>
          </w:tcPr>
          <w:p w14:paraId="5DB095A0">
            <w:pPr>
              <w:tabs>
                <w:tab w:val="right" w:leader="dot" w:pos="9022"/>
              </w:tabs>
              <w:autoSpaceDE w:val="0"/>
              <w:autoSpaceDN w:val="0"/>
              <w:adjustRightInd w:val="0"/>
              <w:spacing w:line="500" w:lineRule="exact"/>
              <w:jc w:val="left"/>
              <w:rPr>
                <w:rFonts w:ascii="宋体" w:hAnsi="宋体" w:cs="仿宋"/>
                <w:bCs/>
                <w:caps/>
                <w:sz w:val="24"/>
                <w:szCs w:val="24"/>
              </w:rPr>
            </w:pPr>
          </w:p>
        </w:tc>
        <w:tc>
          <w:tcPr>
            <w:tcW w:w="1448" w:type="dxa"/>
            <w:tcBorders>
              <w:top w:val="single" w:color="auto" w:sz="4" w:space="0"/>
              <w:left w:val="single" w:color="auto" w:sz="4" w:space="0"/>
              <w:bottom w:val="single" w:color="auto" w:sz="4" w:space="0"/>
              <w:right w:val="single" w:color="auto" w:sz="4" w:space="0"/>
            </w:tcBorders>
          </w:tcPr>
          <w:p w14:paraId="251FB5A4">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性    别</w:t>
            </w:r>
          </w:p>
        </w:tc>
        <w:tc>
          <w:tcPr>
            <w:tcW w:w="2575" w:type="dxa"/>
            <w:tcBorders>
              <w:top w:val="single" w:color="auto" w:sz="4" w:space="0"/>
              <w:left w:val="single" w:color="auto" w:sz="4" w:space="0"/>
              <w:bottom w:val="single" w:color="auto" w:sz="4" w:space="0"/>
              <w:right w:val="single" w:color="auto" w:sz="4" w:space="0"/>
            </w:tcBorders>
          </w:tcPr>
          <w:p w14:paraId="4807CF23">
            <w:pPr>
              <w:tabs>
                <w:tab w:val="right" w:leader="dot" w:pos="9022"/>
              </w:tabs>
              <w:autoSpaceDE w:val="0"/>
              <w:autoSpaceDN w:val="0"/>
              <w:adjustRightInd w:val="0"/>
              <w:spacing w:line="500" w:lineRule="exact"/>
              <w:jc w:val="left"/>
              <w:rPr>
                <w:rFonts w:ascii="宋体" w:hAnsi="宋体" w:cs="仿宋"/>
                <w:bCs/>
                <w:caps/>
                <w:sz w:val="24"/>
                <w:szCs w:val="24"/>
              </w:rPr>
            </w:pPr>
          </w:p>
        </w:tc>
      </w:tr>
      <w:tr w14:paraId="7255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38323BC0">
            <w:pPr>
              <w:widowControl/>
              <w:spacing w:line="400" w:lineRule="exact"/>
              <w:jc w:val="left"/>
              <w:rPr>
                <w:rFonts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A5F2C8F">
            <w:pPr>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r>
              <w:rPr>
                <w:rFonts w:hint="eastAsia" w:ascii="宋体" w:hAnsi="宋体" w:cs="仿宋"/>
                <w:bCs/>
                <w:caps/>
                <w:sz w:val="24"/>
                <w:szCs w:val="24"/>
              </w:rPr>
              <w:t>职    务</w:t>
            </w:r>
          </w:p>
        </w:tc>
        <w:tc>
          <w:tcPr>
            <w:tcW w:w="2129" w:type="dxa"/>
            <w:tcBorders>
              <w:top w:val="single" w:color="auto" w:sz="4" w:space="0"/>
              <w:left w:val="single" w:color="auto" w:sz="4" w:space="0"/>
              <w:bottom w:val="single" w:color="auto" w:sz="4" w:space="0"/>
              <w:right w:val="single" w:color="auto" w:sz="4" w:space="0"/>
            </w:tcBorders>
          </w:tcPr>
          <w:p w14:paraId="31355100">
            <w:pPr>
              <w:tabs>
                <w:tab w:val="right" w:leader="dot" w:pos="9022"/>
              </w:tabs>
              <w:autoSpaceDE w:val="0"/>
              <w:autoSpaceDN w:val="0"/>
              <w:adjustRightInd w:val="0"/>
              <w:spacing w:line="500" w:lineRule="exact"/>
              <w:jc w:val="left"/>
              <w:rPr>
                <w:rFonts w:ascii="宋体" w:hAnsi="宋体" w:cs="仿宋"/>
                <w:bCs/>
                <w:caps/>
                <w:sz w:val="24"/>
                <w:szCs w:val="24"/>
              </w:rPr>
            </w:pPr>
          </w:p>
        </w:tc>
        <w:tc>
          <w:tcPr>
            <w:tcW w:w="1448" w:type="dxa"/>
            <w:tcBorders>
              <w:top w:val="single" w:color="auto" w:sz="4" w:space="0"/>
              <w:left w:val="single" w:color="auto" w:sz="4" w:space="0"/>
              <w:bottom w:val="single" w:color="auto" w:sz="4" w:space="0"/>
              <w:right w:val="single" w:color="auto" w:sz="4" w:space="0"/>
            </w:tcBorders>
          </w:tcPr>
          <w:p w14:paraId="5E4AE5EE">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联系电话</w:t>
            </w:r>
          </w:p>
        </w:tc>
        <w:tc>
          <w:tcPr>
            <w:tcW w:w="2575" w:type="dxa"/>
            <w:tcBorders>
              <w:top w:val="single" w:color="auto" w:sz="4" w:space="0"/>
              <w:left w:val="single" w:color="auto" w:sz="4" w:space="0"/>
              <w:bottom w:val="single" w:color="auto" w:sz="4" w:space="0"/>
              <w:right w:val="single" w:color="auto" w:sz="4" w:space="0"/>
            </w:tcBorders>
          </w:tcPr>
          <w:p w14:paraId="6010BB07">
            <w:pPr>
              <w:tabs>
                <w:tab w:val="right" w:leader="dot" w:pos="9022"/>
              </w:tabs>
              <w:autoSpaceDE w:val="0"/>
              <w:autoSpaceDN w:val="0"/>
              <w:adjustRightInd w:val="0"/>
              <w:spacing w:line="500" w:lineRule="exact"/>
              <w:jc w:val="left"/>
              <w:rPr>
                <w:rFonts w:ascii="宋体" w:hAnsi="宋体" w:cs="仿宋"/>
                <w:bCs/>
                <w:caps/>
                <w:sz w:val="24"/>
                <w:szCs w:val="24"/>
              </w:rPr>
            </w:pPr>
          </w:p>
        </w:tc>
      </w:tr>
      <w:tr w14:paraId="01D3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06180A86">
            <w:pPr>
              <w:widowControl/>
              <w:spacing w:line="400" w:lineRule="exact"/>
              <w:jc w:val="left"/>
              <w:rPr>
                <w:rFonts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17407CB1">
            <w:pPr>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r>
              <w:rPr>
                <w:rFonts w:hint="eastAsia" w:ascii="宋体" w:hAnsi="宋体" w:cs="仿宋"/>
                <w:bCs/>
                <w:caps/>
                <w:sz w:val="24"/>
                <w:szCs w:val="24"/>
              </w:rPr>
              <w:t>传    真</w:t>
            </w:r>
          </w:p>
        </w:tc>
        <w:tc>
          <w:tcPr>
            <w:tcW w:w="6152" w:type="dxa"/>
            <w:gridSpan w:val="3"/>
            <w:tcBorders>
              <w:top w:val="single" w:color="auto" w:sz="4" w:space="0"/>
              <w:left w:val="single" w:color="auto" w:sz="4" w:space="0"/>
              <w:bottom w:val="single" w:color="auto" w:sz="4" w:space="0"/>
              <w:right w:val="single" w:color="auto" w:sz="4" w:space="0"/>
            </w:tcBorders>
          </w:tcPr>
          <w:p w14:paraId="2CC37110">
            <w:pPr>
              <w:tabs>
                <w:tab w:val="right" w:leader="dot" w:pos="9022"/>
              </w:tabs>
              <w:autoSpaceDE w:val="0"/>
              <w:autoSpaceDN w:val="0"/>
              <w:adjustRightInd w:val="0"/>
              <w:spacing w:line="500" w:lineRule="exact"/>
              <w:jc w:val="left"/>
              <w:rPr>
                <w:rFonts w:ascii="宋体" w:hAnsi="宋体" w:cs="仿宋"/>
                <w:bCs/>
                <w:caps/>
                <w:sz w:val="24"/>
                <w:szCs w:val="24"/>
              </w:rPr>
            </w:pPr>
          </w:p>
        </w:tc>
      </w:tr>
      <w:tr w14:paraId="7CD5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1022" w:type="dxa"/>
            <w:vMerge w:val="restart"/>
            <w:tcBorders>
              <w:top w:val="single" w:color="auto" w:sz="4" w:space="0"/>
              <w:left w:val="single" w:color="auto" w:sz="4" w:space="0"/>
              <w:bottom w:val="single" w:color="auto" w:sz="4" w:space="0"/>
              <w:right w:val="single" w:color="auto" w:sz="4" w:space="0"/>
            </w:tcBorders>
          </w:tcPr>
          <w:p w14:paraId="22B55F0F">
            <w:pPr>
              <w:widowControl/>
              <w:tabs>
                <w:tab w:val="right" w:leader="dot" w:pos="9022"/>
              </w:tabs>
              <w:autoSpaceDE w:val="0"/>
              <w:autoSpaceDN w:val="0"/>
              <w:adjustRightInd w:val="0"/>
              <w:spacing w:line="500" w:lineRule="exact"/>
              <w:jc w:val="left"/>
              <w:rPr>
                <w:rFonts w:ascii="宋体" w:hAnsi="宋体" w:cs="仿宋"/>
                <w:bCs/>
                <w:caps/>
                <w:sz w:val="24"/>
                <w:szCs w:val="24"/>
              </w:rPr>
            </w:pPr>
          </w:p>
          <w:p w14:paraId="2EED03B7">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法定代表人身份证复印件</w:t>
            </w:r>
          </w:p>
        </w:tc>
        <w:tc>
          <w:tcPr>
            <w:tcW w:w="4275" w:type="dxa"/>
            <w:gridSpan w:val="2"/>
            <w:vMerge w:val="restart"/>
            <w:tcBorders>
              <w:top w:val="single" w:color="auto" w:sz="4" w:space="0"/>
              <w:left w:val="single" w:color="auto" w:sz="4" w:space="0"/>
              <w:bottom w:val="single" w:color="auto" w:sz="4" w:space="0"/>
              <w:right w:val="single" w:color="auto" w:sz="4" w:space="0"/>
            </w:tcBorders>
            <w:vAlign w:val="center"/>
          </w:tcPr>
          <w:p w14:paraId="60E43217">
            <w:pPr>
              <w:widowControl/>
              <w:tabs>
                <w:tab w:val="right" w:leader="dot" w:pos="9022"/>
              </w:tabs>
              <w:autoSpaceDE w:val="0"/>
              <w:autoSpaceDN w:val="0"/>
              <w:adjustRightInd w:val="0"/>
              <w:spacing w:line="500" w:lineRule="exact"/>
              <w:jc w:val="center"/>
              <w:rPr>
                <w:rFonts w:ascii="宋体" w:hAnsi="宋体" w:cs="仿宋"/>
                <w:bCs/>
                <w:caps/>
                <w:sz w:val="24"/>
                <w:szCs w:val="24"/>
              </w:rPr>
            </w:pPr>
          </w:p>
          <w:p w14:paraId="510948F9">
            <w:pPr>
              <w:widowControl/>
              <w:tabs>
                <w:tab w:val="right" w:leader="dot" w:pos="9022"/>
              </w:tabs>
              <w:autoSpaceDE w:val="0"/>
              <w:autoSpaceDN w:val="0"/>
              <w:adjustRightInd w:val="0"/>
              <w:spacing w:line="500" w:lineRule="exact"/>
              <w:jc w:val="center"/>
              <w:rPr>
                <w:rFonts w:ascii="宋体" w:hAnsi="宋体" w:cs="仿宋"/>
                <w:bCs/>
                <w:caps/>
                <w:sz w:val="24"/>
                <w:szCs w:val="24"/>
              </w:rPr>
            </w:pPr>
          </w:p>
          <w:p w14:paraId="014FF8FB">
            <w:pPr>
              <w:widowControl/>
              <w:tabs>
                <w:tab w:val="right" w:leader="dot" w:pos="9022"/>
              </w:tabs>
              <w:autoSpaceDE w:val="0"/>
              <w:autoSpaceDN w:val="0"/>
              <w:adjustRightInd w:val="0"/>
              <w:spacing w:line="500" w:lineRule="exact"/>
              <w:jc w:val="center"/>
              <w:rPr>
                <w:rFonts w:ascii="宋体" w:hAnsi="宋体" w:cs="仿宋"/>
                <w:bCs/>
                <w:caps/>
                <w:sz w:val="24"/>
                <w:szCs w:val="24"/>
              </w:rPr>
            </w:pPr>
            <w:r>
              <w:rPr>
                <w:rFonts w:hint="eastAsia" w:ascii="宋体" w:hAnsi="宋体" w:cs="仿宋"/>
                <w:bCs/>
                <w:spacing w:val="-4"/>
                <w:sz w:val="24"/>
                <w:szCs w:val="24"/>
              </w:rPr>
              <w:t>二代身份证正、反两面都需复印</w:t>
            </w:r>
          </w:p>
          <w:p w14:paraId="3BE73F45">
            <w:pPr>
              <w:widowControl/>
              <w:tabs>
                <w:tab w:val="right" w:leader="dot" w:pos="9022"/>
              </w:tabs>
              <w:autoSpaceDE w:val="0"/>
              <w:autoSpaceDN w:val="0"/>
              <w:adjustRightInd w:val="0"/>
              <w:spacing w:line="500" w:lineRule="exact"/>
              <w:ind w:firstLine="960" w:firstLineChars="400"/>
              <w:jc w:val="center"/>
              <w:rPr>
                <w:rFonts w:ascii="宋体" w:hAnsi="宋体" w:cs="仿宋"/>
                <w:bCs/>
                <w:caps/>
                <w:sz w:val="24"/>
                <w:szCs w:val="24"/>
              </w:rPr>
            </w:pPr>
          </w:p>
          <w:p w14:paraId="0C528BF1">
            <w:pPr>
              <w:tabs>
                <w:tab w:val="right" w:leader="dot" w:pos="9022"/>
              </w:tabs>
              <w:autoSpaceDE w:val="0"/>
              <w:autoSpaceDN w:val="0"/>
              <w:adjustRightInd w:val="0"/>
              <w:spacing w:line="500" w:lineRule="exact"/>
              <w:jc w:val="center"/>
              <w:rPr>
                <w:rFonts w:ascii="宋体" w:hAnsi="宋体" w:cs="仿宋"/>
                <w:bCs/>
                <w:caps/>
                <w:sz w:val="24"/>
                <w:szCs w:val="24"/>
              </w:rPr>
            </w:pPr>
            <w:r>
              <w:rPr>
                <w:rFonts w:hint="eastAsia" w:ascii="宋体" w:hAnsi="宋体" w:cs="仿宋"/>
                <w:bCs/>
                <w:caps/>
                <w:sz w:val="24"/>
                <w:szCs w:val="24"/>
              </w:rPr>
              <w:t>（粘贴处）</w:t>
            </w:r>
          </w:p>
        </w:tc>
        <w:tc>
          <w:tcPr>
            <w:tcW w:w="4023" w:type="dxa"/>
            <w:gridSpan w:val="2"/>
            <w:tcBorders>
              <w:top w:val="single" w:color="auto" w:sz="4" w:space="0"/>
              <w:left w:val="single" w:color="auto" w:sz="4" w:space="0"/>
              <w:bottom w:val="single" w:color="auto" w:sz="4" w:space="0"/>
              <w:right w:val="single" w:color="auto" w:sz="4" w:space="0"/>
            </w:tcBorders>
          </w:tcPr>
          <w:p w14:paraId="7CAF746E">
            <w:pPr>
              <w:widowControl/>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 xml:space="preserve">  </w:t>
            </w:r>
          </w:p>
          <w:p w14:paraId="649B7F46">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 xml:space="preserve"> （法定代表人</w:t>
            </w:r>
            <w:r>
              <w:rPr>
                <w:rFonts w:hint="eastAsia" w:ascii="宋体" w:hAnsi="宋体" w:eastAsia="宋体" w:cs="宋体"/>
                <w:spacing w:val="4"/>
                <w:sz w:val="24"/>
                <w:lang w:val="en-US" w:eastAsia="zh-CN"/>
              </w:rPr>
              <w:t>签字或盖章</w:t>
            </w:r>
            <w:r>
              <w:rPr>
                <w:rFonts w:hint="eastAsia" w:ascii="宋体" w:hAnsi="宋体" w:cs="仿宋"/>
                <w:bCs/>
                <w:caps/>
                <w:sz w:val="24"/>
                <w:szCs w:val="24"/>
              </w:rPr>
              <w:t>）</w:t>
            </w:r>
          </w:p>
        </w:tc>
      </w:tr>
      <w:tr w14:paraId="2510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5A1EC6C2">
            <w:pPr>
              <w:widowControl/>
              <w:spacing w:line="400" w:lineRule="exact"/>
              <w:jc w:val="left"/>
              <w:rPr>
                <w:rFonts w:ascii="宋体" w:hAnsi="宋体" w:cs="仿宋"/>
                <w:bCs/>
                <w:caps/>
                <w:sz w:val="24"/>
                <w:szCs w:val="24"/>
              </w:rPr>
            </w:pPr>
          </w:p>
        </w:tc>
        <w:tc>
          <w:tcPr>
            <w:tcW w:w="4275" w:type="dxa"/>
            <w:gridSpan w:val="2"/>
            <w:vMerge w:val="continue"/>
            <w:tcBorders>
              <w:top w:val="single" w:color="auto" w:sz="4" w:space="0"/>
              <w:left w:val="single" w:color="auto" w:sz="4" w:space="0"/>
              <w:bottom w:val="single" w:color="auto" w:sz="4" w:space="0"/>
              <w:right w:val="single" w:color="auto" w:sz="4" w:space="0"/>
            </w:tcBorders>
            <w:vAlign w:val="center"/>
          </w:tcPr>
          <w:p w14:paraId="1ACFD846">
            <w:pPr>
              <w:widowControl/>
              <w:spacing w:line="400" w:lineRule="exact"/>
              <w:jc w:val="left"/>
              <w:rPr>
                <w:rFonts w:ascii="宋体" w:hAnsi="宋体" w:cs="仿宋"/>
                <w:bCs/>
                <w:caps/>
                <w:sz w:val="24"/>
                <w:szCs w:val="24"/>
              </w:rPr>
            </w:pPr>
          </w:p>
        </w:tc>
        <w:tc>
          <w:tcPr>
            <w:tcW w:w="4023" w:type="dxa"/>
            <w:gridSpan w:val="2"/>
            <w:tcBorders>
              <w:top w:val="single" w:color="auto" w:sz="4" w:space="0"/>
              <w:left w:val="single" w:color="auto" w:sz="4" w:space="0"/>
              <w:bottom w:val="single" w:color="auto" w:sz="4" w:space="0"/>
              <w:right w:val="single" w:color="auto" w:sz="4" w:space="0"/>
            </w:tcBorders>
          </w:tcPr>
          <w:p w14:paraId="42B100F9">
            <w:pPr>
              <w:widowControl/>
              <w:tabs>
                <w:tab w:val="right" w:leader="dot" w:pos="9022"/>
              </w:tabs>
              <w:autoSpaceDE w:val="0"/>
              <w:autoSpaceDN w:val="0"/>
              <w:adjustRightInd w:val="0"/>
              <w:spacing w:line="500" w:lineRule="exact"/>
              <w:jc w:val="left"/>
              <w:rPr>
                <w:rFonts w:ascii="宋体" w:hAnsi="宋体" w:cs="仿宋"/>
                <w:bCs/>
                <w:caps/>
                <w:sz w:val="24"/>
                <w:szCs w:val="24"/>
              </w:rPr>
            </w:pPr>
          </w:p>
          <w:p w14:paraId="7AFC10EA">
            <w:pPr>
              <w:widowControl/>
              <w:tabs>
                <w:tab w:val="right" w:leader="dot" w:pos="9022"/>
              </w:tabs>
              <w:autoSpaceDE w:val="0"/>
              <w:autoSpaceDN w:val="0"/>
              <w:adjustRightInd w:val="0"/>
              <w:spacing w:line="500" w:lineRule="exact"/>
              <w:jc w:val="left"/>
              <w:rPr>
                <w:rFonts w:ascii="宋体" w:hAnsi="宋体" w:cs="仿宋"/>
                <w:bCs/>
                <w:caps/>
                <w:sz w:val="24"/>
                <w:szCs w:val="24"/>
              </w:rPr>
            </w:pPr>
          </w:p>
          <w:p w14:paraId="4018CE3A">
            <w:pPr>
              <w:widowControl/>
              <w:tabs>
                <w:tab w:val="right" w:leader="dot" w:pos="9022"/>
              </w:tabs>
              <w:autoSpaceDE w:val="0"/>
              <w:autoSpaceDN w:val="0"/>
              <w:adjustRightInd w:val="0"/>
              <w:spacing w:line="500" w:lineRule="exact"/>
              <w:jc w:val="left"/>
              <w:rPr>
                <w:rFonts w:ascii="宋体" w:hAnsi="宋体" w:cs="仿宋"/>
                <w:bCs/>
                <w:caps/>
                <w:sz w:val="24"/>
                <w:szCs w:val="24"/>
              </w:rPr>
            </w:pPr>
          </w:p>
          <w:p w14:paraId="0FA80143">
            <w:pPr>
              <w:widowControl/>
              <w:tabs>
                <w:tab w:val="right" w:leader="dot" w:pos="9022"/>
              </w:tabs>
              <w:autoSpaceDE w:val="0"/>
              <w:autoSpaceDN w:val="0"/>
              <w:adjustRightInd w:val="0"/>
              <w:spacing w:line="500" w:lineRule="exact"/>
              <w:ind w:firstLine="120" w:firstLineChars="50"/>
              <w:jc w:val="left"/>
              <w:rPr>
                <w:rFonts w:ascii="宋体" w:hAnsi="宋体" w:cs="仿宋"/>
                <w:bCs/>
                <w:caps/>
                <w:sz w:val="24"/>
                <w:szCs w:val="24"/>
              </w:rPr>
            </w:pPr>
            <w:r>
              <w:rPr>
                <w:rFonts w:hint="eastAsia" w:ascii="宋体" w:hAnsi="宋体" w:cs="仿宋"/>
                <w:bCs/>
                <w:caps/>
                <w:sz w:val="24"/>
                <w:szCs w:val="24"/>
              </w:rPr>
              <w:t>（企业公章）</w:t>
            </w:r>
          </w:p>
          <w:p w14:paraId="45067FF4">
            <w:pPr>
              <w:widowControl/>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 xml:space="preserve">    </w:t>
            </w:r>
          </w:p>
          <w:p w14:paraId="43CBE8A7">
            <w:pPr>
              <w:widowControl/>
              <w:tabs>
                <w:tab w:val="right" w:leader="dot" w:pos="9022"/>
              </w:tabs>
              <w:autoSpaceDE w:val="0"/>
              <w:autoSpaceDN w:val="0"/>
              <w:adjustRightInd w:val="0"/>
              <w:spacing w:line="500" w:lineRule="exact"/>
              <w:jc w:val="left"/>
              <w:rPr>
                <w:rFonts w:ascii="宋体" w:hAnsi="宋体" w:cs="仿宋"/>
                <w:bCs/>
                <w:caps/>
                <w:sz w:val="24"/>
                <w:szCs w:val="24"/>
              </w:rPr>
            </w:pPr>
          </w:p>
          <w:p w14:paraId="13731489">
            <w:pPr>
              <w:tabs>
                <w:tab w:val="right" w:leader="dot" w:pos="9022"/>
              </w:tabs>
              <w:autoSpaceDE w:val="0"/>
              <w:autoSpaceDN w:val="0"/>
              <w:adjustRightInd w:val="0"/>
              <w:spacing w:line="500" w:lineRule="exact"/>
              <w:ind w:firstLine="1440" w:firstLineChars="600"/>
              <w:jc w:val="left"/>
              <w:rPr>
                <w:rFonts w:ascii="宋体" w:hAnsi="宋体" w:cs="仿宋"/>
                <w:bCs/>
                <w:caps/>
                <w:sz w:val="24"/>
                <w:szCs w:val="24"/>
              </w:rPr>
            </w:pPr>
            <w:r>
              <w:rPr>
                <w:rFonts w:hint="eastAsia" w:ascii="宋体" w:hAnsi="宋体" w:cs="仿宋"/>
                <w:bCs/>
                <w:caps/>
                <w:sz w:val="24"/>
                <w:szCs w:val="24"/>
              </w:rPr>
              <w:t>年  月  日</w:t>
            </w:r>
          </w:p>
        </w:tc>
      </w:tr>
    </w:tbl>
    <w:p w14:paraId="130375D2">
      <w:pPr>
        <w:tabs>
          <w:tab w:val="left" w:pos="210"/>
        </w:tabs>
        <w:spacing w:line="320" w:lineRule="exact"/>
        <w:jc w:val="center"/>
        <w:rPr>
          <w:rFonts w:ascii="宋体" w:hAnsi="宋体" w:cs="Arial"/>
          <w:kern w:val="0"/>
          <w:sz w:val="24"/>
          <w:szCs w:val="20"/>
        </w:rPr>
      </w:pPr>
      <w:r>
        <w:rPr>
          <w:rFonts w:hint="eastAsia" w:ascii="宋体" w:hAnsi="宋体" w:cs="Arial"/>
          <w:kern w:val="0"/>
          <w:sz w:val="24"/>
          <w:szCs w:val="20"/>
        </w:rPr>
        <w:t>（法定代表人直接</w:t>
      </w:r>
      <w:r>
        <w:rPr>
          <w:rFonts w:hint="eastAsia" w:ascii="宋体" w:hAnsi="宋体" w:cs="Arial"/>
          <w:kern w:val="0"/>
          <w:sz w:val="24"/>
          <w:szCs w:val="20"/>
          <w:lang w:eastAsia="zh-CN"/>
        </w:rPr>
        <w:t>磋商</w:t>
      </w:r>
      <w:r>
        <w:rPr>
          <w:rFonts w:hint="eastAsia" w:ascii="宋体" w:hAnsi="宋体" w:cs="Arial"/>
          <w:kern w:val="0"/>
          <w:sz w:val="24"/>
          <w:szCs w:val="20"/>
        </w:rPr>
        <w:t>，</w:t>
      </w:r>
      <w:r>
        <w:rPr>
          <w:rFonts w:hint="eastAsia" w:ascii="宋体" w:hAnsi="宋体" w:cs="Arial"/>
          <w:kern w:val="0"/>
          <w:sz w:val="24"/>
          <w:szCs w:val="20"/>
          <w:lang w:eastAsia="zh-CN"/>
        </w:rPr>
        <w:t>只需</w:t>
      </w:r>
      <w:r>
        <w:rPr>
          <w:rFonts w:hint="eastAsia" w:ascii="宋体" w:hAnsi="宋体" w:cs="Arial"/>
          <w:kern w:val="0"/>
          <w:sz w:val="24"/>
          <w:szCs w:val="20"/>
        </w:rPr>
        <w:t>提供法定代表人证明书及身份证</w:t>
      </w:r>
      <w:r>
        <w:rPr>
          <w:rFonts w:hint="eastAsia" w:ascii="宋体" w:hAnsi="宋体" w:cs="Arial"/>
          <w:kern w:val="0"/>
          <w:sz w:val="24"/>
          <w:szCs w:val="20"/>
          <w:lang w:val="en-US" w:eastAsia="zh-CN"/>
        </w:rPr>
        <w:t>资料</w:t>
      </w:r>
      <w:r>
        <w:rPr>
          <w:rFonts w:hint="eastAsia" w:ascii="宋体" w:hAnsi="宋体" w:cs="Arial"/>
          <w:kern w:val="0"/>
          <w:sz w:val="24"/>
          <w:szCs w:val="20"/>
        </w:rPr>
        <w:t>）</w:t>
      </w:r>
    </w:p>
    <w:p w14:paraId="21C0DE24">
      <w:pPr>
        <w:tabs>
          <w:tab w:val="left" w:pos="210"/>
        </w:tabs>
        <w:spacing w:line="320" w:lineRule="exact"/>
        <w:jc w:val="center"/>
        <w:rPr>
          <w:rFonts w:ascii="宋体" w:hAnsi="宋体" w:cs="Arial"/>
          <w:kern w:val="0"/>
          <w:sz w:val="24"/>
          <w:szCs w:val="20"/>
        </w:rPr>
      </w:pPr>
    </w:p>
    <w:p w14:paraId="35E0BD2B">
      <w:pPr>
        <w:tabs>
          <w:tab w:val="left" w:pos="3300"/>
        </w:tabs>
        <w:bidi w:val="0"/>
        <w:jc w:val="left"/>
        <w:rPr>
          <w:rFonts w:hint="eastAsia"/>
          <w:lang w:val="en-US" w:eastAsia="zh-CN"/>
        </w:rPr>
      </w:pPr>
      <w:r>
        <w:rPr>
          <w:rFonts w:hint="eastAsia"/>
          <w:lang w:val="en-US" w:eastAsia="zh-CN"/>
        </w:rPr>
        <w:tab/>
      </w:r>
    </w:p>
    <w:p w14:paraId="088B872D">
      <w:pPr>
        <w:tabs>
          <w:tab w:val="left" w:pos="3300"/>
        </w:tabs>
        <w:bidi w:val="0"/>
        <w:jc w:val="center"/>
        <w:rPr>
          <w:rFonts w:ascii="宋体" w:cs="Times New Roman"/>
          <w:b/>
          <w:bCs/>
          <w:kern w:val="0"/>
          <w:sz w:val="24"/>
          <w:szCs w:val="24"/>
        </w:rPr>
      </w:pPr>
      <w:r>
        <w:rPr>
          <w:rFonts w:hint="eastAsia" w:ascii="宋体" w:hAnsi="宋体" w:cs="宋体"/>
          <w:b/>
          <w:bCs/>
          <w:kern w:val="0"/>
          <w:sz w:val="24"/>
          <w:szCs w:val="24"/>
        </w:rPr>
        <w:t>法定代表人授权书</w:t>
      </w:r>
    </w:p>
    <w:p w14:paraId="11EEBB22">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宋体" w:hAnsi="宋体" w:cs="Times New Roman"/>
          <w:sz w:val="24"/>
          <w:szCs w:val="24"/>
        </w:rPr>
      </w:pPr>
      <w:r>
        <w:rPr>
          <w:rFonts w:hint="eastAsia" w:ascii="宋体" w:hAnsi="宋体" w:cs="宋体"/>
          <w:sz w:val="24"/>
          <w:szCs w:val="24"/>
        </w:rPr>
        <w:t>安康尚昊招标代理有限公司：</w:t>
      </w:r>
    </w:p>
    <w:p w14:paraId="7FC89C77">
      <w:pPr>
        <w:keepNext w:val="0"/>
        <w:keepLines w:val="0"/>
        <w:pageBreakBefore w:val="0"/>
        <w:widowControl w:val="0"/>
        <w:tabs>
          <w:tab w:val="left" w:pos="8820"/>
        </w:tabs>
        <w:kinsoku/>
        <w:wordWrap/>
        <w:overflowPunct/>
        <w:topLinePunct w:val="0"/>
        <w:autoSpaceDE/>
        <w:autoSpaceDN/>
        <w:bidi w:val="0"/>
        <w:adjustRightInd/>
        <w:snapToGrid/>
        <w:spacing w:line="336" w:lineRule="auto"/>
        <w:ind w:firstLine="570"/>
        <w:textAlignment w:val="auto"/>
        <w:rPr>
          <w:rFonts w:ascii="宋体" w:cs="Times New Roman"/>
          <w:sz w:val="24"/>
          <w:szCs w:val="24"/>
          <w:u w:val="single"/>
        </w:rPr>
      </w:pPr>
      <w:r>
        <w:rPr>
          <w:rFonts w:hint="eastAsia" w:ascii="宋体" w:hAnsi="宋体" w:cs="宋体"/>
          <w:sz w:val="24"/>
          <w:szCs w:val="24"/>
        </w:rPr>
        <w:t>本授权委托书声明：我</w:t>
      </w:r>
      <w:r>
        <w:rPr>
          <w:rFonts w:hint="eastAsia" w:ascii="宋体" w:hAnsi="宋体" w:cs="宋体"/>
          <w:sz w:val="24"/>
          <w:szCs w:val="24"/>
          <w:u w:val="single"/>
        </w:rPr>
        <w:t>（法定代表人姓名）</w:t>
      </w:r>
      <w:r>
        <w:rPr>
          <w:rFonts w:ascii="宋体" w:hAnsi="宋体" w:cs="宋体"/>
          <w:sz w:val="24"/>
          <w:szCs w:val="24"/>
          <w:u w:val="single"/>
        </w:rPr>
        <w:t xml:space="preserve">   </w:t>
      </w:r>
      <w:r>
        <w:rPr>
          <w:rFonts w:hint="eastAsia" w:ascii="宋体" w:hAnsi="宋体" w:cs="宋体"/>
          <w:sz w:val="24"/>
          <w:szCs w:val="24"/>
        </w:rPr>
        <w:t>系注册于</w:t>
      </w:r>
      <w:r>
        <w:rPr>
          <w:rFonts w:ascii="宋体" w:hAnsi="宋体" w:cs="宋体"/>
          <w:sz w:val="24"/>
          <w:szCs w:val="24"/>
          <w:u w:val="single"/>
        </w:rPr>
        <w:t xml:space="preserve">  </w:t>
      </w:r>
      <w:r>
        <w:rPr>
          <w:rFonts w:hint="eastAsia" w:ascii="宋体" w:hAnsi="宋体" w:cs="宋体"/>
          <w:sz w:val="24"/>
          <w:szCs w:val="24"/>
          <w:u w:val="single"/>
        </w:rPr>
        <w:t>（供应商地址）</w:t>
      </w:r>
      <w:r>
        <w:rPr>
          <w:rFonts w:hint="eastAsia" w:ascii="宋体" w:hAnsi="宋体" w:cs="宋体"/>
          <w:sz w:val="24"/>
          <w:szCs w:val="24"/>
        </w:rPr>
        <w:t>的</w:t>
      </w:r>
      <w:r>
        <w:rPr>
          <w:rFonts w:hint="eastAsia" w:ascii="宋体" w:hAnsi="宋体" w:cs="宋体"/>
          <w:sz w:val="24"/>
          <w:szCs w:val="24"/>
          <w:u w:val="single"/>
        </w:rPr>
        <w:t>（供应商名称）</w:t>
      </w:r>
      <w:r>
        <w:rPr>
          <w:rFonts w:ascii="宋体" w:hAnsi="宋体" w:cs="宋体"/>
          <w:sz w:val="24"/>
          <w:szCs w:val="24"/>
          <w:u w:val="single"/>
        </w:rPr>
        <w:t xml:space="preserve">  </w:t>
      </w:r>
      <w:r>
        <w:rPr>
          <w:rFonts w:hint="eastAsia" w:ascii="宋体" w:hAnsi="宋体" w:cs="宋体"/>
          <w:sz w:val="24"/>
          <w:szCs w:val="24"/>
        </w:rPr>
        <w:t>的法定代表人，现代表公司授权下面签字的</w:t>
      </w:r>
      <w:r>
        <w:rPr>
          <w:rFonts w:hint="eastAsia" w:ascii="宋体" w:hAnsi="宋体" w:cs="宋体"/>
          <w:sz w:val="24"/>
          <w:szCs w:val="24"/>
          <w:u w:val="single"/>
        </w:rPr>
        <w:t>（被授权人的姓名、职务）</w:t>
      </w:r>
      <w:r>
        <w:rPr>
          <w:rFonts w:ascii="宋体" w:hAnsi="宋体" w:cs="宋体"/>
          <w:sz w:val="24"/>
          <w:szCs w:val="24"/>
          <w:u w:val="single"/>
        </w:rPr>
        <w:t xml:space="preserve">   </w:t>
      </w:r>
      <w:r>
        <w:rPr>
          <w:rFonts w:hint="eastAsia" w:ascii="宋体" w:hAnsi="宋体" w:cs="宋体"/>
          <w:sz w:val="24"/>
          <w:szCs w:val="24"/>
        </w:rPr>
        <w:t>为我公司合法代理人，代表本公司参加</w:t>
      </w:r>
      <w:r>
        <w:rPr>
          <w:rFonts w:ascii="宋体" w:hAnsi="宋体" w:cs="宋体"/>
          <w:sz w:val="24"/>
          <w:szCs w:val="24"/>
          <w:u w:val="single"/>
        </w:rPr>
        <w:t xml:space="preserve">  </w:t>
      </w:r>
      <w:r>
        <w:rPr>
          <w:rFonts w:hint="eastAsia" w:ascii="宋体" w:hAnsi="宋体" w:cs="宋体"/>
          <w:sz w:val="24"/>
          <w:szCs w:val="24"/>
          <w:u w:val="single"/>
        </w:rPr>
        <w:t>（项目名称）</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采购项目编号为</w:t>
      </w:r>
      <w:r>
        <w:rPr>
          <w:rFonts w:hint="eastAsia" w:ascii="宋体" w:hAnsi="宋体" w:cs="宋体"/>
          <w:sz w:val="24"/>
          <w:szCs w:val="24"/>
          <w:u w:val="single"/>
          <w:lang w:val="en-US" w:eastAsia="zh-CN"/>
        </w:rPr>
        <w:t xml:space="preserve">   </w:t>
      </w:r>
      <w:r>
        <w:rPr>
          <w:rFonts w:hint="eastAsia" w:ascii="宋体" w:hAnsi="宋体" w:cs="宋体"/>
          <w:sz w:val="24"/>
          <w:szCs w:val="24"/>
        </w:rPr>
        <w:t>的采购活动。以我方名义全权处理该项目有关</w:t>
      </w:r>
      <w:r>
        <w:rPr>
          <w:rFonts w:hint="eastAsia" w:ascii="宋体" w:hAnsi="宋体" w:cs="宋体"/>
          <w:sz w:val="24"/>
          <w:szCs w:val="24"/>
          <w:lang w:eastAsia="zh-CN"/>
        </w:rPr>
        <w:t>磋商</w:t>
      </w:r>
      <w:r>
        <w:rPr>
          <w:rFonts w:hint="eastAsia" w:ascii="宋体" w:hAnsi="宋体" w:cs="宋体"/>
          <w:sz w:val="24"/>
          <w:szCs w:val="24"/>
        </w:rPr>
        <w:t>、签订合同以及执行合同等一切事宜。</w:t>
      </w:r>
    </w:p>
    <w:p w14:paraId="6FE5F1A0">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cs="Times New Roman"/>
          <w:sz w:val="24"/>
          <w:szCs w:val="24"/>
        </w:rPr>
      </w:pPr>
      <w:r>
        <w:rPr>
          <w:rFonts w:hint="eastAsia" w:ascii="宋体" w:hAnsi="宋体" w:cs="宋体"/>
          <w:sz w:val="24"/>
          <w:szCs w:val="24"/>
        </w:rPr>
        <w:t>有效期自</w:t>
      </w:r>
      <w:r>
        <w:rPr>
          <w:rFonts w:hint="eastAsia" w:ascii="宋体" w:hAnsi="宋体" w:cs="宋体"/>
          <w:sz w:val="24"/>
          <w:szCs w:val="24"/>
          <w:lang w:eastAsia="zh-CN"/>
        </w:rPr>
        <w:t>磋商</w:t>
      </w:r>
      <w:r>
        <w:rPr>
          <w:rFonts w:hint="eastAsia" w:ascii="宋体" w:hAnsi="宋体" w:cs="宋体"/>
          <w:sz w:val="24"/>
          <w:szCs w:val="24"/>
        </w:rPr>
        <w:t>之日起</w:t>
      </w:r>
      <w:r>
        <w:rPr>
          <w:rFonts w:hint="eastAsia" w:ascii="宋体" w:hAnsi="宋体" w:cs="宋体"/>
          <w:sz w:val="24"/>
          <w:szCs w:val="24"/>
          <w:u w:val="single"/>
          <w:lang w:val="en-US" w:eastAsia="zh-CN"/>
        </w:rPr>
        <w:t xml:space="preserve">     </w:t>
      </w:r>
      <w:r>
        <w:rPr>
          <w:rFonts w:hint="eastAsia" w:ascii="宋体" w:hAnsi="宋体" w:cs="宋体"/>
          <w:sz w:val="24"/>
          <w:szCs w:val="24"/>
        </w:rPr>
        <w:t>日历日，特此声明。</w:t>
      </w:r>
    </w:p>
    <w:p w14:paraId="57D0E1B8">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宋体"/>
          <w:sz w:val="24"/>
          <w:szCs w:val="24"/>
        </w:rPr>
      </w:pPr>
      <w:r>
        <w:rPr>
          <w:rFonts w:hint="eastAsia" w:ascii="宋体" w:hAnsi="宋体" w:cs="宋体"/>
          <w:sz w:val="24"/>
          <w:szCs w:val="24"/>
        </w:rPr>
        <w:t>供应商（单位名称及公章）：</w:t>
      </w:r>
      <w:r>
        <w:rPr>
          <w:rFonts w:ascii="宋体" w:hAnsi="宋体" w:cs="宋体"/>
          <w:sz w:val="24"/>
          <w:szCs w:val="24"/>
        </w:rPr>
        <w:t>________</w:t>
      </w:r>
    </w:p>
    <w:p w14:paraId="730E4833">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宋体"/>
          <w:sz w:val="24"/>
          <w:szCs w:val="24"/>
          <w:u w:val="single"/>
        </w:rPr>
      </w:pPr>
      <w:r>
        <w:rPr>
          <w:rFonts w:hint="eastAsia" w:ascii="宋体" w:hAnsi="宋体" w:cs="宋体"/>
          <w:sz w:val="24"/>
          <w:szCs w:val="24"/>
        </w:rPr>
        <w:t>法定代表人（签字或盖章）：</w:t>
      </w:r>
      <w:r>
        <w:rPr>
          <w:rFonts w:ascii="宋体" w:hAnsi="宋体" w:cs="宋体"/>
          <w:sz w:val="24"/>
          <w:szCs w:val="24"/>
        </w:rPr>
        <w:t>________</w:t>
      </w:r>
    </w:p>
    <w:p w14:paraId="25269011">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Times New Roman"/>
          <w:sz w:val="24"/>
          <w:szCs w:val="24"/>
        </w:rPr>
      </w:pPr>
      <w:r>
        <w:rPr>
          <w:rFonts w:hint="eastAsia" w:ascii="宋体" w:hAnsi="宋体" w:cs="宋体"/>
          <w:sz w:val="24"/>
          <w:szCs w:val="24"/>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rPr>
        <w:t>）：</w:t>
      </w:r>
      <w:r>
        <w:rPr>
          <w:rFonts w:ascii="宋体" w:hAnsi="宋体" w:cs="宋体"/>
          <w:sz w:val="24"/>
          <w:szCs w:val="24"/>
        </w:rPr>
        <w:t>________</w:t>
      </w:r>
      <w:r>
        <w:rPr>
          <w:rFonts w:hint="eastAsia" w:ascii="宋体" w:hAnsi="宋体" w:cs="宋体"/>
          <w:sz w:val="24"/>
          <w:szCs w:val="24"/>
        </w:rPr>
        <w:t>性别：</w:t>
      </w:r>
      <w:r>
        <w:rPr>
          <w:rFonts w:ascii="宋体" w:hAnsi="宋体" w:cs="宋体"/>
          <w:sz w:val="24"/>
          <w:szCs w:val="24"/>
        </w:rPr>
        <w:t>________</w:t>
      </w:r>
    </w:p>
    <w:p w14:paraId="0722ECBE">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Times New Roman"/>
          <w:sz w:val="24"/>
          <w:szCs w:val="24"/>
          <w:u w:val="single"/>
        </w:rPr>
      </w:pPr>
      <w:r>
        <w:rPr>
          <w:rFonts w:hint="eastAsia" w:ascii="宋体" w:hAnsi="宋体" w:cs="宋体"/>
          <w:sz w:val="24"/>
          <w:szCs w:val="24"/>
        </w:rPr>
        <w:t>联系地址：</w:t>
      </w:r>
      <w:r>
        <w:rPr>
          <w:rFonts w:ascii="宋体" w:hAnsi="宋体" w:cs="宋体"/>
          <w:sz w:val="24"/>
          <w:szCs w:val="24"/>
        </w:rPr>
        <w:t>________________</w:t>
      </w:r>
    </w:p>
    <w:p w14:paraId="36CB8FB0">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Times New Roman"/>
          <w:sz w:val="24"/>
          <w:szCs w:val="24"/>
          <w:u w:val="single"/>
        </w:rPr>
      </w:pPr>
      <w:r>
        <w:rPr>
          <w:rFonts w:hint="eastAsia" w:ascii="宋体" w:hAnsi="宋体" w:cs="宋体"/>
          <w:sz w:val="24"/>
          <w:szCs w:val="24"/>
        </w:rPr>
        <w:t>联系电话：</w:t>
      </w:r>
      <w:r>
        <w:rPr>
          <w:rFonts w:ascii="宋体" w:hAnsi="宋体" w:cs="宋体"/>
          <w:sz w:val="24"/>
          <w:szCs w:val="24"/>
        </w:rPr>
        <w:t>________________</w:t>
      </w:r>
    </w:p>
    <w:p w14:paraId="5DF90A7A">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Times New Roman"/>
          <w:sz w:val="24"/>
          <w:szCs w:val="24"/>
        </w:rPr>
      </w:pPr>
      <w:r>
        <w:rPr>
          <w:rFonts w:hint="eastAsia" w:ascii="宋体" w:hAnsi="宋体" w:cs="宋体"/>
          <w:sz w:val="24"/>
          <w:szCs w:val="24"/>
        </w:rPr>
        <w:t>法定代表人及被授权人身份证复印件（注：身份证复印件须加盖企业公章）</w:t>
      </w:r>
    </w:p>
    <w:tbl>
      <w:tblPr>
        <w:tblStyle w:val="45"/>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1"/>
        <w:gridCol w:w="4483"/>
      </w:tblGrid>
      <w:tr w14:paraId="7420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trPr>
        <w:tc>
          <w:tcPr>
            <w:tcW w:w="4731" w:type="dxa"/>
            <w:shd w:val="clear" w:color="auto" w:fill="D9D9D9"/>
            <w:vAlign w:val="center"/>
          </w:tcPr>
          <w:p w14:paraId="3AC3C4C1">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宋体" w:hAnsi="宋体" w:cs="Times New Roman"/>
                <w:sz w:val="24"/>
                <w:szCs w:val="24"/>
                <w:shd w:val="pct10" w:color="auto" w:fill="FFFFFF"/>
              </w:rPr>
            </w:pPr>
            <w:r>
              <w:rPr>
                <w:rFonts w:hint="eastAsia" w:ascii="宋体" w:hAnsi="宋体" w:cs="宋体"/>
                <w:sz w:val="24"/>
                <w:szCs w:val="24"/>
                <w:shd w:val="pct10" w:color="auto" w:fill="FFFFFF"/>
              </w:rPr>
              <w:t>法定代表人身份证复印件（正面）</w:t>
            </w:r>
          </w:p>
        </w:tc>
        <w:tc>
          <w:tcPr>
            <w:tcW w:w="4483" w:type="dxa"/>
            <w:shd w:val="clear" w:color="auto" w:fill="D9D9D9"/>
            <w:vAlign w:val="center"/>
          </w:tcPr>
          <w:p w14:paraId="4AA7EE1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Times New Roman"/>
                <w:sz w:val="24"/>
                <w:szCs w:val="24"/>
                <w:shd w:val="pct10" w:color="auto" w:fill="FFFFFF"/>
              </w:rPr>
            </w:pPr>
            <w:r>
              <w:rPr>
                <w:rFonts w:hint="eastAsia" w:ascii="宋体" w:hAnsi="宋体" w:cs="宋体"/>
                <w:sz w:val="24"/>
                <w:szCs w:val="24"/>
                <w:shd w:val="pct10" w:color="auto" w:fill="FFFFFF"/>
              </w:rPr>
              <w:t>被授权人身份证复印件（正面）</w:t>
            </w:r>
          </w:p>
        </w:tc>
      </w:tr>
      <w:tr w14:paraId="7EAA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trPr>
        <w:tc>
          <w:tcPr>
            <w:tcW w:w="4731" w:type="dxa"/>
            <w:shd w:val="clear" w:color="auto" w:fill="D9D9D9"/>
            <w:vAlign w:val="center"/>
          </w:tcPr>
          <w:p w14:paraId="7561C3EB">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宋体" w:hAnsi="宋体" w:cs="Times New Roman"/>
                <w:sz w:val="24"/>
                <w:szCs w:val="24"/>
                <w:shd w:val="pct10" w:color="auto" w:fill="FFFFFF"/>
              </w:rPr>
            </w:pPr>
            <w:r>
              <w:rPr>
                <w:rFonts w:hint="eastAsia" w:ascii="宋体" w:hAnsi="宋体" w:cs="宋体"/>
                <w:sz w:val="24"/>
                <w:szCs w:val="24"/>
                <w:shd w:val="pct10" w:color="auto" w:fill="FFFFFF"/>
              </w:rPr>
              <w:t>法定代表人身份证复印件（反面）</w:t>
            </w:r>
          </w:p>
        </w:tc>
        <w:tc>
          <w:tcPr>
            <w:tcW w:w="4483" w:type="dxa"/>
            <w:shd w:val="clear" w:color="auto" w:fill="D9D9D9"/>
            <w:vAlign w:val="center"/>
          </w:tcPr>
          <w:p w14:paraId="04C91B9D">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Times New Roman"/>
                <w:sz w:val="24"/>
                <w:szCs w:val="24"/>
                <w:shd w:val="pct10" w:color="auto" w:fill="FFFFFF"/>
              </w:rPr>
            </w:pPr>
            <w:r>
              <w:rPr>
                <w:rFonts w:hint="eastAsia" w:ascii="宋体" w:hAnsi="宋体" w:cs="宋体"/>
                <w:sz w:val="24"/>
                <w:szCs w:val="24"/>
                <w:shd w:val="pct10" w:color="auto" w:fill="FFFFFF"/>
              </w:rPr>
              <w:t>被授权人身份证复印件（反面）</w:t>
            </w:r>
          </w:p>
        </w:tc>
      </w:tr>
    </w:tbl>
    <w:p w14:paraId="7B92D1D4">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宋体"/>
          <w:sz w:val="24"/>
          <w:szCs w:val="24"/>
        </w:rPr>
      </w:pPr>
      <w:r>
        <w:rPr>
          <w:rFonts w:hint="eastAsia" w:ascii="宋体" w:hAnsi="宋体" w:cs="宋体"/>
          <w:sz w:val="24"/>
          <w:szCs w:val="24"/>
        </w:rPr>
        <w:t>说明：</w:t>
      </w:r>
    </w:p>
    <w:p w14:paraId="58CB06BF">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宋体"/>
          <w:sz w:val="24"/>
          <w:szCs w:val="24"/>
        </w:rPr>
      </w:pPr>
      <w:r>
        <w:rPr>
          <w:rFonts w:ascii="宋体" w:hAnsi="宋体" w:cs="宋体"/>
          <w:sz w:val="24"/>
          <w:szCs w:val="24"/>
        </w:rPr>
        <w:t>1</w:t>
      </w:r>
      <w:r>
        <w:rPr>
          <w:rFonts w:hint="eastAsia" w:ascii="宋体" w:hAnsi="宋体" w:cs="宋体"/>
          <w:sz w:val="24"/>
          <w:szCs w:val="24"/>
        </w:rPr>
        <w:t>．本授权书有效期自</w:t>
      </w:r>
      <w:r>
        <w:rPr>
          <w:rFonts w:hint="eastAsia" w:ascii="宋体" w:hAnsi="宋体" w:cs="宋体"/>
          <w:sz w:val="24"/>
          <w:szCs w:val="24"/>
          <w:lang w:val="en-US" w:eastAsia="zh-CN"/>
        </w:rPr>
        <w:t>投标截止</w:t>
      </w:r>
      <w:r>
        <w:rPr>
          <w:rFonts w:hint="eastAsia" w:ascii="宋体" w:hAnsi="宋体" w:cs="宋体"/>
          <w:sz w:val="24"/>
          <w:szCs w:val="24"/>
        </w:rPr>
        <w:t>之日计算不得少于</w:t>
      </w:r>
      <w:r>
        <w:rPr>
          <w:rFonts w:ascii="宋体" w:hAnsi="宋体" w:cs="宋体"/>
          <w:sz w:val="24"/>
          <w:szCs w:val="24"/>
        </w:rPr>
        <w:t>90</w:t>
      </w:r>
      <w:r>
        <w:rPr>
          <w:rFonts w:hint="eastAsia" w:ascii="宋体" w:hAnsi="宋体" w:cs="宋体"/>
          <w:sz w:val="24"/>
          <w:szCs w:val="24"/>
        </w:rPr>
        <w:t>日历日。</w:t>
      </w:r>
    </w:p>
    <w:p w14:paraId="14BD45A6">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Ansi="宋体"/>
          <w:b/>
          <w:sz w:val="24"/>
          <w:szCs w:val="24"/>
        </w:rPr>
      </w:pPr>
      <w:r>
        <w:rPr>
          <w:rFonts w:ascii="宋体" w:hAnsi="宋体" w:cs="宋体"/>
          <w:sz w:val="24"/>
          <w:szCs w:val="24"/>
        </w:rPr>
        <w:t>2</w:t>
      </w:r>
      <w:r>
        <w:rPr>
          <w:rFonts w:hint="eastAsia" w:ascii="宋体" w:hAnsi="宋体" w:cs="宋体"/>
          <w:sz w:val="24"/>
          <w:szCs w:val="24"/>
        </w:rPr>
        <w:t>．授权书内容填写要明确，文字要工整清楚，涂改无效。</w:t>
      </w:r>
    </w:p>
    <w:p w14:paraId="4232E2AA">
      <w:pPr>
        <w:pStyle w:val="5"/>
        <w:jc w:val="center"/>
        <w:rPr>
          <w:rFonts w:hint="eastAsia" w:ascii="宋体" w:hAnsi="宋体" w:eastAsia="宋体" w:cs="宋体"/>
        </w:rPr>
      </w:pPr>
      <w:bookmarkStart w:id="184" w:name="_Toc24284"/>
      <w:r>
        <w:rPr>
          <w:rFonts w:hint="eastAsia" w:ascii="宋体" w:hAnsi="宋体" w:eastAsia="宋体" w:cs="宋体"/>
        </w:rPr>
        <w:t>无重大违法记录声明</w:t>
      </w:r>
      <w:bookmarkEnd w:id="184"/>
    </w:p>
    <w:p w14:paraId="454F1B1F">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kern w:val="0"/>
          <w:sz w:val="24"/>
          <w:szCs w:val="24"/>
        </w:rPr>
      </w:pPr>
      <w:r>
        <w:rPr>
          <w:rFonts w:hint="eastAsia" w:ascii="宋体" w:hAnsi="宋体" w:eastAsia="宋体" w:cs="宋体"/>
          <w:sz w:val="24"/>
          <w:szCs w:val="24"/>
        </w:rPr>
        <w:t>安康尚昊招标代理有限公司</w:t>
      </w:r>
      <w:r>
        <w:rPr>
          <w:rFonts w:hint="eastAsia" w:ascii="宋体" w:hAnsi="宋体" w:eastAsia="宋体" w:cs="宋体"/>
          <w:bCs/>
          <w:sz w:val="24"/>
          <w:szCs w:val="24"/>
        </w:rPr>
        <w:t>：</w:t>
      </w:r>
    </w:p>
    <w:p w14:paraId="11E3489C">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我方愿响应贵方</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日发布的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）公告内容，参与投标，提供采购人需求中规定的全部内容。作为参加本次政府采购活动的投标人，郑重承诺：</w:t>
      </w:r>
    </w:p>
    <w:p w14:paraId="4D8ECF74">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w:t>
      </w:r>
      <w:r>
        <w:rPr>
          <w:rFonts w:hint="eastAsia" w:ascii="宋体" w:hAnsi="宋体" w:cs="宋体"/>
          <w:bCs/>
          <w:sz w:val="24"/>
          <w:szCs w:val="24"/>
          <w:lang w:val="en-US" w:eastAsia="zh-CN"/>
        </w:rPr>
        <w:t>.</w:t>
      </w:r>
      <w:r>
        <w:rPr>
          <w:rFonts w:hint="eastAsia" w:ascii="宋体" w:hAnsi="宋体" w:eastAsia="宋体" w:cs="宋体"/>
          <w:bCs/>
          <w:sz w:val="24"/>
          <w:szCs w:val="24"/>
        </w:rPr>
        <w:t>我方参加本次政府采购活动近三年内，在经营活动中没有重大违法记录及其他违法采购活动记录，未被列入失信被执行人名单，未被列入重大税收违法案件记录名单，未被列入政府采购严重违法失信行为记录名单。</w:t>
      </w:r>
    </w:p>
    <w:p w14:paraId="3C91A4B4">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w:t>
      </w:r>
      <w:r>
        <w:rPr>
          <w:rFonts w:hint="eastAsia" w:ascii="宋体" w:hAnsi="宋体" w:cs="宋体"/>
          <w:bCs/>
          <w:sz w:val="24"/>
          <w:szCs w:val="24"/>
          <w:lang w:val="en-US" w:eastAsia="zh-CN"/>
        </w:rPr>
        <w:t>.</w:t>
      </w:r>
      <w:r>
        <w:rPr>
          <w:rFonts w:hint="eastAsia" w:ascii="宋体" w:hAnsi="宋体" w:eastAsia="宋体" w:cs="宋体"/>
          <w:bCs/>
          <w:sz w:val="24"/>
          <w:szCs w:val="24"/>
        </w:rPr>
        <w:t>我方参与本次政府采购活动近三年内：没有处于被责令停业的状态；没有处于被行政主管部门取消投标资格的处罚期内；没有处于财产被接管、冻结、破产的状态；在近三年内没有行政主管部门已书面认定的重大质量问题；没有在近三年内被人民法院判决犯有行贿罪的记录。</w:t>
      </w:r>
    </w:p>
    <w:p w14:paraId="30D81C99">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本公司对上述承诺的真实性负责，如有虚假，我方自行承担一切后果及法律责任。</w:t>
      </w:r>
    </w:p>
    <w:p w14:paraId="7DEEF03F">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
          <w:bCs/>
          <w:sz w:val="24"/>
          <w:szCs w:val="24"/>
        </w:rPr>
      </w:pPr>
      <w:r>
        <w:rPr>
          <w:rFonts w:hint="eastAsia" w:ascii="宋体" w:hAnsi="宋体" w:eastAsia="宋体" w:cs="宋体"/>
          <w:bCs/>
          <w:sz w:val="24"/>
          <w:szCs w:val="24"/>
        </w:rPr>
        <w:t xml:space="preserve">    </w:t>
      </w:r>
      <w:r>
        <w:rPr>
          <w:rFonts w:hint="eastAsia" w:ascii="宋体" w:hAnsi="宋体" w:eastAsia="宋体" w:cs="宋体"/>
          <w:b/>
          <w:bCs/>
          <w:sz w:val="24"/>
          <w:szCs w:val="24"/>
        </w:rPr>
        <w:t>注：在对响应文件中此声明函真实性和有效性进行审查、验证时，如有造假/情况不一致/未按要求提供的，按无效文件处理。</w:t>
      </w:r>
    </w:p>
    <w:p w14:paraId="34151B28">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p>
    <w:p w14:paraId="27B4ADF6">
      <w:pPr>
        <w:adjustRightInd w:val="0"/>
        <w:snapToGrid w:val="0"/>
        <w:spacing w:line="480" w:lineRule="auto"/>
        <w:jc w:val="left"/>
        <w:rPr>
          <w:rFonts w:hint="default" w:eastAsia="宋体"/>
          <w:lang w:val="en-US" w:eastAsia="zh-CN"/>
        </w:rPr>
      </w:pPr>
      <w:r>
        <w:rPr>
          <w:rFonts w:hint="eastAsia" w:ascii="宋体" w:hAnsi="宋体" w:cs="宋体"/>
          <w:sz w:val="24"/>
          <w:szCs w:val="24"/>
        </w:rPr>
        <w:t>供应商（单位名称及公章）：____________________________</w:t>
      </w:r>
      <w:r>
        <w:rPr>
          <w:rFonts w:hint="eastAsia" w:ascii="宋体" w:hAnsi="宋体" w:cs="宋体"/>
          <w:sz w:val="24"/>
          <w:szCs w:val="24"/>
          <w:lang w:val="en-US" w:eastAsia="zh-CN"/>
        </w:rPr>
        <w:t xml:space="preserve">  </w:t>
      </w:r>
    </w:p>
    <w:p w14:paraId="356A3357">
      <w:pPr>
        <w:adjustRightInd w:val="0"/>
        <w:snapToGrid w:val="0"/>
        <w:spacing w:line="480" w:lineRule="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rPr>
        <w:t>）：________________________</w:t>
      </w:r>
    </w:p>
    <w:p w14:paraId="742EE15B">
      <w:pPr>
        <w:adjustRightInd w:val="0"/>
        <w:snapToGrid w:val="0"/>
        <w:spacing w:line="480" w:lineRule="auto"/>
        <w:rPr>
          <w:rFonts w:hint="eastAsia" w:ascii="宋体" w:hAnsi="宋体" w:cs="宋体"/>
          <w:sz w:val="24"/>
          <w:szCs w:val="24"/>
        </w:rPr>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期：_______年_______月______日</w:t>
      </w:r>
    </w:p>
    <w:p w14:paraId="6AD8AE66">
      <w:pPr>
        <w:adjustRightInd w:val="0"/>
        <w:snapToGrid w:val="0"/>
        <w:spacing w:line="360" w:lineRule="auto"/>
        <w:jc w:val="center"/>
        <w:rPr>
          <w:rFonts w:hint="eastAsia" w:ascii="宋体" w:hAnsi="宋体" w:eastAsia="宋体" w:cs="宋体"/>
          <w:b/>
          <w:bCs/>
          <w:sz w:val="28"/>
          <w:szCs w:val="28"/>
        </w:rPr>
      </w:pPr>
    </w:p>
    <w:p w14:paraId="3AD92DFF">
      <w:pPr>
        <w:adjustRightInd w:val="0"/>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投标人非联合体投标声明</w:t>
      </w:r>
    </w:p>
    <w:p w14:paraId="509C4D6B">
      <w:pPr>
        <w:adjustRightInd w:val="0"/>
        <w:snapToGrid w:val="0"/>
        <w:spacing w:line="360" w:lineRule="auto"/>
        <w:rPr>
          <w:rFonts w:hint="eastAsia" w:ascii="仿宋" w:hAnsi="仿宋" w:eastAsia="仿宋" w:cs="黑体"/>
          <w:bCs/>
          <w:sz w:val="28"/>
          <w:szCs w:val="28"/>
        </w:rPr>
      </w:pPr>
    </w:p>
    <w:p w14:paraId="072557C5">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sz w:val="24"/>
          <w:szCs w:val="24"/>
        </w:rPr>
        <w:t>安康尚昊招标代理有限公司</w:t>
      </w:r>
      <w:r>
        <w:rPr>
          <w:rFonts w:hint="eastAsia" w:ascii="宋体" w:hAnsi="宋体" w:eastAsia="宋体" w:cs="宋体"/>
          <w:bCs/>
          <w:sz w:val="24"/>
          <w:szCs w:val="24"/>
        </w:rPr>
        <w:t>：</w:t>
      </w:r>
    </w:p>
    <w:p w14:paraId="2755F892">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我方愿响应贵方</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日发布的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）招标内容，参与投标，提供采购人需求中规定的全部内容。本公司就参加投标工作，作出郑重声明：</w:t>
      </w:r>
    </w:p>
    <w:p w14:paraId="2857EA86">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1.本公司保证在本项目投标中不与其他单位围标、串标，不出让投标资格，不向采购人、采购代理机构和磋商小组成员行贿。</w:t>
      </w:r>
    </w:p>
    <w:p w14:paraId="1D7930F1">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2.本公司保证本项目并非联合体投标，本项目服务由本公司独立承担。</w:t>
      </w:r>
    </w:p>
    <w:p w14:paraId="634DC7D7">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本公司违反上述保证，或本声明陈述与事实不符，经查实，我方自行承担一切后果及法律责任。</w:t>
      </w:r>
    </w:p>
    <w:p w14:paraId="370C275D">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特此声明。</w:t>
      </w:r>
    </w:p>
    <w:p w14:paraId="7726C23C">
      <w:pPr>
        <w:pageBreakBefore w:val="0"/>
        <w:kinsoku/>
        <w:wordWrap/>
        <w:overflowPunct/>
        <w:topLinePunct w:val="0"/>
        <w:autoSpaceDE/>
        <w:autoSpaceDN/>
        <w:bidi w:val="0"/>
        <w:snapToGrid w:val="0"/>
        <w:spacing w:line="408" w:lineRule="auto"/>
        <w:textAlignment w:val="auto"/>
        <w:rPr>
          <w:rFonts w:hint="eastAsia" w:ascii="宋体" w:hAnsi="宋体" w:eastAsia="宋体" w:cs="宋体"/>
          <w:bCs/>
          <w:sz w:val="24"/>
          <w:szCs w:val="24"/>
        </w:rPr>
      </w:pPr>
    </w:p>
    <w:p w14:paraId="5B493B92">
      <w:pPr>
        <w:pageBreakBefore w:val="0"/>
        <w:kinsoku/>
        <w:wordWrap/>
        <w:overflowPunct/>
        <w:topLinePunct w:val="0"/>
        <w:autoSpaceDE/>
        <w:autoSpaceDN/>
        <w:bidi w:val="0"/>
        <w:snapToGrid w:val="0"/>
        <w:spacing w:line="408" w:lineRule="auto"/>
        <w:textAlignment w:val="auto"/>
        <w:rPr>
          <w:rFonts w:hint="eastAsia" w:ascii="宋体" w:hAnsi="宋体" w:eastAsia="宋体" w:cs="宋体"/>
          <w:bCs/>
          <w:sz w:val="24"/>
          <w:szCs w:val="24"/>
        </w:rPr>
      </w:pPr>
    </w:p>
    <w:p w14:paraId="6FC3F0D5">
      <w:pPr>
        <w:pageBreakBefore w:val="0"/>
        <w:kinsoku/>
        <w:wordWrap/>
        <w:overflowPunct/>
        <w:topLinePunct w:val="0"/>
        <w:autoSpaceDE/>
        <w:autoSpaceDN/>
        <w:bidi w:val="0"/>
        <w:snapToGrid w:val="0"/>
        <w:spacing w:line="408" w:lineRule="auto"/>
        <w:textAlignment w:val="auto"/>
        <w:rPr>
          <w:rFonts w:hint="eastAsia" w:ascii="宋体" w:hAnsi="宋体" w:eastAsia="宋体" w:cs="宋体"/>
          <w:bCs/>
          <w:sz w:val="24"/>
          <w:szCs w:val="24"/>
        </w:rPr>
      </w:pPr>
    </w:p>
    <w:p w14:paraId="7EB21A7A">
      <w:pPr>
        <w:adjustRightInd w:val="0"/>
        <w:snapToGrid w:val="0"/>
        <w:spacing w:line="480" w:lineRule="auto"/>
        <w:jc w:val="left"/>
        <w:rPr>
          <w:rFonts w:hint="default" w:eastAsia="宋体"/>
          <w:lang w:val="en-US" w:eastAsia="zh-CN"/>
        </w:rPr>
      </w:pPr>
      <w:r>
        <w:rPr>
          <w:rFonts w:hint="eastAsia" w:ascii="宋体" w:hAnsi="宋体" w:cs="宋体"/>
          <w:sz w:val="24"/>
          <w:szCs w:val="24"/>
        </w:rPr>
        <w:t>供应商（单位名称及公章）：____________________________</w:t>
      </w:r>
      <w:r>
        <w:rPr>
          <w:rFonts w:hint="eastAsia" w:ascii="宋体" w:hAnsi="宋体" w:cs="宋体"/>
          <w:sz w:val="24"/>
          <w:szCs w:val="24"/>
          <w:lang w:val="en-US" w:eastAsia="zh-CN"/>
        </w:rPr>
        <w:t xml:space="preserve">  </w:t>
      </w:r>
    </w:p>
    <w:p w14:paraId="0B646EE7">
      <w:pPr>
        <w:adjustRightInd w:val="0"/>
        <w:snapToGrid w:val="0"/>
        <w:spacing w:line="480" w:lineRule="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rPr>
        <w:t>）：________________________</w:t>
      </w:r>
    </w:p>
    <w:p w14:paraId="135010C0">
      <w:pPr>
        <w:adjustRightInd w:val="0"/>
        <w:snapToGrid w:val="0"/>
        <w:spacing w:line="480" w:lineRule="auto"/>
        <w:rPr>
          <w:rFonts w:hint="eastAsia" w:ascii="宋体" w:hAnsi="宋体" w:cs="宋体"/>
          <w:sz w:val="24"/>
          <w:szCs w:val="24"/>
        </w:rPr>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期：_______年_______月______日</w:t>
      </w:r>
    </w:p>
    <w:p w14:paraId="5E2C02EE">
      <w:pPr>
        <w:spacing w:after="190" w:afterLines="50" w:line="480" w:lineRule="exact"/>
        <w:jc w:val="center"/>
        <w:rPr>
          <w:rFonts w:hint="eastAsia" w:ascii="宋体" w:hAnsi="宋体" w:eastAsia="宋体" w:cs="宋体"/>
          <w:b/>
          <w:bCs w:val="0"/>
          <w:color w:val="auto"/>
          <w:sz w:val="24"/>
          <w:szCs w:val="24"/>
          <w:u w:val="none"/>
          <w:lang w:val="en-US" w:eastAsia="zh-CN"/>
        </w:rPr>
      </w:pPr>
      <w:r>
        <w:rPr>
          <w:rFonts w:hint="eastAsia" w:ascii="宋体" w:hAnsi="宋体" w:eastAsia="宋体" w:cs="宋体"/>
          <w:b/>
          <w:bCs w:val="0"/>
          <w:color w:val="auto"/>
          <w:sz w:val="24"/>
          <w:szCs w:val="24"/>
          <w:u w:val="none"/>
          <w:lang w:val="en-US" w:eastAsia="zh-CN"/>
        </w:rPr>
        <w:t>中小企业声明函（工程、服务）</w:t>
      </w:r>
    </w:p>
    <w:p w14:paraId="605FD24B">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4F021B13">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23B482FB">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p>
    <w:p w14:paraId="1C5855FE">
      <w:pPr>
        <w:spacing w:after="190" w:afterLines="50" w:line="48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13C82A18">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4B1FF35F">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01212E2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753C1BD2">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65DCA603">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5345C419">
      <w:pPr>
        <w:pStyle w:val="130"/>
        <w:rPr>
          <w:rFonts w:hint="eastAsia"/>
          <w:lang w:val="en-US" w:eastAsia="zh-CN"/>
        </w:rPr>
      </w:pPr>
    </w:p>
    <w:p w14:paraId="6C7B3C5D">
      <w:pPr>
        <w:pStyle w:val="2"/>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61F63759">
      <w:pPr>
        <w:pStyle w:val="3"/>
        <w:rPr>
          <w:rFonts w:hint="eastAsia" w:ascii="宋体" w:hAnsi="宋体" w:eastAsia="宋体" w:cs="宋体"/>
          <w:sz w:val="24"/>
          <w:szCs w:val="24"/>
        </w:rPr>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5E8D4E14">
      <w:pPr>
        <w:spacing w:after="190" w:afterLines="50" w:line="480" w:lineRule="exact"/>
        <w:jc w:val="center"/>
        <w:rPr>
          <w:rFonts w:hint="eastAsia" w:ascii="宋体" w:hAnsi="宋体" w:eastAsia="宋体" w:cs="宋体"/>
          <w:b/>
          <w:bCs w:val="0"/>
          <w:color w:val="auto"/>
          <w:sz w:val="24"/>
          <w:szCs w:val="24"/>
          <w:u w:val="none"/>
          <w:lang w:val="en-US" w:eastAsia="zh-CN"/>
        </w:rPr>
      </w:pPr>
      <w:r>
        <w:rPr>
          <w:rFonts w:hint="eastAsia" w:ascii="宋体" w:hAnsi="宋体" w:eastAsia="宋体" w:cs="宋体"/>
          <w:b/>
          <w:bCs w:val="0"/>
          <w:color w:val="auto"/>
          <w:sz w:val="24"/>
          <w:szCs w:val="24"/>
          <w:u w:val="none"/>
          <w:lang w:val="en-US" w:eastAsia="zh-CN"/>
        </w:rPr>
        <w:t>中小企业声明函（货物）</w:t>
      </w:r>
    </w:p>
    <w:p w14:paraId="6A3E9EB7">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采购活动，提供的货物全部为符合政策要求的中小企业制造（或者：服务全部由符合政策要求的中小企业承接）。相关企业（含联合体中的中小企业、签订分包意向协议的中小企业）的具体情况如下：</w:t>
      </w:r>
    </w:p>
    <w:p w14:paraId="53EE50C5">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制造商为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5530BBE8">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；制造商为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p>
    <w:p w14:paraId="720497D1">
      <w:pPr>
        <w:spacing w:after="190" w:afterLines="50" w:line="48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198DF16E">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337F1F77">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46B0EB3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67649EDC">
      <w:pPr>
        <w:spacing w:after="190" w:afterLines="50" w:line="480" w:lineRule="exact"/>
        <w:ind w:firstLine="5280" w:firstLineChars="2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2B352D10">
      <w:pPr>
        <w:spacing w:after="190" w:afterLines="50" w:line="480" w:lineRule="exact"/>
        <w:ind w:firstLine="5280" w:firstLineChars="2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36AEAFB3">
      <w:pPr>
        <w:pStyle w:val="130"/>
        <w:rPr>
          <w:rFonts w:hint="eastAsia"/>
          <w:lang w:val="en-US" w:eastAsia="zh-CN"/>
        </w:rPr>
      </w:pPr>
    </w:p>
    <w:p w14:paraId="1FC9E77D">
      <w:pPr>
        <w:pStyle w:val="2"/>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6760798B">
      <w:pPr>
        <w:pStyle w:val="73"/>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5D4991C8">
      <w:pPr>
        <w:pStyle w:val="5"/>
        <w:ind w:firstLine="482" w:firstLineChars="150"/>
        <w:jc w:val="center"/>
        <w:rPr>
          <w:rFonts w:hint="eastAsia" w:eastAsia="宋体"/>
        </w:rPr>
      </w:pPr>
      <w:r>
        <w:rPr>
          <w:rFonts w:hint="eastAsia" w:ascii="Calibri Light" w:hAnsi="Calibri Light" w:cs="Times New Roman"/>
          <w:b/>
          <w:bCs/>
          <w:sz w:val="32"/>
          <w:szCs w:val="32"/>
          <w:lang w:val="en-US" w:eastAsia="zh-CN"/>
        </w:rPr>
        <w:t>四、</w:t>
      </w:r>
      <w:r>
        <w:rPr>
          <w:rFonts w:hint="eastAsia" w:eastAsia="宋体"/>
        </w:rPr>
        <w:t>技术</w:t>
      </w:r>
      <w:r>
        <w:rPr>
          <w:rFonts w:hint="eastAsia" w:eastAsia="宋体"/>
          <w:lang w:eastAsia="zh-CN"/>
        </w:rPr>
        <w:t>商务</w:t>
      </w:r>
      <w:r>
        <w:rPr>
          <w:rFonts w:hint="eastAsia" w:eastAsia="宋体"/>
        </w:rPr>
        <w:t>偏离表</w:t>
      </w:r>
    </w:p>
    <w:p w14:paraId="1655DDB2">
      <w:pPr>
        <w:pStyle w:val="5"/>
        <w:ind w:firstLine="422" w:firstLineChars="150"/>
        <w:jc w:val="center"/>
        <w:rPr>
          <w:rFonts w:hint="eastAsia"/>
        </w:rPr>
      </w:pPr>
      <w:r>
        <w:rPr>
          <w:rFonts w:hint="eastAsia"/>
        </w:rPr>
        <w:t>技术响应偏离表</w:t>
      </w:r>
    </w:p>
    <w:tbl>
      <w:tblPr>
        <w:tblStyle w:val="45"/>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050"/>
        <w:gridCol w:w="3934"/>
        <w:gridCol w:w="1583"/>
        <w:gridCol w:w="1369"/>
      </w:tblGrid>
      <w:tr w14:paraId="24E93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vAlign w:val="center"/>
          </w:tcPr>
          <w:p w14:paraId="613CAF0D">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序号</w:t>
            </w:r>
          </w:p>
        </w:tc>
        <w:tc>
          <w:tcPr>
            <w:tcW w:w="2050" w:type="dxa"/>
            <w:vAlign w:val="center"/>
          </w:tcPr>
          <w:p w14:paraId="21BAA237">
            <w:pPr>
              <w:keepNext w:val="0"/>
              <w:keepLines w:val="0"/>
              <w:pageBreakBefore w:val="0"/>
              <w:widowControl w:val="0"/>
              <w:kinsoku/>
              <w:wordWrap/>
              <w:overflowPunct/>
              <w:topLinePunct w:val="0"/>
              <w:bidi w:val="0"/>
              <w:snapToGrid/>
              <w:spacing w:line="360" w:lineRule="auto"/>
              <w:jc w:val="center"/>
              <w:textAlignment w:val="auto"/>
              <w:rPr>
                <w:rFonts w:hint="default" w:ascii="宋体" w:hAnsi="宋体" w:eastAsia="宋体" w:cs="宋体"/>
                <w:b/>
                <w:szCs w:val="21"/>
                <w:lang w:val="en-US" w:eastAsia="zh-CN"/>
              </w:rPr>
            </w:pPr>
            <w:r>
              <w:rPr>
                <w:rFonts w:hint="eastAsia" w:ascii="宋体" w:hAnsi="宋体" w:eastAsia="宋体" w:cs="宋体"/>
                <w:b/>
                <w:szCs w:val="21"/>
                <w:lang w:val="en-US" w:eastAsia="zh-CN"/>
              </w:rPr>
              <w:t>磋商文件技术要</w:t>
            </w:r>
            <w:r>
              <w:rPr>
                <w:rFonts w:hint="eastAsia" w:ascii="宋体" w:hAnsi="宋体" w:cs="宋体"/>
                <w:b/>
                <w:szCs w:val="21"/>
                <w:lang w:val="en-US" w:eastAsia="zh-CN"/>
              </w:rPr>
              <w:t>求</w:t>
            </w:r>
          </w:p>
        </w:tc>
        <w:tc>
          <w:tcPr>
            <w:tcW w:w="3934" w:type="dxa"/>
            <w:vAlign w:val="center"/>
          </w:tcPr>
          <w:p w14:paraId="148DEA11">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响应文件中主要技术</w:t>
            </w:r>
            <w:r>
              <w:rPr>
                <w:rFonts w:hint="eastAsia" w:ascii="宋体" w:hAnsi="宋体" w:cs="宋体"/>
                <w:b/>
                <w:szCs w:val="21"/>
                <w:lang w:val="en-US" w:eastAsia="zh-CN"/>
              </w:rPr>
              <w:t>应答</w:t>
            </w:r>
          </w:p>
        </w:tc>
        <w:tc>
          <w:tcPr>
            <w:tcW w:w="1583" w:type="dxa"/>
            <w:vAlign w:val="center"/>
          </w:tcPr>
          <w:p w14:paraId="6A2C7147">
            <w:pPr>
              <w:wordWrap w:val="0"/>
              <w:jc w:val="center"/>
              <w:rPr>
                <w:rFonts w:hint="eastAsia" w:ascii="宋体" w:hAnsi="宋体" w:eastAsia="宋体" w:cs="宋体"/>
                <w:b/>
                <w:szCs w:val="21"/>
              </w:rPr>
            </w:pPr>
            <w:r>
              <w:rPr>
                <w:rFonts w:hint="eastAsia" w:ascii="宋体" w:hAnsi="宋体" w:eastAsia="宋体" w:cs="宋体"/>
                <w:b/>
                <w:szCs w:val="21"/>
              </w:rPr>
              <w:t>偏离</w:t>
            </w:r>
          </w:p>
          <w:p w14:paraId="4CA3149E">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b/>
                <w:szCs w:val="21"/>
              </w:rPr>
              <w:t>（无/正/负）</w:t>
            </w:r>
          </w:p>
        </w:tc>
        <w:tc>
          <w:tcPr>
            <w:tcW w:w="1369" w:type="dxa"/>
            <w:vAlign w:val="center"/>
          </w:tcPr>
          <w:p w14:paraId="0E348E7C">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简述</w:t>
            </w:r>
          </w:p>
        </w:tc>
      </w:tr>
      <w:tr w14:paraId="65E49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79867C80">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1</w:t>
            </w:r>
          </w:p>
        </w:tc>
        <w:tc>
          <w:tcPr>
            <w:tcW w:w="2050" w:type="dxa"/>
          </w:tcPr>
          <w:p w14:paraId="530E0E9B">
            <w:pPr>
              <w:jc w:val="center"/>
              <w:rPr>
                <w:rFonts w:ascii="宋体" w:hAnsi="宋体"/>
                <w:sz w:val="24"/>
                <w:szCs w:val="24"/>
              </w:rPr>
            </w:pPr>
          </w:p>
        </w:tc>
        <w:tc>
          <w:tcPr>
            <w:tcW w:w="3934" w:type="dxa"/>
          </w:tcPr>
          <w:p w14:paraId="34416A58">
            <w:pPr>
              <w:jc w:val="center"/>
              <w:rPr>
                <w:rFonts w:ascii="宋体" w:hAnsi="宋体"/>
                <w:sz w:val="24"/>
                <w:szCs w:val="24"/>
              </w:rPr>
            </w:pPr>
          </w:p>
        </w:tc>
        <w:tc>
          <w:tcPr>
            <w:tcW w:w="1583" w:type="dxa"/>
          </w:tcPr>
          <w:p w14:paraId="300122C1">
            <w:pPr>
              <w:jc w:val="center"/>
              <w:rPr>
                <w:rFonts w:ascii="宋体" w:hAnsi="宋体"/>
                <w:sz w:val="24"/>
                <w:szCs w:val="24"/>
              </w:rPr>
            </w:pPr>
          </w:p>
        </w:tc>
        <w:tc>
          <w:tcPr>
            <w:tcW w:w="1369" w:type="dxa"/>
          </w:tcPr>
          <w:p w14:paraId="5FD41A5A">
            <w:pPr>
              <w:jc w:val="center"/>
              <w:rPr>
                <w:rFonts w:ascii="宋体" w:hAnsi="宋体"/>
                <w:sz w:val="24"/>
                <w:szCs w:val="24"/>
              </w:rPr>
            </w:pPr>
          </w:p>
        </w:tc>
      </w:tr>
      <w:tr w14:paraId="4049C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2501ACFB">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2</w:t>
            </w:r>
          </w:p>
        </w:tc>
        <w:tc>
          <w:tcPr>
            <w:tcW w:w="2050" w:type="dxa"/>
          </w:tcPr>
          <w:p w14:paraId="3D89E69F">
            <w:pPr>
              <w:jc w:val="center"/>
              <w:rPr>
                <w:rFonts w:ascii="宋体" w:hAnsi="宋体"/>
                <w:sz w:val="24"/>
                <w:szCs w:val="24"/>
              </w:rPr>
            </w:pPr>
          </w:p>
        </w:tc>
        <w:tc>
          <w:tcPr>
            <w:tcW w:w="3934" w:type="dxa"/>
          </w:tcPr>
          <w:p w14:paraId="744DA4C8">
            <w:pPr>
              <w:jc w:val="center"/>
              <w:rPr>
                <w:rFonts w:ascii="宋体" w:hAnsi="宋体"/>
                <w:sz w:val="24"/>
                <w:szCs w:val="24"/>
              </w:rPr>
            </w:pPr>
          </w:p>
        </w:tc>
        <w:tc>
          <w:tcPr>
            <w:tcW w:w="1583" w:type="dxa"/>
          </w:tcPr>
          <w:p w14:paraId="6A5C7C50">
            <w:pPr>
              <w:jc w:val="center"/>
              <w:rPr>
                <w:rFonts w:ascii="宋体" w:hAnsi="宋体"/>
                <w:sz w:val="24"/>
                <w:szCs w:val="24"/>
              </w:rPr>
            </w:pPr>
          </w:p>
        </w:tc>
        <w:tc>
          <w:tcPr>
            <w:tcW w:w="1369" w:type="dxa"/>
          </w:tcPr>
          <w:p w14:paraId="06966578">
            <w:pPr>
              <w:jc w:val="center"/>
              <w:rPr>
                <w:rFonts w:ascii="宋体" w:hAnsi="宋体"/>
                <w:sz w:val="24"/>
                <w:szCs w:val="24"/>
              </w:rPr>
            </w:pPr>
          </w:p>
        </w:tc>
      </w:tr>
      <w:tr w14:paraId="06732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Pr>
          <w:p w14:paraId="1F512538">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3</w:t>
            </w:r>
          </w:p>
        </w:tc>
        <w:tc>
          <w:tcPr>
            <w:tcW w:w="2050" w:type="dxa"/>
          </w:tcPr>
          <w:p w14:paraId="256EF2AC">
            <w:pPr>
              <w:jc w:val="center"/>
              <w:rPr>
                <w:rFonts w:ascii="宋体" w:hAnsi="宋体"/>
                <w:sz w:val="24"/>
                <w:szCs w:val="24"/>
              </w:rPr>
            </w:pPr>
          </w:p>
        </w:tc>
        <w:tc>
          <w:tcPr>
            <w:tcW w:w="3934" w:type="dxa"/>
          </w:tcPr>
          <w:p w14:paraId="44EABCF8">
            <w:pPr>
              <w:jc w:val="center"/>
              <w:rPr>
                <w:rFonts w:ascii="宋体" w:hAnsi="宋体"/>
                <w:sz w:val="24"/>
                <w:szCs w:val="24"/>
              </w:rPr>
            </w:pPr>
          </w:p>
        </w:tc>
        <w:tc>
          <w:tcPr>
            <w:tcW w:w="1583" w:type="dxa"/>
          </w:tcPr>
          <w:p w14:paraId="7FCB0B35">
            <w:pPr>
              <w:jc w:val="center"/>
              <w:rPr>
                <w:rFonts w:ascii="宋体" w:hAnsi="宋体"/>
                <w:sz w:val="24"/>
                <w:szCs w:val="24"/>
              </w:rPr>
            </w:pPr>
          </w:p>
        </w:tc>
        <w:tc>
          <w:tcPr>
            <w:tcW w:w="1369" w:type="dxa"/>
          </w:tcPr>
          <w:p w14:paraId="486179E2">
            <w:pPr>
              <w:jc w:val="center"/>
              <w:rPr>
                <w:rFonts w:ascii="宋体" w:hAnsi="宋体"/>
                <w:sz w:val="24"/>
                <w:szCs w:val="24"/>
              </w:rPr>
            </w:pPr>
          </w:p>
        </w:tc>
      </w:tr>
      <w:tr w14:paraId="18FE5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06CC8C5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4</w:t>
            </w:r>
          </w:p>
        </w:tc>
        <w:tc>
          <w:tcPr>
            <w:tcW w:w="2050" w:type="dxa"/>
          </w:tcPr>
          <w:p w14:paraId="4C582A9C">
            <w:pPr>
              <w:jc w:val="center"/>
              <w:rPr>
                <w:rFonts w:ascii="宋体" w:hAnsi="宋体"/>
                <w:sz w:val="24"/>
                <w:szCs w:val="24"/>
              </w:rPr>
            </w:pPr>
          </w:p>
        </w:tc>
        <w:tc>
          <w:tcPr>
            <w:tcW w:w="3934" w:type="dxa"/>
          </w:tcPr>
          <w:p w14:paraId="5BC8E2DA">
            <w:pPr>
              <w:jc w:val="center"/>
              <w:rPr>
                <w:rFonts w:ascii="宋体" w:hAnsi="宋体"/>
                <w:sz w:val="24"/>
                <w:szCs w:val="24"/>
              </w:rPr>
            </w:pPr>
          </w:p>
        </w:tc>
        <w:tc>
          <w:tcPr>
            <w:tcW w:w="1583" w:type="dxa"/>
          </w:tcPr>
          <w:p w14:paraId="76C35AE7">
            <w:pPr>
              <w:jc w:val="center"/>
              <w:rPr>
                <w:rFonts w:ascii="宋体" w:hAnsi="宋体"/>
                <w:sz w:val="24"/>
                <w:szCs w:val="24"/>
              </w:rPr>
            </w:pPr>
          </w:p>
        </w:tc>
        <w:tc>
          <w:tcPr>
            <w:tcW w:w="1369" w:type="dxa"/>
          </w:tcPr>
          <w:p w14:paraId="5E353A19">
            <w:pPr>
              <w:jc w:val="center"/>
              <w:rPr>
                <w:rFonts w:ascii="宋体" w:hAnsi="宋体"/>
                <w:sz w:val="24"/>
                <w:szCs w:val="24"/>
              </w:rPr>
            </w:pPr>
          </w:p>
        </w:tc>
      </w:tr>
      <w:tr w14:paraId="64976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2C5905FC">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w:t>
            </w:r>
          </w:p>
        </w:tc>
        <w:tc>
          <w:tcPr>
            <w:tcW w:w="2050" w:type="dxa"/>
          </w:tcPr>
          <w:p w14:paraId="197FFD7D">
            <w:pPr>
              <w:jc w:val="center"/>
              <w:rPr>
                <w:rFonts w:ascii="宋体" w:hAnsi="宋体"/>
                <w:sz w:val="24"/>
                <w:szCs w:val="24"/>
              </w:rPr>
            </w:pPr>
          </w:p>
        </w:tc>
        <w:tc>
          <w:tcPr>
            <w:tcW w:w="3934" w:type="dxa"/>
          </w:tcPr>
          <w:p w14:paraId="292E8518">
            <w:pPr>
              <w:jc w:val="center"/>
              <w:rPr>
                <w:rFonts w:ascii="宋体" w:hAnsi="宋体"/>
                <w:sz w:val="24"/>
                <w:szCs w:val="24"/>
              </w:rPr>
            </w:pPr>
          </w:p>
        </w:tc>
        <w:tc>
          <w:tcPr>
            <w:tcW w:w="1583" w:type="dxa"/>
          </w:tcPr>
          <w:p w14:paraId="140F3CCF">
            <w:pPr>
              <w:jc w:val="center"/>
              <w:rPr>
                <w:rFonts w:ascii="宋体" w:hAnsi="宋体"/>
                <w:sz w:val="24"/>
                <w:szCs w:val="24"/>
              </w:rPr>
            </w:pPr>
          </w:p>
        </w:tc>
        <w:tc>
          <w:tcPr>
            <w:tcW w:w="1369" w:type="dxa"/>
          </w:tcPr>
          <w:p w14:paraId="598B296F">
            <w:pPr>
              <w:jc w:val="center"/>
              <w:rPr>
                <w:rFonts w:ascii="宋体" w:hAnsi="宋体"/>
                <w:sz w:val="24"/>
                <w:szCs w:val="24"/>
              </w:rPr>
            </w:pPr>
          </w:p>
        </w:tc>
      </w:tr>
    </w:tbl>
    <w:p w14:paraId="50450740">
      <w:pPr>
        <w:spacing w:line="360" w:lineRule="auto"/>
        <w:rPr>
          <w:rFonts w:hint="eastAsia" w:ascii="宋体" w:hAnsi="宋体" w:cs="仿宋"/>
          <w:sz w:val="24"/>
          <w:szCs w:val="24"/>
        </w:rPr>
      </w:pPr>
      <w:r>
        <w:rPr>
          <w:rFonts w:hint="eastAsia" w:ascii="宋体" w:hAnsi="宋体" w:cs="仿宋"/>
          <w:sz w:val="24"/>
          <w:szCs w:val="24"/>
        </w:rPr>
        <w:t>注：投标人</w:t>
      </w:r>
      <w:r>
        <w:rPr>
          <w:rFonts w:hint="eastAsia" w:ascii="宋体" w:hAnsi="宋体" w:cs="仿宋"/>
          <w:sz w:val="24"/>
          <w:szCs w:val="24"/>
          <w:lang w:val="en-US" w:eastAsia="zh-CN"/>
        </w:rPr>
        <w:t>根据采购要求编写，</w:t>
      </w:r>
      <w:r>
        <w:rPr>
          <w:rFonts w:hint="eastAsia" w:ascii="宋体" w:hAnsi="宋体" w:cs="仿宋"/>
          <w:sz w:val="24"/>
          <w:szCs w:val="24"/>
        </w:rPr>
        <w:t>可根据实际情况自行扩展表格细项。</w:t>
      </w:r>
    </w:p>
    <w:p w14:paraId="78853C99">
      <w:pPr>
        <w:pStyle w:val="30"/>
      </w:pPr>
    </w:p>
    <w:p w14:paraId="76B4D890">
      <w:pPr>
        <w:pStyle w:val="30"/>
      </w:pPr>
    </w:p>
    <w:p w14:paraId="1F146BF0">
      <w:pPr>
        <w:adjustRightInd w:val="0"/>
        <w:snapToGrid w:val="0"/>
        <w:spacing w:line="480" w:lineRule="auto"/>
        <w:jc w:val="left"/>
        <w:rPr>
          <w:rFonts w:ascii="宋体" w:cs="Times New Roman"/>
          <w:sz w:val="24"/>
          <w:szCs w:val="24"/>
          <w:u w:val="single"/>
        </w:rPr>
      </w:pPr>
      <w:r>
        <w:rPr>
          <w:rFonts w:hint="eastAsia" w:ascii="宋体" w:hAnsi="宋体" w:cs="宋体"/>
          <w:sz w:val="24"/>
          <w:szCs w:val="24"/>
        </w:rPr>
        <w:t>供应商（单位名称及公章）：____________________________</w:t>
      </w:r>
    </w:p>
    <w:p w14:paraId="5A9FF247">
      <w:pPr>
        <w:adjustRightInd w:val="0"/>
        <w:snapToGrid w:val="0"/>
        <w:spacing w:line="480" w:lineRule="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被授权人（签字）：____________________________</w:t>
      </w:r>
    </w:p>
    <w:p w14:paraId="70ACD710">
      <w:pPr>
        <w:adjustRightInd w:val="0"/>
        <w:snapToGrid w:val="0"/>
        <w:spacing w:line="480" w:lineRule="auto"/>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079587AC">
      <w:pPr>
        <w:widowControl/>
        <w:jc w:val="left"/>
        <w:rPr>
          <w:sz w:val="18"/>
          <w:szCs w:val="18"/>
        </w:rPr>
      </w:pPr>
      <w:r>
        <w:br w:type="page"/>
      </w:r>
    </w:p>
    <w:p w14:paraId="78631FAF">
      <w:pPr>
        <w:pStyle w:val="5"/>
        <w:ind w:firstLine="422" w:firstLineChars="150"/>
        <w:jc w:val="center"/>
      </w:pPr>
      <w:bookmarkStart w:id="185" w:name="_Toc26541340"/>
      <w:bookmarkStart w:id="186" w:name="_Toc23258629"/>
      <w:r>
        <w:rPr>
          <w:rFonts w:hint="eastAsia"/>
        </w:rPr>
        <w:t>商务响应偏离表</w:t>
      </w:r>
      <w:bookmarkEnd w:id="185"/>
      <w:bookmarkEnd w:id="186"/>
    </w:p>
    <w:tbl>
      <w:tblPr>
        <w:tblStyle w:val="45"/>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1EFC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6ACB9A02">
            <w:pPr>
              <w:wordWrap w:val="0"/>
              <w:jc w:val="center"/>
              <w:rPr>
                <w:rFonts w:hint="eastAsia" w:ascii="宋体" w:hAnsi="宋体" w:eastAsia="宋体" w:cs="宋体"/>
                <w:sz w:val="24"/>
                <w:szCs w:val="24"/>
                <w:lang w:val="en-US" w:eastAsia="zh-CN"/>
              </w:rPr>
            </w:pPr>
            <w:r>
              <w:rPr>
                <w:rFonts w:hint="eastAsia" w:ascii="宋体" w:hAnsi="宋体" w:eastAsia="宋体" w:cs="宋体"/>
                <w:b/>
                <w:szCs w:val="21"/>
                <w:lang w:val="en-US" w:eastAsia="zh-CN"/>
              </w:rPr>
              <w:t>序号</w:t>
            </w:r>
          </w:p>
        </w:tc>
        <w:tc>
          <w:tcPr>
            <w:tcW w:w="2835" w:type="dxa"/>
            <w:vAlign w:val="center"/>
          </w:tcPr>
          <w:p w14:paraId="6DE9B4FE">
            <w:pPr>
              <w:wordWrap w:val="0"/>
              <w:jc w:val="center"/>
              <w:rPr>
                <w:rFonts w:hint="eastAsia" w:ascii="宋体" w:hAnsi="宋体" w:eastAsia="宋体" w:cs="宋体"/>
                <w:sz w:val="24"/>
                <w:szCs w:val="24"/>
              </w:rPr>
            </w:pPr>
            <w:r>
              <w:rPr>
                <w:rFonts w:hint="eastAsia" w:ascii="宋体" w:hAnsi="宋体" w:cs="宋体"/>
                <w:b/>
                <w:szCs w:val="21"/>
                <w:lang w:val="en-US" w:eastAsia="zh-CN"/>
              </w:rPr>
              <w:t>磋商</w:t>
            </w:r>
            <w:r>
              <w:rPr>
                <w:rFonts w:hint="eastAsia" w:ascii="宋体" w:hAnsi="宋体" w:eastAsia="宋体" w:cs="宋体"/>
                <w:b/>
                <w:szCs w:val="21"/>
              </w:rPr>
              <w:t>文件商务要求</w:t>
            </w:r>
          </w:p>
        </w:tc>
        <w:tc>
          <w:tcPr>
            <w:tcW w:w="2552" w:type="dxa"/>
            <w:vAlign w:val="center"/>
          </w:tcPr>
          <w:p w14:paraId="21521F3F">
            <w:pPr>
              <w:wordWrap w:val="0"/>
              <w:jc w:val="center"/>
              <w:rPr>
                <w:rFonts w:hint="eastAsia" w:ascii="宋体" w:hAnsi="宋体" w:eastAsia="宋体" w:cs="宋体"/>
                <w:sz w:val="24"/>
                <w:szCs w:val="24"/>
              </w:rPr>
            </w:pPr>
            <w:r>
              <w:rPr>
                <w:rFonts w:hint="eastAsia" w:ascii="宋体" w:hAnsi="宋体" w:cs="宋体"/>
                <w:b/>
                <w:szCs w:val="21"/>
                <w:lang w:val="en-US" w:eastAsia="zh-CN"/>
              </w:rPr>
              <w:t>响应</w:t>
            </w:r>
            <w:r>
              <w:rPr>
                <w:rFonts w:hint="eastAsia" w:ascii="宋体" w:hAnsi="宋体" w:eastAsia="宋体" w:cs="宋体"/>
                <w:b/>
                <w:szCs w:val="21"/>
              </w:rPr>
              <w:t>文件商务应答</w:t>
            </w:r>
          </w:p>
        </w:tc>
        <w:tc>
          <w:tcPr>
            <w:tcW w:w="1516" w:type="dxa"/>
            <w:vAlign w:val="center"/>
          </w:tcPr>
          <w:p w14:paraId="6B0DC7AC">
            <w:pPr>
              <w:wordWrap w:val="0"/>
              <w:jc w:val="center"/>
              <w:rPr>
                <w:rFonts w:hint="eastAsia" w:ascii="宋体" w:hAnsi="宋体" w:eastAsia="宋体" w:cs="宋体"/>
                <w:b/>
                <w:szCs w:val="21"/>
              </w:rPr>
            </w:pPr>
            <w:r>
              <w:rPr>
                <w:rFonts w:hint="eastAsia" w:ascii="宋体" w:hAnsi="宋体" w:eastAsia="宋体" w:cs="宋体"/>
                <w:b/>
                <w:szCs w:val="21"/>
              </w:rPr>
              <w:t>偏离</w:t>
            </w:r>
          </w:p>
          <w:p w14:paraId="23AABE2F">
            <w:pPr>
              <w:wordWrap w:val="0"/>
              <w:jc w:val="center"/>
              <w:rPr>
                <w:rFonts w:hint="eastAsia" w:ascii="宋体" w:hAnsi="宋体" w:eastAsia="宋体" w:cs="宋体"/>
                <w:sz w:val="24"/>
                <w:szCs w:val="24"/>
              </w:rPr>
            </w:pPr>
            <w:r>
              <w:rPr>
                <w:rFonts w:hint="eastAsia" w:ascii="宋体" w:hAnsi="宋体" w:eastAsia="宋体" w:cs="宋体"/>
                <w:b/>
                <w:szCs w:val="21"/>
              </w:rPr>
              <w:t>（无/正/负）</w:t>
            </w:r>
          </w:p>
        </w:tc>
        <w:tc>
          <w:tcPr>
            <w:tcW w:w="1516" w:type="dxa"/>
            <w:vAlign w:val="center"/>
          </w:tcPr>
          <w:p w14:paraId="0C275ABB">
            <w:pPr>
              <w:wordWrap w:val="0"/>
              <w:jc w:val="center"/>
              <w:rPr>
                <w:rFonts w:hint="eastAsia" w:ascii="宋体" w:hAnsi="宋体" w:eastAsia="宋体" w:cs="宋体"/>
                <w:b/>
                <w:szCs w:val="21"/>
              </w:rPr>
            </w:pPr>
            <w:r>
              <w:rPr>
                <w:rFonts w:hint="eastAsia" w:ascii="宋体" w:hAnsi="宋体" w:eastAsia="宋体" w:cs="宋体"/>
                <w:b/>
                <w:szCs w:val="21"/>
              </w:rPr>
              <w:t>简述</w:t>
            </w:r>
          </w:p>
        </w:tc>
      </w:tr>
      <w:tr w14:paraId="109A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44C032AF">
            <w:pPr>
              <w:wordWrap w:val="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1</w:t>
            </w:r>
          </w:p>
        </w:tc>
        <w:tc>
          <w:tcPr>
            <w:tcW w:w="2835" w:type="dxa"/>
            <w:vAlign w:val="center"/>
          </w:tcPr>
          <w:p w14:paraId="3CF8BD6E">
            <w:pPr>
              <w:spacing w:line="360" w:lineRule="auto"/>
              <w:rPr>
                <w:rFonts w:ascii="宋体" w:hAnsi="宋体"/>
                <w:sz w:val="24"/>
                <w:szCs w:val="24"/>
              </w:rPr>
            </w:pPr>
          </w:p>
        </w:tc>
        <w:tc>
          <w:tcPr>
            <w:tcW w:w="2552" w:type="dxa"/>
            <w:vAlign w:val="center"/>
          </w:tcPr>
          <w:p w14:paraId="7725B65F">
            <w:pPr>
              <w:spacing w:line="360" w:lineRule="auto"/>
              <w:rPr>
                <w:rFonts w:ascii="宋体" w:hAnsi="宋体"/>
                <w:sz w:val="24"/>
                <w:szCs w:val="24"/>
              </w:rPr>
            </w:pPr>
          </w:p>
        </w:tc>
        <w:tc>
          <w:tcPr>
            <w:tcW w:w="1516" w:type="dxa"/>
            <w:vAlign w:val="center"/>
          </w:tcPr>
          <w:p w14:paraId="05C14792">
            <w:pPr>
              <w:spacing w:line="360" w:lineRule="auto"/>
              <w:rPr>
                <w:rFonts w:ascii="宋体" w:hAnsi="宋体"/>
                <w:sz w:val="24"/>
                <w:szCs w:val="24"/>
              </w:rPr>
            </w:pPr>
          </w:p>
        </w:tc>
        <w:tc>
          <w:tcPr>
            <w:tcW w:w="1516" w:type="dxa"/>
            <w:vAlign w:val="center"/>
          </w:tcPr>
          <w:p w14:paraId="00466A86">
            <w:pPr>
              <w:spacing w:line="360" w:lineRule="auto"/>
              <w:rPr>
                <w:rFonts w:ascii="宋体" w:hAnsi="宋体"/>
                <w:sz w:val="24"/>
                <w:szCs w:val="24"/>
              </w:rPr>
            </w:pPr>
          </w:p>
        </w:tc>
      </w:tr>
      <w:tr w14:paraId="3E30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1C437417">
            <w:pPr>
              <w:wordWrap w:val="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2</w:t>
            </w:r>
          </w:p>
        </w:tc>
        <w:tc>
          <w:tcPr>
            <w:tcW w:w="2835" w:type="dxa"/>
            <w:vAlign w:val="center"/>
          </w:tcPr>
          <w:p w14:paraId="303DC111">
            <w:pPr>
              <w:spacing w:line="360" w:lineRule="auto"/>
              <w:rPr>
                <w:rFonts w:ascii="宋体" w:hAnsi="宋体"/>
                <w:sz w:val="24"/>
                <w:szCs w:val="24"/>
              </w:rPr>
            </w:pPr>
          </w:p>
        </w:tc>
        <w:tc>
          <w:tcPr>
            <w:tcW w:w="2552" w:type="dxa"/>
            <w:vAlign w:val="center"/>
          </w:tcPr>
          <w:p w14:paraId="24B64B89">
            <w:pPr>
              <w:spacing w:line="360" w:lineRule="auto"/>
              <w:rPr>
                <w:rFonts w:ascii="宋体" w:hAnsi="宋体"/>
                <w:sz w:val="24"/>
                <w:szCs w:val="24"/>
              </w:rPr>
            </w:pPr>
          </w:p>
        </w:tc>
        <w:tc>
          <w:tcPr>
            <w:tcW w:w="1516" w:type="dxa"/>
            <w:vAlign w:val="center"/>
          </w:tcPr>
          <w:p w14:paraId="51142167">
            <w:pPr>
              <w:spacing w:line="360" w:lineRule="auto"/>
              <w:rPr>
                <w:rFonts w:ascii="宋体" w:hAnsi="宋体"/>
                <w:sz w:val="24"/>
                <w:szCs w:val="24"/>
              </w:rPr>
            </w:pPr>
          </w:p>
        </w:tc>
        <w:tc>
          <w:tcPr>
            <w:tcW w:w="1516" w:type="dxa"/>
            <w:vAlign w:val="center"/>
          </w:tcPr>
          <w:p w14:paraId="6C57C2AB">
            <w:pPr>
              <w:spacing w:line="360" w:lineRule="auto"/>
              <w:rPr>
                <w:rFonts w:ascii="宋体" w:hAnsi="宋体"/>
                <w:sz w:val="24"/>
                <w:szCs w:val="24"/>
              </w:rPr>
            </w:pPr>
          </w:p>
        </w:tc>
      </w:tr>
      <w:tr w14:paraId="1FC4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41E1459A">
            <w:pPr>
              <w:wordWrap w:val="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3</w:t>
            </w:r>
          </w:p>
        </w:tc>
        <w:tc>
          <w:tcPr>
            <w:tcW w:w="2835" w:type="dxa"/>
            <w:vAlign w:val="center"/>
          </w:tcPr>
          <w:p w14:paraId="7CAA0750">
            <w:pPr>
              <w:spacing w:line="360" w:lineRule="auto"/>
              <w:rPr>
                <w:rFonts w:ascii="宋体" w:hAnsi="宋体"/>
                <w:sz w:val="24"/>
                <w:szCs w:val="24"/>
              </w:rPr>
            </w:pPr>
          </w:p>
        </w:tc>
        <w:tc>
          <w:tcPr>
            <w:tcW w:w="2552" w:type="dxa"/>
            <w:vAlign w:val="center"/>
          </w:tcPr>
          <w:p w14:paraId="4D743329">
            <w:pPr>
              <w:spacing w:line="360" w:lineRule="auto"/>
              <w:rPr>
                <w:rFonts w:ascii="宋体" w:hAnsi="宋体"/>
                <w:sz w:val="24"/>
                <w:szCs w:val="24"/>
              </w:rPr>
            </w:pPr>
          </w:p>
        </w:tc>
        <w:tc>
          <w:tcPr>
            <w:tcW w:w="1516" w:type="dxa"/>
            <w:vAlign w:val="center"/>
          </w:tcPr>
          <w:p w14:paraId="1B5E1AEF">
            <w:pPr>
              <w:spacing w:line="360" w:lineRule="auto"/>
              <w:rPr>
                <w:rFonts w:ascii="宋体" w:hAnsi="宋体"/>
                <w:sz w:val="24"/>
                <w:szCs w:val="24"/>
              </w:rPr>
            </w:pPr>
          </w:p>
        </w:tc>
        <w:tc>
          <w:tcPr>
            <w:tcW w:w="1516" w:type="dxa"/>
            <w:vAlign w:val="center"/>
          </w:tcPr>
          <w:p w14:paraId="7D94F33D">
            <w:pPr>
              <w:spacing w:line="360" w:lineRule="auto"/>
              <w:rPr>
                <w:rFonts w:ascii="宋体" w:hAnsi="宋体"/>
                <w:sz w:val="24"/>
                <w:szCs w:val="24"/>
              </w:rPr>
            </w:pPr>
          </w:p>
        </w:tc>
      </w:tr>
      <w:tr w14:paraId="67D8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49CBC6FC">
            <w:pPr>
              <w:wordWrap w:val="0"/>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w:t>
            </w:r>
          </w:p>
        </w:tc>
        <w:tc>
          <w:tcPr>
            <w:tcW w:w="2835" w:type="dxa"/>
            <w:vAlign w:val="center"/>
          </w:tcPr>
          <w:p w14:paraId="0B707F92">
            <w:pPr>
              <w:spacing w:line="360" w:lineRule="auto"/>
              <w:rPr>
                <w:rFonts w:ascii="宋体" w:hAnsi="宋体"/>
                <w:sz w:val="24"/>
                <w:szCs w:val="24"/>
              </w:rPr>
            </w:pPr>
          </w:p>
        </w:tc>
        <w:tc>
          <w:tcPr>
            <w:tcW w:w="2552" w:type="dxa"/>
            <w:vAlign w:val="center"/>
          </w:tcPr>
          <w:p w14:paraId="6EBE9150">
            <w:pPr>
              <w:spacing w:line="360" w:lineRule="auto"/>
              <w:rPr>
                <w:rFonts w:ascii="宋体" w:hAnsi="宋体"/>
                <w:sz w:val="24"/>
                <w:szCs w:val="24"/>
              </w:rPr>
            </w:pPr>
          </w:p>
        </w:tc>
        <w:tc>
          <w:tcPr>
            <w:tcW w:w="1516" w:type="dxa"/>
            <w:vAlign w:val="center"/>
          </w:tcPr>
          <w:p w14:paraId="77FB67CC">
            <w:pPr>
              <w:spacing w:line="360" w:lineRule="auto"/>
              <w:rPr>
                <w:rFonts w:ascii="宋体" w:hAnsi="宋体"/>
                <w:sz w:val="24"/>
                <w:szCs w:val="24"/>
              </w:rPr>
            </w:pPr>
          </w:p>
        </w:tc>
        <w:tc>
          <w:tcPr>
            <w:tcW w:w="1516" w:type="dxa"/>
            <w:vAlign w:val="center"/>
          </w:tcPr>
          <w:p w14:paraId="6B968A46">
            <w:pPr>
              <w:spacing w:line="360" w:lineRule="auto"/>
              <w:rPr>
                <w:rFonts w:ascii="宋体" w:hAnsi="宋体"/>
                <w:sz w:val="24"/>
                <w:szCs w:val="24"/>
              </w:rPr>
            </w:pPr>
          </w:p>
        </w:tc>
      </w:tr>
    </w:tbl>
    <w:p w14:paraId="4859D595">
      <w:pPr>
        <w:spacing w:line="360" w:lineRule="auto"/>
        <w:ind w:firstLine="482" w:firstLineChars="200"/>
        <w:rPr>
          <w:b/>
          <w:bCs/>
          <w:sz w:val="24"/>
          <w:szCs w:val="24"/>
        </w:rPr>
      </w:pPr>
      <w:r>
        <w:rPr>
          <w:rFonts w:hint="eastAsia" w:ascii="宋体" w:hAnsi="宋体"/>
          <w:b/>
          <w:bCs/>
          <w:sz w:val="24"/>
          <w:szCs w:val="24"/>
        </w:rPr>
        <w:t>注：对</w:t>
      </w:r>
      <w:r>
        <w:rPr>
          <w:rFonts w:hint="eastAsia" w:ascii="宋体" w:hAnsi="宋体"/>
          <w:b/>
          <w:bCs/>
          <w:sz w:val="24"/>
          <w:szCs w:val="24"/>
          <w:lang w:val="en-US" w:eastAsia="zh-CN"/>
        </w:rPr>
        <w:t>磋商</w:t>
      </w:r>
      <w:r>
        <w:rPr>
          <w:rFonts w:hint="eastAsia" w:ascii="宋体" w:hAnsi="宋体"/>
          <w:b/>
          <w:bCs/>
          <w:sz w:val="24"/>
          <w:szCs w:val="24"/>
        </w:rPr>
        <w:t>文件中要求的商务条款逐条响应并详细说明。</w:t>
      </w:r>
    </w:p>
    <w:p w14:paraId="50D8BD79">
      <w:pPr>
        <w:rPr>
          <w:sz w:val="24"/>
          <w:szCs w:val="24"/>
        </w:rPr>
      </w:pPr>
    </w:p>
    <w:p w14:paraId="190AEAFA">
      <w:pPr>
        <w:spacing w:line="360" w:lineRule="auto"/>
        <w:ind w:firstLine="420" w:firstLineChars="175"/>
        <w:rPr>
          <w:rFonts w:ascii="宋体" w:hAnsi="宋体"/>
          <w:sz w:val="24"/>
          <w:szCs w:val="24"/>
        </w:rPr>
      </w:pPr>
      <w:r>
        <w:rPr>
          <w:rFonts w:ascii="宋体" w:hAnsi="宋体"/>
          <w:sz w:val="24"/>
          <w:szCs w:val="24"/>
        </w:rPr>
        <w:t xml:space="preserve">    </w:t>
      </w:r>
    </w:p>
    <w:p w14:paraId="12E2E872">
      <w:pPr>
        <w:spacing w:line="360" w:lineRule="auto"/>
        <w:ind w:firstLine="420" w:firstLineChars="175"/>
        <w:rPr>
          <w:rFonts w:hint="eastAsia" w:ascii="宋体" w:hAnsi="宋体" w:cs="Times New Roman"/>
          <w:b/>
          <w:bCs/>
          <w:sz w:val="24"/>
          <w:szCs w:val="24"/>
        </w:rPr>
      </w:pPr>
      <w:r>
        <w:rPr>
          <w:rFonts w:hint="eastAsia" w:ascii="宋体" w:hAnsi="宋体"/>
          <w:sz w:val="24"/>
          <w:szCs w:val="24"/>
        </w:rPr>
        <w:t xml:space="preserve">   </w:t>
      </w:r>
    </w:p>
    <w:p w14:paraId="36B214C5">
      <w:pPr>
        <w:pStyle w:val="30"/>
      </w:pPr>
    </w:p>
    <w:p w14:paraId="1FB3987A">
      <w:pPr>
        <w:pStyle w:val="30"/>
      </w:pPr>
    </w:p>
    <w:p w14:paraId="114B3466">
      <w:pPr>
        <w:pStyle w:val="30"/>
      </w:pPr>
    </w:p>
    <w:p w14:paraId="6B5ADB94">
      <w:pPr>
        <w:adjustRightInd w:val="0"/>
        <w:snapToGrid w:val="0"/>
        <w:spacing w:line="480" w:lineRule="auto"/>
        <w:jc w:val="left"/>
        <w:rPr>
          <w:rFonts w:ascii="宋体" w:cs="Times New Roman"/>
          <w:sz w:val="24"/>
          <w:szCs w:val="24"/>
          <w:u w:val="single"/>
        </w:rPr>
      </w:pPr>
      <w:r>
        <w:rPr>
          <w:rFonts w:hint="eastAsia" w:ascii="宋体" w:hAnsi="宋体" w:cs="宋体"/>
          <w:sz w:val="24"/>
          <w:szCs w:val="24"/>
        </w:rPr>
        <w:t>供应商（单位名称及公章）：____________________________</w:t>
      </w:r>
    </w:p>
    <w:p w14:paraId="4F1659FC">
      <w:pPr>
        <w:adjustRightInd w:val="0"/>
        <w:snapToGrid w:val="0"/>
        <w:spacing w:line="480" w:lineRule="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被授权人（签字）：____________________________</w:t>
      </w:r>
    </w:p>
    <w:p w14:paraId="275EC82C">
      <w:pPr>
        <w:adjustRightInd w:val="0"/>
        <w:snapToGrid w:val="0"/>
        <w:spacing w:line="480" w:lineRule="auto"/>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428A6187">
      <w:pPr>
        <w:pStyle w:val="30"/>
      </w:pPr>
    </w:p>
    <w:p w14:paraId="583DB0CC">
      <w:pPr>
        <w:adjustRightInd w:val="0"/>
        <w:snapToGrid w:val="0"/>
        <w:spacing w:line="480" w:lineRule="auto"/>
        <w:rPr>
          <w:rFonts w:ascii="宋体" w:cs="Times New Roman"/>
          <w:sz w:val="24"/>
          <w:szCs w:val="24"/>
        </w:rPr>
      </w:pPr>
    </w:p>
    <w:p w14:paraId="3BB3723F">
      <w:pPr>
        <w:pStyle w:val="30"/>
      </w:pPr>
    </w:p>
    <w:p w14:paraId="7FDA4F4D">
      <w:pPr>
        <w:pStyle w:val="5"/>
        <w:pageBreakBefore/>
        <w:rPr>
          <w:rFonts w:ascii="宋体" w:hAnsi="宋体" w:cs="宋体"/>
          <w:color w:val="auto"/>
        </w:rPr>
      </w:pPr>
      <w:bookmarkStart w:id="187" w:name="_Toc9172"/>
      <w:bookmarkStart w:id="188" w:name="_Toc14937"/>
      <w:bookmarkStart w:id="189" w:name="_Toc536429392"/>
      <w:bookmarkStart w:id="190" w:name="_Toc19543359"/>
      <w:bookmarkStart w:id="191" w:name="_Toc536202399"/>
      <w:bookmarkStart w:id="192" w:name="_Toc536202330"/>
      <w:bookmarkStart w:id="193" w:name="_Toc536429339"/>
      <w:bookmarkStart w:id="194" w:name="_Toc1803"/>
      <w:r>
        <w:rPr>
          <w:rFonts w:hint="eastAsia" w:ascii="宋体" w:hAnsi="宋体" w:cs="宋体"/>
          <w:color w:val="auto"/>
        </w:rPr>
        <w:t>第五章</w:t>
      </w:r>
      <w:r>
        <w:rPr>
          <w:rFonts w:ascii="宋体" w:hAnsi="宋体" w:cs="宋体"/>
          <w:color w:val="auto"/>
        </w:rPr>
        <w:t xml:space="preserve">  </w:t>
      </w:r>
      <w:bookmarkEnd w:id="187"/>
      <w:r>
        <w:rPr>
          <w:rFonts w:hint="eastAsia" w:ascii="宋体" w:hAnsi="宋体" w:cs="宋体"/>
          <w:color w:val="auto"/>
          <w:lang w:val="en-US" w:eastAsia="zh-CN"/>
        </w:rPr>
        <w:t>响应</w:t>
      </w:r>
      <w:r>
        <w:rPr>
          <w:rFonts w:hint="eastAsia" w:ascii="宋体" w:hAnsi="宋体" w:cs="宋体"/>
          <w:color w:val="auto"/>
        </w:rPr>
        <w:t>方案</w:t>
      </w:r>
      <w:bookmarkEnd w:id="188"/>
      <w:bookmarkEnd w:id="189"/>
      <w:bookmarkEnd w:id="190"/>
      <w:bookmarkEnd w:id="191"/>
      <w:bookmarkEnd w:id="192"/>
      <w:bookmarkEnd w:id="193"/>
    </w:p>
    <w:p w14:paraId="7A0A435B">
      <w:pPr>
        <w:overflowPunct/>
        <w:topLinePunct w:val="0"/>
        <w:bidi w:val="0"/>
        <w:spacing w:line="500" w:lineRule="atLeast"/>
        <w:ind w:firstLine="482" w:firstLineChars="200"/>
        <w:rPr>
          <w:rFonts w:hint="eastAsia" w:ascii="宋体" w:hAnsi="宋体" w:eastAsia="宋体" w:cs="宋体"/>
          <w:b/>
          <w:bCs/>
          <w:sz w:val="24"/>
          <w:szCs w:val="24"/>
        </w:rPr>
      </w:pPr>
      <w:bookmarkStart w:id="195" w:name="_Toc26541342"/>
      <w:bookmarkStart w:id="196" w:name="_Toc23258631"/>
      <w:bookmarkStart w:id="197" w:name="_Toc528240834"/>
      <w:bookmarkStart w:id="198" w:name="_Toc484198844"/>
      <w:bookmarkStart w:id="199" w:name="_Toc19543360"/>
      <w:r>
        <w:rPr>
          <w:rFonts w:hint="eastAsia" w:ascii="宋体" w:hAnsi="宋体" w:eastAsia="宋体" w:cs="宋体"/>
          <w:b/>
          <w:bCs/>
          <w:sz w:val="24"/>
          <w:szCs w:val="24"/>
          <w:lang w:val="en-US" w:eastAsia="zh-CN"/>
        </w:rPr>
        <w:t>参照</w:t>
      </w:r>
      <w:r>
        <w:rPr>
          <w:rFonts w:hint="eastAsia" w:ascii="宋体" w:hAnsi="宋体" w:cs="宋体"/>
          <w:b/>
          <w:bCs/>
          <w:sz w:val="24"/>
          <w:szCs w:val="24"/>
          <w:lang w:val="en-US" w:eastAsia="zh-CN"/>
        </w:rPr>
        <w:t>磋商</w:t>
      </w:r>
      <w:r>
        <w:rPr>
          <w:rFonts w:hint="eastAsia" w:ascii="宋体" w:hAnsi="宋体" w:eastAsia="宋体" w:cs="宋体"/>
          <w:b/>
          <w:bCs/>
          <w:sz w:val="24"/>
          <w:szCs w:val="24"/>
        </w:rPr>
        <w:t>文件的《评审方法和程序》各条款的要求，结</w:t>
      </w:r>
      <w:r>
        <w:rPr>
          <w:rFonts w:hint="eastAsia" w:ascii="宋体" w:hAnsi="宋体" w:eastAsia="宋体" w:cs="宋体"/>
          <w:b/>
          <w:bCs/>
          <w:color w:val="auto"/>
          <w:sz w:val="24"/>
          <w:szCs w:val="24"/>
        </w:rPr>
        <w:t>合《</w:t>
      </w:r>
      <w:r>
        <w:rPr>
          <w:rFonts w:hint="eastAsia" w:ascii="宋体" w:hAnsi="宋体" w:cs="宋体"/>
          <w:b/>
          <w:bCs/>
          <w:color w:val="auto"/>
          <w:sz w:val="24"/>
          <w:szCs w:val="24"/>
          <w:lang w:val="en-US" w:eastAsia="zh-CN"/>
        </w:rPr>
        <w:t>采购</w:t>
      </w:r>
      <w:r>
        <w:rPr>
          <w:rFonts w:hint="eastAsia" w:ascii="宋体" w:hAnsi="宋体" w:eastAsia="宋体" w:cs="宋体"/>
          <w:b/>
          <w:bCs/>
          <w:color w:val="auto"/>
          <w:sz w:val="24"/>
          <w:szCs w:val="24"/>
        </w:rPr>
        <w:t>内容及要求》和编制的投标方案说明书，投标方案由供应商自行编写，无具体格式，包含但不限于以下内</w:t>
      </w:r>
      <w:r>
        <w:rPr>
          <w:rFonts w:hint="eastAsia" w:ascii="宋体" w:hAnsi="宋体" w:eastAsia="宋体" w:cs="宋体"/>
          <w:b/>
          <w:bCs/>
          <w:sz w:val="24"/>
          <w:szCs w:val="24"/>
        </w:rPr>
        <w:t>容：</w:t>
      </w:r>
    </w:p>
    <w:p w14:paraId="45C94E88">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240" w:firstLineChars="100"/>
        <w:jc w:val="left"/>
        <w:textAlignment w:val="auto"/>
        <w:rPr>
          <w:rFonts w:hint="eastAsia" w:ascii="宋体" w:hAnsi="宋体" w:cs="宋体"/>
          <w:b w:val="0"/>
          <w:bCs/>
          <w:kern w:val="0"/>
          <w:sz w:val="24"/>
          <w:szCs w:val="24"/>
          <w:lang w:val="en-US" w:eastAsia="zh-CN" w:bidi="ar-SA"/>
        </w:rPr>
      </w:pPr>
      <w:r>
        <w:rPr>
          <w:rFonts w:hint="eastAsia" w:ascii="宋体" w:hAnsi="宋体" w:cs="宋体"/>
          <w:b w:val="0"/>
          <w:bCs/>
          <w:kern w:val="0"/>
          <w:sz w:val="24"/>
          <w:szCs w:val="24"/>
          <w:lang w:val="en-US" w:eastAsia="zh-CN" w:bidi="ar-SA"/>
        </w:rPr>
        <w:t>1.服务方案</w:t>
      </w:r>
    </w:p>
    <w:p w14:paraId="69F5819A">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240" w:firstLineChars="100"/>
        <w:jc w:val="left"/>
        <w:textAlignment w:val="auto"/>
        <w:rPr>
          <w:rFonts w:hint="eastAsia" w:ascii="宋体" w:hAnsi="宋体" w:cs="宋体"/>
          <w:b w:val="0"/>
          <w:bCs/>
          <w:kern w:val="0"/>
          <w:sz w:val="24"/>
          <w:szCs w:val="24"/>
          <w:lang w:val="en-US" w:eastAsia="zh-CN" w:bidi="ar-SA"/>
        </w:rPr>
      </w:pPr>
      <w:r>
        <w:rPr>
          <w:rFonts w:hint="eastAsia" w:ascii="宋体" w:hAnsi="宋体" w:cs="宋体"/>
          <w:b w:val="0"/>
          <w:bCs/>
          <w:kern w:val="0"/>
          <w:sz w:val="24"/>
          <w:szCs w:val="24"/>
          <w:lang w:val="en-US" w:eastAsia="zh-CN" w:bidi="ar-SA"/>
        </w:rPr>
        <w:t>2.应急方案</w:t>
      </w:r>
    </w:p>
    <w:p w14:paraId="13D884E6">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240" w:firstLineChars="100"/>
        <w:jc w:val="left"/>
        <w:textAlignment w:val="auto"/>
        <w:rPr>
          <w:rFonts w:hint="eastAsia" w:ascii="宋体" w:hAnsi="宋体" w:cs="宋体"/>
          <w:b w:val="0"/>
          <w:bCs/>
          <w:kern w:val="0"/>
          <w:sz w:val="24"/>
          <w:szCs w:val="24"/>
          <w:lang w:val="en-US" w:eastAsia="zh-CN" w:bidi="ar-SA"/>
        </w:rPr>
      </w:pPr>
      <w:r>
        <w:rPr>
          <w:rFonts w:hint="eastAsia" w:ascii="宋体" w:hAnsi="宋体" w:cs="宋体"/>
          <w:b w:val="0"/>
          <w:bCs/>
          <w:kern w:val="0"/>
          <w:sz w:val="24"/>
          <w:szCs w:val="24"/>
          <w:lang w:val="en-US" w:eastAsia="zh-CN" w:bidi="ar-SA"/>
        </w:rPr>
        <w:t>3.工作方案及措施</w:t>
      </w:r>
    </w:p>
    <w:p w14:paraId="7CF15FD8">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240" w:firstLineChars="100"/>
        <w:jc w:val="left"/>
        <w:textAlignment w:val="auto"/>
        <w:rPr>
          <w:rFonts w:hint="eastAsia" w:ascii="宋体" w:hAnsi="宋体" w:cs="宋体"/>
          <w:b w:val="0"/>
          <w:bCs/>
          <w:kern w:val="0"/>
          <w:sz w:val="24"/>
          <w:szCs w:val="24"/>
          <w:lang w:val="en-US" w:eastAsia="zh-CN" w:bidi="ar-SA"/>
        </w:rPr>
      </w:pPr>
      <w:r>
        <w:rPr>
          <w:rFonts w:hint="eastAsia" w:ascii="宋体" w:hAnsi="宋体" w:cs="宋体"/>
          <w:b w:val="0"/>
          <w:bCs/>
          <w:kern w:val="0"/>
          <w:sz w:val="24"/>
          <w:szCs w:val="24"/>
          <w:lang w:val="en-US" w:eastAsia="zh-CN" w:bidi="ar-SA"/>
        </w:rPr>
        <w:t>4.人员配置</w:t>
      </w:r>
    </w:p>
    <w:p w14:paraId="2EB95E58">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240" w:firstLineChars="100"/>
        <w:jc w:val="left"/>
        <w:textAlignment w:val="auto"/>
        <w:rPr>
          <w:rFonts w:hint="eastAsia" w:ascii="宋体" w:hAnsi="宋体" w:cs="宋体"/>
          <w:b w:val="0"/>
          <w:bCs/>
          <w:kern w:val="0"/>
          <w:sz w:val="24"/>
          <w:szCs w:val="24"/>
          <w:lang w:val="en-US" w:eastAsia="zh-CN" w:bidi="ar-SA"/>
        </w:rPr>
      </w:pPr>
      <w:r>
        <w:rPr>
          <w:rFonts w:hint="eastAsia" w:ascii="宋体" w:hAnsi="宋体" w:cs="宋体"/>
          <w:b w:val="0"/>
          <w:bCs/>
          <w:kern w:val="0"/>
          <w:sz w:val="24"/>
          <w:szCs w:val="24"/>
          <w:lang w:val="en-US" w:eastAsia="zh-CN" w:bidi="ar-SA"/>
        </w:rPr>
        <w:t>5.配套设备</w:t>
      </w:r>
    </w:p>
    <w:p w14:paraId="78CD7419">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240" w:firstLineChars="100"/>
        <w:jc w:val="left"/>
        <w:textAlignment w:val="auto"/>
        <w:rPr>
          <w:rFonts w:hint="eastAsia" w:ascii="宋体" w:hAnsi="宋体" w:cs="宋体"/>
          <w:b w:val="0"/>
          <w:bCs/>
          <w:kern w:val="0"/>
          <w:sz w:val="24"/>
          <w:szCs w:val="24"/>
          <w:lang w:val="en-US" w:eastAsia="zh-CN" w:bidi="ar-SA"/>
        </w:rPr>
      </w:pPr>
      <w:r>
        <w:rPr>
          <w:rFonts w:hint="eastAsia" w:ascii="宋体" w:hAnsi="宋体" w:cs="宋体"/>
          <w:b w:val="0"/>
          <w:bCs/>
          <w:kern w:val="0"/>
          <w:sz w:val="24"/>
          <w:szCs w:val="24"/>
          <w:lang w:val="en-US" w:eastAsia="zh-CN" w:bidi="ar-SA"/>
        </w:rPr>
        <w:t>6.管理及培训制度</w:t>
      </w:r>
    </w:p>
    <w:p w14:paraId="6358E64F">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240" w:firstLineChars="100"/>
        <w:jc w:val="left"/>
        <w:textAlignment w:val="auto"/>
        <w:rPr>
          <w:rFonts w:hint="eastAsia" w:ascii="宋体" w:hAnsi="宋体" w:cs="宋体"/>
          <w:b w:val="0"/>
          <w:bCs/>
          <w:kern w:val="0"/>
          <w:sz w:val="24"/>
          <w:szCs w:val="24"/>
          <w:lang w:val="en-US" w:eastAsia="zh-CN" w:bidi="ar-SA"/>
        </w:rPr>
      </w:pPr>
      <w:r>
        <w:rPr>
          <w:rFonts w:hint="eastAsia" w:ascii="宋体" w:hAnsi="宋体" w:cs="宋体"/>
          <w:b w:val="0"/>
          <w:bCs/>
          <w:kern w:val="0"/>
          <w:sz w:val="24"/>
          <w:szCs w:val="24"/>
          <w:lang w:val="en-US" w:eastAsia="zh-CN" w:bidi="ar-SA"/>
        </w:rPr>
        <w:t>7.业绩</w:t>
      </w:r>
    </w:p>
    <w:p w14:paraId="1F5A2DB4">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240" w:firstLineChars="100"/>
        <w:jc w:val="left"/>
        <w:textAlignment w:val="auto"/>
        <w:rPr>
          <w:rFonts w:hint="eastAsia" w:ascii="宋体" w:hAnsi="宋体" w:cs="宋体"/>
          <w:b w:val="0"/>
          <w:bCs/>
          <w:kern w:val="0"/>
          <w:sz w:val="24"/>
          <w:szCs w:val="24"/>
          <w:lang w:val="en-US" w:eastAsia="zh-CN" w:bidi="ar-SA"/>
        </w:rPr>
      </w:pPr>
      <w:r>
        <w:rPr>
          <w:rFonts w:hint="eastAsia" w:ascii="宋体" w:hAnsi="宋体" w:cs="宋体"/>
          <w:b w:val="0"/>
          <w:bCs/>
          <w:kern w:val="0"/>
          <w:sz w:val="24"/>
          <w:szCs w:val="24"/>
          <w:lang w:val="en-US" w:eastAsia="zh-CN" w:bidi="ar-SA"/>
        </w:rPr>
        <w:t>8.供应商认为有必要提供的其他证明材料及情况说明</w:t>
      </w:r>
    </w:p>
    <w:p w14:paraId="07C51120">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240" w:firstLineChars="100"/>
        <w:jc w:val="left"/>
        <w:textAlignment w:val="auto"/>
        <w:rPr>
          <w:rFonts w:hint="eastAsia" w:ascii="宋体" w:hAnsi="宋体" w:cs="宋体"/>
          <w:b w:val="0"/>
          <w:bCs/>
          <w:kern w:val="0"/>
          <w:sz w:val="24"/>
          <w:szCs w:val="24"/>
          <w:lang w:val="en-US" w:eastAsia="zh-CN" w:bidi="ar-SA"/>
        </w:rPr>
      </w:pPr>
      <w:r>
        <w:rPr>
          <w:rFonts w:hint="eastAsia" w:ascii="宋体" w:hAnsi="宋体" w:cs="宋体"/>
          <w:b w:val="0"/>
          <w:bCs/>
          <w:kern w:val="0"/>
          <w:sz w:val="24"/>
          <w:szCs w:val="24"/>
          <w:lang w:val="en-US" w:eastAsia="zh-CN" w:bidi="ar-SA"/>
        </w:rPr>
        <w:t>……</w:t>
      </w:r>
    </w:p>
    <w:p w14:paraId="2D214313">
      <w:pPr>
        <w:spacing w:line="520" w:lineRule="exact"/>
        <w:ind w:left="420" w:leftChars="200" w:firstLine="480" w:firstLineChars="200"/>
        <w:rPr>
          <w:rFonts w:ascii="宋体" w:hAnsi="宋体" w:cs="宋体"/>
          <w:color w:val="FF0000"/>
          <w:sz w:val="24"/>
        </w:rPr>
      </w:pPr>
    </w:p>
    <w:p w14:paraId="41F898A0">
      <w:pPr>
        <w:spacing w:line="460" w:lineRule="exact"/>
        <w:ind w:firstLine="480" w:firstLineChars="200"/>
        <w:jc w:val="left"/>
        <w:rPr>
          <w:rFonts w:hint="eastAsia" w:ascii="宋体" w:hAnsi="宋体" w:eastAsia="宋体" w:cs="宋体"/>
          <w:bCs/>
          <w:color w:val="auto"/>
          <w:sz w:val="24"/>
          <w:highlight w:val="none"/>
          <w:lang w:val="en-US" w:eastAsia="zh-CN"/>
        </w:rPr>
      </w:pPr>
    </w:p>
    <w:p w14:paraId="5C0522EF">
      <w:pPr>
        <w:pStyle w:val="65"/>
        <w:rPr>
          <w:rFonts w:hint="eastAsia"/>
        </w:rPr>
      </w:pPr>
    </w:p>
    <w:p w14:paraId="02FAF739">
      <w:pPr>
        <w:widowControl/>
        <w:jc w:val="left"/>
        <w:rPr>
          <w:rFonts w:ascii="宋体" w:hAnsi="宋体" w:cs="Times New Roman"/>
          <w:sz w:val="24"/>
          <w:szCs w:val="24"/>
        </w:rPr>
      </w:pPr>
      <w:r>
        <w:rPr>
          <w:rFonts w:ascii="宋体" w:hAnsi="宋体" w:cs="Times New Roman"/>
          <w:sz w:val="24"/>
          <w:szCs w:val="24"/>
        </w:rPr>
        <w:br w:type="page"/>
      </w:r>
    </w:p>
    <w:bookmarkEnd w:id="195"/>
    <w:bookmarkEnd w:id="196"/>
    <w:bookmarkEnd w:id="197"/>
    <w:bookmarkEnd w:id="198"/>
    <w:p w14:paraId="624FD325">
      <w:pPr>
        <w:spacing w:line="360" w:lineRule="auto"/>
        <w:ind w:firstLine="482" w:firstLineChars="200"/>
        <w:jc w:val="center"/>
        <w:rPr>
          <w:rFonts w:hint="eastAsia" w:ascii="宋体" w:hAnsi="宋体"/>
          <w:b/>
          <w:bCs/>
          <w:sz w:val="24"/>
          <w:szCs w:val="24"/>
        </w:rPr>
        <w:sectPr>
          <w:footerReference r:id="rId14" w:type="default"/>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bookmarkStart w:id="200" w:name="_Hlt491572882"/>
      <w:bookmarkEnd w:id="200"/>
      <w:bookmarkStart w:id="201" w:name="_Hlt491766019"/>
      <w:bookmarkEnd w:id="201"/>
      <w:bookmarkStart w:id="202" w:name="_Hlt491573425"/>
      <w:bookmarkEnd w:id="202"/>
      <w:bookmarkStart w:id="203" w:name="_Hlt491765944"/>
      <w:bookmarkEnd w:id="203"/>
      <w:bookmarkStart w:id="204" w:name="_Hlt491765868"/>
      <w:bookmarkEnd w:id="204"/>
    </w:p>
    <w:bookmarkEnd w:id="199"/>
    <w:p w14:paraId="143C7BA7">
      <w:pPr>
        <w:autoSpaceDE w:val="0"/>
        <w:autoSpaceDN w:val="0"/>
        <w:adjustRightInd w:val="0"/>
        <w:spacing w:line="360" w:lineRule="exact"/>
        <w:jc w:val="center"/>
        <w:textAlignment w:val="baseline"/>
        <w:rPr>
          <w:rFonts w:ascii="宋体" w:hAnsi="宋体" w:cs="宋体"/>
          <w:b/>
          <w:bCs/>
          <w:kern w:val="20"/>
          <w:sz w:val="24"/>
          <w:szCs w:val="24"/>
          <w:highlight w:val="none"/>
        </w:rPr>
      </w:pPr>
      <w:r>
        <w:rPr>
          <w:rFonts w:hint="eastAsia" w:ascii="宋体" w:hAnsi="宋体" w:cs="宋体"/>
          <w:b/>
          <w:bCs/>
          <w:kern w:val="20"/>
          <w:sz w:val="24"/>
          <w:szCs w:val="24"/>
          <w:highlight w:val="none"/>
        </w:rPr>
        <w:t>本项目拟投入人员汇总表</w:t>
      </w:r>
    </w:p>
    <w:p w14:paraId="7C5DBCF7">
      <w:pPr>
        <w:autoSpaceDE w:val="0"/>
        <w:autoSpaceDN w:val="0"/>
        <w:adjustRightInd w:val="0"/>
        <w:spacing w:line="360" w:lineRule="exact"/>
        <w:textAlignment w:val="baseline"/>
        <w:rPr>
          <w:rFonts w:ascii="宋体" w:hAnsi="宋体" w:cs="宋体"/>
          <w:b/>
          <w:bCs/>
          <w:kern w:val="20"/>
          <w:sz w:val="24"/>
          <w:szCs w:val="24"/>
          <w:highlight w:val="none"/>
        </w:rPr>
      </w:pPr>
    </w:p>
    <w:tbl>
      <w:tblPr>
        <w:tblStyle w:val="45"/>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4"/>
        <w:gridCol w:w="1656"/>
        <w:gridCol w:w="761"/>
        <w:gridCol w:w="761"/>
        <w:gridCol w:w="761"/>
        <w:gridCol w:w="999"/>
        <w:gridCol w:w="2507"/>
        <w:gridCol w:w="908"/>
      </w:tblGrid>
      <w:tr w14:paraId="0739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blHeader/>
        </w:trPr>
        <w:tc>
          <w:tcPr>
            <w:tcW w:w="744" w:type="dxa"/>
            <w:tcMar>
              <w:top w:w="15" w:type="dxa"/>
              <w:left w:w="15" w:type="dxa"/>
              <w:bottom w:w="0" w:type="dxa"/>
              <w:right w:w="15" w:type="dxa"/>
            </w:tcMar>
            <w:vAlign w:val="center"/>
          </w:tcPr>
          <w:p w14:paraId="17C9BC47">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序号</w:t>
            </w:r>
          </w:p>
        </w:tc>
        <w:tc>
          <w:tcPr>
            <w:tcW w:w="1656" w:type="dxa"/>
            <w:tcMar>
              <w:top w:w="15" w:type="dxa"/>
              <w:left w:w="15" w:type="dxa"/>
              <w:bottom w:w="0" w:type="dxa"/>
              <w:right w:w="15" w:type="dxa"/>
            </w:tcMar>
            <w:vAlign w:val="center"/>
          </w:tcPr>
          <w:p w14:paraId="43DB7F2E">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姓  名</w:t>
            </w:r>
          </w:p>
        </w:tc>
        <w:tc>
          <w:tcPr>
            <w:tcW w:w="761" w:type="dxa"/>
            <w:tcMar>
              <w:top w:w="15" w:type="dxa"/>
              <w:left w:w="15" w:type="dxa"/>
              <w:bottom w:w="0" w:type="dxa"/>
              <w:right w:w="15" w:type="dxa"/>
            </w:tcMar>
            <w:vAlign w:val="center"/>
          </w:tcPr>
          <w:p w14:paraId="26B924B7">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性别</w:t>
            </w:r>
          </w:p>
        </w:tc>
        <w:tc>
          <w:tcPr>
            <w:tcW w:w="761" w:type="dxa"/>
            <w:tcMar>
              <w:top w:w="15" w:type="dxa"/>
              <w:left w:w="15" w:type="dxa"/>
              <w:bottom w:w="0" w:type="dxa"/>
              <w:right w:w="15" w:type="dxa"/>
            </w:tcMar>
            <w:vAlign w:val="center"/>
          </w:tcPr>
          <w:p w14:paraId="65CFA6E5">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年龄</w:t>
            </w:r>
          </w:p>
        </w:tc>
        <w:tc>
          <w:tcPr>
            <w:tcW w:w="761" w:type="dxa"/>
            <w:tcMar>
              <w:top w:w="15" w:type="dxa"/>
              <w:left w:w="15" w:type="dxa"/>
              <w:bottom w:w="0" w:type="dxa"/>
              <w:right w:w="15" w:type="dxa"/>
            </w:tcMar>
            <w:vAlign w:val="center"/>
          </w:tcPr>
          <w:p w14:paraId="30691DF4">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学历</w:t>
            </w:r>
          </w:p>
        </w:tc>
        <w:tc>
          <w:tcPr>
            <w:tcW w:w="999" w:type="dxa"/>
            <w:tcMar>
              <w:top w:w="15" w:type="dxa"/>
              <w:left w:w="15" w:type="dxa"/>
              <w:bottom w:w="0" w:type="dxa"/>
              <w:right w:w="15" w:type="dxa"/>
            </w:tcMar>
            <w:vAlign w:val="center"/>
          </w:tcPr>
          <w:p w14:paraId="1BA6C9FF">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工作</w:t>
            </w:r>
          </w:p>
          <w:p w14:paraId="37E39C61">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年限</w:t>
            </w:r>
          </w:p>
        </w:tc>
        <w:tc>
          <w:tcPr>
            <w:tcW w:w="2507" w:type="dxa"/>
            <w:tcMar>
              <w:top w:w="15" w:type="dxa"/>
              <w:left w:w="15" w:type="dxa"/>
              <w:bottom w:w="0" w:type="dxa"/>
              <w:right w:w="15" w:type="dxa"/>
            </w:tcMar>
            <w:vAlign w:val="center"/>
          </w:tcPr>
          <w:p w14:paraId="7D15078E">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拟担任的职务</w:t>
            </w:r>
          </w:p>
        </w:tc>
        <w:tc>
          <w:tcPr>
            <w:tcW w:w="908" w:type="dxa"/>
            <w:tcMar>
              <w:top w:w="15" w:type="dxa"/>
              <w:left w:w="15" w:type="dxa"/>
              <w:bottom w:w="0" w:type="dxa"/>
              <w:right w:w="15" w:type="dxa"/>
            </w:tcMar>
            <w:vAlign w:val="center"/>
          </w:tcPr>
          <w:p w14:paraId="3065411F">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岗位</w:t>
            </w:r>
          </w:p>
          <w:p w14:paraId="5F4191AA">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情况</w:t>
            </w:r>
          </w:p>
        </w:tc>
      </w:tr>
      <w:tr w14:paraId="5D99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2167ADEB">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1B2CADD7">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1ABB6A3">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923449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620F709">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9B4444B">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56BC356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1191DE90">
            <w:pPr>
              <w:adjustRightInd w:val="0"/>
              <w:snapToGrid w:val="0"/>
              <w:spacing w:line="400" w:lineRule="exact"/>
              <w:ind w:firstLine="480" w:firstLineChars="200"/>
              <w:rPr>
                <w:rFonts w:ascii="宋体" w:hAnsi="宋体" w:cs="宋体"/>
                <w:kern w:val="0"/>
                <w:sz w:val="24"/>
                <w:szCs w:val="21"/>
                <w:highlight w:val="none"/>
              </w:rPr>
            </w:pPr>
          </w:p>
        </w:tc>
      </w:tr>
      <w:tr w14:paraId="135C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2557B701">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FDD681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7A437E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FF11908">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EEB204F">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281C5162">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3AFCD422">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3D1D1BAC">
            <w:pPr>
              <w:adjustRightInd w:val="0"/>
              <w:snapToGrid w:val="0"/>
              <w:spacing w:line="400" w:lineRule="exact"/>
              <w:ind w:firstLine="480" w:firstLineChars="200"/>
              <w:rPr>
                <w:rFonts w:ascii="宋体" w:hAnsi="宋体" w:cs="宋体"/>
                <w:kern w:val="0"/>
                <w:sz w:val="24"/>
                <w:szCs w:val="21"/>
                <w:highlight w:val="none"/>
              </w:rPr>
            </w:pPr>
          </w:p>
        </w:tc>
      </w:tr>
      <w:tr w14:paraId="599C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24C15F6E">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A0295F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51E403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615186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13BB84A">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1E4F0142">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0A15A92C">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E909619">
            <w:pPr>
              <w:adjustRightInd w:val="0"/>
              <w:snapToGrid w:val="0"/>
              <w:spacing w:line="400" w:lineRule="exact"/>
              <w:ind w:firstLine="480" w:firstLineChars="200"/>
              <w:rPr>
                <w:rFonts w:ascii="宋体" w:hAnsi="宋体" w:cs="宋体"/>
                <w:kern w:val="0"/>
                <w:sz w:val="24"/>
                <w:szCs w:val="21"/>
                <w:highlight w:val="none"/>
              </w:rPr>
            </w:pPr>
          </w:p>
        </w:tc>
      </w:tr>
      <w:tr w14:paraId="063E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6A889830">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08C5E43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E47A93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0E94193">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3A09FA2">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DED1BA7">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5A2B2E1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CA635B6">
            <w:pPr>
              <w:adjustRightInd w:val="0"/>
              <w:snapToGrid w:val="0"/>
              <w:spacing w:line="400" w:lineRule="exact"/>
              <w:ind w:firstLine="480" w:firstLineChars="200"/>
              <w:rPr>
                <w:rFonts w:ascii="宋体" w:hAnsi="宋体" w:cs="宋体"/>
                <w:kern w:val="0"/>
                <w:sz w:val="24"/>
                <w:szCs w:val="21"/>
                <w:highlight w:val="none"/>
              </w:rPr>
            </w:pPr>
          </w:p>
        </w:tc>
      </w:tr>
      <w:tr w14:paraId="7FBC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7D62A204">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7560A1A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0C61581">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39C89FC">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B0A31C0">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5AFFDDE6">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B59F5B7">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54266784">
            <w:pPr>
              <w:adjustRightInd w:val="0"/>
              <w:snapToGrid w:val="0"/>
              <w:spacing w:line="400" w:lineRule="exact"/>
              <w:ind w:firstLine="480" w:firstLineChars="200"/>
              <w:rPr>
                <w:rFonts w:ascii="宋体" w:hAnsi="宋体" w:cs="宋体"/>
                <w:kern w:val="0"/>
                <w:sz w:val="24"/>
                <w:szCs w:val="21"/>
                <w:highlight w:val="none"/>
              </w:rPr>
            </w:pPr>
          </w:p>
        </w:tc>
      </w:tr>
      <w:tr w14:paraId="0FFF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18260151">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CE29D7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0F5970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4D2EE4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DA4DDF1">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70EAE30">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3C280951">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15F91CD">
            <w:pPr>
              <w:adjustRightInd w:val="0"/>
              <w:snapToGrid w:val="0"/>
              <w:spacing w:line="400" w:lineRule="exact"/>
              <w:ind w:firstLine="480" w:firstLineChars="200"/>
              <w:rPr>
                <w:rFonts w:ascii="宋体" w:hAnsi="宋体" w:cs="宋体"/>
                <w:kern w:val="0"/>
                <w:sz w:val="24"/>
                <w:szCs w:val="21"/>
                <w:highlight w:val="none"/>
              </w:rPr>
            </w:pPr>
          </w:p>
        </w:tc>
      </w:tr>
      <w:tr w14:paraId="7D6F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3C53B4CA">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41CF8FC">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72AEAB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7AF1CCD">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DA99CBD">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7D1C7EF">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08042AE1">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28A0313">
            <w:pPr>
              <w:adjustRightInd w:val="0"/>
              <w:snapToGrid w:val="0"/>
              <w:spacing w:line="400" w:lineRule="exact"/>
              <w:ind w:firstLine="480" w:firstLineChars="200"/>
              <w:rPr>
                <w:rFonts w:ascii="宋体" w:hAnsi="宋体" w:cs="宋体"/>
                <w:kern w:val="0"/>
                <w:sz w:val="24"/>
                <w:szCs w:val="21"/>
                <w:highlight w:val="none"/>
              </w:rPr>
            </w:pPr>
          </w:p>
        </w:tc>
      </w:tr>
      <w:tr w14:paraId="5253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BAAF2C2">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0409BB7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464B6D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28D1BC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EF07C8F">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59866C0C">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43B3917">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75B78423">
            <w:pPr>
              <w:adjustRightInd w:val="0"/>
              <w:snapToGrid w:val="0"/>
              <w:spacing w:line="400" w:lineRule="exact"/>
              <w:ind w:firstLine="480" w:firstLineChars="200"/>
              <w:rPr>
                <w:rFonts w:ascii="宋体" w:hAnsi="宋体" w:cs="宋体"/>
                <w:kern w:val="0"/>
                <w:sz w:val="24"/>
                <w:szCs w:val="21"/>
                <w:highlight w:val="none"/>
              </w:rPr>
            </w:pPr>
          </w:p>
        </w:tc>
      </w:tr>
      <w:tr w14:paraId="658C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006C3329">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2E819D2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497A37E">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CEDE56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63FD576">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627653CD">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6A4DE41">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4077A4BE">
            <w:pPr>
              <w:adjustRightInd w:val="0"/>
              <w:snapToGrid w:val="0"/>
              <w:spacing w:line="400" w:lineRule="exact"/>
              <w:ind w:firstLine="480" w:firstLineChars="200"/>
              <w:rPr>
                <w:rFonts w:ascii="宋体" w:hAnsi="宋体" w:cs="宋体"/>
                <w:kern w:val="0"/>
                <w:sz w:val="24"/>
                <w:szCs w:val="21"/>
                <w:highlight w:val="none"/>
              </w:rPr>
            </w:pPr>
          </w:p>
        </w:tc>
      </w:tr>
      <w:tr w14:paraId="361A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688A85DB">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1C01A603">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7E2528E">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EA19EA2">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E1C7BBD">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70104528">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CCA9E2A">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0317705F">
            <w:pPr>
              <w:adjustRightInd w:val="0"/>
              <w:snapToGrid w:val="0"/>
              <w:spacing w:line="400" w:lineRule="exact"/>
              <w:ind w:firstLine="480" w:firstLineChars="200"/>
              <w:rPr>
                <w:rFonts w:ascii="宋体" w:hAnsi="宋体" w:cs="宋体"/>
                <w:kern w:val="0"/>
                <w:sz w:val="24"/>
                <w:szCs w:val="21"/>
                <w:highlight w:val="none"/>
              </w:rPr>
            </w:pPr>
          </w:p>
        </w:tc>
      </w:tr>
      <w:tr w14:paraId="172E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5688025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49BA81B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067C8B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89DACC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6B57A2F">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4A2C38B5">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F3AE96B">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54625934">
            <w:pPr>
              <w:adjustRightInd w:val="0"/>
              <w:snapToGrid w:val="0"/>
              <w:spacing w:line="400" w:lineRule="exact"/>
              <w:ind w:firstLine="480" w:firstLineChars="200"/>
              <w:rPr>
                <w:rFonts w:ascii="宋体" w:hAnsi="宋体" w:cs="宋体"/>
                <w:kern w:val="0"/>
                <w:sz w:val="24"/>
                <w:szCs w:val="21"/>
                <w:highlight w:val="none"/>
              </w:rPr>
            </w:pPr>
          </w:p>
        </w:tc>
      </w:tr>
      <w:tr w14:paraId="59EC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0C25889F">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41F436C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642D9B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D02B56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5D4ABEE">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DFF5A2F">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931AE4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7C4D871E">
            <w:pPr>
              <w:adjustRightInd w:val="0"/>
              <w:snapToGrid w:val="0"/>
              <w:spacing w:line="400" w:lineRule="exact"/>
              <w:ind w:firstLine="480" w:firstLineChars="200"/>
              <w:rPr>
                <w:rFonts w:ascii="宋体" w:hAnsi="宋体" w:cs="宋体"/>
                <w:kern w:val="0"/>
                <w:sz w:val="24"/>
                <w:szCs w:val="21"/>
                <w:highlight w:val="none"/>
              </w:rPr>
            </w:pPr>
          </w:p>
        </w:tc>
      </w:tr>
      <w:tr w14:paraId="10F3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DE6D5E6">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43D2193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83AD08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4EC290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2AEF545">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4180A532">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31751189">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6EB89B82">
            <w:pPr>
              <w:adjustRightInd w:val="0"/>
              <w:snapToGrid w:val="0"/>
              <w:spacing w:line="400" w:lineRule="exact"/>
              <w:ind w:firstLine="480" w:firstLineChars="200"/>
              <w:rPr>
                <w:rFonts w:ascii="宋体" w:hAnsi="宋体" w:cs="宋体"/>
                <w:kern w:val="0"/>
                <w:sz w:val="24"/>
                <w:szCs w:val="21"/>
                <w:highlight w:val="none"/>
              </w:rPr>
            </w:pPr>
          </w:p>
        </w:tc>
      </w:tr>
      <w:tr w14:paraId="18CF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1D8BD5C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A440EC2">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F97081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3BD2B1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618DD0E">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1A29CBA3">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8A51079">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3EF7D2DC">
            <w:pPr>
              <w:adjustRightInd w:val="0"/>
              <w:snapToGrid w:val="0"/>
              <w:spacing w:line="400" w:lineRule="exact"/>
              <w:ind w:firstLine="480" w:firstLineChars="200"/>
              <w:rPr>
                <w:rFonts w:ascii="宋体" w:hAnsi="宋体" w:cs="宋体"/>
                <w:kern w:val="0"/>
                <w:sz w:val="24"/>
                <w:szCs w:val="21"/>
                <w:highlight w:val="none"/>
              </w:rPr>
            </w:pPr>
          </w:p>
        </w:tc>
      </w:tr>
      <w:tr w14:paraId="2EA2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69F8046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ACD0EB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2FC2A7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C1B7E2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17EA890">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3FF46346">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21CD053F">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4E02EC17">
            <w:pPr>
              <w:adjustRightInd w:val="0"/>
              <w:snapToGrid w:val="0"/>
              <w:spacing w:line="400" w:lineRule="exact"/>
              <w:ind w:firstLine="480" w:firstLineChars="200"/>
              <w:rPr>
                <w:rFonts w:ascii="宋体" w:hAnsi="宋体" w:cs="宋体"/>
                <w:kern w:val="0"/>
                <w:sz w:val="24"/>
                <w:szCs w:val="21"/>
                <w:highlight w:val="none"/>
              </w:rPr>
            </w:pPr>
          </w:p>
        </w:tc>
      </w:tr>
      <w:tr w14:paraId="2135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7A3FC560">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2B5466F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E6D9BC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DEEE3F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E655174">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2FC3F6A2">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04EB82F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14BB94A">
            <w:pPr>
              <w:adjustRightInd w:val="0"/>
              <w:snapToGrid w:val="0"/>
              <w:spacing w:line="400" w:lineRule="exact"/>
              <w:ind w:firstLine="480" w:firstLineChars="200"/>
              <w:rPr>
                <w:rFonts w:ascii="宋体" w:hAnsi="宋体" w:cs="宋体"/>
                <w:kern w:val="0"/>
                <w:sz w:val="24"/>
                <w:szCs w:val="21"/>
                <w:highlight w:val="none"/>
              </w:rPr>
            </w:pPr>
          </w:p>
        </w:tc>
      </w:tr>
      <w:tr w14:paraId="6F5E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3" w:hRule="atLeast"/>
        </w:trPr>
        <w:tc>
          <w:tcPr>
            <w:tcW w:w="744" w:type="dxa"/>
            <w:tcMar>
              <w:top w:w="15" w:type="dxa"/>
              <w:left w:w="15" w:type="dxa"/>
              <w:bottom w:w="0" w:type="dxa"/>
              <w:right w:w="15" w:type="dxa"/>
            </w:tcMar>
            <w:vAlign w:val="bottom"/>
          </w:tcPr>
          <w:p w14:paraId="0E58884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0084C04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A9E3E0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608F62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FAFA78D">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46DD315D">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054DBE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70891672">
            <w:pPr>
              <w:adjustRightInd w:val="0"/>
              <w:snapToGrid w:val="0"/>
              <w:spacing w:line="400" w:lineRule="exact"/>
              <w:ind w:firstLine="480" w:firstLineChars="200"/>
              <w:rPr>
                <w:rFonts w:ascii="宋体" w:hAnsi="宋体" w:cs="宋体"/>
                <w:kern w:val="0"/>
                <w:sz w:val="24"/>
                <w:szCs w:val="21"/>
                <w:highlight w:val="none"/>
              </w:rPr>
            </w:pPr>
          </w:p>
        </w:tc>
      </w:tr>
    </w:tbl>
    <w:p w14:paraId="7B626219">
      <w:pPr>
        <w:rPr>
          <w:highlight w:val="none"/>
        </w:rPr>
      </w:pPr>
    </w:p>
    <w:p w14:paraId="6B80DBE0">
      <w:pPr>
        <w:adjustRightInd w:val="0"/>
        <w:snapToGrid w:val="0"/>
        <w:spacing w:line="480" w:lineRule="auto"/>
        <w:jc w:val="left"/>
        <w:rPr>
          <w:rFonts w:hint="eastAsia" w:cs="宋体" w:asciiTheme="minorEastAsia" w:hAnsiTheme="minorEastAsia" w:eastAsiaTheme="minorEastAsia"/>
          <w:sz w:val="28"/>
          <w:szCs w:val="28"/>
        </w:rPr>
      </w:pPr>
    </w:p>
    <w:p w14:paraId="4F8D0458">
      <w:pPr>
        <w:adjustRightInd w:val="0"/>
        <w:snapToGrid w:val="0"/>
        <w:spacing w:line="480" w:lineRule="auto"/>
        <w:jc w:val="left"/>
        <w:rPr>
          <w:rFonts w:cs="Times New Roman" w:asciiTheme="minorEastAsia" w:hAnsiTheme="minorEastAsia" w:eastAsiaTheme="minorEastAsia"/>
          <w:sz w:val="28"/>
          <w:szCs w:val="28"/>
          <w:u w:val="single"/>
        </w:rPr>
      </w:pPr>
      <w:r>
        <w:rPr>
          <w:rFonts w:hint="eastAsia" w:cs="宋体" w:asciiTheme="minorEastAsia" w:hAnsiTheme="minorEastAsia" w:eastAsiaTheme="minorEastAsia"/>
          <w:sz w:val="28"/>
          <w:szCs w:val="28"/>
        </w:rPr>
        <w:t>供应商（单位名称及公章）：</w:t>
      </w:r>
      <w:r>
        <w:rPr>
          <w:rFonts w:cs="宋体" w:asciiTheme="minorEastAsia" w:hAnsiTheme="minorEastAsia" w:eastAsiaTheme="minorEastAsia"/>
          <w:sz w:val="28"/>
          <w:szCs w:val="28"/>
        </w:rPr>
        <w:t>____________________</w:t>
      </w:r>
    </w:p>
    <w:p w14:paraId="6FD9C88C">
      <w:pPr>
        <w:adjustRightInd w:val="0"/>
        <w:snapToGrid w:val="0"/>
        <w:spacing w:line="480" w:lineRule="auto"/>
        <w:rPr>
          <w:rFonts w:cs="Times New Roman" w:asciiTheme="minorEastAsia" w:hAnsiTheme="minorEastAsia" w:eastAsiaTheme="minorEastAsia"/>
          <w:sz w:val="28"/>
          <w:szCs w:val="28"/>
        </w:rPr>
      </w:pPr>
      <w:r>
        <w:rPr>
          <w:rFonts w:hint="eastAsia" w:cs="宋体" w:asciiTheme="minorEastAsia" w:hAnsiTheme="minorEastAsia" w:eastAsiaTheme="minorEastAsia"/>
          <w:sz w:val="28"/>
          <w:szCs w:val="28"/>
        </w:rPr>
        <w:t>法定代表人</w:t>
      </w:r>
      <w:r>
        <w:rPr>
          <w:rFonts w:hint="eastAsia" w:cs="宋体" w:asciiTheme="minorEastAsia" w:hAnsiTheme="minorEastAsia" w:eastAsiaTheme="minorEastAsia"/>
          <w:sz w:val="28"/>
          <w:szCs w:val="28"/>
          <w:lang w:val="en-US" w:eastAsia="zh-CN"/>
        </w:rPr>
        <w:t>或</w:t>
      </w:r>
      <w:r>
        <w:rPr>
          <w:rFonts w:hint="eastAsia" w:cs="宋体" w:asciiTheme="minorEastAsia" w:hAnsiTheme="minorEastAsia" w:eastAsiaTheme="minorEastAsia"/>
          <w:sz w:val="28"/>
          <w:szCs w:val="28"/>
        </w:rPr>
        <w:t>被授权人（签字）：</w:t>
      </w:r>
      <w:r>
        <w:rPr>
          <w:rFonts w:cs="宋体" w:asciiTheme="minorEastAsia" w:hAnsiTheme="minorEastAsia" w:eastAsiaTheme="minorEastAsia"/>
          <w:sz w:val="28"/>
          <w:szCs w:val="28"/>
        </w:rPr>
        <w:t>____________________</w:t>
      </w:r>
    </w:p>
    <w:p w14:paraId="25FDD7E5">
      <w:pPr>
        <w:jc w:val="left"/>
        <w:rPr>
          <w:rFonts w:hint="default" w:ascii="宋体" w:hAnsi="宋体" w:eastAsia="宋体" w:cs="宋体"/>
          <w:b/>
          <w:bCs/>
          <w:sz w:val="24"/>
          <w:szCs w:val="24"/>
          <w:lang w:val="en-US" w:eastAsia="zh-CN"/>
        </w:rPr>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cs="宋体" w:asciiTheme="minorEastAsia" w:hAnsiTheme="minorEastAsia" w:eastAsiaTheme="minorEastAsia"/>
          <w:sz w:val="28"/>
          <w:szCs w:val="28"/>
        </w:rPr>
        <w:t>日</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期：</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年</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月</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日</w:t>
      </w:r>
    </w:p>
    <w:p w14:paraId="498949B2">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业绩情况一览表</w:t>
      </w:r>
    </w:p>
    <w:p w14:paraId="15AE1F4A">
      <w:pPr>
        <w:pStyle w:val="72"/>
        <w:rPr>
          <w:rFonts w:hint="eastAsia"/>
          <w:lang w:val="en-US" w:eastAsia="zh-CN"/>
        </w:rPr>
      </w:pPr>
    </w:p>
    <w:tbl>
      <w:tblPr>
        <w:tblStyle w:val="4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40"/>
        <w:gridCol w:w="1404"/>
        <w:gridCol w:w="2069"/>
        <w:gridCol w:w="1244"/>
        <w:gridCol w:w="1820"/>
        <w:gridCol w:w="1820"/>
      </w:tblGrid>
      <w:tr w14:paraId="6C381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0BB71DDD">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04" w:type="dxa"/>
            <w:vAlign w:val="center"/>
          </w:tcPr>
          <w:p w14:paraId="1B479B0F">
            <w:pPr>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2069" w:type="dxa"/>
            <w:vAlign w:val="center"/>
          </w:tcPr>
          <w:p w14:paraId="0F3D80D4">
            <w:pPr>
              <w:jc w:val="center"/>
              <w:rPr>
                <w:rFonts w:hint="eastAsia" w:ascii="宋体" w:hAnsi="宋体" w:eastAsia="宋体" w:cs="宋体"/>
                <w:b/>
                <w:bCs/>
                <w:sz w:val="24"/>
                <w:szCs w:val="24"/>
              </w:rPr>
            </w:pPr>
            <w:r>
              <w:rPr>
                <w:rFonts w:hint="eastAsia" w:ascii="宋体" w:hAnsi="宋体" w:eastAsia="宋体" w:cs="宋体"/>
                <w:b/>
                <w:bCs/>
                <w:sz w:val="24"/>
                <w:szCs w:val="24"/>
              </w:rPr>
              <w:t>合同标的产品</w:t>
            </w:r>
          </w:p>
        </w:tc>
        <w:tc>
          <w:tcPr>
            <w:tcW w:w="1244" w:type="dxa"/>
            <w:vAlign w:val="center"/>
          </w:tcPr>
          <w:p w14:paraId="5FB0F91F">
            <w:pPr>
              <w:wordWrap w:val="0"/>
              <w:jc w:val="center"/>
              <w:rPr>
                <w:rFonts w:hint="eastAsia" w:ascii="宋体" w:hAnsi="宋体" w:eastAsia="宋体" w:cs="宋体"/>
                <w:b/>
                <w:bCs/>
                <w:sz w:val="24"/>
                <w:szCs w:val="24"/>
              </w:rPr>
            </w:pPr>
            <w:r>
              <w:rPr>
                <w:rFonts w:hint="eastAsia" w:ascii="宋体" w:hAnsi="宋体" w:eastAsia="宋体" w:cs="宋体"/>
                <w:b/>
                <w:bCs/>
                <w:sz w:val="24"/>
                <w:szCs w:val="24"/>
              </w:rPr>
              <w:t>合同签订</w:t>
            </w:r>
          </w:p>
          <w:p w14:paraId="677294E2">
            <w:pPr>
              <w:jc w:val="center"/>
              <w:rPr>
                <w:rFonts w:hint="eastAsia" w:ascii="宋体" w:hAnsi="宋体" w:eastAsia="宋体" w:cs="宋体"/>
                <w:b/>
                <w:bCs/>
                <w:sz w:val="24"/>
                <w:szCs w:val="24"/>
              </w:rPr>
            </w:pPr>
            <w:r>
              <w:rPr>
                <w:rFonts w:hint="eastAsia" w:ascii="宋体" w:hAnsi="宋体" w:eastAsia="宋体" w:cs="宋体"/>
                <w:b/>
                <w:bCs/>
                <w:sz w:val="24"/>
                <w:szCs w:val="24"/>
              </w:rPr>
              <w:t>时间</w:t>
            </w:r>
          </w:p>
        </w:tc>
        <w:tc>
          <w:tcPr>
            <w:tcW w:w="1820" w:type="dxa"/>
            <w:vAlign w:val="center"/>
          </w:tcPr>
          <w:p w14:paraId="06671BAF">
            <w:pPr>
              <w:jc w:val="center"/>
              <w:rPr>
                <w:rFonts w:hint="eastAsia" w:ascii="宋体" w:hAnsi="宋体" w:eastAsia="宋体" w:cs="宋体"/>
                <w:b/>
                <w:bCs/>
                <w:sz w:val="24"/>
                <w:szCs w:val="24"/>
              </w:rPr>
            </w:pPr>
            <w:r>
              <w:rPr>
                <w:rFonts w:hint="eastAsia" w:ascii="宋体" w:hAnsi="宋体" w:eastAsia="宋体" w:cs="宋体"/>
                <w:b/>
                <w:bCs/>
                <w:sz w:val="24"/>
                <w:szCs w:val="24"/>
              </w:rPr>
              <w:t>采购</w:t>
            </w:r>
            <w:r>
              <w:rPr>
                <w:rFonts w:hint="eastAsia" w:ascii="宋体" w:hAnsi="宋体" w:eastAsia="宋体" w:cs="宋体"/>
                <w:b/>
                <w:bCs/>
                <w:sz w:val="24"/>
                <w:szCs w:val="24"/>
                <w:lang w:val="en-US" w:eastAsia="zh-CN"/>
              </w:rPr>
              <w:t>单位</w:t>
            </w:r>
            <w:r>
              <w:rPr>
                <w:rFonts w:hint="eastAsia" w:ascii="宋体" w:hAnsi="宋体" w:eastAsia="宋体" w:cs="宋体"/>
                <w:b/>
                <w:bCs/>
                <w:sz w:val="24"/>
                <w:szCs w:val="24"/>
              </w:rPr>
              <w:t>名称</w:t>
            </w:r>
          </w:p>
        </w:tc>
        <w:tc>
          <w:tcPr>
            <w:tcW w:w="1820" w:type="dxa"/>
            <w:vAlign w:val="center"/>
          </w:tcPr>
          <w:p w14:paraId="70FF023F">
            <w:pPr>
              <w:jc w:val="center"/>
              <w:rPr>
                <w:rFonts w:hint="eastAsia" w:ascii="宋体" w:hAnsi="宋体" w:eastAsia="宋体" w:cs="宋体"/>
                <w:b/>
                <w:bCs/>
                <w:sz w:val="24"/>
                <w:szCs w:val="24"/>
              </w:rPr>
            </w:pPr>
            <w:r>
              <w:rPr>
                <w:rFonts w:hint="eastAsia" w:ascii="宋体" w:hAnsi="宋体" w:eastAsia="宋体" w:cs="宋体"/>
                <w:b/>
                <w:bCs/>
                <w:sz w:val="24"/>
                <w:szCs w:val="24"/>
              </w:rPr>
              <w:t>联系人及电话</w:t>
            </w:r>
          </w:p>
        </w:tc>
      </w:tr>
      <w:tr w14:paraId="6F01E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445E29CF">
            <w:pPr>
              <w:ind w:left="120"/>
              <w:jc w:val="center"/>
              <w:rPr>
                <w:rFonts w:ascii="宋体" w:hAnsi="宋体"/>
                <w:sz w:val="24"/>
                <w:szCs w:val="24"/>
              </w:rPr>
            </w:pPr>
            <w:r>
              <w:rPr>
                <w:rFonts w:hint="eastAsia" w:ascii="宋体" w:hAnsi="宋体"/>
                <w:sz w:val="24"/>
                <w:szCs w:val="24"/>
              </w:rPr>
              <w:t>1</w:t>
            </w:r>
          </w:p>
        </w:tc>
        <w:tc>
          <w:tcPr>
            <w:tcW w:w="1404" w:type="dxa"/>
            <w:vAlign w:val="center"/>
          </w:tcPr>
          <w:p w14:paraId="17A1E0F6">
            <w:pPr>
              <w:jc w:val="center"/>
              <w:rPr>
                <w:rFonts w:ascii="宋体" w:hAnsi="宋体"/>
                <w:sz w:val="24"/>
                <w:szCs w:val="24"/>
              </w:rPr>
            </w:pPr>
          </w:p>
        </w:tc>
        <w:tc>
          <w:tcPr>
            <w:tcW w:w="2069" w:type="dxa"/>
            <w:vAlign w:val="center"/>
          </w:tcPr>
          <w:p w14:paraId="16411B55">
            <w:pPr>
              <w:jc w:val="center"/>
              <w:rPr>
                <w:rFonts w:ascii="宋体" w:hAnsi="宋体"/>
                <w:sz w:val="24"/>
                <w:szCs w:val="24"/>
              </w:rPr>
            </w:pPr>
          </w:p>
        </w:tc>
        <w:tc>
          <w:tcPr>
            <w:tcW w:w="1244" w:type="dxa"/>
          </w:tcPr>
          <w:p w14:paraId="6422AF9A">
            <w:pPr>
              <w:jc w:val="center"/>
              <w:rPr>
                <w:rFonts w:ascii="宋体" w:hAnsi="宋体"/>
                <w:sz w:val="24"/>
                <w:szCs w:val="24"/>
              </w:rPr>
            </w:pPr>
          </w:p>
        </w:tc>
        <w:tc>
          <w:tcPr>
            <w:tcW w:w="1820" w:type="dxa"/>
          </w:tcPr>
          <w:p w14:paraId="10049A98">
            <w:pPr>
              <w:jc w:val="center"/>
              <w:rPr>
                <w:rFonts w:ascii="宋体" w:hAnsi="宋体"/>
                <w:sz w:val="24"/>
                <w:szCs w:val="24"/>
              </w:rPr>
            </w:pPr>
          </w:p>
        </w:tc>
        <w:tc>
          <w:tcPr>
            <w:tcW w:w="1820" w:type="dxa"/>
          </w:tcPr>
          <w:p w14:paraId="570C5603">
            <w:pPr>
              <w:jc w:val="center"/>
              <w:rPr>
                <w:rFonts w:ascii="宋体" w:hAnsi="宋体"/>
                <w:sz w:val="24"/>
                <w:szCs w:val="24"/>
              </w:rPr>
            </w:pPr>
          </w:p>
        </w:tc>
      </w:tr>
      <w:tr w14:paraId="1B744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413C4DD1">
            <w:pPr>
              <w:ind w:left="120"/>
              <w:jc w:val="center"/>
              <w:rPr>
                <w:rFonts w:ascii="宋体" w:hAnsi="宋体"/>
                <w:sz w:val="24"/>
                <w:szCs w:val="24"/>
              </w:rPr>
            </w:pPr>
            <w:r>
              <w:rPr>
                <w:rFonts w:hint="eastAsia" w:ascii="宋体" w:hAnsi="宋体"/>
                <w:sz w:val="24"/>
                <w:szCs w:val="24"/>
              </w:rPr>
              <w:t>2</w:t>
            </w:r>
          </w:p>
        </w:tc>
        <w:tc>
          <w:tcPr>
            <w:tcW w:w="1404" w:type="dxa"/>
            <w:vAlign w:val="center"/>
          </w:tcPr>
          <w:p w14:paraId="76D47358">
            <w:pPr>
              <w:jc w:val="center"/>
              <w:rPr>
                <w:rFonts w:ascii="宋体" w:hAnsi="宋体"/>
                <w:sz w:val="24"/>
                <w:szCs w:val="24"/>
              </w:rPr>
            </w:pPr>
          </w:p>
        </w:tc>
        <w:tc>
          <w:tcPr>
            <w:tcW w:w="2069" w:type="dxa"/>
            <w:vAlign w:val="center"/>
          </w:tcPr>
          <w:p w14:paraId="47B29965">
            <w:pPr>
              <w:jc w:val="center"/>
              <w:rPr>
                <w:rFonts w:ascii="宋体" w:hAnsi="宋体"/>
                <w:sz w:val="24"/>
                <w:szCs w:val="24"/>
              </w:rPr>
            </w:pPr>
          </w:p>
        </w:tc>
        <w:tc>
          <w:tcPr>
            <w:tcW w:w="1244" w:type="dxa"/>
          </w:tcPr>
          <w:p w14:paraId="3692751A">
            <w:pPr>
              <w:jc w:val="center"/>
              <w:rPr>
                <w:rFonts w:ascii="宋体" w:hAnsi="宋体"/>
                <w:sz w:val="24"/>
                <w:szCs w:val="24"/>
              </w:rPr>
            </w:pPr>
          </w:p>
        </w:tc>
        <w:tc>
          <w:tcPr>
            <w:tcW w:w="1820" w:type="dxa"/>
          </w:tcPr>
          <w:p w14:paraId="3C96E8F5">
            <w:pPr>
              <w:jc w:val="center"/>
              <w:rPr>
                <w:rFonts w:ascii="宋体" w:hAnsi="宋体"/>
                <w:sz w:val="24"/>
                <w:szCs w:val="24"/>
              </w:rPr>
            </w:pPr>
          </w:p>
        </w:tc>
        <w:tc>
          <w:tcPr>
            <w:tcW w:w="1820" w:type="dxa"/>
          </w:tcPr>
          <w:p w14:paraId="556C102B">
            <w:pPr>
              <w:jc w:val="center"/>
              <w:rPr>
                <w:rFonts w:ascii="宋体" w:hAnsi="宋体"/>
                <w:sz w:val="24"/>
                <w:szCs w:val="24"/>
              </w:rPr>
            </w:pPr>
          </w:p>
        </w:tc>
      </w:tr>
      <w:tr w14:paraId="420DD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795E64A5">
            <w:pPr>
              <w:ind w:left="120"/>
              <w:jc w:val="center"/>
              <w:rPr>
                <w:rFonts w:ascii="宋体" w:hAnsi="宋体"/>
                <w:sz w:val="24"/>
                <w:szCs w:val="24"/>
              </w:rPr>
            </w:pPr>
            <w:r>
              <w:rPr>
                <w:rFonts w:hint="eastAsia" w:ascii="宋体" w:hAnsi="宋体"/>
                <w:sz w:val="24"/>
                <w:szCs w:val="24"/>
              </w:rPr>
              <w:t>3</w:t>
            </w:r>
          </w:p>
        </w:tc>
        <w:tc>
          <w:tcPr>
            <w:tcW w:w="1404" w:type="dxa"/>
            <w:vAlign w:val="center"/>
          </w:tcPr>
          <w:p w14:paraId="3B9E1437">
            <w:pPr>
              <w:jc w:val="center"/>
              <w:rPr>
                <w:rFonts w:ascii="宋体" w:hAnsi="宋体"/>
                <w:sz w:val="24"/>
                <w:szCs w:val="24"/>
              </w:rPr>
            </w:pPr>
          </w:p>
        </w:tc>
        <w:tc>
          <w:tcPr>
            <w:tcW w:w="2069" w:type="dxa"/>
            <w:vAlign w:val="center"/>
          </w:tcPr>
          <w:p w14:paraId="273487FA">
            <w:pPr>
              <w:jc w:val="center"/>
              <w:rPr>
                <w:rFonts w:ascii="宋体" w:hAnsi="宋体"/>
                <w:sz w:val="24"/>
                <w:szCs w:val="24"/>
              </w:rPr>
            </w:pPr>
          </w:p>
        </w:tc>
        <w:tc>
          <w:tcPr>
            <w:tcW w:w="1244" w:type="dxa"/>
          </w:tcPr>
          <w:p w14:paraId="293481EF">
            <w:pPr>
              <w:jc w:val="center"/>
              <w:rPr>
                <w:rFonts w:ascii="宋体" w:hAnsi="宋体"/>
                <w:sz w:val="24"/>
                <w:szCs w:val="24"/>
              </w:rPr>
            </w:pPr>
          </w:p>
        </w:tc>
        <w:tc>
          <w:tcPr>
            <w:tcW w:w="1820" w:type="dxa"/>
          </w:tcPr>
          <w:p w14:paraId="713CE457">
            <w:pPr>
              <w:jc w:val="center"/>
              <w:rPr>
                <w:rFonts w:ascii="宋体" w:hAnsi="宋体"/>
                <w:sz w:val="24"/>
                <w:szCs w:val="24"/>
              </w:rPr>
            </w:pPr>
          </w:p>
        </w:tc>
        <w:tc>
          <w:tcPr>
            <w:tcW w:w="1820" w:type="dxa"/>
          </w:tcPr>
          <w:p w14:paraId="1A1D3F15">
            <w:pPr>
              <w:jc w:val="center"/>
              <w:rPr>
                <w:rFonts w:ascii="宋体" w:hAnsi="宋体"/>
                <w:sz w:val="24"/>
                <w:szCs w:val="24"/>
              </w:rPr>
            </w:pPr>
          </w:p>
        </w:tc>
      </w:tr>
      <w:tr w14:paraId="5B7B1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752637B2">
            <w:pPr>
              <w:ind w:left="120"/>
              <w:jc w:val="center"/>
              <w:rPr>
                <w:rFonts w:ascii="宋体" w:hAnsi="宋体"/>
                <w:sz w:val="24"/>
                <w:szCs w:val="24"/>
              </w:rPr>
            </w:pPr>
            <w:r>
              <w:rPr>
                <w:rFonts w:hint="eastAsia" w:ascii="宋体" w:hAnsi="宋体"/>
                <w:sz w:val="24"/>
                <w:szCs w:val="24"/>
              </w:rPr>
              <w:t>4</w:t>
            </w:r>
          </w:p>
        </w:tc>
        <w:tc>
          <w:tcPr>
            <w:tcW w:w="1404" w:type="dxa"/>
            <w:vAlign w:val="center"/>
          </w:tcPr>
          <w:p w14:paraId="1EB51CE4">
            <w:pPr>
              <w:jc w:val="center"/>
              <w:rPr>
                <w:rFonts w:ascii="宋体" w:hAnsi="宋体"/>
                <w:sz w:val="24"/>
                <w:szCs w:val="24"/>
              </w:rPr>
            </w:pPr>
          </w:p>
        </w:tc>
        <w:tc>
          <w:tcPr>
            <w:tcW w:w="2069" w:type="dxa"/>
            <w:vAlign w:val="center"/>
          </w:tcPr>
          <w:p w14:paraId="0E52423F">
            <w:pPr>
              <w:jc w:val="center"/>
              <w:rPr>
                <w:rFonts w:ascii="宋体" w:hAnsi="宋体"/>
                <w:sz w:val="24"/>
                <w:szCs w:val="24"/>
              </w:rPr>
            </w:pPr>
          </w:p>
        </w:tc>
        <w:tc>
          <w:tcPr>
            <w:tcW w:w="1244" w:type="dxa"/>
          </w:tcPr>
          <w:p w14:paraId="7677DBF8">
            <w:pPr>
              <w:jc w:val="center"/>
              <w:rPr>
                <w:rFonts w:ascii="宋体" w:hAnsi="宋体"/>
                <w:sz w:val="24"/>
                <w:szCs w:val="24"/>
              </w:rPr>
            </w:pPr>
          </w:p>
        </w:tc>
        <w:tc>
          <w:tcPr>
            <w:tcW w:w="1820" w:type="dxa"/>
          </w:tcPr>
          <w:p w14:paraId="057F5E37">
            <w:pPr>
              <w:jc w:val="center"/>
              <w:rPr>
                <w:rFonts w:ascii="宋体" w:hAnsi="宋体"/>
                <w:sz w:val="24"/>
                <w:szCs w:val="24"/>
              </w:rPr>
            </w:pPr>
          </w:p>
        </w:tc>
        <w:tc>
          <w:tcPr>
            <w:tcW w:w="1820" w:type="dxa"/>
          </w:tcPr>
          <w:p w14:paraId="4FDD939D">
            <w:pPr>
              <w:jc w:val="center"/>
              <w:rPr>
                <w:rFonts w:ascii="宋体" w:hAnsi="宋体"/>
                <w:sz w:val="24"/>
                <w:szCs w:val="24"/>
              </w:rPr>
            </w:pPr>
          </w:p>
        </w:tc>
      </w:tr>
      <w:tr w14:paraId="6E4FB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69151603">
            <w:pPr>
              <w:ind w:left="120"/>
              <w:jc w:val="center"/>
              <w:rPr>
                <w:rFonts w:ascii="宋体" w:hAnsi="宋体"/>
                <w:sz w:val="24"/>
                <w:szCs w:val="24"/>
              </w:rPr>
            </w:pPr>
            <w:r>
              <w:rPr>
                <w:rFonts w:hint="eastAsia" w:ascii="宋体" w:hAnsi="宋体"/>
                <w:sz w:val="24"/>
                <w:szCs w:val="24"/>
              </w:rPr>
              <w:t>5</w:t>
            </w:r>
          </w:p>
        </w:tc>
        <w:tc>
          <w:tcPr>
            <w:tcW w:w="1404" w:type="dxa"/>
            <w:vAlign w:val="center"/>
          </w:tcPr>
          <w:p w14:paraId="6B745497">
            <w:pPr>
              <w:jc w:val="center"/>
              <w:rPr>
                <w:rFonts w:ascii="宋体" w:hAnsi="宋体"/>
                <w:sz w:val="24"/>
                <w:szCs w:val="24"/>
              </w:rPr>
            </w:pPr>
          </w:p>
        </w:tc>
        <w:tc>
          <w:tcPr>
            <w:tcW w:w="2069" w:type="dxa"/>
            <w:vAlign w:val="center"/>
          </w:tcPr>
          <w:p w14:paraId="186890EE">
            <w:pPr>
              <w:jc w:val="center"/>
              <w:rPr>
                <w:rFonts w:ascii="宋体" w:hAnsi="宋体"/>
                <w:sz w:val="24"/>
                <w:szCs w:val="24"/>
              </w:rPr>
            </w:pPr>
          </w:p>
        </w:tc>
        <w:tc>
          <w:tcPr>
            <w:tcW w:w="1244" w:type="dxa"/>
          </w:tcPr>
          <w:p w14:paraId="5E3137F2">
            <w:pPr>
              <w:jc w:val="center"/>
              <w:rPr>
                <w:rFonts w:ascii="宋体" w:hAnsi="宋体"/>
                <w:sz w:val="24"/>
                <w:szCs w:val="24"/>
              </w:rPr>
            </w:pPr>
          </w:p>
        </w:tc>
        <w:tc>
          <w:tcPr>
            <w:tcW w:w="1820" w:type="dxa"/>
          </w:tcPr>
          <w:p w14:paraId="7BC70707">
            <w:pPr>
              <w:jc w:val="center"/>
              <w:rPr>
                <w:rFonts w:ascii="宋体" w:hAnsi="宋体"/>
                <w:sz w:val="24"/>
                <w:szCs w:val="24"/>
              </w:rPr>
            </w:pPr>
          </w:p>
        </w:tc>
        <w:tc>
          <w:tcPr>
            <w:tcW w:w="1820" w:type="dxa"/>
          </w:tcPr>
          <w:p w14:paraId="3F37CCCF">
            <w:pPr>
              <w:jc w:val="center"/>
              <w:rPr>
                <w:rFonts w:ascii="宋体" w:hAnsi="宋体"/>
                <w:sz w:val="24"/>
                <w:szCs w:val="24"/>
              </w:rPr>
            </w:pPr>
          </w:p>
        </w:tc>
      </w:tr>
      <w:tr w14:paraId="34F25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8" w:hRule="atLeast"/>
        </w:trPr>
        <w:tc>
          <w:tcPr>
            <w:tcW w:w="740" w:type="dxa"/>
            <w:vAlign w:val="center"/>
          </w:tcPr>
          <w:p w14:paraId="454F7DF8">
            <w:pPr>
              <w:jc w:val="center"/>
              <w:rPr>
                <w:rFonts w:ascii="宋体" w:hAnsi="宋体"/>
                <w:sz w:val="24"/>
                <w:szCs w:val="24"/>
              </w:rPr>
            </w:pPr>
            <w:r>
              <w:rPr>
                <w:rFonts w:hint="eastAsia" w:ascii="宋体" w:hAnsi="宋体"/>
                <w:sz w:val="24"/>
                <w:szCs w:val="24"/>
              </w:rPr>
              <w:t>…</w:t>
            </w:r>
          </w:p>
        </w:tc>
        <w:tc>
          <w:tcPr>
            <w:tcW w:w="1404" w:type="dxa"/>
            <w:vAlign w:val="center"/>
          </w:tcPr>
          <w:p w14:paraId="3DEB1F21">
            <w:pPr>
              <w:jc w:val="center"/>
              <w:rPr>
                <w:rFonts w:ascii="宋体" w:hAnsi="宋体"/>
                <w:sz w:val="24"/>
                <w:szCs w:val="24"/>
              </w:rPr>
            </w:pPr>
          </w:p>
        </w:tc>
        <w:tc>
          <w:tcPr>
            <w:tcW w:w="2069" w:type="dxa"/>
            <w:vAlign w:val="center"/>
          </w:tcPr>
          <w:p w14:paraId="54B3E807">
            <w:pPr>
              <w:jc w:val="center"/>
              <w:rPr>
                <w:rFonts w:ascii="宋体" w:hAnsi="宋体"/>
                <w:sz w:val="24"/>
                <w:szCs w:val="24"/>
              </w:rPr>
            </w:pPr>
          </w:p>
        </w:tc>
        <w:tc>
          <w:tcPr>
            <w:tcW w:w="1244" w:type="dxa"/>
          </w:tcPr>
          <w:p w14:paraId="2B90D311">
            <w:pPr>
              <w:jc w:val="center"/>
              <w:rPr>
                <w:rFonts w:ascii="宋体" w:hAnsi="宋体"/>
                <w:sz w:val="24"/>
                <w:szCs w:val="24"/>
              </w:rPr>
            </w:pPr>
          </w:p>
        </w:tc>
        <w:tc>
          <w:tcPr>
            <w:tcW w:w="1820" w:type="dxa"/>
          </w:tcPr>
          <w:p w14:paraId="01913BD7">
            <w:pPr>
              <w:jc w:val="center"/>
              <w:rPr>
                <w:rFonts w:ascii="宋体" w:hAnsi="宋体"/>
                <w:sz w:val="24"/>
                <w:szCs w:val="24"/>
              </w:rPr>
            </w:pPr>
          </w:p>
        </w:tc>
        <w:tc>
          <w:tcPr>
            <w:tcW w:w="1820" w:type="dxa"/>
          </w:tcPr>
          <w:p w14:paraId="079E0F83">
            <w:pPr>
              <w:jc w:val="center"/>
              <w:rPr>
                <w:rFonts w:ascii="宋体" w:hAnsi="宋体"/>
                <w:sz w:val="24"/>
                <w:szCs w:val="24"/>
              </w:rPr>
            </w:pPr>
          </w:p>
        </w:tc>
      </w:tr>
    </w:tbl>
    <w:p w14:paraId="13B481A2">
      <w:pPr>
        <w:tabs>
          <w:tab w:val="left" w:pos="8782"/>
        </w:tabs>
        <w:snapToGrid w:val="0"/>
        <w:spacing w:line="360" w:lineRule="auto"/>
        <w:rPr>
          <w:rFonts w:ascii="宋体" w:hAnsi="宋体"/>
          <w:sz w:val="24"/>
          <w:szCs w:val="24"/>
        </w:rPr>
      </w:pPr>
      <w:r>
        <w:rPr>
          <w:rFonts w:hint="eastAsia" w:ascii="宋体" w:hAnsi="宋体"/>
          <w:sz w:val="24"/>
          <w:szCs w:val="24"/>
        </w:rPr>
        <w:t>注：1.投标人应如实列出以上情况，如有隐瞒，一经查实将导致其报价申请被拒绝。</w:t>
      </w:r>
    </w:p>
    <w:p w14:paraId="4C8684C2">
      <w:pPr>
        <w:tabs>
          <w:tab w:val="left" w:pos="8782"/>
        </w:tabs>
        <w:snapToGrid w:val="0"/>
        <w:spacing w:line="360" w:lineRule="auto"/>
        <w:ind w:firstLine="480" w:firstLineChars="200"/>
        <w:rPr>
          <w:rFonts w:ascii="宋体" w:hAnsi="宋体"/>
          <w:sz w:val="24"/>
          <w:szCs w:val="24"/>
        </w:rPr>
      </w:pPr>
      <w:r>
        <w:rPr>
          <w:rFonts w:hint="eastAsia" w:ascii="宋体" w:hAnsi="宋体"/>
          <w:sz w:val="24"/>
          <w:szCs w:val="24"/>
        </w:rPr>
        <w:t>2.投标人应提供双方签订的合同（合同复印件加盖公章</w:t>
      </w:r>
      <w:r>
        <w:rPr>
          <w:rFonts w:hint="eastAsia" w:ascii="宋体" w:hAnsi="宋体"/>
          <w:sz w:val="24"/>
          <w:szCs w:val="24"/>
          <w:lang w:val="en-US" w:eastAsia="zh-CN"/>
        </w:rPr>
        <w:t>附</w:t>
      </w:r>
      <w:r>
        <w:rPr>
          <w:rFonts w:hint="eastAsia" w:ascii="宋体" w:hAnsi="宋体"/>
          <w:sz w:val="24"/>
          <w:szCs w:val="24"/>
        </w:rPr>
        <w:t xml:space="preserve">在响应文件中）。 </w:t>
      </w:r>
    </w:p>
    <w:p w14:paraId="64A8A6EE">
      <w:pPr>
        <w:tabs>
          <w:tab w:val="left" w:pos="8782"/>
        </w:tabs>
        <w:snapToGrid w:val="0"/>
        <w:spacing w:line="360" w:lineRule="auto"/>
        <w:ind w:firstLine="840" w:firstLineChars="350"/>
        <w:rPr>
          <w:rFonts w:ascii="宋体" w:hAnsi="宋体"/>
          <w:sz w:val="24"/>
          <w:szCs w:val="24"/>
        </w:rPr>
      </w:pPr>
    </w:p>
    <w:p w14:paraId="39129BC0">
      <w:pPr>
        <w:pStyle w:val="30"/>
      </w:pPr>
    </w:p>
    <w:p w14:paraId="120A86E4">
      <w:pPr>
        <w:adjustRightInd w:val="0"/>
        <w:snapToGrid w:val="0"/>
        <w:spacing w:line="480" w:lineRule="auto"/>
        <w:jc w:val="left"/>
        <w:rPr>
          <w:rFonts w:cs="Times New Roman" w:asciiTheme="minorEastAsia" w:hAnsiTheme="minorEastAsia" w:eastAsiaTheme="minorEastAsia"/>
          <w:sz w:val="28"/>
          <w:szCs w:val="28"/>
          <w:u w:val="single"/>
        </w:rPr>
      </w:pPr>
      <w:r>
        <w:rPr>
          <w:rFonts w:hint="eastAsia" w:cs="宋体" w:asciiTheme="minorEastAsia" w:hAnsiTheme="minorEastAsia" w:eastAsiaTheme="minorEastAsia"/>
          <w:sz w:val="28"/>
          <w:szCs w:val="28"/>
        </w:rPr>
        <w:t>供应商（单位名称及公章）：</w:t>
      </w:r>
      <w:r>
        <w:rPr>
          <w:rFonts w:cs="宋体" w:asciiTheme="minorEastAsia" w:hAnsiTheme="minorEastAsia" w:eastAsiaTheme="minorEastAsia"/>
          <w:sz w:val="28"/>
          <w:szCs w:val="28"/>
        </w:rPr>
        <w:t>____________________</w:t>
      </w:r>
    </w:p>
    <w:p w14:paraId="5508C425">
      <w:pPr>
        <w:adjustRightInd w:val="0"/>
        <w:snapToGrid w:val="0"/>
        <w:spacing w:line="480" w:lineRule="auto"/>
        <w:rPr>
          <w:rFonts w:cs="Times New Roman" w:asciiTheme="minorEastAsia" w:hAnsiTheme="minorEastAsia" w:eastAsiaTheme="minorEastAsia"/>
          <w:sz w:val="28"/>
          <w:szCs w:val="28"/>
        </w:rPr>
      </w:pPr>
      <w:r>
        <w:rPr>
          <w:rFonts w:hint="eastAsia" w:cs="宋体" w:asciiTheme="minorEastAsia" w:hAnsiTheme="minorEastAsia" w:eastAsiaTheme="minorEastAsia"/>
          <w:sz w:val="28"/>
          <w:szCs w:val="28"/>
        </w:rPr>
        <w:t>法定代表人</w:t>
      </w:r>
      <w:r>
        <w:rPr>
          <w:rFonts w:hint="eastAsia" w:cs="宋体" w:asciiTheme="minorEastAsia" w:hAnsiTheme="minorEastAsia" w:eastAsiaTheme="minorEastAsia"/>
          <w:sz w:val="28"/>
          <w:szCs w:val="28"/>
          <w:lang w:val="en-US" w:eastAsia="zh-CN"/>
        </w:rPr>
        <w:t>或</w:t>
      </w:r>
      <w:r>
        <w:rPr>
          <w:rFonts w:hint="eastAsia" w:cs="宋体" w:asciiTheme="minorEastAsia" w:hAnsiTheme="minorEastAsia" w:eastAsiaTheme="minorEastAsia"/>
          <w:sz w:val="28"/>
          <w:szCs w:val="28"/>
        </w:rPr>
        <w:t>被授权人（</w:t>
      </w:r>
      <w:r>
        <w:rPr>
          <w:rFonts w:hint="eastAsia" w:ascii="宋体" w:hAnsi="宋体" w:eastAsia="宋体" w:cs="宋体"/>
          <w:spacing w:val="4"/>
          <w:sz w:val="24"/>
          <w:lang w:val="en-US" w:eastAsia="zh-CN"/>
        </w:rPr>
        <w:t>签字或盖章</w:t>
      </w: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____________________</w:t>
      </w:r>
    </w:p>
    <w:p w14:paraId="7EEC2EDE">
      <w:pPr>
        <w:adjustRightInd w:val="0"/>
        <w:snapToGrid w:val="0"/>
        <w:spacing w:line="480" w:lineRule="auto"/>
        <w:rPr>
          <w:rFonts w:hint="eastAsia" w:cs="宋体" w:asciiTheme="minorEastAsia" w:hAnsiTheme="minorEastAsia" w:eastAsiaTheme="minorEastAsia"/>
          <w:sz w:val="28"/>
          <w:szCs w:val="28"/>
        </w:rPr>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cs="宋体" w:asciiTheme="minorEastAsia" w:hAnsiTheme="minorEastAsia" w:eastAsiaTheme="minorEastAsia"/>
          <w:sz w:val="28"/>
          <w:szCs w:val="28"/>
        </w:rPr>
        <w:t>日</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期：</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年</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月</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日</w:t>
      </w:r>
    </w:p>
    <w:p w14:paraId="7795016C"/>
    <w:bookmarkEnd w:id="194"/>
    <w:p w14:paraId="64C7F12F">
      <w:pPr>
        <w:widowControl/>
        <w:jc w:val="center"/>
        <w:rPr>
          <w:rFonts w:hAnsi="宋体" w:cs="宋体"/>
          <w:b/>
          <w:bCs/>
          <w:sz w:val="32"/>
          <w:szCs w:val="32"/>
        </w:rPr>
      </w:pPr>
      <w:bookmarkStart w:id="205" w:name="OLE_LINK32"/>
      <w:r>
        <w:rPr>
          <w:rFonts w:hint="eastAsia" w:hAnsi="宋体"/>
          <w:b/>
          <w:bCs/>
          <w:sz w:val="32"/>
          <w:szCs w:val="32"/>
          <w:lang w:val="en-US" w:eastAsia="zh-CN"/>
        </w:rPr>
        <w:t xml:space="preserve">第六章 </w:t>
      </w:r>
      <w:r>
        <w:rPr>
          <w:rFonts w:hint="eastAsia" w:hAnsi="宋体" w:cs="宋体"/>
          <w:b/>
          <w:bCs/>
          <w:sz w:val="32"/>
          <w:szCs w:val="32"/>
        </w:rPr>
        <w:t>投标人</w:t>
      </w:r>
      <w:r>
        <w:rPr>
          <w:rFonts w:hAnsi="宋体" w:cs="宋体"/>
          <w:b/>
          <w:bCs/>
          <w:sz w:val="32"/>
          <w:szCs w:val="32"/>
        </w:rPr>
        <w:t>拒绝政府采购领域商业贿赂承诺书</w:t>
      </w:r>
    </w:p>
    <w:p w14:paraId="7404D12A">
      <w:pPr>
        <w:widowControl/>
        <w:spacing w:line="480" w:lineRule="exact"/>
        <w:jc w:val="center"/>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政府采购供应商拒绝政府采购领域商业贿赂承诺书</w:t>
      </w:r>
    </w:p>
    <w:p w14:paraId="162275C3">
      <w:pPr>
        <w:widowControl/>
        <w:spacing w:line="240" w:lineRule="exact"/>
        <w:ind w:firstLine="420" w:firstLineChars="200"/>
        <w:jc w:val="left"/>
        <w:rPr>
          <w:rFonts w:cs="仿宋" w:asciiTheme="minorEastAsia" w:hAnsiTheme="minorEastAsia" w:eastAsiaTheme="minorEastAsia"/>
          <w:bCs/>
          <w:kern w:val="0"/>
        </w:rPr>
      </w:pPr>
    </w:p>
    <w:p w14:paraId="75464DE1">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为响应党中央、国务院关于治理政府采购领域商业贿赂行为的号召，我单位在此庄严承诺： </w:t>
      </w:r>
    </w:p>
    <w:p w14:paraId="3861E9C2">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1</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在参与政府采购活动中遵纪守法、诚信经营、公平竞标。 </w:t>
      </w:r>
    </w:p>
    <w:p w14:paraId="0FB3AC0A">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2</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不向采购人、招标代理机构和政府采购评审专家进行任何形式的商业贿赂以谋取交易机会。 </w:t>
      </w:r>
    </w:p>
    <w:p w14:paraId="18F382B7">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3</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不向政府采购招标代理机构和采购人提供虚假资质文件或采用虚假应标方式参与政府采购市场竞争并谋取成交、成交。 </w:t>
      </w:r>
    </w:p>
    <w:p w14:paraId="3391EDE6">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4</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不采取“围标、陪标”等商业欺诈手段获得政府采购</w:t>
      </w:r>
      <w:r>
        <w:rPr>
          <w:rFonts w:hint="eastAsia" w:cs="仿宋" w:asciiTheme="minorEastAsia" w:hAnsiTheme="minorEastAsia" w:eastAsiaTheme="minorEastAsia"/>
          <w:bCs/>
          <w:kern w:val="0"/>
          <w:sz w:val="24"/>
          <w:szCs w:val="28"/>
          <w:lang w:eastAsia="zh-CN"/>
        </w:rPr>
        <w:t>订单</w:t>
      </w:r>
      <w:r>
        <w:rPr>
          <w:rFonts w:hint="eastAsia" w:cs="仿宋" w:asciiTheme="minorEastAsia" w:hAnsiTheme="minorEastAsia" w:eastAsiaTheme="minorEastAsia"/>
          <w:bCs/>
          <w:kern w:val="0"/>
          <w:sz w:val="24"/>
          <w:szCs w:val="28"/>
        </w:rPr>
        <w:t xml:space="preserve">。 </w:t>
      </w:r>
    </w:p>
    <w:p w14:paraId="25E031D0">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   5</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不采取不正当手段</w:t>
      </w:r>
      <w:r>
        <w:rPr>
          <w:rFonts w:hint="eastAsia" w:cs="仿宋" w:asciiTheme="minorEastAsia" w:hAnsiTheme="minorEastAsia" w:eastAsiaTheme="minorEastAsia"/>
          <w:bCs/>
          <w:kern w:val="0"/>
          <w:sz w:val="24"/>
          <w:szCs w:val="28"/>
          <w:lang w:eastAsia="zh-CN"/>
        </w:rPr>
        <w:t>诋毁</w:t>
      </w:r>
      <w:r>
        <w:rPr>
          <w:rFonts w:hint="eastAsia" w:cs="仿宋" w:asciiTheme="minorEastAsia" w:hAnsiTheme="minorEastAsia" w:eastAsiaTheme="minorEastAsia"/>
          <w:bCs/>
          <w:kern w:val="0"/>
          <w:sz w:val="24"/>
          <w:szCs w:val="28"/>
        </w:rPr>
        <w:t xml:space="preserve">、排挤其他供应商。 </w:t>
      </w:r>
    </w:p>
    <w:p w14:paraId="3A958BA9">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   6</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lang w:eastAsia="zh-CN"/>
        </w:rPr>
        <w:t>不再提供</w:t>
      </w:r>
      <w:r>
        <w:rPr>
          <w:rFonts w:hint="eastAsia" w:cs="仿宋" w:asciiTheme="minorEastAsia" w:hAnsiTheme="minorEastAsia" w:eastAsiaTheme="minorEastAsia"/>
          <w:bCs/>
          <w:kern w:val="0"/>
          <w:sz w:val="24"/>
          <w:szCs w:val="28"/>
        </w:rPr>
        <w:t xml:space="preserve">商品和服务时“偷梁换柱、以次充好”损害采购人的合法权益。 </w:t>
      </w:r>
    </w:p>
    <w:p w14:paraId="0634BF0E">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   7</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不与采购人、招标代理机构政府采购评审专家</w:t>
      </w:r>
      <w:r>
        <w:rPr>
          <w:rFonts w:hint="eastAsia" w:cs="仿宋" w:asciiTheme="minorEastAsia" w:hAnsiTheme="minorEastAsia" w:eastAsiaTheme="minorEastAsia"/>
          <w:bCs/>
          <w:kern w:val="0"/>
          <w:sz w:val="24"/>
          <w:szCs w:val="28"/>
          <w:lang w:eastAsia="zh-CN"/>
        </w:rPr>
        <w:t>或其他</w:t>
      </w:r>
      <w:r>
        <w:rPr>
          <w:rFonts w:hint="eastAsia" w:cs="仿宋" w:asciiTheme="minorEastAsia" w:hAnsiTheme="minorEastAsia" w:eastAsiaTheme="minorEastAsia"/>
          <w:bCs/>
          <w:kern w:val="0"/>
          <w:sz w:val="24"/>
          <w:szCs w:val="28"/>
        </w:rPr>
        <w:t xml:space="preserve">供应商恶意串通，进行质疑和投诉，维护政府采购市场秩序。 </w:t>
      </w:r>
    </w:p>
    <w:p w14:paraId="3B940F98">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8</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尊重和接受政府采购监督管理部门的监督和政府招标代理机构招标要求，承担因违约行为给采购人造成的损失。 </w:t>
      </w:r>
    </w:p>
    <w:p w14:paraId="22E11617">
      <w:pPr>
        <w:widowControl/>
        <w:spacing w:line="440" w:lineRule="exact"/>
        <w:ind w:firstLine="480" w:firstLineChars="200"/>
        <w:rPr>
          <w:rFonts w:cs="仿宋" w:asciiTheme="minorEastAsia" w:hAnsiTheme="minorEastAsia" w:eastAsiaTheme="minorEastAsia"/>
          <w:bCs/>
          <w:kern w:val="0"/>
          <w:sz w:val="22"/>
          <w:szCs w:val="24"/>
        </w:rPr>
      </w:pPr>
      <w:r>
        <w:rPr>
          <w:rFonts w:hint="eastAsia" w:cs="仿宋" w:asciiTheme="minorEastAsia" w:hAnsiTheme="minorEastAsia" w:eastAsiaTheme="minorEastAsia"/>
          <w:bCs/>
          <w:kern w:val="0"/>
          <w:sz w:val="24"/>
          <w:szCs w:val="28"/>
        </w:rPr>
        <w:t>　　9</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不发生其他有悖于政府采购公开、公平、公正和诚信原则的行为。 </w:t>
      </w:r>
    </w:p>
    <w:p w14:paraId="67248491">
      <w:pPr>
        <w:widowControl/>
        <w:spacing w:line="440" w:lineRule="exact"/>
        <w:ind w:firstLine="960" w:firstLineChars="400"/>
        <w:rPr>
          <w:rFonts w:cs="仿宋" w:asciiTheme="minorEastAsia" w:hAnsiTheme="minorEastAsia" w:eastAsiaTheme="minorEastAsia"/>
          <w:bCs/>
          <w:kern w:val="0"/>
          <w:sz w:val="24"/>
          <w:szCs w:val="28"/>
        </w:rPr>
      </w:pPr>
    </w:p>
    <w:p w14:paraId="6D4B79DD">
      <w:pPr>
        <w:widowControl/>
        <w:spacing w:line="440" w:lineRule="exact"/>
        <w:ind w:firstLine="960" w:firstLineChars="4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承诺单位：</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（盖章）</w:t>
      </w:r>
    </w:p>
    <w:p w14:paraId="01D6CA68">
      <w:pPr>
        <w:widowControl/>
        <w:spacing w:line="440" w:lineRule="exact"/>
        <w:ind w:firstLine="480" w:firstLineChars="2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全权代表：</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w:t>
      </w:r>
      <w:r>
        <w:rPr>
          <w:rFonts w:hint="eastAsia" w:ascii="宋体" w:hAnsi="宋体" w:eastAsia="宋体" w:cs="宋体"/>
          <w:spacing w:val="4"/>
          <w:sz w:val="24"/>
          <w:lang w:val="en-US" w:eastAsia="zh-CN"/>
        </w:rPr>
        <w:t>签字或盖章</w:t>
      </w:r>
      <w:r>
        <w:rPr>
          <w:rFonts w:hint="eastAsia" w:cs="仿宋" w:asciiTheme="minorEastAsia" w:hAnsiTheme="minorEastAsia" w:eastAsiaTheme="minorEastAsia"/>
          <w:bCs/>
          <w:kern w:val="0"/>
          <w:sz w:val="24"/>
          <w:szCs w:val="28"/>
        </w:rPr>
        <w:t xml:space="preserve">） </w:t>
      </w:r>
    </w:p>
    <w:p w14:paraId="53081901">
      <w:pPr>
        <w:widowControl/>
        <w:spacing w:line="520" w:lineRule="exact"/>
        <w:ind w:firstLine="480" w:firstLineChars="200"/>
        <w:rPr>
          <w:rFonts w:cs="仿宋" w:asciiTheme="minorEastAsia" w:hAnsiTheme="minorEastAsia" w:eastAsiaTheme="minorEastAsia"/>
          <w:bCs/>
          <w:kern w:val="0"/>
          <w:sz w:val="24"/>
          <w:szCs w:val="28"/>
          <w:u w:val="single"/>
        </w:rPr>
      </w:pPr>
      <w:r>
        <w:rPr>
          <w:rFonts w:hint="eastAsia" w:cs="仿宋" w:asciiTheme="minorEastAsia" w:hAnsiTheme="minorEastAsia" w:eastAsiaTheme="minorEastAsia"/>
          <w:bCs/>
          <w:kern w:val="0"/>
          <w:sz w:val="24"/>
          <w:szCs w:val="28"/>
        </w:rPr>
        <w:t xml:space="preserve">    地　　址：</w:t>
      </w:r>
      <w:r>
        <w:rPr>
          <w:rFonts w:hint="eastAsia" w:cs="仿宋" w:asciiTheme="minorEastAsia" w:hAnsiTheme="minorEastAsia" w:eastAsiaTheme="minorEastAsia"/>
          <w:bCs/>
          <w:kern w:val="0"/>
          <w:sz w:val="24"/>
          <w:szCs w:val="28"/>
          <w:u w:val="single"/>
        </w:rPr>
        <w:t xml:space="preserve">                         </w:t>
      </w:r>
    </w:p>
    <w:p w14:paraId="7FD85C09">
      <w:pPr>
        <w:widowControl/>
        <w:spacing w:line="520" w:lineRule="exact"/>
        <w:ind w:firstLine="480" w:firstLineChars="2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xml:space="preserve">    邮    编：</w:t>
      </w:r>
      <w:r>
        <w:rPr>
          <w:rFonts w:hint="eastAsia" w:cs="仿宋" w:asciiTheme="minorEastAsia" w:hAnsiTheme="minorEastAsia" w:eastAsiaTheme="minorEastAsia"/>
          <w:bCs/>
          <w:kern w:val="0"/>
          <w:sz w:val="24"/>
          <w:szCs w:val="28"/>
          <w:u w:val="single"/>
        </w:rPr>
        <w:t xml:space="preserve">　　                     </w:t>
      </w:r>
      <w:r>
        <w:rPr>
          <w:rFonts w:hint="eastAsia" w:cs="仿宋" w:asciiTheme="minorEastAsia" w:hAnsiTheme="minorEastAsia" w:eastAsiaTheme="minorEastAsia"/>
          <w:bCs/>
          <w:kern w:val="0"/>
          <w:sz w:val="24"/>
          <w:szCs w:val="28"/>
        </w:rPr>
        <w:t>   </w:t>
      </w:r>
    </w:p>
    <w:p w14:paraId="6A4AF8B3">
      <w:pPr>
        <w:widowControl/>
        <w:spacing w:line="520" w:lineRule="exact"/>
        <w:ind w:firstLine="720" w:firstLineChars="3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电　　话：</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u w:val="single"/>
          <w:lang w:val="en-US" w:eastAsia="zh-CN"/>
        </w:rPr>
        <w:t xml:space="preserve"> </w:t>
      </w:r>
      <w:r>
        <w:rPr>
          <w:rFonts w:hint="eastAsia" w:cs="仿宋" w:asciiTheme="minorEastAsia" w:hAnsiTheme="minorEastAsia" w:eastAsiaTheme="minorEastAsia"/>
          <w:bCs/>
          <w:kern w:val="0"/>
          <w:sz w:val="24"/>
          <w:szCs w:val="28"/>
        </w:rPr>
        <w:t xml:space="preserve">　　 </w:t>
      </w:r>
    </w:p>
    <w:p w14:paraId="20496E94">
      <w:pPr>
        <w:widowControl/>
        <w:spacing w:line="340" w:lineRule="exact"/>
        <w:rPr>
          <w:rFonts w:cs="仿宋" w:asciiTheme="minorEastAsia" w:hAnsiTheme="minorEastAsia" w:eastAsiaTheme="minorEastAsia"/>
          <w:bCs/>
          <w:kern w:val="0"/>
          <w:sz w:val="24"/>
          <w:szCs w:val="28"/>
        </w:rPr>
      </w:pPr>
    </w:p>
    <w:p w14:paraId="23E92C87">
      <w:pPr>
        <w:widowControl/>
        <w:spacing w:line="340" w:lineRule="exact"/>
        <w:ind w:firstLine="4920" w:firstLineChars="2050"/>
        <w:rPr>
          <w:rFonts w:cs="仿宋" w:asciiTheme="minorEastAsia" w:hAnsiTheme="minorEastAsia" w:eastAsiaTheme="minorEastAsia"/>
          <w:bCs/>
          <w:sz w:val="36"/>
          <w:szCs w:val="40"/>
        </w:rPr>
      </w:pPr>
      <w:r>
        <w:rPr>
          <w:rFonts w:hint="eastAsia" w:cs="仿宋" w:asciiTheme="minorEastAsia" w:hAnsiTheme="minorEastAsia" w:eastAsiaTheme="minorEastAsia"/>
          <w:bCs/>
          <w:kern w:val="0"/>
          <w:sz w:val="24"/>
          <w:szCs w:val="28"/>
        </w:rPr>
        <w:t>年　　月　　日</w:t>
      </w:r>
    </w:p>
    <w:p w14:paraId="636BF632">
      <w:pPr>
        <w:widowControl/>
        <w:spacing w:line="640" w:lineRule="exact"/>
        <w:jc w:val="center"/>
        <w:rPr>
          <w:rFonts w:cs="仿宋" w:asciiTheme="minorEastAsia" w:hAnsiTheme="minorEastAsia" w:eastAsiaTheme="minorEastAsia"/>
          <w:bCs/>
          <w:sz w:val="36"/>
          <w:szCs w:val="40"/>
        </w:rPr>
      </w:pPr>
    </w:p>
    <w:p w14:paraId="22ACB332">
      <w:pPr>
        <w:widowControl/>
        <w:tabs>
          <w:tab w:val="left" w:pos="3930"/>
        </w:tabs>
        <w:spacing w:line="400" w:lineRule="exact"/>
        <w:jc w:val="left"/>
        <w:rPr>
          <w:rFonts w:cs="仿宋" w:asciiTheme="minorEastAsia" w:hAnsiTheme="minorEastAsia" w:eastAsiaTheme="minorEastAsia"/>
          <w:bCs/>
          <w:sz w:val="40"/>
          <w:szCs w:val="40"/>
        </w:rPr>
      </w:pPr>
      <w:r>
        <w:rPr>
          <w:rFonts w:hint="eastAsia" w:cs="仿宋" w:asciiTheme="minorEastAsia" w:hAnsiTheme="minorEastAsia" w:eastAsiaTheme="minorEastAsia"/>
          <w:bCs/>
          <w:sz w:val="40"/>
          <w:szCs w:val="40"/>
        </w:rPr>
        <w:tab/>
      </w:r>
    </w:p>
    <w:p w14:paraId="4CCA78FA">
      <w:pPr>
        <w:widowControl/>
        <w:jc w:val="left"/>
        <w:rPr>
          <w:rFonts w:cs="仿宋" w:asciiTheme="minorEastAsia" w:hAnsiTheme="minorEastAsia" w:eastAsiaTheme="minorEastAsia"/>
          <w:bCs/>
          <w:color w:val="000000"/>
          <w:kern w:val="0"/>
          <w:sz w:val="32"/>
          <w:szCs w:val="32"/>
        </w:rPr>
      </w:pPr>
    </w:p>
    <w:p w14:paraId="403FB369">
      <w:pPr>
        <w:widowControl/>
        <w:shd w:val="clear" w:color="auto" w:fill="FFFFFF"/>
        <w:spacing w:before="100" w:beforeAutospacing="1" w:after="100" w:afterAutospacing="1" w:line="400" w:lineRule="exact"/>
        <w:jc w:val="center"/>
        <w:rPr>
          <w:rFonts w:cs="仿宋" w:asciiTheme="minorEastAsia" w:hAnsiTheme="minorEastAsia" w:eastAsiaTheme="minorEastAsia"/>
          <w:bCs/>
          <w:color w:val="000000"/>
          <w:kern w:val="0"/>
          <w:sz w:val="24"/>
          <w:szCs w:val="24"/>
        </w:rPr>
      </w:pPr>
      <w:r>
        <w:rPr>
          <w:rFonts w:hint="eastAsia" w:cs="仿宋" w:asciiTheme="minorEastAsia" w:hAnsiTheme="minorEastAsia" w:eastAsiaTheme="minorEastAsia"/>
          <w:bCs/>
          <w:color w:val="000000"/>
          <w:kern w:val="0"/>
          <w:sz w:val="32"/>
          <w:szCs w:val="32"/>
        </w:rPr>
        <w:t>承诺书Ⅱ</w:t>
      </w:r>
    </w:p>
    <w:p w14:paraId="035839A4">
      <w:pPr>
        <w:widowControl/>
        <w:spacing w:line="440" w:lineRule="exact"/>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致：安康尚昊招标代理有限公司</w:t>
      </w:r>
    </w:p>
    <w:p w14:paraId="45A9A349">
      <w:pPr>
        <w:widowControl/>
        <w:spacing w:line="440" w:lineRule="exact"/>
        <w:ind w:firstLine="472" w:firstLineChars="197"/>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为了诚实、客观、有序地参与政府采购活动，愿就以下内容作出承诺：</w:t>
      </w:r>
    </w:p>
    <w:p w14:paraId="1609810F">
      <w:pPr>
        <w:widowControl/>
        <w:spacing w:line="440" w:lineRule="exact"/>
        <w:ind w:firstLine="472" w:firstLineChars="197"/>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1</w:t>
      </w:r>
      <w:r>
        <w:rPr>
          <w:rFonts w:hint="eastAsia" w:cs="Times New Roman" w:asciiTheme="minorEastAsia" w:hAnsiTheme="minorEastAsia" w:eastAsiaTheme="minorEastAsia"/>
          <w:sz w:val="24"/>
          <w:szCs w:val="28"/>
          <w:lang w:val="en-US" w:eastAsia="zh-CN"/>
        </w:rPr>
        <w:t>.</w:t>
      </w:r>
      <w:r>
        <w:rPr>
          <w:rFonts w:hint="eastAsia" w:cs="Times New Roman" w:asciiTheme="minorEastAsia" w:hAnsiTheme="minorEastAsia" w:eastAsiaTheme="minorEastAsia"/>
          <w:sz w:val="24"/>
          <w:szCs w:val="28"/>
        </w:rPr>
        <w:t>参加采购代理机构组织的政府采购活动时，严格按照磋商文件的规定和要求提供所需的相关材料，并对所提供的各类资料的真实性负责，不虚假应标，不虚列业绩。</w:t>
      </w:r>
    </w:p>
    <w:p w14:paraId="70B8C101">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2</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尊重参与政府采购活动各相关方的合法行为，接受政府采购活动依法形成的意见、结果。</w:t>
      </w:r>
    </w:p>
    <w:p w14:paraId="2D0EC3C1">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3</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依法参加政府采购活动，不围标、串标，维护市场秩序。近三年因项目质量问题的不法行为记录为</w:t>
      </w:r>
      <w:r>
        <w:rPr>
          <w:rFonts w:hint="eastAsia" w:cs="仿宋" w:asciiTheme="minorEastAsia" w:hAnsiTheme="minorEastAsia" w:eastAsiaTheme="minorEastAsia"/>
          <w:bCs/>
          <w:color w:val="000000"/>
          <w:kern w:val="0"/>
          <w:sz w:val="24"/>
          <w:szCs w:val="28"/>
          <w:u w:val="single"/>
        </w:rPr>
        <w:t>   </w:t>
      </w:r>
      <w:r>
        <w:rPr>
          <w:rFonts w:hint="eastAsia" w:cs="仿宋" w:asciiTheme="minorEastAsia" w:hAnsiTheme="minorEastAsia" w:eastAsiaTheme="minorEastAsia"/>
          <w:bCs/>
          <w:color w:val="000000"/>
          <w:kern w:val="0"/>
          <w:sz w:val="24"/>
          <w:szCs w:val="28"/>
        </w:rPr>
        <w:t>次（没有填零），如有隐瞒实情，愿承担一切责任及后果。</w:t>
      </w:r>
    </w:p>
    <w:p w14:paraId="3ACB64D8">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4</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作为参加贵公司组织的采购项目的响应单位，本公司承诺：在参加本项目磋商之前不存在被依法禁止经营行为、财产被接管或冻结的情况，如有隐瞒实情，愿承担一切责任及后果。</w:t>
      </w:r>
    </w:p>
    <w:p w14:paraId="4FA49391">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5</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近三年受到有关行政主管部门的行政处理、不良行为记录为</w:t>
      </w:r>
      <w:r>
        <w:rPr>
          <w:rFonts w:hint="eastAsia" w:cs="仿宋" w:asciiTheme="minorEastAsia" w:hAnsiTheme="minorEastAsia" w:eastAsiaTheme="minorEastAsia"/>
          <w:bCs/>
          <w:color w:val="000000"/>
          <w:kern w:val="0"/>
          <w:sz w:val="24"/>
          <w:szCs w:val="28"/>
          <w:u w:val="single"/>
        </w:rPr>
        <w:t>    </w:t>
      </w:r>
      <w:r>
        <w:rPr>
          <w:rFonts w:hint="eastAsia" w:cs="仿宋" w:asciiTheme="minorEastAsia" w:hAnsiTheme="minorEastAsia" w:eastAsiaTheme="minorEastAsia"/>
          <w:bCs/>
          <w:color w:val="000000"/>
          <w:kern w:val="0"/>
          <w:sz w:val="24"/>
          <w:szCs w:val="28"/>
        </w:rPr>
        <w:t>次（没有填零），如有隐瞒实情，愿承担一切责任及后果。</w:t>
      </w:r>
    </w:p>
    <w:p w14:paraId="26A75D40">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6</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参加本次磋商提交的所有资质证明文件及业绩证明是真实的、有效的，如有隐瞒实情，愿承担一切责任及后果。</w:t>
      </w:r>
    </w:p>
    <w:p w14:paraId="60F5ABD8">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7</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积极推动政府采购活动健康开展，对采购活动有疑问、异议时，按法律规定的程序实名（加盖单位章和法定代表人签名）反映情况，不恶意中伤、无事生非，以和谐、平等的心态参加政府采购活动。</w:t>
      </w:r>
    </w:p>
    <w:p w14:paraId="25DF511A">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8</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认真履行成交单位应承担的责任和义务，全面执行采购合同规定的各项内容，保质保量地按时提供采购物品。</w:t>
      </w:r>
    </w:p>
    <w:p w14:paraId="53C4636F">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若本企业（单位）发生有悖于上述承诺的行为，愿意接受《中华人民共和国政府采购法》和《中华人民共和国政府采购法实施条例》中对响应单位的相关处理。</w:t>
      </w:r>
    </w:p>
    <w:p w14:paraId="12F0C049">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本承诺是采购项目响应文件的组成部分。</w:t>
      </w:r>
    </w:p>
    <w:p w14:paraId="358E1D0D">
      <w:pPr>
        <w:widowControl/>
        <w:shd w:val="clear" w:color="auto" w:fill="FFFFFF"/>
        <w:spacing w:line="440" w:lineRule="exact"/>
        <w:ind w:firstLine="4072" w:firstLineChars="1697"/>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承诺单位：</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（盖章）</w:t>
      </w:r>
    </w:p>
    <w:p w14:paraId="4665B991">
      <w:pPr>
        <w:widowControl/>
        <w:shd w:val="clear" w:color="auto" w:fill="FFFFFF"/>
        <w:spacing w:line="440" w:lineRule="exact"/>
        <w:ind w:firstLine="4072" w:firstLineChars="1697"/>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全权代表：</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w:t>
      </w:r>
      <w:r>
        <w:rPr>
          <w:rFonts w:hint="eastAsia" w:ascii="宋体" w:hAnsi="宋体" w:eastAsia="宋体" w:cs="宋体"/>
          <w:spacing w:val="4"/>
          <w:sz w:val="24"/>
          <w:lang w:val="en-US" w:eastAsia="zh-CN"/>
        </w:rPr>
        <w:t>签字或盖章</w:t>
      </w:r>
      <w:r>
        <w:rPr>
          <w:rFonts w:hint="eastAsia" w:cs="仿宋" w:asciiTheme="minorEastAsia" w:hAnsiTheme="minorEastAsia" w:eastAsiaTheme="minorEastAsia"/>
          <w:bCs/>
          <w:color w:val="000000"/>
          <w:kern w:val="0"/>
          <w:sz w:val="24"/>
          <w:szCs w:val="28"/>
        </w:rPr>
        <w:t>）</w:t>
      </w:r>
    </w:p>
    <w:p w14:paraId="1FEDBA13">
      <w:pPr>
        <w:widowControl/>
        <w:shd w:val="clear" w:color="auto" w:fill="FFFFFF"/>
        <w:spacing w:line="440" w:lineRule="exact"/>
        <w:ind w:firstLine="4310" w:firstLineChars="1796"/>
        <w:rPr>
          <w:rFonts w:cs="仿宋" w:asciiTheme="minorEastAsia" w:hAnsiTheme="minorEastAsia" w:eastAsiaTheme="minorEastAsia"/>
          <w:bCs/>
          <w:sz w:val="24"/>
          <w:szCs w:val="28"/>
        </w:rPr>
      </w:pPr>
      <w:r>
        <w:rPr>
          <w:rFonts w:hint="eastAsia" w:cs="仿宋" w:asciiTheme="minorEastAsia" w:hAnsiTheme="minorEastAsia" w:eastAsiaTheme="minorEastAsia"/>
          <w:bCs/>
          <w:color w:val="000000"/>
          <w:kern w:val="0"/>
          <w:sz w:val="24"/>
          <w:szCs w:val="28"/>
        </w:rPr>
        <w:t>日    期：</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年</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月</w:t>
      </w:r>
      <w:r>
        <w:rPr>
          <w:rFonts w:hint="eastAsia" w:cs="仿宋" w:asciiTheme="minorEastAsia" w:hAnsiTheme="minorEastAsia" w:eastAsiaTheme="minorEastAsia"/>
          <w:bCs/>
          <w:sz w:val="28"/>
          <w:szCs w:val="32"/>
          <w:u w:val="single"/>
        </w:rPr>
        <w:t xml:space="preserve">    </w:t>
      </w:r>
      <w:r>
        <w:rPr>
          <w:rFonts w:hint="eastAsia" w:cs="仿宋" w:asciiTheme="minorEastAsia" w:hAnsiTheme="minorEastAsia" w:eastAsiaTheme="minorEastAsia"/>
          <w:bCs/>
          <w:sz w:val="24"/>
          <w:szCs w:val="28"/>
        </w:rPr>
        <w:t>日</w:t>
      </w:r>
    </w:p>
    <w:bookmarkEnd w:id="205"/>
    <w:p w14:paraId="33BDC67D">
      <w:pPr>
        <w:pStyle w:val="5"/>
        <w:adjustRightInd w:val="0"/>
        <w:spacing w:line="416" w:lineRule="atLeast"/>
        <w:textAlignment w:val="baseline"/>
        <w:rPr>
          <w:rFonts w:ascii="宋体" w:hAnsi="宋体" w:cs="宋体"/>
        </w:rPr>
      </w:pPr>
    </w:p>
    <w:p w14:paraId="18902AEF">
      <w:pPr>
        <w:outlineLvl w:val="0"/>
        <w:rPr>
          <w:rFonts w:ascii="宋体" w:hAnsi="宋体"/>
          <w:b/>
          <w:sz w:val="32"/>
          <w:szCs w:val="32"/>
        </w:rPr>
      </w:pPr>
    </w:p>
    <w:bookmarkEnd w:id="178"/>
    <w:bookmarkEnd w:id="179"/>
    <w:bookmarkEnd w:id="180"/>
    <w:bookmarkEnd w:id="181"/>
    <w:bookmarkEnd w:id="182"/>
    <w:p w14:paraId="61FBA502">
      <w:pPr>
        <w:widowControl/>
        <w:jc w:val="left"/>
        <w:rPr>
          <w:sz w:val="24"/>
          <w:szCs w:val="28"/>
        </w:rPr>
      </w:pPr>
    </w:p>
    <w:p w14:paraId="16853029">
      <w:pPr>
        <w:pStyle w:val="30"/>
        <w:tabs>
          <w:tab w:val="left" w:pos="5927"/>
          <w:tab w:val="clear" w:pos="4153"/>
        </w:tabs>
        <w:rPr>
          <w:rFonts w:hint="eastAsia" w:eastAsia="宋体"/>
          <w:lang w:eastAsia="zh-CN"/>
        </w:rPr>
        <w:sectPr>
          <w:headerReference r:id="rId15" w:type="first"/>
          <w:footerReference r:id="rId17" w:type="first"/>
          <w:footerReference r:id="rId16" w:type="default"/>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704A8172">
      <w:pPr>
        <w:pStyle w:val="30"/>
        <w:rPr>
          <w:rFonts w:hint="eastAsia"/>
        </w:rPr>
      </w:pPr>
    </w:p>
    <w:p w14:paraId="63DA51CF">
      <w:pPr>
        <w:pStyle w:val="30"/>
        <w:rPr>
          <w:rFonts w:hint="eastAsia"/>
        </w:rPr>
      </w:pPr>
    </w:p>
    <w:p w14:paraId="09C0C7DB">
      <w:pPr>
        <w:pStyle w:val="30"/>
        <w:rPr>
          <w:rFonts w:hint="eastAsia"/>
        </w:rPr>
      </w:pPr>
    </w:p>
    <w:p w14:paraId="4E6F887E">
      <w:pPr>
        <w:pStyle w:val="30"/>
        <w:rPr>
          <w:rFonts w:hint="eastAsia"/>
        </w:rPr>
      </w:pPr>
    </w:p>
    <w:p w14:paraId="61261DC6">
      <w:pPr>
        <w:pStyle w:val="30"/>
        <w:rPr>
          <w:rFonts w:hint="eastAsia"/>
        </w:rPr>
      </w:pPr>
    </w:p>
    <w:p w14:paraId="4A080DBA">
      <w:pPr>
        <w:pStyle w:val="30"/>
        <w:rPr>
          <w:rFonts w:hint="eastAsia"/>
        </w:rPr>
      </w:pPr>
    </w:p>
    <w:p w14:paraId="2B613484">
      <w:pPr>
        <w:pStyle w:val="30"/>
        <w:rPr>
          <w:rFonts w:hint="eastAsia"/>
        </w:rPr>
      </w:pPr>
    </w:p>
    <w:p w14:paraId="17707C22">
      <w:pPr>
        <w:pStyle w:val="30"/>
        <w:rPr>
          <w:rFonts w:hint="eastAsia"/>
        </w:rPr>
      </w:pPr>
    </w:p>
    <w:p w14:paraId="0B8F148C">
      <w:pPr>
        <w:pStyle w:val="30"/>
        <w:rPr>
          <w:rFonts w:hint="eastAsia"/>
        </w:rPr>
      </w:pPr>
    </w:p>
    <w:p w14:paraId="5B4EE5C7">
      <w:pPr>
        <w:pStyle w:val="30"/>
        <w:rPr>
          <w:rFonts w:hint="eastAsia"/>
        </w:rPr>
      </w:pPr>
    </w:p>
    <w:p w14:paraId="04C3BB87">
      <w:pPr>
        <w:pStyle w:val="30"/>
        <w:rPr>
          <w:rFonts w:hint="eastAsia"/>
        </w:rPr>
      </w:pPr>
    </w:p>
    <w:p w14:paraId="691DD362">
      <w:pPr>
        <w:pStyle w:val="30"/>
        <w:rPr>
          <w:rFonts w:hint="eastAsia"/>
        </w:rPr>
      </w:pPr>
    </w:p>
    <w:p w14:paraId="7D5A86BC">
      <w:pPr>
        <w:pStyle w:val="30"/>
        <w:rPr>
          <w:rFonts w:hint="eastAsia"/>
        </w:rPr>
      </w:pPr>
    </w:p>
    <w:p w14:paraId="673E7B4A">
      <w:pPr>
        <w:pStyle w:val="30"/>
        <w:rPr>
          <w:rFonts w:hint="eastAsia"/>
        </w:rPr>
      </w:pPr>
    </w:p>
    <w:p w14:paraId="5FA77CDC">
      <w:pPr>
        <w:pStyle w:val="30"/>
        <w:rPr>
          <w:rFonts w:hint="eastAsia"/>
        </w:rPr>
      </w:pPr>
    </w:p>
    <w:p w14:paraId="552B835C">
      <w:pPr>
        <w:pStyle w:val="30"/>
        <w:rPr>
          <w:rFonts w:hint="eastAsia"/>
        </w:rPr>
      </w:pPr>
    </w:p>
    <w:p w14:paraId="474998DC">
      <w:pPr>
        <w:pStyle w:val="30"/>
        <w:rPr>
          <w:rFonts w:hint="eastAsia"/>
        </w:rPr>
      </w:pPr>
    </w:p>
    <w:p w14:paraId="3C2949B0">
      <w:pPr>
        <w:pStyle w:val="30"/>
        <w:rPr>
          <w:rFonts w:hint="eastAsia"/>
        </w:rPr>
      </w:pPr>
    </w:p>
    <w:p w14:paraId="2484D03F">
      <w:pPr>
        <w:pStyle w:val="30"/>
        <w:rPr>
          <w:rFonts w:hint="eastAsia"/>
        </w:rPr>
      </w:pPr>
    </w:p>
    <w:p w14:paraId="3F93571C">
      <w:pPr>
        <w:pStyle w:val="30"/>
        <w:rPr>
          <w:rFonts w:hint="eastAsia"/>
        </w:rPr>
      </w:pPr>
    </w:p>
    <w:p w14:paraId="73ADF051">
      <w:pPr>
        <w:pStyle w:val="30"/>
        <w:rPr>
          <w:rFonts w:hint="eastAsia"/>
        </w:rPr>
      </w:pPr>
    </w:p>
    <w:p w14:paraId="70BCC872">
      <w:pPr>
        <w:pStyle w:val="30"/>
        <w:rPr>
          <w:rFonts w:hint="eastAsia"/>
        </w:rPr>
      </w:pPr>
    </w:p>
    <w:p w14:paraId="070E1C78">
      <w:pPr>
        <w:pStyle w:val="30"/>
        <w:rPr>
          <w:rFonts w:hint="eastAsia"/>
        </w:rPr>
      </w:pPr>
    </w:p>
    <w:p w14:paraId="428232F4">
      <w:pPr>
        <w:pStyle w:val="30"/>
        <w:rPr>
          <w:rFonts w:hint="eastAsia"/>
        </w:rPr>
      </w:pPr>
    </w:p>
    <w:p w14:paraId="2A9F646E">
      <w:pPr>
        <w:pStyle w:val="30"/>
        <w:rPr>
          <w:rFonts w:hint="eastAsia"/>
        </w:rPr>
      </w:pPr>
    </w:p>
    <w:p w14:paraId="2E0962EC">
      <w:pPr>
        <w:pStyle w:val="30"/>
        <w:rPr>
          <w:rFonts w:hint="eastAsia"/>
        </w:rPr>
      </w:pPr>
    </w:p>
    <w:p w14:paraId="4C3A2622">
      <w:pPr>
        <w:pStyle w:val="30"/>
        <w:rPr>
          <w:rFonts w:hint="eastAsia"/>
        </w:rPr>
      </w:pPr>
    </w:p>
    <w:p w14:paraId="42770A2D">
      <w:pPr>
        <w:pStyle w:val="30"/>
        <w:rPr>
          <w:rFonts w:hint="eastAsia"/>
        </w:rPr>
      </w:pPr>
    </w:p>
    <w:p w14:paraId="105A3AC2">
      <w:pPr>
        <w:pStyle w:val="30"/>
        <w:rPr>
          <w:rFonts w:hint="eastAsia"/>
        </w:rPr>
      </w:pPr>
    </w:p>
    <w:p w14:paraId="3AFD59FA">
      <w:pPr>
        <w:pStyle w:val="30"/>
        <w:rPr>
          <w:rFonts w:hint="eastAsia"/>
        </w:rPr>
      </w:pPr>
    </w:p>
    <w:p w14:paraId="4E610700">
      <w:pPr>
        <w:pStyle w:val="30"/>
        <w:rPr>
          <w:rFonts w:hint="eastAsia"/>
        </w:rPr>
      </w:pPr>
    </w:p>
    <w:p w14:paraId="5304836C">
      <w:pPr>
        <w:pStyle w:val="30"/>
        <w:rPr>
          <w:rFonts w:hint="eastAsia" w:eastAsia="宋体"/>
          <w:lang w:val="en-US" w:eastAsia="zh-CN"/>
        </w:rPr>
      </w:pPr>
      <w:r>
        <w:rPr>
          <w:rFonts w:hint="eastAsia"/>
          <w:lang w:val="en-US" w:eastAsia="zh-CN"/>
        </w:rPr>
        <w:t xml:space="preserve"> </w:t>
      </w:r>
    </w:p>
    <w:p w14:paraId="63C44CF5">
      <w:pPr>
        <w:pStyle w:val="30"/>
        <w:rPr>
          <w:rFonts w:hint="eastAsia"/>
        </w:rPr>
      </w:pPr>
    </w:p>
    <w:p w14:paraId="789715C7">
      <w:pPr>
        <w:pStyle w:val="30"/>
        <w:rPr>
          <w:rFonts w:hint="eastAsia"/>
        </w:rPr>
      </w:pPr>
    </w:p>
    <w:p w14:paraId="14FEB6AA">
      <w:pPr>
        <w:pStyle w:val="30"/>
        <w:rPr>
          <w:rFonts w:hint="eastAsia"/>
        </w:rPr>
      </w:pPr>
    </w:p>
    <w:p w14:paraId="35503F18">
      <w:pPr>
        <w:pStyle w:val="30"/>
        <w:rPr>
          <w:rFonts w:hint="eastAsia"/>
        </w:rPr>
      </w:pPr>
    </w:p>
    <w:p w14:paraId="534EA711">
      <w:pPr>
        <w:pStyle w:val="30"/>
        <w:rPr>
          <w:rFonts w:hint="eastAsia"/>
        </w:rPr>
      </w:pPr>
    </w:p>
    <w:p w14:paraId="076A1E23">
      <w:pPr>
        <w:pStyle w:val="30"/>
        <w:rPr>
          <w:rFonts w:hint="eastAsia"/>
        </w:rPr>
      </w:pPr>
    </w:p>
    <w:p w14:paraId="59AE993D">
      <w:pPr>
        <w:pStyle w:val="30"/>
        <w:rPr>
          <w:rFonts w:hint="eastAsia"/>
        </w:rPr>
      </w:pPr>
    </w:p>
    <w:p w14:paraId="7F22CAC6">
      <w:pPr>
        <w:pStyle w:val="30"/>
        <w:rPr>
          <w:rFonts w:hint="eastAsia"/>
        </w:rPr>
      </w:pPr>
    </w:p>
    <w:p w14:paraId="47C71BC1">
      <w:pPr>
        <w:pStyle w:val="30"/>
        <w:rPr>
          <w:rFonts w:hint="eastAsia"/>
        </w:rPr>
      </w:pPr>
    </w:p>
    <w:p w14:paraId="3D0FE9B0">
      <w:pPr>
        <w:pStyle w:val="30"/>
        <w:rPr>
          <w:rFonts w:hint="eastAsia"/>
        </w:rPr>
      </w:pPr>
    </w:p>
    <w:p w14:paraId="4A3A2504">
      <w:pPr>
        <w:pStyle w:val="30"/>
        <w:rPr>
          <w:rFonts w:hint="eastAsia"/>
        </w:rPr>
      </w:pPr>
    </w:p>
    <w:p w14:paraId="02CEB92E">
      <w:pPr>
        <w:pStyle w:val="30"/>
        <w:rPr>
          <w:rFonts w:hint="eastAsia"/>
        </w:rPr>
      </w:pPr>
      <w:r>
        <w:rPr>
          <w:rFonts w:hint="eastAsia"/>
        </w:rPr>
        <w:drawing>
          <wp:anchor distT="0" distB="0" distL="114300" distR="114300" simplePos="0" relativeHeight="251664384" behindDoc="0" locked="0" layoutInCell="1" allowOverlap="1">
            <wp:simplePos x="0" y="0"/>
            <wp:positionH relativeFrom="column">
              <wp:posOffset>2543810</wp:posOffset>
            </wp:positionH>
            <wp:positionV relativeFrom="paragraph">
              <wp:posOffset>118110</wp:posOffset>
            </wp:positionV>
            <wp:extent cx="353060" cy="255905"/>
            <wp:effectExtent l="0" t="0" r="8890" b="10795"/>
            <wp:wrapNone/>
            <wp:docPr id="3" name="图片 3"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_尚昊 标"/>
                    <pic:cNvPicPr>
                      <a:picLocks noChangeAspect="1"/>
                    </pic:cNvPicPr>
                  </pic:nvPicPr>
                  <pic:blipFill>
                    <a:blip r:embed="rId21"/>
                    <a:stretch>
                      <a:fillRect/>
                    </a:stretch>
                  </pic:blipFill>
                  <pic:spPr>
                    <a:xfrm>
                      <a:off x="0" y="0"/>
                      <a:ext cx="353060" cy="255905"/>
                    </a:xfrm>
                    <a:prstGeom prst="rect">
                      <a:avLst/>
                    </a:prstGeom>
                  </pic:spPr>
                </pic:pic>
              </a:graphicData>
            </a:graphic>
          </wp:anchor>
        </w:drawing>
      </w:r>
    </w:p>
    <w:p w14:paraId="09722398">
      <w:pPr>
        <w:spacing w:line="440" w:lineRule="exact"/>
        <w:jc w:val="both"/>
        <w:rPr>
          <w:rFonts w:hint="eastAsia"/>
          <w:sz w:val="32"/>
          <w:szCs w:val="32"/>
        </w:rPr>
      </w:pPr>
      <w:r>
        <w:rPr>
          <w:rFonts w:hint="eastAsia"/>
          <w:sz w:val="32"/>
          <w:szCs w:val="32"/>
        </w:rPr>
        <w:t>安康尚昊招标代理有限公司</w:t>
      </w:r>
    </w:p>
    <w:p w14:paraId="50381FC2">
      <w:pPr>
        <w:spacing w:line="440" w:lineRule="exact"/>
        <w:jc w:val="center"/>
        <w:rPr>
          <w:rFonts w:hint="eastAsia"/>
          <w:sz w:val="32"/>
          <w:szCs w:val="32"/>
        </w:rPr>
      </w:pPr>
      <w:r>
        <w:rPr>
          <w:rFonts w:hint="eastAsia"/>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pt;height:0pt;width:423pt;z-index:251663360;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Kp9jTAAAABgEAAA8AAAAAAAAAAQAgAAAAIgAAAGRycy9kb3ducmV2LnhtbFBLAQIUABQA&#10;AAAIAIdO4kAGz2ya9QEAAOUDAAAOAAAAAAAAAAEAIAAAACIBAABkcnMvZTJvRG9jLnhtbFBLBQYA&#10;AAAABgAGAFkBAACJBQAAAAA=&#10;">
                <v:fill on="f" focussize="0,0"/>
                <v:stroke weight="1.5pt" color="#000000" joinstyle="round"/>
                <v:imagedata o:title=""/>
                <o:lock v:ext="edit" aspectratio="f"/>
              </v:line>
            </w:pict>
          </mc:Fallback>
        </mc:AlternateContent>
      </w:r>
    </w:p>
    <w:p w14:paraId="2DD0AEA8">
      <w:pPr>
        <w:autoSpaceDE w:val="0"/>
        <w:autoSpaceDN w:val="0"/>
        <w:spacing w:line="440" w:lineRule="exact"/>
        <w:ind w:firstLine="129" w:firstLineChars="50"/>
        <w:rPr>
          <w:rFonts w:hint="eastAsia" w:hAnsi="宋体"/>
          <w:spacing w:val="-6"/>
          <w:sz w:val="24"/>
          <w:szCs w:val="24"/>
          <w:lang w:val="en-US" w:eastAsia="zh-CN"/>
        </w:rPr>
      </w:pPr>
      <w:r>
        <w:rPr>
          <w:rFonts w:hint="eastAsia" w:hAnsi="宋体"/>
          <w:spacing w:val="9"/>
          <w:w w:val="100"/>
          <w:kern w:val="0"/>
          <w:sz w:val="24"/>
          <w:szCs w:val="24"/>
          <w:fitText w:val="1050" w:id="1936280221"/>
        </w:rPr>
        <w:t xml:space="preserve">地    </w:t>
      </w:r>
      <w:r>
        <w:rPr>
          <w:rFonts w:hint="eastAsia" w:hAnsi="宋体"/>
          <w:spacing w:val="0"/>
          <w:w w:val="100"/>
          <w:kern w:val="0"/>
          <w:sz w:val="24"/>
          <w:szCs w:val="24"/>
          <w:fitText w:val="1050" w:id="1936280221"/>
        </w:rPr>
        <w:t>址</w:t>
      </w:r>
      <w:r>
        <w:rPr>
          <w:rFonts w:hint="eastAsia" w:hAnsi="宋体"/>
          <w:spacing w:val="-6"/>
          <w:sz w:val="24"/>
          <w:szCs w:val="24"/>
        </w:rPr>
        <w:t>：</w:t>
      </w:r>
      <w:r>
        <w:rPr>
          <w:rFonts w:hint="eastAsia" w:hAnsi="宋体"/>
          <w:spacing w:val="-6"/>
          <w:sz w:val="24"/>
          <w:szCs w:val="24"/>
          <w:lang w:val="en-US" w:eastAsia="zh-CN"/>
        </w:rPr>
        <w:t>安康市高新区高新观澜8幢2单元801室</w:t>
      </w:r>
    </w:p>
    <w:p w14:paraId="4315500A">
      <w:pPr>
        <w:autoSpaceDE w:val="0"/>
        <w:autoSpaceDN w:val="0"/>
        <w:spacing w:line="440" w:lineRule="exact"/>
        <w:ind w:firstLine="129" w:firstLineChars="50"/>
        <w:rPr>
          <w:rFonts w:hint="eastAsia" w:hAnsi="宋体"/>
          <w:sz w:val="24"/>
          <w:szCs w:val="24"/>
        </w:rPr>
      </w:pPr>
      <w:r>
        <w:rPr>
          <w:rFonts w:hint="eastAsia" w:hAnsi="宋体"/>
          <w:spacing w:val="9"/>
          <w:w w:val="100"/>
          <w:kern w:val="0"/>
          <w:sz w:val="24"/>
          <w:szCs w:val="24"/>
          <w:fitText w:val="1050" w:id="724858664"/>
        </w:rPr>
        <w:t xml:space="preserve">邮    </w:t>
      </w:r>
      <w:r>
        <w:rPr>
          <w:rFonts w:hint="eastAsia" w:hAnsi="宋体"/>
          <w:spacing w:val="0"/>
          <w:w w:val="100"/>
          <w:kern w:val="0"/>
          <w:sz w:val="24"/>
          <w:szCs w:val="24"/>
          <w:fitText w:val="1050" w:id="724858664"/>
        </w:rPr>
        <w:t>编</w:t>
      </w:r>
      <w:r>
        <w:rPr>
          <w:rFonts w:hint="eastAsia" w:hAnsi="宋体"/>
          <w:sz w:val="24"/>
          <w:szCs w:val="24"/>
        </w:rPr>
        <w:t>：725000</w:t>
      </w:r>
    </w:p>
    <w:p w14:paraId="65844B98">
      <w:pPr>
        <w:autoSpaceDE w:val="0"/>
        <w:autoSpaceDN w:val="0"/>
        <w:spacing w:line="440" w:lineRule="exact"/>
        <w:ind w:firstLine="129" w:firstLineChars="50"/>
        <w:rPr>
          <w:rFonts w:hint="default" w:hAnsi="宋体" w:eastAsia="宋体"/>
          <w:sz w:val="24"/>
          <w:szCs w:val="24"/>
          <w:lang w:val="en-US" w:eastAsia="zh-CN"/>
        </w:rPr>
      </w:pPr>
      <w:r>
        <w:rPr>
          <w:rFonts w:hint="eastAsia" w:hAnsi="宋体"/>
          <w:spacing w:val="9"/>
          <w:w w:val="100"/>
          <w:kern w:val="0"/>
          <w:sz w:val="24"/>
          <w:szCs w:val="24"/>
          <w:fitText w:val="1050" w:id="1093690409"/>
        </w:rPr>
        <w:t xml:space="preserve">电    </w:t>
      </w:r>
      <w:r>
        <w:rPr>
          <w:rFonts w:hint="eastAsia" w:hAnsi="宋体"/>
          <w:spacing w:val="0"/>
          <w:w w:val="100"/>
          <w:kern w:val="0"/>
          <w:sz w:val="24"/>
          <w:szCs w:val="24"/>
          <w:fitText w:val="1050" w:id="1093690409"/>
        </w:rPr>
        <w:t>话</w:t>
      </w:r>
      <w:r>
        <w:rPr>
          <w:rFonts w:hint="eastAsia" w:hAnsi="宋体"/>
          <w:sz w:val="24"/>
          <w:szCs w:val="24"/>
        </w:rPr>
        <w:t>：</w:t>
      </w:r>
      <w:r>
        <w:rPr>
          <w:rFonts w:hint="eastAsia" w:hAnsi="宋体"/>
          <w:sz w:val="24"/>
          <w:szCs w:val="24"/>
          <w:lang w:val="en-US" w:eastAsia="zh-CN"/>
        </w:rPr>
        <w:t>15991480332</w:t>
      </w:r>
    </w:p>
    <w:p w14:paraId="041202CF">
      <w:pPr>
        <w:autoSpaceDE w:val="0"/>
        <w:autoSpaceDN w:val="0"/>
        <w:spacing w:line="440" w:lineRule="exact"/>
        <w:ind w:firstLine="135" w:firstLineChars="50"/>
        <w:rPr>
          <w:rFonts w:hint="eastAsia" w:hAnsi="宋体"/>
          <w:sz w:val="24"/>
          <w:szCs w:val="24"/>
        </w:rPr>
      </w:pPr>
      <w:r>
        <w:rPr>
          <w:rFonts w:hint="eastAsia" w:hAnsi="宋体"/>
          <w:spacing w:val="15"/>
          <w:w w:val="100"/>
          <w:kern w:val="0"/>
          <w:sz w:val="24"/>
          <w:szCs w:val="24"/>
          <w:fitText w:val="1050" w:id="1382890708"/>
          <w:lang w:eastAsia="zh-CN"/>
        </w:rPr>
        <w:t>公司名</w:t>
      </w:r>
      <w:r>
        <w:rPr>
          <w:rFonts w:hint="eastAsia" w:hAnsi="宋体"/>
          <w:spacing w:val="0"/>
          <w:w w:val="100"/>
          <w:kern w:val="0"/>
          <w:sz w:val="24"/>
          <w:szCs w:val="24"/>
          <w:fitText w:val="1050" w:id="1382890708"/>
          <w:lang w:eastAsia="zh-CN"/>
        </w:rPr>
        <w:t>称</w:t>
      </w:r>
      <w:r>
        <w:rPr>
          <w:rFonts w:hint="eastAsia" w:hAnsi="宋体"/>
          <w:sz w:val="24"/>
          <w:szCs w:val="24"/>
        </w:rPr>
        <w:t>：安康尚昊招标代理有限公司</w:t>
      </w:r>
    </w:p>
    <w:p w14:paraId="6A15F499">
      <w:pPr>
        <w:autoSpaceDE w:val="0"/>
        <w:autoSpaceDN w:val="0"/>
        <w:spacing w:line="440" w:lineRule="exact"/>
        <w:ind w:firstLine="135" w:firstLineChars="50"/>
        <w:rPr>
          <w:rFonts w:hint="eastAsia" w:hAnsi="宋体"/>
          <w:sz w:val="24"/>
          <w:szCs w:val="24"/>
        </w:rPr>
      </w:pPr>
      <w:r>
        <w:rPr>
          <w:rFonts w:hint="eastAsia" w:hAnsi="宋体"/>
          <w:spacing w:val="15"/>
          <w:w w:val="100"/>
          <w:kern w:val="0"/>
          <w:sz w:val="24"/>
          <w:szCs w:val="24"/>
          <w:fitText w:val="1050" w:id="610825726"/>
        </w:rPr>
        <w:t>开户银</w:t>
      </w:r>
      <w:r>
        <w:rPr>
          <w:rFonts w:hint="eastAsia" w:hAnsi="宋体"/>
          <w:spacing w:val="0"/>
          <w:w w:val="100"/>
          <w:kern w:val="0"/>
          <w:sz w:val="24"/>
          <w:szCs w:val="24"/>
          <w:fitText w:val="1050" w:id="610825726"/>
        </w:rPr>
        <w:t>行</w:t>
      </w:r>
      <w:r>
        <w:rPr>
          <w:rFonts w:hint="eastAsia" w:hAnsi="宋体"/>
          <w:sz w:val="24"/>
          <w:szCs w:val="24"/>
        </w:rPr>
        <w:t>：中国建设银行股份有限公司安康分行营业部</w:t>
      </w:r>
    </w:p>
    <w:p w14:paraId="04D27F77">
      <w:pPr>
        <w:autoSpaceDE w:val="0"/>
        <w:autoSpaceDN w:val="0"/>
        <w:spacing w:line="440" w:lineRule="exact"/>
        <w:ind w:firstLine="129" w:firstLineChars="50"/>
        <w:rPr>
          <w:rFonts w:hint="eastAsia" w:hAnsi="宋体"/>
          <w:sz w:val="24"/>
          <w:szCs w:val="24"/>
        </w:rPr>
      </w:pPr>
      <w:r>
        <w:rPr>
          <w:rFonts w:hint="eastAsia" w:hAnsi="宋体"/>
          <w:spacing w:val="9"/>
          <w:w w:val="100"/>
          <w:kern w:val="0"/>
          <w:sz w:val="24"/>
          <w:szCs w:val="24"/>
          <w:fitText w:val="1050" w:id="135150406"/>
        </w:rPr>
        <w:t xml:space="preserve">账    </w:t>
      </w:r>
      <w:r>
        <w:rPr>
          <w:rFonts w:hint="eastAsia" w:hAnsi="宋体"/>
          <w:spacing w:val="0"/>
          <w:w w:val="100"/>
          <w:kern w:val="0"/>
          <w:sz w:val="24"/>
          <w:szCs w:val="24"/>
          <w:fitText w:val="1050" w:id="135150406"/>
        </w:rPr>
        <w:t>号</w:t>
      </w:r>
      <w:r>
        <w:rPr>
          <w:rFonts w:hint="eastAsia" w:hAnsi="宋体"/>
          <w:sz w:val="24"/>
          <w:szCs w:val="24"/>
        </w:rPr>
        <w:t>：</w:t>
      </w:r>
      <w:r>
        <w:rPr>
          <w:rFonts w:hint="eastAsia" w:ascii="宋体" w:hAnsi="宋体" w:cs="宋体"/>
          <w:sz w:val="24"/>
          <w:szCs w:val="28"/>
        </w:rPr>
        <w:t>61050166371100000492</w:t>
      </w:r>
      <w:r>
        <w:rPr>
          <w:rFonts w:hint="eastAsia"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6" name="直接连接符 6"/>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7.8pt;height:0pt;width:423pt;z-index:251662336;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1gLTAAAABgEAAA8AAAAAAAAAAQAgAAAAIgAAAGRycy9kb3ducmV2LnhtbFBLAQIUABQA&#10;AAAIAIdO4kCtAgsl9QEAAOUDAAAOAAAAAAAAAAEAIAAAACIBAABkcnMvZTJvRG9jLnhtbFBLBQYA&#10;AAAABgAGAFkBAACJBQAAAAA=&#10;">
                <v:fill on="f" focussize="0,0"/>
                <v:stroke weight="1.5pt" color="#000000" joinstyle="round"/>
                <v:imagedata o:title=""/>
                <o:lock v:ext="edit" aspectratio="f"/>
              </v:line>
            </w:pict>
          </mc:Fallback>
        </mc:AlternateContent>
      </w:r>
    </w:p>
    <w:p w14:paraId="1D887507">
      <w:pPr>
        <w:pStyle w:val="73"/>
      </w:pPr>
    </w:p>
    <w:sectPr>
      <w:footerReference r:id="rId19" w:type="first"/>
      <w:footerReference r:id="rId18" w:type="default"/>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82CA9">
    <w:pPr>
      <w:pStyle w:val="30"/>
      <w:jc w:val="right"/>
      <w:rPr>
        <w:rFonts w:ascii="宋体" w:cs="Times New Roman"/>
      </w:rPr>
    </w:pPr>
    <w:r>
      <w:rPr>
        <w:rFonts w:hint="eastAsia" w:ascii="宋体" w:hAnsi="宋体" w:cs="宋体"/>
      </w:rPr>
      <w:t>安康尚昊招标代理有限公司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82A77">
    <w:pPr>
      <w:pStyle w:val="30"/>
      <w:tabs>
        <w:tab w:val="center" w:pos="4819"/>
        <w:tab w:val="left" w:pos="7440"/>
      </w:tabs>
    </w:pPr>
    <w:r>
      <w:tab/>
    </w:r>
  </w:p>
  <w:p w14:paraId="095BE27B">
    <w:pPr>
      <w:pStyle w:val="30"/>
      <w:ind w:right="360"/>
      <w:jc w:val="center"/>
      <w:rPr>
        <w:rFonts w:ascii="宋体"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4D6C7">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E36D0">
    <w:pPr>
      <w:pStyle w:val="30"/>
      <w:tabs>
        <w:tab w:val="center" w:pos="4819"/>
        <w:tab w:val="left" w:pos="744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514A1">
                          <w:pPr>
                            <w:pStyle w:val="3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D0514A1">
                    <w:pPr>
                      <w:pStyle w:val="3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r>
      <w:tab/>
    </w:r>
  </w:p>
  <w:p w14:paraId="6316236C">
    <w:pPr>
      <w:pStyle w:val="30"/>
      <w:ind w:right="360"/>
      <w:jc w:val="center"/>
      <w:rPr>
        <w:rFonts w:ascii="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12D49">
    <w:pPr>
      <w:pStyle w:val="30"/>
    </w:pPr>
    <w:r>
      <w:rPr>
        <w:sz w:val="18"/>
      </w:rPr>
      <mc:AlternateContent>
        <mc:Choice Requires="wps">
          <w:drawing>
            <wp:anchor distT="0" distB="0" distL="114300" distR="114300" simplePos="0" relativeHeight="251660288" behindDoc="0" locked="0" layoutInCell="1" allowOverlap="1">
              <wp:simplePos x="0" y="0"/>
              <wp:positionH relativeFrom="margin">
                <wp:posOffset>2350135</wp:posOffset>
              </wp:positionH>
              <wp:positionV relativeFrom="paragraph">
                <wp:posOffset>11430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9AD19">
                          <w:pPr>
                            <w:pStyle w:val="30"/>
                          </w:pPr>
                          <w:r>
                            <w:t xml:space="preserve">第 </w:t>
                          </w:r>
                          <w:r>
                            <w:fldChar w:fldCharType="begin"/>
                          </w:r>
                          <w:r>
                            <w:instrText xml:space="preserve"> PAGE  \* MERGEFORMAT </w:instrText>
                          </w:r>
                          <w:r>
                            <w:fldChar w:fldCharType="separate"/>
                          </w:r>
                          <w:r>
                            <w:t>1</w:t>
                          </w:r>
                          <w:r>
                            <w:fldChar w:fldCharType="end"/>
                          </w:r>
                          <w:r>
                            <w:t xml:space="preserve"> 页 </w:t>
                          </w:r>
                          <w:r>
                            <w:rPr>
                              <w:rFonts w:hint="eastAsia"/>
                              <w:lang w:val="en-US" w:eastAsia="zh-CN"/>
                            </w:rPr>
                            <w:t xml:space="preserve"> </w:t>
                          </w:r>
                          <w:r>
                            <w:t>共</w:t>
                          </w:r>
                          <w:r>
                            <w:rPr>
                              <w:rFonts w:hint="eastAsia"/>
                              <w:lang w:val="en-US" w:eastAsia="zh-CN"/>
                            </w:rPr>
                            <w:t>56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5.05pt;margin-top:0.9pt;height:144pt;width:144pt;mso-position-horizontal-relative:margin;mso-wrap-style:none;z-index:251660288;mso-width-relative:page;mso-height-relative:page;" filled="f" stroked="f" coordsize="21600,21600" o:gfxdata="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4IjzQtUAAAAJAQAADwAAAAAAAAABACAAAAAiAAAAZHJzL2Rvd25yZXYueG1sUEsB&#10;AhQAFAAAAAgAh07iQL3z1oQxAgAAYwQAAA4AAAAAAAAAAQAgAAAAJAEAAGRycy9lMm9Eb2MueG1s&#10;UEsFBgAAAAAGAAYAWQEAAMcFAAAAAA==&#10;">
              <v:fill on="f" focussize="0,0"/>
              <v:stroke on="f" weight="0.5pt"/>
              <v:imagedata o:title=""/>
              <o:lock v:ext="edit" aspectratio="f"/>
              <v:textbox inset="0mm,0mm,0mm,0mm" style="mso-fit-shape-to-text:t;">
                <w:txbxContent>
                  <w:p w14:paraId="36B9AD19">
                    <w:pPr>
                      <w:pStyle w:val="30"/>
                    </w:pPr>
                    <w:r>
                      <w:t xml:space="preserve">第 </w:t>
                    </w:r>
                    <w:r>
                      <w:fldChar w:fldCharType="begin"/>
                    </w:r>
                    <w:r>
                      <w:instrText xml:space="preserve"> PAGE  \* MERGEFORMAT </w:instrText>
                    </w:r>
                    <w:r>
                      <w:fldChar w:fldCharType="separate"/>
                    </w:r>
                    <w:r>
                      <w:t>1</w:t>
                    </w:r>
                    <w:r>
                      <w:fldChar w:fldCharType="end"/>
                    </w:r>
                    <w:r>
                      <w:t xml:space="preserve"> 页 </w:t>
                    </w:r>
                    <w:r>
                      <w:rPr>
                        <w:rFonts w:hint="eastAsia"/>
                        <w:lang w:val="en-US" w:eastAsia="zh-CN"/>
                      </w:rPr>
                      <w:t xml:space="preserve"> </w:t>
                    </w:r>
                    <w:r>
                      <w:t>共</w:t>
                    </w:r>
                    <w:r>
                      <w:rPr>
                        <w:rFonts w:hint="eastAsia"/>
                        <w:lang w:val="en-US" w:eastAsia="zh-CN"/>
                      </w:rPr>
                      <w:t>56</w:t>
                    </w:r>
                    <w: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87C83">
    <w:pPr>
      <w:pStyle w:val="30"/>
      <w:tabs>
        <w:tab w:val="center" w:pos="4819"/>
        <w:tab w:val="left" w:pos="7440"/>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E4364">
                          <w:pPr>
                            <w:pStyle w:val="30"/>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56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3FE4364">
                    <w:pPr>
                      <w:pStyle w:val="30"/>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56</w:t>
                    </w:r>
                    <w:r>
                      <w:t>页</w:t>
                    </w:r>
                  </w:p>
                </w:txbxContent>
              </v:textbox>
            </v:shape>
          </w:pict>
        </mc:Fallback>
      </mc:AlternateContent>
    </w:r>
    <w:r>
      <w:tab/>
    </w:r>
  </w:p>
  <w:p w14:paraId="36850509">
    <w:pPr>
      <w:pStyle w:val="30"/>
      <w:ind w:right="360"/>
      <w:jc w:val="center"/>
      <w:rPr>
        <w:rFonts w:ascii="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53690">
    <w:pPr>
      <w:pStyle w:val="3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B0F6D">
                          <w:pPr>
                            <w:pStyle w:val="3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56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50B0F6D">
                    <w:pPr>
                      <w:pStyle w:val="3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56</w:t>
                    </w:r>
                    <w: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C5938">
    <w:pPr>
      <w:spacing w:line="184" w:lineRule="auto"/>
      <w:ind w:left="5059"/>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83FADF">
                          <w:pPr>
                            <w:pStyle w:val="30"/>
                          </w:pPr>
                          <w:r>
                            <w:t xml:space="preserve">第 </w:t>
                          </w:r>
                          <w:r>
                            <w:fldChar w:fldCharType="begin"/>
                          </w:r>
                          <w:r>
                            <w:instrText xml:space="preserve"> PAGE  \* MERGEFORMAT </w:instrText>
                          </w:r>
                          <w:r>
                            <w:fldChar w:fldCharType="separate"/>
                          </w:r>
                          <w:r>
                            <w:t>35</w:t>
                          </w:r>
                          <w:r>
                            <w:fldChar w:fldCharType="end"/>
                          </w:r>
                          <w:r>
                            <w:t xml:space="preserve"> 页 共</w:t>
                          </w:r>
                          <w:r>
                            <w:rPr>
                              <w:rFonts w:hint="eastAsia"/>
                              <w:lang w:val="en-US" w:eastAsia="zh-CN"/>
                            </w:rPr>
                            <w:t>56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783FADF">
                    <w:pPr>
                      <w:pStyle w:val="30"/>
                    </w:pPr>
                    <w:r>
                      <w:t xml:space="preserve">第 </w:t>
                    </w:r>
                    <w:r>
                      <w:fldChar w:fldCharType="begin"/>
                    </w:r>
                    <w:r>
                      <w:instrText xml:space="preserve"> PAGE  \* MERGEFORMAT </w:instrText>
                    </w:r>
                    <w:r>
                      <w:fldChar w:fldCharType="separate"/>
                    </w:r>
                    <w:r>
                      <w:t>35</w:t>
                    </w:r>
                    <w:r>
                      <w:fldChar w:fldCharType="end"/>
                    </w:r>
                    <w:r>
                      <w:t xml:space="preserve"> 页 共</w:t>
                    </w:r>
                    <w:r>
                      <w:rPr>
                        <w:rFonts w:hint="eastAsia"/>
                        <w:lang w:val="en-US" w:eastAsia="zh-CN"/>
                      </w:rPr>
                      <w:t>56</w:t>
                    </w:r>
                    <w: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32976">
    <w:pPr>
      <w:pStyle w:val="30"/>
      <w:tabs>
        <w:tab w:val="center" w:pos="4819"/>
        <w:tab w:val="left" w:pos="7440"/>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9F1370">
                          <w:pPr>
                            <w:pStyle w:val="3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49F1370">
                    <w:pPr>
                      <w:pStyle w:val="3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56</w:t>
                    </w:r>
                    <w:r>
                      <w:t>页</w:t>
                    </w:r>
                  </w:p>
                </w:txbxContent>
              </v:textbox>
            </v:shape>
          </w:pict>
        </mc:Fallback>
      </mc:AlternateContent>
    </w:r>
    <w:r>
      <w:tab/>
    </w:r>
  </w:p>
  <w:p w14:paraId="5728065F">
    <w:pPr>
      <w:pStyle w:val="30"/>
      <w:ind w:right="360"/>
      <w:jc w:val="center"/>
      <w:rPr>
        <w:rFonts w:ascii="宋体"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D61A7">
    <w:pPr>
      <w:pStyle w:val="30"/>
      <w:tabs>
        <w:tab w:val="center" w:pos="4819"/>
        <w:tab w:val="left" w:pos="7440"/>
      </w:tabs>
      <w:rPr>
        <w:rFonts w:ascii="宋体" w:cs="Times New Roma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5DB5F">
                          <w:pPr>
                            <w:pStyle w:val="30"/>
                          </w:pPr>
                          <w:r>
                            <w:t xml:space="preserve">第 </w:t>
                          </w:r>
                          <w:r>
                            <w:fldChar w:fldCharType="begin"/>
                          </w:r>
                          <w:r>
                            <w:instrText xml:space="preserve"> PAGE  \* MERGEFORMAT </w:instrText>
                          </w:r>
                          <w:r>
                            <w:fldChar w:fldCharType="separate"/>
                          </w:r>
                          <w:r>
                            <w:t>51</w:t>
                          </w:r>
                          <w:r>
                            <w:fldChar w:fldCharType="end"/>
                          </w:r>
                          <w:r>
                            <w:t xml:space="preserve"> 页 共</w:t>
                          </w:r>
                          <w:r>
                            <w:rPr>
                              <w:rFonts w:hint="eastAsia"/>
                              <w:lang w:val="en-US" w:eastAsia="zh-CN"/>
                            </w:rPr>
                            <w:t>56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B75DB5F">
                    <w:pPr>
                      <w:pStyle w:val="30"/>
                    </w:pPr>
                    <w:r>
                      <w:t xml:space="preserve">第 </w:t>
                    </w:r>
                    <w:r>
                      <w:fldChar w:fldCharType="begin"/>
                    </w:r>
                    <w:r>
                      <w:instrText xml:space="preserve"> PAGE  \* MERGEFORMAT </w:instrText>
                    </w:r>
                    <w:r>
                      <w:fldChar w:fldCharType="separate"/>
                    </w:r>
                    <w:r>
                      <w:t>51</w:t>
                    </w:r>
                    <w:r>
                      <w:fldChar w:fldCharType="end"/>
                    </w:r>
                    <w:r>
                      <w:t xml:space="preserve"> 页 共</w:t>
                    </w:r>
                    <w:r>
                      <w:rPr>
                        <w:rFonts w:hint="eastAsia"/>
                        <w:lang w:val="en-US" w:eastAsia="zh-CN"/>
                      </w:rPr>
                      <w:t>56</w:t>
                    </w:r>
                    <w:r>
                      <w:t>页</w:t>
                    </w:r>
                  </w:p>
                </w:txbxContent>
              </v:textbox>
            </v:shape>
          </w:pict>
        </mc:Fallback>
      </mc:AlternateContent>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5D804">
    <w:pPr>
      <w:pStyle w:val="3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76752">
                          <w:pPr>
                            <w:pStyle w:val="30"/>
                          </w:pPr>
                          <w:r>
                            <w:t xml:space="preserve">第 </w:t>
                          </w:r>
                          <w:r>
                            <w:fldChar w:fldCharType="begin"/>
                          </w:r>
                          <w:r>
                            <w:instrText xml:space="preserve"> PAGE  \* MERGEFORMAT </w:instrText>
                          </w:r>
                          <w:r>
                            <w:fldChar w:fldCharType="separate"/>
                          </w:r>
                          <w:r>
                            <w:t>50</w:t>
                          </w:r>
                          <w:r>
                            <w:fldChar w:fldCharType="end"/>
                          </w:r>
                          <w:r>
                            <w:t xml:space="preserve"> 页 共 </w:t>
                          </w:r>
                          <w:r>
                            <w:rPr>
                              <w:rFonts w:hint="eastAsia"/>
                              <w:lang w:val="en-US" w:eastAsia="zh-CN"/>
                            </w:rPr>
                            <w:t>56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BB76752">
                    <w:pPr>
                      <w:pStyle w:val="30"/>
                    </w:pPr>
                    <w:r>
                      <w:t xml:space="preserve">第 </w:t>
                    </w:r>
                    <w:r>
                      <w:fldChar w:fldCharType="begin"/>
                    </w:r>
                    <w:r>
                      <w:instrText xml:space="preserve"> PAGE  \* MERGEFORMAT </w:instrText>
                    </w:r>
                    <w:r>
                      <w:fldChar w:fldCharType="separate"/>
                    </w:r>
                    <w:r>
                      <w:t>50</w:t>
                    </w:r>
                    <w:r>
                      <w:fldChar w:fldCharType="end"/>
                    </w:r>
                    <w:r>
                      <w:t xml:space="preserve"> 页 共 </w:t>
                    </w:r>
                    <w:r>
                      <w:rPr>
                        <w:rFonts w:hint="eastAsia"/>
                        <w:lang w:val="en-US" w:eastAsia="zh-CN"/>
                      </w:rPr>
                      <w:t>56</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3D266">
    <w:pPr>
      <w:keepNext w:val="0"/>
      <w:keepLines w:val="0"/>
      <w:pageBreakBefore w:val="0"/>
      <w:widowControl w:val="0"/>
      <w:pBdr>
        <w:bottom w:val="none" w:color="auto" w:sz="0" w:space="0"/>
      </w:pBdr>
      <w:kinsoku/>
      <w:wordWrap/>
      <w:overflowPunct/>
      <w:topLinePunct w:val="0"/>
      <w:autoSpaceDE/>
      <w:autoSpaceDN/>
      <w:bidi w:val="0"/>
      <w:adjustRightInd w:val="0"/>
      <w:snapToGrid w:val="0"/>
      <w:spacing w:line="240" w:lineRule="auto"/>
      <w:jc w:val="left"/>
      <w:textAlignment w:val="auto"/>
      <w:rPr>
        <w:rFonts w:hint="default" w:ascii="宋体" w:eastAsia="宋体" w:cs="Times New Roman"/>
        <w:highlight w:val="red"/>
        <w:u w:val="non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6676B">
    <w:pPr>
      <w:pStyle w:val="31"/>
      <w:pBdr>
        <w:bottom w:val="none" w:color="auto" w:sz="0" w:space="1"/>
      </w:pBdr>
      <w:jc w:val="left"/>
      <w:rPr>
        <w:rFonts w:hint="eastAsia" w:ascii="宋体" w:hAnsi="Calibri" w:eastAsia="宋体" w:cs="Times New Roman"/>
        <w:kern w:val="2"/>
        <w:sz w:val="21"/>
        <w:szCs w:val="21"/>
        <w:highlight w:val="none"/>
        <w:u w:val="none"/>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D79D1">
    <w:pPr>
      <w:pStyle w:val="31"/>
      <w:pBdr>
        <w:bottom w:val="single" w:color="auto" w:sz="4" w:space="1"/>
      </w:pBdr>
      <w:jc w:val="left"/>
      <w:rPr>
        <w:rFonts w:hint="default" w:ascii="宋体" w:cs="Times New Roman"/>
        <w:kern w:val="2"/>
        <w:sz w:val="21"/>
        <w:szCs w:val="21"/>
        <w:highlight w:val="none"/>
        <w:u w:val="none"/>
        <w:lang w:val="en-US" w:eastAsia="zh-CN" w:bidi="ar-SA"/>
      </w:rPr>
    </w:pPr>
    <w:r>
      <w:rPr>
        <w:rFonts w:hint="eastAsia" w:ascii="宋体" w:hAnsi="Calibri" w:eastAsia="宋体" w:cs="Times New Roman"/>
        <w:kern w:val="2"/>
        <w:sz w:val="21"/>
        <w:szCs w:val="21"/>
        <w:highlight w:val="none"/>
        <w:u w:val="none"/>
        <w:lang w:val="en-US" w:eastAsia="zh-CN" w:bidi="ar-SA"/>
      </w:rPr>
      <w:t>项目名称：</w:t>
    </w:r>
    <w:r>
      <w:rPr>
        <w:rFonts w:hint="eastAsia" w:ascii="宋体" w:cs="Times New Roman"/>
        <w:kern w:val="2"/>
        <w:sz w:val="21"/>
        <w:szCs w:val="21"/>
        <w:highlight w:val="none"/>
        <w:u w:val="none"/>
        <w:lang w:val="en-US" w:eastAsia="zh-CN" w:bidi="ar-SA"/>
      </w:rPr>
      <w:t>平利县中医医院保洁服务采购项目                项目编号：AKSH2024-ZCS-162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577A6">
    <w:pPr>
      <w:pStyle w:val="31"/>
      <w:pBdr>
        <w:bottom w:val="single" w:color="auto" w:sz="4" w:space="1"/>
      </w:pBdr>
      <w:jc w:val="left"/>
      <w:rPr>
        <w:rFonts w:hint="default" w:ascii="宋体" w:hAnsi="Calibri" w:eastAsia="宋体" w:cs="Times New Roman"/>
        <w:kern w:val="2"/>
        <w:sz w:val="21"/>
        <w:szCs w:val="21"/>
        <w:highlight w:val="none"/>
        <w:u w:val="none"/>
        <w:lang w:val="en-US" w:eastAsia="zh-CN" w:bidi="ar-SA"/>
      </w:rPr>
    </w:pPr>
    <w:r>
      <w:rPr>
        <w:rFonts w:hint="eastAsia" w:ascii="宋体" w:hAnsi="Calibri" w:eastAsia="宋体" w:cs="Times New Roman"/>
        <w:kern w:val="2"/>
        <w:sz w:val="21"/>
        <w:szCs w:val="21"/>
        <w:highlight w:val="none"/>
        <w:u w:val="none"/>
        <w:lang w:val="en-US" w:eastAsia="zh-CN" w:bidi="ar-SA"/>
      </w:rPr>
      <w:t>项目名称：</w:t>
    </w:r>
    <w:r>
      <w:rPr>
        <w:rFonts w:hint="eastAsia" w:ascii="宋体" w:cs="Times New Roman"/>
        <w:kern w:val="2"/>
        <w:sz w:val="21"/>
        <w:szCs w:val="21"/>
        <w:highlight w:val="none"/>
        <w:u w:val="none"/>
        <w:lang w:val="en-US" w:eastAsia="zh-CN" w:bidi="ar-SA"/>
      </w:rPr>
      <w:t>平利县中医医院保洁服务采购项目                项目编号：AKSH2024-ZCS-162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A06E9">
    <w:pPr>
      <w:pStyle w:val="31"/>
      <w:pBdr>
        <w:bottom w:val="single" w:color="auto" w:sz="4" w:space="1"/>
      </w:pBdr>
      <w:jc w:val="left"/>
    </w:pPr>
    <w:r>
      <w:rPr>
        <w:rFonts w:hint="eastAsia" w:ascii="宋体" w:hAnsi="Calibri" w:eastAsia="宋体" w:cs="Times New Roman"/>
        <w:kern w:val="2"/>
        <w:sz w:val="21"/>
        <w:szCs w:val="21"/>
        <w:highlight w:val="none"/>
        <w:u w:val="none"/>
        <w:lang w:val="en-US" w:eastAsia="zh-CN" w:bidi="ar-SA"/>
      </w:rPr>
      <w:t>项目名称：</w:t>
    </w:r>
    <w:r>
      <w:rPr>
        <w:rFonts w:hint="eastAsia" w:ascii="宋体" w:cs="Times New Roman"/>
        <w:kern w:val="2"/>
        <w:sz w:val="21"/>
        <w:szCs w:val="21"/>
        <w:highlight w:val="none"/>
        <w:u w:val="none"/>
        <w:lang w:val="en-US" w:eastAsia="zh-CN" w:bidi="ar-SA"/>
      </w:rPr>
      <w:t>平利县中医医院保洁服务采购项目                    项目编号：AKSH2024-ZCS-162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C0A9D">
    <w:pPr>
      <w:pStyle w:val="31"/>
      <w:pBdr>
        <w:bottom w:val="single" w:color="auto" w:sz="4" w:space="1"/>
      </w:pBdr>
      <w:jc w:val="left"/>
      <w:rPr>
        <w:rFonts w:hint="default" w:ascii="宋体" w:hAnsi="Calibri" w:eastAsia="宋体" w:cs="Times New Roman"/>
        <w:kern w:val="2"/>
        <w:sz w:val="21"/>
        <w:szCs w:val="21"/>
        <w:highlight w:val="none"/>
        <w:u w:val="none"/>
        <w:lang w:val="en-US" w:eastAsia="zh-CN" w:bidi="ar-SA"/>
      </w:rPr>
    </w:pPr>
    <w:r>
      <w:rPr>
        <w:rFonts w:hint="eastAsia" w:ascii="宋体" w:hAnsi="Calibri" w:eastAsia="宋体" w:cs="Times New Roman"/>
        <w:kern w:val="2"/>
        <w:sz w:val="21"/>
        <w:szCs w:val="21"/>
        <w:highlight w:val="none"/>
        <w:u w:val="none"/>
        <w:lang w:val="en-US" w:eastAsia="zh-CN" w:bidi="ar-SA"/>
      </w:rPr>
      <w:t>项目名称：</w:t>
    </w:r>
    <w:r>
      <w:rPr>
        <w:rFonts w:hint="eastAsia" w:ascii="宋体" w:cs="Times New Roman"/>
        <w:kern w:val="2"/>
        <w:sz w:val="21"/>
        <w:szCs w:val="21"/>
        <w:highlight w:val="none"/>
        <w:u w:val="none"/>
        <w:lang w:val="en-US" w:eastAsia="zh-CN" w:bidi="ar-SA"/>
      </w:rPr>
      <w:t>平利县中医医院保洁服务采购项目                项目编号：AKSH2024-ZCS-162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6ED33"/>
    <w:multiLevelType w:val="singleLevel"/>
    <w:tmpl w:val="B6C6ED33"/>
    <w:lvl w:ilvl="0" w:tentative="0">
      <w:start w:val="4"/>
      <w:numFmt w:val="chineseCounting"/>
      <w:suff w:val="space"/>
      <w:lvlText w:val="第%1部分"/>
      <w:lvlJc w:val="left"/>
      <w:rPr>
        <w:rFonts w:hint="eastAsia"/>
      </w:rPr>
    </w:lvl>
  </w:abstractNum>
  <w:abstractNum w:abstractNumId="1">
    <w:nsid w:val="CC260F63"/>
    <w:multiLevelType w:val="singleLevel"/>
    <w:tmpl w:val="CC260F63"/>
    <w:lvl w:ilvl="0" w:tentative="0">
      <w:start w:val="1"/>
      <w:numFmt w:val="decimal"/>
      <w:pStyle w:val="14"/>
      <w:lvlText w:val="%1."/>
      <w:lvlJc w:val="left"/>
      <w:pPr>
        <w:tabs>
          <w:tab w:val="left" w:pos="780"/>
        </w:tabs>
        <w:ind w:left="780" w:hanging="360"/>
      </w:pPr>
    </w:lvl>
  </w:abstractNum>
  <w:abstractNum w:abstractNumId="2">
    <w:nsid w:val="09362F92"/>
    <w:multiLevelType w:val="singleLevel"/>
    <w:tmpl w:val="09362F92"/>
    <w:lvl w:ilvl="0" w:tentative="0">
      <w:start w:val="1"/>
      <w:numFmt w:val="decimal"/>
      <w:suff w:val="space"/>
      <w:lvlText w:val="（%1）"/>
      <w:lvlJc w:val="left"/>
    </w:lvl>
  </w:abstractNum>
  <w:abstractNum w:abstractNumId="3">
    <w:nsid w:val="0C380015"/>
    <w:multiLevelType w:val="multilevel"/>
    <w:tmpl w:val="0C38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59A5B73"/>
    <w:multiLevelType w:val="singleLevel"/>
    <w:tmpl w:val="459A5B73"/>
    <w:lvl w:ilvl="0" w:tentative="0">
      <w:start w:val="2"/>
      <w:numFmt w:val="decimal"/>
      <w:suff w:val="nothing"/>
      <w:lvlText w:val="（%1）"/>
      <w:lvlJc w:val="left"/>
    </w:lvl>
  </w:abstractNum>
  <w:abstractNum w:abstractNumId="5">
    <w:nsid w:val="58BE4A74"/>
    <w:multiLevelType w:val="singleLevel"/>
    <w:tmpl w:val="58BE4A74"/>
    <w:lvl w:ilvl="0" w:tentative="0">
      <w:start w:val="1"/>
      <w:numFmt w:val="chineseCounting"/>
      <w:suff w:val="nothing"/>
      <w:lvlText w:val="%1、"/>
      <w:lvlJc w:val="left"/>
      <w:pPr>
        <w:ind w:firstLine="420"/>
      </w:pPr>
      <w:rPr>
        <w:rFonts w:hint="eastAsia"/>
      </w:rPr>
    </w:lvl>
  </w:abstractNum>
  <w:abstractNum w:abstractNumId="6">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7">
    <w:nsid w:val="59F099C9"/>
    <w:multiLevelType w:val="singleLevel"/>
    <w:tmpl w:val="59F099C9"/>
    <w:lvl w:ilvl="0" w:tentative="0">
      <w:start w:val="1"/>
      <w:numFmt w:val="decimal"/>
      <w:suff w:val="nothing"/>
      <w:lvlText w:val="（%1）"/>
      <w:lvlJc w:val="left"/>
      <w:pPr>
        <w:ind w:firstLine="420"/>
      </w:pPr>
      <w:rPr>
        <w:rFonts w:hint="default"/>
      </w:rPr>
    </w:lvl>
  </w:abstractNum>
  <w:abstractNum w:abstractNumId="8">
    <w:nsid w:val="5C4C21CA"/>
    <w:multiLevelType w:val="multilevel"/>
    <w:tmpl w:val="5C4C21CA"/>
    <w:lvl w:ilvl="0" w:tentative="0">
      <w:start w:val="1"/>
      <w:numFmt w:val="chineseCountingThousand"/>
      <w:lvlText w:val="%1、"/>
      <w:lvlJc w:val="left"/>
      <w:pPr>
        <w:ind w:left="0" w:firstLine="0"/>
      </w:pPr>
      <w:rPr>
        <w:rFonts w:hint="eastAsia"/>
        <w:b/>
        <w:lang w:val="en-US"/>
      </w:rPr>
    </w:lvl>
    <w:lvl w:ilvl="1" w:tentative="0">
      <w:start w:val="1"/>
      <w:numFmt w:val="decimal"/>
      <w:isLgl/>
      <w:lvlText w:val="%1.%2、"/>
      <w:lvlJc w:val="left"/>
      <w:pPr>
        <w:ind w:left="142" w:firstLine="0"/>
      </w:pPr>
      <w:rPr>
        <w:rFonts w:hint="eastAsia"/>
        <w:b/>
        <w:color w:val="auto"/>
        <w:sz w:val="30"/>
        <w:szCs w:val="30"/>
      </w:rPr>
    </w:lvl>
    <w:lvl w:ilvl="2" w:tentative="0">
      <w:start w:val="1"/>
      <w:numFmt w:val="decimal"/>
      <w:pStyle w:val="153"/>
      <w:isLgl/>
      <w:lvlText w:val="%1.%2.%3、"/>
      <w:lvlJc w:val="left"/>
      <w:pPr>
        <w:ind w:left="142" w:firstLine="0"/>
      </w:pPr>
      <w:rPr>
        <w:rFonts w:hint="eastAsia"/>
        <w:b/>
        <w:i w:val="0"/>
      </w:rPr>
    </w:lvl>
    <w:lvl w:ilvl="3" w:tentative="0">
      <w:start w:val="1"/>
      <w:numFmt w:val="decimal"/>
      <w:isLgl/>
      <w:lvlText w:val="%1.%2.%3.%4、"/>
      <w:lvlJc w:val="left"/>
      <w:pPr>
        <w:ind w:left="0" w:firstLine="0"/>
      </w:pPr>
      <w:rPr>
        <w:rFonts w:hint="eastAsia"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4" w:tentative="0">
      <w:start w:val="1"/>
      <w:numFmt w:val="decimal"/>
      <w:isLgl/>
      <w:lvlText w:val="%1.%2.%3.%4.%5、"/>
      <w:lvlJc w:val="left"/>
      <w:pPr>
        <w:ind w:left="977" w:hanging="1008"/>
      </w:pPr>
      <w:rPr>
        <w:rFonts w:hint="eastAsia"/>
      </w:rPr>
    </w:lvl>
    <w:lvl w:ilvl="5" w:tentative="0">
      <w:start w:val="1"/>
      <w:numFmt w:val="decimal"/>
      <w:isLgl/>
      <w:lvlText w:val="%1.%2.%3.%4.%5.%6、"/>
      <w:lvlJc w:val="left"/>
      <w:pPr>
        <w:ind w:left="1121" w:hanging="1152"/>
      </w:pPr>
      <w:rPr>
        <w:rFonts w:hint="eastAsia"/>
      </w:rPr>
    </w:lvl>
    <w:lvl w:ilvl="6" w:tentative="0">
      <w:start w:val="1"/>
      <w:numFmt w:val="decimal"/>
      <w:lvlText w:val="%1.%2.%3.%4.%5.%6.%7"/>
      <w:lvlJc w:val="left"/>
      <w:pPr>
        <w:ind w:left="1265" w:hanging="1296"/>
      </w:pPr>
      <w:rPr>
        <w:rFonts w:hint="eastAsia"/>
      </w:rPr>
    </w:lvl>
    <w:lvl w:ilvl="7" w:tentative="0">
      <w:start w:val="1"/>
      <w:numFmt w:val="decimal"/>
      <w:lvlText w:val="%1.%2.%3.%4.%5.%6.%7.%8"/>
      <w:lvlJc w:val="left"/>
      <w:pPr>
        <w:ind w:left="1409" w:hanging="1440"/>
      </w:pPr>
      <w:rPr>
        <w:rFonts w:hint="eastAsia"/>
      </w:rPr>
    </w:lvl>
    <w:lvl w:ilvl="8" w:tentative="0">
      <w:start w:val="1"/>
      <w:numFmt w:val="decimal"/>
      <w:lvlText w:val="%1.%2.%3.%4.%5.%6.%7.%8.%9"/>
      <w:lvlJc w:val="left"/>
      <w:pPr>
        <w:ind w:left="1553" w:hanging="1584"/>
      </w:pPr>
      <w:rPr>
        <w:rFonts w:hint="eastAsia"/>
      </w:rPr>
    </w:lvl>
  </w:abstractNum>
  <w:abstractNum w:abstractNumId="9">
    <w:nsid w:val="73E8FBA8"/>
    <w:multiLevelType w:val="singleLevel"/>
    <w:tmpl w:val="73E8FBA8"/>
    <w:lvl w:ilvl="0" w:tentative="0">
      <w:start w:val="1"/>
      <w:numFmt w:val="decimal"/>
      <w:suff w:val="nothing"/>
      <w:lvlText w:val="（%1）"/>
      <w:lvlJc w:val="left"/>
    </w:lvl>
  </w:abstractNum>
  <w:num w:numId="1">
    <w:abstractNumId w:val="1"/>
  </w:num>
  <w:num w:numId="2">
    <w:abstractNumId w:val="8"/>
  </w:num>
  <w:num w:numId="3">
    <w:abstractNumId w:val="9"/>
  </w:num>
  <w:num w:numId="4">
    <w:abstractNumId w:val="3"/>
  </w:num>
  <w:num w:numId="5">
    <w:abstractNumId w:val="5"/>
  </w:num>
  <w:num w:numId="6">
    <w:abstractNumId w:val="2"/>
  </w:num>
  <w:num w:numId="7">
    <w:abstractNumId w:val="6"/>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oNotHyphenateCaps/>
  <w:drawingGridHorizontalSpacing w:val="210"/>
  <w:drawingGridVerticalSpacing w:val="164"/>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5ZTdmYzk3ZDczMTEyZmNiMTgzYzFlOWU3MmQyYzYifQ=="/>
  </w:docVars>
  <w:rsids>
    <w:rsidRoot w:val="00172A27"/>
    <w:rsid w:val="00004BA7"/>
    <w:rsid w:val="00005B32"/>
    <w:rsid w:val="00010EA2"/>
    <w:rsid w:val="00015CE5"/>
    <w:rsid w:val="0001630B"/>
    <w:rsid w:val="00016924"/>
    <w:rsid w:val="000215F9"/>
    <w:rsid w:val="0002193F"/>
    <w:rsid w:val="000251B2"/>
    <w:rsid w:val="00040CAE"/>
    <w:rsid w:val="0005257D"/>
    <w:rsid w:val="0005463B"/>
    <w:rsid w:val="00056A18"/>
    <w:rsid w:val="0006270F"/>
    <w:rsid w:val="00071A2D"/>
    <w:rsid w:val="0007624A"/>
    <w:rsid w:val="00076793"/>
    <w:rsid w:val="00082A12"/>
    <w:rsid w:val="000965FF"/>
    <w:rsid w:val="00096F80"/>
    <w:rsid w:val="000B1C06"/>
    <w:rsid w:val="000B7B77"/>
    <w:rsid w:val="000B7E11"/>
    <w:rsid w:val="000C0895"/>
    <w:rsid w:val="000C4700"/>
    <w:rsid w:val="000C66B3"/>
    <w:rsid w:val="000D025E"/>
    <w:rsid w:val="000D1150"/>
    <w:rsid w:val="000D511E"/>
    <w:rsid w:val="000D7A84"/>
    <w:rsid w:val="000E1B3B"/>
    <w:rsid w:val="000E2E85"/>
    <w:rsid w:val="000E441F"/>
    <w:rsid w:val="000F25C6"/>
    <w:rsid w:val="000F7D52"/>
    <w:rsid w:val="00106960"/>
    <w:rsid w:val="00112DB1"/>
    <w:rsid w:val="0011607E"/>
    <w:rsid w:val="00123856"/>
    <w:rsid w:val="00135474"/>
    <w:rsid w:val="0013722C"/>
    <w:rsid w:val="00137C57"/>
    <w:rsid w:val="00146401"/>
    <w:rsid w:val="001500CF"/>
    <w:rsid w:val="0015350C"/>
    <w:rsid w:val="00160BEB"/>
    <w:rsid w:val="00162275"/>
    <w:rsid w:val="0016392C"/>
    <w:rsid w:val="00167A28"/>
    <w:rsid w:val="00170208"/>
    <w:rsid w:val="001710EC"/>
    <w:rsid w:val="00172A27"/>
    <w:rsid w:val="00175536"/>
    <w:rsid w:val="00183C89"/>
    <w:rsid w:val="0018646C"/>
    <w:rsid w:val="00190C06"/>
    <w:rsid w:val="00191202"/>
    <w:rsid w:val="001959E2"/>
    <w:rsid w:val="001962AD"/>
    <w:rsid w:val="00197C4D"/>
    <w:rsid w:val="001A1334"/>
    <w:rsid w:val="001B1E3E"/>
    <w:rsid w:val="001B2AD6"/>
    <w:rsid w:val="001B52F6"/>
    <w:rsid w:val="001B6D88"/>
    <w:rsid w:val="001D1EB4"/>
    <w:rsid w:val="001D602F"/>
    <w:rsid w:val="001E66CE"/>
    <w:rsid w:val="001E6C17"/>
    <w:rsid w:val="001F3993"/>
    <w:rsid w:val="001F6BED"/>
    <w:rsid w:val="001F782E"/>
    <w:rsid w:val="00202A3C"/>
    <w:rsid w:val="002035BC"/>
    <w:rsid w:val="00206E15"/>
    <w:rsid w:val="002110A1"/>
    <w:rsid w:val="00213ADD"/>
    <w:rsid w:val="00224600"/>
    <w:rsid w:val="0022486D"/>
    <w:rsid w:val="002372A5"/>
    <w:rsid w:val="00241322"/>
    <w:rsid w:val="00241EAD"/>
    <w:rsid w:val="00244C0D"/>
    <w:rsid w:val="00253A8D"/>
    <w:rsid w:val="0027186A"/>
    <w:rsid w:val="00272917"/>
    <w:rsid w:val="002810C5"/>
    <w:rsid w:val="0028166F"/>
    <w:rsid w:val="002846BB"/>
    <w:rsid w:val="00290FBC"/>
    <w:rsid w:val="002928E1"/>
    <w:rsid w:val="0029291A"/>
    <w:rsid w:val="00294BE6"/>
    <w:rsid w:val="00294F2A"/>
    <w:rsid w:val="002A3ADC"/>
    <w:rsid w:val="002A6E6B"/>
    <w:rsid w:val="002B0332"/>
    <w:rsid w:val="002B2239"/>
    <w:rsid w:val="002B5961"/>
    <w:rsid w:val="002B6158"/>
    <w:rsid w:val="002B7907"/>
    <w:rsid w:val="002C0D5A"/>
    <w:rsid w:val="002C2643"/>
    <w:rsid w:val="002D0B40"/>
    <w:rsid w:val="002D1C17"/>
    <w:rsid w:val="002D1F32"/>
    <w:rsid w:val="002D349B"/>
    <w:rsid w:val="002D528A"/>
    <w:rsid w:val="002D6C79"/>
    <w:rsid w:val="002D7A6D"/>
    <w:rsid w:val="002E07BF"/>
    <w:rsid w:val="002E189E"/>
    <w:rsid w:val="002E4ADD"/>
    <w:rsid w:val="002F165A"/>
    <w:rsid w:val="002F1919"/>
    <w:rsid w:val="002F2BCA"/>
    <w:rsid w:val="002F6FCA"/>
    <w:rsid w:val="002F74C6"/>
    <w:rsid w:val="002F7A4B"/>
    <w:rsid w:val="00300C90"/>
    <w:rsid w:val="00303418"/>
    <w:rsid w:val="00307250"/>
    <w:rsid w:val="00314924"/>
    <w:rsid w:val="00315CD3"/>
    <w:rsid w:val="003160A9"/>
    <w:rsid w:val="003202D3"/>
    <w:rsid w:val="00320322"/>
    <w:rsid w:val="00320654"/>
    <w:rsid w:val="00320EE6"/>
    <w:rsid w:val="0032651B"/>
    <w:rsid w:val="00334C04"/>
    <w:rsid w:val="00337601"/>
    <w:rsid w:val="00340F9B"/>
    <w:rsid w:val="00341158"/>
    <w:rsid w:val="00342A63"/>
    <w:rsid w:val="00343014"/>
    <w:rsid w:val="00345FCC"/>
    <w:rsid w:val="00347BE2"/>
    <w:rsid w:val="00352F14"/>
    <w:rsid w:val="00360C09"/>
    <w:rsid w:val="00362391"/>
    <w:rsid w:val="003627F8"/>
    <w:rsid w:val="003859D8"/>
    <w:rsid w:val="00387321"/>
    <w:rsid w:val="003A1D85"/>
    <w:rsid w:val="003A43A3"/>
    <w:rsid w:val="003A612C"/>
    <w:rsid w:val="003A6630"/>
    <w:rsid w:val="003B53CC"/>
    <w:rsid w:val="003C206A"/>
    <w:rsid w:val="003C29FE"/>
    <w:rsid w:val="003C44B3"/>
    <w:rsid w:val="003C4988"/>
    <w:rsid w:val="003D37C1"/>
    <w:rsid w:val="003D50DD"/>
    <w:rsid w:val="003D7E3F"/>
    <w:rsid w:val="003E65D8"/>
    <w:rsid w:val="003E7B81"/>
    <w:rsid w:val="003F19D5"/>
    <w:rsid w:val="003F3D18"/>
    <w:rsid w:val="003F64A7"/>
    <w:rsid w:val="003F6D98"/>
    <w:rsid w:val="0040050B"/>
    <w:rsid w:val="004059AE"/>
    <w:rsid w:val="00413C4E"/>
    <w:rsid w:val="00413F11"/>
    <w:rsid w:val="0042126E"/>
    <w:rsid w:val="00421C30"/>
    <w:rsid w:val="004306AA"/>
    <w:rsid w:val="004310FB"/>
    <w:rsid w:val="00434344"/>
    <w:rsid w:val="00440269"/>
    <w:rsid w:val="00441621"/>
    <w:rsid w:val="004456E2"/>
    <w:rsid w:val="004458BC"/>
    <w:rsid w:val="004570FB"/>
    <w:rsid w:val="00462D92"/>
    <w:rsid w:val="00462DF2"/>
    <w:rsid w:val="00466B18"/>
    <w:rsid w:val="00472A06"/>
    <w:rsid w:val="004735BA"/>
    <w:rsid w:val="00482B14"/>
    <w:rsid w:val="00485775"/>
    <w:rsid w:val="004A59C8"/>
    <w:rsid w:val="004B1232"/>
    <w:rsid w:val="004B15F6"/>
    <w:rsid w:val="004B4CCF"/>
    <w:rsid w:val="004B4D3C"/>
    <w:rsid w:val="004B60FE"/>
    <w:rsid w:val="004B683C"/>
    <w:rsid w:val="004B75EB"/>
    <w:rsid w:val="004C21D5"/>
    <w:rsid w:val="004C3524"/>
    <w:rsid w:val="004C3CD8"/>
    <w:rsid w:val="004C6860"/>
    <w:rsid w:val="004C6EA6"/>
    <w:rsid w:val="004C782A"/>
    <w:rsid w:val="004C7937"/>
    <w:rsid w:val="004D0B61"/>
    <w:rsid w:val="004D1660"/>
    <w:rsid w:val="004D1E6A"/>
    <w:rsid w:val="004D56BD"/>
    <w:rsid w:val="004D68EF"/>
    <w:rsid w:val="004D6D24"/>
    <w:rsid w:val="004D70C5"/>
    <w:rsid w:val="004E1DBF"/>
    <w:rsid w:val="004E3D99"/>
    <w:rsid w:val="004F2338"/>
    <w:rsid w:val="004F4587"/>
    <w:rsid w:val="00500677"/>
    <w:rsid w:val="00501E86"/>
    <w:rsid w:val="0050249F"/>
    <w:rsid w:val="00507712"/>
    <w:rsid w:val="00512758"/>
    <w:rsid w:val="00516DF1"/>
    <w:rsid w:val="005205ED"/>
    <w:rsid w:val="00520C66"/>
    <w:rsid w:val="0052192C"/>
    <w:rsid w:val="00522064"/>
    <w:rsid w:val="00525A22"/>
    <w:rsid w:val="00526020"/>
    <w:rsid w:val="00527C6A"/>
    <w:rsid w:val="00533084"/>
    <w:rsid w:val="00533996"/>
    <w:rsid w:val="00535179"/>
    <w:rsid w:val="00537E76"/>
    <w:rsid w:val="0054121D"/>
    <w:rsid w:val="005507FE"/>
    <w:rsid w:val="005616C3"/>
    <w:rsid w:val="00571370"/>
    <w:rsid w:val="005728D1"/>
    <w:rsid w:val="005764B7"/>
    <w:rsid w:val="005767B4"/>
    <w:rsid w:val="00576E24"/>
    <w:rsid w:val="00581C8C"/>
    <w:rsid w:val="005826D4"/>
    <w:rsid w:val="00587171"/>
    <w:rsid w:val="005918D7"/>
    <w:rsid w:val="005A4A37"/>
    <w:rsid w:val="005B156F"/>
    <w:rsid w:val="005B2147"/>
    <w:rsid w:val="005B3960"/>
    <w:rsid w:val="005B792D"/>
    <w:rsid w:val="005C737F"/>
    <w:rsid w:val="005D6479"/>
    <w:rsid w:val="005D7A12"/>
    <w:rsid w:val="005E259F"/>
    <w:rsid w:val="005E2798"/>
    <w:rsid w:val="005E4FB7"/>
    <w:rsid w:val="005F036E"/>
    <w:rsid w:val="005F0C4B"/>
    <w:rsid w:val="005F41CB"/>
    <w:rsid w:val="006044D9"/>
    <w:rsid w:val="006109BC"/>
    <w:rsid w:val="00616ADE"/>
    <w:rsid w:val="0062027A"/>
    <w:rsid w:val="00622D80"/>
    <w:rsid w:val="00632E4D"/>
    <w:rsid w:val="00632E58"/>
    <w:rsid w:val="0063486B"/>
    <w:rsid w:val="00637065"/>
    <w:rsid w:val="00640703"/>
    <w:rsid w:val="00642F93"/>
    <w:rsid w:val="006657C9"/>
    <w:rsid w:val="006739A1"/>
    <w:rsid w:val="00675301"/>
    <w:rsid w:val="00676150"/>
    <w:rsid w:val="0068208A"/>
    <w:rsid w:val="00686E29"/>
    <w:rsid w:val="00691EC3"/>
    <w:rsid w:val="00696FBA"/>
    <w:rsid w:val="006A2AC7"/>
    <w:rsid w:val="006A2D96"/>
    <w:rsid w:val="006A3734"/>
    <w:rsid w:val="006B38D0"/>
    <w:rsid w:val="006C4563"/>
    <w:rsid w:val="006D35B9"/>
    <w:rsid w:val="006D4A21"/>
    <w:rsid w:val="006E46DF"/>
    <w:rsid w:val="006E7309"/>
    <w:rsid w:val="006F1FD6"/>
    <w:rsid w:val="006F3D0D"/>
    <w:rsid w:val="006F6B6F"/>
    <w:rsid w:val="00700558"/>
    <w:rsid w:val="00713FA4"/>
    <w:rsid w:val="00714585"/>
    <w:rsid w:val="007145A3"/>
    <w:rsid w:val="007260D3"/>
    <w:rsid w:val="00734321"/>
    <w:rsid w:val="007350DD"/>
    <w:rsid w:val="007374ED"/>
    <w:rsid w:val="00740840"/>
    <w:rsid w:val="00742353"/>
    <w:rsid w:val="00747054"/>
    <w:rsid w:val="0075335B"/>
    <w:rsid w:val="007578C8"/>
    <w:rsid w:val="007609B8"/>
    <w:rsid w:val="0076103B"/>
    <w:rsid w:val="0076108D"/>
    <w:rsid w:val="00761C00"/>
    <w:rsid w:val="00761F62"/>
    <w:rsid w:val="0076472F"/>
    <w:rsid w:val="007749D9"/>
    <w:rsid w:val="0077634F"/>
    <w:rsid w:val="007770DF"/>
    <w:rsid w:val="007809B7"/>
    <w:rsid w:val="0078483A"/>
    <w:rsid w:val="00787B06"/>
    <w:rsid w:val="00792491"/>
    <w:rsid w:val="007A16A6"/>
    <w:rsid w:val="007A2512"/>
    <w:rsid w:val="007A36C0"/>
    <w:rsid w:val="007B2B77"/>
    <w:rsid w:val="007B6B64"/>
    <w:rsid w:val="007B6BCF"/>
    <w:rsid w:val="007B6D05"/>
    <w:rsid w:val="007C18C2"/>
    <w:rsid w:val="007C1CAA"/>
    <w:rsid w:val="007C7DEA"/>
    <w:rsid w:val="007D00DF"/>
    <w:rsid w:val="007E3909"/>
    <w:rsid w:val="007E7467"/>
    <w:rsid w:val="007F01CC"/>
    <w:rsid w:val="007F20B0"/>
    <w:rsid w:val="007F33CE"/>
    <w:rsid w:val="007F7861"/>
    <w:rsid w:val="008004E4"/>
    <w:rsid w:val="0080581E"/>
    <w:rsid w:val="0081303D"/>
    <w:rsid w:val="00816B21"/>
    <w:rsid w:val="00821D41"/>
    <w:rsid w:val="008234BC"/>
    <w:rsid w:val="008259C8"/>
    <w:rsid w:val="00826AD0"/>
    <w:rsid w:val="008277A7"/>
    <w:rsid w:val="00827E31"/>
    <w:rsid w:val="008329E5"/>
    <w:rsid w:val="00833FDB"/>
    <w:rsid w:val="0083596B"/>
    <w:rsid w:val="008401E9"/>
    <w:rsid w:val="00841916"/>
    <w:rsid w:val="0084209B"/>
    <w:rsid w:val="008433D5"/>
    <w:rsid w:val="00843925"/>
    <w:rsid w:val="008456C5"/>
    <w:rsid w:val="00857FA1"/>
    <w:rsid w:val="0086607B"/>
    <w:rsid w:val="0086663B"/>
    <w:rsid w:val="0086784C"/>
    <w:rsid w:val="00870EAE"/>
    <w:rsid w:val="008710F1"/>
    <w:rsid w:val="00876563"/>
    <w:rsid w:val="008839DC"/>
    <w:rsid w:val="008866C0"/>
    <w:rsid w:val="00887D1E"/>
    <w:rsid w:val="00891290"/>
    <w:rsid w:val="008962A7"/>
    <w:rsid w:val="00897D92"/>
    <w:rsid w:val="008A0975"/>
    <w:rsid w:val="008A367A"/>
    <w:rsid w:val="008B2891"/>
    <w:rsid w:val="008B3BC3"/>
    <w:rsid w:val="008B3D14"/>
    <w:rsid w:val="008B7CA5"/>
    <w:rsid w:val="008C227D"/>
    <w:rsid w:val="008C6D84"/>
    <w:rsid w:val="008E02C4"/>
    <w:rsid w:val="008E07BA"/>
    <w:rsid w:val="008E1791"/>
    <w:rsid w:val="008E4A9C"/>
    <w:rsid w:val="008E4F66"/>
    <w:rsid w:val="008E53A9"/>
    <w:rsid w:val="008E6643"/>
    <w:rsid w:val="008F0090"/>
    <w:rsid w:val="008F1ABB"/>
    <w:rsid w:val="008F6EFE"/>
    <w:rsid w:val="008F752D"/>
    <w:rsid w:val="009016AA"/>
    <w:rsid w:val="00904AE4"/>
    <w:rsid w:val="009063E0"/>
    <w:rsid w:val="00911E5C"/>
    <w:rsid w:val="00914949"/>
    <w:rsid w:val="00916046"/>
    <w:rsid w:val="00921206"/>
    <w:rsid w:val="009235A6"/>
    <w:rsid w:val="00927900"/>
    <w:rsid w:val="009300F6"/>
    <w:rsid w:val="00931396"/>
    <w:rsid w:val="00931804"/>
    <w:rsid w:val="00931C5C"/>
    <w:rsid w:val="00940A2B"/>
    <w:rsid w:val="009479EC"/>
    <w:rsid w:val="0095298A"/>
    <w:rsid w:val="00953366"/>
    <w:rsid w:val="00954CF1"/>
    <w:rsid w:val="00956521"/>
    <w:rsid w:val="00962505"/>
    <w:rsid w:val="00964B6E"/>
    <w:rsid w:val="0096516F"/>
    <w:rsid w:val="0096641E"/>
    <w:rsid w:val="00967538"/>
    <w:rsid w:val="0097045D"/>
    <w:rsid w:val="0097134B"/>
    <w:rsid w:val="009729CB"/>
    <w:rsid w:val="00983FAD"/>
    <w:rsid w:val="0098589A"/>
    <w:rsid w:val="009859B0"/>
    <w:rsid w:val="009935A5"/>
    <w:rsid w:val="009A4A76"/>
    <w:rsid w:val="009A6B98"/>
    <w:rsid w:val="009A77A9"/>
    <w:rsid w:val="009B5F0C"/>
    <w:rsid w:val="009C0F48"/>
    <w:rsid w:val="009C28C6"/>
    <w:rsid w:val="009C52D9"/>
    <w:rsid w:val="009C65C7"/>
    <w:rsid w:val="009D4358"/>
    <w:rsid w:val="009D657F"/>
    <w:rsid w:val="009E0269"/>
    <w:rsid w:val="009E52F7"/>
    <w:rsid w:val="009E54DA"/>
    <w:rsid w:val="009E769B"/>
    <w:rsid w:val="009F333B"/>
    <w:rsid w:val="009F4813"/>
    <w:rsid w:val="009F7170"/>
    <w:rsid w:val="00A0060C"/>
    <w:rsid w:val="00A03806"/>
    <w:rsid w:val="00A05A33"/>
    <w:rsid w:val="00A13CF9"/>
    <w:rsid w:val="00A16EB2"/>
    <w:rsid w:val="00A20439"/>
    <w:rsid w:val="00A2206A"/>
    <w:rsid w:val="00A222BB"/>
    <w:rsid w:val="00A228B6"/>
    <w:rsid w:val="00A2466B"/>
    <w:rsid w:val="00A248F4"/>
    <w:rsid w:val="00A27424"/>
    <w:rsid w:val="00A27FA2"/>
    <w:rsid w:val="00A34C33"/>
    <w:rsid w:val="00A36544"/>
    <w:rsid w:val="00A46393"/>
    <w:rsid w:val="00A53232"/>
    <w:rsid w:val="00A56FA6"/>
    <w:rsid w:val="00A5719E"/>
    <w:rsid w:val="00A63494"/>
    <w:rsid w:val="00A6432C"/>
    <w:rsid w:val="00A72D88"/>
    <w:rsid w:val="00A77FA6"/>
    <w:rsid w:val="00A8343C"/>
    <w:rsid w:val="00A9143D"/>
    <w:rsid w:val="00A921BA"/>
    <w:rsid w:val="00A95A89"/>
    <w:rsid w:val="00A97E39"/>
    <w:rsid w:val="00AA105B"/>
    <w:rsid w:val="00AA12B2"/>
    <w:rsid w:val="00AA18BD"/>
    <w:rsid w:val="00AA292A"/>
    <w:rsid w:val="00AA7E63"/>
    <w:rsid w:val="00AB009C"/>
    <w:rsid w:val="00AB0730"/>
    <w:rsid w:val="00AB2417"/>
    <w:rsid w:val="00AB5F04"/>
    <w:rsid w:val="00AC15AD"/>
    <w:rsid w:val="00AC2095"/>
    <w:rsid w:val="00AC4DD4"/>
    <w:rsid w:val="00AC54DB"/>
    <w:rsid w:val="00AC5D69"/>
    <w:rsid w:val="00AC7625"/>
    <w:rsid w:val="00AD5366"/>
    <w:rsid w:val="00AE1FA0"/>
    <w:rsid w:val="00AE2CEA"/>
    <w:rsid w:val="00AE2DCE"/>
    <w:rsid w:val="00AF3E5B"/>
    <w:rsid w:val="00AF42C7"/>
    <w:rsid w:val="00AF4317"/>
    <w:rsid w:val="00AF550F"/>
    <w:rsid w:val="00B036D8"/>
    <w:rsid w:val="00B05802"/>
    <w:rsid w:val="00B05FE4"/>
    <w:rsid w:val="00B07C59"/>
    <w:rsid w:val="00B2348B"/>
    <w:rsid w:val="00B30AD2"/>
    <w:rsid w:val="00B32079"/>
    <w:rsid w:val="00B355AC"/>
    <w:rsid w:val="00B3706C"/>
    <w:rsid w:val="00B40362"/>
    <w:rsid w:val="00B45CC9"/>
    <w:rsid w:val="00B50A6A"/>
    <w:rsid w:val="00B51EFA"/>
    <w:rsid w:val="00B63FA9"/>
    <w:rsid w:val="00B71350"/>
    <w:rsid w:val="00B761FB"/>
    <w:rsid w:val="00B76DB3"/>
    <w:rsid w:val="00B82F58"/>
    <w:rsid w:val="00B8561B"/>
    <w:rsid w:val="00B8592B"/>
    <w:rsid w:val="00B870CA"/>
    <w:rsid w:val="00B9218C"/>
    <w:rsid w:val="00BA0961"/>
    <w:rsid w:val="00BA1897"/>
    <w:rsid w:val="00BA52B6"/>
    <w:rsid w:val="00BA6A62"/>
    <w:rsid w:val="00BB4274"/>
    <w:rsid w:val="00BC1AB3"/>
    <w:rsid w:val="00BC274D"/>
    <w:rsid w:val="00BC7430"/>
    <w:rsid w:val="00BD2877"/>
    <w:rsid w:val="00BD6548"/>
    <w:rsid w:val="00BD694D"/>
    <w:rsid w:val="00BE1802"/>
    <w:rsid w:val="00BE3DA8"/>
    <w:rsid w:val="00C01460"/>
    <w:rsid w:val="00C03A4F"/>
    <w:rsid w:val="00C0667B"/>
    <w:rsid w:val="00C06804"/>
    <w:rsid w:val="00C11350"/>
    <w:rsid w:val="00C1147B"/>
    <w:rsid w:val="00C16128"/>
    <w:rsid w:val="00C27EF0"/>
    <w:rsid w:val="00C36694"/>
    <w:rsid w:val="00C43EB2"/>
    <w:rsid w:val="00C56A84"/>
    <w:rsid w:val="00C66C21"/>
    <w:rsid w:val="00C72BA2"/>
    <w:rsid w:val="00C75095"/>
    <w:rsid w:val="00C76C6D"/>
    <w:rsid w:val="00C77720"/>
    <w:rsid w:val="00C84CEF"/>
    <w:rsid w:val="00C87AFE"/>
    <w:rsid w:val="00C918FC"/>
    <w:rsid w:val="00C9373A"/>
    <w:rsid w:val="00CB64FF"/>
    <w:rsid w:val="00CC0227"/>
    <w:rsid w:val="00CC4E6B"/>
    <w:rsid w:val="00CC5312"/>
    <w:rsid w:val="00CD1024"/>
    <w:rsid w:val="00CD4A40"/>
    <w:rsid w:val="00CE6207"/>
    <w:rsid w:val="00D01247"/>
    <w:rsid w:val="00D135EA"/>
    <w:rsid w:val="00D15672"/>
    <w:rsid w:val="00D175AB"/>
    <w:rsid w:val="00D223D8"/>
    <w:rsid w:val="00D2460F"/>
    <w:rsid w:val="00D26B51"/>
    <w:rsid w:val="00D35304"/>
    <w:rsid w:val="00D4281B"/>
    <w:rsid w:val="00D42A5A"/>
    <w:rsid w:val="00D44D45"/>
    <w:rsid w:val="00D465A9"/>
    <w:rsid w:val="00D4662D"/>
    <w:rsid w:val="00D51625"/>
    <w:rsid w:val="00D54E23"/>
    <w:rsid w:val="00D574E4"/>
    <w:rsid w:val="00D576EF"/>
    <w:rsid w:val="00D60622"/>
    <w:rsid w:val="00D713C4"/>
    <w:rsid w:val="00D723CA"/>
    <w:rsid w:val="00D754F2"/>
    <w:rsid w:val="00D8553D"/>
    <w:rsid w:val="00DA200D"/>
    <w:rsid w:val="00DA32E7"/>
    <w:rsid w:val="00DA3920"/>
    <w:rsid w:val="00DA4229"/>
    <w:rsid w:val="00DA54B8"/>
    <w:rsid w:val="00DA6B67"/>
    <w:rsid w:val="00DA7A04"/>
    <w:rsid w:val="00DA7AE7"/>
    <w:rsid w:val="00DB0F37"/>
    <w:rsid w:val="00DC1986"/>
    <w:rsid w:val="00DC713D"/>
    <w:rsid w:val="00DC7FB0"/>
    <w:rsid w:val="00DD30D9"/>
    <w:rsid w:val="00DD3DB8"/>
    <w:rsid w:val="00DD7769"/>
    <w:rsid w:val="00DF2C8E"/>
    <w:rsid w:val="00E0133F"/>
    <w:rsid w:val="00E02DF2"/>
    <w:rsid w:val="00E0321A"/>
    <w:rsid w:val="00E03EEB"/>
    <w:rsid w:val="00E04145"/>
    <w:rsid w:val="00E0624C"/>
    <w:rsid w:val="00E07D6D"/>
    <w:rsid w:val="00E11336"/>
    <w:rsid w:val="00E15315"/>
    <w:rsid w:val="00E24AFE"/>
    <w:rsid w:val="00E2593E"/>
    <w:rsid w:val="00E33229"/>
    <w:rsid w:val="00E4529A"/>
    <w:rsid w:val="00E54610"/>
    <w:rsid w:val="00E55562"/>
    <w:rsid w:val="00E57423"/>
    <w:rsid w:val="00E57D7D"/>
    <w:rsid w:val="00E61F55"/>
    <w:rsid w:val="00E63219"/>
    <w:rsid w:val="00E65DC8"/>
    <w:rsid w:val="00E83E90"/>
    <w:rsid w:val="00E90E0A"/>
    <w:rsid w:val="00E9724B"/>
    <w:rsid w:val="00EA1ECE"/>
    <w:rsid w:val="00EA67DE"/>
    <w:rsid w:val="00EB067D"/>
    <w:rsid w:val="00EB0F5E"/>
    <w:rsid w:val="00EC1730"/>
    <w:rsid w:val="00ED216E"/>
    <w:rsid w:val="00ED25F2"/>
    <w:rsid w:val="00ED57BA"/>
    <w:rsid w:val="00ED79B8"/>
    <w:rsid w:val="00EE016C"/>
    <w:rsid w:val="00EE1052"/>
    <w:rsid w:val="00EE5620"/>
    <w:rsid w:val="00EF266D"/>
    <w:rsid w:val="00EF3819"/>
    <w:rsid w:val="00EF4D87"/>
    <w:rsid w:val="00EF6691"/>
    <w:rsid w:val="00F14EC1"/>
    <w:rsid w:val="00F20D70"/>
    <w:rsid w:val="00F233CC"/>
    <w:rsid w:val="00F234ED"/>
    <w:rsid w:val="00F23CA7"/>
    <w:rsid w:val="00F26651"/>
    <w:rsid w:val="00F2704A"/>
    <w:rsid w:val="00F32A86"/>
    <w:rsid w:val="00F33090"/>
    <w:rsid w:val="00F339C2"/>
    <w:rsid w:val="00F408E1"/>
    <w:rsid w:val="00F51351"/>
    <w:rsid w:val="00F52F91"/>
    <w:rsid w:val="00F53CDF"/>
    <w:rsid w:val="00F57BDA"/>
    <w:rsid w:val="00F63952"/>
    <w:rsid w:val="00F6517C"/>
    <w:rsid w:val="00F671AB"/>
    <w:rsid w:val="00F7025A"/>
    <w:rsid w:val="00F75245"/>
    <w:rsid w:val="00F828D1"/>
    <w:rsid w:val="00F84C3B"/>
    <w:rsid w:val="00F86B63"/>
    <w:rsid w:val="00F87832"/>
    <w:rsid w:val="00F90A4D"/>
    <w:rsid w:val="00FA1B70"/>
    <w:rsid w:val="00FA5BCB"/>
    <w:rsid w:val="00FA773F"/>
    <w:rsid w:val="00FA7D66"/>
    <w:rsid w:val="00FB3934"/>
    <w:rsid w:val="00FB3E71"/>
    <w:rsid w:val="00FC1A22"/>
    <w:rsid w:val="00FC26CD"/>
    <w:rsid w:val="00FD62F1"/>
    <w:rsid w:val="00FD64ED"/>
    <w:rsid w:val="00FD6E2A"/>
    <w:rsid w:val="00FE719F"/>
    <w:rsid w:val="00FF727C"/>
    <w:rsid w:val="010B583C"/>
    <w:rsid w:val="010E06D4"/>
    <w:rsid w:val="011221F0"/>
    <w:rsid w:val="013A223F"/>
    <w:rsid w:val="01525A0A"/>
    <w:rsid w:val="015F531D"/>
    <w:rsid w:val="016A454D"/>
    <w:rsid w:val="017D3840"/>
    <w:rsid w:val="018E640A"/>
    <w:rsid w:val="01920D21"/>
    <w:rsid w:val="01A4012F"/>
    <w:rsid w:val="01AC2FBF"/>
    <w:rsid w:val="01BC4501"/>
    <w:rsid w:val="01DA363D"/>
    <w:rsid w:val="01F90F7C"/>
    <w:rsid w:val="020600F6"/>
    <w:rsid w:val="02064B47"/>
    <w:rsid w:val="022D433C"/>
    <w:rsid w:val="02374638"/>
    <w:rsid w:val="023C7D0C"/>
    <w:rsid w:val="02854F8C"/>
    <w:rsid w:val="029300CA"/>
    <w:rsid w:val="02AD4E24"/>
    <w:rsid w:val="02C56FBB"/>
    <w:rsid w:val="02CB14A4"/>
    <w:rsid w:val="02E57ADC"/>
    <w:rsid w:val="02F61685"/>
    <w:rsid w:val="02FA17E2"/>
    <w:rsid w:val="02FD5BFC"/>
    <w:rsid w:val="02FE73C3"/>
    <w:rsid w:val="030A0C9E"/>
    <w:rsid w:val="03226FE8"/>
    <w:rsid w:val="03442B37"/>
    <w:rsid w:val="03442ED4"/>
    <w:rsid w:val="034C725D"/>
    <w:rsid w:val="0378082D"/>
    <w:rsid w:val="03982137"/>
    <w:rsid w:val="03AB6F4F"/>
    <w:rsid w:val="03C10C9F"/>
    <w:rsid w:val="03C921C1"/>
    <w:rsid w:val="03FD053E"/>
    <w:rsid w:val="040B7728"/>
    <w:rsid w:val="040D5331"/>
    <w:rsid w:val="042475F2"/>
    <w:rsid w:val="044912F8"/>
    <w:rsid w:val="044A7112"/>
    <w:rsid w:val="045B26AD"/>
    <w:rsid w:val="045F7B15"/>
    <w:rsid w:val="046D2F85"/>
    <w:rsid w:val="049D3F5A"/>
    <w:rsid w:val="04B43E82"/>
    <w:rsid w:val="04B650F1"/>
    <w:rsid w:val="04CB26A7"/>
    <w:rsid w:val="04CD0688"/>
    <w:rsid w:val="04CE3D21"/>
    <w:rsid w:val="04D502BA"/>
    <w:rsid w:val="04DA7FAF"/>
    <w:rsid w:val="04DF4866"/>
    <w:rsid w:val="04E96780"/>
    <w:rsid w:val="04F06D3D"/>
    <w:rsid w:val="050438CD"/>
    <w:rsid w:val="052B0940"/>
    <w:rsid w:val="053973B5"/>
    <w:rsid w:val="05402991"/>
    <w:rsid w:val="054E1CE0"/>
    <w:rsid w:val="055E230D"/>
    <w:rsid w:val="056C728C"/>
    <w:rsid w:val="057A7F6E"/>
    <w:rsid w:val="05A377A7"/>
    <w:rsid w:val="05D137D6"/>
    <w:rsid w:val="05D245F2"/>
    <w:rsid w:val="05D27302"/>
    <w:rsid w:val="05FA123D"/>
    <w:rsid w:val="05FB4E02"/>
    <w:rsid w:val="05FF224E"/>
    <w:rsid w:val="060454DB"/>
    <w:rsid w:val="06110D47"/>
    <w:rsid w:val="063F6A07"/>
    <w:rsid w:val="06587E65"/>
    <w:rsid w:val="065A46B0"/>
    <w:rsid w:val="065B3B93"/>
    <w:rsid w:val="066D1D57"/>
    <w:rsid w:val="06B12629"/>
    <w:rsid w:val="06BD3616"/>
    <w:rsid w:val="06BE30D0"/>
    <w:rsid w:val="06CD112D"/>
    <w:rsid w:val="06D505D2"/>
    <w:rsid w:val="06DC7813"/>
    <w:rsid w:val="06E56C12"/>
    <w:rsid w:val="06FC54BA"/>
    <w:rsid w:val="06FD5DC2"/>
    <w:rsid w:val="07224610"/>
    <w:rsid w:val="073278A0"/>
    <w:rsid w:val="073E5E68"/>
    <w:rsid w:val="07461120"/>
    <w:rsid w:val="07621A18"/>
    <w:rsid w:val="077166EC"/>
    <w:rsid w:val="07892C9E"/>
    <w:rsid w:val="07B56E3D"/>
    <w:rsid w:val="07CD0C3B"/>
    <w:rsid w:val="07E562BD"/>
    <w:rsid w:val="07FC0B21"/>
    <w:rsid w:val="07FC0D88"/>
    <w:rsid w:val="08145F16"/>
    <w:rsid w:val="08366DA4"/>
    <w:rsid w:val="084D4872"/>
    <w:rsid w:val="0852506A"/>
    <w:rsid w:val="085A28FF"/>
    <w:rsid w:val="087D1536"/>
    <w:rsid w:val="089E6E52"/>
    <w:rsid w:val="08B16FB6"/>
    <w:rsid w:val="08B8390C"/>
    <w:rsid w:val="08E53CD3"/>
    <w:rsid w:val="08E74CA6"/>
    <w:rsid w:val="090A42F6"/>
    <w:rsid w:val="092266DC"/>
    <w:rsid w:val="09271A18"/>
    <w:rsid w:val="0949327F"/>
    <w:rsid w:val="097A7578"/>
    <w:rsid w:val="099106B6"/>
    <w:rsid w:val="09913C41"/>
    <w:rsid w:val="09A147B1"/>
    <w:rsid w:val="09AA6D36"/>
    <w:rsid w:val="09C33728"/>
    <w:rsid w:val="09CF513B"/>
    <w:rsid w:val="09E25AD9"/>
    <w:rsid w:val="09EA213D"/>
    <w:rsid w:val="0A0976BB"/>
    <w:rsid w:val="0A14041D"/>
    <w:rsid w:val="0A182BFC"/>
    <w:rsid w:val="0A367760"/>
    <w:rsid w:val="0A3E3F88"/>
    <w:rsid w:val="0A672A35"/>
    <w:rsid w:val="0A706A46"/>
    <w:rsid w:val="0A891706"/>
    <w:rsid w:val="0A9E72DA"/>
    <w:rsid w:val="0ADD6B36"/>
    <w:rsid w:val="0AE54C46"/>
    <w:rsid w:val="0AEE50E0"/>
    <w:rsid w:val="0AFC5610"/>
    <w:rsid w:val="0B224DC6"/>
    <w:rsid w:val="0B561C5B"/>
    <w:rsid w:val="0B5D1A85"/>
    <w:rsid w:val="0B5D1E36"/>
    <w:rsid w:val="0B651A2B"/>
    <w:rsid w:val="0B741EC5"/>
    <w:rsid w:val="0B7679BC"/>
    <w:rsid w:val="0BB5243F"/>
    <w:rsid w:val="0BE50B71"/>
    <w:rsid w:val="0BED26A5"/>
    <w:rsid w:val="0BF91A7F"/>
    <w:rsid w:val="0C0A394D"/>
    <w:rsid w:val="0C495E24"/>
    <w:rsid w:val="0C4A5A7C"/>
    <w:rsid w:val="0C5F0865"/>
    <w:rsid w:val="0C786384"/>
    <w:rsid w:val="0C943AA2"/>
    <w:rsid w:val="0CB5191B"/>
    <w:rsid w:val="0CB6728F"/>
    <w:rsid w:val="0CCE2B10"/>
    <w:rsid w:val="0CE1187B"/>
    <w:rsid w:val="0CFD25BD"/>
    <w:rsid w:val="0D1F6213"/>
    <w:rsid w:val="0D231009"/>
    <w:rsid w:val="0D24607B"/>
    <w:rsid w:val="0D2E7A52"/>
    <w:rsid w:val="0D371B9D"/>
    <w:rsid w:val="0D452987"/>
    <w:rsid w:val="0D462DD6"/>
    <w:rsid w:val="0D5755FA"/>
    <w:rsid w:val="0D62596E"/>
    <w:rsid w:val="0D6C19EE"/>
    <w:rsid w:val="0D7A1E67"/>
    <w:rsid w:val="0D7B32BC"/>
    <w:rsid w:val="0D933F5C"/>
    <w:rsid w:val="0DA67FA3"/>
    <w:rsid w:val="0DA800E4"/>
    <w:rsid w:val="0DC3433B"/>
    <w:rsid w:val="0E005C7A"/>
    <w:rsid w:val="0E0C42FA"/>
    <w:rsid w:val="0E2A28DC"/>
    <w:rsid w:val="0E381521"/>
    <w:rsid w:val="0E475B7F"/>
    <w:rsid w:val="0E69691F"/>
    <w:rsid w:val="0EA7065B"/>
    <w:rsid w:val="0EA91CC7"/>
    <w:rsid w:val="0EC875FE"/>
    <w:rsid w:val="0EE00EC5"/>
    <w:rsid w:val="0EEC44E6"/>
    <w:rsid w:val="0EFD2AF6"/>
    <w:rsid w:val="0F03025E"/>
    <w:rsid w:val="0F1C13DE"/>
    <w:rsid w:val="0F393446"/>
    <w:rsid w:val="0F3F00D1"/>
    <w:rsid w:val="0F4A7075"/>
    <w:rsid w:val="0F537409"/>
    <w:rsid w:val="0F79260C"/>
    <w:rsid w:val="0F987E27"/>
    <w:rsid w:val="0FBB76E3"/>
    <w:rsid w:val="0FC54506"/>
    <w:rsid w:val="0FC66DA3"/>
    <w:rsid w:val="100E0796"/>
    <w:rsid w:val="101D1E30"/>
    <w:rsid w:val="10204FBD"/>
    <w:rsid w:val="10252948"/>
    <w:rsid w:val="10372E26"/>
    <w:rsid w:val="103966FB"/>
    <w:rsid w:val="103D6845"/>
    <w:rsid w:val="1043262A"/>
    <w:rsid w:val="10656183"/>
    <w:rsid w:val="106C132D"/>
    <w:rsid w:val="108E6DDE"/>
    <w:rsid w:val="10DD209D"/>
    <w:rsid w:val="10FF1E8F"/>
    <w:rsid w:val="114535BD"/>
    <w:rsid w:val="115C7E46"/>
    <w:rsid w:val="118013C7"/>
    <w:rsid w:val="118D5872"/>
    <w:rsid w:val="119963B1"/>
    <w:rsid w:val="11B361D3"/>
    <w:rsid w:val="11BB4D58"/>
    <w:rsid w:val="11BB6630"/>
    <w:rsid w:val="125155EC"/>
    <w:rsid w:val="1266706A"/>
    <w:rsid w:val="12793BBE"/>
    <w:rsid w:val="127B5FEA"/>
    <w:rsid w:val="127C4C76"/>
    <w:rsid w:val="128C33F4"/>
    <w:rsid w:val="12EF690E"/>
    <w:rsid w:val="12FD5E15"/>
    <w:rsid w:val="131A7145"/>
    <w:rsid w:val="131C06AC"/>
    <w:rsid w:val="133A4EB7"/>
    <w:rsid w:val="13487675"/>
    <w:rsid w:val="13631AD8"/>
    <w:rsid w:val="137447B2"/>
    <w:rsid w:val="13830E2C"/>
    <w:rsid w:val="138D11BC"/>
    <w:rsid w:val="139D2FCC"/>
    <w:rsid w:val="13AD288D"/>
    <w:rsid w:val="13D84C83"/>
    <w:rsid w:val="13EA285B"/>
    <w:rsid w:val="142468C7"/>
    <w:rsid w:val="143C5260"/>
    <w:rsid w:val="14661880"/>
    <w:rsid w:val="149C20CC"/>
    <w:rsid w:val="14A2463C"/>
    <w:rsid w:val="14AF4B49"/>
    <w:rsid w:val="14B45A92"/>
    <w:rsid w:val="14F838A9"/>
    <w:rsid w:val="15164403"/>
    <w:rsid w:val="15273101"/>
    <w:rsid w:val="153062F0"/>
    <w:rsid w:val="153E2DB6"/>
    <w:rsid w:val="15550B09"/>
    <w:rsid w:val="155550C1"/>
    <w:rsid w:val="15576ACE"/>
    <w:rsid w:val="1568217F"/>
    <w:rsid w:val="15761223"/>
    <w:rsid w:val="15784E47"/>
    <w:rsid w:val="157C2A57"/>
    <w:rsid w:val="159517A5"/>
    <w:rsid w:val="15A74B21"/>
    <w:rsid w:val="15B17473"/>
    <w:rsid w:val="15E23CA8"/>
    <w:rsid w:val="15F75500"/>
    <w:rsid w:val="15FA6095"/>
    <w:rsid w:val="16443E43"/>
    <w:rsid w:val="166B3507"/>
    <w:rsid w:val="166F203B"/>
    <w:rsid w:val="16C2284B"/>
    <w:rsid w:val="16CB423B"/>
    <w:rsid w:val="16D95682"/>
    <w:rsid w:val="17062F69"/>
    <w:rsid w:val="171750B3"/>
    <w:rsid w:val="17423544"/>
    <w:rsid w:val="17450DD5"/>
    <w:rsid w:val="17575561"/>
    <w:rsid w:val="1779199A"/>
    <w:rsid w:val="17907B2D"/>
    <w:rsid w:val="17982E60"/>
    <w:rsid w:val="179944DC"/>
    <w:rsid w:val="17A06173"/>
    <w:rsid w:val="17B56054"/>
    <w:rsid w:val="17CB4BCC"/>
    <w:rsid w:val="17DF536C"/>
    <w:rsid w:val="17EA0C48"/>
    <w:rsid w:val="18120EEB"/>
    <w:rsid w:val="18163EED"/>
    <w:rsid w:val="181C4CF1"/>
    <w:rsid w:val="182B6938"/>
    <w:rsid w:val="183D0E38"/>
    <w:rsid w:val="1841587E"/>
    <w:rsid w:val="185D0505"/>
    <w:rsid w:val="18630E03"/>
    <w:rsid w:val="186F3E63"/>
    <w:rsid w:val="187857E7"/>
    <w:rsid w:val="187B19AA"/>
    <w:rsid w:val="18811F09"/>
    <w:rsid w:val="188321C6"/>
    <w:rsid w:val="18921717"/>
    <w:rsid w:val="18A25EE0"/>
    <w:rsid w:val="18AD6D67"/>
    <w:rsid w:val="18D3007D"/>
    <w:rsid w:val="18D53492"/>
    <w:rsid w:val="190144BB"/>
    <w:rsid w:val="190D3CF6"/>
    <w:rsid w:val="190E1B7D"/>
    <w:rsid w:val="192F739D"/>
    <w:rsid w:val="196C2D76"/>
    <w:rsid w:val="19DC5DE9"/>
    <w:rsid w:val="19E42EEC"/>
    <w:rsid w:val="19E7490A"/>
    <w:rsid w:val="19FC4F49"/>
    <w:rsid w:val="1A206E13"/>
    <w:rsid w:val="1A324F2D"/>
    <w:rsid w:val="1A462475"/>
    <w:rsid w:val="1A542986"/>
    <w:rsid w:val="1A6612FE"/>
    <w:rsid w:val="1A6E4083"/>
    <w:rsid w:val="1A754C02"/>
    <w:rsid w:val="1A855D7B"/>
    <w:rsid w:val="1AB71087"/>
    <w:rsid w:val="1AC06A39"/>
    <w:rsid w:val="1ACC4F36"/>
    <w:rsid w:val="1AD357E3"/>
    <w:rsid w:val="1AE043B8"/>
    <w:rsid w:val="1AF11218"/>
    <w:rsid w:val="1AF44A0B"/>
    <w:rsid w:val="1B0742EF"/>
    <w:rsid w:val="1B115D3C"/>
    <w:rsid w:val="1B151932"/>
    <w:rsid w:val="1B1E0896"/>
    <w:rsid w:val="1B306794"/>
    <w:rsid w:val="1B3B23A6"/>
    <w:rsid w:val="1B483F91"/>
    <w:rsid w:val="1B614048"/>
    <w:rsid w:val="1B6C2973"/>
    <w:rsid w:val="1B6C41BD"/>
    <w:rsid w:val="1B807337"/>
    <w:rsid w:val="1BA47C58"/>
    <w:rsid w:val="1BB80F43"/>
    <w:rsid w:val="1BC170B5"/>
    <w:rsid w:val="1BC63CDD"/>
    <w:rsid w:val="1BC85289"/>
    <w:rsid w:val="1BDC02C0"/>
    <w:rsid w:val="1BEB4B83"/>
    <w:rsid w:val="1BF0529D"/>
    <w:rsid w:val="1C415F19"/>
    <w:rsid w:val="1C446BE5"/>
    <w:rsid w:val="1C583CFA"/>
    <w:rsid w:val="1C594016"/>
    <w:rsid w:val="1C5A0FCE"/>
    <w:rsid w:val="1C6D0873"/>
    <w:rsid w:val="1C915866"/>
    <w:rsid w:val="1CC22F08"/>
    <w:rsid w:val="1CC96E50"/>
    <w:rsid w:val="1CD84A63"/>
    <w:rsid w:val="1CE4569C"/>
    <w:rsid w:val="1CF15954"/>
    <w:rsid w:val="1D295B40"/>
    <w:rsid w:val="1D385997"/>
    <w:rsid w:val="1D395687"/>
    <w:rsid w:val="1D5E31C4"/>
    <w:rsid w:val="1D6B0D1C"/>
    <w:rsid w:val="1D8D5C15"/>
    <w:rsid w:val="1DA31A6F"/>
    <w:rsid w:val="1DB51F23"/>
    <w:rsid w:val="1DC65199"/>
    <w:rsid w:val="1DE55082"/>
    <w:rsid w:val="1DEB7A42"/>
    <w:rsid w:val="1DF97E9A"/>
    <w:rsid w:val="1E086E80"/>
    <w:rsid w:val="1E0B7D87"/>
    <w:rsid w:val="1E4B44C2"/>
    <w:rsid w:val="1E5E18A6"/>
    <w:rsid w:val="1EC30958"/>
    <w:rsid w:val="1EC331FD"/>
    <w:rsid w:val="1F1F3A24"/>
    <w:rsid w:val="1F206854"/>
    <w:rsid w:val="1F244EC9"/>
    <w:rsid w:val="1F514A73"/>
    <w:rsid w:val="1F5A3842"/>
    <w:rsid w:val="1F690A75"/>
    <w:rsid w:val="1F78690B"/>
    <w:rsid w:val="1F7977EE"/>
    <w:rsid w:val="1F895E51"/>
    <w:rsid w:val="1FA073B6"/>
    <w:rsid w:val="1FB12B7F"/>
    <w:rsid w:val="20025D99"/>
    <w:rsid w:val="203A68C1"/>
    <w:rsid w:val="2054435F"/>
    <w:rsid w:val="205E2FD5"/>
    <w:rsid w:val="20670906"/>
    <w:rsid w:val="20875DE4"/>
    <w:rsid w:val="20933A77"/>
    <w:rsid w:val="20971013"/>
    <w:rsid w:val="209D643B"/>
    <w:rsid w:val="20A77C09"/>
    <w:rsid w:val="20E03EA8"/>
    <w:rsid w:val="211D78B0"/>
    <w:rsid w:val="212E72D0"/>
    <w:rsid w:val="21323206"/>
    <w:rsid w:val="213C76E2"/>
    <w:rsid w:val="213E32F0"/>
    <w:rsid w:val="2149131F"/>
    <w:rsid w:val="2149340F"/>
    <w:rsid w:val="214D73DD"/>
    <w:rsid w:val="214E43E5"/>
    <w:rsid w:val="21B53414"/>
    <w:rsid w:val="21E5038E"/>
    <w:rsid w:val="21E8206B"/>
    <w:rsid w:val="21EF529B"/>
    <w:rsid w:val="220426D8"/>
    <w:rsid w:val="223E6CF8"/>
    <w:rsid w:val="224156DA"/>
    <w:rsid w:val="2243364A"/>
    <w:rsid w:val="226823A3"/>
    <w:rsid w:val="22750CD5"/>
    <w:rsid w:val="227C1E95"/>
    <w:rsid w:val="22A73267"/>
    <w:rsid w:val="22AF5BBC"/>
    <w:rsid w:val="22C677C0"/>
    <w:rsid w:val="22CD1033"/>
    <w:rsid w:val="22DD3C85"/>
    <w:rsid w:val="22E25187"/>
    <w:rsid w:val="22FA0357"/>
    <w:rsid w:val="231F34A9"/>
    <w:rsid w:val="23740A0F"/>
    <w:rsid w:val="23773046"/>
    <w:rsid w:val="238A31D0"/>
    <w:rsid w:val="23A2444D"/>
    <w:rsid w:val="23B42767"/>
    <w:rsid w:val="23E303FA"/>
    <w:rsid w:val="23EB5574"/>
    <w:rsid w:val="23F911BA"/>
    <w:rsid w:val="23FE56CB"/>
    <w:rsid w:val="23FF49C8"/>
    <w:rsid w:val="242D516F"/>
    <w:rsid w:val="245247ED"/>
    <w:rsid w:val="24575A93"/>
    <w:rsid w:val="24BB763A"/>
    <w:rsid w:val="24BF3406"/>
    <w:rsid w:val="24C97FC2"/>
    <w:rsid w:val="24FE0C07"/>
    <w:rsid w:val="2508212D"/>
    <w:rsid w:val="251D0807"/>
    <w:rsid w:val="252B038C"/>
    <w:rsid w:val="252E1698"/>
    <w:rsid w:val="2542651B"/>
    <w:rsid w:val="25543DDA"/>
    <w:rsid w:val="255F7AD2"/>
    <w:rsid w:val="2562439C"/>
    <w:rsid w:val="256D4FBD"/>
    <w:rsid w:val="25777033"/>
    <w:rsid w:val="257E016B"/>
    <w:rsid w:val="259057D7"/>
    <w:rsid w:val="25A84311"/>
    <w:rsid w:val="25A928A3"/>
    <w:rsid w:val="25AA58E4"/>
    <w:rsid w:val="25AD6D4C"/>
    <w:rsid w:val="25B52A47"/>
    <w:rsid w:val="25C10491"/>
    <w:rsid w:val="25C46D47"/>
    <w:rsid w:val="25CE035B"/>
    <w:rsid w:val="25E074E7"/>
    <w:rsid w:val="25EE4017"/>
    <w:rsid w:val="25F97290"/>
    <w:rsid w:val="26217CFD"/>
    <w:rsid w:val="26223B26"/>
    <w:rsid w:val="26241D26"/>
    <w:rsid w:val="2627224F"/>
    <w:rsid w:val="26461511"/>
    <w:rsid w:val="265B0A5D"/>
    <w:rsid w:val="266360FF"/>
    <w:rsid w:val="266B72B6"/>
    <w:rsid w:val="266C4868"/>
    <w:rsid w:val="269D762C"/>
    <w:rsid w:val="26A10A3D"/>
    <w:rsid w:val="26B75F6B"/>
    <w:rsid w:val="26C615CE"/>
    <w:rsid w:val="26C976F8"/>
    <w:rsid w:val="26EF72E5"/>
    <w:rsid w:val="26FB2A32"/>
    <w:rsid w:val="26FC4A2E"/>
    <w:rsid w:val="26FF3381"/>
    <w:rsid w:val="27004A9E"/>
    <w:rsid w:val="270B0E4A"/>
    <w:rsid w:val="2714654E"/>
    <w:rsid w:val="27180E6A"/>
    <w:rsid w:val="271E393C"/>
    <w:rsid w:val="271E669F"/>
    <w:rsid w:val="272E6A36"/>
    <w:rsid w:val="27333A9E"/>
    <w:rsid w:val="273D5A6D"/>
    <w:rsid w:val="274023D4"/>
    <w:rsid w:val="274253D5"/>
    <w:rsid w:val="27663E92"/>
    <w:rsid w:val="276D74EC"/>
    <w:rsid w:val="276F6A21"/>
    <w:rsid w:val="27701D30"/>
    <w:rsid w:val="278A534F"/>
    <w:rsid w:val="27BF77CD"/>
    <w:rsid w:val="27C7445F"/>
    <w:rsid w:val="27D163B4"/>
    <w:rsid w:val="282B36F9"/>
    <w:rsid w:val="284B4DA9"/>
    <w:rsid w:val="287813D0"/>
    <w:rsid w:val="28A813E1"/>
    <w:rsid w:val="28AB3CCD"/>
    <w:rsid w:val="28B92E20"/>
    <w:rsid w:val="28B93CEB"/>
    <w:rsid w:val="28BE3C7A"/>
    <w:rsid w:val="28E02A8F"/>
    <w:rsid w:val="28E1683E"/>
    <w:rsid w:val="29125D60"/>
    <w:rsid w:val="292B1C11"/>
    <w:rsid w:val="2960365F"/>
    <w:rsid w:val="29A02DFD"/>
    <w:rsid w:val="29D10A88"/>
    <w:rsid w:val="29F91387"/>
    <w:rsid w:val="2A1A3264"/>
    <w:rsid w:val="2A1A46E9"/>
    <w:rsid w:val="2A2A2452"/>
    <w:rsid w:val="2A3717F0"/>
    <w:rsid w:val="2A441BE1"/>
    <w:rsid w:val="2A4836B1"/>
    <w:rsid w:val="2A4A0382"/>
    <w:rsid w:val="2A7E55B1"/>
    <w:rsid w:val="2A851BD9"/>
    <w:rsid w:val="2A863893"/>
    <w:rsid w:val="2A932720"/>
    <w:rsid w:val="2AA02867"/>
    <w:rsid w:val="2AB357E7"/>
    <w:rsid w:val="2ABF038A"/>
    <w:rsid w:val="2AC9578D"/>
    <w:rsid w:val="2ACC5C5A"/>
    <w:rsid w:val="2AF04F6E"/>
    <w:rsid w:val="2B000827"/>
    <w:rsid w:val="2B136A9C"/>
    <w:rsid w:val="2B305649"/>
    <w:rsid w:val="2B420288"/>
    <w:rsid w:val="2B421328"/>
    <w:rsid w:val="2B56310A"/>
    <w:rsid w:val="2B641D7F"/>
    <w:rsid w:val="2B674942"/>
    <w:rsid w:val="2B6D3C7A"/>
    <w:rsid w:val="2B786D85"/>
    <w:rsid w:val="2B955445"/>
    <w:rsid w:val="2BB23B01"/>
    <w:rsid w:val="2BB32D41"/>
    <w:rsid w:val="2BC069D0"/>
    <w:rsid w:val="2BC367B8"/>
    <w:rsid w:val="2BE960EF"/>
    <w:rsid w:val="2C071A15"/>
    <w:rsid w:val="2C1B0D4A"/>
    <w:rsid w:val="2C2D3420"/>
    <w:rsid w:val="2C3D0449"/>
    <w:rsid w:val="2C3D09FE"/>
    <w:rsid w:val="2C55425C"/>
    <w:rsid w:val="2C7B4E8C"/>
    <w:rsid w:val="2C8A0D2C"/>
    <w:rsid w:val="2C9446A0"/>
    <w:rsid w:val="2CA04D25"/>
    <w:rsid w:val="2CED77C1"/>
    <w:rsid w:val="2CF617E0"/>
    <w:rsid w:val="2D16631A"/>
    <w:rsid w:val="2D18099A"/>
    <w:rsid w:val="2D4C5A5E"/>
    <w:rsid w:val="2D5A4743"/>
    <w:rsid w:val="2D5E5546"/>
    <w:rsid w:val="2D681179"/>
    <w:rsid w:val="2D6E0347"/>
    <w:rsid w:val="2D6F134E"/>
    <w:rsid w:val="2D944CD1"/>
    <w:rsid w:val="2DBB723B"/>
    <w:rsid w:val="2DC37DF1"/>
    <w:rsid w:val="2DCE0619"/>
    <w:rsid w:val="2DD35AE8"/>
    <w:rsid w:val="2DE64BF5"/>
    <w:rsid w:val="2DE84AF7"/>
    <w:rsid w:val="2E0D173F"/>
    <w:rsid w:val="2E2267BD"/>
    <w:rsid w:val="2E307DB7"/>
    <w:rsid w:val="2E3E5270"/>
    <w:rsid w:val="2E4C5B33"/>
    <w:rsid w:val="2E6011D7"/>
    <w:rsid w:val="2E961606"/>
    <w:rsid w:val="2EB116BB"/>
    <w:rsid w:val="2ED81367"/>
    <w:rsid w:val="2EFE7D6E"/>
    <w:rsid w:val="2F0565BD"/>
    <w:rsid w:val="2F147B3A"/>
    <w:rsid w:val="2F26688E"/>
    <w:rsid w:val="2F5816C7"/>
    <w:rsid w:val="2F58679B"/>
    <w:rsid w:val="2F664AF6"/>
    <w:rsid w:val="2F89313C"/>
    <w:rsid w:val="2F984ABB"/>
    <w:rsid w:val="2FAD1FDF"/>
    <w:rsid w:val="2FC17E5A"/>
    <w:rsid w:val="30171D7B"/>
    <w:rsid w:val="302C39C4"/>
    <w:rsid w:val="30561692"/>
    <w:rsid w:val="30AA13BF"/>
    <w:rsid w:val="30ED32FC"/>
    <w:rsid w:val="30F524B2"/>
    <w:rsid w:val="31195802"/>
    <w:rsid w:val="312A74ED"/>
    <w:rsid w:val="313533BC"/>
    <w:rsid w:val="313E4759"/>
    <w:rsid w:val="314B1C9B"/>
    <w:rsid w:val="31602DF6"/>
    <w:rsid w:val="31612184"/>
    <w:rsid w:val="3163384A"/>
    <w:rsid w:val="317D0C73"/>
    <w:rsid w:val="318872A5"/>
    <w:rsid w:val="318B24CE"/>
    <w:rsid w:val="31926D16"/>
    <w:rsid w:val="3194218A"/>
    <w:rsid w:val="31A40595"/>
    <w:rsid w:val="31A57943"/>
    <w:rsid w:val="31B444D7"/>
    <w:rsid w:val="31C21577"/>
    <w:rsid w:val="31C342A2"/>
    <w:rsid w:val="31F83438"/>
    <w:rsid w:val="31FC5556"/>
    <w:rsid w:val="32170FF5"/>
    <w:rsid w:val="322D0CB7"/>
    <w:rsid w:val="32356B5E"/>
    <w:rsid w:val="324474DF"/>
    <w:rsid w:val="324E226E"/>
    <w:rsid w:val="326C7167"/>
    <w:rsid w:val="32746E3F"/>
    <w:rsid w:val="32C1086E"/>
    <w:rsid w:val="32D4454C"/>
    <w:rsid w:val="32F341BB"/>
    <w:rsid w:val="330001A2"/>
    <w:rsid w:val="332A6927"/>
    <w:rsid w:val="33434A04"/>
    <w:rsid w:val="334713E7"/>
    <w:rsid w:val="335C0F0C"/>
    <w:rsid w:val="3363480C"/>
    <w:rsid w:val="337A41F8"/>
    <w:rsid w:val="338257CE"/>
    <w:rsid w:val="338B39C2"/>
    <w:rsid w:val="33CB6B29"/>
    <w:rsid w:val="33D47543"/>
    <w:rsid w:val="33EA4F8B"/>
    <w:rsid w:val="340B2F67"/>
    <w:rsid w:val="341A1198"/>
    <w:rsid w:val="341C7ECE"/>
    <w:rsid w:val="344A5CAF"/>
    <w:rsid w:val="345319C9"/>
    <w:rsid w:val="34627E84"/>
    <w:rsid w:val="346C4843"/>
    <w:rsid w:val="34761B3D"/>
    <w:rsid w:val="347C6980"/>
    <w:rsid w:val="347D55E3"/>
    <w:rsid w:val="34861646"/>
    <w:rsid w:val="34AE6BFF"/>
    <w:rsid w:val="34ED2EF3"/>
    <w:rsid w:val="34FB6280"/>
    <w:rsid w:val="35184C6D"/>
    <w:rsid w:val="351B1E01"/>
    <w:rsid w:val="353D1B92"/>
    <w:rsid w:val="356A2C20"/>
    <w:rsid w:val="35773F4E"/>
    <w:rsid w:val="3584155B"/>
    <w:rsid w:val="358B1967"/>
    <w:rsid w:val="35906410"/>
    <w:rsid w:val="35BE61A8"/>
    <w:rsid w:val="35C773D6"/>
    <w:rsid w:val="35D903FF"/>
    <w:rsid w:val="35DB2555"/>
    <w:rsid w:val="35E1119D"/>
    <w:rsid w:val="35EF609A"/>
    <w:rsid w:val="360E3D96"/>
    <w:rsid w:val="361E3E3A"/>
    <w:rsid w:val="363D70CD"/>
    <w:rsid w:val="36462289"/>
    <w:rsid w:val="36657B90"/>
    <w:rsid w:val="368178C2"/>
    <w:rsid w:val="36892FDF"/>
    <w:rsid w:val="36897EB8"/>
    <w:rsid w:val="369301F2"/>
    <w:rsid w:val="369D6F2B"/>
    <w:rsid w:val="369F5F8F"/>
    <w:rsid w:val="36A1205A"/>
    <w:rsid w:val="36A46172"/>
    <w:rsid w:val="36CD7058"/>
    <w:rsid w:val="36D90673"/>
    <w:rsid w:val="36DB7F8A"/>
    <w:rsid w:val="370666E5"/>
    <w:rsid w:val="370945C1"/>
    <w:rsid w:val="373511EA"/>
    <w:rsid w:val="37454D4A"/>
    <w:rsid w:val="374E3698"/>
    <w:rsid w:val="375111F8"/>
    <w:rsid w:val="37785578"/>
    <w:rsid w:val="37884AB4"/>
    <w:rsid w:val="379501B2"/>
    <w:rsid w:val="37AB75F3"/>
    <w:rsid w:val="37C4304B"/>
    <w:rsid w:val="3818637F"/>
    <w:rsid w:val="38414AE1"/>
    <w:rsid w:val="385F1A9D"/>
    <w:rsid w:val="3883540B"/>
    <w:rsid w:val="38910707"/>
    <w:rsid w:val="389712F2"/>
    <w:rsid w:val="38B42B1B"/>
    <w:rsid w:val="38DD3307"/>
    <w:rsid w:val="38EC0F5C"/>
    <w:rsid w:val="390447E4"/>
    <w:rsid w:val="390F1C92"/>
    <w:rsid w:val="39293DB0"/>
    <w:rsid w:val="3932357B"/>
    <w:rsid w:val="398630C2"/>
    <w:rsid w:val="39945775"/>
    <w:rsid w:val="39A03524"/>
    <w:rsid w:val="39B13AE1"/>
    <w:rsid w:val="39BC76D4"/>
    <w:rsid w:val="39D0223F"/>
    <w:rsid w:val="39E83444"/>
    <w:rsid w:val="39E901AB"/>
    <w:rsid w:val="39F36619"/>
    <w:rsid w:val="3A015BD2"/>
    <w:rsid w:val="3A0D284C"/>
    <w:rsid w:val="3A376E72"/>
    <w:rsid w:val="3A5E6443"/>
    <w:rsid w:val="3A5F0C68"/>
    <w:rsid w:val="3A6E01EF"/>
    <w:rsid w:val="3A8D3267"/>
    <w:rsid w:val="3A9A5F88"/>
    <w:rsid w:val="3A9B19D4"/>
    <w:rsid w:val="3A9B3EA5"/>
    <w:rsid w:val="3A9E0B45"/>
    <w:rsid w:val="3AAC6062"/>
    <w:rsid w:val="3AD30754"/>
    <w:rsid w:val="3AD31A4B"/>
    <w:rsid w:val="3AD63FAA"/>
    <w:rsid w:val="3AD82BC6"/>
    <w:rsid w:val="3AFE2C6B"/>
    <w:rsid w:val="3B176C14"/>
    <w:rsid w:val="3B1866F7"/>
    <w:rsid w:val="3B1952ED"/>
    <w:rsid w:val="3B25014C"/>
    <w:rsid w:val="3B376687"/>
    <w:rsid w:val="3B3E6939"/>
    <w:rsid w:val="3B4F12B2"/>
    <w:rsid w:val="3B5E1424"/>
    <w:rsid w:val="3B730A2C"/>
    <w:rsid w:val="3B807805"/>
    <w:rsid w:val="3BAE5839"/>
    <w:rsid w:val="3BBB34FE"/>
    <w:rsid w:val="3BBF7182"/>
    <w:rsid w:val="3BDB763B"/>
    <w:rsid w:val="3BFB5246"/>
    <w:rsid w:val="3C0A04BB"/>
    <w:rsid w:val="3C0F6AFE"/>
    <w:rsid w:val="3C3360EC"/>
    <w:rsid w:val="3C3643F9"/>
    <w:rsid w:val="3C452831"/>
    <w:rsid w:val="3C5D17C0"/>
    <w:rsid w:val="3C7057AE"/>
    <w:rsid w:val="3CA53C3A"/>
    <w:rsid w:val="3CA74A0B"/>
    <w:rsid w:val="3CA97F92"/>
    <w:rsid w:val="3CC1259B"/>
    <w:rsid w:val="3CEA08C2"/>
    <w:rsid w:val="3CEA1C78"/>
    <w:rsid w:val="3CEC0EB8"/>
    <w:rsid w:val="3CF0119C"/>
    <w:rsid w:val="3D37642D"/>
    <w:rsid w:val="3D390680"/>
    <w:rsid w:val="3D4B442E"/>
    <w:rsid w:val="3D672756"/>
    <w:rsid w:val="3D6D69CE"/>
    <w:rsid w:val="3D8D5B29"/>
    <w:rsid w:val="3DB13B3B"/>
    <w:rsid w:val="3DC065C6"/>
    <w:rsid w:val="3DC70F93"/>
    <w:rsid w:val="3DDC0B07"/>
    <w:rsid w:val="3DEF5B24"/>
    <w:rsid w:val="3E0169BD"/>
    <w:rsid w:val="3E3D3FF6"/>
    <w:rsid w:val="3E4D1237"/>
    <w:rsid w:val="3E5700F6"/>
    <w:rsid w:val="3E7B17BF"/>
    <w:rsid w:val="3EB721C8"/>
    <w:rsid w:val="3EC7628C"/>
    <w:rsid w:val="3EF472CF"/>
    <w:rsid w:val="3F197280"/>
    <w:rsid w:val="3F217B27"/>
    <w:rsid w:val="3F372FE2"/>
    <w:rsid w:val="3F4B496B"/>
    <w:rsid w:val="3F4B6BB2"/>
    <w:rsid w:val="3F5A6CFB"/>
    <w:rsid w:val="3FA46EF8"/>
    <w:rsid w:val="3FEA02AB"/>
    <w:rsid w:val="3FEC6BE3"/>
    <w:rsid w:val="401A45DC"/>
    <w:rsid w:val="402203F5"/>
    <w:rsid w:val="4028158A"/>
    <w:rsid w:val="405427A2"/>
    <w:rsid w:val="40574F8A"/>
    <w:rsid w:val="4078718E"/>
    <w:rsid w:val="40AC4CCB"/>
    <w:rsid w:val="40AE5034"/>
    <w:rsid w:val="40B35057"/>
    <w:rsid w:val="41073514"/>
    <w:rsid w:val="41303C39"/>
    <w:rsid w:val="41364AA2"/>
    <w:rsid w:val="413F5D03"/>
    <w:rsid w:val="41436921"/>
    <w:rsid w:val="41486006"/>
    <w:rsid w:val="414F74CB"/>
    <w:rsid w:val="415B6654"/>
    <w:rsid w:val="41636FFF"/>
    <w:rsid w:val="41662EBF"/>
    <w:rsid w:val="416745BC"/>
    <w:rsid w:val="417C2EE6"/>
    <w:rsid w:val="418C7B32"/>
    <w:rsid w:val="418D41A3"/>
    <w:rsid w:val="41BB761A"/>
    <w:rsid w:val="41CC7416"/>
    <w:rsid w:val="41D10E44"/>
    <w:rsid w:val="41D12A32"/>
    <w:rsid w:val="41D301C3"/>
    <w:rsid w:val="41D623AF"/>
    <w:rsid w:val="41E62FB4"/>
    <w:rsid w:val="41F6377C"/>
    <w:rsid w:val="41F67CB0"/>
    <w:rsid w:val="41F8370A"/>
    <w:rsid w:val="420B66EE"/>
    <w:rsid w:val="42170C1E"/>
    <w:rsid w:val="422F49B3"/>
    <w:rsid w:val="423767ED"/>
    <w:rsid w:val="424B6BAB"/>
    <w:rsid w:val="426E2858"/>
    <w:rsid w:val="426E68C9"/>
    <w:rsid w:val="427D5F12"/>
    <w:rsid w:val="42802614"/>
    <w:rsid w:val="42AE5ABE"/>
    <w:rsid w:val="42B01704"/>
    <w:rsid w:val="42CC4106"/>
    <w:rsid w:val="42D22B67"/>
    <w:rsid w:val="42DB59FF"/>
    <w:rsid w:val="42DC0E76"/>
    <w:rsid w:val="42E92879"/>
    <w:rsid w:val="42EA23E3"/>
    <w:rsid w:val="42EC69CA"/>
    <w:rsid w:val="42FB4A28"/>
    <w:rsid w:val="431F1AE3"/>
    <w:rsid w:val="43220D06"/>
    <w:rsid w:val="433858A5"/>
    <w:rsid w:val="43527105"/>
    <w:rsid w:val="436D4954"/>
    <w:rsid w:val="438753A5"/>
    <w:rsid w:val="43891048"/>
    <w:rsid w:val="43920E07"/>
    <w:rsid w:val="43951B04"/>
    <w:rsid w:val="43A24887"/>
    <w:rsid w:val="43AA0EDA"/>
    <w:rsid w:val="43E72CA9"/>
    <w:rsid w:val="43F715ED"/>
    <w:rsid w:val="44000E21"/>
    <w:rsid w:val="440D15A1"/>
    <w:rsid w:val="44394188"/>
    <w:rsid w:val="444B4C5F"/>
    <w:rsid w:val="445B6724"/>
    <w:rsid w:val="44623562"/>
    <w:rsid w:val="44655A6C"/>
    <w:rsid w:val="4467168F"/>
    <w:rsid w:val="44766B6D"/>
    <w:rsid w:val="447E15BF"/>
    <w:rsid w:val="44864A89"/>
    <w:rsid w:val="448F50C0"/>
    <w:rsid w:val="44984355"/>
    <w:rsid w:val="449E046C"/>
    <w:rsid w:val="44A8226D"/>
    <w:rsid w:val="44AA08C6"/>
    <w:rsid w:val="44BF351D"/>
    <w:rsid w:val="44C320C7"/>
    <w:rsid w:val="44EF4A70"/>
    <w:rsid w:val="451E064E"/>
    <w:rsid w:val="452364C9"/>
    <w:rsid w:val="45342FB5"/>
    <w:rsid w:val="454C0370"/>
    <w:rsid w:val="4550153F"/>
    <w:rsid w:val="45631ACD"/>
    <w:rsid w:val="45660998"/>
    <w:rsid w:val="45710365"/>
    <w:rsid w:val="4585213C"/>
    <w:rsid w:val="458B3F95"/>
    <w:rsid w:val="45AA2F38"/>
    <w:rsid w:val="45CF1BC3"/>
    <w:rsid w:val="45DC3D7A"/>
    <w:rsid w:val="4601483F"/>
    <w:rsid w:val="46025A85"/>
    <w:rsid w:val="461A266E"/>
    <w:rsid w:val="465530CB"/>
    <w:rsid w:val="465C6807"/>
    <w:rsid w:val="46760020"/>
    <w:rsid w:val="467C4143"/>
    <w:rsid w:val="46982676"/>
    <w:rsid w:val="46A0105D"/>
    <w:rsid w:val="46A7659A"/>
    <w:rsid w:val="46B06807"/>
    <w:rsid w:val="47024B89"/>
    <w:rsid w:val="4722388C"/>
    <w:rsid w:val="474B4C0A"/>
    <w:rsid w:val="47630D4C"/>
    <w:rsid w:val="476A5FE9"/>
    <w:rsid w:val="4790205D"/>
    <w:rsid w:val="479804CC"/>
    <w:rsid w:val="47B75E90"/>
    <w:rsid w:val="48082BD4"/>
    <w:rsid w:val="483319A6"/>
    <w:rsid w:val="483413B6"/>
    <w:rsid w:val="48383932"/>
    <w:rsid w:val="483F377D"/>
    <w:rsid w:val="48490A61"/>
    <w:rsid w:val="4876346A"/>
    <w:rsid w:val="487657D6"/>
    <w:rsid w:val="487B2340"/>
    <w:rsid w:val="48B16866"/>
    <w:rsid w:val="48D664FA"/>
    <w:rsid w:val="49001E86"/>
    <w:rsid w:val="49081412"/>
    <w:rsid w:val="492A223F"/>
    <w:rsid w:val="49500C1A"/>
    <w:rsid w:val="495B1646"/>
    <w:rsid w:val="496D50BB"/>
    <w:rsid w:val="498E1308"/>
    <w:rsid w:val="49953FD2"/>
    <w:rsid w:val="49A67FEA"/>
    <w:rsid w:val="49AA4032"/>
    <w:rsid w:val="49B42357"/>
    <w:rsid w:val="49CC282C"/>
    <w:rsid w:val="49D14C7B"/>
    <w:rsid w:val="49ED7A5F"/>
    <w:rsid w:val="49F1378E"/>
    <w:rsid w:val="49F64E88"/>
    <w:rsid w:val="4A442DE8"/>
    <w:rsid w:val="4A4C3C76"/>
    <w:rsid w:val="4A582F08"/>
    <w:rsid w:val="4A5C19ED"/>
    <w:rsid w:val="4A713EF7"/>
    <w:rsid w:val="4A71669A"/>
    <w:rsid w:val="4A836030"/>
    <w:rsid w:val="4A990DB8"/>
    <w:rsid w:val="4AB30EDE"/>
    <w:rsid w:val="4AE87797"/>
    <w:rsid w:val="4B140282"/>
    <w:rsid w:val="4B341F77"/>
    <w:rsid w:val="4B536B77"/>
    <w:rsid w:val="4B762FA5"/>
    <w:rsid w:val="4B7D207A"/>
    <w:rsid w:val="4B875EB6"/>
    <w:rsid w:val="4B8D42B7"/>
    <w:rsid w:val="4BC63073"/>
    <w:rsid w:val="4C3D761E"/>
    <w:rsid w:val="4C5621CF"/>
    <w:rsid w:val="4C7D1FFD"/>
    <w:rsid w:val="4C7E4E04"/>
    <w:rsid w:val="4C7E75E5"/>
    <w:rsid w:val="4C8A275C"/>
    <w:rsid w:val="4C8B5C81"/>
    <w:rsid w:val="4CCA7F5B"/>
    <w:rsid w:val="4CE938F8"/>
    <w:rsid w:val="4CF5763E"/>
    <w:rsid w:val="4D162575"/>
    <w:rsid w:val="4D1819AE"/>
    <w:rsid w:val="4D1E7969"/>
    <w:rsid w:val="4D2A0882"/>
    <w:rsid w:val="4D3F7CBF"/>
    <w:rsid w:val="4D7D19AE"/>
    <w:rsid w:val="4DA65831"/>
    <w:rsid w:val="4DA8651E"/>
    <w:rsid w:val="4DB14640"/>
    <w:rsid w:val="4DB41F2C"/>
    <w:rsid w:val="4DBD01E1"/>
    <w:rsid w:val="4DC46301"/>
    <w:rsid w:val="4DCB331F"/>
    <w:rsid w:val="4DCD6596"/>
    <w:rsid w:val="4DF71CA3"/>
    <w:rsid w:val="4DF807D9"/>
    <w:rsid w:val="4DFE3CC8"/>
    <w:rsid w:val="4E1230AB"/>
    <w:rsid w:val="4E151227"/>
    <w:rsid w:val="4E4B32B9"/>
    <w:rsid w:val="4E4E418E"/>
    <w:rsid w:val="4E8167AD"/>
    <w:rsid w:val="4EA902EC"/>
    <w:rsid w:val="4EB2612F"/>
    <w:rsid w:val="4ED44C8F"/>
    <w:rsid w:val="4EDE24FE"/>
    <w:rsid w:val="4F0A7123"/>
    <w:rsid w:val="4F2A3762"/>
    <w:rsid w:val="4F2E0DB1"/>
    <w:rsid w:val="4F3A75B6"/>
    <w:rsid w:val="4F686F94"/>
    <w:rsid w:val="4F802128"/>
    <w:rsid w:val="4F90653F"/>
    <w:rsid w:val="4FC24291"/>
    <w:rsid w:val="4FD41C1D"/>
    <w:rsid w:val="4FD64C5B"/>
    <w:rsid w:val="4FE30C63"/>
    <w:rsid w:val="4FED2322"/>
    <w:rsid w:val="4FFD53C6"/>
    <w:rsid w:val="4FFE7E2F"/>
    <w:rsid w:val="501040B3"/>
    <w:rsid w:val="50321789"/>
    <w:rsid w:val="50353485"/>
    <w:rsid w:val="503D1B16"/>
    <w:rsid w:val="506D7517"/>
    <w:rsid w:val="507D0FA7"/>
    <w:rsid w:val="508E47DC"/>
    <w:rsid w:val="50A41AD5"/>
    <w:rsid w:val="50AE3F83"/>
    <w:rsid w:val="50CF7A4B"/>
    <w:rsid w:val="50E92709"/>
    <w:rsid w:val="510065DD"/>
    <w:rsid w:val="51030026"/>
    <w:rsid w:val="51064DEA"/>
    <w:rsid w:val="5123342E"/>
    <w:rsid w:val="51252A80"/>
    <w:rsid w:val="51354115"/>
    <w:rsid w:val="5137564E"/>
    <w:rsid w:val="514E0A72"/>
    <w:rsid w:val="51576FE4"/>
    <w:rsid w:val="515D0EE9"/>
    <w:rsid w:val="5173793E"/>
    <w:rsid w:val="518B40E7"/>
    <w:rsid w:val="519F488C"/>
    <w:rsid w:val="51C5493F"/>
    <w:rsid w:val="520713EF"/>
    <w:rsid w:val="520923F4"/>
    <w:rsid w:val="520D7A80"/>
    <w:rsid w:val="5222282D"/>
    <w:rsid w:val="52302A27"/>
    <w:rsid w:val="52547F54"/>
    <w:rsid w:val="525A311A"/>
    <w:rsid w:val="526957D2"/>
    <w:rsid w:val="527833CA"/>
    <w:rsid w:val="527F07B8"/>
    <w:rsid w:val="529A6D62"/>
    <w:rsid w:val="529D4EC7"/>
    <w:rsid w:val="529E7DC9"/>
    <w:rsid w:val="52A1157D"/>
    <w:rsid w:val="53033126"/>
    <w:rsid w:val="5306295B"/>
    <w:rsid w:val="530B2D71"/>
    <w:rsid w:val="530B5DAD"/>
    <w:rsid w:val="532452B2"/>
    <w:rsid w:val="53245CAD"/>
    <w:rsid w:val="53300208"/>
    <w:rsid w:val="535B4CF0"/>
    <w:rsid w:val="535F52BB"/>
    <w:rsid w:val="53693CDD"/>
    <w:rsid w:val="53795978"/>
    <w:rsid w:val="538006C3"/>
    <w:rsid w:val="53B05F43"/>
    <w:rsid w:val="53BA08AE"/>
    <w:rsid w:val="53BC278B"/>
    <w:rsid w:val="53FF6296"/>
    <w:rsid w:val="5400093A"/>
    <w:rsid w:val="541A1B62"/>
    <w:rsid w:val="54387BD1"/>
    <w:rsid w:val="543B6670"/>
    <w:rsid w:val="543E150A"/>
    <w:rsid w:val="54760CFA"/>
    <w:rsid w:val="547747B8"/>
    <w:rsid w:val="547F24EC"/>
    <w:rsid w:val="548E36E3"/>
    <w:rsid w:val="54E164AC"/>
    <w:rsid w:val="551B6B41"/>
    <w:rsid w:val="55230827"/>
    <w:rsid w:val="55411377"/>
    <w:rsid w:val="55992746"/>
    <w:rsid w:val="55A15285"/>
    <w:rsid w:val="55A96275"/>
    <w:rsid w:val="55C15F9E"/>
    <w:rsid w:val="56063D5E"/>
    <w:rsid w:val="561F5757"/>
    <w:rsid w:val="5625421C"/>
    <w:rsid w:val="563D1257"/>
    <w:rsid w:val="564306A0"/>
    <w:rsid w:val="564E3912"/>
    <w:rsid w:val="565B2641"/>
    <w:rsid w:val="56783F58"/>
    <w:rsid w:val="569B59A6"/>
    <w:rsid w:val="56AC02FC"/>
    <w:rsid w:val="570B0F42"/>
    <w:rsid w:val="57132F95"/>
    <w:rsid w:val="572664EB"/>
    <w:rsid w:val="572D4E3F"/>
    <w:rsid w:val="572D56F6"/>
    <w:rsid w:val="5732287F"/>
    <w:rsid w:val="57606393"/>
    <w:rsid w:val="57733E7E"/>
    <w:rsid w:val="57894A0E"/>
    <w:rsid w:val="57A6492F"/>
    <w:rsid w:val="57C02302"/>
    <w:rsid w:val="57C372F9"/>
    <w:rsid w:val="57C63600"/>
    <w:rsid w:val="57C87053"/>
    <w:rsid w:val="57E4643B"/>
    <w:rsid w:val="57E8417C"/>
    <w:rsid w:val="57F06DD9"/>
    <w:rsid w:val="581D479D"/>
    <w:rsid w:val="58315DB1"/>
    <w:rsid w:val="583A23D4"/>
    <w:rsid w:val="58430210"/>
    <w:rsid w:val="585838C1"/>
    <w:rsid w:val="5863214C"/>
    <w:rsid w:val="58717162"/>
    <w:rsid w:val="58857496"/>
    <w:rsid w:val="58B96227"/>
    <w:rsid w:val="58ED44C3"/>
    <w:rsid w:val="59024877"/>
    <w:rsid w:val="593F5822"/>
    <w:rsid w:val="594B20C2"/>
    <w:rsid w:val="59647B33"/>
    <w:rsid w:val="596C7E01"/>
    <w:rsid w:val="596F18FE"/>
    <w:rsid w:val="597B5739"/>
    <w:rsid w:val="597F1615"/>
    <w:rsid w:val="59801346"/>
    <w:rsid w:val="59914276"/>
    <w:rsid w:val="59B158D6"/>
    <w:rsid w:val="59B6154D"/>
    <w:rsid w:val="59DC43D8"/>
    <w:rsid w:val="5A270225"/>
    <w:rsid w:val="5A400973"/>
    <w:rsid w:val="5A6C1C98"/>
    <w:rsid w:val="5A7F451A"/>
    <w:rsid w:val="5A893F04"/>
    <w:rsid w:val="5A9A799F"/>
    <w:rsid w:val="5AA549B2"/>
    <w:rsid w:val="5AC9449E"/>
    <w:rsid w:val="5ADC7386"/>
    <w:rsid w:val="5B207E02"/>
    <w:rsid w:val="5B231846"/>
    <w:rsid w:val="5B5104F9"/>
    <w:rsid w:val="5B5D0855"/>
    <w:rsid w:val="5B7764CD"/>
    <w:rsid w:val="5B817F90"/>
    <w:rsid w:val="5B9118FE"/>
    <w:rsid w:val="5BAC4E3A"/>
    <w:rsid w:val="5BB1170A"/>
    <w:rsid w:val="5BB20871"/>
    <w:rsid w:val="5BBD471D"/>
    <w:rsid w:val="5BC87CA3"/>
    <w:rsid w:val="5BE21C71"/>
    <w:rsid w:val="5C012B8C"/>
    <w:rsid w:val="5C362AF4"/>
    <w:rsid w:val="5C3E4720"/>
    <w:rsid w:val="5C526BB4"/>
    <w:rsid w:val="5C615D0C"/>
    <w:rsid w:val="5C694A3B"/>
    <w:rsid w:val="5C9B09C7"/>
    <w:rsid w:val="5CC85BD5"/>
    <w:rsid w:val="5CDC5954"/>
    <w:rsid w:val="5CE018DD"/>
    <w:rsid w:val="5CE714C9"/>
    <w:rsid w:val="5CFC62EF"/>
    <w:rsid w:val="5D1B01A7"/>
    <w:rsid w:val="5D503C8D"/>
    <w:rsid w:val="5D5B7D4A"/>
    <w:rsid w:val="5DA460CD"/>
    <w:rsid w:val="5DB554E1"/>
    <w:rsid w:val="5DD81845"/>
    <w:rsid w:val="5DE871DF"/>
    <w:rsid w:val="5E074110"/>
    <w:rsid w:val="5E084769"/>
    <w:rsid w:val="5E0B0171"/>
    <w:rsid w:val="5E477499"/>
    <w:rsid w:val="5E6200F2"/>
    <w:rsid w:val="5E795C4D"/>
    <w:rsid w:val="5E8E1E7B"/>
    <w:rsid w:val="5E933865"/>
    <w:rsid w:val="5E9D308B"/>
    <w:rsid w:val="5EAB1F71"/>
    <w:rsid w:val="5EB1181D"/>
    <w:rsid w:val="5EC52109"/>
    <w:rsid w:val="5EDC6635"/>
    <w:rsid w:val="5EDF242A"/>
    <w:rsid w:val="5EEC4CC9"/>
    <w:rsid w:val="5EF03EB9"/>
    <w:rsid w:val="5EF85E29"/>
    <w:rsid w:val="5EFC424F"/>
    <w:rsid w:val="5F0861B2"/>
    <w:rsid w:val="5F0C62EC"/>
    <w:rsid w:val="5F1C2834"/>
    <w:rsid w:val="5F387DD8"/>
    <w:rsid w:val="5F5A0265"/>
    <w:rsid w:val="5F610F9A"/>
    <w:rsid w:val="5F6601DC"/>
    <w:rsid w:val="5F706225"/>
    <w:rsid w:val="5F712D16"/>
    <w:rsid w:val="5F925D02"/>
    <w:rsid w:val="5FA6205D"/>
    <w:rsid w:val="5FB477AB"/>
    <w:rsid w:val="5FBD7E8C"/>
    <w:rsid w:val="5FC00571"/>
    <w:rsid w:val="5FC72CEE"/>
    <w:rsid w:val="5FE17054"/>
    <w:rsid w:val="5FF04AF3"/>
    <w:rsid w:val="602A655E"/>
    <w:rsid w:val="602C20DD"/>
    <w:rsid w:val="6039156C"/>
    <w:rsid w:val="60442474"/>
    <w:rsid w:val="60452D1D"/>
    <w:rsid w:val="604D1429"/>
    <w:rsid w:val="60A42833"/>
    <w:rsid w:val="60B12374"/>
    <w:rsid w:val="60B12B22"/>
    <w:rsid w:val="60B8658C"/>
    <w:rsid w:val="60CB5CDD"/>
    <w:rsid w:val="60E7163C"/>
    <w:rsid w:val="60E76E71"/>
    <w:rsid w:val="611C7D9F"/>
    <w:rsid w:val="61224919"/>
    <w:rsid w:val="615A5895"/>
    <w:rsid w:val="61623A9A"/>
    <w:rsid w:val="617519E8"/>
    <w:rsid w:val="618A7FBC"/>
    <w:rsid w:val="618C4EA3"/>
    <w:rsid w:val="61B42655"/>
    <w:rsid w:val="61EB04E9"/>
    <w:rsid w:val="622140BE"/>
    <w:rsid w:val="622F4266"/>
    <w:rsid w:val="62462A72"/>
    <w:rsid w:val="6259166C"/>
    <w:rsid w:val="625E4FBF"/>
    <w:rsid w:val="62663AC4"/>
    <w:rsid w:val="62793B49"/>
    <w:rsid w:val="62846CDE"/>
    <w:rsid w:val="62B22A23"/>
    <w:rsid w:val="62B95A2A"/>
    <w:rsid w:val="62BD1F70"/>
    <w:rsid w:val="62EA6460"/>
    <w:rsid w:val="63030F14"/>
    <w:rsid w:val="63055048"/>
    <w:rsid w:val="63257F98"/>
    <w:rsid w:val="634F2183"/>
    <w:rsid w:val="63607EDD"/>
    <w:rsid w:val="636440AD"/>
    <w:rsid w:val="637C0957"/>
    <w:rsid w:val="63806113"/>
    <w:rsid w:val="638306D0"/>
    <w:rsid w:val="63942F1D"/>
    <w:rsid w:val="63D26110"/>
    <w:rsid w:val="63D57637"/>
    <w:rsid w:val="63E477B4"/>
    <w:rsid w:val="63ED6827"/>
    <w:rsid w:val="642E1717"/>
    <w:rsid w:val="6437274E"/>
    <w:rsid w:val="6453132F"/>
    <w:rsid w:val="6470710A"/>
    <w:rsid w:val="649B6252"/>
    <w:rsid w:val="64A036C7"/>
    <w:rsid w:val="64C22BED"/>
    <w:rsid w:val="64D82908"/>
    <w:rsid w:val="64D91523"/>
    <w:rsid w:val="64DB2E27"/>
    <w:rsid w:val="64DD0CB7"/>
    <w:rsid w:val="64EC5F80"/>
    <w:rsid w:val="65122A16"/>
    <w:rsid w:val="6514280C"/>
    <w:rsid w:val="653E5C84"/>
    <w:rsid w:val="6546711F"/>
    <w:rsid w:val="654B1ECF"/>
    <w:rsid w:val="65585BAA"/>
    <w:rsid w:val="656E52FB"/>
    <w:rsid w:val="65851F22"/>
    <w:rsid w:val="658D680B"/>
    <w:rsid w:val="659D4F99"/>
    <w:rsid w:val="65A12770"/>
    <w:rsid w:val="65BB710B"/>
    <w:rsid w:val="65C15EE3"/>
    <w:rsid w:val="65F60066"/>
    <w:rsid w:val="66035B03"/>
    <w:rsid w:val="661462F7"/>
    <w:rsid w:val="66150AEC"/>
    <w:rsid w:val="6650158D"/>
    <w:rsid w:val="665A22F4"/>
    <w:rsid w:val="667D14DA"/>
    <w:rsid w:val="668B5CC3"/>
    <w:rsid w:val="66D238E8"/>
    <w:rsid w:val="66E30E48"/>
    <w:rsid w:val="67010AE3"/>
    <w:rsid w:val="670118C6"/>
    <w:rsid w:val="67251571"/>
    <w:rsid w:val="67322B5A"/>
    <w:rsid w:val="67412446"/>
    <w:rsid w:val="67817451"/>
    <w:rsid w:val="6783286B"/>
    <w:rsid w:val="678A5539"/>
    <w:rsid w:val="6794124F"/>
    <w:rsid w:val="67C373D8"/>
    <w:rsid w:val="67EE40CD"/>
    <w:rsid w:val="67F035BE"/>
    <w:rsid w:val="68002120"/>
    <w:rsid w:val="6808604B"/>
    <w:rsid w:val="68183231"/>
    <w:rsid w:val="687112E4"/>
    <w:rsid w:val="68811569"/>
    <w:rsid w:val="688D5AAB"/>
    <w:rsid w:val="6897117D"/>
    <w:rsid w:val="689D58BF"/>
    <w:rsid w:val="689F47D3"/>
    <w:rsid w:val="68B64DE1"/>
    <w:rsid w:val="68E814B4"/>
    <w:rsid w:val="68F91EAB"/>
    <w:rsid w:val="69071751"/>
    <w:rsid w:val="69121E3A"/>
    <w:rsid w:val="69154D60"/>
    <w:rsid w:val="691F4D9F"/>
    <w:rsid w:val="69206401"/>
    <w:rsid w:val="692430D7"/>
    <w:rsid w:val="693879CC"/>
    <w:rsid w:val="693E71F2"/>
    <w:rsid w:val="694859D6"/>
    <w:rsid w:val="694A6DBA"/>
    <w:rsid w:val="6968596A"/>
    <w:rsid w:val="69723EB6"/>
    <w:rsid w:val="699954C4"/>
    <w:rsid w:val="699D36D6"/>
    <w:rsid w:val="699E4CF1"/>
    <w:rsid w:val="69A7578F"/>
    <w:rsid w:val="69AF73BD"/>
    <w:rsid w:val="69B779BF"/>
    <w:rsid w:val="69C21B11"/>
    <w:rsid w:val="69C53AC8"/>
    <w:rsid w:val="69CD7FDE"/>
    <w:rsid w:val="69E017FD"/>
    <w:rsid w:val="69F06D97"/>
    <w:rsid w:val="6A07214F"/>
    <w:rsid w:val="6A097C8B"/>
    <w:rsid w:val="6A2979C3"/>
    <w:rsid w:val="6A2E2210"/>
    <w:rsid w:val="6A2F7723"/>
    <w:rsid w:val="6A7A0D56"/>
    <w:rsid w:val="6A7E510F"/>
    <w:rsid w:val="6A9F44B9"/>
    <w:rsid w:val="6AA10091"/>
    <w:rsid w:val="6AB5342E"/>
    <w:rsid w:val="6ADB2F03"/>
    <w:rsid w:val="6ADF496C"/>
    <w:rsid w:val="6AE2354A"/>
    <w:rsid w:val="6AEB5722"/>
    <w:rsid w:val="6AF8649D"/>
    <w:rsid w:val="6AFB24CA"/>
    <w:rsid w:val="6AFE1987"/>
    <w:rsid w:val="6AFF2463"/>
    <w:rsid w:val="6B0874EA"/>
    <w:rsid w:val="6B1F10AD"/>
    <w:rsid w:val="6B22477C"/>
    <w:rsid w:val="6B320A31"/>
    <w:rsid w:val="6B3555BC"/>
    <w:rsid w:val="6B491DA4"/>
    <w:rsid w:val="6B594672"/>
    <w:rsid w:val="6B5D28FD"/>
    <w:rsid w:val="6B5E4D2E"/>
    <w:rsid w:val="6BA77929"/>
    <w:rsid w:val="6BA81B12"/>
    <w:rsid w:val="6BB05F5F"/>
    <w:rsid w:val="6BE116D3"/>
    <w:rsid w:val="6BE84004"/>
    <w:rsid w:val="6C104DE4"/>
    <w:rsid w:val="6C2A7865"/>
    <w:rsid w:val="6C620EF9"/>
    <w:rsid w:val="6C627CF4"/>
    <w:rsid w:val="6C6A54FD"/>
    <w:rsid w:val="6C730D81"/>
    <w:rsid w:val="6C950FE9"/>
    <w:rsid w:val="6CA17D86"/>
    <w:rsid w:val="6CD75710"/>
    <w:rsid w:val="6CF6746A"/>
    <w:rsid w:val="6D127D3D"/>
    <w:rsid w:val="6D2D03F9"/>
    <w:rsid w:val="6D631B19"/>
    <w:rsid w:val="6D700C91"/>
    <w:rsid w:val="6D8538A3"/>
    <w:rsid w:val="6D9E588E"/>
    <w:rsid w:val="6DA94262"/>
    <w:rsid w:val="6DB70CB4"/>
    <w:rsid w:val="6DD163E6"/>
    <w:rsid w:val="6E054D8C"/>
    <w:rsid w:val="6E094352"/>
    <w:rsid w:val="6E0A2C2C"/>
    <w:rsid w:val="6E135B2D"/>
    <w:rsid w:val="6E2F1FF3"/>
    <w:rsid w:val="6E361E1A"/>
    <w:rsid w:val="6E4B50D7"/>
    <w:rsid w:val="6E5864AC"/>
    <w:rsid w:val="6E7579F1"/>
    <w:rsid w:val="6E796191"/>
    <w:rsid w:val="6E92195E"/>
    <w:rsid w:val="6E9D66DB"/>
    <w:rsid w:val="6ECE3012"/>
    <w:rsid w:val="6EEA2BEE"/>
    <w:rsid w:val="6F19182E"/>
    <w:rsid w:val="6F1F64EE"/>
    <w:rsid w:val="6F3626B6"/>
    <w:rsid w:val="6F3F40AE"/>
    <w:rsid w:val="6F597C33"/>
    <w:rsid w:val="6F815117"/>
    <w:rsid w:val="6FAD7EFC"/>
    <w:rsid w:val="6FC12833"/>
    <w:rsid w:val="70234308"/>
    <w:rsid w:val="702A2DF0"/>
    <w:rsid w:val="7072050B"/>
    <w:rsid w:val="708020B9"/>
    <w:rsid w:val="708F3F4F"/>
    <w:rsid w:val="709771CD"/>
    <w:rsid w:val="70BC647D"/>
    <w:rsid w:val="70C04C9F"/>
    <w:rsid w:val="70DA275C"/>
    <w:rsid w:val="71155E1B"/>
    <w:rsid w:val="71254F6A"/>
    <w:rsid w:val="71393588"/>
    <w:rsid w:val="714D6812"/>
    <w:rsid w:val="7170308B"/>
    <w:rsid w:val="719E503F"/>
    <w:rsid w:val="71A5799C"/>
    <w:rsid w:val="71A73954"/>
    <w:rsid w:val="71AC3D91"/>
    <w:rsid w:val="71CC455D"/>
    <w:rsid w:val="71CF1B05"/>
    <w:rsid w:val="71E65261"/>
    <w:rsid w:val="71E72A8A"/>
    <w:rsid w:val="71FD57F9"/>
    <w:rsid w:val="71FF0740"/>
    <w:rsid w:val="71FF0BB1"/>
    <w:rsid w:val="720712C4"/>
    <w:rsid w:val="7238693B"/>
    <w:rsid w:val="723D27EE"/>
    <w:rsid w:val="72554388"/>
    <w:rsid w:val="72856C67"/>
    <w:rsid w:val="72873C71"/>
    <w:rsid w:val="72896FE0"/>
    <w:rsid w:val="728E5F19"/>
    <w:rsid w:val="72952BD1"/>
    <w:rsid w:val="729F5F11"/>
    <w:rsid w:val="72A31F40"/>
    <w:rsid w:val="72C02CDD"/>
    <w:rsid w:val="73013FCC"/>
    <w:rsid w:val="73245D0B"/>
    <w:rsid w:val="73300DA0"/>
    <w:rsid w:val="733866F9"/>
    <w:rsid w:val="73526991"/>
    <w:rsid w:val="73547991"/>
    <w:rsid w:val="736938A6"/>
    <w:rsid w:val="736D75D5"/>
    <w:rsid w:val="73796EEC"/>
    <w:rsid w:val="738E6C88"/>
    <w:rsid w:val="739169F9"/>
    <w:rsid w:val="739D39C9"/>
    <w:rsid w:val="73A52AED"/>
    <w:rsid w:val="73BE0C18"/>
    <w:rsid w:val="73CD33BB"/>
    <w:rsid w:val="73EA2AA9"/>
    <w:rsid w:val="74031DA5"/>
    <w:rsid w:val="742D4234"/>
    <w:rsid w:val="74326F65"/>
    <w:rsid w:val="743F4CBA"/>
    <w:rsid w:val="747E4A8C"/>
    <w:rsid w:val="748A000B"/>
    <w:rsid w:val="748B62B1"/>
    <w:rsid w:val="749330FE"/>
    <w:rsid w:val="74942EB6"/>
    <w:rsid w:val="749E119A"/>
    <w:rsid w:val="74A356E3"/>
    <w:rsid w:val="74D33EF6"/>
    <w:rsid w:val="74D81279"/>
    <w:rsid w:val="74DD4D68"/>
    <w:rsid w:val="75324A75"/>
    <w:rsid w:val="754206C3"/>
    <w:rsid w:val="757356C1"/>
    <w:rsid w:val="7585337A"/>
    <w:rsid w:val="75A41F9F"/>
    <w:rsid w:val="75B3265C"/>
    <w:rsid w:val="75B456A9"/>
    <w:rsid w:val="75C404DC"/>
    <w:rsid w:val="75C50AA6"/>
    <w:rsid w:val="75D94171"/>
    <w:rsid w:val="75EA51DF"/>
    <w:rsid w:val="75EB4A8F"/>
    <w:rsid w:val="76051776"/>
    <w:rsid w:val="760B6FB5"/>
    <w:rsid w:val="76177C1A"/>
    <w:rsid w:val="764B2F46"/>
    <w:rsid w:val="769D4442"/>
    <w:rsid w:val="76AF515A"/>
    <w:rsid w:val="76B61F68"/>
    <w:rsid w:val="76BE7161"/>
    <w:rsid w:val="76C4477C"/>
    <w:rsid w:val="76CC1292"/>
    <w:rsid w:val="76F65C52"/>
    <w:rsid w:val="77070825"/>
    <w:rsid w:val="77210231"/>
    <w:rsid w:val="773D64AD"/>
    <w:rsid w:val="775070C7"/>
    <w:rsid w:val="7771638A"/>
    <w:rsid w:val="77752345"/>
    <w:rsid w:val="777703EE"/>
    <w:rsid w:val="778902AB"/>
    <w:rsid w:val="77A33763"/>
    <w:rsid w:val="77B106E0"/>
    <w:rsid w:val="77B77A99"/>
    <w:rsid w:val="77CD7881"/>
    <w:rsid w:val="77D01510"/>
    <w:rsid w:val="77D71C53"/>
    <w:rsid w:val="77E2543A"/>
    <w:rsid w:val="77E52A96"/>
    <w:rsid w:val="77FE6267"/>
    <w:rsid w:val="78010A55"/>
    <w:rsid w:val="78193D4D"/>
    <w:rsid w:val="78203AD8"/>
    <w:rsid w:val="78437924"/>
    <w:rsid w:val="78531D63"/>
    <w:rsid w:val="785C0360"/>
    <w:rsid w:val="78615D56"/>
    <w:rsid w:val="787D4EA5"/>
    <w:rsid w:val="788C71F2"/>
    <w:rsid w:val="78A15077"/>
    <w:rsid w:val="78A21DC2"/>
    <w:rsid w:val="78B54873"/>
    <w:rsid w:val="78C445BB"/>
    <w:rsid w:val="78C83AD2"/>
    <w:rsid w:val="790106AE"/>
    <w:rsid w:val="793C571F"/>
    <w:rsid w:val="794D21B0"/>
    <w:rsid w:val="79516F63"/>
    <w:rsid w:val="79565544"/>
    <w:rsid w:val="79614697"/>
    <w:rsid w:val="796946E1"/>
    <w:rsid w:val="796E1666"/>
    <w:rsid w:val="798A5C60"/>
    <w:rsid w:val="79A07515"/>
    <w:rsid w:val="79A9103A"/>
    <w:rsid w:val="79AB36F9"/>
    <w:rsid w:val="79DD1D32"/>
    <w:rsid w:val="79EF06E6"/>
    <w:rsid w:val="79F06745"/>
    <w:rsid w:val="7A00729F"/>
    <w:rsid w:val="7A1B7BD6"/>
    <w:rsid w:val="7A2C6BF7"/>
    <w:rsid w:val="7A3B7866"/>
    <w:rsid w:val="7A3D749F"/>
    <w:rsid w:val="7A3E7628"/>
    <w:rsid w:val="7A402138"/>
    <w:rsid w:val="7A4A4C3A"/>
    <w:rsid w:val="7A51551F"/>
    <w:rsid w:val="7A5C78B1"/>
    <w:rsid w:val="7A793768"/>
    <w:rsid w:val="7AB212CD"/>
    <w:rsid w:val="7ACA5466"/>
    <w:rsid w:val="7AD45C10"/>
    <w:rsid w:val="7AD522D5"/>
    <w:rsid w:val="7AE240F9"/>
    <w:rsid w:val="7AE318EE"/>
    <w:rsid w:val="7AE61E56"/>
    <w:rsid w:val="7B07175A"/>
    <w:rsid w:val="7B0A6A9B"/>
    <w:rsid w:val="7B0D2818"/>
    <w:rsid w:val="7B716095"/>
    <w:rsid w:val="7B92467D"/>
    <w:rsid w:val="7B994E29"/>
    <w:rsid w:val="7B9D745B"/>
    <w:rsid w:val="7B9E5BEB"/>
    <w:rsid w:val="7BAD3F83"/>
    <w:rsid w:val="7BB12C0A"/>
    <w:rsid w:val="7BC96E50"/>
    <w:rsid w:val="7BE00437"/>
    <w:rsid w:val="7C00577C"/>
    <w:rsid w:val="7C005CAF"/>
    <w:rsid w:val="7C176EDF"/>
    <w:rsid w:val="7C25032B"/>
    <w:rsid w:val="7C254F1C"/>
    <w:rsid w:val="7C374CF9"/>
    <w:rsid w:val="7C425CF3"/>
    <w:rsid w:val="7C4C2BF6"/>
    <w:rsid w:val="7C60651C"/>
    <w:rsid w:val="7C640CBC"/>
    <w:rsid w:val="7C796B8F"/>
    <w:rsid w:val="7C812178"/>
    <w:rsid w:val="7CB82DCD"/>
    <w:rsid w:val="7CB9026D"/>
    <w:rsid w:val="7CBC3199"/>
    <w:rsid w:val="7CD66DE6"/>
    <w:rsid w:val="7CD84E2D"/>
    <w:rsid w:val="7CE57657"/>
    <w:rsid w:val="7D3F20B7"/>
    <w:rsid w:val="7D5C585E"/>
    <w:rsid w:val="7D6F1CD1"/>
    <w:rsid w:val="7D8E3A4A"/>
    <w:rsid w:val="7D9A2209"/>
    <w:rsid w:val="7DA93B03"/>
    <w:rsid w:val="7DA9460F"/>
    <w:rsid w:val="7DC80B9A"/>
    <w:rsid w:val="7DD47EE4"/>
    <w:rsid w:val="7DE03DE0"/>
    <w:rsid w:val="7DE65FBE"/>
    <w:rsid w:val="7DFF6F70"/>
    <w:rsid w:val="7E2461C2"/>
    <w:rsid w:val="7E252460"/>
    <w:rsid w:val="7E397349"/>
    <w:rsid w:val="7E3B2283"/>
    <w:rsid w:val="7E7E7C85"/>
    <w:rsid w:val="7E826950"/>
    <w:rsid w:val="7E904003"/>
    <w:rsid w:val="7E9064E4"/>
    <w:rsid w:val="7EA66AB7"/>
    <w:rsid w:val="7EB76F44"/>
    <w:rsid w:val="7EBB18A6"/>
    <w:rsid w:val="7EC30AC6"/>
    <w:rsid w:val="7EDB0096"/>
    <w:rsid w:val="7EFF5CB3"/>
    <w:rsid w:val="7F0A35C9"/>
    <w:rsid w:val="7F113622"/>
    <w:rsid w:val="7F314CA2"/>
    <w:rsid w:val="7F4A08A0"/>
    <w:rsid w:val="7F5F6C47"/>
    <w:rsid w:val="7F7057E9"/>
    <w:rsid w:val="7F7405C7"/>
    <w:rsid w:val="7F7F75D9"/>
    <w:rsid w:val="7F917565"/>
    <w:rsid w:val="7FAF6BB9"/>
    <w:rsid w:val="7FBE2AC9"/>
    <w:rsid w:val="7FD62549"/>
    <w:rsid w:val="7FD77D9C"/>
    <w:rsid w:val="7FDF55E5"/>
    <w:rsid w:val="7FE41DDB"/>
    <w:rsid w:val="7FFA2F91"/>
    <w:rsid w:val="7FFD3B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uiPriority="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74"/>
    <w:autoRedefine/>
    <w:qFormat/>
    <w:uiPriority w:val="0"/>
    <w:pPr>
      <w:keepNext/>
      <w:keepLines/>
      <w:spacing w:line="576" w:lineRule="auto"/>
      <w:jc w:val="center"/>
      <w:outlineLvl w:val="0"/>
    </w:pPr>
    <w:rPr>
      <w:rFonts w:ascii="Times New Roman" w:hAnsi="Times New Roman" w:cs="Times New Roman"/>
      <w:b/>
      <w:bCs/>
      <w:kern w:val="44"/>
      <w:sz w:val="32"/>
      <w:szCs w:val="32"/>
    </w:rPr>
  </w:style>
  <w:style w:type="paragraph" w:styleId="5">
    <w:name w:val="heading 2"/>
    <w:basedOn w:val="1"/>
    <w:next w:val="1"/>
    <w:link w:val="75"/>
    <w:autoRedefine/>
    <w:qFormat/>
    <w:uiPriority w:val="0"/>
    <w:pPr>
      <w:keepNext/>
      <w:keepLines/>
      <w:spacing w:line="413" w:lineRule="auto"/>
      <w:jc w:val="center"/>
      <w:outlineLvl w:val="1"/>
    </w:pPr>
    <w:rPr>
      <w:rFonts w:ascii="Arial" w:hAnsi="Arial" w:cs="Arial"/>
      <w:b/>
      <w:bCs/>
      <w:sz w:val="28"/>
      <w:szCs w:val="28"/>
    </w:rPr>
  </w:style>
  <w:style w:type="paragraph" w:styleId="6">
    <w:name w:val="heading 3"/>
    <w:basedOn w:val="1"/>
    <w:next w:val="1"/>
    <w:link w:val="76"/>
    <w:autoRedefine/>
    <w:qFormat/>
    <w:uiPriority w:val="0"/>
    <w:pPr>
      <w:keepNext/>
      <w:keepLines/>
      <w:spacing w:line="413" w:lineRule="auto"/>
      <w:outlineLvl w:val="2"/>
    </w:pPr>
    <w:rPr>
      <w:b/>
      <w:bCs/>
      <w:sz w:val="32"/>
      <w:szCs w:val="32"/>
    </w:rPr>
  </w:style>
  <w:style w:type="paragraph" w:styleId="7">
    <w:name w:val="heading 4"/>
    <w:basedOn w:val="1"/>
    <w:next w:val="1"/>
    <w:link w:val="77"/>
    <w:autoRedefine/>
    <w:qFormat/>
    <w:uiPriority w:val="0"/>
    <w:pPr>
      <w:keepNext/>
      <w:keepLines/>
      <w:jc w:val="left"/>
      <w:outlineLvl w:val="3"/>
    </w:pPr>
    <w:rPr>
      <w:rFonts w:ascii="Arial" w:hAnsi="Arial" w:cs="Arial"/>
      <w:b/>
      <w:bCs/>
      <w:sz w:val="32"/>
      <w:szCs w:val="32"/>
    </w:rPr>
  </w:style>
  <w:style w:type="paragraph" w:styleId="8">
    <w:name w:val="heading 5"/>
    <w:basedOn w:val="1"/>
    <w:next w:val="1"/>
    <w:link w:val="163"/>
    <w:autoRedefine/>
    <w:qFormat/>
    <w:uiPriority w:val="0"/>
    <w:pPr>
      <w:keepNext/>
      <w:keepLines/>
      <w:spacing w:before="280" w:after="290" w:line="372" w:lineRule="auto"/>
      <w:ind w:firstLine="0" w:firstLineChars="0"/>
      <w:jc w:val="left"/>
      <w:outlineLvl w:val="4"/>
    </w:pPr>
    <w:rPr>
      <w:rFonts w:ascii="Times New Roman" w:hAnsi="Times New Roman" w:eastAsia="宋体" w:cs="Times New Roman"/>
      <w:b/>
      <w:bCs/>
      <w:sz w:val="28"/>
      <w:szCs w:val="28"/>
    </w:rPr>
  </w:style>
  <w:style w:type="paragraph" w:styleId="9">
    <w:name w:val="heading 6"/>
    <w:basedOn w:val="8"/>
    <w:next w:val="1"/>
    <w:link w:val="164"/>
    <w:autoRedefine/>
    <w:qFormat/>
    <w:uiPriority w:val="0"/>
    <w:pPr>
      <w:tabs>
        <w:tab w:val="left" w:pos="1440"/>
      </w:tabs>
      <w:spacing w:before="260" w:after="260" w:line="360" w:lineRule="auto"/>
      <w:outlineLvl w:val="5"/>
    </w:pPr>
    <w:rPr>
      <w:sz w:val="30"/>
      <w:szCs w:val="18"/>
    </w:rPr>
  </w:style>
  <w:style w:type="paragraph" w:styleId="10">
    <w:name w:val="heading 7"/>
    <w:basedOn w:val="9"/>
    <w:next w:val="1"/>
    <w:link w:val="166"/>
    <w:autoRedefine/>
    <w:qFormat/>
    <w:uiPriority w:val="0"/>
    <w:pPr>
      <w:tabs>
        <w:tab w:val="left" w:pos="1800"/>
        <w:tab w:val="clear" w:pos="1440"/>
      </w:tabs>
      <w:outlineLvl w:val="6"/>
    </w:pPr>
  </w:style>
  <w:style w:type="paragraph" w:styleId="11">
    <w:name w:val="heading 8"/>
    <w:basedOn w:val="10"/>
    <w:next w:val="1"/>
    <w:link w:val="167"/>
    <w:autoRedefine/>
    <w:qFormat/>
    <w:uiPriority w:val="0"/>
    <w:pPr>
      <w:outlineLvl w:val="7"/>
    </w:pPr>
  </w:style>
  <w:style w:type="paragraph" w:styleId="12">
    <w:name w:val="heading 9"/>
    <w:basedOn w:val="11"/>
    <w:next w:val="1"/>
    <w:link w:val="168"/>
    <w:autoRedefine/>
    <w:qFormat/>
    <w:uiPriority w:val="0"/>
    <w:pPr>
      <w:tabs>
        <w:tab w:val="left" w:pos="2160"/>
        <w:tab w:val="clear" w:pos="1800"/>
      </w:tabs>
      <w:outlineLvl w:val="8"/>
    </w:p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71"/>
    <w:autoRedefine/>
    <w:qFormat/>
    <w:uiPriority w:val="0"/>
    <w:pPr>
      <w:ind w:firstLine="420" w:firstLineChars="100"/>
    </w:pPr>
    <w:rPr>
      <w:sz w:val="34"/>
    </w:rPr>
  </w:style>
  <w:style w:type="paragraph" w:styleId="3">
    <w:name w:val="Body Text"/>
    <w:basedOn w:val="1"/>
    <w:link w:val="79"/>
    <w:autoRedefine/>
    <w:qFormat/>
    <w:uiPriority w:val="0"/>
  </w:style>
  <w:style w:type="paragraph" w:styleId="13">
    <w:name w:val="toc 7"/>
    <w:basedOn w:val="1"/>
    <w:next w:val="1"/>
    <w:autoRedefine/>
    <w:qFormat/>
    <w:uiPriority w:val="39"/>
    <w:pPr>
      <w:ind w:left="1260"/>
      <w:jc w:val="left"/>
    </w:pPr>
    <w:rPr>
      <w:rFonts w:asciiTheme="minorHAnsi" w:hAnsiTheme="minorHAnsi"/>
      <w:sz w:val="18"/>
      <w:szCs w:val="18"/>
    </w:rPr>
  </w:style>
  <w:style w:type="paragraph" w:styleId="14">
    <w:name w:val="List Number 2"/>
    <w:basedOn w:val="1"/>
    <w:autoRedefine/>
    <w:qFormat/>
    <w:uiPriority w:val="0"/>
    <w:pPr>
      <w:numPr>
        <w:ilvl w:val="0"/>
        <w:numId w:val="1"/>
      </w:numPr>
    </w:pPr>
  </w:style>
  <w:style w:type="paragraph" w:styleId="15">
    <w:name w:val="Normal Indent"/>
    <w:basedOn w:val="1"/>
    <w:next w:val="16"/>
    <w:autoRedefine/>
    <w:qFormat/>
    <w:uiPriority w:val="0"/>
    <w:pPr>
      <w:ind w:firstLine="420"/>
    </w:pPr>
  </w:style>
  <w:style w:type="paragraph" w:styleId="16">
    <w:name w:val="toc 4"/>
    <w:basedOn w:val="1"/>
    <w:next w:val="1"/>
    <w:autoRedefine/>
    <w:qFormat/>
    <w:uiPriority w:val="39"/>
    <w:pPr>
      <w:ind w:left="630"/>
      <w:jc w:val="left"/>
    </w:pPr>
    <w:rPr>
      <w:rFonts w:asciiTheme="minorHAnsi" w:hAnsiTheme="minorHAnsi"/>
      <w:sz w:val="18"/>
      <w:szCs w:val="18"/>
    </w:rPr>
  </w:style>
  <w:style w:type="paragraph" w:styleId="17">
    <w:name w:val="Document Map"/>
    <w:basedOn w:val="1"/>
    <w:link w:val="174"/>
    <w:autoRedefine/>
    <w:qFormat/>
    <w:uiPriority w:val="0"/>
    <w:pPr>
      <w:spacing w:line="360" w:lineRule="auto"/>
      <w:ind w:firstLine="420" w:firstLineChars="200"/>
      <w:jc w:val="left"/>
    </w:pPr>
    <w:rPr>
      <w:rFonts w:ascii="宋体" w:hAnsi="Times New Roman" w:eastAsia="宋体" w:cs="Times New Roman"/>
      <w:sz w:val="18"/>
      <w:szCs w:val="18"/>
    </w:rPr>
  </w:style>
  <w:style w:type="paragraph" w:styleId="18">
    <w:name w:val="annotation text"/>
    <w:basedOn w:val="1"/>
    <w:link w:val="78"/>
    <w:autoRedefine/>
    <w:qFormat/>
    <w:uiPriority w:val="0"/>
    <w:pPr>
      <w:jc w:val="left"/>
    </w:pPr>
    <w:rPr>
      <w:rFonts w:ascii="宋体" w:cs="宋体"/>
      <w:kern w:val="0"/>
      <w:sz w:val="34"/>
      <w:szCs w:val="34"/>
    </w:rPr>
  </w:style>
  <w:style w:type="paragraph" w:styleId="19">
    <w:name w:val="Body Text 3"/>
    <w:basedOn w:val="1"/>
    <w:link w:val="176"/>
    <w:autoRedefine/>
    <w:qFormat/>
    <w:uiPriority w:val="0"/>
    <w:pPr>
      <w:spacing w:after="120" w:line="360" w:lineRule="auto"/>
      <w:ind w:firstLine="420" w:firstLineChars="200"/>
      <w:jc w:val="left"/>
    </w:pPr>
    <w:rPr>
      <w:rFonts w:ascii="Times New Roman" w:hAnsi="Times New Roman" w:eastAsia="宋体" w:cs="Times New Roman"/>
      <w:sz w:val="16"/>
      <w:szCs w:val="16"/>
    </w:rPr>
  </w:style>
  <w:style w:type="paragraph" w:styleId="20">
    <w:name w:val="Body Text Indent"/>
    <w:basedOn w:val="1"/>
    <w:next w:val="21"/>
    <w:link w:val="80"/>
    <w:autoRedefine/>
    <w:qFormat/>
    <w:uiPriority w:val="0"/>
    <w:pPr>
      <w:spacing w:after="120"/>
      <w:ind w:left="420" w:leftChars="200"/>
    </w:pPr>
  </w:style>
  <w:style w:type="paragraph" w:styleId="21">
    <w:name w:val="Body Text First Indent 2"/>
    <w:basedOn w:val="20"/>
    <w:next w:val="1"/>
    <w:autoRedefine/>
    <w:semiHidden/>
    <w:unhideWhenUsed/>
    <w:qFormat/>
    <w:uiPriority w:val="0"/>
    <w:pPr>
      <w:tabs>
        <w:tab w:val="left" w:pos="4900"/>
      </w:tabs>
      <w:ind w:firstLine="420" w:firstLineChars="200"/>
    </w:pPr>
  </w:style>
  <w:style w:type="paragraph" w:styleId="22">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3">
    <w:name w:val="toc 5"/>
    <w:basedOn w:val="1"/>
    <w:next w:val="1"/>
    <w:autoRedefine/>
    <w:qFormat/>
    <w:uiPriority w:val="39"/>
    <w:pPr>
      <w:ind w:left="840"/>
      <w:jc w:val="left"/>
    </w:pPr>
    <w:rPr>
      <w:rFonts w:asciiTheme="minorHAnsi" w:hAnsiTheme="minorHAnsi"/>
      <w:sz w:val="18"/>
      <w:szCs w:val="18"/>
    </w:rPr>
  </w:style>
  <w:style w:type="paragraph" w:styleId="24">
    <w:name w:val="toc 3"/>
    <w:basedOn w:val="1"/>
    <w:next w:val="1"/>
    <w:autoRedefine/>
    <w:qFormat/>
    <w:uiPriority w:val="39"/>
    <w:pPr>
      <w:ind w:left="420"/>
      <w:jc w:val="left"/>
    </w:pPr>
    <w:rPr>
      <w:rFonts w:asciiTheme="minorHAnsi" w:hAnsiTheme="minorHAnsi"/>
      <w:i/>
      <w:iCs/>
      <w:sz w:val="20"/>
      <w:szCs w:val="20"/>
    </w:rPr>
  </w:style>
  <w:style w:type="paragraph" w:styleId="25">
    <w:name w:val="Plain Text"/>
    <w:basedOn w:val="1"/>
    <w:link w:val="81"/>
    <w:autoRedefine/>
    <w:qFormat/>
    <w:uiPriority w:val="0"/>
    <w:pPr>
      <w:spacing w:line="324" w:lineRule="auto"/>
    </w:pPr>
    <w:rPr>
      <w:rFonts w:ascii="宋体" w:hAnsi="Courier New" w:cs="宋体"/>
    </w:rPr>
  </w:style>
  <w:style w:type="paragraph" w:styleId="26">
    <w:name w:val="toc 8"/>
    <w:basedOn w:val="1"/>
    <w:next w:val="1"/>
    <w:autoRedefine/>
    <w:qFormat/>
    <w:uiPriority w:val="39"/>
    <w:pPr>
      <w:ind w:left="1470"/>
      <w:jc w:val="left"/>
    </w:pPr>
    <w:rPr>
      <w:rFonts w:asciiTheme="minorHAnsi" w:hAnsiTheme="minorHAnsi"/>
      <w:sz w:val="18"/>
      <w:szCs w:val="18"/>
    </w:rPr>
  </w:style>
  <w:style w:type="paragraph" w:styleId="27">
    <w:name w:val="Date"/>
    <w:basedOn w:val="1"/>
    <w:next w:val="1"/>
    <w:link w:val="105"/>
    <w:autoRedefine/>
    <w:qFormat/>
    <w:uiPriority w:val="0"/>
    <w:pPr>
      <w:ind w:left="100" w:leftChars="2500"/>
    </w:pPr>
  </w:style>
  <w:style w:type="paragraph" w:styleId="28">
    <w:name w:val="Body Text Indent 2"/>
    <w:basedOn w:val="1"/>
    <w:link w:val="82"/>
    <w:autoRedefine/>
    <w:qFormat/>
    <w:uiPriority w:val="0"/>
    <w:pPr>
      <w:spacing w:after="120" w:line="480" w:lineRule="auto"/>
      <w:ind w:left="420" w:leftChars="200"/>
    </w:pPr>
  </w:style>
  <w:style w:type="paragraph" w:styleId="29">
    <w:name w:val="Balloon Text"/>
    <w:basedOn w:val="1"/>
    <w:link w:val="83"/>
    <w:autoRedefine/>
    <w:qFormat/>
    <w:uiPriority w:val="0"/>
    <w:rPr>
      <w:sz w:val="18"/>
      <w:szCs w:val="18"/>
    </w:rPr>
  </w:style>
  <w:style w:type="paragraph" w:styleId="30">
    <w:name w:val="footer"/>
    <w:basedOn w:val="1"/>
    <w:link w:val="84"/>
    <w:autoRedefine/>
    <w:qFormat/>
    <w:uiPriority w:val="99"/>
    <w:pPr>
      <w:tabs>
        <w:tab w:val="center" w:pos="4153"/>
        <w:tab w:val="right" w:pos="8306"/>
      </w:tabs>
      <w:snapToGrid w:val="0"/>
      <w:jc w:val="left"/>
    </w:pPr>
    <w:rPr>
      <w:sz w:val="18"/>
      <w:szCs w:val="18"/>
    </w:rPr>
  </w:style>
  <w:style w:type="paragraph" w:styleId="31">
    <w:name w:val="header"/>
    <w:basedOn w:val="1"/>
    <w:link w:val="85"/>
    <w:autoRedefine/>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33"/>
    <w:next w:val="1"/>
    <w:autoRedefine/>
    <w:qFormat/>
    <w:uiPriority w:val="39"/>
    <w:pPr>
      <w:spacing w:before="120" w:after="120"/>
      <w:jc w:val="left"/>
    </w:pPr>
    <w:rPr>
      <w:rFonts w:asciiTheme="minorHAnsi" w:hAnsiTheme="minorHAnsi"/>
      <w:b/>
      <w:bCs/>
      <w:caps/>
      <w:sz w:val="20"/>
      <w:szCs w:val="20"/>
    </w:rPr>
  </w:style>
  <w:style w:type="paragraph" w:styleId="33">
    <w:name w:val="index 1"/>
    <w:basedOn w:val="1"/>
    <w:next w:val="1"/>
    <w:autoRedefine/>
    <w:qFormat/>
    <w:uiPriority w:val="0"/>
    <w:pPr>
      <w:spacing w:line="360" w:lineRule="auto"/>
      <w:ind w:firstLine="420" w:firstLineChars="200"/>
      <w:jc w:val="left"/>
    </w:pPr>
    <w:rPr>
      <w:rFonts w:ascii="Times New Roman" w:hAnsi="Times New Roman" w:eastAsia="宋体" w:cs="Times New Roman"/>
      <w:szCs w:val="24"/>
    </w:rPr>
  </w:style>
  <w:style w:type="paragraph" w:styleId="34">
    <w:name w:val="index heading"/>
    <w:basedOn w:val="1"/>
    <w:next w:val="33"/>
    <w:autoRedefine/>
    <w:qFormat/>
    <w:uiPriority w:val="0"/>
    <w:pPr>
      <w:spacing w:line="300" w:lineRule="auto"/>
      <w:ind w:firstLine="420" w:firstLineChars="200"/>
      <w:jc w:val="left"/>
    </w:pPr>
    <w:rPr>
      <w:rFonts w:ascii="Times New Roman" w:hAnsi="Times New Roman" w:eastAsia="楷体_GB2312" w:cs="Times New Roman"/>
      <w:sz w:val="24"/>
      <w:szCs w:val="24"/>
    </w:rPr>
  </w:style>
  <w:style w:type="paragraph" w:styleId="35">
    <w:name w:val="footnote text"/>
    <w:basedOn w:val="1"/>
    <w:autoRedefine/>
    <w:semiHidden/>
    <w:unhideWhenUsed/>
    <w:qFormat/>
    <w:uiPriority w:val="0"/>
    <w:pPr>
      <w:snapToGrid w:val="0"/>
      <w:jc w:val="left"/>
    </w:pPr>
    <w:rPr>
      <w:sz w:val="18"/>
    </w:rPr>
  </w:style>
  <w:style w:type="paragraph" w:styleId="36">
    <w:name w:val="toc 6"/>
    <w:basedOn w:val="1"/>
    <w:next w:val="1"/>
    <w:autoRedefine/>
    <w:qFormat/>
    <w:uiPriority w:val="39"/>
    <w:pPr>
      <w:ind w:left="1050"/>
      <w:jc w:val="left"/>
    </w:pPr>
    <w:rPr>
      <w:rFonts w:asciiTheme="minorHAnsi" w:hAnsiTheme="minorHAnsi"/>
      <w:sz w:val="18"/>
      <w:szCs w:val="18"/>
    </w:rPr>
  </w:style>
  <w:style w:type="paragraph" w:styleId="37">
    <w:name w:val="Body Text Indent 3"/>
    <w:basedOn w:val="1"/>
    <w:link w:val="173"/>
    <w:autoRedefine/>
    <w:qFormat/>
    <w:uiPriority w:val="0"/>
    <w:pPr>
      <w:spacing w:after="120" w:line="360" w:lineRule="auto"/>
      <w:ind w:left="420" w:leftChars="200" w:firstLine="420" w:firstLineChars="200"/>
      <w:jc w:val="left"/>
    </w:pPr>
    <w:rPr>
      <w:rFonts w:ascii="Times New Roman" w:hAnsi="Times New Roman" w:eastAsia="宋体" w:cs="Times New Roman"/>
      <w:sz w:val="16"/>
      <w:szCs w:val="16"/>
    </w:rPr>
  </w:style>
  <w:style w:type="paragraph" w:styleId="38">
    <w:name w:val="toc 2"/>
    <w:basedOn w:val="1"/>
    <w:next w:val="1"/>
    <w:autoRedefine/>
    <w:qFormat/>
    <w:uiPriority w:val="39"/>
    <w:pPr>
      <w:ind w:left="210"/>
      <w:jc w:val="left"/>
    </w:pPr>
    <w:rPr>
      <w:rFonts w:asciiTheme="minorHAnsi" w:hAnsiTheme="minorHAnsi"/>
      <w:smallCaps/>
      <w:sz w:val="20"/>
      <w:szCs w:val="20"/>
    </w:rPr>
  </w:style>
  <w:style w:type="paragraph" w:styleId="39">
    <w:name w:val="toc 9"/>
    <w:basedOn w:val="1"/>
    <w:next w:val="1"/>
    <w:autoRedefine/>
    <w:qFormat/>
    <w:uiPriority w:val="39"/>
    <w:pPr>
      <w:ind w:left="1680"/>
      <w:jc w:val="left"/>
    </w:pPr>
    <w:rPr>
      <w:rFonts w:asciiTheme="minorHAnsi" w:hAnsiTheme="minorHAnsi"/>
      <w:sz w:val="18"/>
      <w:szCs w:val="18"/>
    </w:rPr>
  </w:style>
  <w:style w:type="paragraph" w:styleId="40">
    <w:name w:val="Body Text 2"/>
    <w:basedOn w:val="1"/>
    <w:link w:val="86"/>
    <w:autoRedefine/>
    <w:qFormat/>
    <w:uiPriority w:val="0"/>
    <w:pPr>
      <w:jc w:val="center"/>
    </w:pPr>
    <w:rPr>
      <w:b/>
      <w:bCs/>
      <w:spacing w:val="-20"/>
      <w:w w:val="130"/>
      <w:sz w:val="48"/>
      <w:szCs w:val="48"/>
    </w:rPr>
  </w:style>
  <w:style w:type="paragraph" w:styleId="41">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2">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43">
    <w:name w:val="Title"/>
    <w:basedOn w:val="1"/>
    <w:link w:val="165"/>
    <w:autoRedefine/>
    <w:qFormat/>
    <w:uiPriority w:val="0"/>
    <w:pPr>
      <w:tabs>
        <w:tab w:val="left" w:pos="432"/>
      </w:tabs>
      <w:spacing w:before="240" w:after="60" w:line="360" w:lineRule="auto"/>
      <w:ind w:left="432" w:hanging="432" w:firstLineChars="200"/>
      <w:jc w:val="center"/>
      <w:outlineLvl w:val="0"/>
    </w:pPr>
    <w:rPr>
      <w:rFonts w:ascii="Arial" w:hAnsi="Arial" w:eastAsia="宋体" w:cs="Arial"/>
      <w:b/>
      <w:bCs/>
      <w:sz w:val="32"/>
      <w:szCs w:val="32"/>
    </w:rPr>
  </w:style>
  <w:style w:type="paragraph" w:styleId="44">
    <w:name w:val="annotation subject"/>
    <w:basedOn w:val="18"/>
    <w:next w:val="1"/>
    <w:link w:val="115"/>
    <w:autoRedefine/>
    <w:semiHidden/>
    <w:unhideWhenUsed/>
    <w:qFormat/>
    <w:uiPriority w:val="0"/>
    <w:rPr>
      <w:rFonts w:ascii="Calibri" w:cs="Calibri"/>
      <w:b/>
      <w:bCs/>
      <w:kern w:val="2"/>
      <w:sz w:val="21"/>
      <w:szCs w:val="21"/>
    </w:rPr>
  </w:style>
  <w:style w:type="table" w:styleId="46">
    <w:name w:val="Table Grid"/>
    <w:basedOn w:val="45"/>
    <w:autoRedefine/>
    <w:semiHidden/>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autoRedefine/>
    <w:qFormat/>
    <w:uiPriority w:val="0"/>
    <w:rPr>
      <w:b/>
      <w:bCs/>
      <w:sz w:val="24"/>
      <w:szCs w:val="24"/>
    </w:rPr>
  </w:style>
  <w:style w:type="character" w:styleId="49">
    <w:name w:val="page number"/>
    <w:basedOn w:val="47"/>
    <w:autoRedefine/>
    <w:qFormat/>
    <w:uiPriority w:val="0"/>
  </w:style>
  <w:style w:type="character" w:styleId="50">
    <w:name w:val="FollowedHyperlink"/>
    <w:basedOn w:val="47"/>
    <w:autoRedefine/>
    <w:qFormat/>
    <w:uiPriority w:val="0"/>
    <w:rPr>
      <w:color w:val="800080"/>
      <w:u w:val="none"/>
    </w:rPr>
  </w:style>
  <w:style w:type="character" w:styleId="51">
    <w:name w:val="Emphasis"/>
    <w:autoRedefine/>
    <w:qFormat/>
    <w:uiPriority w:val="20"/>
    <w:rPr>
      <w:i/>
      <w:iCs/>
    </w:rPr>
  </w:style>
  <w:style w:type="character" w:styleId="52">
    <w:name w:val="HTML Definition"/>
    <w:basedOn w:val="47"/>
    <w:autoRedefine/>
    <w:semiHidden/>
    <w:unhideWhenUsed/>
    <w:qFormat/>
    <w:uiPriority w:val="0"/>
  </w:style>
  <w:style w:type="character" w:styleId="53">
    <w:name w:val="HTML Typewriter"/>
    <w:basedOn w:val="47"/>
    <w:autoRedefine/>
    <w:semiHidden/>
    <w:unhideWhenUsed/>
    <w:qFormat/>
    <w:uiPriority w:val="0"/>
    <w:rPr>
      <w:rFonts w:hint="default" w:ascii="monospace" w:hAnsi="monospace" w:eastAsia="monospace" w:cs="monospace"/>
      <w:sz w:val="20"/>
    </w:rPr>
  </w:style>
  <w:style w:type="character" w:styleId="54">
    <w:name w:val="HTML Acronym"/>
    <w:basedOn w:val="47"/>
    <w:autoRedefine/>
    <w:semiHidden/>
    <w:unhideWhenUsed/>
    <w:qFormat/>
    <w:uiPriority w:val="0"/>
  </w:style>
  <w:style w:type="character" w:styleId="55">
    <w:name w:val="HTML Variable"/>
    <w:basedOn w:val="47"/>
    <w:autoRedefine/>
    <w:semiHidden/>
    <w:unhideWhenUsed/>
    <w:qFormat/>
    <w:uiPriority w:val="0"/>
  </w:style>
  <w:style w:type="character" w:styleId="56">
    <w:name w:val="Hyperlink"/>
    <w:autoRedefine/>
    <w:qFormat/>
    <w:uiPriority w:val="99"/>
    <w:rPr>
      <w:color w:val="0000FF"/>
      <w:u w:val="single"/>
    </w:rPr>
  </w:style>
  <w:style w:type="character" w:styleId="57">
    <w:name w:val="HTML Code"/>
    <w:basedOn w:val="47"/>
    <w:autoRedefine/>
    <w:semiHidden/>
    <w:unhideWhenUsed/>
    <w:qFormat/>
    <w:uiPriority w:val="0"/>
    <w:rPr>
      <w:rFonts w:hint="default" w:ascii="monospace" w:hAnsi="monospace" w:eastAsia="monospace" w:cs="monospace"/>
      <w:sz w:val="20"/>
    </w:rPr>
  </w:style>
  <w:style w:type="character" w:styleId="58">
    <w:name w:val="annotation reference"/>
    <w:autoRedefine/>
    <w:qFormat/>
    <w:uiPriority w:val="0"/>
    <w:rPr>
      <w:sz w:val="21"/>
      <w:szCs w:val="21"/>
    </w:rPr>
  </w:style>
  <w:style w:type="character" w:styleId="59">
    <w:name w:val="HTML Cite"/>
    <w:autoRedefine/>
    <w:semiHidden/>
    <w:unhideWhenUsed/>
    <w:qFormat/>
    <w:uiPriority w:val="0"/>
    <w:rPr>
      <w:sz w:val="24"/>
      <w:szCs w:val="24"/>
    </w:rPr>
  </w:style>
  <w:style w:type="character" w:styleId="60">
    <w:name w:val="footnote reference"/>
    <w:basedOn w:val="47"/>
    <w:autoRedefine/>
    <w:semiHidden/>
    <w:unhideWhenUsed/>
    <w:qFormat/>
    <w:uiPriority w:val="0"/>
    <w:rPr>
      <w:vertAlign w:val="superscript"/>
    </w:rPr>
  </w:style>
  <w:style w:type="character" w:styleId="61">
    <w:name w:val="HTML Keyboard"/>
    <w:basedOn w:val="47"/>
    <w:autoRedefine/>
    <w:semiHidden/>
    <w:unhideWhenUsed/>
    <w:qFormat/>
    <w:uiPriority w:val="0"/>
    <w:rPr>
      <w:rFonts w:ascii="monospace" w:hAnsi="monospace" w:eastAsia="monospace" w:cs="monospace"/>
      <w:sz w:val="20"/>
    </w:rPr>
  </w:style>
  <w:style w:type="character" w:styleId="62">
    <w:name w:val="HTML Sample"/>
    <w:basedOn w:val="47"/>
    <w:autoRedefine/>
    <w:semiHidden/>
    <w:unhideWhenUsed/>
    <w:qFormat/>
    <w:uiPriority w:val="0"/>
    <w:rPr>
      <w:rFonts w:hint="default" w:ascii="monospace" w:hAnsi="monospace" w:eastAsia="monospace" w:cs="monospace"/>
    </w:rPr>
  </w:style>
  <w:style w:type="paragraph" w:customStyle="1" w:styleId="63">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64">
    <w:name w:val="列出段落1"/>
    <w:basedOn w:val="1"/>
    <w:autoRedefine/>
    <w:qFormat/>
    <w:uiPriority w:val="99"/>
    <w:pPr>
      <w:ind w:firstLine="420" w:firstLineChars="200"/>
    </w:pPr>
  </w:style>
  <w:style w:type="paragraph" w:customStyle="1" w:styleId="65">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en-US" w:bidi="ar-SA"/>
    </w:rPr>
  </w:style>
  <w:style w:type="paragraph" w:customStyle="1" w:styleId="67">
    <w:name w:val="样式1"/>
    <w:basedOn w:val="1"/>
    <w:link w:val="193"/>
    <w:autoRedefine/>
    <w:qFormat/>
    <w:uiPriority w:val="0"/>
    <w:pPr>
      <w:spacing w:line="300" w:lineRule="auto"/>
      <w:ind w:firstLine="480" w:firstLineChars="200"/>
      <w:jc w:val="left"/>
    </w:pPr>
    <w:rPr>
      <w:rFonts w:ascii="Times New Roman" w:hAnsi="Times New Roman" w:eastAsia="宋体" w:cs="Times New Roman"/>
      <w:sz w:val="24"/>
      <w:szCs w:val="24"/>
    </w:rPr>
  </w:style>
  <w:style w:type="paragraph" w:customStyle="1" w:styleId="68">
    <w:name w:val="style4"/>
    <w:basedOn w:val="69"/>
    <w:next w:val="7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9">
    <w:name w:val="正文1"/>
    <w:next w:val="70"/>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70">
    <w:name w:val="正文文本1"/>
    <w:basedOn w:val="69"/>
    <w:next w:val="68"/>
    <w:autoRedefine/>
    <w:qFormat/>
    <w:uiPriority w:val="0"/>
    <w:pPr>
      <w:spacing w:after="120"/>
    </w:pPr>
    <w:rPr>
      <w:rFonts w:ascii="Times New Roman" w:hAnsi="Times New Roman" w:eastAsia="宋体" w:cs="Times New Roman"/>
      <w:kern w:val="0"/>
      <w:sz w:val="20"/>
    </w:rPr>
  </w:style>
  <w:style w:type="paragraph" w:customStyle="1" w:styleId="71">
    <w:name w:val="2"/>
    <w:basedOn w:val="1"/>
    <w:next w:val="1"/>
    <w:link w:val="191"/>
    <w:autoRedefine/>
    <w:qFormat/>
    <w:uiPriority w:val="0"/>
    <w:pPr>
      <w:autoSpaceDE w:val="0"/>
      <w:autoSpaceDN w:val="0"/>
      <w:adjustRightInd w:val="0"/>
      <w:spacing w:line="360" w:lineRule="auto"/>
      <w:ind w:firstLine="0" w:firstLineChars="0"/>
      <w:jc w:val="center"/>
    </w:pPr>
    <w:rPr>
      <w:rFonts w:ascii="Times New Roman" w:hAnsi="Times New Roman" w:eastAsia="宋体" w:cs="Times New Roman"/>
      <w:spacing w:val="4"/>
      <w:szCs w:val="24"/>
    </w:rPr>
  </w:style>
  <w:style w:type="paragraph" w:customStyle="1" w:styleId="72">
    <w:name w:val="TOC 标题1"/>
    <w:basedOn w:val="4"/>
    <w:next w:val="1"/>
    <w:autoRedefine/>
    <w:qFormat/>
    <w:uiPriority w:val="99"/>
    <w:pPr>
      <w:spacing w:before="480" w:after="0" w:line="276" w:lineRule="auto"/>
      <w:outlineLvl w:val="9"/>
    </w:pPr>
    <w:rPr>
      <w:rFonts w:ascii="仿宋" w:hAnsi="仿宋" w:eastAsia="仿宋" w:cs="仿宋"/>
      <w:color w:val="000000"/>
      <w:kern w:val="0"/>
    </w:rPr>
  </w:style>
  <w:style w:type="paragraph" w:customStyle="1" w:styleId="73">
    <w:name w:val="+正文"/>
    <w:basedOn w:val="1"/>
    <w:autoRedefine/>
    <w:qFormat/>
    <w:uiPriority w:val="99"/>
    <w:pPr>
      <w:spacing w:line="360" w:lineRule="auto"/>
      <w:ind w:firstLine="200" w:firstLineChars="200"/>
    </w:pPr>
  </w:style>
  <w:style w:type="character" w:customStyle="1" w:styleId="74">
    <w:name w:val="标题 1 Char"/>
    <w:link w:val="4"/>
    <w:autoRedefine/>
    <w:qFormat/>
    <w:locked/>
    <w:uiPriority w:val="99"/>
    <w:rPr>
      <w:rFonts w:ascii="Calibri" w:hAnsi="Calibri" w:cs="Calibri"/>
      <w:b/>
      <w:bCs/>
      <w:kern w:val="44"/>
      <w:sz w:val="44"/>
      <w:szCs w:val="44"/>
    </w:rPr>
  </w:style>
  <w:style w:type="character" w:customStyle="1" w:styleId="75">
    <w:name w:val="标题 2 Char"/>
    <w:link w:val="5"/>
    <w:autoRedefine/>
    <w:qFormat/>
    <w:locked/>
    <w:uiPriority w:val="99"/>
    <w:rPr>
      <w:rFonts w:ascii="Cambria" w:hAnsi="Cambria" w:eastAsia="宋体" w:cs="Cambria"/>
      <w:b/>
      <w:bCs/>
      <w:sz w:val="32"/>
      <w:szCs w:val="32"/>
    </w:rPr>
  </w:style>
  <w:style w:type="character" w:customStyle="1" w:styleId="76">
    <w:name w:val="标题 3 Char"/>
    <w:link w:val="6"/>
    <w:autoRedefine/>
    <w:semiHidden/>
    <w:qFormat/>
    <w:locked/>
    <w:uiPriority w:val="99"/>
    <w:rPr>
      <w:rFonts w:ascii="Calibri" w:hAnsi="Calibri" w:cs="Calibri"/>
      <w:b/>
      <w:bCs/>
      <w:sz w:val="32"/>
      <w:szCs w:val="32"/>
    </w:rPr>
  </w:style>
  <w:style w:type="character" w:customStyle="1" w:styleId="77">
    <w:name w:val="标题 4 Char"/>
    <w:link w:val="7"/>
    <w:autoRedefine/>
    <w:semiHidden/>
    <w:qFormat/>
    <w:uiPriority w:val="9"/>
    <w:rPr>
      <w:rFonts w:ascii="Cambria" w:hAnsi="Cambria" w:eastAsia="宋体" w:cs="Times New Roman"/>
      <w:b/>
      <w:bCs/>
      <w:sz w:val="28"/>
      <w:szCs w:val="28"/>
    </w:rPr>
  </w:style>
  <w:style w:type="character" w:customStyle="1" w:styleId="78">
    <w:name w:val="批注文字 Char"/>
    <w:link w:val="18"/>
    <w:autoRedefine/>
    <w:qFormat/>
    <w:locked/>
    <w:uiPriority w:val="99"/>
    <w:rPr>
      <w:rFonts w:ascii="宋体" w:hAnsi="Calibri" w:eastAsia="宋体" w:cs="宋体"/>
      <w:sz w:val="22"/>
      <w:szCs w:val="22"/>
    </w:rPr>
  </w:style>
  <w:style w:type="character" w:customStyle="1" w:styleId="79">
    <w:name w:val="正文文本 Char"/>
    <w:link w:val="3"/>
    <w:autoRedefine/>
    <w:semiHidden/>
    <w:qFormat/>
    <w:locked/>
    <w:uiPriority w:val="99"/>
    <w:rPr>
      <w:rFonts w:ascii="Calibri" w:hAnsi="Calibri" w:cs="Calibri"/>
    </w:rPr>
  </w:style>
  <w:style w:type="character" w:customStyle="1" w:styleId="80">
    <w:name w:val="正文文本缩进 Char"/>
    <w:link w:val="20"/>
    <w:autoRedefine/>
    <w:semiHidden/>
    <w:qFormat/>
    <w:uiPriority w:val="99"/>
    <w:rPr>
      <w:rFonts w:ascii="Calibri" w:hAnsi="Calibri" w:cs="Calibri"/>
      <w:szCs w:val="21"/>
    </w:rPr>
  </w:style>
  <w:style w:type="character" w:customStyle="1" w:styleId="81">
    <w:name w:val="纯文本 Char"/>
    <w:link w:val="25"/>
    <w:autoRedefine/>
    <w:qFormat/>
    <w:locked/>
    <w:uiPriority w:val="0"/>
    <w:rPr>
      <w:rFonts w:ascii="宋体" w:hAnsi="Courier New" w:cs="宋体"/>
      <w:sz w:val="21"/>
      <w:szCs w:val="21"/>
    </w:rPr>
  </w:style>
  <w:style w:type="character" w:customStyle="1" w:styleId="82">
    <w:name w:val="正文文本缩进 2 Char"/>
    <w:link w:val="28"/>
    <w:autoRedefine/>
    <w:semiHidden/>
    <w:qFormat/>
    <w:locked/>
    <w:uiPriority w:val="99"/>
    <w:rPr>
      <w:rFonts w:ascii="Calibri" w:hAnsi="Calibri" w:cs="Calibri"/>
    </w:rPr>
  </w:style>
  <w:style w:type="character" w:customStyle="1" w:styleId="83">
    <w:name w:val="批注框文本 Char"/>
    <w:link w:val="29"/>
    <w:autoRedefine/>
    <w:qFormat/>
    <w:locked/>
    <w:uiPriority w:val="99"/>
    <w:rPr>
      <w:rFonts w:ascii="Calibri" w:hAnsi="Calibri" w:eastAsia="宋体" w:cs="Calibri"/>
      <w:kern w:val="2"/>
      <w:sz w:val="18"/>
      <w:szCs w:val="18"/>
    </w:rPr>
  </w:style>
  <w:style w:type="character" w:customStyle="1" w:styleId="84">
    <w:name w:val="页脚 Char"/>
    <w:basedOn w:val="47"/>
    <w:link w:val="30"/>
    <w:autoRedefine/>
    <w:qFormat/>
    <w:locked/>
    <w:uiPriority w:val="99"/>
    <w:rPr>
      <w:rFonts w:ascii="Calibri" w:hAnsi="Calibri" w:cs="Calibri"/>
      <w:sz w:val="18"/>
      <w:szCs w:val="18"/>
    </w:rPr>
  </w:style>
  <w:style w:type="character" w:customStyle="1" w:styleId="85">
    <w:name w:val="页眉 Char"/>
    <w:basedOn w:val="47"/>
    <w:link w:val="31"/>
    <w:autoRedefine/>
    <w:qFormat/>
    <w:locked/>
    <w:uiPriority w:val="99"/>
    <w:rPr>
      <w:rFonts w:ascii="Calibri" w:hAnsi="Calibri" w:cs="Calibri"/>
      <w:sz w:val="18"/>
      <w:szCs w:val="18"/>
    </w:rPr>
  </w:style>
  <w:style w:type="character" w:customStyle="1" w:styleId="86">
    <w:name w:val="正文文本 2 Char"/>
    <w:link w:val="40"/>
    <w:autoRedefine/>
    <w:semiHidden/>
    <w:qFormat/>
    <w:locked/>
    <w:uiPriority w:val="99"/>
    <w:rPr>
      <w:rFonts w:ascii="Calibri" w:hAnsi="Calibri" w:cs="Calibri"/>
    </w:rPr>
  </w:style>
  <w:style w:type="paragraph" w:customStyle="1" w:styleId="87">
    <w:name w:val="Char2 Char Char Char"/>
    <w:basedOn w:val="1"/>
    <w:autoRedefine/>
    <w:qFormat/>
    <w:uiPriority w:val="99"/>
    <w:rPr>
      <w:rFonts w:ascii="Tahoma" w:hAnsi="Tahoma" w:cs="Tahoma"/>
      <w:sz w:val="24"/>
      <w:szCs w:val="24"/>
    </w:rPr>
  </w:style>
  <w:style w:type="character" w:customStyle="1" w:styleId="88">
    <w:name w:val="10"/>
    <w:autoRedefine/>
    <w:qFormat/>
    <w:uiPriority w:val="99"/>
    <w:rPr>
      <w:rFonts w:ascii="Calibri" w:hAnsi="Calibri" w:cs="Calibri"/>
    </w:rPr>
  </w:style>
  <w:style w:type="character" w:customStyle="1" w:styleId="89">
    <w:name w:val="15"/>
    <w:autoRedefine/>
    <w:qFormat/>
    <w:uiPriority w:val="99"/>
    <w:rPr>
      <w:rFonts w:ascii="Calibri" w:hAnsi="Calibri" w:cs="Calibri"/>
      <w:i/>
      <w:iCs/>
    </w:rPr>
  </w:style>
  <w:style w:type="paragraph" w:customStyle="1" w:styleId="90">
    <w:name w:val="_Style 2"/>
    <w:basedOn w:val="1"/>
    <w:autoRedefine/>
    <w:qFormat/>
    <w:uiPriority w:val="99"/>
    <w:pPr>
      <w:ind w:firstLine="420" w:firstLineChars="200"/>
    </w:pPr>
  </w:style>
  <w:style w:type="character" w:customStyle="1" w:styleId="91">
    <w:name w:val="apple-style-span"/>
    <w:autoRedefine/>
    <w:qFormat/>
    <w:uiPriority w:val="99"/>
  </w:style>
  <w:style w:type="character" w:customStyle="1" w:styleId="92">
    <w:name w:val="del"/>
    <w:basedOn w:val="47"/>
    <w:autoRedefine/>
    <w:qFormat/>
    <w:uiPriority w:val="99"/>
  </w:style>
  <w:style w:type="character" w:customStyle="1" w:styleId="93">
    <w:name w:val="del1"/>
    <w:autoRedefine/>
    <w:qFormat/>
    <w:uiPriority w:val="99"/>
    <w:rPr>
      <w:vanish/>
      <w:color w:val="auto"/>
      <w:sz w:val="18"/>
      <w:szCs w:val="18"/>
      <w:u w:val="single"/>
    </w:rPr>
  </w:style>
  <w:style w:type="character" w:customStyle="1" w:styleId="94">
    <w:name w:val="del2"/>
    <w:autoRedefine/>
    <w:qFormat/>
    <w:uiPriority w:val="99"/>
    <w:rPr>
      <w:vanish/>
    </w:rPr>
  </w:style>
  <w:style w:type="character" w:customStyle="1" w:styleId="95">
    <w:name w:val="del3"/>
    <w:autoRedefine/>
    <w:qFormat/>
    <w:uiPriority w:val="99"/>
    <w:rPr>
      <w:vanish/>
    </w:rPr>
  </w:style>
  <w:style w:type="paragraph" w:customStyle="1" w:styleId="96">
    <w:name w:val="_Style 4"/>
    <w:basedOn w:val="1"/>
    <w:autoRedefine/>
    <w:qFormat/>
    <w:uiPriority w:val="99"/>
    <w:pPr>
      <w:ind w:firstLine="420" w:firstLineChars="200"/>
    </w:pPr>
  </w:style>
  <w:style w:type="paragraph" w:customStyle="1" w:styleId="97">
    <w:name w:val="pa-1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首行缩进"/>
    <w:basedOn w:val="1"/>
    <w:autoRedefine/>
    <w:qFormat/>
    <w:uiPriority w:val="99"/>
    <w:pPr>
      <w:widowControl/>
      <w:tabs>
        <w:tab w:val="left" w:pos="735"/>
      </w:tabs>
      <w:spacing w:line="460" w:lineRule="exact"/>
      <w:ind w:firstLine="200" w:firstLineChars="200"/>
      <w:jc w:val="left"/>
    </w:pPr>
    <w:rPr>
      <w:rFonts w:ascii="Times New Roman" w:hAnsi="Times New Roman" w:cs="Times New Roman"/>
      <w:kern w:val="0"/>
      <w:sz w:val="24"/>
      <w:szCs w:val="24"/>
    </w:rPr>
  </w:style>
  <w:style w:type="character" w:customStyle="1" w:styleId="99">
    <w:name w:val="font101"/>
    <w:basedOn w:val="47"/>
    <w:autoRedefine/>
    <w:qFormat/>
    <w:uiPriority w:val="0"/>
    <w:rPr>
      <w:rFonts w:hint="eastAsia" w:ascii="宋体" w:hAnsi="宋体" w:eastAsia="宋体" w:cs="宋体"/>
      <w:color w:val="000000"/>
      <w:sz w:val="24"/>
      <w:szCs w:val="24"/>
      <w:u w:val="none"/>
    </w:rPr>
  </w:style>
  <w:style w:type="character" w:customStyle="1" w:styleId="100">
    <w:name w:val="font91"/>
    <w:basedOn w:val="47"/>
    <w:autoRedefine/>
    <w:qFormat/>
    <w:uiPriority w:val="0"/>
    <w:rPr>
      <w:rFonts w:hint="eastAsia" w:ascii="宋体" w:hAnsi="宋体" w:eastAsia="宋体" w:cs="宋体"/>
      <w:color w:val="000000"/>
      <w:sz w:val="24"/>
      <w:szCs w:val="24"/>
      <w:u w:val="none"/>
    </w:rPr>
  </w:style>
  <w:style w:type="character" w:customStyle="1" w:styleId="101">
    <w:name w:val="font41"/>
    <w:basedOn w:val="47"/>
    <w:autoRedefine/>
    <w:qFormat/>
    <w:uiPriority w:val="0"/>
    <w:rPr>
      <w:rFonts w:hint="eastAsia" w:ascii="宋体" w:hAnsi="宋体" w:eastAsia="宋体" w:cs="宋体"/>
      <w:color w:val="000000"/>
      <w:sz w:val="24"/>
      <w:szCs w:val="24"/>
      <w:u w:val="none"/>
    </w:rPr>
  </w:style>
  <w:style w:type="character" w:customStyle="1" w:styleId="102">
    <w:name w:val="font21"/>
    <w:basedOn w:val="47"/>
    <w:autoRedefine/>
    <w:qFormat/>
    <w:uiPriority w:val="0"/>
    <w:rPr>
      <w:rFonts w:hint="eastAsia" w:ascii="宋体" w:hAnsi="宋体" w:eastAsia="宋体" w:cs="宋体"/>
      <w:color w:val="000000"/>
      <w:sz w:val="24"/>
      <w:szCs w:val="24"/>
      <w:u w:val="none"/>
    </w:rPr>
  </w:style>
  <w:style w:type="paragraph" w:styleId="103">
    <w:name w:val="List Paragraph"/>
    <w:basedOn w:val="1"/>
    <w:autoRedefine/>
    <w:qFormat/>
    <w:uiPriority w:val="99"/>
    <w:pPr>
      <w:ind w:firstLine="420" w:firstLineChars="200"/>
    </w:pPr>
  </w:style>
  <w:style w:type="table" w:customStyle="1" w:styleId="104">
    <w:name w:val="TableGrid"/>
    <w:autoRedefine/>
    <w:qFormat/>
    <w:uiPriority w:val="0"/>
    <w:rPr>
      <w:kern w:val="2"/>
      <w:sz w:val="21"/>
      <w:szCs w:val="22"/>
    </w:rPr>
    <w:tblPr>
      <w:tblCellMar>
        <w:top w:w="0" w:type="dxa"/>
        <w:left w:w="0" w:type="dxa"/>
        <w:bottom w:w="0" w:type="dxa"/>
        <w:right w:w="0" w:type="dxa"/>
      </w:tblCellMar>
    </w:tblPr>
  </w:style>
  <w:style w:type="character" w:customStyle="1" w:styleId="105">
    <w:name w:val="日期 Char"/>
    <w:basedOn w:val="47"/>
    <w:link w:val="27"/>
    <w:autoRedefine/>
    <w:qFormat/>
    <w:uiPriority w:val="0"/>
    <w:rPr>
      <w:rFonts w:ascii="Calibri" w:hAnsi="Calibri" w:cs="Calibri"/>
      <w:kern w:val="2"/>
      <w:sz w:val="21"/>
      <w:szCs w:val="21"/>
    </w:rPr>
  </w:style>
  <w:style w:type="character" w:customStyle="1" w:styleId="106">
    <w:name w:val="List Paragraph Char1"/>
    <w:link w:val="107"/>
    <w:autoRedefine/>
    <w:qFormat/>
    <w:locked/>
    <w:uiPriority w:val="0"/>
    <w:rPr>
      <w:sz w:val="24"/>
    </w:rPr>
  </w:style>
  <w:style w:type="paragraph" w:customStyle="1" w:styleId="107">
    <w:name w:val="列出段落2"/>
    <w:basedOn w:val="1"/>
    <w:link w:val="106"/>
    <w:autoRedefine/>
    <w:qFormat/>
    <w:uiPriority w:val="0"/>
    <w:pPr>
      <w:ind w:firstLine="420" w:firstLineChars="200"/>
    </w:pPr>
    <w:rPr>
      <w:rFonts w:ascii="Times New Roman" w:hAnsi="Times New Roman" w:cs="Times New Roman"/>
      <w:kern w:val="0"/>
      <w:sz w:val="24"/>
      <w:szCs w:val="20"/>
    </w:rPr>
  </w:style>
  <w:style w:type="table" w:customStyle="1" w:styleId="108">
    <w:name w:val="TableGrid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09">
    <w:name w:val="TableGrid2"/>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0">
    <w:name w:val="TableGrid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1">
    <w:name w:val="TableGrid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2">
    <w:name w:val="TableGrid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3">
    <w:name w:val="TableGrid6"/>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4">
    <w:name w:val="TableGrid7"/>
    <w:autoRedefine/>
    <w:qFormat/>
    <w:uiPriority w:val="0"/>
    <w:rPr>
      <w:rFonts w:ascii="Calibri" w:hAnsi="Calibri"/>
      <w:kern w:val="2"/>
      <w:sz w:val="21"/>
      <w:szCs w:val="22"/>
    </w:rPr>
    <w:tblPr>
      <w:tblCellMar>
        <w:top w:w="0" w:type="dxa"/>
        <w:left w:w="0" w:type="dxa"/>
        <w:bottom w:w="0" w:type="dxa"/>
        <w:right w:w="0" w:type="dxa"/>
      </w:tblCellMar>
    </w:tblPr>
  </w:style>
  <w:style w:type="character" w:customStyle="1" w:styleId="115">
    <w:name w:val="批注主题 Char"/>
    <w:basedOn w:val="78"/>
    <w:link w:val="44"/>
    <w:autoRedefine/>
    <w:semiHidden/>
    <w:qFormat/>
    <w:uiPriority w:val="99"/>
    <w:rPr>
      <w:rFonts w:ascii="Calibri" w:hAnsi="Calibri" w:eastAsia="宋体" w:cs="Calibri"/>
      <w:b/>
      <w:bCs/>
      <w:kern w:val="2"/>
      <w:sz w:val="21"/>
      <w:szCs w:val="21"/>
    </w:rPr>
  </w:style>
  <w:style w:type="paragraph" w:customStyle="1" w:styleId="116">
    <w:name w:val="列出段落3"/>
    <w:basedOn w:val="1"/>
    <w:autoRedefine/>
    <w:qFormat/>
    <w:uiPriority w:val="0"/>
    <w:pPr>
      <w:ind w:firstLine="420" w:firstLineChars="200"/>
    </w:pPr>
    <w:rPr>
      <w:rFonts w:ascii="Times New Roman" w:hAnsi="Times New Roman" w:cs="Times New Roman"/>
      <w:kern w:val="0"/>
      <w:sz w:val="24"/>
      <w:szCs w:val="20"/>
    </w:rPr>
  </w:style>
  <w:style w:type="table" w:customStyle="1" w:styleId="117">
    <w:name w:val="TableGrid8"/>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8">
    <w:name w:val="TableGrid9"/>
    <w:autoRedefine/>
    <w:qFormat/>
    <w:uiPriority w:val="0"/>
    <w:rPr>
      <w:kern w:val="2"/>
      <w:sz w:val="21"/>
      <w:szCs w:val="22"/>
    </w:rPr>
    <w:tblPr>
      <w:tblCellMar>
        <w:top w:w="0" w:type="dxa"/>
        <w:left w:w="0" w:type="dxa"/>
        <w:bottom w:w="0" w:type="dxa"/>
        <w:right w:w="0" w:type="dxa"/>
      </w:tblCellMar>
    </w:tblPr>
  </w:style>
  <w:style w:type="table" w:customStyle="1" w:styleId="119">
    <w:name w:val="TableGrid10"/>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20">
    <w:name w:val="TableGrid1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21">
    <w:name w:val="TableGrid12"/>
    <w:autoRedefine/>
    <w:qFormat/>
    <w:uiPriority w:val="0"/>
    <w:rPr>
      <w:kern w:val="2"/>
      <w:sz w:val="21"/>
      <w:szCs w:val="22"/>
    </w:rPr>
    <w:tblPr>
      <w:tblCellMar>
        <w:top w:w="0" w:type="dxa"/>
        <w:left w:w="0" w:type="dxa"/>
        <w:bottom w:w="0" w:type="dxa"/>
        <w:right w:w="0" w:type="dxa"/>
      </w:tblCellMar>
    </w:tblPr>
  </w:style>
  <w:style w:type="table" w:customStyle="1" w:styleId="122">
    <w:name w:val="TableGrid1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23">
    <w:name w:val="TableGrid1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24">
    <w:name w:val="TableGrid1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25">
    <w:name w:val="网格型1"/>
    <w:basedOn w:val="4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6">
    <w:name w:val="high-light-bg4"/>
    <w:basedOn w:val="47"/>
    <w:autoRedefine/>
    <w:qFormat/>
    <w:uiPriority w:val="0"/>
  </w:style>
  <w:style w:type="paragraph" w:customStyle="1" w:styleId="127">
    <w:name w:val="!正文"/>
    <w:autoRedefine/>
    <w:qFormat/>
    <w:uiPriority w:val="0"/>
    <w:pPr>
      <w:widowControl w:val="0"/>
      <w:spacing w:line="360" w:lineRule="auto"/>
      <w:ind w:firstLine="200" w:firstLineChars="200"/>
      <w:jc w:val="both"/>
    </w:pPr>
    <w:rPr>
      <w:rFonts w:ascii="宋体" w:hAnsi="宋体" w:eastAsia="宋体" w:cs="Times New Roman"/>
      <w:kern w:val="2"/>
      <w:sz w:val="24"/>
      <w:szCs w:val="28"/>
      <w:lang w:val="en-US" w:eastAsia="zh-CN" w:bidi="ar-SA"/>
    </w:rPr>
  </w:style>
  <w:style w:type="character" w:customStyle="1" w:styleId="128">
    <w:name w:val="font71"/>
    <w:basedOn w:val="47"/>
    <w:autoRedefine/>
    <w:qFormat/>
    <w:uiPriority w:val="0"/>
    <w:rPr>
      <w:rFonts w:hint="eastAsia" w:ascii="宋体" w:hAnsi="宋体" w:eastAsia="宋体" w:cs="宋体"/>
      <w:color w:val="000000"/>
      <w:sz w:val="24"/>
      <w:szCs w:val="24"/>
      <w:u w:val="none"/>
    </w:rPr>
  </w:style>
  <w:style w:type="paragraph" w:customStyle="1" w:styleId="129">
    <w:name w:val="Table Paragraph"/>
    <w:basedOn w:val="1"/>
    <w:autoRedefine/>
    <w:unhideWhenUsed/>
    <w:qFormat/>
    <w:uiPriority w:val="1"/>
    <w:rPr>
      <w:rFonts w:hint="default"/>
      <w:sz w:val="24"/>
    </w:rPr>
  </w:style>
  <w:style w:type="paragraph" w:customStyle="1" w:styleId="130">
    <w:name w:val="正文格式"/>
    <w:basedOn w:val="1"/>
    <w:autoRedefine/>
    <w:qFormat/>
    <w:uiPriority w:val="0"/>
    <w:pPr>
      <w:adjustRightInd w:val="0"/>
      <w:snapToGrid w:val="0"/>
      <w:spacing w:line="400" w:lineRule="atLeast"/>
      <w:ind w:firstLine="482"/>
      <w:textAlignment w:val="baseline"/>
    </w:pPr>
  </w:style>
  <w:style w:type="paragraph" w:customStyle="1" w:styleId="131">
    <w:name w:val="xl29"/>
    <w:basedOn w:val="1"/>
    <w:autoRedefine/>
    <w:qFormat/>
    <w:uiPriority w:val="0"/>
    <w:pPr>
      <w:widowControl/>
      <w:pBdr>
        <w:bottom w:val="single" w:color="auto" w:sz="4" w:space="0"/>
        <w:right w:val="single" w:color="auto" w:sz="12" w:space="0"/>
      </w:pBdr>
      <w:spacing w:before="100" w:beforeAutospacing="1" w:after="100" w:afterAutospacing="1" w:line="360" w:lineRule="auto"/>
      <w:ind w:firstLine="420" w:firstLineChars="200"/>
      <w:jc w:val="left"/>
      <w:textAlignment w:val="top"/>
    </w:pPr>
    <w:rPr>
      <w:rFonts w:ascii="Arial Unicode MS" w:hAnsi="Times New Roman" w:eastAsia="Arial Unicode MS" w:cs="Times New Roman"/>
      <w:kern w:val="0"/>
      <w:sz w:val="24"/>
      <w:szCs w:val="24"/>
    </w:rPr>
  </w:style>
  <w:style w:type="paragraph" w:customStyle="1" w:styleId="132">
    <w:name w:val="正文无缩进"/>
    <w:basedOn w:val="1"/>
    <w:autoRedefine/>
    <w:qFormat/>
    <w:uiPriority w:val="0"/>
    <w:pPr>
      <w:spacing w:beforeLines="50" w:line="300" w:lineRule="auto"/>
      <w:ind w:firstLine="420" w:firstLineChars="200"/>
      <w:jc w:val="center"/>
    </w:pPr>
    <w:rPr>
      <w:rFonts w:ascii="宋体" w:hAnsi="宋体" w:eastAsia="宋体" w:cs="Times New Roman"/>
      <w:sz w:val="24"/>
      <w:szCs w:val="24"/>
    </w:rPr>
  </w:style>
  <w:style w:type="paragraph" w:customStyle="1" w:styleId="133">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4">
    <w:name w:val="Char Char1"/>
    <w:basedOn w:val="1"/>
    <w:autoRedefine/>
    <w:qFormat/>
    <w:uiPriority w:val="0"/>
    <w:pPr>
      <w:widowControl/>
      <w:spacing w:after="160" w:line="240" w:lineRule="exact"/>
      <w:ind w:firstLine="420" w:firstLineChars="200"/>
      <w:jc w:val="left"/>
    </w:pPr>
    <w:rPr>
      <w:rFonts w:ascii="Verdana" w:hAnsi="Verdana" w:eastAsia="宋体" w:cs="Times New Roman"/>
      <w:kern w:val="0"/>
      <w:sz w:val="20"/>
      <w:szCs w:val="24"/>
      <w:lang w:eastAsia="en-US"/>
    </w:rPr>
  </w:style>
  <w:style w:type="paragraph" w:customStyle="1" w:styleId="135">
    <w:name w:val="4"/>
    <w:basedOn w:val="1"/>
    <w:autoRedefine/>
    <w:qFormat/>
    <w:uiPriority w:val="0"/>
    <w:pPr>
      <w:spacing w:line="300" w:lineRule="auto"/>
      <w:ind w:firstLine="480" w:firstLineChars="200"/>
      <w:jc w:val="left"/>
    </w:pPr>
    <w:rPr>
      <w:rFonts w:ascii="Times New Roman" w:hAnsi="Times New Roman" w:eastAsia="宋体" w:cs="Times New Roman"/>
      <w:sz w:val="24"/>
      <w:szCs w:val="20"/>
    </w:rPr>
  </w:style>
  <w:style w:type="paragraph" w:customStyle="1" w:styleId="136">
    <w:name w:val="Char"/>
    <w:basedOn w:val="1"/>
    <w:autoRedefine/>
    <w:qFormat/>
    <w:uiPriority w:val="0"/>
    <w:pPr>
      <w:tabs>
        <w:tab w:val="left" w:pos="360"/>
      </w:tabs>
      <w:spacing w:line="360" w:lineRule="auto"/>
      <w:ind w:firstLine="420" w:firstLineChars="200"/>
      <w:jc w:val="left"/>
    </w:pPr>
    <w:rPr>
      <w:rFonts w:ascii="Times New Roman" w:hAnsi="Times New Roman" w:eastAsia="宋体" w:cs="Times New Roman"/>
      <w:sz w:val="24"/>
      <w:szCs w:val="24"/>
    </w:rPr>
  </w:style>
  <w:style w:type="paragraph" w:customStyle="1" w:styleId="137">
    <w:name w:val="Char Char3 Char Char Char Char"/>
    <w:basedOn w:val="1"/>
    <w:autoRedefine/>
    <w:qFormat/>
    <w:uiPriority w:val="0"/>
    <w:pPr>
      <w:widowControl/>
      <w:spacing w:after="160" w:line="240" w:lineRule="exact"/>
      <w:ind w:firstLine="420" w:firstLineChars="200"/>
      <w:jc w:val="left"/>
    </w:pPr>
    <w:rPr>
      <w:rFonts w:ascii="Verdana" w:hAnsi="Verdana" w:eastAsia="宋体" w:cs="Times New Roman"/>
      <w:kern w:val="0"/>
      <w:sz w:val="20"/>
      <w:szCs w:val="20"/>
      <w:lang w:eastAsia="en-US"/>
    </w:rPr>
  </w:style>
  <w:style w:type="paragraph" w:customStyle="1" w:styleId="138">
    <w:name w:val="Char Char Char Char"/>
    <w:basedOn w:val="17"/>
    <w:autoRedefine/>
    <w:qFormat/>
    <w:uiPriority w:val="0"/>
    <w:pPr>
      <w:widowControl/>
      <w:shd w:val="clear" w:color="auto" w:fill="000080"/>
      <w:ind w:firstLine="454"/>
    </w:pPr>
    <w:rPr>
      <w:rFonts w:ascii="Tahoma" w:hAnsi="Tahoma" w:cs="宋体"/>
      <w:kern w:val="0"/>
      <w:sz w:val="21"/>
      <w:szCs w:val="20"/>
    </w:rPr>
  </w:style>
  <w:style w:type="paragraph" w:customStyle="1" w:styleId="139">
    <w:name w:val="Indent Normal"/>
    <w:basedOn w:val="1"/>
    <w:autoRedefine/>
    <w:qFormat/>
    <w:uiPriority w:val="0"/>
    <w:pPr>
      <w:spacing w:line="360" w:lineRule="auto"/>
      <w:ind w:firstLine="150" w:firstLineChars="150"/>
      <w:jc w:val="left"/>
    </w:pPr>
    <w:rPr>
      <w:rFonts w:ascii="Times New Roman" w:hAnsi="Times New Roman" w:eastAsia="宋体" w:cs="Times New Roman"/>
      <w:sz w:val="24"/>
      <w:szCs w:val="24"/>
    </w:rPr>
  </w:style>
  <w:style w:type="paragraph" w:customStyle="1" w:styleId="140">
    <w:name w:val="助手文本"/>
    <w:basedOn w:val="1"/>
    <w:autoRedefine/>
    <w:qFormat/>
    <w:uiPriority w:val="0"/>
    <w:pPr>
      <w:autoSpaceDE w:val="0"/>
      <w:autoSpaceDN w:val="0"/>
      <w:adjustRightInd w:val="0"/>
      <w:spacing w:beforeLines="50" w:afterLines="50" w:line="360" w:lineRule="auto"/>
      <w:ind w:left="14" w:firstLine="434" w:firstLineChars="200"/>
      <w:jc w:val="left"/>
      <w:textAlignment w:val="baseline"/>
    </w:pPr>
    <w:rPr>
      <w:rFonts w:ascii="楷体_GB2312" w:hAnsi="Times New Roman" w:eastAsia="楷体_GB2312" w:cs="Times New Roman"/>
      <w:kern w:val="0"/>
      <w:sz w:val="24"/>
      <w:szCs w:val="20"/>
      <w:u w:val="single"/>
    </w:rPr>
  </w:style>
  <w:style w:type="paragraph" w:customStyle="1" w:styleId="141">
    <w:name w:val="正文--表格内正文"/>
    <w:basedOn w:val="1"/>
    <w:autoRedefine/>
    <w:qFormat/>
    <w:uiPriority w:val="0"/>
    <w:pPr>
      <w:spacing w:beforeLines="50" w:line="0" w:lineRule="atLeast"/>
      <w:ind w:firstLine="420" w:firstLineChars="200"/>
      <w:jc w:val="center"/>
    </w:pPr>
    <w:rPr>
      <w:rFonts w:ascii="宋体" w:hAnsi="宋体" w:eastAsia="宋体" w:cs="Times New Roman"/>
      <w:sz w:val="24"/>
      <w:szCs w:val="24"/>
    </w:rPr>
  </w:style>
  <w:style w:type="paragraph" w:customStyle="1" w:styleId="142">
    <w:name w:val="Char Char1 Char Char Char Char Char Char"/>
    <w:basedOn w:val="1"/>
    <w:autoRedefine/>
    <w:qFormat/>
    <w:uiPriority w:val="0"/>
    <w:pPr>
      <w:widowControl/>
      <w:spacing w:after="160" w:line="240" w:lineRule="exact"/>
      <w:ind w:firstLine="420" w:firstLineChars="200"/>
      <w:jc w:val="left"/>
    </w:pPr>
    <w:rPr>
      <w:rFonts w:ascii="Verdana" w:hAnsi="Verdana" w:eastAsia="仿宋_GB2312" w:cs="Times New Roman"/>
      <w:kern w:val="0"/>
      <w:sz w:val="24"/>
      <w:szCs w:val="20"/>
      <w:lang w:eastAsia="en-US"/>
    </w:rPr>
  </w:style>
  <w:style w:type="paragraph" w:customStyle="1" w:styleId="143">
    <w:name w:val="样式4 Char"/>
    <w:basedOn w:val="1"/>
    <w:autoRedefine/>
    <w:qFormat/>
    <w:uiPriority w:val="0"/>
    <w:pPr>
      <w:widowControl/>
      <w:spacing w:line="360" w:lineRule="auto"/>
      <w:ind w:firstLine="480" w:firstLineChars="200"/>
      <w:jc w:val="left"/>
    </w:pPr>
    <w:rPr>
      <w:rFonts w:ascii="Times New Roman" w:hAnsi="Times New Roman" w:eastAsia="宋体" w:cs="Times New Roman"/>
      <w:color w:val="000000"/>
      <w:kern w:val="0"/>
      <w:sz w:val="24"/>
      <w:szCs w:val="24"/>
    </w:rPr>
  </w:style>
  <w:style w:type="paragraph" w:customStyle="1" w:styleId="144">
    <w:name w:val="paragraphindent"/>
    <w:basedOn w:val="1"/>
    <w:autoRedefine/>
    <w:qFormat/>
    <w:uiPriority w:val="0"/>
    <w:pPr>
      <w:widowControl/>
      <w:spacing w:before="100" w:beforeAutospacing="1" w:after="100" w:afterAutospacing="1" w:line="360" w:lineRule="auto"/>
      <w:ind w:firstLine="420" w:firstLineChars="200"/>
      <w:jc w:val="left"/>
    </w:pPr>
    <w:rPr>
      <w:rFonts w:ascii="宋体" w:hAnsi="宋体" w:eastAsia="宋体" w:cs="宋体"/>
      <w:kern w:val="0"/>
      <w:sz w:val="24"/>
      <w:szCs w:val="24"/>
    </w:rPr>
  </w:style>
  <w:style w:type="paragraph" w:customStyle="1" w:styleId="145">
    <w:name w:val="FA正文"/>
    <w:basedOn w:val="1"/>
    <w:link w:val="175"/>
    <w:autoRedefine/>
    <w:qFormat/>
    <w:uiPriority w:val="0"/>
    <w:pPr>
      <w:tabs>
        <w:tab w:val="left" w:pos="3375"/>
      </w:tabs>
      <w:spacing w:line="360" w:lineRule="auto"/>
      <w:ind w:firstLine="520" w:firstLineChars="200"/>
      <w:jc w:val="left"/>
    </w:pPr>
    <w:rPr>
      <w:rFonts w:ascii="宋体" w:hAnsi="宋体" w:eastAsia="宋体" w:cs="Times New Roman"/>
      <w:spacing w:val="10"/>
      <w:sz w:val="24"/>
      <w:szCs w:val="24"/>
    </w:rPr>
  </w:style>
  <w:style w:type="paragraph" w:customStyle="1" w:styleId="146">
    <w:name w:val="14_black"/>
    <w:basedOn w:val="1"/>
    <w:autoRedefine/>
    <w:qFormat/>
    <w:uiPriority w:val="0"/>
    <w:pPr>
      <w:widowControl/>
      <w:spacing w:before="100" w:beforeAutospacing="1" w:after="100" w:afterAutospacing="1" w:line="360" w:lineRule="auto"/>
      <w:ind w:firstLine="420" w:firstLineChars="200"/>
      <w:jc w:val="left"/>
    </w:pPr>
    <w:rPr>
      <w:rFonts w:ascii="宋体" w:hAnsi="宋体" w:eastAsia="宋体" w:cs="宋体"/>
      <w:color w:val="000000"/>
      <w:kern w:val="0"/>
      <w:sz w:val="23"/>
      <w:szCs w:val="23"/>
    </w:rPr>
  </w:style>
  <w:style w:type="paragraph" w:customStyle="1" w:styleId="147">
    <w:name w:val="È±Ê¡ÎÄ±¾"/>
    <w:basedOn w:val="1"/>
    <w:autoRedefine/>
    <w:qFormat/>
    <w:uiPriority w:val="0"/>
    <w:pPr>
      <w:widowControl/>
      <w:overflowPunct w:val="0"/>
      <w:autoSpaceDE w:val="0"/>
      <w:autoSpaceDN w:val="0"/>
      <w:adjustRightInd w:val="0"/>
      <w:spacing w:line="360" w:lineRule="auto"/>
      <w:ind w:firstLine="420" w:firstLineChars="200"/>
      <w:jc w:val="left"/>
      <w:textAlignment w:val="baseline"/>
    </w:pPr>
    <w:rPr>
      <w:rFonts w:ascii="Times New Roman" w:hAnsi="Times New Roman" w:eastAsia="宋体" w:cs="Times New Roman"/>
      <w:kern w:val="0"/>
      <w:sz w:val="24"/>
      <w:szCs w:val="20"/>
    </w:rPr>
  </w:style>
  <w:style w:type="paragraph" w:customStyle="1" w:styleId="148">
    <w:name w:val="样式2"/>
    <w:basedOn w:val="1"/>
    <w:link w:val="179"/>
    <w:autoRedefine/>
    <w:qFormat/>
    <w:uiPriority w:val="0"/>
    <w:pPr>
      <w:spacing w:before="120" w:after="120" w:line="360" w:lineRule="auto"/>
      <w:ind w:firstLine="420" w:firstLineChars="200"/>
      <w:jc w:val="left"/>
      <w:outlineLvl w:val="1"/>
    </w:pPr>
    <w:rPr>
      <w:rFonts w:ascii="Times New Roman" w:hAnsi="Times New Roman" w:eastAsia="宋体" w:cs="Times New Roman"/>
      <w:b/>
      <w:sz w:val="30"/>
      <w:szCs w:val="24"/>
    </w:rPr>
  </w:style>
  <w:style w:type="paragraph" w:customStyle="1" w:styleId="149">
    <w:name w:val="样式3"/>
    <w:basedOn w:val="31"/>
    <w:link w:val="180"/>
    <w:autoRedefine/>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50">
    <w:name w:val="样式4"/>
    <w:basedOn w:val="149"/>
    <w:link w:val="181"/>
    <w:autoRedefine/>
    <w:qFormat/>
    <w:uiPriority w:val="0"/>
  </w:style>
  <w:style w:type="paragraph" w:customStyle="1" w:styleId="151">
    <w:name w:val="样式5"/>
    <w:basedOn w:val="31"/>
    <w:link w:val="182"/>
    <w:autoRedefine/>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52">
    <w:name w:val="样式6"/>
    <w:basedOn w:val="31"/>
    <w:link w:val="183"/>
    <w:autoRedefine/>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53">
    <w:name w:val="样式7"/>
    <w:basedOn w:val="6"/>
    <w:link w:val="184"/>
    <w:autoRedefine/>
    <w:qFormat/>
    <w:uiPriority w:val="0"/>
    <w:pPr>
      <w:numPr>
        <w:ilvl w:val="2"/>
        <w:numId w:val="2"/>
      </w:numPr>
      <w:tabs>
        <w:tab w:val="left" w:pos="567"/>
      </w:tabs>
      <w:spacing w:before="120" w:after="120" w:line="360" w:lineRule="auto"/>
      <w:ind w:firstLine="420" w:firstLineChars="0"/>
    </w:pPr>
    <w:rPr>
      <w:rFonts w:ascii="Times New Roman" w:hAnsi="Times New Roman" w:eastAsia="宋体" w:cs="Times New Roman"/>
      <w:sz w:val="28"/>
      <w:szCs w:val="18"/>
    </w:rPr>
  </w:style>
  <w:style w:type="paragraph" w:customStyle="1" w:styleId="154">
    <w:name w:val="样式8"/>
    <w:basedOn w:val="30"/>
    <w:link w:val="185"/>
    <w:autoRedefine/>
    <w:qFormat/>
    <w:uiPriority w:val="0"/>
    <w:pPr>
      <w:spacing w:line="360" w:lineRule="auto"/>
      <w:ind w:firstLine="0" w:firstLineChars="0"/>
      <w:jc w:val="left"/>
    </w:pPr>
    <w:rPr>
      <w:rFonts w:ascii="Times New Roman" w:hAnsi="Times New Roman" w:eastAsia="宋体" w:cs="Times New Roman"/>
    </w:rPr>
  </w:style>
  <w:style w:type="paragraph" w:customStyle="1" w:styleId="155">
    <w:name w:val="样式9"/>
    <w:basedOn w:val="154"/>
    <w:link w:val="186"/>
    <w:autoRedefine/>
    <w:qFormat/>
    <w:uiPriority w:val="0"/>
    <w:pPr>
      <w:jc w:val="center"/>
    </w:pPr>
  </w:style>
  <w:style w:type="paragraph" w:customStyle="1" w:styleId="156">
    <w:name w:val="样式10"/>
    <w:basedOn w:val="155"/>
    <w:link w:val="187"/>
    <w:autoRedefine/>
    <w:qFormat/>
    <w:uiPriority w:val="0"/>
    <w:pPr>
      <w:pBdr>
        <w:top w:val="single" w:color="76923C" w:sz="24" w:space="1"/>
      </w:pBdr>
    </w:pPr>
  </w:style>
  <w:style w:type="paragraph" w:customStyle="1" w:styleId="157">
    <w:name w:val="样式11"/>
    <w:basedOn w:val="156"/>
    <w:link w:val="188"/>
    <w:autoRedefine/>
    <w:qFormat/>
    <w:uiPriority w:val="0"/>
    <w:pPr>
      <w:pBdr>
        <w:top w:val="none" w:color="auto" w:sz="0" w:space="0"/>
      </w:pBdr>
    </w:pPr>
  </w:style>
  <w:style w:type="paragraph" w:customStyle="1" w:styleId="158">
    <w:name w:val="样式12"/>
    <w:basedOn w:val="157"/>
    <w:link w:val="189"/>
    <w:autoRedefine/>
    <w:qFormat/>
    <w:uiPriority w:val="0"/>
  </w:style>
  <w:style w:type="paragraph" w:customStyle="1" w:styleId="159">
    <w:name w:val="样式13"/>
    <w:basedOn w:val="153"/>
    <w:link w:val="190"/>
    <w:autoRedefine/>
    <w:qFormat/>
    <w:uiPriority w:val="0"/>
  </w:style>
  <w:style w:type="paragraph" w:customStyle="1" w:styleId="160">
    <w:name w:val="1"/>
    <w:basedOn w:val="1"/>
    <w:link w:val="192"/>
    <w:autoRedefine/>
    <w:qFormat/>
    <w:uiPriority w:val="0"/>
    <w:pPr>
      <w:spacing w:line="360" w:lineRule="auto"/>
      <w:ind w:firstLine="0" w:firstLineChars="0"/>
      <w:jc w:val="left"/>
    </w:pPr>
    <w:rPr>
      <w:rFonts w:ascii="Times New Roman" w:hAnsi="Times New Roman" w:eastAsia="宋体" w:cs="Times New Roman"/>
      <w:szCs w:val="24"/>
    </w:rPr>
  </w:style>
  <w:style w:type="paragraph" w:customStyle="1" w:styleId="161">
    <w:name w:val="飞越型"/>
    <w:autoRedefine/>
    <w:qFormat/>
    <w:uiPriority w:val="0"/>
    <w:pPr>
      <w:spacing w:after="200" w:line="276" w:lineRule="auto"/>
    </w:pPr>
    <w:rPr>
      <w:rFonts w:ascii="Calibri" w:hAnsi="Calibri" w:eastAsia="宋体" w:cs="黑体"/>
      <w:sz w:val="22"/>
      <w:szCs w:val="22"/>
      <w:lang w:val="en-US" w:eastAsia="zh-CN" w:bidi="ar-SA"/>
    </w:rPr>
  </w:style>
  <w:style w:type="paragraph" w:customStyle="1" w:styleId="162">
    <w:name w:val="无间隔1"/>
    <w:autoRedefine/>
    <w:qFormat/>
    <w:uiPriority w:val="1"/>
    <w:pPr>
      <w:widowControl w:val="0"/>
      <w:ind w:firstLine="420" w:firstLineChars="200"/>
    </w:pPr>
    <w:rPr>
      <w:rFonts w:ascii="Times New Roman" w:hAnsi="Times New Roman" w:eastAsia="宋体" w:cs="Times New Roman"/>
      <w:kern w:val="2"/>
      <w:sz w:val="21"/>
      <w:szCs w:val="24"/>
      <w:lang w:val="en-US" w:eastAsia="zh-CN" w:bidi="ar-SA"/>
    </w:rPr>
  </w:style>
  <w:style w:type="character" w:customStyle="1" w:styleId="163">
    <w:name w:val="标题 5 Char"/>
    <w:link w:val="8"/>
    <w:autoRedefine/>
    <w:qFormat/>
    <w:uiPriority w:val="0"/>
    <w:rPr>
      <w:rFonts w:ascii="Times New Roman" w:hAnsi="Times New Roman" w:eastAsia="宋体" w:cs="Times New Roman"/>
      <w:b/>
      <w:bCs/>
      <w:sz w:val="28"/>
      <w:szCs w:val="28"/>
    </w:rPr>
  </w:style>
  <w:style w:type="character" w:customStyle="1" w:styleId="164">
    <w:name w:val="标题 6 Char"/>
    <w:link w:val="9"/>
    <w:autoRedefine/>
    <w:qFormat/>
    <w:uiPriority w:val="0"/>
    <w:rPr>
      <w:rFonts w:ascii="Times New Roman" w:hAnsi="Times New Roman" w:eastAsia="宋体" w:cs="Times New Roman"/>
      <w:sz w:val="30"/>
      <w:szCs w:val="18"/>
    </w:rPr>
  </w:style>
  <w:style w:type="character" w:customStyle="1" w:styleId="165">
    <w:name w:val="标题 Char"/>
    <w:link w:val="43"/>
    <w:autoRedefine/>
    <w:qFormat/>
    <w:uiPriority w:val="0"/>
    <w:rPr>
      <w:rFonts w:ascii="Arial" w:hAnsi="Arial" w:eastAsia="宋体" w:cs="Arial"/>
      <w:b/>
      <w:bCs/>
      <w:sz w:val="32"/>
      <w:szCs w:val="32"/>
    </w:rPr>
  </w:style>
  <w:style w:type="character" w:customStyle="1" w:styleId="166">
    <w:name w:val="标题 7 Char"/>
    <w:link w:val="10"/>
    <w:autoRedefine/>
    <w:qFormat/>
    <w:uiPriority w:val="0"/>
    <w:rPr>
      <w:rFonts w:ascii="Times New Roman" w:hAnsi="Times New Roman" w:eastAsia="宋体" w:cs="Times New Roman"/>
    </w:rPr>
  </w:style>
  <w:style w:type="character" w:customStyle="1" w:styleId="167">
    <w:name w:val="标题 8 Char"/>
    <w:link w:val="11"/>
    <w:autoRedefine/>
    <w:qFormat/>
    <w:uiPriority w:val="0"/>
    <w:rPr>
      <w:rFonts w:ascii="Times New Roman" w:hAnsi="Times New Roman" w:eastAsia="宋体" w:cs="Times New Roman"/>
    </w:rPr>
  </w:style>
  <w:style w:type="character" w:customStyle="1" w:styleId="168">
    <w:name w:val="标题 9 Char"/>
    <w:link w:val="12"/>
    <w:autoRedefine/>
    <w:qFormat/>
    <w:uiPriority w:val="0"/>
    <w:rPr>
      <w:rFonts w:ascii="Times New Roman" w:hAnsi="Times New Roman" w:eastAsia="宋体" w:cs="Times New Roman"/>
    </w:rPr>
  </w:style>
  <w:style w:type="character" w:customStyle="1" w:styleId="169">
    <w:name w:val="large1"/>
    <w:autoRedefine/>
    <w:qFormat/>
    <w:uiPriority w:val="0"/>
    <w:rPr>
      <w:rFonts w:hint="eastAsia" w:ascii="宋体" w:hAnsi="宋体" w:eastAsia="宋体" w:cs="Times New Roman"/>
      <w:sz w:val="22"/>
      <w:szCs w:val="22"/>
    </w:rPr>
  </w:style>
  <w:style w:type="character" w:customStyle="1" w:styleId="170">
    <w:name w:val="14_black1"/>
    <w:autoRedefine/>
    <w:qFormat/>
    <w:uiPriority w:val="0"/>
    <w:rPr>
      <w:rFonts w:ascii="Times New Roman" w:hAnsi="Times New Roman" w:eastAsia="宋体" w:cs="Times New Roman"/>
      <w:color w:val="000000"/>
      <w:sz w:val="23"/>
      <w:szCs w:val="23"/>
    </w:rPr>
  </w:style>
  <w:style w:type="character" w:customStyle="1" w:styleId="171">
    <w:name w:val="正文首行缩进 Char"/>
    <w:link w:val="2"/>
    <w:autoRedefine/>
    <w:qFormat/>
    <w:uiPriority w:val="0"/>
    <w:rPr>
      <w:rFonts w:ascii="Times New Roman" w:hAnsi="Times New Roman" w:eastAsia="宋体" w:cs="Times New Roman"/>
      <w:sz w:val="34"/>
    </w:rPr>
  </w:style>
  <w:style w:type="character" w:customStyle="1" w:styleId="172">
    <w:name w:val="f141"/>
    <w:autoRedefine/>
    <w:qFormat/>
    <w:uiPriority w:val="0"/>
    <w:rPr>
      <w:rFonts w:ascii="Times New Roman" w:hAnsi="Times New Roman" w:eastAsia="宋体" w:cs="Times New Roman"/>
      <w:sz w:val="21"/>
      <w:szCs w:val="21"/>
    </w:rPr>
  </w:style>
  <w:style w:type="character" w:customStyle="1" w:styleId="173">
    <w:name w:val="正文文本缩进 3 Char"/>
    <w:link w:val="37"/>
    <w:autoRedefine/>
    <w:qFormat/>
    <w:uiPriority w:val="0"/>
    <w:rPr>
      <w:rFonts w:ascii="Times New Roman" w:hAnsi="Times New Roman" w:eastAsia="宋体" w:cs="Times New Roman"/>
      <w:sz w:val="16"/>
      <w:szCs w:val="16"/>
    </w:rPr>
  </w:style>
  <w:style w:type="character" w:customStyle="1" w:styleId="174">
    <w:name w:val="文档结构图 Char"/>
    <w:link w:val="17"/>
    <w:autoRedefine/>
    <w:qFormat/>
    <w:uiPriority w:val="0"/>
    <w:rPr>
      <w:rFonts w:ascii="宋体" w:hAnsi="Times New Roman" w:eastAsia="宋体" w:cs="Times New Roman"/>
      <w:sz w:val="18"/>
      <w:szCs w:val="18"/>
    </w:rPr>
  </w:style>
  <w:style w:type="character" w:customStyle="1" w:styleId="175">
    <w:name w:val="FA正文 Char"/>
    <w:link w:val="145"/>
    <w:autoRedefine/>
    <w:qFormat/>
    <w:uiPriority w:val="0"/>
    <w:rPr>
      <w:rFonts w:ascii="宋体" w:hAnsi="宋体" w:eastAsia="宋体" w:cs="Times New Roman"/>
      <w:spacing w:val="10"/>
      <w:sz w:val="24"/>
    </w:rPr>
  </w:style>
  <w:style w:type="character" w:customStyle="1" w:styleId="176">
    <w:name w:val="正文文本 3 Char"/>
    <w:link w:val="19"/>
    <w:autoRedefine/>
    <w:qFormat/>
    <w:uiPriority w:val="0"/>
    <w:rPr>
      <w:rFonts w:ascii="Times New Roman" w:hAnsi="Times New Roman" w:eastAsia="宋体" w:cs="Times New Roman"/>
      <w:sz w:val="16"/>
      <w:szCs w:val="16"/>
    </w:rPr>
  </w:style>
  <w:style w:type="character" w:customStyle="1" w:styleId="177">
    <w:name w:val="Indent Normal Char"/>
    <w:autoRedefine/>
    <w:qFormat/>
    <w:uiPriority w:val="0"/>
    <w:rPr>
      <w:rFonts w:ascii="Times New Roman" w:hAnsi="Times New Roman" w:eastAsia="宋体" w:cs="Times New Roman"/>
      <w:kern w:val="2"/>
      <w:sz w:val="21"/>
      <w:szCs w:val="24"/>
      <w:lang w:val="en-US" w:eastAsia="zh-CN" w:bidi="ar-SA"/>
    </w:rPr>
  </w:style>
  <w:style w:type="character" w:customStyle="1" w:styleId="178">
    <w:name w:val="p11b1"/>
    <w:autoRedefine/>
    <w:qFormat/>
    <w:uiPriority w:val="0"/>
    <w:rPr>
      <w:rFonts w:ascii="Times New Roman" w:hAnsi="Times New Roman" w:eastAsia="宋体" w:cs="Times New Roman"/>
      <w:color w:val="000000"/>
      <w:spacing w:val="320"/>
      <w:sz w:val="20"/>
      <w:szCs w:val="20"/>
      <w:u w:val="none"/>
    </w:rPr>
  </w:style>
  <w:style w:type="character" w:customStyle="1" w:styleId="179">
    <w:name w:val="样式2 Char"/>
    <w:link w:val="148"/>
    <w:autoRedefine/>
    <w:qFormat/>
    <w:uiPriority w:val="0"/>
    <w:rPr>
      <w:rFonts w:ascii="Times New Roman" w:hAnsi="Times New Roman" w:eastAsia="宋体" w:cs="Times New Roman"/>
      <w:b/>
      <w:sz w:val="30"/>
    </w:rPr>
  </w:style>
  <w:style w:type="character" w:customStyle="1" w:styleId="180">
    <w:name w:val="样式3 Char"/>
    <w:link w:val="149"/>
    <w:autoRedefine/>
    <w:qFormat/>
    <w:uiPriority w:val="0"/>
    <w:rPr>
      <w:rFonts w:ascii="Times New Roman" w:hAnsi="Times New Roman" w:eastAsia="宋体" w:cs="Times New Roman"/>
    </w:rPr>
  </w:style>
  <w:style w:type="character" w:customStyle="1" w:styleId="181">
    <w:name w:val="样式4 Char1"/>
    <w:link w:val="150"/>
    <w:autoRedefine/>
    <w:qFormat/>
    <w:uiPriority w:val="0"/>
    <w:rPr>
      <w:rFonts w:ascii="Times New Roman" w:hAnsi="Times New Roman" w:eastAsia="宋体" w:cs="Times New Roman"/>
    </w:rPr>
  </w:style>
  <w:style w:type="character" w:customStyle="1" w:styleId="182">
    <w:name w:val="样式5 Char"/>
    <w:link w:val="151"/>
    <w:autoRedefine/>
    <w:qFormat/>
    <w:uiPriority w:val="0"/>
    <w:rPr>
      <w:rFonts w:ascii="Times New Roman" w:hAnsi="Times New Roman" w:eastAsia="宋体" w:cs="Times New Roman"/>
    </w:rPr>
  </w:style>
  <w:style w:type="character" w:customStyle="1" w:styleId="183">
    <w:name w:val="样式6 Char"/>
    <w:link w:val="152"/>
    <w:autoRedefine/>
    <w:qFormat/>
    <w:uiPriority w:val="0"/>
    <w:rPr>
      <w:rFonts w:ascii="Times New Roman" w:hAnsi="Times New Roman" w:eastAsia="宋体" w:cs="Times New Roman"/>
    </w:rPr>
  </w:style>
  <w:style w:type="character" w:customStyle="1" w:styleId="184">
    <w:name w:val="样式7 Char"/>
    <w:link w:val="153"/>
    <w:autoRedefine/>
    <w:qFormat/>
    <w:uiPriority w:val="0"/>
    <w:rPr>
      <w:rFonts w:ascii="Times New Roman" w:hAnsi="Times New Roman" w:eastAsia="宋体" w:cs="Times New Roman"/>
    </w:rPr>
  </w:style>
  <w:style w:type="character" w:customStyle="1" w:styleId="185">
    <w:name w:val="样式8 Char"/>
    <w:link w:val="154"/>
    <w:autoRedefine/>
    <w:qFormat/>
    <w:uiPriority w:val="0"/>
    <w:rPr>
      <w:rFonts w:ascii="Times New Roman" w:hAnsi="Times New Roman" w:eastAsia="宋体" w:cs="Times New Roman"/>
    </w:rPr>
  </w:style>
  <w:style w:type="character" w:customStyle="1" w:styleId="186">
    <w:name w:val="样式9 Char"/>
    <w:link w:val="155"/>
    <w:autoRedefine/>
    <w:qFormat/>
    <w:uiPriority w:val="0"/>
    <w:rPr>
      <w:rFonts w:ascii="Times New Roman" w:hAnsi="Times New Roman" w:eastAsia="宋体" w:cs="Times New Roman"/>
    </w:rPr>
  </w:style>
  <w:style w:type="character" w:customStyle="1" w:styleId="187">
    <w:name w:val="样式10 Char"/>
    <w:link w:val="156"/>
    <w:autoRedefine/>
    <w:qFormat/>
    <w:uiPriority w:val="0"/>
    <w:rPr>
      <w:rFonts w:ascii="Times New Roman" w:hAnsi="Times New Roman" w:eastAsia="宋体" w:cs="Times New Roman"/>
    </w:rPr>
  </w:style>
  <w:style w:type="character" w:customStyle="1" w:styleId="188">
    <w:name w:val="样式11 Char"/>
    <w:link w:val="157"/>
    <w:autoRedefine/>
    <w:qFormat/>
    <w:uiPriority w:val="0"/>
    <w:rPr>
      <w:rFonts w:ascii="Times New Roman" w:hAnsi="Times New Roman" w:eastAsia="宋体" w:cs="Times New Roman"/>
    </w:rPr>
  </w:style>
  <w:style w:type="character" w:customStyle="1" w:styleId="189">
    <w:name w:val="样式12 Char"/>
    <w:link w:val="158"/>
    <w:autoRedefine/>
    <w:qFormat/>
    <w:uiPriority w:val="0"/>
    <w:rPr>
      <w:rFonts w:ascii="Times New Roman" w:hAnsi="Times New Roman" w:eastAsia="宋体" w:cs="Times New Roman"/>
    </w:rPr>
  </w:style>
  <w:style w:type="character" w:customStyle="1" w:styleId="190">
    <w:name w:val="样式13 Char"/>
    <w:link w:val="159"/>
    <w:autoRedefine/>
    <w:qFormat/>
    <w:uiPriority w:val="0"/>
    <w:rPr>
      <w:rFonts w:ascii="Times New Roman" w:hAnsi="Times New Roman" w:eastAsia="宋体" w:cs="Times New Roman"/>
    </w:rPr>
  </w:style>
  <w:style w:type="character" w:customStyle="1" w:styleId="191">
    <w:name w:val="2 Char"/>
    <w:link w:val="71"/>
    <w:autoRedefine/>
    <w:qFormat/>
    <w:uiPriority w:val="0"/>
    <w:rPr>
      <w:rFonts w:ascii="Times New Roman" w:hAnsi="Times New Roman" w:eastAsia="宋体" w:cs="Times New Roman"/>
      <w:spacing w:val="4"/>
    </w:rPr>
  </w:style>
  <w:style w:type="character" w:customStyle="1" w:styleId="192">
    <w:name w:val="1 Char"/>
    <w:link w:val="160"/>
    <w:autoRedefine/>
    <w:qFormat/>
    <w:uiPriority w:val="0"/>
    <w:rPr>
      <w:rFonts w:ascii="Times New Roman" w:hAnsi="Times New Roman" w:eastAsia="宋体" w:cs="Times New Roman"/>
    </w:rPr>
  </w:style>
  <w:style w:type="character" w:customStyle="1" w:styleId="193">
    <w:name w:val="样式1 Char"/>
    <w:link w:val="67"/>
    <w:autoRedefine/>
    <w:qFormat/>
    <w:uiPriority w:val="0"/>
    <w:rPr>
      <w:rFonts w:ascii="Times New Roman" w:hAnsi="Times New Roman" w:eastAsia="宋体" w:cs="Times New Roman"/>
      <w:sz w:val="24"/>
    </w:rPr>
  </w:style>
  <w:style w:type="paragraph" w:styleId="194">
    <w:name w:val="No Spacing"/>
    <w:autoRedefine/>
    <w:qFormat/>
    <w:uiPriority w:val="1"/>
    <w:pPr>
      <w:widowControl w:val="0"/>
      <w:spacing w:line="360" w:lineRule="auto"/>
    </w:pPr>
    <w:rPr>
      <w:rFonts w:ascii="Times New Roman" w:hAnsi="Times New Roman" w:eastAsia="宋体" w:cs="Times New Roman"/>
      <w:kern w:val="2"/>
      <w:sz w:val="21"/>
      <w:szCs w:val="24"/>
      <w:lang w:val="en-US" w:eastAsia="zh-CN" w:bidi="ar-SA"/>
    </w:rPr>
  </w:style>
  <w:style w:type="character" w:customStyle="1" w:styleId="195">
    <w:name w:val="layui-layer-tabnow"/>
    <w:basedOn w:val="47"/>
    <w:autoRedefine/>
    <w:qFormat/>
    <w:uiPriority w:val="0"/>
    <w:rPr>
      <w:bdr w:val="single" w:color="CCCCCC" w:sz="6" w:space="0"/>
      <w:shd w:val="clear" w:fill="FFFFFF"/>
    </w:rPr>
  </w:style>
  <w:style w:type="character" w:customStyle="1" w:styleId="196">
    <w:name w:val="first-child"/>
    <w:basedOn w:val="47"/>
    <w:autoRedefine/>
    <w:qFormat/>
    <w:uiPriority w:val="0"/>
  </w:style>
  <w:style w:type="paragraph" w:customStyle="1" w:styleId="197">
    <w:name w:val="p0"/>
    <w:basedOn w:val="1"/>
    <w:autoRedefine/>
    <w:qFormat/>
    <w:uiPriority w:val="0"/>
    <w:pPr>
      <w:widowControl/>
    </w:pPr>
    <w:rPr>
      <w:rFonts w:ascii="Times New Roman" w:hAnsi="Times New Roman"/>
      <w:kern w:val="0"/>
      <w:szCs w:val="21"/>
    </w:rPr>
  </w:style>
  <w:style w:type="paragraph" w:customStyle="1" w:styleId="198">
    <w:name w:val="标题 2 Char1"/>
    <w:basedOn w:val="1"/>
    <w:autoRedefine/>
    <w:qFormat/>
    <w:uiPriority w:val="0"/>
  </w:style>
  <w:style w:type="paragraph" w:customStyle="1" w:styleId="199">
    <w:name w:val="Table Text"/>
    <w:basedOn w:val="1"/>
    <w:autoRedefine/>
    <w:semiHidden/>
    <w:qFormat/>
    <w:uiPriority w:val="0"/>
    <w:rPr>
      <w:rFonts w:ascii="宋体" w:hAnsi="宋体" w:eastAsia="宋体" w:cs="宋体"/>
      <w:sz w:val="20"/>
      <w:szCs w:val="20"/>
      <w:lang w:val="en-US" w:eastAsia="en-US" w:bidi="ar-SA"/>
    </w:rPr>
  </w:style>
  <w:style w:type="paragraph" w:customStyle="1" w:styleId="200">
    <w:name w:val="正文空2格  1."/>
    <w:autoRedefine/>
    <w:qFormat/>
    <w:uiPriority w:val="0"/>
    <w:pPr>
      <w:keepNext w:val="0"/>
      <w:keepLines w:val="0"/>
      <w:widowControl w:val="0"/>
      <w:suppressLineNumbers w:val="0"/>
      <w:adjustRightInd w:val="0"/>
      <w:spacing w:before="0" w:beforeAutospacing="0" w:after="0" w:afterAutospacing="0" w:line="360" w:lineRule="auto"/>
      <w:ind w:left="0" w:right="0" w:firstLine="480" w:firstLineChars="200"/>
      <w:jc w:val="both"/>
    </w:pPr>
    <w:rPr>
      <w:rFonts w:hint="eastAsia" w:ascii="宋体" w:hAnsi="Times New Roman" w:eastAsia="仿宋" w:cs="宋体"/>
      <w:kern w:val="0"/>
      <w:sz w:val="28"/>
      <w:szCs w:val="20"/>
      <w:lang w:val="en-US" w:eastAsia="zh-CN" w:bidi="ar-SA"/>
    </w:rPr>
  </w:style>
  <w:style w:type="paragraph" w:customStyle="1" w:styleId="201">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2">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203">
    <w:name w:val="Table Normal"/>
    <w:autoRedefine/>
    <w:semiHidden/>
    <w:unhideWhenUsed/>
    <w:qFormat/>
    <w:uiPriority w:val="0"/>
    <w:tblPr>
      <w:tblCellMar>
        <w:top w:w="0" w:type="dxa"/>
        <w:left w:w="0" w:type="dxa"/>
        <w:bottom w:w="0" w:type="dxa"/>
        <w:right w:w="0" w:type="dxa"/>
      </w:tblCellMar>
    </w:tblPr>
  </w:style>
  <w:style w:type="character" w:customStyle="1" w:styleId="204">
    <w:name w:val="font31"/>
    <w:basedOn w:val="47"/>
    <w:autoRedefine/>
    <w:qFormat/>
    <w:uiPriority w:val="0"/>
    <w:rPr>
      <w:rFonts w:hint="eastAsia" w:ascii="宋体" w:hAnsi="宋体" w:eastAsia="宋体" w:cs="宋体"/>
      <w:color w:val="000000"/>
      <w:sz w:val="20"/>
      <w:szCs w:val="20"/>
      <w:u w:val="none"/>
    </w:rPr>
  </w:style>
  <w:style w:type="paragraph" w:customStyle="1" w:styleId="205">
    <w:name w:val="正文 New"/>
    <w:qFormat/>
    <w:uiPriority w:val="99"/>
    <w:pPr>
      <w:widowControl w:val="0"/>
      <w:jc w:val="both"/>
    </w:pPr>
    <w:rPr>
      <w:rFonts w:ascii="Calibri" w:hAnsi="Calibri"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江苏国泰新点软件有限公司  0512-58188000</Company>
  <Pages>58</Pages>
  <Words>17624</Words>
  <Characters>18800</Characters>
  <Lines>36</Lines>
  <Paragraphs>10</Paragraphs>
  <TotalTime>1</TotalTime>
  <ScaleCrop>false</ScaleCrop>
  <LinksUpToDate>false</LinksUpToDate>
  <CharactersWithSpaces>19159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2014-05-09T02:07:00Z</dcterms:created>
  <dc:creator>黄晨;陆俊峰</dc:creator>
  <cp:lastModifiedBy>WPS_1528011989</cp:lastModifiedBy>
  <cp:lastPrinted>2024-11-28T06:34:00Z</cp:lastPrinted>
  <dcterms:modified xsi:type="dcterms:W3CDTF">2024-11-29T02:12:44Z</dcterms:modified>
  <dc:title>操作手册</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AD297D848AF042FD8A95E9989EF4C5FC_13</vt:lpwstr>
  </property>
</Properties>
</file>