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val="0"/>
        <w:overflowPunct/>
        <w:topLinePunct w:val="0"/>
        <w:autoSpaceDE/>
        <w:autoSpaceDN/>
        <w:bidi w:val="0"/>
        <w:adjustRightInd/>
        <w:snapToGrid/>
        <w:spacing w:line="360" w:lineRule="auto"/>
        <w:ind w:firstLine="7379" w:firstLineChars="4900"/>
        <w:jc w:val="both"/>
        <w:textAlignment w:val="auto"/>
        <w:rPr>
          <w:rFonts w:hint="eastAsia" w:ascii="宋体" w:hAnsi="宋体" w:eastAsia="宋体" w:cs="宋体"/>
          <w:b/>
          <w:color w:val="auto"/>
          <w:sz w:val="15"/>
          <w:szCs w:val="15"/>
          <w:highlight w:val="none"/>
          <w:bdr w:val="single" w:color="auto" w:sz="4" w:space="0"/>
          <w:shd w:val="pct10" w:color="auto" w:fill="FFFFFF"/>
          <w:lang w:val="en-US" w:eastAsia="zh-CN"/>
        </w:rPr>
      </w:pPr>
    </w:p>
    <w:p>
      <w:pPr>
        <w:keepNext w:val="0"/>
        <w:keepLines w:val="0"/>
        <w:pageBreakBefore w:val="0"/>
        <w:widowControl w:val="0"/>
        <w:shd w:val="clear"/>
        <w:kinsoku/>
        <w:wordWrap w:val="0"/>
        <w:overflowPunct/>
        <w:topLinePunct w:val="0"/>
        <w:autoSpaceDE/>
        <w:autoSpaceDN/>
        <w:bidi w:val="0"/>
        <w:adjustRightInd/>
        <w:snapToGrid/>
        <w:spacing w:line="360" w:lineRule="auto"/>
        <w:ind w:firstLine="7379" w:firstLineChars="4900"/>
        <w:jc w:val="both"/>
        <w:textAlignment w:val="auto"/>
        <w:rPr>
          <w:rFonts w:hint="eastAsia" w:ascii="宋体" w:hAnsi="宋体" w:eastAsia="宋体" w:cs="宋体"/>
          <w:b/>
          <w:color w:val="auto"/>
          <w:sz w:val="15"/>
          <w:szCs w:val="15"/>
          <w:highlight w:val="none"/>
          <w:bdr w:val="single" w:color="auto" w:sz="4" w:space="0"/>
          <w:shd w:val="pct10" w:color="auto" w:fill="FFFFFF"/>
        </w:rPr>
      </w:pPr>
    </w:p>
    <w:p>
      <w:pPr>
        <w:keepNext w:val="0"/>
        <w:keepLines w:val="0"/>
        <w:pageBreakBefore w:val="0"/>
        <w:widowControl w:val="0"/>
        <w:shd w:val="clear"/>
        <w:kinsoku/>
        <w:wordWrap w:val="0"/>
        <w:overflowPunct/>
        <w:topLinePunct w:val="0"/>
        <w:autoSpaceDE/>
        <w:autoSpaceDN/>
        <w:bidi w:val="0"/>
        <w:adjustRightInd/>
        <w:snapToGrid/>
        <w:spacing w:line="360" w:lineRule="auto"/>
        <w:ind w:firstLine="6927" w:firstLineChars="4600"/>
        <w:jc w:val="both"/>
        <w:textAlignment w:val="auto"/>
        <w:rPr>
          <w:rFonts w:hint="eastAsia" w:ascii="宋体" w:hAnsi="宋体" w:eastAsia="宋体" w:cs="宋体"/>
          <w:b/>
          <w:sz w:val="36"/>
          <w:szCs w:val="36"/>
          <w:highlight w:val="none"/>
          <w:bdr w:val="single" w:color="auto" w:sz="4" w:space="0"/>
          <w:shd w:val="pct10" w:color="auto" w:fill="FFFFFF"/>
        </w:rPr>
      </w:pPr>
      <w:r>
        <w:rPr>
          <w:rFonts w:hint="eastAsia" w:ascii="宋体" w:hAnsi="宋体" w:eastAsia="宋体" w:cs="宋体"/>
          <w:b/>
          <w:color w:val="auto"/>
          <w:sz w:val="15"/>
          <w:szCs w:val="15"/>
          <w:highlight w:val="none"/>
          <w:bdr w:val="single" w:color="auto" w:sz="4" w:space="0"/>
          <w:shd w:val="pct10" w:color="auto" w:fill="FFFFFF"/>
        </w:rPr>
        <w:t xml:space="preserve"> </w:t>
      </w:r>
      <w:r>
        <w:rPr>
          <w:rFonts w:hint="eastAsia" w:ascii="宋体" w:hAnsi="宋体" w:eastAsia="宋体" w:cs="宋体"/>
          <w:b/>
          <w:color w:val="auto"/>
          <w:sz w:val="36"/>
          <w:szCs w:val="36"/>
          <w:highlight w:val="none"/>
          <w:bdr w:val="single" w:color="auto" w:sz="4" w:space="0"/>
          <w:shd w:val="pct10" w:color="auto" w:fill="FFFFFF"/>
        </w:rPr>
        <w:t>政府采购项目</w:t>
      </w:r>
    </w:p>
    <w:p>
      <w:pPr>
        <w:pStyle w:val="4"/>
        <w:pageBreakBefore w:val="0"/>
        <w:wordWrap/>
        <w:overflowPunct/>
        <w:topLinePunct w:val="0"/>
        <w:bidi w:val="0"/>
        <w:spacing w:line="560" w:lineRule="exact"/>
        <w:outlineLvl w:val="9"/>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kern w:val="2"/>
          <w:sz w:val="36"/>
          <w:szCs w:val="36"/>
          <w:highlight w:val="none"/>
          <w:lang w:val="en-US" w:eastAsia="zh-CN"/>
        </w:rPr>
      </w:pPr>
      <w:r>
        <w:rPr>
          <w:rFonts w:hint="eastAsia" w:ascii="宋体" w:hAnsi="宋体" w:eastAsia="宋体" w:cs="宋体"/>
          <w:b/>
          <w:kern w:val="2"/>
          <w:sz w:val="36"/>
          <w:szCs w:val="36"/>
          <w:highlight w:val="none"/>
          <w:lang w:eastAsia="zh-CN"/>
        </w:rPr>
        <w:t>项目编号:</w:t>
      </w:r>
      <w:r>
        <w:rPr>
          <w:rFonts w:hint="eastAsia" w:ascii="宋体" w:hAnsi="宋体" w:cs="宋体"/>
          <w:b/>
          <w:kern w:val="2"/>
          <w:sz w:val="36"/>
          <w:szCs w:val="36"/>
          <w:highlight w:val="none"/>
          <w:lang w:val="en-US" w:eastAsia="zh-CN"/>
        </w:rPr>
        <w:t xml:space="preserve"> </w:t>
      </w:r>
      <w:r>
        <w:rPr>
          <w:rFonts w:hint="eastAsia" w:ascii="宋体" w:hAnsi="宋体" w:eastAsia="宋体" w:cs="宋体"/>
          <w:b/>
          <w:kern w:val="2"/>
          <w:sz w:val="36"/>
          <w:szCs w:val="36"/>
          <w:highlight w:val="none"/>
          <w:lang w:val="en-US" w:eastAsia="zh-CN"/>
        </w:rPr>
        <w:t>ZBZB-2024-2400</w:t>
      </w:r>
    </w:p>
    <w:p>
      <w:pPr>
        <w:pageBreakBefore w:val="0"/>
        <w:wordWrap/>
        <w:overflowPunct/>
        <w:topLinePunct w:val="0"/>
        <w:bidi w:val="0"/>
        <w:spacing w:line="560" w:lineRule="exact"/>
        <w:ind w:left="1807" w:hanging="1807" w:hangingChars="500"/>
        <w:jc w:val="left"/>
        <w:rPr>
          <w:rFonts w:hint="eastAsia" w:ascii="宋体" w:hAnsi="宋体" w:eastAsia="宋体" w:cs="宋体"/>
          <w:b/>
          <w:kern w:val="2"/>
          <w:sz w:val="36"/>
          <w:szCs w:val="36"/>
          <w:highlight w:val="none"/>
          <w:lang w:eastAsia="zh-CN"/>
        </w:rPr>
      </w:pPr>
      <w:r>
        <w:rPr>
          <w:rFonts w:hint="eastAsia" w:ascii="宋体" w:hAnsi="宋体" w:eastAsia="宋体" w:cs="宋体"/>
          <w:b/>
          <w:kern w:val="2"/>
          <w:sz w:val="36"/>
          <w:szCs w:val="36"/>
          <w:highlight w:val="none"/>
          <w:lang w:eastAsia="zh-CN"/>
        </w:rPr>
        <w:t>项目名称：</w:t>
      </w:r>
      <w:r>
        <w:rPr>
          <w:rFonts w:hint="eastAsia" w:ascii="宋体" w:hAnsi="宋体" w:eastAsia="宋体" w:cs="宋体"/>
          <w:b/>
          <w:kern w:val="2"/>
          <w:sz w:val="36"/>
          <w:szCs w:val="36"/>
          <w:highlight w:val="none"/>
          <w:lang w:val="en-US" w:eastAsia="zh-CN"/>
        </w:rPr>
        <w:t>岚皋县医院2024年苏陕协作“组团式”帮扶介入导管室建设项目（导管室装饰装修）</w:t>
      </w:r>
    </w:p>
    <w:p>
      <w:pPr>
        <w:pageBreakBefore w:val="0"/>
        <w:wordWrap/>
        <w:overflowPunct/>
        <w:topLinePunct w:val="0"/>
        <w:bidi w:val="0"/>
        <w:spacing w:line="560" w:lineRule="exact"/>
        <w:jc w:val="center"/>
        <w:rPr>
          <w:rFonts w:hint="eastAsia" w:ascii="宋体" w:hAnsi="宋体" w:cs="宋体"/>
          <w:b/>
          <w:color w:val="auto"/>
          <w:sz w:val="56"/>
          <w:szCs w:val="56"/>
          <w:highlight w:val="none"/>
          <w:lang w:eastAsia="zh-CN"/>
        </w:rPr>
      </w:pPr>
    </w:p>
    <w:p>
      <w:pPr>
        <w:pageBreakBefore w:val="0"/>
        <w:kinsoku/>
        <w:wordWrap/>
        <w:overflowPunct/>
        <w:topLinePunct w:val="0"/>
        <w:bidi w:val="0"/>
        <w:spacing w:line="360" w:lineRule="auto"/>
        <w:jc w:val="center"/>
        <w:textAlignment w:val="auto"/>
        <w:rPr>
          <w:rFonts w:hint="eastAsia" w:ascii="宋体" w:hAnsi="宋体" w:eastAsia="宋体" w:cs="宋体"/>
          <w:b/>
          <w:bCs/>
          <w:spacing w:val="21"/>
          <w:sz w:val="84"/>
          <w:szCs w:val="84"/>
          <w:highlight w:val="none"/>
        </w:rPr>
      </w:pPr>
    </w:p>
    <w:p>
      <w:pPr>
        <w:bidi w:val="0"/>
        <w:jc w:val="center"/>
        <w:rPr>
          <w:rFonts w:hint="eastAsia"/>
          <w:sz w:val="84"/>
          <w:szCs w:val="84"/>
        </w:rPr>
      </w:pPr>
      <w:bookmarkStart w:id="0" w:name="_Toc11375"/>
      <w:r>
        <w:rPr>
          <w:rFonts w:hint="eastAsia"/>
          <w:sz w:val="84"/>
          <w:szCs w:val="84"/>
        </w:rPr>
        <w:t>竞争性磋商文件</w:t>
      </w:r>
      <w:bookmarkEnd w:id="0"/>
    </w:p>
    <w:p>
      <w:pPr>
        <w:bidi w:val="0"/>
        <w:rPr>
          <w:rFonts w:hint="eastAsia" w:ascii="宋体" w:hAnsi="宋体" w:eastAsia="宋体" w:cs="宋体"/>
        </w:rPr>
      </w:pPr>
    </w:p>
    <w:p>
      <w:pPr>
        <w:pStyle w:val="4"/>
        <w:outlineLvl w:val="9"/>
        <w:rPr>
          <w:rFonts w:hint="eastAsia" w:ascii="宋体" w:hAnsi="宋体" w:eastAsia="宋体" w:cs="宋体"/>
          <w:sz w:val="40"/>
          <w:szCs w:val="40"/>
        </w:rPr>
      </w:pPr>
    </w:p>
    <w:p>
      <w:pPr>
        <w:pageBreakBefore w:val="0"/>
        <w:kinsoku/>
        <w:wordWrap/>
        <w:overflowPunct/>
        <w:topLinePunct w:val="0"/>
        <w:bidi w:val="0"/>
        <w:spacing w:line="360" w:lineRule="auto"/>
        <w:textAlignment w:val="auto"/>
        <w:rPr>
          <w:rFonts w:hint="eastAsia" w:ascii="宋体" w:hAnsi="宋体" w:eastAsia="宋体" w:cs="宋体"/>
          <w:highlight w:val="none"/>
        </w:rPr>
      </w:pPr>
    </w:p>
    <w:p>
      <w:pPr>
        <w:pageBreakBefore w:val="0"/>
        <w:kinsoku/>
        <w:wordWrap/>
        <w:overflowPunct/>
        <w:topLinePunct w:val="0"/>
        <w:bidi w:val="0"/>
        <w:spacing w:line="360" w:lineRule="auto"/>
        <w:ind w:firstLine="2530"/>
        <w:textAlignment w:val="auto"/>
        <w:rPr>
          <w:rFonts w:hint="eastAsia" w:ascii="宋体" w:hAnsi="宋体" w:eastAsia="宋体" w:cs="宋体"/>
          <w:b/>
          <w:sz w:val="36"/>
          <w:szCs w:val="36"/>
          <w:highlight w:val="none"/>
        </w:rPr>
      </w:pPr>
    </w:p>
    <w:p>
      <w:pPr>
        <w:pageBreakBefore w:val="0"/>
        <w:kinsoku/>
        <w:wordWrap/>
        <w:overflowPunct/>
        <w:topLinePunct w:val="0"/>
        <w:bidi w:val="0"/>
        <w:spacing w:line="360" w:lineRule="auto"/>
        <w:ind w:firstLine="2530"/>
        <w:textAlignment w:val="auto"/>
        <w:rPr>
          <w:rFonts w:hint="eastAsia" w:ascii="宋体" w:hAnsi="宋体" w:eastAsia="宋体" w:cs="宋体"/>
          <w:b/>
          <w:sz w:val="36"/>
          <w:szCs w:val="36"/>
          <w:highlight w:val="none"/>
        </w:rPr>
      </w:pPr>
    </w:p>
    <w:p>
      <w:pPr>
        <w:pStyle w:val="45"/>
        <w:rPr>
          <w:rFonts w:hint="eastAsia" w:ascii="宋体" w:hAnsi="宋体" w:eastAsia="宋体" w:cs="宋体"/>
          <w:highlight w:val="none"/>
        </w:rPr>
      </w:pPr>
    </w:p>
    <w:p>
      <w:pPr>
        <w:keepNext w:val="0"/>
        <w:keepLines w:val="0"/>
        <w:pageBreakBefore w:val="0"/>
        <w:widowControl w:val="0"/>
        <w:tabs>
          <w:tab w:val="left" w:pos="7602"/>
        </w:tabs>
        <w:kinsoku/>
        <w:wordWrap/>
        <w:overflowPunct/>
        <w:topLinePunct w:val="0"/>
        <w:autoSpaceDE/>
        <w:autoSpaceDN/>
        <w:bidi w:val="0"/>
        <w:adjustRightInd/>
        <w:snapToGrid/>
        <w:spacing w:line="360" w:lineRule="auto"/>
        <w:ind w:left="4445" w:leftChars="640" w:hanging="2653" w:hangingChars="734"/>
        <w:jc w:val="both"/>
        <w:textAlignment w:val="auto"/>
        <w:rPr>
          <w:rFonts w:hint="eastAsia" w:ascii="宋体" w:hAnsi="宋体" w:eastAsia="宋体" w:cs="宋体"/>
          <w:b/>
          <w:sz w:val="36"/>
          <w:szCs w:val="36"/>
          <w:highlight w:val="none"/>
          <w:lang w:val="en-US" w:eastAsia="zh-CN"/>
        </w:rPr>
      </w:pPr>
      <w:bookmarkStart w:id="1" w:name="_Toc5716"/>
      <w:r>
        <w:rPr>
          <w:rFonts w:hint="eastAsia" w:ascii="宋体" w:hAnsi="宋体" w:eastAsia="宋体" w:cs="宋体"/>
          <w:b/>
          <w:sz w:val="36"/>
          <w:szCs w:val="36"/>
          <w:highlight w:val="none"/>
          <w:lang w:val="en-US" w:eastAsia="zh-CN"/>
        </w:rPr>
        <w:t>采   购  人：</w:t>
      </w:r>
      <w:bookmarkEnd w:id="1"/>
      <w:r>
        <w:rPr>
          <w:rFonts w:hint="eastAsia" w:ascii="宋体" w:hAnsi="宋体" w:eastAsia="宋体" w:cs="宋体"/>
          <w:b/>
          <w:sz w:val="36"/>
          <w:szCs w:val="36"/>
          <w:highlight w:val="none"/>
          <w:lang w:val="en-US" w:eastAsia="zh-CN"/>
        </w:rPr>
        <w:t>岚皋县医院</w:t>
      </w:r>
      <w:r>
        <w:rPr>
          <w:rFonts w:hint="eastAsia" w:ascii="宋体" w:hAnsi="宋体" w:cs="宋体"/>
          <w:b/>
          <w:sz w:val="36"/>
          <w:szCs w:val="36"/>
          <w:highlight w:val="none"/>
          <w:lang w:val="en-US" w:eastAsia="zh-CN"/>
        </w:rPr>
        <w:tab/>
      </w:r>
    </w:p>
    <w:p>
      <w:pPr>
        <w:keepNext w:val="0"/>
        <w:keepLines w:val="0"/>
        <w:pageBreakBefore w:val="0"/>
        <w:widowControl w:val="0"/>
        <w:kinsoku/>
        <w:wordWrap/>
        <w:overflowPunct/>
        <w:topLinePunct w:val="0"/>
        <w:autoSpaceDE/>
        <w:autoSpaceDN/>
        <w:bidi w:val="0"/>
        <w:adjustRightInd/>
        <w:snapToGrid/>
        <w:spacing w:line="360" w:lineRule="auto"/>
        <w:ind w:left="0" w:leftChars="0" w:firstLine="1684" w:firstLineChars="466"/>
        <w:jc w:val="both"/>
        <w:textAlignment w:val="auto"/>
        <w:rPr>
          <w:rFonts w:hint="eastAsia" w:ascii="宋体" w:hAnsi="宋体" w:eastAsia="宋体" w:cs="宋体"/>
          <w:b/>
          <w:sz w:val="36"/>
          <w:szCs w:val="36"/>
          <w:highlight w:val="none"/>
          <w:lang w:val="en-US" w:eastAsia="zh-CN"/>
        </w:rPr>
      </w:pPr>
      <w:bookmarkStart w:id="2" w:name="_Toc16917"/>
      <w:r>
        <w:rPr>
          <w:rFonts w:hint="eastAsia" w:ascii="宋体" w:hAnsi="宋体" w:eastAsia="宋体" w:cs="宋体"/>
          <w:b/>
          <w:sz w:val="36"/>
          <w:szCs w:val="36"/>
          <w:highlight w:val="none"/>
          <w:lang w:val="en-US" w:eastAsia="zh-CN"/>
        </w:rPr>
        <w:t>采购代理机构：</w:t>
      </w:r>
      <w:bookmarkEnd w:id="2"/>
      <w:r>
        <w:rPr>
          <w:rFonts w:hint="eastAsia" w:ascii="宋体" w:hAnsi="宋体" w:eastAsia="宋体" w:cs="宋体"/>
          <w:b/>
          <w:sz w:val="36"/>
          <w:szCs w:val="36"/>
          <w:highlight w:val="none"/>
          <w:lang w:val="en-US" w:eastAsia="zh-CN"/>
        </w:rPr>
        <w:t>陕西正邦招标有限责任公司</w:t>
      </w:r>
    </w:p>
    <w:p>
      <w:pPr>
        <w:keepNext w:val="0"/>
        <w:keepLines w:val="0"/>
        <w:pageBreakBefore w:val="0"/>
        <w:widowControl w:val="0"/>
        <w:kinsoku/>
        <w:wordWrap/>
        <w:overflowPunct/>
        <w:topLinePunct w:val="0"/>
        <w:autoSpaceDE/>
        <w:autoSpaceDN/>
        <w:bidi w:val="0"/>
        <w:adjustRightInd/>
        <w:snapToGrid/>
        <w:spacing w:line="360" w:lineRule="auto"/>
        <w:ind w:left="0" w:leftChars="0" w:firstLine="1684" w:firstLineChars="466"/>
        <w:jc w:val="both"/>
        <w:textAlignment w:val="auto"/>
        <w:rPr>
          <w:rFonts w:hint="eastAsia" w:ascii="宋体" w:hAnsi="宋体" w:eastAsia="宋体" w:cs="宋体"/>
          <w:highlight w:val="none"/>
        </w:rPr>
        <w:sectPr>
          <w:headerReference r:id="rId7" w:type="first"/>
          <w:headerReference r:id="rId5" w:type="default"/>
          <w:footerReference r:id="rId8" w:type="default"/>
          <w:headerReference r:id="rId6" w:type="even"/>
          <w:footerReference r:id="rId9" w:type="even"/>
          <w:endnotePr>
            <w:numFmt w:val="decimal"/>
          </w:endnotePr>
          <w:pgSz w:w="11907" w:h="16840"/>
          <w:pgMar w:top="1440" w:right="1080" w:bottom="1440" w:left="1080" w:header="907" w:footer="654" w:gutter="0"/>
          <w:pgNumType w:fmt="decimal" w:start="1"/>
          <w:cols w:space="720" w:num="1"/>
          <w:titlePg/>
          <w:docGrid w:linePitch="286" w:charSpace="0"/>
        </w:sectPr>
      </w:pPr>
      <w:r>
        <w:rPr>
          <w:rFonts w:hint="eastAsia" w:ascii="宋体" w:hAnsi="宋体" w:eastAsia="宋体" w:cs="宋体"/>
          <w:b/>
          <w:sz w:val="36"/>
          <w:szCs w:val="36"/>
          <w:highlight w:val="none"/>
          <w:lang w:val="en-US" w:eastAsia="zh-CN"/>
        </w:rPr>
        <w:t>时        间：</w:t>
      </w:r>
      <w:r>
        <w:rPr>
          <w:rFonts w:hint="eastAsia" w:ascii="宋体" w:hAnsi="宋体" w:cs="宋体"/>
          <w:b/>
          <w:sz w:val="36"/>
          <w:szCs w:val="36"/>
          <w:highlight w:val="none"/>
          <w:lang w:val="en-US" w:eastAsia="zh-CN"/>
        </w:rPr>
        <w:t>二零二四年六月</w:t>
      </w:r>
    </w:p>
    <w:sdt>
      <w:sdtPr>
        <w:rPr>
          <w:rFonts w:hint="eastAsia" w:ascii="宋体" w:hAnsi="宋体" w:eastAsia="宋体" w:cs="宋体"/>
          <w:b/>
          <w:bCs/>
          <w:color w:val="000000"/>
          <w:sz w:val="36"/>
          <w:szCs w:val="36"/>
          <w:u w:val="none" w:color="000000"/>
          <w:lang w:val="en-US" w:eastAsia="zh-CN" w:bidi="ar-SA"/>
        </w:rPr>
        <w:id w:val="147474943"/>
        <w15:color w:val="DBDBDB"/>
        <w:docPartObj>
          <w:docPartGallery w:val="Table of Contents"/>
          <w:docPartUnique/>
        </w:docPartObj>
      </w:sdtPr>
      <w:sdtEndPr>
        <w:rPr>
          <w:rFonts w:hint="eastAsia" w:ascii="宋体" w:hAnsi="宋体" w:eastAsia="宋体" w:cs="宋体"/>
          <w:b/>
          <w:bCs/>
          <w:color w:val="000000"/>
          <w:sz w:val="28"/>
          <w:szCs w:val="28"/>
          <w:u w:val="none" w:color="000000"/>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b/>
              <w:bCs/>
              <w:sz w:val="36"/>
              <w:szCs w:val="36"/>
            </w:rPr>
          </w:pPr>
          <w:r>
            <w:rPr>
              <w:rFonts w:hint="eastAsia" w:ascii="宋体" w:hAnsi="宋体" w:eastAsia="宋体" w:cs="宋体"/>
              <w:b/>
              <w:bCs/>
              <w:sz w:val="36"/>
              <w:szCs w:val="36"/>
            </w:rPr>
            <w:t>目</w:t>
          </w:r>
          <w:r>
            <w:rPr>
              <w:rFonts w:hint="eastAsia" w:ascii="宋体" w:hAnsi="宋体" w:cs="宋体"/>
              <w:b/>
              <w:bCs/>
              <w:sz w:val="36"/>
              <w:szCs w:val="36"/>
              <w:lang w:val="en-US" w:eastAsia="zh-CN"/>
            </w:rPr>
            <w:t xml:space="preserve"> </w:t>
          </w:r>
          <w:r>
            <w:rPr>
              <w:rFonts w:hint="eastAsia" w:ascii="宋体" w:hAnsi="宋体" w:eastAsia="宋体" w:cs="宋体"/>
              <w:b/>
              <w:bCs/>
              <w:sz w:val="36"/>
              <w:szCs w:val="36"/>
            </w:rPr>
            <w:t>录</w:t>
          </w:r>
        </w:p>
        <w:p>
          <w:pPr>
            <w:pStyle w:val="55"/>
            <w:tabs>
              <w:tab w:val="left" w:pos="3546"/>
            </w:tabs>
            <w:rPr>
              <w:rFonts w:hint="eastAsia" w:ascii="宋体" w:hAnsi="宋体" w:eastAsia="宋体" w:cs="宋体"/>
              <w:sz w:val="28"/>
              <w:szCs w:val="28"/>
            </w:rPr>
          </w:pPr>
          <w:r>
            <w:rPr>
              <w:rFonts w:hint="eastAsia" w:ascii="宋体" w:hAnsi="宋体" w:cs="宋体"/>
              <w:sz w:val="28"/>
              <w:szCs w:val="28"/>
              <w:lang w:eastAsia="zh-CN"/>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"1-3" \h \u </w:instrText>
          </w:r>
          <w:r>
            <w:rPr>
              <w:rFonts w:hint="eastAsia" w:ascii="宋体" w:hAnsi="宋体" w:eastAsia="宋体" w:cs="宋体"/>
              <w:sz w:val="28"/>
              <w:szCs w:val="28"/>
            </w:rPr>
            <w:fldChar w:fldCharType="separate"/>
          </w:r>
        </w:p>
        <w:p>
          <w:pPr>
            <w:pStyle w:val="55"/>
            <w:tabs>
              <w:tab w:val="right" w:leader="dot" w:pos="974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_Toc19753 </w:instrText>
          </w:r>
          <w:r>
            <w:rPr>
              <w:rFonts w:hint="eastAsia" w:ascii="宋体" w:hAnsi="宋体" w:eastAsia="宋体" w:cs="宋体"/>
              <w:sz w:val="24"/>
              <w:szCs w:val="24"/>
            </w:rPr>
            <w:fldChar w:fldCharType="separate"/>
          </w:r>
          <w:r>
            <w:rPr>
              <w:rFonts w:hint="eastAsia" w:ascii="宋体" w:hAnsi="宋体" w:eastAsia="宋体" w:cs="宋体"/>
              <w:sz w:val="24"/>
              <w:szCs w:val="24"/>
              <w:highlight w:val="none"/>
            </w:rPr>
            <w:t>第一部分 竞争性磋商公告</w:t>
          </w:r>
          <w:r>
            <w:rPr>
              <w:rFonts w:hint="eastAsia" w:ascii="宋体" w:hAnsi="宋体" w:eastAsia="宋体" w:cs="宋体"/>
              <w:sz w:val="24"/>
              <w:szCs w:val="24"/>
            </w:rPr>
            <w:tab/>
          </w:r>
          <w:r>
            <w:rPr>
              <w:rFonts w:hint="eastAsia" w:ascii="宋体" w:hAnsi="宋体" w:cs="宋体"/>
              <w:sz w:val="24"/>
              <w:szCs w:val="24"/>
              <w:lang w:val="en-US" w:eastAsia="zh-CN"/>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_Toc19753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5"/>
            <w:tabs>
              <w:tab w:val="right" w:leader="dot" w:pos="974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_Toc9280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第二部分 供应商须知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_Toc9280 \h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5"/>
            <w:tabs>
              <w:tab w:val="right" w:leader="dot" w:pos="9746"/>
            </w:tabs>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_Toc1487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eastAsia="zh-CN"/>
            </w:rPr>
            <w:t xml:space="preserve">第三部分 </w:t>
          </w:r>
          <w:r>
            <w:rPr>
              <w:rFonts w:hint="eastAsia" w:ascii="宋体" w:hAnsi="宋体" w:cs="宋体"/>
              <w:sz w:val="24"/>
              <w:szCs w:val="24"/>
              <w:lang w:val="zh-CN" w:eastAsia="zh-CN"/>
            </w:rPr>
            <w:t>采购内容及要求</w:t>
          </w:r>
          <w:r>
            <w:rPr>
              <w:rFonts w:hint="eastAsia" w:ascii="宋体" w:hAnsi="宋体" w:eastAsia="宋体" w:cs="宋体"/>
              <w:sz w:val="24"/>
              <w:szCs w:val="24"/>
            </w:rPr>
            <w:tab/>
          </w:r>
          <w:r>
            <w:rPr>
              <w:rFonts w:hint="eastAsia" w:ascii="宋体" w:hAnsi="宋体" w:cs="宋体"/>
              <w:sz w:val="24"/>
              <w:szCs w:val="24"/>
              <w:lang w:val="en-US" w:eastAsia="zh-CN"/>
            </w:rPr>
            <w:t>2</w:t>
          </w:r>
          <w:r>
            <w:rPr>
              <w:rFonts w:hint="eastAsia" w:ascii="宋体" w:hAnsi="宋体" w:eastAsia="宋体" w:cs="宋体"/>
              <w:sz w:val="24"/>
              <w:szCs w:val="24"/>
            </w:rPr>
            <w:fldChar w:fldCharType="end"/>
          </w:r>
          <w:r>
            <w:rPr>
              <w:rFonts w:hint="eastAsia" w:ascii="宋体" w:hAnsi="宋体" w:cs="宋体"/>
              <w:sz w:val="24"/>
              <w:szCs w:val="24"/>
              <w:lang w:val="en-US" w:eastAsia="zh-CN"/>
            </w:rPr>
            <w:t>6</w:t>
          </w:r>
        </w:p>
        <w:p>
          <w:pPr>
            <w:pStyle w:val="55"/>
            <w:tabs>
              <w:tab w:val="right" w:leader="dot" w:pos="974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_Toc4409 </w:instrText>
          </w:r>
          <w:r>
            <w:rPr>
              <w:rFonts w:hint="eastAsia" w:ascii="宋体" w:hAnsi="宋体" w:eastAsia="宋体" w:cs="宋体"/>
              <w:sz w:val="24"/>
              <w:szCs w:val="24"/>
            </w:rPr>
            <w:fldChar w:fldCharType="separate"/>
          </w:r>
          <w:r>
            <w:rPr>
              <w:rFonts w:hint="eastAsia" w:ascii="宋体" w:hAnsi="宋体" w:eastAsia="宋体" w:cs="宋体"/>
              <w:sz w:val="24"/>
              <w:szCs w:val="24"/>
              <w:highlight w:val="none"/>
              <w:lang w:eastAsia="zh-CN"/>
            </w:rPr>
            <w:t>第四部分</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lang w:eastAsia="zh-CN"/>
            </w:rPr>
            <w:t>商务要求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_Toc4409 \h </w:instrText>
          </w:r>
          <w:r>
            <w:rPr>
              <w:rFonts w:hint="eastAsia" w:ascii="宋体" w:hAnsi="宋体" w:eastAsia="宋体" w:cs="宋体"/>
              <w:sz w:val="24"/>
              <w:szCs w:val="24"/>
            </w:rPr>
            <w:fldChar w:fldCharType="separate"/>
          </w:r>
          <w:r>
            <w:rPr>
              <w:rFonts w:hint="eastAsia" w:ascii="宋体" w:hAnsi="宋体" w:eastAsia="宋体" w:cs="宋体"/>
              <w:sz w:val="24"/>
              <w:szCs w:val="24"/>
            </w:rPr>
            <w:t>29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5"/>
            <w:tabs>
              <w:tab w:val="right" w:leader="dot" w:pos="974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_Toc30756 </w:instrText>
          </w:r>
          <w:r>
            <w:rPr>
              <w:rFonts w:hint="eastAsia" w:ascii="宋体" w:hAnsi="宋体" w:eastAsia="宋体" w:cs="宋体"/>
              <w:sz w:val="24"/>
              <w:szCs w:val="24"/>
            </w:rPr>
            <w:fldChar w:fldCharType="separate"/>
          </w:r>
          <w:r>
            <w:rPr>
              <w:rFonts w:hint="eastAsia" w:ascii="宋体" w:hAnsi="宋体" w:eastAsia="宋体" w:cs="宋体"/>
              <w:sz w:val="24"/>
              <w:szCs w:val="24"/>
            </w:rPr>
            <w:t>第</w:t>
          </w:r>
          <w:r>
            <w:rPr>
              <w:rFonts w:hint="eastAsia" w:ascii="宋体" w:hAnsi="宋体" w:eastAsia="宋体" w:cs="宋体"/>
              <w:sz w:val="24"/>
              <w:szCs w:val="24"/>
              <w:lang w:eastAsia="zh-CN"/>
            </w:rPr>
            <w:t>五</w:t>
          </w:r>
          <w:r>
            <w:rPr>
              <w:rFonts w:hint="eastAsia" w:ascii="宋体" w:hAnsi="宋体" w:eastAsia="宋体" w:cs="宋体"/>
              <w:sz w:val="24"/>
              <w:szCs w:val="24"/>
            </w:rPr>
            <w:t>部分 合同范本</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_Toc30756 \h </w:instrText>
          </w:r>
          <w:r>
            <w:rPr>
              <w:rFonts w:hint="eastAsia" w:ascii="宋体" w:hAnsi="宋体" w:eastAsia="宋体" w:cs="宋体"/>
              <w:sz w:val="24"/>
              <w:szCs w:val="24"/>
            </w:rPr>
            <w:fldChar w:fldCharType="separate"/>
          </w:r>
          <w:r>
            <w:rPr>
              <w:rFonts w:hint="eastAsia" w:ascii="宋体" w:hAnsi="宋体" w:eastAsia="宋体" w:cs="宋体"/>
              <w:sz w:val="24"/>
              <w:szCs w:val="24"/>
            </w:rPr>
            <w:t>31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5"/>
            <w:tabs>
              <w:tab w:val="right" w:leader="dot" w:pos="9746"/>
            </w:tabs>
            <w:spacing w:line="360" w:lineRule="auto"/>
            <w:rPr>
              <w:rFonts w:hint="eastAsia" w:ascii="宋体" w:hAnsi="宋体" w:eastAsia="宋体" w:cs="宋体"/>
              <w:sz w:val="28"/>
              <w:szCs w:val="28"/>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_Toc3036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第六</w:t>
          </w:r>
          <w:r>
            <w:rPr>
              <w:rFonts w:hint="eastAsia" w:ascii="宋体" w:hAnsi="宋体" w:eastAsia="宋体" w:cs="宋体"/>
              <w:sz w:val="24"/>
              <w:szCs w:val="24"/>
              <w:lang w:val="zh-CN" w:eastAsia="zh-CN"/>
            </w:rPr>
            <w:t>部分 竞争性磋商响应文件格式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_Toc3036 \h </w:instrText>
          </w:r>
          <w:r>
            <w:rPr>
              <w:rFonts w:hint="eastAsia" w:ascii="宋体" w:hAnsi="宋体" w:eastAsia="宋体" w:cs="宋体"/>
              <w:sz w:val="24"/>
              <w:szCs w:val="24"/>
            </w:rPr>
            <w:fldChar w:fldCharType="separate"/>
          </w:r>
          <w:r>
            <w:rPr>
              <w:rFonts w:hint="eastAsia" w:ascii="宋体" w:hAnsi="宋体" w:eastAsia="宋体" w:cs="宋体"/>
              <w:sz w:val="24"/>
              <w:szCs w:val="24"/>
            </w:rPr>
            <w:t>50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5"/>
            <w:tabs>
              <w:tab w:val="right" w:leader="dot" w:pos="9746"/>
            </w:tabs>
            <w:rPr>
              <w:rFonts w:hint="eastAsia" w:ascii="宋体" w:hAnsi="宋体" w:eastAsia="宋体" w:cs="宋体"/>
              <w:sz w:val="28"/>
              <w:szCs w:val="28"/>
            </w:rPr>
          </w:pPr>
        </w:p>
        <w:p>
          <w:r>
            <w:rPr>
              <w:rFonts w:hint="eastAsia" w:ascii="宋体" w:hAnsi="宋体" w:eastAsia="宋体" w:cs="宋体"/>
              <w:sz w:val="28"/>
              <w:szCs w:val="28"/>
            </w:rPr>
            <w:fldChar w:fldCharType="end"/>
          </w:r>
        </w:p>
      </w:sdtContent>
    </w:sdt>
    <w:p>
      <w:pPr>
        <w:pStyle w:val="13"/>
        <w:tabs>
          <w:tab w:val="left" w:pos="8033"/>
        </w:tabs>
        <w:rPr>
          <w:rFonts w:hint="default" w:eastAsia="FangSong_GB2312"/>
          <w:color w:val="auto"/>
          <w:lang w:val="en-US" w:eastAsia="zh-CN"/>
        </w:rPr>
        <w:sectPr>
          <w:headerReference r:id="rId11" w:type="first"/>
          <w:footerReference r:id="rId13" w:type="first"/>
          <w:headerReference r:id="rId10" w:type="default"/>
          <w:footerReference r:id="rId12" w:type="default"/>
          <w:pgSz w:w="11906" w:h="16838"/>
          <w:pgMar w:top="1440" w:right="1080" w:bottom="1440" w:left="1080" w:header="907" w:footer="680" w:gutter="0"/>
          <w:pgNumType w:fmt="decimal"/>
          <w:cols w:space="720" w:num="1"/>
          <w:titlePg/>
          <w:docGrid w:type="lines" w:linePitch="312" w:charSpace="0"/>
        </w:sectPr>
      </w:pPr>
      <w:r>
        <w:rPr>
          <w:rFonts w:hint="eastAsia"/>
          <w:color w:val="auto"/>
          <w:lang w:val="en-US" w:eastAsia="zh-CN"/>
        </w:rPr>
        <w:fldChar w:fldCharType="begin"/>
      </w:r>
      <w:r>
        <w:rPr>
          <w:rFonts w:hint="eastAsia"/>
          <w:lang w:val="en-US" w:eastAsia="zh-CN"/>
        </w:rPr>
        <w:instrText xml:space="preserve"> HYPERLINK \l _Toc6609 </w:instrText>
      </w:r>
      <w:r>
        <w:rPr>
          <w:rFonts w:hint="eastAsia"/>
          <w:lang w:val="en-US" w:eastAsia="zh-CN"/>
        </w:rPr>
        <w:fldChar w:fldCharType="separate"/>
      </w:r>
      <w:r>
        <w:tab/>
      </w:r>
      <w:r>
        <w:rPr>
          <w:rFonts w:hint="eastAsia"/>
          <w:color w:val="auto"/>
          <w:lang w:val="en-US" w:eastAsia="zh-CN"/>
        </w:rPr>
        <w:fldChar w:fldCharType="end"/>
      </w:r>
      <w:r>
        <w:rPr>
          <w:rFonts w:hint="eastAsia"/>
          <w:color w:val="auto"/>
          <w:lang w:val="en-US" w:eastAsia="zh-CN"/>
        </w:rPr>
        <w:t xml:space="preserve">                                                                                                                                                                                                                                                                                                                                                                                                                                                                                                                                                                                                                                                                                                                                                                                                                                                                                                                                                                                                                                                                                                                                                                                                                                                                                                                                                                                                                                                                                                                                                                                                                                                                                                                                                                                                                                                                                                                                                                                                                                                                                                                                                                                                                                                                                                                                                                                                                                                                                                                                                                                                                                                                                                                                                                                                                                                                                                                                                                                                                                                                                                                                                                                                                                                                                                                                                                                                                                                                                                                                                                                                                                                                                                                                                                                                                                                                                                                                                                                                                                                                                                                                                                                                                </w:t>
      </w:r>
      <w:r>
        <w:rPr>
          <w:rFonts w:hint="eastAsia"/>
          <w:color w:val="auto"/>
          <w:lang w:val="en-US" w:eastAsia="zh-CN"/>
        </w:rPr>
        <w:t xml:space="preserve">                                                                                                                                                                                                                                                                                                                                                                                                                                                                                                                                                                                                                                                                                                                                                                                                                                                                                                                                                                                                                                                                                                                                                                                                                                                                                                                                                                                                                                                                                                                                                                                                                                                                                                                                                                                                                                                                                                                                                                                                                                                                                                                                                                                                                                                                                                                                                                                                                                                                                                                                                                                                                                                                                                                                                                                                                                                                                                                                                                                                                                                                                                                                                                                                                                                                                                                                                                                                                                                                                                                                                                                                                                                                                                                                                                                                                                                                                                                                                                                                                                                                                                                                                                                                                </w:t>
      </w:r>
      <w:r>
        <w:rPr>
          <w:rFonts w:hint="eastAsia"/>
          <w:color w:val="auto"/>
          <w:lang w:val="en-US" w:eastAsia="zh-CN"/>
        </w:rPr>
        <w:t xml:space="preserve">                                                                                                                                                                                                                                                                                                                                                                                                                                                                                                                                                                                                                                                                                                                                                                                                                                                                                                                                                                                                                                                                                                                                                                                                                                                                                                                                                                                                                                                                                                                                                                                                                                                                                                                                                                                                                                                                                                                                                                                                                                                                                                                                                                                                                                                                                                                                                                                                                                                                                                                                                                                                                                                                                                                                                                                                                                                                                                                                                                                                                                                                                                                                                                                                                                                                                                                                                                                                                                                                                                                                                                                                                                                                                                                                                                                                                                                                                                                                                                                                                                                                                                                                                                                                                </w:t>
      </w:r>
      <w:r>
        <w:rPr>
          <w:rFonts w:hint="eastAsia"/>
          <w:color w:val="auto"/>
          <w:lang w:val="en-US" w:eastAsia="zh-CN"/>
        </w:rPr>
        <w:t xml:space="preserve">                                                                                                                                                                                                                                                                                                                                                                                                                                                                                                                                                                                                                                                                                                                                                                                                                                                                                                                                                                                                                                                                                                                                                                                                                                                                                                                                                                                                                                                                                                                                                                                                                                                                                                                                                                                                                                                                                                                                                                                                                                                                                                                                                                                                                                                                                                                                                                                                                                                                                                                                                                                                                                                                                                                                                                                                                                </w:t>
      </w:r>
    </w:p>
    <w:p>
      <w:pPr>
        <w:pStyle w:val="3"/>
        <w:keepNext/>
        <w:keepLines/>
        <w:pageBreakBefore w:val="0"/>
        <w:widowControl w:val="0"/>
        <w:kinsoku/>
        <w:wordWrap/>
        <w:overflowPunct/>
        <w:topLinePunct w:val="0"/>
        <w:autoSpaceDE/>
        <w:autoSpaceDN/>
        <w:bidi w:val="0"/>
        <w:adjustRightInd/>
        <w:snapToGrid/>
        <w:spacing w:before="0" w:after="0" w:line="360" w:lineRule="auto"/>
        <w:ind w:firstLine="3213" w:firstLineChars="889"/>
        <w:jc w:val="both"/>
        <w:textAlignment w:val="auto"/>
        <w:rPr>
          <w:rFonts w:hint="eastAsia" w:ascii="宋体" w:hAnsi="宋体" w:eastAsia="宋体" w:cs="宋体"/>
          <w:highlight w:val="none"/>
        </w:rPr>
      </w:pPr>
      <w:bookmarkStart w:id="3" w:name="_Toc30308_WPSOffice_Level1"/>
      <w:bookmarkStart w:id="4" w:name="_Toc10031"/>
      <w:bookmarkStart w:id="5" w:name="_Toc19753"/>
      <w:bookmarkStart w:id="6" w:name="_Toc21438"/>
      <w:bookmarkStart w:id="7" w:name="_Toc8581"/>
      <w:bookmarkStart w:id="8" w:name="_Toc15034"/>
      <w:bookmarkStart w:id="9" w:name="_Toc16609"/>
      <w:bookmarkStart w:id="10" w:name="_Toc24911"/>
      <w:bookmarkStart w:id="11" w:name="_Toc14394"/>
      <w:bookmarkStart w:id="12" w:name="_Toc13288"/>
      <w:r>
        <w:rPr>
          <w:rFonts w:hint="eastAsia" w:ascii="宋体" w:hAnsi="宋体" w:eastAsia="宋体" w:cs="宋体"/>
          <w:highlight w:val="none"/>
        </w:rPr>
        <w:t xml:space="preserve">第一部分  </w:t>
      </w:r>
      <w:bookmarkEnd w:id="3"/>
      <w:bookmarkEnd w:id="4"/>
      <w:r>
        <w:rPr>
          <w:rFonts w:hint="eastAsia" w:ascii="宋体" w:hAnsi="宋体" w:eastAsia="宋体" w:cs="宋体"/>
          <w:highlight w:val="none"/>
        </w:rPr>
        <w:t>竞争性磋商公告</w:t>
      </w:r>
      <w:bookmarkEnd w:id="5"/>
      <w:bookmarkEnd w:id="6"/>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cs="宋体"/>
          <w:sz w:val="24"/>
          <w:szCs w:val="24"/>
          <w:highlight w:val="none"/>
          <w:lang w:eastAsia="zh-CN"/>
        </w:rPr>
      </w:pPr>
      <w:r>
        <w:rPr>
          <w:rFonts w:hint="eastAsia" w:ascii="宋体" w:hAnsi="宋体" w:eastAsia="宋体" w:cs="宋体"/>
          <w:sz w:val="24"/>
          <w:szCs w:val="24"/>
          <w:highlight w:val="none"/>
          <w:lang w:val="en-US" w:eastAsia="zh-CN"/>
        </w:rPr>
        <w:t>岚皋县医院2024年苏陕协作“组团式”帮扶介入导管室建设项目（导管室装饰装修）</w:t>
      </w:r>
      <w:r>
        <w:rPr>
          <w:rFonts w:hint="eastAsia" w:ascii="宋体" w:hAnsi="宋体" w:eastAsia="宋体" w:cs="宋体"/>
          <w:sz w:val="24"/>
          <w:szCs w:val="24"/>
          <w:highlight w:val="none"/>
        </w:rPr>
        <w:t>的潜在供应商应在</w:t>
      </w:r>
      <w:r>
        <w:rPr>
          <w:rFonts w:hint="eastAsia" w:ascii="宋体" w:hAnsi="宋体" w:eastAsia="宋体" w:cs="宋体"/>
          <w:color w:val="auto"/>
          <w:sz w:val="24"/>
          <w:szCs w:val="24"/>
          <w:highlight w:val="none"/>
        </w:rPr>
        <w:t>【全国公共资源交易平台（陕西省·</w:t>
      </w:r>
      <w:r>
        <w:rPr>
          <w:rFonts w:hint="eastAsia" w:ascii="宋体" w:hAnsi="宋体" w:cs="宋体"/>
          <w:color w:val="auto"/>
          <w:sz w:val="24"/>
          <w:szCs w:val="24"/>
          <w:highlight w:val="none"/>
          <w:lang w:eastAsia="zh-CN"/>
        </w:rPr>
        <w:t>安康</w:t>
      </w:r>
      <w:r>
        <w:rPr>
          <w:rFonts w:hint="eastAsia" w:ascii="宋体" w:hAnsi="宋体" w:eastAsia="宋体" w:cs="宋体"/>
          <w:color w:val="auto"/>
          <w:sz w:val="24"/>
          <w:szCs w:val="24"/>
          <w:highlight w:val="none"/>
        </w:rPr>
        <w:t>市）】（http://</w:t>
      </w:r>
      <w:r>
        <w:rPr>
          <w:rFonts w:hint="eastAsia" w:ascii="宋体" w:hAnsi="宋体" w:cs="宋体"/>
          <w:color w:val="auto"/>
          <w:sz w:val="24"/>
          <w:szCs w:val="24"/>
          <w:highlight w:val="none"/>
          <w:lang w:eastAsia="zh-CN"/>
        </w:rPr>
        <w:t>ak</w:t>
      </w:r>
      <w:r>
        <w:rPr>
          <w:rFonts w:hint="eastAsia" w:ascii="宋体" w:hAnsi="宋体" w:eastAsia="宋体" w:cs="宋体"/>
          <w:color w:val="auto"/>
          <w:sz w:val="24"/>
          <w:szCs w:val="24"/>
          <w:highlight w:val="none"/>
        </w:rPr>
        <w:t>.sxggzyjy.cn）</w:t>
      </w:r>
      <w:r>
        <w:rPr>
          <w:rFonts w:hint="eastAsia" w:ascii="宋体" w:hAnsi="宋体" w:eastAsia="宋体" w:cs="宋体"/>
          <w:sz w:val="24"/>
          <w:szCs w:val="24"/>
          <w:highlight w:val="none"/>
        </w:rPr>
        <w:t>获取采购文件</w:t>
      </w:r>
      <w:r>
        <w:rPr>
          <w:rFonts w:hint="eastAsia" w:ascii="宋体" w:hAnsi="宋体" w:cs="宋体"/>
          <w:sz w:val="24"/>
          <w:szCs w:val="24"/>
          <w:highlight w:val="none"/>
          <w:lang w:eastAsia="zh-CN"/>
        </w:rPr>
        <w:t>，并于2024年</w:t>
      </w:r>
      <w:r>
        <w:rPr>
          <w:rFonts w:hint="eastAsia" w:ascii="宋体" w:hAnsi="宋体" w:cs="宋体"/>
          <w:sz w:val="24"/>
          <w:szCs w:val="24"/>
          <w:highlight w:val="none"/>
          <w:lang w:val="en-US" w:eastAsia="zh-CN"/>
        </w:rPr>
        <w:t>7</w:t>
      </w:r>
      <w:r>
        <w:rPr>
          <w:rFonts w:hint="eastAsia" w:ascii="宋体" w:hAnsi="宋体" w:cs="宋体"/>
          <w:sz w:val="24"/>
          <w:szCs w:val="24"/>
          <w:highlight w:val="none"/>
          <w:lang w:eastAsia="zh-CN"/>
        </w:rPr>
        <w:t>月</w:t>
      </w:r>
      <w:r>
        <w:rPr>
          <w:rFonts w:hint="eastAsia" w:ascii="宋体" w:hAnsi="宋体" w:cs="宋体"/>
          <w:sz w:val="24"/>
          <w:szCs w:val="24"/>
          <w:highlight w:val="none"/>
          <w:lang w:val="en-US" w:eastAsia="zh-CN"/>
        </w:rPr>
        <w:t>12</w:t>
      </w:r>
      <w:r>
        <w:rPr>
          <w:rFonts w:hint="eastAsia" w:ascii="宋体" w:hAnsi="宋体" w:cs="宋体"/>
          <w:sz w:val="24"/>
          <w:szCs w:val="24"/>
          <w:highlight w:val="none"/>
          <w:lang w:eastAsia="zh-CN"/>
        </w:rPr>
        <w:t>日1</w:t>
      </w:r>
      <w:r>
        <w:rPr>
          <w:rFonts w:hint="eastAsia" w:ascii="宋体" w:hAnsi="宋体" w:cs="宋体"/>
          <w:sz w:val="24"/>
          <w:szCs w:val="24"/>
          <w:highlight w:val="none"/>
          <w:lang w:val="en-US" w:eastAsia="zh-CN"/>
        </w:rPr>
        <w:t>1</w:t>
      </w:r>
      <w:r>
        <w:rPr>
          <w:rFonts w:hint="eastAsia" w:ascii="宋体" w:hAnsi="宋体" w:cs="宋体"/>
          <w:sz w:val="24"/>
          <w:szCs w:val="24"/>
          <w:highlight w:val="none"/>
          <w:lang w:eastAsia="zh-CN"/>
        </w:rPr>
        <w:t>:00时（北京时间）前提交响应文件。</w:t>
      </w:r>
    </w:p>
    <w:p>
      <w:pPr>
        <w:pStyle w:val="4"/>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sz w:val="24"/>
          <w:szCs w:val="24"/>
          <w:highlight w:val="none"/>
        </w:rPr>
      </w:pPr>
      <w:bookmarkStart w:id="13" w:name="_Toc19991"/>
      <w:bookmarkStart w:id="14" w:name="_Toc7386"/>
      <w:r>
        <w:rPr>
          <w:rFonts w:hint="eastAsia" w:ascii="宋体" w:hAnsi="宋体" w:eastAsia="宋体" w:cs="宋体"/>
          <w:sz w:val="24"/>
          <w:szCs w:val="24"/>
          <w:highlight w:val="none"/>
        </w:rPr>
        <w:t>一、项目基本情况</w:t>
      </w:r>
      <w:bookmarkEnd w:id="13"/>
      <w:bookmarkEnd w:id="14"/>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项目编号：ZBZB-2024-2400 </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项目名称：岚皋县医院2024年苏陕协作“组团式”帮扶介入导管室建设项目（导管室装饰装修）</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采购方式：竞争性磋商</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预算金额：</w:t>
      </w:r>
      <w:r>
        <w:rPr>
          <w:rFonts w:hint="eastAsia" w:ascii="宋体" w:hAnsi="宋体" w:cs="宋体"/>
          <w:sz w:val="24"/>
          <w:szCs w:val="24"/>
          <w:highlight w:val="none"/>
          <w:lang w:val="en-US" w:eastAsia="zh-CN"/>
        </w:rPr>
        <w:t>1880608.68元</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最高限价：</w:t>
      </w:r>
      <w:r>
        <w:rPr>
          <w:rFonts w:hint="eastAsia" w:ascii="宋体" w:hAnsi="宋体" w:cs="宋体"/>
          <w:sz w:val="24"/>
          <w:szCs w:val="24"/>
          <w:highlight w:val="none"/>
          <w:lang w:val="en-US" w:eastAsia="zh-CN"/>
        </w:rPr>
        <w:t>1880608.68元</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采购需求：岚皋县医院2024年苏陕协作“组团式”帮扶介入导管室建设项目（导管室装饰装修），具体详见工程量清单；</w:t>
      </w:r>
    </w:p>
    <w:tbl>
      <w:tblPr>
        <w:tblStyle w:val="26"/>
        <w:tblW w:w="9782" w:type="dxa"/>
        <w:tblInd w:w="0" w:type="dxa"/>
        <w:tblLayout w:type="fixed"/>
        <w:tblCellMar>
          <w:top w:w="0" w:type="dxa"/>
          <w:left w:w="0" w:type="dxa"/>
          <w:bottom w:w="0" w:type="dxa"/>
          <w:right w:w="0" w:type="dxa"/>
        </w:tblCellMar>
      </w:tblPr>
      <w:tblGrid>
        <w:gridCol w:w="1027"/>
        <w:gridCol w:w="1289"/>
        <w:gridCol w:w="2213"/>
        <w:gridCol w:w="1113"/>
        <w:gridCol w:w="1187"/>
        <w:gridCol w:w="1455"/>
        <w:gridCol w:w="1498"/>
      </w:tblGrid>
      <w:tr>
        <w:tblPrEx>
          <w:tblCellMar>
            <w:top w:w="0" w:type="dxa"/>
            <w:left w:w="0" w:type="dxa"/>
            <w:bottom w:w="0" w:type="dxa"/>
            <w:right w:w="0" w:type="dxa"/>
          </w:tblCellMar>
        </w:tblPrEx>
        <w:trPr>
          <w:trHeight w:val="1273" w:hRule="atLeast"/>
          <w:tblHeader/>
        </w:trPr>
        <w:tc>
          <w:tcPr>
            <w:tcW w:w="102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ageBreakBefore w:val="0"/>
              <w:kinsoku/>
              <w:wordWrap/>
              <w:overflowPunct/>
              <w:topLinePunct w:val="0"/>
              <w:autoSpaceDE/>
              <w:autoSpaceDN/>
              <w:bidi w:val="0"/>
              <w:adjustRightInd/>
              <w:snapToGrid/>
              <w:spacing w:line="360" w:lineRule="auto"/>
              <w:jc w:val="center"/>
              <w:rPr>
                <w:rFonts w:hint="eastAsia" w:ascii="宋体" w:hAnsi="宋体" w:cs="宋体"/>
                <w:sz w:val="24"/>
                <w:szCs w:val="24"/>
              </w:rPr>
            </w:pPr>
            <w:r>
              <w:rPr>
                <w:rFonts w:hint="eastAsia" w:ascii="宋体" w:hAnsi="宋体" w:cs="宋体"/>
                <w:sz w:val="24"/>
                <w:szCs w:val="24"/>
              </w:rPr>
              <w:t>品目号</w:t>
            </w:r>
          </w:p>
        </w:tc>
        <w:tc>
          <w:tcPr>
            <w:tcW w:w="128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ageBreakBefore w:val="0"/>
              <w:kinsoku/>
              <w:wordWrap/>
              <w:overflowPunct/>
              <w:topLinePunct w:val="0"/>
              <w:autoSpaceDE/>
              <w:autoSpaceDN/>
              <w:bidi w:val="0"/>
              <w:adjustRightInd/>
              <w:snapToGrid/>
              <w:spacing w:line="360" w:lineRule="auto"/>
              <w:jc w:val="center"/>
              <w:rPr>
                <w:rFonts w:hint="eastAsia" w:ascii="宋体" w:hAnsi="宋体" w:cs="宋体"/>
                <w:sz w:val="24"/>
                <w:szCs w:val="24"/>
              </w:rPr>
            </w:pPr>
            <w:r>
              <w:rPr>
                <w:rFonts w:hint="eastAsia" w:ascii="宋体" w:hAnsi="宋体" w:cs="宋体"/>
                <w:sz w:val="24"/>
                <w:szCs w:val="24"/>
              </w:rPr>
              <w:t>品目名称</w:t>
            </w:r>
          </w:p>
        </w:tc>
        <w:tc>
          <w:tcPr>
            <w:tcW w:w="221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ageBreakBefore w:val="0"/>
              <w:kinsoku/>
              <w:wordWrap/>
              <w:overflowPunct/>
              <w:topLinePunct w:val="0"/>
              <w:autoSpaceDE/>
              <w:autoSpaceDN/>
              <w:bidi w:val="0"/>
              <w:adjustRightInd/>
              <w:snapToGrid/>
              <w:spacing w:line="360" w:lineRule="auto"/>
              <w:jc w:val="center"/>
              <w:rPr>
                <w:rFonts w:hint="eastAsia" w:ascii="宋体" w:hAnsi="宋体" w:cs="宋体"/>
                <w:sz w:val="24"/>
                <w:szCs w:val="24"/>
              </w:rPr>
            </w:pPr>
            <w:r>
              <w:rPr>
                <w:rFonts w:hint="eastAsia" w:ascii="宋体" w:hAnsi="宋体" w:cs="宋体"/>
                <w:sz w:val="24"/>
                <w:szCs w:val="24"/>
              </w:rPr>
              <w:t>采购标的</w:t>
            </w:r>
          </w:p>
        </w:tc>
        <w:tc>
          <w:tcPr>
            <w:tcW w:w="111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ageBreakBefore w:val="0"/>
              <w:kinsoku/>
              <w:wordWrap/>
              <w:overflowPunct/>
              <w:topLinePunct w:val="0"/>
              <w:autoSpaceDE/>
              <w:autoSpaceDN/>
              <w:bidi w:val="0"/>
              <w:adjustRightInd/>
              <w:snapToGrid/>
              <w:spacing w:line="360" w:lineRule="auto"/>
              <w:jc w:val="center"/>
              <w:rPr>
                <w:rFonts w:hint="eastAsia" w:ascii="宋体" w:hAnsi="宋体" w:cs="宋体"/>
                <w:sz w:val="24"/>
                <w:szCs w:val="24"/>
              </w:rPr>
            </w:pPr>
            <w:r>
              <w:rPr>
                <w:rFonts w:hint="eastAsia" w:ascii="宋体" w:hAnsi="宋体" w:cs="宋体"/>
                <w:sz w:val="24"/>
                <w:szCs w:val="24"/>
              </w:rPr>
              <w:t>数量</w:t>
            </w:r>
          </w:p>
          <w:p>
            <w:pPr>
              <w:pageBreakBefore w:val="0"/>
              <w:kinsoku/>
              <w:wordWrap/>
              <w:overflowPunct/>
              <w:topLinePunct w:val="0"/>
              <w:autoSpaceDE/>
              <w:autoSpaceDN/>
              <w:bidi w:val="0"/>
              <w:adjustRightInd/>
              <w:snapToGrid/>
              <w:spacing w:line="360" w:lineRule="auto"/>
              <w:jc w:val="center"/>
              <w:rPr>
                <w:rFonts w:hint="eastAsia" w:ascii="宋体" w:hAnsi="宋体" w:cs="宋体"/>
                <w:sz w:val="24"/>
                <w:szCs w:val="24"/>
              </w:rPr>
            </w:pPr>
            <w:r>
              <w:rPr>
                <w:rFonts w:hint="eastAsia" w:ascii="宋体" w:hAnsi="宋体" w:cs="宋体"/>
                <w:sz w:val="24"/>
                <w:szCs w:val="24"/>
              </w:rPr>
              <w:t>（单位）</w:t>
            </w:r>
          </w:p>
        </w:tc>
        <w:tc>
          <w:tcPr>
            <w:tcW w:w="118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ageBreakBefore w:val="0"/>
              <w:kinsoku/>
              <w:wordWrap/>
              <w:overflowPunct/>
              <w:topLinePunct w:val="0"/>
              <w:autoSpaceDE/>
              <w:autoSpaceDN/>
              <w:bidi w:val="0"/>
              <w:adjustRightInd/>
              <w:snapToGrid/>
              <w:spacing w:line="360" w:lineRule="auto"/>
              <w:jc w:val="center"/>
              <w:rPr>
                <w:rFonts w:hint="eastAsia" w:ascii="宋体" w:hAnsi="宋体" w:cs="宋体"/>
                <w:sz w:val="24"/>
                <w:szCs w:val="24"/>
              </w:rPr>
            </w:pPr>
            <w:r>
              <w:rPr>
                <w:rFonts w:hint="eastAsia" w:ascii="宋体" w:hAnsi="宋体" w:cs="宋体"/>
                <w:sz w:val="24"/>
                <w:szCs w:val="24"/>
              </w:rPr>
              <w:t>技术规格、参数及要求</w:t>
            </w:r>
          </w:p>
        </w:tc>
        <w:tc>
          <w:tcPr>
            <w:tcW w:w="145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ageBreakBefore w:val="0"/>
              <w:kinsoku/>
              <w:wordWrap/>
              <w:overflowPunct/>
              <w:topLinePunct w:val="0"/>
              <w:autoSpaceDE/>
              <w:autoSpaceDN/>
              <w:bidi w:val="0"/>
              <w:adjustRightInd/>
              <w:snapToGrid/>
              <w:spacing w:line="360" w:lineRule="auto"/>
              <w:jc w:val="center"/>
              <w:rPr>
                <w:rFonts w:hint="eastAsia" w:ascii="宋体" w:hAnsi="宋体" w:cs="宋体"/>
                <w:sz w:val="24"/>
                <w:szCs w:val="24"/>
              </w:rPr>
            </w:pPr>
            <w:r>
              <w:rPr>
                <w:rFonts w:hint="eastAsia" w:ascii="宋体" w:hAnsi="宋体" w:cs="宋体"/>
                <w:sz w:val="24"/>
                <w:szCs w:val="24"/>
              </w:rPr>
              <w:t>品目预算</w:t>
            </w:r>
          </w:p>
          <w:p>
            <w:pPr>
              <w:pageBreakBefore w:val="0"/>
              <w:kinsoku/>
              <w:wordWrap/>
              <w:overflowPunct/>
              <w:topLinePunct w:val="0"/>
              <w:autoSpaceDE/>
              <w:autoSpaceDN/>
              <w:bidi w:val="0"/>
              <w:adjustRightInd/>
              <w:snapToGrid/>
              <w:spacing w:line="360" w:lineRule="auto"/>
              <w:jc w:val="center"/>
              <w:rPr>
                <w:rFonts w:hint="eastAsia" w:ascii="宋体" w:hAnsi="宋体" w:cs="宋体"/>
                <w:sz w:val="24"/>
                <w:szCs w:val="24"/>
              </w:rPr>
            </w:pPr>
            <w:r>
              <w:rPr>
                <w:rFonts w:hint="eastAsia" w:ascii="宋体" w:hAnsi="宋体" w:cs="宋体"/>
                <w:sz w:val="24"/>
                <w:szCs w:val="24"/>
              </w:rPr>
              <w:t>(元)</w:t>
            </w:r>
          </w:p>
        </w:tc>
        <w:tc>
          <w:tcPr>
            <w:tcW w:w="149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ageBreakBefore w:val="0"/>
              <w:kinsoku/>
              <w:wordWrap/>
              <w:overflowPunct/>
              <w:topLinePunct w:val="0"/>
              <w:autoSpaceDE/>
              <w:autoSpaceDN/>
              <w:bidi w:val="0"/>
              <w:adjustRightInd/>
              <w:snapToGrid/>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最高限价</w:t>
            </w:r>
          </w:p>
          <w:p>
            <w:pPr>
              <w:pageBreakBefore w:val="0"/>
              <w:kinsoku/>
              <w:wordWrap/>
              <w:overflowPunct/>
              <w:topLinePunct w:val="0"/>
              <w:autoSpaceDE/>
              <w:autoSpaceDN/>
              <w:bidi w:val="0"/>
              <w:adjustRightInd/>
              <w:snapToGrid/>
              <w:spacing w:line="360" w:lineRule="auto"/>
              <w:jc w:val="center"/>
              <w:rPr>
                <w:rFonts w:hint="eastAsia" w:ascii="宋体" w:hAnsi="宋体" w:cs="宋体"/>
                <w:sz w:val="24"/>
                <w:szCs w:val="24"/>
              </w:rPr>
            </w:pPr>
            <w:r>
              <w:rPr>
                <w:rFonts w:hint="eastAsia" w:ascii="宋体" w:hAnsi="宋体" w:cs="宋体"/>
                <w:sz w:val="24"/>
                <w:szCs w:val="24"/>
                <w:highlight w:val="none"/>
              </w:rPr>
              <w:t>(元)</w:t>
            </w:r>
          </w:p>
        </w:tc>
      </w:tr>
      <w:tr>
        <w:tblPrEx>
          <w:tblCellMar>
            <w:top w:w="0" w:type="dxa"/>
            <w:left w:w="0" w:type="dxa"/>
            <w:bottom w:w="0" w:type="dxa"/>
            <w:right w:w="0" w:type="dxa"/>
          </w:tblCellMar>
        </w:tblPrEx>
        <w:trPr>
          <w:trHeight w:val="838" w:hRule="atLeast"/>
        </w:trPr>
        <w:tc>
          <w:tcPr>
            <w:tcW w:w="102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1-1</w:t>
            </w:r>
          </w:p>
        </w:tc>
        <w:tc>
          <w:tcPr>
            <w:tcW w:w="128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装饰装修</w:t>
            </w:r>
          </w:p>
        </w:tc>
        <w:tc>
          <w:tcPr>
            <w:tcW w:w="221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岚皋县医院2024年苏陕协作“组团式”帮扶介入导管室建设项目（导管室装饰装修）</w:t>
            </w:r>
          </w:p>
        </w:tc>
        <w:tc>
          <w:tcPr>
            <w:tcW w:w="111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ageBreakBefore w:val="0"/>
              <w:kinsoku/>
              <w:wordWrap/>
              <w:overflowPunct/>
              <w:topLinePunct w:val="0"/>
              <w:autoSpaceDE/>
              <w:autoSpaceDN/>
              <w:bidi w:val="0"/>
              <w:adjustRightInd/>
              <w:snapToGrid/>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cs="宋体"/>
                <w:sz w:val="24"/>
                <w:szCs w:val="24"/>
                <w:lang w:val="en-US" w:eastAsia="zh-CN"/>
              </w:rPr>
              <w:t>项</w:t>
            </w:r>
          </w:p>
        </w:tc>
        <w:tc>
          <w:tcPr>
            <w:tcW w:w="118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详见采购文件</w:t>
            </w:r>
          </w:p>
        </w:tc>
        <w:tc>
          <w:tcPr>
            <w:tcW w:w="145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ageBreakBefore w:val="0"/>
              <w:kinsoku/>
              <w:wordWrap/>
              <w:overflowPunct/>
              <w:topLinePunct w:val="0"/>
              <w:autoSpaceDE/>
              <w:autoSpaceDN/>
              <w:bidi w:val="0"/>
              <w:adjustRightInd/>
              <w:snapToGrid/>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highlight w:val="none"/>
                <w:lang w:val="en-US" w:eastAsia="zh-CN"/>
              </w:rPr>
              <w:t>1880608.68元</w:t>
            </w:r>
          </w:p>
        </w:tc>
        <w:tc>
          <w:tcPr>
            <w:tcW w:w="149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ageBreakBefore w:val="0"/>
              <w:kinsoku/>
              <w:wordWrap/>
              <w:overflowPunct/>
              <w:topLinePunct w:val="0"/>
              <w:autoSpaceDE/>
              <w:autoSpaceDN/>
              <w:bidi w:val="0"/>
              <w:adjustRightInd/>
              <w:snapToGrid/>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highlight w:val="none"/>
                <w:lang w:val="en-US" w:eastAsia="zh-CN"/>
              </w:rPr>
              <w:t>1880608.68</w:t>
            </w:r>
          </w:p>
        </w:tc>
      </w:tr>
    </w:tbl>
    <w:p>
      <w:pPr>
        <w:pageBreakBefore w:val="0"/>
        <w:kinsoku/>
        <w:wordWrap/>
        <w:overflowPunct/>
        <w:topLinePunct w:val="0"/>
        <w:autoSpaceDE/>
        <w:autoSpaceDN/>
        <w:bidi w:val="0"/>
        <w:adjustRightInd/>
        <w:snapToGrid/>
        <w:spacing w:line="360" w:lineRule="auto"/>
        <w:ind w:firstLine="480" w:firstLineChars="200"/>
        <w:rPr>
          <w:rFonts w:hint="eastAsia" w:ascii="宋体" w:hAnsi="宋体" w:cs="宋体"/>
          <w:sz w:val="24"/>
          <w:szCs w:val="24"/>
        </w:rPr>
      </w:pPr>
      <w:r>
        <w:rPr>
          <w:rFonts w:hint="eastAsia" w:ascii="宋体" w:hAnsi="宋体" w:cs="宋体"/>
          <w:sz w:val="24"/>
          <w:szCs w:val="24"/>
        </w:rPr>
        <w:t>本合同包不接受联合体投标</w:t>
      </w:r>
    </w:p>
    <w:p>
      <w:pPr>
        <w:pageBreakBefore w:val="0"/>
        <w:kinsoku/>
        <w:wordWrap/>
        <w:overflowPunct/>
        <w:topLinePunct w:val="0"/>
        <w:autoSpaceDE/>
        <w:autoSpaceDN/>
        <w:bidi w:val="0"/>
        <w:adjustRightInd/>
        <w:snapToGrid/>
        <w:spacing w:line="360" w:lineRule="auto"/>
        <w:ind w:firstLine="480" w:firstLineChars="200"/>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合同履行期限:</w:t>
      </w:r>
      <w:r>
        <w:rPr>
          <w:rFonts w:hint="eastAsia" w:ascii="宋体" w:hAnsi="宋体" w:cs="宋体"/>
          <w:sz w:val="24"/>
          <w:szCs w:val="24"/>
        </w:rPr>
        <w:t xml:space="preserve">自合同签订后 </w:t>
      </w:r>
      <w:r>
        <w:rPr>
          <w:rFonts w:hint="eastAsia" w:ascii="宋体" w:hAnsi="宋体" w:cs="宋体"/>
          <w:sz w:val="24"/>
          <w:szCs w:val="24"/>
          <w:lang w:val="en-US" w:eastAsia="zh-CN"/>
        </w:rPr>
        <w:t>60</w:t>
      </w:r>
      <w:r>
        <w:rPr>
          <w:rFonts w:hint="eastAsia" w:ascii="宋体" w:hAnsi="宋体" w:cs="宋体"/>
          <w:sz w:val="24"/>
          <w:szCs w:val="24"/>
        </w:rPr>
        <w:t>个日历日。</w:t>
      </w:r>
    </w:p>
    <w:p>
      <w:pPr>
        <w:pStyle w:val="4"/>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sz w:val="24"/>
          <w:szCs w:val="24"/>
          <w:highlight w:val="none"/>
        </w:rPr>
      </w:pPr>
      <w:bookmarkStart w:id="15" w:name="_Toc21635"/>
      <w:bookmarkStart w:id="16" w:name="_Toc18221"/>
      <w:bookmarkStart w:id="17" w:name="_Toc8273"/>
      <w:r>
        <w:rPr>
          <w:rFonts w:hint="eastAsia" w:ascii="宋体" w:hAnsi="宋体" w:eastAsia="宋体" w:cs="宋体"/>
          <w:b/>
          <w:sz w:val="24"/>
          <w:szCs w:val="24"/>
          <w:highlight w:val="none"/>
        </w:rPr>
        <w:t xml:space="preserve">二、 </w:t>
      </w:r>
      <w:r>
        <w:rPr>
          <w:rFonts w:hint="eastAsia" w:ascii="宋体" w:hAnsi="宋体" w:eastAsia="宋体" w:cs="宋体"/>
          <w:b/>
          <w:sz w:val="24"/>
          <w:szCs w:val="24"/>
          <w:highlight w:val="none"/>
          <w:lang w:eastAsia="zh-CN"/>
        </w:rPr>
        <w:t>供应商</w:t>
      </w:r>
      <w:r>
        <w:rPr>
          <w:rFonts w:hint="eastAsia" w:ascii="宋体" w:hAnsi="宋体" w:eastAsia="宋体" w:cs="宋体"/>
          <w:b/>
          <w:sz w:val="24"/>
          <w:szCs w:val="24"/>
          <w:highlight w:val="none"/>
        </w:rPr>
        <w:t>的资格要求</w:t>
      </w:r>
      <w:bookmarkEnd w:id="15"/>
      <w:bookmarkEnd w:id="16"/>
      <w:bookmarkEnd w:id="17"/>
    </w:p>
    <w:p>
      <w:pPr>
        <w:pageBreakBefore w:val="0"/>
        <w:kinsoku/>
        <w:wordWrap/>
        <w:overflowPunct/>
        <w:topLinePunct w:val="0"/>
        <w:autoSpaceDE/>
        <w:autoSpaceDN/>
        <w:bidi w:val="0"/>
        <w:adjustRightInd/>
        <w:snapToGrid/>
        <w:spacing w:line="360" w:lineRule="auto"/>
        <w:ind w:firstLine="480" w:firstLineChars="200"/>
        <w:rPr>
          <w:rFonts w:hint="eastAsia" w:ascii="宋体" w:hAnsi="宋体" w:cs="宋体"/>
          <w:sz w:val="24"/>
          <w:szCs w:val="24"/>
        </w:rPr>
      </w:pPr>
      <w:r>
        <w:rPr>
          <w:rFonts w:hint="eastAsia" w:ascii="宋体" w:hAnsi="宋体" w:cs="宋体"/>
          <w:sz w:val="24"/>
          <w:szCs w:val="24"/>
        </w:rPr>
        <w:t>1.满足《中华人民共和国政府采购法》第二十二条规定;</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cs="宋体"/>
          <w:sz w:val="24"/>
          <w:szCs w:val="24"/>
        </w:rPr>
      </w:pPr>
      <w:r>
        <w:rPr>
          <w:rFonts w:hint="eastAsia" w:ascii="宋体" w:hAnsi="宋体" w:cs="宋体"/>
          <w:sz w:val="24"/>
          <w:szCs w:val="24"/>
        </w:rPr>
        <w:t>2.落实政府采购政策需满足的资格要求：</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依据《中华人民共和国政府采购法》和《中华人民共和国政府采购</w:t>
      </w:r>
      <w:r>
        <w:rPr>
          <w:rFonts w:hint="eastAsia" w:ascii="宋体" w:hAnsi="宋体" w:cs="宋体"/>
          <w:sz w:val="24"/>
          <w:szCs w:val="24"/>
          <w:lang w:eastAsia="zh-CN"/>
        </w:rPr>
        <w:t>法</w:t>
      </w:r>
      <w:r>
        <w:rPr>
          <w:rFonts w:hint="eastAsia" w:ascii="宋体" w:hAnsi="宋体" w:cs="宋体"/>
          <w:sz w:val="24"/>
          <w:szCs w:val="24"/>
        </w:rPr>
        <w:t>实施条例》的有关规定，落实政府采购政策。</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2-1</w:t>
      </w:r>
      <w:r>
        <w:rPr>
          <w:rFonts w:hint="eastAsia" w:ascii="宋体" w:hAnsi="宋体" w:cs="宋体"/>
          <w:sz w:val="24"/>
          <w:szCs w:val="24"/>
        </w:rPr>
        <w:t>《政府采购促进中小企业发展管理办法》的通知--财库〔2020〕46号；</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2-2</w:t>
      </w:r>
      <w:r>
        <w:rPr>
          <w:rFonts w:hint="eastAsia" w:ascii="宋体" w:hAnsi="宋体" w:cs="宋体"/>
          <w:sz w:val="24"/>
          <w:szCs w:val="24"/>
        </w:rPr>
        <w:t xml:space="preserve">财政部司法部关于政府采购支持监狱企业发展有关问题的通知--财库[2014]68号； </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2-3</w:t>
      </w:r>
      <w:r>
        <w:rPr>
          <w:rFonts w:hint="eastAsia" w:ascii="宋体" w:hAnsi="宋体" w:cs="宋体"/>
          <w:sz w:val="24"/>
          <w:szCs w:val="24"/>
        </w:rPr>
        <w:t>《财政部</w:t>
      </w:r>
      <w:r>
        <w:rPr>
          <w:rFonts w:hint="eastAsia" w:ascii="宋体" w:hAnsi="宋体" w:cs="宋体"/>
          <w:sz w:val="24"/>
          <w:szCs w:val="24"/>
          <w:lang w:val="en-US" w:eastAsia="zh-CN"/>
        </w:rPr>
        <w:t xml:space="preserve"> </w:t>
      </w:r>
      <w:r>
        <w:rPr>
          <w:rFonts w:hint="eastAsia" w:ascii="宋体" w:hAnsi="宋体" w:cs="宋体"/>
          <w:sz w:val="24"/>
          <w:szCs w:val="24"/>
        </w:rPr>
        <w:t>发展改革委 生态环境部 市场监管总局关于调整优化节能产品 环境标志产品政府采购执行机制的通知》（财库〔2019〕9号）；</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2-4</w:t>
      </w:r>
      <w:r>
        <w:rPr>
          <w:rFonts w:hint="eastAsia" w:ascii="宋体" w:hAnsi="宋体" w:cs="宋体"/>
          <w:sz w:val="24"/>
          <w:szCs w:val="24"/>
        </w:rPr>
        <w:t xml:space="preserve">《节能产品政府采购实施意见》--（财库[2004]185号）； </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2-5</w:t>
      </w:r>
      <w:r>
        <w:rPr>
          <w:rFonts w:hint="eastAsia" w:ascii="宋体" w:hAnsi="宋体" w:cs="宋体"/>
          <w:sz w:val="24"/>
          <w:szCs w:val="24"/>
        </w:rPr>
        <w:t>《环境标志产品政府采购实施的意见》--财库[2006]90号；</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2-6</w:t>
      </w:r>
      <w:r>
        <w:rPr>
          <w:rFonts w:hint="eastAsia" w:ascii="宋体" w:hAnsi="宋体" w:cs="宋体"/>
          <w:sz w:val="24"/>
          <w:szCs w:val="24"/>
        </w:rPr>
        <w:t>《关于促进残疾人就业政府采购政策的通知》（财库[2017]141号）；</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2-7</w:t>
      </w:r>
      <w:r>
        <w:rPr>
          <w:rFonts w:hint="eastAsia" w:ascii="宋体" w:hAnsi="宋体" w:cs="宋体"/>
          <w:sz w:val="24"/>
          <w:szCs w:val="24"/>
        </w:rPr>
        <w:t>《陕西省财政厅关于加快推进我省中小企业政府采购信用融资工作的通知》（陕财办采〔2020〕15 号）；</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2-8</w:t>
      </w:r>
      <w:r>
        <w:rPr>
          <w:rFonts w:hint="eastAsia" w:ascii="宋体" w:hAnsi="宋体" w:cs="宋体"/>
          <w:sz w:val="24"/>
          <w:szCs w:val="24"/>
        </w:rPr>
        <w:t>《陕西省中小企业政府采购信用融资办法》陕财办采〔2018〕23号；</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lang w:val="en-US" w:eastAsia="zh-CN"/>
        </w:rPr>
        <w:t>2-9</w:t>
      </w:r>
      <w:r>
        <w:rPr>
          <w:rFonts w:hint="eastAsia" w:ascii="宋体" w:hAnsi="宋体" w:cs="宋体"/>
          <w:sz w:val="24"/>
          <w:szCs w:val="24"/>
        </w:rPr>
        <w:t>《关于运用政府采购政策支持乡村产业振兴的通知》（财库〔2021〕19 号）</w:t>
      </w:r>
      <w:r>
        <w:rPr>
          <w:rFonts w:hint="eastAsia" w:ascii="宋体" w:hAnsi="宋体" w:cs="宋体"/>
          <w:sz w:val="24"/>
          <w:szCs w:val="24"/>
          <w:lang w:eastAsia="zh-CN"/>
        </w:rPr>
        <w:t>；</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2-10</w:t>
      </w:r>
      <w:r>
        <w:rPr>
          <w:rFonts w:hint="eastAsia" w:ascii="宋体" w:hAnsi="宋体" w:cs="宋体"/>
          <w:sz w:val="24"/>
          <w:szCs w:val="24"/>
        </w:rPr>
        <w:t>《财政部关于进一步加大政府采购支持中小企业力度的通知》（财政部财库（2022）19号</w:t>
      </w:r>
      <w:r>
        <w:rPr>
          <w:rFonts w:hint="eastAsia" w:ascii="宋体" w:hAnsi="宋体" w:cs="宋体"/>
          <w:sz w:val="24"/>
          <w:szCs w:val="24"/>
          <w:lang w:eastAsia="zh-CN"/>
        </w:rPr>
        <w:t>）；</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cs="宋体"/>
          <w:sz w:val="24"/>
          <w:szCs w:val="24"/>
        </w:rPr>
      </w:pPr>
      <w:r>
        <w:rPr>
          <w:rFonts w:hint="eastAsia" w:ascii="宋体" w:hAnsi="宋体" w:cs="宋体"/>
          <w:sz w:val="24"/>
          <w:szCs w:val="24"/>
        </w:rPr>
        <w:t>3.本项目的特定资格要求：</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cs="宋体"/>
          <w:sz w:val="24"/>
          <w:szCs w:val="24"/>
        </w:rPr>
      </w:pPr>
      <w:r>
        <w:rPr>
          <w:rFonts w:hint="eastAsia" w:ascii="宋体" w:hAnsi="宋体" w:cs="宋体"/>
          <w:sz w:val="24"/>
          <w:szCs w:val="24"/>
        </w:rPr>
        <w:t>合同包1(</w:t>
      </w:r>
      <w:r>
        <w:rPr>
          <w:rFonts w:hint="eastAsia" w:ascii="宋体" w:hAnsi="宋体" w:cs="宋体"/>
          <w:sz w:val="24"/>
          <w:szCs w:val="24"/>
          <w:highlight w:val="none"/>
          <w:lang w:val="en-US" w:eastAsia="zh-CN"/>
        </w:rPr>
        <w:t>岚皋县医院2024年苏陕协作“组团式”帮扶介入导管室建设项目（导管室装饰装修）</w:t>
      </w:r>
      <w:r>
        <w:rPr>
          <w:rFonts w:hint="eastAsia" w:ascii="宋体" w:hAnsi="宋体" w:eastAsia="宋体" w:cs="宋体"/>
          <w:sz w:val="24"/>
          <w:szCs w:val="24"/>
          <w:highlight w:val="none"/>
        </w:rPr>
        <w:t>项目</w:t>
      </w:r>
      <w:r>
        <w:rPr>
          <w:rFonts w:hint="eastAsia" w:ascii="宋体" w:hAnsi="宋体" w:cs="宋体"/>
          <w:sz w:val="24"/>
          <w:szCs w:val="24"/>
        </w:rPr>
        <w:t>)特定资格要求如下:</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lang w:eastAsia="zh-CN"/>
        </w:rPr>
      </w:pPr>
      <w:bookmarkStart w:id="18" w:name="_Toc30571"/>
      <w:r>
        <w:rPr>
          <w:rFonts w:hint="eastAsia" w:ascii="宋体" w:hAnsi="宋体" w:eastAsia="宋体" w:cs="宋体"/>
          <w:sz w:val="24"/>
          <w:szCs w:val="24"/>
        </w:rPr>
        <w:t>（1）具有独立承担民事责任的能力，提供营业执照、税务登记证、组织机构代码证或登载有统一社会信用代码的营业执照（或《事业单位法人证书》或其他合法组织登记证书、自然人只须提交身份证复印件）；</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（2）提供法定代表人授权书（附法定代表人身份证复印件）及被授权代表身份证复印件（法定代表人直接参加只须提供法定代表人身份证复印件）；</w:t>
      </w:r>
    </w:p>
    <w:p>
      <w:pPr>
        <w:pStyle w:val="24"/>
        <w:keepNext w:val="0"/>
        <w:keepLines w:val="0"/>
        <w:widowControl/>
        <w:suppressLineNumbers w:val="0"/>
        <w:spacing w:before="0" w:beforeAutospacing="1" w:after="0" w:afterAutospacing="1"/>
        <w:ind w:left="480" w:right="0"/>
        <w:rPr>
          <w:rFonts w:hint="eastAsia" w:ascii="宋体" w:hAnsi="宋体" w:eastAsia="宋体" w:cs="宋体"/>
          <w:color w:val="000000"/>
          <w:sz w:val="24"/>
          <w:szCs w:val="24"/>
          <w:u w:val="none" w:color="000000"/>
          <w:lang w:val="en-US" w:eastAsia="zh-CN" w:bidi="ar-SA"/>
        </w:rPr>
      </w:pPr>
      <w:r>
        <w:rPr>
          <w:rFonts w:hint="eastAsia" w:ascii="宋体" w:hAnsi="宋体" w:eastAsia="宋体" w:cs="宋体"/>
          <w:sz w:val="24"/>
          <w:szCs w:val="24"/>
          <w:lang w:val="en-US" w:eastAsia="zh-CN"/>
        </w:rPr>
        <w:t xml:space="preserve">   </w:t>
      </w:r>
      <w:r>
        <w:rPr>
          <w:rFonts w:hint="eastAsia" w:ascii="宋体" w:hAnsi="宋体" w:eastAsia="宋体" w:cs="宋体"/>
          <w:color w:val="000000"/>
          <w:sz w:val="24"/>
          <w:szCs w:val="24"/>
          <w:u w:val="none" w:color="000000"/>
          <w:lang w:val="en-US" w:eastAsia="zh-CN" w:bidi="ar-SA"/>
        </w:rPr>
        <w:t>（3）投标供应商必须具备建设行政主管部门颁发的建筑装修装饰工程专业承包二级及以上资质，且具备合格有效的安全生产许可证；并在人员、设备、资金等方面具备相应的施工能力（提供书面承诺）。</w:t>
      </w:r>
      <w:r>
        <w:rPr>
          <w:rFonts w:hint="eastAsia" w:ascii="宋体" w:hAnsi="宋体" w:eastAsia="宋体" w:cs="宋体"/>
          <w:color w:val="000000"/>
          <w:sz w:val="24"/>
          <w:szCs w:val="24"/>
          <w:u w:val="none" w:color="000000"/>
          <w:lang w:val="en-US" w:eastAsia="zh-CN" w:bidi="ar-SA"/>
        </w:rPr>
        <w:br w:type="textWrapping"/>
      </w:r>
      <w:r>
        <w:rPr>
          <w:rFonts w:hint="eastAsia" w:ascii="宋体" w:hAnsi="宋体" w:eastAsia="宋体" w:cs="宋体"/>
          <w:color w:val="000000"/>
          <w:sz w:val="24"/>
          <w:szCs w:val="24"/>
          <w:u w:val="none" w:color="000000"/>
          <w:lang w:val="en-US" w:eastAsia="zh-CN" w:bidi="ar-SA"/>
        </w:rPr>
        <w:t xml:space="preserve">   （</w:t>
      </w:r>
      <w:r>
        <w:rPr>
          <w:rFonts w:hint="default" w:ascii="宋体" w:hAnsi="宋体" w:eastAsia="宋体" w:cs="宋体"/>
          <w:color w:val="000000"/>
          <w:sz w:val="24"/>
          <w:szCs w:val="24"/>
          <w:u w:val="none" w:color="000000"/>
          <w:lang w:val="en-US" w:eastAsia="zh-CN" w:bidi="ar-SA"/>
        </w:rPr>
        <w:t>4</w:t>
      </w:r>
      <w:r>
        <w:rPr>
          <w:rFonts w:hint="eastAsia" w:ascii="宋体" w:hAnsi="宋体" w:eastAsia="宋体" w:cs="宋体"/>
          <w:color w:val="000000"/>
          <w:sz w:val="24"/>
          <w:szCs w:val="24"/>
          <w:u w:val="none" w:color="000000"/>
          <w:lang w:val="en-US" w:eastAsia="zh-CN" w:bidi="ar-SA"/>
        </w:rPr>
        <w:t>）项目负责人须具备建筑工程专业二级及以上注册建造师资质、有效的安全生产考核</w:t>
      </w:r>
      <w:r>
        <w:rPr>
          <w:rFonts w:hint="default" w:ascii="宋体" w:hAnsi="宋体" w:eastAsia="宋体" w:cs="宋体"/>
          <w:color w:val="000000"/>
          <w:sz w:val="24"/>
          <w:szCs w:val="24"/>
          <w:u w:val="none" w:color="000000"/>
          <w:lang w:val="en-US" w:eastAsia="zh-CN" w:bidi="ar-SA"/>
        </w:rPr>
        <w:t>B</w:t>
      </w:r>
      <w:r>
        <w:rPr>
          <w:rFonts w:hint="eastAsia" w:ascii="宋体" w:hAnsi="宋体" w:eastAsia="宋体" w:cs="宋体"/>
          <w:color w:val="000000"/>
          <w:sz w:val="24"/>
          <w:szCs w:val="24"/>
          <w:u w:val="none" w:color="000000"/>
          <w:lang w:val="en-US" w:eastAsia="zh-CN" w:bidi="ar-SA"/>
        </w:rPr>
        <w:t>证且应提供项目经理无在建工程承诺书；</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highlight w:val="yellow"/>
          <w:lang w:eastAsia="zh-CN"/>
        </w:rPr>
      </w:pP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（5）财务状况报告：提供202</w:t>
      </w:r>
      <w:r>
        <w:rPr>
          <w:rFonts w:hint="eastAsia" w:ascii="宋体" w:hAnsi="宋体" w:eastAsia="宋体" w:cs="宋体"/>
          <w:sz w:val="24"/>
          <w:szCs w:val="24"/>
          <w:lang w:val="en-US" w:eastAsia="zh-CN"/>
        </w:rPr>
        <w:t>2</w:t>
      </w:r>
      <w:r>
        <w:rPr>
          <w:rFonts w:hint="eastAsia" w:ascii="宋体" w:hAnsi="宋体" w:eastAsia="宋体" w:cs="宋体"/>
          <w:sz w:val="24"/>
          <w:szCs w:val="24"/>
        </w:rPr>
        <w:t>年或202</w:t>
      </w:r>
      <w:r>
        <w:rPr>
          <w:rFonts w:hint="eastAsia" w:ascii="宋体" w:hAnsi="宋体" w:eastAsia="宋体" w:cs="宋体"/>
          <w:sz w:val="24"/>
          <w:szCs w:val="24"/>
          <w:lang w:val="en-US" w:eastAsia="zh-CN"/>
        </w:rPr>
        <w:t>3</w:t>
      </w:r>
      <w:r>
        <w:rPr>
          <w:rFonts w:hint="eastAsia" w:ascii="宋体" w:hAnsi="宋体" w:eastAsia="宋体" w:cs="宋体"/>
          <w:sz w:val="24"/>
          <w:szCs w:val="24"/>
        </w:rPr>
        <w:t>年度财务审计报告（成立时间至首次递交磋商响应文件截止时间不足1年的，可提供成立后任意时段的资产负债表）或其基本存款账户开户银行出具的资信证明；</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（6）有依法缴纳税收和社会保障资金的良好记录（提供投标人2023年</w:t>
      </w:r>
      <w:r>
        <w:rPr>
          <w:rFonts w:hint="eastAsia" w:ascii="宋体" w:hAnsi="宋体" w:cs="宋体"/>
          <w:sz w:val="24"/>
          <w:szCs w:val="24"/>
          <w:lang w:val="en-US" w:eastAsia="zh-CN"/>
        </w:rPr>
        <w:t>07</w:t>
      </w:r>
      <w:r>
        <w:rPr>
          <w:rFonts w:hint="eastAsia" w:ascii="宋体" w:hAnsi="宋体" w:eastAsia="宋体" w:cs="宋体"/>
          <w:sz w:val="24"/>
          <w:szCs w:val="24"/>
        </w:rPr>
        <w:t>月至首次递交磋商响应文件截止时间任意</w:t>
      </w:r>
      <w:r>
        <w:rPr>
          <w:rFonts w:hint="eastAsia" w:ascii="宋体" w:hAnsi="宋体" w:eastAsia="宋体" w:cs="宋体"/>
          <w:sz w:val="24"/>
          <w:szCs w:val="24"/>
          <w:lang w:eastAsia="zh-CN"/>
        </w:rPr>
        <w:t>三</w:t>
      </w:r>
      <w:r>
        <w:rPr>
          <w:rFonts w:hint="eastAsia" w:ascii="宋体" w:hAnsi="宋体" w:eastAsia="宋体" w:cs="宋体"/>
          <w:sz w:val="24"/>
          <w:szCs w:val="24"/>
        </w:rPr>
        <w:t>个月完税证明（依法免税的投标人应提供相关文件证明）；2023年</w:t>
      </w:r>
      <w:r>
        <w:rPr>
          <w:rFonts w:hint="eastAsia" w:ascii="宋体" w:hAnsi="宋体" w:cs="宋体"/>
          <w:sz w:val="24"/>
          <w:szCs w:val="24"/>
          <w:lang w:val="en-US" w:eastAsia="zh-CN"/>
        </w:rPr>
        <w:t>07</w:t>
      </w:r>
      <w:r>
        <w:rPr>
          <w:rFonts w:hint="eastAsia" w:ascii="宋体" w:hAnsi="宋体" w:eastAsia="宋体" w:cs="宋体"/>
          <w:sz w:val="24"/>
          <w:szCs w:val="24"/>
        </w:rPr>
        <w:t>月至首次递交磋商响应文件截止时间任意</w:t>
      </w:r>
      <w:r>
        <w:rPr>
          <w:rFonts w:hint="eastAsia" w:ascii="宋体" w:hAnsi="宋体" w:eastAsia="宋体" w:cs="宋体"/>
          <w:sz w:val="24"/>
          <w:szCs w:val="24"/>
          <w:lang w:eastAsia="zh-CN"/>
        </w:rPr>
        <w:t>三</w:t>
      </w:r>
      <w:r>
        <w:rPr>
          <w:rFonts w:hint="eastAsia" w:ascii="宋体" w:hAnsi="宋体" w:eastAsia="宋体" w:cs="宋体"/>
          <w:sz w:val="24"/>
          <w:szCs w:val="24"/>
        </w:rPr>
        <w:t>个月已缴纳社会保险的证明（专用收据或社会保险缴纳清单或社保缴纳证明，依法不需要缴纳社会保障资金的投标人应提供相关文件证明））；</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（7）书面声明：参加政府采购活动前三年内，在经营活动中没有重大违法记录声明；</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（8）具有履行合同所必需的设备和专业技术能力（</w:t>
      </w:r>
      <w:r>
        <w:rPr>
          <w:rFonts w:hint="eastAsia" w:ascii="宋体" w:hAnsi="宋体"/>
          <w:sz w:val="24"/>
          <w:szCs w:val="24"/>
        </w:rPr>
        <w:t>提供书面承诺</w:t>
      </w:r>
      <w:r>
        <w:rPr>
          <w:rFonts w:hint="eastAsia" w:ascii="宋体" w:hAnsi="宋体" w:eastAsia="宋体" w:cs="宋体"/>
          <w:sz w:val="24"/>
          <w:szCs w:val="24"/>
        </w:rPr>
        <w:t>）；</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9）供应商通过“信用中国”网站(www.creditchina.gov.cn)、中国政府采购网(www.ccgp.gov.cn)等查询相关主体信用记录，对列入失信被执行人、重大税收违法案件当事人名单、政府采购严重违法失信行为记录名单的供应商，将拒绝其参与政府采购活动；</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  (10)本项目专门面向</w:t>
      </w:r>
      <w:r>
        <w:rPr>
          <w:rFonts w:hint="eastAsia" w:ascii="宋体" w:hAnsi="宋体" w:eastAsia="宋体" w:cs="宋体"/>
          <w:sz w:val="24"/>
          <w:szCs w:val="24"/>
          <w:lang w:eastAsia="zh-CN"/>
        </w:rPr>
        <w:t>中小</w:t>
      </w:r>
      <w:r>
        <w:rPr>
          <w:rFonts w:hint="eastAsia" w:ascii="宋体" w:hAnsi="宋体" w:eastAsia="宋体" w:cs="宋体"/>
          <w:sz w:val="24"/>
          <w:szCs w:val="24"/>
        </w:rPr>
        <w:t>企业采购，供应商应根据《政府采购促进中小企业发展管理办法》（财库〔2020〕46号）提供中小企业声明函。供应商为监狱企业的，应提供监狱企业的证明文件；供应商为残疾人福利性单位的，应提供《残疾人福利性单位声明函》（监狱企业或残疾人福利性单位视同小型、微型企业）。</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1"/>
        <w:rPr>
          <w:rStyle w:val="44"/>
          <w:rFonts w:hint="eastAsia"/>
          <w:sz w:val="24"/>
          <w:szCs w:val="24"/>
        </w:rPr>
      </w:pPr>
      <w:r>
        <w:rPr>
          <w:rFonts w:hint="eastAsia" w:ascii="宋体" w:hAnsi="宋体" w:eastAsia="宋体" w:cs="宋体"/>
          <w:b/>
          <w:bCs/>
          <w:sz w:val="24"/>
          <w:szCs w:val="24"/>
          <w:highlight w:val="none"/>
        </w:rPr>
        <w:t>三、</w:t>
      </w:r>
      <w:r>
        <w:rPr>
          <w:rStyle w:val="44"/>
          <w:rFonts w:hint="eastAsia"/>
          <w:sz w:val="24"/>
          <w:szCs w:val="24"/>
        </w:rPr>
        <w:t>获取采购文件</w:t>
      </w:r>
      <w:bookmarkEnd w:id="18"/>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时间：</w:t>
      </w:r>
      <w:r>
        <w:rPr>
          <w:rFonts w:hint="eastAsia" w:ascii="宋体" w:hAnsi="宋体" w:cs="宋体"/>
          <w:sz w:val="24"/>
          <w:szCs w:val="24"/>
          <w:highlight w:val="none"/>
          <w:lang w:eastAsia="zh-CN"/>
        </w:rPr>
        <w:t>2024年</w:t>
      </w:r>
      <w:r>
        <w:rPr>
          <w:rFonts w:hint="eastAsia" w:ascii="宋体" w:hAnsi="宋体" w:cs="宋体"/>
          <w:sz w:val="24"/>
          <w:szCs w:val="24"/>
          <w:highlight w:val="none"/>
          <w:lang w:val="en-US" w:eastAsia="zh-CN"/>
        </w:rPr>
        <w:t>6</w:t>
      </w:r>
      <w:r>
        <w:rPr>
          <w:rFonts w:hint="eastAsia" w:ascii="宋体" w:hAnsi="宋体" w:cs="宋体"/>
          <w:sz w:val="24"/>
          <w:szCs w:val="24"/>
          <w:highlight w:val="none"/>
          <w:lang w:eastAsia="zh-CN"/>
        </w:rPr>
        <w:t>月</w:t>
      </w:r>
      <w:r>
        <w:rPr>
          <w:rFonts w:hint="eastAsia" w:ascii="宋体" w:hAnsi="宋体" w:cs="宋体"/>
          <w:sz w:val="24"/>
          <w:szCs w:val="24"/>
          <w:highlight w:val="none"/>
          <w:lang w:val="en-US" w:eastAsia="zh-CN"/>
        </w:rPr>
        <w:t>28</w:t>
      </w:r>
      <w:r>
        <w:rPr>
          <w:rFonts w:hint="eastAsia" w:ascii="宋体" w:hAnsi="宋体" w:cs="宋体"/>
          <w:sz w:val="24"/>
          <w:szCs w:val="24"/>
          <w:highlight w:val="none"/>
          <w:lang w:eastAsia="zh-CN"/>
        </w:rPr>
        <w:t>日</w:t>
      </w:r>
      <w:r>
        <w:rPr>
          <w:rFonts w:hint="eastAsia" w:ascii="宋体" w:hAnsi="宋体" w:eastAsia="宋体" w:cs="宋体"/>
          <w:sz w:val="24"/>
          <w:szCs w:val="24"/>
          <w:highlight w:val="none"/>
        </w:rPr>
        <w:t>至</w:t>
      </w:r>
      <w:r>
        <w:rPr>
          <w:rFonts w:hint="eastAsia" w:ascii="宋体" w:hAnsi="宋体" w:cs="宋体"/>
          <w:sz w:val="24"/>
          <w:szCs w:val="24"/>
          <w:highlight w:val="none"/>
          <w:lang w:eastAsia="zh-CN"/>
        </w:rPr>
        <w:t>2024年</w:t>
      </w:r>
      <w:r>
        <w:rPr>
          <w:rFonts w:hint="eastAsia" w:ascii="宋体" w:hAnsi="宋体" w:cs="宋体"/>
          <w:sz w:val="24"/>
          <w:szCs w:val="24"/>
          <w:highlight w:val="none"/>
          <w:lang w:val="en-US" w:eastAsia="zh-CN"/>
        </w:rPr>
        <w:t>7</w:t>
      </w:r>
      <w:r>
        <w:rPr>
          <w:rFonts w:hint="eastAsia" w:ascii="宋体" w:hAnsi="宋体" w:cs="宋体"/>
          <w:sz w:val="24"/>
          <w:szCs w:val="24"/>
          <w:highlight w:val="none"/>
          <w:lang w:eastAsia="zh-CN"/>
        </w:rPr>
        <w:t>月</w:t>
      </w:r>
      <w:r>
        <w:rPr>
          <w:rFonts w:hint="eastAsia" w:ascii="宋体" w:hAnsi="宋体" w:cs="宋体"/>
          <w:sz w:val="24"/>
          <w:szCs w:val="24"/>
          <w:highlight w:val="none"/>
          <w:lang w:val="en-US" w:eastAsia="zh-CN"/>
        </w:rPr>
        <w:t>5</w:t>
      </w:r>
      <w:r>
        <w:rPr>
          <w:rFonts w:hint="eastAsia" w:ascii="宋体" w:hAnsi="宋体" w:cs="宋体"/>
          <w:sz w:val="24"/>
          <w:szCs w:val="24"/>
          <w:highlight w:val="none"/>
          <w:lang w:eastAsia="zh-CN"/>
        </w:rPr>
        <w:t>日</w:t>
      </w:r>
      <w:r>
        <w:rPr>
          <w:rFonts w:hint="eastAsia" w:ascii="宋体" w:hAnsi="宋体" w:eastAsia="宋体" w:cs="宋体"/>
          <w:sz w:val="24"/>
          <w:szCs w:val="24"/>
          <w:highlight w:val="none"/>
        </w:rPr>
        <w:t>，每天上午0</w:t>
      </w: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:00</w:t>
      </w:r>
      <w:r>
        <w:rPr>
          <w:rFonts w:hint="eastAsia" w:ascii="宋体" w:hAnsi="宋体" w:eastAsia="宋体" w:cs="宋体"/>
          <w:sz w:val="24"/>
          <w:szCs w:val="24"/>
          <w:highlight w:val="none"/>
          <w:lang w:eastAsia="zh-CN"/>
        </w:rPr>
        <w:t>时</w:t>
      </w:r>
      <w:r>
        <w:rPr>
          <w:rFonts w:hint="eastAsia" w:ascii="宋体" w:hAnsi="宋体" w:eastAsia="宋体" w:cs="宋体"/>
          <w:sz w:val="24"/>
          <w:szCs w:val="24"/>
          <w:highlight w:val="none"/>
        </w:rPr>
        <w:t>至12:00</w:t>
      </w:r>
      <w:r>
        <w:rPr>
          <w:rFonts w:hint="eastAsia" w:ascii="宋体" w:hAnsi="宋体" w:eastAsia="宋体" w:cs="宋体"/>
          <w:sz w:val="24"/>
          <w:szCs w:val="24"/>
          <w:highlight w:val="none"/>
          <w:lang w:eastAsia="zh-CN"/>
        </w:rPr>
        <w:t>时</w:t>
      </w:r>
      <w:r>
        <w:rPr>
          <w:rFonts w:hint="eastAsia" w:ascii="宋体" w:hAnsi="宋体" w:eastAsia="宋体" w:cs="宋体"/>
          <w:sz w:val="24"/>
          <w:szCs w:val="24"/>
          <w:highlight w:val="none"/>
        </w:rPr>
        <w:t>，下午</w:t>
      </w:r>
      <w:r>
        <w:rPr>
          <w:rFonts w:hint="eastAsia" w:ascii="宋体" w:hAnsi="宋体" w:cs="宋体"/>
          <w:sz w:val="24"/>
          <w:szCs w:val="24"/>
          <w:highlight w:val="none"/>
          <w:lang w:val="en-US" w:eastAsia="zh-CN"/>
        </w:rPr>
        <w:t>14</w:t>
      </w: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0</w:t>
      </w:r>
      <w:r>
        <w:rPr>
          <w:rFonts w:hint="eastAsia" w:ascii="宋体" w:hAnsi="宋体" w:eastAsia="宋体" w:cs="宋体"/>
          <w:sz w:val="24"/>
          <w:szCs w:val="24"/>
          <w:highlight w:val="none"/>
        </w:rPr>
        <w:t>0</w:t>
      </w:r>
      <w:r>
        <w:rPr>
          <w:rFonts w:hint="eastAsia" w:ascii="宋体" w:hAnsi="宋体" w:eastAsia="宋体" w:cs="宋体"/>
          <w:sz w:val="24"/>
          <w:szCs w:val="24"/>
          <w:highlight w:val="none"/>
          <w:lang w:eastAsia="zh-CN"/>
        </w:rPr>
        <w:t>时</w:t>
      </w:r>
      <w:r>
        <w:rPr>
          <w:rFonts w:hint="eastAsia" w:ascii="宋体" w:hAnsi="宋体" w:eastAsia="宋体" w:cs="宋体"/>
          <w:sz w:val="24"/>
          <w:szCs w:val="24"/>
          <w:highlight w:val="none"/>
        </w:rPr>
        <w:t>至1</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:00</w:t>
      </w:r>
      <w:r>
        <w:rPr>
          <w:rFonts w:hint="eastAsia" w:ascii="宋体" w:hAnsi="宋体" w:eastAsia="宋体" w:cs="宋体"/>
          <w:sz w:val="24"/>
          <w:szCs w:val="24"/>
          <w:highlight w:val="none"/>
          <w:lang w:eastAsia="zh-CN"/>
        </w:rPr>
        <w:t>时</w:t>
      </w:r>
      <w:r>
        <w:rPr>
          <w:rFonts w:hint="eastAsia" w:ascii="宋体" w:hAnsi="宋体" w:eastAsia="宋体" w:cs="宋体"/>
          <w:sz w:val="24"/>
          <w:szCs w:val="24"/>
          <w:highlight w:val="none"/>
        </w:rPr>
        <w:t>（北京时间,法定节假日除外）</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地点：</w:t>
      </w:r>
      <w:r>
        <w:rPr>
          <w:rFonts w:hint="eastAsia" w:ascii="宋体" w:hAnsi="宋体" w:cs="宋体"/>
          <w:sz w:val="24"/>
          <w:szCs w:val="24"/>
          <w:highlight w:val="none"/>
          <w:lang w:eastAsia="zh-CN"/>
        </w:rPr>
        <w:t>安康</w:t>
      </w:r>
      <w:r>
        <w:rPr>
          <w:rFonts w:hint="eastAsia" w:ascii="宋体" w:hAnsi="宋体" w:eastAsia="宋体" w:cs="宋体"/>
          <w:sz w:val="24"/>
          <w:szCs w:val="24"/>
          <w:highlight w:val="none"/>
        </w:rPr>
        <w:t>市公共资源交易中心平台</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方式：在线获取</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售价：</w:t>
      </w:r>
      <w:r>
        <w:rPr>
          <w:rFonts w:hint="eastAsia" w:ascii="宋体" w:hAnsi="宋体" w:cs="宋体"/>
          <w:sz w:val="24"/>
          <w:szCs w:val="24"/>
          <w:highlight w:val="none"/>
          <w:lang w:val="en-US" w:eastAsia="zh-CN"/>
        </w:rPr>
        <w:t>0</w:t>
      </w:r>
      <w:r>
        <w:rPr>
          <w:rFonts w:hint="eastAsia" w:ascii="宋体" w:hAnsi="宋体" w:eastAsia="宋体" w:cs="宋体"/>
          <w:sz w:val="24"/>
          <w:szCs w:val="24"/>
          <w:highlight w:val="none"/>
        </w:rPr>
        <w:t>元</w:t>
      </w:r>
      <w:r>
        <w:rPr>
          <w:rFonts w:hint="eastAsia" w:ascii="宋体" w:hAnsi="宋体" w:cs="宋体"/>
          <w:sz w:val="24"/>
          <w:szCs w:val="24"/>
          <w:highlight w:val="none"/>
          <w:lang w:val="en-US" w:eastAsia="zh-CN"/>
        </w:rPr>
        <w:t>/份</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1"/>
        <w:rPr>
          <w:rFonts w:hint="eastAsia" w:ascii="宋体" w:hAnsi="宋体" w:eastAsia="宋体" w:cs="宋体"/>
          <w:b/>
          <w:bCs/>
          <w:sz w:val="24"/>
          <w:szCs w:val="24"/>
          <w:highlight w:val="none"/>
          <w:lang w:val="en-US" w:eastAsia="zh-CN"/>
        </w:rPr>
      </w:pPr>
      <w:bookmarkStart w:id="19" w:name="_Toc9914"/>
      <w:r>
        <w:rPr>
          <w:rFonts w:hint="eastAsia" w:ascii="宋体" w:hAnsi="宋体" w:eastAsia="宋体" w:cs="宋体"/>
          <w:b/>
          <w:bCs/>
          <w:sz w:val="24"/>
          <w:szCs w:val="24"/>
          <w:highlight w:val="none"/>
        </w:rPr>
        <w:t>四、响应文件递交</w:t>
      </w:r>
      <w:bookmarkEnd w:id="19"/>
      <w:r>
        <w:rPr>
          <w:rFonts w:hint="eastAsia" w:ascii="宋体" w:hAnsi="宋体" w:cs="宋体"/>
          <w:b/>
          <w:bCs/>
          <w:sz w:val="24"/>
          <w:szCs w:val="24"/>
          <w:highlight w:val="none"/>
          <w:lang w:val="en-US" w:eastAsia="zh-CN"/>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eastAsia="zh-CN"/>
        </w:rPr>
      </w:pPr>
      <w:r>
        <w:rPr>
          <w:rFonts w:hint="eastAsia" w:ascii="宋体" w:hAnsi="宋体" w:eastAsia="宋体" w:cs="宋体"/>
          <w:sz w:val="24"/>
          <w:szCs w:val="24"/>
          <w:highlight w:val="none"/>
          <w:lang w:eastAsia="zh-CN"/>
        </w:rPr>
        <w:t>截止时间：2024年</w:t>
      </w:r>
      <w:r>
        <w:rPr>
          <w:rFonts w:hint="eastAsia" w:ascii="宋体" w:hAnsi="宋体" w:cs="宋体"/>
          <w:sz w:val="24"/>
          <w:szCs w:val="24"/>
          <w:highlight w:val="none"/>
          <w:lang w:val="en-US" w:eastAsia="zh-CN"/>
        </w:rPr>
        <w:t>7</w:t>
      </w:r>
      <w:r>
        <w:rPr>
          <w:rFonts w:hint="eastAsia" w:ascii="宋体" w:hAnsi="宋体" w:eastAsia="宋体" w:cs="宋体"/>
          <w:sz w:val="24"/>
          <w:szCs w:val="24"/>
          <w:highlight w:val="none"/>
          <w:lang w:eastAsia="zh-CN"/>
        </w:rPr>
        <w:t>月</w:t>
      </w:r>
      <w:r>
        <w:rPr>
          <w:rFonts w:hint="eastAsia" w:ascii="宋体" w:hAnsi="宋体" w:cs="宋体"/>
          <w:sz w:val="24"/>
          <w:szCs w:val="24"/>
          <w:highlight w:val="none"/>
          <w:lang w:val="en-US" w:eastAsia="zh-CN"/>
        </w:rPr>
        <w:t>12</w:t>
      </w:r>
      <w:r>
        <w:rPr>
          <w:rFonts w:hint="eastAsia" w:ascii="宋体" w:hAnsi="宋体" w:eastAsia="宋体" w:cs="宋体"/>
          <w:sz w:val="24"/>
          <w:szCs w:val="24"/>
          <w:highlight w:val="none"/>
          <w:lang w:eastAsia="zh-CN"/>
        </w:rPr>
        <w:t>日</w:t>
      </w:r>
      <w:r>
        <w:rPr>
          <w:rFonts w:hint="eastAsia" w:ascii="宋体" w:hAnsi="宋体" w:cs="宋体"/>
          <w:sz w:val="24"/>
          <w:szCs w:val="24"/>
          <w:highlight w:val="none"/>
          <w:lang w:val="en-US" w:eastAsia="zh-CN"/>
        </w:rPr>
        <w:t>11</w:t>
      </w:r>
      <w:r>
        <w:rPr>
          <w:rFonts w:hint="eastAsia" w:ascii="宋体" w:hAnsi="宋体" w:eastAsia="宋体" w:cs="宋体"/>
          <w:sz w:val="24"/>
          <w:szCs w:val="24"/>
          <w:highlight w:val="none"/>
          <w:lang w:eastAsia="zh-CN"/>
        </w:rPr>
        <w:t>:00时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yellow"/>
          <w:lang w:val="en-US" w:eastAsia="zh-CN"/>
        </w:rPr>
      </w:pPr>
      <w:r>
        <w:rPr>
          <w:rFonts w:hint="eastAsia" w:ascii="宋体" w:hAnsi="宋体" w:eastAsia="宋体" w:cs="宋体"/>
          <w:sz w:val="24"/>
          <w:szCs w:val="24"/>
          <w:highlight w:val="none"/>
          <w:lang w:eastAsia="zh-CN"/>
        </w:rPr>
        <w:t>地点：</w:t>
      </w:r>
      <w:r>
        <w:rPr>
          <w:rFonts w:hint="eastAsia" w:ascii="宋体" w:hAnsi="宋体" w:eastAsia="宋体" w:cs="宋体"/>
          <w:color w:val="auto"/>
          <w:sz w:val="24"/>
          <w:szCs w:val="24"/>
          <w:highlight w:val="none"/>
        </w:rPr>
        <w:t>【全国公共资源交易平台（陕西省·</w:t>
      </w:r>
      <w:r>
        <w:rPr>
          <w:rFonts w:hint="eastAsia" w:ascii="宋体" w:hAnsi="宋体" w:cs="宋体"/>
          <w:color w:val="auto"/>
          <w:sz w:val="24"/>
          <w:szCs w:val="24"/>
          <w:highlight w:val="none"/>
          <w:lang w:eastAsia="zh-CN"/>
        </w:rPr>
        <w:t>安康</w:t>
      </w:r>
      <w:r>
        <w:rPr>
          <w:rFonts w:hint="eastAsia" w:ascii="宋体" w:hAnsi="宋体" w:eastAsia="宋体" w:cs="宋体"/>
          <w:color w:val="auto"/>
          <w:sz w:val="24"/>
          <w:szCs w:val="24"/>
          <w:highlight w:val="none"/>
        </w:rPr>
        <w:t>市）】</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1"/>
        <w:rPr>
          <w:rFonts w:hint="eastAsia" w:ascii="宋体" w:hAnsi="宋体" w:eastAsia="宋体" w:cs="宋体"/>
          <w:b/>
          <w:bCs/>
          <w:sz w:val="24"/>
          <w:szCs w:val="24"/>
          <w:highlight w:val="none"/>
        </w:rPr>
      </w:pPr>
      <w:bookmarkStart w:id="20" w:name="_Toc12195"/>
      <w:r>
        <w:rPr>
          <w:rFonts w:hint="eastAsia" w:ascii="宋体" w:hAnsi="宋体" w:eastAsia="宋体" w:cs="宋体"/>
          <w:b/>
          <w:bCs/>
          <w:sz w:val="24"/>
          <w:szCs w:val="24"/>
          <w:highlight w:val="none"/>
        </w:rPr>
        <w:t>五、开启</w:t>
      </w:r>
      <w:bookmarkEnd w:id="20"/>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时间：2024年</w:t>
      </w:r>
      <w:r>
        <w:rPr>
          <w:rFonts w:hint="eastAsia" w:ascii="宋体" w:hAnsi="宋体" w:cs="宋体"/>
          <w:sz w:val="24"/>
          <w:szCs w:val="24"/>
          <w:highlight w:val="none"/>
          <w:lang w:val="en-US" w:eastAsia="zh-CN"/>
        </w:rPr>
        <w:t>7</w:t>
      </w:r>
      <w:r>
        <w:rPr>
          <w:rFonts w:hint="eastAsia" w:ascii="宋体" w:hAnsi="宋体" w:eastAsia="宋体" w:cs="宋体"/>
          <w:sz w:val="24"/>
          <w:szCs w:val="24"/>
          <w:highlight w:val="none"/>
          <w:lang w:eastAsia="zh-CN"/>
        </w:rPr>
        <w:t>月</w:t>
      </w:r>
      <w:r>
        <w:rPr>
          <w:rFonts w:hint="eastAsia" w:ascii="宋体" w:hAnsi="宋体" w:cs="宋体"/>
          <w:sz w:val="24"/>
          <w:szCs w:val="24"/>
          <w:highlight w:val="none"/>
          <w:lang w:val="en-US" w:eastAsia="zh-CN"/>
        </w:rPr>
        <w:t>12</w:t>
      </w:r>
      <w:r>
        <w:rPr>
          <w:rFonts w:hint="eastAsia" w:ascii="宋体" w:hAnsi="宋体" w:eastAsia="宋体" w:cs="宋体"/>
          <w:sz w:val="24"/>
          <w:szCs w:val="24"/>
          <w:highlight w:val="none"/>
          <w:lang w:eastAsia="zh-CN"/>
        </w:rPr>
        <w:t>日</w:t>
      </w:r>
      <w:r>
        <w:rPr>
          <w:rFonts w:hint="eastAsia" w:ascii="宋体" w:hAnsi="宋体" w:cs="宋体"/>
          <w:sz w:val="24"/>
          <w:szCs w:val="24"/>
          <w:highlight w:val="none"/>
          <w:lang w:val="en-US" w:eastAsia="zh-CN"/>
        </w:rPr>
        <w:t>11</w:t>
      </w:r>
      <w:r>
        <w:rPr>
          <w:rFonts w:hint="eastAsia" w:ascii="宋体" w:hAnsi="宋体" w:eastAsia="宋体" w:cs="宋体"/>
          <w:sz w:val="24"/>
          <w:szCs w:val="24"/>
          <w:highlight w:val="none"/>
          <w:lang w:eastAsia="zh-CN"/>
        </w:rPr>
        <w:t>:00时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地点：</w:t>
      </w:r>
      <w:r>
        <w:rPr>
          <w:rFonts w:hint="eastAsia" w:ascii="宋体" w:hAnsi="宋体" w:cs="宋体"/>
          <w:sz w:val="24"/>
          <w:szCs w:val="24"/>
          <w:highlight w:val="none"/>
          <w:lang w:eastAsia="zh-CN"/>
        </w:rPr>
        <w:t>安康</w:t>
      </w:r>
      <w:r>
        <w:rPr>
          <w:rFonts w:hint="eastAsia" w:ascii="宋体" w:hAnsi="宋体" w:eastAsia="宋体" w:cs="宋体"/>
          <w:sz w:val="24"/>
          <w:szCs w:val="24"/>
          <w:highlight w:val="none"/>
          <w:lang w:eastAsia="zh-CN"/>
        </w:rPr>
        <w:t>市公共资源交易中心</w:t>
      </w:r>
      <w:r>
        <w:rPr>
          <w:rFonts w:hint="eastAsia" w:ascii="宋体" w:hAnsi="宋体" w:eastAsia="宋体" w:cs="宋体"/>
          <w:sz w:val="24"/>
          <w:szCs w:val="24"/>
          <w:highlight w:val="none"/>
          <w:lang w:val="en-US" w:eastAsia="zh-CN"/>
        </w:rPr>
        <w:t>307第五开标室</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1"/>
        <w:rPr>
          <w:rFonts w:hint="eastAsia" w:ascii="宋体" w:hAnsi="宋体" w:eastAsia="宋体" w:cs="宋体"/>
          <w:b/>
          <w:bCs/>
          <w:sz w:val="24"/>
          <w:szCs w:val="24"/>
          <w:highlight w:val="none"/>
        </w:rPr>
      </w:pPr>
      <w:bookmarkStart w:id="21" w:name="_Toc2969"/>
      <w:r>
        <w:rPr>
          <w:rFonts w:hint="eastAsia" w:ascii="宋体" w:hAnsi="宋体" w:eastAsia="宋体" w:cs="宋体"/>
          <w:b/>
          <w:bCs/>
          <w:sz w:val="24"/>
          <w:szCs w:val="24"/>
          <w:highlight w:val="none"/>
        </w:rPr>
        <w:t>六</w:t>
      </w:r>
      <w:r>
        <w:rPr>
          <w:rFonts w:hint="eastAsia" w:ascii="宋体" w:hAnsi="宋体" w:cs="宋体"/>
          <w:b/>
          <w:bCs/>
          <w:sz w:val="24"/>
          <w:szCs w:val="24"/>
          <w:highlight w:val="none"/>
          <w:lang w:eastAsia="zh-CN"/>
        </w:rPr>
        <w:t>、</w:t>
      </w:r>
      <w:r>
        <w:rPr>
          <w:rFonts w:hint="eastAsia" w:ascii="宋体" w:hAnsi="宋体" w:eastAsia="宋体" w:cs="宋体"/>
          <w:b/>
          <w:bCs/>
          <w:sz w:val="24"/>
          <w:szCs w:val="24"/>
          <w:highlight w:val="none"/>
        </w:rPr>
        <w:t>公告期限</w:t>
      </w:r>
      <w:bookmarkEnd w:id="21"/>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自本公告发布之日起</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个工作日</w:t>
      </w:r>
      <w:r>
        <w:rPr>
          <w:rFonts w:hint="eastAsia" w:ascii="宋体" w:hAnsi="宋体" w:eastAsia="宋体" w:cs="宋体"/>
          <w:sz w:val="24"/>
          <w:szCs w:val="24"/>
          <w:highlight w:val="none"/>
          <w:lang w:eastAsia="zh-CN"/>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1"/>
        <w:rPr>
          <w:rFonts w:hint="eastAsia" w:ascii="宋体" w:hAnsi="宋体" w:eastAsia="宋体" w:cs="宋体"/>
          <w:b/>
          <w:bCs/>
          <w:sz w:val="24"/>
          <w:szCs w:val="24"/>
          <w:highlight w:val="none"/>
        </w:rPr>
      </w:pPr>
      <w:bookmarkStart w:id="22" w:name="_Toc8724"/>
      <w:r>
        <w:rPr>
          <w:rFonts w:hint="eastAsia" w:ascii="宋体" w:hAnsi="宋体" w:cs="宋体"/>
          <w:b/>
          <w:bCs/>
          <w:sz w:val="24"/>
          <w:szCs w:val="24"/>
          <w:highlight w:val="none"/>
          <w:lang w:eastAsia="zh-CN"/>
        </w:rPr>
        <w:t>七</w:t>
      </w:r>
      <w:r>
        <w:rPr>
          <w:rFonts w:hint="eastAsia" w:ascii="宋体" w:hAnsi="宋体" w:eastAsia="宋体" w:cs="宋体"/>
          <w:b/>
          <w:bCs/>
          <w:sz w:val="24"/>
          <w:szCs w:val="24"/>
          <w:highlight w:val="none"/>
        </w:rPr>
        <w:t>、其他补充事宜</w:t>
      </w:r>
      <w:bookmarkEnd w:id="22"/>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highlight w:val="none"/>
          <w:lang w:eastAsia="zh-CN"/>
        </w:rPr>
      </w:pPr>
      <w:bookmarkStart w:id="23" w:name="_Toc21902"/>
      <w:r>
        <w:rPr>
          <w:rFonts w:hint="eastAsia" w:ascii="宋体" w:hAnsi="宋体" w:eastAsia="宋体" w:cs="宋体"/>
          <w:sz w:val="24"/>
          <w:szCs w:val="24"/>
          <w:highlight w:val="none"/>
          <w:lang w:eastAsia="zh-CN"/>
        </w:rPr>
        <w:t>注：1、本公告同时在【陕西省政府采购网】、【全国公共资源交易平台（陕西省·</w:t>
      </w:r>
      <w:r>
        <w:rPr>
          <w:rFonts w:hint="eastAsia" w:ascii="宋体" w:hAnsi="宋体" w:cs="宋体"/>
          <w:sz w:val="24"/>
          <w:szCs w:val="24"/>
          <w:highlight w:val="none"/>
          <w:lang w:eastAsia="zh-CN"/>
        </w:rPr>
        <w:t>安康</w:t>
      </w:r>
      <w:r>
        <w:rPr>
          <w:rFonts w:hint="eastAsia" w:ascii="宋体" w:hAnsi="宋体" w:eastAsia="宋体" w:cs="宋体"/>
          <w:sz w:val="24"/>
          <w:szCs w:val="24"/>
          <w:highlight w:val="none"/>
          <w:lang w:eastAsia="zh-CN"/>
        </w:rPr>
        <w:t>市）】发布。</w:t>
      </w:r>
    </w:p>
    <w:p>
      <w:pPr>
        <w:pageBreakBefore w:val="0"/>
        <w:widowControl w:val="0"/>
        <w:kinsoku/>
        <w:wordWrap/>
        <w:overflowPunct/>
        <w:topLinePunct w:val="0"/>
        <w:autoSpaceDE/>
        <w:autoSpaceDN/>
        <w:bidi w:val="0"/>
        <w:adjustRightInd/>
        <w:snapToGrid/>
        <w:spacing w:line="360" w:lineRule="auto"/>
        <w:ind w:firstLine="960" w:firstLineChars="400"/>
        <w:jc w:val="left"/>
        <w:textAlignment w:val="auto"/>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2、投标人在递交投标文件截止时间前被“信用中国”网站（www.creditchina.gov.cn）和中国政府采购网（www.ccgp.gov.cn）上被列入失信被执行人、重大税收违法失信主体、政府采购严重违法失信行为记录名单的，不得参加投标；</w:t>
      </w:r>
    </w:p>
    <w:p>
      <w:pPr>
        <w:pageBreakBefore w:val="0"/>
        <w:widowControl w:val="0"/>
        <w:kinsoku/>
        <w:wordWrap/>
        <w:overflowPunct/>
        <w:topLinePunct w:val="0"/>
        <w:autoSpaceDE/>
        <w:autoSpaceDN/>
        <w:bidi w:val="0"/>
        <w:adjustRightInd/>
        <w:snapToGrid/>
        <w:spacing w:line="360" w:lineRule="auto"/>
        <w:ind w:firstLine="960" w:firstLineChars="400"/>
        <w:jc w:val="left"/>
        <w:textAlignment w:val="auto"/>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lang w:eastAsia="zh-CN"/>
        </w:rPr>
        <w:t>、文件获取方式及注意事项：</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lang w:eastAsia="zh-CN"/>
        </w:rPr>
        <w:t>-1报名登记：供应商使用捆绑CA证书登录全国公共资源交易平台（陕西省·</w:t>
      </w:r>
      <w:r>
        <w:rPr>
          <w:rFonts w:hint="eastAsia" w:ascii="宋体" w:hAnsi="宋体" w:cs="宋体"/>
          <w:sz w:val="24"/>
          <w:szCs w:val="24"/>
          <w:highlight w:val="none"/>
          <w:lang w:eastAsia="zh-CN"/>
        </w:rPr>
        <w:t>安康</w:t>
      </w:r>
      <w:r>
        <w:rPr>
          <w:rFonts w:hint="eastAsia" w:ascii="宋体" w:hAnsi="宋体" w:eastAsia="宋体" w:cs="宋体"/>
          <w:sz w:val="24"/>
          <w:szCs w:val="24"/>
          <w:highlight w:val="none"/>
          <w:lang w:eastAsia="zh-CN"/>
        </w:rPr>
        <w:t>市）</w:t>
      </w:r>
      <w:r>
        <w:rPr>
          <w:rFonts w:hint="eastAsia" w:ascii="宋体" w:hAnsi="宋体" w:cs="宋体"/>
          <w:sz w:val="24"/>
          <w:szCs w:val="24"/>
          <w:highlight w:val="none"/>
          <w:lang w:eastAsia="zh-CN"/>
        </w:rPr>
        <w:t>安康</w:t>
      </w:r>
      <w:r>
        <w:rPr>
          <w:rFonts w:hint="eastAsia" w:ascii="宋体" w:hAnsi="宋体" w:eastAsia="宋体" w:cs="宋体"/>
          <w:sz w:val="24"/>
          <w:szCs w:val="24"/>
          <w:highlight w:val="none"/>
          <w:lang w:eastAsia="zh-CN"/>
        </w:rPr>
        <w:t>市公共资源交易中心（http://</w:t>
      </w:r>
      <w:r>
        <w:rPr>
          <w:rFonts w:hint="eastAsia" w:ascii="宋体" w:hAnsi="宋体" w:cs="宋体"/>
          <w:sz w:val="24"/>
          <w:szCs w:val="24"/>
          <w:highlight w:val="none"/>
          <w:lang w:eastAsia="zh-CN"/>
        </w:rPr>
        <w:t>ak</w:t>
      </w:r>
      <w:r>
        <w:rPr>
          <w:rFonts w:hint="eastAsia" w:ascii="宋体" w:hAnsi="宋体" w:eastAsia="宋体" w:cs="宋体"/>
          <w:sz w:val="24"/>
          <w:szCs w:val="24"/>
          <w:highlight w:val="none"/>
          <w:lang w:eastAsia="zh-CN"/>
        </w:rPr>
        <w:t>.sxggzyjy.cn/），选择电子交易平台中的陕西政府采购交易系统（http://www.sxggzyjy.cn:9002/TPBidder ）进行登录，登录后选择“交易乙方”身份进入供应商界面进行报名。</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lang w:eastAsia="zh-CN"/>
        </w:rPr>
        <w:t>-2友情提示：</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（1）本项目为电子化政府采购项目，供应商初次登录</w:t>
      </w:r>
      <w:r>
        <w:rPr>
          <w:rFonts w:hint="eastAsia" w:ascii="宋体" w:hAnsi="宋体" w:cs="宋体"/>
          <w:sz w:val="24"/>
          <w:szCs w:val="24"/>
          <w:highlight w:val="none"/>
          <w:lang w:eastAsia="zh-CN"/>
        </w:rPr>
        <w:t>安康</w:t>
      </w:r>
      <w:r>
        <w:rPr>
          <w:rFonts w:hint="eastAsia" w:ascii="宋体" w:hAnsi="宋体" w:eastAsia="宋体" w:cs="宋体"/>
          <w:sz w:val="24"/>
          <w:szCs w:val="24"/>
          <w:highlight w:val="none"/>
          <w:lang w:eastAsia="zh-CN"/>
        </w:rPr>
        <w:t>市公共资源交易平台前应先完成诚信入库登记、CA认证和企业信息绑定。</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（2）制作电子投标文件（*.SXSTF）需要使用专用制作工具。软件下载及操作说明详见</w:t>
      </w:r>
      <w:r>
        <w:rPr>
          <w:rFonts w:hint="eastAsia" w:ascii="宋体" w:hAnsi="宋体" w:cs="宋体"/>
          <w:sz w:val="24"/>
          <w:szCs w:val="24"/>
          <w:highlight w:val="none"/>
          <w:lang w:eastAsia="zh-CN"/>
        </w:rPr>
        <w:t>安康</w:t>
      </w:r>
      <w:r>
        <w:rPr>
          <w:rFonts w:hint="eastAsia" w:ascii="宋体" w:hAnsi="宋体" w:eastAsia="宋体" w:cs="宋体"/>
          <w:sz w:val="24"/>
          <w:szCs w:val="24"/>
          <w:highlight w:val="none"/>
          <w:lang w:eastAsia="zh-CN"/>
        </w:rPr>
        <w:t>市公共资源交易平台〖首页·〉服务指南·〉下载专区〗中的《政府采购项目投标文件制作软件及操作手册》。</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（3）提交投标文件截止时间前，供应商应随时留意【陕西省政府采购网】、【全国公共资源交易平台（陕西省·</w:t>
      </w:r>
      <w:r>
        <w:rPr>
          <w:rFonts w:hint="eastAsia" w:ascii="宋体" w:hAnsi="宋体" w:cs="宋体"/>
          <w:sz w:val="24"/>
          <w:szCs w:val="24"/>
          <w:highlight w:val="none"/>
          <w:lang w:eastAsia="zh-CN"/>
        </w:rPr>
        <w:t>安康</w:t>
      </w:r>
      <w:r>
        <w:rPr>
          <w:rFonts w:hint="eastAsia" w:ascii="宋体" w:hAnsi="宋体" w:eastAsia="宋体" w:cs="宋体"/>
          <w:sz w:val="24"/>
          <w:szCs w:val="24"/>
          <w:highlight w:val="none"/>
          <w:lang w:eastAsia="zh-CN"/>
        </w:rPr>
        <w:t>市）】上可能发布的变更公告。若变更公告中明确注明本项目提供有变更文件的，供应商应登录企业端后，从〖项目流程·〉项目管理·〉答疑文件下载〗获取更新后的电子招标文件（*.SXSCF），使用旧版电子招标文件制作的电子投标文件（*.SXSTF），系统将拒绝接收。</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本项目为“全流程电子化”“不见面”采购模式，实行线上电子投标方式，各供应商须自行在网上下载磋商文件、缴纳磋商保证金、递交磋商文件、在线参与磋商过程，并登录全国公共资源交易平台（陕西省</w:t>
      </w:r>
      <w:r>
        <w:rPr>
          <w:rFonts w:hint="eastAsia" w:ascii="宋体" w:hAnsi="宋体" w:cs="宋体"/>
          <w:sz w:val="24"/>
          <w:szCs w:val="24"/>
          <w:highlight w:val="none"/>
          <w:lang w:eastAsia="zh-CN"/>
        </w:rPr>
        <w:t>安康</w:t>
      </w:r>
      <w:r>
        <w:rPr>
          <w:rFonts w:hint="eastAsia" w:ascii="宋体" w:hAnsi="宋体" w:eastAsia="宋体" w:cs="宋体"/>
          <w:sz w:val="24"/>
          <w:szCs w:val="24"/>
          <w:highlight w:val="none"/>
          <w:lang w:eastAsia="zh-CN"/>
        </w:rPr>
        <w:t>市）</w:t>
      </w:r>
      <w:r>
        <w:rPr>
          <w:rFonts w:hint="eastAsia" w:ascii="宋体" w:hAnsi="宋体" w:cs="宋体"/>
          <w:sz w:val="24"/>
          <w:szCs w:val="24"/>
          <w:highlight w:val="none"/>
          <w:lang w:eastAsia="zh-CN"/>
        </w:rPr>
        <w:t>安康</w:t>
      </w:r>
      <w:r>
        <w:rPr>
          <w:rFonts w:hint="eastAsia" w:ascii="宋体" w:hAnsi="宋体" w:eastAsia="宋体" w:cs="宋体"/>
          <w:sz w:val="24"/>
          <w:szCs w:val="24"/>
          <w:highlight w:val="none"/>
          <w:lang w:eastAsia="zh-CN"/>
        </w:rPr>
        <w:t>市公共资源交易中心（http://</w:t>
      </w:r>
      <w:r>
        <w:rPr>
          <w:rFonts w:hint="eastAsia" w:ascii="宋体" w:hAnsi="宋体" w:cs="宋体"/>
          <w:sz w:val="24"/>
          <w:szCs w:val="24"/>
          <w:highlight w:val="none"/>
          <w:lang w:eastAsia="zh-CN"/>
        </w:rPr>
        <w:t>ak</w:t>
      </w:r>
      <w:r>
        <w:rPr>
          <w:rFonts w:hint="eastAsia" w:ascii="宋体" w:hAnsi="宋体" w:eastAsia="宋体" w:cs="宋体"/>
          <w:sz w:val="24"/>
          <w:szCs w:val="24"/>
          <w:highlight w:val="none"/>
          <w:lang w:eastAsia="zh-CN"/>
        </w:rPr>
        <w:t>.sxggzyjy.cn/）-服务指南-下载专区-下载“政府采购电子交易-不见面系统操作手册-投标人”，并下载政府采购电子标书制作工具，按照流程制作电子标书并在规定的投标截止时前上传电子投标文件；建议使用IE11浏览器或360极速浏览器兼容模式，同时必须安装陕西省公共资源CA驱动，供应商须自备配音耳麦，确保磋商及报价环节能顺利进行；为了保证远程不见面开标顺利进行，投标人需使用配备相关设备的电脑提前一小时登录网络开标大厅签到。因投标人自身设施故障或自身原因导致无法完成投标的，由投标人自行承担后果。</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eastAsia="zh-CN"/>
        </w:rPr>
        <w:t>、磋商响应文件的提交方式：从</w:t>
      </w:r>
      <w:r>
        <w:rPr>
          <w:rFonts w:hint="eastAsia" w:ascii="宋体" w:hAnsi="宋体" w:cs="宋体"/>
          <w:sz w:val="24"/>
          <w:szCs w:val="24"/>
          <w:highlight w:val="none"/>
          <w:lang w:eastAsia="zh-CN"/>
        </w:rPr>
        <w:t>安康</w:t>
      </w:r>
      <w:r>
        <w:rPr>
          <w:rFonts w:hint="eastAsia" w:ascii="宋体" w:hAnsi="宋体" w:eastAsia="宋体" w:cs="宋体"/>
          <w:sz w:val="24"/>
          <w:szCs w:val="24"/>
          <w:highlight w:val="none"/>
          <w:lang w:eastAsia="zh-CN"/>
        </w:rPr>
        <w:t>市公共资源交易平台〖首页·〉电子交易平台·〉陕西政府采购交易系统·〉企业端〗登录，登录后切换到〖我的项目〗模块，依次点选〖项目流程·〉项目管理·〉上传响应文件〗上传加密后的电子投标文件（*.SXSTF）。</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lang w:eastAsia="zh-CN"/>
        </w:rPr>
        <w:t>、请各供应商购买磋商文件后，按照陕西省财政厅《关于政府采供应商注册登记有关事项的通知》要求，通过陕西省政府采购网注册登记加入陕西省政府采购供应商库。</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1"/>
        <w:rPr>
          <w:rFonts w:hint="eastAsia" w:ascii="宋体" w:hAnsi="宋体" w:eastAsia="宋体" w:cs="宋体"/>
          <w:b/>
          <w:bCs/>
          <w:sz w:val="24"/>
          <w:szCs w:val="24"/>
          <w:highlight w:val="none"/>
        </w:rPr>
      </w:pPr>
      <w:r>
        <w:rPr>
          <w:rFonts w:hint="eastAsia" w:ascii="宋体" w:hAnsi="宋体" w:cs="宋体"/>
          <w:b/>
          <w:bCs/>
          <w:sz w:val="24"/>
          <w:szCs w:val="24"/>
          <w:highlight w:val="none"/>
          <w:lang w:eastAsia="zh-CN"/>
        </w:rPr>
        <w:t>八</w:t>
      </w:r>
      <w:r>
        <w:rPr>
          <w:rFonts w:hint="eastAsia" w:ascii="宋体" w:hAnsi="宋体" w:eastAsia="宋体" w:cs="宋体"/>
          <w:b/>
          <w:bCs/>
          <w:sz w:val="24"/>
          <w:szCs w:val="24"/>
          <w:highlight w:val="none"/>
        </w:rPr>
        <w:t>、凡对本次</w:t>
      </w:r>
      <w:r>
        <w:rPr>
          <w:rFonts w:hint="eastAsia" w:ascii="宋体" w:hAnsi="宋体" w:cs="宋体"/>
          <w:b/>
          <w:bCs/>
          <w:sz w:val="24"/>
          <w:szCs w:val="24"/>
          <w:highlight w:val="none"/>
          <w:lang w:eastAsia="zh-CN"/>
        </w:rPr>
        <w:t>采购</w:t>
      </w:r>
      <w:r>
        <w:rPr>
          <w:rFonts w:hint="eastAsia" w:ascii="宋体" w:hAnsi="宋体" w:eastAsia="宋体" w:cs="宋体"/>
          <w:b/>
          <w:bCs/>
          <w:sz w:val="24"/>
          <w:szCs w:val="24"/>
          <w:highlight w:val="none"/>
        </w:rPr>
        <w:t>提出询问，请按以下方式联系。</w:t>
      </w:r>
      <w:bookmarkEnd w:id="23"/>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1.采购人信息</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名称：岚皋县医院</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地址：陕西岚皋城关镇新街19号</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联系方式：</w:t>
      </w:r>
      <w:r>
        <w:rPr>
          <w:rFonts w:hint="eastAsia" w:ascii="宋体" w:hAnsi="宋体" w:cs="宋体"/>
          <w:sz w:val="24"/>
          <w:szCs w:val="24"/>
          <w:highlight w:val="none"/>
          <w:lang w:val="en-US" w:eastAsia="zh-CN"/>
        </w:rPr>
        <w:t>0915-</w:t>
      </w:r>
      <w:r>
        <w:rPr>
          <w:rFonts w:hint="eastAsia" w:ascii="宋体" w:hAnsi="宋体" w:eastAsia="宋体" w:cs="宋体"/>
          <w:sz w:val="24"/>
          <w:szCs w:val="24"/>
          <w:highlight w:val="none"/>
          <w:lang w:val="en-US" w:eastAsia="zh-CN"/>
        </w:rPr>
        <w:t>2529285</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2.采购代理机构信息</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名称：陕西正邦招标有限责任公司</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地址：西安市雁塔区朱雀大街南段69号长丰园三区5号楼9层9006室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联系方式：029-85578186</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3.项目联系方式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项目联系人：张工</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电话：029-85578186转821</w:t>
      </w:r>
    </w:p>
    <w:p>
      <w:pPr>
        <w:pStyle w:val="2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陕西正邦招标有限责任公司</w:t>
      </w:r>
    </w:p>
    <w:p>
      <w:pPr>
        <w:pStyle w:val="2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480"/>
        <w:jc w:val="center"/>
        <w:rPr>
          <w:rFonts w:hint="eastAsia"/>
          <w:sz w:val="24"/>
          <w:szCs w:val="24"/>
        </w:rPr>
      </w:pPr>
      <w:r>
        <w:rPr>
          <w:rFonts w:hint="eastAsia" w:cs="宋体"/>
          <w:b w:val="0"/>
          <w:bCs w:val="0"/>
          <w:kern w:val="2"/>
          <w:sz w:val="24"/>
          <w:szCs w:val="24"/>
          <w:lang w:val="en-US" w:eastAsia="zh-CN" w:bidi="ar-SA"/>
        </w:rPr>
        <w:t xml:space="preserve">                                                2024年6月28日</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lang w:val="en-US" w:eastAsia="zh-CN"/>
        </w:rPr>
        <w:t xml:space="preserve"> </w:t>
      </w:r>
    </w:p>
    <w:p>
      <w:pPr>
        <w:pageBreakBefore w:val="0"/>
        <w:kinsoku/>
        <w:wordWrap/>
        <w:overflowPunct/>
        <w:topLinePunct w:val="0"/>
        <w:bidi w:val="0"/>
        <w:spacing w:line="360" w:lineRule="auto"/>
        <w:ind w:firstLine="240" w:firstLineChars="100"/>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 xml:space="preserve"> </w:t>
      </w:r>
    </w:p>
    <w:p>
      <w:pPr>
        <w:pStyle w:val="17"/>
        <w:rPr>
          <w:rFonts w:hint="eastAsia" w:ascii="宋体" w:hAnsi="宋体" w:eastAsia="宋体" w:cs="宋体"/>
          <w:sz w:val="24"/>
          <w:szCs w:val="24"/>
          <w:highlight w:val="none"/>
        </w:rPr>
      </w:pPr>
    </w:p>
    <w:p>
      <w:pPr>
        <w:pStyle w:val="17"/>
        <w:rPr>
          <w:rFonts w:hint="eastAsia" w:ascii="宋体" w:hAnsi="宋体" w:eastAsia="宋体" w:cs="宋体"/>
          <w:sz w:val="24"/>
          <w:szCs w:val="24"/>
          <w:highlight w:val="none"/>
        </w:rPr>
      </w:pPr>
    </w:p>
    <w:p>
      <w:pPr>
        <w:pStyle w:val="17"/>
        <w:rPr>
          <w:rFonts w:hint="eastAsia" w:ascii="宋体" w:hAnsi="宋体" w:eastAsia="宋体" w:cs="宋体"/>
          <w:sz w:val="24"/>
          <w:szCs w:val="24"/>
          <w:highlight w:val="none"/>
        </w:rPr>
      </w:pPr>
    </w:p>
    <w:p>
      <w:pPr>
        <w:pageBreakBefore w:val="0"/>
        <w:kinsoku/>
        <w:wordWrap/>
        <w:overflowPunct/>
        <w:topLinePunct w:val="0"/>
        <w:bidi w:val="0"/>
        <w:spacing w:line="360" w:lineRule="auto"/>
        <w:ind w:firstLine="643"/>
        <w:jc w:val="center"/>
        <w:textAlignment w:val="auto"/>
        <w:rPr>
          <w:rFonts w:hint="eastAsia" w:ascii="宋体" w:hAnsi="宋体" w:eastAsia="宋体" w:cs="宋体"/>
          <w:b/>
          <w:sz w:val="24"/>
          <w:szCs w:val="24"/>
          <w:highlight w:val="none"/>
        </w:rPr>
      </w:pPr>
      <w:bookmarkStart w:id="24" w:name="_Toc27107"/>
      <w:r>
        <w:rPr>
          <w:rFonts w:hint="eastAsia" w:ascii="宋体" w:hAnsi="宋体" w:eastAsia="宋体" w:cs="宋体"/>
          <w:b/>
          <w:sz w:val="24"/>
          <w:szCs w:val="24"/>
          <w:highlight w:val="none"/>
        </w:rPr>
        <w:t>磋商服务费收取说明</w:t>
      </w:r>
      <w:bookmarkEnd w:id="24"/>
    </w:p>
    <w:p>
      <w:pPr>
        <w:pageBreakBefore w:val="0"/>
        <w:numPr>
          <w:ilvl w:val="0"/>
          <w:numId w:val="0"/>
        </w:numPr>
        <w:kinsoku/>
        <w:wordWrap/>
        <w:overflowPunct/>
        <w:topLinePunct w:val="0"/>
        <w:bidi w:val="0"/>
        <w:spacing w:line="360" w:lineRule="auto"/>
        <w:ind w:left="567" w:leftChars="0"/>
        <w:textAlignment w:val="auto"/>
        <w:rPr>
          <w:rFonts w:hint="eastAsia" w:ascii="宋体" w:hAnsi="宋体" w:eastAsia="宋体" w:cs="宋体"/>
          <w:sz w:val="24"/>
          <w:szCs w:val="24"/>
          <w:highlight w:val="none"/>
        </w:rPr>
      </w:pPr>
      <w:r>
        <w:rPr>
          <w:rFonts w:hint="eastAsia" w:ascii="宋体" w:hAnsi="宋体" w:cs="宋体"/>
          <w:sz w:val="24"/>
          <w:szCs w:val="24"/>
          <w:highlight w:val="none"/>
          <w:lang w:eastAsia="zh-CN"/>
        </w:rPr>
        <w:t>一</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磋商</w:t>
      </w:r>
      <w:r>
        <w:rPr>
          <w:rFonts w:hint="eastAsia" w:ascii="宋体" w:hAnsi="宋体" w:eastAsia="宋体" w:cs="宋体"/>
          <w:color w:val="auto"/>
          <w:sz w:val="24"/>
          <w:szCs w:val="24"/>
          <w:highlight w:val="none"/>
        </w:rPr>
        <w:t>服务费</w:t>
      </w:r>
      <w:r>
        <w:rPr>
          <w:rFonts w:hint="eastAsia" w:ascii="宋体" w:hAnsi="宋体" w:eastAsia="宋体" w:cs="宋体"/>
          <w:sz w:val="24"/>
          <w:szCs w:val="24"/>
          <w:highlight w:val="none"/>
        </w:rPr>
        <w:t>可采用现金、汇款或转账方式交纳。(必须从公司公户转出)</w:t>
      </w:r>
    </w:p>
    <w:p>
      <w:pPr>
        <w:pageBreakBefore w:val="0"/>
        <w:numPr>
          <w:ilvl w:val="0"/>
          <w:numId w:val="0"/>
        </w:numPr>
        <w:kinsoku/>
        <w:wordWrap/>
        <w:overflowPunct/>
        <w:topLinePunct w:val="0"/>
        <w:bidi w:val="0"/>
        <w:spacing w:line="360" w:lineRule="auto"/>
        <w:ind w:left="560" w:leftChars="0"/>
        <w:textAlignment w:val="auto"/>
        <w:rPr>
          <w:rFonts w:hint="eastAsia" w:ascii="宋体" w:hAnsi="宋体" w:eastAsia="宋体" w:cs="宋体"/>
          <w:sz w:val="24"/>
          <w:szCs w:val="24"/>
          <w:highlight w:val="none"/>
        </w:rPr>
      </w:pPr>
      <w:r>
        <w:rPr>
          <w:rFonts w:hint="eastAsia" w:ascii="宋体" w:hAnsi="宋体" w:cs="宋体"/>
          <w:sz w:val="24"/>
          <w:szCs w:val="24"/>
          <w:highlight w:val="none"/>
          <w:lang w:eastAsia="zh-CN"/>
        </w:rPr>
        <w:t>二</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请将款项交纳至以下指定的银行账户内：</w:t>
      </w:r>
    </w:p>
    <w:tbl>
      <w:tblPr>
        <w:tblStyle w:val="26"/>
        <w:tblW w:w="8740" w:type="dxa"/>
        <w:jc w:val="center"/>
        <w:tblLayout w:type="fixed"/>
        <w:tblCellMar>
          <w:top w:w="0" w:type="dxa"/>
          <w:left w:w="10" w:type="dxa"/>
          <w:bottom w:w="0" w:type="dxa"/>
          <w:right w:w="10" w:type="dxa"/>
        </w:tblCellMar>
      </w:tblPr>
      <w:tblGrid>
        <w:gridCol w:w="8740"/>
      </w:tblGrid>
      <w:tr>
        <w:tblPrEx>
          <w:tblCellMar>
            <w:top w:w="0" w:type="dxa"/>
            <w:left w:w="10" w:type="dxa"/>
            <w:bottom w:w="0" w:type="dxa"/>
            <w:right w:w="10" w:type="dxa"/>
          </w:tblCellMar>
        </w:tblPrEx>
        <w:trPr>
          <w:trHeight w:val="2379" w:hRule="atLeast"/>
          <w:jc w:val="center"/>
        </w:trPr>
        <w:tc>
          <w:tcPr>
            <w:tcW w:w="87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名称：</w:t>
            </w:r>
            <w:r>
              <w:rPr>
                <w:rFonts w:hint="eastAsia" w:ascii="宋体" w:hAnsi="宋体" w:cs="宋体"/>
                <w:sz w:val="24"/>
                <w:szCs w:val="24"/>
                <w:highlight w:val="none"/>
                <w:lang w:eastAsia="zh-CN"/>
              </w:rPr>
              <w:t>陕西正邦</w:t>
            </w:r>
            <w:r>
              <w:rPr>
                <w:rFonts w:hint="eastAsia" w:ascii="宋体" w:hAnsi="宋体" w:eastAsia="宋体" w:cs="宋体"/>
                <w:sz w:val="24"/>
                <w:szCs w:val="24"/>
                <w:highlight w:val="none"/>
                <w:lang w:eastAsia="zh-CN"/>
              </w:rPr>
              <w:t>招标有限责任公司</w:t>
            </w:r>
          </w:p>
          <w:p>
            <w:pPr>
              <w:pageBreakBefore w:val="0"/>
              <w:kinsoku/>
              <w:wordWrap/>
              <w:overflowPunct/>
              <w:topLinePunct w:val="0"/>
              <w:bidi w:val="0"/>
              <w:spacing w:line="360" w:lineRule="auto"/>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开户行名称：平安银行股份西安分行营业部/平安银行西安分行</w:t>
            </w:r>
          </w:p>
          <w:p>
            <w:pPr>
              <w:pageBreakBefore w:val="0"/>
              <w:kinsoku/>
              <w:wordWrap/>
              <w:overflowPunct/>
              <w:topLinePunct w:val="0"/>
              <w:bidi w:val="0"/>
              <w:spacing w:line="360" w:lineRule="auto"/>
              <w:jc w:val="left"/>
              <w:textAlignment w:val="auto"/>
              <w:rPr>
                <w:rFonts w:hint="eastAsia" w:ascii="宋体" w:hAnsi="宋体" w:eastAsia="宋体" w:cs="宋体"/>
                <w:sz w:val="24"/>
                <w:szCs w:val="24"/>
                <w:highlight w:val="yellow"/>
              </w:rPr>
            </w:pPr>
            <w:r>
              <w:rPr>
                <w:rFonts w:hint="eastAsia" w:ascii="宋体" w:hAnsi="宋体" w:eastAsia="宋体" w:cs="宋体"/>
                <w:sz w:val="24"/>
                <w:szCs w:val="24"/>
                <w:highlight w:val="none"/>
              </w:rPr>
              <w:t>账号：30205380001729</w:t>
            </w:r>
          </w:p>
          <w:p>
            <w:pPr>
              <w:pageBreakBefore w:val="0"/>
              <w:kinsoku/>
              <w:wordWrap/>
              <w:overflowPunct/>
              <w:topLinePunct w:val="0"/>
              <w:bidi w:val="0"/>
              <w:spacing w:line="360" w:lineRule="auto"/>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备注：请注明费用信息“ </w:t>
            </w:r>
            <w:r>
              <w:rPr>
                <w:rFonts w:hint="eastAsia" w:ascii="宋体" w:hAnsi="宋体" w:cs="宋体"/>
                <w:sz w:val="24"/>
                <w:szCs w:val="24"/>
                <w:highlight w:val="none"/>
                <w:lang w:eastAsia="zh-CN"/>
              </w:rPr>
              <w:t>ZBZB-2024-2400</w:t>
            </w:r>
            <w:r>
              <w:rPr>
                <w:rFonts w:hint="eastAsia" w:ascii="宋体" w:hAnsi="宋体" w:eastAsia="宋体" w:cs="宋体"/>
                <w:sz w:val="24"/>
                <w:szCs w:val="24"/>
                <w:highlight w:val="none"/>
              </w:rPr>
              <w:t>磋商服务费”</w:t>
            </w:r>
          </w:p>
        </w:tc>
      </w:tr>
    </w:tbl>
    <w:p>
      <w:pPr>
        <w:pageBreakBefore w:val="0"/>
        <w:widowControl/>
        <w:kinsoku/>
        <w:wordWrap/>
        <w:overflowPunct/>
        <w:topLinePunct w:val="0"/>
        <w:bidi w:val="0"/>
        <w:spacing w:line="360" w:lineRule="auto"/>
        <w:jc w:val="left"/>
        <w:textAlignment w:val="auto"/>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mc:AlternateContent>
          <mc:Choice Requires="wps">
            <w:drawing>
              <wp:anchor distT="0" distB="0" distL="114300" distR="114300" simplePos="0" relativeHeight="251661312" behindDoc="0" locked="0" layoutInCell="1" allowOverlap="1">
                <wp:simplePos x="0" y="0"/>
                <wp:positionH relativeFrom="margin">
                  <wp:posOffset>-261620</wp:posOffset>
                </wp:positionH>
                <wp:positionV relativeFrom="paragraph">
                  <wp:posOffset>379730</wp:posOffset>
                </wp:positionV>
                <wp:extent cx="6423660" cy="439420"/>
                <wp:effectExtent l="6350" t="6350" r="8890" b="11430"/>
                <wp:wrapNone/>
                <wp:docPr id="6" name="矩形 1"/>
                <wp:cNvGraphicFramePr/>
                <a:graphic xmlns:a="http://schemas.openxmlformats.org/drawingml/2006/main">
                  <a:graphicData uri="http://schemas.microsoft.com/office/word/2010/wordprocessingShape">
                    <wps:wsp>
                      <wps:cNvSpPr/>
                      <wps:spPr>
                        <a:xfrm>
                          <a:off x="0" y="0"/>
                          <a:ext cx="6423660" cy="439420"/>
                        </a:xfrm>
                        <a:prstGeom prst="rect">
                          <a:avLst/>
                        </a:prstGeom>
                        <a:noFill/>
                        <a:ln w="12700" cap="flat" cmpd="sng" algn="ctr">
                          <a:solidFill>
                            <a:srgbClr val="000000"/>
                          </a:solidFill>
                          <a:prstDash val="solid"/>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8"/>
                                <w:szCs w:val="28"/>
                                <w:highlight w:val="none"/>
                              </w:rPr>
                            </w:pPr>
                            <w:r>
                              <w:rPr>
                                <w:rFonts w:hint="eastAsia" w:ascii="宋体" w:hAnsi="宋体" w:eastAsia="宋体" w:cs="宋体"/>
                                <w:b/>
                                <w:color w:val="auto"/>
                                <w:sz w:val="24"/>
                                <w:szCs w:val="24"/>
                                <w:highlight w:val="none"/>
                              </w:rPr>
                              <w:t>温馨提示：</w:t>
                            </w:r>
                            <w:r>
                              <w:rPr>
                                <w:rFonts w:hint="eastAsia" w:ascii="宋体" w:hAnsi="宋体" w:eastAsia="宋体" w:cs="宋体"/>
                                <w:b/>
                                <w:color w:val="auto"/>
                                <w:sz w:val="24"/>
                                <w:szCs w:val="24"/>
                                <w:highlight w:val="none"/>
                                <w:lang w:eastAsia="zh-CN"/>
                              </w:rPr>
                              <w:t>下载磋商</w:t>
                            </w:r>
                            <w:r>
                              <w:rPr>
                                <w:rFonts w:hint="eastAsia" w:ascii="宋体" w:hAnsi="宋体" w:eastAsia="宋体" w:cs="宋体"/>
                                <w:b/>
                                <w:color w:val="auto"/>
                                <w:sz w:val="24"/>
                                <w:szCs w:val="24"/>
                                <w:highlight w:val="none"/>
                              </w:rPr>
                              <w:t>文件后，请仔细阅读，特别注意粗体及划线部分，如有疑问请来电咨询。</w:t>
                            </w:r>
                          </w:p>
                          <w:p>
                            <w:pPr>
                              <w:jc w:val="both"/>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 o:spid="_x0000_s1026" o:spt="1" style="position:absolute;left:0pt;margin-left:-20.6pt;margin-top:29.9pt;height:34.6pt;width:505.8pt;mso-position-horizontal-relative:margin;z-index:251661312;v-text-anchor:middle;mso-width-relative:page;mso-height-relative:page;" filled="f" stroked="t" coordsize="21600,21600" o:gfxdata="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iMyni2AAAAAoBAAAPAAAAAAAAAAEAIAAAACIAAABkcnMv&#10;ZG93bnJldi54bWxQSwECFAAUAAAACACHTuJAoauOK3UCAADkBAAADgAAAAAAAAABACAAAAAnAQAA&#10;ZHJzL2Uyb0RvYy54bWxQSwUGAAAAAAYABgBZAQAADgYAAAAA&#10;">
                <v:fill on="f" focussize="0,0"/>
                <v:stroke weight="1pt" color="#0000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8"/>
                          <w:szCs w:val="28"/>
                          <w:highlight w:val="none"/>
                        </w:rPr>
                      </w:pPr>
                      <w:r>
                        <w:rPr>
                          <w:rFonts w:hint="eastAsia" w:ascii="宋体" w:hAnsi="宋体" w:eastAsia="宋体" w:cs="宋体"/>
                          <w:b/>
                          <w:color w:val="auto"/>
                          <w:sz w:val="24"/>
                          <w:szCs w:val="24"/>
                          <w:highlight w:val="none"/>
                        </w:rPr>
                        <w:t>温馨提示：</w:t>
                      </w:r>
                      <w:r>
                        <w:rPr>
                          <w:rFonts w:hint="eastAsia" w:ascii="宋体" w:hAnsi="宋体" w:eastAsia="宋体" w:cs="宋体"/>
                          <w:b/>
                          <w:color w:val="auto"/>
                          <w:sz w:val="24"/>
                          <w:szCs w:val="24"/>
                          <w:highlight w:val="none"/>
                          <w:lang w:eastAsia="zh-CN"/>
                        </w:rPr>
                        <w:t>下载磋商</w:t>
                      </w:r>
                      <w:r>
                        <w:rPr>
                          <w:rFonts w:hint="eastAsia" w:ascii="宋体" w:hAnsi="宋体" w:eastAsia="宋体" w:cs="宋体"/>
                          <w:b/>
                          <w:color w:val="auto"/>
                          <w:sz w:val="24"/>
                          <w:szCs w:val="24"/>
                          <w:highlight w:val="none"/>
                        </w:rPr>
                        <w:t>文件后，请仔细阅读，特别注意粗体及划线部分，如有疑问请来电咨询。</w:t>
                      </w:r>
                    </w:p>
                    <w:p>
                      <w:pPr>
                        <w:jc w:val="both"/>
                        <w:rPr>
                          <w:sz w:val="24"/>
                          <w:szCs w:val="24"/>
                        </w:rPr>
                      </w:pPr>
                    </w:p>
                  </w:txbxContent>
                </v:textbox>
              </v:rect>
            </w:pict>
          </mc:Fallback>
        </mc:AlternateContent>
      </w:r>
    </w:p>
    <w:p>
      <w:pPr>
        <w:bidi w:val="0"/>
        <w:rPr>
          <w:rFonts w:hint="eastAsia"/>
          <w:sz w:val="24"/>
          <w:szCs w:val="24"/>
          <w:lang w:val="en-US" w:eastAsia="zh-CN"/>
        </w:rPr>
      </w:pPr>
      <w:bookmarkStart w:id="25" w:name="_Toc16788"/>
      <w:bookmarkStart w:id="26" w:name="_Toc9280"/>
    </w:p>
    <w:p>
      <w:pPr>
        <w:bidi w:val="0"/>
        <w:rPr>
          <w:rFonts w:hint="eastAsia"/>
          <w:sz w:val="24"/>
          <w:szCs w:val="24"/>
          <w:lang w:val="en-US" w:eastAsia="zh-CN"/>
        </w:rPr>
      </w:pPr>
    </w:p>
    <w:p>
      <w:pPr>
        <w:bidi w:val="0"/>
        <w:rPr>
          <w:rFonts w:hint="eastAsia"/>
          <w:sz w:val="24"/>
          <w:szCs w:val="24"/>
          <w:lang w:val="en-US" w:eastAsia="zh-CN"/>
        </w:rPr>
      </w:pPr>
    </w:p>
    <w:p>
      <w:pPr>
        <w:rPr>
          <w:rFonts w:hint="eastAsia"/>
          <w:color w:val="auto"/>
          <w:sz w:val="32"/>
          <w:szCs w:val="32"/>
          <w:lang w:val="en-US" w:eastAsia="zh-CN"/>
        </w:rPr>
      </w:pPr>
    </w:p>
    <w:p>
      <w:pPr>
        <w:pStyle w:val="13"/>
        <w:rPr>
          <w:rFonts w:hint="eastAsia"/>
          <w:color w:val="auto"/>
          <w:sz w:val="32"/>
          <w:szCs w:val="32"/>
          <w:lang w:val="en-US" w:eastAsia="zh-CN"/>
        </w:rPr>
      </w:pPr>
    </w:p>
    <w:p>
      <w:pPr>
        <w:rPr>
          <w:rFonts w:hint="eastAsia"/>
          <w:color w:val="auto"/>
          <w:sz w:val="32"/>
          <w:szCs w:val="32"/>
          <w:lang w:val="en-US" w:eastAsia="zh-CN"/>
        </w:rPr>
      </w:pPr>
    </w:p>
    <w:p>
      <w:pPr>
        <w:pStyle w:val="17"/>
        <w:rPr>
          <w:rFonts w:hint="eastAsia"/>
          <w:lang w:val="en-US" w:eastAsia="zh-CN"/>
        </w:rPr>
      </w:pPr>
    </w:p>
    <w:p>
      <w:pPr>
        <w:pStyle w:val="17"/>
        <w:rPr>
          <w:rFonts w:hint="eastAsia"/>
          <w:lang w:val="en-US" w:eastAsia="zh-CN"/>
        </w:rPr>
      </w:pPr>
    </w:p>
    <w:p>
      <w:pPr>
        <w:pStyle w:val="17"/>
        <w:rPr>
          <w:rFonts w:hint="eastAsia"/>
          <w:lang w:val="en-US" w:eastAsia="zh-CN"/>
        </w:rPr>
      </w:pPr>
    </w:p>
    <w:p>
      <w:pPr>
        <w:pStyle w:val="17"/>
        <w:rPr>
          <w:rFonts w:hint="eastAsia"/>
          <w:lang w:val="en-US" w:eastAsia="zh-CN"/>
        </w:rPr>
      </w:pPr>
    </w:p>
    <w:p>
      <w:pPr>
        <w:pStyle w:val="17"/>
        <w:rPr>
          <w:rFonts w:hint="eastAsia"/>
          <w:lang w:val="en-US" w:eastAsia="zh-CN"/>
        </w:rPr>
      </w:pPr>
    </w:p>
    <w:p>
      <w:pPr>
        <w:pStyle w:val="13"/>
        <w:rPr>
          <w:rFonts w:hint="eastAsia"/>
          <w:lang w:val="en-US" w:eastAsia="zh-CN"/>
        </w:rPr>
      </w:pPr>
    </w:p>
    <w:p>
      <w:pPr>
        <w:pStyle w:val="3"/>
        <w:bidi w:val="0"/>
        <w:jc w:val="center"/>
        <w:rPr>
          <w:rFonts w:hint="eastAsia"/>
          <w:color w:val="auto"/>
          <w:sz w:val="32"/>
          <w:szCs w:val="32"/>
        </w:rPr>
      </w:pPr>
      <w:r>
        <w:rPr>
          <w:rFonts w:hint="eastAsia"/>
          <w:color w:val="auto"/>
          <w:sz w:val="32"/>
          <w:szCs w:val="32"/>
          <w:lang w:val="en-US" w:eastAsia="zh-CN"/>
        </w:rPr>
        <w:t>第二部分 供应商须知</w:t>
      </w:r>
      <w:bookmarkEnd w:id="7"/>
      <w:bookmarkEnd w:id="8"/>
      <w:bookmarkEnd w:id="9"/>
      <w:bookmarkEnd w:id="10"/>
      <w:bookmarkEnd w:id="11"/>
      <w:bookmarkEnd w:id="12"/>
      <w:bookmarkEnd w:id="25"/>
      <w:bookmarkEnd w:id="26"/>
    </w:p>
    <w:p>
      <w:pPr>
        <w:pStyle w:val="4"/>
        <w:bidi w:val="0"/>
        <w:rPr>
          <w:rFonts w:hint="eastAsia"/>
          <w:sz w:val="28"/>
          <w:szCs w:val="28"/>
        </w:rPr>
      </w:pPr>
      <w:bookmarkStart w:id="27" w:name="_Toc450138940"/>
      <w:bookmarkStart w:id="28" w:name="_Toc449368375"/>
      <w:bookmarkStart w:id="29" w:name="_Toc12562"/>
      <w:r>
        <w:rPr>
          <w:rFonts w:hint="eastAsia"/>
          <w:sz w:val="28"/>
          <w:szCs w:val="28"/>
        </w:rPr>
        <w:t>一、供应商须知前附表</w:t>
      </w:r>
    </w:p>
    <w:tbl>
      <w:tblPr>
        <w:tblStyle w:val="26"/>
        <w:tblW w:w="9790" w:type="dxa"/>
        <w:jc w:val="center"/>
        <w:tblLayout w:type="fixed"/>
        <w:tblCellMar>
          <w:top w:w="0" w:type="dxa"/>
          <w:left w:w="10" w:type="dxa"/>
          <w:bottom w:w="0" w:type="dxa"/>
          <w:right w:w="10" w:type="dxa"/>
        </w:tblCellMar>
      </w:tblPr>
      <w:tblGrid>
        <w:gridCol w:w="887"/>
        <w:gridCol w:w="2272"/>
        <w:gridCol w:w="6631"/>
      </w:tblGrid>
      <w:tr>
        <w:tblPrEx>
          <w:tblCellMar>
            <w:top w:w="0" w:type="dxa"/>
            <w:left w:w="10" w:type="dxa"/>
            <w:bottom w:w="0" w:type="dxa"/>
            <w:right w:w="10" w:type="dxa"/>
          </w:tblCellMar>
        </w:tblPrEx>
        <w:trPr>
          <w:trHeight w:val="669" w:hRule="atLeast"/>
          <w:jc w:val="center"/>
        </w:trPr>
        <w:tc>
          <w:tcPr>
            <w:tcW w:w="8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序号</w:t>
            </w:r>
          </w:p>
        </w:tc>
        <w:tc>
          <w:tcPr>
            <w:tcW w:w="22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条款名称</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说明和要求</w:t>
            </w:r>
          </w:p>
        </w:tc>
      </w:tr>
      <w:tr>
        <w:tblPrEx>
          <w:tblCellMar>
            <w:top w:w="0" w:type="dxa"/>
            <w:left w:w="10" w:type="dxa"/>
            <w:bottom w:w="0" w:type="dxa"/>
            <w:right w:w="10" w:type="dxa"/>
          </w:tblCellMar>
        </w:tblPrEx>
        <w:trPr>
          <w:trHeight w:val="1433" w:hRule="exact"/>
          <w:jc w:val="center"/>
        </w:trPr>
        <w:tc>
          <w:tcPr>
            <w:tcW w:w="8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22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采购人</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名称：岚皋县医院</w:t>
            </w:r>
          </w:p>
          <w:p>
            <w:pPr>
              <w:pageBreakBefore w:val="0"/>
              <w:kinsoku/>
              <w:wordWrap/>
              <w:overflowPunct/>
              <w:topLinePunct w:val="0"/>
              <w:bidi w:val="0"/>
              <w:spacing w:line="360" w:lineRule="auto"/>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地址：陕西岚皋城关镇新街19号</w:t>
            </w:r>
          </w:p>
          <w:p>
            <w:pPr>
              <w:pageBreakBefore w:val="0"/>
              <w:kinsoku/>
              <w:wordWrap/>
              <w:overflowPunct/>
              <w:topLinePunct w:val="0"/>
              <w:bidi w:val="0"/>
              <w:spacing w:line="360" w:lineRule="auto"/>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联系方式：0915-2529285</w:t>
            </w:r>
          </w:p>
          <w:p>
            <w:pPr>
              <w:pageBreakBefore w:val="0"/>
              <w:kinsoku/>
              <w:wordWrap/>
              <w:overflowPunct/>
              <w:topLinePunct w:val="0"/>
              <w:bidi w:val="0"/>
              <w:spacing w:line="360" w:lineRule="auto"/>
              <w:jc w:val="left"/>
              <w:textAlignment w:val="auto"/>
              <w:rPr>
                <w:rFonts w:hint="eastAsia" w:ascii="宋体" w:hAnsi="宋体" w:eastAsia="宋体" w:cs="宋体"/>
                <w:sz w:val="24"/>
                <w:szCs w:val="24"/>
                <w:highlight w:val="none"/>
              </w:rPr>
            </w:pPr>
          </w:p>
        </w:tc>
      </w:tr>
      <w:tr>
        <w:tblPrEx>
          <w:tblCellMar>
            <w:top w:w="0" w:type="dxa"/>
            <w:left w:w="10" w:type="dxa"/>
            <w:bottom w:w="0" w:type="dxa"/>
            <w:right w:w="10" w:type="dxa"/>
          </w:tblCellMar>
        </w:tblPrEx>
        <w:trPr>
          <w:jc w:val="center"/>
        </w:trPr>
        <w:tc>
          <w:tcPr>
            <w:tcW w:w="8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22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采购代理机构</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名称：</w:t>
            </w:r>
            <w:r>
              <w:rPr>
                <w:rFonts w:hint="eastAsia" w:ascii="宋体" w:hAnsi="宋体" w:cs="宋体"/>
                <w:sz w:val="24"/>
                <w:szCs w:val="24"/>
                <w:highlight w:val="none"/>
                <w:lang w:eastAsia="zh-CN"/>
              </w:rPr>
              <w:t>陕西正邦招标有限责任公司</w:t>
            </w:r>
          </w:p>
          <w:p>
            <w:pPr>
              <w:pageBreakBefore w:val="0"/>
              <w:kinsoku/>
              <w:wordWrap/>
              <w:overflowPunct/>
              <w:topLinePunct w:val="0"/>
              <w:bidi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地址：</w:t>
            </w:r>
            <w:r>
              <w:rPr>
                <w:rFonts w:hint="eastAsia" w:ascii="宋体" w:hAnsi="宋体" w:cs="宋体"/>
                <w:sz w:val="24"/>
                <w:szCs w:val="24"/>
                <w:highlight w:val="none"/>
                <w:lang w:eastAsia="zh-CN"/>
              </w:rPr>
              <w:t>西安市雁塔区朱雀大街南段69号长丰园三区5号楼9层9006室</w:t>
            </w:r>
          </w:p>
          <w:p>
            <w:pPr>
              <w:pageBreakBefore w:val="0"/>
              <w:widowControl w:val="0"/>
              <w:kinsoku/>
              <w:wordWrap/>
              <w:overflowPunct/>
              <w:topLinePunct w:val="0"/>
              <w:autoSpaceDE/>
              <w:autoSpaceDN/>
              <w:bidi w:val="0"/>
              <w:adjustRightInd/>
              <w:snapToGrid/>
              <w:spacing w:line="480" w:lineRule="exact"/>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联系方式：</w:t>
            </w:r>
            <w:r>
              <w:rPr>
                <w:rFonts w:hint="eastAsia" w:ascii="宋体" w:hAnsi="宋体" w:cs="宋体"/>
                <w:sz w:val="24"/>
                <w:szCs w:val="24"/>
                <w:highlight w:val="none"/>
                <w:lang w:eastAsia="zh-CN"/>
              </w:rPr>
              <w:t>029-85578186</w:t>
            </w:r>
          </w:p>
        </w:tc>
      </w:tr>
      <w:tr>
        <w:tblPrEx>
          <w:tblCellMar>
            <w:top w:w="0" w:type="dxa"/>
            <w:left w:w="10" w:type="dxa"/>
            <w:bottom w:w="0" w:type="dxa"/>
            <w:right w:w="10" w:type="dxa"/>
          </w:tblCellMar>
        </w:tblPrEx>
        <w:trPr>
          <w:trHeight w:val="90" w:hRule="atLeast"/>
          <w:jc w:val="center"/>
        </w:trPr>
        <w:tc>
          <w:tcPr>
            <w:tcW w:w="8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22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cs="宋体"/>
                <w:sz w:val="24"/>
                <w:szCs w:val="24"/>
                <w:highlight w:val="none"/>
                <w:lang w:eastAsia="zh-CN"/>
              </w:rPr>
            </w:pPr>
            <w:r>
              <w:rPr>
                <w:rFonts w:hint="eastAsia" w:ascii="宋体" w:hAnsi="宋体" w:cs="宋体"/>
                <w:sz w:val="24"/>
                <w:szCs w:val="24"/>
                <w:highlight w:val="none"/>
                <w:lang w:eastAsia="zh-CN"/>
              </w:rPr>
              <w:t>监督管理机构</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textAlignment w:val="auto"/>
              <w:rPr>
                <w:rFonts w:hint="eastAsia" w:ascii="宋体" w:hAnsi="宋体" w:cs="宋体"/>
                <w:sz w:val="24"/>
                <w:szCs w:val="24"/>
                <w:highlight w:val="none"/>
                <w:lang w:eastAsia="zh-CN"/>
              </w:rPr>
            </w:pPr>
            <w:r>
              <w:rPr>
                <w:rFonts w:hint="eastAsia" w:ascii="宋体" w:hAnsi="宋体" w:cs="宋体"/>
                <w:sz w:val="24"/>
                <w:szCs w:val="24"/>
                <w:highlight w:val="none"/>
                <w:lang w:eastAsia="zh-CN"/>
              </w:rPr>
              <w:t>岚皋县财政局</w:t>
            </w:r>
          </w:p>
        </w:tc>
      </w:tr>
      <w:tr>
        <w:tblPrEx>
          <w:tblCellMar>
            <w:top w:w="0" w:type="dxa"/>
            <w:left w:w="10" w:type="dxa"/>
            <w:bottom w:w="0" w:type="dxa"/>
            <w:right w:w="10" w:type="dxa"/>
          </w:tblCellMar>
        </w:tblPrEx>
        <w:trPr>
          <w:jc w:val="center"/>
        </w:trPr>
        <w:tc>
          <w:tcPr>
            <w:tcW w:w="8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22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响应磋商并且符合磋商文件规定资格条件和参加磋商竞争的法人</w:t>
            </w:r>
          </w:p>
        </w:tc>
      </w:tr>
      <w:tr>
        <w:tblPrEx>
          <w:tblCellMar>
            <w:top w:w="0" w:type="dxa"/>
            <w:left w:w="10" w:type="dxa"/>
            <w:bottom w:w="0" w:type="dxa"/>
            <w:right w:w="10" w:type="dxa"/>
          </w:tblCellMar>
        </w:tblPrEx>
        <w:trPr>
          <w:trHeight w:val="437" w:hRule="atLeast"/>
          <w:jc w:val="center"/>
        </w:trPr>
        <w:tc>
          <w:tcPr>
            <w:tcW w:w="8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w:t>
            </w:r>
          </w:p>
        </w:tc>
        <w:tc>
          <w:tcPr>
            <w:tcW w:w="22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项目名称</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hint="eastAsia" w:ascii="宋体" w:hAnsi="宋体" w:eastAsia="宋体" w:cs="宋体"/>
                <w:b/>
                <w:spacing w:val="-6"/>
                <w:sz w:val="24"/>
                <w:szCs w:val="24"/>
                <w:highlight w:val="yellow"/>
                <w:lang w:eastAsia="zh-CN"/>
              </w:rPr>
            </w:pPr>
            <w:r>
              <w:rPr>
                <w:rFonts w:hint="eastAsia"/>
                <w:sz w:val="24"/>
                <w:szCs w:val="24"/>
                <w:lang w:val="en-US" w:eastAsia="zh-CN"/>
              </w:rPr>
              <w:t>岚皋县医院2024年苏陕协作“组团式”帮扶介入导管室建设项目（导管室装饰装修）</w:t>
            </w:r>
          </w:p>
        </w:tc>
      </w:tr>
      <w:tr>
        <w:tblPrEx>
          <w:tblCellMar>
            <w:top w:w="0" w:type="dxa"/>
            <w:left w:w="10" w:type="dxa"/>
            <w:bottom w:w="0" w:type="dxa"/>
            <w:right w:w="10" w:type="dxa"/>
          </w:tblCellMar>
        </w:tblPrEx>
        <w:trPr>
          <w:jc w:val="center"/>
        </w:trPr>
        <w:tc>
          <w:tcPr>
            <w:tcW w:w="8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w:t>
            </w:r>
          </w:p>
        </w:tc>
        <w:tc>
          <w:tcPr>
            <w:tcW w:w="22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项目编号</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both"/>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ZBZB-2024-2400</w:t>
            </w:r>
          </w:p>
        </w:tc>
      </w:tr>
      <w:tr>
        <w:tblPrEx>
          <w:tblCellMar>
            <w:top w:w="0" w:type="dxa"/>
            <w:left w:w="10" w:type="dxa"/>
            <w:bottom w:w="0" w:type="dxa"/>
            <w:right w:w="10" w:type="dxa"/>
          </w:tblCellMar>
        </w:tblPrEx>
        <w:trPr>
          <w:trHeight w:val="90" w:hRule="atLeast"/>
          <w:jc w:val="center"/>
        </w:trPr>
        <w:tc>
          <w:tcPr>
            <w:tcW w:w="8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7</w:t>
            </w:r>
          </w:p>
        </w:tc>
        <w:tc>
          <w:tcPr>
            <w:tcW w:w="22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项目性质</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textAlignment w:val="auto"/>
              <w:rPr>
                <w:rFonts w:hint="eastAsia" w:ascii="宋体" w:hAnsi="宋体" w:eastAsia="宋体" w:cs="宋体"/>
                <w:b/>
                <w:sz w:val="24"/>
                <w:szCs w:val="24"/>
                <w:highlight w:val="none"/>
              </w:rPr>
            </w:pPr>
            <w:r>
              <w:rPr>
                <w:rFonts w:hint="eastAsia" w:ascii="宋体" w:hAnsi="宋体" w:eastAsia="宋体" w:cs="宋体"/>
                <w:sz w:val="24"/>
                <w:szCs w:val="24"/>
                <w:highlight w:val="none"/>
                <w:lang w:val="en-US" w:eastAsia="zh-CN"/>
              </w:rPr>
              <w:t>2024 年度苏陕协作资金</w:t>
            </w:r>
          </w:p>
        </w:tc>
      </w:tr>
      <w:tr>
        <w:tblPrEx>
          <w:tblCellMar>
            <w:top w:w="0" w:type="dxa"/>
            <w:left w:w="10" w:type="dxa"/>
            <w:bottom w:w="0" w:type="dxa"/>
            <w:right w:w="10" w:type="dxa"/>
          </w:tblCellMar>
        </w:tblPrEx>
        <w:trPr>
          <w:trHeight w:val="1013" w:hRule="atLeast"/>
          <w:jc w:val="center"/>
        </w:trPr>
        <w:tc>
          <w:tcPr>
            <w:tcW w:w="8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8</w:t>
            </w:r>
          </w:p>
        </w:tc>
        <w:tc>
          <w:tcPr>
            <w:tcW w:w="22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eastAsia="zh-CN"/>
              </w:rPr>
              <w:t>项目预算</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pageBreakBefore w:val="0"/>
              <w:kinsoku/>
              <w:overflowPunct/>
              <w:topLinePunct w:val="0"/>
              <w:bidi w:val="0"/>
              <w:spacing w:line="360" w:lineRule="auto"/>
              <w:jc w:val="both"/>
              <w:textAlignment w:val="auto"/>
              <w:rPr>
                <w:rFonts w:hint="eastAsia" w:ascii="宋体" w:hAnsi="宋体" w:eastAsia="宋体" w:cs="宋体"/>
                <w:color w:val="auto"/>
                <w:kern w:val="1"/>
                <w:sz w:val="24"/>
                <w:szCs w:val="24"/>
                <w:highlight w:val="none"/>
                <w:lang w:val="en-US" w:eastAsia="zh-CN" w:bidi="ar-SA"/>
              </w:rPr>
            </w:pPr>
            <w:r>
              <w:rPr>
                <w:rFonts w:hint="eastAsia" w:ascii="宋体" w:hAnsi="宋体" w:eastAsia="宋体" w:cs="宋体"/>
                <w:color w:val="auto"/>
                <w:kern w:val="1"/>
                <w:sz w:val="24"/>
                <w:szCs w:val="24"/>
                <w:highlight w:val="none"/>
                <w:lang w:val="en-US" w:eastAsia="zh-CN" w:bidi="ar-SA"/>
              </w:rPr>
              <w:t>预算金额:</w:t>
            </w:r>
            <w:r>
              <w:rPr>
                <w:rFonts w:hint="eastAsia" w:ascii="宋体" w:hAnsi="宋体" w:cs="宋体"/>
                <w:sz w:val="24"/>
                <w:szCs w:val="24"/>
                <w:highlight w:val="none"/>
                <w:lang w:val="en-US" w:eastAsia="zh-CN"/>
              </w:rPr>
              <w:t>1880608.68</w:t>
            </w:r>
            <w:r>
              <w:rPr>
                <w:rFonts w:hint="eastAsia" w:ascii="宋体" w:hAnsi="宋体" w:eastAsia="宋体" w:cs="宋体"/>
                <w:color w:val="auto"/>
                <w:kern w:val="1"/>
                <w:sz w:val="24"/>
                <w:szCs w:val="24"/>
                <w:highlight w:val="none"/>
                <w:lang w:val="en-US" w:eastAsia="zh-CN" w:bidi="ar-SA"/>
              </w:rPr>
              <w:t>元</w:t>
            </w:r>
          </w:p>
          <w:p>
            <w:pPr>
              <w:pageBreakBefore w:val="0"/>
              <w:kinsoku/>
              <w:overflowPunct/>
              <w:topLinePunct w:val="0"/>
              <w:bidi w:val="0"/>
              <w:spacing w:line="360" w:lineRule="auto"/>
              <w:jc w:val="both"/>
              <w:textAlignment w:val="auto"/>
              <w:rPr>
                <w:rFonts w:hint="eastAsia" w:ascii="宋体" w:hAnsi="宋体" w:eastAsia="宋体" w:cs="宋体"/>
                <w:color w:val="auto"/>
                <w:kern w:val="1"/>
                <w:sz w:val="24"/>
                <w:szCs w:val="24"/>
                <w:highlight w:val="none"/>
                <w:lang w:val="en-US" w:eastAsia="zh-CN" w:bidi="ar-SA"/>
              </w:rPr>
            </w:pPr>
            <w:r>
              <w:rPr>
                <w:rFonts w:hint="eastAsia" w:ascii="宋体" w:hAnsi="宋体" w:eastAsia="宋体" w:cs="宋体"/>
                <w:color w:val="auto"/>
                <w:kern w:val="1"/>
                <w:sz w:val="24"/>
                <w:szCs w:val="24"/>
                <w:highlight w:val="none"/>
                <w:lang w:val="en-US" w:eastAsia="zh-CN" w:bidi="ar-SA"/>
              </w:rPr>
              <w:t>最高限价:</w:t>
            </w:r>
            <w:r>
              <w:rPr>
                <w:rFonts w:hint="eastAsia" w:ascii="宋体" w:hAnsi="宋体" w:cs="宋体"/>
                <w:sz w:val="24"/>
                <w:szCs w:val="24"/>
                <w:highlight w:val="none"/>
                <w:lang w:val="en-US" w:eastAsia="zh-CN"/>
              </w:rPr>
              <w:t>1880608.68元</w:t>
            </w:r>
          </w:p>
          <w:p>
            <w:pPr>
              <w:pageBreakBefore w:val="0"/>
              <w:kinsoku/>
              <w:wordWrap/>
              <w:overflowPunct/>
              <w:topLinePunct w:val="0"/>
              <w:bidi w:val="0"/>
              <w:spacing w:line="360" w:lineRule="auto"/>
              <w:jc w:val="left"/>
              <w:textAlignment w:val="auto"/>
              <w:rPr>
                <w:rFonts w:hint="eastAsia" w:ascii="宋体" w:hAnsi="宋体" w:eastAsia="宋体" w:cs="宋体"/>
                <w:sz w:val="24"/>
                <w:szCs w:val="24"/>
                <w:highlight w:val="none"/>
              </w:rPr>
            </w:pPr>
            <w:r>
              <w:rPr>
                <w:rFonts w:hint="eastAsia" w:ascii="宋体" w:hAnsi="宋体" w:eastAsia="宋体" w:cs="宋体"/>
                <w:b/>
                <w:sz w:val="24"/>
                <w:szCs w:val="24"/>
                <w:highlight w:val="none"/>
              </w:rPr>
              <w:t>注：</w:t>
            </w:r>
            <w:r>
              <w:rPr>
                <w:rFonts w:hint="eastAsia" w:ascii="宋体" w:hAnsi="宋体" w:eastAsia="宋体" w:cs="宋体"/>
                <w:b/>
                <w:bCs/>
                <w:sz w:val="24"/>
                <w:szCs w:val="24"/>
                <w:highlight w:val="none"/>
              </w:rPr>
              <w:t>供应商报价超出</w:t>
            </w:r>
            <w:r>
              <w:rPr>
                <w:rFonts w:hint="eastAsia" w:ascii="宋体" w:hAnsi="宋体" w:cs="宋体"/>
                <w:b/>
                <w:bCs/>
                <w:sz w:val="24"/>
                <w:szCs w:val="24"/>
                <w:highlight w:val="none"/>
                <w:lang w:eastAsia="zh-CN"/>
              </w:rPr>
              <w:t>最高限价</w:t>
            </w:r>
            <w:r>
              <w:rPr>
                <w:rFonts w:hint="eastAsia" w:ascii="宋体" w:hAnsi="宋体" w:eastAsia="宋体" w:cs="宋体"/>
                <w:b/>
                <w:bCs/>
                <w:sz w:val="24"/>
                <w:szCs w:val="24"/>
                <w:highlight w:val="none"/>
              </w:rPr>
              <w:t>，作为不实质性响应竞争性磋商文件，按无效磋商处理。</w:t>
            </w:r>
          </w:p>
        </w:tc>
      </w:tr>
      <w:tr>
        <w:tblPrEx>
          <w:tblCellMar>
            <w:top w:w="0" w:type="dxa"/>
            <w:left w:w="10" w:type="dxa"/>
            <w:bottom w:w="0" w:type="dxa"/>
            <w:right w:w="10" w:type="dxa"/>
          </w:tblCellMar>
        </w:tblPrEx>
        <w:trPr>
          <w:trHeight w:val="639" w:hRule="atLeast"/>
          <w:jc w:val="center"/>
        </w:trPr>
        <w:tc>
          <w:tcPr>
            <w:tcW w:w="8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10</w:t>
            </w:r>
          </w:p>
        </w:tc>
        <w:tc>
          <w:tcPr>
            <w:tcW w:w="22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highlight w:val="none"/>
              </w:rPr>
            </w:pPr>
            <w:r>
              <w:rPr>
                <w:rFonts w:hint="eastAsia" w:ascii="宋体" w:hAnsi="宋体" w:cs="宋体"/>
                <w:sz w:val="24"/>
                <w:szCs w:val="24"/>
                <w:highlight w:val="none"/>
                <w:lang w:eastAsia="zh-CN"/>
              </w:rPr>
              <w:t>服务</w:t>
            </w:r>
            <w:r>
              <w:rPr>
                <w:rFonts w:hint="eastAsia" w:ascii="宋体" w:hAnsi="宋体" w:eastAsia="宋体" w:cs="宋体"/>
                <w:sz w:val="24"/>
                <w:szCs w:val="24"/>
                <w:highlight w:val="none"/>
              </w:rPr>
              <w:t>内容和要求</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widowControl/>
              <w:tabs>
                <w:tab w:val="left" w:pos="1620"/>
              </w:tabs>
              <w:kinsoku/>
              <w:wordWrap/>
              <w:overflowPunct/>
              <w:topLinePunct w:val="0"/>
              <w:bidi w:val="0"/>
              <w:spacing w:line="360" w:lineRule="auto"/>
              <w:ind w:right="-197"/>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（具体详见磋商文件第三部分）</w:t>
            </w:r>
          </w:p>
        </w:tc>
      </w:tr>
      <w:tr>
        <w:tblPrEx>
          <w:tblCellMar>
            <w:top w:w="0" w:type="dxa"/>
            <w:left w:w="10" w:type="dxa"/>
            <w:bottom w:w="0" w:type="dxa"/>
            <w:right w:w="10" w:type="dxa"/>
          </w:tblCellMar>
        </w:tblPrEx>
        <w:trPr>
          <w:jc w:val="center"/>
        </w:trPr>
        <w:tc>
          <w:tcPr>
            <w:tcW w:w="8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11</w:t>
            </w:r>
          </w:p>
        </w:tc>
        <w:tc>
          <w:tcPr>
            <w:tcW w:w="22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ind w:firstLine="240" w:firstLineChars="100"/>
              <w:jc w:val="both"/>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工期</w:t>
            </w:r>
            <w:r>
              <w:rPr>
                <w:rFonts w:hint="eastAsia" w:ascii="宋体" w:hAnsi="宋体" w:eastAsia="宋体" w:cs="宋体"/>
                <w:color w:val="auto"/>
                <w:sz w:val="24"/>
                <w:szCs w:val="24"/>
                <w:highlight w:val="none"/>
              </w:rPr>
              <w:t>、</w:t>
            </w:r>
          </w:p>
          <w:p>
            <w:pPr>
              <w:pageBreakBefore w:val="0"/>
              <w:kinsoku/>
              <w:wordWrap/>
              <w:overflowPunct/>
              <w:topLinePunct w:val="0"/>
              <w:bidi w:val="0"/>
              <w:spacing w:line="360" w:lineRule="auto"/>
              <w:ind w:firstLine="240" w:firstLineChars="100"/>
              <w:jc w:val="both"/>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地点、</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cs="宋体"/>
                <w:sz w:val="24"/>
                <w:szCs w:val="24"/>
                <w:highlight w:val="none"/>
                <w:lang w:val="en-US" w:eastAsia="zh-CN"/>
              </w:rPr>
              <w:t>工期</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 xml:space="preserve">自合同签订后 </w:t>
            </w:r>
            <w:r>
              <w:rPr>
                <w:rFonts w:hint="eastAsia" w:ascii="宋体" w:hAnsi="宋体" w:eastAsia="宋体" w:cs="宋体"/>
                <w:sz w:val="24"/>
                <w:szCs w:val="24"/>
                <w:highlight w:val="none"/>
                <w:lang w:val="en-US" w:eastAsia="zh-CN"/>
              </w:rPr>
              <w:t>60</w:t>
            </w:r>
            <w:r>
              <w:rPr>
                <w:rFonts w:hint="eastAsia" w:ascii="宋体" w:hAnsi="宋体" w:eastAsia="宋体" w:cs="宋体"/>
                <w:sz w:val="24"/>
                <w:szCs w:val="24"/>
                <w:highlight w:val="none"/>
              </w:rPr>
              <w:t>个日历日。</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地点：采购人指定地点</w:t>
            </w:r>
            <w:r>
              <w:rPr>
                <w:rFonts w:hint="eastAsia" w:ascii="宋体" w:hAnsi="宋体" w:eastAsia="宋体" w:cs="宋体"/>
                <w:sz w:val="24"/>
                <w:szCs w:val="24"/>
                <w:highlight w:val="none"/>
                <w:lang w:eastAsia="zh-CN"/>
              </w:rPr>
              <w:t>。</w:t>
            </w:r>
            <w:bookmarkStart w:id="165" w:name="_GoBack"/>
            <w:bookmarkEnd w:id="165"/>
          </w:p>
        </w:tc>
      </w:tr>
      <w:tr>
        <w:tblPrEx>
          <w:tblCellMar>
            <w:top w:w="0" w:type="dxa"/>
            <w:left w:w="10" w:type="dxa"/>
            <w:bottom w:w="0" w:type="dxa"/>
            <w:right w:w="10" w:type="dxa"/>
          </w:tblCellMar>
        </w:tblPrEx>
        <w:trPr>
          <w:jc w:val="center"/>
        </w:trPr>
        <w:tc>
          <w:tcPr>
            <w:tcW w:w="8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12</w:t>
            </w:r>
          </w:p>
        </w:tc>
        <w:tc>
          <w:tcPr>
            <w:tcW w:w="22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磋商文件发售</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发售时间：</w:t>
            </w:r>
            <w:r>
              <w:rPr>
                <w:rFonts w:hint="eastAsia" w:ascii="宋体" w:hAnsi="宋体" w:cs="宋体"/>
                <w:sz w:val="24"/>
                <w:szCs w:val="24"/>
                <w:highlight w:val="none"/>
                <w:lang w:eastAsia="zh-CN"/>
              </w:rPr>
              <w:t>2024年</w:t>
            </w:r>
            <w:r>
              <w:rPr>
                <w:rFonts w:hint="eastAsia" w:ascii="宋体" w:hAnsi="宋体" w:cs="宋体"/>
                <w:sz w:val="24"/>
                <w:szCs w:val="24"/>
                <w:highlight w:val="none"/>
                <w:lang w:val="en-US" w:eastAsia="zh-CN"/>
              </w:rPr>
              <w:t>6</w:t>
            </w:r>
            <w:r>
              <w:rPr>
                <w:rFonts w:hint="eastAsia" w:ascii="宋体" w:hAnsi="宋体" w:cs="宋体"/>
                <w:sz w:val="24"/>
                <w:szCs w:val="24"/>
                <w:highlight w:val="none"/>
                <w:lang w:eastAsia="zh-CN"/>
              </w:rPr>
              <w:t>月</w:t>
            </w:r>
            <w:r>
              <w:rPr>
                <w:rFonts w:hint="eastAsia" w:ascii="宋体" w:hAnsi="宋体" w:cs="宋体"/>
                <w:sz w:val="24"/>
                <w:szCs w:val="24"/>
                <w:highlight w:val="none"/>
                <w:lang w:val="en-US" w:eastAsia="zh-CN"/>
              </w:rPr>
              <w:t>28</w:t>
            </w:r>
            <w:r>
              <w:rPr>
                <w:rFonts w:hint="eastAsia" w:ascii="宋体" w:hAnsi="宋体" w:cs="宋体"/>
                <w:sz w:val="24"/>
                <w:szCs w:val="24"/>
                <w:highlight w:val="none"/>
                <w:lang w:eastAsia="zh-CN"/>
              </w:rPr>
              <w:t>日</w:t>
            </w:r>
            <w:r>
              <w:rPr>
                <w:rFonts w:hint="eastAsia" w:ascii="宋体" w:hAnsi="宋体" w:eastAsia="宋体" w:cs="宋体"/>
                <w:sz w:val="24"/>
                <w:szCs w:val="24"/>
                <w:highlight w:val="none"/>
              </w:rPr>
              <w:t>至</w:t>
            </w:r>
            <w:r>
              <w:rPr>
                <w:rFonts w:hint="eastAsia" w:ascii="宋体" w:hAnsi="宋体" w:cs="宋体"/>
                <w:sz w:val="24"/>
                <w:szCs w:val="24"/>
                <w:highlight w:val="none"/>
                <w:lang w:eastAsia="zh-CN"/>
              </w:rPr>
              <w:t>2024年</w:t>
            </w:r>
            <w:r>
              <w:rPr>
                <w:rFonts w:hint="eastAsia" w:ascii="宋体" w:hAnsi="宋体" w:cs="宋体"/>
                <w:sz w:val="24"/>
                <w:szCs w:val="24"/>
                <w:highlight w:val="none"/>
                <w:lang w:val="en-US" w:eastAsia="zh-CN"/>
              </w:rPr>
              <w:t>7</w:t>
            </w:r>
            <w:r>
              <w:rPr>
                <w:rFonts w:hint="eastAsia" w:ascii="宋体" w:hAnsi="宋体" w:cs="宋体"/>
                <w:sz w:val="24"/>
                <w:szCs w:val="24"/>
                <w:highlight w:val="none"/>
                <w:lang w:eastAsia="zh-CN"/>
              </w:rPr>
              <w:t>月</w:t>
            </w:r>
            <w:r>
              <w:rPr>
                <w:rFonts w:hint="eastAsia" w:ascii="宋体" w:hAnsi="宋体" w:cs="宋体"/>
                <w:sz w:val="24"/>
                <w:szCs w:val="24"/>
                <w:highlight w:val="none"/>
                <w:lang w:val="en-US" w:eastAsia="zh-CN"/>
              </w:rPr>
              <w:t>5</w:t>
            </w:r>
            <w:r>
              <w:rPr>
                <w:rFonts w:hint="eastAsia" w:ascii="宋体" w:hAnsi="宋体" w:cs="宋体"/>
                <w:sz w:val="24"/>
                <w:szCs w:val="24"/>
                <w:highlight w:val="none"/>
                <w:lang w:eastAsia="zh-CN"/>
              </w:rPr>
              <w:t>日</w:t>
            </w:r>
            <w:r>
              <w:rPr>
                <w:rFonts w:hint="eastAsia" w:ascii="宋体" w:hAnsi="宋体" w:eastAsia="宋体" w:cs="宋体"/>
                <w:sz w:val="24"/>
                <w:szCs w:val="24"/>
                <w:highlight w:val="none"/>
              </w:rPr>
              <w:t>，每天上午0</w:t>
            </w: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:00</w:t>
            </w:r>
            <w:r>
              <w:rPr>
                <w:rFonts w:hint="eastAsia" w:ascii="宋体" w:hAnsi="宋体" w:eastAsia="宋体" w:cs="宋体"/>
                <w:sz w:val="24"/>
                <w:szCs w:val="24"/>
                <w:highlight w:val="none"/>
                <w:lang w:eastAsia="zh-CN"/>
              </w:rPr>
              <w:t>时</w:t>
            </w:r>
            <w:r>
              <w:rPr>
                <w:rFonts w:hint="eastAsia" w:ascii="宋体" w:hAnsi="宋体" w:eastAsia="宋体" w:cs="宋体"/>
                <w:sz w:val="24"/>
                <w:szCs w:val="24"/>
                <w:highlight w:val="none"/>
              </w:rPr>
              <w:t>至12:00</w:t>
            </w:r>
            <w:r>
              <w:rPr>
                <w:rFonts w:hint="eastAsia" w:ascii="宋体" w:hAnsi="宋体" w:eastAsia="宋体" w:cs="宋体"/>
                <w:sz w:val="24"/>
                <w:szCs w:val="24"/>
                <w:highlight w:val="none"/>
                <w:lang w:eastAsia="zh-CN"/>
              </w:rPr>
              <w:t>时</w:t>
            </w:r>
            <w:r>
              <w:rPr>
                <w:rFonts w:hint="eastAsia" w:ascii="宋体" w:hAnsi="宋体" w:eastAsia="宋体" w:cs="宋体"/>
                <w:sz w:val="24"/>
                <w:szCs w:val="24"/>
                <w:highlight w:val="none"/>
              </w:rPr>
              <w:t>，下午</w:t>
            </w:r>
            <w:r>
              <w:rPr>
                <w:rFonts w:hint="eastAsia" w:ascii="宋体" w:hAnsi="宋体" w:cs="宋体"/>
                <w:sz w:val="24"/>
                <w:szCs w:val="24"/>
                <w:highlight w:val="none"/>
                <w:lang w:val="en-US" w:eastAsia="zh-CN"/>
              </w:rPr>
              <w:t>14</w:t>
            </w: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0</w:t>
            </w:r>
            <w:r>
              <w:rPr>
                <w:rFonts w:hint="eastAsia" w:ascii="宋体" w:hAnsi="宋体" w:eastAsia="宋体" w:cs="宋体"/>
                <w:sz w:val="24"/>
                <w:szCs w:val="24"/>
                <w:highlight w:val="none"/>
              </w:rPr>
              <w:t>0</w:t>
            </w:r>
            <w:r>
              <w:rPr>
                <w:rFonts w:hint="eastAsia" w:ascii="宋体" w:hAnsi="宋体" w:eastAsia="宋体" w:cs="宋体"/>
                <w:sz w:val="24"/>
                <w:szCs w:val="24"/>
                <w:highlight w:val="none"/>
                <w:lang w:eastAsia="zh-CN"/>
              </w:rPr>
              <w:t>时</w:t>
            </w:r>
            <w:r>
              <w:rPr>
                <w:rFonts w:hint="eastAsia" w:ascii="宋体" w:hAnsi="宋体" w:eastAsia="宋体" w:cs="宋体"/>
                <w:sz w:val="24"/>
                <w:szCs w:val="24"/>
                <w:highlight w:val="none"/>
              </w:rPr>
              <w:t>至1</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:00</w:t>
            </w:r>
            <w:r>
              <w:rPr>
                <w:rFonts w:hint="eastAsia" w:ascii="宋体" w:hAnsi="宋体" w:eastAsia="宋体" w:cs="宋体"/>
                <w:sz w:val="24"/>
                <w:szCs w:val="24"/>
                <w:highlight w:val="none"/>
                <w:lang w:eastAsia="zh-CN"/>
              </w:rPr>
              <w:t>时</w:t>
            </w:r>
            <w:r>
              <w:rPr>
                <w:rFonts w:hint="eastAsia" w:ascii="宋体" w:hAnsi="宋体" w:eastAsia="宋体" w:cs="宋体"/>
                <w:sz w:val="24"/>
                <w:szCs w:val="24"/>
                <w:highlight w:val="none"/>
              </w:rPr>
              <w:t>（北京时间,法定节假日除外）</w:t>
            </w:r>
          </w:p>
          <w:p>
            <w:pPr>
              <w:pStyle w:val="83"/>
              <w:pageBreakBefore w:val="0"/>
              <w:kinsoku/>
              <w:wordWrap/>
              <w:overflowPunct/>
              <w:topLinePunct w:val="0"/>
              <w:bidi w:val="0"/>
              <w:spacing w:line="360" w:lineRule="auto"/>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发售地点：</w:t>
            </w:r>
            <w:r>
              <w:rPr>
                <w:rFonts w:hint="eastAsia" w:ascii="宋体" w:hAnsi="宋体" w:eastAsia="宋体" w:cs="宋体"/>
                <w:sz w:val="24"/>
                <w:szCs w:val="24"/>
                <w:highlight w:val="none"/>
                <w:lang w:eastAsia="zh-CN"/>
              </w:rPr>
              <w:t>安康</w:t>
            </w:r>
            <w:r>
              <w:rPr>
                <w:rFonts w:hint="eastAsia" w:ascii="宋体" w:hAnsi="宋体" w:eastAsia="宋体" w:cs="宋体"/>
                <w:sz w:val="24"/>
                <w:szCs w:val="24"/>
                <w:highlight w:val="none"/>
              </w:rPr>
              <w:t>市公共资源交易中心官网获取</w:t>
            </w:r>
            <w:r>
              <w:rPr>
                <w:rFonts w:hint="eastAsia" w:ascii="宋体" w:hAnsi="宋体" w:eastAsia="宋体" w:cs="宋体"/>
                <w:sz w:val="24"/>
                <w:szCs w:val="24"/>
                <w:highlight w:val="none"/>
                <w:lang w:eastAsia="zh-CN"/>
              </w:rPr>
              <w:t>磋商文件</w:t>
            </w:r>
          </w:p>
        </w:tc>
      </w:tr>
      <w:tr>
        <w:tblPrEx>
          <w:tblCellMar>
            <w:top w:w="0" w:type="dxa"/>
            <w:left w:w="10" w:type="dxa"/>
            <w:bottom w:w="0" w:type="dxa"/>
            <w:right w:w="10" w:type="dxa"/>
          </w:tblCellMar>
        </w:tblPrEx>
        <w:trPr>
          <w:jc w:val="center"/>
        </w:trPr>
        <w:tc>
          <w:tcPr>
            <w:tcW w:w="8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13</w:t>
            </w:r>
          </w:p>
        </w:tc>
        <w:tc>
          <w:tcPr>
            <w:tcW w:w="22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联合体磋商</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ageBreakBefore w:val="0"/>
              <w:kinsoku/>
              <w:wordWrap/>
              <w:overflowPunct/>
              <w:topLinePunct w:val="0"/>
              <w:bidi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不接受</w:t>
            </w:r>
          </w:p>
        </w:tc>
      </w:tr>
      <w:tr>
        <w:tblPrEx>
          <w:tblCellMar>
            <w:top w:w="0" w:type="dxa"/>
            <w:left w:w="10" w:type="dxa"/>
            <w:bottom w:w="0" w:type="dxa"/>
            <w:right w:w="10" w:type="dxa"/>
          </w:tblCellMar>
        </w:tblPrEx>
        <w:trPr>
          <w:jc w:val="center"/>
        </w:trPr>
        <w:tc>
          <w:tcPr>
            <w:tcW w:w="8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shd w:val="clear" w:color="auto" w:fill="auto"/>
              <w:kinsoku/>
              <w:wordWrap/>
              <w:overflowPunct/>
              <w:topLinePunct w:val="0"/>
              <w:autoSpaceDE/>
              <w:autoSpaceDN/>
              <w:bidi w:val="0"/>
              <w:adjustRightInd/>
              <w:snapToGrid/>
              <w:spacing w:line="500" w:lineRule="exact"/>
              <w:jc w:val="center"/>
              <w:textAlignment w:val="auto"/>
              <w:rPr>
                <w:rFonts w:hint="default" w:ascii="宋体" w:hAnsi="宋体" w:eastAsia="宋体" w:cs="宋体"/>
                <w:color w:val="000000"/>
                <w:sz w:val="24"/>
                <w:szCs w:val="24"/>
                <w:highlight w:val="none"/>
                <w:u w:val="none" w:color="000000"/>
                <w:lang w:val="en-US" w:eastAsia="zh-CN" w:bidi="ar-SA"/>
              </w:rPr>
            </w:pPr>
            <w:r>
              <w:rPr>
                <w:rFonts w:hint="eastAsia" w:ascii="宋体" w:hAnsi="宋体" w:eastAsia="宋体" w:cs="宋体"/>
                <w:color w:val="000000"/>
                <w:sz w:val="24"/>
                <w:szCs w:val="24"/>
                <w:highlight w:val="none"/>
                <w:u w:val="none" w:color="000000"/>
                <w:lang w:val="en-US" w:eastAsia="zh-CN" w:bidi="ar-SA"/>
              </w:rPr>
              <w:t>14</w:t>
            </w:r>
          </w:p>
        </w:tc>
        <w:tc>
          <w:tcPr>
            <w:tcW w:w="22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shd w:val="clear" w:color="auto" w:fill="auto"/>
              <w:kinsoku/>
              <w:wordWrap/>
              <w:overflowPunct/>
              <w:topLinePunct w:val="0"/>
              <w:autoSpaceDE/>
              <w:autoSpaceDN/>
              <w:bidi w:val="0"/>
              <w:adjustRightInd/>
              <w:snapToGrid/>
              <w:spacing w:line="500" w:lineRule="exact"/>
              <w:jc w:val="center"/>
              <w:textAlignment w:val="auto"/>
              <w:rPr>
                <w:rFonts w:hint="eastAsia" w:ascii="Times New Roman" w:hAnsi="Times New Roman" w:eastAsia="宋体" w:cs="Times New Roman"/>
                <w:color w:val="000000"/>
                <w:sz w:val="24"/>
                <w:szCs w:val="24"/>
                <w:highlight w:val="none"/>
                <w:u w:val="none" w:color="000000"/>
                <w:lang w:val="en-US" w:eastAsia="zh-CN" w:bidi="ar-SA"/>
              </w:rPr>
            </w:pPr>
            <w:r>
              <w:rPr>
                <w:rFonts w:hint="eastAsia" w:ascii="宋体" w:hAnsi="宋体" w:eastAsia="宋体" w:cs="宋体"/>
                <w:color w:val="auto"/>
                <w:sz w:val="24"/>
                <w:szCs w:val="24"/>
                <w:highlight w:val="none"/>
                <w:lang w:eastAsia="zh-CN"/>
              </w:rPr>
              <w:t>是否为专门面向中小企业采购</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shd w:val="clear" w:color="auto" w:fill="auto"/>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000000"/>
                <w:sz w:val="24"/>
                <w:szCs w:val="24"/>
                <w:highlight w:val="none"/>
                <w:u w:val="none" w:color="000000"/>
                <w:lang w:val="en-US" w:eastAsia="zh-CN" w:bidi="ar-SA"/>
              </w:rPr>
            </w:pPr>
            <w:r>
              <w:rPr>
                <w:rFonts w:hint="eastAsia" w:ascii="宋体" w:hAnsi="宋体" w:eastAsia="宋体" w:cs="宋体"/>
                <w:sz w:val="24"/>
                <w:szCs w:val="24"/>
                <w:highlight w:val="none"/>
              </w:rPr>
              <w:t>本项目专门面向</w:t>
            </w:r>
            <w:r>
              <w:rPr>
                <w:rFonts w:hint="eastAsia" w:ascii="宋体" w:hAnsi="宋体" w:cs="宋体"/>
                <w:sz w:val="24"/>
                <w:szCs w:val="24"/>
                <w:highlight w:val="none"/>
                <w:lang w:eastAsia="zh-CN"/>
              </w:rPr>
              <w:t>中小</w:t>
            </w:r>
            <w:r>
              <w:rPr>
                <w:rFonts w:hint="eastAsia" w:ascii="宋体" w:hAnsi="宋体" w:eastAsia="宋体" w:cs="宋体"/>
                <w:sz w:val="24"/>
                <w:szCs w:val="24"/>
                <w:highlight w:val="none"/>
              </w:rPr>
              <w:t>企业采购</w:t>
            </w:r>
          </w:p>
        </w:tc>
      </w:tr>
      <w:tr>
        <w:tblPrEx>
          <w:tblCellMar>
            <w:top w:w="0" w:type="dxa"/>
            <w:left w:w="10" w:type="dxa"/>
            <w:bottom w:w="0" w:type="dxa"/>
            <w:right w:w="10" w:type="dxa"/>
          </w:tblCellMar>
        </w:tblPrEx>
        <w:trPr>
          <w:jc w:val="center"/>
        </w:trPr>
        <w:tc>
          <w:tcPr>
            <w:tcW w:w="8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shd w:val="clear" w:color="auto" w:fill="auto"/>
              <w:kinsoku/>
              <w:wordWrap/>
              <w:overflowPunct/>
              <w:topLinePunct w:val="0"/>
              <w:autoSpaceDE/>
              <w:autoSpaceDN/>
              <w:bidi w:val="0"/>
              <w:adjustRightInd/>
              <w:snapToGrid/>
              <w:spacing w:line="500" w:lineRule="exact"/>
              <w:jc w:val="center"/>
              <w:textAlignment w:val="auto"/>
              <w:rPr>
                <w:rFonts w:hint="default" w:ascii="宋体" w:hAnsi="宋体" w:eastAsia="宋体" w:cs="宋体"/>
                <w:color w:val="auto"/>
                <w:sz w:val="24"/>
                <w:szCs w:val="24"/>
                <w:highlight w:val="none"/>
                <w:u w:val="none" w:color="000000"/>
                <w:lang w:val="en-US" w:eastAsia="zh-CN" w:bidi="ar-SA"/>
              </w:rPr>
            </w:pPr>
            <w:r>
              <w:rPr>
                <w:rFonts w:hint="eastAsia" w:ascii="宋体" w:hAnsi="宋体" w:cs="宋体"/>
                <w:color w:val="auto"/>
                <w:sz w:val="24"/>
                <w:szCs w:val="24"/>
                <w:highlight w:val="none"/>
                <w:lang w:val="en-US" w:eastAsia="zh-CN"/>
              </w:rPr>
              <w:t>15</w:t>
            </w:r>
          </w:p>
        </w:tc>
        <w:tc>
          <w:tcPr>
            <w:tcW w:w="22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shd w:val="clear"/>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 xml:space="preserve">关于中小企业 </w:t>
            </w:r>
          </w:p>
          <w:p>
            <w:pPr>
              <w:keepNext w:val="0"/>
              <w:keepLines w:val="0"/>
              <w:pageBreakBefore w:val="0"/>
              <w:shd w:val="clear"/>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u w:val="none" w:color="000000"/>
                <w:lang w:val="en-US" w:eastAsia="zh-CN" w:bidi="ar-SA"/>
              </w:rPr>
            </w:pPr>
            <w:r>
              <w:rPr>
                <w:rFonts w:hint="eastAsia" w:ascii="宋体" w:hAnsi="宋体" w:eastAsia="宋体" w:cs="宋体"/>
                <w:color w:val="auto"/>
                <w:sz w:val="24"/>
                <w:szCs w:val="24"/>
                <w:highlight w:val="none"/>
                <w:lang w:val="en-US" w:eastAsia="zh-CN"/>
              </w:rPr>
              <w:t>划分标准</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shd w:val="clear"/>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u w:val="none" w:color="000000"/>
                <w:lang w:val="en-US" w:eastAsia="zh-CN" w:bidi="ar-SA"/>
              </w:rPr>
            </w:pPr>
            <w:r>
              <w:rPr>
                <w:rFonts w:hint="eastAsia" w:ascii="宋体" w:hAnsi="宋体" w:eastAsia="宋体" w:cs="宋体"/>
                <w:color w:val="auto"/>
                <w:kern w:val="1"/>
                <w:sz w:val="24"/>
                <w:szCs w:val="24"/>
                <w:highlight w:val="none"/>
                <w:lang w:val="en-US" w:eastAsia="zh-CN" w:bidi="ar-SA"/>
              </w:rPr>
              <w:t>根据《工业和信息化部、国家统计局、国家发展和改革委员会、财政部关于印发中小企业划型标准规定的通知》（工信部联企业〔2011〕300 号）对中小企业的划分标准的规定，本项目采购标的对应的所属行业划分为：采购标的对应的中小企业划分标准所属行业为</w:t>
            </w:r>
            <w:r>
              <w:rPr>
                <w:rFonts w:hint="eastAsia" w:ascii="宋体" w:hAnsi="宋体" w:eastAsia="宋体" w:cs="宋体"/>
                <w:b/>
                <w:bCs/>
                <w:color w:val="auto"/>
                <w:kern w:val="1"/>
                <w:sz w:val="24"/>
                <w:szCs w:val="24"/>
                <w:highlight w:val="none"/>
                <w:lang w:val="en-US" w:eastAsia="zh-CN" w:bidi="ar-SA"/>
              </w:rPr>
              <w:t>建筑业</w:t>
            </w:r>
            <w:r>
              <w:rPr>
                <w:rFonts w:hint="eastAsia" w:ascii="宋体" w:hAnsi="宋体" w:eastAsia="宋体" w:cs="宋体"/>
                <w:color w:val="auto"/>
                <w:kern w:val="1"/>
                <w:sz w:val="24"/>
                <w:szCs w:val="24"/>
                <w:highlight w:val="none"/>
                <w:lang w:val="en-US" w:eastAsia="zh-CN" w:bidi="ar-SA"/>
              </w:rPr>
              <w:t>。</w:t>
            </w:r>
          </w:p>
        </w:tc>
      </w:tr>
      <w:tr>
        <w:tblPrEx>
          <w:tblCellMar>
            <w:top w:w="0" w:type="dxa"/>
            <w:left w:w="10" w:type="dxa"/>
            <w:bottom w:w="0" w:type="dxa"/>
            <w:right w:w="10" w:type="dxa"/>
          </w:tblCellMar>
        </w:tblPrEx>
        <w:trPr>
          <w:jc w:val="center"/>
        </w:trPr>
        <w:tc>
          <w:tcPr>
            <w:tcW w:w="8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6</w:t>
            </w:r>
          </w:p>
        </w:tc>
        <w:tc>
          <w:tcPr>
            <w:tcW w:w="22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现场勘查、标前答疑会</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不组织。采购人认为有必要，另行书面通知。</w:t>
            </w:r>
          </w:p>
        </w:tc>
      </w:tr>
      <w:tr>
        <w:tblPrEx>
          <w:tblCellMar>
            <w:top w:w="0" w:type="dxa"/>
            <w:left w:w="10" w:type="dxa"/>
            <w:bottom w:w="0" w:type="dxa"/>
            <w:right w:w="10" w:type="dxa"/>
          </w:tblCellMar>
        </w:tblPrEx>
        <w:trPr>
          <w:jc w:val="center"/>
        </w:trPr>
        <w:tc>
          <w:tcPr>
            <w:tcW w:w="8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7</w:t>
            </w:r>
          </w:p>
        </w:tc>
        <w:tc>
          <w:tcPr>
            <w:tcW w:w="22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供应商对竞争性磋商文件提出质疑的时间</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ageBreakBefore w:val="0"/>
              <w:kinsoku/>
              <w:wordWrap/>
              <w:overflowPunct/>
              <w:topLinePunct w:val="0"/>
              <w:bidi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若对</w:t>
            </w:r>
            <w:r>
              <w:rPr>
                <w:rFonts w:hint="eastAsia" w:ascii="宋体" w:hAnsi="宋体" w:eastAsia="宋体" w:cs="宋体"/>
                <w:sz w:val="24"/>
                <w:szCs w:val="24"/>
                <w:highlight w:val="none"/>
                <w:lang w:eastAsia="zh-CN"/>
              </w:rPr>
              <w:t>磋商文件</w:t>
            </w:r>
            <w:r>
              <w:rPr>
                <w:rFonts w:hint="eastAsia" w:ascii="宋体" w:hAnsi="宋体" w:eastAsia="宋体" w:cs="宋体"/>
                <w:sz w:val="24"/>
                <w:szCs w:val="24"/>
                <w:highlight w:val="none"/>
              </w:rPr>
              <w:t>有质疑的，在获取采购文件或者采购文件公告期限届满之日起</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个工作日内提出。（以书面形式向采购代理机构提出，在此之后提出的质疑无效。）</w:t>
            </w:r>
          </w:p>
        </w:tc>
      </w:tr>
      <w:tr>
        <w:tblPrEx>
          <w:tblCellMar>
            <w:top w:w="0" w:type="dxa"/>
            <w:left w:w="10" w:type="dxa"/>
            <w:bottom w:w="0" w:type="dxa"/>
            <w:right w:w="10" w:type="dxa"/>
          </w:tblCellMar>
        </w:tblPrEx>
        <w:trPr>
          <w:jc w:val="center"/>
        </w:trPr>
        <w:tc>
          <w:tcPr>
            <w:tcW w:w="8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8</w:t>
            </w:r>
          </w:p>
        </w:tc>
        <w:tc>
          <w:tcPr>
            <w:tcW w:w="22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构成竞争性磋商文件的其他文件</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ageBreakBefore w:val="0"/>
              <w:kinsoku/>
              <w:wordWrap/>
              <w:overflowPunct/>
              <w:topLinePunct w:val="0"/>
              <w:bidi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竞争性磋商文件的澄清、修改及有关补充通知为竞争性磋商文件的有效组成部分。</w:t>
            </w:r>
          </w:p>
        </w:tc>
      </w:tr>
      <w:tr>
        <w:tblPrEx>
          <w:tblCellMar>
            <w:top w:w="0" w:type="dxa"/>
            <w:left w:w="10" w:type="dxa"/>
            <w:bottom w:w="0" w:type="dxa"/>
            <w:right w:w="10" w:type="dxa"/>
          </w:tblCellMar>
        </w:tblPrEx>
        <w:trPr>
          <w:jc w:val="center"/>
        </w:trPr>
        <w:tc>
          <w:tcPr>
            <w:tcW w:w="8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9</w:t>
            </w:r>
          </w:p>
        </w:tc>
        <w:tc>
          <w:tcPr>
            <w:tcW w:w="22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83"/>
              <w:pageBreakBefore w:val="0"/>
              <w:kinsoku/>
              <w:wordWrap/>
              <w:overflowPunct/>
              <w:topLinePunct w:val="0"/>
              <w:bidi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磋商响应文件递交截止时间及磋商时间和地点</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1、磋商响应文件递交截止时间：</w:t>
            </w:r>
            <w:r>
              <w:rPr>
                <w:rFonts w:hint="eastAsia" w:ascii="宋体" w:hAnsi="宋体" w:eastAsia="宋体" w:cs="宋体"/>
                <w:sz w:val="24"/>
                <w:szCs w:val="24"/>
                <w:highlight w:val="none"/>
                <w:lang w:eastAsia="zh-CN"/>
              </w:rPr>
              <w:t>2024年</w:t>
            </w:r>
            <w:r>
              <w:rPr>
                <w:rFonts w:hint="eastAsia" w:ascii="宋体" w:hAnsi="宋体" w:cs="宋体"/>
                <w:sz w:val="24"/>
                <w:szCs w:val="24"/>
                <w:highlight w:val="none"/>
                <w:lang w:val="en-US" w:eastAsia="zh-CN"/>
              </w:rPr>
              <w:t>7</w:t>
            </w:r>
            <w:r>
              <w:rPr>
                <w:rFonts w:hint="eastAsia" w:ascii="宋体" w:hAnsi="宋体" w:eastAsia="宋体" w:cs="宋体"/>
                <w:sz w:val="24"/>
                <w:szCs w:val="24"/>
                <w:highlight w:val="none"/>
                <w:lang w:eastAsia="zh-CN"/>
              </w:rPr>
              <w:t>月</w:t>
            </w:r>
            <w:r>
              <w:rPr>
                <w:rFonts w:hint="eastAsia" w:ascii="宋体" w:hAnsi="宋体" w:cs="宋体"/>
                <w:sz w:val="24"/>
                <w:szCs w:val="24"/>
                <w:highlight w:val="none"/>
                <w:lang w:val="en-US" w:eastAsia="zh-CN"/>
              </w:rPr>
              <w:t>12</w:t>
            </w:r>
            <w:r>
              <w:rPr>
                <w:rFonts w:hint="eastAsia" w:ascii="宋体" w:hAnsi="宋体" w:eastAsia="宋体" w:cs="宋体"/>
                <w:sz w:val="24"/>
                <w:szCs w:val="24"/>
                <w:highlight w:val="none"/>
                <w:lang w:eastAsia="zh-CN"/>
              </w:rPr>
              <w:t>日</w:t>
            </w:r>
            <w:r>
              <w:rPr>
                <w:rFonts w:hint="eastAsia" w:ascii="宋体" w:hAnsi="宋体" w:cs="宋体"/>
                <w:sz w:val="24"/>
                <w:szCs w:val="24"/>
                <w:highlight w:val="none"/>
                <w:lang w:val="en-US" w:eastAsia="zh-CN"/>
              </w:rPr>
              <w:t>11</w:t>
            </w:r>
            <w:r>
              <w:rPr>
                <w:rFonts w:hint="eastAsia" w:ascii="宋体" w:hAnsi="宋体" w:eastAsia="宋体" w:cs="宋体"/>
                <w:sz w:val="24"/>
                <w:szCs w:val="24"/>
                <w:highlight w:val="none"/>
                <w:lang w:eastAsia="zh-CN"/>
              </w:rPr>
              <w:t>:00时</w:t>
            </w:r>
            <w:r>
              <w:rPr>
                <w:rFonts w:hint="eastAsia" w:ascii="宋体" w:hAnsi="宋体" w:eastAsia="宋体" w:cs="宋体"/>
                <w:sz w:val="24"/>
                <w:szCs w:val="24"/>
                <w:highlight w:val="none"/>
              </w:rPr>
              <w:t>,逾期递交的磋商响应文件概不接受。</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2、磋商时间：</w:t>
            </w:r>
            <w:r>
              <w:rPr>
                <w:rFonts w:hint="eastAsia" w:ascii="宋体" w:hAnsi="宋体" w:eastAsia="宋体" w:cs="宋体"/>
                <w:sz w:val="24"/>
                <w:szCs w:val="24"/>
                <w:highlight w:val="none"/>
                <w:lang w:eastAsia="zh-CN"/>
              </w:rPr>
              <w:t>2024年</w:t>
            </w:r>
            <w:r>
              <w:rPr>
                <w:rFonts w:hint="eastAsia" w:ascii="宋体" w:hAnsi="宋体" w:cs="宋体"/>
                <w:sz w:val="24"/>
                <w:szCs w:val="24"/>
                <w:highlight w:val="none"/>
                <w:lang w:val="en-US" w:eastAsia="zh-CN"/>
              </w:rPr>
              <w:t>7</w:t>
            </w:r>
            <w:r>
              <w:rPr>
                <w:rFonts w:hint="eastAsia" w:ascii="宋体" w:hAnsi="宋体" w:eastAsia="宋体" w:cs="宋体"/>
                <w:sz w:val="24"/>
                <w:szCs w:val="24"/>
                <w:highlight w:val="none"/>
                <w:lang w:eastAsia="zh-CN"/>
              </w:rPr>
              <w:t>月</w:t>
            </w:r>
            <w:r>
              <w:rPr>
                <w:rFonts w:hint="eastAsia" w:ascii="宋体" w:hAnsi="宋体" w:cs="宋体"/>
                <w:sz w:val="24"/>
                <w:szCs w:val="24"/>
                <w:highlight w:val="none"/>
                <w:lang w:val="en-US" w:eastAsia="zh-CN"/>
              </w:rPr>
              <w:t>12</w:t>
            </w:r>
            <w:r>
              <w:rPr>
                <w:rFonts w:hint="eastAsia" w:ascii="宋体" w:hAnsi="宋体" w:eastAsia="宋体" w:cs="宋体"/>
                <w:sz w:val="24"/>
                <w:szCs w:val="24"/>
                <w:highlight w:val="none"/>
                <w:lang w:eastAsia="zh-CN"/>
              </w:rPr>
              <w:t>日</w:t>
            </w:r>
            <w:r>
              <w:rPr>
                <w:rFonts w:hint="eastAsia" w:ascii="宋体" w:hAnsi="宋体" w:cs="宋体"/>
                <w:sz w:val="24"/>
                <w:szCs w:val="24"/>
                <w:highlight w:val="none"/>
                <w:lang w:val="en-US" w:eastAsia="zh-CN"/>
              </w:rPr>
              <w:t>11</w:t>
            </w:r>
            <w:r>
              <w:rPr>
                <w:rFonts w:hint="eastAsia" w:ascii="宋体" w:hAnsi="宋体" w:eastAsia="宋体" w:cs="宋体"/>
                <w:sz w:val="24"/>
                <w:szCs w:val="24"/>
                <w:highlight w:val="none"/>
                <w:lang w:eastAsia="zh-CN"/>
              </w:rPr>
              <w:t>:00时。</w:t>
            </w:r>
          </w:p>
          <w:p>
            <w:pPr>
              <w:pStyle w:val="83"/>
              <w:pageBreakBefore w:val="0"/>
              <w:kinsoku/>
              <w:wordWrap/>
              <w:overflowPunct/>
              <w:topLinePunct w:val="0"/>
              <w:bidi w:val="0"/>
              <w:spacing w:line="360" w:lineRule="auto"/>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3、磋商地点：</w:t>
            </w:r>
            <w:r>
              <w:rPr>
                <w:rFonts w:hint="eastAsia" w:ascii="宋体" w:hAnsi="宋体" w:eastAsia="宋体" w:cs="宋体"/>
                <w:sz w:val="24"/>
                <w:szCs w:val="24"/>
                <w:highlight w:val="none"/>
                <w:lang w:eastAsia="zh-CN"/>
              </w:rPr>
              <w:t>安康市公共资源交易中心</w:t>
            </w:r>
            <w:r>
              <w:rPr>
                <w:rFonts w:hint="eastAsia" w:ascii="宋体" w:hAnsi="宋体" w:eastAsia="宋体" w:cs="宋体"/>
                <w:sz w:val="24"/>
                <w:szCs w:val="24"/>
                <w:highlight w:val="none"/>
                <w:lang w:val="en-US" w:eastAsia="zh-CN"/>
              </w:rPr>
              <w:t>307第五开标室</w:t>
            </w:r>
          </w:p>
        </w:tc>
      </w:tr>
      <w:tr>
        <w:tblPrEx>
          <w:tblCellMar>
            <w:top w:w="0" w:type="dxa"/>
            <w:left w:w="10" w:type="dxa"/>
            <w:bottom w:w="0" w:type="dxa"/>
            <w:right w:w="10" w:type="dxa"/>
          </w:tblCellMar>
        </w:tblPrEx>
        <w:trPr>
          <w:jc w:val="center"/>
        </w:trPr>
        <w:tc>
          <w:tcPr>
            <w:tcW w:w="8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20</w:t>
            </w:r>
          </w:p>
        </w:tc>
        <w:tc>
          <w:tcPr>
            <w:tcW w:w="22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磋商有效期</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ageBreakBefore w:val="0"/>
              <w:kinsoku/>
              <w:wordWrap/>
              <w:overflowPunct/>
              <w:topLinePunct w:val="0"/>
              <w:bidi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自磋商之日起算90个日历日。</w:t>
            </w:r>
          </w:p>
        </w:tc>
      </w:tr>
      <w:tr>
        <w:tblPrEx>
          <w:tblCellMar>
            <w:top w:w="0" w:type="dxa"/>
            <w:left w:w="10" w:type="dxa"/>
            <w:bottom w:w="0" w:type="dxa"/>
            <w:right w:w="10" w:type="dxa"/>
          </w:tblCellMar>
        </w:tblPrEx>
        <w:trPr>
          <w:trHeight w:val="764" w:hRule="atLeast"/>
          <w:jc w:val="center"/>
        </w:trPr>
        <w:tc>
          <w:tcPr>
            <w:tcW w:w="8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21</w:t>
            </w:r>
          </w:p>
        </w:tc>
        <w:tc>
          <w:tcPr>
            <w:tcW w:w="22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备选磋商方案</w:t>
            </w:r>
          </w:p>
          <w:p>
            <w:pPr>
              <w:pageBreakBefore w:val="0"/>
              <w:kinsoku/>
              <w:wordWrap/>
              <w:overflowPunct/>
              <w:topLinePunct w:val="0"/>
              <w:bidi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和报价</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tabs>
                <w:tab w:val="left" w:pos="7013"/>
              </w:tabs>
              <w:kinsoku/>
              <w:wordWrap/>
              <w:overflowPunct/>
              <w:topLinePunct w:val="0"/>
              <w:bidi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不接受备选磋商方案和多个报价。</w:t>
            </w:r>
          </w:p>
        </w:tc>
      </w:tr>
      <w:tr>
        <w:tblPrEx>
          <w:tblCellMar>
            <w:top w:w="0" w:type="dxa"/>
            <w:left w:w="10" w:type="dxa"/>
            <w:bottom w:w="0" w:type="dxa"/>
            <w:right w:w="10" w:type="dxa"/>
          </w:tblCellMar>
        </w:tblPrEx>
        <w:trPr>
          <w:jc w:val="center"/>
        </w:trPr>
        <w:tc>
          <w:tcPr>
            <w:tcW w:w="8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22</w:t>
            </w:r>
          </w:p>
        </w:tc>
        <w:tc>
          <w:tcPr>
            <w:tcW w:w="22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盖章签字</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tabs>
                <w:tab w:val="left" w:pos="7013"/>
              </w:tabs>
              <w:kinsoku/>
              <w:wordWrap/>
              <w:overflowPunct/>
              <w:topLinePunct w:val="0"/>
              <w:bidi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供应商必须按照磋商文件的规定和要求盖章、签字。</w:t>
            </w:r>
          </w:p>
        </w:tc>
      </w:tr>
      <w:tr>
        <w:tblPrEx>
          <w:tblCellMar>
            <w:top w:w="0" w:type="dxa"/>
            <w:left w:w="10" w:type="dxa"/>
            <w:bottom w:w="0" w:type="dxa"/>
            <w:right w:w="10" w:type="dxa"/>
          </w:tblCellMar>
        </w:tblPrEx>
        <w:trPr>
          <w:trHeight w:val="4911" w:hRule="atLeast"/>
          <w:jc w:val="center"/>
        </w:trPr>
        <w:tc>
          <w:tcPr>
            <w:tcW w:w="8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23</w:t>
            </w:r>
          </w:p>
        </w:tc>
        <w:tc>
          <w:tcPr>
            <w:tcW w:w="22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因项目存档需要，投标文件须准备纸制版文件</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left"/>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各投标人应在开标后</w:t>
            </w:r>
            <w:r>
              <w:rPr>
                <w:rFonts w:hint="eastAsia" w:ascii="宋体" w:hAnsi="宋体" w:eastAsia="宋体" w:cs="宋体"/>
                <w:b/>
                <w:bCs/>
                <w:sz w:val="24"/>
                <w:szCs w:val="24"/>
                <w:highlight w:val="none"/>
                <w:lang w:eastAsia="zh-CN"/>
              </w:rPr>
              <w:t>两</w:t>
            </w:r>
            <w:r>
              <w:rPr>
                <w:rFonts w:hint="eastAsia" w:ascii="宋体" w:hAnsi="宋体" w:eastAsia="宋体" w:cs="宋体"/>
                <w:b/>
                <w:bCs/>
                <w:sz w:val="24"/>
                <w:szCs w:val="24"/>
                <w:highlight w:val="none"/>
              </w:rPr>
              <w:t>个工作日内将纸质版文件递交至</w:t>
            </w:r>
            <w:r>
              <w:rPr>
                <w:rFonts w:hint="eastAsia" w:ascii="宋体" w:hAnsi="宋体" w:eastAsia="宋体" w:cs="宋体"/>
                <w:b/>
                <w:bCs/>
                <w:sz w:val="24"/>
                <w:szCs w:val="24"/>
                <w:highlight w:val="none"/>
                <w:lang w:eastAsia="zh-CN"/>
              </w:rPr>
              <w:t>西安市雁塔区朱雀大街南段69号长丰园三区5号楼9层</w:t>
            </w:r>
            <w:r>
              <w:rPr>
                <w:rFonts w:hint="eastAsia" w:ascii="宋体" w:hAnsi="宋体" w:eastAsia="宋体" w:cs="宋体"/>
                <w:b/>
                <w:bCs/>
                <w:sz w:val="24"/>
                <w:szCs w:val="24"/>
                <w:highlight w:val="none"/>
                <w:lang w:val="en-US" w:eastAsia="zh-CN"/>
              </w:rPr>
              <w:t>9006室</w:t>
            </w:r>
            <w:r>
              <w:rPr>
                <w:rFonts w:hint="eastAsia" w:ascii="宋体" w:hAnsi="宋体" w:eastAsia="宋体" w:cs="宋体"/>
                <w:b/>
                <w:bCs/>
                <w:sz w:val="24"/>
                <w:szCs w:val="24"/>
                <w:highlight w:val="none"/>
              </w:rPr>
              <w:t>（开标前，不接收纸质版文件）。</w:t>
            </w:r>
          </w:p>
          <w:p>
            <w:pPr>
              <w:pageBreakBefore w:val="0"/>
              <w:kinsoku/>
              <w:wordWrap/>
              <w:overflowPunct/>
              <w:topLinePunct w:val="0"/>
              <w:bidi w:val="0"/>
              <w:spacing w:line="360" w:lineRule="auto"/>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磋商</w:t>
            </w:r>
            <w:r>
              <w:rPr>
                <w:rFonts w:hint="eastAsia" w:ascii="宋体" w:hAnsi="宋体" w:eastAsia="宋体" w:cs="宋体"/>
                <w:sz w:val="24"/>
                <w:szCs w:val="24"/>
                <w:highlight w:val="none"/>
              </w:rPr>
              <w:t>响应文件一律采用书籍（胶装）方式装订。</w:t>
            </w:r>
          </w:p>
          <w:p>
            <w:pPr>
              <w:pageBreakBefore w:val="0"/>
              <w:kinsoku/>
              <w:wordWrap/>
              <w:overflowPunct/>
              <w:topLinePunct w:val="0"/>
              <w:bidi w:val="0"/>
              <w:spacing w:line="360" w:lineRule="auto"/>
              <w:jc w:val="left"/>
              <w:textAlignment w:val="auto"/>
              <w:rPr>
                <w:sz w:val="24"/>
                <w:szCs w:val="24"/>
                <w:highlight w:val="green"/>
              </w:rPr>
            </w:pPr>
            <w:r>
              <w:rPr>
                <w:rFonts w:hint="eastAsia" w:ascii="宋体" w:hAnsi="宋体" w:eastAsia="宋体" w:cs="宋体"/>
                <w:sz w:val="24"/>
                <w:szCs w:val="24"/>
                <w:highlight w:val="none"/>
                <w:lang w:val="en-US" w:eastAsia="zh-CN"/>
              </w:rPr>
              <w:t>磋商</w:t>
            </w:r>
            <w:r>
              <w:rPr>
                <w:rFonts w:hint="eastAsia" w:ascii="宋体" w:hAnsi="宋体" w:eastAsia="宋体" w:cs="宋体"/>
                <w:sz w:val="24"/>
                <w:szCs w:val="24"/>
                <w:highlight w:val="none"/>
              </w:rPr>
              <w:t>响应文件共四份，其中正本一份，副本二份，电子文件（U盘或移动硬盘，谢绝光盘）一份。</w:t>
            </w:r>
          </w:p>
          <w:p>
            <w:pPr>
              <w:pageBreakBefore w:val="0"/>
              <w:kinsoku/>
              <w:wordWrap/>
              <w:overflowPunct/>
              <w:topLinePunct w:val="0"/>
              <w:bidi w:val="0"/>
              <w:spacing w:line="360" w:lineRule="auto"/>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正、副本分别各自装订成册。正本须按规定和要求进行签字(或盖章），并逐页加盖公章（鲜章），副本可以是正本的复印件，电子文件与正本保持一致（电子文件为签字盖章的PDF格式及WORD版格式），具有同等法律效力。</w:t>
            </w:r>
          </w:p>
        </w:tc>
      </w:tr>
      <w:tr>
        <w:tblPrEx>
          <w:tblCellMar>
            <w:top w:w="0" w:type="dxa"/>
            <w:left w:w="10" w:type="dxa"/>
            <w:bottom w:w="0" w:type="dxa"/>
            <w:right w:w="10" w:type="dxa"/>
          </w:tblCellMar>
        </w:tblPrEx>
        <w:trPr>
          <w:trHeight w:val="572" w:hRule="atLeast"/>
          <w:jc w:val="center"/>
        </w:trPr>
        <w:tc>
          <w:tcPr>
            <w:tcW w:w="8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24</w:t>
            </w:r>
          </w:p>
        </w:tc>
        <w:tc>
          <w:tcPr>
            <w:tcW w:w="22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评审办法及标准</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83"/>
              <w:pageBreakBefore w:val="0"/>
              <w:kinsoku/>
              <w:wordWrap/>
              <w:overflowPunct/>
              <w:topLinePunct w:val="0"/>
              <w:bidi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综合评分法，</w:t>
            </w:r>
            <w:r>
              <w:rPr>
                <w:rFonts w:hint="eastAsia" w:ascii="宋体" w:hAnsi="宋体" w:eastAsia="宋体" w:cs="宋体"/>
                <w:sz w:val="24"/>
                <w:szCs w:val="24"/>
                <w:highlight w:val="none"/>
              </w:rPr>
              <w:t>详见磋商文件第二部分。</w:t>
            </w:r>
          </w:p>
        </w:tc>
      </w:tr>
      <w:tr>
        <w:tblPrEx>
          <w:tblCellMar>
            <w:top w:w="0" w:type="dxa"/>
            <w:left w:w="10" w:type="dxa"/>
            <w:bottom w:w="0" w:type="dxa"/>
            <w:right w:w="10" w:type="dxa"/>
          </w:tblCellMar>
        </w:tblPrEx>
        <w:trPr>
          <w:trHeight w:val="572" w:hRule="atLeast"/>
          <w:jc w:val="center"/>
        </w:trPr>
        <w:tc>
          <w:tcPr>
            <w:tcW w:w="8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25</w:t>
            </w:r>
          </w:p>
        </w:tc>
        <w:tc>
          <w:tcPr>
            <w:tcW w:w="22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ind w:firstLine="0" w:firstLineChars="0"/>
              <w:jc w:val="center"/>
              <w:rPr>
                <w:rFonts w:hint="eastAsia" w:ascii="宋体" w:hAnsi="宋体" w:eastAsia="宋体" w:cs="宋体"/>
                <w:color w:val="auto"/>
                <w:kern w:val="1"/>
                <w:sz w:val="24"/>
                <w:szCs w:val="24"/>
                <w:highlight w:val="none"/>
                <w:u w:val="none"/>
                <w:lang w:val="en-US" w:eastAsia="zh-CN" w:bidi="ar-SA"/>
              </w:rPr>
            </w:pPr>
            <w:r>
              <w:rPr>
                <w:rFonts w:hint="eastAsia" w:ascii="宋体" w:hAnsi="宋体" w:eastAsia="宋体" w:cs="宋体"/>
                <w:color w:val="auto"/>
                <w:kern w:val="1"/>
                <w:sz w:val="24"/>
                <w:szCs w:val="24"/>
                <w:highlight w:val="none"/>
                <w:u w:val="none"/>
                <w:lang w:val="en-US" w:eastAsia="zh-CN" w:bidi="ar-SA"/>
              </w:rPr>
              <w:t>特别提醒</w:t>
            </w:r>
          </w:p>
        </w:tc>
        <w:tc>
          <w:tcPr>
            <w:tcW w:w="66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rightChars="0"/>
              <w:jc w:val="both"/>
              <w:rPr>
                <w:rFonts w:hint="eastAsia" w:ascii="宋体" w:hAnsi="宋体" w:eastAsia="宋体" w:cs="宋体"/>
                <w:color w:val="auto"/>
                <w:kern w:val="1"/>
                <w:sz w:val="24"/>
                <w:szCs w:val="24"/>
                <w:highlight w:val="none"/>
                <w:u w:val="none"/>
                <w:lang w:val="en-US" w:eastAsia="zh-CN" w:bidi="ar-SA"/>
              </w:rPr>
            </w:pPr>
            <w:r>
              <w:rPr>
                <w:rFonts w:hint="eastAsia" w:ascii="宋体" w:hAnsi="宋体" w:eastAsia="宋体" w:cs="宋体"/>
                <w:color w:val="auto"/>
                <w:kern w:val="1"/>
                <w:sz w:val="24"/>
                <w:szCs w:val="24"/>
                <w:highlight w:val="none"/>
                <w:u w:val="none"/>
                <w:lang w:val="en-US" w:eastAsia="zh-CN" w:bidi="ar-SA"/>
              </w:rPr>
              <w:t>本项目为“全流程电子化”“不见面”采购模式，实行线上电子投标方式，各供应商须自行在网上下载</w:t>
            </w:r>
            <w:r>
              <w:rPr>
                <w:rFonts w:hint="eastAsia" w:cs="宋体"/>
                <w:color w:val="auto"/>
                <w:kern w:val="1"/>
                <w:sz w:val="24"/>
                <w:szCs w:val="24"/>
                <w:highlight w:val="none"/>
                <w:u w:val="none"/>
                <w:lang w:val="en-US" w:eastAsia="zh-CN" w:bidi="ar-SA"/>
              </w:rPr>
              <w:t>磋商</w:t>
            </w:r>
            <w:r>
              <w:rPr>
                <w:rFonts w:hint="eastAsia" w:ascii="宋体" w:hAnsi="宋体" w:eastAsia="宋体" w:cs="宋体"/>
                <w:color w:val="auto"/>
                <w:kern w:val="1"/>
                <w:sz w:val="24"/>
                <w:szCs w:val="24"/>
                <w:highlight w:val="none"/>
                <w:u w:val="none"/>
                <w:lang w:val="en-US" w:eastAsia="zh-CN" w:bidi="ar-SA"/>
              </w:rPr>
              <w:t>文件、递交</w:t>
            </w:r>
            <w:r>
              <w:rPr>
                <w:rFonts w:hint="eastAsia" w:cs="宋体"/>
                <w:color w:val="auto"/>
                <w:kern w:val="1"/>
                <w:sz w:val="24"/>
                <w:szCs w:val="24"/>
                <w:highlight w:val="none"/>
                <w:u w:val="none"/>
                <w:lang w:val="en-US" w:eastAsia="zh-CN" w:bidi="ar-SA"/>
              </w:rPr>
              <w:t>磋商</w:t>
            </w:r>
            <w:r>
              <w:rPr>
                <w:rFonts w:hint="eastAsia" w:ascii="宋体" w:hAnsi="宋体" w:eastAsia="宋体" w:cs="宋体"/>
                <w:color w:val="auto"/>
                <w:kern w:val="1"/>
                <w:sz w:val="24"/>
                <w:szCs w:val="24"/>
                <w:highlight w:val="none"/>
                <w:u w:val="none"/>
                <w:lang w:val="en-US" w:eastAsia="zh-CN" w:bidi="ar-SA"/>
              </w:rPr>
              <w:t>文件、在线参与</w:t>
            </w:r>
            <w:r>
              <w:rPr>
                <w:rFonts w:hint="eastAsia" w:cs="宋体"/>
                <w:color w:val="auto"/>
                <w:kern w:val="1"/>
                <w:sz w:val="24"/>
                <w:szCs w:val="24"/>
                <w:highlight w:val="none"/>
                <w:u w:val="none"/>
                <w:lang w:val="en-US" w:eastAsia="zh-CN" w:bidi="ar-SA"/>
              </w:rPr>
              <w:t>磋商</w:t>
            </w:r>
            <w:r>
              <w:rPr>
                <w:rFonts w:hint="eastAsia" w:ascii="宋体" w:hAnsi="宋体" w:eastAsia="宋体" w:cs="宋体"/>
                <w:color w:val="auto"/>
                <w:kern w:val="1"/>
                <w:sz w:val="24"/>
                <w:szCs w:val="24"/>
                <w:highlight w:val="none"/>
                <w:u w:val="none"/>
                <w:lang w:val="en-US" w:eastAsia="zh-CN" w:bidi="ar-SA"/>
              </w:rPr>
              <w:t>过程，并登录全国公共资源交易平台（陕西省</w:t>
            </w:r>
            <w:r>
              <w:rPr>
                <w:rFonts w:hint="eastAsia" w:cs="宋体"/>
                <w:color w:val="auto"/>
                <w:kern w:val="1"/>
                <w:sz w:val="24"/>
                <w:szCs w:val="24"/>
                <w:highlight w:val="none"/>
                <w:u w:val="none"/>
                <w:lang w:val="en-US" w:eastAsia="zh-CN" w:bidi="ar-SA"/>
              </w:rPr>
              <w:t>安康</w:t>
            </w:r>
            <w:r>
              <w:rPr>
                <w:rFonts w:hint="eastAsia" w:ascii="宋体" w:hAnsi="宋体" w:eastAsia="宋体" w:cs="宋体"/>
                <w:color w:val="auto"/>
                <w:kern w:val="1"/>
                <w:sz w:val="24"/>
                <w:szCs w:val="24"/>
                <w:highlight w:val="none"/>
                <w:u w:val="none"/>
                <w:lang w:val="en-US" w:eastAsia="zh-CN" w:bidi="ar-SA"/>
              </w:rPr>
              <w:t>市）</w:t>
            </w:r>
            <w:r>
              <w:rPr>
                <w:rFonts w:hint="eastAsia" w:cs="宋体"/>
                <w:color w:val="auto"/>
                <w:kern w:val="1"/>
                <w:sz w:val="24"/>
                <w:szCs w:val="24"/>
                <w:highlight w:val="none"/>
                <w:u w:val="none"/>
                <w:lang w:val="en-US" w:eastAsia="zh-CN" w:bidi="ar-SA"/>
              </w:rPr>
              <w:t>安康</w:t>
            </w:r>
            <w:r>
              <w:rPr>
                <w:rFonts w:hint="eastAsia" w:ascii="宋体" w:hAnsi="宋体" w:eastAsia="宋体" w:cs="宋体"/>
                <w:color w:val="auto"/>
                <w:kern w:val="1"/>
                <w:sz w:val="24"/>
                <w:szCs w:val="24"/>
                <w:highlight w:val="none"/>
                <w:u w:val="none"/>
                <w:lang w:val="en-US" w:eastAsia="zh-CN" w:bidi="ar-SA"/>
              </w:rPr>
              <w:t>市公共资源交易中心（http://</w:t>
            </w:r>
            <w:r>
              <w:rPr>
                <w:rFonts w:hint="eastAsia" w:cs="宋体"/>
                <w:color w:val="auto"/>
                <w:kern w:val="1"/>
                <w:sz w:val="24"/>
                <w:szCs w:val="24"/>
                <w:highlight w:val="none"/>
                <w:u w:val="none"/>
                <w:lang w:val="en-US" w:eastAsia="zh-CN" w:bidi="ar-SA"/>
              </w:rPr>
              <w:t>ak</w:t>
            </w:r>
            <w:r>
              <w:rPr>
                <w:rFonts w:hint="eastAsia" w:ascii="宋体" w:hAnsi="宋体" w:eastAsia="宋体" w:cs="宋体"/>
                <w:color w:val="auto"/>
                <w:kern w:val="1"/>
                <w:sz w:val="24"/>
                <w:szCs w:val="24"/>
                <w:highlight w:val="none"/>
                <w:u w:val="none"/>
                <w:lang w:val="en-US" w:eastAsia="zh-CN" w:bidi="ar-SA"/>
              </w:rPr>
              <w:t>.sxggzyjy.cn/）-服务指南-下载专区-下载“政府采购电子交易-不见面系统操作手册-投标人”，并下载政府采购电子标书制作工具，按照流程制作电子标书并在规定的投标截止时前上传电子投标文件；建议使用IE11浏览器或360极速浏览器兼容模式，同时必须安装陕西省公共资源CA驱动，供应商须自备配音耳麦，确保</w:t>
            </w:r>
            <w:r>
              <w:rPr>
                <w:rFonts w:hint="eastAsia" w:eastAsia="宋体" w:cs="宋体"/>
                <w:color w:val="auto"/>
                <w:kern w:val="1"/>
                <w:sz w:val="24"/>
                <w:szCs w:val="24"/>
                <w:highlight w:val="none"/>
                <w:u w:val="none"/>
                <w:lang w:val="en-US" w:eastAsia="zh-CN" w:bidi="ar-SA"/>
              </w:rPr>
              <w:t>磋商</w:t>
            </w:r>
            <w:r>
              <w:rPr>
                <w:rFonts w:hint="eastAsia" w:ascii="宋体" w:hAnsi="宋体" w:eastAsia="宋体" w:cs="宋体"/>
                <w:color w:val="auto"/>
                <w:kern w:val="1"/>
                <w:sz w:val="24"/>
                <w:szCs w:val="24"/>
                <w:highlight w:val="none"/>
                <w:u w:val="none"/>
                <w:lang w:val="en-US" w:eastAsia="zh-CN" w:bidi="ar-SA"/>
              </w:rPr>
              <w:t>及报价环节能顺利进行；为了保证远程不见面开标顺利进行，投标人需使用配备相关设备的电脑提前一小时登录网络开标大厅签到。因投标人自身设施故障或自身原因导致无法完成投标的，由投标人自行承担后果。</w:t>
            </w:r>
          </w:p>
        </w:tc>
      </w:tr>
    </w:tbl>
    <w:p>
      <w:pPr>
        <w:pStyle w:val="4"/>
        <w:bidi w:val="0"/>
        <w:rPr>
          <w:rFonts w:hint="eastAsia"/>
        </w:rPr>
      </w:pPr>
      <w:r>
        <w:rPr>
          <w:rFonts w:hint="eastAsia"/>
        </w:rPr>
        <w:t>二、</w:t>
      </w:r>
      <w:r>
        <w:rPr>
          <w:rFonts w:hint="eastAsia"/>
          <w:lang w:eastAsia="zh-CN"/>
        </w:rPr>
        <w:t>供应商</w:t>
      </w:r>
      <w:r>
        <w:rPr>
          <w:rFonts w:hint="eastAsia"/>
        </w:rPr>
        <w:t>须知</w:t>
      </w:r>
      <w:bookmarkEnd w:id="27"/>
      <w:bookmarkEnd w:id="28"/>
      <w:bookmarkEnd w:id="29"/>
    </w:p>
    <w:p>
      <w:pPr>
        <w:pStyle w:val="5"/>
        <w:bidi w:val="0"/>
        <w:rPr>
          <w:rFonts w:hint="eastAsia"/>
        </w:rPr>
      </w:pPr>
      <w:bookmarkStart w:id="30" w:name="_Toc32669"/>
      <w:r>
        <w:rPr>
          <w:rFonts w:hint="eastAsia"/>
        </w:rPr>
        <w:t>（一）总  则</w:t>
      </w:r>
      <w:bookmarkEnd w:id="30"/>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1、本项目采用竞争性磋商方式。</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2、名词解释</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（1）采购人：岚皋县医院</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（2）采购代理机构：陕西正邦招标有限责任公司</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（3）供应商：是指响应和符合竞争性磋商文件规定资格条件要求的单位。</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3、投标费用。供应商应自行承担所有与参加本次投标有关的费用。不论投标的结果如何，陕西正邦招标有限责任公司和采购人在任何情况下均无义务和责任承担这些费用。</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4、适用法律。本次采购活动及由本次采购产生的合同受中华人民共和国相关法律法规的制约和保护。</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5、竞争性磋商文件的约束力。供应商一旦下载了竞争性磋商文件并参加投标，即被认为接受了竞争性磋商文件中的所有条件和规定。</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6、法定代表人为同一个人的两个及两个以上法人，母公司、全资子公司及其控股公司，都不得同时参加本项目同一标段的投标。</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7、供应商应认真阅读竞争性磋商文件中所有的章节、条款、格式、规范和附件等要求。如果没有按照竞争性磋商文件要求编制竞争性磋商响应文件及提供相关资料，其风险由供应商自行承担。</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8、供应商所提供的所有资料（包括复印件）必须清晰，如因提供的资料难以辨认，其风险由供应商自负。</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9、本次采购不接受联合体磋商。</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10、分包</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不允许，见供应商须知前附表。</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bookmarkStart w:id="31" w:name="_Toc9114"/>
      <w:r>
        <w:rPr>
          <w:rFonts w:hint="eastAsia" w:ascii="宋体" w:hAnsi="宋体" w:eastAsia="宋体" w:cs="宋体"/>
          <w:color w:val="auto"/>
          <w:sz w:val="24"/>
          <w:szCs w:val="24"/>
          <w:highlight w:val="none"/>
          <w:lang w:val="en-US" w:eastAsia="zh-CN"/>
        </w:rPr>
        <w:t>11、偏离</w:t>
      </w:r>
      <w:bookmarkEnd w:id="31"/>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不允许，见供应商须知前附表。</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12、因本次招投标活动产生的一切纠纷（包括合同纠纷），有关各方应友好协商解决，协商不成，则向陕西省仲裁委员会申请仲裁。 </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bookmarkStart w:id="32" w:name="_Toc23957"/>
      <w:r>
        <w:rPr>
          <w:rFonts w:hint="eastAsia" w:ascii="宋体" w:hAnsi="宋体" w:eastAsia="宋体" w:cs="宋体"/>
          <w:color w:val="auto"/>
          <w:sz w:val="24"/>
          <w:szCs w:val="24"/>
          <w:highlight w:val="none"/>
          <w:lang w:val="en-US" w:eastAsia="zh-CN"/>
        </w:rPr>
        <w:t>13、采购代理服务费：</w:t>
      </w:r>
      <w:bookmarkEnd w:id="32"/>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bookmarkStart w:id="33" w:name="_Toc9530"/>
      <w:r>
        <w:rPr>
          <w:rFonts w:hint="eastAsia" w:ascii="宋体" w:hAnsi="宋体" w:eastAsia="宋体" w:cs="宋体"/>
          <w:color w:val="auto"/>
          <w:sz w:val="24"/>
          <w:szCs w:val="24"/>
          <w:highlight w:val="none"/>
          <w:lang w:val="en-US" w:eastAsia="zh-CN"/>
        </w:rPr>
        <w:t>服务费参照国家发展</w:t>
      </w:r>
      <w:r>
        <w:rPr>
          <w:rFonts w:hint="eastAsia" w:ascii="宋体" w:hAnsi="宋体" w:cs="宋体"/>
          <w:color w:val="auto"/>
          <w:sz w:val="24"/>
          <w:szCs w:val="24"/>
          <w:highlight w:val="none"/>
          <w:lang w:val="en-US" w:eastAsia="zh-CN"/>
        </w:rPr>
        <w:t>和</w:t>
      </w:r>
      <w:r>
        <w:rPr>
          <w:rFonts w:hint="eastAsia" w:ascii="宋体" w:hAnsi="宋体" w:eastAsia="宋体" w:cs="宋体"/>
          <w:color w:val="auto"/>
          <w:sz w:val="24"/>
          <w:szCs w:val="24"/>
          <w:highlight w:val="none"/>
          <w:lang w:val="en-US" w:eastAsia="zh-CN"/>
        </w:rPr>
        <w:t>改革委员会办公厅发改办价格【2002】1980号文的规定，向采购代理机构支付招标代理服务费（包含“招标代理费、会务费（如有）”），代理服务费由成交单位在领取成交通知书前，向陕西正邦招标有限责任公司支付。单独编制采购文件或因采购人原因叫停项目的，由采购人以招标预算为基准，按上述费率的30%交纳服务费。</w:t>
      </w:r>
    </w:p>
    <w:p>
      <w:pPr>
        <w:keepNext w:val="0"/>
        <w:keepLines w:val="0"/>
        <w:pageBreakBefore w:val="0"/>
        <w:widowControl/>
        <w:kinsoku/>
        <w:wordWrap/>
        <w:overflowPunct/>
        <w:topLinePunct w:val="0"/>
        <w:autoSpaceDE/>
        <w:autoSpaceDN/>
        <w:bidi w:val="0"/>
        <w:adjustRightInd/>
        <w:snapToGrid w:val="0"/>
        <w:spacing w:line="360" w:lineRule="auto"/>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若代理服务费不足伍仟，按5000</w:t>
      </w:r>
      <w:r>
        <w:rPr>
          <w:rFonts w:hint="eastAsia" w:ascii="宋体" w:hAnsi="宋体" w:cs="宋体"/>
          <w:color w:val="auto"/>
          <w:sz w:val="24"/>
          <w:szCs w:val="24"/>
          <w:highlight w:val="none"/>
          <w:lang w:val="en-US" w:eastAsia="zh-CN"/>
        </w:rPr>
        <w:t>元</w:t>
      </w:r>
      <w:r>
        <w:rPr>
          <w:rFonts w:hint="eastAsia" w:ascii="宋体" w:hAnsi="宋体" w:eastAsia="宋体" w:cs="宋体"/>
          <w:color w:val="auto"/>
          <w:sz w:val="24"/>
          <w:szCs w:val="24"/>
          <w:highlight w:val="none"/>
          <w:lang w:val="en-US" w:eastAsia="zh-CN"/>
        </w:rPr>
        <w:t>收取。</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14、本竞争性磋商文件的解释权属采购代理机构。</w:t>
      </w:r>
      <w:bookmarkEnd w:id="33"/>
    </w:p>
    <w:p>
      <w:pPr>
        <w:pStyle w:val="5"/>
        <w:bidi w:val="0"/>
        <w:spacing w:line="360" w:lineRule="auto"/>
        <w:rPr>
          <w:rFonts w:hint="eastAsia"/>
          <w:sz w:val="24"/>
          <w:szCs w:val="24"/>
          <w:lang w:eastAsia="zh-CN"/>
        </w:rPr>
      </w:pPr>
      <w:bookmarkStart w:id="34" w:name="_Toc30520"/>
      <w:r>
        <w:rPr>
          <w:rFonts w:hint="eastAsia"/>
          <w:sz w:val="24"/>
          <w:szCs w:val="24"/>
        </w:rPr>
        <w:t>（二）</w:t>
      </w:r>
      <w:r>
        <w:rPr>
          <w:rFonts w:hint="eastAsia"/>
          <w:sz w:val="24"/>
          <w:szCs w:val="24"/>
          <w:lang w:eastAsia="zh-CN"/>
        </w:rPr>
        <w:t>竞争性磋商文件</w:t>
      </w:r>
      <w:r>
        <w:rPr>
          <w:rFonts w:hint="eastAsia"/>
          <w:sz w:val="24"/>
          <w:szCs w:val="24"/>
        </w:rPr>
        <w:t>的</w:t>
      </w:r>
      <w:r>
        <w:rPr>
          <w:rFonts w:hint="eastAsia"/>
          <w:sz w:val="24"/>
          <w:szCs w:val="24"/>
          <w:lang w:eastAsia="zh-CN"/>
        </w:rPr>
        <w:t>质疑投诉、</w:t>
      </w:r>
      <w:r>
        <w:rPr>
          <w:rFonts w:hint="eastAsia"/>
          <w:sz w:val="24"/>
          <w:szCs w:val="24"/>
        </w:rPr>
        <w:t>澄清、补充</w:t>
      </w:r>
      <w:r>
        <w:rPr>
          <w:rFonts w:hint="eastAsia"/>
          <w:sz w:val="24"/>
          <w:szCs w:val="24"/>
          <w:lang w:eastAsia="zh-CN"/>
        </w:rPr>
        <w:t>及</w:t>
      </w:r>
      <w:r>
        <w:rPr>
          <w:rFonts w:hint="eastAsia"/>
          <w:sz w:val="24"/>
          <w:szCs w:val="24"/>
        </w:rPr>
        <w:t>修改</w:t>
      </w:r>
      <w:bookmarkEnd w:id="34"/>
    </w:p>
    <w:p>
      <w:pPr>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1、供应商认为采购文件、采购过程、中标或者成交结果使自己的权益受到损害的，可以在知道或者应知其权益受到损害之日起7个工作日内，以书面形式向采购人、采购代理机构提出质疑。</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代理人提出质疑和投诉，应当提交供应商签署的授权委托书。</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供应商提出质疑应当提交质疑函和必要的证明材料。质疑函应当包括下列内容：</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（一）供应商的姓名或者名称、地址、邮编、联系人及联系电话；</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（二）质疑项目的名称、编号；</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（三）具体、明确的质疑事项和与质疑事项相关的请求；</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（四）事实依据；</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（五）必要的法律依据；</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（六）提出质疑的日期。</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供应商为自然人的，应当由本人签字；供应商为法人或者其他组织的，应当由法定代表人、主要负责人，或者其授权代表签字或者盖章，并加盖公章。</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备注：1）供应商须在法定质疑期内一次性提出针对同一采购程序环节的质疑。</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供应商提出质疑应当提交质疑函和必要的证明材料，并按财政部《质疑函范本》给定的格式进行填写，范本下载详见【财政部国库司（gks.mof.gov.cn）】网站〖首页•〉政府采购管理〗栏目中的《政府采购供应商质疑函范本》。</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1.1质疑有以下情形之一的，采购代理机构不予受理：</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（一）质疑人不是参与本次政府采购项目的供应商或潜在供应商；</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（二）质疑人与质疑事项不存在利害关系的；</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（三）未在法定期限内提出质疑的；</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（四）质疑未以书面形式提出，或质疑函主要内容构成不完整的，或缺乏必要的证明材料及证明材料不完整的；</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（五）质疑函没有合法有效的签字、盖章或授权的；</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（六）以非法手段取得证据、材料的；</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（七）质疑答复后，同一质疑人就同一事项再次提出质疑的；</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（八）不符合法律、法规、规章和政府采购监管机构规定的其他条件的。</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2、采购人、采购代理机构不得拒收质疑供应商在法定质疑期内发出的质疑函，应当在收到质疑函后7个工作日内作出答复，并以书面形式通知质疑供应商和其他有关供应商。</w:t>
      </w:r>
      <w:r>
        <w:rPr>
          <w:rFonts w:hint="eastAsia" w:ascii="宋体" w:hAnsi="宋体" w:cs="宋体"/>
          <w:color w:val="auto"/>
          <w:sz w:val="24"/>
          <w:szCs w:val="24"/>
          <w:highlight w:val="none"/>
          <w:lang w:val="en-US" w:eastAsia="zh-CN"/>
        </w:rPr>
        <w:t xml:space="preserve">      </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质疑供应商对采购人、采购代理机构的答复不满意，或者采购人、采购代理机构未在规定时间内作出答复的，可以在答复期满后15个工作日内向政府采购质疑和投诉办法（中华人民共和国财政部令第94号）第六条规定的财政部门提起投诉。</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提交磋商响应文件截止时间前，采购人、代理机构对竞争性磋商文件进行必要的澄清或修改，其内容均为竞争性磋商文件的组成部分，并对采购人及供应商起约束作用。澄清或修改的内容可能影响响应文件编制时，采购代理机构将在发布变更公告的同时，提醒供应商下载答疑文件（*.SXSCF，即更新后的电子招标文件）。供应商应及时从</w:t>
      </w:r>
      <w:r>
        <w:rPr>
          <w:rFonts w:hint="eastAsia" w:ascii="宋体" w:hAnsi="宋体" w:cs="宋体"/>
          <w:color w:val="auto"/>
          <w:sz w:val="24"/>
          <w:szCs w:val="24"/>
          <w:highlight w:val="none"/>
          <w:lang w:val="en-US" w:eastAsia="zh-CN"/>
        </w:rPr>
        <w:t>安康</w:t>
      </w:r>
      <w:r>
        <w:rPr>
          <w:rFonts w:hint="eastAsia" w:ascii="宋体" w:hAnsi="宋体" w:eastAsia="宋体" w:cs="宋体"/>
          <w:color w:val="auto"/>
          <w:sz w:val="24"/>
          <w:szCs w:val="24"/>
          <w:highlight w:val="none"/>
          <w:lang w:val="en-US" w:eastAsia="zh-CN"/>
        </w:rPr>
        <w:t>市公共资源交易平台〖首页·〉电子交易平台·〉陕西政府采购交易系统·〉企业端〗登录，登录后切换到〖我的项目〗模块，从〖项目流程·〉项目管理·〉答疑文件下载〗获取更新后的电子招标文件（*.SXSCF），使用旧版电子招标文件制作的电子投标文件（*.SXSTF），系统将拒绝接收。提交磋商响应文件截止时间5日前以书面形式发送给所有参加磋商的供应商；不足5日的，采购人、代理机构顺延递交竞争性磋商响应文件的截止时间。</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供应商对竞争性磋商文件如有疑问要求澄清，或认为有必要与采购人进行技术交流，应于提交磋商响应文件截止时间2日前以书面形式通知采购代理机构，采购代理机构以书面形式予以答复。在此之后提出的无效,因此带来的一切不利后果由供应商自负。</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请各供应商在提交响应文件截止时间之前，务必随时关注“政府采购信息发布媒体”上发布的变更公告，采购代理机构不再另行通知，因供应商未及时关注所造成的一切后果由供应商自行承担。</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7-1</w:t>
      </w:r>
      <w:r>
        <w:rPr>
          <w:rFonts w:hint="eastAsia" w:ascii="宋体" w:hAnsi="宋体" w:eastAsia="宋体" w:cs="宋体"/>
          <w:color w:val="auto"/>
          <w:sz w:val="24"/>
          <w:szCs w:val="24"/>
          <w:highlight w:val="none"/>
          <w:lang w:val="en-US" w:eastAsia="zh-CN"/>
        </w:rPr>
        <w:t>【陕西省政府采购网】（http://www.ccgp-shaanxi.gov.cn/）中的〖首页·〉信息公告·〉市级·〉</w:t>
      </w:r>
      <w:r>
        <w:rPr>
          <w:rFonts w:hint="eastAsia" w:ascii="宋体" w:hAnsi="宋体" w:cs="宋体"/>
          <w:color w:val="auto"/>
          <w:sz w:val="24"/>
          <w:szCs w:val="24"/>
          <w:highlight w:val="none"/>
          <w:lang w:val="en-US" w:eastAsia="zh-CN"/>
        </w:rPr>
        <w:t>安康</w:t>
      </w:r>
      <w:r>
        <w:rPr>
          <w:rFonts w:hint="eastAsia" w:ascii="宋体" w:hAnsi="宋体" w:eastAsia="宋体" w:cs="宋体"/>
          <w:color w:val="auto"/>
          <w:sz w:val="24"/>
          <w:szCs w:val="24"/>
          <w:highlight w:val="none"/>
          <w:lang w:val="en-US" w:eastAsia="zh-CN"/>
        </w:rPr>
        <w:t>市〗；</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7-2</w:t>
      </w:r>
      <w:r>
        <w:rPr>
          <w:rFonts w:hint="eastAsia" w:ascii="宋体" w:hAnsi="宋体" w:eastAsia="宋体" w:cs="宋体"/>
          <w:color w:val="auto"/>
          <w:sz w:val="24"/>
          <w:szCs w:val="24"/>
          <w:highlight w:val="none"/>
          <w:lang w:val="en-US" w:eastAsia="zh-CN"/>
        </w:rPr>
        <w:t>【全国公共资源交易网（陕西省·</w:t>
      </w:r>
      <w:r>
        <w:rPr>
          <w:rFonts w:hint="eastAsia" w:ascii="宋体" w:hAnsi="宋体" w:cs="宋体"/>
          <w:color w:val="auto"/>
          <w:sz w:val="24"/>
          <w:szCs w:val="24"/>
          <w:highlight w:val="none"/>
          <w:lang w:val="en-US" w:eastAsia="zh-CN"/>
        </w:rPr>
        <w:t>安康</w:t>
      </w:r>
      <w:r>
        <w:rPr>
          <w:rFonts w:hint="eastAsia" w:ascii="宋体" w:hAnsi="宋体" w:eastAsia="宋体" w:cs="宋体"/>
          <w:color w:val="auto"/>
          <w:sz w:val="24"/>
          <w:szCs w:val="24"/>
          <w:highlight w:val="none"/>
          <w:lang w:val="en-US" w:eastAsia="zh-CN"/>
        </w:rPr>
        <w:t>市）】（http://sxggzyjy.</w:t>
      </w:r>
      <w:r>
        <w:rPr>
          <w:rFonts w:hint="eastAsia" w:ascii="宋体" w:hAnsi="宋体" w:cs="宋体"/>
          <w:color w:val="auto"/>
          <w:sz w:val="24"/>
          <w:szCs w:val="24"/>
          <w:highlight w:val="none"/>
          <w:lang w:val="en-US" w:eastAsia="zh-CN"/>
        </w:rPr>
        <w:t>ak</w:t>
      </w:r>
      <w:r>
        <w:rPr>
          <w:rFonts w:hint="eastAsia" w:ascii="宋体" w:hAnsi="宋体" w:eastAsia="宋体" w:cs="宋体"/>
          <w:color w:val="auto"/>
          <w:sz w:val="24"/>
          <w:szCs w:val="24"/>
          <w:highlight w:val="none"/>
          <w:lang w:val="en-US" w:eastAsia="zh-CN"/>
        </w:rPr>
        <w:t>.gov.cn/）中的〖首页·〉交易大厅·〉政府采购〗。”</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val="en-US" w:eastAsia="zh-CN"/>
        </w:rPr>
        <w:t>竞争性磋商文件的解释权归代理机构，如发现竞争性磋商文件内容与现行法律法规不相符的情况，以现行法律法规为准。</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lang w:val="en-US" w:eastAsia="zh-CN"/>
        </w:rPr>
        <w:t>、质疑函递交地址：</w:t>
      </w:r>
      <w:r>
        <w:rPr>
          <w:rFonts w:hint="eastAsia" w:ascii="宋体" w:hAnsi="宋体" w:cs="宋体"/>
          <w:color w:val="auto"/>
          <w:sz w:val="24"/>
          <w:szCs w:val="24"/>
          <w:highlight w:val="none"/>
          <w:lang w:val="en-US" w:eastAsia="zh-CN"/>
        </w:rPr>
        <w:t>西安市雁塔区朱雀大街南段69号长丰园三区5号楼9层9006室</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联系电话：</w:t>
      </w:r>
      <w:r>
        <w:rPr>
          <w:rFonts w:hint="eastAsia" w:ascii="宋体" w:hAnsi="宋体" w:cs="宋体"/>
          <w:color w:val="auto"/>
          <w:sz w:val="24"/>
          <w:szCs w:val="24"/>
          <w:highlight w:val="none"/>
          <w:lang w:val="en-US" w:eastAsia="zh-CN"/>
        </w:rPr>
        <w:t>029-85578186</w:t>
      </w:r>
    </w:p>
    <w:p>
      <w:pPr>
        <w:pStyle w:val="5"/>
        <w:pageBreakBefore w:val="0"/>
        <w:widowControl/>
        <w:kinsoku/>
        <w:wordWrap/>
        <w:overflowPunct/>
        <w:topLinePunct w:val="0"/>
        <w:autoSpaceDE/>
        <w:autoSpaceDN/>
        <w:bidi w:val="0"/>
        <w:adjustRightInd/>
        <w:snapToGrid w:val="0"/>
        <w:spacing w:line="360" w:lineRule="auto"/>
        <w:jc w:val="left"/>
        <w:textAlignment w:val="baseline"/>
        <w:rPr>
          <w:rFonts w:hint="eastAsia"/>
          <w:sz w:val="24"/>
          <w:szCs w:val="24"/>
        </w:rPr>
      </w:pPr>
      <w:bookmarkStart w:id="35" w:name="_Toc10604"/>
      <w:r>
        <w:rPr>
          <w:rFonts w:hint="eastAsia"/>
          <w:sz w:val="24"/>
          <w:szCs w:val="24"/>
        </w:rPr>
        <w:t>（三）</w:t>
      </w:r>
      <w:r>
        <w:rPr>
          <w:rFonts w:hint="eastAsia"/>
          <w:sz w:val="24"/>
          <w:szCs w:val="24"/>
          <w:lang w:eastAsia="zh-CN"/>
        </w:rPr>
        <w:t>竞争性磋商响应文件</w:t>
      </w:r>
      <w:r>
        <w:rPr>
          <w:rFonts w:hint="eastAsia"/>
          <w:sz w:val="24"/>
          <w:szCs w:val="24"/>
        </w:rPr>
        <w:t>的组成及编制</w:t>
      </w:r>
      <w:bookmarkEnd w:id="35"/>
    </w:p>
    <w:p>
      <w:pPr>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rPr>
      </w:pPr>
      <w:bookmarkStart w:id="36" w:name="_Toc29050"/>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由技术部分、商务部分组成</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rPr>
        <w:t>文件。</w:t>
      </w:r>
      <w:bookmarkEnd w:id="36"/>
    </w:p>
    <w:p>
      <w:pPr>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2、</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必须使用简体中文,</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中若有英文或其他语言文字的资料，应翻译成中文。</w:t>
      </w:r>
    </w:p>
    <w:p>
      <w:pPr>
        <w:pageBreakBefore w:val="0"/>
        <w:widowControl/>
        <w:kinsoku/>
        <w:wordWrap/>
        <w:overflowPunct/>
        <w:topLinePunct w:val="0"/>
        <w:autoSpaceDE/>
        <w:autoSpaceDN/>
        <w:bidi w:val="0"/>
        <w:adjustRightInd/>
        <w:snapToGrid w:val="0"/>
        <w:spacing w:line="360" w:lineRule="auto"/>
        <w:ind w:firstLine="460" w:firstLineChars="192"/>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3、度量单位除</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技术规格中另有规定外均采用中华人民共和国法定的计量单位。</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rPr>
      </w:pPr>
      <w:bookmarkStart w:id="37" w:name="_Toc14269"/>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应以A4规格的纸张打印。</w:t>
      </w:r>
      <w:bookmarkEnd w:id="37"/>
    </w:p>
    <w:p>
      <w:pPr>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应将</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装订成册，并编排目录、标明连续页码。</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r>
        <w:rPr>
          <w:rFonts w:hint="eastAsia" w:ascii="宋体" w:hAnsi="宋体" w:cs="宋体"/>
          <w:color w:val="auto"/>
          <w:sz w:val="24"/>
          <w:szCs w:val="24"/>
          <w:highlight w:val="none"/>
          <w:lang w:eastAsia="zh-CN"/>
        </w:rPr>
        <w:t>响应文件</w:t>
      </w:r>
      <w:r>
        <w:rPr>
          <w:rFonts w:hint="eastAsia" w:ascii="宋体" w:hAnsi="宋体" w:eastAsia="宋体" w:cs="宋体"/>
          <w:color w:val="auto"/>
          <w:sz w:val="24"/>
          <w:szCs w:val="24"/>
          <w:highlight w:val="none"/>
        </w:rPr>
        <w:t>应按照</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给出的</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格式按顺序编制。</w:t>
      </w:r>
    </w:p>
    <w:p>
      <w:pPr>
        <w:pStyle w:val="5"/>
        <w:pageBreakBefore w:val="0"/>
        <w:kinsoku/>
        <w:wordWrap/>
        <w:overflowPunct/>
        <w:topLinePunct w:val="0"/>
        <w:autoSpaceDE/>
        <w:autoSpaceDN/>
        <w:bidi w:val="0"/>
        <w:adjustRightInd/>
        <w:snapToGrid w:val="0"/>
        <w:spacing w:line="360" w:lineRule="auto"/>
        <w:jc w:val="left"/>
        <w:rPr>
          <w:rFonts w:hint="eastAsia"/>
          <w:sz w:val="24"/>
          <w:szCs w:val="24"/>
        </w:rPr>
      </w:pPr>
      <w:bookmarkStart w:id="38" w:name="_Toc6752"/>
      <w:r>
        <w:rPr>
          <w:rFonts w:hint="eastAsia"/>
          <w:sz w:val="24"/>
          <w:szCs w:val="24"/>
        </w:rPr>
        <w:t>（四）磋商报价</w:t>
      </w:r>
      <w:bookmarkEnd w:id="38"/>
    </w:p>
    <w:p>
      <w:pPr>
        <w:pageBreakBefore w:val="0"/>
        <w:kinsoku/>
        <w:wordWrap/>
        <w:overflowPunct/>
        <w:topLinePunct w:val="0"/>
        <w:autoSpaceDE/>
        <w:autoSpaceDN/>
        <w:bidi w:val="0"/>
        <w:adjustRightInd/>
        <w:snapToGrid w:val="0"/>
        <w:spacing w:line="360" w:lineRule="auto"/>
        <w:ind w:firstLine="460" w:firstLineChars="192"/>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1、磋商报价以人民币报价，供应商在填写磋商报价时，金额单位要统一，数字、文字要清晰。                </w:t>
      </w:r>
    </w:p>
    <w:p>
      <w:pPr>
        <w:pageBreakBefore w:val="0"/>
        <w:kinsoku/>
        <w:wordWrap/>
        <w:overflowPunct/>
        <w:topLinePunct w:val="0"/>
        <w:autoSpaceDE/>
        <w:autoSpaceDN/>
        <w:bidi w:val="0"/>
        <w:adjustRightInd/>
        <w:snapToGrid w:val="0"/>
        <w:spacing w:line="360" w:lineRule="auto"/>
        <w:ind w:firstLine="460" w:firstLineChars="192"/>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2、总磋商报价等于各分项报价与各项费用之和，不得采用总价下浮的方式。</w:t>
      </w:r>
    </w:p>
    <w:p>
      <w:pPr>
        <w:pageBreakBefore w:val="0"/>
        <w:kinsoku/>
        <w:wordWrap/>
        <w:overflowPunct/>
        <w:topLinePunct w:val="0"/>
        <w:autoSpaceDE/>
        <w:autoSpaceDN/>
        <w:bidi w:val="0"/>
        <w:adjustRightInd/>
        <w:snapToGrid w:val="0"/>
        <w:spacing w:line="360" w:lineRule="auto"/>
        <w:ind w:firstLine="463" w:firstLineChars="192"/>
        <w:jc w:val="left"/>
        <w:rPr>
          <w:rFonts w:hint="eastAsia" w:ascii="宋体" w:hAnsi="宋体" w:eastAsia="宋体" w:cs="宋体"/>
          <w:b/>
          <w:bCs/>
          <w:color w:val="auto"/>
          <w:sz w:val="24"/>
          <w:szCs w:val="24"/>
          <w:highlight w:val="none"/>
        </w:rPr>
      </w:pPr>
      <w:bookmarkStart w:id="39" w:name="_Toc24614"/>
      <w:r>
        <w:rPr>
          <w:rFonts w:hint="eastAsia" w:ascii="宋体" w:hAnsi="宋体" w:eastAsia="宋体" w:cs="宋体"/>
          <w:b/>
          <w:bCs/>
          <w:color w:val="auto"/>
          <w:sz w:val="24"/>
          <w:szCs w:val="24"/>
          <w:highlight w:val="none"/>
        </w:rPr>
        <w:t>3、最高限价</w:t>
      </w:r>
      <w:bookmarkEnd w:id="39"/>
    </w:p>
    <w:p>
      <w:pPr>
        <w:pageBreakBefore w:val="0"/>
        <w:kinsoku/>
        <w:wordWrap/>
        <w:overflowPunct/>
        <w:topLinePunct w:val="0"/>
        <w:autoSpaceDE/>
        <w:autoSpaceDN/>
        <w:bidi w:val="0"/>
        <w:adjustRightInd/>
        <w:snapToGrid w:val="0"/>
        <w:spacing w:line="360" w:lineRule="auto"/>
        <w:ind w:firstLine="482" w:firstLineChars="200"/>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供应商报价超出</w:t>
      </w:r>
      <w:r>
        <w:rPr>
          <w:rFonts w:hint="eastAsia" w:ascii="宋体" w:hAnsi="宋体" w:cs="宋体"/>
          <w:b/>
          <w:bCs/>
          <w:sz w:val="24"/>
          <w:szCs w:val="24"/>
          <w:highlight w:val="none"/>
          <w:lang w:eastAsia="zh-CN"/>
        </w:rPr>
        <w:t>最高限价</w:t>
      </w:r>
      <w:r>
        <w:rPr>
          <w:rFonts w:hint="eastAsia" w:ascii="宋体" w:hAnsi="宋体" w:eastAsia="宋体" w:cs="宋体"/>
          <w:b/>
          <w:bCs/>
          <w:sz w:val="24"/>
          <w:szCs w:val="24"/>
          <w:highlight w:val="none"/>
        </w:rPr>
        <w:t>，作为不实质性响应竞争性磋商文件，按无效磋商处理。</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cs="宋体"/>
          <w:color w:val="auto"/>
          <w:sz w:val="24"/>
          <w:szCs w:val="24"/>
          <w:highlight w:val="none"/>
          <w:lang w:eastAsia="zh-CN"/>
        </w:rPr>
        <w:t>磋商</w:t>
      </w:r>
      <w:r>
        <w:rPr>
          <w:rFonts w:hint="eastAsia" w:ascii="宋体" w:hAnsi="宋体" w:eastAsia="宋体" w:cs="宋体"/>
          <w:color w:val="auto"/>
          <w:sz w:val="24"/>
          <w:szCs w:val="24"/>
          <w:highlight w:val="none"/>
        </w:rPr>
        <w:t>报价中不得包含</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要求以外的内容，否则，在评标时不予核减，但在授予合同时，</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有权将这部分价格从其</w:t>
      </w: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价格中扣除。</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总投标价中不得缺漏竞争性磋商文件所要求的内容，否则，评标时将有效投标中该项内容的最高价计入其评标总价，但在授予合同时，缺漏项目的报价视作已含在其他项目的报价中，这些项目将作为免费赠送而包含在合同内。</w:t>
      </w:r>
    </w:p>
    <w:p>
      <w:pPr>
        <w:pStyle w:val="5"/>
        <w:pageBreakBefore w:val="0"/>
        <w:kinsoku/>
        <w:wordWrap/>
        <w:overflowPunct/>
        <w:topLinePunct w:val="0"/>
        <w:autoSpaceDE/>
        <w:autoSpaceDN/>
        <w:bidi w:val="0"/>
        <w:adjustRightInd/>
        <w:snapToGrid w:val="0"/>
        <w:spacing w:line="360" w:lineRule="auto"/>
        <w:jc w:val="left"/>
        <w:rPr>
          <w:rFonts w:hint="eastAsia"/>
          <w:sz w:val="24"/>
          <w:szCs w:val="24"/>
        </w:rPr>
      </w:pPr>
      <w:bookmarkStart w:id="40" w:name="_Toc7217"/>
      <w:r>
        <w:rPr>
          <w:rFonts w:hint="eastAsia"/>
          <w:sz w:val="24"/>
          <w:szCs w:val="24"/>
        </w:rPr>
        <w:t>（</w:t>
      </w:r>
      <w:r>
        <w:rPr>
          <w:rFonts w:hint="eastAsia"/>
          <w:sz w:val="24"/>
          <w:szCs w:val="24"/>
          <w:lang w:eastAsia="zh-CN"/>
        </w:rPr>
        <w:t>五</w:t>
      </w:r>
      <w:r>
        <w:rPr>
          <w:rFonts w:hint="eastAsia"/>
          <w:sz w:val="24"/>
          <w:szCs w:val="24"/>
        </w:rPr>
        <w:t>）磋商有效期</w:t>
      </w:r>
      <w:bookmarkEnd w:id="40"/>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red"/>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的磋商有效期</w:t>
      </w:r>
      <w:r>
        <w:rPr>
          <w:rFonts w:hint="eastAsia" w:ascii="宋体" w:hAnsi="宋体" w:eastAsia="宋体" w:cs="宋体"/>
          <w:color w:val="auto"/>
          <w:sz w:val="24"/>
          <w:szCs w:val="24"/>
          <w:highlight w:val="none"/>
          <w:lang w:eastAsia="zh-CN"/>
        </w:rPr>
        <w:t>：磋商截止之日起90天内保持有效（日历天数）</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2、在特殊情况下，在原投标有效期届满之前，采购人可征得</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的同意延长投标有效期。这种要求与答复均应采用书面形式。</w:t>
      </w:r>
    </w:p>
    <w:p>
      <w:pPr>
        <w:pStyle w:val="5"/>
        <w:pageBreakBefore w:val="0"/>
        <w:kinsoku/>
        <w:wordWrap/>
        <w:overflowPunct/>
        <w:topLinePunct w:val="0"/>
        <w:autoSpaceDE/>
        <w:autoSpaceDN/>
        <w:bidi w:val="0"/>
        <w:adjustRightInd/>
        <w:snapToGrid w:val="0"/>
        <w:spacing w:line="360" w:lineRule="auto"/>
        <w:jc w:val="left"/>
        <w:rPr>
          <w:rFonts w:hint="eastAsia"/>
          <w:sz w:val="24"/>
          <w:szCs w:val="24"/>
        </w:rPr>
      </w:pPr>
      <w:bookmarkStart w:id="41" w:name="_Toc7111"/>
      <w:r>
        <w:rPr>
          <w:rFonts w:hint="eastAsia"/>
          <w:sz w:val="24"/>
          <w:szCs w:val="24"/>
        </w:rPr>
        <w:t>（</w:t>
      </w:r>
      <w:r>
        <w:rPr>
          <w:rFonts w:hint="eastAsia"/>
          <w:sz w:val="24"/>
          <w:szCs w:val="24"/>
          <w:lang w:eastAsia="zh-CN"/>
        </w:rPr>
        <w:t>六</w:t>
      </w:r>
      <w:r>
        <w:rPr>
          <w:rFonts w:hint="eastAsia"/>
          <w:sz w:val="24"/>
          <w:szCs w:val="24"/>
        </w:rPr>
        <w:t>）</w:t>
      </w:r>
      <w:r>
        <w:rPr>
          <w:rFonts w:hint="eastAsia"/>
          <w:sz w:val="24"/>
          <w:szCs w:val="24"/>
          <w:lang w:eastAsia="zh-CN"/>
        </w:rPr>
        <w:t>竞争性磋商响应文件</w:t>
      </w:r>
      <w:r>
        <w:rPr>
          <w:rFonts w:hint="eastAsia"/>
          <w:sz w:val="24"/>
          <w:szCs w:val="24"/>
        </w:rPr>
        <w:t>的正本和副本要求</w:t>
      </w:r>
      <w:bookmarkEnd w:id="41"/>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应按照要求，准备正本一份、副本二份</w:t>
      </w:r>
      <w:r>
        <w:rPr>
          <w:rFonts w:hint="eastAsia" w:ascii="宋体" w:hAnsi="宋体" w:eastAsia="宋体" w:cs="宋体"/>
          <w:color w:val="auto"/>
          <w:sz w:val="24"/>
          <w:szCs w:val="24"/>
          <w:highlight w:val="none"/>
          <w:lang w:eastAsia="zh-CN"/>
        </w:rPr>
        <w:t>、电子文件</w:t>
      </w:r>
      <w:r>
        <w:rPr>
          <w:rFonts w:hint="eastAsia" w:ascii="宋体" w:hAnsi="宋体" w:eastAsia="宋体" w:cs="宋体"/>
          <w:color w:val="auto"/>
          <w:sz w:val="24"/>
          <w:szCs w:val="24"/>
          <w:highlight w:val="none"/>
        </w:rPr>
        <w:t>(（U盘或移动硬盘，谢绝光盘）一份)，每份</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须清楚地标明“正本”或“副本”字样。一旦正本和副本不符，以正本为准。</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的正本按照要求签署和盖章后，</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的副本可以复印（不包括</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的封面）但必须加盖</w:t>
      </w:r>
      <w:r>
        <w:rPr>
          <w:rFonts w:hint="eastAsia" w:ascii="宋体" w:hAnsi="宋体" w:cs="宋体"/>
          <w:color w:val="auto"/>
          <w:sz w:val="24"/>
          <w:szCs w:val="24"/>
          <w:highlight w:val="none"/>
          <w:lang w:eastAsia="zh-CN"/>
        </w:rPr>
        <w:t>公</w:t>
      </w:r>
      <w:r>
        <w:rPr>
          <w:rFonts w:hint="eastAsia" w:ascii="宋体" w:hAnsi="宋体" w:eastAsia="宋体" w:cs="宋体"/>
          <w:color w:val="auto"/>
          <w:sz w:val="24"/>
          <w:szCs w:val="24"/>
          <w:highlight w:val="none"/>
        </w:rPr>
        <w:t>章，但正本和副本的内容必须相同。</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不论是书写、打印或复制，均应做到清晰、整洁、规范。</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递交的</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（包括正本、所有副本）均不退还，请</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自行做好备份。</w:t>
      </w:r>
    </w:p>
    <w:p>
      <w:pPr>
        <w:pStyle w:val="5"/>
        <w:pageBreakBefore w:val="0"/>
        <w:kinsoku/>
        <w:wordWrap/>
        <w:overflowPunct/>
        <w:topLinePunct w:val="0"/>
        <w:autoSpaceDE/>
        <w:autoSpaceDN/>
        <w:bidi w:val="0"/>
        <w:adjustRightInd/>
        <w:snapToGrid w:val="0"/>
        <w:spacing w:line="360" w:lineRule="auto"/>
        <w:jc w:val="left"/>
        <w:rPr>
          <w:rFonts w:hint="eastAsia"/>
          <w:sz w:val="24"/>
          <w:szCs w:val="24"/>
        </w:rPr>
      </w:pPr>
      <w:bookmarkStart w:id="42" w:name="_Toc23906"/>
      <w:r>
        <w:rPr>
          <w:rFonts w:hint="eastAsia"/>
          <w:sz w:val="24"/>
          <w:szCs w:val="24"/>
        </w:rPr>
        <w:t>（</w:t>
      </w:r>
      <w:r>
        <w:rPr>
          <w:rFonts w:hint="eastAsia"/>
          <w:sz w:val="24"/>
          <w:szCs w:val="24"/>
          <w:lang w:eastAsia="zh-CN"/>
        </w:rPr>
        <w:t>七</w:t>
      </w:r>
      <w:r>
        <w:rPr>
          <w:rFonts w:hint="eastAsia"/>
          <w:sz w:val="24"/>
          <w:szCs w:val="24"/>
        </w:rPr>
        <w:t>）</w:t>
      </w:r>
      <w:r>
        <w:rPr>
          <w:rFonts w:hint="eastAsia"/>
          <w:sz w:val="24"/>
          <w:szCs w:val="24"/>
          <w:lang w:eastAsia="zh-CN"/>
        </w:rPr>
        <w:t>竞争性磋商响应文件</w:t>
      </w:r>
      <w:r>
        <w:rPr>
          <w:rFonts w:hint="eastAsia"/>
          <w:sz w:val="24"/>
          <w:szCs w:val="24"/>
        </w:rPr>
        <w:t>的签署、盖章</w:t>
      </w:r>
      <w:bookmarkEnd w:id="42"/>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1、在竞争性磋商文件给出的响应文件格式中，凡是标明由供应商盖章的地方，竞争性磋商响应文件都必须加盖供应商统一对外的公章，竞争性磋商响应文件加盖骑缝章；凡是标明由法定代表人或委托代理人签字或盖章的，签署姓名全称或加盖私章。竞争性磋商响应文件封套上有明确规定的必须由法定代表人或委托代理人签字或盖章。        </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2、竞争性磋商响应文件不得行间插字、涂改或增删。如有修改错漏处，必须由供应商的法定代表人或其委托代理人签字并加盖供应商公章。</w:t>
      </w:r>
    </w:p>
    <w:p>
      <w:pPr>
        <w:pStyle w:val="5"/>
        <w:pageBreakBefore w:val="0"/>
        <w:kinsoku/>
        <w:wordWrap/>
        <w:overflowPunct/>
        <w:topLinePunct w:val="0"/>
        <w:autoSpaceDE/>
        <w:autoSpaceDN/>
        <w:bidi w:val="0"/>
        <w:adjustRightInd/>
        <w:snapToGrid w:val="0"/>
        <w:spacing w:line="360" w:lineRule="auto"/>
        <w:jc w:val="left"/>
        <w:rPr>
          <w:rFonts w:hint="eastAsia" w:eastAsia="宋体"/>
          <w:sz w:val="24"/>
          <w:szCs w:val="24"/>
          <w:lang w:eastAsia="zh-CN"/>
        </w:rPr>
      </w:pPr>
      <w:bookmarkStart w:id="43" w:name="_Toc2684"/>
      <w:r>
        <w:rPr>
          <w:rFonts w:hint="eastAsia"/>
          <w:sz w:val="24"/>
          <w:szCs w:val="24"/>
        </w:rPr>
        <w:t>（</w:t>
      </w:r>
      <w:r>
        <w:rPr>
          <w:rFonts w:hint="eastAsia"/>
          <w:sz w:val="24"/>
          <w:szCs w:val="24"/>
          <w:lang w:eastAsia="zh-CN"/>
        </w:rPr>
        <w:t>八</w:t>
      </w:r>
      <w:r>
        <w:rPr>
          <w:rFonts w:hint="eastAsia"/>
          <w:sz w:val="24"/>
          <w:szCs w:val="24"/>
        </w:rPr>
        <w:t>）</w:t>
      </w:r>
      <w:r>
        <w:rPr>
          <w:rFonts w:hint="eastAsia"/>
          <w:sz w:val="24"/>
          <w:szCs w:val="24"/>
          <w:lang w:eastAsia="zh-CN"/>
        </w:rPr>
        <w:t>竞争性磋商响应文件</w:t>
      </w:r>
      <w:r>
        <w:rPr>
          <w:rFonts w:hint="eastAsia"/>
          <w:sz w:val="24"/>
          <w:szCs w:val="24"/>
        </w:rPr>
        <w:t>的</w:t>
      </w:r>
      <w:bookmarkEnd w:id="43"/>
      <w:r>
        <w:rPr>
          <w:rFonts w:hint="eastAsia"/>
          <w:sz w:val="24"/>
          <w:szCs w:val="24"/>
          <w:lang w:eastAsia="zh-CN"/>
        </w:rPr>
        <w:t>递交</w:t>
      </w:r>
    </w:p>
    <w:p>
      <w:pPr>
        <w:pageBreakBefore w:val="0"/>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rPr>
      </w:pPr>
      <w:bookmarkStart w:id="44" w:name="_Toc18730"/>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、在投标截止时间后递交的</w:t>
      </w:r>
      <w:r>
        <w:rPr>
          <w:rFonts w:hint="eastAsia" w:ascii="宋体" w:hAnsi="宋体" w:eastAsia="宋体" w:cs="宋体"/>
          <w:color w:val="auto"/>
          <w:sz w:val="24"/>
          <w:szCs w:val="24"/>
          <w:highlight w:val="none"/>
          <w:lang w:eastAsia="zh-CN"/>
        </w:rPr>
        <w:t>竞争性磋商响应文件</w:t>
      </w:r>
      <w:r>
        <w:rPr>
          <w:rFonts w:hint="eastAsia" w:ascii="宋体" w:hAnsi="宋体" w:eastAsia="宋体" w:cs="宋体"/>
          <w:color w:val="auto"/>
          <w:sz w:val="24"/>
          <w:szCs w:val="24"/>
          <w:highlight w:val="none"/>
        </w:rPr>
        <w:t>将被拒绝。</w:t>
      </w:r>
      <w:bookmarkEnd w:id="44"/>
    </w:p>
    <w:p>
      <w:pPr>
        <w:pStyle w:val="5"/>
        <w:pageBreakBefore w:val="0"/>
        <w:kinsoku/>
        <w:wordWrap/>
        <w:overflowPunct/>
        <w:topLinePunct w:val="0"/>
        <w:autoSpaceDE/>
        <w:autoSpaceDN/>
        <w:bidi w:val="0"/>
        <w:adjustRightInd/>
        <w:snapToGrid w:val="0"/>
        <w:spacing w:line="360" w:lineRule="auto"/>
        <w:jc w:val="left"/>
        <w:rPr>
          <w:rFonts w:hint="eastAsia"/>
          <w:sz w:val="24"/>
          <w:szCs w:val="24"/>
        </w:rPr>
      </w:pPr>
      <w:bookmarkStart w:id="45" w:name="_Toc24414"/>
      <w:r>
        <w:rPr>
          <w:rFonts w:hint="eastAsia"/>
          <w:sz w:val="24"/>
          <w:szCs w:val="24"/>
        </w:rPr>
        <w:t>（</w:t>
      </w:r>
      <w:r>
        <w:rPr>
          <w:rFonts w:hint="eastAsia"/>
          <w:sz w:val="24"/>
          <w:szCs w:val="24"/>
          <w:lang w:eastAsia="zh-CN"/>
        </w:rPr>
        <w:t>九</w:t>
      </w:r>
      <w:r>
        <w:rPr>
          <w:rFonts w:hint="eastAsia"/>
          <w:sz w:val="24"/>
          <w:szCs w:val="24"/>
        </w:rPr>
        <w:t>）</w:t>
      </w:r>
      <w:r>
        <w:rPr>
          <w:rFonts w:hint="eastAsia"/>
          <w:sz w:val="24"/>
          <w:szCs w:val="24"/>
          <w:lang w:eastAsia="zh-CN"/>
        </w:rPr>
        <w:t>竞争性磋商响应文件</w:t>
      </w:r>
      <w:r>
        <w:rPr>
          <w:rFonts w:hint="eastAsia"/>
          <w:sz w:val="24"/>
          <w:szCs w:val="24"/>
        </w:rPr>
        <w:t>的递交</w:t>
      </w:r>
      <w:bookmarkEnd w:id="45"/>
    </w:p>
    <w:p>
      <w:pPr>
        <w:pageBreakBefore w:val="0"/>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rPr>
      </w:pPr>
      <w:bookmarkStart w:id="46" w:name="_Toc31095"/>
      <w:r>
        <w:rPr>
          <w:rFonts w:hint="eastAsia" w:ascii="宋体" w:hAnsi="宋体" w:eastAsia="宋体" w:cs="宋体"/>
          <w:color w:val="auto"/>
          <w:sz w:val="24"/>
          <w:szCs w:val="24"/>
          <w:highlight w:val="none"/>
        </w:rPr>
        <w:t>投标文件的加密和提交</w:t>
      </w:r>
      <w:bookmarkEnd w:id="46"/>
    </w:p>
    <w:p>
      <w:pPr>
        <w:pageBreakBefore w:val="0"/>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rPr>
      </w:pPr>
      <w:bookmarkStart w:id="47" w:name="_Toc23229"/>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在生成电子投标文件时，需要使用CA锁对投标文件进行加密。</w:t>
      </w:r>
      <w:bookmarkEnd w:id="47"/>
    </w:p>
    <w:p>
      <w:pPr>
        <w:pageBreakBefore w:val="0"/>
        <w:kinsoku/>
        <w:wordWrap/>
        <w:overflowPunct/>
        <w:topLinePunct w:val="0"/>
        <w:autoSpaceDE/>
        <w:autoSpaceDN/>
        <w:bidi w:val="0"/>
        <w:adjustRightInd/>
        <w:snapToGrid w:val="0"/>
        <w:spacing w:line="360" w:lineRule="auto"/>
        <w:ind w:firstLine="482"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注意：加密投标文件和开标时解密投标文件应当使用同一CA，否则将会导致解密失败。</w:t>
      </w:r>
    </w:p>
    <w:p>
      <w:pPr>
        <w:pageBreakBefore w:val="0"/>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电子投标文件可于提交投标文件截止时间前任意时段，登录</w:t>
      </w:r>
      <w:r>
        <w:rPr>
          <w:rFonts w:hint="eastAsia" w:ascii="宋体" w:hAnsi="宋体" w:cs="宋体"/>
          <w:color w:val="auto"/>
          <w:sz w:val="24"/>
          <w:szCs w:val="24"/>
          <w:highlight w:val="none"/>
          <w:lang w:eastAsia="zh-CN"/>
        </w:rPr>
        <w:t>安康</w:t>
      </w:r>
      <w:r>
        <w:rPr>
          <w:rFonts w:hint="eastAsia" w:ascii="宋体" w:hAnsi="宋体" w:eastAsia="宋体" w:cs="宋体"/>
          <w:color w:val="auto"/>
          <w:sz w:val="24"/>
          <w:szCs w:val="24"/>
          <w:highlight w:val="none"/>
          <w:lang w:eastAsia="zh-CN"/>
        </w:rPr>
        <w:t>市</w:t>
      </w:r>
      <w:r>
        <w:rPr>
          <w:rFonts w:hint="eastAsia" w:ascii="宋体" w:hAnsi="宋体" w:eastAsia="宋体" w:cs="宋体"/>
          <w:color w:val="auto"/>
          <w:sz w:val="24"/>
          <w:szCs w:val="24"/>
          <w:highlight w:val="none"/>
        </w:rPr>
        <w:t>公共资源交易平台〖首页·〉电子交易平台·〉企业端〗，登录后切换到〖我的项目〗模块下，依次点选〖项目流程·〉项目管理·〉上传响应文件〗，上传加密后的电子投标文件（*.SXSTF）。上传成功后，</w:t>
      </w:r>
      <w:r>
        <w:rPr>
          <w:rFonts w:hint="eastAsia" w:ascii="宋体" w:hAnsi="宋体" w:cs="宋体"/>
          <w:color w:val="auto"/>
          <w:sz w:val="24"/>
          <w:szCs w:val="24"/>
          <w:highlight w:val="none"/>
          <w:lang w:eastAsia="zh-CN"/>
        </w:rPr>
        <w:t>安康</w:t>
      </w:r>
      <w:r>
        <w:rPr>
          <w:rFonts w:hint="eastAsia" w:ascii="宋体" w:hAnsi="宋体" w:eastAsia="宋体" w:cs="宋体"/>
          <w:color w:val="auto"/>
          <w:sz w:val="24"/>
          <w:szCs w:val="24"/>
          <w:highlight w:val="none"/>
          <w:lang w:eastAsia="zh-CN"/>
        </w:rPr>
        <w:t>市</w:t>
      </w:r>
      <w:r>
        <w:rPr>
          <w:rFonts w:hint="eastAsia" w:ascii="宋体" w:hAnsi="宋体" w:eastAsia="宋体" w:cs="宋体"/>
          <w:color w:val="auto"/>
          <w:sz w:val="24"/>
          <w:szCs w:val="24"/>
          <w:highlight w:val="none"/>
        </w:rPr>
        <w:t>公共资源交易平台政府采购系统将予以记录。</w:t>
      </w:r>
    </w:p>
    <w:p>
      <w:pPr>
        <w:pageBreakBefore w:val="0"/>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上传文件有误或需要重新提交的，可先撤销已经上传的文件，然后重新上传新文件</w:t>
      </w:r>
      <w:r>
        <w:rPr>
          <w:rFonts w:hint="eastAsia" w:ascii="宋体" w:hAnsi="宋体" w:cs="宋体"/>
          <w:color w:val="auto"/>
          <w:sz w:val="24"/>
          <w:szCs w:val="24"/>
          <w:highlight w:val="none"/>
          <w:lang w:eastAsia="zh-CN"/>
        </w:rPr>
        <w:t>。</w:t>
      </w:r>
    </w:p>
    <w:p>
      <w:pPr>
        <w:pStyle w:val="5"/>
        <w:pageBreakBefore w:val="0"/>
        <w:kinsoku/>
        <w:wordWrap/>
        <w:overflowPunct/>
        <w:topLinePunct w:val="0"/>
        <w:autoSpaceDE/>
        <w:autoSpaceDN/>
        <w:bidi w:val="0"/>
        <w:adjustRightInd/>
        <w:snapToGrid w:val="0"/>
        <w:spacing w:line="360" w:lineRule="auto"/>
        <w:jc w:val="left"/>
        <w:rPr>
          <w:rFonts w:hint="eastAsia"/>
          <w:sz w:val="24"/>
          <w:szCs w:val="24"/>
          <w:lang w:val="en-US" w:eastAsia="zh-CN"/>
        </w:rPr>
      </w:pPr>
      <w:bookmarkStart w:id="48" w:name="_Toc29394"/>
      <w:bookmarkStart w:id="49" w:name="_Toc22225"/>
      <w:bookmarkStart w:id="50" w:name="_Toc2246"/>
      <w:bookmarkStart w:id="51" w:name="_Toc13255"/>
      <w:bookmarkStart w:id="52" w:name="_Toc19755"/>
      <w:bookmarkStart w:id="53" w:name="_Toc5933"/>
      <w:bookmarkStart w:id="54" w:name="_Toc6472"/>
      <w:bookmarkStart w:id="55" w:name="_Toc4188"/>
      <w:r>
        <w:rPr>
          <w:rFonts w:hint="eastAsia"/>
          <w:sz w:val="24"/>
          <w:szCs w:val="24"/>
          <w:lang w:val="en-US" w:eastAsia="zh-CN"/>
        </w:rPr>
        <w:t>（十）磋商方法及程序</w:t>
      </w:r>
      <w:bookmarkEnd w:id="48"/>
      <w:bookmarkEnd w:id="49"/>
      <w:bookmarkEnd w:id="50"/>
      <w:bookmarkEnd w:id="51"/>
      <w:bookmarkEnd w:id="52"/>
      <w:bookmarkEnd w:id="53"/>
      <w:bookmarkEnd w:id="54"/>
      <w:bookmarkEnd w:id="55"/>
    </w:p>
    <w:p>
      <w:pPr>
        <w:pageBreakBefore w:val="0"/>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（一）磋商方法：综合评分法。</w:t>
      </w:r>
    </w:p>
    <w:p>
      <w:pPr>
        <w:pageBreakBefore w:val="0"/>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响应文件满足磋商文件全部实质性要求且按照评审因素的量化指标评审得分最高的供应商为成交候选人。</w:t>
      </w:r>
    </w:p>
    <w:p>
      <w:pPr>
        <w:pageBreakBefore w:val="0"/>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（二）磋商程序：</w:t>
      </w:r>
      <w:r>
        <w:rPr>
          <w:rFonts w:hint="eastAsia" w:ascii="宋体" w:hAnsi="宋体" w:eastAsia="宋体" w:cs="宋体"/>
          <w:color w:val="auto"/>
          <w:sz w:val="24"/>
          <w:szCs w:val="24"/>
          <w:highlight w:val="none"/>
          <w:lang w:val="zh-CN"/>
        </w:rPr>
        <w:t>磋商的全过程分为不公布第一次磋商报价、供应商符合性及有效性、磋商过程、磋商承诺、第二次报价、综合评审等阶段。</w:t>
      </w:r>
    </w:p>
    <w:p>
      <w:pPr>
        <w:pageBreakBefore w:val="0"/>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1、第一次报价：记录将各供应商的响应文件中的报价、</w:t>
      </w:r>
      <w:r>
        <w:rPr>
          <w:rFonts w:hint="eastAsia" w:ascii="宋体" w:hAnsi="宋体" w:cs="宋体"/>
          <w:color w:val="auto"/>
          <w:sz w:val="24"/>
          <w:szCs w:val="24"/>
          <w:highlight w:val="none"/>
          <w:lang w:val="zh-CN"/>
        </w:rPr>
        <w:t>服务</w:t>
      </w:r>
      <w:r>
        <w:rPr>
          <w:rFonts w:hint="eastAsia" w:ascii="宋体" w:hAnsi="宋体" w:eastAsia="宋体" w:cs="宋体"/>
          <w:color w:val="auto"/>
          <w:sz w:val="24"/>
          <w:szCs w:val="24"/>
          <w:highlight w:val="none"/>
          <w:lang w:val="zh-CN"/>
        </w:rPr>
        <w:t>期等内容，报价不公开。</w:t>
      </w:r>
    </w:p>
    <w:p>
      <w:pPr>
        <w:pageBreakBefore w:val="0"/>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zh-CN"/>
        </w:rPr>
        <w:t>2、供应商符合性及有效性：按照采购文件中的要求对各供应商提供的竞争性磋商响应文件进行符合性及有效性审查，对于没有按采购文件要求的供应商，不进入下一步评审程序。</w:t>
      </w:r>
    </w:p>
    <w:p>
      <w:pPr>
        <w:pageBreakBefore w:val="0"/>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zh-CN"/>
        </w:rPr>
      </w:pPr>
      <w:bookmarkStart w:id="56" w:name="_Toc13379"/>
      <w:r>
        <w:rPr>
          <w:rFonts w:hint="eastAsia" w:ascii="宋体" w:hAnsi="宋体" w:eastAsia="宋体" w:cs="宋体"/>
          <w:color w:val="auto"/>
          <w:sz w:val="24"/>
          <w:szCs w:val="24"/>
          <w:highlight w:val="none"/>
          <w:lang w:val="zh-CN"/>
        </w:rPr>
        <w:t>3、磋商过程</w:t>
      </w:r>
      <w:bookmarkEnd w:id="56"/>
    </w:p>
    <w:p>
      <w:pPr>
        <w:pageBreakBefore w:val="0"/>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磋商小组在符合性及有效性评审的基础上对各供应商的响应文件认真阅读，并对采购内容、商务报价、</w:t>
      </w:r>
      <w:r>
        <w:rPr>
          <w:rFonts w:hint="eastAsia" w:ascii="宋体" w:hAnsi="宋体" w:cs="宋体"/>
          <w:color w:val="auto"/>
          <w:sz w:val="24"/>
          <w:szCs w:val="24"/>
          <w:highlight w:val="none"/>
          <w:lang w:val="zh-CN"/>
        </w:rPr>
        <w:t>服务方案、履约能力、服务承诺</w:t>
      </w:r>
      <w:r>
        <w:rPr>
          <w:rFonts w:hint="eastAsia" w:ascii="宋体" w:hAnsi="宋体" w:eastAsia="宋体" w:cs="宋体"/>
          <w:color w:val="auto"/>
          <w:sz w:val="24"/>
          <w:szCs w:val="24"/>
          <w:highlight w:val="none"/>
          <w:lang w:val="zh-CN"/>
        </w:rPr>
        <w:t>等内容进行一对一的磋商。各供应商就磋商中的技术、商务、价格、服务等内容按要求进行补充、完善、澄清、承诺，但补充完善的内容必须在其授权范围内。磋商小组以补充、完善后的内容作为评审的依据。</w:t>
      </w:r>
    </w:p>
    <w:p>
      <w:pPr>
        <w:pageBreakBefore w:val="0"/>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4、各供应商对磋商小组在磋商过程中的问题予以澄清说明，做出承诺，同时对报价及构成再次进行成本分析、核算，并在此基础上进行二次报价。</w:t>
      </w:r>
    </w:p>
    <w:p>
      <w:pPr>
        <w:pageBreakBefore w:val="0"/>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5、磋商小组对各供应商磋商内容进行确认，进行二次报价</w:t>
      </w:r>
      <w:r>
        <w:rPr>
          <w:rFonts w:hint="eastAsia" w:ascii="宋体" w:hAnsi="宋体" w:eastAsia="宋体" w:cs="宋体"/>
          <w:color w:val="auto"/>
          <w:sz w:val="24"/>
          <w:szCs w:val="24"/>
          <w:highlight w:val="none"/>
          <w:lang w:val="zh-CN" w:eastAsia="zh-CN"/>
        </w:rPr>
        <w:t>，</w:t>
      </w:r>
      <w:r>
        <w:rPr>
          <w:rFonts w:hint="eastAsia" w:ascii="宋体" w:hAnsi="宋体" w:eastAsia="宋体" w:cs="宋体"/>
          <w:color w:val="auto"/>
          <w:sz w:val="24"/>
          <w:szCs w:val="24"/>
          <w:highlight w:val="none"/>
          <w:lang w:val="zh-CN"/>
        </w:rPr>
        <w:t>二次报价超过一次报价的，为无效报价，按无效文件处理。</w:t>
      </w:r>
    </w:p>
    <w:p>
      <w:pPr>
        <w:pageBreakBefore w:val="0"/>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对所有供应商进行有效性、完整性、符合性审查时，通过必要的澄清，从质量和技术、服务均能满足磋商文件实质性响应要求的基础上，筛选出合格供应商。不合格供应商的响应文件按无效处理，磋商小组要告知有关供应商。</w:t>
      </w:r>
    </w:p>
    <w:p>
      <w:pPr>
        <w:pageBreakBefore w:val="0"/>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（2）磋商小组给予所有合格供应商</w:t>
      </w:r>
      <w:r>
        <w:rPr>
          <w:rFonts w:hint="eastAsia" w:ascii="宋体" w:hAnsi="宋体" w:eastAsia="宋体" w:cs="宋体"/>
          <w:color w:val="auto"/>
          <w:sz w:val="24"/>
          <w:szCs w:val="24"/>
          <w:highlight w:val="none"/>
          <w:lang w:eastAsia="zh-CN"/>
        </w:rPr>
        <w:t>一次最后报价（即二次</w:t>
      </w:r>
      <w:r>
        <w:rPr>
          <w:rFonts w:hint="eastAsia" w:ascii="宋体" w:hAnsi="宋体" w:eastAsia="宋体" w:cs="宋体"/>
          <w:color w:val="auto"/>
          <w:sz w:val="24"/>
          <w:szCs w:val="24"/>
          <w:highlight w:val="none"/>
        </w:rPr>
        <w:t>报价</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的机会。供应商要以书面形式提交最后报价（各合格供应商的最后报价将作为综合评分法中价格分的计算依据，并由其法定代表人或被授权人签字。已提交响应文件的供应商，在提交最后报价之前，可以根据磋商情况以书面形式退出磋商，集中采购机构将退还其所交纳的磋商保证金。</w:t>
      </w:r>
    </w:p>
    <w:p>
      <w:pPr>
        <w:pageBreakBefore w:val="0"/>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6、磋商小组以磋商响应文件、磋商承诺内容、二次报价为依据，按照评审办法，推荐成交候选单位。</w:t>
      </w:r>
    </w:p>
    <w:p>
      <w:pPr>
        <w:pageBreakBefore w:val="0"/>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zh-CN"/>
        </w:rPr>
      </w:pPr>
      <w:bookmarkStart w:id="57" w:name="_Toc19517"/>
      <w:r>
        <w:rPr>
          <w:rFonts w:hint="eastAsia" w:ascii="宋体" w:hAnsi="宋体" w:eastAsia="宋体" w:cs="宋体"/>
          <w:color w:val="auto"/>
          <w:sz w:val="24"/>
          <w:szCs w:val="24"/>
          <w:highlight w:val="none"/>
          <w:lang w:val="zh-CN"/>
        </w:rPr>
        <w:t>7、磋商文件的实质性变更</w:t>
      </w:r>
      <w:bookmarkEnd w:id="57"/>
    </w:p>
    <w:p>
      <w:pPr>
        <w:pageBreakBefore w:val="0"/>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（1）在磋商过程中，磋商小组可以根据磋商文件和磋商情况实质性变动采购需求中的技术、服务要求以及合同草案条款，但不得变动磋商文件中的其他内容。实质性变动的内容，须经采购人代表确认。</w:t>
      </w:r>
    </w:p>
    <w:p>
      <w:pPr>
        <w:pageBreakBefore w:val="0"/>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（2）对磋商文件作出的实质性变动是磋商文件的有效组成部分，磋商小组将及时以书面形式同时通知所有参加磋商的供应商。</w:t>
      </w:r>
    </w:p>
    <w:p>
      <w:pPr>
        <w:pageBreakBefore w:val="0"/>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（3）供应商应当按照磋商文件的变动情况和磋商小组的要求重新提交响应文件，并由其法定代表人或授权代表签字或者加盖公章。</w:t>
      </w:r>
    </w:p>
    <w:p>
      <w:pPr>
        <w:pStyle w:val="5"/>
        <w:pageBreakBefore w:val="0"/>
        <w:kinsoku/>
        <w:wordWrap/>
        <w:overflowPunct/>
        <w:topLinePunct w:val="0"/>
        <w:autoSpaceDE/>
        <w:autoSpaceDN/>
        <w:bidi w:val="0"/>
        <w:adjustRightInd/>
        <w:snapToGrid w:val="0"/>
        <w:spacing w:line="360" w:lineRule="auto"/>
        <w:jc w:val="left"/>
        <w:rPr>
          <w:rFonts w:hint="eastAsia"/>
          <w:sz w:val="24"/>
          <w:szCs w:val="24"/>
        </w:rPr>
      </w:pPr>
      <w:bookmarkStart w:id="58" w:name="_Toc17229"/>
      <w:r>
        <w:rPr>
          <w:rFonts w:hint="eastAsia"/>
          <w:sz w:val="24"/>
          <w:szCs w:val="24"/>
        </w:rPr>
        <w:t>（十</w:t>
      </w:r>
      <w:r>
        <w:rPr>
          <w:rFonts w:hint="eastAsia"/>
          <w:sz w:val="24"/>
          <w:szCs w:val="24"/>
          <w:lang w:eastAsia="zh-CN"/>
        </w:rPr>
        <w:t>一</w:t>
      </w:r>
      <w:r>
        <w:rPr>
          <w:rFonts w:hint="eastAsia"/>
          <w:sz w:val="24"/>
          <w:szCs w:val="24"/>
        </w:rPr>
        <w:t>）开 标</w:t>
      </w:r>
      <w:bookmarkEnd w:id="58"/>
    </w:p>
    <w:p>
      <w:pPr>
        <w:pageBreakBefore w:val="0"/>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开标工作由采购代理机构组织实施，整个过程受同级政府采购监管机构的监督、管理。</w:t>
      </w:r>
    </w:p>
    <w:p>
      <w:pPr>
        <w:pageBreakBefore w:val="0"/>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本项目电子投标文件在线提交，开标当日供应商法定代表人或其授权代表</w:t>
      </w:r>
      <w:r>
        <w:rPr>
          <w:rFonts w:hint="eastAsia" w:ascii="宋体" w:hAnsi="宋体" w:eastAsia="宋体" w:cs="宋体"/>
          <w:color w:val="auto"/>
          <w:sz w:val="24"/>
          <w:szCs w:val="24"/>
          <w:highlight w:val="none"/>
          <w:lang w:eastAsia="zh-CN"/>
        </w:rPr>
        <w:t>无</w:t>
      </w:r>
      <w:r>
        <w:rPr>
          <w:rFonts w:hint="eastAsia" w:ascii="宋体" w:hAnsi="宋体" w:eastAsia="宋体" w:cs="宋体"/>
          <w:color w:val="auto"/>
          <w:sz w:val="24"/>
          <w:szCs w:val="24"/>
          <w:highlight w:val="none"/>
        </w:rPr>
        <w:t>需到达开标现场。基本流程如下：</w:t>
      </w:r>
    </w:p>
    <w:p>
      <w:pPr>
        <w:pageBreakBefore w:val="0"/>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供应商签到：采购代理机构将严格按照招标文件规定的时间和地点组织开标，供应商</w:t>
      </w:r>
      <w:r>
        <w:rPr>
          <w:rFonts w:hint="eastAsia" w:ascii="宋体" w:hAnsi="宋体" w:eastAsia="宋体" w:cs="宋体"/>
          <w:color w:val="auto"/>
          <w:sz w:val="24"/>
          <w:szCs w:val="24"/>
          <w:highlight w:val="none"/>
          <w:lang w:eastAsia="zh-CN"/>
        </w:rPr>
        <w:t>使用</w:t>
      </w:r>
      <w:r>
        <w:rPr>
          <w:rFonts w:hint="eastAsia" w:ascii="宋体" w:hAnsi="宋体" w:eastAsia="宋体" w:cs="宋体"/>
          <w:color w:val="auto"/>
          <w:sz w:val="24"/>
          <w:szCs w:val="24"/>
          <w:highlight w:val="none"/>
        </w:rPr>
        <w:t>加密该投标文件的CA锁</w:t>
      </w:r>
      <w:r>
        <w:rPr>
          <w:rFonts w:hint="eastAsia" w:ascii="宋体" w:hAnsi="宋体" w:eastAsia="宋体" w:cs="宋体"/>
          <w:color w:val="auto"/>
          <w:sz w:val="24"/>
          <w:szCs w:val="24"/>
          <w:highlight w:val="none"/>
          <w:lang w:eastAsia="zh-CN"/>
        </w:rPr>
        <w:t>登录</w:t>
      </w:r>
      <w:r>
        <w:rPr>
          <w:rFonts w:hint="eastAsia" w:ascii="宋体" w:hAnsi="宋体" w:eastAsia="宋体" w:cs="宋体"/>
          <w:color w:val="auto"/>
          <w:sz w:val="24"/>
          <w:szCs w:val="24"/>
          <w:highlight w:val="none"/>
        </w:rPr>
        <w:t>并签到。</w:t>
      </w:r>
    </w:p>
    <w:p>
      <w:pPr>
        <w:pageBreakBefore w:val="0"/>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主持人开标：提交</w:t>
      </w: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截止时间过后，系统将不再接收任何</w:t>
      </w: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w:t>
      </w:r>
    </w:p>
    <w:p>
      <w:pPr>
        <w:pageBreakBefore w:val="0"/>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解密投标文件：供应商在收到主持人“开始解密”指令后，应使用“加密该投标文件的CA锁（必须是同一把锁）”完成投标文件解密。除因【</w:t>
      </w:r>
      <w:r>
        <w:rPr>
          <w:rFonts w:hint="eastAsia" w:ascii="宋体" w:hAnsi="宋体" w:cs="宋体"/>
          <w:color w:val="auto"/>
          <w:sz w:val="24"/>
          <w:szCs w:val="24"/>
          <w:highlight w:val="none"/>
          <w:lang w:eastAsia="zh-CN"/>
        </w:rPr>
        <w:t>安康</w:t>
      </w:r>
      <w:r>
        <w:rPr>
          <w:rFonts w:hint="eastAsia" w:ascii="宋体" w:hAnsi="宋体" w:eastAsia="宋体" w:cs="宋体"/>
          <w:color w:val="auto"/>
          <w:sz w:val="24"/>
          <w:szCs w:val="24"/>
          <w:highlight w:val="none"/>
          <w:lang w:eastAsia="zh-CN"/>
        </w:rPr>
        <w:t>市</w:t>
      </w:r>
      <w:r>
        <w:rPr>
          <w:rFonts w:hint="eastAsia" w:ascii="宋体" w:hAnsi="宋体" w:eastAsia="宋体" w:cs="宋体"/>
          <w:color w:val="auto"/>
          <w:sz w:val="24"/>
          <w:szCs w:val="24"/>
          <w:highlight w:val="none"/>
        </w:rPr>
        <w:t>公共资源交易中心】断电、断网、系统故障及其他不可抗力等因素，导致不见面开标系统无法正常运行外，供应商应在规定的解密时限内完成解密。</w:t>
      </w:r>
    </w:p>
    <w:p>
      <w:pPr>
        <w:pageBreakBefore w:val="0"/>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开标结束：进入评审环节。供应商请在</w:t>
      </w:r>
      <w:r>
        <w:rPr>
          <w:rFonts w:hint="eastAsia" w:ascii="宋体" w:hAnsi="宋体" w:eastAsia="宋体" w:cs="宋体"/>
          <w:color w:val="auto"/>
          <w:sz w:val="24"/>
          <w:szCs w:val="24"/>
          <w:highlight w:val="none"/>
          <w:lang w:eastAsia="zh-CN"/>
        </w:rPr>
        <w:t>不见面开标室等待，请勿离开</w:t>
      </w:r>
      <w:r>
        <w:rPr>
          <w:rFonts w:hint="eastAsia" w:ascii="宋体" w:hAnsi="宋体" w:eastAsia="宋体" w:cs="宋体"/>
          <w:color w:val="auto"/>
          <w:sz w:val="24"/>
          <w:szCs w:val="24"/>
          <w:highlight w:val="none"/>
        </w:rPr>
        <w:t>，评审期间评标委员会可能会要求供应商做相应的澄清。因供应商擅自离席造成的不利后果，由供应商自行承担。</w:t>
      </w:r>
    </w:p>
    <w:p>
      <w:pPr>
        <w:pStyle w:val="5"/>
        <w:pageBreakBefore w:val="0"/>
        <w:kinsoku/>
        <w:wordWrap/>
        <w:overflowPunct/>
        <w:topLinePunct w:val="0"/>
        <w:autoSpaceDE/>
        <w:autoSpaceDN/>
        <w:bidi w:val="0"/>
        <w:adjustRightInd/>
        <w:snapToGrid w:val="0"/>
        <w:spacing w:line="360" w:lineRule="auto"/>
        <w:jc w:val="left"/>
        <w:rPr>
          <w:rFonts w:hint="eastAsia"/>
          <w:sz w:val="24"/>
          <w:szCs w:val="24"/>
        </w:rPr>
      </w:pPr>
      <w:r>
        <w:rPr>
          <w:rFonts w:hint="eastAsia"/>
          <w:sz w:val="24"/>
          <w:szCs w:val="24"/>
        </w:rPr>
        <w:t>（十</w:t>
      </w:r>
      <w:r>
        <w:rPr>
          <w:rFonts w:hint="eastAsia"/>
          <w:sz w:val="24"/>
          <w:szCs w:val="24"/>
          <w:lang w:eastAsia="zh-CN"/>
        </w:rPr>
        <w:t>二</w:t>
      </w:r>
      <w:r>
        <w:rPr>
          <w:rFonts w:hint="eastAsia"/>
          <w:sz w:val="24"/>
          <w:szCs w:val="24"/>
        </w:rPr>
        <w:t>）</w:t>
      </w:r>
      <w:r>
        <w:rPr>
          <w:rFonts w:hint="eastAsia"/>
          <w:sz w:val="24"/>
          <w:szCs w:val="24"/>
          <w:lang w:eastAsia="zh-CN"/>
        </w:rPr>
        <w:t>评</w:t>
      </w:r>
      <w:r>
        <w:rPr>
          <w:rFonts w:hint="eastAsia"/>
          <w:sz w:val="24"/>
          <w:szCs w:val="24"/>
          <w:lang w:val="en-US" w:eastAsia="zh-CN"/>
        </w:rPr>
        <w:t xml:space="preserve"> </w:t>
      </w:r>
      <w:r>
        <w:rPr>
          <w:rFonts w:hint="eastAsia"/>
          <w:sz w:val="24"/>
          <w:szCs w:val="24"/>
        </w:rPr>
        <w:t>标</w:t>
      </w:r>
    </w:p>
    <w:p>
      <w:pPr>
        <w:pageBreakBefore w:val="0"/>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资格审查</w:t>
      </w:r>
    </w:p>
    <w:p>
      <w:pPr>
        <w:pageBreakBefore w:val="0"/>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磋商会议结束后，由</w:t>
      </w:r>
      <w:r>
        <w:rPr>
          <w:rFonts w:hint="eastAsia" w:ascii="宋体" w:hAnsi="宋体" w:cs="宋体"/>
          <w:color w:val="auto"/>
          <w:sz w:val="24"/>
          <w:szCs w:val="24"/>
          <w:highlight w:val="none"/>
          <w:lang w:eastAsia="zh-CN"/>
        </w:rPr>
        <w:t>评审委员会</w:t>
      </w:r>
      <w:r>
        <w:rPr>
          <w:rFonts w:hint="eastAsia" w:ascii="宋体" w:hAnsi="宋体" w:eastAsia="宋体" w:cs="宋体"/>
          <w:color w:val="auto"/>
          <w:sz w:val="24"/>
          <w:szCs w:val="24"/>
          <w:highlight w:val="none"/>
        </w:rPr>
        <w:t>依法对供应商的资格进行审查，审查合格的供应商方可进入评审阶段，不合格的供应商其磋商响应无效。供应商须在提交磋商响应文件截止时间前提交下述资质证明材料原件</w:t>
      </w:r>
      <w:r>
        <w:rPr>
          <w:rFonts w:hint="eastAsia" w:ascii="宋体" w:hAnsi="宋体" w:eastAsia="宋体" w:cs="宋体"/>
          <w:color w:val="auto"/>
          <w:sz w:val="24"/>
          <w:szCs w:val="24"/>
          <w:highlight w:val="none"/>
          <w:lang w:eastAsia="zh-CN"/>
        </w:rPr>
        <w:t>或复印件加盖公章</w:t>
      </w:r>
      <w:r>
        <w:rPr>
          <w:rFonts w:hint="eastAsia" w:ascii="宋体" w:hAnsi="宋体" w:eastAsia="宋体" w:cs="宋体"/>
          <w:color w:val="auto"/>
          <w:sz w:val="24"/>
          <w:szCs w:val="24"/>
          <w:highlight w:val="none"/>
        </w:rPr>
        <w:t>，逾期不接受任何补充资料：</w:t>
      </w:r>
    </w:p>
    <w:p>
      <w:pPr>
        <w:pageBreakBefore w:val="0"/>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bookmarkStart w:id="59" w:name="_Toc12045"/>
      <w:bookmarkStart w:id="60" w:name="_Toc450138941"/>
      <w:bookmarkStart w:id="61" w:name="_Toc449368376"/>
      <w:r>
        <w:rPr>
          <w:rFonts w:hint="eastAsia" w:ascii="宋体" w:hAnsi="宋体" w:eastAsia="宋体" w:cs="宋体"/>
          <w:color w:val="auto"/>
          <w:sz w:val="24"/>
          <w:szCs w:val="24"/>
          <w:highlight w:val="none"/>
          <w:lang w:val="en-US" w:eastAsia="zh-CN"/>
        </w:rPr>
        <w:t>（1）具有独立承担民事责任的能力，提供营业执照、税务登记证、组织机构代码证或登载有统一社会信用代码的营业执照（或《事业单位法人证书》或其他合法组织登记证书、自然人只须提交身份证复印件）；</w:t>
      </w:r>
    </w:p>
    <w:p>
      <w:pPr>
        <w:pageBreakBefore w:val="0"/>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（2）提供法定代表人授权书（附法定代表人身份证复印件）及被授权代表身份证复印件（法定代表人直接参加只须提供法定代表人身份证复印件）；</w:t>
      </w:r>
    </w:p>
    <w:p>
      <w:pPr>
        <w:pageBreakBefore w:val="0"/>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（3）投标供应商具有建筑装修装饰工程专业承包二级及以上资质，且具备合格有效的安全生产许可证；并在人员、设备、资金等方面具备相应的施工能力（提供书面承诺）。</w:t>
      </w:r>
    </w:p>
    <w:p>
      <w:pPr>
        <w:pageBreakBefore w:val="0"/>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（4）项目负责人须具备建筑工程专业二级及以上注册建造师资质、注册证、有效的安全生产考核合格证书且应提供项目经理无在建工程承诺书；</w:t>
      </w:r>
    </w:p>
    <w:p>
      <w:pPr>
        <w:pageBreakBefore w:val="0"/>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（5）财务状况报告：提供2022年或2023年度财务审计报告（成立时间至首次递交磋商响应文件截止时间不足1年的，可提供成立后任意时段的资产负债表）或其基本存款账户开户银行出具的资信证明；</w:t>
      </w:r>
    </w:p>
    <w:p>
      <w:pPr>
        <w:pageBreakBefore w:val="0"/>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6）有依法缴纳税收和社会保障资金的良好记录（提供投标人2023年06月至首次递交磋商响应文件截止时间任意三个月完税证明（依法免税的投标人应提供相关文件证明）；2023年06月至首次递交磋商响应文件截止时间任意三个月已缴纳社会保险的证明（专用收据或社会保险缴纳清单或社保缴纳证明，依法不需要缴纳社会保障资金的投标人应提供相关文件证明））；</w:t>
      </w:r>
    </w:p>
    <w:p>
      <w:pPr>
        <w:pageBreakBefore w:val="0"/>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（7）书面声明：参加政府采购活动前三年内，在经营活动中没有重大违法记录声明；</w:t>
      </w:r>
    </w:p>
    <w:p>
      <w:pPr>
        <w:pageBreakBefore w:val="0"/>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（8）具有履行合同所必需的设备和专业技术能力（提供书面承诺）；</w:t>
      </w:r>
    </w:p>
    <w:p>
      <w:pPr>
        <w:pageBreakBefore w:val="0"/>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9）供应商通过“信用中国”网站(www.creditchina.gov.cn)、中国政府采购网(www.ccgp.gov.cn)等查询相关主体信用记录，对列入失信被执行人、重大税收违法案件当事人名单、政府采购严重违法失信行为记录名单的供应商，将拒绝其参与政府采购活动；</w:t>
      </w:r>
    </w:p>
    <w:p>
      <w:pPr>
        <w:pageBreakBefore w:val="0"/>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(10)本项目专门面向</w:t>
      </w:r>
      <w:r>
        <w:rPr>
          <w:rFonts w:hint="eastAsia" w:ascii="宋体" w:hAnsi="宋体" w:cs="宋体"/>
          <w:color w:val="auto"/>
          <w:sz w:val="24"/>
          <w:szCs w:val="24"/>
          <w:highlight w:val="none"/>
          <w:lang w:val="en-US" w:eastAsia="zh-CN"/>
        </w:rPr>
        <w:t>中小</w:t>
      </w:r>
      <w:r>
        <w:rPr>
          <w:rFonts w:hint="eastAsia" w:ascii="宋体" w:hAnsi="宋体" w:eastAsia="宋体" w:cs="宋体"/>
          <w:color w:val="auto"/>
          <w:sz w:val="24"/>
          <w:szCs w:val="24"/>
          <w:highlight w:val="none"/>
          <w:lang w:val="en-US" w:eastAsia="zh-CN"/>
        </w:rPr>
        <w:t>企业采购，供应商应根据《政府采购促进中小企业发展管理办法》（财库〔2020〕46号）提供中小企业声明函。供应商为监狱企业的，应提供监狱企业的证明文件；供应商为残疾人福利性单位的，应提供《残疾人福利性单位声明函》（监狱企业或残疾人福利性单位视同小型、微型企业）。</w:t>
      </w:r>
    </w:p>
    <w:p>
      <w:pPr>
        <w:pageBreakBefore w:val="0"/>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2、符合性审查</w:t>
      </w:r>
      <w:bookmarkEnd w:id="59"/>
    </w:p>
    <w:p>
      <w:pPr>
        <w:pageBreakBefore w:val="0"/>
        <w:kinsoku/>
        <w:wordWrap/>
        <w:overflowPunct/>
        <w:topLinePunct w:val="0"/>
        <w:autoSpaceDE/>
        <w:autoSpaceDN/>
        <w:bidi w:val="0"/>
        <w:adjustRightInd/>
        <w:snapToGrid w:val="0"/>
        <w:spacing w:line="360" w:lineRule="auto"/>
        <w:ind w:firstLine="480" w:firstLineChars="20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依据磋商文件的规定，对资格合格者磋商响应文件的完整性、有效性和对磋商文件的响应程度进行审查，以确定是否对磋商文件的实质性内容做出响应，包含但不限于以下内容：</w:t>
      </w:r>
    </w:p>
    <w:p>
      <w:pPr>
        <w:pageBreakBefore w:val="0"/>
        <w:kinsoku/>
        <w:wordWrap/>
        <w:overflowPunct/>
        <w:topLinePunct w:val="0"/>
        <w:autoSpaceDE/>
        <w:autoSpaceDN/>
        <w:bidi w:val="0"/>
        <w:adjustRightInd/>
        <w:snapToGrid w:val="0"/>
        <w:spacing w:line="360" w:lineRule="auto"/>
        <w:ind w:left="0" w:leftChars="0" w:firstLine="480" w:firstLineChars="200"/>
        <w:jc w:val="left"/>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（1）供应商名称是否与购买磋商文件的单位名称一致；</w:t>
      </w:r>
    </w:p>
    <w:p>
      <w:pPr>
        <w:pageBreakBefore w:val="0"/>
        <w:kinsoku/>
        <w:wordWrap/>
        <w:overflowPunct/>
        <w:topLinePunct w:val="0"/>
        <w:autoSpaceDE/>
        <w:autoSpaceDN/>
        <w:bidi w:val="0"/>
        <w:adjustRightInd/>
        <w:snapToGrid w:val="0"/>
        <w:spacing w:line="360" w:lineRule="auto"/>
        <w:ind w:left="0" w:leftChars="0" w:firstLine="480" w:firstLineChars="200"/>
        <w:jc w:val="left"/>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（2）除明确允许供应商可以自行编写的外，磋商响应文件是否按照磋商文件要求的格式编制； </w:t>
      </w:r>
    </w:p>
    <w:p>
      <w:pPr>
        <w:pageBreakBefore w:val="0"/>
        <w:kinsoku/>
        <w:wordWrap/>
        <w:overflowPunct/>
        <w:topLinePunct w:val="0"/>
        <w:autoSpaceDE/>
        <w:autoSpaceDN/>
        <w:bidi w:val="0"/>
        <w:adjustRightInd/>
        <w:snapToGrid w:val="0"/>
        <w:spacing w:line="360" w:lineRule="auto"/>
        <w:ind w:left="0" w:leftChars="0" w:firstLine="480" w:firstLineChars="200"/>
        <w:jc w:val="left"/>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（3）磋商响应文件是否按照磋商文件的要求盖章签字；</w:t>
      </w:r>
    </w:p>
    <w:p>
      <w:pPr>
        <w:pageBreakBefore w:val="0"/>
        <w:kinsoku/>
        <w:wordWrap/>
        <w:overflowPunct/>
        <w:topLinePunct w:val="0"/>
        <w:autoSpaceDE/>
        <w:autoSpaceDN/>
        <w:bidi w:val="0"/>
        <w:adjustRightInd/>
        <w:snapToGrid w:val="0"/>
        <w:spacing w:line="360" w:lineRule="auto"/>
        <w:ind w:left="0" w:leftChars="0" w:firstLine="480" w:firstLineChars="200"/>
        <w:jc w:val="left"/>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）磋商内容是否有重大缺漏项；</w:t>
      </w:r>
    </w:p>
    <w:p>
      <w:pPr>
        <w:pageBreakBefore w:val="0"/>
        <w:kinsoku/>
        <w:wordWrap/>
        <w:overflowPunct/>
        <w:topLinePunct w:val="0"/>
        <w:autoSpaceDE/>
        <w:autoSpaceDN/>
        <w:bidi w:val="0"/>
        <w:adjustRightInd/>
        <w:snapToGrid w:val="0"/>
        <w:spacing w:line="360" w:lineRule="auto"/>
        <w:ind w:left="0" w:leftChars="0" w:firstLine="480" w:firstLineChars="200"/>
        <w:jc w:val="left"/>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 xml:space="preserve">）磋商报价是否超过最高限价； </w:t>
      </w:r>
    </w:p>
    <w:p>
      <w:pPr>
        <w:pageBreakBefore w:val="0"/>
        <w:kinsoku/>
        <w:wordWrap/>
        <w:overflowPunct/>
        <w:topLinePunct w:val="0"/>
        <w:autoSpaceDE/>
        <w:autoSpaceDN/>
        <w:bidi w:val="0"/>
        <w:adjustRightInd/>
        <w:snapToGrid w:val="0"/>
        <w:spacing w:line="360" w:lineRule="auto"/>
        <w:ind w:left="0" w:leftChars="0" w:firstLine="480" w:firstLineChars="200"/>
        <w:jc w:val="left"/>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）磋商有效期是否符合磋商文件的要求；</w:t>
      </w:r>
    </w:p>
    <w:p>
      <w:pPr>
        <w:pageBreakBefore w:val="0"/>
        <w:kinsoku/>
        <w:wordWrap/>
        <w:overflowPunct/>
        <w:topLinePunct w:val="0"/>
        <w:autoSpaceDE/>
        <w:autoSpaceDN/>
        <w:bidi w:val="0"/>
        <w:adjustRightInd/>
        <w:snapToGrid w:val="0"/>
        <w:spacing w:line="360" w:lineRule="auto"/>
        <w:ind w:left="0" w:leftChars="0" w:firstLine="480" w:firstLineChars="200"/>
        <w:jc w:val="left"/>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）对磋商文件商务要求是否作了明确且实质性响应；</w:t>
      </w:r>
    </w:p>
    <w:p>
      <w:pPr>
        <w:pageBreakBefore w:val="0"/>
        <w:kinsoku/>
        <w:wordWrap/>
        <w:overflowPunct/>
        <w:topLinePunct w:val="0"/>
        <w:autoSpaceDE/>
        <w:autoSpaceDN/>
        <w:bidi w:val="0"/>
        <w:adjustRightInd/>
        <w:snapToGrid w:val="0"/>
        <w:spacing w:line="360" w:lineRule="auto"/>
        <w:ind w:left="0" w:leftChars="0" w:firstLine="480" w:firstLineChars="200"/>
        <w:jc w:val="left"/>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）磋商响应文件是否含有采购人不能接受的附件条件；</w:t>
      </w:r>
    </w:p>
    <w:p>
      <w:pPr>
        <w:pageBreakBefore w:val="0"/>
        <w:kinsoku/>
        <w:wordWrap/>
        <w:overflowPunct/>
        <w:topLinePunct w:val="0"/>
        <w:autoSpaceDE/>
        <w:autoSpaceDN/>
        <w:bidi w:val="0"/>
        <w:adjustRightInd/>
        <w:snapToGrid w:val="0"/>
        <w:spacing w:line="360" w:lineRule="auto"/>
        <w:ind w:left="0" w:leftChars="0" w:firstLine="480" w:firstLineChars="200"/>
        <w:jc w:val="left"/>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lang w:eastAsia="zh-CN"/>
        </w:rPr>
        <w:t>）是否符合法律、法规和磋商文件规定的其他无效磋商情形。</w:t>
      </w:r>
    </w:p>
    <w:p>
      <w:pPr>
        <w:pageBreakBefore w:val="0"/>
        <w:kinsoku/>
        <w:wordWrap/>
        <w:overflowPunct/>
        <w:topLinePunct w:val="0"/>
        <w:autoSpaceDE/>
        <w:autoSpaceDN/>
        <w:bidi w:val="0"/>
        <w:adjustRightInd/>
        <w:snapToGrid w:val="0"/>
        <w:spacing w:line="360" w:lineRule="auto"/>
        <w:ind w:left="0" w:leftChars="0" w:firstLine="480" w:firstLineChars="200"/>
        <w:jc w:val="left"/>
        <w:textAlignment w:val="baseline"/>
        <w:rPr>
          <w:rFonts w:hint="eastAsia" w:ascii="宋体" w:hAnsi="宋体" w:eastAsia="宋体" w:cs="宋体"/>
          <w:color w:val="auto"/>
          <w:sz w:val="24"/>
          <w:szCs w:val="24"/>
          <w:highlight w:val="none"/>
          <w:lang w:eastAsia="zh-CN"/>
        </w:rPr>
      </w:pPr>
      <w:bookmarkStart w:id="62" w:name="_Toc10924"/>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、磋商响应文件的澄清</w:t>
      </w:r>
      <w:bookmarkEnd w:id="62"/>
    </w:p>
    <w:p>
      <w:pPr>
        <w:pageBreakBefore w:val="0"/>
        <w:kinsoku/>
        <w:wordWrap/>
        <w:overflowPunct/>
        <w:topLinePunct w:val="0"/>
        <w:autoSpaceDE/>
        <w:autoSpaceDN/>
        <w:bidi w:val="0"/>
        <w:adjustRightInd/>
        <w:snapToGrid w:val="0"/>
        <w:spacing w:line="360" w:lineRule="auto"/>
        <w:ind w:left="0" w:leftChars="0" w:firstLine="480" w:firstLineChars="200"/>
        <w:jc w:val="left"/>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在评审期间,对于竞争性磋商响应文件中含义不明确、同类问题表述不一致或者有明显文字和计算错误的内容，评审委员会应当以书面形式要求供应商作出必要的澄清、说明或者补正。供应商的澄清、说明或者补正应当采用书面形式，并加盖公章，或者由法定代表人或被授权人签字。供应商的澄清、说明或者补正不得超出竞争性磋商响应文件的范围或者改变竞争性磋商响应文件的实质性内容。</w:t>
      </w:r>
    </w:p>
    <w:p>
      <w:pPr>
        <w:pageBreakBefore w:val="0"/>
        <w:kinsoku/>
        <w:wordWrap/>
        <w:overflowPunct/>
        <w:topLinePunct w:val="0"/>
        <w:autoSpaceDE/>
        <w:autoSpaceDN/>
        <w:bidi w:val="0"/>
        <w:adjustRightInd/>
        <w:snapToGrid w:val="0"/>
        <w:spacing w:line="360" w:lineRule="auto"/>
        <w:ind w:left="0" w:leftChars="0" w:firstLine="480" w:firstLineChars="200"/>
        <w:jc w:val="left"/>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（2）书写错误的评审标准：</w:t>
      </w:r>
    </w:p>
    <w:p>
      <w:pPr>
        <w:pageBreakBefore w:val="0"/>
        <w:kinsoku/>
        <w:wordWrap/>
        <w:overflowPunct/>
        <w:topLinePunct w:val="0"/>
        <w:autoSpaceDE/>
        <w:autoSpaceDN/>
        <w:bidi w:val="0"/>
        <w:adjustRightInd/>
        <w:snapToGrid w:val="0"/>
        <w:spacing w:line="360" w:lineRule="auto"/>
        <w:ind w:left="0" w:leftChars="0" w:firstLine="480" w:firstLineChars="200"/>
        <w:jc w:val="left"/>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评审委员会在评审过程中，发现磋商响应文件出现下列情况之一者，按以下原则修正：</w:t>
      </w:r>
    </w:p>
    <w:p>
      <w:pPr>
        <w:pageBreakBefore w:val="0"/>
        <w:kinsoku/>
        <w:wordWrap/>
        <w:overflowPunct/>
        <w:topLinePunct w:val="0"/>
        <w:autoSpaceDE/>
        <w:autoSpaceDN/>
        <w:bidi w:val="0"/>
        <w:adjustRightInd/>
        <w:snapToGrid w:val="0"/>
        <w:spacing w:line="360" w:lineRule="auto"/>
        <w:ind w:left="0" w:leftChars="0" w:firstLine="480" w:firstLineChars="200"/>
        <w:jc w:val="left"/>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a、磋商响应文件有关内容与“一览表”不一致的，以“一览表”为准；</w:t>
      </w:r>
    </w:p>
    <w:p>
      <w:pPr>
        <w:pageBreakBefore w:val="0"/>
        <w:kinsoku/>
        <w:wordWrap/>
        <w:overflowPunct/>
        <w:topLinePunct w:val="0"/>
        <w:autoSpaceDE/>
        <w:autoSpaceDN/>
        <w:bidi w:val="0"/>
        <w:adjustRightInd/>
        <w:snapToGrid w:val="0"/>
        <w:spacing w:line="360" w:lineRule="auto"/>
        <w:ind w:left="0" w:leftChars="0" w:firstLine="480" w:firstLineChars="200"/>
        <w:jc w:val="left"/>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b、磋商响应文件大写与小写不一致时，以大写为准；</w:t>
      </w:r>
    </w:p>
    <w:p>
      <w:pPr>
        <w:pageBreakBefore w:val="0"/>
        <w:kinsoku/>
        <w:wordWrap/>
        <w:overflowPunct/>
        <w:topLinePunct w:val="0"/>
        <w:autoSpaceDE/>
        <w:autoSpaceDN/>
        <w:bidi w:val="0"/>
        <w:adjustRightInd/>
        <w:snapToGrid w:val="0"/>
        <w:spacing w:line="360" w:lineRule="auto"/>
        <w:ind w:left="0" w:leftChars="0" w:firstLine="480" w:firstLineChars="200"/>
        <w:jc w:val="left"/>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c、单价乘以数量不等于总价时，以单价乘以数量为准修改总价；单价有明显小数点错误的，以总价为准，并修改单价；</w:t>
      </w:r>
    </w:p>
    <w:p>
      <w:pPr>
        <w:pageBreakBefore w:val="0"/>
        <w:kinsoku/>
        <w:wordWrap/>
        <w:overflowPunct/>
        <w:topLinePunct w:val="0"/>
        <w:autoSpaceDE/>
        <w:autoSpaceDN/>
        <w:bidi w:val="0"/>
        <w:adjustRightInd/>
        <w:snapToGrid w:val="0"/>
        <w:spacing w:line="360" w:lineRule="auto"/>
        <w:ind w:left="0" w:leftChars="0" w:firstLine="480" w:firstLineChars="200"/>
        <w:jc w:val="left"/>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d、总价金额与按单价汇总金额不一致的，以单价乘以数量的计算结果为准；</w:t>
      </w:r>
    </w:p>
    <w:p>
      <w:pPr>
        <w:pageBreakBefore w:val="0"/>
        <w:kinsoku/>
        <w:wordWrap/>
        <w:overflowPunct/>
        <w:topLinePunct w:val="0"/>
        <w:autoSpaceDE/>
        <w:autoSpaceDN/>
        <w:bidi w:val="0"/>
        <w:adjustRightInd/>
        <w:snapToGrid w:val="0"/>
        <w:spacing w:line="360" w:lineRule="auto"/>
        <w:ind w:left="0" w:leftChars="0" w:firstLine="480" w:firstLineChars="200"/>
        <w:jc w:val="left"/>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e、磋商响应文件图表与文字不符时，以文字为准；</w:t>
      </w:r>
    </w:p>
    <w:p>
      <w:pPr>
        <w:pageBreakBefore w:val="0"/>
        <w:kinsoku/>
        <w:wordWrap/>
        <w:overflowPunct/>
        <w:topLinePunct w:val="0"/>
        <w:autoSpaceDE/>
        <w:autoSpaceDN/>
        <w:bidi w:val="0"/>
        <w:adjustRightInd/>
        <w:snapToGrid w:val="0"/>
        <w:spacing w:line="360" w:lineRule="auto"/>
        <w:ind w:left="0" w:leftChars="0" w:firstLine="480" w:firstLineChars="200"/>
        <w:jc w:val="left"/>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f、磋商响应文件正本与副本不符时，以正本为准；</w:t>
      </w:r>
    </w:p>
    <w:p>
      <w:pPr>
        <w:pageBreakBefore w:val="0"/>
        <w:kinsoku/>
        <w:wordWrap/>
        <w:overflowPunct/>
        <w:topLinePunct w:val="0"/>
        <w:autoSpaceDE/>
        <w:autoSpaceDN/>
        <w:bidi w:val="0"/>
        <w:adjustRightInd/>
        <w:snapToGrid w:val="0"/>
        <w:spacing w:line="360" w:lineRule="auto"/>
        <w:ind w:left="0" w:leftChars="0" w:firstLine="480" w:firstLineChars="200"/>
        <w:jc w:val="left"/>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g、对不同文字文本磋商响应文件的解释发生异议的，以中文文本为准；</w:t>
      </w:r>
    </w:p>
    <w:p>
      <w:pPr>
        <w:pageBreakBefore w:val="0"/>
        <w:kinsoku/>
        <w:wordWrap/>
        <w:overflowPunct/>
        <w:topLinePunct w:val="0"/>
        <w:autoSpaceDE/>
        <w:autoSpaceDN/>
        <w:bidi w:val="0"/>
        <w:adjustRightInd/>
        <w:snapToGrid w:val="0"/>
        <w:spacing w:line="360" w:lineRule="auto"/>
        <w:ind w:left="0" w:leftChars="0" w:firstLine="480" w:firstLineChars="200"/>
        <w:jc w:val="left"/>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h、多处内容交叉不符时，以评审委员会评审结果为准。</w:t>
      </w:r>
    </w:p>
    <w:p>
      <w:pPr>
        <w:pageBreakBefore w:val="0"/>
        <w:kinsoku/>
        <w:wordWrap/>
        <w:overflowPunct/>
        <w:topLinePunct w:val="0"/>
        <w:autoSpaceDE/>
        <w:autoSpaceDN/>
        <w:bidi w:val="0"/>
        <w:adjustRightInd/>
        <w:snapToGrid w:val="0"/>
        <w:spacing w:line="360" w:lineRule="auto"/>
        <w:ind w:firstLine="551"/>
        <w:jc w:val="left"/>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注：按上述方法修正的内容（其中，同时出现上述a至d两种以上不一致的，按上述规定的顺序修正），经供应商确认后产生约束力，供应商不确认的，其磋商响应无效。</w:t>
      </w:r>
    </w:p>
    <w:p>
      <w:pPr>
        <w:pageBreakBefore w:val="0"/>
        <w:kinsoku/>
        <w:wordWrap/>
        <w:overflowPunct/>
        <w:topLinePunct w:val="0"/>
        <w:autoSpaceDE/>
        <w:autoSpaceDN/>
        <w:bidi w:val="0"/>
        <w:adjustRightInd/>
        <w:snapToGrid w:val="0"/>
        <w:spacing w:line="360" w:lineRule="auto"/>
        <w:ind w:firstLine="548"/>
        <w:jc w:val="left"/>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3）评审委员会认为供应商的报价明显低于其他通过符合性审查供应商的报价，有可能影响产品质量或者不能诚信履约的，应当要求其在评审现场合理的时间内提供书面说明，必要时提交相关证明材料；供应商不能证明其报价合理性的，评审小组应当将其作为无效磋商响应处理。</w:t>
      </w:r>
    </w:p>
    <w:p>
      <w:pPr>
        <w:keepNext w:val="0"/>
        <w:keepLines w:val="0"/>
        <w:pageBreakBefore w:val="0"/>
        <w:widowControl/>
        <w:kinsoku/>
        <w:wordWrap/>
        <w:overflowPunct/>
        <w:topLinePunct w:val="0"/>
        <w:autoSpaceDE/>
        <w:autoSpaceDN/>
        <w:bidi w:val="0"/>
        <w:adjustRightInd/>
        <w:snapToGrid w:val="0"/>
        <w:spacing w:line="360" w:lineRule="auto"/>
        <w:jc w:val="left"/>
        <w:rPr>
          <w:rFonts w:hint="eastAsia"/>
          <w:sz w:val="24"/>
          <w:szCs w:val="24"/>
        </w:rPr>
      </w:pPr>
      <w:bookmarkStart w:id="63" w:name="_Toc13529"/>
      <w:r>
        <w:rPr>
          <w:rFonts w:hint="eastAsia"/>
          <w:sz w:val="24"/>
          <w:szCs w:val="24"/>
          <w:lang w:val="en-US" w:eastAsia="zh-CN"/>
        </w:rPr>
        <w:t>4</w:t>
      </w:r>
      <w:r>
        <w:rPr>
          <w:rFonts w:hint="eastAsia"/>
          <w:sz w:val="24"/>
          <w:szCs w:val="24"/>
          <w:lang w:eastAsia="zh-CN"/>
        </w:rPr>
        <w:t>、</w:t>
      </w:r>
      <w:r>
        <w:rPr>
          <w:rFonts w:hint="eastAsia"/>
          <w:sz w:val="24"/>
          <w:szCs w:val="24"/>
        </w:rPr>
        <w:t>评议</w:t>
      </w:r>
      <w:bookmarkEnd w:id="63"/>
    </w:p>
    <w:p>
      <w:pPr>
        <w:keepNext w:val="0"/>
        <w:keepLines w:val="0"/>
        <w:pageBreakBefore w:val="0"/>
        <w:widowControl/>
        <w:kinsoku/>
        <w:wordWrap/>
        <w:overflowPunct/>
        <w:topLinePunct w:val="0"/>
        <w:autoSpaceDE/>
        <w:autoSpaceDN/>
        <w:bidi w:val="0"/>
        <w:adjustRightInd/>
        <w:snapToGrid w:val="0"/>
        <w:spacing w:line="360" w:lineRule="auto"/>
        <w:ind w:firstLine="565"/>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（1）磋商采购形式：采取背对背的磋商采购方式。即评审委员会与各供应商分别进行一对一、面对面的磋商。</w:t>
      </w:r>
    </w:p>
    <w:p>
      <w:pPr>
        <w:keepNext w:val="0"/>
        <w:keepLines w:val="0"/>
        <w:pageBreakBefore w:val="0"/>
        <w:widowControl/>
        <w:kinsoku/>
        <w:wordWrap/>
        <w:overflowPunct/>
        <w:topLinePunct w:val="0"/>
        <w:autoSpaceDE/>
        <w:autoSpaceDN/>
        <w:bidi w:val="0"/>
        <w:adjustRightInd/>
        <w:snapToGrid w:val="0"/>
        <w:spacing w:line="360" w:lineRule="auto"/>
        <w:ind w:firstLine="58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（2）通过资质审查、磋商、澄清及承诺等程序且实质性响应磋商文件（资质、技术、商务等）的各供应商，才有再次报价的机会。磋商小组按其最终承诺和报价等，进行综合评比并排序。</w:t>
      </w:r>
    </w:p>
    <w:p>
      <w:pPr>
        <w:keepNext w:val="0"/>
        <w:keepLines w:val="0"/>
        <w:pageBreakBefore w:val="0"/>
        <w:widowControl/>
        <w:kinsoku/>
        <w:wordWrap/>
        <w:overflowPunct/>
        <w:topLinePunct w:val="0"/>
        <w:autoSpaceDE/>
        <w:autoSpaceDN/>
        <w:bidi w:val="0"/>
        <w:adjustRightInd/>
        <w:snapToGrid w:val="0"/>
        <w:spacing w:line="360" w:lineRule="auto"/>
        <w:ind w:firstLine="548"/>
        <w:jc w:val="left"/>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（3）评审采取逐项分步评审方式，每一步评审不符合者，不进入下一步评审，全部评审合格的供应商进行最后的综合评审和打分，按最后得分由高向低排序，推荐成交候选人。</w:t>
      </w:r>
    </w:p>
    <w:p>
      <w:pPr>
        <w:keepNext w:val="0"/>
        <w:keepLines w:val="0"/>
        <w:pageBreakBefore w:val="0"/>
        <w:widowControl/>
        <w:kinsoku/>
        <w:wordWrap/>
        <w:overflowPunct/>
        <w:topLinePunct w:val="0"/>
        <w:autoSpaceDE/>
        <w:autoSpaceDN/>
        <w:bidi w:val="0"/>
        <w:adjustRightInd/>
        <w:snapToGrid w:val="0"/>
        <w:spacing w:line="360" w:lineRule="auto"/>
        <w:ind w:firstLine="548"/>
        <w:jc w:val="left"/>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（4）其他需说明的情况：</w:t>
      </w:r>
    </w:p>
    <w:p>
      <w:pPr>
        <w:keepNext w:val="0"/>
        <w:keepLines w:val="0"/>
        <w:pageBreakBefore w:val="0"/>
        <w:widowControl/>
        <w:kinsoku/>
        <w:wordWrap/>
        <w:overflowPunct/>
        <w:topLinePunct w:val="0"/>
        <w:autoSpaceDE/>
        <w:autoSpaceDN/>
        <w:bidi w:val="0"/>
        <w:adjustRightInd/>
        <w:snapToGrid w:val="0"/>
        <w:spacing w:line="360" w:lineRule="auto"/>
        <w:ind w:firstLine="548"/>
        <w:jc w:val="left"/>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a、对于磋商响应文件中不构成实质性偏差的小的不正规、不一致或不规则，可以接受，但这种接受不能损害或影响任何供应商的相对排序；</w:t>
      </w:r>
    </w:p>
    <w:p>
      <w:pPr>
        <w:keepNext w:val="0"/>
        <w:keepLines w:val="0"/>
        <w:pageBreakBefore w:val="0"/>
        <w:widowControl/>
        <w:kinsoku/>
        <w:wordWrap/>
        <w:overflowPunct/>
        <w:topLinePunct w:val="0"/>
        <w:autoSpaceDE/>
        <w:autoSpaceDN/>
        <w:bidi w:val="0"/>
        <w:adjustRightInd/>
        <w:snapToGrid w:val="0"/>
        <w:spacing w:line="360" w:lineRule="auto"/>
        <w:ind w:firstLine="548"/>
        <w:jc w:val="left"/>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b、最低报价不是成交的唯一条件；</w:t>
      </w:r>
    </w:p>
    <w:p>
      <w:pPr>
        <w:keepNext w:val="0"/>
        <w:keepLines w:val="0"/>
        <w:pageBreakBefore w:val="0"/>
        <w:widowControl/>
        <w:kinsoku/>
        <w:wordWrap/>
        <w:overflowPunct/>
        <w:topLinePunct w:val="0"/>
        <w:autoSpaceDE/>
        <w:autoSpaceDN/>
        <w:bidi w:val="0"/>
        <w:adjustRightInd/>
        <w:snapToGrid w:val="0"/>
        <w:spacing w:line="360" w:lineRule="auto"/>
        <w:ind w:firstLine="548"/>
        <w:jc w:val="left"/>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c、如果磋商实质上没有响应磋商文件的要求，其磋商将被拒绝，供应商不得通过修正或撤消不合要求的偏离或保留从而使其磋商成为实质上响应的磋商响应。</w:t>
      </w:r>
    </w:p>
    <w:p>
      <w:pPr>
        <w:pageBreakBefore w:val="0"/>
        <w:kinsoku/>
        <w:wordWrap/>
        <w:overflowPunct/>
        <w:topLinePunct w:val="0"/>
        <w:autoSpaceDE/>
        <w:autoSpaceDN/>
        <w:bidi w:val="0"/>
        <w:adjustRightInd/>
        <w:snapToGrid w:val="0"/>
        <w:spacing w:line="360" w:lineRule="auto"/>
        <w:ind w:firstLine="565"/>
        <w:jc w:val="left"/>
        <w:textAlignment w:val="auto"/>
        <w:rPr>
          <w:rFonts w:hint="eastAsia" w:ascii="宋体" w:hAnsi="宋体" w:eastAsia="宋体" w:cs="宋体"/>
          <w:sz w:val="24"/>
          <w:szCs w:val="24"/>
          <w:highlight w:val="none"/>
        </w:rPr>
      </w:pPr>
      <w:r>
        <w:rPr>
          <w:rFonts w:hint="eastAsia" w:ascii="宋体" w:hAnsi="宋体" w:eastAsia="宋体" w:cs="宋体"/>
          <w:bCs/>
          <w:sz w:val="24"/>
          <w:szCs w:val="24"/>
          <w:highlight w:val="none"/>
        </w:rPr>
        <w:t>d、无论磋商的结果如何，磋商期间一切费用自理。</w:t>
      </w:r>
    </w:p>
    <w:p>
      <w:pPr>
        <w:pageBreakBefore w:val="0"/>
        <w:kinsoku/>
        <w:wordWrap/>
        <w:overflowPunct/>
        <w:topLinePunct w:val="0"/>
        <w:autoSpaceDE/>
        <w:autoSpaceDN/>
        <w:bidi w:val="0"/>
        <w:adjustRightInd/>
        <w:snapToGrid w:val="0"/>
        <w:spacing w:line="360" w:lineRule="auto"/>
        <w:jc w:val="left"/>
        <w:rPr>
          <w:rFonts w:hint="eastAsia"/>
          <w:sz w:val="24"/>
          <w:szCs w:val="24"/>
        </w:rPr>
      </w:pPr>
      <w:bookmarkStart w:id="64" w:name="_Toc21543"/>
      <w:r>
        <w:rPr>
          <w:rFonts w:hint="eastAsia"/>
          <w:sz w:val="24"/>
          <w:szCs w:val="24"/>
          <w:lang w:val="en-US" w:eastAsia="zh-CN"/>
        </w:rPr>
        <w:t>5</w:t>
      </w:r>
      <w:r>
        <w:rPr>
          <w:rFonts w:hint="eastAsia"/>
          <w:sz w:val="24"/>
          <w:szCs w:val="24"/>
          <w:lang w:eastAsia="zh-CN"/>
        </w:rPr>
        <w:t>、</w:t>
      </w:r>
      <w:r>
        <w:rPr>
          <w:rFonts w:hint="eastAsia"/>
          <w:sz w:val="24"/>
          <w:szCs w:val="24"/>
        </w:rPr>
        <w:t>政府采购政策评分标准</w:t>
      </w:r>
      <w:bookmarkEnd w:id="64"/>
    </w:p>
    <w:p>
      <w:pPr>
        <w:pageBreakBefore w:val="0"/>
        <w:kinsoku/>
        <w:wordWrap/>
        <w:overflowPunct/>
        <w:topLinePunct w:val="0"/>
        <w:autoSpaceDE/>
        <w:autoSpaceDN/>
        <w:bidi w:val="0"/>
        <w:adjustRightInd/>
        <w:snapToGrid w:val="0"/>
        <w:spacing w:line="360" w:lineRule="auto"/>
        <w:ind w:firstLine="56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cs="宋体"/>
          <w:sz w:val="24"/>
          <w:szCs w:val="24"/>
          <w:highlight w:val="none"/>
          <w:lang w:eastAsia="zh-CN"/>
        </w:rPr>
        <w:t>中小</w:t>
      </w:r>
      <w:r>
        <w:rPr>
          <w:rFonts w:hint="eastAsia" w:ascii="宋体" w:hAnsi="宋体" w:eastAsia="宋体" w:cs="宋体"/>
          <w:sz w:val="24"/>
          <w:szCs w:val="24"/>
          <w:highlight w:val="none"/>
        </w:rPr>
        <w:t>企业的价格评分标准</w:t>
      </w:r>
    </w:p>
    <w:p>
      <w:pPr>
        <w:pageBreakBefore w:val="0"/>
        <w:kinsoku/>
        <w:wordWrap/>
        <w:overflowPunct/>
        <w:topLinePunct w:val="0"/>
        <w:autoSpaceDE/>
        <w:autoSpaceDN/>
        <w:bidi w:val="0"/>
        <w:adjustRightInd/>
        <w:snapToGrid w:val="0"/>
        <w:spacing w:line="360" w:lineRule="auto"/>
        <w:ind w:firstLine="56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（1）对小型、微型企业产品的价格给予</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%的扣除，用扣除后的价格参与评审，其评审价=磋商报价*（</w:t>
      </w:r>
      <w:r>
        <w:rPr>
          <w:rFonts w:hint="eastAsia" w:ascii="宋体" w:hAnsi="宋体" w:eastAsia="宋体" w:cs="宋体"/>
          <w:sz w:val="24"/>
          <w:szCs w:val="24"/>
          <w:highlight w:val="none"/>
          <w:lang w:val="en-US" w:eastAsia="zh-CN"/>
        </w:rPr>
        <w:t>1-10%</w:t>
      </w:r>
      <w:r>
        <w:rPr>
          <w:rFonts w:hint="eastAsia" w:ascii="宋体" w:hAnsi="宋体" w:eastAsia="宋体" w:cs="宋体"/>
          <w:sz w:val="24"/>
          <w:szCs w:val="24"/>
          <w:highlight w:val="none"/>
        </w:rPr>
        <w:t>）。</w:t>
      </w:r>
    </w:p>
    <w:p>
      <w:pPr>
        <w:pageBreakBefore w:val="0"/>
        <w:kinsoku/>
        <w:wordWrap/>
        <w:overflowPunct/>
        <w:topLinePunct w:val="0"/>
        <w:autoSpaceDE/>
        <w:autoSpaceDN/>
        <w:bidi w:val="0"/>
        <w:adjustRightInd/>
        <w:snapToGrid w:val="0"/>
        <w:spacing w:line="360" w:lineRule="auto"/>
        <w:ind w:firstLine="56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（2）联合体共同参加非专门面向中小企业的政府采购活动，联合协议中约定，小型和微型企业的协议合同金额占到联合体协议合同金额的30%以上的，可给予联合体</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%的价格扣除，用扣除后的价格参与评审，其评审价=磋商报价*（1-</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w:t>
      </w:r>
    </w:p>
    <w:p>
      <w:pPr>
        <w:pageBreakBefore w:val="0"/>
        <w:kinsoku/>
        <w:wordWrap/>
        <w:overflowPunct/>
        <w:topLinePunct w:val="0"/>
        <w:autoSpaceDE/>
        <w:autoSpaceDN/>
        <w:bidi w:val="0"/>
        <w:adjustRightInd/>
        <w:snapToGrid w:val="0"/>
        <w:spacing w:line="360" w:lineRule="auto"/>
        <w:ind w:firstLine="56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（3）参加本项目的</w:t>
      </w:r>
      <w:r>
        <w:rPr>
          <w:rFonts w:hint="eastAsia" w:ascii="宋体" w:hAnsi="宋体" w:cs="宋体"/>
          <w:sz w:val="24"/>
          <w:szCs w:val="24"/>
          <w:highlight w:val="none"/>
          <w:lang w:eastAsia="zh-CN"/>
        </w:rPr>
        <w:t>中小</w:t>
      </w:r>
      <w:r>
        <w:rPr>
          <w:rFonts w:hint="eastAsia" w:ascii="宋体" w:hAnsi="宋体" w:eastAsia="宋体" w:cs="宋体"/>
          <w:sz w:val="24"/>
          <w:szCs w:val="24"/>
          <w:highlight w:val="none"/>
        </w:rPr>
        <w:t>企业须提供《</w:t>
      </w:r>
      <w:r>
        <w:rPr>
          <w:rFonts w:hint="eastAsia" w:ascii="宋体" w:hAnsi="宋体" w:cs="宋体"/>
          <w:sz w:val="24"/>
          <w:szCs w:val="24"/>
          <w:highlight w:val="none"/>
          <w:lang w:eastAsia="zh-CN"/>
        </w:rPr>
        <w:t>中小</w:t>
      </w:r>
      <w:r>
        <w:rPr>
          <w:rFonts w:hint="eastAsia" w:ascii="宋体" w:hAnsi="宋体" w:eastAsia="宋体" w:cs="宋体"/>
          <w:sz w:val="24"/>
          <w:szCs w:val="24"/>
          <w:highlight w:val="none"/>
        </w:rPr>
        <w:t>企业声明函》（附件），未提供的不视为</w:t>
      </w:r>
      <w:r>
        <w:rPr>
          <w:rFonts w:hint="eastAsia" w:ascii="宋体" w:hAnsi="宋体" w:cs="宋体"/>
          <w:sz w:val="24"/>
          <w:szCs w:val="24"/>
          <w:highlight w:val="none"/>
          <w:lang w:eastAsia="zh-CN"/>
        </w:rPr>
        <w:t>中小</w:t>
      </w:r>
      <w:r>
        <w:rPr>
          <w:rFonts w:hint="eastAsia" w:ascii="宋体" w:hAnsi="宋体" w:eastAsia="宋体" w:cs="宋体"/>
          <w:sz w:val="24"/>
          <w:szCs w:val="24"/>
          <w:highlight w:val="none"/>
        </w:rPr>
        <w:t>企业。本项目提供的货物不包括使用大型企业注册商标的货物，小型、微型企业提供中型企业制造的货物的，视同为中型企业。供应商须作出承诺，保证真实性，如有虚假，将依法承担相应责任。</w:t>
      </w:r>
    </w:p>
    <w:p>
      <w:pPr>
        <w:pageBreakBefore w:val="0"/>
        <w:kinsoku/>
        <w:wordWrap/>
        <w:overflowPunct/>
        <w:topLinePunct w:val="0"/>
        <w:autoSpaceDE/>
        <w:autoSpaceDN/>
        <w:bidi w:val="0"/>
        <w:adjustRightInd/>
        <w:snapToGrid w:val="0"/>
        <w:spacing w:line="360" w:lineRule="auto"/>
        <w:ind w:firstLine="56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w:t>
      </w:r>
      <w:r>
        <w:rPr>
          <w:rFonts w:hint="eastAsia" w:ascii="宋体" w:hAnsi="宋体" w:cs="宋体"/>
          <w:sz w:val="24"/>
          <w:szCs w:val="24"/>
          <w:highlight w:val="none"/>
          <w:lang w:eastAsia="zh-CN"/>
        </w:rPr>
        <w:t>中小</w:t>
      </w:r>
      <w:r>
        <w:rPr>
          <w:rFonts w:hint="eastAsia" w:ascii="宋体" w:hAnsi="宋体" w:eastAsia="宋体" w:cs="宋体"/>
          <w:sz w:val="24"/>
          <w:szCs w:val="24"/>
          <w:highlight w:val="none"/>
        </w:rPr>
        <w:t>企业按</w:t>
      </w:r>
      <w:r>
        <w:rPr>
          <w:rFonts w:hint="eastAsia" w:ascii="宋体" w:hAnsi="宋体" w:eastAsia="宋体" w:cs="宋体"/>
          <w:sz w:val="24"/>
          <w:szCs w:val="24"/>
          <w:highlight w:val="none"/>
          <w:lang w:val="en-US" w:eastAsia="zh-CN"/>
        </w:rPr>
        <w:t>《政府采购促进中小企业发展管理办法》（财库﹝2020﹞46 号）</w:t>
      </w:r>
      <w:r>
        <w:rPr>
          <w:rFonts w:hint="eastAsia" w:ascii="宋体" w:hAnsi="宋体" w:eastAsia="宋体" w:cs="宋体"/>
          <w:sz w:val="24"/>
          <w:szCs w:val="24"/>
          <w:highlight w:val="none"/>
        </w:rPr>
        <w:t>和《工业和信息化部、国家统计局、国家发展和改革委员会、财政部关于印发&lt;中小企业划型标准规定&gt;的通知》（工信部联企业【2011】300号）文件规定标准确认。</w:t>
      </w:r>
    </w:p>
    <w:p>
      <w:pPr>
        <w:pageBreakBefore w:val="0"/>
        <w:widowControl/>
        <w:kinsoku/>
        <w:wordWrap/>
        <w:overflowPunct/>
        <w:topLinePunct w:val="0"/>
        <w:autoSpaceDE/>
        <w:autoSpaceDN/>
        <w:bidi w:val="0"/>
        <w:adjustRightInd/>
        <w:snapToGrid w:val="0"/>
        <w:spacing w:line="360" w:lineRule="auto"/>
        <w:ind w:firstLine="56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各行业划型标准为： </w:t>
      </w:r>
    </w:p>
    <w:p>
      <w:pPr>
        <w:pageBreakBefore w:val="0"/>
        <w:widowControl/>
        <w:kinsoku/>
        <w:wordWrap/>
        <w:overflowPunct/>
        <w:topLinePunct w:val="0"/>
        <w:autoSpaceDE/>
        <w:autoSpaceDN/>
        <w:bidi w:val="0"/>
        <w:adjustRightInd/>
        <w:snapToGrid w:val="0"/>
        <w:spacing w:line="360" w:lineRule="auto"/>
        <w:ind w:firstLine="56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（一）农、林、牧、渔业。营业收入20000万元以下的为中</w:t>
      </w:r>
      <w:r>
        <w:rPr>
          <w:rFonts w:hint="eastAsia" w:ascii="宋体" w:hAnsi="宋体" w:cs="宋体"/>
          <w:sz w:val="24"/>
          <w:szCs w:val="24"/>
          <w:highlight w:val="none"/>
          <w:lang w:val="en-US" w:eastAsia="zh-CN"/>
        </w:rPr>
        <w:t>中小</w:t>
      </w:r>
      <w:r>
        <w:rPr>
          <w:rFonts w:hint="eastAsia" w:ascii="宋体" w:hAnsi="宋体" w:eastAsia="宋体" w:cs="宋体"/>
          <w:sz w:val="24"/>
          <w:szCs w:val="24"/>
          <w:highlight w:val="none"/>
          <w:lang w:val="en-US" w:eastAsia="zh-CN"/>
        </w:rPr>
        <w:t xml:space="preserve">型企业。其中，营业收入500万元及以上的为中型企业，营业收入50万元及以上的为小型企业，营业收入50万元以下的为微型企业。 </w:t>
      </w:r>
    </w:p>
    <w:p>
      <w:pPr>
        <w:pageBreakBefore w:val="0"/>
        <w:widowControl/>
        <w:kinsoku/>
        <w:wordWrap/>
        <w:overflowPunct/>
        <w:topLinePunct w:val="0"/>
        <w:autoSpaceDE/>
        <w:autoSpaceDN/>
        <w:bidi w:val="0"/>
        <w:adjustRightInd/>
        <w:snapToGrid w:val="0"/>
        <w:spacing w:line="360" w:lineRule="auto"/>
        <w:ind w:firstLine="56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（二）工业。从业人员1000人以下或营业收入40000万元以下的为中</w:t>
      </w:r>
      <w:r>
        <w:rPr>
          <w:rFonts w:hint="eastAsia" w:ascii="宋体" w:hAnsi="宋体" w:cs="宋体"/>
          <w:sz w:val="24"/>
          <w:szCs w:val="24"/>
          <w:highlight w:val="none"/>
          <w:lang w:val="en-US" w:eastAsia="zh-CN"/>
        </w:rPr>
        <w:t>中小</w:t>
      </w:r>
      <w:r>
        <w:rPr>
          <w:rFonts w:hint="eastAsia" w:ascii="宋体" w:hAnsi="宋体" w:eastAsia="宋体" w:cs="宋体"/>
          <w:sz w:val="24"/>
          <w:szCs w:val="24"/>
          <w:highlight w:val="none"/>
          <w:lang w:val="en-US" w:eastAsia="zh-CN"/>
        </w:rPr>
        <w:t xml:space="preserve">型企业。其中，从业人员300人及以上，且营业收入2000万元及以上的为中型企业；从业人员20人及以上，且营业收入300万元及以上的为小型企业；从业人员20人以下或营业收入300万元以下的为微型企业。 </w:t>
      </w:r>
    </w:p>
    <w:p>
      <w:pPr>
        <w:pageBreakBefore w:val="0"/>
        <w:widowControl/>
        <w:kinsoku/>
        <w:wordWrap/>
        <w:overflowPunct/>
        <w:topLinePunct w:val="0"/>
        <w:autoSpaceDE/>
        <w:autoSpaceDN/>
        <w:bidi w:val="0"/>
        <w:adjustRightInd/>
        <w:snapToGrid w:val="0"/>
        <w:spacing w:line="360" w:lineRule="auto"/>
        <w:ind w:firstLine="56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（三）建筑业。营业收入80000万元以下或资产总额80000万元以下的为中</w:t>
      </w:r>
      <w:r>
        <w:rPr>
          <w:rFonts w:hint="eastAsia" w:ascii="宋体" w:hAnsi="宋体" w:cs="宋体"/>
          <w:sz w:val="24"/>
          <w:szCs w:val="24"/>
          <w:highlight w:val="none"/>
          <w:lang w:val="en-US" w:eastAsia="zh-CN"/>
        </w:rPr>
        <w:t>中小</w:t>
      </w:r>
      <w:r>
        <w:rPr>
          <w:rFonts w:hint="eastAsia" w:ascii="宋体" w:hAnsi="宋体" w:eastAsia="宋体" w:cs="宋体"/>
          <w:sz w:val="24"/>
          <w:szCs w:val="24"/>
          <w:highlight w:val="none"/>
          <w:lang w:val="en-US" w:eastAsia="zh-CN"/>
        </w:rPr>
        <w:t xml:space="preserve">型企业。其中，营业收入6000万元及以上，且资产总额5000万元及以上的为中型企业；营业收入300万元及以上，且资产总额300万元及以上的为小型企业；营业收入300万元以下或资产总额300万元以下的为微型企业。 </w:t>
      </w:r>
    </w:p>
    <w:p>
      <w:pPr>
        <w:pageBreakBefore w:val="0"/>
        <w:widowControl/>
        <w:kinsoku/>
        <w:wordWrap/>
        <w:overflowPunct/>
        <w:topLinePunct w:val="0"/>
        <w:autoSpaceDE/>
        <w:autoSpaceDN/>
        <w:bidi w:val="0"/>
        <w:adjustRightInd/>
        <w:snapToGrid w:val="0"/>
        <w:spacing w:line="360" w:lineRule="auto"/>
        <w:ind w:firstLine="56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（四）批发业。从业人员200人以下或营业收入40000万元以下的为中</w:t>
      </w:r>
      <w:r>
        <w:rPr>
          <w:rFonts w:hint="eastAsia" w:ascii="宋体" w:hAnsi="宋体" w:cs="宋体"/>
          <w:sz w:val="24"/>
          <w:szCs w:val="24"/>
          <w:highlight w:val="none"/>
          <w:lang w:val="en-US" w:eastAsia="zh-CN"/>
        </w:rPr>
        <w:t>中小</w:t>
      </w:r>
      <w:r>
        <w:rPr>
          <w:rFonts w:hint="eastAsia" w:ascii="宋体" w:hAnsi="宋体" w:eastAsia="宋体" w:cs="宋体"/>
          <w:sz w:val="24"/>
          <w:szCs w:val="24"/>
          <w:highlight w:val="none"/>
          <w:lang w:val="en-US" w:eastAsia="zh-CN"/>
        </w:rPr>
        <w:t xml:space="preserve">型企业。其中，从业人员20人及以上，且营业收入5000万元及以上的为中型企业；从业人员5人及以上，且营业收入1000万元及以上的为小型企业；从业人员5人以下或营业收入1000万元以下的为微型企业。 </w:t>
      </w:r>
    </w:p>
    <w:p>
      <w:pPr>
        <w:pageBreakBefore w:val="0"/>
        <w:widowControl/>
        <w:kinsoku/>
        <w:wordWrap/>
        <w:overflowPunct/>
        <w:topLinePunct w:val="0"/>
        <w:autoSpaceDE/>
        <w:autoSpaceDN/>
        <w:bidi w:val="0"/>
        <w:adjustRightInd/>
        <w:snapToGrid w:val="0"/>
        <w:spacing w:line="360" w:lineRule="auto"/>
        <w:ind w:firstLine="56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（五）零售业。从业人员300人以下或营业收入20000万元以下的为中</w:t>
      </w:r>
      <w:r>
        <w:rPr>
          <w:rFonts w:hint="eastAsia" w:ascii="宋体" w:hAnsi="宋体" w:cs="宋体"/>
          <w:sz w:val="24"/>
          <w:szCs w:val="24"/>
          <w:highlight w:val="none"/>
          <w:lang w:val="en-US" w:eastAsia="zh-CN"/>
        </w:rPr>
        <w:t>中小</w:t>
      </w:r>
      <w:r>
        <w:rPr>
          <w:rFonts w:hint="eastAsia" w:ascii="宋体" w:hAnsi="宋体" w:eastAsia="宋体" w:cs="宋体"/>
          <w:sz w:val="24"/>
          <w:szCs w:val="24"/>
          <w:highlight w:val="none"/>
          <w:lang w:val="en-US" w:eastAsia="zh-CN"/>
        </w:rPr>
        <w:t xml:space="preserve">型企业。其中，从业人员50人及以上，且营业收入500万元及以上的为中型企业；从业人员10人及以上，且营业收入100万元及以上的为小型企业；从业人员10人以下或营业收入100万元以下的为微型企业。 </w:t>
      </w:r>
    </w:p>
    <w:p>
      <w:pPr>
        <w:pageBreakBefore w:val="0"/>
        <w:widowControl/>
        <w:kinsoku/>
        <w:wordWrap/>
        <w:overflowPunct/>
        <w:topLinePunct w:val="0"/>
        <w:autoSpaceDE/>
        <w:autoSpaceDN/>
        <w:bidi w:val="0"/>
        <w:adjustRightInd/>
        <w:snapToGrid w:val="0"/>
        <w:spacing w:line="360" w:lineRule="auto"/>
        <w:ind w:firstLine="56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（六）交通运输业。从业人员1000人以下或营业收入30000万元以下的为中</w:t>
      </w:r>
      <w:r>
        <w:rPr>
          <w:rFonts w:hint="eastAsia" w:ascii="宋体" w:hAnsi="宋体" w:cs="宋体"/>
          <w:sz w:val="24"/>
          <w:szCs w:val="24"/>
          <w:highlight w:val="none"/>
          <w:lang w:val="en-US" w:eastAsia="zh-CN"/>
        </w:rPr>
        <w:t>中小</w:t>
      </w:r>
      <w:r>
        <w:rPr>
          <w:rFonts w:hint="eastAsia" w:ascii="宋体" w:hAnsi="宋体" w:eastAsia="宋体" w:cs="宋体"/>
          <w:sz w:val="24"/>
          <w:szCs w:val="24"/>
          <w:highlight w:val="none"/>
          <w:lang w:val="en-US" w:eastAsia="zh-CN"/>
        </w:rPr>
        <w:t xml:space="preserve">型企业。其中，从业人员300人及以上，且营业收入3000万元及以上的为中型企业；从业人员20人及以上，且营业收入200万元及以上的为小型企业；从业人员20人以下或营业收入200万元以下的为微型企业。 </w:t>
      </w:r>
    </w:p>
    <w:p>
      <w:pPr>
        <w:pageBreakBefore w:val="0"/>
        <w:widowControl/>
        <w:kinsoku/>
        <w:wordWrap/>
        <w:overflowPunct/>
        <w:topLinePunct w:val="0"/>
        <w:autoSpaceDE/>
        <w:autoSpaceDN/>
        <w:bidi w:val="0"/>
        <w:adjustRightInd/>
        <w:snapToGrid w:val="0"/>
        <w:spacing w:line="360" w:lineRule="auto"/>
        <w:ind w:firstLine="56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（七）仓储业。从业人员200人以下或营业收入30000万元以下的为中</w:t>
      </w:r>
      <w:r>
        <w:rPr>
          <w:rFonts w:hint="eastAsia" w:ascii="宋体" w:hAnsi="宋体" w:cs="宋体"/>
          <w:sz w:val="24"/>
          <w:szCs w:val="24"/>
          <w:highlight w:val="none"/>
          <w:lang w:val="en-US" w:eastAsia="zh-CN"/>
        </w:rPr>
        <w:t>中小</w:t>
      </w:r>
      <w:r>
        <w:rPr>
          <w:rFonts w:hint="eastAsia" w:ascii="宋体" w:hAnsi="宋体" w:eastAsia="宋体" w:cs="宋体"/>
          <w:sz w:val="24"/>
          <w:szCs w:val="24"/>
          <w:highlight w:val="none"/>
          <w:lang w:val="en-US" w:eastAsia="zh-CN"/>
        </w:rPr>
        <w:t xml:space="preserve">型企业。其中，从业人员100人及以上，且营业收入1000万元及以上的为中型企业；从业人员20人及以上，且营业收入100万元及以上的为小型企业；从业人员20人以下或营业收入100万元以下的为微型企业。 </w:t>
      </w:r>
    </w:p>
    <w:p>
      <w:pPr>
        <w:pageBreakBefore w:val="0"/>
        <w:widowControl/>
        <w:kinsoku/>
        <w:wordWrap/>
        <w:overflowPunct/>
        <w:topLinePunct w:val="0"/>
        <w:autoSpaceDE/>
        <w:autoSpaceDN/>
        <w:bidi w:val="0"/>
        <w:adjustRightInd/>
        <w:snapToGrid w:val="0"/>
        <w:spacing w:line="360" w:lineRule="auto"/>
        <w:ind w:firstLine="56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（八）邮政业。从业人员1000人以下或营业收入30000万元以下的为中</w:t>
      </w:r>
      <w:r>
        <w:rPr>
          <w:rFonts w:hint="eastAsia" w:ascii="宋体" w:hAnsi="宋体" w:cs="宋体"/>
          <w:sz w:val="24"/>
          <w:szCs w:val="24"/>
          <w:highlight w:val="none"/>
          <w:lang w:val="en-US" w:eastAsia="zh-CN"/>
        </w:rPr>
        <w:t>中小</w:t>
      </w:r>
      <w:r>
        <w:rPr>
          <w:rFonts w:hint="eastAsia" w:ascii="宋体" w:hAnsi="宋体" w:eastAsia="宋体" w:cs="宋体"/>
          <w:sz w:val="24"/>
          <w:szCs w:val="24"/>
          <w:highlight w:val="none"/>
          <w:lang w:val="en-US" w:eastAsia="zh-CN"/>
        </w:rPr>
        <w:t xml:space="preserve">型企业。其中，从业人员300人及以上，且营业收入2000万元及以上的为中型企业；从业人员20人及以上，且营业收入100万元及以上的为小型企业；从业人员20人以下或营业收入100万元以下的为微型企业。 </w:t>
      </w:r>
    </w:p>
    <w:p>
      <w:pPr>
        <w:pageBreakBefore w:val="0"/>
        <w:widowControl/>
        <w:kinsoku/>
        <w:wordWrap/>
        <w:overflowPunct/>
        <w:topLinePunct w:val="0"/>
        <w:autoSpaceDE/>
        <w:autoSpaceDN/>
        <w:bidi w:val="0"/>
        <w:adjustRightInd/>
        <w:snapToGrid w:val="0"/>
        <w:spacing w:line="360" w:lineRule="auto"/>
        <w:ind w:firstLine="56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（九）住宿业。从业人员300人以下或营业收入10000万元以下的为中</w:t>
      </w:r>
      <w:r>
        <w:rPr>
          <w:rFonts w:hint="eastAsia" w:ascii="宋体" w:hAnsi="宋体" w:cs="宋体"/>
          <w:sz w:val="24"/>
          <w:szCs w:val="24"/>
          <w:highlight w:val="none"/>
          <w:lang w:val="en-US" w:eastAsia="zh-CN"/>
        </w:rPr>
        <w:t>中小</w:t>
      </w:r>
      <w:r>
        <w:rPr>
          <w:rFonts w:hint="eastAsia" w:ascii="宋体" w:hAnsi="宋体" w:eastAsia="宋体" w:cs="宋体"/>
          <w:sz w:val="24"/>
          <w:szCs w:val="24"/>
          <w:highlight w:val="none"/>
          <w:lang w:val="en-US" w:eastAsia="zh-CN"/>
        </w:rPr>
        <w:t xml:space="preserve">型企业。其中，从业人员100人及以上，且营业收入2000万元及以上的为中型企业；从业人员10人及以上，且营业收入100万元及以上的为小型企业；从业人员10人以下或营业收入100万元以下的为微型企业。 </w:t>
      </w:r>
    </w:p>
    <w:p>
      <w:pPr>
        <w:pageBreakBefore w:val="0"/>
        <w:widowControl/>
        <w:kinsoku/>
        <w:wordWrap/>
        <w:overflowPunct/>
        <w:topLinePunct w:val="0"/>
        <w:autoSpaceDE/>
        <w:autoSpaceDN/>
        <w:bidi w:val="0"/>
        <w:adjustRightInd/>
        <w:snapToGrid w:val="0"/>
        <w:spacing w:line="360" w:lineRule="auto"/>
        <w:ind w:firstLine="56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（十）餐饮业。从业人员300人以下或营业收入10000万元以下的为中</w:t>
      </w:r>
      <w:r>
        <w:rPr>
          <w:rFonts w:hint="eastAsia" w:ascii="宋体" w:hAnsi="宋体" w:cs="宋体"/>
          <w:sz w:val="24"/>
          <w:szCs w:val="24"/>
          <w:highlight w:val="none"/>
          <w:lang w:val="en-US" w:eastAsia="zh-CN"/>
        </w:rPr>
        <w:t>中小</w:t>
      </w:r>
      <w:r>
        <w:rPr>
          <w:rFonts w:hint="eastAsia" w:ascii="宋体" w:hAnsi="宋体" w:eastAsia="宋体" w:cs="宋体"/>
          <w:sz w:val="24"/>
          <w:szCs w:val="24"/>
          <w:highlight w:val="none"/>
          <w:lang w:val="en-US" w:eastAsia="zh-CN"/>
        </w:rPr>
        <w:t xml:space="preserve">型企业。其中，从业人员100人及以上，且营业收入2000万元及以上的为中型企业；从业人员10人及以上，且营业收入100万元及以上的为小型企业；从业人员10人以下或营业收入100万元以下的为微型企业。 </w:t>
      </w:r>
    </w:p>
    <w:p>
      <w:pPr>
        <w:pageBreakBefore w:val="0"/>
        <w:widowControl/>
        <w:kinsoku/>
        <w:wordWrap/>
        <w:overflowPunct/>
        <w:topLinePunct w:val="0"/>
        <w:autoSpaceDE/>
        <w:autoSpaceDN/>
        <w:bidi w:val="0"/>
        <w:adjustRightInd/>
        <w:snapToGrid w:val="0"/>
        <w:spacing w:line="360" w:lineRule="auto"/>
        <w:ind w:firstLine="56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（十一）信息传输业。从业人员2000人以下或营业收入100000万元以下的为中</w:t>
      </w:r>
      <w:r>
        <w:rPr>
          <w:rFonts w:hint="eastAsia" w:ascii="宋体" w:hAnsi="宋体" w:cs="宋体"/>
          <w:sz w:val="24"/>
          <w:szCs w:val="24"/>
          <w:highlight w:val="none"/>
          <w:lang w:val="en-US" w:eastAsia="zh-CN"/>
        </w:rPr>
        <w:t>中小</w:t>
      </w:r>
      <w:r>
        <w:rPr>
          <w:rFonts w:hint="eastAsia" w:ascii="宋体" w:hAnsi="宋体" w:eastAsia="宋体" w:cs="宋体"/>
          <w:sz w:val="24"/>
          <w:szCs w:val="24"/>
          <w:highlight w:val="none"/>
          <w:lang w:val="en-US" w:eastAsia="zh-CN"/>
        </w:rPr>
        <w:t xml:space="preserve">型企业。其中，从业人员100人及以上，且营业收入1000万元及以上的为中型企业；从业人员10人及以上，且营业收入100万元及以上的为小型企业；从业人员10人以下或营业收入100万元以下的为微型企业。 </w:t>
      </w:r>
    </w:p>
    <w:p>
      <w:pPr>
        <w:pageBreakBefore w:val="0"/>
        <w:widowControl/>
        <w:kinsoku/>
        <w:wordWrap/>
        <w:overflowPunct/>
        <w:topLinePunct w:val="0"/>
        <w:autoSpaceDE/>
        <w:autoSpaceDN/>
        <w:bidi w:val="0"/>
        <w:adjustRightInd/>
        <w:snapToGrid w:val="0"/>
        <w:spacing w:line="360" w:lineRule="auto"/>
        <w:ind w:firstLine="56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（十二）软件和信息技术服务业。从业人员300人以下或营业收入10000万元以下的为中</w:t>
      </w:r>
      <w:r>
        <w:rPr>
          <w:rFonts w:hint="eastAsia" w:ascii="宋体" w:hAnsi="宋体" w:cs="宋体"/>
          <w:sz w:val="24"/>
          <w:szCs w:val="24"/>
          <w:highlight w:val="none"/>
          <w:lang w:val="en-US" w:eastAsia="zh-CN"/>
        </w:rPr>
        <w:t>中小</w:t>
      </w:r>
      <w:r>
        <w:rPr>
          <w:rFonts w:hint="eastAsia" w:ascii="宋体" w:hAnsi="宋体" w:eastAsia="宋体" w:cs="宋体"/>
          <w:sz w:val="24"/>
          <w:szCs w:val="24"/>
          <w:highlight w:val="none"/>
          <w:lang w:val="en-US" w:eastAsia="zh-CN"/>
        </w:rPr>
        <w:t xml:space="preserve">型企业。其中，从业人员100人及以上，且营业收入1000万元及以上的为中型企业；从业人员10人及以上，且营业收入50万元及以上的为小型企业；从业人员10人以下或营业收入50万元以下的为微型企业。 </w:t>
      </w:r>
    </w:p>
    <w:p>
      <w:pPr>
        <w:pageBreakBefore w:val="0"/>
        <w:widowControl/>
        <w:kinsoku/>
        <w:wordWrap/>
        <w:overflowPunct/>
        <w:topLinePunct w:val="0"/>
        <w:autoSpaceDE/>
        <w:autoSpaceDN/>
        <w:bidi w:val="0"/>
        <w:adjustRightInd/>
        <w:snapToGrid w:val="0"/>
        <w:spacing w:line="360" w:lineRule="auto"/>
        <w:ind w:firstLine="56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（十三）房地产开发经营。营业收入200000万元以下或资产总额10000万元以下的为中</w:t>
      </w:r>
      <w:r>
        <w:rPr>
          <w:rFonts w:hint="eastAsia" w:ascii="宋体" w:hAnsi="宋体" w:cs="宋体"/>
          <w:sz w:val="24"/>
          <w:szCs w:val="24"/>
          <w:highlight w:val="none"/>
          <w:lang w:val="en-US" w:eastAsia="zh-CN"/>
        </w:rPr>
        <w:t>中小</w:t>
      </w:r>
      <w:r>
        <w:rPr>
          <w:rFonts w:hint="eastAsia" w:ascii="宋体" w:hAnsi="宋体" w:eastAsia="宋体" w:cs="宋体"/>
          <w:sz w:val="24"/>
          <w:szCs w:val="24"/>
          <w:highlight w:val="none"/>
          <w:lang w:val="en-US" w:eastAsia="zh-CN"/>
        </w:rPr>
        <w:t xml:space="preserve">型企业。其中，营业收入1000万元及以上，且资产总额5000万元及以上的为中型企业；营业收入100万元及以上，且资产总额2000万元及以上的为小型企业；营业收入100万元以下或资产总额2000万元以下的为微型企业。 </w:t>
      </w:r>
    </w:p>
    <w:p>
      <w:pPr>
        <w:pageBreakBefore w:val="0"/>
        <w:widowControl/>
        <w:kinsoku/>
        <w:wordWrap/>
        <w:overflowPunct/>
        <w:topLinePunct w:val="0"/>
        <w:autoSpaceDE/>
        <w:autoSpaceDN/>
        <w:bidi w:val="0"/>
        <w:adjustRightInd/>
        <w:snapToGrid w:val="0"/>
        <w:spacing w:line="360" w:lineRule="auto"/>
        <w:ind w:firstLine="56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（十四）物业管理。从业人员1000人以下或营业收入5000万元以下的为中</w:t>
      </w:r>
      <w:r>
        <w:rPr>
          <w:rFonts w:hint="eastAsia" w:ascii="宋体" w:hAnsi="宋体" w:cs="宋体"/>
          <w:sz w:val="24"/>
          <w:szCs w:val="24"/>
          <w:highlight w:val="none"/>
          <w:lang w:val="en-US" w:eastAsia="zh-CN"/>
        </w:rPr>
        <w:t>中小</w:t>
      </w:r>
      <w:r>
        <w:rPr>
          <w:rFonts w:hint="eastAsia" w:ascii="宋体" w:hAnsi="宋体" w:eastAsia="宋体" w:cs="宋体"/>
          <w:sz w:val="24"/>
          <w:szCs w:val="24"/>
          <w:highlight w:val="none"/>
          <w:lang w:val="en-US" w:eastAsia="zh-CN"/>
        </w:rPr>
        <w:t xml:space="preserve">型企业。其中，从业人员300人及以上，且营业收入1000万元及以上的为中型企业；从业人员100人及以上，且营业收入500万元及以上的为小型企业；从业人员100人以下或营业收入500万元以下的为微型企业。 </w:t>
      </w:r>
    </w:p>
    <w:p>
      <w:pPr>
        <w:pageBreakBefore w:val="0"/>
        <w:widowControl/>
        <w:kinsoku/>
        <w:wordWrap/>
        <w:overflowPunct/>
        <w:topLinePunct w:val="0"/>
        <w:autoSpaceDE/>
        <w:autoSpaceDN/>
        <w:bidi w:val="0"/>
        <w:adjustRightInd/>
        <w:snapToGrid w:val="0"/>
        <w:spacing w:line="360" w:lineRule="auto"/>
        <w:ind w:firstLine="56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（十五）租赁和商务服务业。从业人员300人以下或资产总额120000万元以下的为中</w:t>
      </w:r>
      <w:r>
        <w:rPr>
          <w:rFonts w:hint="eastAsia" w:ascii="宋体" w:hAnsi="宋体" w:cs="宋体"/>
          <w:sz w:val="24"/>
          <w:szCs w:val="24"/>
          <w:highlight w:val="none"/>
          <w:lang w:val="en-US" w:eastAsia="zh-CN"/>
        </w:rPr>
        <w:t>中小</w:t>
      </w:r>
      <w:r>
        <w:rPr>
          <w:rFonts w:hint="eastAsia" w:ascii="宋体" w:hAnsi="宋体" w:eastAsia="宋体" w:cs="宋体"/>
          <w:sz w:val="24"/>
          <w:szCs w:val="24"/>
          <w:highlight w:val="none"/>
          <w:lang w:val="en-US" w:eastAsia="zh-CN"/>
        </w:rPr>
        <w:t xml:space="preserve">型企业。其中，从业人员100人及以上，且资产总额8000万元及以上的为中型企业；从业人员10人及以上，且资产总额100万元及以上的为小型企业；从业人员10人以下或资产总额100万元以下的为微型企业。 </w:t>
      </w:r>
    </w:p>
    <w:p>
      <w:pPr>
        <w:pStyle w:val="13"/>
        <w:pageBreakBefore w:val="0"/>
        <w:kinsoku/>
        <w:wordWrap/>
        <w:overflowPunct/>
        <w:topLinePunct w:val="0"/>
        <w:autoSpaceDE/>
        <w:autoSpaceDN/>
        <w:bidi w:val="0"/>
        <w:adjustRightInd/>
        <w:snapToGrid w:val="0"/>
        <w:spacing w:line="360" w:lineRule="auto"/>
        <w:jc w:val="left"/>
        <w:rPr>
          <w:rFonts w:hint="eastAsia"/>
          <w:sz w:val="24"/>
          <w:szCs w:val="24"/>
        </w:rPr>
      </w:pPr>
      <w:r>
        <w:rPr>
          <w:rFonts w:hint="eastAsia" w:ascii="宋体" w:hAnsi="宋体" w:eastAsia="宋体" w:cs="宋体"/>
          <w:sz w:val="24"/>
          <w:szCs w:val="24"/>
          <w:highlight w:val="none"/>
          <w:lang w:val="en-US" w:eastAsia="zh-CN"/>
        </w:rPr>
        <w:t>（十六）其他未列明行业。从业人员300人以下的为中中小型企业。其中，从业人员100人及以上的为中型企业；从业人员10人及以上的为小型企业；从业人员10人以下的为微型企业。</w:t>
      </w:r>
    </w:p>
    <w:p>
      <w:pPr>
        <w:pageBreakBefore w:val="0"/>
        <w:kinsoku/>
        <w:wordWrap/>
        <w:overflowPunct/>
        <w:topLinePunct w:val="0"/>
        <w:autoSpaceDE/>
        <w:autoSpaceDN/>
        <w:bidi w:val="0"/>
        <w:adjustRightInd/>
        <w:snapToGrid w:val="0"/>
        <w:spacing w:line="360" w:lineRule="auto"/>
        <w:ind w:firstLine="56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2、监狱企业的价格评分标准</w:t>
      </w:r>
    </w:p>
    <w:p>
      <w:pPr>
        <w:pageBreakBefore w:val="0"/>
        <w:kinsoku/>
        <w:wordWrap/>
        <w:overflowPunct/>
        <w:topLinePunct w:val="0"/>
        <w:autoSpaceDE/>
        <w:autoSpaceDN/>
        <w:bidi w:val="0"/>
        <w:adjustRightInd/>
        <w:snapToGrid w:val="0"/>
        <w:spacing w:line="360" w:lineRule="auto"/>
        <w:ind w:firstLine="56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（1）在政府采购活动中，监狱企业视同小型、微型企业，享受预留份额、评审中价格扣除等政府采购促进中小企业发展的政府采购政策。对监狱企业产品的价格给予</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%的扣除，用扣除后的价格参与评审，其评审价=磋商报价*（</w:t>
      </w:r>
      <w:r>
        <w:rPr>
          <w:rFonts w:hint="eastAsia" w:ascii="宋体" w:hAnsi="宋体" w:eastAsia="宋体" w:cs="宋体"/>
          <w:sz w:val="24"/>
          <w:szCs w:val="24"/>
          <w:highlight w:val="none"/>
          <w:lang w:val="en-US" w:eastAsia="zh-CN"/>
        </w:rPr>
        <w:t>1-10%</w:t>
      </w:r>
      <w:r>
        <w:rPr>
          <w:rFonts w:hint="eastAsia" w:ascii="宋体" w:hAnsi="宋体" w:eastAsia="宋体" w:cs="宋体"/>
          <w:sz w:val="24"/>
          <w:szCs w:val="24"/>
          <w:highlight w:val="none"/>
        </w:rPr>
        <w:t>）</w:t>
      </w:r>
    </w:p>
    <w:p>
      <w:pPr>
        <w:pageBreakBefore w:val="0"/>
        <w:kinsoku/>
        <w:wordWrap/>
        <w:overflowPunct/>
        <w:topLinePunct w:val="0"/>
        <w:autoSpaceDE/>
        <w:autoSpaceDN/>
        <w:bidi w:val="0"/>
        <w:adjustRightInd/>
        <w:snapToGrid w:val="0"/>
        <w:spacing w:line="360" w:lineRule="auto"/>
        <w:ind w:firstLine="56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（2）监狱企业属于小型、微型企业的，不重复享受政策。</w:t>
      </w:r>
    </w:p>
    <w:p>
      <w:pPr>
        <w:pageBreakBefore w:val="0"/>
        <w:kinsoku/>
        <w:wordWrap/>
        <w:overflowPunct/>
        <w:topLinePunct w:val="0"/>
        <w:autoSpaceDE/>
        <w:autoSpaceDN/>
        <w:bidi w:val="0"/>
        <w:adjustRightInd/>
        <w:snapToGrid w:val="0"/>
        <w:spacing w:line="360" w:lineRule="auto"/>
        <w:ind w:firstLine="56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（3）监狱企业参加政府采购活动时，应当提供由省级以上监狱管理局、戒毒管理局（含新疆生产建设兵团）出具的属于监狱企业的证明文件。</w:t>
      </w:r>
    </w:p>
    <w:p>
      <w:pPr>
        <w:pageBreakBefore w:val="0"/>
        <w:kinsoku/>
        <w:wordWrap/>
        <w:overflowPunct/>
        <w:topLinePunct w:val="0"/>
        <w:autoSpaceDE/>
        <w:autoSpaceDN/>
        <w:bidi w:val="0"/>
        <w:adjustRightInd/>
        <w:snapToGrid w:val="0"/>
        <w:spacing w:line="360" w:lineRule="auto"/>
        <w:ind w:firstLine="56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（4）监狱企业按《财政部 司法部关于政府采购支持监狱企业发展有关问题的通知》（财库〔2014〕68号）文件规定标准执行。</w:t>
      </w:r>
    </w:p>
    <w:p>
      <w:pPr>
        <w:pageBreakBefore w:val="0"/>
        <w:kinsoku/>
        <w:wordWrap/>
        <w:overflowPunct/>
        <w:topLinePunct w:val="0"/>
        <w:autoSpaceDE/>
        <w:autoSpaceDN/>
        <w:bidi w:val="0"/>
        <w:adjustRightInd/>
        <w:snapToGrid w:val="0"/>
        <w:spacing w:line="360" w:lineRule="auto"/>
        <w:ind w:firstLine="56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3、残疾人福利性单位的价格评分标准</w:t>
      </w:r>
    </w:p>
    <w:p>
      <w:pPr>
        <w:pageBreakBefore w:val="0"/>
        <w:kinsoku/>
        <w:wordWrap/>
        <w:overflowPunct/>
        <w:topLinePunct w:val="0"/>
        <w:autoSpaceDE/>
        <w:autoSpaceDN/>
        <w:bidi w:val="0"/>
        <w:adjustRightInd/>
        <w:snapToGrid w:val="0"/>
        <w:spacing w:line="360" w:lineRule="auto"/>
        <w:ind w:firstLine="56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（1）在政府采购活动中，残疾人福利性单位视同小型、微型企业，享受预留份额、评审中价格扣除等政府采购促进中小企业发展的政府采购政策。对残疾人福利性单位产品的价格给予</w:t>
      </w:r>
      <w:r>
        <w:rPr>
          <w:rFonts w:hint="eastAsia" w:ascii="宋体" w:hAnsi="宋体" w:cs="宋体"/>
          <w:sz w:val="24"/>
          <w:szCs w:val="24"/>
          <w:highlight w:val="none"/>
          <w:lang w:val="en-US" w:eastAsia="zh-CN"/>
        </w:rPr>
        <w:t>10</w:t>
      </w:r>
      <w:r>
        <w:rPr>
          <w:rFonts w:hint="eastAsia" w:ascii="宋体" w:hAnsi="宋体" w:eastAsia="宋体" w:cs="宋体"/>
          <w:sz w:val="24"/>
          <w:szCs w:val="24"/>
          <w:highlight w:val="none"/>
        </w:rPr>
        <w:t>%的扣除，用扣除后的价格参与评审，其评审价=磋商报价*（</w:t>
      </w:r>
      <w:r>
        <w:rPr>
          <w:rFonts w:hint="eastAsia" w:ascii="宋体" w:hAnsi="宋体" w:eastAsia="宋体" w:cs="宋体"/>
          <w:sz w:val="24"/>
          <w:szCs w:val="24"/>
          <w:highlight w:val="none"/>
          <w:lang w:val="en-US" w:eastAsia="zh-CN"/>
        </w:rPr>
        <w:t>1-10%</w:t>
      </w:r>
      <w:r>
        <w:rPr>
          <w:rFonts w:hint="eastAsia" w:ascii="宋体" w:hAnsi="宋体" w:eastAsia="宋体" w:cs="宋体"/>
          <w:sz w:val="24"/>
          <w:szCs w:val="24"/>
          <w:highlight w:val="none"/>
        </w:rPr>
        <w:t>）。</w:t>
      </w:r>
    </w:p>
    <w:p>
      <w:pPr>
        <w:pageBreakBefore w:val="0"/>
        <w:kinsoku/>
        <w:wordWrap/>
        <w:overflowPunct/>
        <w:topLinePunct w:val="0"/>
        <w:autoSpaceDE/>
        <w:autoSpaceDN/>
        <w:bidi w:val="0"/>
        <w:adjustRightInd/>
        <w:snapToGrid w:val="0"/>
        <w:spacing w:line="360" w:lineRule="auto"/>
        <w:ind w:firstLine="56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（2）残疾人福利性单位属于小型、微型企业的，不重复享受政策。</w:t>
      </w:r>
    </w:p>
    <w:p>
      <w:pPr>
        <w:pageBreakBefore w:val="0"/>
        <w:kinsoku/>
        <w:wordWrap/>
        <w:overflowPunct/>
        <w:topLinePunct w:val="0"/>
        <w:autoSpaceDE/>
        <w:autoSpaceDN/>
        <w:bidi w:val="0"/>
        <w:adjustRightInd/>
        <w:snapToGrid w:val="0"/>
        <w:spacing w:line="360" w:lineRule="auto"/>
        <w:ind w:firstLine="560"/>
        <w:jc w:val="left"/>
        <w:textAlignment w:val="auto"/>
        <w:rPr>
          <w:rFonts w:hint="eastAsia" w:asciiTheme="minorEastAsia" w:hAnsiTheme="minorEastAsia" w:eastAsiaTheme="minorEastAsia" w:cstheme="minorEastAsia"/>
          <w:color w:val="auto"/>
          <w:sz w:val="24"/>
          <w:szCs w:val="24"/>
          <w:highlight w:val="none"/>
        </w:rPr>
      </w:pPr>
      <w:r>
        <w:rPr>
          <w:rFonts w:hint="eastAsia" w:ascii="宋体" w:hAnsi="宋体" w:eastAsia="宋体" w:cs="宋体"/>
          <w:sz w:val="24"/>
          <w:szCs w:val="24"/>
          <w:highlight w:val="none"/>
        </w:rPr>
        <w:t>（3）符合条件的残疾人福利性单位在参加政府采购活动时，应当提供本通知规定的《残疾人福利性单位声明函》（见附件），并对声明的真实性负责，未提供的不视为残疾人福利性单位。</w:t>
      </w:r>
      <w:bookmarkEnd w:id="60"/>
      <w:bookmarkEnd w:id="61"/>
      <w:r>
        <w:rPr>
          <w:rFonts w:hint="eastAsia" w:asciiTheme="minorEastAsia" w:hAnsiTheme="minorEastAsia" w:eastAsiaTheme="minorEastAsia" w:cstheme="minorEastAsia"/>
          <w:color w:val="auto"/>
          <w:sz w:val="24"/>
          <w:szCs w:val="24"/>
          <w:highlight w:val="none"/>
          <w:lang w:val="en-US" w:eastAsia="zh-CN"/>
        </w:rPr>
        <w:t xml:space="preserve">      </w:t>
      </w:r>
    </w:p>
    <w:p>
      <w:pPr>
        <w:pageBreakBefore w:val="0"/>
        <w:kinsoku/>
        <w:wordWrap/>
        <w:overflowPunct/>
        <w:topLinePunct w:val="0"/>
        <w:autoSpaceDE/>
        <w:autoSpaceDN/>
        <w:bidi w:val="0"/>
        <w:adjustRightInd/>
        <w:snapToGrid w:val="0"/>
        <w:spacing w:line="360" w:lineRule="auto"/>
        <w:jc w:val="left"/>
        <w:rPr>
          <w:rFonts w:hint="eastAsia"/>
          <w:sz w:val="24"/>
          <w:szCs w:val="24"/>
          <w:lang w:val="en-US" w:eastAsia="zh-CN"/>
        </w:rPr>
      </w:pPr>
      <w:bookmarkStart w:id="65" w:name="_Toc24042"/>
      <w:r>
        <w:rPr>
          <w:rFonts w:hint="eastAsia"/>
          <w:sz w:val="24"/>
          <w:szCs w:val="24"/>
          <w:lang w:val="en-US" w:eastAsia="zh-CN"/>
        </w:rPr>
        <w:t>6、评标办法</w:t>
      </w:r>
      <w:bookmarkEnd w:id="65"/>
    </w:p>
    <w:p>
      <w:pPr>
        <w:pageBreakBefore w:val="0"/>
        <w:kinsoku/>
        <w:wordWrap/>
        <w:overflowPunct/>
        <w:topLinePunct w:val="0"/>
        <w:autoSpaceDE/>
        <w:autoSpaceDN/>
        <w:bidi w:val="0"/>
        <w:adjustRightInd/>
        <w:snapToGrid w:val="0"/>
        <w:spacing w:line="360" w:lineRule="auto"/>
        <w:jc w:val="left"/>
        <w:rPr>
          <w:rFonts w:hint="eastAsia"/>
          <w:sz w:val="24"/>
          <w:szCs w:val="24"/>
        </w:rPr>
      </w:pPr>
      <w:bookmarkStart w:id="66" w:name="_Toc26125"/>
      <w:r>
        <w:rPr>
          <w:rFonts w:hint="eastAsia"/>
          <w:sz w:val="24"/>
          <w:szCs w:val="24"/>
          <w:lang w:val="en-US" w:eastAsia="zh-CN"/>
        </w:rPr>
        <w:t>6.1、</w:t>
      </w:r>
      <w:r>
        <w:rPr>
          <w:rFonts w:hint="eastAsia"/>
          <w:sz w:val="24"/>
          <w:szCs w:val="24"/>
        </w:rPr>
        <w:t>详细评审办法（综合评分法）</w:t>
      </w:r>
      <w:bookmarkEnd w:id="66"/>
    </w:p>
    <w:tbl>
      <w:tblPr>
        <w:tblStyle w:val="26"/>
        <w:tblW w:w="8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1166"/>
        <w:gridCol w:w="6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865" w:type="dxa"/>
            <w:noWrap w:val="0"/>
            <w:vAlign w:val="center"/>
          </w:tcPr>
          <w:p>
            <w:pPr>
              <w:keepNext w:val="0"/>
              <w:keepLines w:val="0"/>
              <w:pageBreakBefore w:val="0"/>
              <w:kinsoku/>
              <w:wordWrap/>
              <w:overflowPunct/>
              <w:topLinePunct w:val="0"/>
              <w:bidi w:val="0"/>
              <w:adjustRightInd/>
              <w:snapToGrid/>
              <w:spacing w:line="360" w:lineRule="auto"/>
              <w:ind w:firstLine="0" w:firstLineChars="0"/>
              <w:textAlignment w:val="auto"/>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lang w:eastAsia="zh-CN"/>
              </w:rPr>
              <w:t>磋商</w:t>
            </w:r>
          </w:p>
          <w:p>
            <w:pPr>
              <w:keepNext w:val="0"/>
              <w:keepLines w:val="0"/>
              <w:pageBreakBefore w:val="0"/>
              <w:kinsoku/>
              <w:wordWrap/>
              <w:overflowPunct/>
              <w:topLinePunct w:val="0"/>
              <w:bidi w:val="0"/>
              <w:adjustRightInd/>
              <w:snapToGrid/>
              <w:spacing w:line="360" w:lineRule="auto"/>
              <w:ind w:firstLine="0" w:firstLineChars="0"/>
              <w:textAlignment w:val="auto"/>
              <w:rPr>
                <w:rFonts w:hint="eastAsia" w:ascii="宋体" w:hAnsi="宋体" w:eastAsia="宋体" w:cs="宋体"/>
                <w:bCs/>
                <w:color w:val="000000"/>
                <w:sz w:val="24"/>
                <w:szCs w:val="24"/>
                <w:highlight w:val="yellow"/>
              </w:rPr>
            </w:pPr>
            <w:r>
              <w:rPr>
                <w:rFonts w:hint="default" w:ascii="Times New Roman" w:hAnsi="Times New Roman" w:eastAsia="宋体" w:cs="Times New Roman"/>
                <w:sz w:val="24"/>
                <w:szCs w:val="24"/>
                <w:highlight w:val="none"/>
                <w:lang w:eastAsia="zh-CN"/>
              </w:rPr>
              <w:t>报价</w:t>
            </w:r>
          </w:p>
        </w:tc>
        <w:tc>
          <w:tcPr>
            <w:tcW w:w="1166" w:type="dxa"/>
            <w:noWrap w:val="0"/>
            <w:vAlign w:val="center"/>
          </w:tcPr>
          <w:p>
            <w:pPr>
              <w:keepNext w:val="0"/>
              <w:keepLines w:val="0"/>
              <w:pageBreakBefore w:val="0"/>
              <w:kinsoku/>
              <w:wordWrap/>
              <w:overflowPunct/>
              <w:topLinePunct w:val="0"/>
              <w:bidi w:val="0"/>
              <w:adjustRightInd/>
              <w:snapToGrid/>
              <w:spacing w:line="360" w:lineRule="auto"/>
              <w:ind w:firstLine="0" w:firstLineChars="0"/>
              <w:textAlignment w:val="auto"/>
              <w:rPr>
                <w:rFonts w:hint="eastAsia" w:ascii="宋体" w:hAnsi="宋体" w:eastAsia="宋体" w:cs="宋体"/>
                <w:color w:val="000000"/>
                <w:sz w:val="24"/>
                <w:szCs w:val="24"/>
                <w:highlight w:val="yellow"/>
              </w:rPr>
            </w:pPr>
            <w:r>
              <w:rPr>
                <w:rFonts w:hint="default" w:ascii="Times New Roman" w:hAnsi="Times New Roman" w:eastAsia="宋体" w:cs="Times New Roman"/>
                <w:sz w:val="24"/>
                <w:szCs w:val="24"/>
                <w:highlight w:val="none"/>
                <w:lang w:val="en-US" w:eastAsia="zh-CN"/>
              </w:rPr>
              <w:t>30</w:t>
            </w:r>
            <w:r>
              <w:rPr>
                <w:rFonts w:hint="default" w:ascii="Times New Roman" w:hAnsi="Times New Roman" w:eastAsia="宋体" w:cs="Times New Roman"/>
                <w:sz w:val="24"/>
                <w:szCs w:val="24"/>
                <w:highlight w:val="none"/>
                <w:lang w:eastAsia="zh-CN"/>
              </w:rPr>
              <w:t>分</w:t>
            </w:r>
          </w:p>
        </w:tc>
        <w:tc>
          <w:tcPr>
            <w:tcW w:w="6888"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bottom"/>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价格分采用低价优先法计算，价格即满足磋商文件要求且磋商价格最低的磋商报价为评标基准价，其价格分为满分。其他</w:t>
            </w:r>
            <w:r>
              <w:rPr>
                <w:rFonts w:hint="default" w:ascii="Times New Roman" w:hAnsi="Times New Roman" w:cs="Times New Roman"/>
                <w:color w:val="000000"/>
                <w:sz w:val="24"/>
                <w:szCs w:val="24"/>
                <w:highlight w:val="none"/>
                <w:lang w:eastAsia="zh-CN"/>
              </w:rPr>
              <w:t>投标人</w:t>
            </w:r>
            <w:r>
              <w:rPr>
                <w:rFonts w:hint="default" w:ascii="Times New Roman" w:hAnsi="Times New Roman" w:cs="Times New Roman"/>
                <w:color w:val="000000"/>
                <w:sz w:val="24"/>
                <w:szCs w:val="24"/>
                <w:highlight w:val="none"/>
              </w:rPr>
              <w:t>的价格分统一按照下列公式计算：</w:t>
            </w:r>
          </w:p>
          <w:p>
            <w:pPr>
              <w:keepNext w:val="0"/>
              <w:keepLines w:val="0"/>
              <w:pageBreakBefore w:val="0"/>
              <w:kinsoku/>
              <w:wordWrap/>
              <w:overflowPunct/>
              <w:topLinePunct w:val="0"/>
              <w:bidi w:val="0"/>
              <w:adjustRightInd/>
              <w:snapToGrid/>
              <w:spacing w:line="360" w:lineRule="auto"/>
              <w:ind w:firstLine="0" w:firstLineChars="0"/>
              <w:rPr>
                <w:rFonts w:hint="eastAsia" w:ascii="宋体" w:hAnsi="宋体" w:eastAsia="宋体" w:cs="宋体"/>
                <w:sz w:val="24"/>
                <w:szCs w:val="24"/>
                <w:highlight w:val="yellow"/>
                <w:lang w:val="en-US" w:eastAsia="zh-CN"/>
              </w:rPr>
            </w:pPr>
            <w:r>
              <w:rPr>
                <w:rFonts w:hint="default" w:ascii="Times New Roman" w:hAnsi="Times New Roman" w:cs="Times New Roman"/>
                <w:color w:val="000000"/>
                <w:sz w:val="24"/>
                <w:szCs w:val="24"/>
                <w:highlight w:val="none"/>
              </w:rPr>
              <w:t>磋商报价得分=（评审基准价/磋商报价）×价格权值×100</w:t>
            </w:r>
            <w:r>
              <w:rPr>
                <w:rFonts w:hint="eastAsia" w:ascii="Times New Roman" w:hAnsi="Times New Roman" w:cs="Times New Roman"/>
                <w:color w:val="00000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jc w:val="center"/>
        </w:trPr>
        <w:tc>
          <w:tcPr>
            <w:tcW w:w="865" w:type="dxa"/>
            <w:noWrap w:val="0"/>
            <w:vAlign w:val="center"/>
          </w:tcPr>
          <w:p>
            <w:pPr>
              <w:keepNext w:val="0"/>
              <w:keepLines w:val="0"/>
              <w:pageBreakBefore w:val="0"/>
              <w:kinsoku/>
              <w:wordWrap/>
              <w:overflowPunct/>
              <w:topLinePunct w:val="0"/>
              <w:bidi w:val="0"/>
              <w:adjustRightInd/>
              <w:snapToGrid/>
              <w:spacing w:line="360" w:lineRule="auto"/>
              <w:ind w:firstLine="0" w:firstLineChars="0"/>
              <w:textAlignment w:val="auto"/>
              <w:rPr>
                <w:rFonts w:hint="eastAsia" w:ascii="宋体" w:hAnsi="宋体" w:eastAsia="宋体" w:cs="宋体"/>
                <w:color w:val="000000"/>
                <w:sz w:val="24"/>
                <w:szCs w:val="24"/>
                <w:highlight w:val="yellow"/>
                <w:lang w:eastAsia="zh-CN"/>
              </w:rPr>
            </w:pPr>
            <w:r>
              <w:rPr>
                <w:rFonts w:hint="default" w:ascii="Times New Roman" w:hAnsi="Times New Roman" w:eastAsia="宋体" w:cs="Times New Roman"/>
                <w:sz w:val="24"/>
                <w:szCs w:val="24"/>
                <w:highlight w:val="none"/>
              </w:rPr>
              <w:t>技</w:t>
            </w:r>
            <w:r>
              <w:rPr>
                <w:rFonts w:hint="default" w:ascii="Times New Roman" w:hAnsi="Times New Roman" w:eastAsia="宋体" w:cs="Times New Roman"/>
                <w:sz w:val="24"/>
                <w:szCs w:val="24"/>
                <w:highlight w:val="none"/>
                <w:lang w:eastAsia="zh-CN"/>
              </w:rPr>
              <w:t>术</w:t>
            </w:r>
            <w:r>
              <w:rPr>
                <w:rFonts w:hint="default" w:ascii="Times New Roman" w:hAnsi="Times New Roman" w:eastAsia="宋体" w:cs="Times New Roman"/>
                <w:sz w:val="24"/>
                <w:szCs w:val="24"/>
                <w:highlight w:val="none"/>
                <w:lang w:val="en-US" w:eastAsia="zh-CN"/>
              </w:rPr>
              <w:t>评分</w:t>
            </w:r>
          </w:p>
        </w:tc>
        <w:tc>
          <w:tcPr>
            <w:tcW w:w="1166" w:type="dxa"/>
            <w:noWrap w:val="0"/>
            <w:vAlign w:val="center"/>
          </w:tcPr>
          <w:p>
            <w:pPr>
              <w:keepNext w:val="0"/>
              <w:keepLines w:val="0"/>
              <w:pageBreakBefore w:val="0"/>
              <w:kinsoku/>
              <w:wordWrap/>
              <w:overflowPunct/>
              <w:topLinePunct w:val="0"/>
              <w:bidi w:val="0"/>
              <w:adjustRightInd/>
              <w:snapToGrid/>
              <w:spacing w:line="360" w:lineRule="auto"/>
              <w:ind w:firstLine="0" w:firstLineChars="0"/>
              <w:textAlignment w:val="auto"/>
              <w:rPr>
                <w:rFonts w:hint="default" w:ascii="宋体" w:hAnsi="宋体" w:eastAsia="宋体" w:cs="宋体"/>
                <w:color w:val="000000"/>
                <w:sz w:val="24"/>
                <w:szCs w:val="24"/>
                <w:highlight w:val="yellow"/>
                <w:lang w:val="en-US" w:eastAsia="zh-CN"/>
              </w:rPr>
            </w:pPr>
            <w:r>
              <w:rPr>
                <w:rFonts w:hint="default" w:ascii="Times New Roman" w:hAnsi="Times New Roman" w:eastAsia="宋体" w:cs="Times New Roman"/>
                <w:sz w:val="24"/>
                <w:szCs w:val="24"/>
                <w:highlight w:val="none"/>
                <w:lang w:val="en-US" w:eastAsia="zh-CN"/>
              </w:rPr>
              <w:t>6</w:t>
            </w:r>
            <w:r>
              <w:rPr>
                <w:rFonts w:hint="eastAsia" w:ascii="Times New Roman" w:hAnsi="Times New Roman" w:eastAsia="宋体" w:cs="Times New Roman"/>
                <w:sz w:val="24"/>
                <w:szCs w:val="24"/>
                <w:highlight w:val="none"/>
                <w:lang w:val="en-US" w:eastAsia="zh-CN"/>
              </w:rPr>
              <w:t>0</w:t>
            </w:r>
            <w:r>
              <w:rPr>
                <w:rFonts w:hint="default" w:ascii="Times New Roman" w:hAnsi="Times New Roman" w:eastAsia="宋体" w:cs="Times New Roman"/>
                <w:sz w:val="24"/>
                <w:szCs w:val="24"/>
                <w:highlight w:val="none"/>
              </w:rPr>
              <w:t>分</w:t>
            </w:r>
          </w:p>
        </w:tc>
        <w:tc>
          <w:tcPr>
            <w:tcW w:w="6888" w:type="dxa"/>
            <w:noWrap w:val="0"/>
            <w:vAlign w:val="center"/>
          </w:tcPr>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bottom"/>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lang w:val="en-US" w:eastAsia="zh-CN"/>
              </w:rPr>
              <w:t>1.</w:t>
            </w:r>
            <w:r>
              <w:rPr>
                <w:rFonts w:hint="default" w:ascii="Times New Roman" w:hAnsi="Times New Roman" w:cs="Times New Roman"/>
                <w:color w:val="000000"/>
                <w:sz w:val="24"/>
                <w:szCs w:val="24"/>
                <w:highlight w:val="none"/>
                <w:lang w:eastAsia="zh-CN"/>
              </w:rPr>
              <w:t>项目经理部组成：拟派项目</w:t>
            </w:r>
            <w:r>
              <w:rPr>
                <w:rFonts w:hint="eastAsia" w:cs="Times New Roman"/>
                <w:color w:val="000000"/>
                <w:sz w:val="24"/>
                <w:szCs w:val="24"/>
                <w:highlight w:val="none"/>
                <w:lang w:eastAsia="zh-CN"/>
              </w:rPr>
              <w:t>经理、</w:t>
            </w:r>
            <w:r>
              <w:rPr>
                <w:rFonts w:hint="default" w:ascii="Times New Roman" w:hAnsi="Times New Roman" w:cs="Times New Roman"/>
                <w:color w:val="000000"/>
                <w:sz w:val="24"/>
                <w:szCs w:val="24"/>
                <w:highlight w:val="none"/>
                <w:lang w:eastAsia="zh-CN"/>
              </w:rPr>
              <w:t>技术负责人、施工员、安全员、质检员、资料员、材料员等的配备情况，</w:t>
            </w:r>
            <w:r>
              <w:rPr>
                <w:rFonts w:hint="default" w:ascii="Times New Roman" w:hAnsi="Times New Roman" w:cs="Times New Roman"/>
                <w:color w:val="000000"/>
                <w:sz w:val="24"/>
                <w:szCs w:val="24"/>
                <w:highlight w:val="none"/>
                <w:lang w:val="en-US" w:eastAsia="zh-CN"/>
              </w:rPr>
              <w:t>根据响应程度计0-10分</w:t>
            </w:r>
            <w:r>
              <w:rPr>
                <w:rFonts w:hint="default" w:ascii="Times New Roman" w:hAnsi="Times New Roman" w:cs="Times New Roman"/>
                <w:color w:val="000000"/>
                <w:sz w:val="24"/>
                <w:szCs w:val="24"/>
                <w:highlight w:val="none"/>
              </w:rPr>
              <w:t>；</w:t>
            </w:r>
          </w:p>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bottom"/>
              <w:rPr>
                <w:rFonts w:hint="eastAsia" w:ascii="Times New Roman" w:hAnsi="Times New Roman" w:cs="Times New Roman"/>
                <w:color w:val="000000"/>
                <w:sz w:val="24"/>
                <w:szCs w:val="24"/>
                <w:highlight w:val="none"/>
                <w:lang w:val="en-US" w:eastAsia="zh-CN"/>
              </w:rPr>
            </w:pPr>
            <w:r>
              <w:rPr>
                <w:rFonts w:hint="eastAsia" w:ascii="Times New Roman" w:hAnsi="Times New Roman" w:cs="Times New Roman"/>
                <w:color w:val="000000"/>
                <w:sz w:val="24"/>
                <w:szCs w:val="24"/>
                <w:highlight w:val="none"/>
                <w:lang w:val="en-US" w:eastAsia="zh-CN"/>
              </w:rPr>
              <w:t>注：拟投入本招标项目的项目经理注册证、执业证、安全生产考核合格证、身份证、无在建项目承诺书，提供职工基本养老保险个人账户缴纳证明材料；拟投入本招标项目技术负责人中级及以上职称证、身份证，提供职工基本养老保险个人账户缴纳证明材料。提供安全员的身份证，岗位证，并在有效期内，安全生产考核合格证书（C2 或 C3 证）（外省入陕施工企业安全员提供其本省相关要求 C 证即可），提供基本养老保险个人账户缴纳证明材料</w:t>
            </w:r>
            <w:r>
              <w:rPr>
                <w:rFonts w:hint="eastAsia" w:cs="Times New Roman"/>
                <w:color w:val="000000"/>
                <w:sz w:val="24"/>
                <w:szCs w:val="24"/>
                <w:highlight w:val="none"/>
                <w:lang w:val="en-US" w:eastAsia="zh-CN"/>
              </w:rPr>
              <w:t>。</w:t>
            </w:r>
          </w:p>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bottom"/>
              <w:rPr>
                <w:rFonts w:hint="default" w:ascii="Times New Roman" w:hAnsi="Times New Roman" w:cs="Times New Roman"/>
                <w:color w:val="000000"/>
                <w:sz w:val="24"/>
                <w:szCs w:val="24"/>
                <w:highlight w:val="none"/>
                <w:lang w:val="en-US" w:eastAsia="zh-CN"/>
              </w:rPr>
            </w:pPr>
            <w:r>
              <w:rPr>
                <w:rFonts w:hint="default" w:ascii="Times New Roman" w:hAnsi="Times New Roman" w:cs="Times New Roman"/>
                <w:color w:val="000000"/>
                <w:sz w:val="24"/>
                <w:szCs w:val="24"/>
                <w:highlight w:val="none"/>
                <w:lang w:val="en-US" w:eastAsia="zh-CN"/>
              </w:rPr>
              <w:t>2.施工方案和方法。根据响应程度计0-10分；</w:t>
            </w:r>
          </w:p>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bottom"/>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lang w:val="en-US" w:eastAsia="zh-CN"/>
              </w:rPr>
              <w:t>3.</w:t>
            </w:r>
            <w:r>
              <w:rPr>
                <w:rFonts w:hint="default" w:ascii="Times New Roman" w:hAnsi="Times New Roman" w:cs="Times New Roman"/>
                <w:color w:val="000000"/>
                <w:sz w:val="24"/>
                <w:szCs w:val="24"/>
                <w:highlight w:val="none"/>
              </w:rPr>
              <w:t>工期和进度计划</w:t>
            </w:r>
            <w:r>
              <w:rPr>
                <w:rFonts w:hint="default" w:ascii="Times New Roman" w:hAnsi="Times New Roman" w:cs="Times New Roman"/>
                <w:color w:val="000000"/>
                <w:sz w:val="24"/>
                <w:szCs w:val="24"/>
                <w:highlight w:val="none"/>
                <w:lang w:eastAsia="zh-CN"/>
              </w:rPr>
              <w:t>。</w:t>
            </w:r>
            <w:r>
              <w:rPr>
                <w:rFonts w:hint="default" w:ascii="Times New Roman" w:hAnsi="Times New Roman" w:cs="Times New Roman"/>
                <w:color w:val="000000"/>
                <w:sz w:val="24"/>
                <w:szCs w:val="24"/>
                <w:highlight w:val="none"/>
              </w:rPr>
              <w:t>根据响应程度计0-</w:t>
            </w:r>
            <w:r>
              <w:rPr>
                <w:rFonts w:hint="default" w:ascii="Times New Roman" w:hAnsi="Times New Roman" w:cs="Times New Roman"/>
                <w:color w:val="000000"/>
                <w:sz w:val="24"/>
                <w:szCs w:val="24"/>
                <w:highlight w:val="none"/>
                <w:lang w:val="en-US" w:eastAsia="zh-CN"/>
              </w:rPr>
              <w:t>10</w:t>
            </w:r>
            <w:r>
              <w:rPr>
                <w:rFonts w:hint="default" w:ascii="Times New Roman" w:hAnsi="Times New Roman" w:cs="Times New Roman"/>
                <w:color w:val="000000"/>
                <w:sz w:val="24"/>
                <w:szCs w:val="24"/>
                <w:highlight w:val="none"/>
              </w:rPr>
              <w:t>分；</w:t>
            </w:r>
          </w:p>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bottom"/>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lang w:val="en-US" w:eastAsia="zh-CN"/>
              </w:rPr>
              <w:t>4.工程</w:t>
            </w:r>
            <w:r>
              <w:rPr>
                <w:rFonts w:hint="default" w:ascii="Times New Roman" w:hAnsi="Times New Roman" w:cs="Times New Roman"/>
                <w:color w:val="000000"/>
                <w:sz w:val="24"/>
                <w:szCs w:val="24"/>
                <w:highlight w:val="none"/>
              </w:rPr>
              <w:t>质量保证体系与措施</w:t>
            </w:r>
            <w:r>
              <w:rPr>
                <w:rFonts w:hint="default" w:ascii="Times New Roman" w:hAnsi="Times New Roman" w:cs="Times New Roman"/>
                <w:color w:val="000000"/>
                <w:sz w:val="24"/>
                <w:szCs w:val="24"/>
                <w:highlight w:val="none"/>
                <w:lang w:eastAsia="zh-CN"/>
              </w:rPr>
              <w:t>。</w:t>
            </w:r>
            <w:r>
              <w:rPr>
                <w:rFonts w:hint="default" w:ascii="Times New Roman" w:hAnsi="Times New Roman" w:cs="Times New Roman"/>
                <w:color w:val="000000"/>
                <w:sz w:val="24"/>
                <w:szCs w:val="24"/>
                <w:highlight w:val="none"/>
              </w:rPr>
              <w:t>根据响应程度计0-</w:t>
            </w:r>
            <w:r>
              <w:rPr>
                <w:rFonts w:hint="default" w:ascii="Times New Roman" w:hAnsi="Times New Roman" w:cs="Times New Roman"/>
                <w:color w:val="000000"/>
                <w:sz w:val="24"/>
                <w:szCs w:val="24"/>
                <w:highlight w:val="none"/>
                <w:lang w:val="en-US" w:eastAsia="zh-CN"/>
              </w:rPr>
              <w:t>10</w:t>
            </w:r>
            <w:r>
              <w:rPr>
                <w:rFonts w:hint="default" w:ascii="Times New Roman" w:hAnsi="Times New Roman" w:cs="Times New Roman"/>
                <w:color w:val="000000"/>
                <w:sz w:val="24"/>
                <w:szCs w:val="24"/>
                <w:highlight w:val="none"/>
              </w:rPr>
              <w:t>分；</w:t>
            </w:r>
          </w:p>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bottom"/>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lang w:val="en-US" w:eastAsia="zh-CN"/>
              </w:rPr>
              <w:t>5.</w:t>
            </w:r>
            <w:r>
              <w:rPr>
                <w:rFonts w:hint="default" w:ascii="Times New Roman" w:hAnsi="Times New Roman" w:cs="Times New Roman"/>
                <w:color w:val="000000"/>
                <w:sz w:val="24"/>
                <w:szCs w:val="24"/>
                <w:highlight w:val="none"/>
              </w:rPr>
              <w:t>主要机具、设备</w:t>
            </w:r>
            <w:r>
              <w:rPr>
                <w:rFonts w:hint="default" w:ascii="Times New Roman" w:hAnsi="Times New Roman" w:cs="Times New Roman"/>
                <w:color w:val="000000"/>
                <w:sz w:val="24"/>
                <w:szCs w:val="24"/>
                <w:highlight w:val="none"/>
                <w:lang w:val="en-US" w:eastAsia="zh-CN"/>
              </w:rPr>
              <w:t>的配备情况。</w:t>
            </w:r>
            <w:r>
              <w:rPr>
                <w:rFonts w:hint="default" w:ascii="Times New Roman" w:hAnsi="Times New Roman" w:cs="Times New Roman"/>
                <w:color w:val="000000"/>
                <w:sz w:val="24"/>
                <w:szCs w:val="24"/>
                <w:highlight w:val="none"/>
              </w:rPr>
              <w:t>根据响应程度计0-</w:t>
            </w:r>
            <w:r>
              <w:rPr>
                <w:rFonts w:hint="default" w:ascii="Times New Roman" w:hAnsi="Times New Roman" w:cs="Times New Roman"/>
                <w:color w:val="000000"/>
                <w:sz w:val="24"/>
                <w:szCs w:val="24"/>
                <w:highlight w:val="none"/>
                <w:lang w:val="en-US" w:eastAsia="zh-CN"/>
              </w:rPr>
              <w:t>10</w:t>
            </w:r>
            <w:r>
              <w:rPr>
                <w:rFonts w:hint="default" w:ascii="Times New Roman" w:hAnsi="Times New Roman" w:cs="Times New Roman"/>
                <w:color w:val="000000"/>
                <w:sz w:val="24"/>
                <w:szCs w:val="24"/>
                <w:highlight w:val="none"/>
              </w:rPr>
              <w:t>分；</w:t>
            </w:r>
          </w:p>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bottom"/>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lang w:val="en-US" w:eastAsia="zh-CN"/>
              </w:rPr>
              <w:t>6.</w:t>
            </w:r>
            <w:r>
              <w:rPr>
                <w:rFonts w:hint="default" w:ascii="Times New Roman" w:hAnsi="Times New Roman" w:cs="Times New Roman"/>
                <w:color w:val="000000"/>
                <w:sz w:val="24"/>
                <w:szCs w:val="24"/>
                <w:highlight w:val="none"/>
              </w:rPr>
              <w:t>安全文明施工措施的合理性、科学性</w:t>
            </w:r>
            <w:r>
              <w:rPr>
                <w:rFonts w:hint="default" w:ascii="Times New Roman" w:hAnsi="Times New Roman" w:cs="Times New Roman"/>
                <w:color w:val="000000"/>
                <w:sz w:val="24"/>
                <w:szCs w:val="24"/>
                <w:highlight w:val="none"/>
                <w:lang w:eastAsia="zh-CN"/>
              </w:rPr>
              <w:t>。</w:t>
            </w:r>
            <w:r>
              <w:rPr>
                <w:rFonts w:hint="default" w:ascii="Times New Roman" w:hAnsi="Times New Roman" w:cs="Times New Roman"/>
                <w:color w:val="000000"/>
                <w:sz w:val="24"/>
                <w:szCs w:val="24"/>
                <w:highlight w:val="none"/>
              </w:rPr>
              <w:t>根据响应程度计</w:t>
            </w:r>
            <w:r>
              <w:rPr>
                <w:rFonts w:hint="default" w:ascii="Times New Roman" w:hAnsi="Times New Roman" w:cs="Times New Roman"/>
                <w:color w:val="000000"/>
                <w:sz w:val="24"/>
                <w:szCs w:val="24"/>
                <w:highlight w:val="none"/>
                <w:lang w:val="en-US" w:eastAsia="zh-CN"/>
              </w:rPr>
              <w:t>0-</w:t>
            </w:r>
            <w:r>
              <w:rPr>
                <w:rFonts w:hint="eastAsia" w:ascii="Times New Roman" w:hAnsi="Times New Roman" w:cs="Times New Roman"/>
                <w:color w:val="000000"/>
                <w:sz w:val="24"/>
                <w:szCs w:val="24"/>
                <w:highlight w:val="none"/>
                <w:lang w:val="en-US" w:eastAsia="zh-CN"/>
              </w:rPr>
              <w:t>5</w:t>
            </w:r>
            <w:r>
              <w:rPr>
                <w:rFonts w:hint="default" w:ascii="Times New Roman" w:hAnsi="Times New Roman" w:cs="Times New Roman"/>
                <w:color w:val="000000"/>
                <w:sz w:val="24"/>
                <w:szCs w:val="24"/>
                <w:highlight w:val="none"/>
                <w:lang w:val="en-US" w:eastAsia="zh-CN"/>
              </w:rPr>
              <w:t>分</w:t>
            </w:r>
            <w:r>
              <w:rPr>
                <w:rFonts w:hint="default" w:ascii="Times New Roman" w:hAnsi="Times New Roman" w:cs="Times New Roman"/>
                <w:color w:val="000000"/>
                <w:sz w:val="24"/>
                <w:szCs w:val="24"/>
                <w:highlight w:val="none"/>
              </w:rPr>
              <w:t>；</w:t>
            </w:r>
          </w:p>
          <w:p>
            <w:pPr>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bottom"/>
              <w:rPr>
                <w:rFonts w:hint="eastAsia" w:ascii="宋体" w:hAnsi="宋体" w:eastAsia="宋体" w:cs="宋体"/>
                <w:kern w:val="2"/>
                <w:sz w:val="24"/>
                <w:szCs w:val="24"/>
                <w:highlight w:val="yellow"/>
                <w:lang w:val="en-US" w:eastAsia="zh-CN" w:bidi="ar-SA"/>
              </w:rPr>
            </w:pPr>
            <w:r>
              <w:rPr>
                <w:rFonts w:hint="default" w:ascii="Times New Roman" w:hAnsi="Times New Roman" w:cs="Times New Roman"/>
                <w:color w:val="000000"/>
                <w:sz w:val="24"/>
                <w:szCs w:val="24"/>
                <w:highlight w:val="none"/>
                <w:lang w:val="en-US" w:eastAsia="zh-CN"/>
              </w:rPr>
              <w:t>7.</w:t>
            </w:r>
            <w:r>
              <w:rPr>
                <w:rFonts w:hint="default" w:ascii="Times New Roman" w:hAnsi="Times New Roman" w:cs="Times New Roman"/>
                <w:color w:val="000000"/>
                <w:sz w:val="24"/>
                <w:szCs w:val="24"/>
                <w:highlight w:val="none"/>
              </w:rPr>
              <w:t>采用新技术、新工艺对提高质量、缩短工期、降低造价的可行性</w:t>
            </w:r>
            <w:r>
              <w:rPr>
                <w:rFonts w:hint="default" w:ascii="Times New Roman" w:hAnsi="Times New Roman" w:cs="Times New Roman"/>
                <w:color w:val="000000"/>
                <w:sz w:val="24"/>
                <w:szCs w:val="24"/>
                <w:highlight w:val="none"/>
                <w:lang w:eastAsia="zh-CN"/>
              </w:rPr>
              <w:t>，</w:t>
            </w:r>
            <w:r>
              <w:rPr>
                <w:rFonts w:hint="default" w:ascii="Times New Roman" w:hAnsi="Times New Roman" w:cs="Times New Roman"/>
                <w:color w:val="000000"/>
                <w:sz w:val="24"/>
                <w:szCs w:val="24"/>
                <w:highlight w:val="none"/>
              </w:rPr>
              <w:t>计0-</w:t>
            </w:r>
            <w:r>
              <w:rPr>
                <w:rFonts w:hint="default" w:ascii="Times New Roman" w:hAnsi="Times New Roman" w:cs="Times New Roman"/>
                <w:color w:val="000000"/>
                <w:sz w:val="24"/>
                <w:szCs w:val="24"/>
                <w:highlight w:val="none"/>
                <w:lang w:val="en-US" w:eastAsia="zh-CN"/>
              </w:rPr>
              <w:t>5</w:t>
            </w:r>
            <w:r>
              <w:rPr>
                <w:rFonts w:hint="default" w:ascii="Times New Roman" w:hAnsi="Times New Roman" w:cs="Times New Roman"/>
                <w:color w:val="000000"/>
                <w:sz w:val="24"/>
                <w:szCs w:val="24"/>
                <w:highlight w:val="none"/>
              </w:rPr>
              <w:t>分</w:t>
            </w:r>
            <w:r>
              <w:rPr>
                <w:rFonts w:hint="default" w:ascii="Times New Roman" w:hAnsi="Times New Roman" w:cs="Times New Roman"/>
                <w:color w:val="00000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2031" w:type="dxa"/>
            <w:gridSpan w:val="2"/>
            <w:noWrap w:val="0"/>
            <w:vAlign w:val="center"/>
          </w:tcPr>
          <w:p>
            <w:pPr>
              <w:autoSpaceDE w:val="0"/>
              <w:autoSpaceDN w:val="0"/>
              <w:adjustRightInd w:val="0"/>
              <w:spacing w:line="240" w:lineRule="auto"/>
              <w:jc w:val="left"/>
              <w:rPr>
                <w:rFonts w:hint="eastAsia" w:ascii="宋体" w:hAnsi="宋体" w:eastAsia="宋体" w:cs="宋体"/>
                <w:color w:val="000000"/>
                <w:sz w:val="24"/>
                <w:szCs w:val="24"/>
                <w:highlight w:val="yellow"/>
              </w:rPr>
            </w:pPr>
            <w:r>
              <w:rPr>
                <w:rFonts w:hint="eastAsia" w:ascii="宋体" w:hAnsi="宋体" w:cs="宋体"/>
                <w:color w:val="000000"/>
                <w:sz w:val="24"/>
                <w:szCs w:val="24"/>
                <w:highlight w:val="none"/>
                <w:lang w:eastAsia="zh-CN"/>
              </w:rPr>
              <w:t>质量承诺</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4分</w:t>
            </w:r>
            <w:r>
              <w:rPr>
                <w:rFonts w:hint="eastAsia" w:ascii="宋体" w:hAnsi="宋体" w:cs="宋体"/>
                <w:sz w:val="24"/>
                <w:szCs w:val="24"/>
                <w:highlight w:val="none"/>
                <w:lang w:eastAsia="zh-CN"/>
              </w:rPr>
              <w:t>）</w:t>
            </w:r>
          </w:p>
        </w:tc>
        <w:tc>
          <w:tcPr>
            <w:tcW w:w="6888" w:type="dxa"/>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4"/>
                <w:szCs w:val="24"/>
                <w:highlight w:val="yellow"/>
              </w:rPr>
            </w:pPr>
            <w:r>
              <w:rPr>
                <w:rFonts w:hint="eastAsia" w:ascii="宋体" w:hAnsi="宋体" w:eastAsia="宋体" w:cs="宋体"/>
                <w:sz w:val="24"/>
                <w:szCs w:val="24"/>
                <w:highlight w:val="none"/>
                <w:lang w:val="en-US" w:eastAsia="zh-CN"/>
              </w:rPr>
              <w:t>投标人对项目实施过程中的</w:t>
            </w:r>
            <w:r>
              <w:rPr>
                <w:rFonts w:hint="eastAsia" w:ascii="宋体" w:hAnsi="宋体" w:cs="宋体"/>
                <w:sz w:val="24"/>
                <w:szCs w:val="24"/>
                <w:highlight w:val="none"/>
                <w:lang w:val="en-US" w:eastAsia="zh-CN"/>
              </w:rPr>
              <w:t>质量</w:t>
            </w:r>
            <w:r>
              <w:rPr>
                <w:rFonts w:hint="eastAsia" w:ascii="宋体" w:hAnsi="宋体" w:eastAsia="宋体" w:cs="宋体"/>
                <w:sz w:val="24"/>
                <w:szCs w:val="24"/>
                <w:highlight w:val="none"/>
                <w:lang w:val="en-US" w:eastAsia="zh-CN"/>
              </w:rPr>
              <w:t>做出承诺，评标委员会成员根据其响应情况进行赋分（0-</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2031" w:type="dxa"/>
            <w:gridSpan w:val="2"/>
            <w:noWrap w:val="0"/>
            <w:vAlign w:val="center"/>
          </w:tcPr>
          <w:p>
            <w:pPr>
              <w:autoSpaceDE w:val="0"/>
              <w:autoSpaceDN w:val="0"/>
              <w:adjustRightInd w:val="0"/>
              <w:spacing w:line="24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业绩</w:t>
            </w:r>
          </w:p>
          <w:p>
            <w:pPr>
              <w:autoSpaceDE w:val="0"/>
              <w:autoSpaceDN w:val="0"/>
              <w:adjustRightInd w:val="0"/>
              <w:spacing w:line="240" w:lineRule="auto"/>
              <w:jc w:val="center"/>
              <w:rPr>
                <w:rFonts w:hint="eastAsia" w:ascii="宋体" w:hAnsi="宋体" w:eastAsia="宋体" w:cs="宋体"/>
                <w:color w:val="000000"/>
                <w:sz w:val="24"/>
                <w:szCs w:val="24"/>
                <w:highlight w:val="none"/>
              </w:rPr>
            </w:pP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6分</w:t>
            </w:r>
            <w:r>
              <w:rPr>
                <w:rFonts w:hint="eastAsia" w:ascii="宋体" w:hAnsi="宋体" w:cs="宋体"/>
                <w:sz w:val="24"/>
                <w:szCs w:val="24"/>
                <w:highlight w:val="none"/>
                <w:lang w:eastAsia="zh-CN"/>
              </w:rPr>
              <w:t>）</w:t>
            </w:r>
          </w:p>
        </w:tc>
        <w:tc>
          <w:tcPr>
            <w:tcW w:w="6888"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left"/>
              <w:textAlignment w:val="auto"/>
              <w:rPr>
                <w:rFonts w:hint="default" w:ascii="宋体" w:hAnsi="宋体" w:eastAsia="宋体" w:cs="宋体"/>
                <w:kern w:val="2"/>
                <w:sz w:val="24"/>
                <w:szCs w:val="24"/>
                <w:highlight w:val="none"/>
                <w:lang w:val="en-US" w:eastAsia="zh-CN" w:bidi="ar-SA"/>
              </w:rPr>
            </w:pPr>
            <w:r>
              <w:rPr>
                <w:rFonts w:hint="eastAsia" w:ascii="宋体" w:hAnsi="宋体" w:cs="宋体"/>
                <w:kern w:val="2"/>
                <w:sz w:val="24"/>
                <w:szCs w:val="24"/>
                <w:highlight w:val="none"/>
                <w:lang w:val="en-US" w:eastAsia="zh-CN" w:bidi="ar-SA"/>
              </w:rPr>
              <w:t>提供2021</w:t>
            </w:r>
            <w:r>
              <w:rPr>
                <w:rFonts w:hint="eastAsia" w:ascii="宋体" w:hAnsi="宋体" w:eastAsia="宋体" w:cs="宋体"/>
                <w:kern w:val="2"/>
                <w:sz w:val="24"/>
                <w:szCs w:val="24"/>
                <w:highlight w:val="none"/>
                <w:lang w:val="en-US" w:eastAsia="zh-CN" w:bidi="ar-SA"/>
              </w:rPr>
              <w:t>年</w:t>
            </w:r>
            <w:r>
              <w:rPr>
                <w:rFonts w:hint="eastAsia" w:ascii="宋体" w:hAnsi="宋体" w:cs="宋体"/>
                <w:kern w:val="2"/>
                <w:sz w:val="24"/>
                <w:szCs w:val="24"/>
                <w:highlight w:val="none"/>
                <w:lang w:val="en-US" w:eastAsia="zh-CN" w:bidi="ar-SA"/>
              </w:rPr>
              <w:t>7</w:t>
            </w:r>
            <w:r>
              <w:rPr>
                <w:rFonts w:hint="eastAsia" w:ascii="宋体" w:hAnsi="宋体" w:eastAsia="宋体" w:cs="宋体"/>
                <w:kern w:val="2"/>
                <w:sz w:val="24"/>
                <w:szCs w:val="24"/>
                <w:highlight w:val="none"/>
                <w:lang w:val="en-US" w:eastAsia="zh-CN" w:bidi="ar-SA"/>
              </w:rPr>
              <w:t>月1 日起至 20</w:t>
            </w:r>
            <w:r>
              <w:rPr>
                <w:rFonts w:hint="eastAsia" w:ascii="宋体" w:hAnsi="宋体" w:cs="宋体"/>
                <w:kern w:val="2"/>
                <w:sz w:val="24"/>
                <w:szCs w:val="24"/>
                <w:highlight w:val="none"/>
                <w:lang w:val="en-US" w:eastAsia="zh-CN" w:bidi="ar-SA"/>
              </w:rPr>
              <w:t>24</w:t>
            </w:r>
            <w:r>
              <w:rPr>
                <w:rFonts w:hint="eastAsia" w:ascii="宋体" w:hAnsi="宋体" w:eastAsia="宋体" w:cs="宋体"/>
                <w:kern w:val="2"/>
                <w:sz w:val="24"/>
                <w:szCs w:val="24"/>
                <w:highlight w:val="none"/>
                <w:lang w:val="en-US" w:eastAsia="zh-CN" w:bidi="ar-SA"/>
              </w:rPr>
              <w:t xml:space="preserve"> 年 </w:t>
            </w:r>
            <w:r>
              <w:rPr>
                <w:rFonts w:hint="eastAsia" w:ascii="宋体" w:hAnsi="宋体" w:cs="宋体"/>
                <w:kern w:val="2"/>
                <w:sz w:val="24"/>
                <w:szCs w:val="24"/>
                <w:highlight w:val="none"/>
                <w:lang w:val="en-US" w:eastAsia="zh-CN" w:bidi="ar-SA"/>
              </w:rPr>
              <w:t xml:space="preserve">07 </w:t>
            </w:r>
            <w:r>
              <w:rPr>
                <w:rFonts w:hint="eastAsia" w:ascii="宋体" w:hAnsi="宋体" w:eastAsia="宋体" w:cs="宋体"/>
                <w:kern w:val="2"/>
                <w:sz w:val="24"/>
                <w:szCs w:val="24"/>
                <w:highlight w:val="none"/>
                <w:lang w:val="en-US" w:eastAsia="zh-CN" w:bidi="ar-SA"/>
              </w:rPr>
              <w:t>月</w:t>
            </w:r>
            <w:r>
              <w:rPr>
                <w:rFonts w:hint="eastAsia" w:ascii="宋体" w:hAnsi="宋体" w:cs="宋体"/>
                <w:kern w:val="2"/>
                <w:sz w:val="24"/>
                <w:szCs w:val="24"/>
                <w:highlight w:val="none"/>
                <w:lang w:val="en-US" w:eastAsia="zh-CN" w:bidi="ar-SA"/>
              </w:rPr>
              <w:t xml:space="preserve"> 12 </w:t>
            </w:r>
            <w:r>
              <w:rPr>
                <w:rFonts w:hint="eastAsia" w:ascii="宋体" w:hAnsi="宋体" w:eastAsia="宋体" w:cs="宋体"/>
                <w:kern w:val="2"/>
                <w:sz w:val="24"/>
                <w:szCs w:val="24"/>
                <w:highlight w:val="none"/>
                <w:lang w:val="en-US" w:eastAsia="zh-CN" w:bidi="ar-SA"/>
              </w:rPr>
              <w:t>日止企业类似工程施工业绩（附合同或中标通知书及第三方生物安全技术检测公司出具的医院消毒卫生标准检测合格报告）</w:t>
            </w:r>
            <w:r>
              <w:rPr>
                <w:rFonts w:hint="eastAsia" w:ascii="宋体" w:hAnsi="宋体" w:cs="宋体"/>
                <w:kern w:val="2"/>
                <w:sz w:val="24"/>
                <w:szCs w:val="24"/>
                <w:highlight w:val="none"/>
                <w:lang w:val="en-US" w:eastAsia="zh-CN" w:bidi="ar-SA"/>
              </w:rPr>
              <w:t>，</w:t>
            </w:r>
            <w:r>
              <w:rPr>
                <w:rFonts w:hint="eastAsia" w:ascii="宋体" w:hAnsi="宋体" w:eastAsia="宋体" w:cs="宋体"/>
                <w:kern w:val="2"/>
                <w:sz w:val="24"/>
                <w:szCs w:val="24"/>
                <w:highlight w:val="none"/>
                <w:lang w:val="en-US" w:eastAsia="zh-CN" w:bidi="ar-SA"/>
              </w:rPr>
              <w:t>复印件加盖公章，</w:t>
            </w:r>
            <w:r>
              <w:rPr>
                <w:rFonts w:hint="eastAsia" w:ascii="宋体" w:hAnsi="宋体" w:cs="宋体"/>
                <w:kern w:val="2"/>
                <w:sz w:val="24"/>
                <w:szCs w:val="24"/>
                <w:highlight w:val="none"/>
                <w:lang w:val="en-US" w:eastAsia="zh-CN" w:bidi="ar-SA"/>
              </w:rPr>
              <w:t>每提供一份业绩计2分，最多得6分。</w:t>
            </w:r>
          </w:p>
        </w:tc>
      </w:tr>
    </w:tbl>
    <w:p>
      <w:pPr>
        <w:pageBreakBefore w:val="0"/>
        <w:widowControl/>
        <w:kinsoku/>
        <w:wordWrap/>
        <w:overflowPunct/>
        <w:topLinePunct w:val="0"/>
        <w:autoSpaceDE w:val="0"/>
        <w:autoSpaceDN w:val="0"/>
        <w:bidi w:val="0"/>
        <w:adjustRightInd/>
        <w:snapToGrid w:val="0"/>
        <w:spacing w:line="360" w:lineRule="auto"/>
        <w:jc w:val="left"/>
        <w:textAlignment w:val="bottom"/>
        <w:rPr>
          <w:rFonts w:hint="eastAsia" w:ascii="宋体" w:hAnsi="宋体" w:eastAsia="宋体" w:cs="宋体"/>
          <w:color w:val="000000"/>
          <w:sz w:val="24"/>
          <w:szCs w:val="24"/>
        </w:rPr>
      </w:pPr>
      <w:r>
        <w:rPr>
          <w:rFonts w:hint="eastAsia" w:ascii="宋体" w:hAnsi="宋体" w:eastAsia="宋体" w:cs="宋体"/>
          <w:color w:val="000000"/>
          <w:sz w:val="24"/>
          <w:szCs w:val="24"/>
        </w:rPr>
        <w:t>注：1）评委打分超过得分界限或未按本方法赋分时，该评委的打分按废票处理。</w:t>
      </w:r>
    </w:p>
    <w:p>
      <w:pPr>
        <w:pStyle w:val="13"/>
        <w:pageBreakBefore w:val="0"/>
        <w:kinsoku/>
        <w:wordWrap/>
        <w:overflowPunct/>
        <w:topLinePunct w:val="0"/>
        <w:bidi w:val="0"/>
        <w:adjustRightInd/>
        <w:snapToGrid w:val="0"/>
        <w:spacing w:line="360" w:lineRule="auto"/>
        <w:jc w:val="left"/>
        <w:rPr>
          <w:rFonts w:hint="eastAsia"/>
          <w:sz w:val="24"/>
          <w:szCs w:val="24"/>
        </w:rPr>
      </w:pPr>
      <w:r>
        <w:rPr>
          <w:rFonts w:hint="eastAsia" w:ascii="宋体" w:hAnsi="宋体" w:eastAsia="宋体" w:cs="宋体"/>
          <w:color w:val="000000"/>
          <w:sz w:val="24"/>
          <w:szCs w:val="24"/>
        </w:rPr>
        <w:t>2）各种计算数字均保留两位小数，第三位“四舍五入”</w:t>
      </w:r>
    </w:p>
    <w:p>
      <w:pPr>
        <w:pStyle w:val="5"/>
        <w:pageBreakBefore w:val="0"/>
        <w:kinsoku/>
        <w:wordWrap/>
        <w:overflowPunct/>
        <w:topLinePunct w:val="0"/>
        <w:bidi w:val="0"/>
        <w:adjustRightInd/>
        <w:snapToGrid w:val="0"/>
        <w:spacing w:line="360" w:lineRule="auto"/>
        <w:jc w:val="left"/>
        <w:rPr>
          <w:rFonts w:hint="eastAsia"/>
          <w:sz w:val="24"/>
          <w:szCs w:val="24"/>
          <w:lang w:eastAsia="zh-CN"/>
        </w:rPr>
      </w:pPr>
      <w:bookmarkStart w:id="67" w:name="_Toc2067"/>
      <w:r>
        <w:rPr>
          <w:rFonts w:hint="eastAsia"/>
          <w:sz w:val="24"/>
          <w:szCs w:val="24"/>
        </w:rPr>
        <w:t>（十</w:t>
      </w:r>
      <w:r>
        <w:rPr>
          <w:rFonts w:hint="eastAsia"/>
          <w:sz w:val="24"/>
          <w:szCs w:val="24"/>
          <w:lang w:eastAsia="zh-CN"/>
        </w:rPr>
        <w:t>三</w:t>
      </w:r>
      <w:r>
        <w:rPr>
          <w:rFonts w:hint="eastAsia"/>
          <w:sz w:val="24"/>
          <w:szCs w:val="24"/>
        </w:rPr>
        <w:t>）推荐</w:t>
      </w:r>
      <w:r>
        <w:rPr>
          <w:rFonts w:hint="eastAsia"/>
          <w:sz w:val="24"/>
          <w:szCs w:val="24"/>
          <w:lang w:eastAsia="zh-CN"/>
        </w:rPr>
        <w:t>成交候选人</w:t>
      </w:r>
      <w:bookmarkEnd w:id="67"/>
    </w:p>
    <w:p>
      <w:pPr>
        <w:pageBreakBefore w:val="0"/>
        <w:kinsoku/>
        <w:wordWrap/>
        <w:overflowPunct/>
        <w:topLinePunct w:val="0"/>
        <w:bidi w:val="0"/>
        <w:adjustRightInd/>
        <w:snapToGrid w:val="0"/>
        <w:spacing w:line="360" w:lineRule="auto"/>
        <w:jc w:val="left"/>
        <w:rPr>
          <w:rFonts w:hint="eastAsia"/>
          <w:sz w:val="24"/>
          <w:szCs w:val="24"/>
        </w:rPr>
      </w:pPr>
      <w:bookmarkStart w:id="68" w:name="_Toc12962"/>
      <w:r>
        <w:rPr>
          <w:rFonts w:hint="eastAsia"/>
          <w:sz w:val="24"/>
          <w:szCs w:val="24"/>
        </w:rPr>
        <w:t>1、评委会将向采购人推荐1-3名</w:t>
      </w:r>
      <w:r>
        <w:rPr>
          <w:rFonts w:hint="eastAsia"/>
          <w:sz w:val="24"/>
          <w:szCs w:val="24"/>
          <w:lang w:eastAsia="zh-CN"/>
        </w:rPr>
        <w:t>成交候选人</w:t>
      </w:r>
      <w:r>
        <w:rPr>
          <w:rFonts w:hint="eastAsia"/>
          <w:sz w:val="24"/>
          <w:szCs w:val="24"/>
        </w:rPr>
        <w:t>。</w:t>
      </w:r>
      <w:bookmarkEnd w:id="68"/>
    </w:p>
    <w:p>
      <w:pPr>
        <w:pageBreakBefore w:val="0"/>
        <w:kinsoku/>
        <w:wordWrap/>
        <w:overflowPunct/>
        <w:topLinePunct w:val="0"/>
        <w:bidi w:val="0"/>
        <w:adjustRightInd/>
        <w:snapToGrid w:val="0"/>
        <w:spacing w:line="360" w:lineRule="auto"/>
        <w:jc w:val="left"/>
        <w:rPr>
          <w:rFonts w:hint="eastAsia"/>
          <w:sz w:val="24"/>
          <w:szCs w:val="24"/>
        </w:rPr>
      </w:pPr>
      <w:r>
        <w:rPr>
          <w:rFonts w:hint="eastAsia"/>
          <w:sz w:val="24"/>
          <w:szCs w:val="24"/>
        </w:rPr>
        <w:t>2、</w:t>
      </w:r>
      <w:r>
        <w:rPr>
          <w:rFonts w:hint="eastAsia"/>
          <w:sz w:val="24"/>
          <w:szCs w:val="24"/>
          <w:lang w:eastAsia="zh-CN"/>
        </w:rPr>
        <w:t>供应商</w:t>
      </w:r>
      <w:r>
        <w:rPr>
          <w:rFonts w:hint="eastAsia"/>
          <w:sz w:val="24"/>
          <w:szCs w:val="24"/>
        </w:rPr>
        <w:t>得分相同时，按</w:t>
      </w:r>
      <w:r>
        <w:rPr>
          <w:rFonts w:hint="eastAsia"/>
          <w:sz w:val="24"/>
          <w:szCs w:val="24"/>
          <w:lang w:eastAsia="zh-CN"/>
        </w:rPr>
        <w:t>竞争性磋商响应文件</w:t>
      </w:r>
      <w:r>
        <w:rPr>
          <w:rFonts w:hint="eastAsia"/>
          <w:sz w:val="24"/>
          <w:szCs w:val="24"/>
        </w:rPr>
        <w:t>综合响应程度得分高者优先，决定</w:t>
      </w:r>
      <w:r>
        <w:rPr>
          <w:rFonts w:hint="eastAsia"/>
          <w:sz w:val="24"/>
          <w:szCs w:val="24"/>
          <w:lang w:eastAsia="zh-CN"/>
        </w:rPr>
        <w:t>成交</w:t>
      </w:r>
      <w:r>
        <w:rPr>
          <w:rFonts w:hint="eastAsia"/>
          <w:sz w:val="24"/>
          <w:szCs w:val="24"/>
        </w:rPr>
        <w:t>候选顺序。</w:t>
      </w:r>
    </w:p>
    <w:p>
      <w:pPr>
        <w:pageBreakBefore w:val="0"/>
        <w:kinsoku/>
        <w:wordWrap/>
        <w:overflowPunct/>
        <w:topLinePunct w:val="0"/>
        <w:bidi w:val="0"/>
        <w:adjustRightInd/>
        <w:snapToGrid w:val="0"/>
        <w:spacing w:line="360" w:lineRule="auto"/>
        <w:jc w:val="left"/>
        <w:rPr>
          <w:rFonts w:hint="eastAsia"/>
          <w:sz w:val="24"/>
          <w:szCs w:val="24"/>
        </w:rPr>
      </w:pPr>
      <w:bookmarkStart w:id="69" w:name="_Toc317"/>
      <w:r>
        <w:rPr>
          <w:rFonts w:hint="eastAsia"/>
          <w:sz w:val="24"/>
          <w:szCs w:val="24"/>
        </w:rPr>
        <w:t>3、采购人对</w:t>
      </w:r>
      <w:r>
        <w:rPr>
          <w:rFonts w:hint="eastAsia"/>
          <w:sz w:val="24"/>
          <w:szCs w:val="24"/>
          <w:lang w:eastAsia="zh-CN"/>
        </w:rPr>
        <w:t>成交候选人</w:t>
      </w:r>
      <w:r>
        <w:rPr>
          <w:rFonts w:hint="eastAsia"/>
          <w:sz w:val="24"/>
          <w:szCs w:val="24"/>
        </w:rPr>
        <w:t>进行确认，签订合同等事宜。</w:t>
      </w:r>
      <w:bookmarkEnd w:id="69"/>
    </w:p>
    <w:p>
      <w:pPr>
        <w:pStyle w:val="5"/>
        <w:pageBreakBefore w:val="0"/>
        <w:kinsoku/>
        <w:wordWrap/>
        <w:overflowPunct/>
        <w:topLinePunct w:val="0"/>
        <w:bidi w:val="0"/>
        <w:adjustRightInd/>
        <w:snapToGrid w:val="0"/>
        <w:spacing w:line="360" w:lineRule="auto"/>
        <w:jc w:val="left"/>
        <w:rPr>
          <w:rFonts w:hint="eastAsia"/>
          <w:sz w:val="24"/>
          <w:szCs w:val="24"/>
        </w:rPr>
      </w:pPr>
      <w:bookmarkStart w:id="70" w:name="_Toc27137"/>
      <w:r>
        <w:rPr>
          <w:rFonts w:hint="eastAsia"/>
          <w:sz w:val="24"/>
          <w:szCs w:val="24"/>
        </w:rPr>
        <w:t>（十</w:t>
      </w:r>
      <w:r>
        <w:rPr>
          <w:rFonts w:hint="eastAsia"/>
          <w:sz w:val="24"/>
          <w:szCs w:val="24"/>
          <w:lang w:eastAsia="zh-CN"/>
        </w:rPr>
        <w:t>四</w:t>
      </w:r>
      <w:r>
        <w:rPr>
          <w:rFonts w:hint="eastAsia"/>
          <w:sz w:val="24"/>
          <w:szCs w:val="24"/>
        </w:rPr>
        <w:t>）确定</w:t>
      </w:r>
      <w:r>
        <w:rPr>
          <w:rFonts w:hint="eastAsia"/>
          <w:sz w:val="24"/>
          <w:szCs w:val="24"/>
          <w:lang w:eastAsia="zh-CN"/>
        </w:rPr>
        <w:t>成交人</w:t>
      </w:r>
      <w:r>
        <w:rPr>
          <w:rFonts w:hint="eastAsia"/>
          <w:sz w:val="24"/>
          <w:szCs w:val="24"/>
        </w:rPr>
        <w:t>及签订合同</w:t>
      </w:r>
      <w:bookmarkEnd w:id="70"/>
    </w:p>
    <w:p>
      <w:pPr>
        <w:pageBreakBefore w:val="0"/>
        <w:kinsoku/>
        <w:wordWrap/>
        <w:overflowPunct/>
        <w:topLinePunct w:val="0"/>
        <w:bidi w:val="0"/>
        <w:adjustRightInd/>
        <w:snapToGrid w:val="0"/>
        <w:spacing w:line="360" w:lineRule="auto"/>
        <w:jc w:val="left"/>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1、确定</w:t>
      </w:r>
      <w:r>
        <w:rPr>
          <w:rFonts w:hint="eastAsia" w:ascii="Times New Roman" w:hAnsi="Times New Roman" w:eastAsia="宋体" w:cs="Times New Roman"/>
          <w:sz w:val="24"/>
          <w:szCs w:val="24"/>
          <w:lang w:eastAsia="zh-CN"/>
        </w:rPr>
        <w:t>成交人</w:t>
      </w:r>
      <w:r>
        <w:rPr>
          <w:rFonts w:hint="eastAsia" w:ascii="Times New Roman" w:hAnsi="Times New Roman" w:eastAsia="宋体" w:cs="Times New Roman"/>
          <w:sz w:val="24"/>
          <w:szCs w:val="24"/>
        </w:rPr>
        <w:t>。代理机构将于采购人依法确定</w:t>
      </w:r>
      <w:r>
        <w:rPr>
          <w:rFonts w:hint="eastAsia" w:ascii="Times New Roman" w:hAnsi="Times New Roman" w:eastAsia="宋体" w:cs="Times New Roman"/>
          <w:sz w:val="24"/>
          <w:szCs w:val="24"/>
          <w:lang w:eastAsia="zh-CN"/>
        </w:rPr>
        <w:t>成交人</w:t>
      </w:r>
      <w:r>
        <w:rPr>
          <w:rFonts w:hint="eastAsia" w:ascii="Times New Roman" w:hAnsi="Times New Roman" w:eastAsia="宋体" w:cs="Times New Roman"/>
          <w:sz w:val="24"/>
          <w:szCs w:val="24"/>
        </w:rPr>
        <w:t>后发布</w:t>
      </w:r>
      <w:r>
        <w:rPr>
          <w:rFonts w:hint="eastAsia" w:ascii="Times New Roman" w:hAnsi="Times New Roman" w:eastAsia="宋体" w:cs="Times New Roman"/>
          <w:sz w:val="24"/>
          <w:szCs w:val="24"/>
          <w:lang w:eastAsia="zh-CN"/>
        </w:rPr>
        <w:t>成交</w:t>
      </w:r>
      <w:r>
        <w:rPr>
          <w:rFonts w:hint="eastAsia" w:ascii="Times New Roman" w:hAnsi="Times New Roman" w:eastAsia="宋体" w:cs="Times New Roman"/>
          <w:sz w:val="24"/>
          <w:szCs w:val="24"/>
        </w:rPr>
        <w:t>公告，并向</w:t>
      </w:r>
      <w:r>
        <w:rPr>
          <w:rFonts w:hint="eastAsia" w:ascii="Times New Roman" w:hAnsi="Times New Roman" w:eastAsia="宋体" w:cs="Times New Roman"/>
          <w:sz w:val="24"/>
          <w:szCs w:val="24"/>
          <w:lang w:eastAsia="zh-CN"/>
        </w:rPr>
        <w:t>成交人</w:t>
      </w:r>
      <w:r>
        <w:rPr>
          <w:rFonts w:hint="eastAsia" w:ascii="Times New Roman" w:hAnsi="Times New Roman" w:eastAsia="宋体" w:cs="Times New Roman"/>
          <w:sz w:val="24"/>
          <w:szCs w:val="24"/>
        </w:rPr>
        <w:t>发出</w:t>
      </w:r>
      <w:r>
        <w:rPr>
          <w:rFonts w:hint="eastAsia" w:ascii="Times New Roman" w:hAnsi="Times New Roman" w:eastAsia="宋体" w:cs="Times New Roman"/>
          <w:sz w:val="24"/>
          <w:szCs w:val="24"/>
          <w:lang w:eastAsia="zh-CN"/>
        </w:rPr>
        <w:t>成交通知书</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eastAsia="zh-CN"/>
        </w:rPr>
        <w:t>成交人</w:t>
      </w:r>
      <w:r>
        <w:rPr>
          <w:rFonts w:hint="eastAsia" w:ascii="Times New Roman" w:hAnsi="Times New Roman" w:eastAsia="宋体" w:cs="Times New Roman"/>
          <w:sz w:val="24"/>
          <w:szCs w:val="24"/>
        </w:rPr>
        <w:t>在接到通知后，必须在5个工作日内领取</w:t>
      </w:r>
      <w:r>
        <w:rPr>
          <w:rFonts w:hint="eastAsia" w:ascii="Times New Roman" w:hAnsi="Times New Roman" w:eastAsia="宋体" w:cs="Times New Roman"/>
          <w:sz w:val="24"/>
          <w:szCs w:val="24"/>
          <w:lang w:eastAsia="zh-CN"/>
        </w:rPr>
        <w:t>成交通知书</w:t>
      </w:r>
      <w:r>
        <w:rPr>
          <w:rFonts w:hint="eastAsia" w:ascii="Times New Roman" w:hAnsi="Times New Roman" w:eastAsia="宋体" w:cs="Times New Roman"/>
          <w:sz w:val="24"/>
          <w:szCs w:val="24"/>
        </w:rPr>
        <w:t>并交纳</w:t>
      </w:r>
      <w:r>
        <w:rPr>
          <w:rFonts w:hint="eastAsia" w:ascii="Times New Roman" w:hAnsi="Times New Roman" w:eastAsia="宋体" w:cs="Times New Roman"/>
          <w:sz w:val="24"/>
          <w:szCs w:val="24"/>
          <w:lang w:eastAsia="zh-CN"/>
        </w:rPr>
        <w:t>采购</w:t>
      </w:r>
      <w:r>
        <w:rPr>
          <w:rFonts w:hint="eastAsia" w:ascii="Times New Roman" w:hAnsi="Times New Roman" w:eastAsia="宋体" w:cs="Times New Roman"/>
          <w:sz w:val="24"/>
          <w:szCs w:val="24"/>
        </w:rPr>
        <w:t>代理服务费。</w:t>
      </w:r>
    </w:p>
    <w:p>
      <w:pPr>
        <w:pageBreakBefore w:val="0"/>
        <w:kinsoku/>
        <w:wordWrap/>
        <w:overflowPunct/>
        <w:topLinePunct w:val="0"/>
        <w:bidi w:val="0"/>
        <w:adjustRightInd/>
        <w:snapToGrid w:val="0"/>
        <w:spacing w:line="360" w:lineRule="auto"/>
        <w:jc w:val="left"/>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2、采购人在签订合同时，保留根据项目实际情况在合法范围内进行调整的权力，包括对</w:t>
      </w:r>
      <w:r>
        <w:rPr>
          <w:rFonts w:hint="eastAsia" w:ascii="Times New Roman" w:hAnsi="Times New Roman" w:eastAsia="宋体" w:cs="Times New Roman"/>
          <w:sz w:val="24"/>
          <w:szCs w:val="24"/>
          <w:lang w:eastAsia="zh-CN"/>
        </w:rPr>
        <w:t>项目</w:t>
      </w:r>
      <w:r>
        <w:rPr>
          <w:rFonts w:hint="eastAsia" w:ascii="Times New Roman" w:hAnsi="Times New Roman" w:eastAsia="宋体" w:cs="Times New Roman"/>
          <w:sz w:val="24"/>
          <w:szCs w:val="24"/>
        </w:rPr>
        <w:t>服务予以增加或减少。</w:t>
      </w:r>
    </w:p>
    <w:p>
      <w:pPr>
        <w:pageBreakBefore w:val="0"/>
        <w:kinsoku/>
        <w:wordWrap/>
        <w:overflowPunct/>
        <w:topLinePunct w:val="0"/>
        <w:bidi w:val="0"/>
        <w:adjustRightInd/>
        <w:snapToGrid w:val="0"/>
        <w:spacing w:line="360" w:lineRule="auto"/>
        <w:jc w:val="left"/>
        <w:rPr>
          <w:rFonts w:hint="eastAsia" w:ascii="Times New Roman" w:hAnsi="Times New Roman" w:eastAsia="宋体" w:cs="Times New Roman"/>
          <w:sz w:val="24"/>
          <w:szCs w:val="24"/>
        </w:rPr>
      </w:pPr>
      <w:bookmarkStart w:id="71" w:name="_Toc13223"/>
      <w:r>
        <w:rPr>
          <w:rFonts w:hint="eastAsia" w:ascii="Times New Roman" w:hAnsi="Times New Roman" w:eastAsia="宋体" w:cs="Times New Roman"/>
          <w:sz w:val="24"/>
          <w:szCs w:val="24"/>
        </w:rPr>
        <w:t>3、签订合同。</w:t>
      </w:r>
      <w:bookmarkEnd w:id="71"/>
    </w:p>
    <w:p>
      <w:pPr>
        <w:pageBreakBefore w:val="0"/>
        <w:kinsoku/>
        <w:wordWrap/>
        <w:overflowPunct/>
        <w:topLinePunct w:val="0"/>
        <w:bidi w:val="0"/>
        <w:adjustRightInd/>
        <w:snapToGrid w:val="0"/>
        <w:spacing w:line="360" w:lineRule="auto"/>
        <w:jc w:val="left"/>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（1）</w:t>
      </w:r>
      <w:r>
        <w:rPr>
          <w:rFonts w:hint="eastAsia" w:ascii="Times New Roman" w:hAnsi="Times New Roman" w:eastAsia="宋体" w:cs="Times New Roman"/>
          <w:sz w:val="24"/>
          <w:szCs w:val="24"/>
          <w:lang w:eastAsia="zh-CN"/>
        </w:rPr>
        <w:t>成交人</w:t>
      </w:r>
      <w:r>
        <w:rPr>
          <w:rFonts w:hint="eastAsia" w:ascii="Times New Roman" w:hAnsi="Times New Roman" w:eastAsia="宋体" w:cs="Times New Roman"/>
          <w:sz w:val="24"/>
          <w:szCs w:val="24"/>
        </w:rPr>
        <w:t>应及时与采购人签订合同，代理机构作为见证方见证。</w:t>
      </w:r>
    </w:p>
    <w:p>
      <w:pPr>
        <w:pageBreakBefore w:val="0"/>
        <w:kinsoku/>
        <w:wordWrap/>
        <w:overflowPunct/>
        <w:topLinePunct w:val="0"/>
        <w:bidi w:val="0"/>
        <w:adjustRightInd/>
        <w:snapToGrid w:val="0"/>
        <w:spacing w:line="360" w:lineRule="auto"/>
        <w:jc w:val="left"/>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（2）如果</w:t>
      </w:r>
      <w:r>
        <w:rPr>
          <w:rFonts w:hint="eastAsia" w:ascii="Times New Roman" w:hAnsi="Times New Roman" w:eastAsia="宋体" w:cs="Times New Roman"/>
          <w:sz w:val="24"/>
          <w:szCs w:val="24"/>
          <w:lang w:eastAsia="zh-CN"/>
        </w:rPr>
        <w:t>成交人</w:t>
      </w:r>
      <w:r>
        <w:rPr>
          <w:rFonts w:hint="eastAsia" w:ascii="Times New Roman" w:hAnsi="Times New Roman" w:eastAsia="宋体" w:cs="Times New Roman"/>
          <w:sz w:val="24"/>
          <w:szCs w:val="24"/>
        </w:rPr>
        <w:t>未能按规定领取</w:t>
      </w:r>
      <w:r>
        <w:rPr>
          <w:rFonts w:hint="eastAsia" w:ascii="Times New Roman" w:hAnsi="Times New Roman" w:eastAsia="宋体" w:cs="Times New Roman"/>
          <w:sz w:val="24"/>
          <w:szCs w:val="24"/>
          <w:lang w:eastAsia="zh-CN"/>
        </w:rPr>
        <w:t>成交通知书</w:t>
      </w:r>
      <w:r>
        <w:rPr>
          <w:rFonts w:hint="eastAsia" w:ascii="Times New Roman" w:hAnsi="Times New Roman" w:eastAsia="宋体" w:cs="Times New Roman"/>
          <w:sz w:val="24"/>
          <w:szCs w:val="24"/>
        </w:rPr>
        <w:t>并签约，经监管部门同意后，采购人将取消其</w:t>
      </w:r>
      <w:r>
        <w:rPr>
          <w:rFonts w:hint="eastAsia" w:ascii="Times New Roman" w:hAnsi="Times New Roman" w:eastAsia="宋体" w:cs="Times New Roman"/>
          <w:sz w:val="24"/>
          <w:szCs w:val="24"/>
          <w:lang w:eastAsia="zh-CN"/>
        </w:rPr>
        <w:t>成交</w:t>
      </w:r>
      <w:r>
        <w:rPr>
          <w:rFonts w:hint="eastAsia" w:ascii="Times New Roman" w:hAnsi="Times New Roman" w:eastAsia="宋体" w:cs="Times New Roman"/>
          <w:sz w:val="24"/>
          <w:szCs w:val="24"/>
        </w:rPr>
        <w:t>资格，并不退还其投标保证金。在此情况下将另选</w:t>
      </w:r>
      <w:r>
        <w:rPr>
          <w:rFonts w:hint="eastAsia" w:ascii="Times New Roman" w:hAnsi="Times New Roman" w:eastAsia="宋体" w:cs="Times New Roman"/>
          <w:sz w:val="24"/>
          <w:szCs w:val="24"/>
          <w:lang w:eastAsia="zh-CN"/>
        </w:rPr>
        <w:t>成交人</w:t>
      </w:r>
      <w:r>
        <w:rPr>
          <w:rFonts w:hint="eastAsia" w:ascii="Times New Roman" w:hAnsi="Times New Roman" w:eastAsia="宋体" w:cs="Times New Roman"/>
          <w:sz w:val="24"/>
          <w:szCs w:val="24"/>
        </w:rPr>
        <w:t>或重新招标。</w:t>
      </w:r>
    </w:p>
    <w:p>
      <w:pPr>
        <w:pageBreakBefore w:val="0"/>
        <w:kinsoku/>
        <w:wordWrap/>
        <w:overflowPunct/>
        <w:topLinePunct w:val="0"/>
        <w:bidi w:val="0"/>
        <w:adjustRightInd/>
        <w:snapToGrid w:val="0"/>
        <w:spacing w:line="360" w:lineRule="auto"/>
        <w:jc w:val="left"/>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4、</w:t>
      </w:r>
      <w:r>
        <w:rPr>
          <w:rFonts w:hint="eastAsia" w:ascii="Times New Roman" w:hAnsi="Times New Roman" w:eastAsia="宋体" w:cs="Times New Roman"/>
          <w:sz w:val="24"/>
          <w:szCs w:val="24"/>
          <w:lang w:eastAsia="zh-CN"/>
        </w:rPr>
        <w:t>竞争性磋商文件</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eastAsia="zh-CN"/>
        </w:rPr>
        <w:t>成交人</w:t>
      </w:r>
      <w:r>
        <w:rPr>
          <w:rFonts w:hint="eastAsia" w:ascii="Times New Roman" w:hAnsi="Times New Roman" w:eastAsia="宋体" w:cs="Times New Roman"/>
          <w:sz w:val="24"/>
          <w:szCs w:val="24"/>
        </w:rPr>
        <w:t>的</w:t>
      </w:r>
      <w:r>
        <w:rPr>
          <w:rFonts w:hint="eastAsia" w:ascii="Times New Roman" w:hAnsi="Times New Roman" w:eastAsia="宋体" w:cs="Times New Roman"/>
          <w:sz w:val="24"/>
          <w:szCs w:val="24"/>
          <w:lang w:eastAsia="zh-CN"/>
        </w:rPr>
        <w:t>竞争性磋商响应文件</w:t>
      </w:r>
      <w:r>
        <w:rPr>
          <w:rFonts w:hint="eastAsia" w:ascii="Times New Roman" w:hAnsi="Times New Roman" w:eastAsia="宋体" w:cs="Times New Roman"/>
          <w:sz w:val="24"/>
          <w:szCs w:val="24"/>
        </w:rPr>
        <w:t>、对</w:t>
      </w:r>
      <w:r>
        <w:rPr>
          <w:rFonts w:hint="eastAsia" w:ascii="Times New Roman" w:hAnsi="Times New Roman" w:eastAsia="宋体" w:cs="Times New Roman"/>
          <w:sz w:val="24"/>
          <w:szCs w:val="24"/>
          <w:lang w:eastAsia="zh-CN"/>
        </w:rPr>
        <w:t>竞争性磋商响应文件</w:t>
      </w:r>
      <w:r>
        <w:rPr>
          <w:rFonts w:hint="eastAsia" w:ascii="Times New Roman" w:hAnsi="Times New Roman" w:eastAsia="宋体" w:cs="Times New Roman"/>
          <w:sz w:val="24"/>
          <w:szCs w:val="24"/>
        </w:rPr>
        <w:t>的书面澄清、</w:t>
      </w:r>
      <w:r>
        <w:rPr>
          <w:rFonts w:hint="eastAsia" w:ascii="Times New Roman" w:hAnsi="Times New Roman" w:eastAsia="宋体" w:cs="Times New Roman"/>
          <w:sz w:val="24"/>
          <w:szCs w:val="24"/>
          <w:lang w:eastAsia="zh-CN"/>
        </w:rPr>
        <w:t>成交通知书</w:t>
      </w:r>
      <w:r>
        <w:rPr>
          <w:rFonts w:hint="eastAsia" w:ascii="Times New Roman" w:hAnsi="Times New Roman" w:eastAsia="宋体" w:cs="Times New Roman"/>
          <w:sz w:val="24"/>
          <w:szCs w:val="24"/>
        </w:rPr>
        <w:t>等均作为合同的附件，是合同的组成部分。</w:t>
      </w:r>
    </w:p>
    <w:p>
      <w:pPr>
        <w:keepNext w:val="0"/>
        <w:keepLines w:val="0"/>
        <w:pageBreakBefore w:val="0"/>
        <w:widowControl/>
        <w:kinsoku/>
        <w:wordWrap/>
        <w:overflowPunct/>
        <w:topLinePunct w:val="0"/>
        <w:autoSpaceDE/>
        <w:autoSpaceDN/>
        <w:bidi w:val="0"/>
        <w:adjustRightInd/>
        <w:snapToGrid w:val="0"/>
        <w:spacing w:line="360" w:lineRule="auto"/>
        <w:jc w:val="left"/>
        <w:textAlignment w:val="baseline"/>
        <w:rPr>
          <w:rFonts w:hint="eastAsia" w:ascii="宋体" w:hAnsi="宋体" w:eastAsia="宋体" w:cs="宋体"/>
          <w:color w:val="auto"/>
          <w:sz w:val="24"/>
          <w:szCs w:val="24"/>
          <w:highlight w:val="none"/>
        </w:rPr>
        <w:sectPr>
          <w:footerReference r:id="rId14" w:type="default"/>
          <w:pgSz w:w="11906" w:h="16838"/>
          <w:pgMar w:top="1440" w:right="1253" w:bottom="1440" w:left="1310" w:header="907" w:footer="680" w:gutter="0"/>
          <w:pgNumType w:fmt="decimal" w:start="1"/>
          <w:cols w:space="720" w:num="1"/>
          <w:docGrid w:type="lines" w:linePitch="312" w:charSpace="0"/>
        </w:sectPr>
      </w:pPr>
    </w:p>
    <w:p>
      <w:pPr>
        <w:pStyle w:val="3"/>
        <w:numPr>
          <w:ilvl w:val="0"/>
          <w:numId w:val="1"/>
        </w:numPr>
        <w:bidi w:val="0"/>
        <w:rPr>
          <w:rFonts w:hint="eastAsia" w:ascii="宋体" w:hAnsi="宋体" w:eastAsia="宋体" w:cs="宋体"/>
          <w:color w:val="auto"/>
          <w:sz w:val="36"/>
          <w:szCs w:val="36"/>
          <w:lang w:val="zh-CN" w:eastAsia="zh-CN"/>
        </w:rPr>
      </w:pPr>
      <w:bookmarkStart w:id="72" w:name="_Toc25881"/>
      <w:bookmarkStart w:id="73" w:name="_Toc23082"/>
      <w:bookmarkStart w:id="74" w:name="_Toc1004"/>
      <w:bookmarkStart w:id="75" w:name="_Toc30861"/>
      <w:bookmarkStart w:id="76" w:name="_Toc30425"/>
      <w:bookmarkStart w:id="77" w:name="_Toc10579"/>
      <w:bookmarkStart w:id="78" w:name="_Toc31486"/>
      <w:bookmarkStart w:id="79" w:name="_Toc6518"/>
      <w:bookmarkStart w:id="80" w:name="_Toc450138942"/>
      <w:r>
        <w:rPr>
          <w:rFonts w:hint="eastAsia" w:ascii="宋体" w:hAnsi="宋体" w:eastAsia="宋体" w:cs="宋体"/>
          <w:color w:val="auto"/>
          <w:sz w:val="36"/>
          <w:szCs w:val="36"/>
          <w:lang w:val="en-US" w:eastAsia="zh-CN"/>
        </w:rPr>
        <w:t xml:space="preserve">  </w:t>
      </w:r>
      <w:bookmarkEnd w:id="72"/>
      <w:bookmarkEnd w:id="73"/>
      <w:bookmarkEnd w:id="74"/>
      <w:bookmarkEnd w:id="75"/>
      <w:bookmarkEnd w:id="76"/>
      <w:bookmarkEnd w:id="77"/>
      <w:bookmarkEnd w:id="78"/>
      <w:bookmarkEnd w:id="79"/>
      <w:r>
        <w:rPr>
          <w:rFonts w:hint="eastAsia" w:ascii="宋体" w:hAnsi="宋体" w:cs="宋体"/>
          <w:color w:val="auto"/>
          <w:sz w:val="36"/>
          <w:szCs w:val="36"/>
          <w:lang w:val="en-US" w:eastAsia="zh-CN"/>
        </w:rPr>
        <w:t>采购内容及要求</w:t>
      </w:r>
    </w:p>
    <w:p>
      <w:pPr>
        <w:spacing w:line="360" w:lineRule="auto"/>
        <w:ind w:firstLine="482" w:firstLineChars="200"/>
        <w:jc w:val="left"/>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因本项目预算审核时将本项目名称报为：岚皋县医院DSA手术室建设项目，项目招标执行过程中均以项目名称：岚皋县医院2024年苏陕协作“组团式”帮扶介入导管室建设项目（导管室装饰装修）  进行招标，故工程量清单中项目名称均为：岚皋县医院DSA手术室建设项目，供应商参与投标时请均按照项目招标名称：岚皋县医院2024年苏陕协作“组团式”帮扶介入导管室建设项目（导管室装饰装修）进行投标及制作报价，特此说明！</w:t>
      </w:r>
    </w:p>
    <w:p>
      <w:pPr>
        <w:spacing w:line="360" w:lineRule="auto"/>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一、工程内容：</w:t>
      </w:r>
    </w:p>
    <w:p>
      <w:pPr>
        <w:spacing w:line="360" w:lineRule="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1.岚皋县医院2024年苏陕协作“组团式”帮扶介入导管室建设项目（导管室装饰装修）（具体详见工程量清单内容）。</w:t>
      </w:r>
    </w:p>
    <w:p>
      <w:pPr>
        <w:spacing w:line="360" w:lineRule="auto"/>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zh-CN" w:eastAsia="zh-CN"/>
        </w:rPr>
        <w:t>二、工程量清单编制说明</w:t>
      </w:r>
    </w:p>
    <w:p>
      <w:pPr>
        <w:keepNext w:val="0"/>
        <w:keepLines w:val="0"/>
        <w:widowControl/>
        <w:suppressLineNumbers w:val="0"/>
        <w:jc w:val="left"/>
      </w:pPr>
      <w:r>
        <w:rPr>
          <w:rFonts w:hint="eastAsia" w:ascii="宋体" w:hAnsi="宋体" w:eastAsia="宋体" w:cs="宋体"/>
          <w:color w:val="000000"/>
          <w:kern w:val="0"/>
          <w:sz w:val="28"/>
          <w:szCs w:val="28"/>
          <w:u w:val="none" w:color="000000"/>
          <w:lang w:val="en-US" w:eastAsia="zh-CN" w:bidi="ar"/>
        </w:rPr>
        <w:t xml:space="preserve">（一）、基本情况： </w:t>
      </w:r>
    </w:p>
    <w:p>
      <w:pPr>
        <w:pageBreakBefore w:val="0"/>
        <w:kinsoku/>
        <w:wordWrap/>
        <w:overflowPunct/>
        <w:topLinePunct w:val="0"/>
        <w:bidi w:val="0"/>
        <w:adjustRightInd/>
        <w:snapToGrid w:val="0"/>
        <w:spacing w:line="360" w:lineRule="auto"/>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1、项目名称：岚皋县医院DSA手术室建设项目。 </w:t>
      </w:r>
    </w:p>
    <w:p>
      <w:pPr>
        <w:pageBreakBefore w:val="0"/>
        <w:kinsoku/>
        <w:wordWrap/>
        <w:overflowPunct/>
        <w:topLinePunct w:val="0"/>
        <w:bidi w:val="0"/>
        <w:adjustRightInd/>
        <w:snapToGrid w:val="0"/>
        <w:spacing w:line="360" w:lineRule="auto"/>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2、工程概况：岚皋县医院DSA手术室建设项目工程，主要建设内容为装修工程、给排水、电气、通风空调等工程；具体以设计图及工程量清单为准。 </w:t>
      </w:r>
    </w:p>
    <w:p>
      <w:pPr>
        <w:pageBreakBefore w:val="0"/>
        <w:kinsoku/>
        <w:wordWrap/>
        <w:overflowPunct/>
        <w:topLinePunct w:val="0"/>
        <w:bidi w:val="0"/>
        <w:adjustRightInd/>
        <w:snapToGrid w:val="0"/>
        <w:spacing w:line="360" w:lineRule="auto"/>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3、建设地点：陕西省安康市岚皋县。 </w:t>
      </w:r>
    </w:p>
    <w:p>
      <w:pPr>
        <w:pageBreakBefore w:val="0"/>
        <w:kinsoku/>
        <w:wordWrap/>
        <w:overflowPunct/>
        <w:topLinePunct w:val="0"/>
        <w:bidi w:val="0"/>
        <w:adjustRightInd/>
        <w:snapToGrid w:val="0"/>
        <w:spacing w:line="360" w:lineRule="auto"/>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（二）、编制依据： </w:t>
      </w:r>
    </w:p>
    <w:p>
      <w:pPr>
        <w:pageBreakBefore w:val="0"/>
        <w:kinsoku/>
        <w:wordWrap/>
        <w:overflowPunct/>
        <w:topLinePunct w:val="0"/>
        <w:bidi w:val="0"/>
        <w:adjustRightInd/>
        <w:snapToGrid w:val="0"/>
        <w:spacing w:line="360" w:lineRule="auto"/>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1、《2009陕西省建设工程工程量清单计价规则》及配套文件。 </w:t>
      </w:r>
    </w:p>
    <w:p>
      <w:pPr>
        <w:pageBreakBefore w:val="0"/>
        <w:kinsoku/>
        <w:wordWrap/>
        <w:overflowPunct/>
        <w:topLinePunct w:val="0"/>
        <w:bidi w:val="0"/>
        <w:adjustRightInd/>
        <w:snapToGrid w:val="0"/>
        <w:spacing w:line="360" w:lineRule="auto"/>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2、本工程采用2009陕西计价规则，套用2009年《陕西省建筑装饰、绿化、市政消耗量定额》和2009年《陕西省建筑装饰、绿化、市政定额价目表》。 </w:t>
      </w:r>
    </w:p>
    <w:p>
      <w:pPr>
        <w:pageBreakBefore w:val="0"/>
        <w:kinsoku/>
        <w:wordWrap/>
        <w:overflowPunct/>
        <w:topLinePunct w:val="0"/>
        <w:bidi w:val="0"/>
        <w:adjustRightInd/>
        <w:snapToGrid w:val="0"/>
        <w:spacing w:line="360" w:lineRule="auto"/>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3、施工图纸、设计文件及开标前设计变更。 </w:t>
      </w:r>
    </w:p>
    <w:p>
      <w:pPr>
        <w:pageBreakBefore w:val="0"/>
        <w:kinsoku/>
        <w:wordWrap/>
        <w:overflowPunct/>
        <w:topLinePunct w:val="0"/>
        <w:bidi w:val="0"/>
        <w:adjustRightInd/>
        <w:snapToGrid w:val="0"/>
        <w:spacing w:line="360" w:lineRule="auto"/>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4、施工设计文件中选用的相关标准图集。 </w:t>
      </w:r>
    </w:p>
    <w:p>
      <w:pPr>
        <w:pageBreakBefore w:val="0"/>
        <w:kinsoku/>
        <w:wordWrap/>
        <w:overflowPunct/>
        <w:topLinePunct w:val="0"/>
        <w:bidi w:val="0"/>
        <w:adjustRightInd/>
        <w:snapToGrid w:val="0"/>
        <w:spacing w:line="360" w:lineRule="auto"/>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5、正常的施工措施及工艺需求。 </w:t>
      </w:r>
    </w:p>
    <w:p>
      <w:pPr>
        <w:pageBreakBefore w:val="0"/>
        <w:kinsoku/>
        <w:wordWrap/>
        <w:overflowPunct/>
        <w:topLinePunct w:val="0"/>
        <w:bidi w:val="0"/>
        <w:adjustRightInd/>
        <w:snapToGrid w:val="0"/>
        <w:spacing w:line="360" w:lineRule="auto"/>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（三）、软件版本及相关说明： </w:t>
      </w:r>
    </w:p>
    <w:p>
      <w:pPr>
        <w:pageBreakBefore w:val="0"/>
        <w:kinsoku/>
        <w:wordWrap/>
        <w:overflowPunct/>
        <w:topLinePunct w:val="0"/>
        <w:bidi w:val="0"/>
        <w:adjustRightInd/>
        <w:snapToGrid w:val="0"/>
        <w:spacing w:line="360" w:lineRule="auto"/>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1、本工程采用广联达计价软件GBQ6.0版本编制。 </w:t>
      </w:r>
    </w:p>
    <w:p>
      <w:pPr>
        <w:pageBreakBefore w:val="0"/>
        <w:kinsoku/>
        <w:wordWrap/>
        <w:overflowPunct/>
        <w:topLinePunct w:val="0"/>
        <w:bidi w:val="0"/>
        <w:adjustRightInd/>
        <w:snapToGrid w:val="0"/>
        <w:spacing w:line="360" w:lineRule="auto"/>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2、采用《陕西省建筑装饰工程消耗量定额》（2004版）及2009定额价目表编制。 </w:t>
      </w:r>
    </w:p>
    <w:p>
      <w:pPr>
        <w:pageBreakBefore w:val="0"/>
        <w:kinsoku/>
        <w:wordWrap/>
        <w:overflowPunct/>
        <w:topLinePunct w:val="0"/>
        <w:bidi w:val="0"/>
        <w:adjustRightInd/>
        <w:snapToGrid w:val="0"/>
        <w:spacing w:line="360" w:lineRule="auto"/>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3、最高限价编制执行《安康工程造价管理信息》2024年第3期信息价及当地市场材料价。 </w:t>
      </w:r>
    </w:p>
    <w:p>
      <w:pPr>
        <w:pageBreakBefore w:val="0"/>
        <w:kinsoku/>
        <w:wordWrap/>
        <w:overflowPunct/>
        <w:topLinePunct w:val="0"/>
        <w:bidi w:val="0"/>
        <w:adjustRightInd/>
        <w:snapToGrid w:val="0"/>
        <w:spacing w:line="360" w:lineRule="auto"/>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4、人工费单价执行陕建发【2021】1097号文人工费调整文件。 </w:t>
      </w:r>
    </w:p>
    <w:p>
      <w:pPr>
        <w:pageBreakBefore w:val="0"/>
        <w:kinsoku/>
        <w:wordWrap/>
        <w:overflowPunct/>
        <w:topLinePunct w:val="0"/>
        <w:bidi w:val="0"/>
        <w:adjustRightInd/>
        <w:snapToGrid w:val="0"/>
        <w:spacing w:line="360" w:lineRule="auto"/>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5、执行陕建发【2019】45号文件进行营业税改增值税调整。 </w:t>
      </w:r>
    </w:p>
    <w:p>
      <w:pPr>
        <w:pageBreakBefore w:val="0"/>
        <w:kinsoku/>
        <w:wordWrap/>
        <w:overflowPunct/>
        <w:topLinePunct w:val="0"/>
        <w:bidi w:val="0"/>
        <w:adjustRightInd/>
        <w:snapToGrid w:val="0"/>
        <w:spacing w:line="360" w:lineRule="auto"/>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6、安全文明施工措施费调整执行陕建发【2019】1246号文。 </w:t>
      </w:r>
    </w:p>
    <w:p>
      <w:pPr>
        <w:pageBreakBefore w:val="0"/>
        <w:kinsoku/>
        <w:wordWrap/>
        <w:overflowPunct/>
        <w:topLinePunct w:val="0"/>
        <w:bidi w:val="0"/>
        <w:adjustRightInd/>
        <w:snapToGrid w:val="0"/>
        <w:spacing w:line="360" w:lineRule="auto"/>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7、建筑施工安全生产责任保险执行陕建发【2020】1097号文件。 </w:t>
      </w:r>
    </w:p>
    <w:p>
      <w:pPr>
        <w:pageBreakBefore w:val="0"/>
        <w:kinsoku/>
        <w:wordWrap/>
        <w:overflowPunct/>
        <w:topLinePunct w:val="0"/>
        <w:bidi w:val="0"/>
        <w:adjustRightInd/>
        <w:snapToGrid w:val="0"/>
        <w:spacing w:line="360" w:lineRule="auto"/>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8、养老保险执行陕建发【2021】61号文件。 </w:t>
      </w:r>
    </w:p>
    <w:p>
      <w:pPr>
        <w:pageBreakBefore w:val="0"/>
        <w:kinsoku/>
        <w:wordWrap/>
        <w:overflowPunct/>
        <w:topLinePunct w:val="0"/>
        <w:bidi w:val="0"/>
        <w:adjustRightInd/>
        <w:snapToGrid w:val="0"/>
        <w:spacing w:line="360" w:lineRule="auto"/>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（四）、投标人计价要求： </w:t>
      </w:r>
    </w:p>
    <w:p>
      <w:pPr>
        <w:pageBreakBefore w:val="0"/>
        <w:kinsoku/>
        <w:wordWrap/>
        <w:overflowPunct/>
        <w:topLinePunct w:val="0"/>
        <w:bidi w:val="0"/>
        <w:adjustRightInd/>
        <w:snapToGrid w:val="0"/>
        <w:spacing w:line="360" w:lineRule="auto"/>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1、投标人应依据《计价规则》规定和招标文件要求进行计价，工程量清单计价内容包括分部分项工程费、措施项目费、其他项费、规费、税金。工程量清单计价以综合单价计价，综合单价应依据《计价规则》的程序组价。 </w:t>
      </w:r>
    </w:p>
    <w:p>
      <w:pPr>
        <w:pageBreakBefore w:val="0"/>
        <w:kinsoku/>
        <w:wordWrap/>
        <w:overflowPunct/>
        <w:topLinePunct w:val="0"/>
        <w:bidi w:val="0"/>
        <w:adjustRightInd/>
        <w:snapToGrid w:val="0"/>
        <w:spacing w:line="360" w:lineRule="auto"/>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2、工程量清单中的每一个项目都需填入单价；对于没有填入单价或总额价的项目，其费用应视为已包括在工程量的其他单价或总额中，承包人必须按监理工程师指令完成工程量清单中未填入单价或总额价的工程项目。 </w:t>
      </w:r>
    </w:p>
    <w:p>
      <w:pPr>
        <w:pageBreakBefore w:val="0"/>
        <w:kinsoku/>
        <w:wordWrap/>
        <w:overflowPunct/>
        <w:topLinePunct w:val="0"/>
        <w:bidi w:val="0"/>
        <w:adjustRightInd/>
        <w:snapToGrid w:val="0"/>
        <w:spacing w:line="360" w:lineRule="auto"/>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3、本工程量清单中所提供的工程项目其内容仅表达了主要工程做法，报价时各投标单位应依据图纸用料说明、相关标准图集，结合招标文件、合同条款、技术规范、图纸、答疑纪要等文件来进行组价。 </w:t>
      </w:r>
    </w:p>
    <w:p>
      <w:pPr>
        <w:pageBreakBefore w:val="0"/>
        <w:kinsoku/>
        <w:wordWrap/>
        <w:overflowPunct/>
        <w:topLinePunct w:val="0"/>
        <w:bidi w:val="0"/>
        <w:adjustRightInd/>
        <w:snapToGrid w:val="0"/>
        <w:spacing w:line="360" w:lineRule="auto"/>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4、投标人根据《计价规则》规定和投标文件要求格式计价，其中人工费、材料费、机械费，投标人应根据施工组织设计、企业实际情况、市场信息价自主报价。 </w:t>
      </w:r>
    </w:p>
    <w:p>
      <w:pPr>
        <w:pageBreakBefore w:val="0"/>
        <w:kinsoku/>
        <w:wordWrap/>
        <w:overflowPunct/>
        <w:topLinePunct w:val="0"/>
        <w:bidi w:val="0"/>
        <w:adjustRightInd/>
        <w:snapToGrid w:val="0"/>
        <w:spacing w:line="360" w:lineRule="auto"/>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组价时应考虑以下因素：人工费、材料费、机械费社会价格浮动因素，自然灾害及停水、停电、窝工损失等风险费用。 </w:t>
      </w:r>
    </w:p>
    <w:p>
      <w:pPr>
        <w:pageBreakBefore w:val="0"/>
        <w:kinsoku/>
        <w:wordWrap/>
        <w:overflowPunct/>
        <w:topLinePunct w:val="0"/>
        <w:bidi w:val="0"/>
        <w:adjustRightInd/>
        <w:snapToGrid w:val="0"/>
        <w:spacing w:line="360" w:lineRule="auto"/>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（五）、计量计价说明： </w:t>
      </w:r>
    </w:p>
    <w:p>
      <w:pPr>
        <w:pageBreakBefore w:val="0"/>
        <w:kinsoku/>
        <w:wordWrap/>
        <w:overflowPunct/>
        <w:topLinePunct w:val="0"/>
        <w:bidi w:val="0"/>
        <w:adjustRightInd/>
        <w:snapToGrid w:val="0"/>
        <w:spacing w:line="360" w:lineRule="auto"/>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（1）安康当期信息价缺失的材料采用广材网询价、市场自主询价确定； </w:t>
      </w:r>
    </w:p>
    <w:p>
      <w:pPr>
        <w:pageBreakBefore w:val="0"/>
        <w:kinsoku/>
        <w:wordWrap/>
        <w:overflowPunct/>
        <w:topLinePunct w:val="0"/>
        <w:bidi w:val="0"/>
        <w:adjustRightInd/>
        <w:snapToGrid w:val="0"/>
        <w:spacing w:line="360" w:lineRule="auto"/>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（2）不详之处参见工程量清单和设计图纸等相关文件； </w:t>
      </w:r>
    </w:p>
    <w:p>
      <w:pPr>
        <w:pageBreakBefore w:val="0"/>
        <w:kinsoku/>
        <w:wordWrap/>
        <w:overflowPunct/>
        <w:topLinePunct w:val="0"/>
        <w:bidi w:val="0"/>
        <w:adjustRightInd/>
        <w:snapToGrid w:val="0"/>
        <w:spacing w:line="360" w:lineRule="auto"/>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（3）手术室内设备仪器的钢构预埋无相关图纸资料，暂按80000.00元暂估，结算按实际发生工程量结算；</w:t>
      </w:r>
    </w:p>
    <w:p>
      <w:pPr>
        <w:pageBreakBefore w:val="0"/>
        <w:kinsoku/>
        <w:wordWrap/>
        <w:overflowPunct/>
        <w:topLinePunct w:val="0"/>
        <w:bidi w:val="0"/>
        <w:adjustRightInd/>
        <w:snapToGrid w:val="0"/>
        <w:spacing w:line="360" w:lineRule="auto"/>
        <w:jc w:val="left"/>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三、工程量清单：</w:t>
      </w:r>
    </w:p>
    <w:p>
      <w:pPr>
        <w:pageBreakBefore w:val="0"/>
        <w:kinsoku/>
        <w:wordWrap/>
        <w:overflowPunct/>
        <w:topLinePunct w:val="0"/>
        <w:bidi w:val="0"/>
        <w:adjustRightInd/>
        <w:snapToGrid w:val="0"/>
        <w:spacing w:line="360" w:lineRule="auto"/>
        <w:jc w:val="left"/>
        <w:rPr>
          <w:rFonts w:hint="eastAsia" w:ascii="Times New Roman" w:hAnsi="Times New Roman" w:eastAsia="宋体" w:cs="Times New Roman"/>
          <w:sz w:val="24"/>
          <w:szCs w:val="24"/>
          <w:lang w:val="zh-CN" w:eastAsia="zh-CN"/>
        </w:rPr>
      </w:pPr>
    </w:p>
    <w:p>
      <w:pPr>
        <w:pageBreakBefore w:val="0"/>
        <w:kinsoku/>
        <w:wordWrap/>
        <w:overflowPunct/>
        <w:topLinePunct w:val="0"/>
        <w:bidi w:val="0"/>
        <w:adjustRightInd/>
        <w:snapToGrid w:val="0"/>
        <w:spacing w:line="360" w:lineRule="auto"/>
        <w:jc w:val="left"/>
        <w:rPr>
          <w:rFonts w:hint="eastAsia"/>
          <w:lang w:val="zh-CN" w:eastAsia="zh-CN"/>
        </w:rPr>
      </w:pPr>
      <w:r>
        <w:rPr>
          <w:rFonts w:hint="eastAsia" w:ascii="Times New Roman" w:hAnsi="Times New Roman" w:eastAsia="宋体" w:cs="Times New Roman"/>
          <w:sz w:val="24"/>
          <w:szCs w:val="24"/>
          <w:lang w:val="zh-CN" w:eastAsia="zh-CN"/>
        </w:rPr>
        <w:t>（另附）</w:t>
      </w:r>
      <w:r>
        <w:rPr>
          <w:rFonts w:hint="eastAsia" w:ascii="Times New Roman" w:hAnsi="Times New Roman" w:eastAsia="宋体" w:cs="Times New Roman"/>
          <w:sz w:val="24"/>
          <w:szCs w:val="24"/>
          <w:lang w:val="zh-CN" w:eastAsia="zh-CN"/>
        </w:rPr>
        <w:br w:type="page"/>
      </w:r>
    </w:p>
    <w:p>
      <w:pPr>
        <w:pStyle w:val="2"/>
        <w:rPr>
          <w:rFonts w:hint="eastAsia"/>
          <w:lang w:val="zh-CN" w:eastAsia="zh-CN"/>
        </w:rPr>
      </w:pPr>
    </w:p>
    <w:bookmarkEnd w:id="80"/>
    <w:p>
      <w:pPr>
        <w:pStyle w:val="3"/>
        <w:pageBreakBefore w:val="0"/>
        <w:wordWrap/>
        <w:overflowPunct/>
        <w:topLinePunct w:val="0"/>
        <w:bidi w:val="0"/>
        <w:spacing w:before="0" w:after="0" w:line="600" w:lineRule="exact"/>
        <w:jc w:val="center"/>
        <w:rPr>
          <w:rFonts w:hint="eastAsia" w:ascii="宋体" w:hAnsi="宋体" w:eastAsia="宋体" w:cs="宋体"/>
          <w:highlight w:val="none"/>
          <w:lang w:eastAsia="zh-CN"/>
        </w:rPr>
      </w:pPr>
      <w:bookmarkStart w:id="81" w:name="_Toc4409"/>
      <w:bookmarkStart w:id="82" w:name="_Toc328739379"/>
      <w:bookmarkStart w:id="83" w:name="_Toc29169"/>
      <w:bookmarkStart w:id="84" w:name="_Toc15858"/>
      <w:r>
        <w:rPr>
          <w:rFonts w:hint="eastAsia" w:ascii="宋体" w:hAnsi="宋体" w:eastAsia="宋体" w:cs="宋体"/>
          <w:highlight w:val="none"/>
          <w:lang w:eastAsia="zh-CN"/>
        </w:rPr>
        <w:t>第四部分</w:t>
      </w:r>
      <w:r>
        <w:rPr>
          <w:rFonts w:hint="eastAsia" w:ascii="宋体" w:hAnsi="宋体" w:eastAsia="宋体" w:cs="宋体"/>
          <w:highlight w:val="none"/>
          <w:lang w:val="en-US" w:eastAsia="zh-CN"/>
        </w:rPr>
        <w:t xml:space="preserve">  </w:t>
      </w:r>
      <w:r>
        <w:rPr>
          <w:rFonts w:hint="eastAsia" w:ascii="宋体" w:hAnsi="宋体" w:eastAsia="宋体" w:cs="宋体"/>
          <w:highlight w:val="none"/>
          <w:lang w:eastAsia="zh-CN"/>
        </w:rPr>
        <w:t>商务要求</w:t>
      </w:r>
      <w:bookmarkEnd w:id="81"/>
    </w:p>
    <w:p>
      <w:pPr>
        <w:keepNext w:val="0"/>
        <w:keepLines w:val="0"/>
        <w:pageBreakBefore w:val="0"/>
        <w:kinsoku/>
        <w:wordWrap/>
        <w:overflowPunct/>
        <w:topLinePunct w:val="0"/>
        <w:autoSpaceDE/>
        <w:autoSpaceDN/>
        <w:bidi w:val="0"/>
        <w:adjustRightInd w:val="0"/>
        <w:snapToGrid w:val="0"/>
        <w:spacing w:line="360" w:lineRule="auto"/>
        <w:ind w:firstLine="482" w:firstLineChars="200"/>
        <w:rPr>
          <w:rFonts w:hint="eastAsia" w:ascii="宋体" w:hAnsi="宋体" w:eastAsia="宋体" w:cs="宋体"/>
          <w:b/>
          <w:color w:val="000000"/>
          <w:sz w:val="24"/>
          <w:szCs w:val="24"/>
        </w:rPr>
      </w:pPr>
      <w:bookmarkStart w:id="85" w:name="_Toc31686"/>
      <w:r>
        <w:rPr>
          <w:rFonts w:hint="eastAsia" w:ascii="宋体" w:hAnsi="宋体" w:eastAsia="宋体" w:cs="宋体"/>
          <w:b/>
          <w:color w:val="000000"/>
          <w:sz w:val="24"/>
          <w:szCs w:val="24"/>
        </w:rPr>
        <w:t>一、</w:t>
      </w:r>
      <w:r>
        <w:rPr>
          <w:rFonts w:hint="eastAsia" w:ascii="宋体" w:hAnsi="宋体" w:eastAsia="宋体" w:cs="宋体"/>
          <w:b/>
          <w:color w:val="000000"/>
          <w:sz w:val="24"/>
          <w:szCs w:val="24"/>
          <w:lang w:eastAsia="zh-CN"/>
        </w:rPr>
        <w:t>服务期限及服务地点</w:t>
      </w:r>
      <w:r>
        <w:rPr>
          <w:rFonts w:hint="eastAsia" w:ascii="宋体" w:hAnsi="宋体" w:eastAsia="宋体" w:cs="宋体"/>
          <w:b/>
          <w:color w:val="000000"/>
          <w:sz w:val="24"/>
          <w:szCs w:val="24"/>
        </w:rPr>
        <w:t>：</w:t>
      </w:r>
      <w:bookmarkEnd w:id="85"/>
    </w:p>
    <w:p>
      <w:pPr>
        <w:pageBreakBefore w:val="0"/>
        <w:kinsoku/>
        <w:wordWrap/>
        <w:overflowPunct/>
        <w:topLinePunct w:val="0"/>
        <w:autoSpaceDE/>
        <w:autoSpaceDN/>
        <w:bidi w:val="0"/>
        <w:adjustRightInd/>
        <w:snapToGrid/>
        <w:spacing w:line="360" w:lineRule="auto"/>
        <w:ind w:firstLine="480" w:firstLineChars="200"/>
        <w:rPr>
          <w:rFonts w:hint="eastAsia" w:ascii="宋体" w:hAnsi="宋体" w:cs="宋体"/>
          <w:sz w:val="24"/>
          <w:szCs w:val="24"/>
          <w:highlight w:val="yellow"/>
          <w:lang w:val="en-US" w:eastAsia="zh-CN"/>
        </w:rPr>
      </w:pPr>
      <w:r>
        <w:rPr>
          <w:rFonts w:hint="eastAsia" w:ascii="宋体" w:hAnsi="宋体" w:eastAsia="宋体" w:cs="宋体"/>
          <w:color w:val="auto"/>
          <w:sz w:val="24"/>
          <w:szCs w:val="24"/>
          <w:highlight w:val="none"/>
          <w:lang w:val="en-US" w:eastAsia="zh-CN"/>
        </w:rPr>
        <w:t>1、工期：自合同签订后 60个日历日。</w:t>
      </w:r>
    </w:p>
    <w:p>
      <w:pPr>
        <w:pStyle w:val="13"/>
        <w:ind w:firstLine="480" w:firstLineChars="200"/>
        <w:rPr>
          <w:rFonts w:hint="default" w:ascii="宋体" w:hAnsi="宋体" w:eastAsia="宋体" w:cs="宋体"/>
          <w:color w:val="auto"/>
          <w:sz w:val="24"/>
          <w:szCs w:val="24"/>
          <w:highlight w:val="none"/>
          <w:u w:val="none" w:color="000000"/>
          <w:lang w:val="en-US" w:eastAsia="zh-CN" w:bidi="ar-SA"/>
        </w:rPr>
      </w:pPr>
      <w:r>
        <w:rPr>
          <w:rFonts w:hint="eastAsia" w:ascii="宋体" w:hAnsi="宋体" w:eastAsia="宋体" w:cs="宋体"/>
          <w:color w:val="auto"/>
          <w:sz w:val="24"/>
          <w:szCs w:val="24"/>
          <w:highlight w:val="none"/>
          <w:u w:val="none" w:color="000000"/>
          <w:lang w:val="en-US" w:eastAsia="zh-CN" w:bidi="ar-SA"/>
        </w:rPr>
        <w:t>2、工程质保期：屋面防水工程、有防水要求的卫生间、房间和外墙面的防渗漏，为5年；电气系统、给排水管道、设备安装为2年；装修工程质量为2年。保修期自装饰装修工程竣工验收合格之日起计算。</w:t>
      </w:r>
    </w:p>
    <w:p>
      <w:pPr>
        <w:keepNext w:val="0"/>
        <w:keepLines w:val="0"/>
        <w:pageBreakBefore w:val="0"/>
        <w:widowControl w:val="0"/>
        <w:shd w:val="clear"/>
        <w:kinsoku/>
        <w:wordWrap/>
        <w:overflowPunct/>
        <w:topLinePunct w:val="0"/>
        <w:autoSpaceDE/>
        <w:autoSpaceDN/>
        <w:bidi w:val="0"/>
        <w:spacing w:line="360" w:lineRule="auto"/>
        <w:ind w:firstLine="480" w:firstLineChars="200"/>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服务</w:t>
      </w:r>
      <w:r>
        <w:rPr>
          <w:rFonts w:hint="eastAsia" w:ascii="宋体" w:hAnsi="宋体" w:eastAsia="宋体" w:cs="宋体"/>
          <w:color w:val="auto"/>
          <w:sz w:val="24"/>
          <w:szCs w:val="24"/>
          <w:highlight w:val="none"/>
        </w:rPr>
        <w:t>地点：采购人指定地点</w:t>
      </w:r>
      <w:r>
        <w:rPr>
          <w:rFonts w:hint="eastAsia" w:ascii="宋体" w:hAnsi="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工程质量</w:t>
      </w:r>
      <w:r>
        <w:rPr>
          <w:rFonts w:hint="eastAsia" w:ascii="宋体" w:hAnsi="宋体" w:eastAsia="宋体" w:cs="宋体"/>
          <w:sz w:val="24"/>
          <w:szCs w:val="24"/>
          <w:highlight w:val="none"/>
        </w:rPr>
        <w:t>：合格</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b/>
          <w:bCs/>
          <w:sz w:val="24"/>
          <w:szCs w:val="24"/>
          <w:highlight w:val="none"/>
        </w:rPr>
      </w:pPr>
      <w:bookmarkStart w:id="86" w:name="_Toc167714038"/>
      <w:bookmarkStart w:id="87" w:name="_Toc167715235"/>
      <w:bookmarkStart w:id="88" w:name="_Toc167712840"/>
      <w:r>
        <w:rPr>
          <w:rFonts w:hint="eastAsia" w:ascii="宋体" w:hAnsi="宋体" w:eastAsia="宋体" w:cs="宋体"/>
          <w:b/>
          <w:bCs/>
          <w:sz w:val="24"/>
          <w:szCs w:val="24"/>
          <w:highlight w:val="none"/>
        </w:rPr>
        <w:t>二、运输、进度</w:t>
      </w:r>
      <w:bookmarkStart w:id="89" w:name="_Toc167715236"/>
      <w:bookmarkStart w:id="90" w:name="_Toc167712841"/>
      <w:bookmarkStart w:id="91" w:name="_Toc167714039"/>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sz w:val="24"/>
          <w:szCs w:val="24"/>
          <w:lang w:val="en-US" w:eastAsia="zh-CN"/>
        </w:rPr>
      </w:pPr>
      <w:r>
        <w:rPr>
          <w:rFonts w:hint="eastAsia" w:ascii="宋体" w:hAnsi="宋体" w:eastAsia="宋体" w:cs="宋体"/>
          <w:sz w:val="24"/>
          <w:szCs w:val="24"/>
          <w:highlight w:val="none"/>
          <w:lang w:eastAsia="zh-CN"/>
        </w:rPr>
        <w:t>成交单位</w:t>
      </w:r>
      <w:r>
        <w:rPr>
          <w:rFonts w:hint="eastAsia" w:ascii="宋体" w:hAnsi="宋体" w:eastAsia="宋体" w:cs="宋体"/>
          <w:sz w:val="24"/>
          <w:szCs w:val="24"/>
          <w:highlight w:val="none"/>
        </w:rPr>
        <w:t>负责施工过程中的材料的运输等。</w:t>
      </w:r>
      <w:bookmarkEnd w:id="86"/>
      <w:bookmarkEnd w:id="87"/>
      <w:bookmarkEnd w:id="88"/>
      <w:bookmarkEnd w:id="89"/>
      <w:bookmarkEnd w:id="90"/>
      <w:bookmarkEnd w:id="91"/>
    </w:p>
    <w:p>
      <w:pPr>
        <w:keepNext w:val="0"/>
        <w:keepLines w:val="0"/>
        <w:pageBreakBefore w:val="0"/>
        <w:kinsoku/>
        <w:wordWrap/>
        <w:overflowPunct/>
        <w:topLinePunct w:val="0"/>
        <w:autoSpaceDE/>
        <w:autoSpaceDN/>
        <w:bidi w:val="0"/>
        <w:adjustRightInd w:val="0"/>
        <w:snapToGrid w:val="0"/>
        <w:spacing w:line="360" w:lineRule="auto"/>
        <w:ind w:firstLine="482" w:firstLineChars="200"/>
        <w:rPr>
          <w:rFonts w:hint="eastAsia" w:ascii="宋体" w:hAnsi="宋体" w:cs="宋体"/>
          <w:color w:val="000000"/>
          <w:sz w:val="24"/>
          <w:szCs w:val="24"/>
        </w:rPr>
      </w:pPr>
      <w:r>
        <w:rPr>
          <w:rFonts w:hint="eastAsia" w:ascii="宋体" w:hAnsi="宋体" w:cs="宋体"/>
          <w:b/>
          <w:color w:val="000000"/>
          <w:sz w:val="24"/>
          <w:szCs w:val="24"/>
          <w:lang w:eastAsia="zh-CN"/>
        </w:rPr>
        <w:t>三</w:t>
      </w:r>
      <w:r>
        <w:rPr>
          <w:rFonts w:hint="eastAsia" w:ascii="宋体" w:hAnsi="宋体" w:cs="宋体"/>
          <w:b/>
          <w:color w:val="000000"/>
          <w:sz w:val="24"/>
          <w:szCs w:val="24"/>
        </w:rPr>
        <w:t>、付款方式</w:t>
      </w:r>
      <w:r>
        <w:rPr>
          <w:rFonts w:hint="eastAsia" w:ascii="宋体" w:hAnsi="宋体" w:cs="宋体"/>
          <w:color w:val="000000"/>
          <w:sz w:val="24"/>
          <w:szCs w:val="24"/>
        </w:rPr>
        <w:t>：</w:t>
      </w:r>
    </w:p>
    <w:p>
      <w:pPr>
        <w:keepNext w:val="0"/>
        <w:keepLines w:val="0"/>
        <w:pageBreakBefore w:val="0"/>
        <w:kinsoku/>
        <w:wordWrap/>
        <w:overflowPunct/>
        <w:topLinePunct w:val="0"/>
        <w:autoSpaceDE/>
        <w:autoSpaceDN/>
        <w:bidi w:val="0"/>
        <w:adjustRightInd w:val="0"/>
        <w:spacing w:line="360" w:lineRule="auto"/>
        <w:ind w:firstLine="480" w:firstLineChars="200"/>
        <w:rPr>
          <w:rFonts w:hint="eastAsia" w:ascii="宋体" w:hAnsi="宋体" w:eastAsia="宋体" w:cs="宋体"/>
          <w:sz w:val="24"/>
          <w:szCs w:val="24"/>
        </w:rPr>
      </w:pPr>
      <w:bookmarkStart w:id="92" w:name="_Toc167712849"/>
      <w:bookmarkStart w:id="93" w:name="_Toc167714047"/>
      <w:bookmarkStart w:id="94" w:name="_Toc167715244"/>
      <w:r>
        <w:rPr>
          <w:rFonts w:hint="eastAsia" w:ascii="宋体" w:hAnsi="宋体" w:eastAsia="宋体" w:cs="宋体"/>
          <w:sz w:val="24"/>
          <w:szCs w:val="24"/>
        </w:rPr>
        <w:t>本工程</w:t>
      </w:r>
      <w:r>
        <w:rPr>
          <w:rFonts w:hint="eastAsia" w:ascii="宋体" w:hAnsi="宋体" w:eastAsia="宋体" w:cs="宋体"/>
          <w:sz w:val="24"/>
          <w:szCs w:val="24"/>
          <w:lang w:val="en-US" w:eastAsia="zh-CN"/>
        </w:rPr>
        <w:t>主要工程管理人员和设备到场开工</w:t>
      </w:r>
      <w:r>
        <w:rPr>
          <w:rFonts w:hint="eastAsia" w:ascii="宋体" w:hAnsi="宋体" w:eastAsia="宋体" w:cs="宋体"/>
          <w:sz w:val="24"/>
          <w:szCs w:val="24"/>
        </w:rPr>
        <w:t>后付</w:t>
      </w:r>
      <w:r>
        <w:rPr>
          <w:rFonts w:hint="eastAsia" w:ascii="宋体" w:hAnsi="宋体" w:eastAsia="宋体" w:cs="宋体"/>
          <w:sz w:val="24"/>
          <w:szCs w:val="24"/>
          <w:lang w:val="en-US" w:eastAsia="zh-CN"/>
        </w:rPr>
        <w:t>总工程款</w:t>
      </w:r>
      <w:r>
        <w:rPr>
          <w:rFonts w:hint="eastAsia" w:ascii="宋体" w:hAnsi="宋体" w:eastAsia="宋体" w:cs="宋体"/>
          <w:sz w:val="24"/>
          <w:szCs w:val="24"/>
        </w:rPr>
        <w:t>30%，工程施工进度超过50%后，可再按工程进度支付工程款，支付金额不超过工程总价款的80%，以双方共同确认的完成工程数量统计表为准；工程完工并通过竣工验收合格后，付至所有完成工程量价款的90%；结算书经审计部门审核（结果经双方签字盖章确认）后付清剩余款项。</w:t>
      </w:r>
    </w:p>
    <w:p>
      <w:pPr>
        <w:keepNext w:val="0"/>
        <w:keepLines w:val="0"/>
        <w:pageBreakBefore w:val="0"/>
        <w:kinsoku/>
        <w:wordWrap/>
        <w:overflowPunct/>
        <w:topLinePunct w:val="0"/>
        <w:autoSpaceDE/>
        <w:autoSpaceDN/>
        <w:bidi w:val="0"/>
        <w:spacing w:line="360" w:lineRule="auto"/>
        <w:ind w:firstLine="482" w:firstLineChars="200"/>
        <w:rPr>
          <w:rFonts w:hint="eastAsia" w:ascii="宋体" w:hAnsi="宋体" w:cs="宋体"/>
          <w:b/>
          <w:sz w:val="24"/>
          <w:szCs w:val="24"/>
        </w:rPr>
      </w:pPr>
      <w:r>
        <w:rPr>
          <w:rFonts w:hint="eastAsia" w:ascii="宋体" w:hAnsi="宋体" w:cs="宋体"/>
          <w:b/>
          <w:sz w:val="24"/>
          <w:szCs w:val="24"/>
        </w:rPr>
        <w:t>三、合同实施</w:t>
      </w:r>
      <w:bookmarkStart w:id="95" w:name="_Toc167712869"/>
      <w:bookmarkStart w:id="96" w:name="_Toc167714067"/>
      <w:bookmarkStart w:id="97" w:name="_Toc167715264"/>
    </w:p>
    <w:bookmarkEnd w:id="95"/>
    <w:bookmarkEnd w:id="96"/>
    <w:bookmarkEnd w:id="97"/>
    <w:p>
      <w:pPr>
        <w:keepNext w:val="0"/>
        <w:keepLines w:val="0"/>
        <w:pageBreakBefore w:val="0"/>
        <w:kinsoku/>
        <w:wordWrap/>
        <w:overflowPunct/>
        <w:topLinePunct w:val="0"/>
        <w:autoSpaceDE/>
        <w:autoSpaceDN/>
        <w:bidi w:val="0"/>
        <w:adjustRightInd w:val="0"/>
        <w:spacing w:line="360" w:lineRule="auto"/>
        <w:ind w:firstLine="480" w:firstLineChars="200"/>
        <w:rPr>
          <w:rFonts w:hint="eastAsia" w:ascii="宋体" w:hAnsi="宋体" w:cs="宋体"/>
          <w:sz w:val="24"/>
          <w:szCs w:val="24"/>
        </w:rPr>
      </w:pPr>
      <w:r>
        <w:rPr>
          <w:rFonts w:hint="eastAsia" w:ascii="宋体" w:hAnsi="宋体" w:cs="宋体"/>
          <w:sz w:val="24"/>
          <w:szCs w:val="24"/>
        </w:rPr>
        <w:t>1、成交供应商应在合同签订后7个日历日内安排人员与使用单位就此项目等一系列工作进行安排、部署。</w:t>
      </w:r>
    </w:p>
    <w:p>
      <w:pPr>
        <w:keepNext w:val="0"/>
        <w:keepLines w:val="0"/>
        <w:pageBreakBefore w:val="0"/>
        <w:kinsoku/>
        <w:wordWrap/>
        <w:overflowPunct/>
        <w:topLinePunct w:val="0"/>
        <w:autoSpaceDE/>
        <w:autoSpaceDN/>
        <w:bidi w:val="0"/>
        <w:adjustRightInd w:val="0"/>
        <w:spacing w:line="360" w:lineRule="auto"/>
        <w:ind w:firstLine="480" w:firstLineChars="200"/>
        <w:rPr>
          <w:rFonts w:hint="eastAsia" w:ascii="宋体" w:hAnsi="宋体" w:cs="宋体"/>
          <w:sz w:val="24"/>
          <w:szCs w:val="24"/>
        </w:rPr>
      </w:pPr>
      <w:r>
        <w:rPr>
          <w:rFonts w:hint="eastAsia" w:ascii="宋体" w:hAnsi="宋体" w:cs="宋体"/>
          <w:sz w:val="24"/>
          <w:szCs w:val="24"/>
        </w:rPr>
        <w:t>2、若未能完成合同规定的义务，由此对采购人造成的延误和一切损失，将由成交供应商弥补采购人的损失。</w:t>
      </w:r>
    </w:p>
    <w:p>
      <w:pPr>
        <w:keepNext w:val="0"/>
        <w:keepLines w:val="0"/>
        <w:pageBreakBefore w:val="0"/>
        <w:kinsoku/>
        <w:wordWrap/>
        <w:overflowPunct/>
        <w:topLinePunct w:val="0"/>
        <w:autoSpaceDE/>
        <w:autoSpaceDN/>
        <w:bidi w:val="0"/>
        <w:adjustRightInd w:val="0"/>
        <w:spacing w:line="360" w:lineRule="auto"/>
        <w:ind w:firstLine="482" w:firstLineChars="200"/>
        <w:rPr>
          <w:rFonts w:hint="eastAsia" w:ascii="宋体" w:hAnsi="宋体" w:cs="宋体"/>
          <w:b/>
          <w:bCs/>
          <w:sz w:val="24"/>
          <w:szCs w:val="24"/>
        </w:rPr>
      </w:pPr>
      <w:r>
        <w:rPr>
          <w:rFonts w:hint="eastAsia" w:ascii="宋体" w:hAnsi="宋体" w:cs="宋体"/>
          <w:b/>
          <w:bCs/>
          <w:kern w:val="0"/>
          <w:sz w:val="24"/>
          <w:szCs w:val="24"/>
        </w:rPr>
        <w:t>四、服务承诺</w:t>
      </w:r>
      <w:r>
        <w:rPr>
          <w:rFonts w:hint="eastAsia" w:ascii="宋体" w:hAnsi="宋体" w:cs="宋体"/>
          <w:b/>
          <w:bCs/>
          <w:sz w:val="24"/>
          <w:szCs w:val="24"/>
        </w:rPr>
        <w:t>:</w:t>
      </w:r>
    </w:p>
    <w:p>
      <w:pPr>
        <w:keepNext w:val="0"/>
        <w:keepLines w:val="0"/>
        <w:pageBreakBefore w:val="0"/>
        <w:kinsoku/>
        <w:wordWrap/>
        <w:overflowPunct/>
        <w:topLinePunct w:val="0"/>
        <w:autoSpaceDE/>
        <w:autoSpaceDN/>
        <w:bidi w:val="0"/>
        <w:adjustRightInd w:val="0"/>
        <w:spacing w:line="360" w:lineRule="auto"/>
        <w:ind w:firstLine="480" w:firstLineChars="200"/>
        <w:rPr>
          <w:rFonts w:hint="eastAsia" w:ascii="宋体" w:hAnsi="宋体" w:cs="宋体"/>
          <w:sz w:val="24"/>
          <w:szCs w:val="24"/>
        </w:rPr>
      </w:pPr>
      <w:r>
        <w:rPr>
          <w:rFonts w:hint="eastAsia" w:ascii="宋体" w:hAnsi="宋体" w:cs="宋体"/>
          <w:sz w:val="24"/>
          <w:szCs w:val="24"/>
        </w:rPr>
        <w:t>响应单位应遵照国家规范规定的技术服务内容及要求作出明确承诺。</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eastAsia="zh-CN"/>
        </w:rPr>
        <w:t>五</w:t>
      </w:r>
      <w:r>
        <w:rPr>
          <w:rFonts w:hint="eastAsia" w:ascii="宋体" w:hAnsi="宋体" w:eastAsia="宋体" w:cs="宋体"/>
          <w:b/>
          <w:bCs/>
          <w:sz w:val="24"/>
          <w:szCs w:val="24"/>
          <w:highlight w:val="none"/>
        </w:rPr>
        <w:t>、项目验收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项目验收分初验和终验</w:t>
      </w:r>
      <w:r>
        <w:rPr>
          <w:rFonts w:hint="eastAsia" w:ascii="宋体" w:hAnsi="宋体" w:eastAsia="宋体" w:cs="宋体"/>
          <w:sz w:val="24"/>
          <w:szCs w:val="24"/>
          <w:highlight w:val="none"/>
          <w:lang w:eastAsia="zh-CN"/>
        </w:rPr>
        <w:t>：</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初验：工程施工完毕后，由</w:t>
      </w:r>
      <w:r>
        <w:rPr>
          <w:rFonts w:hint="eastAsia" w:ascii="宋体" w:hAnsi="宋体" w:eastAsia="宋体" w:cs="宋体"/>
          <w:sz w:val="24"/>
          <w:szCs w:val="24"/>
          <w:highlight w:val="none"/>
          <w:lang w:eastAsia="zh-CN"/>
        </w:rPr>
        <w:t>招标人</w:t>
      </w:r>
      <w:r>
        <w:rPr>
          <w:rFonts w:hint="eastAsia" w:ascii="宋体" w:hAnsi="宋体" w:eastAsia="宋体" w:cs="宋体"/>
          <w:sz w:val="24"/>
          <w:szCs w:val="24"/>
          <w:highlight w:val="none"/>
        </w:rPr>
        <w:t>根据合同对工程进行初验。</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终验：工程完毕后，正常使用一个月后，由</w:t>
      </w:r>
      <w:r>
        <w:rPr>
          <w:rFonts w:hint="eastAsia" w:ascii="宋体" w:hAnsi="宋体" w:eastAsia="宋体" w:cs="宋体"/>
          <w:sz w:val="24"/>
          <w:szCs w:val="24"/>
          <w:highlight w:val="none"/>
          <w:lang w:eastAsia="zh-CN"/>
        </w:rPr>
        <w:t>招标人</w:t>
      </w:r>
      <w:r>
        <w:rPr>
          <w:rFonts w:hint="eastAsia" w:ascii="宋体" w:hAnsi="宋体" w:eastAsia="宋体" w:cs="宋体"/>
          <w:sz w:val="24"/>
          <w:szCs w:val="24"/>
          <w:highlight w:val="none"/>
        </w:rPr>
        <w:t>进行终验（最终验收），合格后签发《终验合格单》。</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2.验收不合格的成交单位，必须在接到通知书后7个日历日内确保工程通过验收。如接到通知后7个日历日内验收不仍不合格，招标人可提出索赔或取消其合同。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验收依据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（1）合同文本及合同补充文件（条款）。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（2）磋商文件。</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（3）成交单位的磋商响应文件。</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sz w:val="24"/>
          <w:szCs w:val="24"/>
        </w:rPr>
      </w:pPr>
      <w:r>
        <w:rPr>
          <w:rFonts w:hint="eastAsia" w:ascii="宋体" w:hAnsi="宋体" w:eastAsia="宋体" w:cs="宋体"/>
          <w:sz w:val="24"/>
          <w:szCs w:val="24"/>
          <w:highlight w:val="none"/>
        </w:rPr>
        <w:t>（4）国家相关法律法规。</w:t>
      </w:r>
    </w:p>
    <w:p>
      <w:pPr>
        <w:keepNext w:val="0"/>
        <w:keepLines w:val="0"/>
        <w:pageBreakBefore w:val="0"/>
        <w:kinsoku/>
        <w:wordWrap/>
        <w:overflowPunct/>
        <w:topLinePunct w:val="0"/>
        <w:autoSpaceDE/>
        <w:autoSpaceDN/>
        <w:bidi w:val="0"/>
        <w:adjustRightInd w:val="0"/>
        <w:spacing w:line="360" w:lineRule="auto"/>
        <w:ind w:firstLine="482" w:firstLineChars="200"/>
        <w:rPr>
          <w:rFonts w:hint="eastAsia" w:ascii="宋体" w:hAnsi="宋体" w:cs="宋体"/>
          <w:b/>
          <w:bCs/>
          <w:sz w:val="24"/>
          <w:szCs w:val="24"/>
        </w:rPr>
      </w:pPr>
      <w:r>
        <w:rPr>
          <w:rFonts w:hint="eastAsia" w:ascii="宋体" w:hAnsi="宋体" w:cs="宋体"/>
          <w:b/>
          <w:bCs/>
          <w:sz w:val="24"/>
          <w:szCs w:val="24"/>
        </w:rPr>
        <w:t>五、质量保证：</w:t>
      </w:r>
    </w:p>
    <w:p>
      <w:pPr>
        <w:keepNext w:val="0"/>
        <w:keepLines w:val="0"/>
        <w:pageBreakBefore w:val="0"/>
        <w:kinsoku/>
        <w:wordWrap/>
        <w:overflowPunct/>
        <w:topLinePunct w:val="0"/>
        <w:autoSpaceDE/>
        <w:autoSpaceDN/>
        <w:bidi w:val="0"/>
        <w:adjustRightInd w:val="0"/>
        <w:spacing w:line="360"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zh-CN"/>
        </w:rPr>
        <w:t>成交供应商不得将项目转包、分包。为了确保服务质量，成交供应商应组织一支强有力的技术骨干队伍，建立严格的质量管理体系，规范操作</w:t>
      </w:r>
      <w:r>
        <w:rPr>
          <w:rFonts w:hint="eastAsia" w:ascii="宋体" w:hAnsi="宋体" w:cs="宋体"/>
          <w:sz w:val="24"/>
          <w:szCs w:val="24"/>
        </w:rPr>
        <w:t>。</w:t>
      </w:r>
    </w:p>
    <w:p>
      <w:pPr>
        <w:keepNext w:val="0"/>
        <w:keepLines w:val="0"/>
        <w:pageBreakBefore w:val="0"/>
        <w:kinsoku/>
        <w:wordWrap/>
        <w:overflowPunct/>
        <w:topLinePunct w:val="0"/>
        <w:autoSpaceDE/>
        <w:autoSpaceDN/>
        <w:bidi w:val="0"/>
        <w:adjustRightInd w:val="0"/>
        <w:spacing w:line="360" w:lineRule="auto"/>
        <w:ind w:firstLine="480" w:firstLineChars="200"/>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szCs w:val="24"/>
          <w:lang w:eastAsia="zh-CN"/>
        </w:rPr>
        <w:t>本工程质量等级为符合国家验收相关标准，并达到合格</w:t>
      </w:r>
      <w:r>
        <w:rPr>
          <w:rFonts w:hint="eastAsia" w:ascii="宋体" w:hAnsi="宋体" w:cs="宋体"/>
          <w:sz w:val="24"/>
          <w:szCs w:val="24"/>
        </w:rPr>
        <w:t>。</w:t>
      </w:r>
    </w:p>
    <w:bookmarkEnd w:id="92"/>
    <w:bookmarkEnd w:id="93"/>
    <w:bookmarkEnd w:id="94"/>
    <w:p>
      <w:pPr>
        <w:keepNext w:val="0"/>
        <w:keepLines w:val="0"/>
        <w:pageBreakBefore w:val="0"/>
        <w:widowControl/>
        <w:kinsoku/>
        <w:wordWrap/>
        <w:overflowPunct/>
        <w:topLinePunct w:val="0"/>
        <w:autoSpaceDE/>
        <w:autoSpaceDN/>
        <w:bidi w:val="0"/>
        <w:snapToGrid w:val="0"/>
        <w:spacing w:line="360" w:lineRule="auto"/>
        <w:ind w:firstLine="482" w:firstLineChars="200"/>
        <w:jc w:val="left"/>
        <w:textAlignment w:val="baseline"/>
        <w:rPr>
          <w:rFonts w:hint="eastAsia" w:ascii="宋体" w:hAnsi="宋体" w:cs="宋体"/>
          <w:b/>
          <w:color w:val="000000"/>
          <w:sz w:val="24"/>
          <w:szCs w:val="24"/>
        </w:rPr>
      </w:pPr>
      <w:r>
        <w:rPr>
          <w:rFonts w:hint="eastAsia" w:ascii="宋体" w:hAnsi="宋体" w:cs="宋体"/>
          <w:b/>
          <w:color w:val="000000"/>
          <w:sz w:val="24"/>
          <w:szCs w:val="24"/>
          <w:lang w:eastAsia="zh-CN"/>
        </w:rPr>
        <w:t>六</w:t>
      </w:r>
      <w:r>
        <w:rPr>
          <w:rFonts w:hint="eastAsia" w:ascii="宋体" w:hAnsi="宋体" w:cs="宋体"/>
          <w:b/>
          <w:color w:val="000000"/>
          <w:sz w:val="24"/>
          <w:szCs w:val="24"/>
        </w:rPr>
        <w:t>、违约责任</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baseline"/>
        <w:rPr>
          <w:rFonts w:hint="eastAsia" w:ascii="宋体" w:hAnsi="宋体" w:cs="宋体"/>
          <w:color w:val="000000"/>
          <w:sz w:val="24"/>
          <w:szCs w:val="24"/>
        </w:rPr>
      </w:pPr>
      <w:r>
        <w:rPr>
          <w:rFonts w:hint="eastAsia" w:ascii="宋体" w:hAnsi="宋体" w:cs="宋体"/>
          <w:color w:val="000000"/>
          <w:sz w:val="24"/>
          <w:szCs w:val="24"/>
        </w:rPr>
        <w:t>1、按《中华人民共和国民法典》中的相关条款执行。</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baseline"/>
        <w:rPr>
          <w:rFonts w:hint="eastAsia" w:ascii="宋体" w:hAnsi="宋体" w:cs="宋体"/>
          <w:color w:val="000000"/>
          <w:sz w:val="24"/>
          <w:szCs w:val="24"/>
        </w:rPr>
      </w:pPr>
      <w:r>
        <w:rPr>
          <w:rFonts w:hint="eastAsia" w:ascii="宋体" w:hAnsi="宋体" w:cs="宋体"/>
          <w:color w:val="000000"/>
          <w:sz w:val="24"/>
          <w:szCs w:val="24"/>
        </w:rPr>
        <w:t>2、未按合同要求提供产品质量不能满足技术要求，采购人有权终止合同，并对供方违约行为进行追究，同时按有关规定进行处罚。</w:t>
      </w:r>
    </w:p>
    <w:p>
      <w:pPr>
        <w:keepNext w:val="0"/>
        <w:keepLines w:val="0"/>
        <w:pageBreakBefore w:val="0"/>
        <w:kinsoku/>
        <w:wordWrap/>
        <w:overflowPunct/>
        <w:topLinePunct w:val="0"/>
        <w:autoSpaceDE/>
        <w:autoSpaceDN/>
        <w:bidi w:val="0"/>
        <w:spacing w:line="360" w:lineRule="auto"/>
        <w:ind w:firstLine="482" w:firstLineChars="200"/>
        <w:rPr>
          <w:rFonts w:hint="eastAsia" w:ascii="宋体" w:hAnsi="宋体" w:cs="宋体"/>
          <w:sz w:val="24"/>
          <w:szCs w:val="24"/>
        </w:rPr>
      </w:pPr>
      <w:r>
        <w:rPr>
          <w:rFonts w:hint="eastAsia" w:ascii="宋体" w:hAnsi="宋体" w:cs="宋体"/>
          <w:b/>
          <w:bCs/>
          <w:sz w:val="24"/>
          <w:szCs w:val="24"/>
        </w:rPr>
        <w:t>注：商务要求为实质性要求，不得负偏离。</w:t>
      </w:r>
    </w:p>
    <w:p>
      <w:pPr>
        <w:pStyle w:val="3"/>
        <w:bidi w:val="0"/>
        <w:outlineLvl w:val="9"/>
        <w:rPr>
          <w:rFonts w:hint="eastAsia"/>
          <w:sz w:val="40"/>
          <w:szCs w:val="40"/>
        </w:rPr>
      </w:pPr>
    </w:p>
    <w:p>
      <w:pPr>
        <w:rPr>
          <w:rFonts w:hint="eastAsia"/>
          <w:sz w:val="40"/>
          <w:szCs w:val="40"/>
        </w:rPr>
      </w:pPr>
    </w:p>
    <w:p>
      <w:pPr>
        <w:pStyle w:val="13"/>
        <w:rPr>
          <w:rFonts w:hint="eastAsia"/>
          <w:sz w:val="40"/>
          <w:szCs w:val="40"/>
        </w:rPr>
      </w:pPr>
    </w:p>
    <w:p>
      <w:pPr>
        <w:rPr>
          <w:rFonts w:hint="eastAsia"/>
          <w:sz w:val="40"/>
          <w:szCs w:val="40"/>
        </w:rPr>
      </w:pPr>
    </w:p>
    <w:p>
      <w:pPr>
        <w:pStyle w:val="13"/>
        <w:rPr>
          <w:rFonts w:hint="eastAsia"/>
        </w:rPr>
      </w:pPr>
    </w:p>
    <w:p>
      <w:pPr>
        <w:pStyle w:val="3"/>
        <w:bidi w:val="0"/>
        <w:outlineLvl w:val="9"/>
        <w:rPr>
          <w:rFonts w:hint="eastAsia"/>
          <w:sz w:val="40"/>
          <w:szCs w:val="40"/>
        </w:rPr>
      </w:pPr>
    </w:p>
    <w:p>
      <w:pPr>
        <w:rPr>
          <w:rFonts w:hint="eastAsia"/>
          <w:sz w:val="40"/>
          <w:szCs w:val="40"/>
        </w:rPr>
      </w:pPr>
    </w:p>
    <w:p>
      <w:pPr>
        <w:pStyle w:val="13"/>
        <w:rPr>
          <w:rFonts w:hint="eastAsia"/>
        </w:rPr>
      </w:pPr>
    </w:p>
    <w:bookmarkEnd w:id="82"/>
    <w:bookmarkEnd w:id="83"/>
    <w:p>
      <w:pPr>
        <w:pStyle w:val="3"/>
        <w:bidi w:val="0"/>
        <w:rPr>
          <w:rFonts w:hint="eastAsia"/>
          <w:sz w:val="40"/>
          <w:szCs w:val="40"/>
        </w:rPr>
      </w:pPr>
      <w:bookmarkStart w:id="98" w:name="_Toc30756"/>
      <w:bookmarkStart w:id="99" w:name="_Toc30254"/>
      <w:bookmarkStart w:id="100" w:name="_Toc30133"/>
      <w:bookmarkStart w:id="101" w:name="_Toc27040"/>
      <w:bookmarkStart w:id="102" w:name="_Toc21148"/>
      <w:bookmarkStart w:id="103" w:name="_Toc26863"/>
      <w:bookmarkStart w:id="104" w:name="_Toc15859"/>
      <w:r>
        <w:rPr>
          <w:rFonts w:hint="eastAsia"/>
          <w:sz w:val="40"/>
          <w:szCs w:val="40"/>
        </w:rPr>
        <w:t>第</w:t>
      </w:r>
      <w:r>
        <w:rPr>
          <w:rFonts w:hint="eastAsia"/>
          <w:sz w:val="40"/>
          <w:szCs w:val="40"/>
          <w:lang w:eastAsia="zh-CN"/>
        </w:rPr>
        <w:t>五</w:t>
      </w:r>
      <w:r>
        <w:rPr>
          <w:rFonts w:hint="eastAsia"/>
          <w:sz w:val="40"/>
          <w:szCs w:val="40"/>
        </w:rPr>
        <w:t>部分  合同范本</w:t>
      </w:r>
      <w:bookmarkEnd w:id="98"/>
    </w:p>
    <w:p>
      <w:pPr>
        <w:spacing w:line="360" w:lineRule="auto"/>
        <w:jc w:val="center"/>
        <w:rPr>
          <w:rFonts w:hint="eastAsia" w:ascii="宋体" w:hAnsi="宋体" w:cs="宋体"/>
          <w:sz w:val="28"/>
          <w:szCs w:val="28"/>
        </w:rPr>
      </w:pPr>
      <w:r>
        <w:rPr>
          <w:rFonts w:hint="eastAsia" w:ascii="宋体" w:hAnsi="宋体" w:cs="宋体"/>
          <w:b/>
          <w:sz w:val="28"/>
          <w:szCs w:val="28"/>
        </w:rPr>
        <w:t>（本合同仅为制式模板）</w:t>
      </w:r>
    </w:p>
    <w:p>
      <w:pPr>
        <w:adjustRightInd w:val="0"/>
        <w:snapToGrid w:val="0"/>
        <w:spacing w:line="560" w:lineRule="exact"/>
        <w:ind w:left="883" w:hanging="562" w:hangingChars="200"/>
        <w:jc w:val="center"/>
        <w:rPr>
          <w:rFonts w:hint="default" w:ascii="宋体" w:hAnsi="宋体" w:cs="宋体"/>
          <w:b w:val="0"/>
          <w:bCs/>
          <w:sz w:val="28"/>
          <w:szCs w:val="28"/>
          <w:u w:val="single"/>
          <w:lang w:val="en-US" w:eastAsia="zh-CN"/>
        </w:rPr>
      </w:pPr>
      <w:r>
        <w:rPr>
          <w:rFonts w:hint="eastAsia" w:ascii="宋体" w:hAnsi="宋体" w:cs="宋体"/>
          <w:b/>
          <w:sz w:val="28"/>
          <w:szCs w:val="28"/>
          <w:lang w:val="en-US" w:eastAsia="zh-CN"/>
        </w:rPr>
        <w:t xml:space="preserve">                               </w:t>
      </w:r>
      <w:r>
        <w:rPr>
          <w:rFonts w:hint="eastAsia" w:ascii="宋体" w:hAnsi="宋体" w:cs="宋体"/>
          <w:b w:val="0"/>
          <w:bCs/>
          <w:sz w:val="28"/>
          <w:szCs w:val="28"/>
          <w:lang w:val="en-US" w:eastAsia="zh-CN"/>
        </w:rPr>
        <w:t>合同编号：</w:t>
      </w:r>
      <w:r>
        <w:rPr>
          <w:rFonts w:hint="eastAsia" w:ascii="宋体" w:hAnsi="宋体" w:cs="宋体"/>
          <w:b w:val="0"/>
          <w:bCs/>
          <w:sz w:val="28"/>
          <w:szCs w:val="28"/>
          <w:u w:val="single" w:color="auto"/>
          <w:lang w:val="en-US" w:eastAsia="zh-CN"/>
        </w:rPr>
        <w:t xml:space="preserve">  </w:t>
      </w:r>
      <w:r>
        <w:rPr>
          <w:rFonts w:hint="eastAsia" w:ascii="宋体" w:hAnsi="宋体" w:cs="宋体"/>
          <w:b w:val="0"/>
          <w:bCs/>
          <w:sz w:val="28"/>
          <w:szCs w:val="28"/>
          <w:u w:val="single"/>
          <w:lang w:val="en-US" w:eastAsia="zh-CN"/>
        </w:rPr>
        <w:t xml:space="preserve">             </w:t>
      </w:r>
    </w:p>
    <w:p>
      <w:pPr>
        <w:pStyle w:val="8"/>
        <w:rPr>
          <w:rFonts w:hint="eastAsia"/>
          <w:sz w:val="28"/>
          <w:szCs w:val="28"/>
        </w:rPr>
      </w:pPr>
    </w:p>
    <w:p>
      <w:pPr>
        <w:adjustRightInd w:val="0"/>
        <w:snapToGrid w:val="0"/>
        <w:spacing w:line="560" w:lineRule="exact"/>
        <w:jc w:val="center"/>
        <w:rPr>
          <w:rFonts w:hint="eastAsia" w:ascii="方正小标宋简体" w:hAnsi="方正小标宋简体" w:eastAsia="方正小标宋简体" w:cs="方正小标宋简体"/>
          <w:sz w:val="28"/>
          <w:szCs w:val="28"/>
          <w:lang w:val="en-US" w:eastAsia="zh-CN"/>
        </w:rPr>
      </w:pPr>
    </w:p>
    <w:p>
      <w:pPr>
        <w:adjustRightInd w:val="0"/>
        <w:snapToGrid w:val="0"/>
        <w:spacing w:line="560" w:lineRule="exact"/>
        <w:jc w:val="center"/>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lang w:val="en-US" w:eastAsia="zh-CN"/>
        </w:rPr>
        <w:t>施 工 合 同</w:t>
      </w:r>
      <w:r>
        <w:rPr>
          <w:rFonts w:hint="eastAsia" w:ascii="方正小标宋简体" w:hAnsi="方正小标宋简体" w:eastAsia="方正小标宋简体" w:cs="方正小标宋简体"/>
          <w:sz w:val="28"/>
          <w:szCs w:val="28"/>
        </w:rPr>
        <w:t xml:space="preserve">    </w:t>
      </w:r>
    </w:p>
    <w:p>
      <w:pPr>
        <w:adjustRightInd w:val="0"/>
        <w:snapToGrid w:val="0"/>
        <w:spacing w:line="560" w:lineRule="exact"/>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sz w:val="28"/>
          <w:szCs w:val="28"/>
        </w:rPr>
        <w:t xml:space="preserve">      </w:t>
      </w:r>
    </w:p>
    <w:p>
      <w:pPr>
        <w:adjustRightInd w:val="0"/>
        <w:snapToGrid w:val="0"/>
        <w:spacing w:line="560" w:lineRule="exact"/>
        <w:rPr>
          <w:rFonts w:hint="eastAsia" w:ascii="仿宋_GB2312" w:hAnsi="仿宋_GB2312" w:eastAsia="仿宋_GB2312" w:cs="仿宋_GB2312"/>
          <w:sz w:val="28"/>
          <w:szCs w:val="28"/>
        </w:rPr>
      </w:pPr>
    </w:p>
    <w:p>
      <w:pPr>
        <w:pStyle w:val="8"/>
        <w:adjustRightInd w:val="0"/>
        <w:snapToGrid w:val="0"/>
        <w:spacing w:line="560" w:lineRule="exact"/>
        <w:rPr>
          <w:rFonts w:hint="eastAsia" w:ascii="仿宋_GB2312" w:hAnsi="仿宋_GB2312" w:eastAsia="仿宋_GB2312" w:cs="仿宋_GB2312"/>
          <w:sz w:val="28"/>
          <w:szCs w:val="28"/>
        </w:rPr>
      </w:pPr>
    </w:p>
    <w:p>
      <w:pPr>
        <w:pStyle w:val="21"/>
        <w:adjustRightInd w:val="0"/>
        <w:snapToGrid w:val="0"/>
        <w:spacing w:line="560" w:lineRule="exact"/>
        <w:ind w:left="0"/>
        <w:rPr>
          <w:rFonts w:hint="eastAsia" w:ascii="仿宋_GB2312" w:hAnsi="仿宋_GB2312" w:eastAsia="仿宋_GB2312" w:cs="仿宋_GB2312"/>
          <w:sz w:val="28"/>
          <w:szCs w:val="28"/>
        </w:rPr>
      </w:pPr>
    </w:p>
    <w:p>
      <w:pPr>
        <w:adjustRightInd w:val="0"/>
        <w:snapToGrid w:val="0"/>
        <w:spacing w:line="560" w:lineRule="exact"/>
        <w:rPr>
          <w:rFonts w:hint="eastAsia" w:ascii="仿宋_GB2312" w:hAnsi="仿宋_GB2312" w:eastAsia="仿宋_GB2312" w:cs="仿宋_GB2312"/>
          <w:sz w:val="28"/>
          <w:szCs w:val="28"/>
        </w:rPr>
      </w:pPr>
    </w:p>
    <w:p>
      <w:pPr>
        <w:pStyle w:val="8"/>
        <w:adjustRightInd w:val="0"/>
        <w:snapToGrid w:val="0"/>
        <w:spacing w:line="560" w:lineRule="exact"/>
        <w:ind w:firstLine="0"/>
        <w:rPr>
          <w:rFonts w:hint="eastAsia" w:ascii="仿宋_GB2312" w:hAnsi="仿宋_GB2312" w:eastAsia="仿宋_GB2312" w:cs="仿宋_GB2312"/>
          <w:sz w:val="28"/>
          <w:szCs w:val="28"/>
        </w:rPr>
      </w:pPr>
    </w:p>
    <w:p>
      <w:pPr>
        <w:pStyle w:val="21"/>
        <w:adjustRightInd w:val="0"/>
        <w:snapToGrid w:val="0"/>
        <w:spacing w:line="560" w:lineRule="exact"/>
        <w:ind w:left="0"/>
        <w:rPr>
          <w:rFonts w:hint="eastAsia" w:ascii="仿宋_GB2312" w:hAnsi="仿宋_GB2312" w:eastAsia="仿宋_GB2312" w:cs="仿宋_GB2312"/>
          <w:sz w:val="28"/>
          <w:szCs w:val="28"/>
        </w:rPr>
      </w:pPr>
    </w:p>
    <w:p>
      <w:pPr>
        <w:adjustRightInd w:val="0"/>
        <w:snapToGrid w:val="0"/>
        <w:spacing w:line="560" w:lineRule="exact"/>
        <w:rPr>
          <w:rFonts w:hint="eastAsia" w:ascii="仿宋_GB2312" w:hAnsi="仿宋_GB2312" w:eastAsia="仿宋_GB2312" w:cs="仿宋_GB2312"/>
          <w:sz w:val="28"/>
          <w:szCs w:val="28"/>
        </w:rPr>
      </w:pPr>
    </w:p>
    <w:p>
      <w:pPr>
        <w:pStyle w:val="8"/>
        <w:adjustRightInd w:val="0"/>
        <w:snapToGrid w:val="0"/>
        <w:spacing w:line="560" w:lineRule="exact"/>
        <w:rPr>
          <w:rFonts w:hint="eastAsia" w:ascii="仿宋_GB2312" w:hAnsi="仿宋_GB2312" w:eastAsia="仿宋_GB2312" w:cs="仿宋_GB2312"/>
          <w:sz w:val="28"/>
          <w:szCs w:val="28"/>
        </w:rPr>
      </w:pPr>
    </w:p>
    <w:p>
      <w:pPr>
        <w:pStyle w:val="21"/>
        <w:adjustRightInd w:val="0"/>
        <w:snapToGrid w:val="0"/>
        <w:spacing w:line="560" w:lineRule="exact"/>
        <w:ind w:left="0"/>
        <w:rPr>
          <w:rFonts w:hint="eastAsia" w:ascii="仿宋_GB2312" w:hAnsi="仿宋_GB2312" w:eastAsia="仿宋_GB2312" w:cs="仿宋_GB2312"/>
          <w:sz w:val="28"/>
          <w:szCs w:val="28"/>
        </w:rPr>
      </w:pPr>
    </w:p>
    <w:p>
      <w:pPr>
        <w:adjustRightInd w:val="0"/>
        <w:snapToGrid w:val="0"/>
        <w:spacing w:line="560" w:lineRule="exact"/>
        <w:rPr>
          <w:rFonts w:hint="eastAsia" w:ascii="仿宋_GB2312" w:hAnsi="仿宋_GB2312" w:eastAsia="仿宋_GB2312" w:cs="仿宋_GB2312"/>
          <w:sz w:val="28"/>
          <w:szCs w:val="28"/>
        </w:rPr>
      </w:pPr>
    </w:p>
    <w:p>
      <w:pPr>
        <w:adjustRightInd w:val="0"/>
        <w:snapToGrid w:val="0"/>
        <w:spacing w:line="560" w:lineRule="exact"/>
        <w:ind w:firstLine="1124" w:firstLineChars="400"/>
        <w:rPr>
          <w:rFonts w:hint="eastAsia" w:ascii="仿宋_GB2312" w:hAnsi="仿宋_GB2312" w:eastAsia="仿宋_GB2312" w:cs="仿宋_GB2312"/>
          <w:b/>
          <w:sz w:val="28"/>
          <w:szCs w:val="28"/>
          <w:u w:val="single"/>
          <w:lang w:val="en-US" w:eastAsia="zh-CN"/>
        </w:rPr>
      </w:pPr>
      <w:r>
        <w:rPr>
          <w:rFonts w:hint="eastAsia" w:ascii="仿宋_GB2312" w:hAnsi="仿宋_GB2312" w:eastAsia="仿宋_GB2312" w:cs="仿宋_GB2312"/>
          <w:b/>
          <w:sz w:val="28"/>
          <w:szCs w:val="28"/>
        </w:rPr>
        <w:t>发  包  方：</w:t>
      </w:r>
      <w:r>
        <w:rPr>
          <w:rFonts w:hint="eastAsia" w:ascii="仿宋_GB2312" w:hAnsi="仿宋_GB2312" w:eastAsia="仿宋_GB2312" w:cs="仿宋_GB2312"/>
          <w:b/>
          <w:sz w:val="28"/>
          <w:szCs w:val="28"/>
          <w:u w:val="single"/>
          <w:lang w:val="en-US" w:eastAsia="zh-CN"/>
        </w:rPr>
        <w:t xml:space="preserve">                          </w:t>
      </w:r>
    </w:p>
    <w:p>
      <w:pPr>
        <w:adjustRightInd w:val="0"/>
        <w:snapToGrid w:val="0"/>
        <w:spacing w:line="56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 xml:space="preserve">        承  包  方：</w:t>
      </w:r>
      <w:r>
        <w:rPr>
          <w:rFonts w:hint="eastAsia" w:ascii="仿宋_GB2312" w:hAnsi="仿宋_GB2312" w:eastAsia="仿宋_GB2312" w:cs="仿宋_GB2312"/>
          <w:b/>
          <w:sz w:val="28"/>
          <w:szCs w:val="28"/>
          <w:u w:val="single"/>
          <w:lang w:val="en-US" w:eastAsia="zh-CN"/>
        </w:rPr>
        <w:t xml:space="preserve">                          </w:t>
      </w:r>
      <w:r>
        <w:rPr>
          <w:rFonts w:hint="eastAsia" w:ascii="仿宋_GB2312" w:hAnsi="仿宋_GB2312" w:eastAsia="仿宋_GB2312" w:cs="仿宋_GB2312"/>
          <w:b/>
          <w:sz w:val="28"/>
          <w:szCs w:val="28"/>
        </w:rPr>
        <w:t xml:space="preserve">        </w:t>
      </w:r>
    </w:p>
    <w:p>
      <w:pPr>
        <w:adjustRightInd w:val="0"/>
        <w:snapToGrid w:val="0"/>
        <w:spacing w:line="560" w:lineRule="exact"/>
        <w:ind w:firstLine="1124" w:firstLineChars="400"/>
        <w:rPr>
          <w:rFonts w:hint="eastAsia" w:ascii="仿宋_GB2312" w:hAnsi="仿宋_GB2312" w:eastAsia="仿宋_GB2312" w:cs="仿宋_GB2312"/>
          <w:b/>
          <w:sz w:val="28"/>
          <w:szCs w:val="28"/>
          <w:u w:val="single"/>
        </w:rPr>
      </w:pPr>
      <w:r>
        <w:rPr>
          <w:rFonts w:hint="eastAsia" w:ascii="仿宋_GB2312" w:hAnsi="仿宋_GB2312" w:eastAsia="仿宋_GB2312" w:cs="仿宋_GB2312"/>
          <w:b/>
          <w:sz w:val="28"/>
          <w:szCs w:val="28"/>
        </w:rPr>
        <w:t>签 订 地 点：</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u w:val="single"/>
          <w:lang w:val="en-US" w:eastAsia="zh-CN"/>
        </w:rPr>
        <w:t xml:space="preserve">                   </w:t>
      </w:r>
      <w:r>
        <w:rPr>
          <w:rFonts w:hint="eastAsia" w:ascii="仿宋_GB2312" w:hAnsi="仿宋_GB2312" w:eastAsia="仿宋_GB2312" w:cs="仿宋_GB2312"/>
          <w:b/>
          <w:sz w:val="28"/>
          <w:szCs w:val="28"/>
          <w:u w:val="single"/>
        </w:rPr>
        <w:t xml:space="preserve">    </w:t>
      </w:r>
    </w:p>
    <w:p>
      <w:pPr>
        <w:adjustRightInd w:val="0"/>
        <w:snapToGrid w:val="0"/>
        <w:spacing w:line="560" w:lineRule="exact"/>
        <w:ind w:firstLine="1124" w:firstLineChars="400"/>
        <w:rPr>
          <w:rFonts w:hint="eastAsia" w:ascii="仿宋_GB2312" w:hAnsi="仿宋_GB2312" w:eastAsia="仿宋_GB2312" w:cs="仿宋_GB2312"/>
          <w:b/>
          <w:sz w:val="28"/>
          <w:szCs w:val="28"/>
        </w:rPr>
        <w:sectPr>
          <w:pgSz w:w="11906" w:h="16838"/>
          <w:pgMar w:top="1440" w:right="1800" w:bottom="1440" w:left="1800" w:header="851" w:footer="992" w:gutter="0"/>
          <w:pgNumType w:fmt="decimal"/>
          <w:cols w:space="720" w:num="1"/>
          <w:docGrid w:type="lines" w:linePitch="312" w:charSpace="0"/>
        </w:sectPr>
      </w:pPr>
      <w:r>
        <w:rPr>
          <w:rFonts w:hint="eastAsia" w:ascii="仿宋_GB2312" w:hAnsi="仿宋_GB2312" w:eastAsia="仿宋_GB2312" w:cs="仿宋_GB2312"/>
          <w:b/>
          <w:sz w:val="28"/>
          <w:szCs w:val="28"/>
        </w:rPr>
        <w:t>签 订 日 期：</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u w:val="single"/>
          <w:lang w:val="en-US" w:eastAsia="zh-CN"/>
        </w:rPr>
        <w:t xml:space="preserve">    </w:t>
      </w:r>
      <w:r>
        <w:rPr>
          <w:rFonts w:hint="eastAsia" w:ascii="仿宋_GB2312" w:hAnsi="仿宋_GB2312" w:eastAsia="仿宋_GB2312" w:cs="仿宋_GB2312"/>
          <w:b/>
          <w:sz w:val="28"/>
          <w:szCs w:val="28"/>
          <w:u w:val="single"/>
        </w:rPr>
        <w:t xml:space="preserve">年 </w:t>
      </w:r>
      <w:r>
        <w:rPr>
          <w:rFonts w:hint="eastAsia" w:ascii="仿宋_GB2312" w:hAnsi="仿宋_GB2312" w:eastAsia="仿宋_GB2312" w:cs="仿宋_GB2312"/>
          <w:b/>
          <w:sz w:val="28"/>
          <w:szCs w:val="28"/>
          <w:u w:val="single"/>
          <w:lang w:val="en-US" w:eastAsia="zh-CN"/>
        </w:rPr>
        <w:t xml:space="preserve">  </w:t>
      </w:r>
      <w:r>
        <w:rPr>
          <w:rFonts w:hint="eastAsia" w:ascii="仿宋_GB2312" w:hAnsi="仿宋_GB2312" w:eastAsia="仿宋_GB2312" w:cs="仿宋_GB2312"/>
          <w:b/>
          <w:sz w:val="28"/>
          <w:szCs w:val="28"/>
          <w:u w:val="single"/>
        </w:rPr>
        <w:t xml:space="preserve"> 月  </w:t>
      </w:r>
      <w:r>
        <w:rPr>
          <w:rFonts w:hint="eastAsia" w:ascii="仿宋_GB2312" w:hAnsi="仿宋_GB2312" w:eastAsia="仿宋_GB2312" w:cs="仿宋_GB2312"/>
          <w:b/>
          <w:sz w:val="28"/>
          <w:szCs w:val="28"/>
          <w:u w:val="single"/>
          <w:lang w:val="en-US" w:eastAsia="zh-CN"/>
        </w:rPr>
        <w:t xml:space="preserve">  </w:t>
      </w:r>
      <w:r>
        <w:rPr>
          <w:rFonts w:hint="eastAsia" w:ascii="仿宋_GB2312" w:hAnsi="仿宋_GB2312" w:eastAsia="仿宋_GB2312" w:cs="仿宋_GB2312"/>
          <w:b/>
          <w:sz w:val="28"/>
          <w:szCs w:val="28"/>
          <w:u w:val="single"/>
        </w:rPr>
        <w:t xml:space="preserve">日   </w:t>
      </w:r>
    </w:p>
    <w:p>
      <w:pPr>
        <w:adjustRightInd w:val="0"/>
        <w:snapToGrid w:val="0"/>
        <w:spacing w:line="560" w:lineRule="exact"/>
        <w:jc w:val="center"/>
        <w:rPr>
          <w:rFonts w:hint="eastAsia" w:ascii="宋体" w:hAnsi="宋体" w:eastAsia="宋体" w:cs="宋体"/>
          <w:b/>
          <w:bCs/>
          <w:sz w:val="28"/>
          <w:szCs w:val="28"/>
        </w:rPr>
      </w:pPr>
      <w:r>
        <w:rPr>
          <w:rFonts w:hint="eastAsia" w:ascii="宋体" w:hAnsi="宋体" w:eastAsia="宋体" w:cs="宋体"/>
          <w:b/>
          <w:bCs/>
          <w:sz w:val="28"/>
          <w:szCs w:val="28"/>
        </w:rPr>
        <w:t>工程施工合同</w:t>
      </w:r>
    </w:p>
    <w:p>
      <w:pPr>
        <w:pStyle w:val="8"/>
        <w:rPr>
          <w:rFonts w:hint="eastAsia" w:ascii="宋体" w:hAnsi="宋体" w:eastAsia="宋体" w:cs="宋体"/>
          <w:sz w:val="28"/>
          <w:szCs w:val="28"/>
        </w:rPr>
      </w:pPr>
    </w:p>
    <w:p>
      <w:pPr>
        <w:adjustRightInd w:val="0"/>
        <w:snapToGrid w:val="0"/>
        <w:spacing w:line="560" w:lineRule="exact"/>
        <w:rPr>
          <w:rFonts w:hint="eastAsia" w:ascii="宋体" w:hAnsi="宋体" w:eastAsia="宋体" w:cs="宋体"/>
          <w:sz w:val="24"/>
          <w:szCs w:val="24"/>
        </w:rPr>
      </w:pPr>
      <w:r>
        <w:rPr>
          <w:rFonts w:hint="eastAsia" w:ascii="宋体" w:hAnsi="宋体" w:eastAsia="宋体" w:cs="宋体"/>
          <w:sz w:val="24"/>
          <w:szCs w:val="24"/>
        </w:rPr>
        <w:t>发包方：</w:t>
      </w:r>
      <w:r>
        <w:rPr>
          <w:rFonts w:hint="eastAsia" w:ascii="宋体" w:hAnsi="宋体" w:cs="宋体"/>
          <w:sz w:val="24"/>
          <w:szCs w:val="24"/>
          <w:highlight w:val="none"/>
          <w:u w:val="single" w:color="auto"/>
          <w:lang w:val="en-US" w:eastAsia="zh-CN"/>
        </w:rPr>
        <w:t>岚皋县医院</w:t>
      </w:r>
      <w:r>
        <w:rPr>
          <w:rFonts w:hint="eastAsia" w:ascii="宋体" w:hAnsi="宋体" w:eastAsia="宋体" w:cs="宋体"/>
          <w:sz w:val="24"/>
          <w:szCs w:val="24"/>
          <w:u w:val="none"/>
          <w:lang w:val="en-US" w:eastAsia="zh-CN"/>
        </w:rPr>
        <w:t>（</w:t>
      </w:r>
      <w:r>
        <w:rPr>
          <w:rFonts w:hint="eastAsia" w:ascii="宋体" w:hAnsi="宋体" w:eastAsia="宋体" w:cs="宋体"/>
          <w:sz w:val="24"/>
          <w:szCs w:val="24"/>
        </w:rPr>
        <w:t>以下简称甲方）</w:t>
      </w:r>
    </w:p>
    <w:p>
      <w:pPr>
        <w:adjustRightInd w:val="0"/>
        <w:snapToGrid w:val="0"/>
        <w:spacing w:line="560" w:lineRule="exact"/>
        <w:rPr>
          <w:rFonts w:hint="eastAsia" w:ascii="宋体" w:hAnsi="宋体" w:eastAsia="宋体" w:cs="宋体"/>
          <w:kern w:val="0"/>
          <w:sz w:val="24"/>
          <w:szCs w:val="24"/>
        </w:rPr>
      </w:pPr>
      <w:r>
        <w:rPr>
          <w:rFonts w:hint="eastAsia" w:ascii="宋体" w:hAnsi="宋体" w:eastAsia="宋体" w:cs="宋体"/>
          <w:sz w:val="24"/>
          <w:szCs w:val="24"/>
        </w:rPr>
        <w:t>承包方：</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（以下简称乙方）</w:t>
      </w:r>
    </w:p>
    <w:p>
      <w:pPr>
        <w:widowControl/>
        <w:adjustRightInd w:val="0"/>
        <w:snapToGrid w:val="0"/>
        <w:spacing w:line="560" w:lineRule="exact"/>
        <w:ind w:firstLine="480" w:firstLineChars="200"/>
        <w:jc w:val="left"/>
        <w:rPr>
          <w:rFonts w:hint="eastAsia" w:ascii="宋体" w:hAnsi="宋体" w:eastAsia="宋体" w:cs="宋体"/>
          <w:sz w:val="24"/>
          <w:szCs w:val="24"/>
        </w:rPr>
      </w:pPr>
      <w:r>
        <w:rPr>
          <w:rFonts w:hint="eastAsia" w:ascii="宋体" w:hAnsi="宋体" w:eastAsia="宋体" w:cs="宋体"/>
          <w:kern w:val="0"/>
          <w:sz w:val="24"/>
          <w:szCs w:val="24"/>
        </w:rPr>
        <w:t>依照《中华人民共和国民法典》、《中华人民共和国建筑法》及其他有关法律、行政法规，遵循平等、自愿、公平和诚实信用的原则，双方就本工程施工协商一致，订立本合同。</w:t>
      </w:r>
    </w:p>
    <w:p>
      <w:pPr>
        <w:numPr>
          <w:ilvl w:val="0"/>
          <w:numId w:val="2"/>
        </w:numPr>
        <w:adjustRightInd w:val="0"/>
        <w:snapToGrid w:val="0"/>
        <w:spacing w:line="56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 xml:space="preserve"> 工程概括：</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rPr>
      </w:pPr>
      <w:r>
        <w:rPr>
          <w:rFonts w:hint="eastAsia" w:ascii="宋体" w:hAnsi="宋体" w:cs="宋体"/>
          <w:sz w:val="24"/>
          <w:szCs w:val="24"/>
          <w:lang w:val="en-US" w:eastAsia="zh-CN"/>
        </w:rPr>
        <w:t>1.</w:t>
      </w:r>
      <w:r>
        <w:rPr>
          <w:rFonts w:hint="eastAsia" w:ascii="宋体" w:hAnsi="宋体" w:eastAsia="宋体" w:cs="宋体"/>
          <w:sz w:val="24"/>
          <w:szCs w:val="24"/>
          <w:lang w:val="en-US"/>
        </w:rPr>
        <w:t>1</w:t>
      </w:r>
      <w:r>
        <w:rPr>
          <w:rFonts w:hint="eastAsia" w:ascii="宋体" w:hAnsi="宋体" w:cs="宋体"/>
          <w:sz w:val="24"/>
          <w:szCs w:val="24"/>
          <w:lang w:val="en-US" w:eastAsia="zh-CN"/>
        </w:rPr>
        <w:t>工程概况：</w:t>
      </w:r>
      <w:r>
        <w:rPr>
          <w:rFonts w:hint="eastAsia" w:ascii="宋体" w:hAnsi="宋体" w:eastAsia="宋体" w:cs="宋体"/>
          <w:sz w:val="24"/>
          <w:szCs w:val="24"/>
          <w:lang w:val="en-US" w:eastAsia="zh-CN"/>
        </w:rPr>
        <w:t>岚皋县医院2024年苏陕协作“组团式”帮扶介入导管室建设项目（导管室装饰装修）</w:t>
      </w:r>
      <w:r>
        <w:rPr>
          <w:rFonts w:hint="eastAsia" w:ascii="宋体" w:hAnsi="宋体" w:eastAsia="宋体" w:cs="宋体"/>
          <w:sz w:val="24"/>
          <w:szCs w:val="24"/>
          <w:lang w:val="en-US"/>
        </w:rPr>
        <w:t>（具体详见工程量清单内容）。</w:t>
      </w:r>
    </w:p>
    <w:p>
      <w:pPr>
        <w:pageBreakBefore w:val="0"/>
        <w:widowControl w:val="0"/>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 工程地址：</w:t>
      </w:r>
      <w:r>
        <w:rPr>
          <w:rFonts w:hint="eastAsia" w:ascii="宋体" w:hAnsi="宋体" w:cs="宋体"/>
          <w:sz w:val="24"/>
          <w:szCs w:val="24"/>
          <w:highlight w:val="none"/>
          <w:lang w:val="en-US" w:eastAsia="zh-CN"/>
        </w:rPr>
        <w:t>岚皋县医院</w:t>
      </w:r>
      <w:r>
        <w:rPr>
          <w:rFonts w:hint="eastAsia" w:ascii="Times New Roman" w:hAnsi="Times New Roman" w:eastAsia="宋体" w:cs="Times New Roman"/>
          <w:sz w:val="24"/>
          <w:szCs w:val="24"/>
          <w:highlight w:val="none"/>
          <w:lang w:val="en-US" w:eastAsia="zh-CN"/>
        </w:rPr>
        <w:t>。</w:t>
      </w:r>
    </w:p>
    <w:p>
      <w:pPr>
        <w:adjustRightInd w:val="0"/>
        <w:snapToGrid w:val="0"/>
        <w:spacing w:line="560" w:lineRule="exact"/>
        <w:ind w:firstLine="482" w:firstLineChars="200"/>
        <w:rPr>
          <w:rFonts w:hint="eastAsia" w:ascii="宋体" w:hAnsi="宋体" w:eastAsia="宋体" w:cs="宋体"/>
          <w:kern w:val="0"/>
          <w:sz w:val="24"/>
          <w:szCs w:val="24"/>
        </w:rPr>
      </w:pPr>
      <w:r>
        <w:rPr>
          <w:rFonts w:hint="eastAsia" w:ascii="宋体" w:hAnsi="宋体" w:eastAsia="宋体" w:cs="宋体"/>
          <w:b/>
          <w:sz w:val="24"/>
          <w:szCs w:val="24"/>
        </w:rPr>
        <w:t>第二条  承包范围、内容</w:t>
      </w:r>
    </w:p>
    <w:p>
      <w:pPr>
        <w:numPr>
          <w:ilvl w:val="0"/>
          <w:numId w:val="0"/>
        </w:numPr>
        <w:adjustRightInd w:val="0"/>
        <w:snapToGrid w:val="0"/>
        <w:spacing w:line="560" w:lineRule="exact"/>
        <w:ind w:left="0" w:leftChars="0" w:firstLine="547" w:firstLineChars="228"/>
        <w:rPr>
          <w:rFonts w:hint="eastAsia" w:ascii="宋体" w:hAnsi="宋体" w:eastAsia="宋体" w:cs="宋体"/>
          <w:sz w:val="24"/>
          <w:szCs w:val="24"/>
        </w:rPr>
      </w:pPr>
      <w:r>
        <w:rPr>
          <w:rFonts w:hint="eastAsia" w:ascii="宋体" w:hAnsi="宋体" w:eastAsia="宋体" w:cs="宋体"/>
          <w:sz w:val="24"/>
          <w:szCs w:val="24"/>
        </w:rPr>
        <w:t>2.1 承包范围：</w:t>
      </w:r>
    </w:p>
    <w:p>
      <w:pPr>
        <w:numPr>
          <w:ilvl w:val="0"/>
          <w:numId w:val="0"/>
        </w:numPr>
        <w:adjustRightInd w:val="0"/>
        <w:snapToGrid w:val="0"/>
        <w:spacing w:line="560" w:lineRule="exact"/>
        <w:ind w:left="0" w:leftChars="0" w:firstLine="547" w:firstLineChars="228"/>
        <w:rPr>
          <w:rFonts w:hint="eastAsia" w:ascii="宋体" w:hAnsi="宋体" w:eastAsia="宋体" w:cs="宋体"/>
          <w:sz w:val="24"/>
          <w:szCs w:val="24"/>
        </w:rPr>
      </w:pPr>
      <w:r>
        <w:rPr>
          <w:rFonts w:hint="eastAsia" w:ascii="宋体" w:hAnsi="宋体" w:eastAsia="宋体" w:cs="宋体"/>
          <w:sz w:val="24"/>
          <w:szCs w:val="24"/>
        </w:rPr>
        <w:t>2.2 承包内容：</w:t>
      </w:r>
    </w:p>
    <w:p>
      <w:pPr>
        <w:adjustRightInd w:val="0"/>
        <w:snapToGrid w:val="0"/>
        <w:spacing w:line="56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第三条  工期要求</w:t>
      </w:r>
    </w:p>
    <w:p>
      <w:pPr>
        <w:adjustRightInd w:val="0"/>
        <w:snapToGrid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3.1开工日期（</w:t>
      </w:r>
      <w:r>
        <w:rPr>
          <w:rFonts w:hint="eastAsia" w:ascii="宋体" w:hAnsi="宋体" w:eastAsia="宋体" w:cs="宋体"/>
          <w:sz w:val="24"/>
          <w:szCs w:val="24"/>
          <w:lang w:val="en-US" w:eastAsia="zh-Hans"/>
        </w:rPr>
        <w:t>暂定</w:t>
      </w:r>
      <w:r>
        <w:rPr>
          <w:rFonts w:hint="eastAsia" w:ascii="宋体" w:hAnsi="宋体" w:eastAsia="宋体" w:cs="宋体"/>
          <w:sz w:val="24"/>
          <w:szCs w:val="24"/>
        </w:rPr>
        <w:t>）：</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日；（具体开工日期以</w:t>
      </w:r>
      <w:r>
        <w:rPr>
          <w:rFonts w:hint="eastAsia" w:ascii="宋体" w:hAnsi="宋体" w:eastAsia="宋体" w:cs="宋体"/>
          <w:sz w:val="24"/>
          <w:szCs w:val="24"/>
          <w:lang w:val="en-US" w:eastAsia="zh-Hans"/>
        </w:rPr>
        <w:t>甲方通知的</w:t>
      </w:r>
      <w:r>
        <w:rPr>
          <w:rFonts w:hint="eastAsia" w:ascii="宋体" w:hAnsi="宋体" w:eastAsia="宋体" w:cs="宋体"/>
          <w:sz w:val="24"/>
          <w:szCs w:val="24"/>
        </w:rPr>
        <w:t>实际进场日期为准）。</w:t>
      </w:r>
    </w:p>
    <w:p>
      <w:pPr>
        <w:adjustRightInd w:val="0"/>
        <w:snapToGrid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竣工日期（</w:t>
      </w:r>
      <w:r>
        <w:rPr>
          <w:rFonts w:hint="eastAsia" w:ascii="宋体" w:hAnsi="宋体" w:eastAsia="宋体" w:cs="宋体"/>
          <w:sz w:val="24"/>
          <w:szCs w:val="24"/>
          <w:lang w:val="en-US" w:eastAsia="zh-Hans"/>
        </w:rPr>
        <w:t>暂定</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sz w:val="24"/>
          <w:szCs w:val="24"/>
        </w:rPr>
        <w:t xml:space="preserve"> </w:t>
      </w:r>
      <w:r>
        <w:rPr>
          <w:rFonts w:hint="eastAsia" w:ascii="宋体" w:hAnsi="宋体" w:eastAsia="宋体" w:cs="宋体"/>
          <w:color w:val="000000"/>
          <w:sz w:val="24"/>
          <w:szCs w:val="24"/>
        </w:rPr>
        <w:t>总工期：</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u w:val="single" w:color="auto"/>
          <w:lang w:val="en-US" w:eastAsia="zh-CN"/>
        </w:rPr>
        <w:t xml:space="preserve"> </w:t>
      </w:r>
      <w:r>
        <w:rPr>
          <w:rFonts w:hint="eastAsia" w:hAnsi="宋体" w:cs="宋体"/>
          <w:sz w:val="28"/>
          <w:szCs w:val="28"/>
          <w:u w:val="single" w:color="auto"/>
        </w:rPr>
        <w:t xml:space="preserve">自合同签订后 </w:t>
      </w:r>
      <w:r>
        <w:rPr>
          <w:rFonts w:hint="eastAsia" w:hAnsi="宋体" w:cs="宋体"/>
          <w:sz w:val="28"/>
          <w:szCs w:val="28"/>
          <w:u w:val="single" w:color="auto"/>
          <w:lang w:val="en-US" w:eastAsia="zh-CN"/>
        </w:rPr>
        <w:t>60</w:t>
      </w:r>
      <w:r>
        <w:rPr>
          <w:rFonts w:hint="eastAsia" w:hAnsi="宋体" w:cs="宋体"/>
          <w:sz w:val="28"/>
          <w:szCs w:val="28"/>
          <w:u w:val="single" w:color="auto"/>
        </w:rPr>
        <w:t>个日历日。</w:t>
      </w:r>
    </w:p>
    <w:p>
      <w:pPr>
        <w:adjustRightInd w:val="0"/>
        <w:snapToGrid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3.2如遇特殊情况（如不可抗力因素影响以及甲方原因造成的停、窝工等)时，乙方以书面形式向甲方提交报告及情况说明，经甲方确认后，工期顺延；未经甲方确认，工期不得顺延，具体工期顺延天数以甲方书面确认为准。</w:t>
      </w:r>
    </w:p>
    <w:p>
      <w:pPr>
        <w:tabs>
          <w:tab w:val="left" w:pos="540"/>
        </w:tabs>
        <w:adjustRightInd w:val="0"/>
        <w:snapToGrid w:val="0"/>
        <w:spacing w:line="5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3.3暂停施工</w:t>
      </w:r>
    </w:p>
    <w:p>
      <w:pPr>
        <w:pStyle w:val="24"/>
        <w:adjustRightInd w:val="0"/>
        <w:snapToGrid w:val="0"/>
        <w:spacing w:before="0" w:beforeAutospacing="0" w:after="0" w:afterAutospacing="0"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甲方认为确有必要暂停施工时，应当以书面形式要求乙方暂停施工，并在提出要求后24小时内提出书面处理意见，乙方应当按甲方要求停止施工，并妥善保护已完工程，工期顺延；因乙方原因造成停工的，由乙方承担发生的费用，工期不顺延。</w:t>
      </w:r>
    </w:p>
    <w:p>
      <w:pPr>
        <w:numPr>
          <w:ilvl w:val="0"/>
          <w:numId w:val="3"/>
        </w:numPr>
        <w:adjustRightInd w:val="0"/>
        <w:snapToGrid w:val="0"/>
        <w:spacing w:line="56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 xml:space="preserve"> 工程质保期及付款方式：</w:t>
      </w:r>
    </w:p>
    <w:p>
      <w:pPr>
        <w:pStyle w:val="8"/>
        <w:ind w:firstLine="560"/>
        <w:rPr>
          <w:rFonts w:hint="eastAsia" w:ascii="宋体" w:hAnsi="宋体" w:eastAsia="宋体" w:cs="宋体"/>
          <w:color w:val="000000"/>
          <w:sz w:val="24"/>
          <w:szCs w:val="24"/>
          <w:u w:val="none" w:color="000000"/>
          <w:lang w:val="en-US" w:eastAsia="zh-CN" w:bidi="ar-SA"/>
        </w:rPr>
      </w:pPr>
      <w:r>
        <w:rPr>
          <w:rFonts w:hint="eastAsia" w:ascii="宋体" w:hAnsi="宋体" w:eastAsia="宋体" w:cs="宋体"/>
          <w:color w:val="000000"/>
          <w:sz w:val="24"/>
          <w:szCs w:val="24"/>
          <w:u w:val="none" w:color="000000"/>
          <w:lang w:val="en-US" w:eastAsia="zh-CN" w:bidi="ar-SA"/>
        </w:rPr>
        <w:t>1.工程款的支付</w:t>
      </w:r>
    </w:p>
    <w:p>
      <w:pPr>
        <w:pStyle w:val="8"/>
        <w:ind w:firstLine="560"/>
        <w:rPr>
          <w:rFonts w:hint="eastAsia" w:ascii="宋体" w:hAnsi="宋体" w:eastAsia="宋体" w:cs="宋体"/>
          <w:color w:val="000000"/>
          <w:sz w:val="24"/>
          <w:szCs w:val="24"/>
          <w:u w:val="none" w:color="000000"/>
          <w:lang w:val="en-US" w:eastAsia="zh-CN" w:bidi="ar-SA"/>
        </w:rPr>
      </w:pPr>
      <w:r>
        <w:rPr>
          <w:rFonts w:hint="eastAsia" w:ascii="宋体" w:hAnsi="宋体" w:eastAsia="宋体" w:cs="宋体"/>
          <w:color w:val="000000"/>
          <w:sz w:val="24"/>
          <w:szCs w:val="24"/>
          <w:u w:val="none" w:color="000000"/>
          <w:lang w:val="en-US" w:eastAsia="zh-CN" w:bidi="ar-SA"/>
        </w:rPr>
        <w:t>本工程主要工程管理人员和设备到场开工后付总工程款30%，工程施工进度超过50%后，可再按工程进度支付工程款，支付金额不超过工程总价款的80%，以双方共同确认的完成工程数量统计表为准；工程完工并通过竣工验收合格后，付至所有完成工程量价款的90%；结算书经审计部门审核（结果经双方签字盖章确认）后付清剩余款项。</w:t>
      </w:r>
    </w:p>
    <w:p>
      <w:pPr>
        <w:pStyle w:val="8"/>
        <w:ind w:firstLine="560"/>
        <w:rPr>
          <w:rFonts w:hint="eastAsia" w:ascii="宋体" w:hAnsi="宋体" w:eastAsia="宋体" w:cs="宋体"/>
          <w:color w:val="000000"/>
          <w:sz w:val="24"/>
          <w:szCs w:val="24"/>
          <w:u w:val="none" w:color="000000"/>
          <w:lang w:val="en-US" w:eastAsia="zh-CN" w:bidi="ar-SA"/>
        </w:rPr>
      </w:pPr>
      <w:r>
        <w:rPr>
          <w:rFonts w:hint="eastAsia" w:ascii="宋体" w:hAnsi="宋体" w:eastAsia="宋体" w:cs="宋体"/>
          <w:color w:val="000000"/>
          <w:sz w:val="24"/>
          <w:szCs w:val="24"/>
          <w:u w:val="none" w:color="000000"/>
          <w:lang w:val="en-US" w:eastAsia="zh-CN" w:bidi="ar-SA"/>
        </w:rPr>
        <w:t>2.工程质保期：屋面防水工程、有防水要求的卫生间、房间和外墙面的防渗漏，为5年；电气系统、给排水管道、设备安装为2年；装修工程质量为2年。保修期自装饰装修工程竣工验收合格之日起计算。</w:t>
      </w:r>
    </w:p>
    <w:p>
      <w:pPr>
        <w:numPr>
          <w:ilvl w:val="0"/>
          <w:numId w:val="3"/>
        </w:numPr>
        <w:adjustRightInd w:val="0"/>
        <w:snapToGrid w:val="0"/>
        <w:spacing w:line="56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 xml:space="preserve"> 工程材料要求</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bCs/>
          <w:sz w:val="24"/>
          <w:szCs w:val="24"/>
        </w:rPr>
        <w:t>5.1</w:t>
      </w:r>
      <w:r>
        <w:rPr>
          <w:rFonts w:hint="eastAsia" w:ascii="宋体" w:hAnsi="宋体" w:eastAsia="宋体" w:cs="宋体"/>
          <w:color w:val="000000"/>
          <w:sz w:val="24"/>
          <w:szCs w:val="24"/>
        </w:rPr>
        <w:t>本工程施工所用材料必须满足国家及地方规范、行业最新标准要求。</w:t>
      </w:r>
    </w:p>
    <w:p>
      <w:pPr>
        <w:adjustRightInd w:val="0"/>
        <w:snapToGrid w:val="0"/>
        <w:spacing w:line="56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5.2材料进场后由乙方承担安全存放及保管责任，存放应符合整体工程场地、消防、安全、文明施工的要求。</w:t>
      </w:r>
    </w:p>
    <w:p>
      <w:pPr>
        <w:adjustRightInd w:val="0"/>
        <w:snapToGrid w:val="0"/>
        <w:spacing w:line="56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5.3 乙方采购的材料与图纸或质量标准要求不符时，乙方应按甲方要求的时间运出施工场地，重新采购符合要求的产品，承担由此发生的费用，由此延误的工期不予顺延。</w:t>
      </w:r>
    </w:p>
    <w:p>
      <w:pPr>
        <w:adjustRightInd w:val="0"/>
        <w:snapToGrid w:val="0"/>
        <w:spacing w:line="56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5.4 乙方采购的材料在使用前，乙方应向甲方报验；未经报验或未经甲方同意的不得使用。</w:t>
      </w:r>
    </w:p>
    <w:p>
      <w:pPr>
        <w:adjustRightInd w:val="0"/>
        <w:snapToGrid w:val="0"/>
        <w:spacing w:line="56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第六条 质量与技术要求</w:t>
      </w:r>
    </w:p>
    <w:p>
      <w:pPr>
        <w:adjustRightInd w:val="0"/>
        <w:snapToGrid w:val="0"/>
        <w:spacing w:line="56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6.1  工程材料质量要求</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6.1.1  用于本工程的所有材料必须满足项目设计文件以及双方约定的质量标准要求。材料质量均必须符合国家现行相关质量标准的要求。   </w:t>
      </w:r>
    </w:p>
    <w:p>
      <w:pPr>
        <w:adjustRightInd w:val="0"/>
        <w:snapToGrid w:val="0"/>
        <w:spacing w:line="560" w:lineRule="exact"/>
        <w:ind w:firstLine="480" w:firstLineChars="200"/>
        <w:rPr>
          <w:rFonts w:hint="eastAsia" w:ascii="宋体" w:hAnsi="宋体" w:eastAsia="宋体" w:cs="宋体"/>
          <w:color w:val="0000FF"/>
          <w:sz w:val="24"/>
          <w:szCs w:val="24"/>
        </w:rPr>
      </w:pPr>
      <w:r>
        <w:rPr>
          <w:rFonts w:hint="eastAsia" w:ascii="宋体" w:hAnsi="宋体" w:eastAsia="宋体" w:cs="宋体"/>
          <w:color w:val="000000"/>
          <w:sz w:val="24"/>
          <w:szCs w:val="24"/>
        </w:rPr>
        <w:t>6.1.2 本工程施工图纸内的材料、成品、半成品、装饰品等所有施工项目所需均由乙方按照设计要求自行采购供应至工地现场。所有材料进场时，乙方应报监理、甲方验收并做好相关材料检验工作，验收合格后方可使用。</w:t>
      </w:r>
    </w:p>
    <w:p>
      <w:pPr>
        <w:adjustRightInd w:val="0"/>
        <w:snapToGrid w:val="0"/>
        <w:spacing w:line="56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6.2  施工质量要求：</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6.2.1本工程质量标准为：达到现行国家验收标准</w:t>
      </w:r>
      <w:r>
        <w:rPr>
          <w:rFonts w:hint="eastAsia" w:ascii="宋体" w:hAnsi="宋体" w:eastAsia="宋体" w:cs="宋体"/>
          <w:b/>
          <w:bCs/>
          <w:color w:val="000000"/>
          <w:sz w:val="24"/>
          <w:szCs w:val="24"/>
          <w:u w:val="single"/>
        </w:rPr>
        <w:t>合格</w:t>
      </w:r>
      <w:r>
        <w:rPr>
          <w:rFonts w:hint="eastAsia" w:ascii="宋体" w:hAnsi="宋体" w:eastAsia="宋体" w:cs="宋体"/>
          <w:color w:val="000000"/>
          <w:sz w:val="24"/>
          <w:szCs w:val="24"/>
        </w:rPr>
        <w:t>等级，并符合以下技术要求的约定。</w:t>
      </w:r>
    </w:p>
    <w:p>
      <w:pPr>
        <w:adjustRightInd w:val="0"/>
        <w:snapToGrid w:val="0"/>
        <w:spacing w:line="560" w:lineRule="exact"/>
        <w:ind w:firstLine="480" w:firstLineChars="200"/>
        <w:rPr>
          <w:rFonts w:hint="eastAsia" w:ascii="宋体" w:hAnsi="宋体" w:eastAsia="宋体" w:cs="宋体"/>
          <w:kern w:val="0"/>
          <w:sz w:val="24"/>
          <w:szCs w:val="24"/>
        </w:rPr>
      </w:pPr>
      <w:r>
        <w:rPr>
          <w:rFonts w:hint="eastAsia" w:ascii="宋体" w:hAnsi="宋体" w:eastAsia="宋体" w:cs="宋体"/>
          <w:color w:val="000000"/>
          <w:sz w:val="24"/>
          <w:szCs w:val="24"/>
        </w:rPr>
        <w:t>6.2.2工程技术要求：</w:t>
      </w:r>
      <w:r>
        <w:rPr>
          <w:rFonts w:hint="eastAsia" w:ascii="宋体" w:hAnsi="宋体" w:eastAsia="宋体" w:cs="宋体"/>
          <w:sz w:val="24"/>
          <w:szCs w:val="24"/>
        </w:rPr>
        <w:t>本工程符合以下规范要求，</w:t>
      </w:r>
      <w:r>
        <w:rPr>
          <w:rFonts w:hint="eastAsia" w:ascii="宋体" w:hAnsi="宋体" w:eastAsia="宋体" w:cs="宋体"/>
          <w:color w:val="000000"/>
          <w:sz w:val="24"/>
          <w:szCs w:val="24"/>
        </w:rPr>
        <w:t>按国家及行业的以下施工规范执行</w:t>
      </w:r>
      <w:r>
        <w:rPr>
          <w:rFonts w:hint="eastAsia" w:ascii="宋体" w:hAnsi="宋体" w:eastAsia="宋体" w:cs="宋体"/>
          <w:sz w:val="24"/>
          <w:szCs w:val="24"/>
        </w:rPr>
        <w:t>现行的政府及主管部门颁发的相关规范及以上所给标准为最低限度要求的标准。</w:t>
      </w:r>
    </w:p>
    <w:p>
      <w:pPr>
        <w:adjustRightInd w:val="0"/>
        <w:snapToGrid w:val="0"/>
        <w:spacing w:line="560" w:lineRule="exact"/>
        <w:ind w:firstLine="480" w:firstLineChars="200"/>
        <w:rPr>
          <w:rFonts w:hint="eastAsia" w:ascii="宋体" w:hAnsi="宋体" w:eastAsia="宋体" w:cs="宋体"/>
          <w:sz w:val="24"/>
          <w:szCs w:val="24"/>
        </w:rPr>
      </w:pPr>
      <w:r>
        <w:rPr>
          <w:rFonts w:hint="eastAsia" w:ascii="宋体" w:hAnsi="宋体" w:eastAsia="宋体" w:cs="宋体"/>
          <w:bCs/>
          <w:sz w:val="24"/>
          <w:szCs w:val="24"/>
        </w:rPr>
        <w:t>6.3 乙方对承建工程质量全面负责，工程质量及材料设备必须符合国家工程验收规范及地方验收标准要求。若达不到</w:t>
      </w:r>
      <w:r>
        <w:rPr>
          <w:rFonts w:hint="eastAsia" w:ascii="宋体" w:hAnsi="宋体" w:eastAsia="宋体" w:cs="宋体"/>
          <w:sz w:val="24"/>
          <w:szCs w:val="24"/>
        </w:rPr>
        <w:t>技术标准，需进行返工直到符合质量要求标准，返工发生的经济损失由乙方承担。</w:t>
      </w:r>
    </w:p>
    <w:p>
      <w:pPr>
        <w:adjustRightInd w:val="0"/>
        <w:snapToGrid w:val="0"/>
        <w:spacing w:line="56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6.4工程施工质量应达到本合同约定的技术标准的要求。若因乙方原因使工程质量达不到约定等级，监理单位或甲方有权要求乙方返工，返工费用由乙方承担，施工工期不予延长。</w:t>
      </w:r>
    </w:p>
    <w:p>
      <w:pPr>
        <w:adjustRightInd w:val="0"/>
        <w:snapToGrid w:val="0"/>
        <w:spacing w:line="560" w:lineRule="exact"/>
        <w:ind w:firstLine="480" w:firstLineChars="200"/>
        <w:rPr>
          <w:rFonts w:hint="eastAsia" w:ascii="宋体" w:hAnsi="宋体" w:eastAsia="宋体" w:cs="宋体"/>
          <w:kern w:val="0"/>
          <w:sz w:val="24"/>
          <w:szCs w:val="24"/>
        </w:rPr>
      </w:pPr>
      <w:r>
        <w:rPr>
          <w:rFonts w:hint="eastAsia" w:ascii="宋体" w:hAnsi="宋体" w:eastAsia="宋体" w:cs="宋体"/>
          <w:bCs/>
          <w:sz w:val="24"/>
          <w:szCs w:val="24"/>
        </w:rPr>
        <w:t>6.5质量自检：本合同工程所约定工程内容完成后，乙方应进行质量自检，质量自检不合格时应自行返工，因返工所发生的费用自行承担，延误的施工期不予延长；自检合格后向甲方提</w:t>
      </w:r>
      <w:r>
        <w:rPr>
          <w:rFonts w:hint="eastAsia" w:ascii="宋体" w:hAnsi="宋体" w:eastAsia="宋体" w:cs="宋体"/>
          <w:kern w:val="0"/>
          <w:sz w:val="24"/>
          <w:szCs w:val="24"/>
        </w:rPr>
        <w:t>交自检报告并通知甲方进行验收。</w:t>
      </w:r>
    </w:p>
    <w:p>
      <w:pPr>
        <w:tabs>
          <w:tab w:val="left" w:pos="491"/>
        </w:tabs>
        <w:adjustRightInd w:val="0"/>
        <w:snapToGrid w:val="0"/>
        <w:spacing w:line="560" w:lineRule="exact"/>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第七条 安全文明施工</w:t>
      </w:r>
    </w:p>
    <w:p>
      <w:pPr>
        <w:adjustRightInd w:val="0"/>
        <w:snapToGrid w:val="0"/>
        <w:spacing w:line="56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7.1乙方应遵守工程建设安全生产的有关管理规定，严格按安全标准组织施工，并在本合同的施工期内，按合同和国家、省、市、新区新城关于安全管理的规定，编制施工安全措施计划报送监理人审批。</w:t>
      </w:r>
    </w:p>
    <w:p>
      <w:pPr>
        <w:adjustRightInd w:val="0"/>
        <w:snapToGrid w:val="0"/>
        <w:spacing w:line="56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7.2 乙方应在工地设立安全检查监督机构并配备专职安全人员负责工地的施工安全检查及监督工作，在施工过程中应加强自身队伍的安全技术管理，并对自己职工的安全负责，杜绝安全事故的发生。如发生非甲方原因引起的安全事故，乙方承担一切事故责任和由此造成的一切经济责任。</w:t>
      </w:r>
    </w:p>
    <w:p>
      <w:pPr>
        <w:adjustRightInd w:val="0"/>
        <w:snapToGrid w:val="0"/>
        <w:spacing w:line="56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7.3 乙方在动力设备、输电线路、地下管道、预留洞口、易燃易爆地段以及交通要道附近施工时，开始施工前应向甲方提交安全防护措施，经甲方认可后实施，防护措施费由乙方承担。</w:t>
      </w:r>
    </w:p>
    <w:p>
      <w:pPr>
        <w:adjustRightInd w:val="0"/>
        <w:snapToGrid w:val="0"/>
        <w:spacing w:line="56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7.4 乙方必须按照《建设工程安全生产管理条例》及其他有关安全生产方面的相关规定和要求进行施工现场的安全文明管理,自觉服从建筑工程安全监督站等相关部门进行的安全监督管理，按照安全监督部门的要求，做好工程、车辆机械和施工人员的安全工作。</w:t>
      </w:r>
    </w:p>
    <w:p>
      <w:pPr>
        <w:adjustRightInd w:val="0"/>
        <w:snapToGrid w:val="0"/>
        <w:spacing w:line="56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7.5如由于乙方原因出现安全文明施工达不到当地监管部门要求而被通报批评，甲方将同等对乙方进行处罚。如果受到报纸、电视等媒体的曝光或政府有关部门的通报批评，甲方将同等对乙方进行处罚，从乙方工程进度款或保修款中扣除。</w:t>
      </w:r>
    </w:p>
    <w:p>
      <w:pPr>
        <w:adjustRightInd w:val="0"/>
        <w:snapToGrid w:val="0"/>
        <w:spacing w:line="56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7.6乙方应建立健全工地有关安全文明施工、消防保卫、环保卫生、料具管理和治污减霾等方面的管理规章制度的要求，采取有效的防扰民、防噪声、防空气污染、防道路遗洒和垃圾清运措施。</w:t>
      </w:r>
    </w:p>
    <w:p>
      <w:pPr>
        <w:adjustRightInd w:val="0"/>
        <w:snapToGrid w:val="0"/>
        <w:spacing w:line="56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7.7乙方应服从施工现场文明施工管理，并负责施工区域内的文明施工、治污减霾、环境治理工作。</w:t>
      </w:r>
    </w:p>
    <w:p>
      <w:pPr>
        <w:adjustRightInd w:val="0"/>
        <w:snapToGrid w:val="0"/>
        <w:spacing w:line="56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7.8施工现场材料要堆放整齐、做到工完场清，保持现场干净、整洁。</w:t>
      </w:r>
    </w:p>
    <w:p>
      <w:pPr>
        <w:adjustRightInd w:val="0"/>
        <w:snapToGrid w:val="0"/>
        <w:spacing w:line="560" w:lineRule="exact"/>
        <w:ind w:firstLine="364" w:firstLineChars="151"/>
        <w:rPr>
          <w:rFonts w:hint="eastAsia" w:ascii="宋体" w:hAnsi="宋体" w:eastAsia="宋体" w:cs="宋体"/>
          <w:b/>
          <w:bCs/>
          <w:sz w:val="24"/>
          <w:szCs w:val="24"/>
        </w:rPr>
      </w:pPr>
      <w:r>
        <w:rPr>
          <w:rFonts w:hint="eastAsia" w:ascii="宋体" w:hAnsi="宋体" w:eastAsia="宋体" w:cs="宋体"/>
          <w:b/>
          <w:bCs/>
          <w:sz w:val="24"/>
          <w:szCs w:val="24"/>
        </w:rPr>
        <w:t>第八条  双方相关负责人</w:t>
      </w:r>
    </w:p>
    <w:p>
      <w:pPr>
        <w:adjustRightInd w:val="0"/>
        <w:snapToGrid w:val="0"/>
        <w:spacing w:line="560" w:lineRule="exact"/>
        <w:ind w:firstLine="480" w:firstLineChars="200"/>
        <w:rPr>
          <w:rFonts w:hint="eastAsia" w:ascii="宋体" w:hAnsi="宋体" w:eastAsia="宋体" w:cs="宋体"/>
          <w:bCs/>
          <w:sz w:val="24"/>
          <w:szCs w:val="24"/>
          <w:u w:val="single"/>
          <w:lang w:val="en-US" w:eastAsia="zh-CN"/>
        </w:rPr>
      </w:pPr>
      <w:r>
        <w:rPr>
          <w:rFonts w:hint="eastAsia" w:ascii="宋体" w:hAnsi="宋体" w:eastAsia="宋体" w:cs="宋体"/>
          <w:bCs/>
          <w:sz w:val="24"/>
          <w:szCs w:val="24"/>
        </w:rPr>
        <w:t>8.1甲方现场负责人：</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rPr>
        <w:t xml:space="preserve"> 电话：</w:t>
      </w:r>
      <w:r>
        <w:rPr>
          <w:rFonts w:hint="eastAsia" w:ascii="宋体" w:hAnsi="宋体" w:eastAsia="宋体" w:cs="宋体"/>
          <w:bCs/>
          <w:sz w:val="24"/>
          <w:szCs w:val="24"/>
          <w:u w:val="single"/>
          <w:lang w:val="en-US" w:eastAsia="zh-CN"/>
        </w:rPr>
        <w:t xml:space="preserve">              </w:t>
      </w:r>
    </w:p>
    <w:p>
      <w:pPr>
        <w:adjustRightInd w:val="0"/>
        <w:snapToGrid w:val="0"/>
        <w:spacing w:line="560" w:lineRule="exact"/>
        <w:ind w:firstLine="480" w:firstLineChars="200"/>
        <w:rPr>
          <w:rFonts w:hint="eastAsia" w:ascii="宋体" w:hAnsi="宋体" w:eastAsia="宋体" w:cs="宋体"/>
          <w:bCs/>
          <w:sz w:val="24"/>
          <w:szCs w:val="24"/>
          <w:u w:val="single"/>
          <w:lang w:val="en-US" w:eastAsia="zh-CN"/>
        </w:rPr>
      </w:pPr>
      <w:r>
        <w:rPr>
          <w:rFonts w:hint="eastAsia" w:ascii="宋体" w:hAnsi="宋体" w:eastAsia="宋体" w:cs="宋体"/>
          <w:bCs/>
          <w:sz w:val="24"/>
          <w:szCs w:val="24"/>
        </w:rPr>
        <w:t>8.2乙方现场负责人：</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rPr>
        <w:t>电话：</w:t>
      </w:r>
      <w:r>
        <w:rPr>
          <w:rFonts w:hint="eastAsia" w:ascii="宋体" w:hAnsi="宋体" w:eastAsia="宋体" w:cs="宋体"/>
          <w:bCs/>
          <w:sz w:val="24"/>
          <w:szCs w:val="24"/>
          <w:u w:val="single"/>
          <w:lang w:val="en-US" w:eastAsia="zh-CN"/>
        </w:rPr>
        <w:t xml:space="preserve">               </w:t>
      </w:r>
    </w:p>
    <w:p>
      <w:pPr>
        <w:adjustRightInd w:val="0"/>
        <w:snapToGrid w:val="0"/>
        <w:spacing w:line="56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8.3.甲方给予项目经理的任何指令都将视为给了乙方；</w:t>
      </w:r>
    </w:p>
    <w:p>
      <w:pPr>
        <w:adjustRightInd w:val="0"/>
        <w:snapToGrid w:val="0"/>
        <w:spacing w:line="56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8.4.乙方派驻的项目经理一经甲方接纳，除非得到甲方的书面许可，否则乙方不得撤换该项目经理；</w:t>
      </w:r>
    </w:p>
    <w:p>
      <w:pPr>
        <w:adjustRightInd w:val="0"/>
        <w:snapToGrid w:val="0"/>
        <w:spacing w:line="56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 xml:space="preserve">8.5.甲方有权建议乙方撤换不称职的项目经理，乙方收到建议后，应立即撤换该项目经理，并以经甲方认可的项目经理替换。      </w:t>
      </w:r>
    </w:p>
    <w:p>
      <w:pPr>
        <w:adjustRightInd w:val="0"/>
        <w:snapToGrid w:val="0"/>
        <w:spacing w:line="560" w:lineRule="exact"/>
        <w:ind w:firstLine="364" w:firstLineChars="151"/>
        <w:rPr>
          <w:rFonts w:hint="eastAsia" w:ascii="宋体" w:hAnsi="宋体" w:eastAsia="宋体" w:cs="宋体"/>
          <w:b/>
          <w:bCs/>
          <w:sz w:val="24"/>
          <w:szCs w:val="24"/>
        </w:rPr>
      </w:pPr>
      <w:r>
        <w:rPr>
          <w:rFonts w:hint="eastAsia" w:ascii="宋体" w:hAnsi="宋体" w:eastAsia="宋体" w:cs="宋体"/>
          <w:b/>
          <w:bCs/>
          <w:sz w:val="24"/>
          <w:szCs w:val="24"/>
        </w:rPr>
        <w:t>第九条 甲、乙双方权利与义务</w:t>
      </w:r>
    </w:p>
    <w:p>
      <w:pPr>
        <w:adjustRightInd w:val="0"/>
        <w:snapToGrid w:val="0"/>
        <w:spacing w:line="560" w:lineRule="exact"/>
        <w:ind w:firstLine="482" w:firstLineChars="200"/>
        <w:rPr>
          <w:rFonts w:hint="eastAsia" w:ascii="宋体" w:hAnsi="宋体" w:eastAsia="宋体" w:cs="宋体"/>
          <w:b/>
          <w:bCs/>
          <w:sz w:val="24"/>
          <w:szCs w:val="24"/>
        </w:rPr>
      </w:pPr>
      <w:r>
        <w:rPr>
          <w:rFonts w:hint="eastAsia" w:ascii="宋体" w:hAnsi="宋体" w:eastAsia="宋体" w:cs="宋体"/>
          <w:b/>
          <w:sz w:val="24"/>
          <w:szCs w:val="24"/>
        </w:rPr>
        <w:t xml:space="preserve">9.1 </w:t>
      </w:r>
      <w:r>
        <w:rPr>
          <w:rFonts w:hint="eastAsia" w:ascii="宋体" w:hAnsi="宋体" w:eastAsia="宋体" w:cs="宋体"/>
          <w:b/>
          <w:bCs/>
          <w:sz w:val="24"/>
          <w:szCs w:val="24"/>
        </w:rPr>
        <w:t>甲方权利与义务</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9.1.1  负责提供工程设计资料，组织技术交底；</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9.1.2  及时提供满足现场施工需要的工作面及</w:t>
      </w:r>
      <w:r>
        <w:rPr>
          <w:rFonts w:hint="eastAsia" w:ascii="宋体" w:hAnsi="宋体" w:eastAsia="宋体" w:cs="宋体"/>
          <w:kern w:val="0"/>
          <w:sz w:val="24"/>
          <w:szCs w:val="24"/>
        </w:rPr>
        <w:t>施工所需条件</w:t>
      </w:r>
      <w:r>
        <w:rPr>
          <w:rFonts w:hint="eastAsia" w:ascii="宋体" w:hAnsi="宋体" w:eastAsia="宋体" w:cs="宋体"/>
          <w:color w:val="000000"/>
          <w:sz w:val="24"/>
          <w:szCs w:val="24"/>
        </w:rPr>
        <w:t>；</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9.1.3  参与组织工程（包括隐蔽工程）验收；</w:t>
      </w:r>
    </w:p>
    <w:p>
      <w:pPr>
        <w:adjustRightInd w:val="0"/>
        <w:snapToGrid w:val="0"/>
        <w:spacing w:line="560" w:lineRule="exact"/>
        <w:ind w:firstLine="480" w:firstLineChars="200"/>
        <w:rPr>
          <w:rFonts w:hint="eastAsia" w:ascii="宋体" w:hAnsi="宋体" w:eastAsia="宋体" w:cs="宋体"/>
          <w:kern w:val="0"/>
          <w:sz w:val="24"/>
          <w:szCs w:val="24"/>
        </w:rPr>
      </w:pPr>
      <w:r>
        <w:rPr>
          <w:rFonts w:hint="eastAsia" w:ascii="宋体" w:hAnsi="宋体" w:eastAsia="宋体" w:cs="宋体"/>
          <w:color w:val="000000"/>
          <w:kern w:val="0"/>
          <w:sz w:val="24"/>
          <w:szCs w:val="24"/>
        </w:rPr>
        <w:t xml:space="preserve">9.1.4  </w:t>
      </w:r>
      <w:r>
        <w:rPr>
          <w:rFonts w:hint="eastAsia" w:ascii="宋体" w:hAnsi="宋体" w:eastAsia="宋体" w:cs="宋体"/>
          <w:kern w:val="0"/>
          <w:sz w:val="24"/>
          <w:szCs w:val="24"/>
        </w:rPr>
        <w:t>监督检查工程质量与进度，负责组织工程中间验收、工程签证及按合同约定付款。</w:t>
      </w:r>
    </w:p>
    <w:p>
      <w:pPr>
        <w:adjustRightInd w:val="0"/>
        <w:snapToGrid w:val="0"/>
        <w:spacing w:line="56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9.1.5  甲方有权要求乙方更换其不称职的工程管理及技术人员（包括更换项目经理），乙方必须无条件服从，并在规定的时间内按甲方及监理单位的要求完成人员的更换调整。</w:t>
      </w:r>
    </w:p>
    <w:p>
      <w:pPr>
        <w:adjustRightInd w:val="0"/>
        <w:snapToGrid w:val="0"/>
        <w:spacing w:line="560" w:lineRule="exact"/>
        <w:ind w:firstLine="482" w:firstLineChars="200"/>
        <w:rPr>
          <w:rFonts w:hint="eastAsia" w:ascii="宋体" w:hAnsi="宋体" w:eastAsia="宋体" w:cs="宋体"/>
          <w:b/>
          <w:bCs/>
          <w:sz w:val="24"/>
          <w:szCs w:val="24"/>
        </w:rPr>
      </w:pPr>
      <w:r>
        <w:rPr>
          <w:rFonts w:hint="eastAsia" w:ascii="宋体" w:hAnsi="宋体" w:eastAsia="宋体" w:cs="宋体"/>
          <w:b/>
          <w:sz w:val="24"/>
          <w:szCs w:val="24"/>
        </w:rPr>
        <w:t xml:space="preserve">9.2 </w:t>
      </w:r>
      <w:r>
        <w:rPr>
          <w:rFonts w:hint="eastAsia" w:ascii="宋体" w:hAnsi="宋体" w:eastAsia="宋体" w:cs="宋体"/>
          <w:b/>
          <w:bCs/>
          <w:sz w:val="24"/>
          <w:szCs w:val="24"/>
        </w:rPr>
        <w:t>乙方权利与义务</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sz w:val="24"/>
          <w:szCs w:val="24"/>
        </w:rPr>
        <w:t xml:space="preserve">9.2.1 </w:t>
      </w:r>
      <w:r>
        <w:rPr>
          <w:rFonts w:hint="eastAsia" w:ascii="宋体" w:hAnsi="宋体" w:eastAsia="宋体" w:cs="宋体"/>
          <w:color w:val="000000"/>
          <w:sz w:val="24"/>
          <w:szCs w:val="24"/>
        </w:rPr>
        <w:t>乙方需严格按照经甲方确认的施工纸图、施工方案施工，否则造成一切的变更、签证甲方均不认可。</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9.2.2  严格按照国家有关规程规范和甲方技术要求完成承包范围内的工程的施工，保证施工安全、质量及工期；</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9.2.3  负责施工、施工组织设计、施工安全措施、绘制竣工图纸、工程竣工验收等工作；</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9.2.4  遵守政府有关部门对施工场地交通、施工噪音、施工环境卫生和场外污染、安全生产管理的规定，按规定办理有关手续。办理相关手续产生的费用由乙方承担；</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9.2.5  做好施工现场地下管线和邻近建筑物、构筑物的保护工作；</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9.2.6  做好与其他施工单位之间的沟通协调工作，确保工程施工按照施工工序正常进行。若双方无法达成一致上报甲方，由甲方协调处理，若未按甲方处理意见施工造成的变更、签证由责任方承担；</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sz w:val="24"/>
          <w:szCs w:val="24"/>
        </w:rPr>
        <w:t>9.2.7 施工期间的现场保卫、消防、建筑垃圾清理外运等由乙方负责，并承担相应的费用；</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9.2.8  本工程中涉及到的隐蔽工程，由乙方自检后，经甲方技术管理人员、监理工程师检查验收合格后方可进行下道工序施工；</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9.2.9 完成有关质监手续及竣工交验工作及按质监部门和城建档案部门统一要求做好竣工资料；</w:t>
      </w:r>
    </w:p>
    <w:p>
      <w:pPr>
        <w:adjustRightInd w:val="0"/>
        <w:snapToGrid w:val="0"/>
        <w:spacing w:line="56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9.2.10  乙方必须对该工程施工质量及保修期内维修等承担其全部责任，并承担相应费用；</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9.2.11  在施工过程中由于乙方原因造成的安全事故，包括但不限于乙方人员、甲方人员及第三人等，均由乙方自行承担；</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9.2.12 工程施工内容合理使用期限内由于乙方施工质量问题造成的安全事故由乙方承担责任；</w:t>
      </w:r>
    </w:p>
    <w:p>
      <w:pPr>
        <w:adjustRightInd w:val="0"/>
        <w:snapToGrid w:val="0"/>
        <w:spacing w:line="560" w:lineRule="exact"/>
        <w:ind w:firstLine="480" w:firstLineChars="200"/>
        <w:rPr>
          <w:rFonts w:hint="eastAsia" w:ascii="宋体" w:hAnsi="宋体" w:eastAsia="宋体" w:cs="宋体"/>
          <w:sz w:val="24"/>
          <w:szCs w:val="24"/>
        </w:rPr>
      </w:pPr>
      <w:r>
        <w:rPr>
          <w:rFonts w:hint="eastAsia" w:ascii="宋体" w:hAnsi="宋体" w:eastAsia="宋体" w:cs="宋体"/>
          <w:color w:val="000000"/>
          <w:sz w:val="24"/>
          <w:szCs w:val="24"/>
        </w:rPr>
        <w:t xml:space="preserve">9.2.13  </w:t>
      </w:r>
      <w:r>
        <w:rPr>
          <w:rFonts w:hint="eastAsia" w:ascii="宋体" w:hAnsi="宋体" w:eastAsia="宋体" w:cs="宋体"/>
          <w:sz w:val="24"/>
          <w:szCs w:val="24"/>
        </w:rPr>
        <w:t>乙方应接受甲方及监理、质监部门的监督检查经验收合格后方可交付使用，否则无条件返工至验收合格；</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9.2.14  自行解决施工人员在施工现场的临时生活设施搭建并承担费用；</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sz w:val="24"/>
          <w:szCs w:val="24"/>
        </w:rPr>
        <w:t>9.2.15 乙方在施工区内必须文明施工、科学管理，按承诺的文明要求实施，对不文明施工现场（随地大小便、乱倒垃圾等）甲方有权单方面对乙方进行处罚，每发现一处罚款100元，并由当月进度款中直接扣除；</w:t>
      </w:r>
    </w:p>
    <w:p>
      <w:pPr>
        <w:adjustRightInd w:val="0"/>
        <w:snapToGrid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9.2.16乙方不得将本合同工程转包、</w:t>
      </w:r>
      <w:r>
        <w:rPr>
          <w:rFonts w:hint="eastAsia" w:ascii="宋体" w:hAnsi="宋体" w:eastAsia="宋体" w:cs="宋体"/>
          <w:sz w:val="24"/>
          <w:szCs w:val="24"/>
          <w:lang w:val="en-US" w:eastAsia="zh-Hans"/>
        </w:rPr>
        <w:t>分包给</w:t>
      </w:r>
      <w:r>
        <w:rPr>
          <w:rFonts w:hint="eastAsia" w:ascii="宋体" w:hAnsi="宋体" w:eastAsia="宋体" w:cs="宋体"/>
          <w:sz w:val="24"/>
          <w:szCs w:val="24"/>
        </w:rPr>
        <w:t>其它单位。</w:t>
      </w:r>
    </w:p>
    <w:p>
      <w:pPr>
        <w:adjustRightInd w:val="0"/>
        <w:snapToGrid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9.2.17 乙方对已完工的厂房、构筑物和安装设备，在交工前负责保管、保护，并清理好场地。乙方在垃圾外运过程中，不得在施工现场以外抛洒，若有抛洒，应当及时打扫。乙方在工程竣工时，不得在现场遗留垃圾，保证工完场清。负责由于施工带来的安全、卫生、环保等行政责任。</w:t>
      </w:r>
    </w:p>
    <w:p>
      <w:pPr>
        <w:pStyle w:val="9"/>
        <w:tabs>
          <w:tab w:val="left" w:pos="441"/>
        </w:tabs>
        <w:adjustRightInd w:val="0"/>
        <w:snapToGrid w:val="0"/>
        <w:spacing w:after="0" w:line="560" w:lineRule="exact"/>
        <w:ind w:left="0" w:leftChars="0" w:firstLine="480"/>
        <w:rPr>
          <w:rFonts w:hint="eastAsia" w:ascii="宋体" w:hAnsi="宋体" w:eastAsia="宋体" w:cs="宋体"/>
          <w:sz w:val="24"/>
          <w:szCs w:val="24"/>
        </w:rPr>
      </w:pPr>
      <w:r>
        <w:rPr>
          <w:rFonts w:hint="eastAsia" w:ascii="宋体" w:hAnsi="宋体" w:eastAsia="宋体" w:cs="宋体"/>
          <w:sz w:val="24"/>
          <w:szCs w:val="24"/>
        </w:rPr>
        <w:t>9.2.18乙方单位自行与总包单位协调现场临时水电并承担相关费用。</w:t>
      </w:r>
    </w:p>
    <w:p>
      <w:pPr>
        <w:adjustRightInd w:val="0"/>
        <w:snapToGrid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9.2.19 对于甲方指令乙方应认真执行（不得超出乙方资质范围），不得以任何借口不予执行。如乙方未按照甲方要求执行，甲方有权另行安排其他单位施工，因此产生的费用乙方同意从结算款中直接扣除。</w:t>
      </w:r>
    </w:p>
    <w:p>
      <w:pPr>
        <w:adjustRightInd w:val="0"/>
        <w:snapToGrid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9.2.20乙方改造时应满足原有系统的技术要求，保证改造及新增设备与原有系统联动正常可靠且满足规范要求。</w:t>
      </w:r>
    </w:p>
    <w:p>
      <w:pPr>
        <w:adjustRightInd w:val="0"/>
        <w:snapToGrid w:val="0"/>
        <w:spacing w:line="56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第十条  竣工验收及结算</w:t>
      </w:r>
    </w:p>
    <w:p>
      <w:pPr>
        <w:pStyle w:val="102"/>
        <w:adjustRightInd w:val="0"/>
        <w:snapToGrid w:val="0"/>
        <w:spacing w:line="560" w:lineRule="exact"/>
        <w:ind w:firstLine="482" w:firstLineChars="200"/>
        <w:rPr>
          <w:rFonts w:hint="eastAsia" w:ascii="宋体" w:hAnsi="宋体" w:eastAsia="宋体" w:cs="宋体"/>
          <w:b/>
          <w:kern w:val="2"/>
          <w:sz w:val="24"/>
          <w:szCs w:val="24"/>
        </w:rPr>
      </w:pPr>
      <w:r>
        <w:rPr>
          <w:rFonts w:hint="eastAsia" w:ascii="宋体" w:hAnsi="宋体" w:eastAsia="宋体" w:cs="宋体"/>
          <w:b/>
          <w:kern w:val="2"/>
          <w:sz w:val="24"/>
          <w:szCs w:val="24"/>
        </w:rPr>
        <w:t>10.1竣工验收</w:t>
      </w:r>
    </w:p>
    <w:p>
      <w:pPr>
        <w:adjustRightInd w:val="0"/>
        <w:snapToGrid w:val="0"/>
        <w:spacing w:line="5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10.1.1 工程具备竣工验收条件，乙方向甲方提供完整竣工资料及验收报告。</w:t>
      </w:r>
    </w:p>
    <w:p>
      <w:pPr>
        <w:adjustRightInd w:val="0"/>
        <w:snapToGrid w:val="0"/>
        <w:spacing w:line="5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10.1.2 甲方收到乙方竣工验收报告后组织有关单位验收，并在验收后给予认可或提出修改意见，乙方负责整改验收通过，并承担一切责任及费用。</w:t>
      </w:r>
    </w:p>
    <w:p>
      <w:pPr>
        <w:adjustRightInd w:val="0"/>
        <w:snapToGrid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10.1.3 工程竣工验收通过，乙方送竣工验收报告的日期为实际竣工日期、工程按甲方要求修改后通过验收的，实际竣工日期为乙方修改后提请验收的日期。</w:t>
      </w:r>
    </w:p>
    <w:p>
      <w:pPr>
        <w:widowControl/>
        <w:adjustRightInd w:val="0"/>
        <w:snapToGrid w:val="0"/>
        <w:spacing w:line="5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10.1.4 乙方必须按国家、地方有关规范、规定及甲方、总承包方的有关要求做好工程项目内业技术资料的整理归档工作，并在竣工验收后15天内向甲方提交本工程项目完整的资料和竣工图，附竣工图电子版一套</w:t>
      </w:r>
      <w:r>
        <w:rPr>
          <w:rFonts w:hint="eastAsia" w:ascii="宋体" w:hAnsi="宋体" w:eastAsia="宋体" w:cs="宋体"/>
          <w:b/>
          <w:bCs/>
          <w:sz w:val="24"/>
          <w:szCs w:val="24"/>
        </w:rPr>
        <w:t>。</w:t>
      </w:r>
      <w:r>
        <w:rPr>
          <w:rFonts w:hint="eastAsia" w:ascii="宋体" w:hAnsi="宋体" w:eastAsia="宋体" w:cs="宋体"/>
          <w:kern w:val="0"/>
          <w:sz w:val="24"/>
          <w:szCs w:val="24"/>
        </w:rPr>
        <w:t>若未按甲方要求的时间节点移交竣工资料，甲方不予办理工程竣工结算。</w:t>
      </w:r>
    </w:p>
    <w:p>
      <w:pPr>
        <w:adjustRightInd w:val="0"/>
        <w:snapToGrid w:val="0"/>
        <w:spacing w:line="5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10.1.5 已完工程在交付甲方前，乙方应负责成品保护工作，并承担有关费用。</w:t>
      </w:r>
    </w:p>
    <w:p>
      <w:pPr>
        <w:adjustRightInd w:val="0"/>
        <w:snapToGrid w:val="0"/>
        <w:spacing w:line="5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10.1.6 </w:t>
      </w:r>
      <w:r>
        <w:rPr>
          <w:rFonts w:hint="eastAsia" w:ascii="宋体" w:hAnsi="宋体" w:eastAsia="宋体" w:cs="宋体"/>
          <w:sz w:val="24"/>
          <w:szCs w:val="24"/>
          <w:lang w:val="en-US" w:eastAsia="zh-Hans"/>
        </w:rPr>
        <w:t>施工期间</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未经甲方同意或不可抗力</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乙方不得以任何理由擅自停工</w:t>
      </w:r>
      <w:r>
        <w:rPr>
          <w:rFonts w:hint="eastAsia" w:ascii="宋体" w:hAnsi="宋体" w:eastAsia="宋体" w:cs="宋体"/>
          <w:kern w:val="0"/>
          <w:sz w:val="24"/>
          <w:szCs w:val="24"/>
        </w:rPr>
        <w:t>。</w:t>
      </w:r>
    </w:p>
    <w:p>
      <w:pPr>
        <w:adjustRightInd w:val="0"/>
        <w:snapToGrid w:val="0"/>
        <w:spacing w:line="560" w:lineRule="exact"/>
        <w:ind w:firstLine="482" w:firstLineChars="200"/>
        <w:jc w:val="left"/>
        <w:rPr>
          <w:rFonts w:hint="eastAsia" w:ascii="宋体" w:hAnsi="宋体" w:eastAsia="宋体" w:cs="宋体"/>
          <w:sz w:val="24"/>
          <w:szCs w:val="24"/>
        </w:rPr>
      </w:pPr>
      <w:r>
        <w:rPr>
          <w:rFonts w:hint="eastAsia" w:ascii="宋体" w:hAnsi="宋体" w:eastAsia="宋体" w:cs="宋体"/>
          <w:b/>
          <w:sz w:val="24"/>
          <w:szCs w:val="24"/>
        </w:rPr>
        <w:t>10.2结算方式及依据</w:t>
      </w:r>
    </w:p>
    <w:p>
      <w:pPr>
        <w:adjustRightInd w:val="0"/>
        <w:snapToGrid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10.2.1 竣工验收完成后，乙方提供完整结算资料，按照合同计价约定办理结算。</w:t>
      </w:r>
    </w:p>
    <w:p>
      <w:pPr>
        <w:adjustRightInd w:val="0"/>
        <w:snapToGrid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10.2.2 工程竣工验收合格后，须由甲方工程部出具竣工验收证明后方可办理竣工结算。</w:t>
      </w:r>
    </w:p>
    <w:p>
      <w:pPr>
        <w:adjustRightInd w:val="0"/>
        <w:snapToGrid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10.2.3 结算时乙方须提供完整的竣工结算资料</w:t>
      </w:r>
      <w:r>
        <w:rPr>
          <w:rFonts w:hint="eastAsia" w:ascii="宋体" w:hAnsi="宋体" w:eastAsia="宋体" w:cs="宋体"/>
          <w:kern w:val="0"/>
          <w:sz w:val="24"/>
          <w:szCs w:val="24"/>
        </w:rPr>
        <w:t>（竣工图、竣工验收证明、变更单、签证单、合同复印件等资料）</w:t>
      </w:r>
      <w:r>
        <w:rPr>
          <w:rFonts w:hint="eastAsia" w:ascii="宋体" w:hAnsi="宋体" w:eastAsia="宋体" w:cs="宋体"/>
          <w:sz w:val="24"/>
          <w:szCs w:val="24"/>
        </w:rPr>
        <w:t>报送监理及甲方，经监理及甲方复核，资料不全的有权拒绝接收，直至资料报全为止。资料收集齐全之后，开始办理竣工结算。</w:t>
      </w:r>
    </w:p>
    <w:p>
      <w:pPr>
        <w:pStyle w:val="9"/>
        <w:adjustRightInd w:val="0"/>
        <w:snapToGrid w:val="0"/>
        <w:spacing w:after="0" w:line="560" w:lineRule="exact"/>
        <w:ind w:left="0" w:leftChars="0" w:firstLine="480"/>
        <w:rPr>
          <w:rFonts w:hint="eastAsia" w:ascii="宋体" w:hAnsi="宋体" w:eastAsia="宋体" w:cs="宋体"/>
          <w:sz w:val="24"/>
          <w:szCs w:val="24"/>
        </w:rPr>
      </w:pPr>
      <w:r>
        <w:rPr>
          <w:rFonts w:hint="eastAsia" w:ascii="宋体" w:hAnsi="宋体" w:eastAsia="宋体" w:cs="宋体"/>
          <w:sz w:val="24"/>
          <w:szCs w:val="24"/>
        </w:rPr>
        <w:t>10.2.4与本合同附件清单工作内容及项目特征完全一致的，执行附件综合单价。</w:t>
      </w:r>
    </w:p>
    <w:p>
      <w:pPr>
        <w:pStyle w:val="9"/>
        <w:adjustRightInd w:val="0"/>
        <w:snapToGrid w:val="0"/>
        <w:spacing w:after="0" w:line="560" w:lineRule="exact"/>
        <w:ind w:left="0" w:leftChars="0" w:firstLine="480"/>
        <w:rPr>
          <w:rFonts w:hint="eastAsia" w:ascii="宋体" w:hAnsi="宋体" w:eastAsia="宋体" w:cs="宋体"/>
          <w:sz w:val="24"/>
          <w:szCs w:val="24"/>
        </w:rPr>
      </w:pPr>
      <w:r>
        <w:rPr>
          <w:rFonts w:hint="eastAsia" w:ascii="宋体" w:hAnsi="宋体" w:eastAsia="宋体" w:cs="宋体"/>
          <w:sz w:val="24"/>
          <w:szCs w:val="24"/>
        </w:rPr>
        <w:t>10.2.5项目内容或特征与附件清单不一致的，依据《陕西省建设工程</w:t>
      </w:r>
      <w:r>
        <w:rPr>
          <w:rFonts w:hint="eastAsia" w:ascii="宋体" w:hAnsi="宋体" w:eastAsia="宋体" w:cs="宋体"/>
          <w:sz w:val="24"/>
          <w:szCs w:val="24"/>
          <w:lang w:eastAsia="zh-CN"/>
        </w:rPr>
        <w:t>采购清单</w:t>
      </w:r>
      <w:r>
        <w:rPr>
          <w:rFonts w:hint="eastAsia" w:ascii="宋体" w:hAnsi="宋体" w:eastAsia="宋体" w:cs="宋体"/>
          <w:sz w:val="24"/>
          <w:szCs w:val="24"/>
        </w:rPr>
        <w:t>计价规则》（2009）、现行的《陕西省建筑装饰工程消耗量定额》、《陕西省安装工程消耗量定额》（2009）、配套的2009价目表、其他专业定额、陕建发【2018】84号、陕建发【2018】2019号、材料认质认价单等文件并参照附件清单中相近项目的综合单价重新组价。</w:t>
      </w:r>
    </w:p>
    <w:p>
      <w:pPr>
        <w:pStyle w:val="9"/>
        <w:adjustRightInd w:val="0"/>
        <w:snapToGrid w:val="0"/>
        <w:spacing w:after="0" w:line="560" w:lineRule="exact"/>
        <w:ind w:left="0" w:leftChars="0" w:firstLine="480"/>
        <w:rPr>
          <w:rFonts w:hint="eastAsia" w:ascii="宋体" w:hAnsi="宋体" w:eastAsia="宋体" w:cs="宋体"/>
          <w:sz w:val="24"/>
          <w:szCs w:val="24"/>
        </w:rPr>
      </w:pPr>
      <w:r>
        <w:rPr>
          <w:rFonts w:hint="eastAsia" w:ascii="宋体" w:hAnsi="宋体" w:eastAsia="宋体" w:cs="宋体"/>
          <w:sz w:val="24"/>
          <w:szCs w:val="24"/>
        </w:rPr>
        <w:t>10.2.6所有清单工程量都按照实际确认</w:t>
      </w:r>
      <w:r>
        <w:rPr>
          <w:rFonts w:hint="eastAsia" w:ascii="宋体" w:hAnsi="宋体" w:eastAsia="宋体" w:cs="宋体"/>
          <w:sz w:val="24"/>
          <w:szCs w:val="24"/>
          <w:lang w:val="en-US" w:eastAsia="zh-Hans"/>
        </w:rPr>
        <w:t>的合格</w:t>
      </w:r>
      <w:r>
        <w:rPr>
          <w:rFonts w:hint="eastAsia" w:ascii="宋体" w:hAnsi="宋体" w:eastAsia="宋体" w:cs="宋体"/>
          <w:sz w:val="24"/>
          <w:szCs w:val="24"/>
        </w:rPr>
        <w:t>工程量进行计算。</w:t>
      </w:r>
    </w:p>
    <w:p>
      <w:pPr>
        <w:pStyle w:val="24"/>
        <w:adjustRightInd w:val="0"/>
        <w:snapToGrid w:val="0"/>
        <w:spacing w:before="0" w:beforeAutospacing="0" w:after="0" w:afterAutospacing="0" w:line="560" w:lineRule="exact"/>
        <w:ind w:firstLine="482" w:firstLineChars="200"/>
        <w:rPr>
          <w:rFonts w:hint="eastAsia" w:ascii="宋体" w:hAnsi="宋体" w:eastAsia="宋体" w:cs="宋体"/>
          <w:b/>
          <w:bCs/>
          <w:kern w:val="2"/>
          <w:sz w:val="24"/>
          <w:szCs w:val="24"/>
        </w:rPr>
      </w:pPr>
      <w:r>
        <w:rPr>
          <w:rFonts w:hint="eastAsia" w:ascii="宋体" w:hAnsi="宋体" w:eastAsia="宋体" w:cs="宋体"/>
          <w:b/>
          <w:bCs/>
          <w:kern w:val="2"/>
          <w:sz w:val="24"/>
          <w:szCs w:val="24"/>
        </w:rPr>
        <w:t>第十一条  质量保修</w:t>
      </w:r>
    </w:p>
    <w:p>
      <w:pPr>
        <w:adjustRightInd w:val="0"/>
        <w:snapToGrid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11.1按《建设工程质量管理条理》执行，本工程</w:t>
      </w:r>
      <w:r>
        <w:rPr>
          <w:rFonts w:hint="eastAsia" w:ascii="宋体" w:hAnsi="宋体" w:eastAsia="宋体" w:cs="宋体"/>
          <w:sz w:val="24"/>
          <w:szCs w:val="24"/>
          <w:lang w:eastAsia="zh-CN"/>
        </w:rPr>
        <w:t>质保</w:t>
      </w:r>
      <w:r>
        <w:rPr>
          <w:rFonts w:hint="eastAsia" w:ascii="宋体" w:hAnsi="宋体" w:eastAsia="宋体" w:cs="宋体"/>
          <w:sz w:val="24"/>
          <w:szCs w:val="24"/>
        </w:rPr>
        <w:t>期为屋面防水工程、有防水要求的卫生间、房间和外墙面的防渗漏，为5年；电气系统、给排水管道、设备安装为2年；装修工程质量为2年。保修期自装饰装修工程竣工验收合格之日起计算。自本工程竣工验收合格</w:t>
      </w:r>
      <w:r>
        <w:rPr>
          <w:rFonts w:hint="eastAsia" w:ascii="宋体" w:hAnsi="宋体" w:eastAsia="宋体" w:cs="宋体"/>
          <w:sz w:val="24"/>
          <w:szCs w:val="24"/>
          <w:lang w:val="en-US" w:eastAsia="zh-Hans"/>
        </w:rPr>
        <w:t>报告签署</w:t>
      </w:r>
      <w:r>
        <w:rPr>
          <w:rFonts w:hint="eastAsia" w:ascii="宋体" w:hAnsi="宋体" w:eastAsia="宋体" w:cs="宋体"/>
          <w:sz w:val="24"/>
          <w:szCs w:val="24"/>
        </w:rPr>
        <w:t>之日起计算。</w:t>
      </w:r>
    </w:p>
    <w:p>
      <w:pPr>
        <w:pStyle w:val="12"/>
        <w:adjustRightInd w:val="0"/>
        <w:snapToGrid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11.2 保修期间内，乙方在接到甲方维修电话通知后24小时内，必须采取实际有效行动。</w:t>
      </w:r>
    </w:p>
    <w:p>
      <w:pPr>
        <w:adjustRightInd w:val="0"/>
        <w:snapToGrid w:val="0"/>
        <w:spacing w:line="560" w:lineRule="exact"/>
        <w:ind w:firstLine="480" w:firstLineChars="200"/>
        <w:rPr>
          <w:rFonts w:hint="eastAsia" w:ascii="宋体" w:hAnsi="宋体" w:eastAsia="宋体" w:cs="宋体"/>
          <w:kern w:val="0"/>
          <w:sz w:val="24"/>
          <w:szCs w:val="24"/>
        </w:rPr>
      </w:pPr>
      <w:r>
        <w:rPr>
          <w:rFonts w:hint="eastAsia" w:ascii="宋体" w:hAnsi="宋体" w:eastAsia="宋体" w:cs="宋体"/>
          <w:sz w:val="24"/>
          <w:szCs w:val="24"/>
        </w:rPr>
        <w:t>11</w:t>
      </w:r>
      <w:r>
        <w:rPr>
          <w:rFonts w:hint="eastAsia" w:ascii="宋体" w:hAnsi="宋体" w:eastAsia="宋体" w:cs="宋体"/>
          <w:kern w:val="0"/>
          <w:sz w:val="24"/>
          <w:szCs w:val="24"/>
        </w:rPr>
        <w:t>.3 工程保修期内要求：乙方在保修期内委派专人负责维修协调事宜，若因乙方工程质量原因或维修不及时导致业</w:t>
      </w:r>
      <w:r>
        <w:rPr>
          <w:rFonts w:hint="eastAsia" w:ascii="宋体" w:hAnsi="宋体" w:eastAsia="宋体" w:cs="宋体"/>
          <w:color w:val="000000"/>
          <w:kern w:val="0"/>
          <w:sz w:val="24"/>
          <w:szCs w:val="24"/>
        </w:rPr>
        <w:t>主</w:t>
      </w:r>
      <w:r>
        <w:rPr>
          <w:rFonts w:hint="eastAsia" w:ascii="宋体" w:hAnsi="宋体" w:eastAsia="宋体" w:cs="宋体"/>
          <w:kern w:val="0"/>
          <w:sz w:val="24"/>
          <w:szCs w:val="24"/>
        </w:rPr>
        <w:t>提出索赔要求，甲方全权代表乙方与业主进行谈判，发生的索赔费用由乙方承担，若乙方拒绝赔偿，甲方有权从保修金中扣除赔偿费，乙方</w:t>
      </w:r>
      <w:r>
        <w:rPr>
          <w:rStyle w:val="39"/>
          <w:rFonts w:hint="eastAsia" w:ascii="宋体" w:hAnsi="宋体" w:eastAsia="宋体" w:cs="宋体"/>
          <w:color w:val="000000"/>
          <w:kern w:val="0"/>
          <w:sz w:val="24"/>
          <w:szCs w:val="24"/>
        </w:rPr>
        <w:t>对此</w:t>
      </w:r>
      <w:r>
        <w:rPr>
          <w:rFonts w:hint="eastAsia" w:ascii="宋体" w:hAnsi="宋体" w:eastAsia="宋体" w:cs="宋体"/>
          <w:kern w:val="0"/>
          <w:sz w:val="24"/>
          <w:szCs w:val="24"/>
        </w:rPr>
        <w:t>予以认可。</w:t>
      </w:r>
    </w:p>
    <w:p>
      <w:pPr>
        <w:adjustRightInd w:val="0"/>
        <w:snapToGrid w:val="0"/>
        <w:spacing w:line="560" w:lineRule="exact"/>
        <w:ind w:firstLine="480" w:firstLineChars="200"/>
        <w:rPr>
          <w:rFonts w:hint="eastAsia" w:ascii="宋体" w:hAnsi="宋体" w:eastAsia="宋体" w:cs="宋体"/>
          <w:kern w:val="0"/>
          <w:sz w:val="24"/>
          <w:szCs w:val="24"/>
        </w:rPr>
      </w:pPr>
      <w:r>
        <w:rPr>
          <w:rFonts w:hint="eastAsia" w:ascii="宋体" w:hAnsi="宋体" w:eastAsia="宋体" w:cs="宋体"/>
          <w:sz w:val="24"/>
          <w:szCs w:val="24"/>
        </w:rPr>
        <w:t>11</w:t>
      </w:r>
      <w:r>
        <w:rPr>
          <w:rFonts w:hint="eastAsia" w:ascii="宋体" w:hAnsi="宋体" w:eastAsia="宋体" w:cs="宋体"/>
          <w:kern w:val="0"/>
          <w:sz w:val="24"/>
          <w:szCs w:val="24"/>
        </w:rPr>
        <w:t>.4 质保期间，</w:t>
      </w:r>
      <w:r>
        <w:rPr>
          <w:rFonts w:hint="eastAsia" w:ascii="宋体" w:hAnsi="宋体" w:eastAsia="宋体" w:cs="宋体"/>
          <w:color w:val="000000"/>
          <w:sz w:val="24"/>
          <w:szCs w:val="24"/>
        </w:rPr>
        <w:t>若因乙方施工质量原因导致需要维修，</w:t>
      </w:r>
      <w:r>
        <w:rPr>
          <w:rFonts w:hint="eastAsia" w:ascii="宋体" w:hAnsi="宋体" w:eastAsia="宋体" w:cs="宋体"/>
          <w:kern w:val="0"/>
          <w:sz w:val="24"/>
          <w:szCs w:val="24"/>
        </w:rPr>
        <w:t>甲方或甲方物业公司在两次通知乙方无果的情况下，甲方有权</w:t>
      </w:r>
      <w:r>
        <w:rPr>
          <w:rFonts w:hint="eastAsia" w:ascii="宋体" w:hAnsi="宋体" w:eastAsia="宋体" w:cs="宋体"/>
          <w:kern w:val="0"/>
          <w:sz w:val="24"/>
          <w:szCs w:val="24"/>
          <w:lang w:val="en-US" w:eastAsia="zh-Hans"/>
        </w:rPr>
        <w:t>委托第三方</w:t>
      </w:r>
      <w:r>
        <w:rPr>
          <w:rFonts w:hint="eastAsia" w:ascii="宋体" w:hAnsi="宋体" w:eastAsia="宋体" w:cs="宋体"/>
          <w:kern w:val="0"/>
          <w:sz w:val="24"/>
          <w:szCs w:val="24"/>
        </w:rPr>
        <w:t>进行维修，维修费用</w:t>
      </w:r>
      <w:r>
        <w:rPr>
          <w:rFonts w:hint="eastAsia" w:ascii="宋体" w:hAnsi="宋体" w:eastAsia="宋体" w:cs="宋体"/>
          <w:kern w:val="0"/>
          <w:sz w:val="24"/>
          <w:szCs w:val="24"/>
          <w:lang w:val="en-US" w:eastAsia="zh-Hans"/>
        </w:rPr>
        <w:t>由乙方承担</w:t>
      </w:r>
      <w:r>
        <w:rPr>
          <w:rFonts w:hint="eastAsia" w:ascii="宋体" w:hAnsi="宋体" w:eastAsia="宋体" w:cs="宋体"/>
          <w:kern w:val="0"/>
          <w:sz w:val="24"/>
          <w:szCs w:val="24"/>
          <w:lang w:eastAsia="zh-Hans"/>
        </w:rPr>
        <w:t>，</w:t>
      </w:r>
      <w:r>
        <w:rPr>
          <w:rFonts w:hint="eastAsia" w:ascii="宋体" w:hAnsi="宋体" w:eastAsia="宋体" w:cs="宋体"/>
          <w:kern w:val="0"/>
          <w:sz w:val="24"/>
          <w:szCs w:val="24"/>
          <w:lang w:val="en-US" w:eastAsia="zh-Hans"/>
        </w:rPr>
        <w:t>甲方有权</w:t>
      </w:r>
      <w:r>
        <w:rPr>
          <w:rFonts w:hint="eastAsia" w:ascii="宋体" w:hAnsi="宋体" w:eastAsia="宋体" w:cs="宋体"/>
          <w:kern w:val="0"/>
          <w:sz w:val="24"/>
          <w:szCs w:val="24"/>
        </w:rPr>
        <w:t>直接从乙方质保金中予以扣除，乙方</w:t>
      </w:r>
      <w:r>
        <w:rPr>
          <w:rFonts w:hint="eastAsia" w:ascii="宋体" w:hAnsi="宋体" w:eastAsia="宋体" w:cs="宋体"/>
          <w:color w:val="000000"/>
          <w:kern w:val="0"/>
          <w:sz w:val="24"/>
          <w:szCs w:val="24"/>
        </w:rPr>
        <w:t>对此表示同意。</w:t>
      </w:r>
    </w:p>
    <w:p>
      <w:pPr>
        <w:pStyle w:val="24"/>
        <w:adjustRightInd w:val="0"/>
        <w:snapToGrid w:val="0"/>
        <w:spacing w:before="0" w:beforeAutospacing="0" w:after="0" w:afterAutospacing="0" w:line="560" w:lineRule="exact"/>
        <w:ind w:firstLine="482" w:firstLineChars="200"/>
        <w:rPr>
          <w:rFonts w:hint="eastAsia" w:ascii="宋体" w:hAnsi="宋体" w:eastAsia="宋体" w:cs="宋体"/>
          <w:b/>
          <w:bCs/>
          <w:kern w:val="2"/>
          <w:sz w:val="24"/>
          <w:szCs w:val="24"/>
        </w:rPr>
      </w:pPr>
      <w:r>
        <w:rPr>
          <w:rFonts w:hint="eastAsia" w:ascii="宋体" w:hAnsi="宋体" w:eastAsia="宋体" w:cs="宋体"/>
          <w:b/>
          <w:bCs/>
          <w:kern w:val="2"/>
          <w:sz w:val="24"/>
          <w:szCs w:val="24"/>
        </w:rPr>
        <w:t>第十二条  违约责任</w:t>
      </w:r>
    </w:p>
    <w:p>
      <w:pPr>
        <w:adjustRightInd w:val="0"/>
        <w:snapToGrid w:val="0"/>
        <w:spacing w:line="560" w:lineRule="exact"/>
        <w:ind w:firstLine="480" w:firstLineChars="200"/>
        <w:jc w:val="left"/>
        <w:rPr>
          <w:rFonts w:hint="eastAsia" w:ascii="宋体" w:hAnsi="宋体" w:eastAsia="宋体" w:cs="宋体"/>
          <w:sz w:val="24"/>
          <w:szCs w:val="24"/>
        </w:rPr>
      </w:pPr>
      <w:bookmarkStart w:id="105" w:name="_Toc34909135"/>
      <w:r>
        <w:rPr>
          <w:rFonts w:hint="eastAsia" w:ascii="宋体" w:hAnsi="宋体" w:eastAsia="宋体" w:cs="宋体"/>
          <w:color w:val="000000"/>
          <w:sz w:val="24"/>
          <w:szCs w:val="24"/>
        </w:rPr>
        <w:t>12.1 乙方不按规范施工或使用不合格材料施工等，导致工程质量不合格，除无条件返工外，乙方需按照工程价款20%向甲方赔偿违约金。</w:t>
      </w:r>
      <w:bookmarkEnd w:id="105"/>
    </w:p>
    <w:p>
      <w:pPr>
        <w:adjustRightInd w:val="0"/>
        <w:snapToGrid w:val="0"/>
        <w:spacing w:line="56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12.2 若乙方有拖欠、克扣其工人劳动报酬行为的，甲方有权从进度款中直接代付，并有权解除合同。</w:t>
      </w:r>
    </w:p>
    <w:p>
      <w:pPr>
        <w:adjustRightInd w:val="0"/>
        <w:snapToGrid w:val="0"/>
        <w:spacing w:line="560" w:lineRule="exact"/>
        <w:ind w:firstLine="480" w:firstLineChars="200"/>
        <w:rPr>
          <w:rFonts w:hint="eastAsia" w:ascii="宋体" w:hAnsi="宋体" w:eastAsia="宋体" w:cs="宋体"/>
          <w:sz w:val="24"/>
          <w:szCs w:val="24"/>
        </w:rPr>
      </w:pPr>
      <w:r>
        <w:rPr>
          <w:rFonts w:hint="eastAsia" w:ascii="宋体" w:hAnsi="宋体" w:eastAsia="宋体" w:cs="宋体"/>
          <w:color w:val="000000"/>
          <w:sz w:val="24"/>
          <w:szCs w:val="24"/>
        </w:rPr>
        <w:t>12</w:t>
      </w:r>
      <w:r>
        <w:rPr>
          <w:rFonts w:hint="eastAsia" w:ascii="宋体" w:hAnsi="宋体" w:eastAsia="宋体" w:cs="宋体"/>
          <w:sz w:val="24"/>
          <w:szCs w:val="24"/>
        </w:rPr>
        <w:t>.3 因乙方原因导致所施工的工程质量不合格，经两次整改后仍然达不到合同约定的质量要求（即竣工验收合格），视为</w:t>
      </w:r>
      <w:r>
        <w:rPr>
          <w:rFonts w:hint="eastAsia" w:ascii="宋体" w:hAnsi="宋体" w:eastAsia="宋体" w:cs="宋体"/>
          <w:color w:val="000000"/>
          <w:sz w:val="24"/>
          <w:szCs w:val="24"/>
        </w:rPr>
        <w:t>根本</w:t>
      </w:r>
      <w:r>
        <w:rPr>
          <w:rFonts w:hint="eastAsia" w:ascii="宋体" w:hAnsi="宋体" w:eastAsia="宋体" w:cs="宋体"/>
          <w:sz w:val="24"/>
          <w:szCs w:val="24"/>
        </w:rPr>
        <w:t>违约，甲方有权解除本合同并不予支付乙方工程款，乙方需</w:t>
      </w:r>
      <w:r>
        <w:rPr>
          <w:rFonts w:hint="eastAsia" w:ascii="宋体" w:hAnsi="宋体" w:eastAsia="宋体" w:cs="宋体"/>
          <w:color w:val="000000"/>
          <w:sz w:val="24"/>
          <w:szCs w:val="24"/>
        </w:rPr>
        <w:t>按照工程价款20%向甲方赔偿违约金，并</w:t>
      </w:r>
      <w:r>
        <w:rPr>
          <w:rFonts w:hint="eastAsia" w:ascii="宋体" w:hAnsi="宋体" w:eastAsia="宋体" w:cs="宋体"/>
          <w:sz w:val="24"/>
          <w:szCs w:val="24"/>
        </w:rPr>
        <w:t>承担由此给甲方或第三方造成的直接间接经济损失。</w:t>
      </w:r>
    </w:p>
    <w:p>
      <w:pPr>
        <w:adjustRightInd w:val="0"/>
        <w:snapToGrid w:val="0"/>
        <w:spacing w:line="560" w:lineRule="exact"/>
        <w:ind w:firstLine="480" w:firstLineChars="200"/>
        <w:rPr>
          <w:rFonts w:hint="eastAsia" w:ascii="宋体" w:hAnsi="宋体" w:eastAsia="宋体" w:cs="宋体"/>
          <w:sz w:val="24"/>
          <w:szCs w:val="24"/>
        </w:rPr>
      </w:pPr>
      <w:r>
        <w:rPr>
          <w:rFonts w:hint="eastAsia" w:ascii="宋体" w:hAnsi="宋体" w:eastAsia="宋体" w:cs="宋体"/>
          <w:color w:val="000000"/>
          <w:sz w:val="24"/>
          <w:szCs w:val="24"/>
        </w:rPr>
        <w:t>12</w:t>
      </w:r>
      <w:r>
        <w:rPr>
          <w:rFonts w:hint="eastAsia" w:ascii="宋体" w:hAnsi="宋体" w:eastAsia="宋体" w:cs="宋体"/>
          <w:sz w:val="24"/>
          <w:szCs w:val="24"/>
        </w:rPr>
        <w:t>.5 除不可抗力因素外，如果乙方原因不能按照合同约定时间竣工的，每逾期一日，甲方有权扣除工程总价款的5‰，逾期超过15日以上的，甲方有权解除本合同，并有权要求乙方按照工程总价款20%支付违约金，违约金不足以弥补损失的，甲方有权继续追偿。</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12</w:t>
      </w:r>
      <w:r>
        <w:rPr>
          <w:rFonts w:hint="eastAsia" w:ascii="宋体" w:hAnsi="宋体" w:eastAsia="宋体" w:cs="宋体"/>
          <w:sz w:val="24"/>
          <w:szCs w:val="24"/>
        </w:rPr>
        <w:t>.6</w:t>
      </w:r>
      <w:r>
        <w:rPr>
          <w:rFonts w:hint="eastAsia" w:ascii="宋体" w:hAnsi="宋体" w:eastAsia="宋体" w:cs="宋体"/>
          <w:color w:val="000000"/>
          <w:sz w:val="24"/>
          <w:szCs w:val="24"/>
        </w:rPr>
        <w:t>双方确认，因甲方原因使工程中途停建、缓建的，甲方有义务及时的通知乙方，并采取措施弥补或减少损失，但此类情形不视为甲方违约，甲方无需承担相关赔偿责任。</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12.7 施工期间，乙方如有不服从甲方合理调度指挥，影响工期正常完成或甲方发现乙方有违反工艺、技术要求，影响质量与工期，则甲方有权责令乙方限期整改，且工期不顺延，同时乙方还需向甲方支付10000元/次的违约金，若乙方在甲方规定期限内未完成相应整改的，按照12.5条逾期竣工处理。</w:t>
      </w:r>
    </w:p>
    <w:p>
      <w:pPr>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12.8 工程全部完工后，乙方必须做到场地干净整洁、无任何垃圾，否则甲方有权不予验收并有权自行处理，所造成的损失由乙方自行承担，所发生的费用甲方有权直接在乙方工程款中扣除，所损失的金额以甲方确认的为准。</w:t>
      </w:r>
    </w:p>
    <w:p>
      <w:pPr>
        <w:adjustRightInd w:val="0"/>
        <w:snapToGrid w:val="0"/>
        <w:spacing w:line="560" w:lineRule="exact"/>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12.9甲方现场工程师发现乙方采购并使用不符合设计标准要求，或与投标文件中承诺的材料设备不符时，甲方有权要求乙方限期重新采购，由此延误的工期不予顺延，并承担工程总价款 20 %违约金。</w:t>
      </w:r>
    </w:p>
    <w:p>
      <w:pPr>
        <w:adjustRightInd w:val="0"/>
        <w:snapToGrid w:val="0"/>
        <w:spacing w:line="560" w:lineRule="exact"/>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12.10乙方不得将工程转包、</w:t>
      </w:r>
      <w:r>
        <w:rPr>
          <w:rFonts w:hint="eastAsia" w:ascii="宋体" w:hAnsi="宋体" w:eastAsia="宋体" w:cs="宋体"/>
          <w:color w:val="000000"/>
          <w:sz w:val="24"/>
          <w:szCs w:val="24"/>
          <w:lang w:val="en-US" w:eastAsia="zh-Hans"/>
        </w:rPr>
        <w:t>分包</w:t>
      </w:r>
      <w:r>
        <w:rPr>
          <w:rFonts w:hint="eastAsia" w:ascii="宋体" w:hAnsi="宋体" w:eastAsia="宋体" w:cs="宋体"/>
          <w:color w:val="000000"/>
          <w:sz w:val="24"/>
          <w:szCs w:val="24"/>
        </w:rPr>
        <w:t>给其他施工单位，如乙方违反本合同约定将工程转包给其他施工单位，甲方有权解除合同，则乙方应按工程总价款的20％向甲方支付违约金，此外甲方有权终止合同，因此而造成的一切损失由乙方承担。</w:t>
      </w:r>
    </w:p>
    <w:p>
      <w:pPr>
        <w:adjustRightInd w:val="0"/>
        <w:snapToGrid w:val="0"/>
        <w:spacing w:line="560" w:lineRule="exact"/>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12.11乙方施工期间若发生安全事故，包括但不限于甲方或第三人或乙方人员的人身伤害的，由乙方承担一切责任。乙方应向甲方支付工程总价款20%的违约金，还应赔偿给甲方造成的损失，且甲方有权解除合同。</w:t>
      </w:r>
    </w:p>
    <w:p>
      <w:pPr>
        <w:adjustRightInd w:val="0"/>
        <w:snapToGrid w:val="0"/>
        <w:spacing w:line="560" w:lineRule="exact"/>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12.12因乙方协调周边关系不力造成工程停工超过5天时，甲方有权单方面解除合同，由乙方一次性向甲方支付工程总价款10％的违约金，且因此造成的所有经济损失均由乙方承担。</w:t>
      </w:r>
    </w:p>
    <w:p>
      <w:pPr>
        <w:adjustRightInd w:val="0"/>
        <w:snapToGrid w:val="0"/>
        <w:spacing w:line="560" w:lineRule="exact"/>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12.13除本合同有明确的违约责任外，乙方违反本合同其他约定，应向甲方支付工程总价款10%的违约金，并按照甲方要求限期整改；乙方拒不整改或整改后仍不符合合同约定或甲方要求的，甲方有权解除合同，乙方应向甲方承担工程总价款20%的违约金，并赔偿由此给甲方造成的损失。</w:t>
      </w:r>
    </w:p>
    <w:p>
      <w:pPr>
        <w:adjustRightInd w:val="0"/>
        <w:snapToGrid w:val="0"/>
        <w:spacing w:line="560" w:lineRule="exact"/>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12.14若因乙方原因使甲方卷入诉讼（仲裁），或因乙方违约甲方按照本合同约定向乙方主张权利，甲方因此产生的一切费用及损失（包括但不限于诉讼费、仲裁费、保全费、保全担保费、差旅费、律师费、赔偿金等）均由乙方承担。</w:t>
      </w:r>
    </w:p>
    <w:p>
      <w:pPr>
        <w:adjustRightInd w:val="0"/>
        <w:snapToGrid w:val="0"/>
        <w:spacing w:line="560" w:lineRule="exact"/>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12.15乙方应付的违约金、赔偿金，甲方有权直接从履约保证金（若有）、质保金中扣除或在支付价款时予以扣除，不足部分由乙方补足。 </w:t>
      </w:r>
    </w:p>
    <w:p>
      <w:pPr>
        <w:pStyle w:val="24"/>
        <w:adjustRightInd w:val="0"/>
        <w:snapToGrid w:val="0"/>
        <w:spacing w:before="0" w:beforeAutospacing="0" w:after="0" w:afterAutospacing="0" w:line="560" w:lineRule="exact"/>
        <w:ind w:firstLine="482" w:firstLineChars="200"/>
        <w:rPr>
          <w:rFonts w:hint="eastAsia" w:ascii="宋体" w:hAnsi="宋体" w:eastAsia="宋体" w:cs="宋体"/>
          <w:b/>
          <w:bCs/>
          <w:kern w:val="2"/>
          <w:sz w:val="24"/>
          <w:szCs w:val="24"/>
        </w:rPr>
      </w:pPr>
      <w:r>
        <w:rPr>
          <w:rFonts w:hint="eastAsia" w:ascii="宋体" w:hAnsi="宋体" w:eastAsia="宋体" w:cs="宋体"/>
          <w:b/>
          <w:bCs/>
          <w:kern w:val="2"/>
          <w:sz w:val="24"/>
          <w:szCs w:val="24"/>
        </w:rPr>
        <w:t>第十三条  合同解除</w:t>
      </w:r>
    </w:p>
    <w:p>
      <w:pPr>
        <w:adjustRightInd w:val="0"/>
        <w:snapToGrid w:val="0"/>
        <w:spacing w:line="56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13.1甲乙双方协商一致，可以解除合同。</w:t>
      </w:r>
    </w:p>
    <w:p>
      <w:pPr>
        <w:adjustRightInd w:val="0"/>
        <w:snapToGrid w:val="0"/>
        <w:spacing w:line="56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13.2 有下列情形之一的，甲方可单方面解除本合同：</w:t>
      </w:r>
    </w:p>
    <w:p>
      <w:pPr>
        <w:adjustRightInd w:val="0"/>
        <w:snapToGrid w:val="0"/>
        <w:spacing w:line="56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13.2.1 乙方未经甲方书面同意擅自单方面连续停工达三个日历天（含）及以上的，并经甲方书面催告仍不复工的，或者乙方未经甲方书面同意擅自停工累计超过七个日历天以上的，则视为乙方不履行合同，甲方有权单方面解除合同；</w:t>
      </w:r>
    </w:p>
    <w:p>
      <w:pPr>
        <w:adjustRightInd w:val="0"/>
        <w:snapToGrid w:val="0"/>
        <w:spacing w:line="56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13.2.2 本工程未经甲方书面同意擅自停工，擅自停工次数累计超过2次（含）及以上的；</w:t>
      </w:r>
    </w:p>
    <w:p>
      <w:pPr>
        <w:adjustRightInd w:val="0"/>
        <w:snapToGrid w:val="0"/>
        <w:spacing w:line="56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13.2.3 本工程的质量不符合本合同约定，经甲方催告后超过七个日历天仍未予整改到位的；</w:t>
      </w:r>
    </w:p>
    <w:p>
      <w:pPr>
        <w:adjustRightInd w:val="0"/>
        <w:snapToGrid w:val="0"/>
        <w:spacing w:line="56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13.2.4 本工程发生重大安全事故，发生人员死亡或重伤的；</w:t>
      </w:r>
    </w:p>
    <w:p>
      <w:pPr>
        <w:adjustRightInd w:val="0"/>
        <w:snapToGrid w:val="0"/>
        <w:spacing w:line="56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13.2.5 乙方不服从甲方和监理的监督管理致使本工程未能按照合同约定执行，包括但不限于质量、进度、工期、安全、文明、竣工验收交付等，且经甲方书面催告后超过七个日历天仍未纠正的；</w:t>
      </w:r>
    </w:p>
    <w:p>
      <w:pPr>
        <w:adjustRightInd w:val="0"/>
        <w:snapToGrid w:val="0"/>
        <w:spacing w:line="56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13.2.6 当乙方将承包的全部或部分单体工程转包给他人，或肢解后以分包的名义分别转包给他人，甲方有权解除合同。</w:t>
      </w:r>
    </w:p>
    <w:p>
      <w:pPr>
        <w:adjustRightInd w:val="0"/>
        <w:snapToGrid w:val="0"/>
        <w:spacing w:line="56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13.2.7本合同其他条款约定的适用解除合同的情形。</w:t>
      </w:r>
    </w:p>
    <w:p>
      <w:pPr>
        <w:adjustRightInd w:val="0"/>
        <w:snapToGrid w:val="0"/>
        <w:spacing w:line="56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13.3.因不可抗力致使合同无法履行的，甲乙双方可以解除合同。</w:t>
      </w:r>
    </w:p>
    <w:p>
      <w:pPr>
        <w:adjustRightInd w:val="0"/>
        <w:snapToGrid w:val="0"/>
        <w:spacing w:line="56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13.4. 一方依照约定提出要求解除合同时，应以书面形式向对方发出解除合同通知，通知到达对方时合同解除，对解除合同有争议的，可以依合同法处理。</w:t>
      </w:r>
    </w:p>
    <w:p>
      <w:pPr>
        <w:adjustRightInd w:val="0"/>
        <w:snapToGrid w:val="0"/>
        <w:spacing w:line="56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13.5 合同解除后，乙方应妥善做好已完工程保护和移交工作，按甲方的要求将自有的机械设备和人员撤出施工场地，乙方未完善移交手续擅自撤场的，应该赔偿由此给甲方造成的一切损失。甲方应为乙方的撤出提供必要条件，已完工程价款在乙方根据甲方要求完全撤出施工场地后结算，办理结算手续后支付。</w:t>
      </w:r>
    </w:p>
    <w:p>
      <w:pPr>
        <w:adjustRightInd w:val="0"/>
        <w:snapToGrid w:val="0"/>
        <w:spacing w:line="56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13.6 甲方不支付乙方因撤出施工现场所发生的支出、费用。</w:t>
      </w:r>
    </w:p>
    <w:p>
      <w:pPr>
        <w:adjustRightInd w:val="0"/>
        <w:snapToGrid w:val="0"/>
        <w:spacing w:line="56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13.7 甲方按照本条第2款任一项约定解除本合同，乙方除须向甲方支付合同总价10%的违约金外，由此给第三方造成的全部损失均由乙方全部承担。</w:t>
      </w:r>
    </w:p>
    <w:p>
      <w:pPr>
        <w:adjustRightInd w:val="0"/>
        <w:snapToGrid w:val="0"/>
        <w:spacing w:line="56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13.8 如因乙方原因导致甲方解除合同的，乙方应在甲方规定的期限内完成退场并将已完工作和相关的资料完整移交给甲方。否则，甲方有权暂不办理结算并追究乙方延误工期移交已完工作和资料的违约责任，违约责任标准为合同总价万分之五每日。</w:t>
      </w:r>
    </w:p>
    <w:p>
      <w:pPr>
        <w:adjustRightInd w:val="0"/>
        <w:snapToGrid w:val="0"/>
        <w:spacing w:line="56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13.9 合同解除后，甲方有权委托有资质的独立审计机构对乙方已完</w:t>
      </w:r>
      <w:r>
        <w:rPr>
          <w:rFonts w:hint="eastAsia" w:ascii="宋体" w:hAnsi="宋体" w:eastAsia="宋体" w:cs="宋体"/>
          <w:bCs/>
          <w:color w:val="000000"/>
          <w:sz w:val="24"/>
          <w:szCs w:val="24"/>
          <w:lang w:val="en-US" w:eastAsia="zh-Hans"/>
        </w:rPr>
        <w:t>的合格</w:t>
      </w:r>
      <w:r>
        <w:rPr>
          <w:rFonts w:hint="eastAsia" w:ascii="宋体" w:hAnsi="宋体" w:eastAsia="宋体" w:cs="宋体"/>
          <w:bCs/>
          <w:color w:val="000000"/>
          <w:sz w:val="24"/>
          <w:szCs w:val="24"/>
        </w:rPr>
        <w:t>工作造价进行核算（审计费用由乙方承担），并在扣除乙方应当承担的违约责任及费用后与乙方结清费用。</w:t>
      </w:r>
    </w:p>
    <w:p>
      <w:pPr>
        <w:adjustRightInd w:val="0"/>
        <w:snapToGrid w:val="0"/>
        <w:spacing w:line="560" w:lineRule="exact"/>
        <w:ind w:firstLine="480" w:firstLineChars="200"/>
        <w:rPr>
          <w:rFonts w:hint="eastAsia" w:ascii="宋体" w:hAnsi="宋体" w:eastAsia="宋体" w:cs="宋体"/>
          <w:b/>
          <w:bCs/>
          <w:color w:val="000000"/>
          <w:sz w:val="24"/>
          <w:szCs w:val="24"/>
        </w:rPr>
      </w:pPr>
      <w:r>
        <w:rPr>
          <w:rFonts w:hint="eastAsia" w:ascii="宋体" w:hAnsi="宋体" w:eastAsia="宋体" w:cs="宋体"/>
          <w:bCs/>
          <w:color w:val="000000"/>
          <w:sz w:val="24"/>
          <w:szCs w:val="24"/>
        </w:rPr>
        <w:t>13.10 如乙方擅自解除合同或中途退场的，乙方应承担合同总价10%的违约金，如上述违约金不足以弥补甲方实际损失的，甲方有权对不足部分进行追偿。</w:t>
      </w:r>
    </w:p>
    <w:p>
      <w:pPr>
        <w:pStyle w:val="24"/>
        <w:adjustRightInd w:val="0"/>
        <w:snapToGrid w:val="0"/>
        <w:spacing w:before="0" w:beforeAutospacing="0" w:after="0" w:afterAutospacing="0" w:line="560" w:lineRule="exact"/>
        <w:ind w:firstLine="482" w:firstLineChars="200"/>
        <w:rPr>
          <w:rFonts w:hint="eastAsia" w:ascii="宋体" w:hAnsi="宋体" w:eastAsia="宋体" w:cs="宋体"/>
          <w:b/>
          <w:bCs/>
          <w:kern w:val="2"/>
          <w:sz w:val="24"/>
          <w:szCs w:val="24"/>
        </w:rPr>
      </w:pPr>
      <w:r>
        <w:rPr>
          <w:rFonts w:hint="eastAsia" w:ascii="宋体" w:hAnsi="宋体" w:eastAsia="宋体" w:cs="宋体"/>
          <w:b/>
          <w:bCs/>
          <w:kern w:val="2"/>
          <w:sz w:val="24"/>
          <w:szCs w:val="24"/>
        </w:rPr>
        <w:t>第十四条 争议、纠纷处理</w:t>
      </w:r>
    </w:p>
    <w:p>
      <w:pPr>
        <w:adjustRightInd w:val="0"/>
        <w:snapToGrid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本合同在履行中或者在保修期内发生争议，由双方协商解决；也可以</w:t>
      </w:r>
      <w:r>
        <w:rPr>
          <w:rFonts w:hint="eastAsia" w:ascii="宋体" w:hAnsi="宋体" w:eastAsia="宋体" w:cs="宋体"/>
          <w:color w:val="000000"/>
          <w:sz w:val="24"/>
          <w:szCs w:val="24"/>
        </w:rPr>
        <w:t>由</w:t>
      </w:r>
      <w:r>
        <w:rPr>
          <w:rFonts w:hint="eastAsia" w:ascii="宋体" w:hAnsi="宋体" w:eastAsia="宋体" w:cs="宋体"/>
          <w:sz w:val="24"/>
          <w:szCs w:val="24"/>
        </w:rPr>
        <w:t>甲方当地主管部门调解。</w:t>
      </w:r>
    </w:p>
    <w:p>
      <w:pPr>
        <w:adjustRightInd w:val="0"/>
        <w:snapToGrid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双方不愿意通过协商、调解解决或协商、调解不成的，任何一方均可向工程所在地人民法院提起诉讼。</w:t>
      </w:r>
    </w:p>
    <w:p>
      <w:pPr>
        <w:pStyle w:val="24"/>
        <w:adjustRightInd w:val="0"/>
        <w:snapToGrid w:val="0"/>
        <w:spacing w:before="0" w:beforeAutospacing="0" w:after="0" w:afterAutospacing="0" w:line="560" w:lineRule="exact"/>
        <w:ind w:firstLine="482" w:firstLineChars="200"/>
        <w:rPr>
          <w:rFonts w:hint="eastAsia" w:ascii="宋体" w:hAnsi="宋体" w:eastAsia="宋体" w:cs="宋体"/>
          <w:b/>
          <w:bCs/>
          <w:kern w:val="2"/>
          <w:sz w:val="24"/>
          <w:szCs w:val="24"/>
        </w:rPr>
      </w:pPr>
      <w:r>
        <w:rPr>
          <w:rFonts w:hint="eastAsia" w:ascii="宋体" w:hAnsi="宋体" w:eastAsia="宋体" w:cs="宋体"/>
          <w:b/>
          <w:bCs/>
          <w:kern w:val="2"/>
          <w:sz w:val="24"/>
          <w:szCs w:val="24"/>
        </w:rPr>
        <w:t>第十五条  合同生效与终止</w:t>
      </w:r>
    </w:p>
    <w:p>
      <w:pPr>
        <w:tabs>
          <w:tab w:val="left" w:pos="480"/>
        </w:tabs>
        <w:adjustRightInd w:val="0"/>
        <w:snapToGrid w:val="0"/>
        <w:spacing w:line="560" w:lineRule="exact"/>
        <w:ind w:firstLine="480" w:firstLineChars="200"/>
        <w:rPr>
          <w:rFonts w:hint="eastAsia" w:ascii="宋体" w:hAnsi="宋体" w:eastAsia="宋体" w:cs="宋体"/>
          <w:bCs/>
          <w:kern w:val="0"/>
          <w:sz w:val="24"/>
          <w:szCs w:val="24"/>
        </w:rPr>
      </w:pPr>
      <w:r>
        <w:rPr>
          <w:rFonts w:hint="eastAsia" w:ascii="宋体" w:hAnsi="宋体" w:eastAsia="宋体" w:cs="宋体"/>
          <w:bCs/>
          <w:kern w:val="0"/>
          <w:sz w:val="24"/>
          <w:szCs w:val="24"/>
        </w:rPr>
        <w:t>15.1本合同一式陆份，甲方执肆份，乙方执贰份，具有同等法律效力，自双方签字盖章之日起生效。待双方完全充分的履行完毕合同义务后，本合同终止。</w:t>
      </w:r>
    </w:p>
    <w:p>
      <w:pPr>
        <w:tabs>
          <w:tab w:val="left" w:pos="480"/>
        </w:tabs>
        <w:adjustRightInd w:val="0"/>
        <w:snapToGrid w:val="0"/>
        <w:spacing w:line="560" w:lineRule="exact"/>
        <w:ind w:firstLine="480" w:firstLineChars="200"/>
        <w:rPr>
          <w:rFonts w:hint="eastAsia" w:ascii="宋体" w:hAnsi="宋体" w:eastAsia="宋体" w:cs="宋体"/>
          <w:bCs/>
          <w:kern w:val="0"/>
          <w:sz w:val="24"/>
          <w:szCs w:val="24"/>
        </w:rPr>
      </w:pPr>
      <w:r>
        <w:rPr>
          <w:rFonts w:hint="eastAsia" w:ascii="宋体" w:hAnsi="宋体" w:eastAsia="宋体" w:cs="宋体"/>
          <w:bCs/>
          <w:kern w:val="0"/>
          <w:sz w:val="24"/>
          <w:szCs w:val="24"/>
        </w:rPr>
        <w:t>15.2如有未尽事宜，可经双方协商签订补充合同，补充合同经双方签字盖章后与本合同具同等法律效力。</w:t>
      </w:r>
    </w:p>
    <w:p>
      <w:pPr>
        <w:tabs>
          <w:tab w:val="left" w:pos="480"/>
        </w:tabs>
        <w:adjustRightInd w:val="0"/>
        <w:snapToGrid w:val="0"/>
        <w:spacing w:line="560" w:lineRule="exact"/>
        <w:ind w:firstLine="482" w:firstLineChars="200"/>
        <w:rPr>
          <w:rFonts w:hint="eastAsia" w:ascii="宋体" w:hAnsi="宋体" w:eastAsia="宋体" w:cs="宋体"/>
          <w:bCs/>
          <w:kern w:val="0"/>
          <w:sz w:val="24"/>
          <w:szCs w:val="24"/>
        </w:rPr>
      </w:pPr>
      <w:r>
        <w:rPr>
          <w:rFonts w:hint="eastAsia" w:ascii="宋体" w:hAnsi="宋体" w:eastAsia="宋体" w:cs="宋体"/>
          <w:b/>
          <w:bCs/>
          <w:sz w:val="24"/>
          <w:szCs w:val="24"/>
        </w:rPr>
        <w:t>第十六条  通知与送达</w:t>
      </w:r>
    </w:p>
    <w:p>
      <w:pPr>
        <w:tabs>
          <w:tab w:val="left" w:pos="480"/>
        </w:tabs>
        <w:adjustRightInd w:val="0"/>
        <w:snapToGrid w:val="0"/>
        <w:spacing w:line="560" w:lineRule="exact"/>
        <w:ind w:firstLine="480" w:firstLineChars="200"/>
        <w:rPr>
          <w:rFonts w:hint="eastAsia" w:ascii="宋体" w:hAnsi="宋体" w:eastAsia="宋体" w:cs="宋体"/>
          <w:bCs/>
          <w:kern w:val="0"/>
          <w:sz w:val="24"/>
          <w:szCs w:val="24"/>
        </w:rPr>
      </w:pPr>
      <w:r>
        <w:rPr>
          <w:rFonts w:hint="eastAsia" w:ascii="宋体" w:hAnsi="宋体" w:eastAsia="宋体" w:cs="宋体"/>
          <w:bCs/>
          <w:kern w:val="0"/>
          <w:sz w:val="24"/>
          <w:szCs w:val="24"/>
        </w:rPr>
        <w:t>16.1合同列明的双方通讯地址为双方确定的送达地址。如任何一方的地址有变更时，需在变更前十日之前以书面形式通知对方。</w:t>
      </w:r>
    </w:p>
    <w:p>
      <w:pPr>
        <w:tabs>
          <w:tab w:val="left" w:pos="480"/>
        </w:tabs>
        <w:adjustRightInd w:val="0"/>
        <w:snapToGrid w:val="0"/>
        <w:spacing w:line="560" w:lineRule="exact"/>
        <w:ind w:firstLine="480" w:firstLineChars="200"/>
        <w:rPr>
          <w:rFonts w:hint="eastAsia" w:ascii="宋体" w:hAnsi="宋体" w:eastAsia="宋体" w:cs="宋体"/>
          <w:bCs/>
          <w:kern w:val="0"/>
          <w:sz w:val="24"/>
          <w:szCs w:val="24"/>
        </w:rPr>
      </w:pPr>
      <w:r>
        <w:rPr>
          <w:rFonts w:hint="eastAsia" w:ascii="宋体" w:hAnsi="宋体" w:eastAsia="宋体" w:cs="宋体"/>
          <w:bCs/>
          <w:kern w:val="0"/>
          <w:sz w:val="24"/>
          <w:szCs w:val="24"/>
        </w:rPr>
        <w:t>16.2双方将按如下规定确定正式送达的日期：以专人递送的，接收人签收之日视为送达之日。以传真方式发出的，以发件方发送后打印出的发送确认单所示时间视为送达之日。以特快专递形式发出的，接收日期视为送达；拒收邮件或通讯地址变更未告知的，邮件退还之日视为送达之日。</w:t>
      </w:r>
    </w:p>
    <w:p>
      <w:pPr>
        <w:tabs>
          <w:tab w:val="left" w:pos="480"/>
        </w:tabs>
        <w:adjustRightInd w:val="0"/>
        <w:snapToGrid w:val="0"/>
        <w:spacing w:line="560" w:lineRule="exact"/>
        <w:ind w:firstLine="480" w:firstLineChars="200"/>
        <w:rPr>
          <w:rFonts w:hint="eastAsia" w:ascii="宋体" w:hAnsi="宋体" w:eastAsia="宋体" w:cs="宋体"/>
          <w:bCs/>
          <w:kern w:val="0"/>
          <w:sz w:val="24"/>
          <w:szCs w:val="24"/>
        </w:rPr>
      </w:pPr>
      <w:r>
        <w:rPr>
          <w:rFonts w:hint="eastAsia" w:ascii="宋体" w:hAnsi="宋体" w:eastAsia="宋体" w:cs="宋体"/>
          <w:bCs/>
          <w:kern w:val="0"/>
          <w:sz w:val="24"/>
          <w:szCs w:val="24"/>
        </w:rPr>
        <w:t>16.3本合同项下的通知自送达之日发生效力。</w:t>
      </w:r>
    </w:p>
    <w:p>
      <w:pPr>
        <w:adjustRightInd w:val="0"/>
        <w:snapToGrid w:val="0"/>
        <w:spacing w:line="560" w:lineRule="exact"/>
        <w:rPr>
          <w:rFonts w:hint="eastAsia" w:ascii="宋体" w:hAnsi="宋体" w:eastAsia="宋体" w:cs="宋体"/>
          <w:sz w:val="24"/>
          <w:szCs w:val="24"/>
        </w:rPr>
        <w:sectPr>
          <w:pgSz w:w="11906" w:h="16838"/>
          <w:pgMar w:top="1440" w:right="1800" w:bottom="1440" w:left="1800" w:header="851" w:footer="992" w:gutter="0"/>
          <w:pgNumType w:fmt="decimal"/>
          <w:cols w:space="720" w:num="1"/>
          <w:docGrid w:type="lines" w:linePitch="312" w:charSpace="0"/>
        </w:sectPr>
      </w:pPr>
    </w:p>
    <w:p>
      <w:pPr>
        <w:adjustRightInd w:val="0"/>
        <w:snapToGrid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（以下无正文，本页为签署页）</w:t>
      </w:r>
    </w:p>
    <w:p>
      <w:pPr>
        <w:pStyle w:val="9"/>
        <w:adjustRightInd w:val="0"/>
        <w:snapToGrid w:val="0"/>
        <w:spacing w:after="0" w:line="560" w:lineRule="exact"/>
        <w:ind w:left="0" w:leftChars="0" w:firstLine="0" w:firstLineChars="0"/>
        <w:rPr>
          <w:rFonts w:hint="eastAsia" w:ascii="宋体" w:hAnsi="宋体" w:eastAsia="宋体" w:cs="宋体"/>
          <w:sz w:val="24"/>
          <w:szCs w:val="24"/>
        </w:rPr>
      </w:pPr>
    </w:p>
    <w:p>
      <w:pPr>
        <w:adjustRightInd w:val="0"/>
        <w:snapToGrid w:val="0"/>
        <w:spacing w:line="560" w:lineRule="exact"/>
        <w:jc w:val="left"/>
        <w:rPr>
          <w:rFonts w:hint="eastAsia" w:ascii="宋体" w:hAnsi="宋体" w:eastAsia="宋体" w:cs="宋体"/>
          <w:sz w:val="24"/>
          <w:szCs w:val="24"/>
        </w:rPr>
      </w:pPr>
      <w:r>
        <w:rPr>
          <w:rFonts w:hint="eastAsia" w:ascii="宋体" w:hAnsi="宋体" w:eastAsia="宋体" w:cs="宋体"/>
          <w:sz w:val="24"/>
          <w:szCs w:val="24"/>
        </w:rPr>
        <w:t>甲  方：</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乙 方：</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adjustRightInd w:val="0"/>
        <w:snapToGrid w:val="0"/>
        <w:spacing w:line="560" w:lineRule="exact"/>
        <w:ind w:left="960" w:hanging="960" w:hangingChars="400"/>
        <w:jc w:val="left"/>
        <w:rPr>
          <w:rFonts w:hint="eastAsia" w:ascii="宋体" w:hAnsi="宋体" w:eastAsia="宋体" w:cs="宋体"/>
          <w:sz w:val="24"/>
          <w:szCs w:val="24"/>
          <w:u w:val="single"/>
        </w:rPr>
      </w:pPr>
      <w:r>
        <w:rPr>
          <w:rFonts w:hint="eastAsia" w:ascii="宋体" w:hAnsi="宋体" w:eastAsia="宋体" w:cs="宋体"/>
          <w:sz w:val="24"/>
          <w:szCs w:val="24"/>
        </w:rPr>
        <w:t>地  址：</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地 址：</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pStyle w:val="8"/>
        <w:ind w:firstLine="0"/>
        <w:rPr>
          <w:rFonts w:hint="eastAsia" w:ascii="宋体" w:hAnsi="宋体" w:eastAsia="宋体" w:cs="宋体"/>
          <w:sz w:val="24"/>
          <w:szCs w:val="24"/>
          <w:u w:val="single"/>
          <w:lang w:val="en-US" w:eastAsia="zh-Hans"/>
        </w:rPr>
      </w:pPr>
    </w:p>
    <w:p>
      <w:pPr>
        <w:pStyle w:val="8"/>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u w:val="none"/>
          <w:lang w:val="en-US" w:eastAsia="zh-Hans"/>
        </w:rPr>
        <w:t>联系方式</w:t>
      </w:r>
      <w:r>
        <w:rPr>
          <w:rFonts w:hint="eastAsia" w:ascii="宋体" w:hAnsi="宋体" w:eastAsia="宋体" w:cs="宋体"/>
          <w:sz w:val="24"/>
          <w:szCs w:val="24"/>
          <w:u w:val="none"/>
          <w:lang w:eastAsia="zh-Hans"/>
        </w:rPr>
        <w:t>：</w:t>
      </w:r>
      <w:r>
        <w:rPr>
          <w:rFonts w:hint="eastAsia" w:ascii="宋体" w:hAnsi="宋体" w:eastAsia="宋体" w:cs="宋体"/>
          <w:sz w:val="24"/>
          <w:szCs w:val="24"/>
          <w:u w:val="single"/>
          <w:lang w:eastAsia="zh-Hans"/>
        </w:rPr>
        <w:t xml:space="preserve">                   </w:t>
      </w:r>
      <w:r>
        <w:rPr>
          <w:rFonts w:hint="eastAsia" w:ascii="宋体" w:hAnsi="宋体" w:eastAsia="宋体" w:cs="宋体"/>
          <w:sz w:val="24"/>
          <w:szCs w:val="24"/>
          <w:u w:val="none"/>
          <w:lang w:eastAsia="zh-Hans"/>
        </w:rPr>
        <w:t xml:space="preserve"> </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u w:val="none"/>
          <w:lang w:val="en-US" w:eastAsia="zh-Hans"/>
        </w:rPr>
        <w:t>联系方式</w:t>
      </w:r>
      <w:r>
        <w:rPr>
          <w:rFonts w:hint="eastAsia" w:ascii="宋体" w:hAnsi="宋体" w:eastAsia="宋体" w:cs="宋体"/>
          <w:sz w:val="24"/>
          <w:szCs w:val="24"/>
          <w:u w:val="none"/>
          <w:lang w:eastAsia="zh-Hans"/>
        </w:rPr>
        <w:t>：</w:t>
      </w:r>
      <w:r>
        <w:rPr>
          <w:rFonts w:hint="eastAsia" w:ascii="宋体" w:hAnsi="宋体" w:eastAsia="宋体" w:cs="宋体"/>
          <w:sz w:val="24"/>
          <w:szCs w:val="24"/>
          <w:u w:val="single"/>
          <w:lang w:val="en-US" w:eastAsia="zh-CN"/>
        </w:rPr>
        <w:t xml:space="preserve">                         </w:t>
      </w:r>
    </w:p>
    <w:p>
      <w:pPr>
        <w:adjustRightInd w:val="0"/>
        <w:snapToGrid w:val="0"/>
        <w:spacing w:line="560" w:lineRule="exact"/>
        <w:jc w:val="left"/>
        <w:rPr>
          <w:rFonts w:hint="eastAsia" w:ascii="宋体" w:hAnsi="宋体" w:eastAsia="宋体" w:cs="宋体"/>
          <w:sz w:val="24"/>
          <w:szCs w:val="24"/>
        </w:rPr>
      </w:pPr>
      <w:r>
        <w:rPr>
          <w:rFonts w:hint="eastAsia" w:ascii="宋体" w:hAnsi="宋体" w:eastAsia="宋体" w:cs="宋体"/>
          <w:sz w:val="24"/>
          <w:szCs w:val="24"/>
        </w:rPr>
        <w:t xml:space="preserve">法定代表人或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法定代表人或</w:t>
      </w:r>
    </w:p>
    <w:p>
      <w:pPr>
        <w:adjustRightInd w:val="0"/>
        <w:snapToGrid w:val="0"/>
        <w:spacing w:line="560" w:lineRule="exact"/>
        <w:jc w:val="left"/>
        <w:rPr>
          <w:rFonts w:hint="eastAsia" w:ascii="宋体" w:hAnsi="宋体" w:eastAsia="宋体" w:cs="宋体"/>
          <w:sz w:val="24"/>
          <w:szCs w:val="24"/>
          <w:u w:val="single"/>
        </w:rPr>
      </w:pPr>
      <w:r>
        <w:rPr>
          <w:rFonts w:hint="eastAsia" w:ascii="宋体" w:hAnsi="宋体" w:eastAsia="宋体" w:cs="宋体"/>
          <w:sz w:val="24"/>
          <w:szCs w:val="24"/>
        </w:rPr>
        <w:t xml:space="preserve">委托代理人: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委托代理人:</w:t>
      </w:r>
      <w:r>
        <w:rPr>
          <w:rFonts w:hint="eastAsia" w:ascii="宋体" w:hAnsi="宋体" w:eastAsia="宋体" w:cs="宋体"/>
          <w:sz w:val="24"/>
          <w:szCs w:val="24"/>
          <w:u w:val="single"/>
        </w:rPr>
        <w:t xml:space="preserve">                            </w:t>
      </w:r>
    </w:p>
    <w:p>
      <w:pPr>
        <w:pStyle w:val="21"/>
        <w:adjustRightInd w:val="0"/>
        <w:snapToGrid w:val="0"/>
        <w:spacing w:line="560" w:lineRule="exact"/>
        <w:ind w:left="0" w:leftChars="0" w:firstLine="0" w:firstLineChars="0"/>
        <w:rPr>
          <w:rFonts w:hint="eastAsia" w:ascii="宋体" w:hAnsi="宋体" w:eastAsia="宋体" w:cs="宋体"/>
          <w:sz w:val="24"/>
          <w:szCs w:val="24"/>
          <w:u w:val="single"/>
          <w:lang w:val="en-US" w:eastAsia="zh-CN"/>
        </w:rPr>
      </w:pPr>
      <w:r>
        <w:rPr>
          <w:rFonts w:hint="eastAsia" w:ascii="宋体" w:hAnsi="宋体" w:eastAsia="宋体" w:cs="宋体"/>
          <w:sz w:val="24"/>
          <w:szCs w:val="24"/>
        </w:rPr>
        <w:t>开户银行：</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开户银行：</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p>
    <w:p>
      <w:pPr>
        <w:adjustRightInd w:val="0"/>
        <w:snapToGrid w:val="0"/>
        <w:spacing w:line="560" w:lineRule="exact"/>
        <w:jc w:val="left"/>
        <w:rPr>
          <w:rFonts w:hint="eastAsia" w:ascii="宋体" w:hAnsi="宋体" w:eastAsia="宋体" w:cs="宋体"/>
          <w:sz w:val="24"/>
          <w:szCs w:val="24"/>
        </w:rPr>
      </w:pPr>
      <w:r>
        <w:rPr>
          <w:rFonts w:hint="eastAsia" w:ascii="宋体" w:hAnsi="宋体" w:eastAsia="宋体" w:cs="宋体"/>
          <w:sz w:val="24"/>
          <w:szCs w:val="24"/>
        </w:rPr>
        <w:t>账  号：</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账  号：</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adjustRightInd w:val="0"/>
        <w:snapToGrid w:val="0"/>
        <w:spacing w:line="560" w:lineRule="exact"/>
        <w:ind w:firstLine="4080" w:firstLineChars="1700"/>
        <w:jc w:val="left"/>
        <w:rPr>
          <w:rFonts w:hint="eastAsia" w:ascii="宋体" w:hAnsi="宋体" w:eastAsia="宋体" w:cs="宋体"/>
          <w:sz w:val="24"/>
          <w:szCs w:val="24"/>
          <w:lang w:val="en-US" w:eastAsia="zh-CN"/>
        </w:rPr>
      </w:pPr>
    </w:p>
    <w:p>
      <w:pPr>
        <w:adjustRightInd w:val="0"/>
        <w:snapToGrid w:val="0"/>
        <w:spacing w:line="560" w:lineRule="exact"/>
        <w:jc w:val="left"/>
        <w:rPr>
          <w:rFonts w:hint="eastAsia" w:ascii="宋体" w:hAnsi="宋体" w:eastAsia="宋体" w:cs="宋体"/>
          <w:sz w:val="24"/>
          <w:szCs w:val="24"/>
          <w:u w:val="none"/>
          <w:lang w:val="en-US" w:eastAsia="zh-CN"/>
        </w:rPr>
      </w:pPr>
      <w:r>
        <w:rPr>
          <w:rFonts w:hint="eastAsia" w:ascii="宋体" w:hAnsi="宋体" w:eastAsia="宋体" w:cs="宋体"/>
          <w:sz w:val="24"/>
          <w:szCs w:val="24"/>
          <w:lang w:val="en-US" w:eastAsia="zh-CN"/>
        </w:rPr>
        <w:t>签订日期：</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年</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 xml:space="preserve"> 月</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 xml:space="preserve">日      </w:t>
      </w:r>
      <w:r>
        <w:rPr>
          <w:rFonts w:hint="eastAsia" w:ascii="宋体" w:hAnsi="宋体" w:eastAsia="宋体" w:cs="宋体"/>
          <w:sz w:val="24"/>
          <w:szCs w:val="24"/>
          <w:lang w:val="en-US" w:eastAsia="zh-CN"/>
        </w:rPr>
        <w:t>签订日期：</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年</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 xml:space="preserve"> 月</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日</w:t>
      </w:r>
    </w:p>
    <w:p>
      <w:pPr>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sz w:val="24"/>
          <w:szCs w:val="24"/>
          <w:u w:val="none"/>
          <w:lang w:val="en-US" w:eastAsia="zh-CN"/>
        </w:rPr>
        <w:br w:type="page"/>
      </w:r>
      <w:r>
        <w:rPr>
          <w:rFonts w:hint="eastAsia" w:ascii="宋体" w:hAnsi="宋体" w:eastAsia="宋体" w:cs="宋体"/>
          <w:color w:val="auto"/>
          <w:kern w:val="0"/>
          <w:sz w:val="24"/>
          <w:szCs w:val="24"/>
          <w:highlight w:val="none"/>
        </w:rPr>
        <w:t xml:space="preserve">   附件1：工程质量保修书</w:t>
      </w:r>
    </w:p>
    <w:p>
      <w:pPr>
        <w:widowControl/>
        <w:spacing w:line="52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工程质量保修书</w:t>
      </w:r>
    </w:p>
    <w:p>
      <w:pPr>
        <w:widowControl/>
        <w:spacing w:line="520" w:lineRule="exact"/>
        <w:jc w:val="center"/>
        <w:rPr>
          <w:rFonts w:hint="eastAsia" w:ascii="宋体" w:hAnsi="宋体" w:eastAsia="宋体" w:cs="宋体"/>
          <w:color w:val="auto"/>
          <w:sz w:val="24"/>
          <w:szCs w:val="24"/>
          <w:highlight w:val="none"/>
        </w:rPr>
      </w:pPr>
    </w:p>
    <w:p>
      <w:pPr>
        <w:widowControl/>
        <w:spacing w:line="560" w:lineRule="exac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发包人</w:t>
      </w:r>
      <w:r>
        <w:rPr>
          <w:rFonts w:hint="eastAsia" w:ascii="宋体" w:hAnsi="宋体" w:eastAsia="宋体" w:cs="宋体"/>
          <w:color w:val="auto"/>
          <w:kern w:val="0"/>
          <w:sz w:val="24"/>
          <w:szCs w:val="24"/>
          <w:highlight w:val="none"/>
        </w:rPr>
        <w:t>(全称)： _________________________________</w:t>
      </w:r>
    </w:p>
    <w:p>
      <w:pPr>
        <w:widowControl/>
        <w:spacing w:line="560" w:lineRule="exac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承包人</w:t>
      </w:r>
      <w:r>
        <w:rPr>
          <w:rFonts w:hint="eastAsia" w:ascii="宋体" w:hAnsi="宋体" w:eastAsia="宋体" w:cs="宋体"/>
          <w:color w:val="auto"/>
          <w:kern w:val="0"/>
          <w:sz w:val="24"/>
          <w:szCs w:val="24"/>
          <w:highlight w:val="none"/>
        </w:rPr>
        <w:t>(全称)： ____________________________</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____</w:t>
      </w:r>
    </w:p>
    <w:p>
      <w:pPr>
        <w:widowControl/>
        <w:spacing w:line="560" w:lineRule="exac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为保证__________________________________________________（工程名称）在合理使用期限内正常使用，发包人、承包人协商一致签订工程质量保修书。承包人在质量保修期内按照有关管理规定及双方约定承担工程质量保修责任。</w:t>
      </w:r>
    </w:p>
    <w:p>
      <w:pPr>
        <w:widowControl/>
        <w:spacing w:line="560" w:lineRule="exac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一、工程质量保修范围和内容 </w:t>
      </w:r>
    </w:p>
    <w:p>
      <w:pPr>
        <w:widowControl/>
        <w:spacing w:line="560" w:lineRule="exac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安康高新工程建设管理有限公司办公室提升改造项目施工图纸、磋商文件、施工合同范围内全部工作内容</w:t>
      </w:r>
      <w:r>
        <w:rPr>
          <w:rFonts w:hint="eastAsia" w:ascii="宋体" w:hAnsi="宋体" w:eastAsia="宋体" w:cs="宋体"/>
          <w:color w:val="auto"/>
          <w:kern w:val="0"/>
          <w:sz w:val="24"/>
          <w:szCs w:val="24"/>
          <w:highlight w:val="none"/>
        </w:rPr>
        <w:t>。</w:t>
      </w:r>
    </w:p>
    <w:p>
      <w:pPr>
        <w:widowControl/>
        <w:spacing w:line="560" w:lineRule="exac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二、质量保修期 </w:t>
      </w:r>
    </w:p>
    <w:p>
      <w:pPr>
        <w:widowControl/>
        <w:spacing w:line="560" w:lineRule="exac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质量保修期自工程竣工验收合格之日起计算。分单项竣工验收的工程，按单项工程分别计算质量保修期。 </w:t>
      </w:r>
    </w:p>
    <w:p>
      <w:pPr>
        <w:widowControl/>
        <w:spacing w:line="560" w:lineRule="exact"/>
        <w:ind w:firstLine="480" w:firstLineChars="200"/>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 xml:space="preserve">双方根据《建设工程质量管理条例》及国家有关规定，结合具体工程约定质量保修期如下： </w:t>
      </w:r>
      <w:r>
        <w:rPr>
          <w:rFonts w:hint="eastAsia" w:ascii="宋体" w:hAnsi="宋体" w:eastAsia="宋体" w:cs="宋体"/>
          <w:color w:val="auto"/>
          <w:kern w:val="0"/>
          <w:sz w:val="24"/>
          <w:szCs w:val="24"/>
          <w:highlight w:val="none"/>
          <w:lang w:val="en-US" w:eastAsia="zh-CN"/>
        </w:rPr>
        <w:t>本项目质保期为按照国家规范执行。</w:t>
      </w:r>
    </w:p>
    <w:p>
      <w:pPr>
        <w:widowControl/>
        <w:spacing w:line="560" w:lineRule="exac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三、质量保修责任</w:t>
      </w:r>
    </w:p>
    <w:p>
      <w:pPr>
        <w:widowControl/>
        <w:spacing w:line="560" w:lineRule="exac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1、属于保修范围和内容的项目，承包人应在接到修理通知之日后7天内派人修理。承包人不在约定期限内派人修理，发包人可委托其他人员修理，保修费用从质量保修金内扣除。</w:t>
      </w:r>
    </w:p>
    <w:p>
      <w:pPr>
        <w:widowControl/>
        <w:spacing w:line="560" w:lineRule="exac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2、发生须紧急抢修事故，承包人接到事故通知后，应立即到达事故现场抢修。非承包人施工质量引起的事故，抢修费用由发包人承担。</w:t>
      </w:r>
    </w:p>
    <w:p>
      <w:pPr>
        <w:widowControl/>
        <w:spacing w:line="560" w:lineRule="exac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3、因承包人原因致使工程在合理使用期限内造成人身和财产损害的，承包人应承担损害赔偿责任。 </w:t>
      </w:r>
    </w:p>
    <w:p>
      <w:pPr>
        <w:widowControl/>
        <w:spacing w:line="560" w:lineRule="exac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四、质量保修金的支付 </w:t>
      </w:r>
    </w:p>
    <w:p>
      <w:pPr>
        <w:widowControl/>
        <w:spacing w:line="560" w:lineRule="exac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本工程约定的工程质量保修金为</w:t>
      </w:r>
      <w:r>
        <w:rPr>
          <w:rFonts w:hint="eastAsia" w:ascii="宋体" w:hAnsi="宋体" w:eastAsia="宋体" w:cs="宋体"/>
          <w:color w:val="auto"/>
          <w:kern w:val="0"/>
          <w:sz w:val="24"/>
          <w:szCs w:val="24"/>
          <w:highlight w:val="none"/>
          <w:lang w:eastAsia="zh-CN"/>
        </w:rPr>
        <w:t>双方认定结算</w:t>
      </w:r>
      <w:r>
        <w:rPr>
          <w:rFonts w:hint="eastAsia" w:ascii="宋体" w:hAnsi="宋体" w:eastAsia="宋体" w:cs="宋体"/>
          <w:color w:val="auto"/>
          <w:kern w:val="0"/>
          <w:sz w:val="24"/>
          <w:szCs w:val="24"/>
          <w:highlight w:val="none"/>
        </w:rPr>
        <w:t xml:space="preserve">价款的3%。 </w:t>
      </w:r>
    </w:p>
    <w:p>
      <w:pPr>
        <w:widowControl/>
        <w:spacing w:line="560" w:lineRule="exac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五、质量保修金的返还 </w:t>
      </w:r>
    </w:p>
    <w:p>
      <w:pPr>
        <w:widowControl/>
        <w:spacing w:line="560" w:lineRule="exac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发包人在质量保修期满后，无施工质量问题，承包人提出书面申请经发包人审核并书面确认后两月内一次性支付完剩余质保金，不计利息。</w:t>
      </w:r>
    </w:p>
    <w:p>
      <w:pPr>
        <w:widowControl/>
        <w:spacing w:line="560" w:lineRule="exac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六、其他 </w:t>
      </w:r>
    </w:p>
    <w:p>
      <w:pPr>
        <w:widowControl/>
        <w:spacing w:line="560" w:lineRule="exac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双方约定的其他工程质量保修事项：</w:t>
      </w:r>
    </w:p>
    <w:p>
      <w:pPr>
        <w:widowControl/>
        <w:spacing w:line="560" w:lineRule="exac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________________________________________</w:t>
      </w:r>
    </w:p>
    <w:p>
      <w:pPr>
        <w:widowControl/>
        <w:spacing w:line="560" w:lineRule="exac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本工程质量保修作书为施工合同的附件，由施工合同发包人、承包人双方共同签订。</w:t>
      </w:r>
    </w:p>
    <w:p>
      <w:pPr>
        <w:pStyle w:val="13"/>
        <w:rPr>
          <w:rFonts w:hint="eastAsia" w:ascii="宋体" w:hAnsi="宋体" w:eastAsia="宋体" w:cs="宋体"/>
          <w:color w:val="auto"/>
          <w:kern w:val="0"/>
          <w:sz w:val="24"/>
          <w:szCs w:val="24"/>
          <w:highlight w:val="none"/>
        </w:rPr>
      </w:pPr>
    </w:p>
    <w:p>
      <w:pPr>
        <w:rPr>
          <w:rFonts w:hint="eastAsia" w:ascii="宋体" w:hAnsi="宋体" w:eastAsia="宋体" w:cs="宋体"/>
          <w:sz w:val="24"/>
          <w:szCs w:val="24"/>
        </w:rPr>
      </w:pPr>
    </w:p>
    <w:p>
      <w:pPr>
        <w:rPr>
          <w:rFonts w:hint="eastAsia" w:ascii="宋体" w:hAnsi="宋体" w:eastAsia="宋体" w:cs="宋体"/>
          <w:sz w:val="24"/>
          <w:szCs w:val="24"/>
        </w:rPr>
      </w:pPr>
    </w:p>
    <w:p>
      <w:pPr>
        <w:widowControl/>
        <w:spacing w:line="560" w:lineRule="exact"/>
        <w:rPr>
          <w:rFonts w:hint="eastAsia" w:ascii="宋体" w:hAnsi="宋体" w:eastAsia="宋体" w:cs="宋体"/>
          <w:sz w:val="24"/>
          <w:szCs w:val="24"/>
          <w:u w:val="single"/>
          <w:lang w:val="en-US" w:eastAsia="zh-CN"/>
        </w:rPr>
      </w:pPr>
      <w:r>
        <w:rPr>
          <w:rFonts w:hint="eastAsia" w:ascii="宋体" w:hAnsi="宋体" w:eastAsia="宋体" w:cs="宋体"/>
          <w:color w:val="auto"/>
          <w:kern w:val="0"/>
          <w:sz w:val="24"/>
          <w:szCs w:val="24"/>
          <w:highlight w:val="none"/>
        </w:rPr>
        <w:t>发 包 人（公章）：</w:t>
      </w:r>
      <w:r>
        <w:rPr>
          <w:rFonts w:hint="eastAsia" w:ascii="宋体" w:hAnsi="宋体" w:eastAsia="宋体" w:cs="宋体"/>
          <w:color w:val="auto"/>
          <w:kern w:val="0"/>
          <w:sz w:val="24"/>
          <w:szCs w:val="24"/>
          <w:highlight w:val="none"/>
          <w:u w:val="single"/>
          <w:lang w:val="en-US" w:eastAsia="zh-CN"/>
        </w:rPr>
        <w:t xml:space="preserve">                             </w:t>
      </w:r>
    </w:p>
    <w:p>
      <w:pPr>
        <w:widowControl/>
        <w:spacing w:line="560" w:lineRule="exac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法定代表人（签字）：</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lang w:val="en-US" w:eastAsia="zh-CN"/>
        </w:rPr>
        <w:t xml:space="preserve"> </w:t>
      </w:r>
    </w:p>
    <w:p>
      <w:pPr>
        <w:widowControl/>
        <w:spacing w:line="560" w:lineRule="exact"/>
        <w:rPr>
          <w:rFonts w:hint="eastAsia" w:ascii="宋体" w:hAnsi="宋体" w:eastAsia="宋体" w:cs="宋体"/>
          <w:color w:val="auto"/>
          <w:kern w:val="0"/>
          <w:sz w:val="24"/>
          <w:szCs w:val="24"/>
          <w:highlight w:val="none"/>
        </w:rPr>
      </w:pPr>
    </w:p>
    <w:p>
      <w:pPr>
        <w:widowControl/>
        <w:spacing w:line="560" w:lineRule="exact"/>
        <w:rPr>
          <w:rFonts w:hint="eastAsia" w:ascii="宋体" w:hAnsi="宋体" w:eastAsia="宋体" w:cs="宋体"/>
          <w:sz w:val="24"/>
          <w:szCs w:val="24"/>
          <w:lang w:val="en-US" w:eastAsia="zh-CN"/>
        </w:rPr>
      </w:pPr>
      <w:r>
        <w:rPr>
          <w:rFonts w:hint="eastAsia" w:ascii="宋体" w:hAnsi="宋体" w:eastAsia="宋体" w:cs="宋体"/>
          <w:color w:val="auto"/>
          <w:kern w:val="0"/>
          <w:sz w:val="24"/>
          <w:szCs w:val="24"/>
          <w:highlight w:val="none"/>
        </w:rPr>
        <w:t>承 包 人（公章）：</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u w:val="single"/>
          <w:lang w:val="en-US" w:eastAsia="zh-CN"/>
        </w:rPr>
        <w:t xml:space="preserve">                             </w:t>
      </w:r>
    </w:p>
    <w:p>
      <w:pPr>
        <w:widowControl/>
        <w:spacing w:line="560" w:lineRule="exact"/>
        <w:rPr>
          <w:rFonts w:hint="eastAsia" w:ascii="宋体" w:hAnsi="宋体" w:eastAsia="宋体" w:cs="宋体"/>
          <w:color w:val="auto"/>
          <w:kern w:val="0"/>
          <w:sz w:val="24"/>
          <w:szCs w:val="24"/>
          <w:highlight w:val="none"/>
          <w:u w:val="single"/>
          <w:lang w:val="en-US" w:eastAsia="zh-CN"/>
        </w:rPr>
      </w:pPr>
      <w:r>
        <w:rPr>
          <w:rFonts w:hint="eastAsia" w:ascii="宋体" w:hAnsi="宋体" w:eastAsia="宋体" w:cs="宋体"/>
          <w:color w:val="auto"/>
          <w:kern w:val="0"/>
          <w:sz w:val="24"/>
          <w:szCs w:val="24"/>
          <w:highlight w:val="none"/>
        </w:rPr>
        <w:t>法定代表人（签字）：</w:t>
      </w:r>
      <w:r>
        <w:rPr>
          <w:rFonts w:hint="eastAsia" w:ascii="宋体" w:hAnsi="宋体" w:eastAsia="宋体" w:cs="宋体"/>
          <w:color w:val="auto"/>
          <w:kern w:val="0"/>
          <w:sz w:val="24"/>
          <w:szCs w:val="24"/>
          <w:highlight w:val="none"/>
          <w:u w:val="single"/>
          <w:lang w:val="en-US" w:eastAsia="zh-CN"/>
        </w:rPr>
        <w:t xml:space="preserve">                             </w:t>
      </w:r>
    </w:p>
    <w:p>
      <w:pPr>
        <w:rPr>
          <w:rFonts w:hint="eastAsia" w:ascii="宋体" w:hAnsi="宋体" w:eastAsia="宋体" w:cs="宋体"/>
          <w:color w:val="auto"/>
          <w:kern w:val="0"/>
          <w:sz w:val="24"/>
          <w:szCs w:val="24"/>
          <w:highlight w:val="none"/>
          <w:u w:val="single"/>
          <w:lang w:val="en-US" w:eastAsia="zh-CN"/>
        </w:rPr>
      </w:pPr>
    </w:p>
    <w:p>
      <w:pPr>
        <w:spacing w:line="360" w:lineRule="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u w:val="none"/>
          <w:lang w:val="en-US" w:eastAsia="zh-CN"/>
        </w:rPr>
        <w:t>年</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none"/>
          <w:lang w:val="en-US" w:eastAsia="zh-CN"/>
        </w:rPr>
        <w:t>月</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none"/>
          <w:lang w:val="en-US" w:eastAsia="zh-CN"/>
        </w:rPr>
        <w:t>日</w:t>
      </w:r>
      <w:r>
        <w:rPr>
          <w:rFonts w:hint="eastAsia" w:ascii="宋体" w:hAnsi="宋体" w:eastAsia="宋体" w:cs="宋体"/>
          <w:color w:val="auto"/>
          <w:kern w:val="0"/>
          <w:sz w:val="24"/>
          <w:szCs w:val="24"/>
          <w:highlight w:val="none"/>
          <w:lang w:val="en-US" w:eastAsia="zh-CN"/>
        </w:rPr>
        <w:t xml:space="preserve"> </w:t>
      </w:r>
    </w:p>
    <w:p>
      <w:pPr>
        <w:spacing w:line="360" w:lineRule="auto"/>
        <w:rPr>
          <w:rFonts w:hint="eastAsia" w:ascii="宋体" w:hAnsi="宋体" w:cs="宋体"/>
          <w:b/>
          <w:bCs/>
          <w:sz w:val="24"/>
          <w:szCs w:val="24"/>
        </w:rPr>
        <w:sectPr>
          <w:headerReference r:id="rId16" w:type="first"/>
          <w:footerReference r:id="rId18" w:type="first"/>
          <w:headerReference r:id="rId15" w:type="default"/>
          <w:footerReference r:id="rId17" w:type="default"/>
          <w:pgSz w:w="11907" w:h="16840"/>
          <w:pgMar w:top="1418" w:right="1247" w:bottom="850" w:left="1247" w:header="907" w:footer="654" w:gutter="0"/>
          <w:pgNumType w:fmt="decimal"/>
          <w:cols w:space="720" w:num="1"/>
          <w:titlePg/>
          <w:docGrid w:linePitch="312" w:charSpace="0"/>
        </w:sectPr>
      </w:pPr>
      <w:r>
        <w:rPr>
          <w:rFonts w:hint="eastAsia" w:ascii="宋体" w:hAnsi="宋体" w:cs="宋体"/>
          <w:b/>
          <w:bCs/>
          <w:sz w:val="24"/>
          <w:szCs w:val="24"/>
        </w:rPr>
        <w:t>注：该合同模板仅供参考，合同具体内容及格式签订正式合同时，甲乙双方协商确定。</w:t>
      </w:r>
    </w:p>
    <w:p>
      <w:pPr>
        <w:pStyle w:val="3"/>
        <w:bidi w:val="0"/>
        <w:jc w:val="center"/>
        <w:rPr>
          <w:rFonts w:hint="eastAsia"/>
          <w:sz w:val="36"/>
          <w:szCs w:val="36"/>
          <w:lang w:val="zh-CN"/>
        </w:rPr>
      </w:pPr>
      <w:bookmarkStart w:id="106" w:name="_Toc3036"/>
      <w:bookmarkStart w:id="107" w:name="_Toc16337"/>
      <w:r>
        <w:rPr>
          <w:rFonts w:hint="eastAsia"/>
          <w:sz w:val="36"/>
          <w:szCs w:val="36"/>
          <w:lang w:val="zh-CN"/>
        </w:rPr>
        <w:t>第六部分   竞争性磋商响应文件格式</w:t>
      </w:r>
      <w:bookmarkEnd w:id="84"/>
      <w:bookmarkEnd w:id="99"/>
      <w:bookmarkEnd w:id="100"/>
      <w:bookmarkEnd w:id="101"/>
      <w:bookmarkEnd w:id="102"/>
      <w:bookmarkEnd w:id="103"/>
      <w:bookmarkEnd w:id="104"/>
      <w:bookmarkEnd w:id="106"/>
      <w:bookmarkEnd w:id="107"/>
    </w:p>
    <w:p>
      <w:pPr>
        <w:pStyle w:val="9"/>
        <w:ind w:left="0" w:leftChars="0" w:firstLine="0" w:firstLineChars="0"/>
        <w:rPr>
          <w:rFonts w:hint="default"/>
          <w:lang w:val="en-US"/>
        </w:rPr>
      </w:pPr>
      <w:bookmarkStart w:id="108" w:name="_Toc23209"/>
      <w:bookmarkStart w:id="109" w:name="_Toc7560"/>
    </w:p>
    <w:bookmarkEnd w:id="108"/>
    <w:bookmarkEnd w:id="109"/>
    <w:p>
      <w:pPr>
        <w:pStyle w:val="13"/>
        <w:bidi w:val="0"/>
        <w:jc w:val="right"/>
        <w:rPr>
          <w:rFonts w:hint="eastAsia"/>
          <w:b/>
          <w:bCs/>
          <w:sz w:val="44"/>
          <w:szCs w:val="44"/>
          <w:lang w:val="zh-CN"/>
        </w:rPr>
      </w:pPr>
      <w:bookmarkStart w:id="110" w:name="_Toc4081"/>
      <w:r>
        <w:rPr>
          <w:rFonts w:hint="eastAsia"/>
          <w:b/>
          <w:bCs/>
          <w:sz w:val="44"/>
          <w:szCs w:val="44"/>
          <w:lang w:val="zh-CN"/>
        </w:rPr>
        <w:t>正本/副本</w:t>
      </w:r>
      <w:bookmarkEnd w:id="110"/>
    </w:p>
    <w:p>
      <w:pPr>
        <w:pStyle w:val="13"/>
        <w:bidi w:val="0"/>
        <w:rPr>
          <w:rFonts w:hint="eastAsia"/>
          <w:lang w:eastAsia="zh-CN"/>
        </w:rPr>
      </w:pPr>
    </w:p>
    <w:p>
      <w:pPr>
        <w:pStyle w:val="13"/>
        <w:bidi w:val="0"/>
        <w:rPr>
          <w:rFonts w:hint="eastAsia"/>
          <w:lang w:eastAsia="zh-CN"/>
        </w:rPr>
      </w:pPr>
    </w:p>
    <w:p>
      <w:pPr>
        <w:pStyle w:val="13"/>
        <w:bidi w:val="0"/>
        <w:jc w:val="center"/>
        <w:rPr>
          <w:rFonts w:hint="eastAsia" w:ascii="Times New Roman" w:hAnsi="Times New Roman" w:eastAsia="宋体" w:cs="Times New Roman"/>
          <w:b/>
          <w:bCs/>
          <w:color w:val="000000"/>
          <w:sz w:val="52"/>
          <w:szCs w:val="52"/>
          <w:u w:val="none" w:color="000000"/>
          <w:lang w:val="en-US" w:eastAsia="zh-CN" w:bidi="ar-SA"/>
        </w:rPr>
      </w:pPr>
      <w:bookmarkStart w:id="111" w:name="_Toc22909"/>
      <w:bookmarkStart w:id="112" w:name="_Toc32382"/>
      <w:bookmarkStart w:id="113" w:name="_Toc12370"/>
      <w:bookmarkStart w:id="114" w:name="_Toc16291"/>
      <w:bookmarkStart w:id="115" w:name="_Toc30439"/>
      <w:r>
        <w:rPr>
          <w:rFonts w:hint="eastAsia" w:ascii="Times New Roman" w:hAnsi="Times New Roman" w:eastAsia="宋体" w:cs="Times New Roman"/>
          <w:b/>
          <w:bCs/>
          <w:color w:val="000000"/>
          <w:sz w:val="52"/>
          <w:szCs w:val="52"/>
          <w:u w:val="none" w:color="000000"/>
          <w:lang w:val="en-US" w:eastAsia="zh-CN" w:bidi="ar-SA"/>
        </w:rPr>
        <w:t>岚皋县医院2024年苏陕协作“组团式”帮扶介入导管室建设项目（导管室装饰装修）</w:t>
      </w:r>
    </w:p>
    <w:p>
      <w:pPr>
        <w:pageBreakBefore w:val="0"/>
        <w:wordWrap/>
        <w:overflowPunct/>
        <w:topLinePunct w:val="0"/>
        <w:bidi w:val="0"/>
        <w:spacing w:before="240" w:beforeLines="100" w:after="240" w:afterLines="100" w:line="560" w:lineRule="exact"/>
        <w:jc w:val="both"/>
        <w:outlineLvl w:val="9"/>
        <w:rPr>
          <w:rFonts w:hint="eastAsia" w:ascii="宋体" w:hAnsi="宋体" w:eastAsia="宋体" w:cs="宋体"/>
          <w:b/>
          <w:color w:val="auto"/>
          <w:sz w:val="48"/>
          <w:szCs w:val="48"/>
          <w:highlight w:val="none"/>
          <w:lang w:eastAsia="zh-CN" w:bidi="ar"/>
        </w:rPr>
      </w:pPr>
    </w:p>
    <w:p>
      <w:pPr>
        <w:pageBreakBefore w:val="0"/>
        <w:wordWrap/>
        <w:overflowPunct/>
        <w:topLinePunct w:val="0"/>
        <w:bidi w:val="0"/>
        <w:spacing w:before="240" w:beforeLines="100" w:after="240" w:afterLines="100" w:line="560" w:lineRule="exact"/>
        <w:jc w:val="center"/>
        <w:outlineLvl w:val="9"/>
        <w:rPr>
          <w:rFonts w:hint="eastAsia" w:ascii="宋体" w:hAnsi="宋体" w:eastAsia="宋体" w:cs="宋体"/>
          <w:b/>
          <w:color w:val="auto"/>
          <w:sz w:val="48"/>
          <w:szCs w:val="48"/>
          <w:highlight w:val="none"/>
          <w:lang w:eastAsia="zh-CN" w:bidi="ar"/>
        </w:rPr>
      </w:pPr>
    </w:p>
    <w:p>
      <w:pPr>
        <w:bidi w:val="0"/>
        <w:jc w:val="center"/>
        <w:rPr>
          <w:rFonts w:hint="eastAsia"/>
        </w:rPr>
      </w:pPr>
      <w:bookmarkStart w:id="116" w:name="_Toc29638"/>
      <w:r>
        <w:rPr>
          <w:rFonts w:hint="eastAsia"/>
          <w:b/>
          <w:bCs/>
          <w:sz w:val="52"/>
          <w:szCs w:val="52"/>
          <w:lang w:eastAsia="zh-CN"/>
        </w:rPr>
        <w:t>竞争性磋商响应</w:t>
      </w:r>
      <w:r>
        <w:rPr>
          <w:rFonts w:hint="eastAsia"/>
          <w:b/>
          <w:bCs/>
          <w:sz w:val="52"/>
          <w:szCs w:val="52"/>
        </w:rPr>
        <w:t>文件</w:t>
      </w:r>
      <w:bookmarkEnd w:id="111"/>
      <w:bookmarkEnd w:id="112"/>
      <w:bookmarkEnd w:id="113"/>
      <w:bookmarkEnd w:id="114"/>
      <w:bookmarkEnd w:id="115"/>
      <w:bookmarkEnd w:id="116"/>
    </w:p>
    <w:p>
      <w:pPr>
        <w:spacing w:beforeLines="100" w:afterLines="100"/>
        <w:jc w:val="center"/>
        <w:outlineLvl w:val="9"/>
        <w:rPr>
          <w:rFonts w:hint="eastAsia" w:ascii="宋体" w:hAnsi="宋体" w:eastAsia="宋体" w:cs="宋体"/>
          <w:color w:val="auto"/>
          <w:kern w:val="21"/>
          <w:sz w:val="32"/>
          <w:szCs w:val="32"/>
          <w:highlight w:val="none"/>
          <w:u w:val="none" w:color="000000"/>
          <w:lang w:val="en-US" w:eastAsia="zh-CN" w:bidi="ar-SA"/>
        </w:rPr>
      </w:pPr>
      <w:bookmarkStart w:id="117" w:name="_Toc29761"/>
      <w:bookmarkStart w:id="118" w:name="_Toc18060"/>
      <w:bookmarkStart w:id="119" w:name="_Toc19082"/>
      <w:bookmarkStart w:id="120" w:name="_Toc31833"/>
    </w:p>
    <w:p>
      <w:pPr>
        <w:bidi w:val="0"/>
        <w:jc w:val="center"/>
        <w:rPr>
          <w:rFonts w:hint="eastAsia" w:ascii="宋体" w:hAnsi="宋体" w:eastAsia="宋体" w:cs="宋体"/>
          <w:b/>
          <w:bCs/>
          <w:color w:val="auto"/>
          <w:kern w:val="21"/>
          <w:sz w:val="32"/>
          <w:szCs w:val="32"/>
          <w:highlight w:val="none"/>
          <w:u w:val="none" w:color="000000"/>
          <w:lang w:val="en-US" w:eastAsia="zh-CN" w:bidi="ar-SA"/>
        </w:rPr>
      </w:pPr>
      <w:bookmarkStart w:id="121" w:name="_Toc11596"/>
      <w:bookmarkStart w:id="122" w:name="_Toc23135"/>
      <w:r>
        <w:rPr>
          <w:rFonts w:hint="eastAsia" w:ascii="宋体" w:hAnsi="宋体" w:cs="宋体"/>
          <w:b/>
          <w:bCs/>
          <w:color w:val="auto"/>
          <w:kern w:val="21"/>
          <w:sz w:val="32"/>
          <w:szCs w:val="32"/>
          <w:highlight w:val="none"/>
          <w:u w:val="none" w:color="000000"/>
          <w:lang w:val="en-US" w:eastAsia="zh-CN" w:bidi="ar-SA"/>
        </w:rPr>
        <w:t>项目</w:t>
      </w:r>
      <w:r>
        <w:rPr>
          <w:rFonts w:hint="eastAsia" w:ascii="宋体" w:hAnsi="宋体" w:eastAsia="宋体" w:cs="宋体"/>
          <w:b/>
          <w:bCs/>
          <w:color w:val="auto"/>
          <w:kern w:val="21"/>
          <w:sz w:val="32"/>
          <w:szCs w:val="32"/>
          <w:highlight w:val="none"/>
          <w:u w:val="none" w:color="000000"/>
          <w:lang w:val="en-US" w:eastAsia="zh-CN" w:bidi="ar-SA"/>
        </w:rPr>
        <w:t>编号：</w:t>
      </w:r>
      <w:bookmarkEnd w:id="117"/>
      <w:bookmarkEnd w:id="118"/>
      <w:bookmarkEnd w:id="119"/>
      <w:bookmarkEnd w:id="120"/>
      <w:bookmarkEnd w:id="121"/>
      <w:bookmarkEnd w:id="122"/>
    </w:p>
    <w:p>
      <w:pPr>
        <w:pStyle w:val="13"/>
        <w:rPr>
          <w:rFonts w:hint="eastAsia"/>
        </w:rPr>
      </w:pPr>
    </w:p>
    <w:p>
      <w:pPr>
        <w:pStyle w:val="24"/>
        <w:pageBreakBefore w:val="0"/>
        <w:widowControl w:val="0"/>
        <w:wordWrap/>
        <w:overflowPunct/>
        <w:topLinePunct w:val="0"/>
        <w:autoSpaceDE w:val="0"/>
        <w:autoSpaceDN w:val="0"/>
        <w:bidi w:val="0"/>
        <w:adjustRightInd w:val="0"/>
        <w:spacing w:before="0" w:beforeAutospacing="0" w:after="0" w:afterAutospacing="0" w:line="560" w:lineRule="exact"/>
        <w:rPr>
          <w:rFonts w:hint="eastAsia" w:ascii="宋体" w:hAnsi="宋体" w:eastAsia="宋体" w:cs="宋体"/>
          <w:b/>
          <w:sz w:val="30"/>
          <w:szCs w:val="30"/>
          <w:highlight w:val="none"/>
        </w:rPr>
      </w:pPr>
      <w:r>
        <w:rPr>
          <w:rFonts w:hint="eastAsia" w:ascii="宋体" w:hAnsi="宋体" w:eastAsia="宋体" w:cs="宋体"/>
          <w:color w:val="auto"/>
          <w:sz w:val="32"/>
          <w:szCs w:val="21"/>
          <w:highlight w:val="none"/>
        </w:rPr>
        <w:t xml:space="preserve">  </w:t>
      </w:r>
      <w:bookmarkStart w:id="123" w:name="_Toc32461_WPSOffice_Level1"/>
      <w:bookmarkStart w:id="124" w:name="_Toc15269"/>
      <w:bookmarkStart w:id="125" w:name="_Toc3339"/>
      <w:bookmarkStart w:id="126" w:name="_Toc6476"/>
      <w:bookmarkStart w:id="127" w:name="_Toc6286"/>
    </w:p>
    <w:p>
      <w:pPr>
        <w:pageBreakBefore w:val="0"/>
        <w:kinsoku/>
        <w:wordWrap/>
        <w:overflowPunct/>
        <w:topLinePunct w:val="0"/>
        <w:bidi w:val="0"/>
        <w:spacing w:line="360" w:lineRule="auto"/>
        <w:ind w:firstLine="1807"/>
        <w:textAlignment w:val="auto"/>
        <w:rPr>
          <w:rFonts w:hint="eastAsia" w:ascii="宋体" w:hAnsi="宋体" w:eastAsia="宋体" w:cs="宋体"/>
          <w:b/>
          <w:bCs/>
          <w:sz w:val="30"/>
          <w:szCs w:val="30"/>
          <w:highlight w:val="none"/>
          <w:u w:val="single"/>
        </w:rPr>
      </w:pPr>
      <w:r>
        <w:rPr>
          <w:rFonts w:hint="eastAsia" w:ascii="宋体" w:hAnsi="宋体" w:eastAsia="宋体" w:cs="宋体"/>
          <w:b/>
          <w:sz w:val="30"/>
          <w:szCs w:val="30"/>
          <w:highlight w:val="none"/>
        </w:rPr>
        <w:t>供</w:t>
      </w:r>
      <w:r>
        <w:rPr>
          <w:rFonts w:hint="eastAsia" w:ascii="宋体" w:hAnsi="宋体" w:eastAsia="宋体" w:cs="宋体"/>
          <w:b/>
          <w:sz w:val="30"/>
          <w:szCs w:val="30"/>
          <w:highlight w:val="none"/>
          <w:lang w:val="en-US" w:eastAsia="zh-CN"/>
        </w:rPr>
        <w:t xml:space="preserve">  </w:t>
      </w:r>
      <w:r>
        <w:rPr>
          <w:rFonts w:hint="eastAsia" w:ascii="宋体" w:hAnsi="宋体" w:eastAsia="宋体" w:cs="宋体"/>
          <w:b/>
          <w:sz w:val="30"/>
          <w:szCs w:val="30"/>
          <w:highlight w:val="none"/>
        </w:rPr>
        <w:t>应</w:t>
      </w:r>
      <w:r>
        <w:rPr>
          <w:rFonts w:hint="eastAsia" w:ascii="宋体" w:hAnsi="宋体" w:eastAsia="宋体" w:cs="宋体"/>
          <w:b/>
          <w:sz w:val="30"/>
          <w:szCs w:val="30"/>
          <w:highlight w:val="none"/>
          <w:lang w:val="en-US" w:eastAsia="zh-CN"/>
        </w:rPr>
        <w:t xml:space="preserve">  </w:t>
      </w:r>
      <w:r>
        <w:rPr>
          <w:rFonts w:hint="eastAsia" w:ascii="宋体" w:hAnsi="宋体" w:eastAsia="宋体" w:cs="宋体"/>
          <w:b/>
          <w:sz w:val="30"/>
          <w:szCs w:val="30"/>
          <w:highlight w:val="none"/>
        </w:rPr>
        <w:t>商：</w:t>
      </w:r>
      <w:bookmarkEnd w:id="123"/>
    </w:p>
    <w:p>
      <w:pPr>
        <w:pageBreakBefore w:val="0"/>
        <w:kinsoku/>
        <w:wordWrap/>
        <w:overflowPunct/>
        <w:topLinePunct w:val="0"/>
        <w:bidi w:val="0"/>
        <w:spacing w:line="360" w:lineRule="auto"/>
        <w:ind w:firstLine="1780"/>
        <w:textAlignment w:val="auto"/>
        <w:rPr>
          <w:rFonts w:hint="eastAsia" w:ascii="宋体" w:hAnsi="宋体" w:eastAsia="宋体" w:cs="宋体"/>
          <w:b/>
          <w:bCs/>
          <w:sz w:val="30"/>
          <w:szCs w:val="30"/>
          <w:highlight w:val="none"/>
          <w:u w:val="single"/>
        </w:rPr>
      </w:pPr>
      <w:bookmarkStart w:id="128" w:name="_Toc5980_WPSOffice_Level1"/>
      <w:bookmarkEnd w:id="128"/>
      <w:bookmarkStart w:id="129" w:name="_Toc25187_WPSOffice_Level1"/>
      <w:bookmarkEnd w:id="129"/>
      <w:bookmarkStart w:id="130" w:name="_Toc538_WPSOffice_Level1"/>
      <w:r>
        <w:rPr>
          <w:rFonts w:hint="eastAsia" w:ascii="宋体" w:hAnsi="宋体" w:eastAsia="宋体" w:cs="宋体"/>
          <w:b/>
          <w:sz w:val="30"/>
          <w:szCs w:val="30"/>
          <w:highlight w:val="none"/>
        </w:rPr>
        <w:t>法定代表人或被授权人（签字或盖章）：</w:t>
      </w:r>
      <w:bookmarkEnd w:id="130"/>
    </w:p>
    <w:p>
      <w:pPr>
        <w:pageBreakBefore w:val="0"/>
        <w:kinsoku/>
        <w:wordWrap/>
        <w:overflowPunct/>
        <w:topLinePunct w:val="0"/>
        <w:bidi w:val="0"/>
        <w:spacing w:line="360" w:lineRule="auto"/>
        <w:ind w:firstLine="1780"/>
        <w:textAlignment w:val="auto"/>
        <w:rPr>
          <w:rFonts w:hint="eastAsia" w:ascii="宋体" w:hAnsi="宋体" w:eastAsia="宋体" w:cs="宋体"/>
        </w:rPr>
      </w:pPr>
      <w:bookmarkStart w:id="131" w:name="_Toc19927_WPSOffice_Level1"/>
      <w:bookmarkEnd w:id="131"/>
      <w:bookmarkStart w:id="132" w:name="_Toc1764_WPSOffice_Level1"/>
      <w:bookmarkEnd w:id="132"/>
      <w:bookmarkStart w:id="133" w:name="_Toc18129_WPSOffice_Level1"/>
      <w:r>
        <w:rPr>
          <w:rFonts w:hint="eastAsia" w:ascii="宋体" w:hAnsi="宋体" w:eastAsia="宋体" w:cs="宋体"/>
          <w:b/>
          <w:sz w:val="30"/>
          <w:szCs w:val="30"/>
          <w:highlight w:val="none"/>
        </w:rPr>
        <w:t>时</w:t>
      </w:r>
      <w:r>
        <w:rPr>
          <w:rFonts w:hint="eastAsia" w:ascii="宋体" w:hAnsi="宋体" w:eastAsia="宋体" w:cs="宋体"/>
          <w:b/>
          <w:sz w:val="30"/>
          <w:szCs w:val="30"/>
          <w:highlight w:val="none"/>
          <w:lang w:val="en-US" w:eastAsia="zh-CN"/>
        </w:rPr>
        <w:t xml:space="preserve">      </w:t>
      </w:r>
      <w:r>
        <w:rPr>
          <w:rFonts w:hint="eastAsia" w:ascii="宋体" w:hAnsi="宋体" w:eastAsia="宋体" w:cs="宋体"/>
          <w:b/>
          <w:sz w:val="30"/>
          <w:szCs w:val="30"/>
          <w:highlight w:val="none"/>
        </w:rPr>
        <w:t>间：</w:t>
      </w:r>
      <w:bookmarkEnd w:id="133"/>
    </w:p>
    <w:p>
      <w:pPr>
        <w:jc w:val="center"/>
        <w:outlineLvl w:val="9"/>
        <w:rPr>
          <w:rFonts w:hint="eastAsia" w:ascii="宋体" w:hAnsi="宋体" w:cs="宋体"/>
          <w:b/>
          <w:color w:val="auto"/>
          <w:sz w:val="32"/>
          <w:szCs w:val="32"/>
          <w:highlight w:val="none"/>
          <w:lang w:bidi="ar"/>
        </w:rPr>
      </w:pPr>
    </w:p>
    <w:p>
      <w:pPr>
        <w:jc w:val="both"/>
        <w:outlineLvl w:val="9"/>
        <w:rPr>
          <w:rFonts w:hint="eastAsia" w:ascii="宋体" w:hAnsi="宋体" w:cs="宋体"/>
          <w:b/>
          <w:color w:val="auto"/>
          <w:sz w:val="32"/>
          <w:szCs w:val="32"/>
          <w:highlight w:val="none"/>
          <w:lang w:bidi="ar"/>
        </w:rPr>
      </w:pPr>
    </w:p>
    <w:p>
      <w:pPr>
        <w:bidi w:val="0"/>
        <w:jc w:val="center"/>
        <w:rPr>
          <w:rFonts w:hint="eastAsia"/>
          <w:sz w:val="52"/>
          <w:szCs w:val="52"/>
        </w:rPr>
      </w:pPr>
      <w:bookmarkStart w:id="134" w:name="_Toc13423"/>
      <w:bookmarkStart w:id="135" w:name="_Toc30618"/>
      <w:r>
        <w:rPr>
          <w:rFonts w:hint="eastAsia"/>
          <w:sz w:val="52"/>
          <w:szCs w:val="52"/>
        </w:rPr>
        <w:t>目  录</w:t>
      </w:r>
      <w:bookmarkEnd w:id="124"/>
      <w:bookmarkEnd w:id="125"/>
      <w:bookmarkEnd w:id="126"/>
      <w:bookmarkEnd w:id="127"/>
      <w:bookmarkEnd w:id="134"/>
      <w:bookmarkEnd w:id="135"/>
    </w:p>
    <w:p>
      <w:pPr>
        <w:pStyle w:val="17"/>
        <w:tabs>
          <w:tab w:val="left" w:pos="280"/>
        </w:tabs>
        <w:spacing w:line="360" w:lineRule="auto"/>
        <w:ind w:left="280" w:leftChars="100" w:firstLine="0" w:firstLineChars="0"/>
        <w:rPr>
          <w:rFonts w:hint="eastAsia"/>
          <w:sz w:val="24"/>
          <w:szCs w:val="24"/>
          <w:highlight w:val="none"/>
        </w:rPr>
      </w:pPr>
      <w:r>
        <w:rPr>
          <w:rFonts w:hint="eastAsia"/>
          <w:sz w:val="24"/>
          <w:szCs w:val="24"/>
          <w:highlight w:val="none"/>
        </w:rPr>
        <w:t>一、磋商函</w:t>
      </w:r>
    </w:p>
    <w:p>
      <w:pPr>
        <w:pStyle w:val="17"/>
        <w:tabs>
          <w:tab w:val="left" w:pos="280"/>
        </w:tabs>
        <w:spacing w:line="360" w:lineRule="auto"/>
        <w:ind w:left="280" w:leftChars="100" w:firstLine="0" w:firstLineChars="0"/>
        <w:rPr>
          <w:rFonts w:hint="eastAsia"/>
          <w:sz w:val="24"/>
          <w:szCs w:val="24"/>
          <w:highlight w:val="none"/>
        </w:rPr>
      </w:pPr>
      <w:r>
        <w:rPr>
          <w:rFonts w:hint="eastAsia"/>
          <w:sz w:val="24"/>
          <w:szCs w:val="24"/>
          <w:highlight w:val="none"/>
        </w:rPr>
        <w:t>二、第一次磋商报价表</w:t>
      </w:r>
    </w:p>
    <w:p>
      <w:pPr>
        <w:pStyle w:val="17"/>
        <w:tabs>
          <w:tab w:val="left" w:pos="280"/>
        </w:tabs>
        <w:spacing w:line="360" w:lineRule="auto"/>
        <w:ind w:left="280" w:leftChars="100" w:firstLine="0" w:firstLineChars="0"/>
        <w:rPr>
          <w:rFonts w:hint="eastAsia"/>
          <w:sz w:val="24"/>
          <w:szCs w:val="24"/>
          <w:highlight w:val="none"/>
        </w:rPr>
      </w:pPr>
      <w:r>
        <w:rPr>
          <w:rFonts w:hint="eastAsia"/>
          <w:sz w:val="24"/>
          <w:szCs w:val="24"/>
          <w:highlight w:val="none"/>
        </w:rPr>
        <w:t>三、已标价工程量清单</w:t>
      </w:r>
    </w:p>
    <w:p>
      <w:pPr>
        <w:pStyle w:val="17"/>
        <w:tabs>
          <w:tab w:val="left" w:pos="280"/>
        </w:tabs>
        <w:spacing w:line="360" w:lineRule="auto"/>
        <w:ind w:left="280" w:leftChars="100" w:firstLine="0" w:firstLineChars="0"/>
        <w:rPr>
          <w:rFonts w:hint="eastAsia"/>
          <w:sz w:val="24"/>
          <w:szCs w:val="24"/>
          <w:highlight w:val="none"/>
        </w:rPr>
      </w:pPr>
      <w:r>
        <w:rPr>
          <w:rFonts w:hint="eastAsia"/>
          <w:sz w:val="24"/>
          <w:szCs w:val="24"/>
          <w:highlight w:val="none"/>
        </w:rPr>
        <w:t>四、资格证明文件</w:t>
      </w:r>
    </w:p>
    <w:p>
      <w:pPr>
        <w:pStyle w:val="17"/>
        <w:tabs>
          <w:tab w:val="left" w:pos="280"/>
        </w:tabs>
        <w:spacing w:line="360" w:lineRule="auto"/>
        <w:ind w:left="280" w:leftChars="100" w:firstLine="0" w:firstLineChars="0"/>
        <w:rPr>
          <w:rFonts w:hint="eastAsia"/>
          <w:sz w:val="24"/>
          <w:szCs w:val="24"/>
          <w:highlight w:val="none"/>
        </w:rPr>
      </w:pPr>
      <w:r>
        <w:rPr>
          <w:rFonts w:hint="eastAsia"/>
          <w:sz w:val="24"/>
          <w:szCs w:val="24"/>
          <w:highlight w:val="none"/>
        </w:rPr>
        <w:t>五、商务偏离表</w:t>
      </w:r>
    </w:p>
    <w:p>
      <w:pPr>
        <w:tabs>
          <w:tab w:val="left" w:pos="280"/>
        </w:tabs>
        <w:spacing w:line="360" w:lineRule="auto"/>
        <w:ind w:left="280" w:leftChars="100" w:firstLine="0" w:firstLineChars="0"/>
        <w:rPr>
          <w:rFonts w:hint="eastAsia" w:ascii="宋体" w:hAnsi="宋体" w:eastAsia="宋体" w:cs="宋体"/>
          <w:b w:val="0"/>
          <w:bCs w:val="0"/>
          <w:color w:val="auto"/>
          <w:sz w:val="24"/>
          <w:szCs w:val="24"/>
          <w:highlight w:val="none"/>
          <w:lang w:val="en-US" w:eastAsia="zh-CN" w:bidi="ar"/>
        </w:rPr>
      </w:pPr>
      <w:r>
        <w:rPr>
          <w:rFonts w:hint="eastAsia" w:ascii="宋体" w:hAnsi="宋体" w:eastAsia="宋体" w:cs="宋体"/>
          <w:b w:val="0"/>
          <w:bCs w:val="0"/>
          <w:color w:val="auto"/>
          <w:sz w:val="24"/>
          <w:szCs w:val="24"/>
          <w:highlight w:val="none"/>
          <w:lang w:val="en-US" w:eastAsia="zh-CN" w:bidi="ar"/>
        </w:rPr>
        <w:t>六、项目实施的主要组成人员简历表（格式自拟）</w:t>
      </w:r>
    </w:p>
    <w:p>
      <w:pPr>
        <w:tabs>
          <w:tab w:val="left" w:pos="280"/>
        </w:tabs>
        <w:spacing w:line="360" w:lineRule="auto"/>
        <w:ind w:left="280" w:leftChars="100" w:firstLine="0" w:firstLineChars="0"/>
        <w:rPr>
          <w:rFonts w:hint="eastAsia"/>
          <w:sz w:val="24"/>
          <w:szCs w:val="24"/>
          <w:highlight w:val="none"/>
        </w:rPr>
      </w:pPr>
      <w:r>
        <w:rPr>
          <w:rFonts w:hint="eastAsia" w:ascii="宋体" w:hAnsi="宋体" w:eastAsia="宋体" w:cs="宋体"/>
          <w:b w:val="0"/>
          <w:bCs w:val="0"/>
          <w:color w:val="auto"/>
          <w:sz w:val="24"/>
          <w:szCs w:val="24"/>
          <w:highlight w:val="none"/>
          <w:lang w:val="en-US" w:eastAsia="zh-CN" w:bidi="ar"/>
        </w:rPr>
        <w:t>七、</w:t>
      </w:r>
      <w:r>
        <w:rPr>
          <w:rFonts w:hint="eastAsia" w:ascii="宋体" w:hAnsi="宋体" w:cs="宋体"/>
          <w:kern w:val="2"/>
          <w:sz w:val="24"/>
          <w:szCs w:val="24"/>
          <w:highlight w:val="none"/>
          <w:lang w:val="en-US" w:eastAsia="zh-CN" w:bidi="ar-SA"/>
        </w:rPr>
        <w:t>提供2021</w:t>
      </w:r>
      <w:r>
        <w:rPr>
          <w:rFonts w:hint="eastAsia" w:ascii="宋体" w:hAnsi="宋体" w:eastAsia="宋体" w:cs="宋体"/>
          <w:kern w:val="2"/>
          <w:sz w:val="24"/>
          <w:szCs w:val="24"/>
          <w:highlight w:val="none"/>
          <w:lang w:val="en-US" w:eastAsia="zh-CN" w:bidi="ar-SA"/>
        </w:rPr>
        <w:t>年</w:t>
      </w:r>
      <w:r>
        <w:rPr>
          <w:rFonts w:hint="eastAsia" w:ascii="宋体" w:hAnsi="宋体" w:cs="宋体"/>
          <w:kern w:val="2"/>
          <w:sz w:val="24"/>
          <w:szCs w:val="24"/>
          <w:highlight w:val="none"/>
          <w:lang w:val="en-US" w:eastAsia="zh-CN" w:bidi="ar-SA"/>
        </w:rPr>
        <w:t>7</w:t>
      </w:r>
      <w:r>
        <w:rPr>
          <w:rFonts w:hint="eastAsia" w:ascii="宋体" w:hAnsi="宋体" w:eastAsia="宋体" w:cs="宋体"/>
          <w:kern w:val="2"/>
          <w:sz w:val="24"/>
          <w:szCs w:val="24"/>
          <w:highlight w:val="none"/>
          <w:lang w:val="en-US" w:eastAsia="zh-CN" w:bidi="ar-SA"/>
        </w:rPr>
        <w:t>月1 日起至 20</w:t>
      </w:r>
      <w:r>
        <w:rPr>
          <w:rFonts w:hint="eastAsia" w:ascii="宋体" w:hAnsi="宋体" w:cs="宋体"/>
          <w:kern w:val="2"/>
          <w:sz w:val="24"/>
          <w:szCs w:val="24"/>
          <w:highlight w:val="none"/>
          <w:lang w:val="en-US" w:eastAsia="zh-CN" w:bidi="ar-SA"/>
        </w:rPr>
        <w:t>24</w:t>
      </w:r>
      <w:r>
        <w:rPr>
          <w:rFonts w:hint="eastAsia" w:ascii="宋体" w:hAnsi="宋体" w:eastAsia="宋体" w:cs="宋体"/>
          <w:kern w:val="2"/>
          <w:sz w:val="24"/>
          <w:szCs w:val="24"/>
          <w:highlight w:val="none"/>
          <w:lang w:val="en-US" w:eastAsia="zh-CN" w:bidi="ar-SA"/>
        </w:rPr>
        <w:t xml:space="preserve"> 年 </w:t>
      </w:r>
      <w:r>
        <w:rPr>
          <w:rFonts w:hint="eastAsia" w:ascii="宋体" w:hAnsi="宋体" w:cs="宋体"/>
          <w:kern w:val="2"/>
          <w:sz w:val="24"/>
          <w:szCs w:val="24"/>
          <w:highlight w:val="none"/>
          <w:lang w:val="en-US" w:eastAsia="zh-CN" w:bidi="ar-SA"/>
        </w:rPr>
        <w:t xml:space="preserve">07 </w:t>
      </w:r>
      <w:r>
        <w:rPr>
          <w:rFonts w:hint="eastAsia" w:ascii="宋体" w:hAnsi="宋体" w:eastAsia="宋体" w:cs="宋体"/>
          <w:kern w:val="2"/>
          <w:sz w:val="24"/>
          <w:szCs w:val="24"/>
          <w:highlight w:val="none"/>
          <w:lang w:val="en-US" w:eastAsia="zh-CN" w:bidi="ar-SA"/>
        </w:rPr>
        <w:t xml:space="preserve">月 </w:t>
      </w:r>
      <w:r>
        <w:rPr>
          <w:rFonts w:hint="eastAsia" w:ascii="宋体" w:hAnsi="宋体" w:cs="宋体"/>
          <w:kern w:val="2"/>
          <w:sz w:val="24"/>
          <w:szCs w:val="24"/>
          <w:highlight w:val="none"/>
          <w:lang w:val="en-US" w:eastAsia="zh-CN" w:bidi="ar-SA"/>
        </w:rPr>
        <w:t>12</w:t>
      </w:r>
      <w:r>
        <w:rPr>
          <w:rFonts w:hint="eastAsia" w:ascii="宋体" w:hAnsi="宋体" w:eastAsia="宋体" w:cs="宋体"/>
          <w:kern w:val="2"/>
          <w:sz w:val="24"/>
          <w:szCs w:val="24"/>
          <w:highlight w:val="none"/>
          <w:lang w:val="en-US" w:eastAsia="zh-CN" w:bidi="ar-SA"/>
        </w:rPr>
        <w:t>日止企业类似工程施工业绩（附合同或中标通知书及第三方生物安全技术检测公司出具的医院消毒卫生标准检测合格报告）</w:t>
      </w:r>
      <w:r>
        <w:rPr>
          <w:rFonts w:hint="eastAsia" w:ascii="宋体" w:hAnsi="宋体" w:cs="宋体"/>
          <w:kern w:val="2"/>
          <w:sz w:val="24"/>
          <w:szCs w:val="24"/>
          <w:highlight w:val="none"/>
          <w:lang w:val="en-US" w:eastAsia="zh-CN" w:bidi="ar-SA"/>
        </w:rPr>
        <w:t>，</w:t>
      </w:r>
      <w:r>
        <w:rPr>
          <w:rFonts w:hint="eastAsia" w:ascii="宋体" w:hAnsi="宋体" w:eastAsia="宋体" w:cs="宋体"/>
          <w:kern w:val="2"/>
          <w:sz w:val="24"/>
          <w:szCs w:val="24"/>
          <w:highlight w:val="none"/>
          <w:lang w:val="en-US" w:eastAsia="zh-CN" w:bidi="ar-SA"/>
        </w:rPr>
        <w:t>复印件加盖公章</w:t>
      </w:r>
    </w:p>
    <w:p>
      <w:pPr>
        <w:pStyle w:val="17"/>
        <w:tabs>
          <w:tab w:val="left" w:pos="280"/>
        </w:tabs>
        <w:spacing w:line="360" w:lineRule="auto"/>
        <w:ind w:left="280" w:leftChars="100" w:firstLine="0" w:firstLineChars="0"/>
        <w:rPr>
          <w:rFonts w:hint="eastAsia"/>
          <w:sz w:val="24"/>
          <w:szCs w:val="24"/>
          <w:highlight w:val="none"/>
        </w:rPr>
      </w:pPr>
      <w:r>
        <w:rPr>
          <w:rFonts w:hint="eastAsia"/>
          <w:sz w:val="24"/>
          <w:szCs w:val="24"/>
          <w:highlight w:val="none"/>
          <w:lang w:eastAsia="zh-CN"/>
        </w:rPr>
        <w:t>八</w:t>
      </w:r>
      <w:r>
        <w:rPr>
          <w:rFonts w:hint="eastAsia"/>
          <w:sz w:val="24"/>
          <w:szCs w:val="24"/>
          <w:highlight w:val="none"/>
        </w:rPr>
        <w:t>、投标方案</w:t>
      </w:r>
    </w:p>
    <w:p>
      <w:pPr>
        <w:tabs>
          <w:tab w:val="left" w:pos="280"/>
        </w:tabs>
        <w:spacing w:line="360" w:lineRule="auto"/>
        <w:ind w:left="280" w:leftChars="100" w:firstLine="0" w:firstLineChars="0"/>
        <w:rPr>
          <w:rFonts w:hint="eastAsia" w:ascii="宋体" w:hAnsi="宋体" w:eastAsia="宋体" w:cs="宋体"/>
          <w:b w:val="0"/>
          <w:bCs w:val="0"/>
          <w:color w:val="auto"/>
          <w:sz w:val="24"/>
          <w:szCs w:val="24"/>
          <w:highlight w:val="none"/>
          <w:lang w:val="en-US" w:eastAsia="zh-CN" w:bidi="ar"/>
        </w:rPr>
      </w:pPr>
      <w:r>
        <w:rPr>
          <w:rFonts w:hint="eastAsia" w:ascii="宋体" w:hAnsi="宋体" w:cs="宋体"/>
          <w:b w:val="0"/>
          <w:bCs w:val="0"/>
          <w:color w:val="auto"/>
          <w:sz w:val="24"/>
          <w:szCs w:val="24"/>
          <w:highlight w:val="none"/>
          <w:lang w:val="en-US" w:eastAsia="zh-CN" w:bidi="ar"/>
        </w:rPr>
        <w:t>九、</w:t>
      </w:r>
      <w:r>
        <w:rPr>
          <w:rFonts w:hint="eastAsia" w:ascii="宋体" w:hAnsi="宋体" w:cs="宋体"/>
          <w:b w:val="0"/>
          <w:bCs w:val="0"/>
          <w:color w:val="000000"/>
          <w:kern w:val="0"/>
          <w:sz w:val="24"/>
          <w:szCs w:val="24"/>
          <w:highlight w:val="none"/>
          <w:vertAlign w:val="baseline"/>
          <w:lang w:val="en-US" w:eastAsia="zh-CN" w:bidi="ar"/>
        </w:rPr>
        <w:t>质量承诺</w:t>
      </w:r>
      <w:r>
        <w:rPr>
          <w:rFonts w:hint="eastAsia" w:ascii="宋体" w:hAnsi="宋体" w:eastAsia="宋体" w:cs="宋体"/>
          <w:b w:val="0"/>
          <w:bCs w:val="0"/>
          <w:color w:val="auto"/>
          <w:sz w:val="24"/>
          <w:szCs w:val="24"/>
          <w:highlight w:val="none"/>
          <w:lang w:val="en-US" w:eastAsia="zh-CN" w:bidi="ar"/>
        </w:rPr>
        <w:t>（格式自拟）</w:t>
      </w:r>
    </w:p>
    <w:p>
      <w:pPr>
        <w:tabs>
          <w:tab w:val="left" w:pos="280"/>
        </w:tabs>
        <w:spacing w:line="360" w:lineRule="auto"/>
        <w:ind w:left="280" w:leftChars="100" w:firstLine="0" w:firstLineChars="0"/>
        <w:rPr>
          <w:rFonts w:hint="eastAsia" w:ascii="宋体" w:hAnsi="宋体" w:eastAsia="宋体" w:cs="宋体"/>
          <w:b w:val="0"/>
          <w:bCs w:val="0"/>
          <w:color w:val="auto"/>
          <w:sz w:val="24"/>
          <w:szCs w:val="24"/>
          <w:highlight w:val="none"/>
          <w:lang w:val="en-US" w:eastAsia="zh-CN" w:bidi="ar"/>
        </w:rPr>
      </w:pPr>
      <w:r>
        <w:rPr>
          <w:rFonts w:hint="eastAsia" w:ascii="宋体" w:hAnsi="宋体" w:cs="宋体"/>
          <w:b w:val="0"/>
          <w:bCs w:val="0"/>
          <w:color w:val="auto"/>
          <w:sz w:val="24"/>
          <w:szCs w:val="24"/>
          <w:highlight w:val="none"/>
          <w:lang w:val="en-US" w:eastAsia="zh-CN" w:bidi="ar"/>
        </w:rPr>
        <w:t>十、</w:t>
      </w:r>
      <w:r>
        <w:rPr>
          <w:rFonts w:hint="eastAsia" w:ascii="宋体" w:hAnsi="宋体" w:eastAsia="宋体" w:cs="宋体"/>
          <w:b w:val="0"/>
          <w:bCs w:val="0"/>
          <w:color w:val="auto"/>
          <w:sz w:val="24"/>
          <w:szCs w:val="24"/>
          <w:highlight w:val="none"/>
          <w:lang w:val="en-US" w:eastAsia="zh-CN" w:bidi="ar"/>
        </w:rPr>
        <w:t>供应商认为有必要补充说明的事宜</w:t>
      </w:r>
    </w:p>
    <w:p>
      <w:pPr>
        <w:tabs>
          <w:tab w:val="left" w:pos="280"/>
        </w:tabs>
        <w:spacing w:line="360" w:lineRule="auto"/>
        <w:ind w:left="280" w:leftChars="100" w:firstLine="0" w:firstLineChars="0"/>
        <w:rPr>
          <w:rFonts w:hint="eastAsia" w:ascii="宋体" w:hAnsi="宋体" w:eastAsia="宋体" w:cs="宋体"/>
          <w:b w:val="0"/>
          <w:bCs w:val="0"/>
          <w:color w:val="auto"/>
          <w:sz w:val="24"/>
          <w:szCs w:val="24"/>
          <w:highlight w:val="none"/>
          <w:lang w:val="en-US" w:eastAsia="zh-CN" w:bidi="ar"/>
        </w:rPr>
      </w:pPr>
      <w:r>
        <w:rPr>
          <w:rFonts w:hint="eastAsia" w:ascii="宋体" w:hAnsi="宋体" w:cs="宋体"/>
          <w:b w:val="0"/>
          <w:bCs w:val="0"/>
          <w:color w:val="auto"/>
          <w:sz w:val="24"/>
          <w:szCs w:val="24"/>
          <w:highlight w:val="none"/>
          <w:lang w:val="en-US" w:eastAsia="zh-CN" w:bidi="ar"/>
        </w:rPr>
        <w:t>十一、</w:t>
      </w:r>
      <w:r>
        <w:rPr>
          <w:rFonts w:hint="eastAsia" w:ascii="宋体" w:hAnsi="宋体" w:eastAsia="宋体" w:cs="宋体"/>
          <w:b w:val="0"/>
          <w:bCs w:val="0"/>
          <w:color w:val="auto"/>
          <w:sz w:val="24"/>
          <w:szCs w:val="24"/>
          <w:highlight w:val="none"/>
          <w:lang w:val="en-US" w:eastAsia="zh-CN" w:bidi="ar"/>
        </w:rPr>
        <w:t xml:space="preserve">磋商声明书 </w:t>
      </w:r>
    </w:p>
    <w:p>
      <w:pPr>
        <w:tabs>
          <w:tab w:val="left" w:pos="280"/>
        </w:tabs>
        <w:spacing w:line="360" w:lineRule="auto"/>
        <w:ind w:left="280" w:leftChars="100" w:firstLine="0" w:firstLineChars="0"/>
        <w:rPr>
          <w:rFonts w:hint="eastAsia" w:ascii="宋体" w:hAnsi="宋体" w:eastAsia="宋体" w:cs="宋体"/>
          <w:b w:val="0"/>
          <w:bCs w:val="0"/>
          <w:color w:val="auto"/>
          <w:sz w:val="24"/>
          <w:szCs w:val="24"/>
          <w:highlight w:val="none"/>
          <w:lang w:val="en-US" w:eastAsia="zh-CN" w:bidi="ar"/>
        </w:rPr>
      </w:pPr>
      <w:r>
        <w:rPr>
          <w:rFonts w:hint="eastAsia" w:ascii="宋体" w:hAnsi="宋体" w:cs="宋体"/>
          <w:b w:val="0"/>
          <w:bCs w:val="0"/>
          <w:color w:val="auto"/>
          <w:sz w:val="24"/>
          <w:szCs w:val="24"/>
          <w:highlight w:val="none"/>
          <w:lang w:val="en-US" w:eastAsia="zh-CN" w:bidi="ar"/>
        </w:rPr>
        <w:t>十二、</w:t>
      </w:r>
      <w:r>
        <w:rPr>
          <w:rFonts w:hint="eastAsia" w:ascii="宋体" w:hAnsi="宋体" w:eastAsia="宋体" w:cs="宋体"/>
          <w:b w:val="0"/>
          <w:bCs w:val="0"/>
          <w:color w:val="auto"/>
          <w:sz w:val="24"/>
          <w:szCs w:val="24"/>
          <w:highlight w:val="none"/>
          <w:lang w:val="en-US" w:eastAsia="zh-CN" w:bidi="ar"/>
        </w:rPr>
        <w:t xml:space="preserve">《拒绝政府采购领域商业贿赂承诺书》 </w:t>
      </w:r>
    </w:p>
    <w:p>
      <w:pPr>
        <w:tabs>
          <w:tab w:val="left" w:pos="280"/>
        </w:tabs>
        <w:spacing w:line="360" w:lineRule="auto"/>
        <w:ind w:left="280" w:leftChars="100" w:firstLine="0" w:firstLineChars="0"/>
        <w:rPr>
          <w:rFonts w:hint="eastAsia" w:ascii="宋体" w:hAnsi="宋体" w:eastAsia="宋体" w:cs="宋体"/>
          <w:b w:val="0"/>
          <w:bCs w:val="0"/>
          <w:color w:val="auto"/>
          <w:sz w:val="24"/>
          <w:szCs w:val="24"/>
          <w:highlight w:val="none"/>
          <w:lang w:val="en-US" w:eastAsia="zh-CN" w:bidi="ar"/>
        </w:rPr>
      </w:pPr>
      <w:r>
        <w:rPr>
          <w:rFonts w:hint="eastAsia" w:ascii="宋体" w:hAnsi="宋体" w:cs="宋体"/>
          <w:b w:val="0"/>
          <w:bCs w:val="0"/>
          <w:color w:val="auto"/>
          <w:sz w:val="24"/>
          <w:szCs w:val="24"/>
          <w:highlight w:val="none"/>
          <w:lang w:val="en-US" w:eastAsia="zh-CN" w:bidi="ar"/>
        </w:rPr>
        <w:t>十三、</w:t>
      </w:r>
      <w:r>
        <w:rPr>
          <w:rFonts w:hint="eastAsia" w:ascii="宋体" w:hAnsi="宋体" w:eastAsia="宋体" w:cs="宋体"/>
          <w:b w:val="0"/>
          <w:bCs w:val="0"/>
          <w:color w:val="auto"/>
          <w:sz w:val="24"/>
          <w:szCs w:val="24"/>
          <w:highlight w:val="none"/>
          <w:lang w:val="en-US" w:eastAsia="zh-CN" w:bidi="ar"/>
        </w:rPr>
        <w:t>《中小企业声明函》</w:t>
      </w:r>
    </w:p>
    <w:p>
      <w:pPr>
        <w:tabs>
          <w:tab w:val="left" w:pos="280"/>
        </w:tabs>
        <w:spacing w:line="360" w:lineRule="auto"/>
        <w:ind w:left="280" w:leftChars="100" w:firstLine="0" w:firstLineChars="0"/>
        <w:rPr>
          <w:rFonts w:hint="eastAsia" w:ascii="宋体" w:hAnsi="宋体" w:eastAsia="宋体" w:cs="宋体"/>
          <w:b w:val="0"/>
          <w:bCs w:val="0"/>
          <w:color w:val="auto"/>
          <w:sz w:val="24"/>
          <w:szCs w:val="24"/>
          <w:highlight w:val="none"/>
          <w:lang w:val="en-US" w:eastAsia="zh-CN" w:bidi="ar"/>
        </w:rPr>
      </w:pPr>
      <w:r>
        <w:rPr>
          <w:rFonts w:hint="eastAsia" w:ascii="宋体" w:hAnsi="宋体" w:cs="宋体"/>
          <w:b w:val="0"/>
          <w:bCs w:val="0"/>
          <w:color w:val="auto"/>
          <w:sz w:val="24"/>
          <w:szCs w:val="24"/>
          <w:highlight w:val="none"/>
          <w:lang w:val="en-US" w:eastAsia="zh-CN" w:bidi="ar"/>
        </w:rPr>
        <w:t>十四、</w:t>
      </w:r>
      <w:r>
        <w:rPr>
          <w:rFonts w:hint="eastAsia" w:ascii="宋体" w:hAnsi="宋体" w:eastAsia="宋体" w:cs="宋体"/>
          <w:b w:val="0"/>
          <w:bCs w:val="0"/>
          <w:color w:val="auto"/>
          <w:sz w:val="24"/>
          <w:szCs w:val="24"/>
          <w:highlight w:val="none"/>
          <w:lang w:val="en-US" w:eastAsia="zh-CN" w:bidi="ar"/>
        </w:rPr>
        <w:t>《残疾人福利性单位声明函》（若有）</w:t>
      </w:r>
    </w:p>
    <w:p>
      <w:pPr>
        <w:tabs>
          <w:tab w:val="left" w:pos="280"/>
        </w:tabs>
        <w:spacing w:line="360" w:lineRule="auto"/>
        <w:ind w:left="280" w:leftChars="100" w:firstLine="0" w:firstLineChars="0"/>
        <w:rPr>
          <w:rFonts w:hint="eastAsia" w:ascii="宋体" w:hAnsi="宋体" w:eastAsia="宋体" w:cs="宋体"/>
          <w:b w:val="0"/>
          <w:bCs w:val="0"/>
          <w:color w:val="auto"/>
          <w:sz w:val="24"/>
          <w:szCs w:val="24"/>
          <w:highlight w:val="none"/>
          <w:lang w:val="en-US" w:eastAsia="zh-CN" w:bidi="ar"/>
        </w:rPr>
      </w:pPr>
      <w:r>
        <w:rPr>
          <w:rFonts w:hint="eastAsia" w:ascii="宋体" w:hAnsi="宋体" w:cs="宋体"/>
          <w:b w:val="0"/>
          <w:bCs w:val="0"/>
          <w:color w:val="auto"/>
          <w:sz w:val="24"/>
          <w:szCs w:val="24"/>
          <w:highlight w:val="none"/>
          <w:lang w:val="en-US" w:eastAsia="zh-CN" w:bidi="ar"/>
        </w:rPr>
        <w:t>十五、</w:t>
      </w:r>
      <w:r>
        <w:rPr>
          <w:rFonts w:hint="eastAsia" w:ascii="宋体" w:hAnsi="宋体" w:eastAsia="宋体" w:cs="宋体"/>
          <w:b w:val="0"/>
          <w:bCs w:val="0"/>
          <w:color w:val="auto"/>
          <w:sz w:val="24"/>
          <w:szCs w:val="24"/>
          <w:highlight w:val="none"/>
          <w:lang w:val="en-US" w:eastAsia="zh-CN" w:bidi="ar"/>
        </w:rPr>
        <w:t>《监狱企业证明函》（若有）</w:t>
      </w:r>
    </w:p>
    <w:p>
      <w:pPr>
        <w:rPr>
          <w:rFonts w:hint="eastAsia" w:ascii="宋体" w:hAnsi="宋体" w:cs="宋体"/>
          <w:color w:val="auto"/>
          <w:sz w:val="28"/>
          <w:szCs w:val="28"/>
        </w:rPr>
      </w:pPr>
      <w:r>
        <w:rPr>
          <w:rFonts w:hint="eastAsia" w:ascii="宋体" w:hAnsi="宋体" w:cs="宋体"/>
          <w:color w:val="auto"/>
          <w:sz w:val="28"/>
          <w:szCs w:val="28"/>
        </w:rPr>
        <w:br w:type="page"/>
      </w:r>
    </w:p>
    <w:p>
      <w:pPr>
        <w:widowControl w:val="0"/>
        <w:snapToGrid w:val="0"/>
        <w:spacing w:before="240" w:beforeLines="100" w:after="240" w:afterLines="100" w:line="240" w:lineRule="auto"/>
        <w:jc w:val="both"/>
        <w:outlineLvl w:val="1"/>
        <w:rPr>
          <w:rFonts w:hint="eastAsia" w:ascii="宋体" w:hAnsi="宋体" w:cs="宋体"/>
          <w:b/>
          <w:color w:val="auto"/>
          <w:sz w:val="24"/>
          <w:szCs w:val="24"/>
        </w:rPr>
      </w:pPr>
      <w:bookmarkStart w:id="136" w:name="_Toc31998"/>
      <w:bookmarkStart w:id="137" w:name="_Toc29697"/>
      <w:r>
        <w:rPr>
          <w:rFonts w:hint="eastAsia" w:ascii="宋体" w:hAnsi="宋体" w:cs="宋体"/>
          <w:b/>
          <w:color w:val="auto"/>
          <w:sz w:val="24"/>
          <w:szCs w:val="24"/>
          <w:lang w:eastAsia="zh-CN" w:bidi="ar"/>
        </w:rPr>
        <w:t>一</w:t>
      </w:r>
      <w:r>
        <w:rPr>
          <w:rFonts w:hint="eastAsia" w:ascii="宋体" w:hAnsi="宋体" w:cs="宋体"/>
          <w:b/>
          <w:color w:val="auto"/>
          <w:sz w:val="24"/>
          <w:szCs w:val="24"/>
          <w:lang w:bidi="ar"/>
        </w:rPr>
        <w:t>、</w:t>
      </w:r>
      <w:bookmarkEnd w:id="136"/>
      <w:r>
        <w:rPr>
          <w:rFonts w:hint="eastAsia" w:ascii="宋体" w:hAnsi="宋体" w:cs="宋体"/>
          <w:b/>
          <w:color w:val="auto"/>
          <w:sz w:val="24"/>
          <w:szCs w:val="24"/>
          <w:lang w:bidi="ar"/>
        </w:rPr>
        <w:t>磋商函</w:t>
      </w:r>
      <w:bookmarkEnd w:id="137"/>
    </w:p>
    <w:p>
      <w:pPr>
        <w:pageBreakBefore w:val="0"/>
        <w:wordWrap/>
        <w:overflowPunct/>
        <w:topLinePunct w:val="0"/>
        <w:bidi w:val="0"/>
        <w:spacing w:line="600" w:lineRule="exact"/>
        <w:jc w:val="center"/>
        <w:rPr>
          <w:rFonts w:hint="eastAsia" w:ascii="宋体" w:hAnsi="宋体" w:eastAsia="宋体" w:cs="宋体"/>
          <w:b/>
          <w:bCs/>
          <w:sz w:val="24"/>
          <w:szCs w:val="24"/>
        </w:rPr>
      </w:pPr>
      <w:r>
        <w:rPr>
          <w:rFonts w:hint="eastAsia" w:ascii="宋体" w:hAnsi="宋体" w:eastAsia="宋体" w:cs="宋体"/>
          <w:b/>
          <w:bCs/>
          <w:sz w:val="24"/>
          <w:szCs w:val="24"/>
        </w:rPr>
        <w:t>磋商函</w:t>
      </w:r>
    </w:p>
    <w:p>
      <w:pPr>
        <w:pageBreakBefore w:val="0"/>
        <w:wordWrap/>
        <w:overflowPunct/>
        <w:topLinePunct w:val="0"/>
        <w:bidi w:val="0"/>
        <w:spacing w:line="600" w:lineRule="exact"/>
        <w:rPr>
          <w:rFonts w:hint="eastAsia" w:ascii="宋体" w:hAnsi="宋体" w:eastAsia="宋体" w:cs="宋体"/>
          <w:b/>
          <w:sz w:val="24"/>
          <w:szCs w:val="24"/>
          <w:lang w:eastAsia="zh-CN"/>
        </w:rPr>
      </w:pPr>
      <w:r>
        <w:rPr>
          <w:rFonts w:hint="eastAsia" w:ascii="宋体" w:hAnsi="宋体" w:eastAsia="宋体" w:cs="宋体"/>
          <w:b/>
          <w:sz w:val="24"/>
          <w:szCs w:val="24"/>
        </w:rPr>
        <w:t>致：</w:t>
      </w:r>
      <w:r>
        <w:rPr>
          <w:rFonts w:hint="eastAsia" w:ascii="宋体" w:hAnsi="宋体" w:cs="宋体"/>
          <w:b/>
          <w:sz w:val="24"/>
          <w:szCs w:val="24"/>
          <w:lang w:eastAsia="zh-CN"/>
        </w:rPr>
        <w:t>陕西正邦招标有限责任公司</w:t>
      </w:r>
    </w:p>
    <w:p>
      <w:pPr>
        <w:pageBreakBefore w:val="0"/>
        <w:wordWrap/>
        <w:overflowPunct/>
        <w:topLinePunct w:val="0"/>
        <w:bidi w:val="0"/>
        <w:spacing w:line="600" w:lineRule="exact"/>
        <w:ind w:firstLine="548"/>
        <w:rPr>
          <w:rFonts w:hint="eastAsia" w:ascii="宋体" w:hAnsi="宋体" w:eastAsia="宋体" w:cs="宋体"/>
          <w:sz w:val="24"/>
          <w:szCs w:val="24"/>
        </w:rPr>
      </w:pPr>
      <w:r>
        <w:rPr>
          <w:rFonts w:hint="eastAsia" w:ascii="宋体" w:hAnsi="宋体" w:eastAsia="宋体" w:cs="宋体"/>
          <w:sz w:val="24"/>
          <w:szCs w:val="24"/>
        </w:rPr>
        <w:t>根据贵单位</w:t>
      </w:r>
      <w:r>
        <w:rPr>
          <w:rFonts w:hint="eastAsia" w:ascii="宋体" w:hAnsi="宋体" w:eastAsia="宋体" w:cs="宋体"/>
          <w:sz w:val="24"/>
          <w:szCs w:val="24"/>
          <w:u w:val="single"/>
        </w:rPr>
        <w:t>（项目名称）</w:t>
      </w:r>
      <w:r>
        <w:rPr>
          <w:rFonts w:hint="eastAsia" w:ascii="宋体" w:hAnsi="宋体" w:eastAsia="宋体" w:cs="宋体"/>
          <w:sz w:val="24"/>
          <w:szCs w:val="24"/>
        </w:rPr>
        <w:t>项目</w:t>
      </w:r>
      <w:r>
        <w:rPr>
          <w:rFonts w:hint="eastAsia" w:ascii="宋体" w:hAnsi="宋体" w:eastAsia="宋体" w:cs="宋体"/>
          <w:sz w:val="24"/>
          <w:szCs w:val="24"/>
          <w:u w:val="single"/>
        </w:rPr>
        <w:t>（</w:t>
      </w:r>
      <w:r>
        <w:rPr>
          <w:rFonts w:hint="eastAsia" w:ascii="宋体" w:hAnsi="宋体" w:cs="宋体"/>
          <w:sz w:val="24"/>
          <w:szCs w:val="24"/>
          <w:u w:val="single"/>
          <w:lang w:eastAsia="zh-CN"/>
        </w:rPr>
        <w:t>项目编号</w:t>
      </w:r>
      <w:r>
        <w:rPr>
          <w:rFonts w:hint="eastAsia" w:ascii="宋体" w:hAnsi="宋体" w:eastAsia="宋体" w:cs="宋体"/>
          <w:sz w:val="24"/>
          <w:szCs w:val="24"/>
          <w:u w:val="single"/>
        </w:rPr>
        <w:t>）</w:t>
      </w:r>
      <w:r>
        <w:rPr>
          <w:rFonts w:hint="eastAsia" w:ascii="宋体" w:hAnsi="宋体" w:eastAsia="宋体" w:cs="宋体"/>
          <w:sz w:val="24"/>
          <w:szCs w:val="24"/>
        </w:rPr>
        <w:t>的磋商公告，我方代表</w:t>
      </w:r>
      <w:r>
        <w:rPr>
          <w:rFonts w:hint="eastAsia" w:ascii="宋体" w:hAnsi="宋体" w:eastAsia="宋体" w:cs="宋体"/>
          <w:sz w:val="24"/>
          <w:szCs w:val="24"/>
          <w:u w:val="single"/>
        </w:rPr>
        <w:t>（姓名、职务）</w:t>
      </w:r>
      <w:r>
        <w:rPr>
          <w:rFonts w:hint="eastAsia" w:ascii="宋体" w:hAnsi="宋体" w:eastAsia="宋体" w:cs="宋体"/>
          <w:sz w:val="24"/>
          <w:szCs w:val="24"/>
        </w:rPr>
        <w:t>经正式授权并代表</w:t>
      </w:r>
      <w:r>
        <w:rPr>
          <w:rFonts w:hint="eastAsia" w:ascii="宋体" w:hAnsi="宋体" w:eastAsia="宋体" w:cs="宋体"/>
          <w:sz w:val="24"/>
          <w:szCs w:val="24"/>
          <w:u w:val="single"/>
        </w:rPr>
        <w:t>（供应商名称）</w:t>
      </w:r>
      <w:r>
        <w:rPr>
          <w:rFonts w:hint="eastAsia" w:ascii="宋体" w:hAnsi="宋体" w:eastAsia="宋体" w:cs="宋体"/>
          <w:sz w:val="24"/>
          <w:szCs w:val="24"/>
        </w:rPr>
        <w:t>就该项目进行磋商。</w:t>
      </w:r>
    </w:p>
    <w:p>
      <w:pPr>
        <w:pageBreakBefore w:val="0"/>
        <w:wordWrap/>
        <w:overflowPunct/>
        <w:topLinePunct w:val="0"/>
        <w:bidi w:val="0"/>
        <w:spacing w:line="600" w:lineRule="exact"/>
        <w:ind w:firstLine="562"/>
        <w:rPr>
          <w:rFonts w:hint="eastAsia" w:ascii="宋体" w:hAnsi="宋体" w:eastAsia="宋体" w:cs="宋体"/>
          <w:b/>
          <w:sz w:val="24"/>
          <w:szCs w:val="24"/>
        </w:rPr>
      </w:pPr>
      <w:r>
        <w:rPr>
          <w:rFonts w:hint="eastAsia" w:ascii="宋体" w:hAnsi="宋体" w:eastAsia="宋体" w:cs="宋体"/>
          <w:b/>
          <w:sz w:val="24"/>
          <w:szCs w:val="24"/>
        </w:rPr>
        <w:t>在此，我方郑重声明以下诸点，并负法律责任：</w:t>
      </w:r>
    </w:p>
    <w:p>
      <w:pPr>
        <w:pStyle w:val="90"/>
        <w:pageBreakBefore w:val="0"/>
        <w:wordWrap/>
        <w:overflowPunct/>
        <w:topLinePunct w:val="0"/>
        <w:bidi w:val="0"/>
        <w:spacing w:line="600" w:lineRule="exact"/>
        <w:ind w:firstLine="560"/>
        <w:rPr>
          <w:rFonts w:hint="eastAsia" w:ascii="宋体" w:hAnsi="宋体" w:eastAsia="宋体" w:cs="宋体"/>
          <w:sz w:val="24"/>
          <w:szCs w:val="24"/>
        </w:rPr>
      </w:pPr>
      <w:r>
        <w:rPr>
          <w:rFonts w:hint="eastAsia" w:ascii="宋体" w:hAnsi="宋体" w:eastAsia="宋体" w:cs="宋体"/>
          <w:sz w:val="24"/>
          <w:szCs w:val="24"/>
        </w:rPr>
        <w:t>1、我方提交的竞争性磋商响应文件一式</w:t>
      </w:r>
      <w:r>
        <w:rPr>
          <w:rFonts w:hint="eastAsia" w:ascii="宋体" w:hAnsi="宋体" w:eastAsia="宋体" w:cs="宋体"/>
          <w:sz w:val="24"/>
          <w:szCs w:val="24"/>
          <w:lang w:eastAsia="zh-CN"/>
        </w:rPr>
        <w:t>四</w:t>
      </w:r>
      <w:r>
        <w:rPr>
          <w:rFonts w:hint="eastAsia" w:ascii="宋体" w:hAnsi="宋体" w:eastAsia="宋体" w:cs="宋体"/>
          <w:sz w:val="24"/>
          <w:szCs w:val="24"/>
        </w:rPr>
        <w:t>份，正本一份，副本</w:t>
      </w:r>
      <w:r>
        <w:rPr>
          <w:rFonts w:hint="eastAsia" w:ascii="宋体" w:hAnsi="宋体" w:eastAsia="宋体" w:cs="宋体"/>
          <w:sz w:val="24"/>
          <w:szCs w:val="24"/>
          <w:lang w:eastAsia="zh-CN"/>
        </w:rPr>
        <w:t>二</w:t>
      </w:r>
      <w:r>
        <w:rPr>
          <w:rFonts w:hint="eastAsia" w:ascii="宋体" w:hAnsi="宋体" w:eastAsia="宋体" w:cs="宋体"/>
          <w:sz w:val="24"/>
          <w:szCs w:val="24"/>
        </w:rPr>
        <w:t>份，电子文件一份。</w:t>
      </w:r>
    </w:p>
    <w:p>
      <w:pPr>
        <w:pageBreakBefore w:val="0"/>
        <w:wordWrap/>
        <w:overflowPunct/>
        <w:topLinePunct w:val="0"/>
        <w:bidi w:val="0"/>
        <w:spacing w:line="600" w:lineRule="exact"/>
        <w:ind w:firstLine="56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、我方已详细审查全部竞争性磋商文件，完全理解并同意放弃对这方面有不明及误解质疑的权力。</w:t>
      </w:r>
    </w:p>
    <w:p>
      <w:pPr>
        <w:pageBreakBefore w:val="0"/>
        <w:wordWrap/>
        <w:overflowPunct/>
        <w:topLinePunct w:val="0"/>
        <w:bidi w:val="0"/>
        <w:spacing w:line="600" w:lineRule="exact"/>
        <w:ind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3、我方完全理解并同意竞争性磋商文件中有关没收磋商保证金、要求专业担保机构现行偿付和拒绝磋商的条款。</w:t>
      </w:r>
    </w:p>
    <w:p>
      <w:pPr>
        <w:pageBreakBefore w:val="0"/>
        <w:wordWrap/>
        <w:overflowPunct/>
        <w:topLinePunct w:val="0"/>
        <w:bidi w:val="0"/>
        <w:spacing w:line="600" w:lineRule="exact"/>
        <w:ind w:firstLine="560"/>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、我方同意按照要求提供磋商有关的一切数据或资料。</w:t>
      </w:r>
    </w:p>
    <w:p>
      <w:pPr>
        <w:pageBreakBefore w:val="0"/>
        <w:wordWrap/>
        <w:overflowPunct/>
        <w:topLinePunct w:val="0"/>
        <w:bidi w:val="0"/>
        <w:spacing w:line="600" w:lineRule="exact"/>
        <w:ind w:firstLine="560"/>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、我方将按竞争性磋商文件的规定履行合同责任和义务。</w:t>
      </w:r>
    </w:p>
    <w:p>
      <w:pPr>
        <w:pageBreakBefore w:val="0"/>
        <w:wordWrap/>
        <w:overflowPunct/>
        <w:topLinePunct w:val="0"/>
        <w:bidi w:val="0"/>
        <w:spacing w:line="600" w:lineRule="exact"/>
        <w:ind w:firstLine="560"/>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、我方完全理解最低报价不是成交的唯一条件，</w:t>
      </w:r>
      <w:r>
        <w:rPr>
          <w:rFonts w:hint="eastAsia" w:ascii="宋体" w:hAnsi="宋体" w:eastAsia="宋体" w:cs="宋体"/>
          <w:sz w:val="24"/>
          <w:szCs w:val="24"/>
          <w:lang w:eastAsia="zh-CN"/>
        </w:rPr>
        <w:t>采购人</w:t>
      </w:r>
      <w:r>
        <w:rPr>
          <w:rFonts w:hint="eastAsia" w:ascii="宋体" w:hAnsi="宋体" w:eastAsia="宋体" w:cs="宋体"/>
          <w:sz w:val="24"/>
          <w:szCs w:val="24"/>
        </w:rPr>
        <w:t>有权选择质优价廉的货物/服务。</w:t>
      </w:r>
    </w:p>
    <w:p>
      <w:pPr>
        <w:pageBreakBefore w:val="0"/>
        <w:wordWrap/>
        <w:overflowPunct/>
        <w:topLinePunct w:val="0"/>
        <w:bidi w:val="0"/>
        <w:spacing w:line="600" w:lineRule="exact"/>
        <w:ind w:firstLine="560"/>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、我方同意按竞争性磋商文件规定，遵守贵方有关采购的各项规定。</w:t>
      </w:r>
    </w:p>
    <w:p>
      <w:pPr>
        <w:pageBreakBefore w:val="0"/>
        <w:wordWrap/>
        <w:overflowPunct/>
        <w:topLinePunct w:val="0"/>
        <w:bidi w:val="0"/>
        <w:spacing w:line="600" w:lineRule="exact"/>
        <w:ind w:firstLine="560"/>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、若我方被选为成交供应商，我方保证按有关规定向贵方支付磋商服务费。</w:t>
      </w:r>
    </w:p>
    <w:p>
      <w:pPr>
        <w:pageBreakBefore w:val="0"/>
        <w:wordWrap/>
        <w:overflowPunct/>
        <w:topLinePunct w:val="0"/>
        <w:bidi w:val="0"/>
        <w:spacing w:line="600" w:lineRule="exact"/>
        <w:ind w:firstLine="560"/>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、磋商有效期为自磋商日起</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个日历日。</w:t>
      </w:r>
    </w:p>
    <w:p>
      <w:pPr>
        <w:pageBreakBefore w:val="0"/>
        <w:wordWrap/>
        <w:overflowPunct/>
        <w:topLinePunct w:val="0"/>
        <w:bidi w:val="0"/>
        <w:spacing w:line="600" w:lineRule="exact"/>
        <w:ind w:firstLine="560"/>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、所有关于本项目的函电，请按下列地址联系：</w:t>
      </w:r>
    </w:p>
    <w:p>
      <w:pPr>
        <w:pageBreakBefore w:val="0"/>
        <w:wordWrap/>
        <w:overflowPunct/>
        <w:topLinePunct w:val="0"/>
        <w:bidi w:val="0"/>
        <w:spacing w:line="600" w:lineRule="exact"/>
        <w:ind w:firstLine="560"/>
        <w:rPr>
          <w:rFonts w:hint="eastAsia" w:ascii="宋体" w:hAnsi="宋体" w:eastAsia="宋体" w:cs="宋体"/>
          <w:sz w:val="24"/>
          <w:szCs w:val="24"/>
          <w:u w:val="single"/>
        </w:rPr>
      </w:pPr>
      <w:r>
        <w:rPr>
          <w:rFonts w:hint="eastAsia" w:ascii="宋体" w:hAnsi="宋体" w:eastAsia="宋体" w:cs="宋体"/>
          <w:sz w:val="24"/>
          <w:szCs w:val="24"/>
        </w:rPr>
        <w:t>供应商名称（公章）：</w:t>
      </w:r>
    </w:p>
    <w:p>
      <w:pPr>
        <w:pageBreakBefore w:val="0"/>
        <w:wordWrap/>
        <w:overflowPunct/>
        <w:topLinePunct w:val="0"/>
        <w:bidi w:val="0"/>
        <w:spacing w:line="600" w:lineRule="exact"/>
        <w:ind w:firstLine="560"/>
        <w:rPr>
          <w:rFonts w:hint="eastAsia" w:ascii="宋体" w:hAnsi="宋体" w:eastAsia="宋体" w:cs="宋体"/>
          <w:sz w:val="24"/>
          <w:szCs w:val="24"/>
          <w:u w:val="single"/>
        </w:rPr>
      </w:pPr>
      <w:r>
        <w:rPr>
          <w:rFonts w:hint="eastAsia" w:ascii="宋体" w:hAnsi="宋体" w:eastAsia="宋体" w:cs="宋体"/>
          <w:sz w:val="24"/>
          <w:szCs w:val="24"/>
        </w:rPr>
        <w:t>详细地址：</w:t>
      </w:r>
    </w:p>
    <w:p>
      <w:pPr>
        <w:pageBreakBefore w:val="0"/>
        <w:tabs>
          <w:tab w:val="left" w:pos="360"/>
        </w:tabs>
        <w:wordWrap/>
        <w:overflowPunct/>
        <w:topLinePunct w:val="0"/>
        <w:bidi w:val="0"/>
        <w:spacing w:line="600" w:lineRule="exact"/>
        <w:ind w:firstLine="560"/>
        <w:rPr>
          <w:rFonts w:hint="eastAsia" w:ascii="宋体" w:hAnsi="宋体" w:eastAsia="宋体" w:cs="宋体"/>
          <w:sz w:val="24"/>
          <w:szCs w:val="24"/>
          <w:u w:val="single"/>
        </w:rPr>
      </w:pPr>
      <w:r>
        <w:rPr>
          <w:rFonts w:hint="eastAsia" w:ascii="宋体" w:hAnsi="宋体" w:eastAsia="宋体" w:cs="宋体"/>
          <w:sz w:val="24"/>
          <w:szCs w:val="24"/>
        </w:rPr>
        <w:t>邮政编码：</w:t>
      </w:r>
    </w:p>
    <w:p>
      <w:pPr>
        <w:pageBreakBefore w:val="0"/>
        <w:wordWrap/>
        <w:overflowPunct/>
        <w:topLinePunct w:val="0"/>
        <w:bidi w:val="0"/>
        <w:spacing w:line="600" w:lineRule="exact"/>
        <w:ind w:firstLine="560"/>
        <w:rPr>
          <w:rFonts w:hint="eastAsia" w:ascii="宋体" w:hAnsi="宋体" w:eastAsia="宋体" w:cs="宋体"/>
          <w:sz w:val="24"/>
          <w:szCs w:val="24"/>
          <w:u w:val="single"/>
        </w:rPr>
      </w:pPr>
      <w:r>
        <w:rPr>
          <w:rFonts w:hint="eastAsia" w:ascii="宋体" w:hAnsi="宋体" w:eastAsia="宋体" w:cs="宋体"/>
          <w:sz w:val="24"/>
          <w:szCs w:val="24"/>
        </w:rPr>
        <w:t>电话：</w:t>
      </w:r>
    </w:p>
    <w:p>
      <w:pPr>
        <w:pageBreakBefore w:val="0"/>
        <w:wordWrap/>
        <w:overflowPunct/>
        <w:topLinePunct w:val="0"/>
        <w:bidi w:val="0"/>
        <w:spacing w:line="600" w:lineRule="exact"/>
        <w:ind w:firstLine="560"/>
        <w:rPr>
          <w:rFonts w:hint="eastAsia" w:ascii="宋体" w:hAnsi="宋体" w:eastAsia="宋体" w:cs="宋体"/>
          <w:sz w:val="24"/>
          <w:szCs w:val="24"/>
        </w:rPr>
      </w:pPr>
      <w:r>
        <w:rPr>
          <w:rFonts w:hint="eastAsia" w:ascii="宋体" w:hAnsi="宋体" w:eastAsia="宋体" w:cs="宋体"/>
          <w:sz w:val="24"/>
          <w:szCs w:val="24"/>
        </w:rPr>
        <w:t>传真：</w:t>
      </w:r>
    </w:p>
    <w:p>
      <w:pPr>
        <w:pageBreakBefore w:val="0"/>
        <w:tabs>
          <w:tab w:val="left" w:pos="360"/>
        </w:tabs>
        <w:wordWrap/>
        <w:overflowPunct/>
        <w:topLinePunct w:val="0"/>
        <w:bidi w:val="0"/>
        <w:spacing w:line="600" w:lineRule="exact"/>
        <w:ind w:firstLine="560"/>
        <w:rPr>
          <w:rFonts w:hint="eastAsia" w:ascii="宋体" w:hAnsi="宋体" w:eastAsia="宋体" w:cs="宋体"/>
          <w:sz w:val="24"/>
          <w:szCs w:val="24"/>
        </w:rPr>
      </w:pPr>
      <w:r>
        <w:rPr>
          <w:rFonts w:hint="eastAsia" w:ascii="宋体" w:hAnsi="宋体" w:eastAsia="宋体" w:cs="宋体"/>
          <w:sz w:val="24"/>
          <w:szCs w:val="24"/>
        </w:rPr>
        <w:t>电子邮件：</w:t>
      </w:r>
    </w:p>
    <w:p>
      <w:pPr>
        <w:pageBreakBefore w:val="0"/>
        <w:wordWrap/>
        <w:overflowPunct/>
        <w:topLinePunct w:val="0"/>
        <w:bidi w:val="0"/>
        <w:spacing w:line="600" w:lineRule="exact"/>
        <w:ind w:firstLine="560"/>
        <w:rPr>
          <w:rFonts w:hint="eastAsia" w:ascii="宋体" w:hAnsi="宋体" w:eastAsia="宋体" w:cs="宋体"/>
          <w:sz w:val="24"/>
          <w:szCs w:val="24"/>
          <w:u w:val="single"/>
        </w:rPr>
      </w:pPr>
      <w:r>
        <w:rPr>
          <w:rFonts w:hint="eastAsia" w:ascii="宋体" w:hAnsi="宋体" w:eastAsia="宋体" w:cs="宋体"/>
          <w:sz w:val="24"/>
          <w:szCs w:val="24"/>
        </w:rPr>
        <w:t>开户银行：</w:t>
      </w:r>
    </w:p>
    <w:p>
      <w:pPr>
        <w:pageBreakBefore w:val="0"/>
        <w:wordWrap/>
        <w:overflowPunct/>
        <w:topLinePunct w:val="0"/>
        <w:bidi w:val="0"/>
        <w:spacing w:line="600" w:lineRule="exact"/>
        <w:ind w:firstLine="560"/>
        <w:rPr>
          <w:rFonts w:hint="eastAsia" w:ascii="宋体" w:hAnsi="宋体" w:eastAsia="宋体" w:cs="宋体"/>
          <w:sz w:val="24"/>
          <w:szCs w:val="24"/>
        </w:rPr>
      </w:pPr>
      <w:r>
        <w:rPr>
          <w:rFonts w:hint="eastAsia" w:ascii="宋体" w:hAnsi="宋体" w:eastAsia="宋体" w:cs="宋体"/>
          <w:sz w:val="24"/>
          <w:szCs w:val="24"/>
        </w:rPr>
        <w:t>帐号：</w:t>
      </w:r>
    </w:p>
    <w:p>
      <w:pPr>
        <w:pageBreakBefore w:val="0"/>
        <w:wordWrap/>
        <w:overflowPunct/>
        <w:topLinePunct w:val="0"/>
        <w:bidi w:val="0"/>
        <w:spacing w:line="600" w:lineRule="exact"/>
        <w:ind w:hanging="600"/>
        <w:rPr>
          <w:rFonts w:hint="eastAsia" w:ascii="宋体" w:hAnsi="宋体" w:eastAsia="宋体" w:cs="宋体"/>
          <w:sz w:val="24"/>
          <w:szCs w:val="24"/>
        </w:rPr>
      </w:pPr>
    </w:p>
    <w:p>
      <w:pPr>
        <w:pageBreakBefore w:val="0"/>
        <w:wordWrap/>
        <w:overflowPunct/>
        <w:topLinePunct w:val="0"/>
        <w:bidi w:val="0"/>
        <w:spacing w:line="600" w:lineRule="exact"/>
        <w:ind w:hanging="600"/>
        <w:rPr>
          <w:rFonts w:hint="eastAsia" w:ascii="宋体" w:hAnsi="宋体" w:eastAsia="宋体" w:cs="宋体"/>
          <w:sz w:val="24"/>
          <w:szCs w:val="24"/>
        </w:rPr>
      </w:pPr>
    </w:p>
    <w:p>
      <w:pPr>
        <w:pageBreakBefore w:val="0"/>
        <w:wordWrap/>
        <w:overflowPunct/>
        <w:topLinePunct w:val="0"/>
        <w:bidi w:val="0"/>
        <w:spacing w:line="600" w:lineRule="exact"/>
        <w:ind w:hanging="600"/>
        <w:rPr>
          <w:rFonts w:hint="eastAsia" w:ascii="宋体" w:hAnsi="宋体" w:eastAsia="宋体" w:cs="宋体"/>
          <w:sz w:val="24"/>
          <w:szCs w:val="24"/>
        </w:rPr>
      </w:pPr>
    </w:p>
    <w:p>
      <w:pPr>
        <w:pageBreakBefore w:val="0"/>
        <w:wordWrap/>
        <w:overflowPunct/>
        <w:topLinePunct w:val="0"/>
        <w:bidi w:val="0"/>
        <w:spacing w:line="600" w:lineRule="exact"/>
        <w:ind w:hanging="600"/>
        <w:rPr>
          <w:rFonts w:hint="eastAsia" w:ascii="宋体" w:hAnsi="宋体" w:eastAsia="宋体" w:cs="宋体"/>
          <w:sz w:val="24"/>
          <w:szCs w:val="24"/>
        </w:rPr>
      </w:pPr>
    </w:p>
    <w:p>
      <w:pPr>
        <w:pageBreakBefore w:val="0"/>
        <w:wordWrap/>
        <w:overflowPunct/>
        <w:topLinePunct w:val="0"/>
        <w:bidi w:val="0"/>
        <w:spacing w:line="600" w:lineRule="exact"/>
        <w:ind w:hanging="600"/>
        <w:rPr>
          <w:rFonts w:hint="eastAsia" w:ascii="宋体" w:hAnsi="宋体" w:eastAsia="宋体" w:cs="宋体"/>
          <w:sz w:val="24"/>
          <w:szCs w:val="24"/>
        </w:rPr>
      </w:pPr>
    </w:p>
    <w:p>
      <w:pPr>
        <w:pageBreakBefore w:val="0"/>
        <w:wordWrap/>
        <w:overflowPunct/>
        <w:topLinePunct w:val="0"/>
        <w:bidi w:val="0"/>
        <w:spacing w:line="600" w:lineRule="exact"/>
        <w:ind w:firstLine="4480"/>
        <w:rPr>
          <w:rFonts w:hint="eastAsia" w:ascii="宋体" w:hAnsi="宋体" w:eastAsia="宋体" w:cs="宋体"/>
          <w:sz w:val="24"/>
          <w:szCs w:val="24"/>
        </w:rPr>
      </w:pPr>
      <w:r>
        <w:rPr>
          <w:rFonts w:hint="eastAsia" w:ascii="宋体" w:hAnsi="宋体" w:eastAsia="宋体" w:cs="宋体"/>
          <w:sz w:val="24"/>
          <w:szCs w:val="24"/>
        </w:rPr>
        <w:t>供应商授权代表签名：</w:t>
      </w:r>
    </w:p>
    <w:p>
      <w:pPr>
        <w:pageBreakBefore w:val="0"/>
        <w:wordWrap/>
        <w:overflowPunct/>
        <w:topLinePunct w:val="0"/>
        <w:bidi w:val="0"/>
        <w:spacing w:line="600" w:lineRule="exact"/>
        <w:ind w:firstLine="5180"/>
        <w:rPr>
          <w:rFonts w:hint="eastAsia" w:ascii="宋体" w:hAnsi="宋体" w:eastAsia="宋体" w:cs="宋体"/>
          <w:sz w:val="24"/>
          <w:szCs w:val="24"/>
          <w:u w:val="single"/>
        </w:rPr>
      </w:pPr>
      <w:r>
        <w:rPr>
          <w:rFonts w:hint="eastAsia" w:ascii="宋体" w:hAnsi="宋体" w:eastAsia="宋体" w:cs="宋体"/>
          <w:sz w:val="24"/>
          <w:szCs w:val="24"/>
        </w:rPr>
        <w:t>联系电话/手机：</w:t>
      </w:r>
    </w:p>
    <w:p>
      <w:pPr>
        <w:pageBreakBefore w:val="0"/>
        <w:wordWrap/>
        <w:overflowPunct/>
        <w:topLinePunct w:val="0"/>
        <w:bidi w:val="0"/>
        <w:spacing w:line="600" w:lineRule="exact"/>
        <w:ind w:firstLine="4495" w:firstLineChars="1873"/>
        <w:rPr>
          <w:rFonts w:hint="eastAsia" w:ascii="宋体" w:hAnsi="宋体" w:eastAsia="宋体" w:cs="宋体"/>
          <w:sz w:val="24"/>
          <w:szCs w:val="24"/>
        </w:rPr>
      </w:pPr>
      <w:r>
        <w:rPr>
          <w:rFonts w:hint="eastAsia" w:ascii="宋体" w:hAnsi="宋体" w:eastAsia="宋体" w:cs="宋体"/>
          <w:sz w:val="24"/>
          <w:szCs w:val="24"/>
        </w:rPr>
        <w:t>年   月   日</w:t>
      </w:r>
    </w:p>
    <w:p>
      <w:pPr>
        <w:pStyle w:val="2"/>
        <w:rPr>
          <w:rFonts w:hint="eastAsia"/>
        </w:rPr>
      </w:pPr>
    </w:p>
    <w:p>
      <w:pPr>
        <w:spacing w:line="500" w:lineRule="exact"/>
        <w:ind w:firstLine="413" w:firstLineChars="147"/>
        <w:jc w:val="both"/>
        <w:rPr>
          <w:rFonts w:hint="eastAsia" w:ascii="宋体" w:hAnsi="宋体" w:cs="宋体"/>
          <w:b/>
          <w:color w:val="auto"/>
          <w:sz w:val="28"/>
          <w:szCs w:val="28"/>
          <w:lang w:val="en-US" w:eastAsia="zh-CN" w:bidi="ar"/>
        </w:rPr>
      </w:pPr>
    </w:p>
    <w:p>
      <w:pPr>
        <w:spacing w:line="500" w:lineRule="exact"/>
        <w:ind w:firstLine="413" w:firstLineChars="147"/>
        <w:jc w:val="both"/>
        <w:rPr>
          <w:rFonts w:hint="eastAsia" w:ascii="宋体" w:hAnsi="宋体" w:cs="宋体"/>
          <w:b/>
          <w:color w:val="auto"/>
          <w:sz w:val="28"/>
          <w:szCs w:val="28"/>
          <w:lang w:val="en-US" w:eastAsia="zh-CN" w:bidi="ar"/>
        </w:rPr>
      </w:pPr>
    </w:p>
    <w:p>
      <w:pPr>
        <w:spacing w:line="500" w:lineRule="exact"/>
        <w:ind w:firstLine="413" w:firstLineChars="147"/>
        <w:jc w:val="both"/>
        <w:rPr>
          <w:rFonts w:hint="eastAsia" w:ascii="宋体" w:hAnsi="宋体" w:cs="宋体"/>
          <w:b/>
          <w:color w:val="auto"/>
          <w:sz w:val="28"/>
          <w:szCs w:val="28"/>
          <w:lang w:val="en-US" w:eastAsia="zh-CN" w:bidi="ar"/>
        </w:rPr>
      </w:pPr>
    </w:p>
    <w:p>
      <w:pPr>
        <w:pStyle w:val="13"/>
        <w:rPr>
          <w:rFonts w:hint="eastAsia"/>
          <w:lang w:val="en-US" w:eastAsia="zh-CN"/>
        </w:rPr>
      </w:pPr>
    </w:p>
    <w:p>
      <w:pPr>
        <w:spacing w:line="500" w:lineRule="exact"/>
        <w:ind w:firstLine="413" w:firstLineChars="147"/>
        <w:jc w:val="both"/>
        <w:rPr>
          <w:rFonts w:hint="eastAsia" w:ascii="宋体" w:hAnsi="宋体" w:cs="宋体"/>
          <w:b/>
          <w:color w:val="auto"/>
          <w:sz w:val="28"/>
          <w:szCs w:val="28"/>
          <w:lang w:val="en-US" w:eastAsia="zh-CN" w:bidi="ar"/>
        </w:rPr>
        <w:sectPr>
          <w:headerReference r:id="rId19" w:type="default"/>
          <w:footerReference r:id="rId20" w:type="default"/>
          <w:pgSz w:w="11906" w:h="16838"/>
          <w:pgMar w:top="1440" w:right="1423" w:bottom="1440" w:left="1423" w:header="851" w:footer="992" w:gutter="0"/>
          <w:pgNumType w:fmt="decimal"/>
          <w:cols w:space="720" w:num="1"/>
          <w:docGrid w:linePitch="312" w:charSpace="0"/>
        </w:sectPr>
      </w:pPr>
    </w:p>
    <w:p>
      <w:pPr>
        <w:widowControl w:val="0"/>
        <w:snapToGrid w:val="0"/>
        <w:spacing w:before="240" w:beforeLines="100" w:after="240" w:afterLines="100" w:line="240" w:lineRule="auto"/>
        <w:jc w:val="both"/>
        <w:outlineLvl w:val="1"/>
        <w:rPr>
          <w:rFonts w:hint="eastAsia" w:ascii="宋体" w:hAnsi="宋体" w:eastAsia="宋体" w:cs="宋体"/>
          <w:b/>
          <w:bCs w:val="0"/>
          <w:color w:val="auto"/>
          <w:sz w:val="24"/>
          <w:szCs w:val="24"/>
          <w:lang w:bidi="ar"/>
        </w:rPr>
      </w:pPr>
      <w:bookmarkStart w:id="138" w:name="_Toc27893"/>
      <w:r>
        <w:rPr>
          <w:rFonts w:hint="eastAsia" w:ascii="宋体" w:hAnsi="宋体" w:cs="宋体"/>
          <w:b/>
          <w:bCs w:val="0"/>
          <w:color w:val="auto"/>
          <w:sz w:val="24"/>
          <w:szCs w:val="24"/>
          <w:lang w:val="en-US" w:eastAsia="zh-CN" w:bidi="ar"/>
        </w:rPr>
        <w:t>二</w:t>
      </w:r>
      <w:r>
        <w:rPr>
          <w:rFonts w:hint="eastAsia" w:ascii="宋体" w:hAnsi="宋体" w:eastAsia="宋体" w:cs="宋体"/>
          <w:b/>
          <w:bCs w:val="0"/>
          <w:color w:val="auto"/>
          <w:sz w:val="24"/>
          <w:szCs w:val="24"/>
          <w:lang w:val="en-US" w:eastAsia="zh-CN" w:bidi="ar"/>
        </w:rPr>
        <w:t>、</w:t>
      </w:r>
      <w:bookmarkEnd w:id="138"/>
      <w:r>
        <w:rPr>
          <w:rFonts w:hint="eastAsia"/>
          <w:b/>
          <w:bCs w:val="0"/>
          <w:sz w:val="24"/>
          <w:szCs w:val="24"/>
        </w:rPr>
        <w:t>第一次磋商报价表</w:t>
      </w:r>
    </w:p>
    <w:p>
      <w:pPr>
        <w:spacing w:line="500" w:lineRule="exact"/>
        <w:ind w:firstLine="482" w:firstLineChars="200"/>
        <w:jc w:val="center"/>
        <w:rPr>
          <w:rFonts w:hint="eastAsia"/>
          <w:b/>
          <w:bCs/>
          <w:sz w:val="24"/>
          <w:szCs w:val="24"/>
        </w:rPr>
      </w:pPr>
      <w:r>
        <w:rPr>
          <w:rFonts w:hint="eastAsia"/>
          <w:b/>
          <w:bCs/>
          <w:sz w:val="24"/>
          <w:szCs w:val="24"/>
        </w:rPr>
        <w:t>第一次磋商报价表</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 xml:space="preserve">供应商名称： </w:t>
      </w:r>
      <w:r>
        <w:rPr>
          <w:rFonts w:hint="eastAsia" w:ascii="宋体" w:hAnsi="宋体" w:cs="宋体"/>
          <w:sz w:val="24"/>
          <w:szCs w:val="24"/>
          <w:u w:val="single"/>
        </w:rPr>
        <w:t xml:space="preserve">                              </w:t>
      </w:r>
      <w:r>
        <w:rPr>
          <w:rFonts w:hint="eastAsia" w:ascii="宋体" w:hAnsi="宋体" w:cs="宋体"/>
          <w:sz w:val="24"/>
          <w:szCs w:val="24"/>
        </w:rPr>
        <w:t xml:space="preserve">      </w:t>
      </w:r>
    </w:p>
    <w:tbl>
      <w:tblPr>
        <w:tblStyle w:val="26"/>
        <w:tblW w:w="1519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41"/>
        <w:gridCol w:w="4444"/>
        <w:gridCol w:w="2728"/>
        <w:gridCol w:w="3207"/>
        <w:gridCol w:w="197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41" w:type="dxa"/>
            <w:tcBorders>
              <w:top w:val="double" w:color="auto" w:sz="4" w:space="0"/>
            </w:tcBorders>
            <w:noWrap w:val="0"/>
            <w:vAlign w:val="center"/>
          </w:tcPr>
          <w:p>
            <w:pPr>
              <w:spacing w:line="480" w:lineRule="exact"/>
              <w:ind w:right="190" w:rightChars="68" w:firstLine="118" w:firstLineChars="49"/>
              <w:jc w:val="center"/>
              <w:rPr>
                <w:rFonts w:hint="eastAsia"/>
                <w:b/>
                <w:sz w:val="24"/>
                <w:szCs w:val="24"/>
              </w:rPr>
            </w:pPr>
            <w:r>
              <w:rPr>
                <w:rFonts w:hint="eastAsia"/>
                <w:b/>
                <w:sz w:val="24"/>
                <w:szCs w:val="24"/>
                <w:lang w:eastAsia="zh-CN"/>
              </w:rPr>
              <w:t>项目编号</w:t>
            </w:r>
          </w:p>
        </w:tc>
        <w:tc>
          <w:tcPr>
            <w:tcW w:w="4444" w:type="dxa"/>
            <w:tcBorders>
              <w:top w:val="double" w:color="auto" w:sz="4" w:space="0"/>
            </w:tcBorders>
            <w:noWrap w:val="0"/>
            <w:vAlign w:val="center"/>
          </w:tcPr>
          <w:p>
            <w:pPr>
              <w:spacing w:line="480" w:lineRule="exact"/>
              <w:ind w:left="280" w:leftChars="100"/>
              <w:jc w:val="center"/>
              <w:rPr>
                <w:b/>
                <w:sz w:val="24"/>
                <w:szCs w:val="24"/>
              </w:rPr>
            </w:pPr>
            <w:r>
              <w:rPr>
                <w:rFonts w:hint="eastAsia"/>
                <w:b/>
                <w:sz w:val="24"/>
                <w:szCs w:val="24"/>
              </w:rPr>
              <w:t>磋商</w:t>
            </w:r>
            <w:r>
              <w:rPr>
                <w:b/>
                <w:sz w:val="24"/>
                <w:szCs w:val="24"/>
              </w:rPr>
              <w:t>报价</w:t>
            </w:r>
          </w:p>
          <w:p>
            <w:pPr>
              <w:spacing w:line="480" w:lineRule="exact"/>
              <w:ind w:left="280" w:leftChars="100"/>
              <w:jc w:val="center"/>
              <w:rPr>
                <w:b/>
                <w:sz w:val="24"/>
                <w:szCs w:val="24"/>
              </w:rPr>
            </w:pPr>
            <w:r>
              <w:rPr>
                <w:b/>
                <w:sz w:val="24"/>
                <w:szCs w:val="24"/>
              </w:rPr>
              <w:t>（人民币:元）</w:t>
            </w:r>
          </w:p>
        </w:tc>
        <w:tc>
          <w:tcPr>
            <w:tcW w:w="2728" w:type="dxa"/>
            <w:tcBorders>
              <w:top w:val="double" w:color="auto" w:sz="4" w:space="0"/>
            </w:tcBorders>
            <w:noWrap w:val="0"/>
            <w:tcMar>
              <w:top w:w="57" w:type="dxa"/>
              <w:left w:w="28" w:type="dxa"/>
              <w:bottom w:w="57" w:type="dxa"/>
              <w:right w:w="28" w:type="dxa"/>
            </w:tcMar>
            <w:vAlign w:val="center"/>
          </w:tcPr>
          <w:p>
            <w:pPr>
              <w:spacing w:line="480" w:lineRule="exact"/>
              <w:ind w:left="280" w:leftChars="100"/>
              <w:jc w:val="center"/>
              <w:rPr>
                <w:rFonts w:hint="eastAsia" w:eastAsia="宋体"/>
                <w:b/>
                <w:sz w:val="24"/>
                <w:szCs w:val="24"/>
                <w:lang w:eastAsia="zh-CN"/>
              </w:rPr>
            </w:pPr>
            <w:r>
              <w:rPr>
                <w:rFonts w:hint="eastAsia"/>
                <w:b/>
                <w:sz w:val="24"/>
                <w:szCs w:val="24"/>
                <w:lang w:eastAsia="zh-CN"/>
              </w:rPr>
              <w:t>工期</w:t>
            </w:r>
          </w:p>
        </w:tc>
        <w:tc>
          <w:tcPr>
            <w:tcW w:w="3207" w:type="dxa"/>
            <w:tcBorders>
              <w:top w:val="double" w:color="auto" w:sz="4" w:space="0"/>
            </w:tcBorders>
            <w:noWrap w:val="0"/>
            <w:tcMar>
              <w:top w:w="57" w:type="dxa"/>
              <w:left w:w="28" w:type="dxa"/>
              <w:bottom w:w="57" w:type="dxa"/>
              <w:right w:w="28" w:type="dxa"/>
            </w:tcMar>
            <w:vAlign w:val="center"/>
          </w:tcPr>
          <w:p>
            <w:pPr>
              <w:spacing w:line="480" w:lineRule="exact"/>
              <w:ind w:left="280" w:leftChars="100"/>
              <w:jc w:val="center"/>
              <w:rPr>
                <w:rFonts w:hint="eastAsia" w:eastAsia="宋体"/>
                <w:b/>
                <w:sz w:val="24"/>
                <w:szCs w:val="24"/>
                <w:lang w:eastAsia="zh-CN"/>
              </w:rPr>
            </w:pPr>
            <w:r>
              <w:rPr>
                <w:rFonts w:hint="eastAsia"/>
                <w:b/>
                <w:sz w:val="24"/>
                <w:szCs w:val="24"/>
                <w:lang w:eastAsia="zh-CN"/>
              </w:rPr>
              <w:t>工程质保期</w:t>
            </w:r>
          </w:p>
        </w:tc>
        <w:tc>
          <w:tcPr>
            <w:tcW w:w="1979" w:type="dxa"/>
            <w:tcBorders>
              <w:top w:val="double" w:color="auto" w:sz="4" w:space="0"/>
            </w:tcBorders>
            <w:noWrap w:val="0"/>
            <w:tcMar>
              <w:top w:w="57" w:type="dxa"/>
              <w:left w:w="28" w:type="dxa"/>
              <w:bottom w:w="57" w:type="dxa"/>
              <w:right w:w="28" w:type="dxa"/>
            </w:tcMar>
            <w:vAlign w:val="center"/>
          </w:tcPr>
          <w:p>
            <w:pPr>
              <w:spacing w:line="480" w:lineRule="exact"/>
              <w:ind w:left="280" w:leftChars="100"/>
              <w:jc w:val="center"/>
              <w:rPr>
                <w:rFonts w:hint="eastAsia"/>
                <w:b/>
                <w:sz w:val="24"/>
                <w:szCs w:val="24"/>
                <w:lang w:eastAsia="zh-CN"/>
              </w:rPr>
            </w:pPr>
            <w:r>
              <w:rPr>
                <w:rFonts w:hint="eastAsia"/>
                <w:b/>
                <w:sz w:val="24"/>
                <w:szCs w:val="24"/>
                <w:lang w:eastAsia="zh-CN"/>
              </w:rPr>
              <w:t>工程质量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104" w:hRule="atLeast"/>
          <w:jc w:val="center"/>
        </w:trPr>
        <w:tc>
          <w:tcPr>
            <w:tcW w:w="2841" w:type="dxa"/>
            <w:noWrap w:val="0"/>
            <w:vAlign w:val="center"/>
          </w:tcPr>
          <w:p>
            <w:pPr>
              <w:spacing w:line="480" w:lineRule="exact"/>
              <w:ind w:left="280" w:leftChars="100"/>
              <w:jc w:val="center"/>
              <w:rPr>
                <w:sz w:val="24"/>
                <w:szCs w:val="24"/>
              </w:rPr>
            </w:pPr>
          </w:p>
        </w:tc>
        <w:tc>
          <w:tcPr>
            <w:tcW w:w="4444" w:type="dxa"/>
            <w:noWrap w:val="0"/>
            <w:vAlign w:val="center"/>
          </w:tcPr>
          <w:p>
            <w:pPr>
              <w:spacing w:line="480" w:lineRule="exact"/>
              <w:ind w:left="280" w:leftChars="100"/>
              <w:jc w:val="center"/>
              <w:rPr>
                <w:sz w:val="24"/>
                <w:szCs w:val="24"/>
              </w:rPr>
            </w:pPr>
          </w:p>
        </w:tc>
        <w:tc>
          <w:tcPr>
            <w:tcW w:w="2728" w:type="dxa"/>
            <w:noWrap w:val="0"/>
            <w:tcMar>
              <w:top w:w="57" w:type="dxa"/>
              <w:left w:w="28" w:type="dxa"/>
              <w:bottom w:w="57" w:type="dxa"/>
              <w:right w:w="28" w:type="dxa"/>
            </w:tcMar>
            <w:vAlign w:val="center"/>
          </w:tcPr>
          <w:p>
            <w:pPr>
              <w:spacing w:line="480" w:lineRule="exact"/>
              <w:ind w:left="280" w:leftChars="100"/>
              <w:jc w:val="center"/>
              <w:rPr>
                <w:sz w:val="24"/>
                <w:szCs w:val="24"/>
              </w:rPr>
            </w:pPr>
          </w:p>
        </w:tc>
        <w:tc>
          <w:tcPr>
            <w:tcW w:w="3207" w:type="dxa"/>
            <w:noWrap w:val="0"/>
            <w:tcMar>
              <w:top w:w="57" w:type="dxa"/>
              <w:left w:w="28" w:type="dxa"/>
              <w:bottom w:w="57" w:type="dxa"/>
              <w:right w:w="28" w:type="dxa"/>
            </w:tcMar>
            <w:vAlign w:val="center"/>
          </w:tcPr>
          <w:p>
            <w:pPr>
              <w:spacing w:line="480" w:lineRule="exact"/>
              <w:ind w:left="280" w:leftChars="100"/>
              <w:jc w:val="center"/>
              <w:rPr>
                <w:sz w:val="24"/>
                <w:szCs w:val="24"/>
              </w:rPr>
            </w:pPr>
          </w:p>
        </w:tc>
        <w:tc>
          <w:tcPr>
            <w:tcW w:w="1979" w:type="dxa"/>
            <w:noWrap w:val="0"/>
            <w:tcMar>
              <w:top w:w="57" w:type="dxa"/>
              <w:left w:w="28" w:type="dxa"/>
              <w:bottom w:w="57" w:type="dxa"/>
              <w:right w:w="28" w:type="dxa"/>
            </w:tcMar>
            <w:vAlign w:val="center"/>
          </w:tcPr>
          <w:p>
            <w:pPr>
              <w:spacing w:line="480" w:lineRule="exact"/>
              <w:ind w:left="280" w:leftChars="100"/>
              <w:jc w:val="center"/>
              <w:rPr>
                <w:sz w:val="24"/>
                <w:szCs w:val="24"/>
              </w:rPr>
            </w:pPr>
          </w:p>
        </w:tc>
      </w:tr>
    </w:tbl>
    <w:p>
      <w:pPr>
        <w:spacing w:line="500" w:lineRule="exact"/>
        <w:ind w:firstLine="480" w:firstLineChars="200"/>
        <w:rPr>
          <w:rFonts w:hint="eastAsia" w:ascii="宋体" w:hAnsi="宋体" w:cs="宋体"/>
          <w:sz w:val="24"/>
          <w:szCs w:val="24"/>
        </w:rPr>
      </w:pPr>
      <w:r>
        <w:rPr>
          <w:rFonts w:hint="eastAsia" w:ascii="宋体" w:hAnsi="宋体" w:cs="宋体"/>
          <w:sz w:val="24"/>
          <w:szCs w:val="24"/>
        </w:rPr>
        <w:t>注：1、本表价格应按磋商总价填写，同时应保证磋商响应文件的正、副本中仍有此表且一致。</w:t>
      </w:r>
    </w:p>
    <w:p>
      <w:pPr>
        <w:spacing w:line="500" w:lineRule="exact"/>
        <w:ind w:firstLine="960" w:firstLineChars="400"/>
        <w:outlineLvl w:val="1"/>
        <w:rPr>
          <w:rFonts w:hint="eastAsia" w:ascii="宋体" w:hAnsi="宋体" w:cs="宋体"/>
          <w:sz w:val="24"/>
          <w:szCs w:val="24"/>
        </w:rPr>
      </w:pPr>
      <w:bookmarkStart w:id="139" w:name="_Toc14415"/>
      <w:r>
        <w:rPr>
          <w:rFonts w:hint="eastAsia" w:ascii="宋体" w:hAnsi="宋体" w:cs="宋体"/>
          <w:sz w:val="24"/>
          <w:szCs w:val="24"/>
        </w:rPr>
        <w:t>2、报价精确到两位小数后两位。</w:t>
      </w:r>
      <w:bookmarkEnd w:id="139"/>
    </w:p>
    <w:p>
      <w:pPr>
        <w:spacing w:line="500" w:lineRule="exact"/>
        <w:ind w:firstLine="720" w:firstLineChars="300"/>
        <w:rPr>
          <w:rFonts w:hint="eastAsia" w:ascii="宋体" w:hAnsi="宋体" w:cs="宋体"/>
          <w:sz w:val="24"/>
          <w:szCs w:val="24"/>
        </w:rPr>
      </w:pPr>
    </w:p>
    <w:p>
      <w:pPr>
        <w:spacing w:line="500" w:lineRule="exact"/>
        <w:rPr>
          <w:rFonts w:hint="eastAsia" w:ascii="宋体" w:hAnsi="宋体" w:cs="宋体"/>
          <w:sz w:val="24"/>
          <w:szCs w:val="24"/>
        </w:rPr>
      </w:pPr>
    </w:p>
    <w:p>
      <w:pPr>
        <w:spacing w:line="500" w:lineRule="exact"/>
        <w:rPr>
          <w:rFonts w:hint="eastAsia" w:ascii="宋体" w:hAnsi="宋体" w:cs="宋体"/>
          <w:sz w:val="24"/>
          <w:szCs w:val="24"/>
        </w:rPr>
      </w:pPr>
    </w:p>
    <w:p>
      <w:pPr>
        <w:spacing w:line="500" w:lineRule="exact"/>
        <w:rPr>
          <w:rFonts w:hint="eastAsia" w:ascii="宋体" w:hAnsi="宋体" w:cs="宋体"/>
          <w:sz w:val="24"/>
          <w:szCs w:val="24"/>
        </w:rPr>
      </w:pPr>
      <w:r>
        <w:rPr>
          <w:rFonts w:hint="eastAsia" w:ascii="宋体" w:hAnsi="宋体" w:cs="宋体"/>
          <w:sz w:val="24"/>
          <w:szCs w:val="24"/>
        </w:rPr>
        <w:t>法定代表人或被授权人签字：</w:t>
      </w:r>
      <w:r>
        <w:rPr>
          <w:rFonts w:hint="eastAsia" w:ascii="宋体" w:hAnsi="宋体" w:cs="宋体"/>
          <w:sz w:val="24"/>
          <w:szCs w:val="24"/>
          <w:u w:val="single"/>
        </w:rPr>
        <w:t xml:space="preserve">            </w:t>
      </w:r>
      <w:r>
        <w:rPr>
          <w:rFonts w:hint="eastAsia" w:ascii="宋体" w:hAnsi="宋体" w:cs="宋体"/>
          <w:sz w:val="24"/>
          <w:szCs w:val="24"/>
        </w:rPr>
        <w:t>（单位公章）                                   日 期：</w:t>
      </w:r>
      <w:r>
        <w:rPr>
          <w:rFonts w:hint="eastAsia" w:ascii="宋体" w:hAnsi="宋体" w:cs="宋体"/>
          <w:sz w:val="24"/>
          <w:szCs w:val="24"/>
          <w:u w:val="single"/>
        </w:rPr>
        <w:t xml:space="preserve">             </w:t>
      </w:r>
    </w:p>
    <w:p>
      <w:pPr>
        <w:widowControl/>
        <w:spacing w:line="500" w:lineRule="exact"/>
        <w:jc w:val="left"/>
        <w:rPr>
          <w:rFonts w:hint="eastAsia" w:ascii="宋体" w:hAnsi="宋体" w:cs="宋体"/>
          <w:b/>
          <w:sz w:val="24"/>
          <w:szCs w:val="24"/>
        </w:rPr>
        <w:sectPr>
          <w:headerReference r:id="rId22" w:type="first"/>
          <w:footerReference r:id="rId24" w:type="first"/>
          <w:headerReference r:id="rId21" w:type="default"/>
          <w:footerReference r:id="rId23" w:type="default"/>
          <w:pgSz w:w="16840" w:h="11907" w:orient="landscape"/>
          <w:pgMar w:top="1259" w:right="1418" w:bottom="1287" w:left="936" w:header="851" w:footer="1021" w:gutter="0"/>
          <w:pgNumType w:fmt="decimal"/>
          <w:cols w:space="720" w:num="1"/>
          <w:docGrid w:linePitch="312" w:charSpace="0"/>
        </w:sectPr>
      </w:pPr>
    </w:p>
    <w:p>
      <w:pPr>
        <w:pStyle w:val="17"/>
        <w:rPr>
          <w:rFonts w:hint="eastAsia"/>
          <w:b/>
          <w:bCs/>
          <w:sz w:val="24"/>
          <w:szCs w:val="24"/>
        </w:rPr>
      </w:pPr>
      <w:r>
        <w:rPr>
          <w:rFonts w:hint="eastAsia"/>
          <w:b/>
          <w:bCs/>
          <w:sz w:val="24"/>
          <w:szCs w:val="24"/>
        </w:rPr>
        <w:t>三、已标价工程量清单</w:t>
      </w:r>
    </w:p>
    <w:p>
      <w:pPr>
        <w:pStyle w:val="17"/>
        <w:ind w:left="0" w:leftChars="0" w:right="-179" w:rightChars="-64" w:firstLine="0" w:firstLineChars="0"/>
        <w:rPr>
          <w:rFonts w:hint="eastAsia"/>
          <w:b/>
          <w:bCs/>
          <w:sz w:val="24"/>
          <w:szCs w:val="24"/>
        </w:rPr>
      </w:pPr>
      <w:r>
        <w:rPr>
          <w:rFonts w:hint="eastAsia"/>
          <w:b/>
          <w:bCs/>
          <w:sz w:val="24"/>
          <w:szCs w:val="24"/>
        </w:rPr>
        <w:t>报价时须按磋商文件中的工程量所列全部内容进行报价，不得更改工程量。</w:t>
      </w:r>
    </w:p>
    <w:p>
      <w:pPr>
        <w:rPr>
          <w:rFonts w:hint="eastAsia"/>
          <w:b/>
          <w:bCs/>
          <w:sz w:val="24"/>
          <w:szCs w:val="24"/>
        </w:rPr>
      </w:pPr>
      <w:r>
        <w:rPr>
          <w:rFonts w:hint="eastAsia"/>
          <w:b/>
          <w:bCs/>
          <w:sz w:val="24"/>
          <w:szCs w:val="24"/>
        </w:rPr>
        <w:br w:type="page"/>
      </w:r>
    </w:p>
    <w:p>
      <w:pPr>
        <w:rPr>
          <w:rFonts w:hint="eastAsia"/>
          <w:b/>
          <w:bCs/>
          <w:sz w:val="24"/>
          <w:szCs w:val="24"/>
        </w:rPr>
      </w:pPr>
      <w:r>
        <w:rPr>
          <w:rFonts w:hint="eastAsia"/>
          <w:b/>
          <w:bCs/>
          <w:sz w:val="24"/>
          <w:szCs w:val="24"/>
        </w:rPr>
        <w:t>四、资格证明文件</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rPr>
        <w:t>1）具有独立承担民事责任的能力，提供营业执照、税务登记证、组织机构代码证或登载有统一社会信用代码的营业执照（或《事业单位法人证书》或其他合法组织登记证书、自然人只须提交身份证复印件）；</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（2）提供法定代表人授权书（附法定代表人身份证复印件）及被授权代表身份证复印件（法定代表人直接参加只须提供法定代表人身份证复印件）；</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（3）</w:t>
      </w:r>
      <w:r>
        <w:rPr>
          <w:rFonts w:hint="eastAsia" w:ascii="宋体" w:hAnsi="宋体" w:eastAsia="宋体" w:cs="宋体"/>
          <w:sz w:val="24"/>
          <w:szCs w:val="24"/>
          <w:highlight w:val="none"/>
          <w:lang w:eastAsia="zh-CN"/>
        </w:rPr>
        <w:t>投标</w:t>
      </w:r>
      <w:r>
        <w:rPr>
          <w:rFonts w:hint="eastAsia" w:ascii="宋体" w:hAnsi="宋体" w:eastAsia="宋体" w:cs="宋体"/>
          <w:sz w:val="24"/>
          <w:szCs w:val="24"/>
          <w:highlight w:val="none"/>
        </w:rPr>
        <w:t>供应商具有</w:t>
      </w:r>
      <w:r>
        <w:rPr>
          <w:rFonts w:hint="eastAsia" w:ascii="宋体" w:hAnsi="宋体" w:eastAsia="宋体" w:cs="宋体"/>
          <w:sz w:val="24"/>
          <w:szCs w:val="24"/>
          <w:highlight w:val="none"/>
          <w:lang w:eastAsia="zh-CN"/>
        </w:rPr>
        <w:t>建筑装修装饰工程专业承包二级及以上资质</w:t>
      </w:r>
      <w:r>
        <w:rPr>
          <w:rFonts w:hint="eastAsia" w:ascii="宋体" w:hAnsi="宋体" w:eastAsia="宋体" w:cs="宋体"/>
          <w:sz w:val="24"/>
          <w:szCs w:val="24"/>
          <w:highlight w:val="none"/>
        </w:rPr>
        <w:t>，且具备合格有效的安全生产许可证；并在人员、设备、资金等方面具备相应的施工能力（提供书面承诺）</w:t>
      </w:r>
      <w:r>
        <w:rPr>
          <w:rFonts w:hint="eastAsia" w:ascii="宋体" w:hAnsi="宋体" w:eastAsia="宋体" w:cs="宋体"/>
          <w:sz w:val="24"/>
          <w:szCs w:val="24"/>
          <w:highlight w:val="none"/>
          <w:lang w:eastAsia="zh-CN"/>
        </w:rPr>
        <w:t>。</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（4）项目负责人须具备建筑工程专业二级及以上注册建造师资质、注册证、有效的安全生产考核合格证书且应提供项目经理无在建工程承诺书；</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（5）财务状况报告：提供202</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年或202</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年度财务审计报告（成立时间至首次递交磋商响应文件截止时间不足1年的，可提供成立后任意时段的资产负债表）或其基本存款账户开户银行出具的资信证明；</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（6）有依法缴纳税收和社会保障资金的良好记录（提供投标人2023年</w:t>
      </w:r>
      <w:r>
        <w:rPr>
          <w:rFonts w:hint="eastAsia" w:ascii="宋体" w:hAnsi="宋体" w:eastAsia="宋体" w:cs="宋体"/>
          <w:sz w:val="24"/>
          <w:szCs w:val="24"/>
          <w:highlight w:val="none"/>
          <w:lang w:val="en-US" w:eastAsia="zh-CN"/>
        </w:rPr>
        <w:t>06</w:t>
      </w:r>
      <w:r>
        <w:rPr>
          <w:rFonts w:hint="eastAsia" w:ascii="宋体" w:hAnsi="宋体" w:eastAsia="宋体" w:cs="宋体"/>
          <w:sz w:val="24"/>
          <w:szCs w:val="24"/>
          <w:highlight w:val="none"/>
        </w:rPr>
        <w:t>月至首次递交磋商响应文件截止时间任意</w:t>
      </w:r>
      <w:r>
        <w:rPr>
          <w:rFonts w:hint="eastAsia" w:ascii="宋体" w:hAnsi="宋体" w:eastAsia="宋体" w:cs="宋体"/>
          <w:sz w:val="24"/>
          <w:szCs w:val="24"/>
          <w:highlight w:val="none"/>
          <w:lang w:eastAsia="zh-CN"/>
        </w:rPr>
        <w:t>三</w:t>
      </w:r>
      <w:r>
        <w:rPr>
          <w:rFonts w:hint="eastAsia" w:ascii="宋体" w:hAnsi="宋体" w:eastAsia="宋体" w:cs="宋体"/>
          <w:sz w:val="24"/>
          <w:szCs w:val="24"/>
          <w:highlight w:val="none"/>
        </w:rPr>
        <w:t>个月完税证明（依法免税的投标人应提供相关文件证明）；2023年</w:t>
      </w:r>
      <w:r>
        <w:rPr>
          <w:rFonts w:hint="eastAsia" w:ascii="宋体" w:hAnsi="宋体" w:eastAsia="宋体" w:cs="宋体"/>
          <w:sz w:val="24"/>
          <w:szCs w:val="24"/>
          <w:highlight w:val="none"/>
          <w:lang w:val="en-US" w:eastAsia="zh-CN"/>
        </w:rPr>
        <w:t>06</w:t>
      </w:r>
      <w:r>
        <w:rPr>
          <w:rFonts w:hint="eastAsia" w:ascii="宋体" w:hAnsi="宋体" w:eastAsia="宋体" w:cs="宋体"/>
          <w:sz w:val="24"/>
          <w:szCs w:val="24"/>
          <w:highlight w:val="none"/>
        </w:rPr>
        <w:t>月至首次递交磋商响应文件截止时间任意</w:t>
      </w:r>
      <w:r>
        <w:rPr>
          <w:rFonts w:hint="eastAsia" w:ascii="宋体" w:hAnsi="宋体" w:eastAsia="宋体" w:cs="宋体"/>
          <w:sz w:val="24"/>
          <w:szCs w:val="24"/>
          <w:highlight w:val="none"/>
          <w:lang w:eastAsia="zh-CN"/>
        </w:rPr>
        <w:t>三</w:t>
      </w:r>
      <w:r>
        <w:rPr>
          <w:rFonts w:hint="eastAsia" w:ascii="宋体" w:hAnsi="宋体" w:eastAsia="宋体" w:cs="宋体"/>
          <w:sz w:val="24"/>
          <w:szCs w:val="24"/>
          <w:highlight w:val="none"/>
        </w:rPr>
        <w:t>个月已缴纳社会保险的证明（专用收据或社会保险缴纳清单或社保缴纳证明，依法不需要缴纳社会保障资金的投标人应提供相关文件证明））；</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（7）书面声明：参加政府采购活动前三年内，在经营活动中没有重大违法记录声明；</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（8）具有履行合同所必需的设备和专业技术能力（</w:t>
      </w:r>
      <w:r>
        <w:rPr>
          <w:rFonts w:hint="eastAsia" w:ascii="宋体" w:hAnsi="宋体"/>
          <w:sz w:val="24"/>
          <w:szCs w:val="24"/>
          <w:highlight w:val="none"/>
        </w:rPr>
        <w:t>提供书面承诺</w:t>
      </w:r>
      <w:r>
        <w:rPr>
          <w:rFonts w:hint="eastAsia" w:ascii="宋体" w:hAnsi="宋体" w:eastAsia="宋体" w:cs="宋体"/>
          <w:sz w:val="24"/>
          <w:szCs w:val="24"/>
          <w:highlight w:val="none"/>
        </w:rPr>
        <w:t>）；</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9）供应商通过“信用中国”网站(www.creditchina.gov.cn)、中国政府采购网(www.ccgp.gov.cn)等查询相关主体信用记录，对列入失信被执行人、重大税收违法案件当事人名单、政府采购严重违法失信行为记录名单的供应商，将拒绝其参与政府采购活动；</w:t>
      </w:r>
    </w:p>
    <w:p>
      <w:pPr>
        <w:pageBreakBefore w:val="0"/>
        <w:kinsoku/>
        <w:wordWrap/>
        <w:overflowPunct/>
        <w:topLinePunct w:val="0"/>
        <w:autoSpaceDE/>
        <w:autoSpaceDN/>
        <w:bidi w:val="0"/>
        <w:adjustRightInd/>
        <w:snapToGrid/>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  (10)本项目专门面向</w:t>
      </w:r>
      <w:r>
        <w:rPr>
          <w:rFonts w:hint="eastAsia" w:ascii="宋体" w:hAnsi="宋体" w:cs="宋体"/>
          <w:sz w:val="24"/>
          <w:szCs w:val="24"/>
          <w:highlight w:val="none"/>
          <w:lang w:eastAsia="zh-CN"/>
        </w:rPr>
        <w:t>中小</w:t>
      </w:r>
      <w:r>
        <w:rPr>
          <w:rFonts w:hint="eastAsia" w:ascii="宋体" w:hAnsi="宋体" w:eastAsia="宋体" w:cs="宋体"/>
          <w:sz w:val="24"/>
          <w:szCs w:val="24"/>
          <w:highlight w:val="none"/>
        </w:rPr>
        <w:t>企业采购，供应商应根据《政府采购促进中小企业发展管理办法》（财库〔2020〕46号）提供中小企业声明函。供应商为监狱企业的，应提供监狱企业的证明文件；供应商为残疾人福利性单位的，应提供《残疾人福利性单位声明函》（监狱企业或残疾人福利性单位视同小型、微型企业）。</w:t>
      </w:r>
    </w:p>
    <w:p>
      <w:pPr>
        <w:pStyle w:val="17"/>
        <w:rPr>
          <w:rFonts w:hint="eastAsia"/>
        </w:rPr>
      </w:pPr>
    </w:p>
    <w:p>
      <w:pPr>
        <w:pStyle w:val="4"/>
        <w:pageBreakBefore w:val="0"/>
        <w:kinsoku/>
        <w:wordWrap/>
        <w:overflowPunct/>
        <w:topLinePunct w:val="0"/>
        <w:bidi w:val="0"/>
        <w:spacing w:before="0" w:after="0" w:line="360" w:lineRule="auto"/>
        <w:jc w:val="both"/>
        <w:textAlignment w:val="auto"/>
        <w:rPr>
          <w:rFonts w:hint="eastAsia" w:ascii="宋体" w:hAnsi="宋体" w:eastAsia="宋体" w:cs="宋体"/>
          <w:sz w:val="28"/>
          <w:szCs w:val="28"/>
          <w:highlight w:val="none"/>
        </w:rPr>
      </w:pPr>
      <w:bookmarkStart w:id="140" w:name="_Toc29069"/>
      <w:bookmarkStart w:id="141" w:name="_Toc12952"/>
      <w:r>
        <w:rPr>
          <w:rFonts w:hint="eastAsia" w:ascii="宋体" w:hAnsi="宋体" w:cs="宋体"/>
          <w:b/>
          <w:color w:val="auto"/>
          <w:sz w:val="28"/>
          <w:szCs w:val="28"/>
          <w:lang w:eastAsia="zh-CN" w:bidi="ar"/>
        </w:rPr>
        <w:t>法</w:t>
      </w:r>
      <w:r>
        <w:rPr>
          <w:rFonts w:hint="eastAsia" w:ascii="宋体" w:hAnsi="宋体" w:eastAsia="宋体" w:cs="宋体"/>
          <w:sz w:val="28"/>
          <w:szCs w:val="28"/>
          <w:highlight w:val="none"/>
        </w:rPr>
        <w:t>定代表人证明书及法定代表人授权委托书</w:t>
      </w:r>
      <w:bookmarkEnd w:id="140"/>
      <w:bookmarkEnd w:id="141"/>
    </w:p>
    <w:p>
      <w:pPr>
        <w:pageBreakBefore w:val="0"/>
        <w:kinsoku/>
        <w:wordWrap/>
        <w:overflowPunct/>
        <w:topLinePunct w:val="0"/>
        <w:bidi w:val="0"/>
        <w:spacing w:line="360" w:lineRule="auto"/>
        <w:ind w:firstLine="3092"/>
        <w:textAlignment w:val="auto"/>
        <w:rPr>
          <w:rFonts w:hint="eastAsia" w:ascii="宋体" w:hAnsi="宋体" w:eastAsia="宋体" w:cs="宋体"/>
          <w:b/>
          <w:bCs/>
          <w:sz w:val="28"/>
          <w:szCs w:val="28"/>
          <w:highlight w:val="none"/>
        </w:rPr>
      </w:pPr>
      <w:r>
        <w:rPr>
          <w:rFonts w:hint="eastAsia" w:ascii="宋体" w:hAnsi="宋体" w:cs="宋体"/>
          <w:b/>
          <w:bCs/>
          <w:sz w:val="28"/>
          <w:szCs w:val="28"/>
          <w:highlight w:val="none"/>
          <w:lang w:val="en-US" w:eastAsia="zh-CN"/>
        </w:rPr>
        <w:t>2</w:t>
      </w:r>
      <w:r>
        <w:rPr>
          <w:rFonts w:hint="eastAsia" w:ascii="宋体" w:hAnsi="宋体" w:eastAsia="宋体" w:cs="宋体"/>
          <w:b/>
          <w:bCs/>
          <w:sz w:val="28"/>
          <w:szCs w:val="28"/>
          <w:highlight w:val="none"/>
          <w:lang w:val="en-US" w:eastAsia="zh-CN"/>
        </w:rPr>
        <w:t>-</w:t>
      </w:r>
      <w:r>
        <w:rPr>
          <w:rFonts w:hint="eastAsia" w:ascii="宋体" w:hAnsi="宋体" w:eastAsia="宋体" w:cs="宋体"/>
          <w:b/>
          <w:bCs/>
          <w:sz w:val="28"/>
          <w:szCs w:val="28"/>
          <w:highlight w:val="none"/>
        </w:rPr>
        <w:t>1法定代表人证明书</w:t>
      </w:r>
    </w:p>
    <w:tbl>
      <w:tblPr>
        <w:tblStyle w:val="26"/>
        <w:tblW w:w="9500" w:type="dxa"/>
        <w:jc w:val="center"/>
        <w:tblLayout w:type="fixed"/>
        <w:tblCellMar>
          <w:top w:w="0" w:type="dxa"/>
          <w:left w:w="10" w:type="dxa"/>
          <w:bottom w:w="0" w:type="dxa"/>
          <w:right w:w="10" w:type="dxa"/>
        </w:tblCellMar>
      </w:tblPr>
      <w:tblGrid>
        <w:gridCol w:w="1797"/>
        <w:gridCol w:w="2413"/>
        <w:gridCol w:w="1705"/>
        <w:gridCol w:w="1458"/>
        <w:gridCol w:w="2127"/>
      </w:tblGrid>
      <w:tr>
        <w:tblPrEx>
          <w:tblCellMar>
            <w:top w:w="0" w:type="dxa"/>
            <w:left w:w="10" w:type="dxa"/>
            <w:bottom w:w="0" w:type="dxa"/>
            <w:right w:w="10" w:type="dxa"/>
          </w:tblCellMar>
        </w:tblPrEx>
        <w:trPr>
          <w:trHeight w:val="521" w:hRule="atLeast"/>
          <w:jc w:val="center"/>
        </w:trPr>
        <w:tc>
          <w:tcPr>
            <w:tcW w:w="9500"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left"/>
              <w:textAlignment w:val="auto"/>
              <w:rPr>
                <w:rFonts w:hint="eastAsia" w:ascii="宋体" w:hAnsi="宋体" w:eastAsia="宋体" w:cs="宋体"/>
                <w:bCs/>
                <w:sz w:val="24"/>
                <w:szCs w:val="24"/>
                <w:highlight w:val="none"/>
                <w:lang w:eastAsia="zh-CN"/>
              </w:rPr>
            </w:pPr>
            <w:r>
              <w:rPr>
                <w:rFonts w:hint="eastAsia" w:ascii="宋体" w:hAnsi="宋体" w:eastAsia="宋体" w:cs="宋体"/>
                <w:bCs/>
                <w:sz w:val="24"/>
                <w:szCs w:val="24"/>
                <w:highlight w:val="none"/>
              </w:rPr>
              <w:t>致：</w:t>
            </w:r>
            <w:r>
              <w:rPr>
                <w:rFonts w:hint="eastAsia" w:ascii="宋体" w:hAnsi="宋体" w:cs="宋体"/>
                <w:bCs/>
                <w:sz w:val="24"/>
                <w:szCs w:val="24"/>
                <w:highlight w:val="none"/>
                <w:lang w:eastAsia="zh-CN"/>
              </w:rPr>
              <w:t>陕西正邦招标有限责任公司</w:t>
            </w:r>
          </w:p>
        </w:tc>
      </w:tr>
      <w:tr>
        <w:tblPrEx>
          <w:tblCellMar>
            <w:top w:w="0" w:type="dxa"/>
            <w:left w:w="10" w:type="dxa"/>
            <w:bottom w:w="0" w:type="dxa"/>
            <w:right w:w="10" w:type="dxa"/>
          </w:tblCellMar>
        </w:tblPrEx>
        <w:trPr>
          <w:trHeight w:val="563" w:hRule="atLeast"/>
          <w:jc w:val="center"/>
        </w:trPr>
        <w:tc>
          <w:tcPr>
            <w:tcW w:w="17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bCs/>
                <w:sz w:val="24"/>
                <w:szCs w:val="24"/>
                <w:highlight w:val="none"/>
              </w:rPr>
            </w:pPr>
            <w:r>
              <w:rPr>
                <w:rFonts w:hint="eastAsia" w:ascii="宋体" w:hAnsi="宋体" w:cs="宋体"/>
                <w:sz w:val="24"/>
                <w:szCs w:val="24"/>
                <w:highlight w:val="none"/>
                <w:lang w:eastAsia="zh-CN"/>
              </w:rPr>
              <w:t>项目名称</w:t>
            </w:r>
          </w:p>
        </w:tc>
        <w:tc>
          <w:tcPr>
            <w:tcW w:w="7703"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ageBreakBefore w:val="0"/>
              <w:kinsoku/>
              <w:wordWrap/>
              <w:overflowPunct/>
              <w:topLinePunct w:val="0"/>
              <w:bidi w:val="0"/>
              <w:spacing w:line="360" w:lineRule="auto"/>
              <w:textAlignment w:val="auto"/>
              <w:rPr>
                <w:rFonts w:hint="eastAsia" w:ascii="宋体" w:hAnsi="宋体" w:eastAsia="宋体" w:cs="宋体"/>
                <w:bCs/>
                <w:sz w:val="24"/>
                <w:szCs w:val="24"/>
                <w:highlight w:val="none"/>
              </w:rPr>
            </w:pPr>
          </w:p>
        </w:tc>
      </w:tr>
      <w:tr>
        <w:tblPrEx>
          <w:tblCellMar>
            <w:top w:w="0" w:type="dxa"/>
            <w:left w:w="10" w:type="dxa"/>
            <w:bottom w:w="0" w:type="dxa"/>
            <w:right w:w="10" w:type="dxa"/>
          </w:tblCellMar>
        </w:tblPrEx>
        <w:trPr>
          <w:trHeight w:val="521" w:hRule="atLeast"/>
          <w:jc w:val="center"/>
        </w:trPr>
        <w:tc>
          <w:tcPr>
            <w:tcW w:w="17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项目编号</w:t>
            </w:r>
          </w:p>
        </w:tc>
        <w:tc>
          <w:tcPr>
            <w:tcW w:w="7703"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ageBreakBefore w:val="0"/>
              <w:kinsoku/>
              <w:wordWrap/>
              <w:overflowPunct/>
              <w:topLinePunct w:val="0"/>
              <w:bidi w:val="0"/>
              <w:spacing w:line="360" w:lineRule="auto"/>
              <w:textAlignment w:val="auto"/>
              <w:rPr>
                <w:rFonts w:hint="eastAsia" w:ascii="宋体" w:hAnsi="宋体" w:eastAsia="宋体" w:cs="宋体"/>
                <w:bCs/>
                <w:sz w:val="24"/>
                <w:szCs w:val="24"/>
                <w:highlight w:val="none"/>
              </w:rPr>
            </w:pPr>
          </w:p>
        </w:tc>
      </w:tr>
      <w:tr>
        <w:tblPrEx>
          <w:tblCellMar>
            <w:top w:w="0" w:type="dxa"/>
            <w:left w:w="10" w:type="dxa"/>
            <w:bottom w:w="0" w:type="dxa"/>
            <w:right w:w="10" w:type="dxa"/>
          </w:tblCellMar>
        </w:tblPrEx>
        <w:trPr>
          <w:trHeight w:val="1032" w:hRule="atLeast"/>
          <w:jc w:val="center"/>
        </w:trPr>
        <w:tc>
          <w:tcPr>
            <w:tcW w:w="17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权   限</w:t>
            </w:r>
          </w:p>
        </w:tc>
        <w:tc>
          <w:tcPr>
            <w:tcW w:w="7703"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办理本次采购项目的磋商、联系、洽谈、签约、执行等具体事务，签署全部有关文件、文书、协议及合同。</w:t>
            </w:r>
          </w:p>
        </w:tc>
      </w:tr>
      <w:tr>
        <w:tblPrEx>
          <w:tblCellMar>
            <w:top w:w="0" w:type="dxa"/>
            <w:left w:w="10" w:type="dxa"/>
            <w:bottom w:w="0" w:type="dxa"/>
            <w:right w:w="10" w:type="dxa"/>
          </w:tblCellMar>
        </w:tblPrEx>
        <w:trPr>
          <w:trHeight w:val="521" w:hRule="atLeast"/>
          <w:jc w:val="center"/>
        </w:trPr>
        <w:tc>
          <w:tcPr>
            <w:tcW w:w="17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有效期</w:t>
            </w:r>
          </w:p>
        </w:tc>
        <w:tc>
          <w:tcPr>
            <w:tcW w:w="7703"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自磋商之日起计算有效期为</w:t>
            </w:r>
            <w:r>
              <w:rPr>
                <w:rFonts w:hint="eastAsia" w:ascii="宋体" w:hAnsi="宋体" w:eastAsia="宋体" w:cs="宋体"/>
                <w:bCs/>
                <w:sz w:val="24"/>
                <w:szCs w:val="24"/>
                <w:highlight w:val="none"/>
                <w:u w:val="single"/>
                <w:lang w:val="en-US" w:eastAsia="zh-CN"/>
              </w:rPr>
              <w:t xml:space="preserve">         </w:t>
            </w:r>
            <w:r>
              <w:rPr>
                <w:rFonts w:hint="eastAsia" w:ascii="宋体" w:hAnsi="宋体" w:eastAsia="宋体" w:cs="宋体"/>
                <w:bCs/>
                <w:sz w:val="24"/>
                <w:szCs w:val="24"/>
                <w:highlight w:val="none"/>
              </w:rPr>
              <w:t>天</w:t>
            </w:r>
          </w:p>
        </w:tc>
      </w:tr>
      <w:tr>
        <w:tblPrEx>
          <w:tblCellMar>
            <w:top w:w="0" w:type="dxa"/>
            <w:left w:w="10" w:type="dxa"/>
            <w:bottom w:w="0" w:type="dxa"/>
            <w:right w:w="10" w:type="dxa"/>
          </w:tblCellMar>
        </w:tblPrEx>
        <w:trPr>
          <w:trHeight w:val="521" w:hRule="atLeast"/>
          <w:jc w:val="center"/>
        </w:trPr>
        <w:tc>
          <w:tcPr>
            <w:tcW w:w="1797"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企业</w:t>
            </w:r>
          </w:p>
          <w:p>
            <w:pPr>
              <w:pageBreakBefore w:val="0"/>
              <w:kinsoku/>
              <w:wordWrap/>
              <w:overflowPunct/>
              <w:topLinePunct w:val="0"/>
              <w:bidi w:val="0"/>
              <w:spacing w:line="360" w:lineRule="auto"/>
              <w:jc w:val="center"/>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信息</w:t>
            </w:r>
          </w:p>
        </w:tc>
        <w:tc>
          <w:tcPr>
            <w:tcW w:w="24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企 业 名 称</w:t>
            </w:r>
          </w:p>
        </w:tc>
        <w:tc>
          <w:tcPr>
            <w:tcW w:w="529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ageBreakBefore w:val="0"/>
              <w:kinsoku/>
              <w:wordWrap/>
              <w:overflowPunct/>
              <w:topLinePunct w:val="0"/>
              <w:bidi w:val="0"/>
              <w:spacing w:line="360" w:lineRule="auto"/>
              <w:textAlignment w:val="auto"/>
              <w:rPr>
                <w:rFonts w:hint="eastAsia" w:ascii="宋体" w:hAnsi="宋体" w:eastAsia="宋体" w:cs="宋体"/>
                <w:bCs/>
                <w:sz w:val="24"/>
                <w:szCs w:val="24"/>
                <w:highlight w:val="none"/>
              </w:rPr>
            </w:pPr>
          </w:p>
        </w:tc>
      </w:tr>
      <w:tr>
        <w:tblPrEx>
          <w:tblCellMar>
            <w:top w:w="0" w:type="dxa"/>
            <w:left w:w="10" w:type="dxa"/>
            <w:bottom w:w="0" w:type="dxa"/>
            <w:right w:w="10" w:type="dxa"/>
          </w:tblCellMar>
        </w:tblPrEx>
        <w:trPr>
          <w:trHeight w:val="521" w:hRule="atLeast"/>
          <w:jc w:val="center"/>
        </w:trPr>
        <w:tc>
          <w:tcPr>
            <w:tcW w:w="179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textAlignment w:val="auto"/>
              <w:rPr>
                <w:rFonts w:hint="eastAsia" w:ascii="宋体" w:hAnsi="宋体" w:eastAsia="宋体" w:cs="宋体"/>
                <w:sz w:val="20"/>
                <w:szCs w:val="18"/>
                <w:highlight w:val="none"/>
              </w:rPr>
            </w:pPr>
          </w:p>
        </w:tc>
        <w:tc>
          <w:tcPr>
            <w:tcW w:w="24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法 定 地 址</w:t>
            </w:r>
          </w:p>
        </w:tc>
        <w:tc>
          <w:tcPr>
            <w:tcW w:w="529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ageBreakBefore w:val="0"/>
              <w:kinsoku/>
              <w:wordWrap/>
              <w:overflowPunct/>
              <w:topLinePunct w:val="0"/>
              <w:bidi w:val="0"/>
              <w:spacing w:line="360" w:lineRule="auto"/>
              <w:textAlignment w:val="auto"/>
              <w:rPr>
                <w:rFonts w:hint="eastAsia" w:ascii="宋体" w:hAnsi="宋体" w:eastAsia="宋体" w:cs="宋体"/>
                <w:bCs/>
                <w:sz w:val="24"/>
                <w:szCs w:val="24"/>
                <w:highlight w:val="none"/>
              </w:rPr>
            </w:pPr>
          </w:p>
        </w:tc>
      </w:tr>
      <w:tr>
        <w:tblPrEx>
          <w:tblCellMar>
            <w:top w:w="0" w:type="dxa"/>
            <w:left w:w="10" w:type="dxa"/>
            <w:bottom w:w="0" w:type="dxa"/>
            <w:right w:w="10" w:type="dxa"/>
          </w:tblCellMar>
        </w:tblPrEx>
        <w:trPr>
          <w:trHeight w:val="521" w:hRule="atLeast"/>
          <w:jc w:val="center"/>
        </w:trPr>
        <w:tc>
          <w:tcPr>
            <w:tcW w:w="179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textAlignment w:val="auto"/>
              <w:rPr>
                <w:rFonts w:hint="eastAsia" w:ascii="宋体" w:hAnsi="宋体" w:eastAsia="宋体" w:cs="宋体"/>
                <w:sz w:val="20"/>
                <w:szCs w:val="18"/>
                <w:highlight w:val="none"/>
              </w:rPr>
            </w:pPr>
          </w:p>
        </w:tc>
        <w:tc>
          <w:tcPr>
            <w:tcW w:w="24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营业执照注册证号</w:t>
            </w:r>
          </w:p>
        </w:tc>
        <w:tc>
          <w:tcPr>
            <w:tcW w:w="529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ageBreakBefore w:val="0"/>
              <w:kinsoku/>
              <w:wordWrap/>
              <w:overflowPunct/>
              <w:topLinePunct w:val="0"/>
              <w:bidi w:val="0"/>
              <w:spacing w:line="360" w:lineRule="auto"/>
              <w:textAlignment w:val="auto"/>
              <w:rPr>
                <w:rFonts w:hint="eastAsia" w:ascii="宋体" w:hAnsi="宋体" w:eastAsia="宋体" w:cs="宋体"/>
                <w:bCs/>
                <w:sz w:val="24"/>
                <w:szCs w:val="24"/>
                <w:highlight w:val="none"/>
              </w:rPr>
            </w:pPr>
          </w:p>
        </w:tc>
      </w:tr>
      <w:tr>
        <w:tblPrEx>
          <w:tblCellMar>
            <w:top w:w="0" w:type="dxa"/>
            <w:left w:w="10" w:type="dxa"/>
            <w:bottom w:w="0" w:type="dxa"/>
            <w:right w:w="10" w:type="dxa"/>
          </w:tblCellMar>
        </w:tblPrEx>
        <w:trPr>
          <w:trHeight w:val="521" w:hRule="atLeast"/>
          <w:jc w:val="center"/>
        </w:trPr>
        <w:tc>
          <w:tcPr>
            <w:tcW w:w="179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textAlignment w:val="auto"/>
              <w:rPr>
                <w:rFonts w:hint="eastAsia" w:ascii="宋体" w:hAnsi="宋体" w:eastAsia="宋体" w:cs="宋体"/>
                <w:sz w:val="20"/>
                <w:szCs w:val="18"/>
                <w:highlight w:val="none"/>
              </w:rPr>
            </w:pPr>
          </w:p>
        </w:tc>
        <w:tc>
          <w:tcPr>
            <w:tcW w:w="24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工商登记机关</w:t>
            </w:r>
          </w:p>
        </w:tc>
        <w:tc>
          <w:tcPr>
            <w:tcW w:w="529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ageBreakBefore w:val="0"/>
              <w:kinsoku/>
              <w:wordWrap/>
              <w:overflowPunct/>
              <w:topLinePunct w:val="0"/>
              <w:bidi w:val="0"/>
              <w:spacing w:line="360" w:lineRule="auto"/>
              <w:textAlignment w:val="auto"/>
              <w:rPr>
                <w:rFonts w:hint="eastAsia" w:ascii="宋体" w:hAnsi="宋体" w:eastAsia="宋体" w:cs="宋体"/>
                <w:bCs/>
                <w:sz w:val="24"/>
                <w:szCs w:val="24"/>
                <w:highlight w:val="none"/>
              </w:rPr>
            </w:pPr>
          </w:p>
        </w:tc>
      </w:tr>
      <w:tr>
        <w:tblPrEx>
          <w:tblCellMar>
            <w:top w:w="0" w:type="dxa"/>
            <w:left w:w="10" w:type="dxa"/>
            <w:bottom w:w="0" w:type="dxa"/>
            <w:right w:w="10" w:type="dxa"/>
          </w:tblCellMar>
        </w:tblPrEx>
        <w:trPr>
          <w:trHeight w:val="521" w:hRule="atLeast"/>
          <w:jc w:val="center"/>
        </w:trPr>
        <w:tc>
          <w:tcPr>
            <w:tcW w:w="179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textAlignment w:val="auto"/>
              <w:rPr>
                <w:rFonts w:hint="eastAsia" w:ascii="宋体" w:hAnsi="宋体" w:eastAsia="宋体" w:cs="宋体"/>
                <w:sz w:val="20"/>
                <w:szCs w:val="18"/>
                <w:highlight w:val="none"/>
              </w:rPr>
            </w:pPr>
          </w:p>
        </w:tc>
        <w:tc>
          <w:tcPr>
            <w:tcW w:w="24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网    址</w:t>
            </w:r>
          </w:p>
        </w:tc>
        <w:tc>
          <w:tcPr>
            <w:tcW w:w="529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ageBreakBefore w:val="0"/>
              <w:kinsoku/>
              <w:wordWrap/>
              <w:overflowPunct/>
              <w:topLinePunct w:val="0"/>
              <w:bidi w:val="0"/>
              <w:spacing w:line="360" w:lineRule="auto"/>
              <w:textAlignment w:val="auto"/>
              <w:rPr>
                <w:rFonts w:hint="eastAsia" w:ascii="宋体" w:hAnsi="宋体" w:eastAsia="宋体" w:cs="宋体"/>
                <w:bCs/>
                <w:sz w:val="24"/>
                <w:szCs w:val="24"/>
                <w:highlight w:val="none"/>
              </w:rPr>
            </w:pPr>
          </w:p>
        </w:tc>
      </w:tr>
      <w:tr>
        <w:tblPrEx>
          <w:tblCellMar>
            <w:top w:w="0" w:type="dxa"/>
            <w:left w:w="10" w:type="dxa"/>
            <w:bottom w:w="0" w:type="dxa"/>
            <w:right w:w="10" w:type="dxa"/>
          </w:tblCellMar>
        </w:tblPrEx>
        <w:trPr>
          <w:trHeight w:val="521" w:hRule="atLeast"/>
          <w:jc w:val="center"/>
        </w:trPr>
        <w:tc>
          <w:tcPr>
            <w:tcW w:w="1797"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法定代</w:t>
            </w:r>
          </w:p>
          <w:p>
            <w:pPr>
              <w:pageBreakBefore w:val="0"/>
              <w:kinsoku/>
              <w:wordWrap/>
              <w:overflowPunct/>
              <w:topLinePunct w:val="0"/>
              <w:bidi w:val="0"/>
              <w:spacing w:line="360" w:lineRule="auto"/>
              <w:jc w:val="center"/>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表人</w:t>
            </w:r>
          </w:p>
        </w:tc>
        <w:tc>
          <w:tcPr>
            <w:tcW w:w="24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姓    名</w:t>
            </w:r>
          </w:p>
        </w:tc>
        <w:tc>
          <w:tcPr>
            <w:tcW w:w="17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ageBreakBefore w:val="0"/>
              <w:kinsoku/>
              <w:wordWrap/>
              <w:overflowPunct/>
              <w:topLinePunct w:val="0"/>
              <w:bidi w:val="0"/>
              <w:spacing w:line="360" w:lineRule="auto"/>
              <w:textAlignment w:val="auto"/>
              <w:rPr>
                <w:rFonts w:hint="eastAsia" w:ascii="宋体" w:hAnsi="宋体" w:eastAsia="宋体" w:cs="宋体"/>
                <w:bCs/>
                <w:sz w:val="24"/>
                <w:szCs w:val="24"/>
                <w:highlight w:val="none"/>
              </w:rPr>
            </w:pPr>
          </w:p>
        </w:tc>
        <w:tc>
          <w:tcPr>
            <w:tcW w:w="14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性   别</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ageBreakBefore w:val="0"/>
              <w:kinsoku/>
              <w:wordWrap/>
              <w:overflowPunct/>
              <w:topLinePunct w:val="0"/>
              <w:bidi w:val="0"/>
              <w:spacing w:line="360" w:lineRule="auto"/>
              <w:textAlignment w:val="auto"/>
              <w:rPr>
                <w:rFonts w:hint="eastAsia" w:ascii="宋体" w:hAnsi="宋体" w:eastAsia="宋体" w:cs="宋体"/>
                <w:bCs/>
                <w:sz w:val="24"/>
                <w:szCs w:val="24"/>
                <w:highlight w:val="none"/>
              </w:rPr>
            </w:pPr>
          </w:p>
        </w:tc>
      </w:tr>
      <w:tr>
        <w:tblPrEx>
          <w:tblCellMar>
            <w:top w:w="0" w:type="dxa"/>
            <w:left w:w="10" w:type="dxa"/>
            <w:bottom w:w="0" w:type="dxa"/>
            <w:right w:w="10" w:type="dxa"/>
          </w:tblCellMar>
        </w:tblPrEx>
        <w:trPr>
          <w:trHeight w:val="521" w:hRule="atLeast"/>
          <w:jc w:val="center"/>
        </w:trPr>
        <w:tc>
          <w:tcPr>
            <w:tcW w:w="179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textAlignment w:val="auto"/>
              <w:rPr>
                <w:rFonts w:hint="eastAsia" w:ascii="宋体" w:hAnsi="宋体" w:eastAsia="宋体" w:cs="宋体"/>
                <w:sz w:val="20"/>
                <w:szCs w:val="18"/>
                <w:highlight w:val="none"/>
              </w:rPr>
            </w:pPr>
          </w:p>
        </w:tc>
        <w:tc>
          <w:tcPr>
            <w:tcW w:w="24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职    务</w:t>
            </w:r>
          </w:p>
        </w:tc>
        <w:tc>
          <w:tcPr>
            <w:tcW w:w="17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ageBreakBefore w:val="0"/>
              <w:kinsoku/>
              <w:wordWrap/>
              <w:overflowPunct/>
              <w:topLinePunct w:val="0"/>
              <w:bidi w:val="0"/>
              <w:spacing w:line="360" w:lineRule="auto"/>
              <w:textAlignment w:val="auto"/>
              <w:rPr>
                <w:rFonts w:hint="eastAsia" w:ascii="宋体" w:hAnsi="宋体" w:eastAsia="宋体" w:cs="宋体"/>
                <w:bCs/>
                <w:sz w:val="24"/>
                <w:szCs w:val="24"/>
                <w:highlight w:val="none"/>
              </w:rPr>
            </w:pPr>
          </w:p>
        </w:tc>
        <w:tc>
          <w:tcPr>
            <w:tcW w:w="14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联系电话</w:t>
            </w:r>
          </w:p>
        </w:tc>
        <w:tc>
          <w:tcPr>
            <w:tcW w:w="21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ageBreakBefore w:val="0"/>
              <w:kinsoku/>
              <w:wordWrap/>
              <w:overflowPunct/>
              <w:topLinePunct w:val="0"/>
              <w:bidi w:val="0"/>
              <w:spacing w:line="360" w:lineRule="auto"/>
              <w:textAlignment w:val="auto"/>
              <w:rPr>
                <w:rFonts w:hint="eastAsia" w:ascii="宋体" w:hAnsi="宋体" w:eastAsia="宋体" w:cs="宋体"/>
                <w:bCs/>
                <w:sz w:val="24"/>
                <w:szCs w:val="24"/>
                <w:highlight w:val="none"/>
              </w:rPr>
            </w:pPr>
          </w:p>
        </w:tc>
      </w:tr>
      <w:tr>
        <w:tblPrEx>
          <w:tblCellMar>
            <w:top w:w="0" w:type="dxa"/>
            <w:left w:w="10" w:type="dxa"/>
            <w:bottom w:w="0" w:type="dxa"/>
            <w:right w:w="10" w:type="dxa"/>
          </w:tblCellMar>
        </w:tblPrEx>
        <w:trPr>
          <w:trHeight w:val="521" w:hRule="atLeast"/>
          <w:jc w:val="center"/>
        </w:trPr>
        <w:tc>
          <w:tcPr>
            <w:tcW w:w="179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textAlignment w:val="auto"/>
              <w:rPr>
                <w:rFonts w:hint="eastAsia" w:ascii="宋体" w:hAnsi="宋体" w:eastAsia="宋体" w:cs="宋体"/>
                <w:sz w:val="20"/>
                <w:szCs w:val="18"/>
                <w:highlight w:val="none"/>
              </w:rPr>
            </w:pPr>
          </w:p>
        </w:tc>
        <w:tc>
          <w:tcPr>
            <w:tcW w:w="24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传    真</w:t>
            </w:r>
          </w:p>
        </w:tc>
        <w:tc>
          <w:tcPr>
            <w:tcW w:w="529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ageBreakBefore w:val="0"/>
              <w:kinsoku/>
              <w:wordWrap/>
              <w:overflowPunct/>
              <w:topLinePunct w:val="0"/>
              <w:bidi w:val="0"/>
              <w:spacing w:line="360" w:lineRule="auto"/>
              <w:textAlignment w:val="auto"/>
              <w:rPr>
                <w:rFonts w:hint="eastAsia" w:ascii="宋体" w:hAnsi="宋体" w:eastAsia="宋体" w:cs="宋体"/>
                <w:bCs/>
                <w:sz w:val="24"/>
                <w:szCs w:val="24"/>
                <w:highlight w:val="none"/>
              </w:rPr>
            </w:pPr>
          </w:p>
        </w:tc>
      </w:tr>
      <w:tr>
        <w:tblPrEx>
          <w:tblCellMar>
            <w:top w:w="0" w:type="dxa"/>
            <w:left w:w="10" w:type="dxa"/>
            <w:bottom w:w="0" w:type="dxa"/>
            <w:right w:w="10" w:type="dxa"/>
          </w:tblCellMar>
        </w:tblPrEx>
        <w:trPr>
          <w:trHeight w:val="521" w:hRule="atLeast"/>
          <w:jc w:val="center"/>
        </w:trPr>
        <w:tc>
          <w:tcPr>
            <w:tcW w:w="179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textAlignment w:val="auto"/>
              <w:rPr>
                <w:rFonts w:hint="eastAsia" w:ascii="宋体" w:hAnsi="宋体" w:eastAsia="宋体" w:cs="宋体"/>
                <w:sz w:val="20"/>
                <w:szCs w:val="18"/>
                <w:highlight w:val="none"/>
              </w:rPr>
            </w:pPr>
          </w:p>
        </w:tc>
        <w:tc>
          <w:tcPr>
            <w:tcW w:w="24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jc w:val="center"/>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通讯地址</w:t>
            </w:r>
          </w:p>
        </w:tc>
        <w:tc>
          <w:tcPr>
            <w:tcW w:w="529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ageBreakBefore w:val="0"/>
              <w:kinsoku/>
              <w:wordWrap/>
              <w:overflowPunct/>
              <w:topLinePunct w:val="0"/>
              <w:bidi w:val="0"/>
              <w:spacing w:line="360" w:lineRule="auto"/>
              <w:textAlignment w:val="auto"/>
              <w:rPr>
                <w:rFonts w:hint="eastAsia" w:ascii="宋体" w:hAnsi="宋体" w:eastAsia="宋体" w:cs="宋体"/>
                <w:bCs/>
                <w:sz w:val="24"/>
                <w:szCs w:val="24"/>
                <w:highlight w:val="none"/>
              </w:rPr>
            </w:pPr>
          </w:p>
        </w:tc>
      </w:tr>
      <w:tr>
        <w:tblPrEx>
          <w:tblCellMar>
            <w:top w:w="0" w:type="dxa"/>
            <w:left w:w="10" w:type="dxa"/>
            <w:bottom w:w="0" w:type="dxa"/>
            <w:right w:w="10" w:type="dxa"/>
          </w:tblCellMar>
        </w:tblPrEx>
        <w:trPr>
          <w:trHeight w:val="2532" w:hRule="atLeast"/>
          <w:jc w:val="center"/>
        </w:trPr>
        <w:tc>
          <w:tcPr>
            <w:tcW w:w="9500"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ageBreakBefore w:val="0"/>
              <w:kinsoku/>
              <w:wordWrap/>
              <w:overflowPunct/>
              <w:topLinePunct w:val="0"/>
              <w:bidi w:val="0"/>
              <w:spacing w:line="360" w:lineRule="auto"/>
              <w:textAlignment w:val="auto"/>
              <w:rPr>
                <w:rFonts w:hint="eastAsia" w:ascii="宋体" w:hAnsi="宋体" w:eastAsia="宋体" w:cs="宋体"/>
                <w:bCs/>
                <w:sz w:val="24"/>
                <w:szCs w:val="24"/>
                <w:highlight w:val="none"/>
              </w:rPr>
            </w:pPr>
          </w:p>
          <w:p>
            <w:pPr>
              <w:pageBreakBefore w:val="0"/>
              <w:kinsoku/>
              <w:wordWrap/>
              <w:overflowPunct/>
              <w:topLinePunct w:val="0"/>
              <w:bidi w:val="0"/>
              <w:spacing w:line="360" w:lineRule="auto"/>
              <w:jc w:val="center"/>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法定代表人身份证复印件</w:t>
            </w:r>
          </w:p>
          <w:p>
            <w:pPr>
              <w:pageBreakBefore w:val="0"/>
              <w:kinsoku/>
              <w:wordWrap/>
              <w:overflowPunct/>
              <w:topLinePunct w:val="0"/>
              <w:bidi w:val="0"/>
              <w:spacing w:line="360" w:lineRule="auto"/>
              <w:jc w:val="center"/>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二代身份证正、反两面都需复印</w:t>
            </w:r>
          </w:p>
        </w:tc>
      </w:tr>
      <w:tr>
        <w:tblPrEx>
          <w:tblCellMar>
            <w:top w:w="0" w:type="dxa"/>
            <w:left w:w="10" w:type="dxa"/>
            <w:bottom w:w="0" w:type="dxa"/>
            <w:right w:w="10" w:type="dxa"/>
          </w:tblCellMar>
        </w:tblPrEx>
        <w:trPr>
          <w:trHeight w:val="805" w:hRule="atLeast"/>
          <w:jc w:val="center"/>
        </w:trPr>
        <w:tc>
          <w:tcPr>
            <w:tcW w:w="9500"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法定代表人签字</w:t>
            </w:r>
            <w:r>
              <w:rPr>
                <w:rFonts w:hint="eastAsia" w:ascii="宋体" w:hAnsi="宋体" w:eastAsia="宋体" w:cs="宋体"/>
                <w:bCs/>
                <w:sz w:val="24"/>
                <w:szCs w:val="24"/>
                <w:highlight w:val="none"/>
                <w:lang w:val="en-US" w:eastAsia="zh-CN"/>
              </w:rPr>
              <w:t>或</w:t>
            </w:r>
            <w:r>
              <w:rPr>
                <w:rFonts w:hint="eastAsia" w:ascii="宋体" w:hAnsi="宋体" w:eastAsia="宋体" w:cs="宋体"/>
                <w:bCs/>
                <w:sz w:val="24"/>
                <w:szCs w:val="24"/>
                <w:highlight w:val="none"/>
              </w:rPr>
              <w:t>盖章：</w:t>
            </w:r>
          </w:p>
        </w:tc>
      </w:tr>
    </w:tbl>
    <w:p>
      <w:pPr>
        <w:pageBreakBefore w:val="0"/>
        <w:kinsoku/>
        <w:wordWrap/>
        <w:overflowPunct/>
        <w:topLinePunct w:val="0"/>
        <w:bidi w:val="0"/>
        <w:spacing w:line="360" w:lineRule="auto"/>
        <w:ind w:left="-186" w:leftChars="-110" w:hanging="122" w:hangingChars="51"/>
        <w:jc w:val="left"/>
        <w:textAlignment w:val="auto"/>
        <w:rPr>
          <w:rFonts w:hint="eastAsia" w:ascii="宋体" w:hAnsi="宋体" w:eastAsia="宋体" w:cs="宋体"/>
          <w:b/>
          <w:bCs/>
          <w:sz w:val="24"/>
          <w:szCs w:val="24"/>
          <w:highlight w:val="none"/>
        </w:rPr>
      </w:pPr>
      <w:r>
        <w:rPr>
          <w:rFonts w:hint="eastAsia" w:ascii="宋体" w:hAnsi="宋体" w:eastAsia="宋体" w:cs="宋体"/>
          <w:bCs/>
          <w:sz w:val="24"/>
          <w:szCs w:val="24"/>
          <w:highlight w:val="none"/>
        </w:rPr>
        <w:t>供应商名称：</w:t>
      </w:r>
      <w:r>
        <w:rPr>
          <w:rFonts w:hint="eastAsia" w:ascii="宋体" w:hAnsi="宋体" w:eastAsia="宋体" w:cs="宋体"/>
          <w:bCs/>
          <w:sz w:val="24"/>
          <w:szCs w:val="24"/>
          <w:highlight w:val="none"/>
          <w:u w:val="single"/>
        </w:rPr>
        <w:t xml:space="preserve">                </w:t>
      </w:r>
      <w:r>
        <w:rPr>
          <w:rFonts w:hint="eastAsia" w:ascii="宋体" w:hAnsi="宋体" w:eastAsia="宋体" w:cs="宋体"/>
          <w:bCs/>
          <w:sz w:val="24"/>
          <w:szCs w:val="24"/>
          <w:highlight w:val="none"/>
        </w:rPr>
        <w:t>（单位公章）        日 期：</w:t>
      </w:r>
    </w:p>
    <w:p>
      <w:pPr>
        <w:pageBreakBefore w:val="0"/>
        <w:kinsoku/>
        <w:wordWrap/>
        <w:overflowPunct/>
        <w:topLinePunct w:val="0"/>
        <w:bidi w:val="0"/>
        <w:spacing w:line="360" w:lineRule="auto"/>
        <w:ind w:firstLine="3092" w:firstLineChars="1100"/>
        <w:textAlignment w:val="auto"/>
        <w:rPr>
          <w:rFonts w:hint="eastAsia" w:ascii="宋体" w:hAnsi="宋体" w:eastAsia="宋体" w:cs="宋体"/>
          <w:b/>
          <w:bCs/>
          <w:sz w:val="28"/>
          <w:szCs w:val="28"/>
          <w:highlight w:val="none"/>
        </w:rPr>
      </w:pPr>
      <w:r>
        <w:rPr>
          <w:rFonts w:hint="eastAsia" w:ascii="宋体" w:hAnsi="宋体" w:cs="宋体"/>
          <w:b/>
          <w:bCs/>
          <w:sz w:val="28"/>
          <w:szCs w:val="28"/>
          <w:highlight w:val="none"/>
          <w:lang w:val="en-US" w:eastAsia="zh-CN"/>
        </w:rPr>
        <w:t>2</w:t>
      </w:r>
      <w:r>
        <w:rPr>
          <w:rFonts w:hint="eastAsia" w:ascii="宋体" w:hAnsi="宋体" w:eastAsia="宋体" w:cs="宋体"/>
          <w:b/>
          <w:bCs/>
          <w:sz w:val="28"/>
          <w:szCs w:val="28"/>
          <w:highlight w:val="none"/>
          <w:lang w:val="en-US" w:eastAsia="zh-CN"/>
        </w:rPr>
        <w:t>-2</w:t>
      </w:r>
      <w:r>
        <w:rPr>
          <w:rFonts w:hint="eastAsia" w:ascii="宋体" w:hAnsi="宋体" w:eastAsia="宋体" w:cs="宋体"/>
          <w:b/>
          <w:bCs/>
          <w:sz w:val="28"/>
          <w:szCs w:val="28"/>
          <w:highlight w:val="none"/>
        </w:rPr>
        <w:t>法定代表人授权书</w:t>
      </w:r>
    </w:p>
    <w:tbl>
      <w:tblPr>
        <w:tblStyle w:val="26"/>
        <w:tblW w:w="10200" w:type="dxa"/>
        <w:jc w:val="center"/>
        <w:tblLayout w:type="fixed"/>
        <w:tblCellMar>
          <w:top w:w="0" w:type="dxa"/>
          <w:left w:w="10" w:type="dxa"/>
          <w:bottom w:w="0" w:type="dxa"/>
          <w:right w:w="10" w:type="dxa"/>
        </w:tblCellMar>
      </w:tblPr>
      <w:tblGrid>
        <w:gridCol w:w="1509"/>
        <w:gridCol w:w="1443"/>
        <w:gridCol w:w="1087"/>
        <w:gridCol w:w="861"/>
        <w:gridCol w:w="800"/>
        <w:gridCol w:w="1545"/>
        <w:gridCol w:w="2955"/>
      </w:tblGrid>
      <w:tr>
        <w:tblPrEx>
          <w:tblCellMar>
            <w:top w:w="0" w:type="dxa"/>
            <w:left w:w="10" w:type="dxa"/>
            <w:bottom w:w="0" w:type="dxa"/>
            <w:right w:w="10" w:type="dxa"/>
          </w:tblCellMar>
        </w:tblPrEx>
        <w:trPr>
          <w:trHeight w:val="522" w:hRule="atLeast"/>
          <w:jc w:val="center"/>
        </w:trPr>
        <w:tc>
          <w:tcPr>
            <w:tcW w:w="10200" w:type="dxa"/>
            <w:gridSpan w:val="7"/>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ageBreakBefore w:val="0"/>
              <w:tabs>
                <w:tab w:val="right" w:leader="dot" w:pos="9022"/>
              </w:tabs>
              <w:kinsoku/>
              <w:wordWrap/>
              <w:overflowPunct/>
              <w:topLinePunct w:val="0"/>
              <w:bidi w:val="0"/>
              <w:spacing w:line="360" w:lineRule="auto"/>
              <w:jc w:val="left"/>
              <w:textAlignment w:val="auto"/>
              <w:rPr>
                <w:rFonts w:hint="eastAsia" w:ascii="宋体" w:hAnsi="宋体" w:eastAsia="宋体" w:cs="宋体"/>
                <w:bCs/>
                <w:caps/>
                <w:sz w:val="24"/>
                <w:szCs w:val="24"/>
                <w:highlight w:val="none"/>
                <w:lang w:eastAsia="zh-CN"/>
              </w:rPr>
            </w:pPr>
            <w:r>
              <w:rPr>
                <w:rFonts w:hint="eastAsia" w:ascii="宋体" w:hAnsi="宋体" w:eastAsia="宋体" w:cs="宋体"/>
                <w:bCs/>
                <w:caps/>
                <w:sz w:val="24"/>
                <w:szCs w:val="24"/>
                <w:highlight w:val="none"/>
              </w:rPr>
              <w:t>致：</w:t>
            </w:r>
            <w:r>
              <w:rPr>
                <w:rFonts w:hint="eastAsia" w:ascii="宋体" w:hAnsi="宋体" w:cs="宋体"/>
                <w:bCs/>
                <w:caps/>
                <w:sz w:val="24"/>
                <w:szCs w:val="24"/>
                <w:highlight w:val="none"/>
                <w:lang w:eastAsia="zh-CN"/>
              </w:rPr>
              <w:t>陕西正邦招标有限责任公司</w:t>
            </w:r>
          </w:p>
        </w:tc>
      </w:tr>
      <w:tr>
        <w:tblPrEx>
          <w:tblCellMar>
            <w:top w:w="0" w:type="dxa"/>
            <w:left w:w="10" w:type="dxa"/>
            <w:bottom w:w="0" w:type="dxa"/>
            <w:right w:w="10" w:type="dxa"/>
          </w:tblCellMar>
        </w:tblPrEx>
        <w:trPr>
          <w:trHeight w:val="522" w:hRule="atLeast"/>
          <w:jc w:val="center"/>
        </w:trPr>
        <w:tc>
          <w:tcPr>
            <w:tcW w:w="1509"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tabs>
                <w:tab w:val="right" w:leader="dot" w:pos="9022"/>
              </w:tabs>
              <w:kinsoku/>
              <w:wordWrap/>
              <w:overflowPunct/>
              <w:topLinePunct w:val="0"/>
              <w:bidi w:val="0"/>
              <w:spacing w:line="360" w:lineRule="auto"/>
              <w:jc w:val="center"/>
              <w:textAlignment w:val="auto"/>
              <w:rPr>
                <w:rFonts w:hint="eastAsia" w:ascii="宋体" w:hAnsi="宋体" w:eastAsia="宋体" w:cs="宋体"/>
                <w:bCs/>
                <w:caps/>
                <w:sz w:val="24"/>
                <w:szCs w:val="24"/>
                <w:highlight w:val="none"/>
              </w:rPr>
            </w:pPr>
            <w:r>
              <w:rPr>
                <w:rFonts w:hint="eastAsia" w:ascii="宋体" w:hAnsi="宋体" w:eastAsia="宋体" w:cs="宋体"/>
                <w:bCs/>
                <w:caps/>
                <w:sz w:val="24"/>
                <w:szCs w:val="24"/>
                <w:highlight w:val="none"/>
              </w:rPr>
              <w:t>被授</w:t>
            </w:r>
          </w:p>
          <w:p>
            <w:pPr>
              <w:pageBreakBefore w:val="0"/>
              <w:tabs>
                <w:tab w:val="right" w:leader="dot" w:pos="9022"/>
              </w:tabs>
              <w:kinsoku/>
              <w:wordWrap/>
              <w:overflowPunct/>
              <w:topLinePunct w:val="0"/>
              <w:bidi w:val="0"/>
              <w:spacing w:line="360" w:lineRule="auto"/>
              <w:jc w:val="center"/>
              <w:textAlignment w:val="auto"/>
              <w:rPr>
                <w:rFonts w:hint="eastAsia" w:ascii="宋体" w:hAnsi="宋体" w:eastAsia="宋体" w:cs="宋体"/>
                <w:bCs/>
                <w:caps/>
                <w:sz w:val="24"/>
                <w:szCs w:val="24"/>
                <w:highlight w:val="none"/>
              </w:rPr>
            </w:pPr>
            <w:r>
              <w:rPr>
                <w:rFonts w:hint="eastAsia" w:ascii="宋体" w:hAnsi="宋体" w:eastAsia="宋体" w:cs="宋体"/>
                <w:bCs/>
                <w:caps/>
                <w:sz w:val="24"/>
                <w:szCs w:val="24"/>
                <w:highlight w:val="none"/>
              </w:rPr>
              <w:t>权项</w:t>
            </w:r>
          </w:p>
          <w:p>
            <w:pPr>
              <w:pageBreakBefore w:val="0"/>
              <w:tabs>
                <w:tab w:val="right" w:leader="dot" w:pos="9022"/>
              </w:tabs>
              <w:kinsoku/>
              <w:wordWrap/>
              <w:overflowPunct/>
              <w:topLinePunct w:val="0"/>
              <w:bidi w:val="0"/>
              <w:spacing w:line="360" w:lineRule="auto"/>
              <w:jc w:val="center"/>
              <w:textAlignment w:val="auto"/>
              <w:rPr>
                <w:rFonts w:hint="eastAsia" w:ascii="宋体" w:hAnsi="宋体" w:eastAsia="宋体" w:cs="宋体"/>
                <w:bCs/>
                <w:caps/>
                <w:sz w:val="24"/>
                <w:szCs w:val="24"/>
                <w:highlight w:val="none"/>
              </w:rPr>
            </w:pPr>
            <w:r>
              <w:rPr>
                <w:rFonts w:hint="eastAsia" w:ascii="宋体" w:hAnsi="宋体" w:eastAsia="宋体" w:cs="宋体"/>
                <w:bCs/>
                <w:caps/>
                <w:sz w:val="24"/>
                <w:szCs w:val="24"/>
                <w:highlight w:val="none"/>
              </w:rPr>
              <w:t>目与</w:t>
            </w:r>
          </w:p>
          <w:p>
            <w:pPr>
              <w:pageBreakBefore w:val="0"/>
              <w:tabs>
                <w:tab w:val="right" w:leader="dot" w:pos="9022"/>
              </w:tabs>
              <w:kinsoku/>
              <w:wordWrap/>
              <w:overflowPunct/>
              <w:topLinePunct w:val="0"/>
              <w:bidi w:val="0"/>
              <w:spacing w:line="360" w:lineRule="auto"/>
              <w:jc w:val="center"/>
              <w:textAlignment w:val="auto"/>
              <w:rPr>
                <w:rFonts w:hint="eastAsia" w:ascii="宋体" w:hAnsi="宋体" w:eastAsia="宋体" w:cs="宋体"/>
                <w:bCs/>
                <w:caps/>
                <w:sz w:val="24"/>
                <w:szCs w:val="24"/>
                <w:highlight w:val="none"/>
              </w:rPr>
            </w:pPr>
            <w:r>
              <w:rPr>
                <w:rFonts w:hint="eastAsia" w:ascii="宋体" w:hAnsi="宋体" w:eastAsia="宋体" w:cs="宋体"/>
                <w:bCs/>
                <w:caps/>
                <w:sz w:val="24"/>
                <w:szCs w:val="24"/>
                <w:highlight w:val="none"/>
              </w:rPr>
              <w:t>内容</w:t>
            </w:r>
          </w:p>
        </w:tc>
        <w:tc>
          <w:tcPr>
            <w:tcW w:w="14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tabs>
                <w:tab w:val="right" w:leader="dot" w:pos="9022"/>
              </w:tabs>
              <w:kinsoku/>
              <w:wordWrap/>
              <w:overflowPunct/>
              <w:topLinePunct w:val="0"/>
              <w:bidi w:val="0"/>
              <w:spacing w:line="360" w:lineRule="auto"/>
              <w:jc w:val="center"/>
              <w:textAlignment w:val="auto"/>
              <w:rPr>
                <w:rFonts w:hint="eastAsia" w:ascii="宋体" w:hAnsi="宋体" w:eastAsia="宋体" w:cs="宋体"/>
                <w:bCs/>
                <w:caps/>
                <w:sz w:val="24"/>
                <w:szCs w:val="24"/>
                <w:highlight w:val="none"/>
              </w:rPr>
            </w:pPr>
            <w:r>
              <w:rPr>
                <w:rFonts w:hint="eastAsia" w:ascii="宋体" w:hAnsi="宋体" w:cs="宋体"/>
                <w:sz w:val="24"/>
                <w:szCs w:val="24"/>
                <w:highlight w:val="none"/>
                <w:lang w:eastAsia="zh-CN"/>
              </w:rPr>
              <w:t>项目名称</w:t>
            </w:r>
          </w:p>
        </w:tc>
        <w:tc>
          <w:tcPr>
            <w:tcW w:w="7248"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ageBreakBefore w:val="0"/>
              <w:tabs>
                <w:tab w:val="right" w:leader="dot" w:pos="9022"/>
              </w:tabs>
              <w:kinsoku/>
              <w:wordWrap/>
              <w:overflowPunct/>
              <w:topLinePunct w:val="0"/>
              <w:bidi w:val="0"/>
              <w:spacing w:line="360" w:lineRule="auto"/>
              <w:jc w:val="left"/>
              <w:textAlignment w:val="auto"/>
              <w:rPr>
                <w:rFonts w:hint="eastAsia" w:ascii="宋体" w:hAnsi="宋体" w:eastAsia="宋体" w:cs="宋体"/>
                <w:bCs/>
                <w:caps/>
                <w:sz w:val="24"/>
                <w:szCs w:val="24"/>
                <w:highlight w:val="none"/>
              </w:rPr>
            </w:pPr>
          </w:p>
        </w:tc>
      </w:tr>
      <w:tr>
        <w:tblPrEx>
          <w:tblCellMar>
            <w:top w:w="0" w:type="dxa"/>
            <w:left w:w="10" w:type="dxa"/>
            <w:bottom w:w="0" w:type="dxa"/>
            <w:right w:w="10" w:type="dxa"/>
          </w:tblCellMar>
        </w:tblPrEx>
        <w:trPr>
          <w:trHeight w:val="522" w:hRule="atLeast"/>
          <w:jc w:val="center"/>
        </w:trPr>
        <w:tc>
          <w:tcPr>
            <w:tcW w:w="150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ageBreakBefore w:val="0"/>
              <w:kinsoku/>
              <w:wordWrap/>
              <w:overflowPunct/>
              <w:topLinePunct w:val="0"/>
              <w:bidi w:val="0"/>
              <w:spacing w:line="360" w:lineRule="auto"/>
              <w:textAlignment w:val="auto"/>
              <w:rPr>
                <w:rFonts w:hint="eastAsia" w:ascii="宋体" w:hAnsi="宋体" w:eastAsia="宋体" w:cs="宋体"/>
                <w:sz w:val="20"/>
                <w:szCs w:val="18"/>
                <w:highlight w:val="none"/>
              </w:rPr>
            </w:pPr>
          </w:p>
        </w:tc>
        <w:tc>
          <w:tcPr>
            <w:tcW w:w="14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tabs>
                <w:tab w:val="right" w:leader="dot" w:pos="9022"/>
              </w:tabs>
              <w:kinsoku/>
              <w:wordWrap/>
              <w:overflowPunct/>
              <w:topLinePunct w:val="0"/>
              <w:bidi w:val="0"/>
              <w:spacing w:line="360" w:lineRule="auto"/>
              <w:jc w:val="center"/>
              <w:textAlignment w:val="auto"/>
              <w:rPr>
                <w:rFonts w:hint="eastAsia" w:ascii="宋体" w:hAnsi="宋体" w:eastAsia="宋体" w:cs="宋体"/>
                <w:bCs/>
                <w:caps/>
                <w:sz w:val="24"/>
                <w:szCs w:val="24"/>
                <w:highlight w:val="none"/>
              </w:rPr>
            </w:pPr>
            <w:r>
              <w:rPr>
                <w:rFonts w:hint="eastAsia" w:ascii="宋体" w:hAnsi="宋体" w:eastAsia="宋体" w:cs="宋体"/>
                <w:bCs/>
                <w:caps/>
                <w:sz w:val="24"/>
                <w:szCs w:val="24"/>
                <w:highlight w:val="none"/>
              </w:rPr>
              <w:t>项目编号</w:t>
            </w:r>
          </w:p>
        </w:tc>
        <w:tc>
          <w:tcPr>
            <w:tcW w:w="7248"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ageBreakBefore w:val="0"/>
              <w:tabs>
                <w:tab w:val="right" w:leader="dot" w:pos="9022"/>
              </w:tabs>
              <w:kinsoku/>
              <w:wordWrap/>
              <w:overflowPunct/>
              <w:topLinePunct w:val="0"/>
              <w:bidi w:val="0"/>
              <w:spacing w:line="360" w:lineRule="auto"/>
              <w:ind w:firstLine="1400"/>
              <w:jc w:val="left"/>
              <w:textAlignment w:val="auto"/>
              <w:rPr>
                <w:rFonts w:hint="eastAsia" w:ascii="宋体" w:hAnsi="宋体" w:eastAsia="宋体" w:cs="宋体"/>
                <w:bCs/>
                <w:caps/>
                <w:sz w:val="24"/>
                <w:szCs w:val="24"/>
                <w:highlight w:val="none"/>
              </w:rPr>
            </w:pPr>
          </w:p>
        </w:tc>
      </w:tr>
      <w:tr>
        <w:tblPrEx>
          <w:tblCellMar>
            <w:top w:w="0" w:type="dxa"/>
            <w:left w:w="10" w:type="dxa"/>
            <w:bottom w:w="0" w:type="dxa"/>
            <w:right w:w="10" w:type="dxa"/>
          </w:tblCellMar>
        </w:tblPrEx>
        <w:trPr>
          <w:trHeight w:val="1036" w:hRule="atLeast"/>
          <w:jc w:val="center"/>
        </w:trPr>
        <w:tc>
          <w:tcPr>
            <w:tcW w:w="150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ageBreakBefore w:val="0"/>
              <w:kinsoku/>
              <w:wordWrap/>
              <w:overflowPunct/>
              <w:topLinePunct w:val="0"/>
              <w:bidi w:val="0"/>
              <w:spacing w:line="360" w:lineRule="auto"/>
              <w:textAlignment w:val="auto"/>
              <w:rPr>
                <w:rFonts w:hint="eastAsia" w:ascii="宋体" w:hAnsi="宋体" w:eastAsia="宋体" w:cs="宋体"/>
                <w:sz w:val="20"/>
                <w:szCs w:val="18"/>
                <w:highlight w:val="none"/>
              </w:rPr>
            </w:pPr>
          </w:p>
        </w:tc>
        <w:tc>
          <w:tcPr>
            <w:tcW w:w="14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tabs>
                <w:tab w:val="right" w:leader="dot" w:pos="9022"/>
              </w:tabs>
              <w:kinsoku/>
              <w:wordWrap/>
              <w:overflowPunct/>
              <w:topLinePunct w:val="0"/>
              <w:bidi w:val="0"/>
              <w:spacing w:line="360" w:lineRule="auto"/>
              <w:jc w:val="center"/>
              <w:textAlignment w:val="auto"/>
              <w:rPr>
                <w:rFonts w:hint="eastAsia" w:ascii="宋体" w:hAnsi="宋体" w:eastAsia="宋体" w:cs="宋体"/>
                <w:bCs/>
                <w:caps/>
                <w:sz w:val="24"/>
                <w:szCs w:val="24"/>
                <w:highlight w:val="none"/>
              </w:rPr>
            </w:pPr>
            <w:r>
              <w:rPr>
                <w:rFonts w:hint="eastAsia" w:ascii="宋体" w:hAnsi="宋体" w:eastAsia="宋体" w:cs="宋体"/>
                <w:bCs/>
                <w:caps/>
                <w:sz w:val="24"/>
                <w:szCs w:val="24"/>
                <w:highlight w:val="none"/>
              </w:rPr>
              <w:t>授权范围</w:t>
            </w:r>
          </w:p>
        </w:tc>
        <w:tc>
          <w:tcPr>
            <w:tcW w:w="7248"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ageBreakBefore w:val="0"/>
              <w:tabs>
                <w:tab w:val="right" w:leader="dot" w:pos="9022"/>
              </w:tabs>
              <w:kinsoku/>
              <w:wordWrap/>
              <w:overflowPunct/>
              <w:topLinePunct w:val="0"/>
              <w:bidi w:val="0"/>
              <w:spacing w:line="360" w:lineRule="auto"/>
              <w:jc w:val="left"/>
              <w:textAlignment w:val="auto"/>
              <w:rPr>
                <w:rFonts w:hint="eastAsia" w:ascii="宋体" w:hAnsi="宋体" w:eastAsia="宋体" w:cs="宋体"/>
                <w:bCs/>
                <w:caps/>
                <w:sz w:val="24"/>
                <w:szCs w:val="24"/>
                <w:highlight w:val="none"/>
              </w:rPr>
            </w:pPr>
            <w:r>
              <w:rPr>
                <w:rFonts w:hint="eastAsia" w:ascii="宋体" w:hAnsi="宋体" w:eastAsia="宋体" w:cs="宋体"/>
                <w:bCs/>
                <w:caps/>
                <w:sz w:val="24"/>
                <w:szCs w:val="24"/>
                <w:highlight w:val="none"/>
              </w:rPr>
              <w:t>全权办理本次采购项目的</w:t>
            </w:r>
            <w:r>
              <w:rPr>
                <w:rFonts w:hint="eastAsia" w:ascii="宋体" w:hAnsi="宋体" w:eastAsia="宋体" w:cs="宋体"/>
                <w:bCs/>
                <w:sz w:val="24"/>
                <w:szCs w:val="24"/>
                <w:highlight w:val="none"/>
              </w:rPr>
              <w:t>磋商</w:t>
            </w:r>
            <w:r>
              <w:rPr>
                <w:rFonts w:hint="eastAsia" w:ascii="宋体" w:hAnsi="宋体" w:eastAsia="宋体" w:cs="宋体"/>
                <w:bCs/>
                <w:caps/>
                <w:sz w:val="24"/>
                <w:szCs w:val="24"/>
                <w:highlight w:val="none"/>
              </w:rPr>
              <w:t>、联系、洽谈、签约、执行等具体事务，签署全部有关文件、文书、协议及合同。</w:t>
            </w:r>
          </w:p>
        </w:tc>
      </w:tr>
      <w:tr>
        <w:tblPrEx>
          <w:tblCellMar>
            <w:top w:w="0" w:type="dxa"/>
            <w:left w:w="10" w:type="dxa"/>
            <w:bottom w:w="0" w:type="dxa"/>
            <w:right w:w="10" w:type="dxa"/>
          </w:tblCellMar>
        </w:tblPrEx>
        <w:trPr>
          <w:trHeight w:val="522" w:hRule="atLeast"/>
          <w:jc w:val="center"/>
        </w:trPr>
        <w:tc>
          <w:tcPr>
            <w:tcW w:w="150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ageBreakBefore w:val="0"/>
              <w:kinsoku/>
              <w:wordWrap/>
              <w:overflowPunct/>
              <w:topLinePunct w:val="0"/>
              <w:bidi w:val="0"/>
              <w:spacing w:line="360" w:lineRule="auto"/>
              <w:textAlignment w:val="auto"/>
              <w:rPr>
                <w:rFonts w:hint="eastAsia" w:ascii="宋体" w:hAnsi="宋体" w:eastAsia="宋体" w:cs="宋体"/>
                <w:sz w:val="20"/>
                <w:szCs w:val="18"/>
                <w:highlight w:val="none"/>
              </w:rPr>
            </w:pPr>
          </w:p>
        </w:tc>
        <w:tc>
          <w:tcPr>
            <w:tcW w:w="14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tabs>
                <w:tab w:val="right" w:leader="dot" w:pos="9022"/>
              </w:tabs>
              <w:kinsoku/>
              <w:wordWrap/>
              <w:overflowPunct/>
              <w:topLinePunct w:val="0"/>
              <w:bidi w:val="0"/>
              <w:spacing w:line="360" w:lineRule="auto"/>
              <w:jc w:val="center"/>
              <w:textAlignment w:val="auto"/>
              <w:rPr>
                <w:rFonts w:hint="eastAsia" w:ascii="宋体" w:hAnsi="宋体" w:eastAsia="宋体" w:cs="宋体"/>
                <w:bCs/>
                <w:caps/>
                <w:sz w:val="24"/>
                <w:szCs w:val="24"/>
                <w:highlight w:val="none"/>
              </w:rPr>
            </w:pPr>
            <w:r>
              <w:rPr>
                <w:rFonts w:hint="eastAsia" w:ascii="宋体" w:hAnsi="宋体" w:eastAsia="宋体" w:cs="宋体"/>
                <w:bCs/>
                <w:caps/>
                <w:sz w:val="24"/>
                <w:szCs w:val="24"/>
                <w:highlight w:val="none"/>
              </w:rPr>
              <w:t>法律责任</w:t>
            </w:r>
          </w:p>
        </w:tc>
        <w:tc>
          <w:tcPr>
            <w:tcW w:w="7248"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ageBreakBefore w:val="0"/>
              <w:tabs>
                <w:tab w:val="right" w:leader="dot" w:pos="9022"/>
              </w:tabs>
              <w:kinsoku/>
              <w:wordWrap/>
              <w:overflowPunct/>
              <w:topLinePunct w:val="0"/>
              <w:bidi w:val="0"/>
              <w:spacing w:line="360" w:lineRule="auto"/>
              <w:jc w:val="left"/>
              <w:textAlignment w:val="auto"/>
              <w:rPr>
                <w:rFonts w:hint="eastAsia" w:ascii="宋体" w:hAnsi="宋体" w:eastAsia="宋体" w:cs="宋体"/>
                <w:bCs/>
                <w:caps/>
                <w:sz w:val="24"/>
                <w:szCs w:val="24"/>
                <w:highlight w:val="none"/>
              </w:rPr>
            </w:pPr>
            <w:r>
              <w:rPr>
                <w:rFonts w:hint="eastAsia" w:ascii="宋体" w:hAnsi="宋体" w:eastAsia="宋体" w:cs="宋体"/>
                <w:bCs/>
                <w:caps/>
                <w:sz w:val="24"/>
                <w:szCs w:val="24"/>
                <w:highlight w:val="none"/>
              </w:rPr>
              <w:t>本公司对被授权人在本项目中的签名承担全部法律责任。</w:t>
            </w:r>
          </w:p>
        </w:tc>
      </w:tr>
      <w:tr>
        <w:tblPrEx>
          <w:tblCellMar>
            <w:top w:w="0" w:type="dxa"/>
            <w:left w:w="10" w:type="dxa"/>
            <w:bottom w:w="0" w:type="dxa"/>
            <w:right w:w="10" w:type="dxa"/>
          </w:tblCellMar>
        </w:tblPrEx>
        <w:trPr>
          <w:trHeight w:val="522" w:hRule="atLeast"/>
          <w:jc w:val="center"/>
        </w:trPr>
        <w:tc>
          <w:tcPr>
            <w:tcW w:w="150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ageBreakBefore w:val="0"/>
              <w:kinsoku/>
              <w:wordWrap/>
              <w:overflowPunct/>
              <w:topLinePunct w:val="0"/>
              <w:bidi w:val="0"/>
              <w:spacing w:line="360" w:lineRule="auto"/>
              <w:textAlignment w:val="auto"/>
              <w:rPr>
                <w:rFonts w:hint="eastAsia" w:ascii="宋体" w:hAnsi="宋体" w:eastAsia="宋体" w:cs="宋体"/>
                <w:sz w:val="20"/>
                <w:szCs w:val="18"/>
                <w:highlight w:val="none"/>
              </w:rPr>
            </w:pPr>
          </w:p>
        </w:tc>
        <w:tc>
          <w:tcPr>
            <w:tcW w:w="14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tabs>
                <w:tab w:val="right" w:leader="dot" w:pos="9022"/>
              </w:tabs>
              <w:kinsoku/>
              <w:wordWrap/>
              <w:overflowPunct/>
              <w:topLinePunct w:val="0"/>
              <w:bidi w:val="0"/>
              <w:spacing w:line="360" w:lineRule="auto"/>
              <w:jc w:val="center"/>
              <w:textAlignment w:val="auto"/>
              <w:rPr>
                <w:rFonts w:hint="eastAsia" w:ascii="宋体" w:hAnsi="宋体" w:eastAsia="宋体" w:cs="宋体"/>
                <w:bCs/>
                <w:caps/>
                <w:sz w:val="24"/>
                <w:szCs w:val="24"/>
                <w:highlight w:val="none"/>
              </w:rPr>
            </w:pPr>
            <w:r>
              <w:rPr>
                <w:rFonts w:hint="eastAsia" w:ascii="宋体" w:hAnsi="宋体" w:eastAsia="宋体" w:cs="宋体"/>
                <w:bCs/>
                <w:caps/>
                <w:sz w:val="24"/>
                <w:szCs w:val="24"/>
                <w:highlight w:val="none"/>
              </w:rPr>
              <w:t>授权期限</w:t>
            </w:r>
          </w:p>
        </w:tc>
        <w:tc>
          <w:tcPr>
            <w:tcW w:w="7248"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tabs>
                <w:tab w:val="right" w:leader="dot" w:pos="9022"/>
              </w:tabs>
              <w:kinsoku/>
              <w:wordWrap/>
              <w:overflowPunct/>
              <w:topLinePunct w:val="0"/>
              <w:bidi w:val="0"/>
              <w:spacing w:line="360" w:lineRule="auto"/>
              <w:textAlignment w:val="auto"/>
              <w:rPr>
                <w:rFonts w:hint="eastAsia" w:ascii="宋体" w:hAnsi="宋体" w:eastAsia="宋体" w:cs="宋体"/>
                <w:bCs/>
                <w:caps/>
                <w:sz w:val="24"/>
                <w:szCs w:val="24"/>
                <w:highlight w:val="none"/>
              </w:rPr>
            </w:pPr>
            <w:r>
              <w:rPr>
                <w:rFonts w:hint="eastAsia" w:ascii="宋体" w:hAnsi="宋体" w:eastAsia="宋体" w:cs="宋体"/>
                <w:bCs/>
                <w:caps/>
                <w:sz w:val="24"/>
                <w:szCs w:val="24"/>
                <w:highlight w:val="none"/>
              </w:rPr>
              <w:t>本授权书自</w:t>
            </w:r>
            <w:r>
              <w:rPr>
                <w:rFonts w:hint="eastAsia" w:ascii="宋体" w:hAnsi="宋体" w:eastAsia="宋体" w:cs="宋体"/>
                <w:bCs/>
                <w:sz w:val="24"/>
                <w:szCs w:val="24"/>
                <w:highlight w:val="none"/>
              </w:rPr>
              <w:t>磋商</w:t>
            </w:r>
            <w:r>
              <w:rPr>
                <w:rFonts w:hint="eastAsia" w:ascii="宋体" w:hAnsi="宋体" w:eastAsia="宋体" w:cs="宋体"/>
                <w:bCs/>
                <w:caps/>
                <w:sz w:val="24"/>
                <w:szCs w:val="24"/>
                <w:highlight w:val="none"/>
              </w:rPr>
              <w:t>之日起计算有效期为</w:t>
            </w:r>
            <w:r>
              <w:rPr>
                <w:rFonts w:hint="eastAsia" w:ascii="宋体" w:hAnsi="宋体" w:eastAsia="宋体" w:cs="宋体"/>
                <w:bCs/>
                <w:caps/>
                <w:sz w:val="24"/>
                <w:szCs w:val="24"/>
                <w:highlight w:val="none"/>
                <w:u w:val="single"/>
                <w:lang w:val="en-US" w:eastAsia="zh-CN"/>
              </w:rPr>
              <w:t xml:space="preserve">      </w:t>
            </w:r>
            <w:r>
              <w:rPr>
                <w:rFonts w:hint="eastAsia" w:ascii="宋体" w:hAnsi="宋体" w:eastAsia="宋体" w:cs="宋体"/>
                <w:bCs/>
                <w:caps/>
                <w:sz w:val="24"/>
                <w:szCs w:val="24"/>
                <w:highlight w:val="none"/>
              </w:rPr>
              <w:t>天</w:t>
            </w:r>
          </w:p>
        </w:tc>
      </w:tr>
      <w:tr>
        <w:tblPrEx>
          <w:tblCellMar>
            <w:top w:w="0" w:type="dxa"/>
            <w:left w:w="10" w:type="dxa"/>
            <w:bottom w:w="0" w:type="dxa"/>
            <w:right w:w="10" w:type="dxa"/>
          </w:tblCellMar>
        </w:tblPrEx>
        <w:trPr>
          <w:trHeight w:val="560" w:hRule="atLeast"/>
          <w:jc w:val="center"/>
        </w:trPr>
        <w:tc>
          <w:tcPr>
            <w:tcW w:w="1509"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tabs>
                <w:tab w:val="right" w:leader="dot" w:pos="9022"/>
              </w:tabs>
              <w:kinsoku/>
              <w:wordWrap/>
              <w:overflowPunct/>
              <w:topLinePunct w:val="0"/>
              <w:bidi w:val="0"/>
              <w:spacing w:line="360" w:lineRule="auto"/>
              <w:jc w:val="center"/>
              <w:textAlignment w:val="auto"/>
              <w:rPr>
                <w:rFonts w:hint="eastAsia" w:ascii="宋体" w:hAnsi="宋体" w:eastAsia="宋体" w:cs="宋体"/>
                <w:bCs/>
                <w:caps/>
                <w:sz w:val="24"/>
                <w:szCs w:val="24"/>
                <w:highlight w:val="none"/>
              </w:rPr>
            </w:pPr>
            <w:r>
              <w:rPr>
                <w:rFonts w:hint="eastAsia" w:ascii="宋体" w:hAnsi="宋体" w:eastAsia="宋体" w:cs="宋体"/>
                <w:bCs/>
                <w:caps/>
                <w:sz w:val="24"/>
                <w:szCs w:val="24"/>
                <w:highlight w:val="none"/>
              </w:rPr>
              <w:t>企业信息</w:t>
            </w:r>
          </w:p>
        </w:tc>
        <w:tc>
          <w:tcPr>
            <w:tcW w:w="253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ageBreakBefore w:val="0"/>
              <w:tabs>
                <w:tab w:val="right" w:leader="dot" w:pos="9022"/>
              </w:tabs>
              <w:kinsoku/>
              <w:wordWrap/>
              <w:overflowPunct/>
              <w:topLinePunct w:val="0"/>
              <w:bidi w:val="0"/>
              <w:spacing w:line="360" w:lineRule="auto"/>
              <w:jc w:val="center"/>
              <w:textAlignment w:val="auto"/>
              <w:rPr>
                <w:rFonts w:hint="eastAsia" w:ascii="宋体" w:hAnsi="宋体" w:eastAsia="宋体" w:cs="宋体"/>
                <w:bCs/>
                <w:caps/>
                <w:sz w:val="24"/>
                <w:szCs w:val="24"/>
                <w:highlight w:val="none"/>
              </w:rPr>
            </w:pPr>
            <w:r>
              <w:rPr>
                <w:rFonts w:hint="eastAsia" w:ascii="宋体" w:hAnsi="宋体" w:eastAsia="宋体" w:cs="宋体"/>
                <w:bCs/>
                <w:caps/>
                <w:sz w:val="24"/>
                <w:szCs w:val="24"/>
                <w:highlight w:val="none"/>
              </w:rPr>
              <w:t>企 业 名 称</w:t>
            </w:r>
          </w:p>
        </w:tc>
        <w:tc>
          <w:tcPr>
            <w:tcW w:w="6161"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tabs>
                <w:tab w:val="right" w:leader="dot" w:pos="9022"/>
              </w:tabs>
              <w:kinsoku/>
              <w:wordWrap/>
              <w:overflowPunct/>
              <w:topLinePunct w:val="0"/>
              <w:bidi w:val="0"/>
              <w:spacing w:line="360" w:lineRule="auto"/>
              <w:textAlignment w:val="auto"/>
              <w:rPr>
                <w:rFonts w:hint="eastAsia" w:ascii="宋体" w:hAnsi="宋体" w:eastAsia="宋体" w:cs="宋体"/>
                <w:bCs/>
                <w:caps/>
                <w:sz w:val="24"/>
                <w:szCs w:val="24"/>
                <w:highlight w:val="none"/>
              </w:rPr>
            </w:pPr>
          </w:p>
        </w:tc>
      </w:tr>
      <w:tr>
        <w:tblPrEx>
          <w:tblCellMar>
            <w:top w:w="0" w:type="dxa"/>
            <w:left w:w="10" w:type="dxa"/>
            <w:bottom w:w="0" w:type="dxa"/>
            <w:right w:w="10" w:type="dxa"/>
          </w:tblCellMar>
        </w:tblPrEx>
        <w:trPr>
          <w:trHeight w:val="560" w:hRule="atLeast"/>
          <w:jc w:val="center"/>
        </w:trPr>
        <w:tc>
          <w:tcPr>
            <w:tcW w:w="150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ageBreakBefore w:val="0"/>
              <w:kinsoku/>
              <w:wordWrap/>
              <w:overflowPunct/>
              <w:topLinePunct w:val="0"/>
              <w:bidi w:val="0"/>
              <w:spacing w:line="360" w:lineRule="auto"/>
              <w:textAlignment w:val="auto"/>
              <w:rPr>
                <w:rFonts w:hint="eastAsia" w:ascii="宋体" w:hAnsi="宋体" w:eastAsia="宋体" w:cs="宋体"/>
                <w:sz w:val="20"/>
                <w:szCs w:val="18"/>
                <w:highlight w:val="none"/>
              </w:rPr>
            </w:pPr>
          </w:p>
        </w:tc>
        <w:tc>
          <w:tcPr>
            <w:tcW w:w="253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ageBreakBefore w:val="0"/>
              <w:tabs>
                <w:tab w:val="right" w:leader="dot" w:pos="9022"/>
              </w:tabs>
              <w:kinsoku/>
              <w:wordWrap/>
              <w:overflowPunct/>
              <w:topLinePunct w:val="0"/>
              <w:bidi w:val="0"/>
              <w:spacing w:line="360" w:lineRule="auto"/>
              <w:jc w:val="center"/>
              <w:textAlignment w:val="auto"/>
              <w:rPr>
                <w:rFonts w:hint="eastAsia" w:ascii="宋体" w:hAnsi="宋体" w:eastAsia="宋体" w:cs="宋体"/>
                <w:bCs/>
                <w:caps/>
                <w:sz w:val="24"/>
                <w:szCs w:val="24"/>
                <w:highlight w:val="none"/>
              </w:rPr>
            </w:pPr>
            <w:r>
              <w:rPr>
                <w:rFonts w:hint="eastAsia" w:ascii="宋体" w:hAnsi="宋体" w:eastAsia="宋体" w:cs="宋体"/>
                <w:bCs/>
                <w:caps/>
                <w:sz w:val="24"/>
                <w:szCs w:val="24"/>
                <w:highlight w:val="none"/>
              </w:rPr>
              <w:t>法 定 地 址</w:t>
            </w:r>
          </w:p>
        </w:tc>
        <w:tc>
          <w:tcPr>
            <w:tcW w:w="6161"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tabs>
                <w:tab w:val="right" w:leader="dot" w:pos="9022"/>
              </w:tabs>
              <w:kinsoku/>
              <w:wordWrap/>
              <w:overflowPunct/>
              <w:topLinePunct w:val="0"/>
              <w:bidi w:val="0"/>
              <w:spacing w:line="360" w:lineRule="auto"/>
              <w:textAlignment w:val="auto"/>
              <w:rPr>
                <w:rFonts w:hint="eastAsia" w:ascii="宋体" w:hAnsi="宋体" w:eastAsia="宋体" w:cs="宋体"/>
                <w:bCs/>
                <w:caps/>
                <w:sz w:val="24"/>
                <w:szCs w:val="24"/>
                <w:highlight w:val="none"/>
              </w:rPr>
            </w:pPr>
          </w:p>
        </w:tc>
      </w:tr>
      <w:tr>
        <w:tblPrEx>
          <w:tblCellMar>
            <w:top w:w="0" w:type="dxa"/>
            <w:left w:w="10" w:type="dxa"/>
            <w:bottom w:w="0" w:type="dxa"/>
            <w:right w:w="10" w:type="dxa"/>
          </w:tblCellMar>
        </w:tblPrEx>
        <w:trPr>
          <w:trHeight w:val="560" w:hRule="atLeast"/>
          <w:jc w:val="center"/>
        </w:trPr>
        <w:tc>
          <w:tcPr>
            <w:tcW w:w="150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ageBreakBefore w:val="0"/>
              <w:kinsoku/>
              <w:wordWrap/>
              <w:overflowPunct/>
              <w:topLinePunct w:val="0"/>
              <w:bidi w:val="0"/>
              <w:spacing w:line="360" w:lineRule="auto"/>
              <w:textAlignment w:val="auto"/>
              <w:rPr>
                <w:rFonts w:hint="eastAsia" w:ascii="宋体" w:hAnsi="宋体" w:eastAsia="宋体" w:cs="宋体"/>
                <w:sz w:val="20"/>
                <w:szCs w:val="18"/>
                <w:highlight w:val="none"/>
              </w:rPr>
            </w:pPr>
          </w:p>
        </w:tc>
        <w:tc>
          <w:tcPr>
            <w:tcW w:w="253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ageBreakBefore w:val="0"/>
              <w:tabs>
                <w:tab w:val="right" w:leader="dot" w:pos="9022"/>
              </w:tabs>
              <w:kinsoku/>
              <w:wordWrap/>
              <w:overflowPunct/>
              <w:topLinePunct w:val="0"/>
              <w:bidi w:val="0"/>
              <w:spacing w:line="360" w:lineRule="auto"/>
              <w:jc w:val="center"/>
              <w:textAlignment w:val="auto"/>
              <w:rPr>
                <w:rFonts w:hint="eastAsia" w:ascii="宋体" w:hAnsi="宋体" w:eastAsia="宋体" w:cs="宋体"/>
                <w:bCs/>
                <w:caps/>
                <w:sz w:val="24"/>
                <w:szCs w:val="24"/>
                <w:highlight w:val="none"/>
              </w:rPr>
            </w:pPr>
            <w:r>
              <w:rPr>
                <w:rFonts w:hint="eastAsia" w:ascii="宋体" w:hAnsi="宋体" w:eastAsia="宋体" w:cs="宋体"/>
                <w:bCs/>
                <w:caps/>
                <w:sz w:val="24"/>
                <w:szCs w:val="24"/>
                <w:highlight w:val="none"/>
              </w:rPr>
              <w:t>营业执照注册证号</w:t>
            </w:r>
          </w:p>
        </w:tc>
        <w:tc>
          <w:tcPr>
            <w:tcW w:w="6161"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tabs>
                <w:tab w:val="right" w:leader="dot" w:pos="9022"/>
              </w:tabs>
              <w:kinsoku/>
              <w:wordWrap/>
              <w:overflowPunct/>
              <w:topLinePunct w:val="0"/>
              <w:bidi w:val="0"/>
              <w:spacing w:line="360" w:lineRule="auto"/>
              <w:textAlignment w:val="auto"/>
              <w:rPr>
                <w:rFonts w:hint="eastAsia" w:ascii="宋体" w:hAnsi="宋体" w:eastAsia="宋体" w:cs="宋体"/>
                <w:bCs/>
                <w:caps/>
                <w:sz w:val="24"/>
                <w:szCs w:val="24"/>
                <w:highlight w:val="none"/>
              </w:rPr>
            </w:pPr>
          </w:p>
        </w:tc>
      </w:tr>
      <w:tr>
        <w:tblPrEx>
          <w:tblCellMar>
            <w:top w:w="0" w:type="dxa"/>
            <w:left w:w="10" w:type="dxa"/>
            <w:bottom w:w="0" w:type="dxa"/>
            <w:right w:w="10" w:type="dxa"/>
          </w:tblCellMar>
        </w:tblPrEx>
        <w:trPr>
          <w:trHeight w:val="560" w:hRule="atLeast"/>
          <w:jc w:val="center"/>
        </w:trPr>
        <w:tc>
          <w:tcPr>
            <w:tcW w:w="1509"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tabs>
                <w:tab w:val="right" w:leader="dot" w:pos="9022"/>
              </w:tabs>
              <w:kinsoku/>
              <w:wordWrap/>
              <w:overflowPunct/>
              <w:topLinePunct w:val="0"/>
              <w:bidi w:val="0"/>
              <w:spacing w:line="360" w:lineRule="auto"/>
              <w:jc w:val="center"/>
              <w:textAlignment w:val="auto"/>
              <w:rPr>
                <w:rFonts w:hint="eastAsia" w:ascii="宋体" w:hAnsi="宋体" w:eastAsia="宋体" w:cs="宋体"/>
                <w:bCs/>
                <w:caps/>
                <w:sz w:val="24"/>
                <w:szCs w:val="24"/>
                <w:highlight w:val="none"/>
              </w:rPr>
            </w:pPr>
            <w:r>
              <w:rPr>
                <w:rFonts w:hint="eastAsia" w:ascii="宋体" w:hAnsi="宋体" w:eastAsia="宋体" w:cs="宋体"/>
                <w:bCs/>
                <w:caps/>
                <w:sz w:val="24"/>
                <w:szCs w:val="24"/>
                <w:highlight w:val="none"/>
              </w:rPr>
              <w:t>法定</w:t>
            </w:r>
          </w:p>
          <w:p>
            <w:pPr>
              <w:pageBreakBefore w:val="0"/>
              <w:tabs>
                <w:tab w:val="right" w:leader="dot" w:pos="9022"/>
              </w:tabs>
              <w:kinsoku/>
              <w:wordWrap/>
              <w:overflowPunct/>
              <w:topLinePunct w:val="0"/>
              <w:bidi w:val="0"/>
              <w:spacing w:line="360" w:lineRule="auto"/>
              <w:jc w:val="center"/>
              <w:textAlignment w:val="auto"/>
              <w:rPr>
                <w:rFonts w:hint="eastAsia" w:ascii="宋体" w:hAnsi="宋体" w:eastAsia="宋体" w:cs="宋体"/>
                <w:bCs/>
                <w:caps/>
                <w:sz w:val="24"/>
                <w:szCs w:val="24"/>
                <w:highlight w:val="none"/>
              </w:rPr>
            </w:pPr>
            <w:r>
              <w:rPr>
                <w:rFonts w:hint="eastAsia" w:ascii="宋体" w:hAnsi="宋体" w:eastAsia="宋体" w:cs="宋体"/>
                <w:bCs/>
                <w:caps/>
                <w:sz w:val="24"/>
                <w:szCs w:val="24"/>
                <w:highlight w:val="none"/>
              </w:rPr>
              <w:t>代表人</w:t>
            </w:r>
          </w:p>
        </w:tc>
        <w:tc>
          <w:tcPr>
            <w:tcW w:w="14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tabs>
                <w:tab w:val="right" w:leader="dot" w:pos="9022"/>
              </w:tabs>
              <w:kinsoku/>
              <w:wordWrap/>
              <w:overflowPunct/>
              <w:topLinePunct w:val="0"/>
              <w:bidi w:val="0"/>
              <w:spacing w:line="360" w:lineRule="auto"/>
              <w:jc w:val="center"/>
              <w:textAlignment w:val="auto"/>
              <w:rPr>
                <w:rFonts w:hint="eastAsia" w:ascii="宋体" w:hAnsi="宋体" w:eastAsia="宋体" w:cs="宋体"/>
                <w:bCs/>
                <w:caps/>
                <w:sz w:val="24"/>
                <w:szCs w:val="24"/>
                <w:highlight w:val="none"/>
              </w:rPr>
            </w:pPr>
            <w:r>
              <w:rPr>
                <w:rFonts w:hint="eastAsia" w:ascii="宋体" w:hAnsi="宋体" w:eastAsia="宋体" w:cs="宋体"/>
                <w:bCs/>
                <w:caps/>
                <w:sz w:val="24"/>
                <w:szCs w:val="24"/>
                <w:highlight w:val="none"/>
              </w:rPr>
              <w:t>姓名</w:t>
            </w:r>
          </w:p>
        </w:tc>
        <w:tc>
          <w:tcPr>
            <w:tcW w:w="274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tabs>
                <w:tab w:val="right" w:leader="dot" w:pos="9022"/>
              </w:tabs>
              <w:kinsoku/>
              <w:wordWrap/>
              <w:overflowPunct/>
              <w:topLinePunct w:val="0"/>
              <w:bidi w:val="0"/>
              <w:spacing w:line="360" w:lineRule="auto"/>
              <w:jc w:val="center"/>
              <w:textAlignment w:val="auto"/>
              <w:rPr>
                <w:rFonts w:hint="eastAsia" w:ascii="宋体" w:hAnsi="宋体" w:eastAsia="宋体" w:cs="宋体"/>
                <w:bCs/>
                <w:caps/>
                <w:sz w:val="24"/>
                <w:szCs w:val="24"/>
                <w:highlight w:val="none"/>
              </w:rPr>
            </w:pPr>
          </w:p>
        </w:tc>
        <w:tc>
          <w:tcPr>
            <w:tcW w:w="1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tabs>
                <w:tab w:val="right" w:leader="dot" w:pos="9022"/>
              </w:tabs>
              <w:kinsoku/>
              <w:wordWrap/>
              <w:overflowPunct/>
              <w:topLinePunct w:val="0"/>
              <w:bidi w:val="0"/>
              <w:spacing w:line="360" w:lineRule="auto"/>
              <w:jc w:val="center"/>
              <w:textAlignment w:val="auto"/>
              <w:rPr>
                <w:rFonts w:hint="eastAsia" w:ascii="宋体" w:hAnsi="宋体" w:eastAsia="宋体" w:cs="宋体"/>
                <w:bCs/>
                <w:caps/>
                <w:sz w:val="24"/>
                <w:szCs w:val="24"/>
                <w:highlight w:val="none"/>
              </w:rPr>
            </w:pPr>
            <w:r>
              <w:rPr>
                <w:rFonts w:hint="eastAsia" w:ascii="宋体" w:hAnsi="宋体" w:eastAsia="宋体" w:cs="宋体"/>
                <w:bCs/>
                <w:caps/>
                <w:sz w:val="24"/>
                <w:szCs w:val="24"/>
                <w:highlight w:val="none"/>
              </w:rPr>
              <w:t>性别</w:t>
            </w:r>
          </w:p>
        </w:tc>
        <w:tc>
          <w:tcPr>
            <w:tcW w:w="29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tabs>
                <w:tab w:val="right" w:leader="dot" w:pos="9022"/>
              </w:tabs>
              <w:kinsoku/>
              <w:wordWrap/>
              <w:overflowPunct/>
              <w:topLinePunct w:val="0"/>
              <w:bidi w:val="0"/>
              <w:spacing w:line="360" w:lineRule="auto"/>
              <w:jc w:val="center"/>
              <w:textAlignment w:val="auto"/>
              <w:rPr>
                <w:rFonts w:hint="eastAsia" w:ascii="宋体" w:hAnsi="宋体" w:eastAsia="宋体" w:cs="宋体"/>
                <w:bCs/>
                <w:caps/>
                <w:sz w:val="24"/>
                <w:szCs w:val="24"/>
                <w:highlight w:val="none"/>
              </w:rPr>
            </w:pPr>
          </w:p>
        </w:tc>
      </w:tr>
      <w:tr>
        <w:tblPrEx>
          <w:tblCellMar>
            <w:top w:w="0" w:type="dxa"/>
            <w:left w:w="10" w:type="dxa"/>
            <w:bottom w:w="0" w:type="dxa"/>
            <w:right w:w="10" w:type="dxa"/>
          </w:tblCellMar>
        </w:tblPrEx>
        <w:trPr>
          <w:trHeight w:val="560" w:hRule="atLeast"/>
          <w:jc w:val="center"/>
        </w:trPr>
        <w:tc>
          <w:tcPr>
            <w:tcW w:w="150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kinsoku/>
              <w:wordWrap/>
              <w:overflowPunct/>
              <w:topLinePunct w:val="0"/>
              <w:bidi w:val="0"/>
              <w:spacing w:line="360" w:lineRule="auto"/>
              <w:textAlignment w:val="auto"/>
              <w:rPr>
                <w:rFonts w:hint="eastAsia" w:ascii="宋体" w:hAnsi="宋体" w:eastAsia="宋体" w:cs="宋体"/>
                <w:sz w:val="20"/>
                <w:szCs w:val="18"/>
                <w:highlight w:val="none"/>
              </w:rPr>
            </w:pPr>
          </w:p>
        </w:tc>
        <w:tc>
          <w:tcPr>
            <w:tcW w:w="14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tabs>
                <w:tab w:val="right" w:leader="dot" w:pos="9022"/>
              </w:tabs>
              <w:kinsoku/>
              <w:wordWrap/>
              <w:overflowPunct/>
              <w:topLinePunct w:val="0"/>
              <w:bidi w:val="0"/>
              <w:spacing w:line="360" w:lineRule="auto"/>
              <w:jc w:val="center"/>
              <w:textAlignment w:val="auto"/>
              <w:rPr>
                <w:rFonts w:hint="eastAsia" w:ascii="宋体" w:hAnsi="宋体" w:eastAsia="宋体" w:cs="宋体"/>
                <w:bCs/>
                <w:caps/>
                <w:sz w:val="24"/>
                <w:szCs w:val="24"/>
                <w:highlight w:val="none"/>
              </w:rPr>
            </w:pPr>
            <w:r>
              <w:rPr>
                <w:rFonts w:hint="eastAsia" w:ascii="宋体" w:hAnsi="宋体" w:eastAsia="宋体" w:cs="宋体"/>
                <w:bCs/>
                <w:caps/>
                <w:sz w:val="24"/>
                <w:szCs w:val="24"/>
                <w:highlight w:val="none"/>
              </w:rPr>
              <w:t>职务</w:t>
            </w:r>
          </w:p>
        </w:tc>
        <w:tc>
          <w:tcPr>
            <w:tcW w:w="274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tabs>
                <w:tab w:val="right" w:leader="dot" w:pos="9022"/>
              </w:tabs>
              <w:kinsoku/>
              <w:wordWrap/>
              <w:overflowPunct/>
              <w:topLinePunct w:val="0"/>
              <w:bidi w:val="0"/>
              <w:spacing w:line="360" w:lineRule="auto"/>
              <w:jc w:val="center"/>
              <w:textAlignment w:val="auto"/>
              <w:rPr>
                <w:rFonts w:hint="eastAsia" w:ascii="宋体" w:hAnsi="宋体" w:eastAsia="宋体" w:cs="宋体"/>
                <w:bCs/>
                <w:caps/>
                <w:sz w:val="24"/>
                <w:szCs w:val="24"/>
                <w:highlight w:val="none"/>
              </w:rPr>
            </w:pPr>
          </w:p>
        </w:tc>
        <w:tc>
          <w:tcPr>
            <w:tcW w:w="1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tabs>
                <w:tab w:val="right" w:leader="dot" w:pos="9022"/>
              </w:tabs>
              <w:kinsoku/>
              <w:wordWrap/>
              <w:overflowPunct/>
              <w:topLinePunct w:val="0"/>
              <w:bidi w:val="0"/>
              <w:spacing w:line="360" w:lineRule="auto"/>
              <w:jc w:val="center"/>
              <w:textAlignment w:val="auto"/>
              <w:rPr>
                <w:rFonts w:hint="eastAsia" w:ascii="宋体" w:hAnsi="宋体" w:eastAsia="宋体" w:cs="宋体"/>
                <w:bCs/>
                <w:caps/>
                <w:sz w:val="24"/>
                <w:szCs w:val="24"/>
                <w:highlight w:val="none"/>
              </w:rPr>
            </w:pPr>
            <w:r>
              <w:rPr>
                <w:rFonts w:hint="eastAsia" w:ascii="宋体" w:hAnsi="宋体" w:eastAsia="宋体" w:cs="宋体"/>
                <w:bCs/>
                <w:caps/>
                <w:sz w:val="24"/>
                <w:szCs w:val="24"/>
                <w:highlight w:val="none"/>
              </w:rPr>
              <w:t>手机号码</w:t>
            </w:r>
          </w:p>
        </w:tc>
        <w:tc>
          <w:tcPr>
            <w:tcW w:w="29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tabs>
                <w:tab w:val="right" w:leader="dot" w:pos="9022"/>
              </w:tabs>
              <w:kinsoku/>
              <w:wordWrap/>
              <w:overflowPunct/>
              <w:topLinePunct w:val="0"/>
              <w:bidi w:val="0"/>
              <w:spacing w:line="360" w:lineRule="auto"/>
              <w:textAlignment w:val="auto"/>
              <w:rPr>
                <w:rFonts w:hint="eastAsia" w:ascii="宋体" w:hAnsi="宋体" w:eastAsia="宋体" w:cs="宋体"/>
                <w:bCs/>
                <w:caps/>
                <w:sz w:val="24"/>
                <w:szCs w:val="24"/>
                <w:highlight w:val="none"/>
              </w:rPr>
            </w:pPr>
          </w:p>
        </w:tc>
      </w:tr>
      <w:tr>
        <w:tblPrEx>
          <w:tblCellMar>
            <w:top w:w="0" w:type="dxa"/>
            <w:left w:w="10" w:type="dxa"/>
            <w:bottom w:w="0" w:type="dxa"/>
            <w:right w:w="10" w:type="dxa"/>
          </w:tblCellMar>
        </w:tblPrEx>
        <w:trPr>
          <w:trHeight w:val="560" w:hRule="atLeast"/>
          <w:jc w:val="center"/>
        </w:trPr>
        <w:tc>
          <w:tcPr>
            <w:tcW w:w="1509"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tabs>
                <w:tab w:val="right" w:leader="dot" w:pos="9022"/>
              </w:tabs>
              <w:kinsoku/>
              <w:wordWrap/>
              <w:overflowPunct/>
              <w:topLinePunct w:val="0"/>
              <w:bidi w:val="0"/>
              <w:spacing w:line="360" w:lineRule="auto"/>
              <w:jc w:val="center"/>
              <w:textAlignment w:val="auto"/>
              <w:rPr>
                <w:rFonts w:hint="eastAsia" w:ascii="宋体" w:hAnsi="宋体" w:eastAsia="宋体" w:cs="宋体"/>
                <w:bCs/>
                <w:caps/>
                <w:sz w:val="24"/>
                <w:szCs w:val="24"/>
                <w:highlight w:val="none"/>
              </w:rPr>
            </w:pPr>
            <w:r>
              <w:rPr>
                <w:rFonts w:hint="eastAsia" w:ascii="宋体" w:hAnsi="宋体" w:eastAsia="宋体" w:cs="宋体"/>
                <w:bCs/>
                <w:caps/>
                <w:sz w:val="24"/>
                <w:szCs w:val="24"/>
                <w:highlight w:val="none"/>
              </w:rPr>
              <w:t>被授权人</w:t>
            </w:r>
          </w:p>
        </w:tc>
        <w:tc>
          <w:tcPr>
            <w:tcW w:w="14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tabs>
                <w:tab w:val="right" w:leader="dot" w:pos="9022"/>
              </w:tabs>
              <w:kinsoku/>
              <w:wordWrap/>
              <w:overflowPunct/>
              <w:topLinePunct w:val="0"/>
              <w:bidi w:val="0"/>
              <w:spacing w:line="360" w:lineRule="auto"/>
              <w:jc w:val="center"/>
              <w:textAlignment w:val="auto"/>
              <w:rPr>
                <w:rFonts w:hint="eastAsia" w:ascii="宋体" w:hAnsi="宋体" w:eastAsia="宋体" w:cs="宋体"/>
                <w:bCs/>
                <w:caps/>
                <w:sz w:val="24"/>
                <w:szCs w:val="24"/>
                <w:highlight w:val="none"/>
              </w:rPr>
            </w:pPr>
            <w:r>
              <w:rPr>
                <w:rFonts w:hint="eastAsia" w:ascii="宋体" w:hAnsi="宋体" w:eastAsia="宋体" w:cs="宋体"/>
                <w:bCs/>
                <w:caps/>
                <w:sz w:val="24"/>
                <w:szCs w:val="24"/>
                <w:highlight w:val="none"/>
              </w:rPr>
              <w:t>姓名</w:t>
            </w:r>
          </w:p>
        </w:tc>
        <w:tc>
          <w:tcPr>
            <w:tcW w:w="274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tabs>
                <w:tab w:val="right" w:leader="dot" w:pos="9022"/>
              </w:tabs>
              <w:kinsoku/>
              <w:wordWrap/>
              <w:overflowPunct/>
              <w:topLinePunct w:val="0"/>
              <w:bidi w:val="0"/>
              <w:spacing w:line="360" w:lineRule="auto"/>
              <w:jc w:val="center"/>
              <w:textAlignment w:val="auto"/>
              <w:rPr>
                <w:rFonts w:hint="eastAsia" w:ascii="宋体" w:hAnsi="宋体" w:eastAsia="宋体" w:cs="宋体"/>
                <w:bCs/>
                <w:caps/>
                <w:sz w:val="24"/>
                <w:szCs w:val="24"/>
                <w:highlight w:val="none"/>
              </w:rPr>
            </w:pPr>
          </w:p>
        </w:tc>
        <w:tc>
          <w:tcPr>
            <w:tcW w:w="1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tabs>
                <w:tab w:val="right" w:leader="dot" w:pos="9022"/>
              </w:tabs>
              <w:kinsoku/>
              <w:wordWrap/>
              <w:overflowPunct/>
              <w:topLinePunct w:val="0"/>
              <w:bidi w:val="0"/>
              <w:spacing w:line="360" w:lineRule="auto"/>
              <w:jc w:val="center"/>
              <w:textAlignment w:val="auto"/>
              <w:rPr>
                <w:rFonts w:hint="eastAsia" w:ascii="宋体" w:hAnsi="宋体" w:eastAsia="宋体" w:cs="宋体"/>
                <w:bCs/>
                <w:caps/>
                <w:sz w:val="24"/>
                <w:szCs w:val="24"/>
                <w:highlight w:val="none"/>
              </w:rPr>
            </w:pPr>
            <w:r>
              <w:rPr>
                <w:rFonts w:hint="eastAsia" w:ascii="宋体" w:hAnsi="宋体" w:eastAsia="宋体" w:cs="宋体"/>
                <w:bCs/>
                <w:caps/>
                <w:sz w:val="24"/>
                <w:szCs w:val="24"/>
                <w:highlight w:val="none"/>
              </w:rPr>
              <w:t>性别</w:t>
            </w:r>
          </w:p>
        </w:tc>
        <w:tc>
          <w:tcPr>
            <w:tcW w:w="29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tabs>
                <w:tab w:val="right" w:leader="dot" w:pos="9022"/>
              </w:tabs>
              <w:kinsoku/>
              <w:wordWrap/>
              <w:overflowPunct/>
              <w:topLinePunct w:val="0"/>
              <w:bidi w:val="0"/>
              <w:spacing w:line="360" w:lineRule="auto"/>
              <w:jc w:val="center"/>
              <w:textAlignment w:val="auto"/>
              <w:rPr>
                <w:rFonts w:hint="eastAsia" w:ascii="宋体" w:hAnsi="宋体" w:eastAsia="宋体" w:cs="宋体"/>
                <w:bCs/>
                <w:caps/>
                <w:sz w:val="24"/>
                <w:szCs w:val="24"/>
                <w:highlight w:val="none"/>
              </w:rPr>
            </w:pPr>
          </w:p>
        </w:tc>
      </w:tr>
      <w:tr>
        <w:tblPrEx>
          <w:tblCellMar>
            <w:top w:w="0" w:type="dxa"/>
            <w:left w:w="10" w:type="dxa"/>
            <w:bottom w:w="0" w:type="dxa"/>
            <w:right w:w="10" w:type="dxa"/>
          </w:tblCellMar>
        </w:tblPrEx>
        <w:trPr>
          <w:trHeight w:val="560" w:hRule="atLeast"/>
          <w:jc w:val="center"/>
        </w:trPr>
        <w:tc>
          <w:tcPr>
            <w:tcW w:w="150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ageBreakBefore w:val="0"/>
              <w:kinsoku/>
              <w:wordWrap/>
              <w:overflowPunct/>
              <w:topLinePunct w:val="0"/>
              <w:bidi w:val="0"/>
              <w:spacing w:line="360" w:lineRule="auto"/>
              <w:textAlignment w:val="auto"/>
              <w:rPr>
                <w:rFonts w:hint="eastAsia" w:ascii="宋体" w:hAnsi="宋体" w:eastAsia="宋体" w:cs="宋体"/>
                <w:sz w:val="20"/>
                <w:szCs w:val="18"/>
                <w:highlight w:val="none"/>
              </w:rPr>
            </w:pPr>
          </w:p>
        </w:tc>
        <w:tc>
          <w:tcPr>
            <w:tcW w:w="14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tabs>
                <w:tab w:val="right" w:leader="dot" w:pos="9022"/>
              </w:tabs>
              <w:kinsoku/>
              <w:wordWrap/>
              <w:overflowPunct/>
              <w:topLinePunct w:val="0"/>
              <w:bidi w:val="0"/>
              <w:spacing w:line="360" w:lineRule="auto"/>
              <w:jc w:val="center"/>
              <w:textAlignment w:val="auto"/>
              <w:rPr>
                <w:rFonts w:hint="eastAsia" w:ascii="宋体" w:hAnsi="宋体" w:eastAsia="宋体" w:cs="宋体"/>
                <w:bCs/>
                <w:caps/>
                <w:sz w:val="24"/>
                <w:szCs w:val="24"/>
                <w:highlight w:val="none"/>
              </w:rPr>
            </w:pPr>
            <w:r>
              <w:rPr>
                <w:rFonts w:hint="eastAsia" w:ascii="宋体" w:hAnsi="宋体" w:eastAsia="宋体" w:cs="宋体"/>
                <w:bCs/>
                <w:caps/>
                <w:sz w:val="24"/>
                <w:szCs w:val="24"/>
                <w:highlight w:val="none"/>
              </w:rPr>
              <w:t>职务</w:t>
            </w:r>
          </w:p>
        </w:tc>
        <w:tc>
          <w:tcPr>
            <w:tcW w:w="274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tabs>
                <w:tab w:val="right" w:leader="dot" w:pos="9022"/>
              </w:tabs>
              <w:kinsoku/>
              <w:wordWrap/>
              <w:overflowPunct/>
              <w:topLinePunct w:val="0"/>
              <w:bidi w:val="0"/>
              <w:spacing w:line="360" w:lineRule="auto"/>
              <w:jc w:val="center"/>
              <w:textAlignment w:val="auto"/>
              <w:rPr>
                <w:rFonts w:hint="eastAsia" w:ascii="宋体" w:hAnsi="宋体" w:eastAsia="宋体" w:cs="宋体"/>
                <w:bCs/>
                <w:caps/>
                <w:sz w:val="24"/>
                <w:szCs w:val="24"/>
                <w:highlight w:val="none"/>
              </w:rPr>
            </w:pPr>
          </w:p>
        </w:tc>
        <w:tc>
          <w:tcPr>
            <w:tcW w:w="1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tabs>
                <w:tab w:val="right" w:leader="dot" w:pos="9022"/>
              </w:tabs>
              <w:kinsoku/>
              <w:wordWrap/>
              <w:overflowPunct/>
              <w:topLinePunct w:val="0"/>
              <w:bidi w:val="0"/>
              <w:spacing w:line="360" w:lineRule="auto"/>
              <w:jc w:val="center"/>
              <w:textAlignment w:val="auto"/>
              <w:rPr>
                <w:rFonts w:hint="eastAsia" w:ascii="宋体" w:hAnsi="宋体" w:eastAsia="宋体" w:cs="宋体"/>
                <w:bCs/>
                <w:caps/>
                <w:sz w:val="24"/>
                <w:szCs w:val="24"/>
                <w:highlight w:val="none"/>
              </w:rPr>
            </w:pPr>
            <w:r>
              <w:rPr>
                <w:rFonts w:hint="eastAsia" w:ascii="宋体" w:hAnsi="宋体" w:eastAsia="宋体" w:cs="宋体"/>
                <w:bCs/>
                <w:caps/>
                <w:sz w:val="24"/>
                <w:szCs w:val="24"/>
                <w:highlight w:val="none"/>
              </w:rPr>
              <w:t>手机号码</w:t>
            </w:r>
          </w:p>
        </w:tc>
        <w:tc>
          <w:tcPr>
            <w:tcW w:w="29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ageBreakBefore w:val="0"/>
              <w:tabs>
                <w:tab w:val="right" w:leader="dot" w:pos="9022"/>
              </w:tabs>
              <w:kinsoku/>
              <w:wordWrap/>
              <w:overflowPunct/>
              <w:topLinePunct w:val="0"/>
              <w:bidi w:val="0"/>
              <w:spacing w:line="360" w:lineRule="auto"/>
              <w:textAlignment w:val="auto"/>
              <w:rPr>
                <w:rFonts w:hint="eastAsia" w:ascii="宋体" w:hAnsi="宋体" w:eastAsia="宋体" w:cs="宋体"/>
                <w:bCs/>
                <w:caps/>
                <w:sz w:val="24"/>
                <w:szCs w:val="24"/>
                <w:highlight w:val="none"/>
              </w:rPr>
            </w:pPr>
          </w:p>
        </w:tc>
      </w:tr>
      <w:tr>
        <w:tblPrEx>
          <w:tblCellMar>
            <w:top w:w="0" w:type="dxa"/>
            <w:left w:w="10" w:type="dxa"/>
            <w:bottom w:w="0" w:type="dxa"/>
            <w:right w:w="10" w:type="dxa"/>
          </w:tblCellMar>
        </w:tblPrEx>
        <w:trPr>
          <w:trHeight w:val="560" w:hRule="atLeast"/>
          <w:jc w:val="center"/>
        </w:trPr>
        <w:tc>
          <w:tcPr>
            <w:tcW w:w="15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ageBreakBefore w:val="0"/>
              <w:tabs>
                <w:tab w:val="right" w:leader="dot" w:pos="9022"/>
              </w:tabs>
              <w:kinsoku/>
              <w:wordWrap/>
              <w:overflowPunct/>
              <w:topLinePunct w:val="0"/>
              <w:bidi w:val="0"/>
              <w:spacing w:line="360" w:lineRule="auto"/>
              <w:jc w:val="center"/>
              <w:textAlignment w:val="auto"/>
              <w:rPr>
                <w:rFonts w:hint="eastAsia" w:ascii="宋体" w:hAnsi="宋体" w:eastAsia="宋体" w:cs="宋体"/>
                <w:bCs/>
                <w:caps/>
                <w:sz w:val="24"/>
                <w:szCs w:val="24"/>
                <w:highlight w:val="none"/>
              </w:rPr>
            </w:pPr>
            <w:r>
              <w:rPr>
                <w:rFonts w:hint="eastAsia" w:ascii="宋体" w:hAnsi="宋体" w:eastAsia="宋体" w:cs="宋体"/>
                <w:bCs/>
                <w:caps/>
                <w:sz w:val="24"/>
                <w:szCs w:val="24"/>
                <w:highlight w:val="none"/>
              </w:rPr>
              <w:t>通讯地址</w:t>
            </w:r>
          </w:p>
        </w:tc>
        <w:tc>
          <w:tcPr>
            <w:tcW w:w="8691"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ageBreakBefore w:val="0"/>
              <w:tabs>
                <w:tab w:val="right" w:leader="dot" w:pos="9022"/>
              </w:tabs>
              <w:kinsoku/>
              <w:wordWrap/>
              <w:overflowPunct/>
              <w:topLinePunct w:val="0"/>
              <w:bidi w:val="0"/>
              <w:spacing w:line="360" w:lineRule="auto"/>
              <w:jc w:val="left"/>
              <w:textAlignment w:val="auto"/>
              <w:rPr>
                <w:rFonts w:hint="eastAsia" w:ascii="宋体" w:hAnsi="宋体" w:eastAsia="宋体" w:cs="宋体"/>
                <w:bCs/>
                <w:caps/>
                <w:sz w:val="24"/>
                <w:szCs w:val="24"/>
                <w:highlight w:val="none"/>
              </w:rPr>
            </w:pPr>
          </w:p>
        </w:tc>
      </w:tr>
      <w:tr>
        <w:tblPrEx>
          <w:tblCellMar>
            <w:top w:w="0" w:type="dxa"/>
            <w:left w:w="10" w:type="dxa"/>
            <w:bottom w:w="0" w:type="dxa"/>
            <w:right w:w="10" w:type="dxa"/>
          </w:tblCellMar>
        </w:tblPrEx>
        <w:trPr>
          <w:trHeight w:val="3863" w:hRule="atLeast"/>
          <w:jc w:val="center"/>
        </w:trPr>
        <w:tc>
          <w:tcPr>
            <w:tcW w:w="4900"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tabs>
                <w:tab w:val="right" w:leader="dot" w:pos="9022"/>
              </w:tabs>
              <w:kinsoku/>
              <w:wordWrap/>
              <w:overflowPunct/>
              <w:topLinePunct w:val="0"/>
              <w:bidi w:val="0"/>
              <w:spacing w:line="360" w:lineRule="auto"/>
              <w:jc w:val="center"/>
              <w:textAlignment w:val="auto"/>
              <w:rPr>
                <w:rFonts w:hint="eastAsia" w:ascii="宋体" w:hAnsi="宋体" w:eastAsia="宋体" w:cs="宋体"/>
                <w:bCs/>
                <w:caps/>
                <w:sz w:val="24"/>
                <w:szCs w:val="24"/>
                <w:highlight w:val="none"/>
              </w:rPr>
            </w:pPr>
            <w:r>
              <w:rPr>
                <w:rFonts w:hint="eastAsia" w:ascii="宋体" w:hAnsi="宋体" w:eastAsia="宋体" w:cs="宋体"/>
                <w:bCs/>
                <w:caps/>
                <w:sz w:val="24"/>
                <w:szCs w:val="24"/>
                <w:highlight w:val="none"/>
              </w:rPr>
              <w:t>法定代表人身份证复印件</w:t>
            </w:r>
          </w:p>
          <w:p>
            <w:pPr>
              <w:pageBreakBefore w:val="0"/>
              <w:tabs>
                <w:tab w:val="right" w:leader="dot" w:pos="9022"/>
              </w:tabs>
              <w:kinsoku/>
              <w:wordWrap/>
              <w:overflowPunct/>
              <w:topLinePunct w:val="0"/>
              <w:bidi w:val="0"/>
              <w:spacing w:line="360" w:lineRule="auto"/>
              <w:jc w:val="center"/>
              <w:textAlignment w:val="auto"/>
              <w:rPr>
                <w:rFonts w:hint="eastAsia" w:ascii="宋体" w:hAnsi="宋体" w:eastAsia="宋体" w:cs="宋体"/>
                <w:bCs/>
                <w:caps/>
                <w:sz w:val="24"/>
                <w:szCs w:val="24"/>
                <w:highlight w:val="none"/>
              </w:rPr>
            </w:pPr>
            <w:r>
              <w:rPr>
                <w:rFonts w:hint="eastAsia" w:ascii="宋体" w:hAnsi="宋体" w:eastAsia="宋体" w:cs="宋体"/>
                <w:bCs/>
                <w:caps/>
                <w:sz w:val="24"/>
                <w:szCs w:val="24"/>
                <w:highlight w:val="none"/>
              </w:rPr>
              <w:t>二代身份证正、反两面都需复印</w:t>
            </w:r>
          </w:p>
        </w:tc>
        <w:tc>
          <w:tcPr>
            <w:tcW w:w="530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tabs>
                <w:tab w:val="right" w:leader="dot" w:pos="9022"/>
              </w:tabs>
              <w:kinsoku/>
              <w:wordWrap/>
              <w:overflowPunct/>
              <w:topLinePunct w:val="0"/>
              <w:bidi w:val="0"/>
              <w:spacing w:line="360" w:lineRule="auto"/>
              <w:jc w:val="center"/>
              <w:textAlignment w:val="auto"/>
              <w:rPr>
                <w:rFonts w:hint="eastAsia" w:ascii="宋体" w:hAnsi="宋体" w:eastAsia="宋体" w:cs="宋体"/>
                <w:bCs/>
                <w:caps/>
                <w:sz w:val="24"/>
                <w:szCs w:val="24"/>
                <w:highlight w:val="none"/>
              </w:rPr>
            </w:pPr>
            <w:r>
              <w:rPr>
                <w:rFonts w:hint="eastAsia" w:ascii="宋体" w:hAnsi="宋体" w:eastAsia="宋体" w:cs="宋体"/>
                <w:bCs/>
                <w:caps/>
                <w:sz w:val="24"/>
                <w:szCs w:val="24"/>
                <w:highlight w:val="none"/>
              </w:rPr>
              <w:t>被授权人身份证复印件</w:t>
            </w:r>
          </w:p>
          <w:p>
            <w:pPr>
              <w:pageBreakBefore w:val="0"/>
              <w:tabs>
                <w:tab w:val="right" w:leader="dot" w:pos="9022"/>
              </w:tabs>
              <w:kinsoku/>
              <w:wordWrap/>
              <w:overflowPunct/>
              <w:topLinePunct w:val="0"/>
              <w:bidi w:val="0"/>
              <w:spacing w:line="360" w:lineRule="auto"/>
              <w:jc w:val="center"/>
              <w:textAlignment w:val="auto"/>
              <w:rPr>
                <w:rFonts w:hint="eastAsia" w:ascii="宋体" w:hAnsi="宋体" w:eastAsia="宋体" w:cs="宋体"/>
                <w:bCs/>
                <w:caps/>
                <w:sz w:val="24"/>
                <w:szCs w:val="24"/>
                <w:highlight w:val="none"/>
              </w:rPr>
            </w:pPr>
            <w:r>
              <w:rPr>
                <w:rFonts w:hint="eastAsia" w:ascii="宋体" w:hAnsi="宋体" w:eastAsia="宋体" w:cs="宋体"/>
                <w:bCs/>
                <w:caps/>
                <w:sz w:val="24"/>
                <w:szCs w:val="24"/>
                <w:highlight w:val="none"/>
              </w:rPr>
              <w:t>二代身份证正、反两面都需复印</w:t>
            </w:r>
          </w:p>
        </w:tc>
      </w:tr>
      <w:tr>
        <w:tblPrEx>
          <w:tblCellMar>
            <w:top w:w="0" w:type="dxa"/>
            <w:left w:w="10" w:type="dxa"/>
            <w:bottom w:w="0" w:type="dxa"/>
            <w:right w:w="10" w:type="dxa"/>
          </w:tblCellMar>
        </w:tblPrEx>
        <w:trPr>
          <w:trHeight w:val="643" w:hRule="atLeast"/>
          <w:jc w:val="center"/>
        </w:trPr>
        <w:tc>
          <w:tcPr>
            <w:tcW w:w="10200" w:type="dxa"/>
            <w:gridSpan w:val="7"/>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ageBreakBefore w:val="0"/>
              <w:tabs>
                <w:tab w:val="right" w:leader="dot" w:pos="9022"/>
              </w:tabs>
              <w:kinsoku/>
              <w:wordWrap/>
              <w:overflowPunct/>
              <w:topLinePunct w:val="0"/>
              <w:bidi w:val="0"/>
              <w:spacing w:line="360" w:lineRule="auto"/>
              <w:jc w:val="left"/>
              <w:textAlignment w:val="auto"/>
              <w:rPr>
                <w:rFonts w:hint="eastAsia" w:ascii="宋体" w:hAnsi="宋体" w:eastAsia="宋体" w:cs="宋体"/>
                <w:bCs/>
                <w:caps/>
                <w:sz w:val="24"/>
                <w:szCs w:val="24"/>
                <w:highlight w:val="none"/>
              </w:rPr>
            </w:pPr>
            <w:r>
              <w:rPr>
                <w:rFonts w:hint="eastAsia" w:ascii="宋体" w:hAnsi="宋体" w:eastAsia="宋体" w:cs="宋体"/>
                <w:bCs/>
                <w:caps/>
                <w:sz w:val="24"/>
                <w:szCs w:val="24"/>
                <w:highlight w:val="none"/>
              </w:rPr>
              <w:t>法定代表人</w:t>
            </w:r>
            <w:r>
              <w:rPr>
                <w:rFonts w:hint="eastAsia" w:ascii="宋体" w:hAnsi="宋体" w:eastAsia="宋体" w:cs="宋体"/>
                <w:bCs/>
                <w:caps/>
                <w:sz w:val="24"/>
                <w:szCs w:val="24"/>
                <w:highlight w:val="none"/>
                <w:lang w:eastAsia="zh-CN"/>
              </w:rPr>
              <w:t>或</w:t>
            </w:r>
            <w:r>
              <w:rPr>
                <w:rFonts w:hint="eastAsia" w:ascii="宋体" w:hAnsi="宋体" w:eastAsia="宋体" w:cs="宋体"/>
                <w:bCs/>
                <w:caps/>
                <w:sz w:val="24"/>
                <w:szCs w:val="24"/>
                <w:highlight w:val="none"/>
              </w:rPr>
              <w:t>被授权人签字或盖章：</w:t>
            </w:r>
          </w:p>
        </w:tc>
      </w:tr>
    </w:tbl>
    <w:p>
      <w:pPr>
        <w:pageBreakBefore w:val="0"/>
        <w:kinsoku/>
        <w:wordWrap/>
        <w:overflowPunct/>
        <w:topLinePunct w:val="0"/>
        <w:bidi w:val="0"/>
        <w:spacing w:line="360" w:lineRule="auto"/>
        <w:textAlignment w:val="auto"/>
        <w:rPr>
          <w:rFonts w:hint="eastAsia" w:ascii="宋体" w:hAnsi="宋体" w:cs="宋体"/>
          <w:b/>
          <w:color w:val="auto"/>
          <w:sz w:val="22"/>
          <w:szCs w:val="22"/>
        </w:rPr>
      </w:pPr>
      <w:r>
        <w:rPr>
          <w:rFonts w:hint="eastAsia" w:ascii="宋体" w:hAnsi="宋体" w:eastAsia="宋体" w:cs="宋体"/>
          <w:bCs/>
          <w:sz w:val="24"/>
          <w:szCs w:val="24"/>
          <w:highlight w:val="none"/>
        </w:rPr>
        <w:t>供应商名称：</w:t>
      </w:r>
      <w:r>
        <w:rPr>
          <w:rFonts w:hint="eastAsia" w:ascii="宋体" w:hAnsi="宋体" w:eastAsia="宋体" w:cs="宋体"/>
          <w:bCs/>
          <w:sz w:val="24"/>
          <w:szCs w:val="24"/>
          <w:highlight w:val="none"/>
          <w:u w:val="single"/>
        </w:rPr>
        <w:t xml:space="preserve">              </w:t>
      </w:r>
      <w:r>
        <w:rPr>
          <w:rFonts w:hint="eastAsia" w:ascii="宋体" w:hAnsi="宋体" w:eastAsia="宋体" w:cs="宋体"/>
          <w:bCs/>
          <w:sz w:val="24"/>
          <w:szCs w:val="24"/>
          <w:highlight w:val="none"/>
        </w:rPr>
        <w:t>（单位公章）         日 期：</w:t>
      </w:r>
    </w:p>
    <w:p>
      <w:pPr>
        <w:jc w:val="center"/>
        <w:rPr>
          <w:rFonts w:hint="eastAsia" w:ascii="宋体" w:hAnsi="宋体" w:cs="宋体"/>
          <w:b/>
          <w:color w:val="auto"/>
          <w:sz w:val="36"/>
          <w:szCs w:val="36"/>
          <w:lang w:bidi="ar"/>
        </w:rPr>
        <w:sectPr>
          <w:headerReference r:id="rId25" w:type="default"/>
          <w:footerReference r:id="rId26" w:type="default"/>
          <w:pgSz w:w="11906" w:h="16838"/>
          <w:pgMar w:top="1440" w:right="1423" w:bottom="1440" w:left="1423" w:header="851" w:footer="992" w:gutter="0"/>
          <w:pgNumType w:fmt="decimal"/>
          <w:cols w:space="720" w:num="1"/>
          <w:docGrid w:linePitch="312" w:charSpace="0"/>
        </w:sectPr>
      </w:pPr>
    </w:p>
    <w:p>
      <w:pPr>
        <w:pStyle w:val="4"/>
        <w:spacing w:before="0" w:after="0" w:line="500" w:lineRule="exact"/>
        <w:jc w:val="both"/>
        <w:rPr>
          <w:rFonts w:hint="eastAsia" w:ascii="宋体" w:hAnsi="宋体" w:eastAsia="宋体" w:cs="宋体"/>
          <w:sz w:val="24"/>
          <w:szCs w:val="24"/>
        </w:rPr>
      </w:pPr>
      <w:bookmarkStart w:id="142" w:name="_Toc28915"/>
      <w:r>
        <w:rPr>
          <w:rFonts w:hint="eastAsia" w:ascii="宋体" w:hAnsi="宋体" w:cs="宋体"/>
          <w:sz w:val="24"/>
          <w:szCs w:val="24"/>
          <w:lang w:eastAsia="zh-CN"/>
        </w:rPr>
        <w:t>五、</w:t>
      </w:r>
      <w:r>
        <w:rPr>
          <w:rFonts w:hint="eastAsia" w:ascii="Times New Roman" w:hAnsi="Times New Roman" w:eastAsia="宋体"/>
          <w:sz w:val="24"/>
          <w:szCs w:val="24"/>
        </w:rPr>
        <w:t>商务</w:t>
      </w:r>
      <w:r>
        <w:rPr>
          <w:rFonts w:hint="eastAsia" w:ascii="宋体" w:hAnsi="宋体" w:eastAsia="宋体" w:cs="宋体"/>
          <w:sz w:val="24"/>
          <w:szCs w:val="24"/>
        </w:rPr>
        <w:t>条款响应偏离表（格式）</w:t>
      </w:r>
      <w:bookmarkEnd w:id="142"/>
    </w:p>
    <w:p>
      <w:pPr>
        <w:spacing w:line="500" w:lineRule="exact"/>
        <w:ind w:left="283" w:leftChars="100"/>
        <w:jc w:val="center"/>
        <w:rPr>
          <w:rFonts w:hint="eastAsia" w:ascii="宋体" w:hAnsi="宋体" w:cs="宋体"/>
          <w:b/>
          <w:bCs/>
          <w:sz w:val="36"/>
          <w:szCs w:val="21"/>
        </w:rPr>
      </w:pPr>
      <w:r>
        <w:rPr>
          <w:rFonts w:hint="eastAsia" w:ascii="宋体" w:hAnsi="宋体" w:cs="宋体"/>
          <w:b/>
          <w:bCs/>
          <w:sz w:val="36"/>
          <w:szCs w:val="21"/>
        </w:rPr>
        <w:t>商务条款响应偏离表</w:t>
      </w:r>
    </w:p>
    <w:p>
      <w:pPr>
        <w:spacing w:line="500" w:lineRule="exact"/>
        <w:rPr>
          <w:rFonts w:hint="eastAsia" w:ascii="宋体" w:hAnsi="宋体" w:cs="宋体"/>
          <w:sz w:val="24"/>
          <w:szCs w:val="24"/>
          <w:u w:val="single"/>
        </w:rPr>
      </w:pPr>
      <w:r>
        <w:rPr>
          <w:rFonts w:hint="eastAsia" w:ascii="宋体" w:hAnsi="宋体" w:cs="宋体"/>
          <w:sz w:val="24"/>
          <w:szCs w:val="24"/>
        </w:rPr>
        <w:t>供应商名称：</w:t>
      </w:r>
      <w:r>
        <w:rPr>
          <w:rFonts w:hint="eastAsia" w:ascii="宋体" w:hAnsi="宋体" w:cs="宋体"/>
          <w:sz w:val="24"/>
          <w:szCs w:val="24"/>
          <w:u w:val="single"/>
        </w:rPr>
        <w:t xml:space="preserve">              </w:t>
      </w:r>
      <w:r>
        <w:rPr>
          <w:rFonts w:hint="eastAsia" w:ascii="宋体" w:hAnsi="宋体" w:cs="宋体"/>
          <w:sz w:val="24"/>
          <w:szCs w:val="24"/>
        </w:rPr>
        <w:t xml:space="preserve">               </w:t>
      </w:r>
      <w:r>
        <w:rPr>
          <w:rFonts w:hint="eastAsia" w:ascii="宋体" w:hAnsi="宋体" w:cs="宋体"/>
          <w:sz w:val="24"/>
          <w:szCs w:val="24"/>
          <w:lang w:eastAsia="zh-CN"/>
        </w:rPr>
        <w:t>项目编号</w:t>
      </w:r>
      <w:r>
        <w:rPr>
          <w:rFonts w:hint="eastAsia" w:ascii="宋体" w:hAnsi="宋体" w:cs="宋体"/>
          <w:sz w:val="24"/>
          <w:szCs w:val="24"/>
        </w:rPr>
        <w:t>：</w:t>
      </w:r>
      <w:r>
        <w:rPr>
          <w:rFonts w:hint="eastAsia" w:ascii="宋体" w:hAnsi="宋体" w:cs="宋体"/>
          <w:sz w:val="24"/>
          <w:szCs w:val="24"/>
          <w:u w:val="single"/>
        </w:rPr>
        <w:t xml:space="preserve">             </w:t>
      </w:r>
    </w:p>
    <w:tbl>
      <w:tblPr>
        <w:tblStyle w:val="26"/>
        <w:tblW w:w="924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950"/>
        <w:gridCol w:w="2379"/>
        <w:gridCol w:w="1650"/>
        <w:gridCol w:w="143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500" w:lineRule="exact"/>
              <w:ind w:left="-130" w:leftChars="-46"/>
              <w:jc w:val="center"/>
              <w:rPr>
                <w:rFonts w:hint="eastAsia" w:ascii="宋体" w:hAnsi="宋体" w:cs="宋体"/>
                <w:b/>
                <w:sz w:val="24"/>
                <w:szCs w:val="24"/>
              </w:rPr>
            </w:pPr>
            <w:r>
              <w:rPr>
                <w:rFonts w:hint="eastAsia" w:ascii="宋体" w:hAnsi="宋体" w:cs="宋体"/>
                <w:b/>
                <w:sz w:val="24"/>
                <w:szCs w:val="24"/>
              </w:rPr>
              <w:t>序号</w:t>
            </w:r>
          </w:p>
        </w:tc>
        <w:tc>
          <w:tcPr>
            <w:tcW w:w="2950" w:type="dxa"/>
            <w:noWrap w:val="0"/>
            <w:tcMar>
              <w:top w:w="57" w:type="dxa"/>
              <w:left w:w="28" w:type="dxa"/>
              <w:bottom w:w="57" w:type="dxa"/>
              <w:right w:w="28" w:type="dxa"/>
            </w:tcMar>
            <w:vAlign w:val="center"/>
          </w:tcPr>
          <w:p>
            <w:pPr>
              <w:spacing w:line="500" w:lineRule="exact"/>
              <w:ind w:left="283" w:leftChars="100"/>
              <w:jc w:val="center"/>
              <w:rPr>
                <w:rFonts w:hint="eastAsia" w:ascii="宋体" w:hAnsi="宋体" w:cs="宋体"/>
                <w:b/>
                <w:sz w:val="24"/>
                <w:szCs w:val="24"/>
              </w:rPr>
            </w:pPr>
            <w:r>
              <w:rPr>
                <w:rFonts w:hint="eastAsia" w:ascii="宋体" w:hAnsi="宋体" w:cs="宋体"/>
                <w:b/>
                <w:sz w:val="24"/>
                <w:szCs w:val="24"/>
              </w:rPr>
              <w:t>磋商文件</w:t>
            </w:r>
          </w:p>
          <w:p>
            <w:pPr>
              <w:spacing w:line="500" w:lineRule="exact"/>
              <w:ind w:left="283" w:leftChars="100"/>
              <w:jc w:val="center"/>
              <w:rPr>
                <w:rFonts w:hint="eastAsia" w:ascii="宋体" w:hAnsi="宋体" w:cs="宋体"/>
                <w:b/>
                <w:sz w:val="24"/>
                <w:szCs w:val="24"/>
              </w:rPr>
            </w:pPr>
            <w:r>
              <w:rPr>
                <w:rFonts w:hint="eastAsia" w:ascii="宋体" w:hAnsi="宋体" w:cs="宋体"/>
                <w:b/>
                <w:sz w:val="24"/>
                <w:szCs w:val="24"/>
              </w:rPr>
              <w:t>商务要求</w:t>
            </w:r>
          </w:p>
        </w:tc>
        <w:tc>
          <w:tcPr>
            <w:tcW w:w="2379" w:type="dxa"/>
            <w:noWrap w:val="0"/>
            <w:tcMar>
              <w:top w:w="57" w:type="dxa"/>
              <w:left w:w="28" w:type="dxa"/>
              <w:bottom w:w="57" w:type="dxa"/>
              <w:right w:w="28" w:type="dxa"/>
            </w:tcMar>
            <w:vAlign w:val="center"/>
          </w:tcPr>
          <w:p>
            <w:pPr>
              <w:spacing w:line="500" w:lineRule="exact"/>
              <w:ind w:left="283" w:leftChars="100"/>
              <w:jc w:val="center"/>
              <w:rPr>
                <w:rFonts w:hint="eastAsia" w:ascii="宋体" w:hAnsi="宋体" w:cs="宋体"/>
                <w:b/>
                <w:sz w:val="24"/>
                <w:szCs w:val="24"/>
              </w:rPr>
            </w:pPr>
            <w:r>
              <w:rPr>
                <w:rFonts w:hint="eastAsia" w:ascii="宋体" w:hAnsi="宋体" w:cs="宋体"/>
                <w:b/>
                <w:sz w:val="24"/>
                <w:szCs w:val="24"/>
              </w:rPr>
              <w:t>磋商响应文件</w:t>
            </w:r>
          </w:p>
          <w:p>
            <w:pPr>
              <w:spacing w:line="500" w:lineRule="exact"/>
              <w:ind w:left="283" w:leftChars="100"/>
              <w:jc w:val="center"/>
              <w:rPr>
                <w:rFonts w:hint="eastAsia" w:ascii="宋体" w:hAnsi="宋体" w:cs="宋体"/>
                <w:b/>
                <w:sz w:val="24"/>
                <w:szCs w:val="24"/>
              </w:rPr>
            </w:pPr>
            <w:r>
              <w:rPr>
                <w:rFonts w:hint="eastAsia" w:ascii="宋体" w:hAnsi="宋体" w:cs="宋体"/>
                <w:b/>
                <w:sz w:val="24"/>
                <w:szCs w:val="24"/>
              </w:rPr>
              <w:t>商务响应</w:t>
            </w:r>
          </w:p>
        </w:tc>
        <w:tc>
          <w:tcPr>
            <w:tcW w:w="1650" w:type="dxa"/>
            <w:noWrap w:val="0"/>
            <w:tcMar>
              <w:top w:w="57" w:type="dxa"/>
              <w:left w:w="28" w:type="dxa"/>
              <w:bottom w:w="57" w:type="dxa"/>
              <w:right w:w="28" w:type="dxa"/>
            </w:tcMar>
            <w:vAlign w:val="center"/>
          </w:tcPr>
          <w:p>
            <w:pPr>
              <w:spacing w:line="500" w:lineRule="exact"/>
              <w:ind w:left="283" w:leftChars="100"/>
              <w:jc w:val="center"/>
              <w:rPr>
                <w:rFonts w:hint="eastAsia" w:ascii="宋体" w:hAnsi="宋体" w:cs="宋体"/>
                <w:b/>
                <w:sz w:val="24"/>
                <w:szCs w:val="24"/>
              </w:rPr>
            </w:pPr>
            <w:r>
              <w:rPr>
                <w:rFonts w:hint="eastAsia" w:ascii="宋体" w:hAnsi="宋体" w:cs="宋体"/>
                <w:b/>
                <w:sz w:val="24"/>
                <w:szCs w:val="24"/>
              </w:rPr>
              <w:t>偏离情况</w:t>
            </w:r>
          </w:p>
        </w:tc>
        <w:tc>
          <w:tcPr>
            <w:tcW w:w="1438" w:type="dxa"/>
            <w:noWrap w:val="0"/>
            <w:vAlign w:val="center"/>
          </w:tcPr>
          <w:p>
            <w:pPr>
              <w:spacing w:line="500" w:lineRule="exact"/>
              <w:ind w:left="283" w:leftChars="100"/>
              <w:jc w:val="center"/>
              <w:rPr>
                <w:rFonts w:hint="eastAsia" w:ascii="宋体" w:hAnsi="宋体" w:cs="宋体"/>
                <w:b/>
                <w:sz w:val="24"/>
                <w:szCs w:val="24"/>
              </w:rPr>
            </w:pPr>
            <w:r>
              <w:rPr>
                <w:rFonts w:hint="eastAsia" w:ascii="宋体" w:hAnsi="宋体" w:cs="宋体"/>
                <w:b/>
                <w:sz w:val="24"/>
                <w:szCs w:val="24"/>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26" w:type="dxa"/>
            <w:tcBorders>
              <w:bottom w:val="single" w:color="auto" w:sz="4" w:space="0"/>
            </w:tcBorders>
            <w:noWrap w:val="0"/>
            <w:tcMar>
              <w:top w:w="57" w:type="dxa"/>
              <w:left w:w="28" w:type="dxa"/>
              <w:bottom w:w="57" w:type="dxa"/>
              <w:right w:w="28" w:type="dxa"/>
            </w:tcMar>
            <w:vAlign w:val="center"/>
          </w:tcPr>
          <w:p>
            <w:pPr>
              <w:spacing w:line="500" w:lineRule="exact"/>
              <w:ind w:left="283" w:leftChars="100"/>
              <w:rPr>
                <w:rFonts w:hint="eastAsia" w:ascii="宋体" w:hAnsi="宋体" w:cs="宋体"/>
                <w:sz w:val="24"/>
                <w:szCs w:val="24"/>
              </w:rPr>
            </w:pPr>
          </w:p>
        </w:tc>
        <w:tc>
          <w:tcPr>
            <w:tcW w:w="2950" w:type="dxa"/>
            <w:tcBorders>
              <w:bottom w:val="single" w:color="auto" w:sz="4" w:space="0"/>
            </w:tcBorders>
            <w:noWrap w:val="0"/>
            <w:tcMar>
              <w:top w:w="57" w:type="dxa"/>
              <w:left w:w="28" w:type="dxa"/>
              <w:bottom w:w="57" w:type="dxa"/>
              <w:right w:w="28" w:type="dxa"/>
            </w:tcMar>
            <w:vAlign w:val="center"/>
          </w:tcPr>
          <w:p>
            <w:pPr>
              <w:spacing w:line="500" w:lineRule="exact"/>
              <w:ind w:left="283" w:leftChars="100"/>
              <w:rPr>
                <w:rFonts w:hint="eastAsia" w:ascii="宋体" w:hAnsi="宋体" w:cs="宋体"/>
                <w:sz w:val="24"/>
                <w:szCs w:val="24"/>
              </w:rPr>
            </w:pPr>
          </w:p>
        </w:tc>
        <w:tc>
          <w:tcPr>
            <w:tcW w:w="2379" w:type="dxa"/>
            <w:tcBorders>
              <w:bottom w:val="single" w:color="auto" w:sz="4" w:space="0"/>
            </w:tcBorders>
            <w:noWrap w:val="0"/>
            <w:tcMar>
              <w:top w:w="57" w:type="dxa"/>
              <w:left w:w="28" w:type="dxa"/>
              <w:bottom w:w="57" w:type="dxa"/>
              <w:right w:w="28" w:type="dxa"/>
            </w:tcMar>
            <w:vAlign w:val="center"/>
          </w:tcPr>
          <w:p>
            <w:pPr>
              <w:spacing w:line="500" w:lineRule="exact"/>
              <w:ind w:left="283" w:leftChars="100"/>
              <w:rPr>
                <w:rFonts w:hint="eastAsia" w:ascii="宋体" w:hAnsi="宋体" w:cs="宋体"/>
                <w:sz w:val="24"/>
                <w:szCs w:val="24"/>
              </w:rPr>
            </w:pPr>
          </w:p>
        </w:tc>
        <w:tc>
          <w:tcPr>
            <w:tcW w:w="1650" w:type="dxa"/>
            <w:tcBorders>
              <w:bottom w:val="single" w:color="auto" w:sz="4" w:space="0"/>
            </w:tcBorders>
            <w:noWrap w:val="0"/>
            <w:tcMar>
              <w:top w:w="57" w:type="dxa"/>
              <w:left w:w="28" w:type="dxa"/>
              <w:bottom w:w="57" w:type="dxa"/>
              <w:right w:w="28" w:type="dxa"/>
            </w:tcMar>
            <w:vAlign w:val="center"/>
          </w:tcPr>
          <w:p>
            <w:pPr>
              <w:spacing w:line="500" w:lineRule="exact"/>
              <w:ind w:left="283" w:leftChars="100"/>
              <w:rPr>
                <w:rFonts w:hint="eastAsia" w:ascii="宋体" w:hAnsi="宋体" w:cs="宋体"/>
                <w:sz w:val="24"/>
                <w:szCs w:val="24"/>
              </w:rPr>
            </w:pPr>
          </w:p>
        </w:tc>
        <w:tc>
          <w:tcPr>
            <w:tcW w:w="1438" w:type="dxa"/>
            <w:tcBorders>
              <w:bottom w:val="single" w:color="auto" w:sz="4" w:space="0"/>
            </w:tcBorders>
            <w:noWrap w:val="0"/>
            <w:vAlign w:val="center"/>
          </w:tcPr>
          <w:p>
            <w:pPr>
              <w:spacing w:line="500" w:lineRule="exact"/>
              <w:ind w:left="283" w:leftChars="100"/>
              <w:rPr>
                <w:rFonts w:hint="eastAsia"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26" w:type="dxa"/>
            <w:tcBorders>
              <w:bottom w:val="single" w:color="auto" w:sz="4" w:space="0"/>
            </w:tcBorders>
            <w:noWrap w:val="0"/>
            <w:tcMar>
              <w:top w:w="57" w:type="dxa"/>
              <w:left w:w="28" w:type="dxa"/>
              <w:bottom w:w="57" w:type="dxa"/>
              <w:right w:w="28" w:type="dxa"/>
            </w:tcMar>
            <w:vAlign w:val="center"/>
          </w:tcPr>
          <w:p>
            <w:pPr>
              <w:spacing w:line="500" w:lineRule="exact"/>
              <w:ind w:left="283" w:leftChars="100"/>
              <w:rPr>
                <w:rFonts w:hint="eastAsia" w:ascii="宋体" w:hAnsi="宋体" w:cs="宋体"/>
                <w:sz w:val="24"/>
                <w:szCs w:val="24"/>
              </w:rPr>
            </w:pPr>
          </w:p>
        </w:tc>
        <w:tc>
          <w:tcPr>
            <w:tcW w:w="2950" w:type="dxa"/>
            <w:tcBorders>
              <w:bottom w:val="single" w:color="auto" w:sz="4" w:space="0"/>
            </w:tcBorders>
            <w:noWrap w:val="0"/>
            <w:tcMar>
              <w:top w:w="57" w:type="dxa"/>
              <w:left w:w="28" w:type="dxa"/>
              <w:bottom w:w="57" w:type="dxa"/>
              <w:right w:w="28" w:type="dxa"/>
            </w:tcMar>
            <w:vAlign w:val="center"/>
          </w:tcPr>
          <w:p>
            <w:pPr>
              <w:spacing w:line="500" w:lineRule="exact"/>
              <w:ind w:left="283" w:leftChars="100"/>
              <w:rPr>
                <w:rFonts w:hint="eastAsia" w:ascii="宋体" w:hAnsi="宋体" w:cs="宋体"/>
                <w:sz w:val="24"/>
                <w:szCs w:val="24"/>
              </w:rPr>
            </w:pPr>
          </w:p>
        </w:tc>
        <w:tc>
          <w:tcPr>
            <w:tcW w:w="2379" w:type="dxa"/>
            <w:tcBorders>
              <w:bottom w:val="single" w:color="auto" w:sz="4" w:space="0"/>
            </w:tcBorders>
            <w:noWrap w:val="0"/>
            <w:tcMar>
              <w:top w:w="57" w:type="dxa"/>
              <w:left w:w="28" w:type="dxa"/>
              <w:bottom w:w="57" w:type="dxa"/>
              <w:right w:w="28" w:type="dxa"/>
            </w:tcMar>
            <w:vAlign w:val="center"/>
          </w:tcPr>
          <w:p>
            <w:pPr>
              <w:spacing w:line="500" w:lineRule="exact"/>
              <w:ind w:left="283" w:leftChars="100"/>
              <w:rPr>
                <w:rFonts w:hint="eastAsia" w:ascii="宋体" w:hAnsi="宋体" w:cs="宋体"/>
                <w:sz w:val="24"/>
                <w:szCs w:val="24"/>
              </w:rPr>
            </w:pPr>
          </w:p>
        </w:tc>
        <w:tc>
          <w:tcPr>
            <w:tcW w:w="1650" w:type="dxa"/>
            <w:tcBorders>
              <w:bottom w:val="single" w:color="auto" w:sz="4" w:space="0"/>
            </w:tcBorders>
            <w:noWrap w:val="0"/>
            <w:tcMar>
              <w:top w:w="57" w:type="dxa"/>
              <w:left w:w="28" w:type="dxa"/>
              <w:bottom w:w="57" w:type="dxa"/>
              <w:right w:w="28" w:type="dxa"/>
            </w:tcMar>
            <w:vAlign w:val="center"/>
          </w:tcPr>
          <w:p>
            <w:pPr>
              <w:spacing w:line="500" w:lineRule="exact"/>
              <w:ind w:left="283" w:leftChars="100"/>
              <w:rPr>
                <w:rFonts w:hint="eastAsia" w:ascii="宋体" w:hAnsi="宋体" w:cs="宋体"/>
                <w:sz w:val="24"/>
                <w:szCs w:val="24"/>
              </w:rPr>
            </w:pPr>
          </w:p>
        </w:tc>
        <w:tc>
          <w:tcPr>
            <w:tcW w:w="1438" w:type="dxa"/>
            <w:tcBorders>
              <w:bottom w:val="single" w:color="auto" w:sz="4" w:space="0"/>
            </w:tcBorders>
            <w:noWrap w:val="0"/>
            <w:vAlign w:val="center"/>
          </w:tcPr>
          <w:p>
            <w:pPr>
              <w:spacing w:line="500" w:lineRule="exact"/>
              <w:ind w:left="283" w:leftChars="100"/>
              <w:rPr>
                <w:rFonts w:hint="eastAsia"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500" w:lineRule="exact"/>
              <w:ind w:left="283" w:leftChars="100"/>
              <w:rPr>
                <w:rFonts w:hint="eastAsia" w:ascii="宋体" w:hAnsi="宋体" w:cs="宋体"/>
                <w:sz w:val="24"/>
                <w:szCs w:val="24"/>
              </w:rPr>
            </w:pPr>
          </w:p>
        </w:tc>
        <w:tc>
          <w:tcPr>
            <w:tcW w:w="2950" w:type="dxa"/>
            <w:noWrap w:val="0"/>
            <w:tcMar>
              <w:top w:w="57" w:type="dxa"/>
              <w:left w:w="28" w:type="dxa"/>
              <w:bottom w:w="57" w:type="dxa"/>
              <w:right w:w="28" w:type="dxa"/>
            </w:tcMar>
            <w:vAlign w:val="center"/>
          </w:tcPr>
          <w:p>
            <w:pPr>
              <w:spacing w:line="500" w:lineRule="exact"/>
              <w:ind w:left="283" w:leftChars="100"/>
              <w:rPr>
                <w:rFonts w:hint="eastAsia" w:ascii="宋体" w:hAnsi="宋体" w:cs="宋体"/>
                <w:sz w:val="24"/>
                <w:szCs w:val="24"/>
              </w:rPr>
            </w:pPr>
          </w:p>
        </w:tc>
        <w:tc>
          <w:tcPr>
            <w:tcW w:w="2379" w:type="dxa"/>
            <w:noWrap w:val="0"/>
            <w:tcMar>
              <w:top w:w="57" w:type="dxa"/>
              <w:left w:w="28" w:type="dxa"/>
              <w:bottom w:w="57" w:type="dxa"/>
              <w:right w:w="28" w:type="dxa"/>
            </w:tcMar>
            <w:vAlign w:val="center"/>
          </w:tcPr>
          <w:p>
            <w:pPr>
              <w:spacing w:line="500" w:lineRule="exact"/>
              <w:ind w:left="283" w:leftChars="100"/>
              <w:rPr>
                <w:rFonts w:hint="eastAsia" w:ascii="宋体" w:hAnsi="宋体" w:cs="宋体"/>
                <w:sz w:val="24"/>
                <w:szCs w:val="24"/>
              </w:rPr>
            </w:pPr>
          </w:p>
        </w:tc>
        <w:tc>
          <w:tcPr>
            <w:tcW w:w="1650" w:type="dxa"/>
            <w:noWrap w:val="0"/>
            <w:tcMar>
              <w:top w:w="57" w:type="dxa"/>
              <w:left w:w="28" w:type="dxa"/>
              <w:bottom w:w="57" w:type="dxa"/>
              <w:right w:w="28" w:type="dxa"/>
            </w:tcMar>
            <w:vAlign w:val="center"/>
          </w:tcPr>
          <w:p>
            <w:pPr>
              <w:spacing w:line="500" w:lineRule="exact"/>
              <w:ind w:left="283" w:leftChars="100"/>
              <w:rPr>
                <w:rFonts w:hint="eastAsia" w:ascii="宋体" w:hAnsi="宋体" w:cs="宋体"/>
                <w:sz w:val="24"/>
                <w:szCs w:val="24"/>
              </w:rPr>
            </w:pPr>
          </w:p>
        </w:tc>
        <w:tc>
          <w:tcPr>
            <w:tcW w:w="1438" w:type="dxa"/>
            <w:noWrap w:val="0"/>
            <w:vAlign w:val="center"/>
          </w:tcPr>
          <w:p>
            <w:pPr>
              <w:spacing w:line="500" w:lineRule="exact"/>
              <w:ind w:left="283" w:leftChars="100"/>
              <w:rPr>
                <w:rFonts w:hint="eastAsia"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500" w:lineRule="exact"/>
              <w:ind w:left="283" w:leftChars="100"/>
              <w:rPr>
                <w:rFonts w:hint="eastAsia" w:ascii="宋体" w:hAnsi="宋体" w:cs="宋体"/>
                <w:sz w:val="24"/>
                <w:szCs w:val="24"/>
              </w:rPr>
            </w:pPr>
          </w:p>
        </w:tc>
        <w:tc>
          <w:tcPr>
            <w:tcW w:w="2950" w:type="dxa"/>
            <w:noWrap w:val="0"/>
            <w:tcMar>
              <w:top w:w="57" w:type="dxa"/>
              <w:left w:w="28" w:type="dxa"/>
              <w:bottom w:w="57" w:type="dxa"/>
              <w:right w:w="28" w:type="dxa"/>
            </w:tcMar>
            <w:vAlign w:val="center"/>
          </w:tcPr>
          <w:p>
            <w:pPr>
              <w:spacing w:line="500" w:lineRule="exact"/>
              <w:ind w:left="283" w:leftChars="100"/>
              <w:rPr>
                <w:rFonts w:hint="eastAsia" w:ascii="宋体" w:hAnsi="宋体" w:cs="宋体"/>
                <w:sz w:val="24"/>
                <w:szCs w:val="24"/>
              </w:rPr>
            </w:pPr>
          </w:p>
        </w:tc>
        <w:tc>
          <w:tcPr>
            <w:tcW w:w="2379" w:type="dxa"/>
            <w:noWrap w:val="0"/>
            <w:tcMar>
              <w:top w:w="57" w:type="dxa"/>
              <w:left w:w="28" w:type="dxa"/>
              <w:bottom w:w="57" w:type="dxa"/>
              <w:right w:w="28" w:type="dxa"/>
            </w:tcMar>
            <w:vAlign w:val="center"/>
          </w:tcPr>
          <w:p>
            <w:pPr>
              <w:spacing w:line="500" w:lineRule="exact"/>
              <w:ind w:left="283" w:leftChars="100"/>
              <w:rPr>
                <w:rFonts w:hint="eastAsia" w:ascii="宋体" w:hAnsi="宋体" w:cs="宋体"/>
                <w:sz w:val="24"/>
                <w:szCs w:val="24"/>
              </w:rPr>
            </w:pPr>
          </w:p>
        </w:tc>
        <w:tc>
          <w:tcPr>
            <w:tcW w:w="1650" w:type="dxa"/>
            <w:noWrap w:val="0"/>
            <w:tcMar>
              <w:top w:w="57" w:type="dxa"/>
              <w:left w:w="28" w:type="dxa"/>
              <w:bottom w:w="57" w:type="dxa"/>
              <w:right w:w="28" w:type="dxa"/>
            </w:tcMar>
            <w:vAlign w:val="center"/>
          </w:tcPr>
          <w:p>
            <w:pPr>
              <w:spacing w:line="500" w:lineRule="exact"/>
              <w:ind w:left="283" w:leftChars="100"/>
              <w:rPr>
                <w:rFonts w:hint="eastAsia" w:ascii="宋体" w:hAnsi="宋体" w:cs="宋体"/>
                <w:sz w:val="24"/>
                <w:szCs w:val="24"/>
              </w:rPr>
            </w:pPr>
          </w:p>
        </w:tc>
        <w:tc>
          <w:tcPr>
            <w:tcW w:w="1438" w:type="dxa"/>
            <w:noWrap w:val="0"/>
            <w:vAlign w:val="center"/>
          </w:tcPr>
          <w:p>
            <w:pPr>
              <w:spacing w:line="500" w:lineRule="exact"/>
              <w:ind w:left="283" w:leftChars="100"/>
              <w:rPr>
                <w:rFonts w:hint="eastAsia"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500" w:lineRule="exact"/>
              <w:ind w:left="283" w:leftChars="100"/>
              <w:rPr>
                <w:rFonts w:hint="eastAsia" w:ascii="宋体" w:hAnsi="宋体" w:cs="宋体"/>
                <w:sz w:val="24"/>
                <w:szCs w:val="24"/>
              </w:rPr>
            </w:pPr>
          </w:p>
        </w:tc>
        <w:tc>
          <w:tcPr>
            <w:tcW w:w="2950" w:type="dxa"/>
            <w:noWrap w:val="0"/>
            <w:tcMar>
              <w:top w:w="57" w:type="dxa"/>
              <w:left w:w="28" w:type="dxa"/>
              <w:bottom w:w="57" w:type="dxa"/>
              <w:right w:w="28" w:type="dxa"/>
            </w:tcMar>
            <w:vAlign w:val="center"/>
          </w:tcPr>
          <w:p>
            <w:pPr>
              <w:spacing w:line="500" w:lineRule="exact"/>
              <w:ind w:left="283" w:leftChars="100"/>
              <w:rPr>
                <w:rFonts w:hint="eastAsia" w:ascii="宋体" w:hAnsi="宋体" w:cs="宋体"/>
                <w:sz w:val="24"/>
                <w:szCs w:val="24"/>
              </w:rPr>
            </w:pPr>
          </w:p>
        </w:tc>
        <w:tc>
          <w:tcPr>
            <w:tcW w:w="2379" w:type="dxa"/>
            <w:noWrap w:val="0"/>
            <w:tcMar>
              <w:top w:w="57" w:type="dxa"/>
              <w:left w:w="28" w:type="dxa"/>
              <w:bottom w:w="57" w:type="dxa"/>
              <w:right w:w="28" w:type="dxa"/>
            </w:tcMar>
            <w:vAlign w:val="center"/>
          </w:tcPr>
          <w:p>
            <w:pPr>
              <w:spacing w:line="500" w:lineRule="exact"/>
              <w:ind w:left="283" w:leftChars="100"/>
              <w:rPr>
                <w:rFonts w:hint="eastAsia" w:ascii="宋体" w:hAnsi="宋体" w:cs="宋体"/>
                <w:sz w:val="24"/>
                <w:szCs w:val="24"/>
              </w:rPr>
            </w:pPr>
          </w:p>
        </w:tc>
        <w:tc>
          <w:tcPr>
            <w:tcW w:w="1650" w:type="dxa"/>
            <w:noWrap w:val="0"/>
            <w:tcMar>
              <w:top w:w="57" w:type="dxa"/>
              <w:left w:w="28" w:type="dxa"/>
              <w:bottom w:w="57" w:type="dxa"/>
              <w:right w:w="28" w:type="dxa"/>
            </w:tcMar>
            <w:vAlign w:val="center"/>
          </w:tcPr>
          <w:p>
            <w:pPr>
              <w:spacing w:line="500" w:lineRule="exact"/>
              <w:ind w:left="283" w:leftChars="100"/>
              <w:rPr>
                <w:rFonts w:hint="eastAsia" w:ascii="宋体" w:hAnsi="宋体" w:cs="宋体"/>
                <w:sz w:val="24"/>
                <w:szCs w:val="24"/>
              </w:rPr>
            </w:pPr>
          </w:p>
        </w:tc>
        <w:tc>
          <w:tcPr>
            <w:tcW w:w="1438" w:type="dxa"/>
            <w:noWrap w:val="0"/>
            <w:vAlign w:val="center"/>
          </w:tcPr>
          <w:p>
            <w:pPr>
              <w:spacing w:line="500" w:lineRule="exact"/>
              <w:ind w:left="283" w:leftChars="100"/>
              <w:rPr>
                <w:rFonts w:hint="eastAsia"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500" w:lineRule="exact"/>
              <w:ind w:left="283" w:leftChars="100"/>
              <w:rPr>
                <w:rFonts w:hint="eastAsia" w:ascii="宋体" w:hAnsi="宋体" w:cs="宋体"/>
                <w:sz w:val="24"/>
                <w:szCs w:val="24"/>
              </w:rPr>
            </w:pPr>
          </w:p>
        </w:tc>
        <w:tc>
          <w:tcPr>
            <w:tcW w:w="2950" w:type="dxa"/>
            <w:noWrap w:val="0"/>
            <w:tcMar>
              <w:top w:w="57" w:type="dxa"/>
              <w:left w:w="28" w:type="dxa"/>
              <w:bottom w:w="57" w:type="dxa"/>
              <w:right w:w="28" w:type="dxa"/>
            </w:tcMar>
            <w:vAlign w:val="center"/>
          </w:tcPr>
          <w:p>
            <w:pPr>
              <w:spacing w:line="500" w:lineRule="exact"/>
              <w:ind w:left="283" w:leftChars="100"/>
              <w:rPr>
                <w:rFonts w:hint="eastAsia" w:ascii="宋体" w:hAnsi="宋体" w:cs="宋体"/>
                <w:sz w:val="24"/>
                <w:szCs w:val="24"/>
              </w:rPr>
            </w:pPr>
          </w:p>
        </w:tc>
        <w:tc>
          <w:tcPr>
            <w:tcW w:w="2379" w:type="dxa"/>
            <w:noWrap w:val="0"/>
            <w:tcMar>
              <w:top w:w="57" w:type="dxa"/>
              <w:left w:w="28" w:type="dxa"/>
              <w:bottom w:w="57" w:type="dxa"/>
              <w:right w:w="28" w:type="dxa"/>
            </w:tcMar>
            <w:vAlign w:val="center"/>
          </w:tcPr>
          <w:p>
            <w:pPr>
              <w:spacing w:line="500" w:lineRule="exact"/>
              <w:ind w:left="283" w:leftChars="100"/>
              <w:rPr>
                <w:rFonts w:hint="eastAsia" w:ascii="宋体" w:hAnsi="宋体" w:cs="宋体"/>
                <w:sz w:val="24"/>
                <w:szCs w:val="24"/>
              </w:rPr>
            </w:pPr>
          </w:p>
        </w:tc>
        <w:tc>
          <w:tcPr>
            <w:tcW w:w="1650" w:type="dxa"/>
            <w:noWrap w:val="0"/>
            <w:tcMar>
              <w:top w:w="57" w:type="dxa"/>
              <w:left w:w="28" w:type="dxa"/>
              <w:bottom w:w="57" w:type="dxa"/>
              <w:right w:w="28" w:type="dxa"/>
            </w:tcMar>
            <w:vAlign w:val="center"/>
          </w:tcPr>
          <w:p>
            <w:pPr>
              <w:spacing w:line="500" w:lineRule="exact"/>
              <w:ind w:left="283" w:leftChars="100"/>
              <w:rPr>
                <w:rFonts w:hint="eastAsia" w:ascii="宋体" w:hAnsi="宋体" w:cs="宋体"/>
                <w:sz w:val="24"/>
                <w:szCs w:val="24"/>
              </w:rPr>
            </w:pPr>
          </w:p>
        </w:tc>
        <w:tc>
          <w:tcPr>
            <w:tcW w:w="1438" w:type="dxa"/>
            <w:noWrap w:val="0"/>
            <w:vAlign w:val="center"/>
          </w:tcPr>
          <w:p>
            <w:pPr>
              <w:spacing w:line="500" w:lineRule="exact"/>
              <w:ind w:left="283" w:leftChars="100"/>
              <w:rPr>
                <w:rFonts w:hint="eastAsia"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500" w:lineRule="exact"/>
              <w:ind w:left="283" w:leftChars="100"/>
              <w:rPr>
                <w:rFonts w:hint="eastAsia" w:ascii="宋体" w:hAnsi="宋体" w:cs="宋体"/>
                <w:sz w:val="24"/>
                <w:szCs w:val="24"/>
              </w:rPr>
            </w:pPr>
          </w:p>
        </w:tc>
        <w:tc>
          <w:tcPr>
            <w:tcW w:w="2950" w:type="dxa"/>
            <w:noWrap w:val="0"/>
            <w:tcMar>
              <w:top w:w="57" w:type="dxa"/>
              <w:left w:w="28" w:type="dxa"/>
              <w:bottom w:w="57" w:type="dxa"/>
              <w:right w:w="28" w:type="dxa"/>
            </w:tcMar>
            <w:vAlign w:val="center"/>
          </w:tcPr>
          <w:p>
            <w:pPr>
              <w:spacing w:line="500" w:lineRule="exact"/>
              <w:ind w:left="283" w:leftChars="100"/>
              <w:rPr>
                <w:rFonts w:hint="eastAsia" w:ascii="宋体" w:hAnsi="宋体" w:cs="宋体"/>
                <w:sz w:val="24"/>
                <w:szCs w:val="24"/>
              </w:rPr>
            </w:pPr>
          </w:p>
        </w:tc>
        <w:tc>
          <w:tcPr>
            <w:tcW w:w="2379" w:type="dxa"/>
            <w:noWrap w:val="0"/>
            <w:tcMar>
              <w:top w:w="57" w:type="dxa"/>
              <w:left w:w="28" w:type="dxa"/>
              <w:bottom w:w="57" w:type="dxa"/>
              <w:right w:w="28" w:type="dxa"/>
            </w:tcMar>
            <w:vAlign w:val="center"/>
          </w:tcPr>
          <w:p>
            <w:pPr>
              <w:spacing w:line="500" w:lineRule="exact"/>
              <w:ind w:left="283" w:leftChars="100"/>
              <w:rPr>
                <w:rFonts w:hint="eastAsia" w:ascii="宋体" w:hAnsi="宋体" w:cs="宋体"/>
                <w:sz w:val="24"/>
                <w:szCs w:val="24"/>
              </w:rPr>
            </w:pPr>
          </w:p>
        </w:tc>
        <w:tc>
          <w:tcPr>
            <w:tcW w:w="1650" w:type="dxa"/>
            <w:noWrap w:val="0"/>
            <w:tcMar>
              <w:top w:w="57" w:type="dxa"/>
              <w:left w:w="28" w:type="dxa"/>
              <w:bottom w:w="57" w:type="dxa"/>
              <w:right w:w="28" w:type="dxa"/>
            </w:tcMar>
            <w:vAlign w:val="center"/>
          </w:tcPr>
          <w:p>
            <w:pPr>
              <w:spacing w:line="500" w:lineRule="exact"/>
              <w:ind w:left="283" w:leftChars="100"/>
              <w:rPr>
                <w:rFonts w:hint="eastAsia" w:ascii="宋体" w:hAnsi="宋体" w:cs="宋体"/>
                <w:sz w:val="24"/>
                <w:szCs w:val="24"/>
              </w:rPr>
            </w:pPr>
          </w:p>
        </w:tc>
        <w:tc>
          <w:tcPr>
            <w:tcW w:w="1438" w:type="dxa"/>
            <w:noWrap w:val="0"/>
            <w:vAlign w:val="center"/>
          </w:tcPr>
          <w:p>
            <w:pPr>
              <w:spacing w:line="500" w:lineRule="exact"/>
              <w:ind w:left="283" w:leftChars="100"/>
              <w:rPr>
                <w:rFonts w:hint="eastAsia"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500" w:lineRule="exact"/>
              <w:ind w:left="283" w:leftChars="100"/>
              <w:rPr>
                <w:rFonts w:hint="eastAsia" w:ascii="宋体" w:hAnsi="宋体" w:cs="宋体"/>
                <w:sz w:val="24"/>
                <w:szCs w:val="24"/>
              </w:rPr>
            </w:pPr>
          </w:p>
        </w:tc>
        <w:tc>
          <w:tcPr>
            <w:tcW w:w="2950" w:type="dxa"/>
            <w:noWrap w:val="0"/>
            <w:tcMar>
              <w:top w:w="57" w:type="dxa"/>
              <w:left w:w="28" w:type="dxa"/>
              <w:bottom w:w="57" w:type="dxa"/>
              <w:right w:w="28" w:type="dxa"/>
            </w:tcMar>
            <w:vAlign w:val="center"/>
          </w:tcPr>
          <w:p>
            <w:pPr>
              <w:spacing w:line="500" w:lineRule="exact"/>
              <w:ind w:left="283" w:leftChars="100"/>
              <w:rPr>
                <w:rFonts w:hint="eastAsia" w:ascii="宋体" w:hAnsi="宋体" w:cs="宋体"/>
                <w:sz w:val="24"/>
                <w:szCs w:val="24"/>
              </w:rPr>
            </w:pPr>
          </w:p>
        </w:tc>
        <w:tc>
          <w:tcPr>
            <w:tcW w:w="2379" w:type="dxa"/>
            <w:noWrap w:val="0"/>
            <w:tcMar>
              <w:top w:w="57" w:type="dxa"/>
              <w:left w:w="28" w:type="dxa"/>
              <w:bottom w:w="57" w:type="dxa"/>
              <w:right w:w="28" w:type="dxa"/>
            </w:tcMar>
            <w:vAlign w:val="center"/>
          </w:tcPr>
          <w:p>
            <w:pPr>
              <w:spacing w:line="500" w:lineRule="exact"/>
              <w:ind w:left="283" w:leftChars="100"/>
              <w:rPr>
                <w:rFonts w:hint="eastAsia" w:ascii="宋体" w:hAnsi="宋体" w:cs="宋体"/>
                <w:sz w:val="24"/>
                <w:szCs w:val="24"/>
              </w:rPr>
            </w:pPr>
          </w:p>
        </w:tc>
        <w:tc>
          <w:tcPr>
            <w:tcW w:w="1650" w:type="dxa"/>
            <w:noWrap w:val="0"/>
            <w:tcMar>
              <w:top w:w="57" w:type="dxa"/>
              <w:left w:w="28" w:type="dxa"/>
              <w:bottom w:w="57" w:type="dxa"/>
              <w:right w:w="28" w:type="dxa"/>
            </w:tcMar>
            <w:vAlign w:val="center"/>
          </w:tcPr>
          <w:p>
            <w:pPr>
              <w:spacing w:line="500" w:lineRule="exact"/>
              <w:ind w:left="283" w:leftChars="100"/>
              <w:rPr>
                <w:rFonts w:hint="eastAsia" w:ascii="宋体" w:hAnsi="宋体" w:cs="宋体"/>
                <w:sz w:val="24"/>
                <w:szCs w:val="24"/>
              </w:rPr>
            </w:pPr>
          </w:p>
        </w:tc>
        <w:tc>
          <w:tcPr>
            <w:tcW w:w="1438" w:type="dxa"/>
            <w:noWrap w:val="0"/>
            <w:vAlign w:val="center"/>
          </w:tcPr>
          <w:p>
            <w:pPr>
              <w:spacing w:line="500" w:lineRule="exact"/>
              <w:ind w:left="283" w:leftChars="100"/>
              <w:rPr>
                <w:rFonts w:hint="eastAsia"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500" w:lineRule="exact"/>
              <w:ind w:left="283" w:leftChars="100"/>
              <w:rPr>
                <w:rFonts w:hint="eastAsia" w:ascii="宋体" w:hAnsi="宋体" w:cs="宋体"/>
                <w:sz w:val="24"/>
                <w:szCs w:val="24"/>
              </w:rPr>
            </w:pPr>
          </w:p>
        </w:tc>
        <w:tc>
          <w:tcPr>
            <w:tcW w:w="2950" w:type="dxa"/>
            <w:noWrap w:val="0"/>
            <w:tcMar>
              <w:top w:w="57" w:type="dxa"/>
              <w:left w:w="28" w:type="dxa"/>
              <w:bottom w:w="57" w:type="dxa"/>
              <w:right w:w="28" w:type="dxa"/>
            </w:tcMar>
            <w:vAlign w:val="center"/>
          </w:tcPr>
          <w:p>
            <w:pPr>
              <w:spacing w:line="500" w:lineRule="exact"/>
              <w:ind w:left="283" w:leftChars="100"/>
              <w:rPr>
                <w:rFonts w:hint="eastAsia" w:ascii="宋体" w:hAnsi="宋体" w:cs="宋体"/>
                <w:sz w:val="24"/>
                <w:szCs w:val="24"/>
              </w:rPr>
            </w:pPr>
          </w:p>
        </w:tc>
        <w:tc>
          <w:tcPr>
            <w:tcW w:w="2379" w:type="dxa"/>
            <w:noWrap w:val="0"/>
            <w:tcMar>
              <w:top w:w="57" w:type="dxa"/>
              <w:left w:w="28" w:type="dxa"/>
              <w:bottom w:w="57" w:type="dxa"/>
              <w:right w:w="28" w:type="dxa"/>
            </w:tcMar>
            <w:vAlign w:val="center"/>
          </w:tcPr>
          <w:p>
            <w:pPr>
              <w:spacing w:line="500" w:lineRule="exact"/>
              <w:ind w:left="283" w:leftChars="100"/>
              <w:rPr>
                <w:rFonts w:hint="eastAsia" w:ascii="宋体" w:hAnsi="宋体" w:cs="宋体"/>
                <w:sz w:val="24"/>
                <w:szCs w:val="24"/>
              </w:rPr>
            </w:pPr>
          </w:p>
        </w:tc>
        <w:tc>
          <w:tcPr>
            <w:tcW w:w="1650" w:type="dxa"/>
            <w:noWrap w:val="0"/>
            <w:tcMar>
              <w:top w:w="57" w:type="dxa"/>
              <w:left w:w="28" w:type="dxa"/>
              <w:bottom w:w="57" w:type="dxa"/>
              <w:right w:w="28" w:type="dxa"/>
            </w:tcMar>
            <w:vAlign w:val="center"/>
          </w:tcPr>
          <w:p>
            <w:pPr>
              <w:spacing w:line="500" w:lineRule="exact"/>
              <w:ind w:left="283" w:leftChars="100"/>
              <w:rPr>
                <w:rFonts w:hint="eastAsia" w:ascii="宋体" w:hAnsi="宋体" w:cs="宋体"/>
                <w:sz w:val="24"/>
                <w:szCs w:val="24"/>
              </w:rPr>
            </w:pPr>
          </w:p>
        </w:tc>
        <w:tc>
          <w:tcPr>
            <w:tcW w:w="1438" w:type="dxa"/>
            <w:noWrap w:val="0"/>
            <w:vAlign w:val="center"/>
          </w:tcPr>
          <w:p>
            <w:pPr>
              <w:spacing w:line="500" w:lineRule="exact"/>
              <w:ind w:left="283" w:leftChars="100"/>
              <w:rPr>
                <w:rFonts w:hint="eastAsia"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tcMar>
              <w:top w:w="57" w:type="dxa"/>
              <w:left w:w="28" w:type="dxa"/>
              <w:bottom w:w="57" w:type="dxa"/>
              <w:right w:w="28" w:type="dxa"/>
            </w:tcMar>
            <w:vAlign w:val="center"/>
          </w:tcPr>
          <w:p>
            <w:pPr>
              <w:spacing w:line="500" w:lineRule="exact"/>
              <w:ind w:left="283" w:leftChars="100"/>
              <w:rPr>
                <w:rFonts w:hint="eastAsia" w:ascii="宋体" w:hAnsi="宋体" w:cs="宋体"/>
                <w:sz w:val="24"/>
                <w:szCs w:val="24"/>
              </w:rPr>
            </w:pPr>
          </w:p>
        </w:tc>
        <w:tc>
          <w:tcPr>
            <w:tcW w:w="2950" w:type="dxa"/>
            <w:noWrap w:val="0"/>
            <w:tcMar>
              <w:top w:w="57" w:type="dxa"/>
              <w:left w:w="28" w:type="dxa"/>
              <w:bottom w:w="57" w:type="dxa"/>
              <w:right w:w="28" w:type="dxa"/>
            </w:tcMar>
            <w:vAlign w:val="center"/>
          </w:tcPr>
          <w:p>
            <w:pPr>
              <w:spacing w:line="500" w:lineRule="exact"/>
              <w:ind w:left="283" w:leftChars="100"/>
              <w:rPr>
                <w:rFonts w:hint="eastAsia" w:ascii="宋体" w:hAnsi="宋体" w:cs="宋体"/>
                <w:sz w:val="24"/>
                <w:szCs w:val="24"/>
              </w:rPr>
            </w:pPr>
          </w:p>
        </w:tc>
        <w:tc>
          <w:tcPr>
            <w:tcW w:w="2379" w:type="dxa"/>
            <w:noWrap w:val="0"/>
            <w:tcMar>
              <w:top w:w="57" w:type="dxa"/>
              <w:left w:w="28" w:type="dxa"/>
              <w:bottom w:w="57" w:type="dxa"/>
              <w:right w:w="28" w:type="dxa"/>
            </w:tcMar>
            <w:vAlign w:val="center"/>
          </w:tcPr>
          <w:p>
            <w:pPr>
              <w:spacing w:line="500" w:lineRule="exact"/>
              <w:ind w:left="283" w:leftChars="100"/>
              <w:rPr>
                <w:rFonts w:hint="eastAsia" w:ascii="宋体" w:hAnsi="宋体" w:cs="宋体"/>
                <w:sz w:val="24"/>
                <w:szCs w:val="24"/>
              </w:rPr>
            </w:pPr>
          </w:p>
        </w:tc>
        <w:tc>
          <w:tcPr>
            <w:tcW w:w="1650" w:type="dxa"/>
            <w:noWrap w:val="0"/>
            <w:tcMar>
              <w:top w:w="57" w:type="dxa"/>
              <w:left w:w="28" w:type="dxa"/>
              <w:bottom w:w="57" w:type="dxa"/>
              <w:right w:w="28" w:type="dxa"/>
            </w:tcMar>
            <w:vAlign w:val="center"/>
          </w:tcPr>
          <w:p>
            <w:pPr>
              <w:spacing w:line="500" w:lineRule="exact"/>
              <w:ind w:left="283" w:leftChars="100"/>
              <w:rPr>
                <w:rFonts w:hint="eastAsia" w:ascii="宋体" w:hAnsi="宋体" w:cs="宋体"/>
                <w:sz w:val="24"/>
                <w:szCs w:val="24"/>
              </w:rPr>
            </w:pPr>
          </w:p>
        </w:tc>
        <w:tc>
          <w:tcPr>
            <w:tcW w:w="1438" w:type="dxa"/>
            <w:noWrap w:val="0"/>
            <w:vAlign w:val="center"/>
          </w:tcPr>
          <w:p>
            <w:pPr>
              <w:spacing w:line="500" w:lineRule="exact"/>
              <w:ind w:left="283" w:leftChars="100"/>
              <w:rPr>
                <w:rFonts w:hint="eastAsia" w:ascii="宋体" w:hAnsi="宋体" w:cs="宋体"/>
                <w:sz w:val="24"/>
                <w:szCs w:val="24"/>
              </w:rPr>
            </w:pPr>
          </w:p>
        </w:tc>
      </w:tr>
    </w:tbl>
    <w:p>
      <w:pPr>
        <w:spacing w:line="500" w:lineRule="exact"/>
        <w:ind w:left="283" w:leftChars="100"/>
        <w:rPr>
          <w:rFonts w:hint="eastAsia" w:ascii="宋体" w:hAnsi="宋体" w:cs="宋体"/>
          <w:sz w:val="24"/>
          <w:szCs w:val="24"/>
        </w:rPr>
      </w:pPr>
      <w:r>
        <w:rPr>
          <w:rFonts w:hint="eastAsia" w:ascii="宋体" w:hAnsi="宋体" w:cs="宋体"/>
          <w:sz w:val="24"/>
          <w:szCs w:val="24"/>
        </w:rPr>
        <w:t>注：如有漏报、瞒报竞争性磋商文件所要求的性能指标等将视为没有实质性响应竞争性磋商文件</w:t>
      </w:r>
    </w:p>
    <w:p>
      <w:pPr>
        <w:spacing w:line="500" w:lineRule="exact"/>
        <w:jc w:val="left"/>
        <w:rPr>
          <w:rFonts w:hint="eastAsia" w:ascii="宋体" w:hAnsi="宋体" w:cs="宋体"/>
          <w:sz w:val="24"/>
          <w:szCs w:val="24"/>
        </w:rPr>
      </w:pPr>
      <w:r>
        <w:rPr>
          <w:rFonts w:hint="eastAsia" w:ascii="宋体" w:hAnsi="宋体" w:cs="宋体"/>
          <w:sz w:val="24"/>
          <w:szCs w:val="24"/>
        </w:rPr>
        <w:t>法定代表人或被授权人签字：</w:t>
      </w:r>
      <w:r>
        <w:rPr>
          <w:rFonts w:hint="eastAsia" w:ascii="宋体" w:hAnsi="宋体" w:cs="宋体"/>
          <w:sz w:val="24"/>
          <w:szCs w:val="24"/>
          <w:u w:val="single"/>
        </w:rPr>
        <w:t xml:space="preserve">             </w:t>
      </w:r>
      <w:r>
        <w:rPr>
          <w:rFonts w:hint="eastAsia" w:ascii="宋体" w:hAnsi="宋体" w:cs="宋体"/>
          <w:sz w:val="24"/>
          <w:szCs w:val="24"/>
        </w:rPr>
        <w:t xml:space="preserve">（单位公章）     </w:t>
      </w:r>
    </w:p>
    <w:p>
      <w:pPr>
        <w:spacing w:line="500" w:lineRule="exact"/>
        <w:jc w:val="left"/>
        <w:rPr>
          <w:rFonts w:hint="eastAsia" w:ascii="宋体" w:hAnsi="宋体" w:cs="宋体"/>
          <w:kern w:val="0"/>
          <w:sz w:val="24"/>
          <w:szCs w:val="24"/>
        </w:rPr>
      </w:pPr>
      <w:r>
        <w:rPr>
          <w:rFonts w:hint="eastAsia" w:ascii="宋体" w:hAnsi="宋体" w:cs="宋体"/>
          <w:sz w:val="24"/>
          <w:szCs w:val="24"/>
        </w:rPr>
        <w:t>日期：</w:t>
      </w:r>
      <w:r>
        <w:rPr>
          <w:rFonts w:hint="eastAsia" w:ascii="宋体" w:hAnsi="宋体" w:cs="宋体"/>
          <w:sz w:val="24"/>
          <w:szCs w:val="24"/>
          <w:u w:val="single"/>
        </w:rPr>
        <w:t xml:space="preserve">             </w:t>
      </w:r>
    </w:p>
    <w:p>
      <w:pPr>
        <w:pStyle w:val="15"/>
        <w:jc w:val="center"/>
        <w:rPr>
          <w:rFonts w:hint="eastAsia" w:ascii="宋体" w:hAnsi="宋体" w:cs="宋体"/>
          <w:color w:val="auto"/>
          <w:sz w:val="22"/>
          <w:szCs w:val="22"/>
          <w:lang w:bidi="ar"/>
        </w:rPr>
      </w:pPr>
    </w:p>
    <w:p>
      <w:pPr>
        <w:pStyle w:val="15"/>
        <w:jc w:val="center"/>
        <w:rPr>
          <w:rFonts w:hint="eastAsia" w:ascii="宋体" w:hAnsi="宋体" w:cs="宋体"/>
          <w:color w:val="auto"/>
          <w:sz w:val="22"/>
          <w:szCs w:val="22"/>
          <w:lang w:bidi="ar"/>
        </w:rPr>
      </w:pPr>
    </w:p>
    <w:p>
      <w:pPr>
        <w:pStyle w:val="15"/>
        <w:jc w:val="center"/>
        <w:rPr>
          <w:rFonts w:hint="eastAsia" w:ascii="宋体" w:hAnsi="宋体" w:cs="宋体"/>
          <w:color w:val="auto"/>
          <w:sz w:val="22"/>
          <w:szCs w:val="22"/>
          <w:lang w:bidi="ar"/>
        </w:rPr>
      </w:pPr>
    </w:p>
    <w:p>
      <w:pPr>
        <w:pStyle w:val="15"/>
        <w:jc w:val="center"/>
        <w:rPr>
          <w:rFonts w:hint="eastAsia" w:ascii="宋体" w:hAnsi="宋体" w:cs="宋体"/>
          <w:color w:val="auto"/>
          <w:sz w:val="22"/>
          <w:szCs w:val="22"/>
          <w:lang w:bidi="ar"/>
        </w:rPr>
      </w:pPr>
    </w:p>
    <w:p>
      <w:pPr>
        <w:spacing w:line="360" w:lineRule="auto"/>
        <w:ind w:firstLine="566" w:firstLineChars="200"/>
        <w:rPr>
          <w:rFonts w:hint="eastAsia" w:ascii="宋体" w:hAnsi="宋体" w:eastAsia="宋体" w:cs="宋体"/>
          <w:b/>
          <w:bCs/>
          <w:color w:val="auto"/>
          <w:sz w:val="28"/>
          <w:szCs w:val="28"/>
          <w:highlight w:val="none"/>
          <w:lang w:val="en-US" w:eastAsia="zh-CN" w:bidi="ar"/>
        </w:rPr>
      </w:pPr>
    </w:p>
    <w:p>
      <w:pPr>
        <w:spacing w:line="360" w:lineRule="auto"/>
        <w:ind w:firstLine="566" w:firstLineChars="200"/>
        <w:rPr>
          <w:rFonts w:hint="eastAsia" w:ascii="宋体" w:hAnsi="宋体" w:eastAsia="宋体" w:cs="宋体"/>
          <w:b/>
          <w:bCs/>
          <w:color w:val="auto"/>
          <w:sz w:val="28"/>
          <w:szCs w:val="28"/>
          <w:highlight w:val="none"/>
          <w:lang w:val="en-US" w:eastAsia="zh-CN" w:bidi="ar"/>
        </w:rPr>
      </w:pPr>
    </w:p>
    <w:p>
      <w:pPr>
        <w:spacing w:line="360" w:lineRule="auto"/>
        <w:ind w:firstLine="566" w:firstLineChars="200"/>
        <w:rPr>
          <w:rFonts w:hint="eastAsia" w:ascii="宋体" w:hAnsi="宋体" w:eastAsia="宋体" w:cs="宋体"/>
          <w:b/>
          <w:bCs/>
          <w:color w:val="auto"/>
          <w:sz w:val="28"/>
          <w:szCs w:val="28"/>
          <w:highlight w:val="none"/>
          <w:lang w:val="en-US" w:eastAsia="zh-CN" w:bidi="ar"/>
        </w:rPr>
      </w:pPr>
      <w:r>
        <w:rPr>
          <w:rFonts w:hint="eastAsia" w:ascii="宋体" w:hAnsi="宋体" w:cs="宋体"/>
          <w:b/>
          <w:bCs/>
          <w:color w:val="auto"/>
          <w:sz w:val="28"/>
          <w:szCs w:val="28"/>
          <w:highlight w:val="none"/>
          <w:lang w:val="en-US" w:eastAsia="zh-CN" w:bidi="ar"/>
        </w:rPr>
        <w:t>六、</w:t>
      </w:r>
      <w:r>
        <w:rPr>
          <w:rFonts w:hint="eastAsia" w:ascii="宋体" w:hAnsi="宋体" w:eastAsia="宋体" w:cs="宋体"/>
          <w:b/>
          <w:bCs/>
          <w:color w:val="auto"/>
          <w:sz w:val="28"/>
          <w:szCs w:val="28"/>
          <w:highlight w:val="none"/>
          <w:lang w:val="en-US" w:eastAsia="zh-CN" w:bidi="ar"/>
        </w:rPr>
        <w:t>项目实施的主要组成人员简历表（格式自拟）</w:t>
      </w:r>
    </w:p>
    <w:p>
      <w:pPr>
        <w:spacing w:line="360" w:lineRule="auto"/>
        <w:ind w:firstLine="566" w:firstLineChars="200"/>
        <w:rPr>
          <w:rFonts w:hint="eastAsia" w:ascii="宋体" w:hAnsi="宋体" w:eastAsia="宋体" w:cs="宋体"/>
          <w:b/>
          <w:bCs/>
          <w:color w:val="auto"/>
          <w:sz w:val="28"/>
          <w:szCs w:val="28"/>
          <w:highlight w:val="none"/>
          <w:lang w:val="en-US" w:eastAsia="zh-CN" w:bidi="ar"/>
        </w:rPr>
      </w:pPr>
    </w:p>
    <w:p>
      <w:pPr>
        <w:pStyle w:val="17"/>
        <w:rPr>
          <w:rFonts w:hint="eastAsia"/>
          <w:lang w:val="en-US" w:eastAsia="zh-CN"/>
        </w:rPr>
      </w:pPr>
    </w:p>
    <w:p>
      <w:pPr>
        <w:numPr>
          <w:ilvl w:val="0"/>
          <w:numId w:val="4"/>
        </w:numPr>
        <w:spacing w:line="360" w:lineRule="auto"/>
        <w:ind w:firstLine="566" w:firstLineChars="200"/>
        <w:rPr>
          <w:rFonts w:hint="eastAsia" w:ascii="宋体" w:hAnsi="宋体" w:eastAsia="宋体" w:cs="宋体"/>
          <w:b/>
          <w:bCs/>
          <w:color w:val="auto"/>
          <w:sz w:val="28"/>
          <w:szCs w:val="28"/>
          <w:highlight w:val="none"/>
          <w:lang w:val="en-US" w:eastAsia="zh-CN" w:bidi="ar"/>
        </w:rPr>
      </w:pPr>
      <w:r>
        <w:rPr>
          <w:rFonts w:hint="eastAsia" w:ascii="宋体" w:hAnsi="宋体" w:eastAsia="宋体" w:cs="宋体"/>
          <w:b/>
          <w:bCs/>
          <w:color w:val="auto"/>
          <w:sz w:val="28"/>
          <w:szCs w:val="28"/>
          <w:highlight w:val="none"/>
          <w:lang w:val="en-US" w:eastAsia="zh-CN" w:bidi="ar"/>
        </w:rPr>
        <w:t xml:space="preserve">提供2021年7月1 日起至 2024 年 07 月 </w:t>
      </w:r>
      <w:r>
        <w:rPr>
          <w:rFonts w:hint="eastAsia" w:ascii="宋体" w:hAnsi="宋体" w:cs="宋体"/>
          <w:b/>
          <w:bCs/>
          <w:color w:val="auto"/>
          <w:sz w:val="28"/>
          <w:szCs w:val="28"/>
          <w:highlight w:val="none"/>
          <w:lang w:val="en-US" w:eastAsia="zh-CN" w:bidi="ar"/>
        </w:rPr>
        <w:t>12</w:t>
      </w:r>
      <w:r>
        <w:rPr>
          <w:rFonts w:hint="eastAsia" w:ascii="宋体" w:hAnsi="宋体" w:eastAsia="宋体" w:cs="宋体"/>
          <w:b/>
          <w:bCs/>
          <w:color w:val="auto"/>
          <w:sz w:val="28"/>
          <w:szCs w:val="28"/>
          <w:highlight w:val="none"/>
          <w:lang w:val="en-US" w:eastAsia="zh-CN" w:bidi="ar"/>
        </w:rPr>
        <w:t>日止企业类似工程施工业绩（附合同或中标通知书及第三方生物安全技术检测公司出具的医院消毒卫生标准检测合格报告），复印件加盖公章</w:t>
      </w:r>
      <w:r>
        <w:rPr>
          <w:rFonts w:hint="eastAsia" w:ascii="宋体" w:hAnsi="宋体" w:cs="宋体"/>
          <w:b/>
          <w:bCs/>
          <w:color w:val="auto"/>
          <w:sz w:val="28"/>
          <w:szCs w:val="28"/>
          <w:highlight w:val="none"/>
          <w:lang w:val="en-US" w:eastAsia="zh-CN" w:bidi="ar"/>
        </w:rPr>
        <w:t>。</w:t>
      </w:r>
    </w:p>
    <w:p>
      <w:pPr>
        <w:pStyle w:val="17"/>
        <w:numPr>
          <w:ilvl w:val="0"/>
          <w:numId w:val="0"/>
        </w:numPr>
        <w:rPr>
          <w:rFonts w:hint="eastAsia"/>
          <w:lang w:val="en-US" w:eastAsia="zh-CN"/>
        </w:rPr>
      </w:pPr>
    </w:p>
    <w:p>
      <w:pPr>
        <w:spacing w:line="360" w:lineRule="auto"/>
        <w:ind w:firstLine="566" w:firstLineChars="200"/>
        <w:rPr>
          <w:rFonts w:hint="eastAsia" w:ascii="宋体" w:hAnsi="宋体" w:eastAsia="宋体" w:cs="宋体"/>
          <w:b/>
          <w:bCs/>
          <w:color w:val="auto"/>
          <w:sz w:val="28"/>
          <w:szCs w:val="28"/>
          <w:highlight w:val="none"/>
          <w:lang w:val="en-US" w:eastAsia="zh-CN" w:bidi="ar"/>
        </w:rPr>
      </w:pPr>
    </w:p>
    <w:p>
      <w:pPr>
        <w:numPr>
          <w:ilvl w:val="0"/>
          <w:numId w:val="4"/>
        </w:numPr>
        <w:spacing w:line="360" w:lineRule="auto"/>
        <w:ind w:left="0" w:leftChars="0" w:firstLine="566" w:firstLineChars="200"/>
        <w:rPr>
          <w:rFonts w:hint="eastAsia" w:ascii="宋体" w:hAnsi="宋体" w:eastAsia="宋体" w:cs="宋体"/>
          <w:b/>
          <w:bCs/>
          <w:color w:val="auto"/>
          <w:sz w:val="28"/>
          <w:szCs w:val="28"/>
          <w:highlight w:val="none"/>
          <w:lang w:val="en-US" w:eastAsia="zh-CN" w:bidi="ar"/>
        </w:rPr>
      </w:pPr>
      <w:r>
        <w:rPr>
          <w:rFonts w:hint="eastAsia" w:ascii="宋体" w:hAnsi="宋体" w:cs="宋体"/>
          <w:b/>
          <w:bCs/>
          <w:color w:val="auto"/>
          <w:sz w:val="28"/>
          <w:szCs w:val="28"/>
          <w:highlight w:val="none"/>
          <w:lang w:val="en-US" w:eastAsia="zh-CN" w:bidi="ar"/>
        </w:rPr>
        <w:t>投标</w:t>
      </w:r>
      <w:r>
        <w:rPr>
          <w:rFonts w:hint="eastAsia" w:ascii="宋体" w:hAnsi="宋体" w:eastAsia="宋体" w:cs="宋体"/>
          <w:b/>
          <w:bCs/>
          <w:color w:val="auto"/>
          <w:sz w:val="28"/>
          <w:szCs w:val="28"/>
          <w:highlight w:val="none"/>
          <w:lang w:val="en-US" w:eastAsia="zh-CN" w:bidi="ar"/>
        </w:rPr>
        <w:t>方案</w:t>
      </w:r>
    </w:p>
    <w:p>
      <w:pPr>
        <w:pStyle w:val="2"/>
        <w:rPr>
          <w:rFonts w:hint="eastAsia" w:ascii="宋体" w:hAnsi="宋体" w:eastAsia="宋体" w:cs="宋体"/>
          <w:b/>
          <w:bCs/>
          <w:color w:val="auto"/>
          <w:sz w:val="28"/>
          <w:szCs w:val="28"/>
          <w:highlight w:val="none"/>
          <w:lang w:val="en-US" w:eastAsia="zh-CN" w:bidi="ar"/>
        </w:rPr>
      </w:pPr>
    </w:p>
    <w:p>
      <w:pPr>
        <w:pStyle w:val="2"/>
        <w:rPr>
          <w:rFonts w:hint="eastAsia" w:ascii="宋体" w:hAnsi="宋体" w:eastAsia="宋体" w:cs="宋体"/>
          <w:b/>
          <w:bCs/>
          <w:color w:val="auto"/>
          <w:sz w:val="28"/>
          <w:szCs w:val="28"/>
          <w:highlight w:val="none"/>
          <w:lang w:val="en-US" w:eastAsia="zh-CN" w:bidi="ar"/>
        </w:rPr>
      </w:pPr>
    </w:p>
    <w:p>
      <w:pPr>
        <w:pStyle w:val="2"/>
        <w:rPr>
          <w:rFonts w:hint="eastAsia" w:ascii="宋体" w:hAnsi="宋体" w:eastAsia="宋体" w:cs="宋体"/>
          <w:b/>
          <w:bCs/>
          <w:color w:val="auto"/>
          <w:sz w:val="28"/>
          <w:szCs w:val="28"/>
          <w:highlight w:val="none"/>
          <w:lang w:val="en-US" w:eastAsia="zh-CN" w:bidi="ar"/>
        </w:rPr>
      </w:pPr>
    </w:p>
    <w:p>
      <w:pPr>
        <w:numPr>
          <w:ilvl w:val="0"/>
          <w:numId w:val="4"/>
        </w:numPr>
        <w:spacing w:line="360" w:lineRule="auto"/>
        <w:ind w:left="0" w:leftChars="0" w:firstLine="566" w:firstLineChars="200"/>
        <w:rPr>
          <w:rFonts w:hint="eastAsia" w:ascii="宋体" w:hAnsi="宋体" w:cs="宋体"/>
          <w:b/>
          <w:bCs/>
          <w:color w:val="auto"/>
          <w:sz w:val="28"/>
          <w:szCs w:val="28"/>
          <w:highlight w:val="none"/>
          <w:lang w:val="en-US" w:eastAsia="zh-CN" w:bidi="ar"/>
        </w:rPr>
      </w:pPr>
      <w:r>
        <w:rPr>
          <w:rFonts w:hint="eastAsia" w:ascii="宋体" w:hAnsi="宋体" w:cs="宋体"/>
          <w:b/>
          <w:bCs/>
          <w:color w:val="auto"/>
          <w:sz w:val="28"/>
          <w:szCs w:val="28"/>
          <w:highlight w:val="none"/>
          <w:lang w:val="en-US" w:eastAsia="zh-CN" w:bidi="ar"/>
        </w:rPr>
        <w:t>质量承诺（格式自拟）</w:t>
      </w:r>
    </w:p>
    <w:p>
      <w:pPr>
        <w:pStyle w:val="2"/>
        <w:numPr>
          <w:ilvl w:val="0"/>
          <w:numId w:val="0"/>
        </w:numPr>
        <w:ind w:leftChars="200"/>
        <w:rPr>
          <w:rFonts w:hint="eastAsia"/>
          <w:lang w:val="en-US" w:eastAsia="zh-CN"/>
        </w:rPr>
      </w:pPr>
    </w:p>
    <w:p>
      <w:pPr>
        <w:pStyle w:val="17"/>
        <w:numPr>
          <w:ilvl w:val="0"/>
          <w:numId w:val="0"/>
        </w:numPr>
        <w:rPr>
          <w:rFonts w:hint="eastAsia"/>
          <w:lang w:val="en-US" w:eastAsia="zh-CN"/>
        </w:rPr>
      </w:pPr>
    </w:p>
    <w:p>
      <w:pPr>
        <w:spacing w:line="360" w:lineRule="auto"/>
        <w:ind w:firstLine="566" w:firstLineChars="200"/>
        <w:rPr>
          <w:rFonts w:hint="eastAsia" w:ascii="宋体" w:hAnsi="宋体" w:eastAsia="宋体" w:cs="宋体"/>
          <w:b/>
          <w:bCs/>
          <w:color w:val="auto"/>
          <w:sz w:val="28"/>
          <w:szCs w:val="28"/>
          <w:highlight w:val="none"/>
          <w:lang w:val="en-US" w:eastAsia="zh-CN" w:bidi="ar"/>
        </w:rPr>
      </w:pPr>
    </w:p>
    <w:p>
      <w:pPr>
        <w:numPr>
          <w:ilvl w:val="0"/>
          <w:numId w:val="0"/>
        </w:numPr>
        <w:spacing w:line="360" w:lineRule="auto"/>
        <w:ind w:firstLine="566" w:firstLineChars="200"/>
        <w:rPr>
          <w:rFonts w:hint="eastAsia" w:ascii="宋体" w:hAnsi="宋体" w:eastAsia="宋体" w:cs="宋体"/>
          <w:b/>
          <w:bCs/>
          <w:color w:val="auto"/>
          <w:sz w:val="28"/>
          <w:szCs w:val="28"/>
          <w:highlight w:val="none"/>
          <w:lang w:val="en-US" w:eastAsia="zh-CN" w:bidi="ar"/>
        </w:rPr>
      </w:pPr>
      <w:r>
        <w:rPr>
          <w:rFonts w:hint="eastAsia" w:ascii="宋体" w:hAnsi="宋体" w:cs="宋体"/>
          <w:b/>
          <w:bCs/>
          <w:color w:val="auto"/>
          <w:sz w:val="28"/>
          <w:szCs w:val="28"/>
          <w:highlight w:val="none"/>
          <w:lang w:val="en-US" w:eastAsia="zh-CN" w:bidi="ar"/>
        </w:rPr>
        <w:t>十</w:t>
      </w:r>
      <w:r>
        <w:rPr>
          <w:rFonts w:hint="eastAsia" w:ascii="宋体" w:hAnsi="宋体" w:eastAsia="宋体" w:cs="宋体"/>
          <w:b/>
          <w:bCs/>
          <w:color w:val="auto"/>
          <w:sz w:val="28"/>
          <w:szCs w:val="28"/>
          <w:highlight w:val="none"/>
          <w:lang w:val="en-US" w:eastAsia="zh-CN" w:bidi="ar"/>
        </w:rPr>
        <w:t>、供应商认为有必要补充说明的事宜</w:t>
      </w:r>
    </w:p>
    <w:p>
      <w:pPr>
        <w:spacing w:line="360" w:lineRule="auto"/>
        <w:ind w:firstLine="566" w:firstLineChars="200"/>
        <w:rPr>
          <w:rFonts w:hint="eastAsia" w:ascii="宋体" w:hAnsi="宋体" w:eastAsia="宋体" w:cs="宋体"/>
          <w:b/>
          <w:bCs/>
          <w:color w:val="auto"/>
          <w:sz w:val="28"/>
          <w:szCs w:val="28"/>
          <w:highlight w:val="none"/>
          <w:lang w:val="en-US" w:eastAsia="zh-CN" w:bidi="ar"/>
        </w:rPr>
      </w:pPr>
    </w:p>
    <w:p>
      <w:pPr>
        <w:spacing w:line="360" w:lineRule="auto"/>
        <w:ind w:firstLine="566" w:firstLineChars="200"/>
        <w:rPr>
          <w:rFonts w:hint="eastAsia" w:ascii="宋体" w:hAnsi="宋体" w:eastAsia="宋体" w:cs="宋体"/>
          <w:b/>
          <w:bCs/>
          <w:color w:val="auto"/>
          <w:sz w:val="28"/>
          <w:szCs w:val="28"/>
          <w:highlight w:val="none"/>
          <w:lang w:val="en-US" w:eastAsia="zh-CN" w:bidi="ar"/>
        </w:rPr>
      </w:pPr>
    </w:p>
    <w:p>
      <w:pPr>
        <w:spacing w:line="360" w:lineRule="auto"/>
        <w:ind w:firstLine="566" w:firstLineChars="200"/>
        <w:rPr>
          <w:rFonts w:hint="default" w:ascii="宋体" w:hAnsi="宋体" w:eastAsia="宋体" w:cs="宋体"/>
          <w:b/>
          <w:bCs/>
          <w:color w:val="auto"/>
          <w:sz w:val="28"/>
          <w:szCs w:val="28"/>
          <w:highlight w:val="none"/>
          <w:lang w:val="en-US" w:eastAsia="zh-CN" w:bidi="ar"/>
        </w:rPr>
      </w:pPr>
    </w:p>
    <w:p>
      <w:pPr>
        <w:spacing w:line="360" w:lineRule="auto"/>
        <w:ind w:firstLine="566" w:firstLineChars="200"/>
        <w:rPr>
          <w:rFonts w:hint="eastAsia" w:ascii="宋体" w:hAnsi="宋体" w:eastAsia="宋体" w:cs="宋体"/>
          <w:b/>
          <w:bCs/>
          <w:color w:val="auto"/>
          <w:sz w:val="28"/>
          <w:szCs w:val="28"/>
          <w:highlight w:val="none"/>
          <w:lang w:val="en-US" w:eastAsia="zh-CN" w:bidi="ar"/>
        </w:rPr>
      </w:pPr>
    </w:p>
    <w:p>
      <w:pPr>
        <w:pStyle w:val="4"/>
        <w:pageBreakBefore w:val="0"/>
        <w:kinsoku/>
        <w:wordWrap/>
        <w:overflowPunct/>
        <w:topLinePunct w:val="0"/>
        <w:bidi w:val="0"/>
        <w:spacing w:before="0" w:after="0" w:line="360" w:lineRule="auto"/>
        <w:jc w:val="both"/>
        <w:textAlignment w:val="auto"/>
        <w:rPr>
          <w:rFonts w:hint="eastAsia" w:ascii="宋体" w:hAnsi="宋体" w:eastAsia="宋体" w:cs="宋体"/>
          <w:sz w:val="28"/>
          <w:szCs w:val="28"/>
          <w:highlight w:val="none"/>
          <w:lang w:val="en-US" w:eastAsia="zh-CN"/>
        </w:rPr>
      </w:pPr>
      <w:bookmarkStart w:id="143" w:name="_Toc5888429"/>
      <w:bookmarkStart w:id="144" w:name="_Toc10298"/>
      <w:bookmarkStart w:id="145" w:name="_Toc26881"/>
      <w:bookmarkStart w:id="146" w:name="_Toc6758"/>
      <w:bookmarkStart w:id="147" w:name="_Toc10634"/>
      <w:r>
        <w:rPr>
          <w:rFonts w:hint="eastAsia" w:ascii="宋体" w:hAnsi="宋体" w:cs="宋体"/>
          <w:sz w:val="28"/>
          <w:szCs w:val="28"/>
          <w:highlight w:val="none"/>
          <w:lang w:val="en-US" w:eastAsia="zh-CN"/>
        </w:rPr>
        <w:t>十一、</w:t>
      </w:r>
      <w:r>
        <w:rPr>
          <w:rFonts w:hint="eastAsia" w:ascii="宋体" w:hAnsi="宋体" w:eastAsia="宋体" w:cs="宋体"/>
          <w:sz w:val="28"/>
          <w:szCs w:val="28"/>
          <w:highlight w:val="none"/>
          <w:lang w:val="en-US" w:eastAsia="zh-CN"/>
        </w:rPr>
        <w:t>磋商声明书</w:t>
      </w:r>
      <w:bookmarkEnd w:id="143"/>
      <w:bookmarkEnd w:id="144"/>
      <w:bookmarkEnd w:id="145"/>
    </w:p>
    <w:p>
      <w:pPr>
        <w:pStyle w:val="84"/>
        <w:pageBreakBefore w:val="0"/>
        <w:kinsoku/>
        <w:wordWrap/>
        <w:overflowPunct/>
        <w:topLinePunct w:val="0"/>
        <w:bidi w:val="0"/>
        <w:spacing w:line="360" w:lineRule="auto"/>
        <w:ind w:firstLine="198"/>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致：</w:t>
      </w:r>
      <w:r>
        <w:rPr>
          <w:rFonts w:hint="eastAsia" w:ascii="宋体" w:hAnsi="宋体" w:cs="宋体"/>
          <w:sz w:val="24"/>
          <w:szCs w:val="24"/>
          <w:highlight w:val="none"/>
          <w:lang w:eastAsia="zh-CN"/>
        </w:rPr>
        <w:t>陕西正邦招标有限责任公司</w:t>
      </w:r>
    </w:p>
    <w:p>
      <w:pPr>
        <w:pStyle w:val="84"/>
        <w:pageBreakBefore w:val="0"/>
        <w:kinsoku/>
        <w:wordWrap/>
        <w:overflowPunct/>
        <w:topLinePunct w:val="0"/>
        <w:bidi w:val="0"/>
        <w:spacing w:line="360" w:lineRule="auto"/>
        <w:ind w:firstLine="618"/>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我公司</w:t>
      </w:r>
      <w:r>
        <w:rPr>
          <w:rFonts w:hint="eastAsia" w:ascii="宋体" w:hAnsi="宋体" w:eastAsia="宋体" w:cs="宋体"/>
          <w:sz w:val="24"/>
          <w:szCs w:val="24"/>
          <w:highlight w:val="none"/>
          <w:u w:val="single"/>
        </w:rPr>
        <w:t xml:space="preserve">       （供应商名称）       </w:t>
      </w:r>
      <w:r>
        <w:rPr>
          <w:rFonts w:hint="eastAsia" w:ascii="宋体" w:hAnsi="宋体" w:eastAsia="宋体" w:cs="宋体"/>
          <w:sz w:val="24"/>
          <w:szCs w:val="24"/>
          <w:highlight w:val="none"/>
        </w:rPr>
        <w:t>，就参加</w:t>
      </w:r>
      <w:r>
        <w:rPr>
          <w:rFonts w:hint="eastAsia" w:ascii="宋体" w:hAnsi="宋体" w:eastAsia="宋体" w:cs="宋体"/>
          <w:sz w:val="24"/>
          <w:szCs w:val="24"/>
          <w:highlight w:val="none"/>
          <w:u w:val="single"/>
        </w:rPr>
        <w:t xml:space="preserve">      （采购项目名称）    </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项目编号</w:t>
      </w:r>
      <w:r>
        <w:rPr>
          <w:rFonts w:hint="eastAsia" w:ascii="宋体" w:hAnsi="宋体" w:eastAsia="宋体" w:cs="宋体"/>
          <w:sz w:val="24"/>
          <w:szCs w:val="24"/>
          <w:highlight w:val="none"/>
        </w:rPr>
        <w:t>：）磋商事宜，在此郑重声明：</w:t>
      </w:r>
    </w:p>
    <w:p>
      <w:pPr>
        <w:pStyle w:val="84"/>
        <w:pageBreakBefore w:val="0"/>
        <w:kinsoku/>
        <w:wordWrap/>
        <w:overflowPunct/>
        <w:topLinePunct w:val="0"/>
        <w:bidi w:val="0"/>
        <w:spacing w:line="360" w:lineRule="auto"/>
        <w:ind w:firstLine="618"/>
        <w:textAlignment w:val="auto"/>
        <w:outlineLvl w:val="1"/>
        <w:rPr>
          <w:rFonts w:hint="eastAsia" w:ascii="宋体" w:hAnsi="宋体" w:eastAsia="宋体" w:cs="宋体"/>
          <w:sz w:val="24"/>
          <w:szCs w:val="24"/>
          <w:highlight w:val="none"/>
        </w:rPr>
      </w:pPr>
      <w:bookmarkStart w:id="148" w:name="_Toc10799"/>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我公司所提交的磋商响应文件全部真实有效；</w:t>
      </w:r>
      <w:bookmarkEnd w:id="148"/>
    </w:p>
    <w:p>
      <w:pPr>
        <w:pStyle w:val="84"/>
        <w:pageBreakBefore w:val="0"/>
        <w:kinsoku/>
        <w:wordWrap/>
        <w:overflowPunct/>
        <w:topLinePunct w:val="0"/>
        <w:bidi w:val="0"/>
        <w:spacing w:line="360" w:lineRule="auto"/>
        <w:ind w:firstLine="618"/>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我公司近3年来无因安全事故、质量事故、磋商违规等不良记录被政府有关部门处罚期内的情形存在；</w:t>
      </w:r>
    </w:p>
    <w:p>
      <w:pPr>
        <w:pStyle w:val="84"/>
        <w:pageBreakBefore w:val="0"/>
        <w:kinsoku/>
        <w:wordWrap/>
        <w:overflowPunct/>
        <w:topLinePunct w:val="0"/>
        <w:bidi w:val="0"/>
        <w:spacing w:line="360" w:lineRule="auto"/>
        <w:ind w:firstLine="618"/>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我公司近3年来无违规违法经营受到责令停产（或停止经营）、吊销生产许可证（或经营许可证）、较大数额罚款等行政处罚的情形存在；</w:t>
      </w:r>
    </w:p>
    <w:p>
      <w:pPr>
        <w:pStyle w:val="84"/>
        <w:pageBreakBefore w:val="0"/>
        <w:kinsoku/>
        <w:wordWrap/>
        <w:overflowPunct/>
        <w:topLinePunct w:val="0"/>
        <w:bidi w:val="0"/>
        <w:spacing w:line="360" w:lineRule="auto"/>
        <w:ind w:firstLine="618"/>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我公司无企业财产被查封、冻结或处于破产状态或严重亏损状态等情形存在；</w:t>
      </w:r>
    </w:p>
    <w:p>
      <w:pPr>
        <w:pStyle w:val="84"/>
        <w:pageBreakBefore w:val="0"/>
        <w:kinsoku/>
        <w:wordWrap/>
        <w:overflowPunct/>
        <w:topLinePunct w:val="0"/>
        <w:bidi w:val="0"/>
        <w:spacing w:line="360" w:lineRule="auto"/>
        <w:ind w:firstLine="618"/>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我公司承诺在磋商过程中，保证不与其他单位围标、串标，不出让磋商资格，不采取不正当手段诋毁、排挤其他供应商，不向采购代理机构、评审委员会成员行贿。</w:t>
      </w:r>
    </w:p>
    <w:p>
      <w:pPr>
        <w:pStyle w:val="84"/>
        <w:pageBreakBefore w:val="0"/>
        <w:kinsoku/>
        <w:wordWrap/>
        <w:overflowPunct/>
        <w:topLinePunct w:val="0"/>
        <w:bidi w:val="0"/>
        <w:spacing w:line="360" w:lineRule="auto"/>
        <w:ind w:firstLine="618"/>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以上声明若违反，一经查实，本公司愿意接受政府有关部门的相应处罚，并愿意承担由此带来的法律后果。</w:t>
      </w:r>
    </w:p>
    <w:p>
      <w:pPr>
        <w:pStyle w:val="84"/>
        <w:pageBreakBefore w:val="0"/>
        <w:kinsoku/>
        <w:wordWrap/>
        <w:overflowPunct/>
        <w:topLinePunct w:val="0"/>
        <w:bidi w:val="0"/>
        <w:spacing w:line="360" w:lineRule="auto"/>
        <w:ind w:firstLine="478"/>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特此声明！</w:t>
      </w:r>
    </w:p>
    <w:p>
      <w:pPr>
        <w:pStyle w:val="84"/>
        <w:pageBreakBefore w:val="0"/>
        <w:kinsoku/>
        <w:wordWrap/>
        <w:overflowPunct/>
        <w:topLinePunct w:val="0"/>
        <w:bidi w:val="0"/>
        <w:spacing w:line="360" w:lineRule="auto"/>
        <w:ind w:firstLine="478"/>
        <w:textAlignment w:val="auto"/>
        <w:rPr>
          <w:rFonts w:hint="eastAsia" w:ascii="宋体" w:hAnsi="宋体" w:eastAsia="宋体" w:cs="宋体"/>
          <w:sz w:val="24"/>
          <w:szCs w:val="24"/>
          <w:highlight w:val="none"/>
        </w:rPr>
      </w:pPr>
    </w:p>
    <w:p>
      <w:pPr>
        <w:pStyle w:val="84"/>
        <w:pageBreakBefore w:val="0"/>
        <w:kinsoku/>
        <w:wordWrap/>
        <w:overflowPunct/>
        <w:topLinePunct w:val="0"/>
        <w:bidi w:val="0"/>
        <w:spacing w:line="360" w:lineRule="auto"/>
        <w:ind w:firstLine="478"/>
        <w:textAlignment w:val="auto"/>
        <w:rPr>
          <w:rFonts w:hint="eastAsia" w:ascii="宋体" w:hAnsi="宋体" w:eastAsia="宋体" w:cs="宋体"/>
          <w:sz w:val="24"/>
          <w:szCs w:val="24"/>
          <w:highlight w:val="none"/>
        </w:rPr>
      </w:pPr>
    </w:p>
    <w:p>
      <w:pPr>
        <w:pStyle w:val="84"/>
        <w:pageBreakBefore w:val="0"/>
        <w:kinsoku/>
        <w:wordWrap/>
        <w:overflowPunct/>
        <w:topLinePunct w:val="0"/>
        <w:bidi w:val="0"/>
        <w:spacing w:line="360" w:lineRule="auto"/>
        <w:ind w:firstLine="478"/>
        <w:textAlignment w:val="auto"/>
        <w:rPr>
          <w:rFonts w:hint="eastAsia" w:ascii="宋体" w:hAnsi="宋体" w:eastAsia="宋体" w:cs="宋体"/>
          <w:sz w:val="24"/>
          <w:szCs w:val="24"/>
          <w:highlight w:val="none"/>
        </w:rPr>
      </w:pPr>
    </w:p>
    <w:p>
      <w:pPr>
        <w:pStyle w:val="84"/>
        <w:pageBreakBefore w:val="0"/>
        <w:kinsoku/>
        <w:wordWrap/>
        <w:overflowPunct/>
        <w:topLinePunct w:val="0"/>
        <w:bidi w:val="0"/>
        <w:spacing w:line="360" w:lineRule="auto"/>
        <w:ind w:firstLine="478"/>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供应商名称</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公章）</w:t>
      </w:r>
      <w:r>
        <w:rPr>
          <w:rFonts w:hint="eastAsia" w:ascii="宋体" w:hAnsi="宋体" w:eastAsia="宋体" w:cs="宋体"/>
          <w:sz w:val="24"/>
          <w:szCs w:val="24"/>
          <w:highlight w:val="none"/>
          <w:lang w:eastAsia="zh-CN"/>
        </w:rPr>
        <w:t>：</w:t>
      </w:r>
    </w:p>
    <w:p>
      <w:pPr>
        <w:pStyle w:val="84"/>
        <w:pageBreakBefore w:val="0"/>
        <w:kinsoku/>
        <w:wordWrap/>
        <w:overflowPunct/>
        <w:topLinePunct w:val="0"/>
        <w:bidi w:val="0"/>
        <w:spacing w:line="360" w:lineRule="auto"/>
        <w:ind w:firstLine="478"/>
        <w:textAlignment w:val="auto"/>
        <w:outlineLvl w:val="2"/>
        <w:rPr>
          <w:rFonts w:hint="eastAsia" w:ascii="宋体" w:hAnsi="宋体" w:eastAsia="宋体" w:cs="宋体"/>
          <w:sz w:val="24"/>
          <w:szCs w:val="24"/>
          <w:highlight w:val="none"/>
        </w:rPr>
      </w:pPr>
      <w:bookmarkStart w:id="149" w:name="_Toc9473"/>
      <w:r>
        <w:rPr>
          <w:rFonts w:hint="eastAsia" w:ascii="宋体" w:hAnsi="宋体" w:eastAsia="宋体" w:cs="宋体"/>
          <w:sz w:val="24"/>
          <w:szCs w:val="24"/>
          <w:highlight w:val="none"/>
        </w:rPr>
        <w:t>法定代表人</w:t>
      </w:r>
      <w:r>
        <w:rPr>
          <w:rFonts w:hint="eastAsia" w:ascii="宋体" w:hAnsi="宋体" w:eastAsia="宋体" w:cs="宋体"/>
          <w:sz w:val="24"/>
          <w:szCs w:val="24"/>
          <w:highlight w:val="none"/>
          <w:lang w:val="en-US" w:eastAsia="zh-CN"/>
        </w:rPr>
        <w:t>或</w:t>
      </w:r>
      <w:r>
        <w:rPr>
          <w:rFonts w:hint="eastAsia" w:ascii="宋体" w:hAnsi="宋体" w:eastAsia="宋体" w:cs="宋体"/>
          <w:sz w:val="24"/>
          <w:szCs w:val="24"/>
          <w:highlight w:val="none"/>
        </w:rPr>
        <w:t>被授权人：      （签字或盖章）</w:t>
      </w:r>
      <w:bookmarkEnd w:id="149"/>
    </w:p>
    <w:p>
      <w:pPr>
        <w:pStyle w:val="84"/>
        <w:pageBreakBefore w:val="0"/>
        <w:kinsoku/>
        <w:wordWrap/>
        <w:overflowPunct/>
        <w:topLinePunct w:val="0"/>
        <w:bidi w:val="0"/>
        <w:spacing w:line="360" w:lineRule="auto"/>
        <w:ind w:firstLine="478"/>
        <w:textAlignment w:val="auto"/>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日      期：</w:t>
      </w:r>
    </w:p>
    <w:p>
      <w:pPr>
        <w:pStyle w:val="4"/>
        <w:pageBreakBefore w:val="0"/>
        <w:kinsoku/>
        <w:wordWrap/>
        <w:overflowPunct/>
        <w:topLinePunct w:val="0"/>
        <w:bidi w:val="0"/>
        <w:spacing w:before="0" w:after="0" w:line="360" w:lineRule="auto"/>
        <w:textAlignment w:val="auto"/>
        <w:outlineLvl w:val="9"/>
        <w:rPr>
          <w:rFonts w:hint="eastAsia" w:ascii="宋体" w:hAnsi="宋体" w:eastAsia="宋体" w:cs="宋体"/>
          <w:sz w:val="28"/>
          <w:szCs w:val="28"/>
          <w:highlight w:val="none"/>
          <w:lang w:val="en-US" w:eastAsia="zh-CN"/>
        </w:rPr>
      </w:pPr>
      <w:bookmarkStart w:id="150" w:name="_Toc5888430"/>
    </w:p>
    <w:p>
      <w:pPr>
        <w:rPr>
          <w:rFonts w:hint="eastAsia" w:ascii="宋体" w:hAnsi="宋体" w:eastAsia="宋体" w:cs="宋体"/>
          <w:sz w:val="28"/>
          <w:szCs w:val="28"/>
          <w:highlight w:val="none"/>
          <w:lang w:val="en-US" w:eastAsia="zh-CN"/>
        </w:rPr>
      </w:pPr>
    </w:p>
    <w:p>
      <w:pPr>
        <w:pStyle w:val="13"/>
        <w:rPr>
          <w:rFonts w:hint="eastAsia" w:ascii="宋体" w:hAnsi="宋体" w:eastAsia="宋体" w:cs="宋体"/>
          <w:sz w:val="28"/>
          <w:szCs w:val="28"/>
          <w:highlight w:val="none"/>
          <w:lang w:val="en-US" w:eastAsia="zh-CN"/>
        </w:rPr>
      </w:pPr>
    </w:p>
    <w:p>
      <w:pPr>
        <w:pStyle w:val="2"/>
        <w:rPr>
          <w:rFonts w:hint="eastAsia" w:ascii="宋体" w:hAnsi="宋体" w:eastAsia="宋体" w:cs="宋体"/>
          <w:sz w:val="28"/>
          <w:szCs w:val="28"/>
          <w:highlight w:val="none"/>
          <w:lang w:val="en-US" w:eastAsia="zh-CN"/>
        </w:rPr>
      </w:pPr>
    </w:p>
    <w:p>
      <w:pPr>
        <w:rPr>
          <w:rFonts w:hint="eastAsia" w:ascii="宋体" w:hAnsi="宋体" w:eastAsia="宋体" w:cs="宋体"/>
          <w:sz w:val="28"/>
          <w:szCs w:val="28"/>
          <w:highlight w:val="none"/>
          <w:lang w:val="en-US" w:eastAsia="zh-CN"/>
        </w:rPr>
      </w:pPr>
    </w:p>
    <w:p>
      <w:pPr>
        <w:pStyle w:val="4"/>
        <w:pageBreakBefore w:val="0"/>
        <w:kinsoku/>
        <w:wordWrap/>
        <w:overflowPunct/>
        <w:topLinePunct w:val="0"/>
        <w:bidi w:val="0"/>
        <w:spacing w:before="0" w:after="0" w:line="360" w:lineRule="auto"/>
        <w:jc w:val="both"/>
        <w:textAlignment w:val="auto"/>
        <w:rPr>
          <w:rFonts w:hint="eastAsia" w:ascii="宋体" w:hAnsi="宋体" w:eastAsia="宋体" w:cs="宋体"/>
          <w:sz w:val="28"/>
          <w:szCs w:val="28"/>
          <w:highlight w:val="none"/>
        </w:rPr>
      </w:pPr>
      <w:bookmarkStart w:id="151" w:name="_Toc1390"/>
      <w:bookmarkStart w:id="152" w:name="_Toc8917"/>
      <w:r>
        <w:rPr>
          <w:rFonts w:hint="eastAsia" w:ascii="宋体" w:hAnsi="宋体" w:cs="宋体"/>
          <w:sz w:val="28"/>
          <w:szCs w:val="28"/>
          <w:highlight w:val="none"/>
          <w:lang w:val="en-US" w:eastAsia="zh-CN"/>
        </w:rPr>
        <w:t>十二、</w:t>
      </w:r>
      <w:r>
        <w:rPr>
          <w:rFonts w:hint="eastAsia" w:ascii="宋体" w:hAnsi="宋体" w:eastAsia="宋体" w:cs="宋体"/>
          <w:sz w:val="28"/>
          <w:szCs w:val="28"/>
          <w:highlight w:val="none"/>
        </w:rPr>
        <w:t>《拒绝政府采购领域商业贿赂承诺书》</w:t>
      </w:r>
      <w:bookmarkEnd w:id="150"/>
      <w:bookmarkEnd w:id="151"/>
      <w:bookmarkEnd w:id="152"/>
      <w:r>
        <w:rPr>
          <w:rFonts w:hint="eastAsia" w:ascii="宋体" w:hAnsi="宋体" w:eastAsia="宋体" w:cs="宋体"/>
          <w:sz w:val="28"/>
          <w:szCs w:val="28"/>
          <w:highlight w:val="none"/>
        </w:rPr>
        <w:t xml:space="preserve"> </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2"/>
        <w:rPr>
          <w:rFonts w:hint="eastAsia" w:ascii="宋体" w:hAnsi="宋体" w:eastAsia="宋体" w:cs="宋体"/>
          <w:b/>
          <w:bCs/>
          <w:sz w:val="28"/>
          <w:szCs w:val="28"/>
          <w:highlight w:val="none"/>
        </w:rPr>
      </w:pPr>
      <w:bookmarkStart w:id="153" w:name="_Toc18845"/>
      <w:r>
        <w:rPr>
          <w:rFonts w:hint="eastAsia" w:ascii="宋体" w:hAnsi="宋体" w:eastAsia="宋体" w:cs="宋体"/>
          <w:b/>
          <w:bCs/>
          <w:sz w:val="28"/>
          <w:szCs w:val="28"/>
          <w:highlight w:val="none"/>
        </w:rPr>
        <w:t>陕西省政府采购供应商拒绝政府采购领域商业贿赂承诺书</w:t>
      </w:r>
      <w:bookmarkEnd w:id="153"/>
    </w:p>
    <w:p>
      <w:pPr>
        <w:pStyle w:val="84"/>
        <w:keepNext w:val="0"/>
        <w:keepLines w:val="0"/>
        <w:pageBreakBefore w:val="0"/>
        <w:widowControl/>
        <w:kinsoku/>
        <w:wordWrap/>
        <w:overflowPunct/>
        <w:topLinePunct w:val="0"/>
        <w:autoSpaceDE/>
        <w:autoSpaceDN/>
        <w:bidi w:val="0"/>
        <w:adjustRightInd/>
        <w:snapToGrid/>
        <w:spacing w:line="500" w:lineRule="exact"/>
        <w:ind w:firstLine="478"/>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 xml:space="preserve">为响应党中央、国务院关于治理政府采购领域商业贿赂行为的号召，我单位在此庄严承诺： </w:t>
      </w:r>
    </w:p>
    <w:p>
      <w:pPr>
        <w:pStyle w:val="84"/>
        <w:keepNext w:val="0"/>
        <w:keepLines w:val="0"/>
        <w:pageBreakBefore w:val="0"/>
        <w:widowControl/>
        <w:kinsoku/>
        <w:wordWrap/>
        <w:overflowPunct/>
        <w:topLinePunct w:val="0"/>
        <w:autoSpaceDE/>
        <w:autoSpaceDN/>
        <w:bidi w:val="0"/>
        <w:adjustRightInd/>
        <w:snapToGrid/>
        <w:spacing w:line="500" w:lineRule="exact"/>
        <w:ind w:firstLine="478"/>
        <w:textAlignment w:val="auto"/>
        <w:outlineLvl w:val="1"/>
        <w:rPr>
          <w:rFonts w:hint="eastAsia" w:ascii="宋体" w:hAnsi="宋体" w:eastAsia="宋体" w:cs="宋体"/>
          <w:sz w:val="24"/>
          <w:szCs w:val="24"/>
          <w:highlight w:val="none"/>
          <w:lang w:eastAsia="zh-CN"/>
        </w:rPr>
      </w:pPr>
      <w:bookmarkStart w:id="154" w:name="_Toc26430"/>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在参与政府采购活动中遵纪守法、诚信经营、公平竞标。</w:t>
      </w:r>
      <w:bookmarkEnd w:id="154"/>
      <w:r>
        <w:rPr>
          <w:rFonts w:hint="eastAsia" w:ascii="宋体" w:hAnsi="宋体" w:eastAsia="宋体" w:cs="宋体"/>
          <w:sz w:val="24"/>
          <w:szCs w:val="24"/>
          <w:highlight w:val="none"/>
        </w:rPr>
        <w:t xml:space="preserve"> </w:t>
      </w:r>
    </w:p>
    <w:p>
      <w:pPr>
        <w:pStyle w:val="84"/>
        <w:keepNext w:val="0"/>
        <w:keepLines w:val="0"/>
        <w:pageBreakBefore w:val="0"/>
        <w:widowControl/>
        <w:kinsoku/>
        <w:wordWrap/>
        <w:overflowPunct/>
        <w:topLinePunct w:val="0"/>
        <w:autoSpaceDE/>
        <w:autoSpaceDN/>
        <w:bidi w:val="0"/>
        <w:adjustRightInd/>
        <w:snapToGrid/>
        <w:spacing w:line="500" w:lineRule="exact"/>
        <w:ind w:firstLine="478"/>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不向采购人、采购代理机构和政府采购评审专家进行任何形式的商业贿赂以谋取交易机会。</w:t>
      </w:r>
    </w:p>
    <w:p>
      <w:pPr>
        <w:pStyle w:val="84"/>
        <w:keepNext w:val="0"/>
        <w:keepLines w:val="0"/>
        <w:pageBreakBefore w:val="0"/>
        <w:widowControl/>
        <w:kinsoku/>
        <w:wordWrap/>
        <w:overflowPunct/>
        <w:topLinePunct w:val="0"/>
        <w:autoSpaceDE/>
        <w:autoSpaceDN/>
        <w:bidi w:val="0"/>
        <w:adjustRightInd/>
        <w:snapToGrid/>
        <w:spacing w:line="500" w:lineRule="exact"/>
        <w:ind w:firstLine="478"/>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3</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 xml:space="preserve">不向政府采购代理机构和采购人提供虚假资质文件或采用虚假应标方式参与政府采购市场竞争并谋取中标、成交。 </w:t>
      </w:r>
    </w:p>
    <w:p>
      <w:pPr>
        <w:pStyle w:val="84"/>
        <w:keepNext w:val="0"/>
        <w:keepLines w:val="0"/>
        <w:pageBreakBefore w:val="0"/>
        <w:widowControl/>
        <w:kinsoku/>
        <w:wordWrap/>
        <w:overflowPunct/>
        <w:topLinePunct w:val="0"/>
        <w:autoSpaceDE/>
        <w:autoSpaceDN/>
        <w:bidi w:val="0"/>
        <w:adjustRightInd/>
        <w:snapToGrid/>
        <w:spacing w:line="500" w:lineRule="exact"/>
        <w:ind w:firstLine="478"/>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4</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 xml:space="preserve">不采取“围标、陪标”等商业欺诈手段获得政府采购定单。 </w:t>
      </w:r>
    </w:p>
    <w:p>
      <w:pPr>
        <w:pStyle w:val="84"/>
        <w:keepNext w:val="0"/>
        <w:keepLines w:val="0"/>
        <w:pageBreakBefore w:val="0"/>
        <w:widowControl/>
        <w:kinsoku/>
        <w:wordWrap/>
        <w:overflowPunct/>
        <w:topLinePunct w:val="0"/>
        <w:autoSpaceDE/>
        <w:autoSpaceDN/>
        <w:bidi w:val="0"/>
        <w:adjustRightInd/>
        <w:snapToGrid/>
        <w:spacing w:line="500" w:lineRule="exact"/>
        <w:ind w:firstLine="478"/>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5</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 xml:space="preserve">不采取不正当手段低毁、排挤其他供应商。 </w:t>
      </w:r>
    </w:p>
    <w:p>
      <w:pPr>
        <w:pStyle w:val="84"/>
        <w:keepNext w:val="0"/>
        <w:keepLines w:val="0"/>
        <w:pageBreakBefore w:val="0"/>
        <w:widowControl/>
        <w:kinsoku/>
        <w:wordWrap/>
        <w:overflowPunct/>
        <w:topLinePunct w:val="0"/>
        <w:autoSpaceDE/>
        <w:autoSpaceDN/>
        <w:bidi w:val="0"/>
        <w:adjustRightInd/>
        <w:snapToGrid/>
        <w:spacing w:line="500" w:lineRule="exact"/>
        <w:ind w:firstLine="478"/>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6</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 xml:space="preserve">不在提供商品和服务时“偷梁换柱、以次充好”损害采购人的合法权益。 </w:t>
      </w:r>
    </w:p>
    <w:p>
      <w:pPr>
        <w:pStyle w:val="84"/>
        <w:keepNext w:val="0"/>
        <w:keepLines w:val="0"/>
        <w:pageBreakBefore w:val="0"/>
        <w:widowControl/>
        <w:kinsoku/>
        <w:wordWrap/>
        <w:overflowPunct/>
        <w:topLinePunct w:val="0"/>
        <w:autoSpaceDE/>
        <w:autoSpaceDN/>
        <w:bidi w:val="0"/>
        <w:adjustRightInd/>
        <w:snapToGrid/>
        <w:spacing w:line="500" w:lineRule="exact"/>
        <w:ind w:firstLine="478"/>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7</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 xml:space="preserve">不与采购人、采购代理机构、政府采购评审专家或其它供应商恶意串通，进行质疑和投诉，维护政府采购市场秩序。 </w:t>
      </w:r>
    </w:p>
    <w:p>
      <w:pPr>
        <w:pStyle w:val="84"/>
        <w:keepNext w:val="0"/>
        <w:keepLines w:val="0"/>
        <w:pageBreakBefore w:val="0"/>
        <w:widowControl/>
        <w:kinsoku/>
        <w:wordWrap/>
        <w:overflowPunct/>
        <w:topLinePunct w:val="0"/>
        <w:autoSpaceDE/>
        <w:autoSpaceDN/>
        <w:bidi w:val="0"/>
        <w:adjustRightInd/>
        <w:snapToGrid/>
        <w:spacing w:line="500" w:lineRule="exact"/>
        <w:ind w:firstLine="478"/>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8</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 xml:space="preserve">尊重和接受政府采购监督管理部门的监督和政府采购代理机构采购要求，承担因违约行为给采购人造成的损失。 </w:t>
      </w:r>
    </w:p>
    <w:p>
      <w:pPr>
        <w:pStyle w:val="84"/>
        <w:keepNext w:val="0"/>
        <w:keepLines w:val="0"/>
        <w:pageBreakBefore w:val="0"/>
        <w:widowControl/>
        <w:kinsoku/>
        <w:wordWrap/>
        <w:overflowPunct/>
        <w:topLinePunct w:val="0"/>
        <w:autoSpaceDE/>
        <w:autoSpaceDN/>
        <w:bidi w:val="0"/>
        <w:adjustRightInd/>
        <w:snapToGrid/>
        <w:spacing w:line="500" w:lineRule="exact"/>
        <w:ind w:firstLine="478"/>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9</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 xml:space="preserve">不发生其他有悖于政府采购公开、公平、公正和诚信原则的行为。 </w:t>
      </w:r>
    </w:p>
    <w:p>
      <w:pPr>
        <w:pStyle w:val="84"/>
        <w:keepNext w:val="0"/>
        <w:keepLines w:val="0"/>
        <w:pageBreakBefore w:val="0"/>
        <w:widowControl/>
        <w:kinsoku/>
        <w:wordWrap/>
        <w:overflowPunct/>
        <w:topLinePunct w:val="0"/>
        <w:autoSpaceDE/>
        <w:autoSpaceDN/>
        <w:bidi w:val="0"/>
        <w:adjustRightInd/>
        <w:snapToGrid/>
        <w:spacing w:line="500" w:lineRule="exact"/>
        <w:ind w:firstLine="478"/>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w:t>
      </w:r>
    </w:p>
    <w:p>
      <w:pPr>
        <w:pStyle w:val="84"/>
        <w:keepNext w:val="0"/>
        <w:keepLines w:val="0"/>
        <w:pageBreakBefore w:val="0"/>
        <w:widowControl/>
        <w:kinsoku/>
        <w:wordWrap/>
        <w:overflowPunct/>
        <w:topLinePunct w:val="0"/>
        <w:autoSpaceDE/>
        <w:autoSpaceDN/>
        <w:bidi w:val="0"/>
        <w:adjustRightInd/>
        <w:snapToGrid/>
        <w:spacing w:line="500" w:lineRule="exact"/>
        <w:ind w:firstLine="478"/>
        <w:textAlignment w:val="auto"/>
        <w:rPr>
          <w:rFonts w:hint="eastAsia" w:ascii="宋体" w:hAnsi="宋体" w:eastAsia="宋体" w:cs="宋体"/>
          <w:sz w:val="24"/>
          <w:szCs w:val="24"/>
          <w:highlight w:val="none"/>
        </w:rPr>
      </w:pPr>
    </w:p>
    <w:p>
      <w:pPr>
        <w:pStyle w:val="84"/>
        <w:keepNext w:val="0"/>
        <w:keepLines w:val="0"/>
        <w:pageBreakBefore w:val="0"/>
        <w:widowControl/>
        <w:kinsoku/>
        <w:wordWrap/>
        <w:overflowPunct/>
        <w:topLinePunct w:val="0"/>
        <w:autoSpaceDE/>
        <w:autoSpaceDN/>
        <w:bidi w:val="0"/>
        <w:adjustRightInd/>
        <w:snapToGrid/>
        <w:spacing w:line="500" w:lineRule="exact"/>
        <w:ind w:firstLine="1034" w:firstLineChars="426"/>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供应商名称</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公章）</w:t>
      </w:r>
      <w:r>
        <w:rPr>
          <w:rFonts w:hint="eastAsia" w:ascii="宋体" w:hAnsi="宋体" w:eastAsia="宋体" w:cs="宋体"/>
          <w:sz w:val="24"/>
          <w:szCs w:val="24"/>
          <w:highlight w:val="none"/>
          <w:lang w:eastAsia="zh-CN"/>
        </w:rPr>
        <w:t>：</w:t>
      </w:r>
    </w:p>
    <w:p>
      <w:pPr>
        <w:pStyle w:val="84"/>
        <w:keepNext w:val="0"/>
        <w:keepLines w:val="0"/>
        <w:pageBreakBefore w:val="0"/>
        <w:widowControl/>
        <w:kinsoku/>
        <w:wordWrap/>
        <w:overflowPunct/>
        <w:topLinePunct w:val="0"/>
        <w:autoSpaceDE/>
        <w:autoSpaceDN/>
        <w:bidi w:val="0"/>
        <w:adjustRightInd/>
        <w:snapToGrid/>
        <w:spacing w:line="500" w:lineRule="exact"/>
        <w:ind w:firstLine="1034" w:firstLineChars="426"/>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w:t>
      </w:r>
      <w:r>
        <w:rPr>
          <w:rFonts w:hint="eastAsia" w:ascii="宋体" w:hAnsi="宋体" w:eastAsia="宋体" w:cs="宋体"/>
          <w:sz w:val="24"/>
          <w:szCs w:val="24"/>
          <w:highlight w:val="none"/>
          <w:lang w:val="en-US" w:eastAsia="zh-CN"/>
        </w:rPr>
        <w:t>或</w:t>
      </w:r>
      <w:r>
        <w:rPr>
          <w:rFonts w:hint="eastAsia" w:ascii="宋体" w:hAnsi="宋体" w:eastAsia="宋体" w:cs="宋体"/>
          <w:sz w:val="24"/>
          <w:szCs w:val="24"/>
          <w:highlight w:val="none"/>
        </w:rPr>
        <w:t>被授权人：      （签字或盖章）</w:t>
      </w:r>
    </w:p>
    <w:p>
      <w:pPr>
        <w:pStyle w:val="84"/>
        <w:keepNext w:val="0"/>
        <w:keepLines w:val="0"/>
        <w:pageBreakBefore w:val="0"/>
        <w:widowControl/>
        <w:kinsoku/>
        <w:wordWrap/>
        <w:overflowPunct/>
        <w:topLinePunct w:val="0"/>
        <w:autoSpaceDE/>
        <w:autoSpaceDN/>
        <w:bidi w:val="0"/>
        <w:adjustRightInd/>
        <w:snapToGrid/>
        <w:spacing w:line="500" w:lineRule="exact"/>
        <w:ind w:firstLine="1034" w:firstLineChars="426"/>
        <w:textAlignment w:val="auto"/>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日      期：</w:t>
      </w:r>
    </w:p>
    <w:p>
      <w:pPr>
        <w:pageBreakBefore w:val="0"/>
        <w:kinsoku/>
        <w:wordWrap/>
        <w:overflowPunct/>
        <w:topLinePunct w:val="0"/>
        <w:bidi w:val="0"/>
        <w:spacing w:line="360" w:lineRule="auto"/>
        <w:textAlignment w:val="auto"/>
        <w:rPr>
          <w:rFonts w:hint="eastAsia" w:ascii="宋体" w:hAnsi="宋体" w:eastAsia="宋体" w:cs="宋体"/>
          <w:sz w:val="20"/>
          <w:szCs w:val="18"/>
          <w:highlight w:val="none"/>
        </w:rPr>
        <w:sectPr>
          <w:headerReference r:id="rId27" w:type="default"/>
          <w:footerReference r:id="rId28" w:type="default"/>
          <w:endnotePr>
            <w:numFmt w:val="decimal"/>
          </w:endnotePr>
          <w:pgSz w:w="11905" w:h="16838"/>
          <w:pgMar w:top="1134" w:right="1304" w:bottom="1134" w:left="1417" w:header="850" w:footer="992" w:gutter="0"/>
          <w:pgNumType w:fmt="decimal"/>
          <w:cols w:space="0" w:num="1"/>
          <w:rtlGutter w:val="0"/>
          <w:docGrid w:type="linesAndChars" w:linePitch="328" w:charSpace="733"/>
        </w:sectPr>
      </w:pPr>
    </w:p>
    <w:p>
      <w:pPr>
        <w:pStyle w:val="4"/>
        <w:keepNext/>
        <w:keepLines/>
        <w:pageBreakBefore w:val="0"/>
        <w:widowControl w:val="0"/>
        <w:kinsoku/>
        <w:wordWrap/>
        <w:overflowPunct/>
        <w:topLinePunct w:val="0"/>
        <w:autoSpaceDE/>
        <w:autoSpaceDN/>
        <w:bidi w:val="0"/>
        <w:adjustRightInd/>
        <w:snapToGrid/>
        <w:spacing w:before="0" w:after="0" w:line="520" w:lineRule="exact"/>
        <w:ind w:left="0" w:leftChars="0" w:firstLine="0" w:firstLineChars="0"/>
        <w:jc w:val="both"/>
        <w:textAlignment w:val="auto"/>
        <w:rPr>
          <w:rFonts w:hint="eastAsia" w:ascii="宋体" w:hAnsi="宋体" w:eastAsia="宋体" w:cs="宋体"/>
          <w:sz w:val="28"/>
          <w:szCs w:val="28"/>
          <w:highlight w:val="none"/>
        </w:rPr>
      </w:pPr>
      <w:bookmarkStart w:id="155" w:name="_Toc30094"/>
      <w:bookmarkStart w:id="156" w:name="_Toc21796"/>
      <w:bookmarkStart w:id="157" w:name="_Toc6609"/>
      <w:bookmarkStart w:id="158" w:name="_Toc32472"/>
      <w:bookmarkStart w:id="159" w:name="_Toc5888432"/>
      <w:r>
        <w:rPr>
          <w:rFonts w:hint="eastAsia" w:ascii="宋体" w:hAnsi="宋体" w:cs="宋体"/>
          <w:sz w:val="28"/>
          <w:szCs w:val="28"/>
          <w:highlight w:val="none"/>
          <w:lang w:val="en-US" w:eastAsia="zh-CN"/>
        </w:rPr>
        <w:t>十三、</w:t>
      </w:r>
      <w:r>
        <w:rPr>
          <w:rFonts w:hint="eastAsia" w:ascii="宋体" w:hAnsi="宋体" w:eastAsia="宋体" w:cs="宋体"/>
          <w:sz w:val="28"/>
          <w:szCs w:val="28"/>
          <w:highlight w:val="none"/>
        </w:rPr>
        <w:t>《</w:t>
      </w:r>
      <w:r>
        <w:rPr>
          <w:rFonts w:hint="eastAsia" w:ascii="宋体" w:hAnsi="宋体" w:eastAsia="宋体" w:cs="宋体"/>
          <w:sz w:val="28"/>
          <w:szCs w:val="28"/>
          <w:highlight w:val="none"/>
          <w:lang w:eastAsia="zh-CN"/>
        </w:rPr>
        <w:t>中小企业声明函</w:t>
      </w:r>
      <w:r>
        <w:rPr>
          <w:rFonts w:hint="eastAsia" w:ascii="宋体" w:hAnsi="宋体" w:eastAsia="宋体" w:cs="宋体"/>
          <w:sz w:val="28"/>
          <w:szCs w:val="28"/>
          <w:highlight w:val="none"/>
        </w:rPr>
        <w:t>》</w:t>
      </w:r>
      <w:bookmarkEnd w:id="155"/>
      <w:bookmarkEnd w:id="156"/>
    </w:p>
    <w:p>
      <w:pPr>
        <w:pStyle w:val="5"/>
        <w:spacing w:line="560" w:lineRule="exact"/>
        <w:jc w:val="center"/>
        <w:rPr>
          <w:rFonts w:hint="eastAsia" w:ascii="宋体" w:hAnsi="宋体" w:eastAsia="宋体" w:cs="宋体"/>
          <w:color w:val="auto"/>
          <w:sz w:val="28"/>
          <w:szCs w:val="28"/>
          <w:highlight w:val="none"/>
        </w:rPr>
      </w:pPr>
      <w:bookmarkStart w:id="160" w:name="_Toc261"/>
      <w:bookmarkStart w:id="161" w:name="_Toc7850"/>
      <w:r>
        <w:rPr>
          <w:rFonts w:hint="eastAsia" w:ascii="宋体" w:hAnsi="宋体" w:eastAsia="宋体" w:cs="宋体"/>
          <w:color w:val="auto"/>
          <w:sz w:val="28"/>
          <w:szCs w:val="28"/>
          <w:highlight w:val="none"/>
        </w:rPr>
        <w:t>中小企业声明函（</w:t>
      </w:r>
      <w:r>
        <w:rPr>
          <w:rFonts w:hint="eastAsia" w:ascii="宋体" w:hAnsi="宋体" w:cs="宋体"/>
          <w:color w:val="auto"/>
          <w:sz w:val="28"/>
          <w:szCs w:val="28"/>
          <w:highlight w:val="none"/>
          <w:lang w:eastAsia="zh-CN"/>
        </w:rPr>
        <w:t>工程、</w:t>
      </w:r>
      <w:r>
        <w:rPr>
          <w:rFonts w:hint="eastAsia" w:ascii="宋体" w:hAnsi="宋体" w:eastAsia="宋体" w:cs="宋体"/>
          <w:color w:val="auto"/>
          <w:sz w:val="28"/>
          <w:szCs w:val="28"/>
          <w:highlight w:val="none"/>
        </w:rPr>
        <w:t>服务）</w:t>
      </w:r>
      <w:bookmarkEnd w:id="160"/>
      <w:bookmarkEnd w:id="161"/>
    </w:p>
    <w:p>
      <w:pPr>
        <w:rPr>
          <w:rFonts w:hint="eastAsia" w:ascii="宋体" w:hAnsi="宋体" w:eastAsia="宋体" w:cs="宋体"/>
          <w:color w:val="auto"/>
          <w:sz w:val="22"/>
          <w:szCs w:val="21"/>
          <w:highlight w:val="none"/>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本公司郑重声明，根据《政府采购促进中小企业发展管理办法》（财库[2020]46号）的规定，本公司参加</w:t>
      </w:r>
      <w:r>
        <w:rPr>
          <w:rFonts w:hint="eastAsia" w:ascii="宋体" w:hAnsi="宋体" w:eastAsia="宋体" w:cs="宋体"/>
          <w:color w:val="auto"/>
          <w:sz w:val="24"/>
          <w:szCs w:val="24"/>
          <w:highlight w:val="none"/>
          <w:u w:val="single"/>
        </w:rPr>
        <w:t>（单位名称）</w:t>
      </w:r>
      <w:r>
        <w:rPr>
          <w:rFonts w:hint="eastAsia" w:ascii="宋体" w:hAnsi="宋体" w:eastAsia="宋体" w:cs="宋体"/>
          <w:color w:val="auto"/>
          <w:sz w:val="24"/>
          <w:szCs w:val="24"/>
          <w:highlight w:val="none"/>
        </w:rPr>
        <w:t xml:space="preserve">的（项目名称）采购活动，工程的施工单位全部为符合政策要求的中小企业（或者：服务全部由符合政策要求的中小企业承接）。相关企业（含联合体中的中小企业、签订分包意向协议的中小企业）的具体情况如下：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（标的名称），属于（</w:t>
      </w:r>
      <w:r>
        <w:rPr>
          <w:rFonts w:hint="eastAsia" w:ascii="宋体" w:hAnsi="宋体" w:eastAsia="宋体" w:cs="宋体"/>
          <w:color w:val="auto"/>
          <w:sz w:val="24"/>
          <w:szCs w:val="24"/>
          <w:highlight w:val="none"/>
          <w:u w:val="single"/>
        </w:rPr>
        <w:t>采购文件中明确的所属行业</w:t>
      </w:r>
      <w:r>
        <w:rPr>
          <w:rFonts w:hint="eastAsia" w:ascii="宋体" w:hAnsi="宋体" w:eastAsia="宋体" w:cs="宋体"/>
          <w:color w:val="auto"/>
          <w:sz w:val="24"/>
          <w:szCs w:val="24"/>
          <w:highlight w:val="none"/>
        </w:rPr>
        <w:t>）；承建（承接）企业为（</w:t>
      </w:r>
      <w:r>
        <w:rPr>
          <w:rFonts w:hint="eastAsia" w:ascii="宋体" w:hAnsi="宋体" w:eastAsia="宋体" w:cs="宋体"/>
          <w:color w:val="auto"/>
          <w:sz w:val="24"/>
          <w:szCs w:val="24"/>
          <w:highlight w:val="none"/>
          <w:u w:val="single"/>
        </w:rPr>
        <w:t>企业名称</w:t>
      </w:r>
      <w:r>
        <w:rPr>
          <w:rFonts w:hint="eastAsia" w:ascii="宋体" w:hAnsi="宋体" w:eastAsia="宋体" w:cs="宋体"/>
          <w:color w:val="auto"/>
          <w:sz w:val="24"/>
          <w:szCs w:val="24"/>
          <w:highlight w:val="none"/>
        </w:rPr>
        <w:t>），从业人员</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人，营业收入为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万元，资产总额为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万元，属于</w:t>
      </w:r>
      <w:r>
        <w:rPr>
          <w:rFonts w:hint="eastAsia" w:ascii="宋体" w:hAnsi="宋体" w:eastAsia="宋体" w:cs="宋体"/>
          <w:color w:val="auto"/>
          <w:sz w:val="24"/>
          <w:szCs w:val="24"/>
          <w:highlight w:val="none"/>
          <w:u w:val="single"/>
        </w:rPr>
        <w:t xml:space="preserve">     （中型企业、小型企业、微型企业）</w:t>
      </w:r>
      <w:r>
        <w:rPr>
          <w:rFonts w:hint="eastAsia" w:ascii="宋体" w:hAnsi="宋体" w:eastAsia="宋体" w:cs="宋体"/>
          <w:color w:val="auto"/>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（标的名称），属于（</w:t>
      </w:r>
      <w:r>
        <w:rPr>
          <w:rFonts w:hint="eastAsia" w:ascii="宋体" w:hAnsi="宋体" w:eastAsia="宋体" w:cs="宋体"/>
          <w:color w:val="auto"/>
          <w:sz w:val="24"/>
          <w:szCs w:val="24"/>
          <w:highlight w:val="none"/>
          <w:u w:val="single"/>
        </w:rPr>
        <w:t>采购文件中明确的所属行业</w:t>
      </w:r>
      <w:r>
        <w:rPr>
          <w:rFonts w:hint="eastAsia" w:ascii="宋体" w:hAnsi="宋体" w:eastAsia="宋体" w:cs="宋体"/>
          <w:color w:val="auto"/>
          <w:sz w:val="24"/>
          <w:szCs w:val="24"/>
          <w:highlight w:val="none"/>
        </w:rPr>
        <w:t>）；承建（承接）企业为（</w:t>
      </w:r>
      <w:r>
        <w:rPr>
          <w:rFonts w:hint="eastAsia" w:ascii="宋体" w:hAnsi="宋体" w:eastAsia="宋体" w:cs="宋体"/>
          <w:color w:val="auto"/>
          <w:sz w:val="24"/>
          <w:szCs w:val="24"/>
          <w:highlight w:val="none"/>
          <w:u w:val="single"/>
        </w:rPr>
        <w:t>企业名称），</w:t>
      </w:r>
      <w:r>
        <w:rPr>
          <w:rFonts w:hint="eastAsia" w:ascii="宋体" w:hAnsi="宋体" w:eastAsia="宋体" w:cs="宋体"/>
          <w:color w:val="auto"/>
          <w:sz w:val="24"/>
          <w:szCs w:val="24"/>
          <w:highlight w:val="none"/>
        </w:rPr>
        <w:t>从业人员</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人，营业收入为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万元，资产总额为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万元，属于</w:t>
      </w:r>
      <w:r>
        <w:rPr>
          <w:rFonts w:hint="eastAsia" w:ascii="宋体" w:hAnsi="宋体" w:eastAsia="宋体" w:cs="宋体"/>
          <w:color w:val="auto"/>
          <w:sz w:val="24"/>
          <w:szCs w:val="24"/>
          <w:highlight w:val="none"/>
          <w:u w:val="single"/>
        </w:rPr>
        <w:t xml:space="preserve">     （中型企业、小型企业、微型企业）</w:t>
      </w:r>
      <w:r>
        <w:rPr>
          <w:rFonts w:hint="eastAsia" w:ascii="宋体" w:hAnsi="宋体" w:eastAsia="宋体" w:cs="宋体"/>
          <w:color w:val="auto"/>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pStyle w:val="48"/>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以上企业，不属于大企业的分支机构，不存在控股股东为大企业的情形，也不存在与大企业的负责人为同一人的情形。</w:t>
      </w:r>
    </w:p>
    <w:p>
      <w:pPr>
        <w:pStyle w:val="49"/>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本企业对上述声明内容的真实性负责。如有虚假，将依法承担相应责任。</w:t>
      </w:r>
    </w:p>
    <w:p>
      <w:pPr>
        <w:keepNext w:val="0"/>
        <w:keepLines w:val="0"/>
        <w:pageBreakBefore w:val="0"/>
        <w:widowControl/>
        <w:kinsoku/>
        <w:wordWrap/>
        <w:overflowPunct/>
        <w:topLinePunct w:val="0"/>
        <w:autoSpaceDE/>
        <w:autoSpaceDN/>
        <w:bidi w:val="0"/>
        <w:adjustRightInd/>
        <w:snapToGrid/>
        <w:spacing w:line="360" w:lineRule="auto"/>
        <w:ind w:firstLine="2640" w:firstLineChars="1100"/>
        <w:jc w:val="right"/>
        <w:textAlignment w:val="baseline"/>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（加盖单位公章）</w:t>
      </w:r>
    </w:p>
    <w:p>
      <w:pPr>
        <w:keepNext w:val="0"/>
        <w:keepLines w:val="0"/>
        <w:pageBreakBefore w:val="0"/>
        <w:widowControl/>
        <w:kinsoku/>
        <w:wordWrap/>
        <w:overflowPunct/>
        <w:topLinePunct w:val="0"/>
        <w:autoSpaceDE/>
        <w:autoSpaceDN/>
        <w:bidi w:val="0"/>
        <w:adjustRightInd/>
        <w:snapToGrid/>
        <w:spacing w:line="360" w:lineRule="auto"/>
        <w:ind w:firstLine="2640" w:firstLineChars="1100"/>
        <w:jc w:val="center"/>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日  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pStyle w:val="48"/>
        <w:keepNext w:val="0"/>
        <w:keepLines w:val="0"/>
        <w:pageBreakBefore w:val="0"/>
        <w:widowControl/>
        <w:kinsoku/>
        <w:wordWrap/>
        <w:overflowPunct/>
        <w:topLinePunct w:val="0"/>
        <w:autoSpaceDE/>
        <w:autoSpaceDN/>
        <w:bidi w:val="0"/>
        <w:adjustRightInd/>
        <w:snapToGrid/>
        <w:spacing w:line="360" w:lineRule="auto"/>
        <w:textAlignment w:val="baseline"/>
        <w:rPr>
          <w:rFonts w:hint="eastAsia" w:ascii="宋体" w:hAnsi="宋体" w:eastAsia="宋体" w:cs="宋体"/>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textAlignment w:val="baseline"/>
        <w:rPr>
          <w:rFonts w:hint="eastAsia" w:ascii="宋体" w:hAnsi="宋体" w:eastAsia="宋体" w:cs="宋体"/>
          <w:color w:val="auto"/>
          <w:sz w:val="24"/>
          <w:szCs w:val="24"/>
          <w:highlight w:val="none"/>
        </w:rPr>
      </w:pPr>
    </w:p>
    <w:p>
      <w:pPr>
        <w:pStyle w:val="48"/>
        <w:keepNext w:val="0"/>
        <w:keepLines w:val="0"/>
        <w:pageBreakBefore w:val="0"/>
        <w:widowControl/>
        <w:kinsoku/>
        <w:wordWrap/>
        <w:overflowPunct/>
        <w:topLinePunct w:val="0"/>
        <w:autoSpaceDE/>
        <w:autoSpaceDN/>
        <w:bidi w:val="0"/>
        <w:adjustRightInd/>
        <w:snapToGrid/>
        <w:spacing w:line="360" w:lineRule="auto"/>
        <w:textAlignment w:val="baseline"/>
        <w:rPr>
          <w:rFonts w:hint="eastAsia" w:ascii="宋体" w:hAnsi="宋体" w:eastAsia="宋体" w:cs="宋体"/>
          <w:color w:val="auto"/>
          <w:sz w:val="24"/>
          <w:szCs w:val="32"/>
          <w:highlight w:val="none"/>
        </w:rPr>
      </w:pPr>
    </w:p>
    <w:p>
      <w:pPr>
        <w:pStyle w:val="48"/>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color w:val="auto"/>
          <w:sz w:val="24"/>
          <w:szCs w:val="32"/>
          <w:highlight w:val="none"/>
          <w:lang w:eastAsia="zh-CN"/>
        </w:rPr>
        <w:sectPr>
          <w:pgSz w:w="11906" w:h="16838"/>
          <w:pgMar w:top="1440" w:right="1800" w:bottom="1440" w:left="1800" w:header="851" w:footer="992" w:gutter="0"/>
          <w:pgNumType w:fmt="decimal"/>
          <w:cols w:space="0" w:num="1"/>
          <w:docGrid w:linePitch="312" w:charSpace="0"/>
        </w:sectPr>
      </w:pPr>
      <w:r>
        <w:rPr>
          <w:rFonts w:hint="eastAsia" w:ascii="宋体" w:hAnsi="宋体" w:eastAsia="宋体" w:cs="宋体"/>
          <w:b w:val="0"/>
          <w:bCs/>
          <w:color w:val="auto"/>
          <w:sz w:val="24"/>
          <w:szCs w:val="24"/>
          <w:highlight w:val="none"/>
        </w:rPr>
        <w:t>注：从业人员、营业收入、资产总额填报上一年度数据，无上一年度数据的新成立企业可不填报</w:t>
      </w:r>
      <w:r>
        <w:rPr>
          <w:rFonts w:hint="eastAsia" w:ascii="宋体" w:hAnsi="宋体" w:eastAsia="宋体" w:cs="宋体"/>
          <w:b w:val="0"/>
          <w:bCs/>
          <w:color w:val="auto"/>
          <w:sz w:val="24"/>
          <w:szCs w:val="24"/>
          <w:highlight w:val="none"/>
          <w:lang w:eastAsia="zh-CN"/>
        </w:rPr>
        <w:t>。</w:t>
      </w:r>
    </w:p>
    <w:p>
      <w:pPr>
        <w:pStyle w:val="4"/>
        <w:pageBreakBefore w:val="0"/>
        <w:kinsoku/>
        <w:wordWrap/>
        <w:overflowPunct/>
        <w:topLinePunct w:val="0"/>
        <w:bidi w:val="0"/>
        <w:spacing w:before="0" w:after="0" w:line="360" w:lineRule="auto"/>
        <w:jc w:val="both"/>
        <w:textAlignment w:val="auto"/>
        <w:rPr>
          <w:rFonts w:hint="eastAsia" w:ascii="宋体" w:hAnsi="宋体" w:eastAsia="宋体" w:cs="宋体"/>
          <w:sz w:val="28"/>
          <w:szCs w:val="28"/>
          <w:highlight w:val="none"/>
        </w:rPr>
      </w:pPr>
      <w:r>
        <w:rPr>
          <w:rFonts w:hint="eastAsia" w:ascii="宋体" w:hAnsi="宋体" w:cs="宋体"/>
          <w:sz w:val="28"/>
          <w:szCs w:val="28"/>
          <w:highlight w:val="none"/>
          <w:lang w:val="en-US" w:eastAsia="zh-CN"/>
        </w:rPr>
        <w:t>十四、</w:t>
      </w:r>
      <w:r>
        <w:rPr>
          <w:rFonts w:hint="eastAsia" w:ascii="宋体" w:hAnsi="宋体" w:eastAsia="宋体" w:cs="宋体"/>
          <w:sz w:val="28"/>
          <w:szCs w:val="28"/>
          <w:highlight w:val="none"/>
        </w:rPr>
        <w:t>《残疾人福利性单位声明函》</w:t>
      </w:r>
      <w:bookmarkEnd w:id="157"/>
      <w:bookmarkEnd w:id="158"/>
      <w:bookmarkEnd w:id="159"/>
      <w:r>
        <w:rPr>
          <w:rFonts w:hint="eastAsia" w:ascii="宋体" w:hAnsi="宋体" w:eastAsia="宋体" w:cs="宋体"/>
          <w:sz w:val="28"/>
          <w:szCs w:val="28"/>
          <w:highlight w:val="none"/>
        </w:rPr>
        <w:t>（若有）</w:t>
      </w:r>
    </w:p>
    <w:p>
      <w:pPr>
        <w:pageBreakBefore w:val="0"/>
        <w:kinsoku/>
        <w:wordWrap/>
        <w:overflowPunct/>
        <w:topLinePunct w:val="0"/>
        <w:bidi w:val="0"/>
        <w:spacing w:line="360" w:lineRule="auto"/>
        <w:jc w:val="center"/>
        <w:textAlignment w:val="auto"/>
        <w:rPr>
          <w:rFonts w:hint="eastAsia" w:ascii="宋体" w:hAnsi="宋体" w:eastAsia="宋体" w:cs="宋体"/>
          <w:b/>
          <w:sz w:val="28"/>
          <w:szCs w:val="28"/>
          <w:highlight w:val="none"/>
        </w:rPr>
      </w:pPr>
    </w:p>
    <w:p>
      <w:pPr>
        <w:pageBreakBefore w:val="0"/>
        <w:kinsoku/>
        <w:wordWrap/>
        <w:overflowPunct/>
        <w:topLinePunct w:val="0"/>
        <w:bidi w:val="0"/>
        <w:spacing w:line="360" w:lineRule="auto"/>
        <w:jc w:val="center"/>
        <w:textAlignment w:val="auto"/>
        <w:outlineLvl w:val="0"/>
        <w:rPr>
          <w:rFonts w:hint="eastAsia" w:ascii="宋体" w:hAnsi="宋体" w:eastAsia="宋体" w:cs="宋体"/>
          <w:b/>
          <w:sz w:val="28"/>
          <w:szCs w:val="28"/>
          <w:highlight w:val="none"/>
        </w:rPr>
      </w:pPr>
      <w:bookmarkStart w:id="162" w:name="_Toc6759"/>
      <w:r>
        <w:rPr>
          <w:rFonts w:hint="eastAsia" w:ascii="宋体" w:hAnsi="宋体" w:eastAsia="宋体" w:cs="宋体"/>
          <w:b/>
          <w:sz w:val="28"/>
          <w:szCs w:val="28"/>
          <w:highlight w:val="none"/>
        </w:rPr>
        <w:t>残疾人福利性单位声明函</w:t>
      </w:r>
      <w:bookmarkEnd w:id="162"/>
    </w:p>
    <w:p>
      <w:pPr>
        <w:pageBreakBefore w:val="0"/>
        <w:kinsoku/>
        <w:wordWrap/>
        <w:overflowPunct/>
        <w:topLinePunct w:val="0"/>
        <w:bidi w:val="0"/>
        <w:spacing w:line="360" w:lineRule="auto"/>
        <w:jc w:val="center"/>
        <w:textAlignment w:val="auto"/>
        <w:rPr>
          <w:rFonts w:hint="eastAsia" w:ascii="宋体" w:hAnsi="宋体" w:eastAsia="宋体" w:cs="宋体"/>
          <w:b/>
          <w:sz w:val="28"/>
          <w:szCs w:val="28"/>
          <w:highlight w:val="none"/>
        </w:rPr>
      </w:pPr>
    </w:p>
    <w:p>
      <w:pPr>
        <w:pageBreakBefore w:val="0"/>
        <w:kinsoku/>
        <w:wordWrap/>
        <w:overflowPunct/>
        <w:topLinePunct w:val="0"/>
        <w:bidi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ageBreakBefore w:val="0"/>
        <w:kinsoku/>
        <w:wordWrap/>
        <w:overflowPunct/>
        <w:topLinePunct w:val="0"/>
        <w:bidi w:val="0"/>
        <w:spacing w:line="360" w:lineRule="auto"/>
        <w:ind w:firstLine="56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本单位对上述声明的真实性负责。如有虚假，将依法承担相应责任。</w:t>
      </w:r>
    </w:p>
    <w:p>
      <w:pPr>
        <w:pageBreakBefore w:val="0"/>
        <w:kinsoku/>
        <w:wordWrap/>
        <w:overflowPunct/>
        <w:topLinePunct w:val="0"/>
        <w:bidi w:val="0"/>
        <w:spacing w:line="360" w:lineRule="auto"/>
        <w:jc w:val="center"/>
        <w:textAlignment w:val="auto"/>
        <w:rPr>
          <w:rFonts w:hint="eastAsia" w:ascii="宋体" w:hAnsi="宋体" w:eastAsia="宋体" w:cs="宋体"/>
          <w:sz w:val="24"/>
          <w:szCs w:val="24"/>
          <w:highlight w:val="none"/>
        </w:rPr>
      </w:pPr>
    </w:p>
    <w:p>
      <w:pPr>
        <w:pageBreakBefore w:val="0"/>
        <w:kinsoku/>
        <w:wordWrap/>
        <w:overflowPunct/>
        <w:topLinePunct w:val="0"/>
        <w:bidi w:val="0"/>
        <w:spacing w:line="360" w:lineRule="auto"/>
        <w:jc w:val="center"/>
        <w:textAlignment w:val="auto"/>
        <w:rPr>
          <w:rFonts w:hint="eastAsia" w:ascii="宋体" w:hAnsi="宋体" w:eastAsia="宋体" w:cs="宋体"/>
          <w:sz w:val="24"/>
          <w:szCs w:val="24"/>
          <w:highlight w:val="none"/>
        </w:rPr>
      </w:pPr>
    </w:p>
    <w:p>
      <w:pPr>
        <w:pageBreakBefore w:val="0"/>
        <w:kinsoku/>
        <w:wordWrap/>
        <w:overflowPunct/>
        <w:topLinePunct w:val="0"/>
        <w:bidi w:val="0"/>
        <w:spacing w:line="360" w:lineRule="auto"/>
        <w:jc w:val="center"/>
        <w:textAlignment w:val="auto"/>
        <w:rPr>
          <w:rFonts w:hint="eastAsia" w:ascii="宋体" w:hAnsi="宋体" w:eastAsia="宋体" w:cs="宋体"/>
          <w:sz w:val="24"/>
          <w:szCs w:val="24"/>
          <w:highlight w:val="none"/>
        </w:rPr>
      </w:pPr>
      <w:bookmarkStart w:id="163" w:name="_Toc8019_WPSOffice_Level1"/>
      <w:bookmarkEnd w:id="163"/>
      <w:r>
        <w:rPr>
          <w:rFonts w:hint="eastAsia" w:ascii="宋体" w:hAnsi="宋体" w:eastAsia="宋体" w:cs="宋体"/>
          <w:sz w:val="24"/>
          <w:szCs w:val="24"/>
          <w:highlight w:val="none"/>
        </w:rPr>
        <w:t>单位名称（盖章）：</w:t>
      </w:r>
    </w:p>
    <w:p>
      <w:pPr>
        <w:pStyle w:val="48"/>
        <w:ind w:firstLine="4080" w:firstLineChars="1700"/>
        <w:rPr>
          <w:rFonts w:hint="eastAsia"/>
          <w:b w:val="0"/>
          <w:bCs/>
          <w:color w:val="auto"/>
        </w:rPr>
      </w:pPr>
      <w:bookmarkStart w:id="164" w:name="_Toc4531_WPSOffice_Level1"/>
      <w:bookmarkEnd w:id="164"/>
      <w:r>
        <w:rPr>
          <w:rFonts w:hint="eastAsia" w:ascii="宋体" w:hAnsi="宋体" w:eastAsia="宋体" w:cs="宋体"/>
          <w:b w:val="0"/>
          <w:bCs/>
          <w:sz w:val="24"/>
          <w:szCs w:val="24"/>
          <w:highlight w:val="none"/>
        </w:rPr>
        <w:t>日  期：</w:t>
      </w:r>
      <w:bookmarkEnd w:id="146"/>
      <w:bookmarkEnd w:id="147"/>
    </w:p>
    <w:p/>
    <w:p/>
    <w:p/>
    <w:p/>
    <w:p/>
    <w:p/>
    <w:p/>
    <w:p/>
    <w:p/>
    <w:p/>
    <w:p/>
    <w:p/>
    <w:p/>
    <w:p/>
    <w:p/>
    <w:p/>
    <w:p/>
    <w:p/>
    <w:p/>
    <w:p>
      <w:pPr>
        <w:rPr>
          <w:rFonts w:hint="eastAsia" w:ascii="宋体" w:hAnsi="宋体" w:eastAsia="宋体" w:cs="宋体"/>
          <w:b/>
          <w:color w:val="auto"/>
          <w:sz w:val="28"/>
          <w:szCs w:val="28"/>
          <w:highlight w:val="none"/>
          <w:u w:val="none" w:color="000000"/>
          <w:lang w:val="en-US" w:eastAsia="zh-CN" w:bidi="ar-SA"/>
        </w:rPr>
      </w:pPr>
      <w:r>
        <w:rPr>
          <w:rFonts w:hint="eastAsia" w:ascii="宋体" w:hAnsi="宋体" w:cs="宋体"/>
          <w:b/>
          <w:color w:val="auto"/>
          <w:sz w:val="28"/>
          <w:szCs w:val="28"/>
          <w:highlight w:val="none"/>
          <w:u w:val="none" w:color="000000"/>
          <w:lang w:val="en-US" w:eastAsia="zh-CN" w:bidi="ar-SA"/>
        </w:rPr>
        <w:t>十五、《</w:t>
      </w:r>
      <w:r>
        <w:rPr>
          <w:rFonts w:hint="eastAsia" w:ascii="宋体" w:hAnsi="宋体" w:eastAsia="宋体" w:cs="宋体"/>
          <w:b/>
          <w:color w:val="auto"/>
          <w:sz w:val="28"/>
          <w:szCs w:val="28"/>
          <w:highlight w:val="none"/>
          <w:u w:val="none" w:color="000000"/>
          <w:lang w:val="en-US" w:eastAsia="zh-CN" w:bidi="ar-SA"/>
        </w:rPr>
        <w:t>监狱企业证明函</w:t>
      </w:r>
      <w:r>
        <w:rPr>
          <w:rFonts w:hint="eastAsia" w:ascii="宋体" w:hAnsi="宋体" w:cs="宋体"/>
          <w:b/>
          <w:color w:val="auto"/>
          <w:sz w:val="28"/>
          <w:szCs w:val="28"/>
          <w:highlight w:val="none"/>
          <w:u w:val="none" w:color="000000"/>
          <w:lang w:val="en-US" w:eastAsia="zh-CN" w:bidi="ar-SA"/>
        </w:rPr>
        <w:t>》（若有）</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说明：当且仅当供应商为监狱企业的，应当提供由省级以上监狱管理局、戒毒管理局（含新疆生产建设兵团）出具的属于监狱企业的证明函（格式不限）。</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未提供证明函的，将不能享受招标文件规定的价格优惠政策，但不影响投标文件的有效性。</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监狱企业证明函</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监狱企业参加政府采购活动时，应当提供由省级以上监狱管理局、戒毒管理局（含新疆生产建设兵团）出具的属于监狱企业的证明文件。</w:t>
      </w:r>
    </w:p>
    <w:p>
      <w:pPr>
        <w:pageBreakBefore w:val="0"/>
        <w:kinsoku/>
        <w:wordWrap/>
        <w:overflowPunct/>
        <w:topLinePunct w:val="0"/>
        <w:bidi w:val="0"/>
        <w:spacing w:line="360" w:lineRule="auto"/>
        <w:jc w:val="center"/>
        <w:textAlignment w:val="auto"/>
        <w:rPr>
          <w:rFonts w:hint="eastAsia" w:ascii="宋体" w:hAnsi="宋体" w:eastAsia="宋体" w:cs="宋体"/>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单位名称（盖章）：</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日  期：</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highlight w:val="none"/>
          <w:lang w:val="en-US" w:eastAsia="zh-CN"/>
        </w:rPr>
      </w:pPr>
    </w:p>
    <w:sectPr>
      <w:headerReference r:id="rId29" w:type="default"/>
      <w:footerReference r:id="rId30" w:type="default"/>
      <w:pgSz w:w="11906" w:h="16838"/>
      <w:pgMar w:top="1440" w:right="1800" w:bottom="1440" w:left="1800" w:header="851" w:footer="992" w:gutter="0"/>
      <w:pgNumType w:fmt="decimal"/>
      <w:cols w:space="0" w:num="1"/>
      <w:rtlGutter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
    <w:panose1 w:val="00000000000000000000"/>
    <w:charset w:val="86"/>
    <w:family w:val="modern"/>
    <w:pitch w:val="default"/>
    <w:sig w:usb0="00000000" w:usb1="00000000" w:usb2="00000016" w:usb3="00000000" w:csb0="00040001"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等线">
    <w:altName w:val="微软雅黑"/>
    <w:panose1 w:val="02010600030101010101"/>
    <w:charset w:val="86"/>
    <w:family w:val="auto"/>
    <w:pitch w:val="default"/>
    <w:sig w:usb0="00000000" w:usb1="00000000" w:usb2="00000016" w:usb3="00000000" w:csb0="0004000F" w:csb1="00000000"/>
  </w:font>
  <w:font w:name="华文宋体">
    <w:altName w:val="宋体"/>
    <w:panose1 w:val="02010600040101010101"/>
    <w:charset w:val="86"/>
    <w:family w:val="auto"/>
    <w:pitch w:val="default"/>
    <w:sig w:usb0="00000000" w:usb1="00000000" w:usb2="00000000" w:usb3="00000000" w:csb0="0004009F" w:csb1="DFD7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b/>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140"/>
        <w:tab w:val="right" w:pos="8300"/>
        <w:tab w:val="clear" w:pos="4153"/>
        <w:tab w:val="clear" w:pos="8306"/>
      </w:tabs>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55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67</w:t>
    </w:r>
    <w:r>
      <w:rPr>
        <w:b/>
        <w:sz w:val="24"/>
        <w:szCs w:val="24"/>
      </w:rPr>
      <w:fldChar w:fldCharType="end"/>
    </w:r>
  </w:p>
  <w:p>
    <w:pPr>
      <w:spacing w:line="280" w:lineRule="exact"/>
      <w:jc w:val="center"/>
      <w:rPr>
        <w:rStyle w:val="30"/>
        <w:rFonts w:hint="eastAsia"/>
        <w:b/>
        <w:szCs w:val="21"/>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hint="eastAsia"/>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55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55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rPr>
        <w:rStyle w:val="30"/>
      </w:rPr>
    </w:pPr>
  </w:p>
  <w:p>
    <w:pPr>
      <w:rPr>
        <w:rFonts w:hint="eastAsia"/>
      </w:rPr>
    </w:pP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Style w:val="30"/>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rPr>
        <w:rStyle w:val="30"/>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3</w:t>
                    </w:r>
                    <w:r>
                      <w:fldChar w:fldCharType="end"/>
                    </w:r>
                  </w:p>
                </w:txbxContent>
              </v:textbox>
            </v:shape>
          </w:pict>
        </mc:Fallback>
      </mc:AlternateContent>
    </w:r>
  </w:p>
  <w:p>
    <w:pPr>
      <w:rPr>
        <w:rFonts w:hint="eastAsia"/>
      </w:rPr>
    </w:pPr>
    <w:r>
      <w:rPr>
        <w:rFonts w:hint="eastAsi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33</w:t>
                    </w:r>
                    <w:r>
                      <w:fldChar w:fldCharType="end"/>
                    </w:r>
                  </w:p>
                </w:txbxContent>
              </v:textbox>
            </v:shape>
          </w:pict>
        </mc:Fallback>
      </mc:AlternateContent>
    </w:r>
  </w:p>
  <w:p>
    <w:pPr>
      <w:spacing w:line="280" w:lineRule="exact"/>
      <w:rPr>
        <w:rFonts w:hint="eastAsia"/>
        <w:b/>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32</w:t>
                    </w:r>
                    <w:r>
                      <w:fldChar w:fldCharType="end"/>
                    </w:r>
                  </w:p>
                </w:txbxContent>
              </v:textbox>
            </v:shape>
          </w:pict>
        </mc:Fallback>
      </mc:AlternateContent>
    </w:r>
  </w:p>
  <w:p>
    <w:pPr>
      <w:pStyle w:val="1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eastAsi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140"/>
        <w:tab w:val="right" w:pos="8300"/>
        <w:tab w:val="clear" w:pos="4153"/>
        <w:tab w:val="clear" w:pos="8306"/>
      </w:tabs>
      <w:jc w:val="center"/>
      <w:rPr>
        <w:rFonts w:hint="eastAsia"/>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rPr>
        <w:rFonts w:hint="eastAsia" w:eastAsiaTheme="minorEastAsia"/>
        <w:lang w:eastAsia="zh-CN"/>
      </w:rPr>
    </w:pPr>
    <w:r>
      <w:rPr>
        <w:rFonts w:hint="eastAsia" w:ascii="宋体" w:hAnsi="宋体"/>
        <w:b/>
        <w:szCs w:val="21"/>
        <w:u w:val="single"/>
        <w:lang w:eastAsia="zh-CN"/>
      </w:rPr>
      <w:t>麟游县医院护理专业实训基地建设项目</w:t>
    </w:r>
    <w:r>
      <w:rPr>
        <w:rFonts w:hint="eastAsia" w:ascii="宋体" w:hAnsi="宋体"/>
        <w:b/>
        <w:szCs w:val="21"/>
        <w:u w:val="single"/>
      </w:rPr>
      <w:t xml:space="preserve">               </w:t>
    </w:r>
    <w:r>
      <w:rPr>
        <w:rFonts w:hint="eastAsia" w:ascii="宋体" w:hAnsi="宋体"/>
        <w:b/>
        <w:szCs w:val="21"/>
        <w:u w:val="single"/>
        <w:lang w:eastAsia="zh-CN"/>
      </w:rPr>
      <w:t>项目编号:ZBZB-2022-1956</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rPr>
        <w:rFonts w:hint="eastAsia"/>
      </w:rPr>
    </w:pPr>
    <w:r>
      <w:rPr>
        <w:rFonts w:hint="eastAsia" w:ascii="宋体" w:hAnsi="宋体"/>
        <w:b/>
        <w:sz w:val="18"/>
        <w:szCs w:val="18"/>
        <w:u w:val="single"/>
        <w:shd w:val="pct10" w:color="auto" w:fill="FFFFFF"/>
      </w:rPr>
      <w:t>凤县“8.16”洪水灾后重建水毁堤防修复工程及监理采购项目                            项目编号:ZBZB-2022-1890-01</w:t>
    </w:r>
  </w:p>
  <w:p>
    <w:pPr>
      <w:pStyle w:val="19"/>
      <w:jc w:val="both"/>
      <w:rPr>
        <w:rFonts w:hint="eastAsi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rPr>
        <w:rFonts w:hint="eastAsia" w:ascii="宋体" w:hAnsi="宋体" w:eastAsia="宋体" w:cs="宋体"/>
        <w:b/>
        <w:bCs w:val="0"/>
        <w:i w:val="0"/>
        <w:iCs w:val="0"/>
        <w:sz w:val="15"/>
        <w:szCs w:val="15"/>
        <w:u w:val="none"/>
        <w:shd w:val="clear" w:color="auto" w:fill="auto"/>
        <w:lang w:eastAsia="zh-CN"/>
      </w:rPr>
    </w:pPr>
    <w:r>
      <w:rPr>
        <w:rFonts w:hint="eastAsia" w:ascii="微软雅黑" w:hAnsi="微软雅黑" w:eastAsia="微软雅黑" w:cs="宋体"/>
        <w:b/>
        <w:kern w:val="20"/>
        <w:sz w:val="13"/>
        <w:szCs w:val="13"/>
      </w:rPr>
      <w:drawing>
        <wp:anchor distT="0" distB="0" distL="114300" distR="114300" simplePos="0" relativeHeight="251674624" behindDoc="0" locked="0" layoutInCell="1" allowOverlap="1">
          <wp:simplePos x="0" y="0"/>
          <wp:positionH relativeFrom="column">
            <wp:posOffset>29845</wp:posOffset>
          </wp:positionH>
          <wp:positionV relativeFrom="paragraph">
            <wp:posOffset>-207645</wp:posOffset>
          </wp:positionV>
          <wp:extent cx="1659890" cy="381000"/>
          <wp:effectExtent l="0" t="0" r="0" b="0"/>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59890" cy="381000"/>
                  </a:xfrm>
                  <a:prstGeom prst="rect">
                    <a:avLst/>
                  </a:prstGeom>
                  <a:noFill/>
                  <a:ln>
                    <a:noFill/>
                  </a:ln>
                </pic:spPr>
              </pic:pic>
            </a:graphicData>
          </a:graphic>
        </wp:anchor>
      </w:drawing>
    </w:r>
  </w:p>
  <w:p>
    <w:pPr>
      <w:pStyle w:val="19"/>
      <w:jc w:val="left"/>
      <w:rPr>
        <w:rFonts w:hint="eastAsia"/>
        <w:sz w:val="15"/>
        <w:szCs w:val="15"/>
        <w:lang w:eastAsia="zh-CN"/>
      </w:rPr>
    </w:pPr>
    <w:r>
      <w:rPr>
        <w:rFonts w:hint="eastAsia" w:ascii="宋体" w:hAnsi="宋体" w:eastAsia="宋体" w:cs="宋体"/>
        <w:b w:val="0"/>
        <w:bCs/>
        <w:i/>
        <w:iCs/>
        <w:sz w:val="15"/>
        <w:szCs w:val="15"/>
        <w:u w:val="none"/>
        <w:shd w:val="clear" w:color="auto" w:fill="auto"/>
        <w:lang w:val="en-US" w:eastAsia="zh-CN"/>
      </w:rPr>
      <w:t xml:space="preserve"> </w:t>
    </w:r>
    <w:r>
      <w:rPr>
        <w:rFonts w:hint="eastAsia" w:ascii="宋体" w:hAnsi="宋体" w:eastAsia="宋体" w:cs="宋体"/>
        <w:b/>
        <w:bCs w:val="0"/>
        <w:i w:val="0"/>
        <w:iCs w:val="0"/>
        <w:sz w:val="15"/>
        <w:szCs w:val="15"/>
        <w:u w:val="none"/>
        <w:shd w:val="clear" w:color="auto" w:fill="auto"/>
        <w:lang w:eastAsia="zh-CN"/>
      </w:rPr>
      <w:t>项目名称：</w:t>
    </w:r>
    <w:r>
      <w:rPr>
        <w:rFonts w:hint="eastAsia" w:ascii="宋体" w:hAnsi="宋体" w:cs="宋体"/>
        <w:b/>
        <w:bCs w:val="0"/>
        <w:i w:val="0"/>
        <w:iCs w:val="0"/>
        <w:sz w:val="15"/>
        <w:szCs w:val="15"/>
        <w:u w:val="none"/>
        <w:shd w:val="clear" w:color="auto" w:fill="auto"/>
        <w:lang w:val="en-US" w:eastAsia="zh-CN"/>
      </w:rPr>
      <w:t xml:space="preserve">岚皋县医院2024年苏陕协作“组团式”帮扶介入导管室建设项目（导管室装饰装修）         </w:t>
    </w:r>
    <w:r>
      <w:rPr>
        <w:rFonts w:hint="eastAsia" w:ascii="宋体" w:hAnsi="宋体" w:eastAsia="宋体" w:cs="宋体"/>
        <w:b/>
        <w:bCs w:val="0"/>
        <w:i w:val="0"/>
        <w:iCs w:val="0"/>
        <w:sz w:val="15"/>
        <w:szCs w:val="15"/>
        <w:u w:val="none"/>
        <w:shd w:val="clear" w:color="auto" w:fill="auto"/>
        <w:lang w:eastAsia="zh-CN"/>
      </w:rPr>
      <w:t>项目编号：</w:t>
    </w:r>
    <w:r>
      <w:rPr>
        <w:rFonts w:hint="eastAsia" w:ascii="宋体" w:hAnsi="宋体" w:cs="宋体"/>
        <w:b/>
        <w:bCs w:val="0"/>
        <w:i w:val="0"/>
        <w:iCs w:val="0"/>
        <w:sz w:val="15"/>
        <w:szCs w:val="15"/>
        <w:u w:val="none"/>
        <w:shd w:val="clear" w:color="auto" w:fill="auto"/>
        <w:lang w:val="en-US" w:eastAsia="zh-CN"/>
      </w:rPr>
      <w:t>ZBZB-2024-2400</w:t>
    </w:r>
    <w:r>
      <w:rPr>
        <w:rFonts w:hint="eastAsia" w:ascii="宋体" w:hAnsi="宋体" w:cs="宋体"/>
        <w:b/>
        <w:bCs w:val="0"/>
        <w:i w:val="0"/>
        <w:iCs w:val="0"/>
        <w:sz w:val="15"/>
        <w:szCs w:val="15"/>
        <w:u w:val="none"/>
        <w:shd w:val="clear" w:color="auto" w:fill="auto"/>
        <w:lang w:eastAsia="zh-CN"/>
      </w:rPr>
      <w:t xml:space="preserve"> </w:t>
    </w:r>
    <w:r>
      <w:rPr>
        <w:rFonts w:hint="eastAsia" w:ascii="宋体" w:hAnsi="宋体" w:eastAsia="宋体" w:cs="宋体"/>
        <w:b w:val="0"/>
        <w:bCs/>
        <w:i/>
        <w:iCs/>
        <w:sz w:val="15"/>
        <w:szCs w:val="15"/>
        <w:u w:val="none"/>
        <w:shd w:val="clear" w:color="auto" w:fill="auto"/>
        <w:lang w:val="en-US" w:eastAsia="zh-CN"/>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rPr>
        <w:rFonts w:hint="eastAsia" w:ascii="宋体" w:hAnsi="宋体" w:eastAsia="宋体" w:cs="宋体"/>
        <w:b/>
        <w:bCs w:val="0"/>
        <w:i w:val="0"/>
        <w:iCs w:val="0"/>
        <w:sz w:val="15"/>
        <w:szCs w:val="15"/>
        <w:u w:val="none"/>
        <w:shd w:val="clear" w:color="auto" w:fill="auto"/>
        <w:lang w:eastAsia="zh-CN"/>
      </w:rPr>
    </w:pPr>
    <w:r>
      <w:rPr>
        <w:rFonts w:hint="eastAsia" w:ascii="微软雅黑" w:hAnsi="微软雅黑" w:eastAsia="微软雅黑" w:cs="宋体"/>
        <w:b/>
        <w:kern w:val="20"/>
        <w:sz w:val="13"/>
        <w:szCs w:val="13"/>
      </w:rPr>
      <w:drawing>
        <wp:anchor distT="0" distB="0" distL="114300" distR="114300" simplePos="0" relativeHeight="251675648" behindDoc="0" locked="0" layoutInCell="1" allowOverlap="1">
          <wp:simplePos x="0" y="0"/>
          <wp:positionH relativeFrom="column">
            <wp:posOffset>23495</wp:posOffset>
          </wp:positionH>
          <wp:positionV relativeFrom="paragraph">
            <wp:posOffset>-40640</wp:posOffset>
          </wp:positionV>
          <wp:extent cx="1659890" cy="381000"/>
          <wp:effectExtent l="0" t="0" r="0" b="0"/>
          <wp:wrapNone/>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59890" cy="381000"/>
                  </a:xfrm>
                  <a:prstGeom prst="rect">
                    <a:avLst/>
                  </a:prstGeom>
                  <a:noFill/>
                  <a:ln>
                    <a:noFill/>
                  </a:ln>
                </pic:spPr>
              </pic:pic>
            </a:graphicData>
          </a:graphic>
        </wp:anchor>
      </w:drawing>
    </w:r>
  </w:p>
  <w:p>
    <w:pPr>
      <w:pStyle w:val="19"/>
      <w:jc w:val="left"/>
      <w:rPr>
        <w:rFonts w:hint="eastAsia" w:ascii="宋体" w:hAnsi="宋体" w:eastAsia="宋体" w:cs="宋体"/>
        <w:b/>
        <w:bCs w:val="0"/>
        <w:i w:val="0"/>
        <w:iCs w:val="0"/>
        <w:sz w:val="15"/>
        <w:szCs w:val="15"/>
        <w:u w:val="none"/>
        <w:shd w:val="clear" w:color="auto" w:fill="auto"/>
        <w:lang w:eastAsia="zh-CN"/>
      </w:rPr>
    </w:pPr>
  </w:p>
  <w:p>
    <w:pPr>
      <w:pStyle w:val="19"/>
      <w:jc w:val="left"/>
      <w:rPr>
        <w:rFonts w:hint="eastAsia"/>
        <w:sz w:val="15"/>
        <w:szCs w:val="15"/>
        <w:lang w:eastAsia="zh-CN"/>
      </w:rPr>
    </w:pPr>
    <w:r>
      <w:rPr>
        <w:rFonts w:hint="eastAsia" w:ascii="宋体" w:hAnsi="宋体" w:eastAsia="宋体" w:cs="宋体"/>
        <w:b/>
        <w:bCs w:val="0"/>
        <w:i w:val="0"/>
        <w:iCs w:val="0"/>
        <w:sz w:val="15"/>
        <w:szCs w:val="15"/>
        <w:u w:val="none"/>
        <w:shd w:val="clear" w:color="auto" w:fill="auto"/>
        <w:lang w:eastAsia="zh-CN"/>
      </w:rPr>
      <w:t>项目名称：</w:t>
    </w:r>
    <w:r>
      <w:rPr>
        <w:rFonts w:hint="eastAsia" w:ascii="宋体" w:hAnsi="宋体" w:cs="宋体"/>
        <w:b/>
        <w:bCs w:val="0"/>
        <w:i w:val="0"/>
        <w:iCs w:val="0"/>
        <w:sz w:val="15"/>
        <w:szCs w:val="15"/>
        <w:u w:val="none"/>
        <w:shd w:val="clear" w:color="auto" w:fill="auto"/>
        <w:lang w:val="en-US" w:eastAsia="zh-CN"/>
      </w:rPr>
      <w:t xml:space="preserve">岚皋县医院2024年苏陕协作“组团式”帮扶介入导管室建设项目（导管室装饰装修）   </w:t>
    </w:r>
    <w:r>
      <w:rPr>
        <w:rFonts w:hint="eastAsia" w:ascii="宋体" w:hAnsi="宋体" w:eastAsia="宋体" w:cs="宋体"/>
        <w:b/>
        <w:bCs w:val="0"/>
        <w:i w:val="0"/>
        <w:iCs w:val="0"/>
        <w:sz w:val="15"/>
        <w:szCs w:val="15"/>
        <w:u w:val="none"/>
        <w:shd w:val="clear" w:color="auto" w:fill="auto"/>
        <w:lang w:eastAsia="zh-CN"/>
      </w:rPr>
      <w:t>项目编号：</w:t>
    </w:r>
    <w:r>
      <w:rPr>
        <w:rFonts w:hint="eastAsia" w:ascii="宋体" w:hAnsi="宋体" w:cs="宋体"/>
        <w:b/>
        <w:bCs w:val="0"/>
        <w:i w:val="0"/>
        <w:iCs w:val="0"/>
        <w:sz w:val="15"/>
        <w:szCs w:val="15"/>
        <w:u w:val="none"/>
        <w:shd w:val="clear" w:color="auto" w:fill="auto"/>
        <w:lang w:val="en-US" w:eastAsia="zh-CN"/>
      </w:rPr>
      <w:t>ZBZB-2024-2400</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rPr>
        <w:rFonts w:hint="eastAsia" w:ascii="宋体" w:hAnsi="宋体" w:eastAsia="宋体" w:cs="宋体"/>
        <w:b/>
        <w:bCs w:val="0"/>
        <w:i w:val="0"/>
        <w:iCs w:val="0"/>
        <w:sz w:val="15"/>
        <w:szCs w:val="15"/>
        <w:u w:val="none"/>
        <w:shd w:val="clear" w:color="auto" w:fill="auto"/>
        <w:lang w:eastAsia="zh-CN"/>
      </w:rPr>
    </w:pPr>
    <w:r>
      <w:rPr>
        <w:rFonts w:hint="eastAsia" w:ascii="微软雅黑" w:hAnsi="微软雅黑" w:eastAsia="微软雅黑" w:cs="宋体"/>
        <w:b/>
        <w:kern w:val="20"/>
        <w:sz w:val="13"/>
        <w:szCs w:val="13"/>
      </w:rPr>
      <w:drawing>
        <wp:anchor distT="0" distB="0" distL="114300" distR="114300" simplePos="0" relativeHeight="251676672" behindDoc="0" locked="0" layoutInCell="1" allowOverlap="1">
          <wp:simplePos x="0" y="0"/>
          <wp:positionH relativeFrom="column">
            <wp:posOffset>36195</wp:posOffset>
          </wp:positionH>
          <wp:positionV relativeFrom="paragraph">
            <wp:posOffset>-32385</wp:posOffset>
          </wp:positionV>
          <wp:extent cx="1659890" cy="381000"/>
          <wp:effectExtent l="0" t="0" r="0" b="0"/>
          <wp:wrapNone/>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59890" cy="381000"/>
                  </a:xfrm>
                  <a:prstGeom prst="rect">
                    <a:avLst/>
                  </a:prstGeom>
                  <a:noFill/>
                  <a:ln>
                    <a:noFill/>
                  </a:ln>
                </pic:spPr>
              </pic:pic>
            </a:graphicData>
          </a:graphic>
        </wp:anchor>
      </w:drawing>
    </w:r>
  </w:p>
  <w:p>
    <w:pPr>
      <w:pStyle w:val="19"/>
      <w:jc w:val="left"/>
      <w:rPr>
        <w:rFonts w:hint="eastAsia" w:ascii="宋体" w:hAnsi="宋体" w:eastAsia="宋体" w:cs="宋体"/>
        <w:b/>
        <w:bCs w:val="0"/>
        <w:i w:val="0"/>
        <w:iCs w:val="0"/>
        <w:sz w:val="15"/>
        <w:szCs w:val="15"/>
        <w:u w:val="none"/>
        <w:shd w:val="clear" w:color="auto" w:fill="auto"/>
        <w:lang w:eastAsia="zh-CN"/>
      </w:rPr>
    </w:pPr>
  </w:p>
  <w:p>
    <w:pPr>
      <w:pStyle w:val="19"/>
      <w:jc w:val="left"/>
      <w:rPr>
        <w:rFonts w:hint="eastAsia"/>
        <w:sz w:val="15"/>
        <w:szCs w:val="15"/>
      </w:rPr>
    </w:pPr>
    <w:r>
      <w:rPr>
        <w:rFonts w:hint="eastAsia" w:ascii="宋体" w:hAnsi="宋体" w:eastAsia="宋体" w:cs="宋体"/>
        <w:b/>
        <w:bCs w:val="0"/>
        <w:i w:val="0"/>
        <w:iCs w:val="0"/>
        <w:sz w:val="15"/>
        <w:szCs w:val="15"/>
        <w:u w:val="none"/>
        <w:shd w:val="clear" w:color="auto" w:fill="auto"/>
        <w:lang w:eastAsia="zh-CN"/>
      </w:rPr>
      <w:t>项目名称：</w:t>
    </w:r>
    <w:r>
      <w:rPr>
        <w:rFonts w:hint="eastAsia" w:ascii="宋体" w:hAnsi="宋体" w:cs="宋体"/>
        <w:b/>
        <w:bCs w:val="0"/>
        <w:i w:val="0"/>
        <w:iCs w:val="0"/>
        <w:sz w:val="15"/>
        <w:szCs w:val="15"/>
        <w:u w:val="none"/>
        <w:shd w:val="clear" w:color="auto" w:fill="auto"/>
        <w:lang w:val="en-US" w:eastAsia="zh-CN"/>
      </w:rPr>
      <w:t xml:space="preserve">岚皋县医院2024年苏陕协作“组团式”帮扶介入导管室建设项目（导管室装饰装修）     </w:t>
    </w:r>
    <w:r>
      <w:rPr>
        <w:rFonts w:hint="eastAsia" w:ascii="宋体" w:hAnsi="宋体" w:eastAsia="宋体" w:cs="宋体"/>
        <w:b/>
        <w:bCs w:val="0"/>
        <w:i w:val="0"/>
        <w:iCs w:val="0"/>
        <w:sz w:val="15"/>
        <w:szCs w:val="15"/>
        <w:u w:val="none"/>
        <w:shd w:val="clear" w:color="auto" w:fill="auto"/>
        <w:lang w:eastAsia="zh-CN"/>
      </w:rPr>
      <w:t>项目编号：</w:t>
    </w:r>
    <w:r>
      <w:rPr>
        <w:rFonts w:hint="eastAsia" w:ascii="宋体" w:hAnsi="宋体" w:cs="宋体"/>
        <w:b/>
        <w:bCs w:val="0"/>
        <w:i w:val="0"/>
        <w:iCs w:val="0"/>
        <w:sz w:val="15"/>
        <w:szCs w:val="15"/>
        <w:u w:val="none"/>
        <w:shd w:val="clear" w:color="auto" w:fill="auto"/>
        <w:lang w:val="en-US" w:eastAsia="zh-CN"/>
      </w:rPr>
      <w:t>ZBZB-2024-2400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hd w:val="clear"/>
      <w:spacing w:line="460" w:lineRule="exact"/>
      <w:ind w:firstLine="1171" w:firstLineChars="900"/>
      <w:jc w:val="left"/>
      <w:rPr>
        <w:rFonts w:hint="eastAsia" w:ascii="宋体" w:hAnsi="宋体" w:cs="宋体"/>
        <w:b/>
        <w:bCs w:val="0"/>
        <w:i w:val="0"/>
        <w:iCs w:val="0"/>
        <w:sz w:val="13"/>
        <w:szCs w:val="13"/>
        <w:u w:val="none"/>
        <w:shd w:val="clear" w:color="auto" w:fill="auto"/>
        <w:lang w:val="en-US" w:eastAsia="zh-CN"/>
      </w:rPr>
    </w:pPr>
    <w:r>
      <w:rPr>
        <w:rFonts w:hint="eastAsia" w:ascii="微软雅黑" w:hAnsi="微软雅黑" w:eastAsia="微软雅黑" w:cs="宋体"/>
        <w:b/>
        <w:kern w:val="20"/>
        <w:sz w:val="13"/>
        <w:szCs w:val="13"/>
      </w:rPr>
      <w:drawing>
        <wp:anchor distT="0" distB="0" distL="114300" distR="114300" simplePos="0" relativeHeight="251667456" behindDoc="0" locked="0" layoutInCell="1" allowOverlap="1">
          <wp:simplePos x="0" y="0"/>
          <wp:positionH relativeFrom="column">
            <wp:posOffset>3175</wp:posOffset>
          </wp:positionH>
          <wp:positionV relativeFrom="paragraph">
            <wp:posOffset>-24765</wp:posOffset>
          </wp:positionV>
          <wp:extent cx="1659890" cy="3810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59890" cy="381000"/>
                  </a:xfrm>
                  <a:prstGeom prst="rect">
                    <a:avLst/>
                  </a:prstGeom>
                  <a:noFill/>
                  <a:ln>
                    <a:noFill/>
                  </a:ln>
                </pic:spPr>
              </pic:pic>
            </a:graphicData>
          </a:graphic>
        </wp:anchor>
      </w:drawing>
    </w:r>
    <w:r>
      <w:rPr>
        <w:rFonts w:hint="eastAsia" w:ascii="宋体" w:hAnsi="宋体" w:cs="宋体"/>
        <w:b/>
        <w:bCs w:val="0"/>
        <w:i w:val="0"/>
        <w:iCs w:val="0"/>
        <w:sz w:val="13"/>
        <w:szCs w:val="13"/>
        <w:u w:val="none"/>
        <w:shd w:val="clear" w:color="auto" w:fill="auto"/>
        <w:lang w:val="en-US" w:eastAsia="zh-CN"/>
      </w:rPr>
      <w:t xml:space="preserve">                                                                                  </w:t>
    </w:r>
    <w:r>
      <w:rPr>
        <w:rFonts w:hint="eastAsia" w:ascii="宋体" w:hAnsi="宋体" w:eastAsia="宋体" w:cs="宋体"/>
        <w:b/>
        <w:bCs w:val="0"/>
        <w:i w:val="0"/>
        <w:iCs w:val="0"/>
        <w:sz w:val="18"/>
        <w:szCs w:val="18"/>
        <w:u w:val="none"/>
        <w:shd w:val="clear" w:color="auto" w:fill="auto"/>
        <w:lang w:val="en-US" w:eastAsia="zh-CN"/>
      </w:rPr>
      <w:t xml:space="preserve">    </w:t>
    </w:r>
  </w:p>
  <w:p>
    <w:pPr>
      <w:pBdr>
        <w:bottom w:val="single" w:color="auto" w:sz="4" w:space="0"/>
      </w:pBdr>
      <w:shd w:val="clear"/>
      <w:spacing w:line="460" w:lineRule="exact"/>
      <w:jc w:val="left"/>
      <w:rPr>
        <w:rFonts w:hint="default"/>
        <w:lang w:val="en-US" w:eastAsia="zh-CN"/>
      </w:rPr>
    </w:pPr>
    <w:r>
      <w:rPr>
        <w:rFonts w:hint="eastAsia" w:ascii="宋体" w:hAnsi="宋体" w:eastAsia="宋体" w:cs="宋体"/>
        <w:b/>
        <w:bCs w:val="0"/>
        <w:i w:val="0"/>
        <w:iCs w:val="0"/>
        <w:sz w:val="15"/>
        <w:szCs w:val="15"/>
        <w:u w:val="none"/>
        <w:shd w:val="clear" w:color="auto" w:fill="auto"/>
        <w:lang w:eastAsia="zh-CN"/>
      </w:rPr>
      <w:t>项目名称：</w:t>
    </w:r>
    <w:r>
      <w:rPr>
        <w:rFonts w:hint="eastAsia" w:ascii="宋体" w:hAnsi="宋体" w:eastAsia="宋体" w:cs="宋体"/>
        <w:b/>
        <w:bCs w:val="0"/>
        <w:i w:val="0"/>
        <w:iCs w:val="0"/>
        <w:sz w:val="15"/>
        <w:szCs w:val="15"/>
        <w:u w:val="none"/>
        <w:shd w:val="clear" w:color="auto" w:fill="auto"/>
        <w:lang w:val="en-US" w:eastAsia="zh-CN"/>
      </w:rPr>
      <w:t>岚皋县医院2024年苏陕协作“组团式”帮扶介入导管室建设项目（导管室装饰装修）</w:t>
    </w:r>
    <w:r>
      <w:rPr>
        <w:rFonts w:hint="eastAsia" w:ascii="宋体" w:hAnsi="宋体" w:cs="宋体"/>
        <w:b/>
        <w:bCs w:val="0"/>
        <w:i w:val="0"/>
        <w:iCs w:val="0"/>
        <w:sz w:val="15"/>
        <w:szCs w:val="15"/>
        <w:u w:val="none"/>
        <w:shd w:val="clear" w:color="auto" w:fill="auto"/>
        <w:lang w:val="en-US" w:eastAsia="zh-CN"/>
      </w:rPr>
      <w:t xml:space="preserve">                  </w:t>
    </w:r>
    <w:r>
      <w:rPr>
        <w:rFonts w:hint="eastAsia" w:ascii="宋体" w:hAnsi="宋体" w:eastAsia="宋体" w:cs="宋体"/>
        <w:b/>
        <w:bCs w:val="0"/>
        <w:i w:val="0"/>
        <w:iCs w:val="0"/>
        <w:sz w:val="15"/>
        <w:szCs w:val="15"/>
        <w:u w:val="none"/>
        <w:shd w:val="clear" w:color="auto" w:fill="auto"/>
        <w:lang w:eastAsia="zh-CN"/>
      </w:rPr>
      <w:t>项目编号：</w:t>
    </w:r>
    <w:r>
      <w:rPr>
        <w:rFonts w:hint="eastAsia" w:ascii="宋体" w:hAnsi="宋体" w:cs="宋体"/>
        <w:b/>
        <w:bCs w:val="0"/>
        <w:i w:val="0"/>
        <w:iCs w:val="0"/>
        <w:sz w:val="15"/>
        <w:szCs w:val="15"/>
        <w:u w:val="none"/>
        <w:shd w:val="clear" w:color="auto" w:fill="auto"/>
        <w:lang w:val="en-US" w:eastAsia="zh-CN"/>
      </w:rPr>
      <w:t>ZBZB-2024-2400</w:t>
    </w:r>
    <w:r>
      <w:rPr>
        <w:rFonts w:hint="eastAsia" w:ascii="宋体" w:hAnsi="宋体" w:cs="宋体"/>
        <w:b/>
        <w:bCs w:val="0"/>
        <w:i w:val="0"/>
        <w:iCs w:val="0"/>
        <w:sz w:val="18"/>
        <w:szCs w:val="18"/>
        <w:u w:val="none"/>
        <w:shd w:val="clear" w:color="auto" w:fill="auto"/>
        <w:lang w:eastAsia="zh-CN"/>
      </w:rPr>
      <w:t xml:space="preserve"> </w:t>
    </w:r>
    <w:r>
      <w:rPr>
        <w:rFonts w:hint="eastAsia" w:ascii="宋体" w:hAnsi="宋体" w:cs="宋体"/>
        <w:b/>
        <w:bCs w:val="0"/>
        <w:i w:val="0"/>
        <w:iCs w:val="0"/>
        <w:sz w:val="18"/>
        <w:szCs w:val="18"/>
        <w:u w:val="none"/>
        <w:shd w:val="clear" w:color="auto" w:fill="auto"/>
        <w:lang w:val="en-US" w:eastAsia="zh-CN"/>
      </w:rPr>
      <w:t xml:space="preserve">                                            </w:t>
    </w:r>
    <w:r>
      <w:rPr>
        <w:rFonts w:hint="eastAsia" w:ascii="宋体" w:hAnsi="宋体" w:eastAsia="宋体" w:cs="宋体"/>
        <w:b/>
        <w:bCs w:val="0"/>
        <w:i w:val="0"/>
        <w:iCs w:val="0"/>
        <w:sz w:val="18"/>
        <w:szCs w:val="18"/>
        <w:u w:val="none"/>
        <w:shd w:val="clear" w:color="auto" w:fill="auto"/>
        <w:lang w:val="en-US" w:eastAsia="zh-CN"/>
      </w:rPr>
      <w:t xml:space="preserve">                             </w:t>
    </w:r>
    <w:r>
      <w:rPr>
        <w:rFonts w:hint="eastAsia" w:ascii="宋体" w:hAnsi="宋体" w:eastAsia="宋体" w:cs="宋体"/>
        <w:b w:val="0"/>
        <w:bCs/>
        <w:i/>
        <w:iCs/>
        <w:sz w:val="18"/>
        <w:szCs w:val="18"/>
        <w:u w:val="none"/>
        <w:shd w:val="clear" w:color="auto" w:fill="auto"/>
        <w:lang w:val="en-US" w:eastAsia="zh-CN"/>
      </w:rPr>
      <w:t xml:space="preserve">                    </w:t>
    </w:r>
    <w:r>
      <w:rPr>
        <w:rFonts w:hint="eastAsia" w:ascii="宋体" w:hAnsi="宋体" w:eastAsia="宋体" w:cs="宋体"/>
        <w:b w:val="0"/>
        <w:bCs/>
        <w:i/>
        <w:iCs/>
        <w:szCs w:val="21"/>
        <w:u w:val="none"/>
        <w:shd w:val="clear" w:color="auto" w:fill="auto"/>
        <w:lang w:val="en-US" w:eastAsia="zh-CN"/>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rPr>
        <w:rFonts w:hint="eastAsia" w:ascii="宋体" w:hAnsi="宋体" w:eastAsia="宋体" w:cs="宋体"/>
        <w:b/>
        <w:bCs w:val="0"/>
        <w:i w:val="0"/>
        <w:iCs w:val="0"/>
        <w:sz w:val="15"/>
        <w:szCs w:val="15"/>
        <w:u w:val="none"/>
        <w:shd w:val="clear" w:color="auto" w:fill="auto"/>
        <w:lang w:eastAsia="zh-CN"/>
      </w:rPr>
    </w:pPr>
    <w:r>
      <w:rPr>
        <w:rFonts w:hint="eastAsia" w:ascii="微软雅黑" w:hAnsi="微软雅黑" w:eastAsia="微软雅黑" w:cs="宋体"/>
        <w:b/>
        <w:kern w:val="20"/>
        <w:sz w:val="13"/>
        <w:szCs w:val="13"/>
      </w:rPr>
      <w:drawing>
        <wp:anchor distT="0" distB="0" distL="114300" distR="114300" simplePos="0" relativeHeight="251669504" behindDoc="0" locked="0" layoutInCell="1" allowOverlap="1">
          <wp:simplePos x="0" y="0"/>
          <wp:positionH relativeFrom="column">
            <wp:posOffset>3175</wp:posOffset>
          </wp:positionH>
          <wp:positionV relativeFrom="paragraph">
            <wp:posOffset>46355</wp:posOffset>
          </wp:positionV>
          <wp:extent cx="1659890" cy="381000"/>
          <wp:effectExtent l="0" t="0" r="0" b="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59890" cy="381000"/>
                  </a:xfrm>
                  <a:prstGeom prst="rect">
                    <a:avLst/>
                  </a:prstGeom>
                  <a:noFill/>
                  <a:ln>
                    <a:noFill/>
                  </a:ln>
                </pic:spPr>
              </pic:pic>
            </a:graphicData>
          </a:graphic>
        </wp:anchor>
      </w:drawing>
    </w:r>
  </w:p>
  <w:p>
    <w:pPr>
      <w:pStyle w:val="19"/>
      <w:jc w:val="left"/>
      <w:rPr>
        <w:rFonts w:hint="eastAsia" w:ascii="宋体" w:hAnsi="宋体" w:eastAsia="宋体" w:cs="宋体"/>
        <w:b/>
        <w:bCs w:val="0"/>
        <w:i w:val="0"/>
        <w:iCs w:val="0"/>
        <w:sz w:val="15"/>
        <w:szCs w:val="15"/>
        <w:u w:val="none"/>
        <w:shd w:val="clear" w:color="auto" w:fill="auto"/>
        <w:lang w:eastAsia="zh-CN"/>
      </w:rPr>
    </w:pPr>
  </w:p>
  <w:p>
    <w:pPr>
      <w:pStyle w:val="19"/>
      <w:jc w:val="left"/>
      <w:rPr>
        <w:rFonts w:hint="eastAsia" w:ascii="宋体" w:hAnsi="宋体" w:eastAsia="宋体" w:cs="宋体"/>
        <w:b/>
        <w:bCs w:val="0"/>
        <w:i w:val="0"/>
        <w:iCs w:val="0"/>
        <w:sz w:val="18"/>
        <w:szCs w:val="18"/>
        <w:u w:val="none"/>
        <w:shd w:val="clear" w:color="auto" w:fill="auto"/>
        <w:lang w:eastAsia="zh-CN"/>
      </w:rPr>
    </w:pPr>
  </w:p>
  <w:p>
    <w:pPr>
      <w:pStyle w:val="19"/>
      <w:jc w:val="left"/>
      <w:rPr>
        <w:sz w:val="15"/>
        <w:szCs w:val="15"/>
      </w:rPr>
    </w:pPr>
    <w:r>
      <w:rPr>
        <w:rFonts w:hint="eastAsia" w:ascii="宋体" w:hAnsi="宋体" w:eastAsia="宋体" w:cs="宋体"/>
        <w:b/>
        <w:bCs w:val="0"/>
        <w:i w:val="0"/>
        <w:iCs w:val="0"/>
        <w:sz w:val="15"/>
        <w:szCs w:val="15"/>
        <w:u w:val="none"/>
        <w:shd w:val="clear" w:color="auto" w:fill="auto"/>
        <w:lang w:eastAsia="zh-CN"/>
      </w:rPr>
      <w:t>项目名称：</w:t>
    </w:r>
    <w:r>
      <w:rPr>
        <w:rFonts w:hint="eastAsia" w:ascii="宋体" w:hAnsi="宋体" w:eastAsia="宋体" w:cs="宋体"/>
        <w:b/>
        <w:bCs w:val="0"/>
        <w:i w:val="0"/>
        <w:iCs w:val="0"/>
        <w:sz w:val="15"/>
        <w:szCs w:val="15"/>
        <w:u w:val="none"/>
        <w:shd w:val="clear" w:color="auto" w:fill="auto"/>
        <w:lang w:val="en-US" w:eastAsia="zh-CN"/>
      </w:rPr>
      <w:t>岚皋县医院2024年苏陕协作“组团式”帮扶介入导管室建设项目（导管室装饰装修）</w:t>
    </w:r>
    <w:r>
      <w:rPr>
        <w:rFonts w:hint="eastAsia" w:ascii="宋体" w:hAnsi="宋体" w:cs="宋体"/>
        <w:b/>
        <w:bCs w:val="0"/>
        <w:i w:val="0"/>
        <w:iCs w:val="0"/>
        <w:sz w:val="15"/>
        <w:szCs w:val="15"/>
        <w:u w:val="none"/>
        <w:shd w:val="clear" w:color="auto" w:fill="auto"/>
        <w:lang w:val="en-US" w:eastAsia="zh-CN"/>
      </w:rPr>
      <w:t xml:space="preserve">       </w:t>
    </w:r>
    <w:r>
      <w:rPr>
        <w:rFonts w:hint="eastAsia" w:ascii="宋体" w:hAnsi="宋体" w:eastAsia="宋体" w:cs="宋体"/>
        <w:b/>
        <w:bCs w:val="0"/>
        <w:i w:val="0"/>
        <w:iCs w:val="0"/>
        <w:sz w:val="15"/>
        <w:szCs w:val="15"/>
        <w:u w:val="none"/>
        <w:shd w:val="clear" w:color="auto" w:fill="auto"/>
        <w:lang w:eastAsia="zh-CN"/>
      </w:rPr>
      <w:t>项目编号：</w:t>
    </w:r>
    <w:r>
      <w:rPr>
        <w:rFonts w:hint="eastAsia" w:ascii="宋体" w:hAnsi="宋体" w:cs="宋体"/>
        <w:b/>
        <w:bCs w:val="0"/>
        <w:i w:val="0"/>
        <w:iCs w:val="0"/>
        <w:sz w:val="15"/>
        <w:szCs w:val="15"/>
        <w:u w:val="none"/>
        <w:shd w:val="clear" w:color="auto" w:fill="auto"/>
        <w:lang w:val="en-US" w:eastAsia="zh-CN"/>
      </w:rPr>
      <w:t>ZBZB-2024-2400</w:t>
    </w:r>
    <w:r>
      <w:rPr>
        <w:rFonts w:hint="eastAsia" w:ascii="宋体" w:hAnsi="宋体" w:cs="宋体"/>
        <w:b/>
        <w:bCs w:val="0"/>
        <w:i w:val="0"/>
        <w:iCs w:val="0"/>
        <w:sz w:val="18"/>
        <w:szCs w:val="18"/>
        <w:u w:val="none"/>
        <w:shd w:val="clear" w:color="auto" w:fill="auto"/>
        <w:lang w:eastAsia="zh-CN"/>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ascii="宋体" w:hAnsi="宋体" w:eastAsia="宋体" w:cs="宋体"/>
        <w:b/>
        <w:bCs w:val="0"/>
        <w:i w:val="0"/>
        <w:iCs w:val="0"/>
        <w:sz w:val="18"/>
        <w:szCs w:val="18"/>
        <w:u w:val="none"/>
        <w:shd w:val="clear" w:color="auto" w:fill="auto"/>
        <w:lang w:eastAsia="zh-CN"/>
      </w:rPr>
    </w:pPr>
    <w:r>
      <w:rPr>
        <w:rFonts w:hint="eastAsia" w:ascii="微软雅黑" w:hAnsi="微软雅黑" w:eastAsia="微软雅黑" w:cs="宋体"/>
        <w:b/>
        <w:kern w:val="20"/>
        <w:sz w:val="13"/>
        <w:szCs w:val="13"/>
      </w:rPr>
      <w:drawing>
        <wp:anchor distT="0" distB="0" distL="114300" distR="114300" simplePos="0" relativeHeight="251668480" behindDoc="0" locked="0" layoutInCell="1" allowOverlap="1">
          <wp:simplePos x="0" y="0"/>
          <wp:positionH relativeFrom="column">
            <wp:posOffset>19050</wp:posOffset>
          </wp:positionH>
          <wp:positionV relativeFrom="paragraph">
            <wp:posOffset>34290</wp:posOffset>
          </wp:positionV>
          <wp:extent cx="1659890" cy="381000"/>
          <wp:effectExtent l="0" t="0" r="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59890" cy="381000"/>
                  </a:xfrm>
                  <a:prstGeom prst="rect">
                    <a:avLst/>
                  </a:prstGeom>
                  <a:noFill/>
                  <a:ln>
                    <a:noFill/>
                  </a:ln>
                </pic:spPr>
              </pic:pic>
            </a:graphicData>
          </a:graphic>
        </wp:anchor>
      </w:drawing>
    </w:r>
  </w:p>
  <w:p>
    <w:pPr>
      <w:pStyle w:val="19"/>
      <w:rPr>
        <w:rFonts w:hint="eastAsia" w:ascii="宋体" w:hAnsi="宋体" w:eastAsia="宋体" w:cs="宋体"/>
        <w:b/>
        <w:bCs w:val="0"/>
        <w:i w:val="0"/>
        <w:iCs w:val="0"/>
        <w:sz w:val="18"/>
        <w:szCs w:val="18"/>
        <w:u w:val="none"/>
        <w:shd w:val="clear" w:color="auto" w:fill="auto"/>
        <w:lang w:eastAsia="zh-CN"/>
      </w:rPr>
    </w:pPr>
  </w:p>
  <w:p>
    <w:pPr>
      <w:pStyle w:val="19"/>
      <w:jc w:val="both"/>
      <w:rPr>
        <w:rFonts w:hint="eastAsia" w:ascii="宋体" w:hAnsi="宋体" w:eastAsia="宋体" w:cs="宋体"/>
        <w:b/>
        <w:bCs w:val="0"/>
        <w:i w:val="0"/>
        <w:iCs w:val="0"/>
        <w:sz w:val="18"/>
        <w:szCs w:val="18"/>
        <w:u w:val="none"/>
        <w:shd w:val="clear" w:color="auto" w:fill="auto"/>
        <w:lang w:eastAsia="zh-CN"/>
      </w:rPr>
    </w:pPr>
  </w:p>
  <w:p>
    <w:pPr>
      <w:pStyle w:val="19"/>
    </w:pPr>
    <w:r>
      <w:rPr>
        <w:rFonts w:hint="eastAsia" w:ascii="宋体" w:hAnsi="宋体" w:eastAsia="宋体" w:cs="宋体"/>
        <w:b/>
        <w:bCs w:val="0"/>
        <w:i w:val="0"/>
        <w:iCs w:val="0"/>
        <w:sz w:val="15"/>
        <w:szCs w:val="15"/>
        <w:u w:val="none"/>
        <w:shd w:val="clear" w:color="auto" w:fill="auto"/>
        <w:lang w:eastAsia="zh-CN"/>
      </w:rPr>
      <w:t>项目名称：</w:t>
    </w:r>
    <w:r>
      <w:rPr>
        <w:rFonts w:hint="eastAsia" w:ascii="宋体" w:hAnsi="宋体" w:eastAsia="宋体" w:cs="宋体"/>
        <w:b/>
        <w:bCs w:val="0"/>
        <w:i w:val="0"/>
        <w:iCs w:val="0"/>
        <w:sz w:val="15"/>
        <w:szCs w:val="15"/>
        <w:u w:val="none"/>
        <w:shd w:val="clear" w:color="auto" w:fill="auto"/>
        <w:lang w:val="en-US" w:eastAsia="zh-CN"/>
      </w:rPr>
      <w:t>岚皋县医院2024年苏陕协作“组团式”帮扶介入导管室建设项目（导管室装饰装修）</w:t>
    </w:r>
    <w:r>
      <w:rPr>
        <w:rFonts w:hint="eastAsia" w:ascii="宋体" w:hAnsi="宋体" w:cs="宋体"/>
        <w:b/>
        <w:bCs w:val="0"/>
        <w:i w:val="0"/>
        <w:iCs w:val="0"/>
        <w:sz w:val="15"/>
        <w:szCs w:val="15"/>
        <w:u w:val="none"/>
        <w:shd w:val="clear" w:color="auto" w:fill="auto"/>
        <w:lang w:val="en-US" w:eastAsia="zh-CN"/>
      </w:rPr>
      <w:t xml:space="preserve">                  </w:t>
    </w:r>
    <w:r>
      <w:rPr>
        <w:rFonts w:hint="eastAsia" w:ascii="宋体" w:hAnsi="宋体" w:eastAsia="宋体" w:cs="宋体"/>
        <w:b/>
        <w:bCs w:val="0"/>
        <w:i w:val="0"/>
        <w:iCs w:val="0"/>
        <w:sz w:val="15"/>
        <w:szCs w:val="15"/>
        <w:u w:val="none"/>
        <w:shd w:val="clear" w:color="auto" w:fill="auto"/>
        <w:lang w:eastAsia="zh-CN"/>
      </w:rPr>
      <w:t>项目编号：</w:t>
    </w:r>
    <w:r>
      <w:rPr>
        <w:rFonts w:hint="eastAsia" w:ascii="宋体" w:hAnsi="宋体" w:cs="宋体"/>
        <w:b/>
        <w:bCs w:val="0"/>
        <w:i w:val="0"/>
        <w:iCs w:val="0"/>
        <w:sz w:val="15"/>
        <w:szCs w:val="15"/>
        <w:u w:val="none"/>
        <w:shd w:val="clear" w:color="auto" w:fill="auto"/>
        <w:lang w:val="en-US" w:eastAsia="zh-CN"/>
      </w:rPr>
      <w:t>ZBZB-2024-2400</w:t>
    </w:r>
    <w:r>
      <w:rPr>
        <w:rFonts w:hint="eastAsia" w:ascii="宋体" w:hAnsi="宋体" w:cs="宋体"/>
        <w:b/>
        <w:bCs w:val="0"/>
        <w:i w:val="0"/>
        <w:iCs w:val="0"/>
        <w:sz w:val="18"/>
        <w:szCs w:val="18"/>
        <w:u w:val="none"/>
        <w:shd w:val="clear" w:color="auto" w:fill="auto"/>
        <w:lang w:eastAsia="zh-CN"/>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rPr>
        <w:rFonts w:hint="eastAsia" w:ascii="宋体" w:hAnsi="宋体" w:eastAsia="宋体" w:cs="宋体"/>
        <w:b/>
        <w:bCs w:val="0"/>
        <w:i w:val="0"/>
        <w:iCs w:val="0"/>
        <w:sz w:val="15"/>
        <w:szCs w:val="15"/>
        <w:u w:val="none"/>
        <w:shd w:val="clear" w:color="auto" w:fill="auto"/>
        <w:lang w:eastAsia="zh-CN"/>
      </w:rPr>
    </w:pPr>
    <w:r>
      <w:rPr>
        <w:rFonts w:hint="eastAsia" w:ascii="微软雅黑" w:hAnsi="微软雅黑" w:eastAsia="微软雅黑" w:cs="宋体"/>
        <w:b/>
        <w:kern w:val="20"/>
        <w:sz w:val="13"/>
        <w:szCs w:val="13"/>
      </w:rPr>
      <w:drawing>
        <wp:anchor distT="0" distB="0" distL="114300" distR="114300" simplePos="0" relativeHeight="251671552" behindDoc="0" locked="0" layoutInCell="1" allowOverlap="1">
          <wp:simplePos x="0" y="0"/>
          <wp:positionH relativeFrom="column">
            <wp:posOffset>27305</wp:posOffset>
          </wp:positionH>
          <wp:positionV relativeFrom="paragraph">
            <wp:posOffset>-24765</wp:posOffset>
          </wp:positionV>
          <wp:extent cx="1659890" cy="381000"/>
          <wp:effectExtent l="0" t="0" r="0" b="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59890" cy="381000"/>
                  </a:xfrm>
                  <a:prstGeom prst="rect">
                    <a:avLst/>
                  </a:prstGeom>
                  <a:noFill/>
                  <a:ln>
                    <a:noFill/>
                  </a:ln>
                </pic:spPr>
              </pic:pic>
            </a:graphicData>
          </a:graphic>
        </wp:anchor>
      </w:drawing>
    </w:r>
  </w:p>
  <w:p>
    <w:pPr>
      <w:pStyle w:val="19"/>
      <w:jc w:val="left"/>
      <w:rPr>
        <w:rFonts w:hint="eastAsia" w:ascii="宋体" w:hAnsi="宋体" w:eastAsia="宋体" w:cs="宋体"/>
        <w:b/>
        <w:bCs w:val="0"/>
        <w:i w:val="0"/>
        <w:iCs w:val="0"/>
        <w:sz w:val="15"/>
        <w:szCs w:val="15"/>
        <w:u w:val="none"/>
        <w:shd w:val="clear" w:color="auto" w:fill="auto"/>
        <w:lang w:eastAsia="zh-CN"/>
      </w:rPr>
    </w:pPr>
  </w:p>
  <w:p>
    <w:pPr>
      <w:pStyle w:val="19"/>
      <w:jc w:val="left"/>
      <w:rPr>
        <w:sz w:val="15"/>
        <w:szCs w:val="15"/>
      </w:rPr>
    </w:pPr>
    <w:r>
      <w:rPr>
        <w:rFonts w:hint="eastAsia" w:ascii="宋体" w:hAnsi="宋体" w:eastAsia="宋体" w:cs="宋体"/>
        <w:b/>
        <w:bCs w:val="0"/>
        <w:i w:val="0"/>
        <w:iCs w:val="0"/>
        <w:sz w:val="15"/>
        <w:szCs w:val="15"/>
        <w:u w:val="none"/>
        <w:shd w:val="clear" w:color="auto" w:fill="auto"/>
        <w:lang w:eastAsia="zh-CN"/>
      </w:rPr>
      <w:t>项目名称：</w:t>
    </w:r>
    <w:r>
      <w:rPr>
        <w:rFonts w:hint="eastAsia" w:ascii="宋体" w:hAnsi="宋体" w:cs="宋体"/>
        <w:b/>
        <w:bCs w:val="0"/>
        <w:i w:val="0"/>
        <w:iCs w:val="0"/>
        <w:sz w:val="15"/>
        <w:szCs w:val="15"/>
        <w:u w:val="none"/>
        <w:shd w:val="clear" w:color="auto" w:fill="auto"/>
        <w:lang w:val="en-US" w:eastAsia="zh-CN"/>
      </w:rPr>
      <w:t xml:space="preserve">岚皋县医院2024年苏陕协作“组团式”帮扶介入导管室建设项目（导管室装饰装修）                    </w:t>
    </w:r>
    <w:r>
      <w:rPr>
        <w:rFonts w:hint="eastAsia" w:ascii="宋体" w:hAnsi="宋体" w:eastAsia="宋体" w:cs="宋体"/>
        <w:b/>
        <w:bCs w:val="0"/>
        <w:i w:val="0"/>
        <w:iCs w:val="0"/>
        <w:sz w:val="15"/>
        <w:szCs w:val="15"/>
        <w:u w:val="none"/>
        <w:shd w:val="clear" w:color="auto" w:fill="auto"/>
        <w:lang w:eastAsia="zh-CN"/>
      </w:rPr>
      <w:t>项目编号：</w:t>
    </w:r>
    <w:r>
      <w:rPr>
        <w:rFonts w:hint="eastAsia" w:ascii="宋体" w:hAnsi="宋体" w:cs="宋体"/>
        <w:b/>
        <w:bCs w:val="0"/>
        <w:i w:val="0"/>
        <w:iCs w:val="0"/>
        <w:sz w:val="15"/>
        <w:szCs w:val="15"/>
        <w:u w:val="none"/>
        <w:shd w:val="clear" w:color="auto" w:fill="auto"/>
        <w:lang w:val="en-US" w:eastAsia="zh-CN"/>
      </w:rPr>
      <w:t>ZBZB-2024-2400</w:t>
    </w:r>
    <w:r>
      <w:rPr>
        <w:rFonts w:hint="eastAsia" w:ascii="宋体" w:hAnsi="宋体" w:cs="宋体"/>
        <w:b/>
        <w:bCs w:val="0"/>
        <w:i w:val="0"/>
        <w:iCs w:val="0"/>
        <w:sz w:val="15"/>
        <w:szCs w:val="15"/>
        <w:u w:val="none"/>
        <w:shd w:val="clear" w:color="auto" w:fill="auto"/>
        <w:lang w:eastAsia="zh-CN"/>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rPr>
        <w:rFonts w:hint="eastAsia" w:ascii="宋体" w:hAnsi="宋体" w:eastAsia="宋体" w:cs="宋体"/>
        <w:b/>
        <w:bCs w:val="0"/>
        <w:i w:val="0"/>
        <w:iCs w:val="0"/>
        <w:sz w:val="15"/>
        <w:szCs w:val="15"/>
        <w:u w:val="none"/>
        <w:shd w:val="clear" w:color="auto" w:fill="auto"/>
        <w:lang w:eastAsia="zh-CN"/>
      </w:rPr>
    </w:pPr>
  </w:p>
  <w:p>
    <w:pPr>
      <w:pStyle w:val="19"/>
      <w:jc w:val="left"/>
      <w:rPr>
        <w:rFonts w:hint="eastAsia" w:ascii="宋体" w:hAnsi="宋体" w:eastAsia="宋体" w:cs="宋体"/>
        <w:b/>
        <w:bCs w:val="0"/>
        <w:i w:val="0"/>
        <w:iCs w:val="0"/>
        <w:sz w:val="15"/>
        <w:szCs w:val="15"/>
        <w:u w:val="none"/>
        <w:shd w:val="clear" w:color="auto" w:fill="auto"/>
        <w:lang w:eastAsia="zh-CN"/>
      </w:rPr>
    </w:pPr>
    <w:r>
      <w:rPr>
        <w:rFonts w:hint="eastAsia" w:ascii="微软雅黑" w:hAnsi="微软雅黑" w:eastAsia="微软雅黑" w:cs="宋体"/>
        <w:b/>
        <w:kern w:val="20"/>
        <w:sz w:val="13"/>
        <w:szCs w:val="13"/>
      </w:rPr>
      <w:drawing>
        <wp:anchor distT="0" distB="0" distL="114300" distR="114300" simplePos="0" relativeHeight="251670528" behindDoc="0" locked="0" layoutInCell="1" allowOverlap="1">
          <wp:simplePos x="0" y="0"/>
          <wp:positionH relativeFrom="column">
            <wp:posOffset>27305</wp:posOffset>
          </wp:positionH>
          <wp:positionV relativeFrom="paragraph">
            <wp:posOffset>-177165</wp:posOffset>
          </wp:positionV>
          <wp:extent cx="1659890" cy="381000"/>
          <wp:effectExtent l="0" t="0" r="0" b="0"/>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59890" cy="381000"/>
                  </a:xfrm>
                  <a:prstGeom prst="rect">
                    <a:avLst/>
                  </a:prstGeom>
                  <a:noFill/>
                  <a:ln>
                    <a:noFill/>
                  </a:ln>
                </pic:spPr>
              </pic:pic>
            </a:graphicData>
          </a:graphic>
        </wp:anchor>
      </w:drawing>
    </w:r>
  </w:p>
  <w:p>
    <w:pPr>
      <w:pStyle w:val="19"/>
      <w:jc w:val="left"/>
      <w:rPr>
        <w:rFonts w:hint="eastAsia" w:eastAsia="仿宋"/>
        <w:sz w:val="15"/>
        <w:szCs w:val="15"/>
        <w:lang w:eastAsia="zh-CN"/>
      </w:rPr>
    </w:pPr>
    <w:r>
      <w:rPr>
        <w:rFonts w:hint="eastAsia" w:ascii="宋体" w:hAnsi="宋体" w:eastAsia="宋体" w:cs="宋体"/>
        <w:b/>
        <w:bCs w:val="0"/>
        <w:i w:val="0"/>
        <w:iCs w:val="0"/>
        <w:sz w:val="15"/>
        <w:szCs w:val="15"/>
        <w:u w:val="none"/>
        <w:shd w:val="clear" w:color="auto" w:fill="auto"/>
        <w:lang w:eastAsia="zh-CN"/>
      </w:rPr>
      <w:t>项目名称：</w:t>
    </w:r>
    <w:r>
      <w:rPr>
        <w:rFonts w:hint="eastAsia" w:ascii="宋体" w:hAnsi="宋体" w:cs="宋体"/>
        <w:b/>
        <w:bCs w:val="0"/>
        <w:i w:val="0"/>
        <w:iCs w:val="0"/>
        <w:sz w:val="15"/>
        <w:szCs w:val="15"/>
        <w:u w:val="none"/>
        <w:shd w:val="clear" w:color="auto" w:fill="auto"/>
        <w:lang w:val="en-US" w:eastAsia="zh-CN"/>
      </w:rPr>
      <w:t xml:space="preserve">岚皋县医院2024年苏陕协作“组团式”帮扶介入导管室建设项目（导管室装饰装修）                  </w:t>
    </w:r>
    <w:r>
      <w:rPr>
        <w:rFonts w:hint="eastAsia" w:ascii="宋体" w:hAnsi="宋体" w:eastAsia="宋体" w:cs="宋体"/>
        <w:b/>
        <w:bCs w:val="0"/>
        <w:i w:val="0"/>
        <w:iCs w:val="0"/>
        <w:sz w:val="15"/>
        <w:szCs w:val="15"/>
        <w:u w:val="none"/>
        <w:shd w:val="clear" w:color="auto" w:fill="auto"/>
        <w:lang w:eastAsia="zh-CN"/>
      </w:rPr>
      <w:t>项目编号：</w:t>
    </w:r>
    <w:r>
      <w:rPr>
        <w:rFonts w:hint="eastAsia" w:ascii="宋体" w:hAnsi="宋体" w:cs="宋体"/>
        <w:b/>
        <w:bCs w:val="0"/>
        <w:i w:val="0"/>
        <w:iCs w:val="0"/>
        <w:sz w:val="15"/>
        <w:szCs w:val="15"/>
        <w:u w:val="none"/>
        <w:shd w:val="clear" w:color="auto" w:fill="auto"/>
        <w:lang w:val="en-US" w:eastAsia="zh-CN"/>
      </w:rPr>
      <w:t>ZBZB-2024-2400</w:t>
    </w:r>
    <w:r>
      <w:rPr>
        <w:rFonts w:hint="eastAsia" w:ascii="宋体" w:hAnsi="宋体" w:cs="宋体"/>
        <w:b/>
        <w:bCs w:val="0"/>
        <w:i w:val="0"/>
        <w:iCs w:val="0"/>
        <w:sz w:val="18"/>
        <w:szCs w:val="18"/>
        <w:u w:val="none"/>
        <w:shd w:val="clear" w:color="auto" w:fill="auto"/>
        <w:lang w:eastAsia="zh-CN"/>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rPr>
        <w:rFonts w:hint="eastAsia" w:ascii="宋体" w:hAnsi="宋体" w:eastAsia="宋体" w:cs="宋体"/>
        <w:b/>
        <w:bCs w:val="0"/>
        <w:i w:val="0"/>
        <w:iCs w:val="0"/>
        <w:sz w:val="15"/>
        <w:szCs w:val="15"/>
        <w:u w:val="none"/>
        <w:shd w:val="clear" w:color="auto" w:fill="auto"/>
        <w:lang w:eastAsia="zh-CN"/>
      </w:rPr>
    </w:pPr>
    <w:r>
      <w:rPr>
        <w:rFonts w:hint="eastAsia" w:ascii="微软雅黑" w:hAnsi="微软雅黑" w:eastAsia="微软雅黑" w:cs="宋体"/>
        <w:b/>
        <w:kern w:val="20"/>
        <w:sz w:val="13"/>
        <w:szCs w:val="13"/>
      </w:rPr>
      <w:drawing>
        <wp:anchor distT="0" distB="0" distL="114300" distR="114300" simplePos="0" relativeHeight="251672576" behindDoc="0" locked="0" layoutInCell="1" allowOverlap="1">
          <wp:simplePos x="0" y="0"/>
          <wp:positionH relativeFrom="column">
            <wp:posOffset>36830</wp:posOffset>
          </wp:positionH>
          <wp:positionV relativeFrom="paragraph">
            <wp:posOffset>-58420</wp:posOffset>
          </wp:positionV>
          <wp:extent cx="1659890" cy="381000"/>
          <wp:effectExtent l="0" t="0" r="0" b="0"/>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59890" cy="381000"/>
                  </a:xfrm>
                  <a:prstGeom prst="rect">
                    <a:avLst/>
                  </a:prstGeom>
                  <a:noFill/>
                  <a:ln>
                    <a:noFill/>
                  </a:ln>
                </pic:spPr>
              </pic:pic>
            </a:graphicData>
          </a:graphic>
        </wp:anchor>
      </w:drawing>
    </w:r>
  </w:p>
  <w:p>
    <w:pPr>
      <w:pStyle w:val="19"/>
      <w:jc w:val="left"/>
      <w:rPr>
        <w:rFonts w:hint="eastAsia" w:ascii="宋体" w:hAnsi="宋体" w:eastAsia="宋体" w:cs="宋体"/>
        <w:b/>
        <w:bCs w:val="0"/>
        <w:i w:val="0"/>
        <w:iCs w:val="0"/>
        <w:sz w:val="15"/>
        <w:szCs w:val="15"/>
        <w:u w:val="none"/>
        <w:shd w:val="clear" w:color="auto" w:fill="auto"/>
        <w:lang w:eastAsia="zh-CN"/>
      </w:rPr>
    </w:pPr>
  </w:p>
  <w:p>
    <w:pPr>
      <w:pStyle w:val="19"/>
      <w:jc w:val="left"/>
      <w:rPr>
        <w:rFonts w:hint="eastAsia"/>
      </w:rPr>
    </w:pPr>
    <w:r>
      <w:rPr>
        <w:rFonts w:hint="eastAsia" w:ascii="宋体" w:hAnsi="宋体" w:eastAsia="宋体" w:cs="宋体"/>
        <w:b/>
        <w:bCs w:val="0"/>
        <w:i w:val="0"/>
        <w:iCs w:val="0"/>
        <w:sz w:val="15"/>
        <w:szCs w:val="15"/>
        <w:u w:val="none"/>
        <w:shd w:val="clear" w:color="auto" w:fill="auto"/>
        <w:lang w:eastAsia="zh-CN"/>
      </w:rPr>
      <w:t>项目名称：</w:t>
    </w:r>
    <w:r>
      <w:rPr>
        <w:rFonts w:hint="eastAsia" w:ascii="宋体" w:hAnsi="宋体" w:cs="宋体"/>
        <w:b/>
        <w:bCs w:val="0"/>
        <w:i w:val="0"/>
        <w:iCs w:val="0"/>
        <w:sz w:val="15"/>
        <w:szCs w:val="15"/>
        <w:u w:val="none"/>
        <w:shd w:val="clear" w:color="auto" w:fill="auto"/>
        <w:lang w:val="en-US" w:eastAsia="zh-CN"/>
      </w:rPr>
      <w:t xml:space="preserve">岚皋县医院2024年苏陕协作“组团式”帮扶介入导管室建设项目（导管室装饰装修）           </w:t>
    </w:r>
    <w:r>
      <w:rPr>
        <w:rFonts w:hint="eastAsia" w:ascii="宋体" w:hAnsi="宋体" w:eastAsia="宋体" w:cs="宋体"/>
        <w:b/>
        <w:bCs w:val="0"/>
        <w:i w:val="0"/>
        <w:iCs w:val="0"/>
        <w:sz w:val="15"/>
        <w:szCs w:val="15"/>
        <w:u w:val="none"/>
        <w:shd w:val="clear" w:color="auto" w:fill="auto"/>
        <w:lang w:eastAsia="zh-CN"/>
      </w:rPr>
      <w:t>项目编号：</w:t>
    </w:r>
    <w:r>
      <w:rPr>
        <w:rFonts w:hint="eastAsia" w:ascii="宋体" w:hAnsi="宋体" w:cs="宋体"/>
        <w:b/>
        <w:bCs w:val="0"/>
        <w:i w:val="0"/>
        <w:iCs w:val="0"/>
        <w:sz w:val="15"/>
        <w:szCs w:val="15"/>
        <w:u w:val="none"/>
        <w:shd w:val="clear" w:color="auto" w:fill="auto"/>
        <w:lang w:val="en-US" w:eastAsia="zh-CN"/>
      </w:rPr>
      <w:t>ZBZB-2024-2400</w:t>
    </w:r>
    <w:r>
      <w:rPr>
        <w:rFonts w:hint="eastAsia" w:ascii="宋体" w:hAnsi="宋体" w:cs="宋体"/>
        <w:b/>
        <w:bCs w:val="0"/>
        <w:i w:val="0"/>
        <w:iCs w:val="0"/>
        <w:sz w:val="15"/>
        <w:szCs w:val="15"/>
        <w:u w:val="none"/>
        <w:shd w:val="clear" w:color="auto" w:fill="auto"/>
        <w:lang w:eastAsia="zh-CN"/>
      </w:rPr>
      <w:t xml:space="preserve"> </w:t>
    </w:r>
    <w:r>
      <w:rPr>
        <w:rFonts w:hint="eastAsia" w:ascii="宋体" w:hAnsi="宋体" w:eastAsia="宋体" w:cs="宋体"/>
        <w:b w:val="0"/>
        <w:bCs/>
        <w:i/>
        <w:iCs/>
        <w:sz w:val="15"/>
        <w:szCs w:val="15"/>
        <w:u w:val="none"/>
        <w:shd w:val="clear" w:color="auto" w:fill="auto"/>
        <w:lang w:val="en-US" w:eastAsia="zh-CN"/>
      </w:rPr>
      <w:t xml:space="preserve"> </w:t>
    </w:r>
    <w:r>
      <w:rPr>
        <w:rFonts w:hint="eastAsia" w:ascii="宋体" w:hAnsi="宋体" w:eastAsia="宋体" w:cs="宋体"/>
        <w:b w:val="0"/>
        <w:bCs/>
        <w:i/>
        <w:iCs/>
        <w:sz w:val="18"/>
        <w:szCs w:val="18"/>
        <w:u w:val="none"/>
        <w:shd w:val="clear" w:color="auto" w:fill="auto"/>
        <w:lang w:val="en-US" w:eastAsia="zh-CN"/>
      </w:rPr>
      <w:t xml:space="preserve">               </w:t>
    </w:r>
    <w:r>
      <w:rPr>
        <w:rFonts w:hint="eastAsia" w:ascii="宋体" w:hAnsi="宋体" w:cs="宋体"/>
        <w:b w:val="0"/>
        <w:bCs/>
        <w:i/>
        <w:iCs/>
        <w:sz w:val="18"/>
        <w:szCs w:val="18"/>
        <w:u w:val="none"/>
        <w:shd w:val="clear" w:color="auto" w:fill="auto"/>
        <w:lang w:val="en-US" w:eastAsia="zh-CN"/>
      </w:rPr>
      <w:t xml:space="preserve">     </w:t>
    </w:r>
    <w:r>
      <w:rPr>
        <w:rFonts w:hint="eastAsia" w:ascii="宋体" w:hAnsi="宋体" w:eastAsia="宋体" w:cs="宋体"/>
        <w:b w:val="0"/>
        <w:bCs/>
        <w:i/>
        <w:iCs/>
        <w:sz w:val="18"/>
        <w:szCs w:val="18"/>
        <w:u w:val="none"/>
        <w:shd w:val="clear" w:color="auto" w:fill="auto"/>
        <w:lang w:val="en-US" w:eastAsia="zh-CN"/>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1951" w:firstLineChars="1500"/>
      <w:jc w:val="left"/>
      <w:rPr>
        <w:rFonts w:hint="eastAsia" w:ascii="宋体" w:hAnsi="宋体" w:eastAsia="宋体" w:cs="宋体"/>
        <w:b/>
        <w:bCs w:val="0"/>
        <w:i w:val="0"/>
        <w:iCs w:val="0"/>
        <w:sz w:val="18"/>
        <w:szCs w:val="18"/>
        <w:u w:val="none"/>
        <w:shd w:val="clear" w:color="auto" w:fill="auto"/>
        <w:lang w:eastAsia="zh-CN"/>
      </w:rPr>
    </w:pPr>
    <w:r>
      <w:rPr>
        <w:rFonts w:hint="eastAsia" w:ascii="微软雅黑" w:hAnsi="微软雅黑" w:eastAsia="微软雅黑" w:cs="宋体"/>
        <w:b/>
        <w:kern w:val="20"/>
        <w:sz w:val="13"/>
        <w:szCs w:val="13"/>
      </w:rPr>
      <w:drawing>
        <wp:anchor distT="0" distB="0" distL="114300" distR="114300" simplePos="0" relativeHeight="251673600" behindDoc="0" locked="0" layoutInCell="1" allowOverlap="1">
          <wp:simplePos x="0" y="0"/>
          <wp:positionH relativeFrom="column">
            <wp:posOffset>-8890</wp:posOffset>
          </wp:positionH>
          <wp:positionV relativeFrom="paragraph">
            <wp:posOffset>-15240</wp:posOffset>
          </wp:positionV>
          <wp:extent cx="1659890" cy="381000"/>
          <wp:effectExtent l="0" t="0" r="0" b="0"/>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59890" cy="381000"/>
                  </a:xfrm>
                  <a:prstGeom prst="rect">
                    <a:avLst/>
                  </a:prstGeom>
                  <a:noFill/>
                  <a:ln>
                    <a:noFill/>
                  </a:ln>
                </pic:spPr>
              </pic:pic>
            </a:graphicData>
          </a:graphic>
        </wp:anchor>
      </w:drawing>
    </w:r>
  </w:p>
  <w:p>
    <w:pPr>
      <w:pStyle w:val="19"/>
      <w:ind w:firstLine="2711" w:firstLineChars="1500"/>
      <w:jc w:val="left"/>
      <w:rPr>
        <w:rFonts w:hint="eastAsia" w:ascii="宋体" w:hAnsi="宋体" w:eastAsia="宋体" w:cs="宋体"/>
        <w:b/>
        <w:bCs w:val="0"/>
        <w:i w:val="0"/>
        <w:iCs w:val="0"/>
        <w:sz w:val="18"/>
        <w:szCs w:val="18"/>
        <w:u w:val="none"/>
        <w:shd w:val="clear" w:color="auto" w:fill="auto"/>
        <w:lang w:eastAsia="zh-CN"/>
      </w:rPr>
    </w:pPr>
  </w:p>
  <w:p>
    <w:pPr>
      <w:pStyle w:val="19"/>
      <w:jc w:val="left"/>
      <w:rPr>
        <w:rFonts w:hint="eastAsia"/>
        <w:sz w:val="15"/>
        <w:szCs w:val="15"/>
      </w:rPr>
    </w:pPr>
    <w:r>
      <w:rPr>
        <w:rFonts w:hint="eastAsia" w:ascii="宋体" w:hAnsi="宋体" w:eastAsia="宋体" w:cs="宋体"/>
        <w:b/>
        <w:bCs w:val="0"/>
        <w:i w:val="0"/>
        <w:iCs w:val="0"/>
        <w:sz w:val="15"/>
        <w:szCs w:val="15"/>
        <w:u w:val="none"/>
        <w:shd w:val="clear" w:color="auto" w:fill="auto"/>
        <w:lang w:eastAsia="zh-CN"/>
      </w:rPr>
      <w:t>项目名称：</w:t>
    </w:r>
    <w:r>
      <w:rPr>
        <w:rFonts w:hint="eastAsia" w:ascii="宋体" w:hAnsi="宋体" w:cs="宋体"/>
        <w:b/>
        <w:bCs w:val="0"/>
        <w:i w:val="0"/>
        <w:iCs w:val="0"/>
        <w:sz w:val="15"/>
        <w:szCs w:val="15"/>
        <w:u w:val="none"/>
        <w:shd w:val="clear" w:color="auto" w:fill="auto"/>
        <w:lang w:val="en-US" w:eastAsia="zh-CN"/>
      </w:rPr>
      <w:t xml:space="preserve">岚皋县医院2024年苏陕协作“组团式”帮扶介入导管室建设项目（导管室装饰装修）                                                             </w:t>
    </w:r>
    <w:r>
      <w:rPr>
        <w:rFonts w:hint="eastAsia" w:ascii="宋体" w:hAnsi="宋体" w:eastAsia="宋体" w:cs="宋体"/>
        <w:b/>
        <w:bCs w:val="0"/>
        <w:i w:val="0"/>
        <w:iCs w:val="0"/>
        <w:sz w:val="15"/>
        <w:szCs w:val="15"/>
        <w:u w:val="none"/>
        <w:shd w:val="clear" w:color="auto" w:fill="auto"/>
        <w:lang w:eastAsia="zh-CN"/>
      </w:rPr>
      <w:t>项目编号：</w:t>
    </w:r>
    <w:r>
      <w:rPr>
        <w:rFonts w:hint="eastAsia" w:ascii="宋体" w:hAnsi="宋体" w:cs="宋体"/>
        <w:b/>
        <w:bCs w:val="0"/>
        <w:i w:val="0"/>
        <w:iCs w:val="0"/>
        <w:sz w:val="15"/>
        <w:szCs w:val="15"/>
        <w:u w:val="none"/>
        <w:shd w:val="clear" w:color="auto" w:fill="auto"/>
        <w:lang w:val="en-US" w:eastAsia="zh-CN"/>
      </w:rPr>
      <w:t>ZBZB-2024-2400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90AB35"/>
    <w:multiLevelType w:val="singleLevel"/>
    <w:tmpl w:val="E090AB35"/>
    <w:lvl w:ilvl="0" w:tentative="0">
      <w:start w:val="7"/>
      <w:numFmt w:val="chineseCounting"/>
      <w:suff w:val="nothing"/>
      <w:lvlText w:val="%1、"/>
      <w:lvlJc w:val="left"/>
      <w:rPr>
        <w:rFonts w:hint="eastAsia"/>
      </w:rPr>
    </w:lvl>
  </w:abstractNum>
  <w:abstractNum w:abstractNumId="1">
    <w:nsid w:val="0CF97A71"/>
    <w:multiLevelType w:val="singleLevel"/>
    <w:tmpl w:val="0CF97A71"/>
    <w:lvl w:ilvl="0" w:tentative="0">
      <w:start w:val="3"/>
      <w:numFmt w:val="chineseCounting"/>
      <w:suff w:val="space"/>
      <w:lvlText w:val="第%1部分"/>
      <w:lvlJc w:val="left"/>
      <w:rPr>
        <w:rFonts w:hint="eastAsia"/>
      </w:rPr>
    </w:lvl>
  </w:abstractNum>
  <w:abstractNum w:abstractNumId="2">
    <w:nsid w:val="53756486"/>
    <w:multiLevelType w:val="singleLevel"/>
    <w:tmpl w:val="53756486"/>
    <w:lvl w:ilvl="0" w:tentative="0">
      <w:start w:val="1"/>
      <w:numFmt w:val="chineseCounting"/>
      <w:suff w:val="space"/>
      <w:lvlText w:val="第%1条"/>
      <w:lvlJc w:val="left"/>
    </w:lvl>
  </w:abstractNum>
  <w:abstractNum w:abstractNumId="3">
    <w:nsid w:val="5566B2A8"/>
    <w:multiLevelType w:val="singleLevel"/>
    <w:tmpl w:val="5566B2A8"/>
    <w:lvl w:ilvl="0" w:tentative="0">
      <w:start w:val="4"/>
      <w:numFmt w:val="chineseCounting"/>
      <w:suff w:val="space"/>
      <w:lvlText w:val="第%1条"/>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4MDMwN2FjN2EzODkwZTJiNTc0MTE5OTc0Y2RiZTUifQ=="/>
    <w:docVar w:name="KSO_WPS_MARK_KEY" w:val="60d4cffb-b2b7-47f5-9790-4b1dd05864ed"/>
  </w:docVars>
  <w:rsids>
    <w:rsidRoot w:val="1F2E4AC0"/>
    <w:rsid w:val="00060C6A"/>
    <w:rsid w:val="000E7B1F"/>
    <w:rsid w:val="001315D9"/>
    <w:rsid w:val="00135135"/>
    <w:rsid w:val="00172E78"/>
    <w:rsid w:val="002221FB"/>
    <w:rsid w:val="00303F39"/>
    <w:rsid w:val="00333A2A"/>
    <w:rsid w:val="00384B9C"/>
    <w:rsid w:val="003951E6"/>
    <w:rsid w:val="003B4745"/>
    <w:rsid w:val="00450166"/>
    <w:rsid w:val="00470291"/>
    <w:rsid w:val="004A52D4"/>
    <w:rsid w:val="004D5807"/>
    <w:rsid w:val="005714C6"/>
    <w:rsid w:val="00593490"/>
    <w:rsid w:val="005A783E"/>
    <w:rsid w:val="00615EA1"/>
    <w:rsid w:val="00682E76"/>
    <w:rsid w:val="006B31C3"/>
    <w:rsid w:val="006B6D1F"/>
    <w:rsid w:val="006E4A62"/>
    <w:rsid w:val="007007DA"/>
    <w:rsid w:val="00704336"/>
    <w:rsid w:val="007402CA"/>
    <w:rsid w:val="00773916"/>
    <w:rsid w:val="008E0A85"/>
    <w:rsid w:val="00930024"/>
    <w:rsid w:val="00935205"/>
    <w:rsid w:val="009444C8"/>
    <w:rsid w:val="0098388D"/>
    <w:rsid w:val="00A010BF"/>
    <w:rsid w:val="00A3470B"/>
    <w:rsid w:val="00AD10E6"/>
    <w:rsid w:val="00AF1302"/>
    <w:rsid w:val="00B00BD6"/>
    <w:rsid w:val="00B22BA0"/>
    <w:rsid w:val="00B25999"/>
    <w:rsid w:val="00BA1A55"/>
    <w:rsid w:val="00BC57CD"/>
    <w:rsid w:val="00C12DE3"/>
    <w:rsid w:val="00C30909"/>
    <w:rsid w:val="00C44682"/>
    <w:rsid w:val="00CA3D2D"/>
    <w:rsid w:val="00CE72AE"/>
    <w:rsid w:val="00D40D69"/>
    <w:rsid w:val="00F22F9D"/>
    <w:rsid w:val="00F66F31"/>
    <w:rsid w:val="00F76805"/>
    <w:rsid w:val="00FB62F5"/>
    <w:rsid w:val="01062EEC"/>
    <w:rsid w:val="01064C9A"/>
    <w:rsid w:val="010827C0"/>
    <w:rsid w:val="010D427B"/>
    <w:rsid w:val="01176EA7"/>
    <w:rsid w:val="011D2710"/>
    <w:rsid w:val="012263CD"/>
    <w:rsid w:val="012810B4"/>
    <w:rsid w:val="012B4701"/>
    <w:rsid w:val="012D66CB"/>
    <w:rsid w:val="013712F7"/>
    <w:rsid w:val="013C55EE"/>
    <w:rsid w:val="014D0B1B"/>
    <w:rsid w:val="014E4FD3"/>
    <w:rsid w:val="01527EDF"/>
    <w:rsid w:val="015C48BA"/>
    <w:rsid w:val="016025FC"/>
    <w:rsid w:val="01626374"/>
    <w:rsid w:val="01695955"/>
    <w:rsid w:val="01721055"/>
    <w:rsid w:val="01722330"/>
    <w:rsid w:val="017442FA"/>
    <w:rsid w:val="0179546C"/>
    <w:rsid w:val="017B58F6"/>
    <w:rsid w:val="01806BE5"/>
    <w:rsid w:val="018C33F1"/>
    <w:rsid w:val="018C519F"/>
    <w:rsid w:val="018F6A3E"/>
    <w:rsid w:val="01910DE7"/>
    <w:rsid w:val="01993D60"/>
    <w:rsid w:val="019D55FE"/>
    <w:rsid w:val="019D7AF8"/>
    <w:rsid w:val="01A0211D"/>
    <w:rsid w:val="01A249C3"/>
    <w:rsid w:val="01A4698D"/>
    <w:rsid w:val="01A7647D"/>
    <w:rsid w:val="01A87AFF"/>
    <w:rsid w:val="01A93FA3"/>
    <w:rsid w:val="01AA0E46"/>
    <w:rsid w:val="01AF70E0"/>
    <w:rsid w:val="01B446F6"/>
    <w:rsid w:val="01C901A1"/>
    <w:rsid w:val="01CF7782"/>
    <w:rsid w:val="01D628BE"/>
    <w:rsid w:val="01E006F4"/>
    <w:rsid w:val="01E9469D"/>
    <w:rsid w:val="01F32060"/>
    <w:rsid w:val="01F3521E"/>
    <w:rsid w:val="01F561BC"/>
    <w:rsid w:val="01FB0577"/>
    <w:rsid w:val="01FC1F6B"/>
    <w:rsid w:val="01FE213F"/>
    <w:rsid w:val="01FF4D3D"/>
    <w:rsid w:val="02041109"/>
    <w:rsid w:val="02070CCA"/>
    <w:rsid w:val="020F7B7E"/>
    <w:rsid w:val="02105DD0"/>
    <w:rsid w:val="022B2D32"/>
    <w:rsid w:val="02306473"/>
    <w:rsid w:val="02313F99"/>
    <w:rsid w:val="02355837"/>
    <w:rsid w:val="024141DC"/>
    <w:rsid w:val="024E06A7"/>
    <w:rsid w:val="026B74AB"/>
    <w:rsid w:val="026E6F9B"/>
    <w:rsid w:val="027A76EE"/>
    <w:rsid w:val="027C16B8"/>
    <w:rsid w:val="027F2F56"/>
    <w:rsid w:val="0284056C"/>
    <w:rsid w:val="028440C8"/>
    <w:rsid w:val="02873BB9"/>
    <w:rsid w:val="028A5F9E"/>
    <w:rsid w:val="028C7BAB"/>
    <w:rsid w:val="02936A01"/>
    <w:rsid w:val="02A227A1"/>
    <w:rsid w:val="02B0310F"/>
    <w:rsid w:val="02BC7D06"/>
    <w:rsid w:val="02BD4C7B"/>
    <w:rsid w:val="02BD75DA"/>
    <w:rsid w:val="02C1356F"/>
    <w:rsid w:val="02C364B8"/>
    <w:rsid w:val="02C44457"/>
    <w:rsid w:val="02C60B85"/>
    <w:rsid w:val="02C848FD"/>
    <w:rsid w:val="02CA142E"/>
    <w:rsid w:val="02D2752A"/>
    <w:rsid w:val="02DA4630"/>
    <w:rsid w:val="02DE5ECF"/>
    <w:rsid w:val="02DE7C7D"/>
    <w:rsid w:val="02E64D83"/>
    <w:rsid w:val="02ED4364"/>
    <w:rsid w:val="03044D7C"/>
    <w:rsid w:val="030A6CC4"/>
    <w:rsid w:val="030F6088"/>
    <w:rsid w:val="03157416"/>
    <w:rsid w:val="031C2553"/>
    <w:rsid w:val="03237D85"/>
    <w:rsid w:val="03253AFD"/>
    <w:rsid w:val="03305FFE"/>
    <w:rsid w:val="03321D76"/>
    <w:rsid w:val="033243BE"/>
    <w:rsid w:val="03327FC8"/>
    <w:rsid w:val="033B4E87"/>
    <w:rsid w:val="03426A86"/>
    <w:rsid w:val="03455F4E"/>
    <w:rsid w:val="03463A74"/>
    <w:rsid w:val="034675D0"/>
    <w:rsid w:val="03483348"/>
    <w:rsid w:val="035C5045"/>
    <w:rsid w:val="035D3297"/>
    <w:rsid w:val="0360415F"/>
    <w:rsid w:val="03622591"/>
    <w:rsid w:val="036839EA"/>
    <w:rsid w:val="037405E1"/>
    <w:rsid w:val="0374413D"/>
    <w:rsid w:val="037737F4"/>
    <w:rsid w:val="0379139B"/>
    <w:rsid w:val="037B196F"/>
    <w:rsid w:val="037C1244"/>
    <w:rsid w:val="038218DD"/>
    <w:rsid w:val="03977E2B"/>
    <w:rsid w:val="03A04F32"/>
    <w:rsid w:val="03A10C87"/>
    <w:rsid w:val="03AC1B29"/>
    <w:rsid w:val="03B31109"/>
    <w:rsid w:val="03C07382"/>
    <w:rsid w:val="03C230FA"/>
    <w:rsid w:val="03C26480"/>
    <w:rsid w:val="03C42540"/>
    <w:rsid w:val="03C76963"/>
    <w:rsid w:val="03CF5817"/>
    <w:rsid w:val="03D13679"/>
    <w:rsid w:val="03D8291E"/>
    <w:rsid w:val="03E2379C"/>
    <w:rsid w:val="03E272F9"/>
    <w:rsid w:val="03E63D04"/>
    <w:rsid w:val="03E72B43"/>
    <w:rsid w:val="03E76D9E"/>
    <w:rsid w:val="03E868D9"/>
    <w:rsid w:val="03F82FC0"/>
    <w:rsid w:val="03F876A1"/>
    <w:rsid w:val="040C25C7"/>
    <w:rsid w:val="040C6A6B"/>
    <w:rsid w:val="040E26ED"/>
    <w:rsid w:val="04131BA8"/>
    <w:rsid w:val="04137DFA"/>
    <w:rsid w:val="041476CE"/>
    <w:rsid w:val="041B0A5C"/>
    <w:rsid w:val="041D6583"/>
    <w:rsid w:val="043E6E1E"/>
    <w:rsid w:val="0442423B"/>
    <w:rsid w:val="045D72C7"/>
    <w:rsid w:val="04610B65"/>
    <w:rsid w:val="04697A1A"/>
    <w:rsid w:val="04702B56"/>
    <w:rsid w:val="0475016D"/>
    <w:rsid w:val="047A1C27"/>
    <w:rsid w:val="0482288A"/>
    <w:rsid w:val="04876379"/>
    <w:rsid w:val="049031F8"/>
    <w:rsid w:val="04936845"/>
    <w:rsid w:val="04947F67"/>
    <w:rsid w:val="049A5F1B"/>
    <w:rsid w:val="049B394B"/>
    <w:rsid w:val="049C7E3A"/>
    <w:rsid w:val="04A77B1E"/>
    <w:rsid w:val="04B14F1D"/>
    <w:rsid w:val="04B769D7"/>
    <w:rsid w:val="04BD38C2"/>
    <w:rsid w:val="04C42EA2"/>
    <w:rsid w:val="04C8217C"/>
    <w:rsid w:val="04C904B8"/>
    <w:rsid w:val="04CD77FB"/>
    <w:rsid w:val="04D22ADA"/>
    <w:rsid w:val="04D72BD5"/>
    <w:rsid w:val="04EA0D61"/>
    <w:rsid w:val="04EB6681"/>
    <w:rsid w:val="04F37401"/>
    <w:rsid w:val="04FE4606"/>
    <w:rsid w:val="05036B9E"/>
    <w:rsid w:val="051269D3"/>
    <w:rsid w:val="051313FD"/>
    <w:rsid w:val="05184F9C"/>
    <w:rsid w:val="051A51B8"/>
    <w:rsid w:val="051A6F66"/>
    <w:rsid w:val="051C683A"/>
    <w:rsid w:val="051E0804"/>
    <w:rsid w:val="0523406D"/>
    <w:rsid w:val="052439C6"/>
    <w:rsid w:val="05263B5D"/>
    <w:rsid w:val="052971A9"/>
    <w:rsid w:val="053F077B"/>
    <w:rsid w:val="0548177D"/>
    <w:rsid w:val="054E09BE"/>
    <w:rsid w:val="055C30DB"/>
    <w:rsid w:val="0561780D"/>
    <w:rsid w:val="05663F59"/>
    <w:rsid w:val="056A5D46"/>
    <w:rsid w:val="057132C7"/>
    <w:rsid w:val="057C552B"/>
    <w:rsid w:val="05852631"/>
    <w:rsid w:val="05882E65"/>
    <w:rsid w:val="05883ED0"/>
    <w:rsid w:val="058F1702"/>
    <w:rsid w:val="05952A19"/>
    <w:rsid w:val="059705B7"/>
    <w:rsid w:val="0597569C"/>
    <w:rsid w:val="0598566E"/>
    <w:rsid w:val="059960DD"/>
    <w:rsid w:val="05AA2098"/>
    <w:rsid w:val="05AC4062"/>
    <w:rsid w:val="05B13426"/>
    <w:rsid w:val="05B60A3D"/>
    <w:rsid w:val="05BE1FE7"/>
    <w:rsid w:val="05C869C2"/>
    <w:rsid w:val="05CC0260"/>
    <w:rsid w:val="05CF5FA2"/>
    <w:rsid w:val="05D62E8D"/>
    <w:rsid w:val="05E01F5E"/>
    <w:rsid w:val="05E502F9"/>
    <w:rsid w:val="05F62DFC"/>
    <w:rsid w:val="05FB4360"/>
    <w:rsid w:val="05FB57F0"/>
    <w:rsid w:val="05FD2B10"/>
    <w:rsid w:val="05FE4192"/>
    <w:rsid w:val="060A6FDB"/>
    <w:rsid w:val="061340E1"/>
    <w:rsid w:val="0619721E"/>
    <w:rsid w:val="0627337D"/>
    <w:rsid w:val="06293905"/>
    <w:rsid w:val="062C51A3"/>
    <w:rsid w:val="063522A9"/>
    <w:rsid w:val="0639341C"/>
    <w:rsid w:val="064047AA"/>
    <w:rsid w:val="06445BAE"/>
    <w:rsid w:val="064918B1"/>
    <w:rsid w:val="064E5119"/>
    <w:rsid w:val="06514C09"/>
    <w:rsid w:val="065169B7"/>
    <w:rsid w:val="065A3ABE"/>
    <w:rsid w:val="065B5A88"/>
    <w:rsid w:val="065C34DF"/>
    <w:rsid w:val="066C1A43"/>
    <w:rsid w:val="066C559F"/>
    <w:rsid w:val="066E2BD5"/>
    <w:rsid w:val="066E30C6"/>
    <w:rsid w:val="06781795"/>
    <w:rsid w:val="067B3A34"/>
    <w:rsid w:val="067B57E2"/>
    <w:rsid w:val="067D59FE"/>
    <w:rsid w:val="067E55C8"/>
    <w:rsid w:val="068060F9"/>
    <w:rsid w:val="06936C25"/>
    <w:rsid w:val="06A25465"/>
    <w:rsid w:val="06AD3F50"/>
    <w:rsid w:val="06B22C2C"/>
    <w:rsid w:val="06B244F7"/>
    <w:rsid w:val="06B64A6C"/>
    <w:rsid w:val="06B807E5"/>
    <w:rsid w:val="06D01FD2"/>
    <w:rsid w:val="06D25D4A"/>
    <w:rsid w:val="06D33870"/>
    <w:rsid w:val="06D53145"/>
    <w:rsid w:val="06D7510F"/>
    <w:rsid w:val="06DA075B"/>
    <w:rsid w:val="06DB44D3"/>
    <w:rsid w:val="06E11AE9"/>
    <w:rsid w:val="06E635A4"/>
    <w:rsid w:val="06E67100"/>
    <w:rsid w:val="06EB44E8"/>
    <w:rsid w:val="06FA704F"/>
    <w:rsid w:val="06FA74CE"/>
    <w:rsid w:val="06FC68A6"/>
    <w:rsid w:val="07027CB2"/>
    <w:rsid w:val="070B300A"/>
    <w:rsid w:val="070B795F"/>
    <w:rsid w:val="070D0B30"/>
    <w:rsid w:val="07155C37"/>
    <w:rsid w:val="071719AF"/>
    <w:rsid w:val="071E0F8F"/>
    <w:rsid w:val="072773CD"/>
    <w:rsid w:val="072D4D2F"/>
    <w:rsid w:val="07372051"/>
    <w:rsid w:val="07375BAD"/>
    <w:rsid w:val="073A38EF"/>
    <w:rsid w:val="07430B53"/>
    <w:rsid w:val="07465DF0"/>
    <w:rsid w:val="0746729D"/>
    <w:rsid w:val="07481B68"/>
    <w:rsid w:val="0749768F"/>
    <w:rsid w:val="074B1659"/>
    <w:rsid w:val="074D3623"/>
    <w:rsid w:val="07520C39"/>
    <w:rsid w:val="07527B34"/>
    <w:rsid w:val="07577701"/>
    <w:rsid w:val="07625A8B"/>
    <w:rsid w:val="07697D31"/>
    <w:rsid w:val="07702E6D"/>
    <w:rsid w:val="07707311"/>
    <w:rsid w:val="077B0190"/>
    <w:rsid w:val="07807554"/>
    <w:rsid w:val="0781151E"/>
    <w:rsid w:val="078D7EC3"/>
    <w:rsid w:val="078F59E9"/>
    <w:rsid w:val="07943000"/>
    <w:rsid w:val="07972AF0"/>
    <w:rsid w:val="07A62D33"/>
    <w:rsid w:val="07BC2556"/>
    <w:rsid w:val="07BE62CF"/>
    <w:rsid w:val="07BF7EB9"/>
    <w:rsid w:val="07C338E5"/>
    <w:rsid w:val="07C5765D"/>
    <w:rsid w:val="07CE59DC"/>
    <w:rsid w:val="07D478A0"/>
    <w:rsid w:val="07E04497"/>
    <w:rsid w:val="07ED2710"/>
    <w:rsid w:val="07F32CC2"/>
    <w:rsid w:val="07F41CF0"/>
    <w:rsid w:val="07FE2B6F"/>
    <w:rsid w:val="07FE66CB"/>
    <w:rsid w:val="08000695"/>
    <w:rsid w:val="080212A0"/>
    <w:rsid w:val="080A5070"/>
    <w:rsid w:val="080D2DB2"/>
    <w:rsid w:val="080F2686"/>
    <w:rsid w:val="080F6B2A"/>
    <w:rsid w:val="08144141"/>
    <w:rsid w:val="081952B3"/>
    <w:rsid w:val="082223BA"/>
    <w:rsid w:val="082A5712"/>
    <w:rsid w:val="08324937"/>
    <w:rsid w:val="08396A33"/>
    <w:rsid w:val="083D3697"/>
    <w:rsid w:val="084360D4"/>
    <w:rsid w:val="08470072"/>
    <w:rsid w:val="084C38DA"/>
    <w:rsid w:val="0858227F"/>
    <w:rsid w:val="086724C2"/>
    <w:rsid w:val="086A1FB2"/>
    <w:rsid w:val="086C7AD9"/>
    <w:rsid w:val="08703A9D"/>
    <w:rsid w:val="08730E67"/>
    <w:rsid w:val="08762705"/>
    <w:rsid w:val="087A0447"/>
    <w:rsid w:val="087D5842"/>
    <w:rsid w:val="08803584"/>
    <w:rsid w:val="08886701"/>
    <w:rsid w:val="088C3CD7"/>
    <w:rsid w:val="089112ED"/>
    <w:rsid w:val="08986B20"/>
    <w:rsid w:val="089A4646"/>
    <w:rsid w:val="08A53712"/>
    <w:rsid w:val="08AE00F1"/>
    <w:rsid w:val="08B66FA6"/>
    <w:rsid w:val="08C72F61"/>
    <w:rsid w:val="08C96CD9"/>
    <w:rsid w:val="08E92ED7"/>
    <w:rsid w:val="08EC29C7"/>
    <w:rsid w:val="08F0070A"/>
    <w:rsid w:val="08F54FFF"/>
    <w:rsid w:val="08FA1588"/>
    <w:rsid w:val="09046EC8"/>
    <w:rsid w:val="090E6DE2"/>
    <w:rsid w:val="0911242E"/>
    <w:rsid w:val="09151F1E"/>
    <w:rsid w:val="09173EE8"/>
    <w:rsid w:val="091A12E3"/>
    <w:rsid w:val="092124B7"/>
    <w:rsid w:val="09292D87"/>
    <w:rsid w:val="092E7050"/>
    <w:rsid w:val="0933384F"/>
    <w:rsid w:val="093A28C5"/>
    <w:rsid w:val="093C394F"/>
    <w:rsid w:val="093C74AB"/>
    <w:rsid w:val="093F51ED"/>
    <w:rsid w:val="09453417"/>
    <w:rsid w:val="0946657C"/>
    <w:rsid w:val="094E3682"/>
    <w:rsid w:val="09554A11"/>
    <w:rsid w:val="0958005D"/>
    <w:rsid w:val="09593AC9"/>
    <w:rsid w:val="0959767C"/>
    <w:rsid w:val="095A3DD5"/>
    <w:rsid w:val="095C5D9F"/>
    <w:rsid w:val="09622C8A"/>
    <w:rsid w:val="09644C54"/>
    <w:rsid w:val="096B7D90"/>
    <w:rsid w:val="096E3275"/>
    <w:rsid w:val="097E5D15"/>
    <w:rsid w:val="0992356F"/>
    <w:rsid w:val="099A0675"/>
    <w:rsid w:val="09A11A04"/>
    <w:rsid w:val="09AB25F1"/>
    <w:rsid w:val="09B715F0"/>
    <w:rsid w:val="09B74D83"/>
    <w:rsid w:val="09C3288D"/>
    <w:rsid w:val="09C94AB7"/>
    <w:rsid w:val="09CD0A4B"/>
    <w:rsid w:val="09D678FF"/>
    <w:rsid w:val="09D9119E"/>
    <w:rsid w:val="09DB4F16"/>
    <w:rsid w:val="09DC0C8E"/>
    <w:rsid w:val="09DE4A06"/>
    <w:rsid w:val="09DE67B4"/>
    <w:rsid w:val="09EA33AB"/>
    <w:rsid w:val="09F2400E"/>
    <w:rsid w:val="09FC30DE"/>
    <w:rsid w:val="09FE29B2"/>
    <w:rsid w:val="0A0944BF"/>
    <w:rsid w:val="0A0F696E"/>
    <w:rsid w:val="0A1977EC"/>
    <w:rsid w:val="0A1C03E0"/>
    <w:rsid w:val="0A2368BD"/>
    <w:rsid w:val="0A2543E3"/>
    <w:rsid w:val="0A261F09"/>
    <w:rsid w:val="0A2649D7"/>
    <w:rsid w:val="0A2A7C4B"/>
    <w:rsid w:val="0A2D4C39"/>
    <w:rsid w:val="0A4F274E"/>
    <w:rsid w:val="0A530F50"/>
    <w:rsid w:val="0A586566"/>
    <w:rsid w:val="0A5F5B47"/>
    <w:rsid w:val="0A6749FB"/>
    <w:rsid w:val="0A6842D0"/>
    <w:rsid w:val="0A690774"/>
    <w:rsid w:val="0A79028B"/>
    <w:rsid w:val="0A7D1BC1"/>
    <w:rsid w:val="0A805ABD"/>
    <w:rsid w:val="0A9445F9"/>
    <w:rsid w:val="0AA415AE"/>
    <w:rsid w:val="0AAC68B2"/>
    <w:rsid w:val="0AB10574"/>
    <w:rsid w:val="0AB1211B"/>
    <w:rsid w:val="0AB37C41"/>
    <w:rsid w:val="0AB539B9"/>
    <w:rsid w:val="0AB6328D"/>
    <w:rsid w:val="0AC5243E"/>
    <w:rsid w:val="0AC65DCC"/>
    <w:rsid w:val="0ACC2AB1"/>
    <w:rsid w:val="0ACC485F"/>
    <w:rsid w:val="0ACF434F"/>
    <w:rsid w:val="0AD025A1"/>
    <w:rsid w:val="0AD33E3F"/>
    <w:rsid w:val="0AE147AE"/>
    <w:rsid w:val="0AE71698"/>
    <w:rsid w:val="0AEC4F01"/>
    <w:rsid w:val="0AF049F1"/>
    <w:rsid w:val="0AFD710E"/>
    <w:rsid w:val="0B065FC2"/>
    <w:rsid w:val="0B071D3B"/>
    <w:rsid w:val="0B097861"/>
    <w:rsid w:val="0B0E4E77"/>
    <w:rsid w:val="0B1E430F"/>
    <w:rsid w:val="0B224DC6"/>
    <w:rsid w:val="0B226B74"/>
    <w:rsid w:val="0B2B5A29"/>
    <w:rsid w:val="0B391FAA"/>
    <w:rsid w:val="0B3C7C36"/>
    <w:rsid w:val="0B3E5C71"/>
    <w:rsid w:val="0B3F7726"/>
    <w:rsid w:val="0B460AB5"/>
    <w:rsid w:val="0B472137"/>
    <w:rsid w:val="0B494101"/>
    <w:rsid w:val="0B4E34C6"/>
    <w:rsid w:val="0B505490"/>
    <w:rsid w:val="0B524301"/>
    <w:rsid w:val="0B574A70"/>
    <w:rsid w:val="0B6158EF"/>
    <w:rsid w:val="0B697506"/>
    <w:rsid w:val="0B6E5C7D"/>
    <w:rsid w:val="0B732F2C"/>
    <w:rsid w:val="0B745622"/>
    <w:rsid w:val="0B770C6E"/>
    <w:rsid w:val="0B7D1FFD"/>
    <w:rsid w:val="0B7F5185"/>
    <w:rsid w:val="0B882E7B"/>
    <w:rsid w:val="0B8C3FEE"/>
    <w:rsid w:val="0BA23811"/>
    <w:rsid w:val="0BA852CC"/>
    <w:rsid w:val="0BB023D2"/>
    <w:rsid w:val="0BB377CC"/>
    <w:rsid w:val="0BC47C2C"/>
    <w:rsid w:val="0BD62EBC"/>
    <w:rsid w:val="0BDB744F"/>
    <w:rsid w:val="0BDE2A9B"/>
    <w:rsid w:val="0BE1433A"/>
    <w:rsid w:val="0BE34556"/>
    <w:rsid w:val="0BE501FB"/>
    <w:rsid w:val="0BE86D4C"/>
    <w:rsid w:val="0BF125FA"/>
    <w:rsid w:val="0BF26547"/>
    <w:rsid w:val="0BF56037"/>
    <w:rsid w:val="0BF7590B"/>
    <w:rsid w:val="0C0100DB"/>
    <w:rsid w:val="0C0566BB"/>
    <w:rsid w:val="0C061FF2"/>
    <w:rsid w:val="0C112E71"/>
    <w:rsid w:val="0C142961"/>
    <w:rsid w:val="0C193AD3"/>
    <w:rsid w:val="0C2506CA"/>
    <w:rsid w:val="0C2A5CE1"/>
    <w:rsid w:val="0C322DE7"/>
    <w:rsid w:val="0C346B5F"/>
    <w:rsid w:val="0C3C4113"/>
    <w:rsid w:val="0C3C77C2"/>
    <w:rsid w:val="0C3E79DE"/>
    <w:rsid w:val="0C594818"/>
    <w:rsid w:val="0C6165C1"/>
    <w:rsid w:val="0C656D19"/>
    <w:rsid w:val="0C6C454B"/>
    <w:rsid w:val="0C6E02C3"/>
    <w:rsid w:val="0C707EB4"/>
    <w:rsid w:val="0C721436"/>
    <w:rsid w:val="0C7358DA"/>
    <w:rsid w:val="0C776A4C"/>
    <w:rsid w:val="0C801DA5"/>
    <w:rsid w:val="0C840A07"/>
    <w:rsid w:val="0C875FA1"/>
    <w:rsid w:val="0C8D7E13"/>
    <w:rsid w:val="0C8F1FE8"/>
    <w:rsid w:val="0C985340"/>
    <w:rsid w:val="0C9C41E2"/>
    <w:rsid w:val="0C9E222B"/>
    <w:rsid w:val="0C9F0527"/>
    <w:rsid w:val="0CA21D1B"/>
    <w:rsid w:val="0CA41DB2"/>
    <w:rsid w:val="0CAB2CD2"/>
    <w:rsid w:val="0CAD246E"/>
    <w:rsid w:val="0CB101B0"/>
    <w:rsid w:val="0CB97065"/>
    <w:rsid w:val="0CBD0903"/>
    <w:rsid w:val="0CBE0F14"/>
    <w:rsid w:val="0CC25F19"/>
    <w:rsid w:val="0CC6103B"/>
    <w:rsid w:val="0CCD48BE"/>
    <w:rsid w:val="0CD43E9E"/>
    <w:rsid w:val="0CD65E68"/>
    <w:rsid w:val="0CD914B5"/>
    <w:rsid w:val="0CDD71F7"/>
    <w:rsid w:val="0CE20369"/>
    <w:rsid w:val="0CEA36C2"/>
    <w:rsid w:val="0CEC743A"/>
    <w:rsid w:val="0CF4009D"/>
    <w:rsid w:val="0CFF2BF2"/>
    <w:rsid w:val="0D002EE5"/>
    <w:rsid w:val="0D0C53E6"/>
    <w:rsid w:val="0D15073F"/>
    <w:rsid w:val="0D197B03"/>
    <w:rsid w:val="0D1A5D55"/>
    <w:rsid w:val="0D1F511A"/>
    <w:rsid w:val="0D200E92"/>
    <w:rsid w:val="0D2210AE"/>
    <w:rsid w:val="0D2766C4"/>
    <w:rsid w:val="0D2A1D10"/>
    <w:rsid w:val="0D2A356E"/>
    <w:rsid w:val="0D2C7836"/>
    <w:rsid w:val="0D2D3F6A"/>
    <w:rsid w:val="0D2E7A52"/>
    <w:rsid w:val="0D391CD3"/>
    <w:rsid w:val="0D4267D1"/>
    <w:rsid w:val="0D4508F8"/>
    <w:rsid w:val="0D464D9C"/>
    <w:rsid w:val="0D4903E8"/>
    <w:rsid w:val="0D49663A"/>
    <w:rsid w:val="0D63594E"/>
    <w:rsid w:val="0D660F9A"/>
    <w:rsid w:val="0D676AC1"/>
    <w:rsid w:val="0D690A8B"/>
    <w:rsid w:val="0D693C91"/>
    <w:rsid w:val="0D741E33"/>
    <w:rsid w:val="0D764307"/>
    <w:rsid w:val="0D7A2C98"/>
    <w:rsid w:val="0D7D0092"/>
    <w:rsid w:val="0D7D62E4"/>
    <w:rsid w:val="0D837D9E"/>
    <w:rsid w:val="0D861ABE"/>
    <w:rsid w:val="0D8D4779"/>
    <w:rsid w:val="0D933D59"/>
    <w:rsid w:val="0D9A6E96"/>
    <w:rsid w:val="0D9C49BC"/>
    <w:rsid w:val="0DA41AC3"/>
    <w:rsid w:val="0DAD4E1B"/>
    <w:rsid w:val="0DBA7538"/>
    <w:rsid w:val="0DBF29A3"/>
    <w:rsid w:val="0DC363ED"/>
    <w:rsid w:val="0DC7755F"/>
    <w:rsid w:val="0DCB34F3"/>
    <w:rsid w:val="0DD423A8"/>
    <w:rsid w:val="0DE007BB"/>
    <w:rsid w:val="0DE325EB"/>
    <w:rsid w:val="0DF227A4"/>
    <w:rsid w:val="0DF57954"/>
    <w:rsid w:val="0E026498"/>
    <w:rsid w:val="0E0407B3"/>
    <w:rsid w:val="0E082052"/>
    <w:rsid w:val="0E177BD2"/>
    <w:rsid w:val="0E1A4F0A"/>
    <w:rsid w:val="0E2269C7"/>
    <w:rsid w:val="0E2624D8"/>
    <w:rsid w:val="0E323572"/>
    <w:rsid w:val="0E370B89"/>
    <w:rsid w:val="0E3819F0"/>
    <w:rsid w:val="0E415563"/>
    <w:rsid w:val="0E41629B"/>
    <w:rsid w:val="0E43533C"/>
    <w:rsid w:val="0E484B44"/>
    <w:rsid w:val="0E4A08BC"/>
    <w:rsid w:val="0E4B63E2"/>
    <w:rsid w:val="0E5057A5"/>
    <w:rsid w:val="0E5232CD"/>
    <w:rsid w:val="0E527771"/>
    <w:rsid w:val="0E5330BF"/>
    <w:rsid w:val="0E6454B7"/>
    <w:rsid w:val="0E745939"/>
    <w:rsid w:val="0E752C35"/>
    <w:rsid w:val="0E765BFF"/>
    <w:rsid w:val="0E803068"/>
    <w:rsid w:val="0E8207A2"/>
    <w:rsid w:val="0E8C6945"/>
    <w:rsid w:val="0E8F45F1"/>
    <w:rsid w:val="0E96765D"/>
    <w:rsid w:val="0E981627"/>
    <w:rsid w:val="0E9E6512"/>
    <w:rsid w:val="0EA004DC"/>
    <w:rsid w:val="0EAD12BB"/>
    <w:rsid w:val="0EAE0E4B"/>
    <w:rsid w:val="0EB126E9"/>
    <w:rsid w:val="0EB43F87"/>
    <w:rsid w:val="0EC04E6D"/>
    <w:rsid w:val="0EC20452"/>
    <w:rsid w:val="0EC8744E"/>
    <w:rsid w:val="0ECD6FA8"/>
    <w:rsid w:val="0ED308B1"/>
    <w:rsid w:val="0ED963DB"/>
    <w:rsid w:val="0EDA072B"/>
    <w:rsid w:val="0EE553EB"/>
    <w:rsid w:val="0EE74063"/>
    <w:rsid w:val="0EE7435D"/>
    <w:rsid w:val="0EEE7499"/>
    <w:rsid w:val="0EF33EB0"/>
    <w:rsid w:val="0EF97BEC"/>
    <w:rsid w:val="0F040262"/>
    <w:rsid w:val="0F0772F5"/>
    <w:rsid w:val="0F0A1DF9"/>
    <w:rsid w:val="0F0E7B3C"/>
    <w:rsid w:val="0F182768"/>
    <w:rsid w:val="0F1E4B7A"/>
    <w:rsid w:val="0F1E7653"/>
    <w:rsid w:val="0F206065"/>
    <w:rsid w:val="0F2F1860"/>
    <w:rsid w:val="0F2F360E"/>
    <w:rsid w:val="0F31382A"/>
    <w:rsid w:val="0F340C24"/>
    <w:rsid w:val="0F362BEE"/>
    <w:rsid w:val="0F384BB8"/>
    <w:rsid w:val="0F3B6457"/>
    <w:rsid w:val="0F3F7CF5"/>
    <w:rsid w:val="0F411878"/>
    <w:rsid w:val="0F492922"/>
    <w:rsid w:val="0F4A3FC2"/>
    <w:rsid w:val="0F4E618A"/>
    <w:rsid w:val="0F503CB0"/>
    <w:rsid w:val="0F5512C6"/>
    <w:rsid w:val="0F56503F"/>
    <w:rsid w:val="0F650CCB"/>
    <w:rsid w:val="0F657D11"/>
    <w:rsid w:val="0F711651"/>
    <w:rsid w:val="0F83787F"/>
    <w:rsid w:val="0F871C1B"/>
    <w:rsid w:val="0F890F70"/>
    <w:rsid w:val="0F957915"/>
    <w:rsid w:val="0F9A13CF"/>
    <w:rsid w:val="0F9C6EF5"/>
    <w:rsid w:val="0F9D0EBF"/>
    <w:rsid w:val="0FA1450C"/>
    <w:rsid w:val="0FA7589A"/>
    <w:rsid w:val="0FB81855"/>
    <w:rsid w:val="0FB97365"/>
    <w:rsid w:val="0FBA55CD"/>
    <w:rsid w:val="0FC70C1C"/>
    <w:rsid w:val="0FD0094D"/>
    <w:rsid w:val="0FE16FFE"/>
    <w:rsid w:val="0FEB1C2B"/>
    <w:rsid w:val="0FEB5787"/>
    <w:rsid w:val="0FEF1309"/>
    <w:rsid w:val="0FFC1742"/>
    <w:rsid w:val="0FFE370C"/>
    <w:rsid w:val="100448CE"/>
    <w:rsid w:val="10044A9B"/>
    <w:rsid w:val="10075C2B"/>
    <w:rsid w:val="100E1475"/>
    <w:rsid w:val="10132AE3"/>
    <w:rsid w:val="10134CDE"/>
    <w:rsid w:val="10167D23"/>
    <w:rsid w:val="10280789"/>
    <w:rsid w:val="10291224"/>
    <w:rsid w:val="10294501"/>
    <w:rsid w:val="102E38C6"/>
    <w:rsid w:val="10321608"/>
    <w:rsid w:val="103709CC"/>
    <w:rsid w:val="103E68D3"/>
    <w:rsid w:val="104A4BA3"/>
    <w:rsid w:val="104D01F0"/>
    <w:rsid w:val="10501A8E"/>
    <w:rsid w:val="10515BB4"/>
    <w:rsid w:val="105552F6"/>
    <w:rsid w:val="105C0433"/>
    <w:rsid w:val="105D6B67"/>
    <w:rsid w:val="106A0A5A"/>
    <w:rsid w:val="106D2640"/>
    <w:rsid w:val="106F0166"/>
    <w:rsid w:val="10725EA8"/>
    <w:rsid w:val="10741C20"/>
    <w:rsid w:val="10802373"/>
    <w:rsid w:val="1081433D"/>
    <w:rsid w:val="10863702"/>
    <w:rsid w:val="108A31F2"/>
    <w:rsid w:val="108C4B27"/>
    <w:rsid w:val="108D526D"/>
    <w:rsid w:val="10935FD6"/>
    <w:rsid w:val="109E6C9D"/>
    <w:rsid w:val="10B464C1"/>
    <w:rsid w:val="10B71B0D"/>
    <w:rsid w:val="10BF78A7"/>
    <w:rsid w:val="10C05957"/>
    <w:rsid w:val="10CB7366"/>
    <w:rsid w:val="10D0497D"/>
    <w:rsid w:val="10DC1574"/>
    <w:rsid w:val="10DE709A"/>
    <w:rsid w:val="10EC4950"/>
    <w:rsid w:val="10ED3781"/>
    <w:rsid w:val="10EE19D3"/>
    <w:rsid w:val="10F14A8A"/>
    <w:rsid w:val="10F66AD9"/>
    <w:rsid w:val="10FE773C"/>
    <w:rsid w:val="11003C8B"/>
    <w:rsid w:val="1102547E"/>
    <w:rsid w:val="11056D1C"/>
    <w:rsid w:val="110814DB"/>
    <w:rsid w:val="1109680C"/>
    <w:rsid w:val="110A60E1"/>
    <w:rsid w:val="110A7E8F"/>
    <w:rsid w:val="111331E7"/>
    <w:rsid w:val="111D7BC2"/>
    <w:rsid w:val="1122342A"/>
    <w:rsid w:val="11252F1A"/>
    <w:rsid w:val="112A0531"/>
    <w:rsid w:val="112C24FB"/>
    <w:rsid w:val="11301FEB"/>
    <w:rsid w:val="11360C84"/>
    <w:rsid w:val="114179CE"/>
    <w:rsid w:val="114E06C3"/>
    <w:rsid w:val="114F1D45"/>
    <w:rsid w:val="11535CDA"/>
    <w:rsid w:val="11627AC5"/>
    <w:rsid w:val="116745AC"/>
    <w:rsid w:val="11875983"/>
    <w:rsid w:val="118E6D12"/>
    <w:rsid w:val="11904838"/>
    <w:rsid w:val="119062A1"/>
    <w:rsid w:val="11991213"/>
    <w:rsid w:val="11A03D7D"/>
    <w:rsid w:val="11A402E3"/>
    <w:rsid w:val="11AE1162"/>
    <w:rsid w:val="11B76268"/>
    <w:rsid w:val="11BA2838"/>
    <w:rsid w:val="11BA718A"/>
    <w:rsid w:val="11C0728D"/>
    <w:rsid w:val="11C12C43"/>
    <w:rsid w:val="11C24C0D"/>
    <w:rsid w:val="11CA3BB3"/>
    <w:rsid w:val="11CB1B3C"/>
    <w:rsid w:val="11CC3A42"/>
    <w:rsid w:val="11DA5AB3"/>
    <w:rsid w:val="11DD1A47"/>
    <w:rsid w:val="11DF756D"/>
    <w:rsid w:val="11E132E5"/>
    <w:rsid w:val="11E15093"/>
    <w:rsid w:val="11E60706"/>
    <w:rsid w:val="11E83263"/>
    <w:rsid w:val="11EB5F12"/>
    <w:rsid w:val="11F1104F"/>
    <w:rsid w:val="11F12DFD"/>
    <w:rsid w:val="11FB377D"/>
    <w:rsid w:val="12011292"/>
    <w:rsid w:val="12136957"/>
    <w:rsid w:val="12176D07"/>
    <w:rsid w:val="12260CF8"/>
    <w:rsid w:val="122D652B"/>
    <w:rsid w:val="12331667"/>
    <w:rsid w:val="12372F05"/>
    <w:rsid w:val="123C051C"/>
    <w:rsid w:val="124B075F"/>
    <w:rsid w:val="124F64A1"/>
    <w:rsid w:val="12525F91"/>
    <w:rsid w:val="12541D09"/>
    <w:rsid w:val="125B727E"/>
    <w:rsid w:val="12633CFA"/>
    <w:rsid w:val="12696E37"/>
    <w:rsid w:val="126A32DB"/>
    <w:rsid w:val="12731667"/>
    <w:rsid w:val="127557DC"/>
    <w:rsid w:val="1276256E"/>
    <w:rsid w:val="127F665A"/>
    <w:rsid w:val="12816DCD"/>
    <w:rsid w:val="12843C71"/>
    <w:rsid w:val="128D0D77"/>
    <w:rsid w:val="12926380"/>
    <w:rsid w:val="12940358"/>
    <w:rsid w:val="12942106"/>
    <w:rsid w:val="129739A4"/>
    <w:rsid w:val="129C545E"/>
    <w:rsid w:val="12B02CB8"/>
    <w:rsid w:val="12B04A66"/>
    <w:rsid w:val="12B66520"/>
    <w:rsid w:val="12B72298"/>
    <w:rsid w:val="12B96010"/>
    <w:rsid w:val="12C10A21"/>
    <w:rsid w:val="12C16C73"/>
    <w:rsid w:val="12C86253"/>
    <w:rsid w:val="12CA3D79"/>
    <w:rsid w:val="12D03524"/>
    <w:rsid w:val="12D365AD"/>
    <w:rsid w:val="12D60970"/>
    <w:rsid w:val="12E0534B"/>
    <w:rsid w:val="12E323BA"/>
    <w:rsid w:val="12F57DC2"/>
    <w:rsid w:val="12F64B6E"/>
    <w:rsid w:val="12FE1C75"/>
    <w:rsid w:val="12FE7EC7"/>
    <w:rsid w:val="130354DD"/>
    <w:rsid w:val="13144FF5"/>
    <w:rsid w:val="1324792E"/>
    <w:rsid w:val="13250FB0"/>
    <w:rsid w:val="132A2A6A"/>
    <w:rsid w:val="132C233E"/>
    <w:rsid w:val="13307FAC"/>
    <w:rsid w:val="13347445"/>
    <w:rsid w:val="13392CAD"/>
    <w:rsid w:val="133F0A67"/>
    <w:rsid w:val="134202F2"/>
    <w:rsid w:val="13427DB4"/>
    <w:rsid w:val="13482EF0"/>
    <w:rsid w:val="135172E5"/>
    <w:rsid w:val="136441CE"/>
    <w:rsid w:val="13653AA2"/>
    <w:rsid w:val="1366588B"/>
    <w:rsid w:val="136A2E67"/>
    <w:rsid w:val="13715932"/>
    <w:rsid w:val="13763F01"/>
    <w:rsid w:val="1379754E"/>
    <w:rsid w:val="137D2B9A"/>
    <w:rsid w:val="13871C9B"/>
    <w:rsid w:val="138F5995"/>
    <w:rsid w:val="13916645"/>
    <w:rsid w:val="139B3968"/>
    <w:rsid w:val="139B74C4"/>
    <w:rsid w:val="13A10F7E"/>
    <w:rsid w:val="13AB678F"/>
    <w:rsid w:val="13B10A95"/>
    <w:rsid w:val="13B3571D"/>
    <w:rsid w:val="13B660AC"/>
    <w:rsid w:val="13BB1CA4"/>
    <w:rsid w:val="13C46A1B"/>
    <w:rsid w:val="13CA1B57"/>
    <w:rsid w:val="13CB7DA9"/>
    <w:rsid w:val="13CC1D73"/>
    <w:rsid w:val="13D12EE6"/>
    <w:rsid w:val="13D824C6"/>
    <w:rsid w:val="13DA7FEC"/>
    <w:rsid w:val="13DD188A"/>
    <w:rsid w:val="13E250F3"/>
    <w:rsid w:val="13F310AE"/>
    <w:rsid w:val="13FA41EA"/>
    <w:rsid w:val="13FD1F2D"/>
    <w:rsid w:val="14005579"/>
    <w:rsid w:val="140317FD"/>
    <w:rsid w:val="140432BB"/>
    <w:rsid w:val="14103A0E"/>
    <w:rsid w:val="14123C2A"/>
    <w:rsid w:val="141352AC"/>
    <w:rsid w:val="14166EAE"/>
    <w:rsid w:val="141A663B"/>
    <w:rsid w:val="141F6347"/>
    <w:rsid w:val="14215C1B"/>
    <w:rsid w:val="14221993"/>
    <w:rsid w:val="14290F74"/>
    <w:rsid w:val="14292D22"/>
    <w:rsid w:val="142F2398"/>
    <w:rsid w:val="14353475"/>
    <w:rsid w:val="143C4803"/>
    <w:rsid w:val="143F60A1"/>
    <w:rsid w:val="144274A8"/>
    <w:rsid w:val="144B2C98"/>
    <w:rsid w:val="144B713C"/>
    <w:rsid w:val="145002AE"/>
    <w:rsid w:val="14504752"/>
    <w:rsid w:val="145306D0"/>
    <w:rsid w:val="145F04F1"/>
    <w:rsid w:val="145F4995"/>
    <w:rsid w:val="145F6743"/>
    <w:rsid w:val="14634486"/>
    <w:rsid w:val="146520C8"/>
    <w:rsid w:val="146B50E8"/>
    <w:rsid w:val="147541B9"/>
    <w:rsid w:val="147815B3"/>
    <w:rsid w:val="148461AA"/>
    <w:rsid w:val="14863CD0"/>
    <w:rsid w:val="148D1784"/>
    <w:rsid w:val="148D32B1"/>
    <w:rsid w:val="14926B19"/>
    <w:rsid w:val="1494463F"/>
    <w:rsid w:val="149C7998"/>
    <w:rsid w:val="149D585A"/>
    <w:rsid w:val="14AD5701"/>
    <w:rsid w:val="14B940A6"/>
    <w:rsid w:val="14BC1DE8"/>
    <w:rsid w:val="14BC5944"/>
    <w:rsid w:val="14C30BC2"/>
    <w:rsid w:val="14CF5677"/>
    <w:rsid w:val="14DE58BA"/>
    <w:rsid w:val="14E40F0E"/>
    <w:rsid w:val="14E44A3D"/>
    <w:rsid w:val="14F450DE"/>
    <w:rsid w:val="14FE7D0A"/>
    <w:rsid w:val="15035321"/>
    <w:rsid w:val="15075A95"/>
    <w:rsid w:val="150D2643"/>
    <w:rsid w:val="150D619F"/>
    <w:rsid w:val="15113EE2"/>
    <w:rsid w:val="151439D2"/>
    <w:rsid w:val="151614F8"/>
    <w:rsid w:val="151A266A"/>
    <w:rsid w:val="151D132E"/>
    <w:rsid w:val="152139F9"/>
    <w:rsid w:val="1525173B"/>
    <w:rsid w:val="152534E9"/>
    <w:rsid w:val="15325C06"/>
    <w:rsid w:val="15396B46"/>
    <w:rsid w:val="153A72FD"/>
    <w:rsid w:val="15400323"/>
    <w:rsid w:val="15434C85"/>
    <w:rsid w:val="15437E13"/>
    <w:rsid w:val="15560331"/>
    <w:rsid w:val="155E2E9F"/>
    <w:rsid w:val="156758B0"/>
    <w:rsid w:val="15793835"/>
    <w:rsid w:val="157A60D7"/>
    <w:rsid w:val="157D1577"/>
    <w:rsid w:val="15826B8D"/>
    <w:rsid w:val="158F4E06"/>
    <w:rsid w:val="15A20FDE"/>
    <w:rsid w:val="15A31844"/>
    <w:rsid w:val="15B12FCF"/>
    <w:rsid w:val="15BB3E4D"/>
    <w:rsid w:val="15C01464"/>
    <w:rsid w:val="15C2342E"/>
    <w:rsid w:val="15CA22E2"/>
    <w:rsid w:val="15D45280"/>
    <w:rsid w:val="15D60C87"/>
    <w:rsid w:val="15E11B06"/>
    <w:rsid w:val="15EC4007"/>
    <w:rsid w:val="15F15AC1"/>
    <w:rsid w:val="15F55151"/>
    <w:rsid w:val="15FD6214"/>
    <w:rsid w:val="16013F56"/>
    <w:rsid w:val="1606331B"/>
    <w:rsid w:val="16090B6C"/>
    <w:rsid w:val="16161084"/>
    <w:rsid w:val="16184DFC"/>
    <w:rsid w:val="161A0B74"/>
    <w:rsid w:val="16257519"/>
    <w:rsid w:val="162E2871"/>
    <w:rsid w:val="16302145"/>
    <w:rsid w:val="16314110"/>
    <w:rsid w:val="1638724C"/>
    <w:rsid w:val="163A14E9"/>
    <w:rsid w:val="163B0AEA"/>
    <w:rsid w:val="163B4D4E"/>
    <w:rsid w:val="16442095"/>
    <w:rsid w:val="164976AB"/>
    <w:rsid w:val="164E6B6E"/>
    <w:rsid w:val="16565924"/>
    <w:rsid w:val="165C73DE"/>
    <w:rsid w:val="165F6ECF"/>
    <w:rsid w:val="166A3A8D"/>
    <w:rsid w:val="166B6F22"/>
    <w:rsid w:val="166C5148"/>
    <w:rsid w:val="167A7865"/>
    <w:rsid w:val="16816E45"/>
    <w:rsid w:val="168801D3"/>
    <w:rsid w:val="16897AA8"/>
    <w:rsid w:val="168B7CC4"/>
    <w:rsid w:val="169528F0"/>
    <w:rsid w:val="169B49E0"/>
    <w:rsid w:val="169C04E0"/>
    <w:rsid w:val="169D3553"/>
    <w:rsid w:val="16AD3796"/>
    <w:rsid w:val="16AD7C3A"/>
    <w:rsid w:val="16B40FC8"/>
    <w:rsid w:val="16B72867"/>
    <w:rsid w:val="16BC1C2B"/>
    <w:rsid w:val="16C3745D"/>
    <w:rsid w:val="16C805D0"/>
    <w:rsid w:val="16D50F3F"/>
    <w:rsid w:val="16DA0303"/>
    <w:rsid w:val="16E31AFE"/>
    <w:rsid w:val="16E3365C"/>
    <w:rsid w:val="16E41182"/>
    <w:rsid w:val="16F31217"/>
    <w:rsid w:val="16FD3E82"/>
    <w:rsid w:val="170A508C"/>
    <w:rsid w:val="170F26A3"/>
    <w:rsid w:val="17103D25"/>
    <w:rsid w:val="17182DCC"/>
    <w:rsid w:val="171C4DC0"/>
    <w:rsid w:val="171E6442"/>
    <w:rsid w:val="171F21BA"/>
    <w:rsid w:val="1720665E"/>
    <w:rsid w:val="17206E08"/>
    <w:rsid w:val="172577D0"/>
    <w:rsid w:val="172A128B"/>
    <w:rsid w:val="172C5003"/>
    <w:rsid w:val="172E1586"/>
    <w:rsid w:val="17365E81"/>
    <w:rsid w:val="1739327C"/>
    <w:rsid w:val="17463BEB"/>
    <w:rsid w:val="174F484D"/>
    <w:rsid w:val="17537982"/>
    <w:rsid w:val="1767428D"/>
    <w:rsid w:val="177B5642"/>
    <w:rsid w:val="177D585E"/>
    <w:rsid w:val="178F10EE"/>
    <w:rsid w:val="1791130A"/>
    <w:rsid w:val="17957219"/>
    <w:rsid w:val="179606CE"/>
    <w:rsid w:val="1796247C"/>
    <w:rsid w:val="17966920"/>
    <w:rsid w:val="179817C2"/>
    <w:rsid w:val="17A10E21"/>
    <w:rsid w:val="17AA5F28"/>
    <w:rsid w:val="17B2302E"/>
    <w:rsid w:val="17B40B54"/>
    <w:rsid w:val="17B44FF8"/>
    <w:rsid w:val="17B943BD"/>
    <w:rsid w:val="17B9616B"/>
    <w:rsid w:val="17BF0603"/>
    <w:rsid w:val="17C27715"/>
    <w:rsid w:val="17C74D2B"/>
    <w:rsid w:val="17CE0E41"/>
    <w:rsid w:val="17D17958"/>
    <w:rsid w:val="17D80CE7"/>
    <w:rsid w:val="17DD454F"/>
    <w:rsid w:val="17E53CE6"/>
    <w:rsid w:val="17F04B2D"/>
    <w:rsid w:val="17F32CD9"/>
    <w:rsid w:val="17F52ACE"/>
    <w:rsid w:val="17FE0021"/>
    <w:rsid w:val="18027B12"/>
    <w:rsid w:val="180C273E"/>
    <w:rsid w:val="18112A73"/>
    <w:rsid w:val="18147845"/>
    <w:rsid w:val="18153CE9"/>
    <w:rsid w:val="18155A97"/>
    <w:rsid w:val="18194E5B"/>
    <w:rsid w:val="1820314D"/>
    <w:rsid w:val="182932F0"/>
    <w:rsid w:val="182D23ED"/>
    <w:rsid w:val="18351C95"/>
    <w:rsid w:val="18381785"/>
    <w:rsid w:val="18390DB8"/>
    <w:rsid w:val="183A72AB"/>
    <w:rsid w:val="183C74C7"/>
    <w:rsid w:val="18443477"/>
    <w:rsid w:val="1844637C"/>
    <w:rsid w:val="18455C50"/>
    <w:rsid w:val="184C6FDF"/>
    <w:rsid w:val="185241E1"/>
    <w:rsid w:val="1853036D"/>
    <w:rsid w:val="18561C0B"/>
    <w:rsid w:val="185A7C04"/>
    <w:rsid w:val="186662F2"/>
    <w:rsid w:val="186802BC"/>
    <w:rsid w:val="186E164B"/>
    <w:rsid w:val="18700F1F"/>
    <w:rsid w:val="18754787"/>
    <w:rsid w:val="18756535"/>
    <w:rsid w:val="1876405C"/>
    <w:rsid w:val="18894A7D"/>
    <w:rsid w:val="18950986"/>
    <w:rsid w:val="18A706B9"/>
    <w:rsid w:val="18AE64DD"/>
    <w:rsid w:val="18B057C0"/>
    <w:rsid w:val="18B27E87"/>
    <w:rsid w:val="18B3705E"/>
    <w:rsid w:val="18BE7B4E"/>
    <w:rsid w:val="18C15C1F"/>
    <w:rsid w:val="18CB5892"/>
    <w:rsid w:val="18CD0120"/>
    <w:rsid w:val="18CD45C3"/>
    <w:rsid w:val="18D01E78"/>
    <w:rsid w:val="18D23988"/>
    <w:rsid w:val="18D47700"/>
    <w:rsid w:val="18D53478"/>
    <w:rsid w:val="18E216F1"/>
    <w:rsid w:val="18E25735"/>
    <w:rsid w:val="18E35B95"/>
    <w:rsid w:val="18E67104"/>
    <w:rsid w:val="18FA2EDF"/>
    <w:rsid w:val="18FE477D"/>
    <w:rsid w:val="18FF04F5"/>
    <w:rsid w:val="1901426D"/>
    <w:rsid w:val="190653E0"/>
    <w:rsid w:val="190F698A"/>
    <w:rsid w:val="19143FA0"/>
    <w:rsid w:val="19193365"/>
    <w:rsid w:val="19232435"/>
    <w:rsid w:val="19257F5C"/>
    <w:rsid w:val="192835A8"/>
    <w:rsid w:val="19287A4C"/>
    <w:rsid w:val="1932084C"/>
    <w:rsid w:val="19341F4D"/>
    <w:rsid w:val="19351A4B"/>
    <w:rsid w:val="194A1770"/>
    <w:rsid w:val="194D300E"/>
    <w:rsid w:val="19595958"/>
    <w:rsid w:val="19665C62"/>
    <w:rsid w:val="196C22BE"/>
    <w:rsid w:val="196D36B1"/>
    <w:rsid w:val="19744A3F"/>
    <w:rsid w:val="19764E80"/>
    <w:rsid w:val="19792055"/>
    <w:rsid w:val="198253AE"/>
    <w:rsid w:val="1990114D"/>
    <w:rsid w:val="199418B8"/>
    <w:rsid w:val="199B6470"/>
    <w:rsid w:val="199D21E8"/>
    <w:rsid w:val="19A2414E"/>
    <w:rsid w:val="19A40861"/>
    <w:rsid w:val="19B906A4"/>
    <w:rsid w:val="19BB08C0"/>
    <w:rsid w:val="19BD0194"/>
    <w:rsid w:val="19C41024"/>
    <w:rsid w:val="19CE7E6F"/>
    <w:rsid w:val="19DB686C"/>
    <w:rsid w:val="19E604F1"/>
    <w:rsid w:val="19F636A6"/>
    <w:rsid w:val="19FF69FF"/>
    <w:rsid w:val="1A134258"/>
    <w:rsid w:val="1A1B135F"/>
    <w:rsid w:val="1A1E479E"/>
    <w:rsid w:val="1A2A48C5"/>
    <w:rsid w:val="1A2D3714"/>
    <w:rsid w:val="1A3366A8"/>
    <w:rsid w:val="1A580283"/>
    <w:rsid w:val="1A5A1E87"/>
    <w:rsid w:val="1A5A3C35"/>
    <w:rsid w:val="1A6A7BF0"/>
    <w:rsid w:val="1A6C0770"/>
    <w:rsid w:val="1A6D14CF"/>
    <w:rsid w:val="1A710A98"/>
    <w:rsid w:val="1A732F49"/>
    <w:rsid w:val="1A73374A"/>
    <w:rsid w:val="1A7A4E8B"/>
    <w:rsid w:val="1A831567"/>
    <w:rsid w:val="1A850730"/>
    <w:rsid w:val="1A872550"/>
    <w:rsid w:val="1A8A3DEE"/>
    <w:rsid w:val="1A9058A9"/>
    <w:rsid w:val="1A911621"/>
    <w:rsid w:val="1A952EBF"/>
    <w:rsid w:val="1A9F3D3E"/>
    <w:rsid w:val="1AA94BBC"/>
    <w:rsid w:val="1AB221E6"/>
    <w:rsid w:val="1AB377E9"/>
    <w:rsid w:val="1AB570BD"/>
    <w:rsid w:val="1AB71087"/>
    <w:rsid w:val="1AC11F06"/>
    <w:rsid w:val="1AC27A2C"/>
    <w:rsid w:val="1AC5064D"/>
    <w:rsid w:val="1ACE017F"/>
    <w:rsid w:val="1AD02149"/>
    <w:rsid w:val="1AD03EF7"/>
    <w:rsid w:val="1AD27C6F"/>
    <w:rsid w:val="1ADA2FC8"/>
    <w:rsid w:val="1ADA4D76"/>
    <w:rsid w:val="1ADF238C"/>
    <w:rsid w:val="1ADF413A"/>
    <w:rsid w:val="1AE03EC5"/>
    <w:rsid w:val="1AE87493"/>
    <w:rsid w:val="1AE94FB9"/>
    <w:rsid w:val="1AEB6F83"/>
    <w:rsid w:val="1AF51BB0"/>
    <w:rsid w:val="1B027E29"/>
    <w:rsid w:val="1B0342CC"/>
    <w:rsid w:val="1B083691"/>
    <w:rsid w:val="1B1464DA"/>
    <w:rsid w:val="1B481CDF"/>
    <w:rsid w:val="1B5543FC"/>
    <w:rsid w:val="1B5C39DD"/>
    <w:rsid w:val="1B634D6B"/>
    <w:rsid w:val="1B650AE3"/>
    <w:rsid w:val="1B6F54BE"/>
    <w:rsid w:val="1B7E3953"/>
    <w:rsid w:val="1B9D24C1"/>
    <w:rsid w:val="1BA535D6"/>
    <w:rsid w:val="1BA64C58"/>
    <w:rsid w:val="1BB2184F"/>
    <w:rsid w:val="1BB235FD"/>
    <w:rsid w:val="1BB47375"/>
    <w:rsid w:val="1BB630ED"/>
    <w:rsid w:val="1BB90E2F"/>
    <w:rsid w:val="1BBB4BA7"/>
    <w:rsid w:val="1BC17CE4"/>
    <w:rsid w:val="1BC3580A"/>
    <w:rsid w:val="1BC96DE9"/>
    <w:rsid w:val="1BCF6672"/>
    <w:rsid w:val="1BE13EE2"/>
    <w:rsid w:val="1BE20386"/>
    <w:rsid w:val="1BE278A9"/>
    <w:rsid w:val="1BF65BDF"/>
    <w:rsid w:val="1BFD6F6E"/>
    <w:rsid w:val="1C0302FC"/>
    <w:rsid w:val="1C054074"/>
    <w:rsid w:val="1C3A1F70"/>
    <w:rsid w:val="1C3C3F21"/>
    <w:rsid w:val="1C3E3CD1"/>
    <w:rsid w:val="1C3F553A"/>
    <w:rsid w:val="1C4032FE"/>
    <w:rsid w:val="1C454471"/>
    <w:rsid w:val="1C4C1CA3"/>
    <w:rsid w:val="1C4F709D"/>
    <w:rsid w:val="1C542906"/>
    <w:rsid w:val="1C747071"/>
    <w:rsid w:val="1C7A236C"/>
    <w:rsid w:val="1C7E44E2"/>
    <w:rsid w:val="1C827473"/>
    <w:rsid w:val="1C856F63"/>
    <w:rsid w:val="1C897AF9"/>
    <w:rsid w:val="1C8F393E"/>
    <w:rsid w:val="1C9571A6"/>
    <w:rsid w:val="1C961170"/>
    <w:rsid w:val="1C9D24FF"/>
    <w:rsid w:val="1CA473E9"/>
    <w:rsid w:val="1CBB2985"/>
    <w:rsid w:val="1CBD66FD"/>
    <w:rsid w:val="1CBE4DE3"/>
    <w:rsid w:val="1CBF06C7"/>
    <w:rsid w:val="1CBF5FD1"/>
    <w:rsid w:val="1CC63804"/>
    <w:rsid w:val="1CC7757C"/>
    <w:rsid w:val="1CCA1B99"/>
    <w:rsid w:val="1CD203FA"/>
    <w:rsid w:val="1CD35F20"/>
    <w:rsid w:val="1CD3603A"/>
    <w:rsid w:val="1CD37CCF"/>
    <w:rsid w:val="1CD74DC5"/>
    <w:rsid w:val="1CDD2984"/>
    <w:rsid w:val="1CDD6D9F"/>
    <w:rsid w:val="1CDF48C5"/>
    <w:rsid w:val="1CE23DA1"/>
    <w:rsid w:val="1CE617B0"/>
    <w:rsid w:val="1CE65C54"/>
    <w:rsid w:val="1CED6FE2"/>
    <w:rsid w:val="1CF3211F"/>
    <w:rsid w:val="1CF32E9B"/>
    <w:rsid w:val="1CF33ECD"/>
    <w:rsid w:val="1CF540E9"/>
    <w:rsid w:val="1CF71C0F"/>
    <w:rsid w:val="1CFF7914"/>
    <w:rsid w:val="1D01483C"/>
    <w:rsid w:val="1D0165EA"/>
    <w:rsid w:val="1D0205B4"/>
    <w:rsid w:val="1D022362"/>
    <w:rsid w:val="1D083E1C"/>
    <w:rsid w:val="1D085BCA"/>
    <w:rsid w:val="1D152095"/>
    <w:rsid w:val="1D1530D7"/>
    <w:rsid w:val="1D19047B"/>
    <w:rsid w:val="1D216C8C"/>
    <w:rsid w:val="1D2D3883"/>
    <w:rsid w:val="1D2F75FB"/>
    <w:rsid w:val="1D323766"/>
    <w:rsid w:val="1D43117C"/>
    <w:rsid w:val="1D433D7B"/>
    <w:rsid w:val="1D4604A0"/>
    <w:rsid w:val="1D507571"/>
    <w:rsid w:val="1D556936"/>
    <w:rsid w:val="1D594678"/>
    <w:rsid w:val="1D5A3F4C"/>
    <w:rsid w:val="1D725739"/>
    <w:rsid w:val="1D772D50"/>
    <w:rsid w:val="1D7C3EC2"/>
    <w:rsid w:val="1D7E40DE"/>
    <w:rsid w:val="1D813BCE"/>
    <w:rsid w:val="1D8316F5"/>
    <w:rsid w:val="1D8D2573"/>
    <w:rsid w:val="1D921938"/>
    <w:rsid w:val="1D961949"/>
    <w:rsid w:val="1D9A07EC"/>
    <w:rsid w:val="1D9A1F83"/>
    <w:rsid w:val="1D9E2BD6"/>
    <w:rsid w:val="1DA376A1"/>
    <w:rsid w:val="1DAE6C53"/>
    <w:rsid w:val="1DB73D4C"/>
    <w:rsid w:val="1DBC69B5"/>
    <w:rsid w:val="1DC75A85"/>
    <w:rsid w:val="1DD2442A"/>
    <w:rsid w:val="1DE5480D"/>
    <w:rsid w:val="1DF3687A"/>
    <w:rsid w:val="1DF61EC7"/>
    <w:rsid w:val="1E07142E"/>
    <w:rsid w:val="1E091B95"/>
    <w:rsid w:val="1E0D0FBE"/>
    <w:rsid w:val="1E1E141D"/>
    <w:rsid w:val="1E2524D6"/>
    <w:rsid w:val="1E25455A"/>
    <w:rsid w:val="1E262129"/>
    <w:rsid w:val="1E450758"/>
    <w:rsid w:val="1E4F15D7"/>
    <w:rsid w:val="1E522E75"/>
    <w:rsid w:val="1E594203"/>
    <w:rsid w:val="1E6037E4"/>
    <w:rsid w:val="1E62755C"/>
    <w:rsid w:val="1E680E2D"/>
    <w:rsid w:val="1E761E0D"/>
    <w:rsid w:val="1E796654"/>
    <w:rsid w:val="1E8219AC"/>
    <w:rsid w:val="1E85324A"/>
    <w:rsid w:val="1E870D71"/>
    <w:rsid w:val="1E8B18D6"/>
    <w:rsid w:val="1E9811D0"/>
    <w:rsid w:val="1E9A6CF6"/>
    <w:rsid w:val="1EA01E32"/>
    <w:rsid w:val="1EA336D1"/>
    <w:rsid w:val="1EA96F39"/>
    <w:rsid w:val="1EB06519"/>
    <w:rsid w:val="1EB350B6"/>
    <w:rsid w:val="1EB37DB8"/>
    <w:rsid w:val="1EB51D82"/>
    <w:rsid w:val="1EB53B30"/>
    <w:rsid w:val="1EBA2EF4"/>
    <w:rsid w:val="1EBC29BA"/>
    <w:rsid w:val="1EBC3110"/>
    <w:rsid w:val="1EC2624D"/>
    <w:rsid w:val="1EC91389"/>
    <w:rsid w:val="1ECD3CF8"/>
    <w:rsid w:val="1ECE2E43"/>
    <w:rsid w:val="1ED1023E"/>
    <w:rsid w:val="1ED55F80"/>
    <w:rsid w:val="1ED77297"/>
    <w:rsid w:val="1EDF0BAD"/>
    <w:rsid w:val="1EE84F14"/>
    <w:rsid w:val="1EE937D9"/>
    <w:rsid w:val="1EF02DBA"/>
    <w:rsid w:val="1EF5217E"/>
    <w:rsid w:val="1EF63B7C"/>
    <w:rsid w:val="1EF65EF6"/>
    <w:rsid w:val="1F06438B"/>
    <w:rsid w:val="1F090B96"/>
    <w:rsid w:val="1F0B7BF4"/>
    <w:rsid w:val="1F137535"/>
    <w:rsid w:val="1F172EB5"/>
    <w:rsid w:val="1F1D16D5"/>
    <w:rsid w:val="1F2E4AC0"/>
    <w:rsid w:val="1F3802BD"/>
    <w:rsid w:val="1F3A4035"/>
    <w:rsid w:val="1F3E1D77"/>
    <w:rsid w:val="1F3F164B"/>
    <w:rsid w:val="1F49071C"/>
    <w:rsid w:val="1F550B9E"/>
    <w:rsid w:val="1F572E39"/>
    <w:rsid w:val="1F642E60"/>
    <w:rsid w:val="1F66307C"/>
    <w:rsid w:val="1F6B68E4"/>
    <w:rsid w:val="1F72557D"/>
    <w:rsid w:val="1F7266F5"/>
    <w:rsid w:val="1F7C1D2A"/>
    <w:rsid w:val="1F7F5EEC"/>
    <w:rsid w:val="1F833C2E"/>
    <w:rsid w:val="1F85218A"/>
    <w:rsid w:val="1F881244"/>
    <w:rsid w:val="1F91749D"/>
    <w:rsid w:val="1F9D6372"/>
    <w:rsid w:val="1F9E2ADD"/>
    <w:rsid w:val="1FA025B1"/>
    <w:rsid w:val="1FA42CD8"/>
    <w:rsid w:val="1FA6791C"/>
    <w:rsid w:val="1FAB0A8F"/>
    <w:rsid w:val="1FAD0CAB"/>
    <w:rsid w:val="1FB3585B"/>
    <w:rsid w:val="1FB60CAD"/>
    <w:rsid w:val="1FC3402A"/>
    <w:rsid w:val="1FD61FB0"/>
    <w:rsid w:val="1FDA1374"/>
    <w:rsid w:val="1FDB75C6"/>
    <w:rsid w:val="1FE3647B"/>
    <w:rsid w:val="1FE67D19"/>
    <w:rsid w:val="1FE741BD"/>
    <w:rsid w:val="1FE83A91"/>
    <w:rsid w:val="1FE87F35"/>
    <w:rsid w:val="1FEA0E1A"/>
    <w:rsid w:val="1FEA5A5B"/>
    <w:rsid w:val="1FEB1DE0"/>
    <w:rsid w:val="1FEF4E1F"/>
    <w:rsid w:val="1FF50EFB"/>
    <w:rsid w:val="2000527E"/>
    <w:rsid w:val="200220CA"/>
    <w:rsid w:val="2007660D"/>
    <w:rsid w:val="20087C8F"/>
    <w:rsid w:val="20090F5F"/>
    <w:rsid w:val="200C59D1"/>
    <w:rsid w:val="200D799B"/>
    <w:rsid w:val="20174376"/>
    <w:rsid w:val="2020322B"/>
    <w:rsid w:val="202076CF"/>
    <w:rsid w:val="20247B33"/>
    <w:rsid w:val="20294CF5"/>
    <w:rsid w:val="202B1D6E"/>
    <w:rsid w:val="202F7912"/>
    <w:rsid w:val="20350AB8"/>
    <w:rsid w:val="20362A4E"/>
    <w:rsid w:val="203A0B13"/>
    <w:rsid w:val="203B0065"/>
    <w:rsid w:val="20442631"/>
    <w:rsid w:val="20452C91"/>
    <w:rsid w:val="20474C5B"/>
    <w:rsid w:val="204B7C1A"/>
    <w:rsid w:val="20580C17"/>
    <w:rsid w:val="20631369"/>
    <w:rsid w:val="20651585"/>
    <w:rsid w:val="206D21E8"/>
    <w:rsid w:val="20733ECA"/>
    <w:rsid w:val="20803CC9"/>
    <w:rsid w:val="208732AA"/>
    <w:rsid w:val="208C266E"/>
    <w:rsid w:val="20994D8B"/>
    <w:rsid w:val="20A200E4"/>
    <w:rsid w:val="20A976C4"/>
    <w:rsid w:val="20AC2D10"/>
    <w:rsid w:val="20B120D5"/>
    <w:rsid w:val="20B20ECA"/>
    <w:rsid w:val="20BA201C"/>
    <w:rsid w:val="20BA367F"/>
    <w:rsid w:val="20BE5BD1"/>
    <w:rsid w:val="20C20786"/>
    <w:rsid w:val="20C4005A"/>
    <w:rsid w:val="20D37187"/>
    <w:rsid w:val="20DB1848"/>
    <w:rsid w:val="20E029BA"/>
    <w:rsid w:val="20E22BD6"/>
    <w:rsid w:val="20E93F65"/>
    <w:rsid w:val="20F46465"/>
    <w:rsid w:val="20F546B7"/>
    <w:rsid w:val="20FD531A"/>
    <w:rsid w:val="2100305C"/>
    <w:rsid w:val="21020B82"/>
    <w:rsid w:val="210668C5"/>
    <w:rsid w:val="210C1A01"/>
    <w:rsid w:val="21110DC5"/>
    <w:rsid w:val="21134B3E"/>
    <w:rsid w:val="211508B6"/>
    <w:rsid w:val="211D65ED"/>
    <w:rsid w:val="21244F9D"/>
    <w:rsid w:val="21262AC3"/>
    <w:rsid w:val="212E5E1B"/>
    <w:rsid w:val="213056EF"/>
    <w:rsid w:val="213D7E0C"/>
    <w:rsid w:val="214473ED"/>
    <w:rsid w:val="21470C8B"/>
    <w:rsid w:val="2149055F"/>
    <w:rsid w:val="214B077B"/>
    <w:rsid w:val="214F4CD4"/>
    <w:rsid w:val="215238B8"/>
    <w:rsid w:val="21535882"/>
    <w:rsid w:val="21570ECE"/>
    <w:rsid w:val="215A09BE"/>
    <w:rsid w:val="215B115F"/>
    <w:rsid w:val="215C66EF"/>
    <w:rsid w:val="215F4227"/>
    <w:rsid w:val="21723F5A"/>
    <w:rsid w:val="21780E44"/>
    <w:rsid w:val="217A6BD0"/>
    <w:rsid w:val="217C70D1"/>
    <w:rsid w:val="217F4405"/>
    <w:rsid w:val="21867A05"/>
    <w:rsid w:val="218760BF"/>
    <w:rsid w:val="218D2B42"/>
    <w:rsid w:val="219B4EB1"/>
    <w:rsid w:val="219E5F95"/>
    <w:rsid w:val="219F63D1"/>
    <w:rsid w:val="21A1039B"/>
    <w:rsid w:val="21AB746C"/>
    <w:rsid w:val="21AF0D0A"/>
    <w:rsid w:val="21B005DE"/>
    <w:rsid w:val="21B207FA"/>
    <w:rsid w:val="21B23176"/>
    <w:rsid w:val="21B7196D"/>
    <w:rsid w:val="21BF6A73"/>
    <w:rsid w:val="21C8684F"/>
    <w:rsid w:val="21C978F2"/>
    <w:rsid w:val="21E41D1A"/>
    <w:rsid w:val="21E51E65"/>
    <w:rsid w:val="21EB1616"/>
    <w:rsid w:val="21EC32C9"/>
    <w:rsid w:val="21FB3F4F"/>
    <w:rsid w:val="22034BB2"/>
    <w:rsid w:val="2205092A"/>
    <w:rsid w:val="220628F4"/>
    <w:rsid w:val="22065A4D"/>
    <w:rsid w:val="2209080D"/>
    <w:rsid w:val="2210107D"/>
    <w:rsid w:val="22107CD6"/>
    <w:rsid w:val="22123047"/>
    <w:rsid w:val="22127636"/>
    <w:rsid w:val="221768AF"/>
    <w:rsid w:val="221943D6"/>
    <w:rsid w:val="221E19EC"/>
    <w:rsid w:val="22252D7A"/>
    <w:rsid w:val="22280ABD"/>
    <w:rsid w:val="22342FBD"/>
    <w:rsid w:val="2237485C"/>
    <w:rsid w:val="223C00C4"/>
    <w:rsid w:val="223C6316"/>
    <w:rsid w:val="224F1BA5"/>
    <w:rsid w:val="225A42C6"/>
    <w:rsid w:val="22602004"/>
    <w:rsid w:val="226338A3"/>
    <w:rsid w:val="22717D6E"/>
    <w:rsid w:val="22721D38"/>
    <w:rsid w:val="22737F8A"/>
    <w:rsid w:val="227B0BEC"/>
    <w:rsid w:val="22813D29"/>
    <w:rsid w:val="2286051A"/>
    <w:rsid w:val="22916662"/>
    <w:rsid w:val="2298179E"/>
    <w:rsid w:val="22A301F1"/>
    <w:rsid w:val="22B8599C"/>
    <w:rsid w:val="22BC4355"/>
    <w:rsid w:val="22C32593"/>
    <w:rsid w:val="22C80D68"/>
    <w:rsid w:val="22C96F28"/>
    <w:rsid w:val="22D149F6"/>
    <w:rsid w:val="22E04EF3"/>
    <w:rsid w:val="22F22A0F"/>
    <w:rsid w:val="22FD7853"/>
    <w:rsid w:val="23007343"/>
    <w:rsid w:val="2303104A"/>
    <w:rsid w:val="23040BE2"/>
    <w:rsid w:val="23055AAB"/>
    <w:rsid w:val="23203542"/>
    <w:rsid w:val="232355D0"/>
    <w:rsid w:val="2329689A"/>
    <w:rsid w:val="232A7396"/>
    <w:rsid w:val="232E3EB1"/>
    <w:rsid w:val="2342170A"/>
    <w:rsid w:val="23474F72"/>
    <w:rsid w:val="234B4A63"/>
    <w:rsid w:val="234C4337"/>
    <w:rsid w:val="235002CB"/>
    <w:rsid w:val="23566F63"/>
    <w:rsid w:val="23582CDC"/>
    <w:rsid w:val="23767606"/>
    <w:rsid w:val="2378512C"/>
    <w:rsid w:val="23810484"/>
    <w:rsid w:val="238141BD"/>
    <w:rsid w:val="23977CA8"/>
    <w:rsid w:val="23983A20"/>
    <w:rsid w:val="239A32F4"/>
    <w:rsid w:val="239A7798"/>
    <w:rsid w:val="23A3664D"/>
    <w:rsid w:val="23A777BF"/>
    <w:rsid w:val="23AF5AB1"/>
    <w:rsid w:val="23B51EDC"/>
    <w:rsid w:val="23BE084F"/>
    <w:rsid w:val="23C860B3"/>
    <w:rsid w:val="23C9465D"/>
    <w:rsid w:val="23C95987"/>
    <w:rsid w:val="23CA1CD3"/>
    <w:rsid w:val="23CD5478"/>
    <w:rsid w:val="23D5257E"/>
    <w:rsid w:val="23D55D98"/>
    <w:rsid w:val="23DF63E4"/>
    <w:rsid w:val="23E12CD1"/>
    <w:rsid w:val="23ED5B1A"/>
    <w:rsid w:val="23F32A04"/>
    <w:rsid w:val="23F724F4"/>
    <w:rsid w:val="23FA1FE5"/>
    <w:rsid w:val="23FE3883"/>
    <w:rsid w:val="23FF6434"/>
    <w:rsid w:val="240D3AC6"/>
    <w:rsid w:val="24150BCD"/>
    <w:rsid w:val="241664BD"/>
    <w:rsid w:val="2423778D"/>
    <w:rsid w:val="242D70C8"/>
    <w:rsid w:val="243B4AD7"/>
    <w:rsid w:val="243E0123"/>
    <w:rsid w:val="244337D9"/>
    <w:rsid w:val="244B0E6B"/>
    <w:rsid w:val="24523BCF"/>
    <w:rsid w:val="24530B7F"/>
    <w:rsid w:val="24545B99"/>
    <w:rsid w:val="24594F5D"/>
    <w:rsid w:val="245E07C6"/>
    <w:rsid w:val="246C595F"/>
    <w:rsid w:val="24771887"/>
    <w:rsid w:val="247955FF"/>
    <w:rsid w:val="247C0C4C"/>
    <w:rsid w:val="24855D52"/>
    <w:rsid w:val="248C70E1"/>
    <w:rsid w:val="248D2E59"/>
    <w:rsid w:val="24907C38"/>
    <w:rsid w:val="24910BC7"/>
    <w:rsid w:val="24961D0D"/>
    <w:rsid w:val="249661B1"/>
    <w:rsid w:val="249D12EE"/>
    <w:rsid w:val="249E0BC2"/>
    <w:rsid w:val="249E6E14"/>
    <w:rsid w:val="24A27808"/>
    <w:rsid w:val="24AF2DCF"/>
    <w:rsid w:val="24B623B0"/>
    <w:rsid w:val="24B64E89"/>
    <w:rsid w:val="24C06D8A"/>
    <w:rsid w:val="24C3687B"/>
    <w:rsid w:val="24C745BD"/>
    <w:rsid w:val="24CC7095"/>
    <w:rsid w:val="24D10F97"/>
    <w:rsid w:val="24D665AE"/>
    <w:rsid w:val="24D97E4C"/>
    <w:rsid w:val="24DA6402"/>
    <w:rsid w:val="24E32A79"/>
    <w:rsid w:val="24E8008F"/>
    <w:rsid w:val="24E94533"/>
    <w:rsid w:val="24F133E8"/>
    <w:rsid w:val="24F20F0E"/>
    <w:rsid w:val="24FB7DC2"/>
    <w:rsid w:val="24FD1D8D"/>
    <w:rsid w:val="24FD69F2"/>
    <w:rsid w:val="24FF7E94"/>
    <w:rsid w:val="2500187D"/>
    <w:rsid w:val="250749B9"/>
    <w:rsid w:val="25097E6F"/>
    <w:rsid w:val="251470D6"/>
    <w:rsid w:val="25207829"/>
    <w:rsid w:val="25253091"/>
    <w:rsid w:val="25290E9B"/>
    <w:rsid w:val="252C2672"/>
    <w:rsid w:val="25315EDA"/>
    <w:rsid w:val="2536529E"/>
    <w:rsid w:val="25387269"/>
    <w:rsid w:val="253F05F7"/>
    <w:rsid w:val="253F4153"/>
    <w:rsid w:val="2540611D"/>
    <w:rsid w:val="254259F1"/>
    <w:rsid w:val="2543563D"/>
    <w:rsid w:val="25453733"/>
    <w:rsid w:val="254774AC"/>
    <w:rsid w:val="25494FD2"/>
    <w:rsid w:val="254E083A"/>
    <w:rsid w:val="254E25E8"/>
    <w:rsid w:val="254E4603"/>
    <w:rsid w:val="255D6CCF"/>
    <w:rsid w:val="25675458"/>
    <w:rsid w:val="256A383C"/>
    <w:rsid w:val="256E4A38"/>
    <w:rsid w:val="257F27A2"/>
    <w:rsid w:val="25804589"/>
    <w:rsid w:val="25864FBF"/>
    <w:rsid w:val="25867FD4"/>
    <w:rsid w:val="25875AFA"/>
    <w:rsid w:val="258778A8"/>
    <w:rsid w:val="258A1146"/>
    <w:rsid w:val="258B03EA"/>
    <w:rsid w:val="258C1362"/>
    <w:rsid w:val="258E50DA"/>
    <w:rsid w:val="259124D5"/>
    <w:rsid w:val="25A55F80"/>
    <w:rsid w:val="25B12B77"/>
    <w:rsid w:val="25B14925"/>
    <w:rsid w:val="25B508B9"/>
    <w:rsid w:val="25BA5ED0"/>
    <w:rsid w:val="25C15C37"/>
    <w:rsid w:val="25C66622"/>
    <w:rsid w:val="25C74149"/>
    <w:rsid w:val="25CA47DE"/>
    <w:rsid w:val="25CD79B1"/>
    <w:rsid w:val="25D074A1"/>
    <w:rsid w:val="25D7082F"/>
    <w:rsid w:val="25DA0BB6"/>
    <w:rsid w:val="25E1520A"/>
    <w:rsid w:val="25E92311"/>
    <w:rsid w:val="25EA66EC"/>
    <w:rsid w:val="25F3390D"/>
    <w:rsid w:val="25F52784"/>
    <w:rsid w:val="26062EC3"/>
    <w:rsid w:val="260849B4"/>
    <w:rsid w:val="260929B3"/>
    <w:rsid w:val="260E5A46"/>
    <w:rsid w:val="26154EB4"/>
    <w:rsid w:val="26183672"/>
    <w:rsid w:val="261B0BE5"/>
    <w:rsid w:val="261B6962"/>
    <w:rsid w:val="261C4494"/>
    <w:rsid w:val="26235823"/>
    <w:rsid w:val="262518BA"/>
    <w:rsid w:val="262670C1"/>
    <w:rsid w:val="26357304"/>
    <w:rsid w:val="26396DF4"/>
    <w:rsid w:val="263B7010"/>
    <w:rsid w:val="263E440B"/>
    <w:rsid w:val="26435EC5"/>
    <w:rsid w:val="264B6B28"/>
    <w:rsid w:val="264D0AF2"/>
    <w:rsid w:val="264D3989"/>
    <w:rsid w:val="264D464E"/>
    <w:rsid w:val="26773DC1"/>
    <w:rsid w:val="267918E7"/>
    <w:rsid w:val="267972B5"/>
    <w:rsid w:val="2686568A"/>
    <w:rsid w:val="268A673E"/>
    <w:rsid w:val="26946721"/>
    <w:rsid w:val="26962499"/>
    <w:rsid w:val="269C55D5"/>
    <w:rsid w:val="269E134D"/>
    <w:rsid w:val="26A06E73"/>
    <w:rsid w:val="26A10E3D"/>
    <w:rsid w:val="26A30712"/>
    <w:rsid w:val="26A36964"/>
    <w:rsid w:val="26A5092E"/>
    <w:rsid w:val="26A526DC"/>
    <w:rsid w:val="26AC3A6A"/>
    <w:rsid w:val="26AF355A"/>
    <w:rsid w:val="26B50445"/>
    <w:rsid w:val="26B97F35"/>
    <w:rsid w:val="26D1527F"/>
    <w:rsid w:val="26DF76F3"/>
    <w:rsid w:val="26E3376C"/>
    <w:rsid w:val="26E86A6C"/>
    <w:rsid w:val="26EA10F6"/>
    <w:rsid w:val="26F077D0"/>
    <w:rsid w:val="26F269B0"/>
    <w:rsid w:val="26F70A5D"/>
    <w:rsid w:val="26F75908"/>
    <w:rsid w:val="26FB22FC"/>
    <w:rsid w:val="26FD42C6"/>
    <w:rsid w:val="26FE3B9A"/>
    <w:rsid w:val="270311B0"/>
    <w:rsid w:val="27054F28"/>
    <w:rsid w:val="27076EF2"/>
    <w:rsid w:val="270F13A3"/>
    <w:rsid w:val="270F5DA7"/>
    <w:rsid w:val="27106C16"/>
    <w:rsid w:val="27133AE9"/>
    <w:rsid w:val="271C2272"/>
    <w:rsid w:val="271D6716"/>
    <w:rsid w:val="271E248E"/>
    <w:rsid w:val="27207FB4"/>
    <w:rsid w:val="27221F7E"/>
    <w:rsid w:val="27277595"/>
    <w:rsid w:val="272B3E0A"/>
    <w:rsid w:val="27382F48"/>
    <w:rsid w:val="273852FE"/>
    <w:rsid w:val="274912B9"/>
    <w:rsid w:val="274A3283"/>
    <w:rsid w:val="274A6DDF"/>
    <w:rsid w:val="27534910"/>
    <w:rsid w:val="276E0D20"/>
    <w:rsid w:val="277327DA"/>
    <w:rsid w:val="27764078"/>
    <w:rsid w:val="277722AA"/>
    <w:rsid w:val="27781B9E"/>
    <w:rsid w:val="277E6026"/>
    <w:rsid w:val="277F117F"/>
    <w:rsid w:val="278A3680"/>
    <w:rsid w:val="278B1188"/>
    <w:rsid w:val="279037D7"/>
    <w:rsid w:val="27914A0E"/>
    <w:rsid w:val="279664C8"/>
    <w:rsid w:val="27A04C51"/>
    <w:rsid w:val="27A43E8B"/>
    <w:rsid w:val="27A47FDD"/>
    <w:rsid w:val="27A961FC"/>
    <w:rsid w:val="27A97FAA"/>
    <w:rsid w:val="27AC35F6"/>
    <w:rsid w:val="27B923E1"/>
    <w:rsid w:val="27C13545"/>
    <w:rsid w:val="27C941A8"/>
    <w:rsid w:val="27D529D5"/>
    <w:rsid w:val="27D56FF1"/>
    <w:rsid w:val="27D661F2"/>
    <w:rsid w:val="27E772C6"/>
    <w:rsid w:val="27F36876"/>
    <w:rsid w:val="27F51857"/>
    <w:rsid w:val="27F756EC"/>
    <w:rsid w:val="27F8683B"/>
    <w:rsid w:val="27FA0805"/>
    <w:rsid w:val="28000D33"/>
    <w:rsid w:val="28017DE6"/>
    <w:rsid w:val="28041684"/>
    <w:rsid w:val="280D2781"/>
    <w:rsid w:val="280E605F"/>
    <w:rsid w:val="28153891"/>
    <w:rsid w:val="28164B9B"/>
    <w:rsid w:val="282B4E63"/>
    <w:rsid w:val="282B6C11"/>
    <w:rsid w:val="282C1BB6"/>
    <w:rsid w:val="283624F4"/>
    <w:rsid w:val="283D15C2"/>
    <w:rsid w:val="283D6944"/>
    <w:rsid w:val="283E0F12"/>
    <w:rsid w:val="28470259"/>
    <w:rsid w:val="28510EC8"/>
    <w:rsid w:val="2855749E"/>
    <w:rsid w:val="2859377E"/>
    <w:rsid w:val="285D7CED"/>
    <w:rsid w:val="285F68BA"/>
    <w:rsid w:val="286A598B"/>
    <w:rsid w:val="286F05D0"/>
    <w:rsid w:val="287A36F4"/>
    <w:rsid w:val="287C746C"/>
    <w:rsid w:val="287E1436"/>
    <w:rsid w:val="289A39CA"/>
    <w:rsid w:val="28AE4587"/>
    <w:rsid w:val="28B05368"/>
    <w:rsid w:val="28CA37B2"/>
    <w:rsid w:val="28CA467C"/>
    <w:rsid w:val="28CA642A"/>
    <w:rsid w:val="28CC623A"/>
    <w:rsid w:val="28D42E04"/>
    <w:rsid w:val="28D97A2C"/>
    <w:rsid w:val="28DC1CC9"/>
    <w:rsid w:val="28E15521"/>
    <w:rsid w:val="28ED036A"/>
    <w:rsid w:val="28EE4EC3"/>
    <w:rsid w:val="28F039B6"/>
    <w:rsid w:val="28F60FCD"/>
    <w:rsid w:val="29023E15"/>
    <w:rsid w:val="29033AAB"/>
    <w:rsid w:val="29053906"/>
    <w:rsid w:val="290A4A78"/>
    <w:rsid w:val="29104C1F"/>
    <w:rsid w:val="291C47AB"/>
    <w:rsid w:val="29215044"/>
    <w:rsid w:val="292518B2"/>
    <w:rsid w:val="292C0E92"/>
    <w:rsid w:val="292C49EE"/>
    <w:rsid w:val="29325D7D"/>
    <w:rsid w:val="2940523A"/>
    <w:rsid w:val="29491A44"/>
    <w:rsid w:val="294A57BC"/>
    <w:rsid w:val="294C6E3F"/>
    <w:rsid w:val="294D1FF0"/>
    <w:rsid w:val="294F4B81"/>
    <w:rsid w:val="29514455"/>
    <w:rsid w:val="29626662"/>
    <w:rsid w:val="296543A4"/>
    <w:rsid w:val="296C74E1"/>
    <w:rsid w:val="296D5007"/>
    <w:rsid w:val="29712D49"/>
    <w:rsid w:val="297D0BEC"/>
    <w:rsid w:val="297D10CF"/>
    <w:rsid w:val="29802F8C"/>
    <w:rsid w:val="29861134"/>
    <w:rsid w:val="298A5BB9"/>
    <w:rsid w:val="298C36DF"/>
    <w:rsid w:val="298E7457"/>
    <w:rsid w:val="298F31CF"/>
    <w:rsid w:val="299407E6"/>
    <w:rsid w:val="29977213"/>
    <w:rsid w:val="299802D6"/>
    <w:rsid w:val="29A46C7B"/>
    <w:rsid w:val="29A502DB"/>
    <w:rsid w:val="29A749BD"/>
    <w:rsid w:val="29B87439"/>
    <w:rsid w:val="29C70BBB"/>
    <w:rsid w:val="29C72969"/>
    <w:rsid w:val="29C94933"/>
    <w:rsid w:val="29D37560"/>
    <w:rsid w:val="29D858AC"/>
    <w:rsid w:val="29DA08EE"/>
    <w:rsid w:val="29DB01C2"/>
    <w:rsid w:val="29DB4666"/>
    <w:rsid w:val="29DC19D2"/>
    <w:rsid w:val="29E21551"/>
    <w:rsid w:val="29E67293"/>
    <w:rsid w:val="29E928DF"/>
    <w:rsid w:val="29F02228"/>
    <w:rsid w:val="29F23E8A"/>
    <w:rsid w:val="2A005E7B"/>
    <w:rsid w:val="2A0B0AA8"/>
    <w:rsid w:val="2A1C0F07"/>
    <w:rsid w:val="2A1D4C7F"/>
    <w:rsid w:val="2A235891"/>
    <w:rsid w:val="2A2937D5"/>
    <w:rsid w:val="2A331DAD"/>
    <w:rsid w:val="2A38670E"/>
    <w:rsid w:val="2A5204DC"/>
    <w:rsid w:val="2A5E32CD"/>
    <w:rsid w:val="2A5F2BA2"/>
    <w:rsid w:val="2A5F7045"/>
    <w:rsid w:val="2A61691A"/>
    <w:rsid w:val="2A6401B8"/>
    <w:rsid w:val="2A653861"/>
    <w:rsid w:val="2A6B7798"/>
    <w:rsid w:val="2A73664D"/>
    <w:rsid w:val="2A7523C5"/>
    <w:rsid w:val="2A7D74CC"/>
    <w:rsid w:val="2A80351D"/>
    <w:rsid w:val="2A8422CE"/>
    <w:rsid w:val="2A8652D6"/>
    <w:rsid w:val="2A8B7E3A"/>
    <w:rsid w:val="2A922F77"/>
    <w:rsid w:val="2A930A9D"/>
    <w:rsid w:val="2A950CB9"/>
    <w:rsid w:val="2AA44A58"/>
    <w:rsid w:val="2AA607D0"/>
    <w:rsid w:val="2ABE3D6C"/>
    <w:rsid w:val="2ABF7F2F"/>
    <w:rsid w:val="2AC86999"/>
    <w:rsid w:val="2ADA66CC"/>
    <w:rsid w:val="2ADC41F2"/>
    <w:rsid w:val="2ADE440E"/>
    <w:rsid w:val="2AE412F9"/>
    <w:rsid w:val="2AE82B97"/>
    <w:rsid w:val="2AEA4B61"/>
    <w:rsid w:val="2AF21C68"/>
    <w:rsid w:val="2AFA28CA"/>
    <w:rsid w:val="2B011CF0"/>
    <w:rsid w:val="2B0674C1"/>
    <w:rsid w:val="2B125E66"/>
    <w:rsid w:val="2B1442F6"/>
    <w:rsid w:val="2B146082"/>
    <w:rsid w:val="2B165956"/>
    <w:rsid w:val="2B1B6E14"/>
    <w:rsid w:val="2B1E0CAF"/>
    <w:rsid w:val="2B231E21"/>
    <w:rsid w:val="2B2763CB"/>
    <w:rsid w:val="2B297614"/>
    <w:rsid w:val="2B314DBC"/>
    <w:rsid w:val="2B391645"/>
    <w:rsid w:val="2B3B0BC4"/>
    <w:rsid w:val="2B3C1135"/>
    <w:rsid w:val="2B3E4EAD"/>
    <w:rsid w:val="2B485D2C"/>
    <w:rsid w:val="2B487ADA"/>
    <w:rsid w:val="2B4C1378"/>
    <w:rsid w:val="2B514BE0"/>
    <w:rsid w:val="2B535728"/>
    <w:rsid w:val="2B5446D0"/>
    <w:rsid w:val="2B5841C1"/>
    <w:rsid w:val="2B626DED"/>
    <w:rsid w:val="2B6366AD"/>
    <w:rsid w:val="2B6366C1"/>
    <w:rsid w:val="2B6A0DDE"/>
    <w:rsid w:val="2B6C7C6C"/>
    <w:rsid w:val="2B6F6391"/>
    <w:rsid w:val="2B797C93"/>
    <w:rsid w:val="2B7D7783"/>
    <w:rsid w:val="2B830B12"/>
    <w:rsid w:val="2B841D92"/>
    <w:rsid w:val="2B844FB6"/>
    <w:rsid w:val="2B870602"/>
    <w:rsid w:val="2B8D373E"/>
    <w:rsid w:val="2B8E1990"/>
    <w:rsid w:val="2B9351F9"/>
    <w:rsid w:val="2B967401"/>
    <w:rsid w:val="2B98481C"/>
    <w:rsid w:val="2B9B36BE"/>
    <w:rsid w:val="2B9B40AD"/>
    <w:rsid w:val="2BA016C4"/>
    <w:rsid w:val="2BA74800"/>
    <w:rsid w:val="2BB05DAB"/>
    <w:rsid w:val="2BB138D1"/>
    <w:rsid w:val="2BC058C2"/>
    <w:rsid w:val="2BC37160"/>
    <w:rsid w:val="2BC452AF"/>
    <w:rsid w:val="2BC70E40"/>
    <w:rsid w:val="2BC96E6C"/>
    <w:rsid w:val="2BCF3D57"/>
    <w:rsid w:val="2BD24CB3"/>
    <w:rsid w:val="2BDD0222"/>
    <w:rsid w:val="2BDF21EC"/>
    <w:rsid w:val="2BE772F2"/>
    <w:rsid w:val="2BEB696B"/>
    <w:rsid w:val="2BEF7F55"/>
    <w:rsid w:val="2BF65FA1"/>
    <w:rsid w:val="2BF910B5"/>
    <w:rsid w:val="2BFF63EA"/>
    <w:rsid w:val="2C002162"/>
    <w:rsid w:val="2C077995"/>
    <w:rsid w:val="2C1005F7"/>
    <w:rsid w:val="2C106849"/>
    <w:rsid w:val="2C11611D"/>
    <w:rsid w:val="2C1520B2"/>
    <w:rsid w:val="2C167BD8"/>
    <w:rsid w:val="2C1A1476"/>
    <w:rsid w:val="2C273B93"/>
    <w:rsid w:val="2C2B3683"/>
    <w:rsid w:val="2C2E3173"/>
    <w:rsid w:val="2C335F25"/>
    <w:rsid w:val="2C3562B0"/>
    <w:rsid w:val="2C365B84"/>
    <w:rsid w:val="2C4202AD"/>
    <w:rsid w:val="2C444745"/>
    <w:rsid w:val="2C464019"/>
    <w:rsid w:val="2C4B1CA7"/>
    <w:rsid w:val="2C583D4C"/>
    <w:rsid w:val="2C6721E1"/>
    <w:rsid w:val="2C70553A"/>
    <w:rsid w:val="2C7072E8"/>
    <w:rsid w:val="2C7A3CC3"/>
    <w:rsid w:val="2C7C7A3B"/>
    <w:rsid w:val="2C7D37B3"/>
    <w:rsid w:val="2C815051"/>
    <w:rsid w:val="2C855802"/>
    <w:rsid w:val="2C884632"/>
    <w:rsid w:val="2C9E3E55"/>
    <w:rsid w:val="2CAE1BBE"/>
    <w:rsid w:val="2CBC077F"/>
    <w:rsid w:val="2CBF5B79"/>
    <w:rsid w:val="2CC15D95"/>
    <w:rsid w:val="2CCD1583"/>
    <w:rsid w:val="2CD47877"/>
    <w:rsid w:val="2CD930DF"/>
    <w:rsid w:val="2CDE24A4"/>
    <w:rsid w:val="2CDE333D"/>
    <w:rsid w:val="2CDF446E"/>
    <w:rsid w:val="2CDF7FCA"/>
    <w:rsid w:val="2CE83322"/>
    <w:rsid w:val="2CEA3520"/>
    <w:rsid w:val="2CF7672D"/>
    <w:rsid w:val="2CFE66A2"/>
    <w:rsid w:val="2D072868"/>
    <w:rsid w:val="2D0A3299"/>
    <w:rsid w:val="2D0F2B70"/>
    <w:rsid w:val="2D145EC5"/>
    <w:rsid w:val="2D1660E1"/>
    <w:rsid w:val="2D173E09"/>
    <w:rsid w:val="2D260351"/>
    <w:rsid w:val="2D2B1461"/>
    <w:rsid w:val="2D306A77"/>
    <w:rsid w:val="2D355E3C"/>
    <w:rsid w:val="2D3C541C"/>
    <w:rsid w:val="2D3E1CA3"/>
    <w:rsid w:val="2D505474"/>
    <w:rsid w:val="2D522E91"/>
    <w:rsid w:val="2D546C0A"/>
    <w:rsid w:val="2D595FCE"/>
    <w:rsid w:val="2D5F60B5"/>
    <w:rsid w:val="2D6751F4"/>
    <w:rsid w:val="2D6F75A0"/>
    <w:rsid w:val="2D79041E"/>
    <w:rsid w:val="2D7C1CBC"/>
    <w:rsid w:val="2D7E3C87"/>
    <w:rsid w:val="2D7E5A35"/>
    <w:rsid w:val="2D7F496C"/>
    <w:rsid w:val="2D811081"/>
    <w:rsid w:val="2D8A43D9"/>
    <w:rsid w:val="2D8E211C"/>
    <w:rsid w:val="2D91575E"/>
    <w:rsid w:val="2D964B2C"/>
    <w:rsid w:val="2D9708A4"/>
    <w:rsid w:val="2D9C5EBB"/>
    <w:rsid w:val="2DA01E4F"/>
    <w:rsid w:val="2DA04C40"/>
    <w:rsid w:val="2DA336ED"/>
    <w:rsid w:val="2DA3549B"/>
    <w:rsid w:val="2DA37249"/>
    <w:rsid w:val="2DA71227"/>
    <w:rsid w:val="2DAD1E76"/>
    <w:rsid w:val="2DB04579"/>
    <w:rsid w:val="2DB31B82"/>
    <w:rsid w:val="2DBE5C85"/>
    <w:rsid w:val="2DC641DE"/>
    <w:rsid w:val="2DCB3D37"/>
    <w:rsid w:val="2DD12008"/>
    <w:rsid w:val="2DD45655"/>
    <w:rsid w:val="2DD613CD"/>
    <w:rsid w:val="2DDD09AD"/>
    <w:rsid w:val="2DE41D3C"/>
    <w:rsid w:val="2DE53D06"/>
    <w:rsid w:val="2DEC0BF0"/>
    <w:rsid w:val="2DEE172B"/>
    <w:rsid w:val="2DF126AA"/>
    <w:rsid w:val="2DF301D1"/>
    <w:rsid w:val="2DF31F7F"/>
    <w:rsid w:val="2DFB52D7"/>
    <w:rsid w:val="2E002249"/>
    <w:rsid w:val="2E026666"/>
    <w:rsid w:val="2E073C7C"/>
    <w:rsid w:val="2E0C3040"/>
    <w:rsid w:val="2E0E500A"/>
    <w:rsid w:val="2E1A39AF"/>
    <w:rsid w:val="2E2A1718"/>
    <w:rsid w:val="2E2A34C6"/>
    <w:rsid w:val="2E2B796A"/>
    <w:rsid w:val="2E2C36E3"/>
    <w:rsid w:val="2E314855"/>
    <w:rsid w:val="2E3305CD"/>
    <w:rsid w:val="2E352597"/>
    <w:rsid w:val="2E383E35"/>
    <w:rsid w:val="2E402CEA"/>
    <w:rsid w:val="2E4722CA"/>
    <w:rsid w:val="2E494294"/>
    <w:rsid w:val="2E4E18AB"/>
    <w:rsid w:val="2E5642BC"/>
    <w:rsid w:val="2E5D564A"/>
    <w:rsid w:val="2E644049"/>
    <w:rsid w:val="2E690E72"/>
    <w:rsid w:val="2E7110F5"/>
    <w:rsid w:val="2E756E38"/>
    <w:rsid w:val="2E84707B"/>
    <w:rsid w:val="2E876B6B"/>
    <w:rsid w:val="2E905A1F"/>
    <w:rsid w:val="2E943BC9"/>
    <w:rsid w:val="2E953036"/>
    <w:rsid w:val="2E976DAE"/>
    <w:rsid w:val="2E9D013C"/>
    <w:rsid w:val="2EA026A0"/>
    <w:rsid w:val="2EA43279"/>
    <w:rsid w:val="2EA63495"/>
    <w:rsid w:val="2EA66FF1"/>
    <w:rsid w:val="2EA96AE1"/>
    <w:rsid w:val="2EB45032"/>
    <w:rsid w:val="2EB7753B"/>
    <w:rsid w:val="2EBC6814"/>
    <w:rsid w:val="2EBE07DF"/>
    <w:rsid w:val="2EBF4557"/>
    <w:rsid w:val="2EC102CF"/>
    <w:rsid w:val="2EC13E2B"/>
    <w:rsid w:val="2EC244FD"/>
    <w:rsid w:val="2EC92CDF"/>
    <w:rsid w:val="2EC97183"/>
    <w:rsid w:val="2ECB2EFB"/>
    <w:rsid w:val="2ECB6A58"/>
    <w:rsid w:val="2ED00512"/>
    <w:rsid w:val="2EE10029"/>
    <w:rsid w:val="2EE33AE0"/>
    <w:rsid w:val="2EE43FBD"/>
    <w:rsid w:val="2EE6563F"/>
    <w:rsid w:val="2EE713B8"/>
    <w:rsid w:val="2EE8585B"/>
    <w:rsid w:val="2EEA5E26"/>
    <w:rsid w:val="2EFF3B7B"/>
    <w:rsid w:val="2EFF4953"/>
    <w:rsid w:val="2F0401BB"/>
    <w:rsid w:val="2F070BCC"/>
    <w:rsid w:val="2F0957D2"/>
    <w:rsid w:val="2F155F25"/>
    <w:rsid w:val="2F191EB9"/>
    <w:rsid w:val="2F234AE5"/>
    <w:rsid w:val="2F292AD6"/>
    <w:rsid w:val="2F2D326E"/>
    <w:rsid w:val="2F3960B7"/>
    <w:rsid w:val="2F407445"/>
    <w:rsid w:val="2F416D1A"/>
    <w:rsid w:val="2F436F36"/>
    <w:rsid w:val="2F444CC2"/>
    <w:rsid w:val="2F45680A"/>
    <w:rsid w:val="2F4B5DEA"/>
    <w:rsid w:val="2F61560E"/>
    <w:rsid w:val="2F6572D3"/>
    <w:rsid w:val="2F6B3D97"/>
    <w:rsid w:val="2F713AA3"/>
    <w:rsid w:val="2F770941"/>
    <w:rsid w:val="2F7B66D0"/>
    <w:rsid w:val="2F835584"/>
    <w:rsid w:val="2F8F3F29"/>
    <w:rsid w:val="2F9432ED"/>
    <w:rsid w:val="2F950E14"/>
    <w:rsid w:val="2F9652B7"/>
    <w:rsid w:val="2F996B56"/>
    <w:rsid w:val="2F9D048F"/>
    <w:rsid w:val="2FA84FEB"/>
    <w:rsid w:val="2FAD2601"/>
    <w:rsid w:val="2FAF688A"/>
    <w:rsid w:val="2FB05ED3"/>
    <w:rsid w:val="2FBE036A"/>
    <w:rsid w:val="2FC33BD3"/>
    <w:rsid w:val="2FC36AFB"/>
    <w:rsid w:val="2FCF4325"/>
    <w:rsid w:val="2FD63906"/>
    <w:rsid w:val="2FD9278D"/>
    <w:rsid w:val="2FD936E5"/>
    <w:rsid w:val="2FDE0A0C"/>
    <w:rsid w:val="2FDE6C5E"/>
    <w:rsid w:val="2FEA5603"/>
    <w:rsid w:val="2FF147E1"/>
    <w:rsid w:val="2FF16992"/>
    <w:rsid w:val="2FFE2E5D"/>
    <w:rsid w:val="30073ABF"/>
    <w:rsid w:val="300761B5"/>
    <w:rsid w:val="301C445C"/>
    <w:rsid w:val="301E705B"/>
    <w:rsid w:val="301F34FF"/>
    <w:rsid w:val="30202DD3"/>
    <w:rsid w:val="3025663B"/>
    <w:rsid w:val="302C5C1C"/>
    <w:rsid w:val="303C35C6"/>
    <w:rsid w:val="30450A8C"/>
    <w:rsid w:val="30490EDC"/>
    <w:rsid w:val="304A079B"/>
    <w:rsid w:val="305556AB"/>
    <w:rsid w:val="305725D7"/>
    <w:rsid w:val="305F1B4D"/>
    <w:rsid w:val="3062519A"/>
    <w:rsid w:val="30670A02"/>
    <w:rsid w:val="306E6455"/>
    <w:rsid w:val="306F47D8"/>
    <w:rsid w:val="30711881"/>
    <w:rsid w:val="30731155"/>
    <w:rsid w:val="30782C0F"/>
    <w:rsid w:val="307A24E3"/>
    <w:rsid w:val="3086532C"/>
    <w:rsid w:val="308B2942"/>
    <w:rsid w:val="3090035F"/>
    <w:rsid w:val="309232F2"/>
    <w:rsid w:val="30977539"/>
    <w:rsid w:val="30A12166"/>
    <w:rsid w:val="30A63CC6"/>
    <w:rsid w:val="30AC08CD"/>
    <w:rsid w:val="30AD0B0B"/>
    <w:rsid w:val="30AE6631"/>
    <w:rsid w:val="30B05F05"/>
    <w:rsid w:val="30BC6FA0"/>
    <w:rsid w:val="30C10112"/>
    <w:rsid w:val="30C16364"/>
    <w:rsid w:val="30C4310E"/>
    <w:rsid w:val="30C61BCC"/>
    <w:rsid w:val="30CB0F91"/>
    <w:rsid w:val="30CB2E10"/>
    <w:rsid w:val="30CF3890"/>
    <w:rsid w:val="30DF2C8E"/>
    <w:rsid w:val="30E3634A"/>
    <w:rsid w:val="30E52842"/>
    <w:rsid w:val="30E654AA"/>
    <w:rsid w:val="30E67334"/>
    <w:rsid w:val="30EE2ED1"/>
    <w:rsid w:val="30F312A6"/>
    <w:rsid w:val="30F7099D"/>
    <w:rsid w:val="30F71D86"/>
    <w:rsid w:val="30FD4EC2"/>
    <w:rsid w:val="30FF16F4"/>
    <w:rsid w:val="3102072B"/>
    <w:rsid w:val="31077AEF"/>
    <w:rsid w:val="310821E5"/>
    <w:rsid w:val="311051A4"/>
    <w:rsid w:val="31124E12"/>
    <w:rsid w:val="31204BC0"/>
    <w:rsid w:val="31215055"/>
    <w:rsid w:val="31264419"/>
    <w:rsid w:val="313F54DB"/>
    <w:rsid w:val="3140197F"/>
    <w:rsid w:val="31462D0D"/>
    <w:rsid w:val="314825E1"/>
    <w:rsid w:val="314F5556"/>
    <w:rsid w:val="31532FD9"/>
    <w:rsid w:val="315471D8"/>
    <w:rsid w:val="3159659D"/>
    <w:rsid w:val="316023F9"/>
    <w:rsid w:val="316A4508"/>
    <w:rsid w:val="316D3DF6"/>
    <w:rsid w:val="316F01F6"/>
    <w:rsid w:val="31717D8A"/>
    <w:rsid w:val="3174552B"/>
    <w:rsid w:val="317E74D5"/>
    <w:rsid w:val="318D26EA"/>
    <w:rsid w:val="318F3B73"/>
    <w:rsid w:val="31935A7D"/>
    <w:rsid w:val="31973569"/>
    <w:rsid w:val="31975317"/>
    <w:rsid w:val="319B08B8"/>
    <w:rsid w:val="319B2FCA"/>
    <w:rsid w:val="31A87524"/>
    <w:rsid w:val="31A97892"/>
    <w:rsid w:val="31CC4FC0"/>
    <w:rsid w:val="31CD6F8B"/>
    <w:rsid w:val="31E340B8"/>
    <w:rsid w:val="31E83DC4"/>
    <w:rsid w:val="31EB11BF"/>
    <w:rsid w:val="31ED4F37"/>
    <w:rsid w:val="31F12C79"/>
    <w:rsid w:val="31F167D5"/>
    <w:rsid w:val="31F2079F"/>
    <w:rsid w:val="31F462C5"/>
    <w:rsid w:val="31FB7654"/>
    <w:rsid w:val="31FE0EF2"/>
    <w:rsid w:val="32002EBC"/>
    <w:rsid w:val="32004C6A"/>
    <w:rsid w:val="32171FB4"/>
    <w:rsid w:val="32186458"/>
    <w:rsid w:val="321E3342"/>
    <w:rsid w:val="32222E32"/>
    <w:rsid w:val="322F72FD"/>
    <w:rsid w:val="323B5CA2"/>
    <w:rsid w:val="325133BE"/>
    <w:rsid w:val="32515A09"/>
    <w:rsid w:val="3253123E"/>
    <w:rsid w:val="32537101"/>
    <w:rsid w:val="32546D64"/>
    <w:rsid w:val="325A081E"/>
    <w:rsid w:val="325E7BE3"/>
    <w:rsid w:val="32687567"/>
    <w:rsid w:val="327941FC"/>
    <w:rsid w:val="32794AED"/>
    <w:rsid w:val="3284589B"/>
    <w:rsid w:val="328C4750"/>
    <w:rsid w:val="328F5FEE"/>
    <w:rsid w:val="329119E9"/>
    <w:rsid w:val="32990C1B"/>
    <w:rsid w:val="329A50BF"/>
    <w:rsid w:val="32A93554"/>
    <w:rsid w:val="32A970B0"/>
    <w:rsid w:val="32B54A22"/>
    <w:rsid w:val="32B86E31"/>
    <w:rsid w:val="32BA1751"/>
    <w:rsid w:val="32BB5035"/>
    <w:rsid w:val="32BF4174"/>
    <w:rsid w:val="32C20171"/>
    <w:rsid w:val="32C22AB4"/>
    <w:rsid w:val="32C77752"/>
    <w:rsid w:val="32CB171C"/>
    <w:rsid w:val="32DB1233"/>
    <w:rsid w:val="32DF2AD1"/>
    <w:rsid w:val="32E36F4F"/>
    <w:rsid w:val="32E4458C"/>
    <w:rsid w:val="32E9463D"/>
    <w:rsid w:val="32F50547"/>
    <w:rsid w:val="32FE389F"/>
    <w:rsid w:val="330469DC"/>
    <w:rsid w:val="33092244"/>
    <w:rsid w:val="330E33B7"/>
    <w:rsid w:val="331704BD"/>
    <w:rsid w:val="33185FE3"/>
    <w:rsid w:val="331C1F78"/>
    <w:rsid w:val="33260700"/>
    <w:rsid w:val="33264BA4"/>
    <w:rsid w:val="33265597"/>
    <w:rsid w:val="332B3F69"/>
    <w:rsid w:val="33354DE7"/>
    <w:rsid w:val="33370B5F"/>
    <w:rsid w:val="33396201"/>
    <w:rsid w:val="334D7613"/>
    <w:rsid w:val="33507614"/>
    <w:rsid w:val="33541711"/>
    <w:rsid w:val="335D7E9A"/>
    <w:rsid w:val="335F75FB"/>
    <w:rsid w:val="33633703"/>
    <w:rsid w:val="336D4581"/>
    <w:rsid w:val="3374707B"/>
    <w:rsid w:val="338B0EAB"/>
    <w:rsid w:val="338F274A"/>
    <w:rsid w:val="3392223A"/>
    <w:rsid w:val="339A4C4A"/>
    <w:rsid w:val="339F04B3"/>
    <w:rsid w:val="33B77788"/>
    <w:rsid w:val="33BB2CC2"/>
    <w:rsid w:val="33BE38EE"/>
    <w:rsid w:val="33CA19D4"/>
    <w:rsid w:val="33D2699B"/>
    <w:rsid w:val="33E00490"/>
    <w:rsid w:val="33E12D5E"/>
    <w:rsid w:val="33E24718"/>
    <w:rsid w:val="33E32A95"/>
    <w:rsid w:val="33E52369"/>
    <w:rsid w:val="33E800AC"/>
    <w:rsid w:val="33EB7D36"/>
    <w:rsid w:val="33EF31E8"/>
    <w:rsid w:val="33F16F60"/>
    <w:rsid w:val="33F702EF"/>
    <w:rsid w:val="34056568"/>
    <w:rsid w:val="340A6274"/>
    <w:rsid w:val="340D18C0"/>
    <w:rsid w:val="34120C85"/>
    <w:rsid w:val="34135E1C"/>
    <w:rsid w:val="3416552F"/>
    <w:rsid w:val="341D359D"/>
    <w:rsid w:val="342310E4"/>
    <w:rsid w:val="34274EEA"/>
    <w:rsid w:val="34281218"/>
    <w:rsid w:val="342A2472"/>
    <w:rsid w:val="342B6606"/>
    <w:rsid w:val="342E1F62"/>
    <w:rsid w:val="343432F1"/>
    <w:rsid w:val="343C3F54"/>
    <w:rsid w:val="343E5F1E"/>
    <w:rsid w:val="344057F2"/>
    <w:rsid w:val="344722BE"/>
    <w:rsid w:val="344A224D"/>
    <w:rsid w:val="34525525"/>
    <w:rsid w:val="3454129D"/>
    <w:rsid w:val="34572B3B"/>
    <w:rsid w:val="34584EA4"/>
    <w:rsid w:val="345F027E"/>
    <w:rsid w:val="346258FD"/>
    <w:rsid w:val="346534AA"/>
    <w:rsid w:val="346E6803"/>
    <w:rsid w:val="34750B27"/>
    <w:rsid w:val="34790D04"/>
    <w:rsid w:val="347A51A8"/>
    <w:rsid w:val="347A74EC"/>
    <w:rsid w:val="347D6A46"/>
    <w:rsid w:val="348532B2"/>
    <w:rsid w:val="348576A9"/>
    <w:rsid w:val="349873DC"/>
    <w:rsid w:val="349937BF"/>
    <w:rsid w:val="34A22009"/>
    <w:rsid w:val="34A43FD3"/>
    <w:rsid w:val="34A66242"/>
    <w:rsid w:val="34A73053"/>
    <w:rsid w:val="34B1049E"/>
    <w:rsid w:val="34B15A2D"/>
    <w:rsid w:val="34B32468"/>
    <w:rsid w:val="34B72215"/>
    <w:rsid w:val="34B85CD0"/>
    <w:rsid w:val="34B866F6"/>
    <w:rsid w:val="34CA77B1"/>
    <w:rsid w:val="34CD76C5"/>
    <w:rsid w:val="34D36666"/>
    <w:rsid w:val="34D517B3"/>
    <w:rsid w:val="34DB551B"/>
    <w:rsid w:val="34DB6618"/>
    <w:rsid w:val="34DD5737"/>
    <w:rsid w:val="34E6283D"/>
    <w:rsid w:val="34E70363"/>
    <w:rsid w:val="34F6551E"/>
    <w:rsid w:val="34F914AF"/>
    <w:rsid w:val="34FA1E45"/>
    <w:rsid w:val="34FB5BBD"/>
    <w:rsid w:val="35011425"/>
    <w:rsid w:val="350309D6"/>
    <w:rsid w:val="351153E0"/>
    <w:rsid w:val="35132F06"/>
    <w:rsid w:val="35150A2C"/>
    <w:rsid w:val="351729F7"/>
    <w:rsid w:val="351A51B1"/>
    <w:rsid w:val="351B1DBB"/>
    <w:rsid w:val="3529097C"/>
    <w:rsid w:val="35301D0A"/>
    <w:rsid w:val="35325A82"/>
    <w:rsid w:val="3538296D"/>
    <w:rsid w:val="354B6B44"/>
    <w:rsid w:val="35597AAF"/>
    <w:rsid w:val="356E638F"/>
    <w:rsid w:val="35702107"/>
    <w:rsid w:val="3579793F"/>
    <w:rsid w:val="35812566"/>
    <w:rsid w:val="35847960"/>
    <w:rsid w:val="359202CF"/>
    <w:rsid w:val="35973B37"/>
    <w:rsid w:val="35AD5109"/>
    <w:rsid w:val="35AE2C2F"/>
    <w:rsid w:val="35B20971"/>
    <w:rsid w:val="35B2271F"/>
    <w:rsid w:val="35BC2153"/>
    <w:rsid w:val="35BC70FA"/>
    <w:rsid w:val="35C366DA"/>
    <w:rsid w:val="35C44201"/>
    <w:rsid w:val="35C661CB"/>
    <w:rsid w:val="35C67F79"/>
    <w:rsid w:val="35D501BC"/>
    <w:rsid w:val="35D71A8D"/>
    <w:rsid w:val="35DC59EE"/>
    <w:rsid w:val="35E548A3"/>
    <w:rsid w:val="35FC1BEC"/>
    <w:rsid w:val="360A60B7"/>
    <w:rsid w:val="360F36CE"/>
    <w:rsid w:val="36121410"/>
    <w:rsid w:val="361909F0"/>
    <w:rsid w:val="361C228F"/>
    <w:rsid w:val="361C403D"/>
    <w:rsid w:val="362058DB"/>
    <w:rsid w:val="36237179"/>
    <w:rsid w:val="36441C39"/>
    <w:rsid w:val="364A6DFC"/>
    <w:rsid w:val="365437D6"/>
    <w:rsid w:val="365E28A7"/>
    <w:rsid w:val="366B28CE"/>
    <w:rsid w:val="3679323D"/>
    <w:rsid w:val="3680281D"/>
    <w:rsid w:val="368A1BC1"/>
    <w:rsid w:val="368F2A60"/>
    <w:rsid w:val="368F689A"/>
    <w:rsid w:val="369D6F2B"/>
    <w:rsid w:val="369E4CD3"/>
    <w:rsid w:val="36A209E6"/>
    <w:rsid w:val="36A2696C"/>
    <w:rsid w:val="36AA1648"/>
    <w:rsid w:val="36AC716F"/>
    <w:rsid w:val="36AE1139"/>
    <w:rsid w:val="36B129D7"/>
    <w:rsid w:val="36B67FED"/>
    <w:rsid w:val="36BF3346"/>
    <w:rsid w:val="36C858CE"/>
    <w:rsid w:val="36CC7811"/>
    <w:rsid w:val="36D064E3"/>
    <w:rsid w:val="36DA1F2E"/>
    <w:rsid w:val="36DB5CA6"/>
    <w:rsid w:val="36E0150E"/>
    <w:rsid w:val="36E52680"/>
    <w:rsid w:val="36EB413B"/>
    <w:rsid w:val="36EF52AD"/>
    <w:rsid w:val="36FD79CA"/>
    <w:rsid w:val="36FF25F7"/>
    <w:rsid w:val="370C5E5F"/>
    <w:rsid w:val="370E1BD7"/>
    <w:rsid w:val="371371EE"/>
    <w:rsid w:val="37182A56"/>
    <w:rsid w:val="372E5E1E"/>
    <w:rsid w:val="3733014F"/>
    <w:rsid w:val="374025BE"/>
    <w:rsid w:val="37476E97"/>
    <w:rsid w:val="374B6987"/>
    <w:rsid w:val="37533A8E"/>
    <w:rsid w:val="375F2433"/>
    <w:rsid w:val="37643EED"/>
    <w:rsid w:val="377063EE"/>
    <w:rsid w:val="37712166"/>
    <w:rsid w:val="377759CE"/>
    <w:rsid w:val="377C1237"/>
    <w:rsid w:val="378105FB"/>
    <w:rsid w:val="378123A9"/>
    <w:rsid w:val="37826121"/>
    <w:rsid w:val="37841E99"/>
    <w:rsid w:val="37895702"/>
    <w:rsid w:val="37920A5A"/>
    <w:rsid w:val="379453FA"/>
    <w:rsid w:val="379530C6"/>
    <w:rsid w:val="37971BCD"/>
    <w:rsid w:val="379B616B"/>
    <w:rsid w:val="379D4EBE"/>
    <w:rsid w:val="379F0F1F"/>
    <w:rsid w:val="37A75B88"/>
    <w:rsid w:val="37AA64C4"/>
    <w:rsid w:val="37AB1B1C"/>
    <w:rsid w:val="37AE6F16"/>
    <w:rsid w:val="37B01EA4"/>
    <w:rsid w:val="37B3452D"/>
    <w:rsid w:val="37BE5938"/>
    <w:rsid w:val="37BF2ED1"/>
    <w:rsid w:val="37C11525"/>
    <w:rsid w:val="37C16C4A"/>
    <w:rsid w:val="37C624B2"/>
    <w:rsid w:val="37C914DF"/>
    <w:rsid w:val="37CB1876"/>
    <w:rsid w:val="37CE30A6"/>
    <w:rsid w:val="37E1553E"/>
    <w:rsid w:val="37E63176"/>
    <w:rsid w:val="37EB3CC7"/>
    <w:rsid w:val="37ED0850"/>
    <w:rsid w:val="37F30DCD"/>
    <w:rsid w:val="37F4701F"/>
    <w:rsid w:val="37FE39FA"/>
    <w:rsid w:val="37FE7E9E"/>
    <w:rsid w:val="38000C61"/>
    <w:rsid w:val="38084878"/>
    <w:rsid w:val="380B25BB"/>
    <w:rsid w:val="380B27FE"/>
    <w:rsid w:val="38133004"/>
    <w:rsid w:val="381A338C"/>
    <w:rsid w:val="3832296A"/>
    <w:rsid w:val="38404012"/>
    <w:rsid w:val="3841400E"/>
    <w:rsid w:val="38455154"/>
    <w:rsid w:val="384601AA"/>
    <w:rsid w:val="38521F98"/>
    <w:rsid w:val="38522A39"/>
    <w:rsid w:val="38563836"/>
    <w:rsid w:val="386B03A3"/>
    <w:rsid w:val="387737AC"/>
    <w:rsid w:val="388C0A7F"/>
    <w:rsid w:val="38905AB8"/>
    <w:rsid w:val="389820A0"/>
    <w:rsid w:val="389D76B7"/>
    <w:rsid w:val="38A26A7B"/>
    <w:rsid w:val="38A748FD"/>
    <w:rsid w:val="38A81BB8"/>
    <w:rsid w:val="38B4055C"/>
    <w:rsid w:val="38B431C5"/>
    <w:rsid w:val="38B7004D"/>
    <w:rsid w:val="38B93DC5"/>
    <w:rsid w:val="38C42E95"/>
    <w:rsid w:val="38C83D60"/>
    <w:rsid w:val="38D40BFF"/>
    <w:rsid w:val="38DB1F8D"/>
    <w:rsid w:val="38DF1EBC"/>
    <w:rsid w:val="38E2156D"/>
    <w:rsid w:val="38E47094"/>
    <w:rsid w:val="38E566D6"/>
    <w:rsid w:val="38EC7CF6"/>
    <w:rsid w:val="38FA68B7"/>
    <w:rsid w:val="38FB262F"/>
    <w:rsid w:val="38FB79D2"/>
    <w:rsid w:val="38FD1F03"/>
    <w:rsid w:val="39074B30"/>
    <w:rsid w:val="390C5304"/>
    <w:rsid w:val="390D3E47"/>
    <w:rsid w:val="391060DB"/>
    <w:rsid w:val="391B4A7F"/>
    <w:rsid w:val="391D7376"/>
    <w:rsid w:val="39237490"/>
    <w:rsid w:val="39243934"/>
    <w:rsid w:val="392871CC"/>
    <w:rsid w:val="394904EF"/>
    <w:rsid w:val="39567597"/>
    <w:rsid w:val="39620592"/>
    <w:rsid w:val="39677CC5"/>
    <w:rsid w:val="396B1563"/>
    <w:rsid w:val="396F26D5"/>
    <w:rsid w:val="39700927"/>
    <w:rsid w:val="39783C80"/>
    <w:rsid w:val="397D4DF2"/>
    <w:rsid w:val="398443D3"/>
    <w:rsid w:val="39886048"/>
    <w:rsid w:val="398919E9"/>
    <w:rsid w:val="398A08DA"/>
    <w:rsid w:val="398E6E86"/>
    <w:rsid w:val="3995213C"/>
    <w:rsid w:val="399D5494"/>
    <w:rsid w:val="39A700C1"/>
    <w:rsid w:val="39AB7BB1"/>
    <w:rsid w:val="39B06F76"/>
    <w:rsid w:val="39B20F40"/>
    <w:rsid w:val="39B41D99"/>
    <w:rsid w:val="39BD1693"/>
    <w:rsid w:val="39BE5B37"/>
    <w:rsid w:val="39C62C3D"/>
    <w:rsid w:val="39C96289"/>
    <w:rsid w:val="39D569DC"/>
    <w:rsid w:val="39D864CC"/>
    <w:rsid w:val="39E210F9"/>
    <w:rsid w:val="39E3734B"/>
    <w:rsid w:val="39E9692C"/>
    <w:rsid w:val="39F03816"/>
    <w:rsid w:val="39F710D2"/>
    <w:rsid w:val="39F74BA5"/>
    <w:rsid w:val="39F90DF2"/>
    <w:rsid w:val="39FC040D"/>
    <w:rsid w:val="39FF3A59"/>
    <w:rsid w:val="3A074E84"/>
    <w:rsid w:val="3A145757"/>
    <w:rsid w:val="3A157721"/>
    <w:rsid w:val="3A173499"/>
    <w:rsid w:val="3A1E0383"/>
    <w:rsid w:val="3A2400FD"/>
    <w:rsid w:val="3A2F2590"/>
    <w:rsid w:val="3A305611"/>
    <w:rsid w:val="3A32740F"/>
    <w:rsid w:val="3A476800"/>
    <w:rsid w:val="3A4D0C68"/>
    <w:rsid w:val="3A4D41CA"/>
    <w:rsid w:val="3A523949"/>
    <w:rsid w:val="3A541FF7"/>
    <w:rsid w:val="3A557B1D"/>
    <w:rsid w:val="3A575643"/>
    <w:rsid w:val="3A59760D"/>
    <w:rsid w:val="3A5F55E1"/>
    <w:rsid w:val="3A60099C"/>
    <w:rsid w:val="3A63048C"/>
    <w:rsid w:val="3A6E2E78"/>
    <w:rsid w:val="3A6F3C63"/>
    <w:rsid w:val="3A72247D"/>
    <w:rsid w:val="3A7461F5"/>
    <w:rsid w:val="3A773F37"/>
    <w:rsid w:val="3A7B57D6"/>
    <w:rsid w:val="3A7B6635"/>
    <w:rsid w:val="3A802DEC"/>
    <w:rsid w:val="3A803932"/>
    <w:rsid w:val="3A810912"/>
    <w:rsid w:val="3A8153C2"/>
    <w:rsid w:val="3A826598"/>
    <w:rsid w:val="3A8328DC"/>
    <w:rsid w:val="3A836438"/>
    <w:rsid w:val="3A850402"/>
    <w:rsid w:val="3A881CA1"/>
    <w:rsid w:val="3A977E6F"/>
    <w:rsid w:val="3AA34D2C"/>
    <w:rsid w:val="3AAE4FB5"/>
    <w:rsid w:val="3AB42A96"/>
    <w:rsid w:val="3AB57C56"/>
    <w:rsid w:val="3ABC7B9C"/>
    <w:rsid w:val="3AC102DA"/>
    <w:rsid w:val="3AC70A1B"/>
    <w:rsid w:val="3ACD1DA9"/>
    <w:rsid w:val="3ACF167E"/>
    <w:rsid w:val="3AD153F6"/>
    <w:rsid w:val="3AD216C0"/>
    <w:rsid w:val="3ADB2718"/>
    <w:rsid w:val="3AE25855"/>
    <w:rsid w:val="3AE315CD"/>
    <w:rsid w:val="3AE8273F"/>
    <w:rsid w:val="3AE91A8F"/>
    <w:rsid w:val="3AEA64B7"/>
    <w:rsid w:val="3AF143FE"/>
    <w:rsid w:val="3AFF6407"/>
    <w:rsid w:val="3B037579"/>
    <w:rsid w:val="3B0532F1"/>
    <w:rsid w:val="3B080AB1"/>
    <w:rsid w:val="3B0E03F8"/>
    <w:rsid w:val="3B11613A"/>
    <w:rsid w:val="3B133C60"/>
    <w:rsid w:val="3B155156"/>
    <w:rsid w:val="3B182F33"/>
    <w:rsid w:val="3B255741"/>
    <w:rsid w:val="3B2F65C0"/>
    <w:rsid w:val="3B334302"/>
    <w:rsid w:val="3B3B6D13"/>
    <w:rsid w:val="3B4007CD"/>
    <w:rsid w:val="3B40257B"/>
    <w:rsid w:val="3B4A51A8"/>
    <w:rsid w:val="3B5C582D"/>
    <w:rsid w:val="3B731B02"/>
    <w:rsid w:val="3B7346FF"/>
    <w:rsid w:val="3B7931B4"/>
    <w:rsid w:val="3B800BCA"/>
    <w:rsid w:val="3B871F58"/>
    <w:rsid w:val="3B8B7C9A"/>
    <w:rsid w:val="3B8C4327"/>
    <w:rsid w:val="3B8E1539"/>
    <w:rsid w:val="3B9052B1"/>
    <w:rsid w:val="3B931C19"/>
    <w:rsid w:val="3B9956C9"/>
    <w:rsid w:val="3BA04245"/>
    <w:rsid w:val="3BA1126C"/>
    <w:rsid w:val="3BA64AD4"/>
    <w:rsid w:val="3BAA5C47"/>
    <w:rsid w:val="3BAB3E99"/>
    <w:rsid w:val="3BAC5E63"/>
    <w:rsid w:val="3BBA3572"/>
    <w:rsid w:val="3BBC42F8"/>
    <w:rsid w:val="3BBD1E1E"/>
    <w:rsid w:val="3BBD597A"/>
    <w:rsid w:val="3BBF5B96"/>
    <w:rsid w:val="3BC431AC"/>
    <w:rsid w:val="3BC96A15"/>
    <w:rsid w:val="3BD1646B"/>
    <w:rsid w:val="3BE22BA9"/>
    <w:rsid w:val="3BE47CC6"/>
    <w:rsid w:val="3BE61375"/>
    <w:rsid w:val="3BE73318"/>
    <w:rsid w:val="3BFC3324"/>
    <w:rsid w:val="3BFE66BE"/>
    <w:rsid w:val="3C060232"/>
    <w:rsid w:val="3C116763"/>
    <w:rsid w:val="3C13131B"/>
    <w:rsid w:val="3C1367CF"/>
    <w:rsid w:val="3C177780"/>
    <w:rsid w:val="3C182BAA"/>
    <w:rsid w:val="3C1D466B"/>
    <w:rsid w:val="3C237ED3"/>
    <w:rsid w:val="3C243C4B"/>
    <w:rsid w:val="3C277297"/>
    <w:rsid w:val="3C2957FF"/>
    <w:rsid w:val="3C335C3C"/>
    <w:rsid w:val="3C3420E0"/>
    <w:rsid w:val="3C37397E"/>
    <w:rsid w:val="3C3E2F5F"/>
    <w:rsid w:val="3C3F6B4F"/>
    <w:rsid w:val="3C44609B"/>
    <w:rsid w:val="3C492417"/>
    <w:rsid w:val="3C4D13F4"/>
    <w:rsid w:val="3C51183F"/>
    <w:rsid w:val="3C5E0F0B"/>
    <w:rsid w:val="3C616C4D"/>
    <w:rsid w:val="3C666012"/>
    <w:rsid w:val="3C6C192D"/>
    <w:rsid w:val="3C7C08AF"/>
    <w:rsid w:val="3C7C6D3D"/>
    <w:rsid w:val="3C7F70D3"/>
    <w:rsid w:val="3C942B7F"/>
    <w:rsid w:val="3C9B215F"/>
    <w:rsid w:val="3CA65BA5"/>
    <w:rsid w:val="3CA8662A"/>
    <w:rsid w:val="3CAA23A2"/>
    <w:rsid w:val="3CAD24ED"/>
    <w:rsid w:val="3CB054DF"/>
    <w:rsid w:val="3CB274A9"/>
    <w:rsid w:val="3CB46D7D"/>
    <w:rsid w:val="3CBA010B"/>
    <w:rsid w:val="3CBC20D5"/>
    <w:rsid w:val="3CC05722"/>
    <w:rsid w:val="3CCC056A"/>
    <w:rsid w:val="3CCF005B"/>
    <w:rsid w:val="3CD651F9"/>
    <w:rsid w:val="3CDE3DFA"/>
    <w:rsid w:val="3CE138EA"/>
    <w:rsid w:val="3CEA09F1"/>
    <w:rsid w:val="3CF03B2D"/>
    <w:rsid w:val="3D006466"/>
    <w:rsid w:val="3D0575D8"/>
    <w:rsid w:val="3D1B504E"/>
    <w:rsid w:val="3D251A29"/>
    <w:rsid w:val="3D2E2FD3"/>
    <w:rsid w:val="3D33121C"/>
    <w:rsid w:val="3D3D3216"/>
    <w:rsid w:val="3D406863"/>
    <w:rsid w:val="3D496740"/>
    <w:rsid w:val="3D4F4CF8"/>
    <w:rsid w:val="3D51281E"/>
    <w:rsid w:val="3D5567B2"/>
    <w:rsid w:val="3D566086"/>
    <w:rsid w:val="3D5B544A"/>
    <w:rsid w:val="3D600CB3"/>
    <w:rsid w:val="3D610E5E"/>
    <w:rsid w:val="3D722C4E"/>
    <w:rsid w:val="3D736C38"/>
    <w:rsid w:val="3D803103"/>
    <w:rsid w:val="3D8250CD"/>
    <w:rsid w:val="3D842BF3"/>
    <w:rsid w:val="3D880301"/>
    <w:rsid w:val="3D98044D"/>
    <w:rsid w:val="3D9B1CEB"/>
    <w:rsid w:val="3D9D1F07"/>
    <w:rsid w:val="3D9F17DB"/>
    <w:rsid w:val="3DA6527E"/>
    <w:rsid w:val="3DB01C3A"/>
    <w:rsid w:val="3DB039E8"/>
    <w:rsid w:val="3DB208DC"/>
    <w:rsid w:val="3DB334D8"/>
    <w:rsid w:val="3DC079A3"/>
    <w:rsid w:val="3DC41242"/>
    <w:rsid w:val="3DC76F84"/>
    <w:rsid w:val="3DCC6348"/>
    <w:rsid w:val="3DD376D7"/>
    <w:rsid w:val="3DD60F75"/>
    <w:rsid w:val="3DDC7EF5"/>
    <w:rsid w:val="3DE25B6C"/>
    <w:rsid w:val="3DEB4A20"/>
    <w:rsid w:val="3DED6B34"/>
    <w:rsid w:val="3DEE62BF"/>
    <w:rsid w:val="3DF1015F"/>
    <w:rsid w:val="3DF37D79"/>
    <w:rsid w:val="3DF5764D"/>
    <w:rsid w:val="3DF77869"/>
    <w:rsid w:val="3DF90186"/>
    <w:rsid w:val="3DFD496C"/>
    <w:rsid w:val="3E057699"/>
    <w:rsid w:val="3E09759C"/>
    <w:rsid w:val="3E0E4BB3"/>
    <w:rsid w:val="3E1201FF"/>
    <w:rsid w:val="3E155F41"/>
    <w:rsid w:val="3E173A67"/>
    <w:rsid w:val="3E18158D"/>
    <w:rsid w:val="3E2148E6"/>
    <w:rsid w:val="3E265A58"/>
    <w:rsid w:val="3E32264F"/>
    <w:rsid w:val="3E391C30"/>
    <w:rsid w:val="3E4203B8"/>
    <w:rsid w:val="3E4800C5"/>
    <w:rsid w:val="3E4A424B"/>
    <w:rsid w:val="3E506F79"/>
    <w:rsid w:val="3E6622F9"/>
    <w:rsid w:val="3E772758"/>
    <w:rsid w:val="3E773D18"/>
    <w:rsid w:val="3E7F33BB"/>
    <w:rsid w:val="3E8409D1"/>
    <w:rsid w:val="3E927592"/>
    <w:rsid w:val="3E974BA8"/>
    <w:rsid w:val="3E9A1FA2"/>
    <w:rsid w:val="3E9B4698"/>
    <w:rsid w:val="3E9B7A1A"/>
    <w:rsid w:val="3E9C3F6D"/>
    <w:rsid w:val="3E9C6B44"/>
    <w:rsid w:val="3EA3354D"/>
    <w:rsid w:val="3EB219E2"/>
    <w:rsid w:val="3EB5502E"/>
    <w:rsid w:val="3EB954B1"/>
    <w:rsid w:val="3EBC460F"/>
    <w:rsid w:val="3EC30DB5"/>
    <w:rsid w:val="3EC314F9"/>
    <w:rsid w:val="3ED23E32"/>
    <w:rsid w:val="3ED454B4"/>
    <w:rsid w:val="3ED74FA5"/>
    <w:rsid w:val="3ED855D4"/>
    <w:rsid w:val="3ED951C1"/>
    <w:rsid w:val="3EE80F60"/>
    <w:rsid w:val="3EEB0A50"/>
    <w:rsid w:val="3EFE69D5"/>
    <w:rsid w:val="3F054964"/>
    <w:rsid w:val="3F0A537A"/>
    <w:rsid w:val="3F0F2F00"/>
    <w:rsid w:val="3F1C6E5B"/>
    <w:rsid w:val="3F1F4CA7"/>
    <w:rsid w:val="3F275F2C"/>
    <w:rsid w:val="3F3160DD"/>
    <w:rsid w:val="3F3441A5"/>
    <w:rsid w:val="3F397A0D"/>
    <w:rsid w:val="3F402B4A"/>
    <w:rsid w:val="3F4343E8"/>
    <w:rsid w:val="3F5B3E28"/>
    <w:rsid w:val="3F6727CC"/>
    <w:rsid w:val="3F696EB6"/>
    <w:rsid w:val="3F6A7BC7"/>
    <w:rsid w:val="3F70069E"/>
    <w:rsid w:val="3F7153F9"/>
    <w:rsid w:val="3F724CCD"/>
    <w:rsid w:val="3F7647BE"/>
    <w:rsid w:val="3F7B0026"/>
    <w:rsid w:val="3F86729C"/>
    <w:rsid w:val="3F8A2017"/>
    <w:rsid w:val="3F8B1243"/>
    <w:rsid w:val="3FB13A48"/>
    <w:rsid w:val="3FB61232"/>
    <w:rsid w:val="3FC4377B"/>
    <w:rsid w:val="3FC45529"/>
    <w:rsid w:val="3FC712E3"/>
    <w:rsid w:val="3FD10365"/>
    <w:rsid w:val="3FD17C46"/>
    <w:rsid w:val="3FD80FD4"/>
    <w:rsid w:val="3FD85478"/>
    <w:rsid w:val="3FDC6027"/>
    <w:rsid w:val="3FE060DB"/>
    <w:rsid w:val="3FE931E1"/>
    <w:rsid w:val="3FEA48D8"/>
    <w:rsid w:val="3FF00B39"/>
    <w:rsid w:val="3FF676AC"/>
    <w:rsid w:val="40026051"/>
    <w:rsid w:val="40077B0C"/>
    <w:rsid w:val="40183AC7"/>
    <w:rsid w:val="401A527D"/>
    <w:rsid w:val="401A783F"/>
    <w:rsid w:val="401D10DD"/>
    <w:rsid w:val="4024246B"/>
    <w:rsid w:val="402E5098"/>
    <w:rsid w:val="40347952"/>
    <w:rsid w:val="403D52DB"/>
    <w:rsid w:val="40416B7A"/>
    <w:rsid w:val="404E573A"/>
    <w:rsid w:val="40512B35"/>
    <w:rsid w:val="40580367"/>
    <w:rsid w:val="40583EC3"/>
    <w:rsid w:val="406805AA"/>
    <w:rsid w:val="407261BC"/>
    <w:rsid w:val="40756BD0"/>
    <w:rsid w:val="4077360B"/>
    <w:rsid w:val="407A652F"/>
    <w:rsid w:val="40923879"/>
    <w:rsid w:val="409475F1"/>
    <w:rsid w:val="40953369"/>
    <w:rsid w:val="409C64A6"/>
    <w:rsid w:val="40AE7F87"/>
    <w:rsid w:val="40AE7FB5"/>
    <w:rsid w:val="40B56D2B"/>
    <w:rsid w:val="40B84D47"/>
    <w:rsid w:val="40BB2DD0"/>
    <w:rsid w:val="40C1308E"/>
    <w:rsid w:val="40D300F5"/>
    <w:rsid w:val="40D43E92"/>
    <w:rsid w:val="40E65CAF"/>
    <w:rsid w:val="40F053F7"/>
    <w:rsid w:val="40F57964"/>
    <w:rsid w:val="40F77B80"/>
    <w:rsid w:val="40F956A6"/>
    <w:rsid w:val="40FA4F7A"/>
    <w:rsid w:val="41055DF9"/>
    <w:rsid w:val="41110C42"/>
    <w:rsid w:val="4114428E"/>
    <w:rsid w:val="41195BFF"/>
    <w:rsid w:val="41265D6F"/>
    <w:rsid w:val="412A5860"/>
    <w:rsid w:val="41314E40"/>
    <w:rsid w:val="41401527"/>
    <w:rsid w:val="41474664"/>
    <w:rsid w:val="414B5EEF"/>
    <w:rsid w:val="414C3A28"/>
    <w:rsid w:val="414C7ECC"/>
    <w:rsid w:val="414D59F2"/>
    <w:rsid w:val="41546164"/>
    <w:rsid w:val="415954B9"/>
    <w:rsid w:val="416D36EB"/>
    <w:rsid w:val="417A174A"/>
    <w:rsid w:val="417B430D"/>
    <w:rsid w:val="41801923"/>
    <w:rsid w:val="4182569C"/>
    <w:rsid w:val="419E7F7B"/>
    <w:rsid w:val="419F64A6"/>
    <w:rsid w:val="41A36BD3"/>
    <w:rsid w:val="41A924CD"/>
    <w:rsid w:val="41A970CC"/>
    <w:rsid w:val="41AA69E7"/>
    <w:rsid w:val="41AB5D97"/>
    <w:rsid w:val="41B11ADD"/>
    <w:rsid w:val="41B4781F"/>
    <w:rsid w:val="41B67E55"/>
    <w:rsid w:val="41B75F61"/>
    <w:rsid w:val="41BA554D"/>
    <w:rsid w:val="41BB295C"/>
    <w:rsid w:val="41C55588"/>
    <w:rsid w:val="41CC5FAC"/>
    <w:rsid w:val="41CE08E1"/>
    <w:rsid w:val="41DB4DAC"/>
    <w:rsid w:val="41E72EAD"/>
    <w:rsid w:val="41E9396D"/>
    <w:rsid w:val="41EA4FEF"/>
    <w:rsid w:val="41EE4ADF"/>
    <w:rsid w:val="41F8770C"/>
    <w:rsid w:val="41FF4F3E"/>
    <w:rsid w:val="4207560F"/>
    <w:rsid w:val="42084862"/>
    <w:rsid w:val="420936C7"/>
    <w:rsid w:val="42164E9D"/>
    <w:rsid w:val="421D53C4"/>
    <w:rsid w:val="4230334A"/>
    <w:rsid w:val="42366A43"/>
    <w:rsid w:val="42380450"/>
    <w:rsid w:val="423F17DF"/>
    <w:rsid w:val="423F533B"/>
    <w:rsid w:val="42417305"/>
    <w:rsid w:val="42470693"/>
    <w:rsid w:val="424B6CFD"/>
    <w:rsid w:val="424C5CAA"/>
    <w:rsid w:val="424E37D0"/>
    <w:rsid w:val="4252548F"/>
    <w:rsid w:val="4253528A"/>
    <w:rsid w:val="42734FE4"/>
    <w:rsid w:val="42770F78"/>
    <w:rsid w:val="42892A5A"/>
    <w:rsid w:val="428C60A6"/>
    <w:rsid w:val="428E2B11"/>
    <w:rsid w:val="42935686"/>
    <w:rsid w:val="429804EB"/>
    <w:rsid w:val="42A01D64"/>
    <w:rsid w:val="42A33B1C"/>
    <w:rsid w:val="42B0448A"/>
    <w:rsid w:val="42B07FE6"/>
    <w:rsid w:val="42BA70B7"/>
    <w:rsid w:val="42C10446"/>
    <w:rsid w:val="42CB6BCE"/>
    <w:rsid w:val="42CD2AC9"/>
    <w:rsid w:val="42D24401"/>
    <w:rsid w:val="42D63825"/>
    <w:rsid w:val="42D737C5"/>
    <w:rsid w:val="42D77C69"/>
    <w:rsid w:val="42D9753D"/>
    <w:rsid w:val="42DA1507"/>
    <w:rsid w:val="42DD6902"/>
    <w:rsid w:val="42EA799C"/>
    <w:rsid w:val="42F05477"/>
    <w:rsid w:val="42F75C15"/>
    <w:rsid w:val="42F835E5"/>
    <w:rsid w:val="42F8373B"/>
    <w:rsid w:val="42F9198D"/>
    <w:rsid w:val="42FC7797"/>
    <w:rsid w:val="42FE01EB"/>
    <w:rsid w:val="42FE5942"/>
    <w:rsid w:val="43065E58"/>
    <w:rsid w:val="431869CB"/>
    <w:rsid w:val="431C6BAF"/>
    <w:rsid w:val="43217136"/>
    <w:rsid w:val="43234C5C"/>
    <w:rsid w:val="432B58BF"/>
    <w:rsid w:val="433E1A96"/>
    <w:rsid w:val="433F7092"/>
    <w:rsid w:val="43461566"/>
    <w:rsid w:val="434C41B3"/>
    <w:rsid w:val="434E7D15"/>
    <w:rsid w:val="43581FBB"/>
    <w:rsid w:val="43646F99"/>
    <w:rsid w:val="43650DD1"/>
    <w:rsid w:val="4368266F"/>
    <w:rsid w:val="437234EE"/>
    <w:rsid w:val="437B23A2"/>
    <w:rsid w:val="437E00E5"/>
    <w:rsid w:val="43904600"/>
    <w:rsid w:val="43931DE2"/>
    <w:rsid w:val="439B0C97"/>
    <w:rsid w:val="439F2310"/>
    <w:rsid w:val="43A062AD"/>
    <w:rsid w:val="43A23DD3"/>
    <w:rsid w:val="43A318F9"/>
    <w:rsid w:val="43AC4C52"/>
    <w:rsid w:val="43AD2778"/>
    <w:rsid w:val="43B96287"/>
    <w:rsid w:val="43B9736F"/>
    <w:rsid w:val="43BB6C43"/>
    <w:rsid w:val="43BE4985"/>
    <w:rsid w:val="43C024AB"/>
    <w:rsid w:val="43C04259"/>
    <w:rsid w:val="43C56799"/>
    <w:rsid w:val="43C95804"/>
    <w:rsid w:val="43CD4BC8"/>
    <w:rsid w:val="43D23F8D"/>
    <w:rsid w:val="43DB5537"/>
    <w:rsid w:val="43E47BD9"/>
    <w:rsid w:val="43F958FD"/>
    <w:rsid w:val="44023F98"/>
    <w:rsid w:val="44027DCD"/>
    <w:rsid w:val="440C749E"/>
    <w:rsid w:val="440E3217"/>
    <w:rsid w:val="440F51E1"/>
    <w:rsid w:val="44103433"/>
    <w:rsid w:val="44112D07"/>
    <w:rsid w:val="441A7E0D"/>
    <w:rsid w:val="442073EE"/>
    <w:rsid w:val="44222B9D"/>
    <w:rsid w:val="44223166"/>
    <w:rsid w:val="442619A5"/>
    <w:rsid w:val="44302CD1"/>
    <w:rsid w:val="44337121"/>
    <w:rsid w:val="443469F5"/>
    <w:rsid w:val="44352E99"/>
    <w:rsid w:val="4436276D"/>
    <w:rsid w:val="444529B0"/>
    <w:rsid w:val="4447497A"/>
    <w:rsid w:val="4449347D"/>
    <w:rsid w:val="444F55DD"/>
    <w:rsid w:val="445552E9"/>
    <w:rsid w:val="4455734F"/>
    <w:rsid w:val="44562E10"/>
    <w:rsid w:val="44564BBE"/>
    <w:rsid w:val="44580936"/>
    <w:rsid w:val="445D5F4C"/>
    <w:rsid w:val="445D7CFA"/>
    <w:rsid w:val="44654E01"/>
    <w:rsid w:val="4469669F"/>
    <w:rsid w:val="446C5429"/>
    <w:rsid w:val="44703230"/>
    <w:rsid w:val="44746112"/>
    <w:rsid w:val="44782D86"/>
    <w:rsid w:val="447A6AFE"/>
    <w:rsid w:val="447D039C"/>
    <w:rsid w:val="448654A3"/>
    <w:rsid w:val="448B0D0B"/>
    <w:rsid w:val="44901E7E"/>
    <w:rsid w:val="449D459A"/>
    <w:rsid w:val="44A26055"/>
    <w:rsid w:val="44A65B45"/>
    <w:rsid w:val="44A9665F"/>
    <w:rsid w:val="44A973E3"/>
    <w:rsid w:val="44AE67A8"/>
    <w:rsid w:val="44B26298"/>
    <w:rsid w:val="44B964E9"/>
    <w:rsid w:val="44BE2E8F"/>
    <w:rsid w:val="44BF09B5"/>
    <w:rsid w:val="44BF24D1"/>
    <w:rsid w:val="44C77869"/>
    <w:rsid w:val="44C80078"/>
    <w:rsid w:val="44C935E1"/>
    <w:rsid w:val="44D742CD"/>
    <w:rsid w:val="44D86CA5"/>
    <w:rsid w:val="44DC3315"/>
    <w:rsid w:val="44E346A3"/>
    <w:rsid w:val="44E95A32"/>
    <w:rsid w:val="44EA1C70"/>
    <w:rsid w:val="44F3065E"/>
    <w:rsid w:val="44F543D6"/>
    <w:rsid w:val="44FC5765"/>
    <w:rsid w:val="44FF5255"/>
    <w:rsid w:val="45012D7B"/>
    <w:rsid w:val="45065732"/>
    <w:rsid w:val="450E5498"/>
    <w:rsid w:val="45107462"/>
    <w:rsid w:val="451231DA"/>
    <w:rsid w:val="4513485D"/>
    <w:rsid w:val="451505D5"/>
    <w:rsid w:val="45181E73"/>
    <w:rsid w:val="451A3E3D"/>
    <w:rsid w:val="45232CF2"/>
    <w:rsid w:val="452A3117"/>
    <w:rsid w:val="453018B3"/>
    <w:rsid w:val="4541586E"/>
    <w:rsid w:val="4541761C"/>
    <w:rsid w:val="45433394"/>
    <w:rsid w:val="454A2974"/>
    <w:rsid w:val="454B2248"/>
    <w:rsid w:val="454F3AE7"/>
    <w:rsid w:val="4550160D"/>
    <w:rsid w:val="45513D03"/>
    <w:rsid w:val="455D72FE"/>
    <w:rsid w:val="455E32DA"/>
    <w:rsid w:val="4561381A"/>
    <w:rsid w:val="45620382"/>
    <w:rsid w:val="4568349E"/>
    <w:rsid w:val="457C68A6"/>
    <w:rsid w:val="457F3940"/>
    <w:rsid w:val="45907CA0"/>
    <w:rsid w:val="45965BB9"/>
    <w:rsid w:val="459B4F7E"/>
    <w:rsid w:val="45A02594"/>
    <w:rsid w:val="45AC0F39"/>
    <w:rsid w:val="45AC718B"/>
    <w:rsid w:val="45AD4CB1"/>
    <w:rsid w:val="45AF0A29"/>
    <w:rsid w:val="45B93656"/>
    <w:rsid w:val="45C34DD1"/>
    <w:rsid w:val="45C83899"/>
    <w:rsid w:val="45CC43BA"/>
    <w:rsid w:val="45D87F80"/>
    <w:rsid w:val="45DB181E"/>
    <w:rsid w:val="45DD211B"/>
    <w:rsid w:val="45DE30BD"/>
    <w:rsid w:val="45E904E5"/>
    <w:rsid w:val="45EA1A61"/>
    <w:rsid w:val="45EB55DA"/>
    <w:rsid w:val="45ED50AE"/>
    <w:rsid w:val="45F11042"/>
    <w:rsid w:val="46160AA8"/>
    <w:rsid w:val="461818B8"/>
    <w:rsid w:val="462431C5"/>
    <w:rsid w:val="46276812"/>
    <w:rsid w:val="46290916"/>
    <w:rsid w:val="462C3E28"/>
    <w:rsid w:val="462F3918"/>
    <w:rsid w:val="46380E68"/>
    <w:rsid w:val="4642189D"/>
    <w:rsid w:val="464949DA"/>
    <w:rsid w:val="464C0026"/>
    <w:rsid w:val="46511AE0"/>
    <w:rsid w:val="46534369"/>
    <w:rsid w:val="465A6F43"/>
    <w:rsid w:val="465D66D7"/>
    <w:rsid w:val="46622CED"/>
    <w:rsid w:val="46651AF3"/>
    <w:rsid w:val="466E4440"/>
    <w:rsid w:val="46753A21"/>
    <w:rsid w:val="46767799"/>
    <w:rsid w:val="467A2DE5"/>
    <w:rsid w:val="467F03FC"/>
    <w:rsid w:val="468679DC"/>
    <w:rsid w:val="4689127A"/>
    <w:rsid w:val="469221DE"/>
    <w:rsid w:val="46AC31BB"/>
    <w:rsid w:val="46B300A5"/>
    <w:rsid w:val="46B34A20"/>
    <w:rsid w:val="46B502C1"/>
    <w:rsid w:val="46B80F7B"/>
    <w:rsid w:val="46BA3B31"/>
    <w:rsid w:val="46BD7176"/>
    <w:rsid w:val="46C04AE1"/>
    <w:rsid w:val="46C10A14"/>
    <w:rsid w:val="46C44060"/>
    <w:rsid w:val="46C91677"/>
    <w:rsid w:val="46CC4DBC"/>
    <w:rsid w:val="46D87B0C"/>
    <w:rsid w:val="46DC5450"/>
    <w:rsid w:val="46DC584E"/>
    <w:rsid w:val="46DF70EC"/>
    <w:rsid w:val="46E01544"/>
    <w:rsid w:val="46E2098A"/>
    <w:rsid w:val="46F10BCE"/>
    <w:rsid w:val="46F25071"/>
    <w:rsid w:val="46F81F5C"/>
    <w:rsid w:val="46FE3A16"/>
    <w:rsid w:val="46FF3719"/>
    <w:rsid w:val="47037A80"/>
    <w:rsid w:val="4710374A"/>
    <w:rsid w:val="471274C2"/>
    <w:rsid w:val="471548BC"/>
    <w:rsid w:val="47190850"/>
    <w:rsid w:val="47197F94"/>
    <w:rsid w:val="47215957"/>
    <w:rsid w:val="47283A28"/>
    <w:rsid w:val="472A2E92"/>
    <w:rsid w:val="472B79BF"/>
    <w:rsid w:val="47305383"/>
    <w:rsid w:val="473C62ED"/>
    <w:rsid w:val="47424BA8"/>
    <w:rsid w:val="47431429"/>
    <w:rsid w:val="47451645"/>
    <w:rsid w:val="474D04FA"/>
    <w:rsid w:val="47555600"/>
    <w:rsid w:val="475B4E56"/>
    <w:rsid w:val="475F1FDB"/>
    <w:rsid w:val="4760647F"/>
    <w:rsid w:val="47655843"/>
    <w:rsid w:val="476E0A00"/>
    <w:rsid w:val="477348EC"/>
    <w:rsid w:val="477517FF"/>
    <w:rsid w:val="47767A51"/>
    <w:rsid w:val="478101A3"/>
    <w:rsid w:val="47811F51"/>
    <w:rsid w:val="47863A0C"/>
    <w:rsid w:val="47887784"/>
    <w:rsid w:val="4799729B"/>
    <w:rsid w:val="479E6FA7"/>
    <w:rsid w:val="479F23CA"/>
    <w:rsid w:val="47A520E4"/>
    <w:rsid w:val="47AA14A8"/>
    <w:rsid w:val="47AF6ABF"/>
    <w:rsid w:val="47B02837"/>
    <w:rsid w:val="47B57E4D"/>
    <w:rsid w:val="47CA1B4A"/>
    <w:rsid w:val="47CA56A6"/>
    <w:rsid w:val="47CB0D03"/>
    <w:rsid w:val="47CD163B"/>
    <w:rsid w:val="47D57F3B"/>
    <w:rsid w:val="47EE5F11"/>
    <w:rsid w:val="47EF15B1"/>
    <w:rsid w:val="47F602F8"/>
    <w:rsid w:val="47FD3CCE"/>
    <w:rsid w:val="4803505C"/>
    <w:rsid w:val="48074B4D"/>
    <w:rsid w:val="480B4420"/>
    <w:rsid w:val="480B7D0A"/>
    <w:rsid w:val="480F7446"/>
    <w:rsid w:val="48117779"/>
    <w:rsid w:val="48194880"/>
    <w:rsid w:val="481E59F2"/>
    <w:rsid w:val="48217291"/>
    <w:rsid w:val="483D056E"/>
    <w:rsid w:val="483D40CA"/>
    <w:rsid w:val="484216E1"/>
    <w:rsid w:val="484D0086"/>
    <w:rsid w:val="485458B8"/>
    <w:rsid w:val="48587156"/>
    <w:rsid w:val="485B6C46"/>
    <w:rsid w:val="486A50DB"/>
    <w:rsid w:val="4871646A"/>
    <w:rsid w:val="48733F90"/>
    <w:rsid w:val="48822425"/>
    <w:rsid w:val="48830B4B"/>
    <w:rsid w:val="4884619D"/>
    <w:rsid w:val="489363E0"/>
    <w:rsid w:val="489366AD"/>
    <w:rsid w:val="489839F7"/>
    <w:rsid w:val="489A151D"/>
    <w:rsid w:val="489A776F"/>
    <w:rsid w:val="48A04659"/>
    <w:rsid w:val="48A20889"/>
    <w:rsid w:val="48A51C70"/>
    <w:rsid w:val="48AB197C"/>
    <w:rsid w:val="48B40105"/>
    <w:rsid w:val="48BF5427"/>
    <w:rsid w:val="48BF71D5"/>
    <w:rsid w:val="48C20A74"/>
    <w:rsid w:val="48D32C81"/>
    <w:rsid w:val="48D367DD"/>
    <w:rsid w:val="48D80297"/>
    <w:rsid w:val="48D83DF3"/>
    <w:rsid w:val="48D93A13"/>
    <w:rsid w:val="48EE3617"/>
    <w:rsid w:val="48EF52E1"/>
    <w:rsid w:val="48F25222"/>
    <w:rsid w:val="48F30C2D"/>
    <w:rsid w:val="48F6071D"/>
    <w:rsid w:val="490177EE"/>
    <w:rsid w:val="490966A2"/>
    <w:rsid w:val="49180694"/>
    <w:rsid w:val="491A1BD1"/>
    <w:rsid w:val="4921579A"/>
    <w:rsid w:val="4924528A"/>
    <w:rsid w:val="49267254"/>
    <w:rsid w:val="49282FCC"/>
    <w:rsid w:val="4929464F"/>
    <w:rsid w:val="493019DF"/>
    <w:rsid w:val="49366D6C"/>
    <w:rsid w:val="493C4382"/>
    <w:rsid w:val="4944592C"/>
    <w:rsid w:val="494616A5"/>
    <w:rsid w:val="49494CF1"/>
    <w:rsid w:val="494D658F"/>
    <w:rsid w:val="494E0559"/>
    <w:rsid w:val="49507E2D"/>
    <w:rsid w:val="49523BA5"/>
    <w:rsid w:val="49583186"/>
    <w:rsid w:val="495913D8"/>
    <w:rsid w:val="49617862"/>
    <w:rsid w:val="4965328F"/>
    <w:rsid w:val="49663AF5"/>
    <w:rsid w:val="496935BB"/>
    <w:rsid w:val="497004D0"/>
    <w:rsid w:val="49702AE1"/>
    <w:rsid w:val="4977185E"/>
    <w:rsid w:val="49787384"/>
    <w:rsid w:val="497E0E3E"/>
    <w:rsid w:val="49816239"/>
    <w:rsid w:val="49854854"/>
    <w:rsid w:val="498B355B"/>
    <w:rsid w:val="498E6BA8"/>
    <w:rsid w:val="4990798C"/>
    <w:rsid w:val="49940662"/>
    <w:rsid w:val="49956188"/>
    <w:rsid w:val="499E328F"/>
    <w:rsid w:val="49A73042"/>
    <w:rsid w:val="49AA1C33"/>
    <w:rsid w:val="49B303BC"/>
    <w:rsid w:val="49B52386"/>
    <w:rsid w:val="49B74350"/>
    <w:rsid w:val="49B75708"/>
    <w:rsid w:val="49BC2940"/>
    <w:rsid w:val="49C20131"/>
    <w:rsid w:val="49C36851"/>
    <w:rsid w:val="49CF3448"/>
    <w:rsid w:val="49CF51F6"/>
    <w:rsid w:val="49F509D5"/>
    <w:rsid w:val="49FE5ADB"/>
    <w:rsid w:val="4A0B3079"/>
    <w:rsid w:val="4A121587"/>
    <w:rsid w:val="4A123335"/>
    <w:rsid w:val="4A180C78"/>
    <w:rsid w:val="4A233794"/>
    <w:rsid w:val="4A280DAA"/>
    <w:rsid w:val="4A370FED"/>
    <w:rsid w:val="4A3956EE"/>
    <w:rsid w:val="4A3B288C"/>
    <w:rsid w:val="4A431740"/>
    <w:rsid w:val="4A4D0811"/>
    <w:rsid w:val="4A524C36"/>
    <w:rsid w:val="4A563B69"/>
    <w:rsid w:val="4A58168F"/>
    <w:rsid w:val="4A606796"/>
    <w:rsid w:val="4A630034"/>
    <w:rsid w:val="4A631DE2"/>
    <w:rsid w:val="4A6673AE"/>
    <w:rsid w:val="4A6718D3"/>
    <w:rsid w:val="4A6873F9"/>
    <w:rsid w:val="4A6A2EBD"/>
    <w:rsid w:val="4A743FEF"/>
    <w:rsid w:val="4A757FD0"/>
    <w:rsid w:val="4A791606"/>
    <w:rsid w:val="4A857FAB"/>
    <w:rsid w:val="4A8E46B7"/>
    <w:rsid w:val="4A8E6E5F"/>
    <w:rsid w:val="4A9326C8"/>
    <w:rsid w:val="4A934476"/>
    <w:rsid w:val="4A9A1CA8"/>
    <w:rsid w:val="4A9E5C34"/>
    <w:rsid w:val="4A9F36BB"/>
    <w:rsid w:val="4AA743C5"/>
    <w:rsid w:val="4AB8212E"/>
    <w:rsid w:val="4AB83EDC"/>
    <w:rsid w:val="4ABA5EA6"/>
    <w:rsid w:val="4ABF170F"/>
    <w:rsid w:val="4AC00FE3"/>
    <w:rsid w:val="4AC5484B"/>
    <w:rsid w:val="4ACF7478"/>
    <w:rsid w:val="4AD54A8E"/>
    <w:rsid w:val="4ADA02F6"/>
    <w:rsid w:val="4AE009B5"/>
    <w:rsid w:val="4AE42F23"/>
    <w:rsid w:val="4AF13C65"/>
    <w:rsid w:val="4AF62C56"/>
    <w:rsid w:val="4B013AD5"/>
    <w:rsid w:val="4B0233A9"/>
    <w:rsid w:val="4B09298A"/>
    <w:rsid w:val="4B0C370C"/>
    <w:rsid w:val="4B1B26BD"/>
    <w:rsid w:val="4B1D7B56"/>
    <w:rsid w:val="4B1F21AD"/>
    <w:rsid w:val="4B26683C"/>
    <w:rsid w:val="4B335C59"/>
    <w:rsid w:val="4B3612A5"/>
    <w:rsid w:val="4B4B4D50"/>
    <w:rsid w:val="4B4E65EF"/>
    <w:rsid w:val="4B5005B9"/>
    <w:rsid w:val="4B6127C6"/>
    <w:rsid w:val="4B6978CC"/>
    <w:rsid w:val="4B72052F"/>
    <w:rsid w:val="4B775B0D"/>
    <w:rsid w:val="4B8D5369"/>
    <w:rsid w:val="4B8E3CF3"/>
    <w:rsid w:val="4B983D0E"/>
    <w:rsid w:val="4BA250EF"/>
    <w:rsid w:val="4BA83AA7"/>
    <w:rsid w:val="4BA91A77"/>
    <w:rsid w:val="4BB52B12"/>
    <w:rsid w:val="4BD56D10"/>
    <w:rsid w:val="4BDB2578"/>
    <w:rsid w:val="4BE62CCB"/>
    <w:rsid w:val="4BEA4569"/>
    <w:rsid w:val="4BFC24EE"/>
    <w:rsid w:val="4C082C41"/>
    <w:rsid w:val="4C083132"/>
    <w:rsid w:val="4C0B0C49"/>
    <w:rsid w:val="4C0C0983"/>
    <w:rsid w:val="4C0F3FD0"/>
    <w:rsid w:val="4C121D12"/>
    <w:rsid w:val="4C235CCD"/>
    <w:rsid w:val="4C237A7B"/>
    <w:rsid w:val="4C247D3C"/>
    <w:rsid w:val="4C2555A1"/>
    <w:rsid w:val="4C3103EA"/>
    <w:rsid w:val="4C312198"/>
    <w:rsid w:val="4C324162"/>
    <w:rsid w:val="4C334B0F"/>
    <w:rsid w:val="4C361B10"/>
    <w:rsid w:val="4C39104D"/>
    <w:rsid w:val="4C3E6663"/>
    <w:rsid w:val="4C40062D"/>
    <w:rsid w:val="4C55038A"/>
    <w:rsid w:val="4C610ACC"/>
    <w:rsid w:val="4C6562E6"/>
    <w:rsid w:val="4C696A2E"/>
    <w:rsid w:val="4C6D519A"/>
    <w:rsid w:val="4C6F0F12"/>
    <w:rsid w:val="4C775873"/>
    <w:rsid w:val="4C786019"/>
    <w:rsid w:val="4C856040"/>
    <w:rsid w:val="4C87000A"/>
    <w:rsid w:val="4CAF57B3"/>
    <w:rsid w:val="4CB66B41"/>
    <w:rsid w:val="4CB84667"/>
    <w:rsid w:val="4CB86415"/>
    <w:rsid w:val="4CC01E3B"/>
    <w:rsid w:val="4CC052CA"/>
    <w:rsid w:val="4CD24250"/>
    <w:rsid w:val="4CD3324F"/>
    <w:rsid w:val="4CD92382"/>
    <w:rsid w:val="4CDA6A9C"/>
    <w:rsid w:val="4CDE39A2"/>
    <w:rsid w:val="4CE0596C"/>
    <w:rsid w:val="4CEE62DB"/>
    <w:rsid w:val="4CF60CEC"/>
    <w:rsid w:val="4D001B6A"/>
    <w:rsid w:val="4D070E32"/>
    <w:rsid w:val="4D0E2D62"/>
    <w:rsid w:val="4D106251"/>
    <w:rsid w:val="4D12566C"/>
    <w:rsid w:val="4D1864DD"/>
    <w:rsid w:val="4D1A49A5"/>
    <w:rsid w:val="4D1E35C1"/>
    <w:rsid w:val="4D1F0243"/>
    <w:rsid w:val="4D20220D"/>
    <w:rsid w:val="4D2E492A"/>
    <w:rsid w:val="4D333B30"/>
    <w:rsid w:val="4D357FD7"/>
    <w:rsid w:val="4D371A30"/>
    <w:rsid w:val="4D381304"/>
    <w:rsid w:val="4D3857A8"/>
    <w:rsid w:val="4D3D2DBF"/>
    <w:rsid w:val="4D40640B"/>
    <w:rsid w:val="4D470322"/>
    <w:rsid w:val="4D4E0B28"/>
    <w:rsid w:val="4D583754"/>
    <w:rsid w:val="4D61085B"/>
    <w:rsid w:val="4D616AAD"/>
    <w:rsid w:val="4D6367B9"/>
    <w:rsid w:val="4D695843"/>
    <w:rsid w:val="4D695962"/>
    <w:rsid w:val="4D7D31BB"/>
    <w:rsid w:val="4D866514"/>
    <w:rsid w:val="4D875DE8"/>
    <w:rsid w:val="4D9329DF"/>
    <w:rsid w:val="4D973C81"/>
    <w:rsid w:val="4D994499"/>
    <w:rsid w:val="4D9A5B1B"/>
    <w:rsid w:val="4D9F3131"/>
    <w:rsid w:val="4DA44BEC"/>
    <w:rsid w:val="4DA60964"/>
    <w:rsid w:val="4DA8648A"/>
    <w:rsid w:val="4DB43081"/>
    <w:rsid w:val="4DBA440F"/>
    <w:rsid w:val="4DBA7F6B"/>
    <w:rsid w:val="4DC332C4"/>
    <w:rsid w:val="4DC47EBE"/>
    <w:rsid w:val="4DC808DA"/>
    <w:rsid w:val="4DD915EC"/>
    <w:rsid w:val="4DD94895"/>
    <w:rsid w:val="4DDA685F"/>
    <w:rsid w:val="4DDD05A6"/>
    <w:rsid w:val="4DE00A03"/>
    <w:rsid w:val="4DE17BEE"/>
    <w:rsid w:val="4DE33966"/>
    <w:rsid w:val="4DEC0901"/>
    <w:rsid w:val="4DFC0584"/>
    <w:rsid w:val="4DFF1E22"/>
    <w:rsid w:val="4E000D02"/>
    <w:rsid w:val="4E087FAC"/>
    <w:rsid w:val="4E0B6A19"/>
    <w:rsid w:val="4E1A6C5C"/>
    <w:rsid w:val="4E1C29D4"/>
    <w:rsid w:val="4E1C4782"/>
    <w:rsid w:val="4E21448E"/>
    <w:rsid w:val="4E21623C"/>
    <w:rsid w:val="4E231FB4"/>
    <w:rsid w:val="4E3221F7"/>
    <w:rsid w:val="4E347D1E"/>
    <w:rsid w:val="4E3E1263"/>
    <w:rsid w:val="4E41243B"/>
    <w:rsid w:val="4E485577"/>
    <w:rsid w:val="4E4D0DDF"/>
    <w:rsid w:val="4E5E682D"/>
    <w:rsid w:val="4E636855"/>
    <w:rsid w:val="4E661EA1"/>
    <w:rsid w:val="4E6B74B7"/>
    <w:rsid w:val="4E7A08D1"/>
    <w:rsid w:val="4E7F1CC2"/>
    <w:rsid w:val="4E807407"/>
    <w:rsid w:val="4E813FBD"/>
    <w:rsid w:val="4E834801"/>
    <w:rsid w:val="4E881E17"/>
    <w:rsid w:val="4E8D161D"/>
    <w:rsid w:val="4E8F7485"/>
    <w:rsid w:val="4E933315"/>
    <w:rsid w:val="4E9609D8"/>
    <w:rsid w:val="4E9702AC"/>
    <w:rsid w:val="4EA2112B"/>
    <w:rsid w:val="4EA316A1"/>
    <w:rsid w:val="4EAA6232"/>
    <w:rsid w:val="4EBF75B3"/>
    <w:rsid w:val="4EC53AFA"/>
    <w:rsid w:val="4ECE0172"/>
    <w:rsid w:val="4ED17C62"/>
    <w:rsid w:val="4ED7257A"/>
    <w:rsid w:val="4EDB63EB"/>
    <w:rsid w:val="4EDE29E9"/>
    <w:rsid w:val="4EE31744"/>
    <w:rsid w:val="4EE51018"/>
    <w:rsid w:val="4EE96D5A"/>
    <w:rsid w:val="4EEA2AD2"/>
    <w:rsid w:val="4EEF0F22"/>
    <w:rsid w:val="4EF50234"/>
    <w:rsid w:val="4EF676C9"/>
    <w:rsid w:val="4EFA0F67"/>
    <w:rsid w:val="4EFD3390"/>
    <w:rsid w:val="4F0022F6"/>
    <w:rsid w:val="4F0516BA"/>
    <w:rsid w:val="4F05790C"/>
    <w:rsid w:val="4F11005F"/>
    <w:rsid w:val="4F135B85"/>
    <w:rsid w:val="4F1B0EDE"/>
    <w:rsid w:val="4F1C0F61"/>
    <w:rsid w:val="4F1F277C"/>
    <w:rsid w:val="4F2064F4"/>
    <w:rsid w:val="4F22226C"/>
    <w:rsid w:val="4F2A06BF"/>
    <w:rsid w:val="4F2D7040"/>
    <w:rsid w:val="4F337FD5"/>
    <w:rsid w:val="4F343D4D"/>
    <w:rsid w:val="4F377446"/>
    <w:rsid w:val="4F4B17C3"/>
    <w:rsid w:val="4F4C6D65"/>
    <w:rsid w:val="4F515D29"/>
    <w:rsid w:val="4F604B42"/>
    <w:rsid w:val="4F714FA1"/>
    <w:rsid w:val="4F771576"/>
    <w:rsid w:val="4F894099"/>
    <w:rsid w:val="4F8C5937"/>
    <w:rsid w:val="4F9B49DB"/>
    <w:rsid w:val="4F9B5B7A"/>
    <w:rsid w:val="4FA709C3"/>
    <w:rsid w:val="4FA72771"/>
    <w:rsid w:val="4FB21842"/>
    <w:rsid w:val="4FB629B4"/>
    <w:rsid w:val="4FBB7FCB"/>
    <w:rsid w:val="4FC03A74"/>
    <w:rsid w:val="4FC1484C"/>
    <w:rsid w:val="4FC6709B"/>
    <w:rsid w:val="4FD55530"/>
    <w:rsid w:val="4FE13ED5"/>
    <w:rsid w:val="4FED287A"/>
    <w:rsid w:val="4FEE214E"/>
    <w:rsid w:val="4FF27E90"/>
    <w:rsid w:val="4FF359B6"/>
    <w:rsid w:val="4FF97471"/>
    <w:rsid w:val="4FFA6D45"/>
    <w:rsid w:val="50056699"/>
    <w:rsid w:val="5007625F"/>
    <w:rsid w:val="50096F88"/>
    <w:rsid w:val="50131BB5"/>
    <w:rsid w:val="50137E07"/>
    <w:rsid w:val="50165D78"/>
    <w:rsid w:val="5019366F"/>
    <w:rsid w:val="501E4248"/>
    <w:rsid w:val="50257296"/>
    <w:rsid w:val="502618E8"/>
    <w:rsid w:val="5032028D"/>
    <w:rsid w:val="50354221"/>
    <w:rsid w:val="5038174A"/>
    <w:rsid w:val="50426735"/>
    <w:rsid w:val="5043249A"/>
    <w:rsid w:val="504949D9"/>
    <w:rsid w:val="505C355C"/>
    <w:rsid w:val="50681F00"/>
    <w:rsid w:val="506A211C"/>
    <w:rsid w:val="506B7C43"/>
    <w:rsid w:val="506F4906"/>
    <w:rsid w:val="50770396"/>
    <w:rsid w:val="507E03A4"/>
    <w:rsid w:val="50827466"/>
    <w:rsid w:val="50836D3A"/>
    <w:rsid w:val="508A306F"/>
    <w:rsid w:val="508A631B"/>
    <w:rsid w:val="508F3931"/>
    <w:rsid w:val="50927DD9"/>
    <w:rsid w:val="50942CF5"/>
    <w:rsid w:val="509C604E"/>
    <w:rsid w:val="509F6E0B"/>
    <w:rsid w:val="50A078EC"/>
    <w:rsid w:val="50A15412"/>
    <w:rsid w:val="50A52C7D"/>
    <w:rsid w:val="50A849F3"/>
    <w:rsid w:val="50B23B23"/>
    <w:rsid w:val="50B43398"/>
    <w:rsid w:val="50B67110"/>
    <w:rsid w:val="50B769E4"/>
    <w:rsid w:val="50B82E88"/>
    <w:rsid w:val="50BB0282"/>
    <w:rsid w:val="50BB2978"/>
    <w:rsid w:val="50C3182D"/>
    <w:rsid w:val="50D13F4A"/>
    <w:rsid w:val="50D25FF9"/>
    <w:rsid w:val="50D37CC2"/>
    <w:rsid w:val="50D47596"/>
    <w:rsid w:val="50D61560"/>
    <w:rsid w:val="50E33C7D"/>
    <w:rsid w:val="50E579F5"/>
    <w:rsid w:val="50E772C9"/>
    <w:rsid w:val="50E83041"/>
    <w:rsid w:val="50EA500B"/>
    <w:rsid w:val="50EA5EA6"/>
    <w:rsid w:val="50F46775"/>
    <w:rsid w:val="50F46E15"/>
    <w:rsid w:val="50F814D6"/>
    <w:rsid w:val="50FC089B"/>
    <w:rsid w:val="510559A1"/>
    <w:rsid w:val="51062CAA"/>
    <w:rsid w:val="51077F62"/>
    <w:rsid w:val="510936E3"/>
    <w:rsid w:val="510C31D4"/>
    <w:rsid w:val="510D4856"/>
    <w:rsid w:val="511E4CB5"/>
    <w:rsid w:val="51205D89"/>
    <w:rsid w:val="512C73D2"/>
    <w:rsid w:val="512E4EF8"/>
    <w:rsid w:val="513F5357"/>
    <w:rsid w:val="5144296E"/>
    <w:rsid w:val="514B3CFC"/>
    <w:rsid w:val="51532BB1"/>
    <w:rsid w:val="515B3813"/>
    <w:rsid w:val="515E2EC4"/>
    <w:rsid w:val="516923D4"/>
    <w:rsid w:val="517529E3"/>
    <w:rsid w:val="51786173"/>
    <w:rsid w:val="517D7C2E"/>
    <w:rsid w:val="51825244"/>
    <w:rsid w:val="51826FF2"/>
    <w:rsid w:val="51874608"/>
    <w:rsid w:val="51895F8F"/>
    <w:rsid w:val="51932FAD"/>
    <w:rsid w:val="519A433C"/>
    <w:rsid w:val="51A0391C"/>
    <w:rsid w:val="51A258E6"/>
    <w:rsid w:val="51A4340C"/>
    <w:rsid w:val="51A46F68"/>
    <w:rsid w:val="51A74CAA"/>
    <w:rsid w:val="51BC69A8"/>
    <w:rsid w:val="51BD627C"/>
    <w:rsid w:val="51C07B1A"/>
    <w:rsid w:val="51C21AE4"/>
    <w:rsid w:val="51C615D4"/>
    <w:rsid w:val="51CC4711"/>
    <w:rsid w:val="51D04201"/>
    <w:rsid w:val="51E1640E"/>
    <w:rsid w:val="51E657D3"/>
    <w:rsid w:val="51E90E1F"/>
    <w:rsid w:val="51E9259B"/>
    <w:rsid w:val="51EE4C43"/>
    <w:rsid w:val="51F21579"/>
    <w:rsid w:val="51FA3520"/>
    <w:rsid w:val="51FB0341"/>
    <w:rsid w:val="52036385"/>
    <w:rsid w:val="52075749"/>
    <w:rsid w:val="52081BED"/>
    <w:rsid w:val="5209326F"/>
    <w:rsid w:val="5217598C"/>
    <w:rsid w:val="521C2FA3"/>
    <w:rsid w:val="52263E21"/>
    <w:rsid w:val="522E717A"/>
    <w:rsid w:val="52304CA0"/>
    <w:rsid w:val="52306A4E"/>
    <w:rsid w:val="5246001F"/>
    <w:rsid w:val="52500E9E"/>
    <w:rsid w:val="525070F0"/>
    <w:rsid w:val="525B4B70"/>
    <w:rsid w:val="525F5585"/>
    <w:rsid w:val="52691F60"/>
    <w:rsid w:val="52694EC1"/>
    <w:rsid w:val="52765240"/>
    <w:rsid w:val="5281374D"/>
    <w:rsid w:val="528B637A"/>
    <w:rsid w:val="528D5C4E"/>
    <w:rsid w:val="52911BE2"/>
    <w:rsid w:val="52923265"/>
    <w:rsid w:val="529835CD"/>
    <w:rsid w:val="529848F0"/>
    <w:rsid w:val="52AB4326"/>
    <w:rsid w:val="52AF15F9"/>
    <w:rsid w:val="52B633F7"/>
    <w:rsid w:val="52B64FBE"/>
    <w:rsid w:val="52B96A43"/>
    <w:rsid w:val="52BB6B33"/>
    <w:rsid w:val="52C04276"/>
    <w:rsid w:val="52C35B14"/>
    <w:rsid w:val="52C71B78"/>
    <w:rsid w:val="52D95337"/>
    <w:rsid w:val="52D970E6"/>
    <w:rsid w:val="52DC0984"/>
    <w:rsid w:val="52ED2B91"/>
    <w:rsid w:val="52F21F55"/>
    <w:rsid w:val="52F33BF2"/>
    <w:rsid w:val="52F537F4"/>
    <w:rsid w:val="52F61A46"/>
    <w:rsid w:val="52F66134"/>
    <w:rsid w:val="52FE4D9E"/>
    <w:rsid w:val="53020B78"/>
    <w:rsid w:val="53024F4F"/>
    <w:rsid w:val="53061E85"/>
    <w:rsid w:val="53085941"/>
    <w:rsid w:val="53226CDE"/>
    <w:rsid w:val="532365B3"/>
    <w:rsid w:val="532C5467"/>
    <w:rsid w:val="532D3DB9"/>
    <w:rsid w:val="533267F6"/>
    <w:rsid w:val="53492B23"/>
    <w:rsid w:val="534A3B3F"/>
    <w:rsid w:val="535455F6"/>
    <w:rsid w:val="53591FD4"/>
    <w:rsid w:val="536746F1"/>
    <w:rsid w:val="53746E0E"/>
    <w:rsid w:val="53784B50"/>
    <w:rsid w:val="538232D9"/>
    <w:rsid w:val="538476F6"/>
    <w:rsid w:val="538A5CD0"/>
    <w:rsid w:val="538C23AA"/>
    <w:rsid w:val="538F3C48"/>
    <w:rsid w:val="5391176E"/>
    <w:rsid w:val="5394300C"/>
    <w:rsid w:val="53A019B1"/>
    <w:rsid w:val="53A15C35"/>
    <w:rsid w:val="53A45945"/>
    <w:rsid w:val="53AA070D"/>
    <w:rsid w:val="53B025A8"/>
    <w:rsid w:val="53B4545D"/>
    <w:rsid w:val="53BA5711"/>
    <w:rsid w:val="53C102A5"/>
    <w:rsid w:val="53C83FB8"/>
    <w:rsid w:val="53D02297"/>
    <w:rsid w:val="53D31D87"/>
    <w:rsid w:val="53D855EF"/>
    <w:rsid w:val="53DB172D"/>
    <w:rsid w:val="53DD2C05"/>
    <w:rsid w:val="53DF24DA"/>
    <w:rsid w:val="53E43F94"/>
    <w:rsid w:val="53E93358"/>
    <w:rsid w:val="53EC2E48"/>
    <w:rsid w:val="53FC12DE"/>
    <w:rsid w:val="53FF0DCE"/>
    <w:rsid w:val="540208BE"/>
    <w:rsid w:val="540F204F"/>
    <w:rsid w:val="541505F1"/>
    <w:rsid w:val="54183C3E"/>
    <w:rsid w:val="541D3002"/>
    <w:rsid w:val="54240834"/>
    <w:rsid w:val="542E520F"/>
    <w:rsid w:val="543A1E06"/>
    <w:rsid w:val="543C3DD0"/>
    <w:rsid w:val="54420DB4"/>
    <w:rsid w:val="544746BE"/>
    <w:rsid w:val="5449029B"/>
    <w:rsid w:val="54492049"/>
    <w:rsid w:val="544F05B1"/>
    <w:rsid w:val="544F1550"/>
    <w:rsid w:val="54501629"/>
    <w:rsid w:val="54534C76"/>
    <w:rsid w:val="54574766"/>
    <w:rsid w:val="545D0EFB"/>
    <w:rsid w:val="546155E5"/>
    <w:rsid w:val="54624EB9"/>
    <w:rsid w:val="5463310B"/>
    <w:rsid w:val="546450D5"/>
    <w:rsid w:val="54694499"/>
    <w:rsid w:val="546B6463"/>
    <w:rsid w:val="546C2DC0"/>
    <w:rsid w:val="547C5F7A"/>
    <w:rsid w:val="54810AC6"/>
    <w:rsid w:val="54837309"/>
    <w:rsid w:val="5488491F"/>
    <w:rsid w:val="548968E9"/>
    <w:rsid w:val="548C6258"/>
    <w:rsid w:val="549332C4"/>
    <w:rsid w:val="54977258"/>
    <w:rsid w:val="549F7F9E"/>
    <w:rsid w:val="54A51975"/>
    <w:rsid w:val="54A656ED"/>
    <w:rsid w:val="54B0031A"/>
    <w:rsid w:val="54B24092"/>
    <w:rsid w:val="54C067AF"/>
    <w:rsid w:val="54C3004D"/>
    <w:rsid w:val="54C6369A"/>
    <w:rsid w:val="54C94F38"/>
    <w:rsid w:val="54CB0CB0"/>
    <w:rsid w:val="54D37115"/>
    <w:rsid w:val="54D73AF9"/>
    <w:rsid w:val="54D933CD"/>
    <w:rsid w:val="54F2623D"/>
    <w:rsid w:val="54F71AA5"/>
    <w:rsid w:val="54F9581D"/>
    <w:rsid w:val="54FC355F"/>
    <w:rsid w:val="54FE0148"/>
    <w:rsid w:val="550348EE"/>
    <w:rsid w:val="5504725A"/>
    <w:rsid w:val="550A17D8"/>
    <w:rsid w:val="550D751A"/>
    <w:rsid w:val="551157A3"/>
    <w:rsid w:val="55115E79"/>
    <w:rsid w:val="55180399"/>
    <w:rsid w:val="551E7032"/>
    <w:rsid w:val="5520724E"/>
    <w:rsid w:val="55207A5F"/>
    <w:rsid w:val="55215DAD"/>
    <w:rsid w:val="552A05A0"/>
    <w:rsid w:val="55306D65"/>
    <w:rsid w:val="55342CF9"/>
    <w:rsid w:val="553700F3"/>
    <w:rsid w:val="553E5926"/>
    <w:rsid w:val="554A42CB"/>
    <w:rsid w:val="554C0043"/>
    <w:rsid w:val="5552317F"/>
    <w:rsid w:val="55560EC1"/>
    <w:rsid w:val="555962BC"/>
    <w:rsid w:val="555B64D8"/>
    <w:rsid w:val="555E1B24"/>
    <w:rsid w:val="555E27DC"/>
    <w:rsid w:val="55967510"/>
    <w:rsid w:val="559B68D4"/>
    <w:rsid w:val="55A03041"/>
    <w:rsid w:val="55A734CB"/>
    <w:rsid w:val="55A75279"/>
    <w:rsid w:val="55AA2FBB"/>
    <w:rsid w:val="55AC0AE1"/>
    <w:rsid w:val="55AD225A"/>
    <w:rsid w:val="55AD7F3B"/>
    <w:rsid w:val="55B026BB"/>
    <w:rsid w:val="55B16A87"/>
    <w:rsid w:val="55B81234"/>
    <w:rsid w:val="55BF0815"/>
    <w:rsid w:val="55C24738"/>
    <w:rsid w:val="55CF47D0"/>
    <w:rsid w:val="55D3606E"/>
    <w:rsid w:val="55D41647"/>
    <w:rsid w:val="55DD513F"/>
    <w:rsid w:val="55DD6EED"/>
    <w:rsid w:val="55DF0EB7"/>
    <w:rsid w:val="55E738C7"/>
    <w:rsid w:val="55E97640"/>
    <w:rsid w:val="55F04E72"/>
    <w:rsid w:val="55F847C8"/>
    <w:rsid w:val="560B3FC7"/>
    <w:rsid w:val="560D6F51"/>
    <w:rsid w:val="56187F25"/>
    <w:rsid w:val="561C2065"/>
    <w:rsid w:val="561D378D"/>
    <w:rsid w:val="5620556A"/>
    <w:rsid w:val="56226FF5"/>
    <w:rsid w:val="56242D6E"/>
    <w:rsid w:val="56352885"/>
    <w:rsid w:val="56396002"/>
    <w:rsid w:val="563E5EBA"/>
    <w:rsid w:val="563F54B2"/>
    <w:rsid w:val="564178E0"/>
    <w:rsid w:val="56574EF1"/>
    <w:rsid w:val="565F3DA6"/>
    <w:rsid w:val="565F7902"/>
    <w:rsid w:val="5661367A"/>
    <w:rsid w:val="56617B1E"/>
    <w:rsid w:val="5671683F"/>
    <w:rsid w:val="567710EF"/>
    <w:rsid w:val="567B2EC2"/>
    <w:rsid w:val="567C6706"/>
    <w:rsid w:val="56812C83"/>
    <w:rsid w:val="5683680D"/>
    <w:rsid w:val="56867584"/>
    <w:rsid w:val="569021B1"/>
    <w:rsid w:val="56905D0D"/>
    <w:rsid w:val="56955BB5"/>
    <w:rsid w:val="569972B8"/>
    <w:rsid w:val="569F23F4"/>
    <w:rsid w:val="56A1160C"/>
    <w:rsid w:val="56AC069C"/>
    <w:rsid w:val="56B07EAF"/>
    <w:rsid w:val="56B37C4E"/>
    <w:rsid w:val="56B440F1"/>
    <w:rsid w:val="56CF5FB2"/>
    <w:rsid w:val="56D57BC4"/>
    <w:rsid w:val="56DB78D0"/>
    <w:rsid w:val="56DD21CC"/>
    <w:rsid w:val="56E02076"/>
    <w:rsid w:val="56EF78FD"/>
    <w:rsid w:val="56F049FE"/>
    <w:rsid w:val="56FE536D"/>
    <w:rsid w:val="57087F99"/>
    <w:rsid w:val="570F1857"/>
    <w:rsid w:val="5712706A"/>
    <w:rsid w:val="571701DC"/>
    <w:rsid w:val="571B1A95"/>
    <w:rsid w:val="572D7A00"/>
    <w:rsid w:val="572F3778"/>
    <w:rsid w:val="57454D4A"/>
    <w:rsid w:val="574865E8"/>
    <w:rsid w:val="574C257C"/>
    <w:rsid w:val="57550741"/>
    <w:rsid w:val="57560D05"/>
    <w:rsid w:val="57563930"/>
    <w:rsid w:val="575B631B"/>
    <w:rsid w:val="575C7842"/>
    <w:rsid w:val="575E22AF"/>
    <w:rsid w:val="576171E9"/>
    <w:rsid w:val="576B22D6"/>
    <w:rsid w:val="576C677A"/>
    <w:rsid w:val="576C7EBC"/>
    <w:rsid w:val="577B69BD"/>
    <w:rsid w:val="57832F33"/>
    <w:rsid w:val="57842C6E"/>
    <w:rsid w:val="57852D3D"/>
    <w:rsid w:val="578D68C8"/>
    <w:rsid w:val="579730CB"/>
    <w:rsid w:val="57A525D0"/>
    <w:rsid w:val="57A75A04"/>
    <w:rsid w:val="57A852D8"/>
    <w:rsid w:val="57AC301B"/>
    <w:rsid w:val="57AC6B77"/>
    <w:rsid w:val="57B10631"/>
    <w:rsid w:val="57B13CA2"/>
    <w:rsid w:val="57B95737"/>
    <w:rsid w:val="57C2639A"/>
    <w:rsid w:val="57C55E8A"/>
    <w:rsid w:val="57C87729"/>
    <w:rsid w:val="57CC0FC7"/>
    <w:rsid w:val="57CD4D3F"/>
    <w:rsid w:val="57D91936"/>
    <w:rsid w:val="57DA7B88"/>
    <w:rsid w:val="57E52089"/>
    <w:rsid w:val="57E9601D"/>
    <w:rsid w:val="57F347A6"/>
    <w:rsid w:val="57F36788"/>
    <w:rsid w:val="57F64296"/>
    <w:rsid w:val="57FB365A"/>
    <w:rsid w:val="58011A7D"/>
    <w:rsid w:val="58020E8D"/>
    <w:rsid w:val="580B5F93"/>
    <w:rsid w:val="581F37ED"/>
    <w:rsid w:val="582B03E3"/>
    <w:rsid w:val="582B2191"/>
    <w:rsid w:val="582C415B"/>
    <w:rsid w:val="582D52F7"/>
    <w:rsid w:val="58311772"/>
    <w:rsid w:val="58313520"/>
    <w:rsid w:val="58376A76"/>
    <w:rsid w:val="584119B5"/>
    <w:rsid w:val="58450D79"/>
    <w:rsid w:val="58490869"/>
    <w:rsid w:val="58496ABB"/>
    <w:rsid w:val="5851771E"/>
    <w:rsid w:val="585B234B"/>
    <w:rsid w:val="585B5F86"/>
    <w:rsid w:val="58615EC5"/>
    <w:rsid w:val="58647451"/>
    <w:rsid w:val="58675193"/>
    <w:rsid w:val="5878286A"/>
    <w:rsid w:val="588500FC"/>
    <w:rsid w:val="588875E4"/>
    <w:rsid w:val="588B70D4"/>
    <w:rsid w:val="58900246"/>
    <w:rsid w:val="5893377F"/>
    <w:rsid w:val="589A7317"/>
    <w:rsid w:val="58A522E4"/>
    <w:rsid w:val="58A61818"/>
    <w:rsid w:val="58A957AC"/>
    <w:rsid w:val="58AD0DF8"/>
    <w:rsid w:val="58B029C7"/>
    <w:rsid w:val="58B044DC"/>
    <w:rsid w:val="58B20E3C"/>
    <w:rsid w:val="58B303D9"/>
    <w:rsid w:val="58B51F19"/>
    <w:rsid w:val="58B8154B"/>
    <w:rsid w:val="58BE1257"/>
    <w:rsid w:val="58BF3EED"/>
    <w:rsid w:val="58C47EF0"/>
    <w:rsid w:val="58C67595"/>
    <w:rsid w:val="58CA156E"/>
    <w:rsid w:val="58CE6FC1"/>
    <w:rsid w:val="58D04AE7"/>
    <w:rsid w:val="58D8399B"/>
    <w:rsid w:val="58DA5965"/>
    <w:rsid w:val="58DF5C1C"/>
    <w:rsid w:val="58E40592"/>
    <w:rsid w:val="58E6255C"/>
    <w:rsid w:val="58EB7B73"/>
    <w:rsid w:val="58EE1C65"/>
    <w:rsid w:val="58F307D5"/>
    <w:rsid w:val="58F447DB"/>
    <w:rsid w:val="58F702C5"/>
    <w:rsid w:val="58FA1B64"/>
    <w:rsid w:val="58FF53CC"/>
    <w:rsid w:val="58FF717A"/>
    <w:rsid w:val="59017396"/>
    <w:rsid w:val="59034EBC"/>
    <w:rsid w:val="59080725"/>
    <w:rsid w:val="59086C0F"/>
    <w:rsid w:val="59091DA7"/>
    <w:rsid w:val="5909638E"/>
    <w:rsid w:val="590A624B"/>
    <w:rsid w:val="59140E77"/>
    <w:rsid w:val="5915074C"/>
    <w:rsid w:val="591A45A6"/>
    <w:rsid w:val="59281F8A"/>
    <w:rsid w:val="59292C21"/>
    <w:rsid w:val="592B7F6F"/>
    <w:rsid w:val="593037D7"/>
    <w:rsid w:val="593432C8"/>
    <w:rsid w:val="59367040"/>
    <w:rsid w:val="593908DE"/>
    <w:rsid w:val="593C217C"/>
    <w:rsid w:val="593E17CC"/>
    <w:rsid w:val="594378C6"/>
    <w:rsid w:val="59445A94"/>
    <w:rsid w:val="59457283"/>
    <w:rsid w:val="595219A0"/>
    <w:rsid w:val="5955323E"/>
    <w:rsid w:val="595C637A"/>
    <w:rsid w:val="59615F2E"/>
    <w:rsid w:val="596831CE"/>
    <w:rsid w:val="596A6CE9"/>
    <w:rsid w:val="59701E26"/>
    <w:rsid w:val="59781A92"/>
    <w:rsid w:val="5979517E"/>
    <w:rsid w:val="5980475F"/>
    <w:rsid w:val="5980496A"/>
    <w:rsid w:val="59910946"/>
    <w:rsid w:val="599D70BF"/>
    <w:rsid w:val="59A3044D"/>
    <w:rsid w:val="59A541C5"/>
    <w:rsid w:val="59B14918"/>
    <w:rsid w:val="59B26E9A"/>
    <w:rsid w:val="59BE5287"/>
    <w:rsid w:val="59C503C4"/>
    <w:rsid w:val="59C7413C"/>
    <w:rsid w:val="59CC4163"/>
    <w:rsid w:val="59D46859"/>
    <w:rsid w:val="59D6437F"/>
    <w:rsid w:val="59D979CB"/>
    <w:rsid w:val="59E36A9C"/>
    <w:rsid w:val="59E720E8"/>
    <w:rsid w:val="59EA1BD8"/>
    <w:rsid w:val="59EC25F4"/>
    <w:rsid w:val="59F82547"/>
    <w:rsid w:val="59FD7B5D"/>
    <w:rsid w:val="5A0057BD"/>
    <w:rsid w:val="5A0F121B"/>
    <w:rsid w:val="5A1218E8"/>
    <w:rsid w:val="5A13386E"/>
    <w:rsid w:val="5A156B40"/>
    <w:rsid w:val="5A1D0200"/>
    <w:rsid w:val="5A1D3D5C"/>
    <w:rsid w:val="5A225816"/>
    <w:rsid w:val="5A2C0443"/>
    <w:rsid w:val="5A33532D"/>
    <w:rsid w:val="5A36306F"/>
    <w:rsid w:val="5A504131"/>
    <w:rsid w:val="5A56162A"/>
    <w:rsid w:val="5A5B2A18"/>
    <w:rsid w:val="5A5F6122"/>
    <w:rsid w:val="5A623E64"/>
    <w:rsid w:val="5A663955"/>
    <w:rsid w:val="5A67147B"/>
    <w:rsid w:val="5A6776CD"/>
    <w:rsid w:val="5A7A12EB"/>
    <w:rsid w:val="5A820063"/>
    <w:rsid w:val="5A84202D"/>
    <w:rsid w:val="5A845B89"/>
    <w:rsid w:val="5A8738CB"/>
    <w:rsid w:val="5A897643"/>
    <w:rsid w:val="5A9075BE"/>
    <w:rsid w:val="5A964B15"/>
    <w:rsid w:val="5A9B203B"/>
    <w:rsid w:val="5A9D4E9D"/>
    <w:rsid w:val="5A9F5E78"/>
    <w:rsid w:val="5AA569F2"/>
    <w:rsid w:val="5AA77AC9"/>
    <w:rsid w:val="5AAA3BFD"/>
    <w:rsid w:val="5AAB580B"/>
    <w:rsid w:val="5ABB5323"/>
    <w:rsid w:val="5AC62645"/>
    <w:rsid w:val="5AC73CC7"/>
    <w:rsid w:val="5ACB0EAD"/>
    <w:rsid w:val="5ADA7E9F"/>
    <w:rsid w:val="5ADC5E04"/>
    <w:rsid w:val="5ADE798F"/>
    <w:rsid w:val="5AE96334"/>
    <w:rsid w:val="5AF00823"/>
    <w:rsid w:val="5AF2412D"/>
    <w:rsid w:val="5AF26F96"/>
    <w:rsid w:val="5AFA5E4B"/>
    <w:rsid w:val="5AFF3461"/>
    <w:rsid w:val="5B09351B"/>
    <w:rsid w:val="5B10566E"/>
    <w:rsid w:val="5B123195"/>
    <w:rsid w:val="5B1A473F"/>
    <w:rsid w:val="5B1C2265"/>
    <w:rsid w:val="5B1C4013"/>
    <w:rsid w:val="5B2335F4"/>
    <w:rsid w:val="5B280C0A"/>
    <w:rsid w:val="5B351579"/>
    <w:rsid w:val="5B445F59"/>
    <w:rsid w:val="5B48305A"/>
    <w:rsid w:val="5B4D68C3"/>
    <w:rsid w:val="5B547C51"/>
    <w:rsid w:val="5B5E287E"/>
    <w:rsid w:val="5B5E4948"/>
    <w:rsid w:val="5B60597F"/>
    <w:rsid w:val="5B6836FC"/>
    <w:rsid w:val="5B751975"/>
    <w:rsid w:val="5B7E082A"/>
    <w:rsid w:val="5B83126C"/>
    <w:rsid w:val="5B86208E"/>
    <w:rsid w:val="5B8C60DD"/>
    <w:rsid w:val="5B920779"/>
    <w:rsid w:val="5B9C33A6"/>
    <w:rsid w:val="5BA04B01"/>
    <w:rsid w:val="5BA34735"/>
    <w:rsid w:val="5BA8207E"/>
    <w:rsid w:val="5BA83AF9"/>
    <w:rsid w:val="5BAF4E87"/>
    <w:rsid w:val="5BC052E6"/>
    <w:rsid w:val="5BC36B85"/>
    <w:rsid w:val="5BC630CA"/>
    <w:rsid w:val="5BCF552A"/>
    <w:rsid w:val="5BD668B8"/>
    <w:rsid w:val="5BD90156"/>
    <w:rsid w:val="5BE3082B"/>
    <w:rsid w:val="5BE30FD5"/>
    <w:rsid w:val="5BE72873"/>
    <w:rsid w:val="5BF40AEC"/>
    <w:rsid w:val="5BF64864"/>
    <w:rsid w:val="5BFF0A01"/>
    <w:rsid w:val="5C05719D"/>
    <w:rsid w:val="5C076A71"/>
    <w:rsid w:val="5C0C052C"/>
    <w:rsid w:val="5C0C58DA"/>
    <w:rsid w:val="5C1B42CB"/>
    <w:rsid w:val="5C1C655D"/>
    <w:rsid w:val="5C2313D1"/>
    <w:rsid w:val="5C2525A3"/>
    <w:rsid w:val="5C2A09B2"/>
    <w:rsid w:val="5C2C64D8"/>
    <w:rsid w:val="5C2F5FC8"/>
    <w:rsid w:val="5C321F7A"/>
    <w:rsid w:val="5C3A6E47"/>
    <w:rsid w:val="5C45759A"/>
    <w:rsid w:val="5C4F0418"/>
    <w:rsid w:val="5C4F54BC"/>
    <w:rsid w:val="5C537F09"/>
    <w:rsid w:val="5C5C4A25"/>
    <w:rsid w:val="5C602626"/>
    <w:rsid w:val="5C6914DA"/>
    <w:rsid w:val="5C730E0D"/>
    <w:rsid w:val="5C7834CB"/>
    <w:rsid w:val="5C7A36E7"/>
    <w:rsid w:val="5C7A5495"/>
    <w:rsid w:val="5C7A54B2"/>
    <w:rsid w:val="5C7F0CFE"/>
    <w:rsid w:val="5C8005D2"/>
    <w:rsid w:val="5C8D47B8"/>
    <w:rsid w:val="5C967DF5"/>
    <w:rsid w:val="5C98591B"/>
    <w:rsid w:val="5C9A7129"/>
    <w:rsid w:val="5C9F4EFC"/>
    <w:rsid w:val="5CA16EC6"/>
    <w:rsid w:val="5CAC586B"/>
    <w:rsid w:val="5CBB1351"/>
    <w:rsid w:val="5CCB5CF1"/>
    <w:rsid w:val="5CCC1A69"/>
    <w:rsid w:val="5CCC3817"/>
    <w:rsid w:val="5CD94CD3"/>
    <w:rsid w:val="5CDB3A5A"/>
    <w:rsid w:val="5CF05758"/>
    <w:rsid w:val="5CF60E57"/>
    <w:rsid w:val="5CFD1C22"/>
    <w:rsid w:val="5D014829"/>
    <w:rsid w:val="5D041203"/>
    <w:rsid w:val="5D064F7B"/>
    <w:rsid w:val="5D0E5BDE"/>
    <w:rsid w:val="5D186A5C"/>
    <w:rsid w:val="5D192F00"/>
    <w:rsid w:val="5D1C654D"/>
    <w:rsid w:val="5D2A1793"/>
    <w:rsid w:val="5D301FF8"/>
    <w:rsid w:val="5D333896"/>
    <w:rsid w:val="5D38785B"/>
    <w:rsid w:val="5D395350"/>
    <w:rsid w:val="5D3A70EE"/>
    <w:rsid w:val="5D3E2B37"/>
    <w:rsid w:val="5D445AA3"/>
    <w:rsid w:val="5D447851"/>
    <w:rsid w:val="5D467A6D"/>
    <w:rsid w:val="5D4B0BE0"/>
    <w:rsid w:val="5D526412"/>
    <w:rsid w:val="5D556258"/>
    <w:rsid w:val="5D557CB0"/>
    <w:rsid w:val="5D5C2DED"/>
    <w:rsid w:val="5D663C6C"/>
    <w:rsid w:val="5D6677C8"/>
    <w:rsid w:val="5D6B74D4"/>
    <w:rsid w:val="5D6D4FFA"/>
    <w:rsid w:val="5D72616D"/>
    <w:rsid w:val="5D83037A"/>
    <w:rsid w:val="5D852344"/>
    <w:rsid w:val="5D8B722E"/>
    <w:rsid w:val="5D8D744A"/>
    <w:rsid w:val="5D8F4F70"/>
    <w:rsid w:val="5D9205BD"/>
    <w:rsid w:val="5D9C143B"/>
    <w:rsid w:val="5DA12EF6"/>
    <w:rsid w:val="5DA16249"/>
    <w:rsid w:val="5DA16A52"/>
    <w:rsid w:val="5DB20C5F"/>
    <w:rsid w:val="5DB449D7"/>
    <w:rsid w:val="5DBE13B2"/>
    <w:rsid w:val="5DC015CE"/>
    <w:rsid w:val="5DC02336"/>
    <w:rsid w:val="5DCA244C"/>
    <w:rsid w:val="5DD33D76"/>
    <w:rsid w:val="5DD72473"/>
    <w:rsid w:val="5DD8314A"/>
    <w:rsid w:val="5DDA4A2B"/>
    <w:rsid w:val="5DDC1A11"/>
    <w:rsid w:val="5DE20CE4"/>
    <w:rsid w:val="5DE73FE0"/>
    <w:rsid w:val="5DEA664B"/>
    <w:rsid w:val="5E015742"/>
    <w:rsid w:val="5E021BE6"/>
    <w:rsid w:val="5E056FE1"/>
    <w:rsid w:val="5E0D2339"/>
    <w:rsid w:val="5E111E29"/>
    <w:rsid w:val="5E127950"/>
    <w:rsid w:val="5E1840D4"/>
    <w:rsid w:val="5E21648D"/>
    <w:rsid w:val="5E225DE5"/>
    <w:rsid w:val="5E252280"/>
    <w:rsid w:val="5E284F0C"/>
    <w:rsid w:val="5E3574D4"/>
    <w:rsid w:val="5E385608"/>
    <w:rsid w:val="5E435D5B"/>
    <w:rsid w:val="5E541B75"/>
    <w:rsid w:val="5E6277BB"/>
    <w:rsid w:val="5E6301AB"/>
    <w:rsid w:val="5E6521DB"/>
    <w:rsid w:val="5E653F23"/>
    <w:rsid w:val="5E6F08FE"/>
    <w:rsid w:val="5E7303EE"/>
    <w:rsid w:val="5E7423B8"/>
    <w:rsid w:val="5E767EDE"/>
    <w:rsid w:val="5E800D5D"/>
    <w:rsid w:val="5E8425FB"/>
    <w:rsid w:val="5E850121"/>
    <w:rsid w:val="5E907BBF"/>
    <w:rsid w:val="5EA24DAB"/>
    <w:rsid w:val="5EA507C4"/>
    <w:rsid w:val="5EA7453C"/>
    <w:rsid w:val="5EA96363"/>
    <w:rsid w:val="5EB56C59"/>
    <w:rsid w:val="5EC450EE"/>
    <w:rsid w:val="5ECA3D86"/>
    <w:rsid w:val="5ED510A9"/>
    <w:rsid w:val="5EDB5F93"/>
    <w:rsid w:val="5EF552A7"/>
    <w:rsid w:val="5EF84D55"/>
    <w:rsid w:val="5EFF7ED4"/>
    <w:rsid w:val="5F025C16"/>
    <w:rsid w:val="5F044FFD"/>
    <w:rsid w:val="5F0454EA"/>
    <w:rsid w:val="5F096700"/>
    <w:rsid w:val="5F1119B5"/>
    <w:rsid w:val="5F17346F"/>
    <w:rsid w:val="5F180F96"/>
    <w:rsid w:val="5F2142EE"/>
    <w:rsid w:val="5F2636B2"/>
    <w:rsid w:val="5F3202A9"/>
    <w:rsid w:val="5F337B7D"/>
    <w:rsid w:val="5F473629"/>
    <w:rsid w:val="5F4B4EC7"/>
    <w:rsid w:val="5F4E6765"/>
    <w:rsid w:val="5F553F98"/>
    <w:rsid w:val="5F562317"/>
    <w:rsid w:val="5F64242D"/>
    <w:rsid w:val="5F645F89"/>
    <w:rsid w:val="5F662494"/>
    <w:rsid w:val="5F667F53"/>
    <w:rsid w:val="5F7428D4"/>
    <w:rsid w:val="5F761901"/>
    <w:rsid w:val="5F827C77"/>
    <w:rsid w:val="5F870054"/>
    <w:rsid w:val="5F893C41"/>
    <w:rsid w:val="5F8F3BE9"/>
    <w:rsid w:val="5F944AC0"/>
    <w:rsid w:val="5FA62A45"/>
    <w:rsid w:val="5FAA42E4"/>
    <w:rsid w:val="5FAB005C"/>
    <w:rsid w:val="5FAB511D"/>
    <w:rsid w:val="5FB40CBE"/>
    <w:rsid w:val="5FB62FE8"/>
    <w:rsid w:val="5FB7301A"/>
    <w:rsid w:val="5FBE38EB"/>
    <w:rsid w:val="5FBF2E48"/>
    <w:rsid w:val="5FC058B5"/>
    <w:rsid w:val="5FCB1F0B"/>
    <w:rsid w:val="5FD96977"/>
    <w:rsid w:val="5FDA624B"/>
    <w:rsid w:val="5FDF3861"/>
    <w:rsid w:val="5FE86BBA"/>
    <w:rsid w:val="5FEE3E15"/>
    <w:rsid w:val="5FF13CC0"/>
    <w:rsid w:val="5FF612D7"/>
    <w:rsid w:val="5FFC2665"/>
    <w:rsid w:val="60002155"/>
    <w:rsid w:val="600357A2"/>
    <w:rsid w:val="6005776C"/>
    <w:rsid w:val="600901D0"/>
    <w:rsid w:val="600C0AFA"/>
    <w:rsid w:val="600D03CE"/>
    <w:rsid w:val="600D101E"/>
    <w:rsid w:val="60163727"/>
    <w:rsid w:val="601856F1"/>
    <w:rsid w:val="601A4ECF"/>
    <w:rsid w:val="60273373"/>
    <w:rsid w:val="602A0F80"/>
    <w:rsid w:val="602F47E9"/>
    <w:rsid w:val="60381C67"/>
    <w:rsid w:val="60395667"/>
    <w:rsid w:val="603B318E"/>
    <w:rsid w:val="605D1356"/>
    <w:rsid w:val="605E5A20"/>
    <w:rsid w:val="60602BF4"/>
    <w:rsid w:val="60634492"/>
    <w:rsid w:val="606C3347"/>
    <w:rsid w:val="607B17DC"/>
    <w:rsid w:val="607E0AD0"/>
    <w:rsid w:val="607E751E"/>
    <w:rsid w:val="608210E3"/>
    <w:rsid w:val="608508AD"/>
    <w:rsid w:val="60892971"/>
    <w:rsid w:val="60932FCA"/>
    <w:rsid w:val="60960D56"/>
    <w:rsid w:val="6098716E"/>
    <w:rsid w:val="60995949"/>
    <w:rsid w:val="60996106"/>
    <w:rsid w:val="60997EB4"/>
    <w:rsid w:val="60AE3960"/>
    <w:rsid w:val="60B116A2"/>
    <w:rsid w:val="60B11CF9"/>
    <w:rsid w:val="60B92304"/>
    <w:rsid w:val="60BA67A8"/>
    <w:rsid w:val="60BB42CE"/>
    <w:rsid w:val="60BB7E2A"/>
    <w:rsid w:val="60BD0047"/>
    <w:rsid w:val="60C50CA9"/>
    <w:rsid w:val="60CD57E4"/>
    <w:rsid w:val="60CE7B5E"/>
    <w:rsid w:val="60CF1B28"/>
    <w:rsid w:val="60DB671F"/>
    <w:rsid w:val="60E27AAD"/>
    <w:rsid w:val="60E47381"/>
    <w:rsid w:val="60E530F9"/>
    <w:rsid w:val="60E94998"/>
    <w:rsid w:val="60F04EA3"/>
    <w:rsid w:val="60F11A9E"/>
    <w:rsid w:val="60F4390D"/>
    <w:rsid w:val="60F5158E"/>
    <w:rsid w:val="60FA4DF7"/>
    <w:rsid w:val="60FF065F"/>
    <w:rsid w:val="61021EFD"/>
    <w:rsid w:val="610B0D6E"/>
    <w:rsid w:val="61112140"/>
    <w:rsid w:val="611F2AAF"/>
    <w:rsid w:val="611F485D"/>
    <w:rsid w:val="613B33A9"/>
    <w:rsid w:val="613D1187"/>
    <w:rsid w:val="614222FA"/>
    <w:rsid w:val="614C1586"/>
    <w:rsid w:val="614E0C9F"/>
    <w:rsid w:val="614E6EF1"/>
    <w:rsid w:val="61500EBB"/>
    <w:rsid w:val="615362B5"/>
    <w:rsid w:val="61581B1D"/>
    <w:rsid w:val="615A5895"/>
    <w:rsid w:val="61637BA0"/>
    <w:rsid w:val="616B35FF"/>
    <w:rsid w:val="616E1341"/>
    <w:rsid w:val="616F26F5"/>
    <w:rsid w:val="617150E9"/>
    <w:rsid w:val="61761FA3"/>
    <w:rsid w:val="618741B1"/>
    <w:rsid w:val="61897F29"/>
    <w:rsid w:val="618F19E3"/>
    <w:rsid w:val="619146C6"/>
    <w:rsid w:val="619C4100"/>
    <w:rsid w:val="619F6C92"/>
    <w:rsid w:val="61A86601"/>
    <w:rsid w:val="61B34FA6"/>
    <w:rsid w:val="61C436FA"/>
    <w:rsid w:val="61D03DA9"/>
    <w:rsid w:val="61D64503"/>
    <w:rsid w:val="61DE64C6"/>
    <w:rsid w:val="61E138C1"/>
    <w:rsid w:val="61E41603"/>
    <w:rsid w:val="61E84C4F"/>
    <w:rsid w:val="61EA6C19"/>
    <w:rsid w:val="61EB77C6"/>
    <w:rsid w:val="61F07FA8"/>
    <w:rsid w:val="61FE0491"/>
    <w:rsid w:val="62037CDB"/>
    <w:rsid w:val="620D56C8"/>
    <w:rsid w:val="620F7BAA"/>
    <w:rsid w:val="62101BF9"/>
    <w:rsid w:val="621E68C3"/>
    <w:rsid w:val="6220263B"/>
    <w:rsid w:val="62205443"/>
    <w:rsid w:val="622158D4"/>
    <w:rsid w:val="622D6B06"/>
    <w:rsid w:val="622F0AD0"/>
    <w:rsid w:val="62361E5F"/>
    <w:rsid w:val="62373E29"/>
    <w:rsid w:val="62374CCB"/>
    <w:rsid w:val="623B7475"/>
    <w:rsid w:val="623E51B7"/>
    <w:rsid w:val="624125B1"/>
    <w:rsid w:val="62446593"/>
    <w:rsid w:val="624F1172"/>
    <w:rsid w:val="62516C98"/>
    <w:rsid w:val="625422E5"/>
    <w:rsid w:val="625935EA"/>
    <w:rsid w:val="625B3673"/>
    <w:rsid w:val="62603535"/>
    <w:rsid w:val="6260512D"/>
    <w:rsid w:val="626369CC"/>
    <w:rsid w:val="6265548D"/>
    <w:rsid w:val="62687CD3"/>
    <w:rsid w:val="626A7D5A"/>
    <w:rsid w:val="62712E97"/>
    <w:rsid w:val="62775FD3"/>
    <w:rsid w:val="62894684"/>
    <w:rsid w:val="628A3147"/>
    <w:rsid w:val="628D3A49"/>
    <w:rsid w:val="628D57F7"/>
    <w:rsid w:val="628E1C9B"/>
    <w:rsid w:val="62917095"/>
    <w:rsid w:val="62944DD7"/>
    <w:rsid w:val="6297631E"/>
    <w:rsid w:val="62976675"/>
    <w:rsid w:val="629923ED"/>
    <w:rsid w:val="6299419B"/>
    <w:rsid w:val="629B6165"/>
    <w:rsid w:val="629D1EDE"/>
    <w:rsid w:val="62A50D92"/>
    <w:rsid w:val="62AE5E99"/>
    <w:rsid w:val="62B4751F"/>
    <w:rsid w:val="62B72874"/>
    <w:rsid w:val="62C51434"/>
    <w:rsid w:val="62CE653B"/>
    <w:rsid w:val="62D11B87"/>
    <w:rsid w:val="62DB0C58"/>
    <w:rsid w:val="62DD22DA"/>
    <w:rsid w:val="62E0626E"/>
    <w:rsid w:val="62E21FE6"/>
    <w:rsid w:val="62E25B42"/>
    <w:rsid w:val="62E573E1"/>
    <w:rsid w:val="62E9550E"/>
    <w:rsid w:val="62F53AC8"/>
    <w:rsid w:val="62F615EE"/>
    <w:rsid w:val="63002C97"/>
    <w:rsid w:val="63096C3F"/>
    <w:rsid w:val="6312684A"/>
    <w:rsid w:val="631F0B45"/>
    <w:rsid w:val="63260125"/>
    <w:rsid w:val="632B573B"/>
    <w:rsid w:val="63367C3C"/>
    <w:rsid w:val="633839B4"/>
    <w:rsid w:val="633B5253"/>
    <w:rsid w:val="633D0FCB"/>
    <w:rsid w:val="634467FD"/>
    <w:rsid w:val="63497970"/>
    <w:rsid w:val="63575504"/>
    <w:rsid w:val="63666080"/>
    <w:rsid w:val="63732C3E"/>
    <w:rsid w:val="63844A18"/>
    <w:rsid w:val="63846BFA"/>
    <w:rsid w:val="639332E1"/>
    <w:rsid w:val="63963057"/>
    <w:rsid w:val="639808F7"/>
    <w:rsid w:val="63A1155A"/>
    <w:rsid w:val="63B70D7D"/>
    <w:rsid w:val="63BA086D"/>
    <w:rsid w:val="63C03109"/>
    <w:rsid w:val="63CB3506"/>
    <w:rsid w:val="63CC234F"/>
    <w:rsid w:val="63CD05A1"/>
    <w:rsid w:val="63D00091"/>
    <w:rsid w:val="63D538F9"/>
    <w:rsid w:val="63DC50C3"/>
    <w:rsid w:val="63E43B3C"/>
    <w:rsid w:val="63E853DA"/>
    <w:rsid w:val="63EA73A4"/>
    <w:rsid w:val="63F308C5"/>
    <w:rsid w:val="63F43D7F"/>
    <w:rsid w:val="63F975E8"/>
    <w:rsid w:val="63FA6EBC"/>
    <w:rsid w:val="63FB490E"/>
    <w:rsid w:val="63FC2C34"/>
    <w:rsid w:val="63FF0976"/>
    <w:rsid w:val="6401024A"/>
    <w:rsid w:val="64025D70"/>
    <w:rsid w:val="64085A7D"/>
    <w:rsid w:val="640B731B"/>
    <w:rsid w:val="64175CC0"/>
    <w:rsid w:val="64295AAF"/>
    <w:rsid w:val="642A59F3"/>
    <w:rsid w:val="642B176B"/>
    <w:rsid w:val="642D3B9D"/>
    <w:rsid w:val="642E6B65"/>
    <w:rsid w:val="642F4DB7"/>
    <w:rsid w:val="643F0D73"/>
    <w:rsid w:val="64416899"/>
    <w:rsid w:val="64421F9E"/>
    <w:rsid w:val="644840CB"/>
    <w:rsid w:val="644A7E43"/>
    <w:rsid w:val="644B4050"/>
    <w:rsid w:val="644B5969"/>
    <w:rsid w:val="645C1924"/>
    <w:rsid w:val="646A4041"/>
    <w:rsid w:val="646A5DEF"/>
    <w:rsid w:val="646B2BE6"/>
    <w:rsid w:val="6477675E"/>
    <w:rsid w:val="647B7FFD"/>
    <w:rsid w:val="647C5576"/>
    <w:rsid w:val="648275DD"/>
    <w:rsid w:val="6486074F"/>
    <w:rsid w:val="64897A59"/>
    <w:rsid w:val="649524E9"/>
    <w:rsid w:val="64963088"/>
    <w:rsid w:val="64AA08E2"/>
    <w:rsid w:val="64B11C70"/>
    <w:rsid w:val="64B43A8C"/>
    <w:rsid w:val="64B87B19"/>
    <w:rsid w:val="64B96D77"/>
    <w:rsid w:val="64BD75EA"/>
    <w:rsid w:val="64BE25DF"/>
    <w:rsid w:val="64C05AAE"/>
    <w:rsid w:val="64CF22F7"/>
    <w:rsid w:val="64D15E6F"/>
    <w:rsid w:val="64D771FD"/>
    <w:rsid w:val="64DD2A65"/>
    <w:rsid w:val="64DE2339"/>
    <w:rsid w:val="64E21E2A"/>
    <w:rsid w:val="64F90154"/>
    <w:rsid w:val="64F93617"/>
    <w:rsid w:val="64FB7AAD"/>
    <w:rsid w:val="64FE478A"/>
    <w:rsid w:val="650049A6"/>
    <w:rsid w:val="65017D92"/>
    <w:rsid w:val="65051FBC"/>
    <w:rsid w:val="65094F15"/>
    <w:rsid w:val="650D2C1F"/>
    <w:rsid w:val="651144BD"/>
    <w:rsid w:val="65183A9D"/>
    <w:rsid w:val="652A37D1"/>
    <w:rsid w:val="6534738E"/>
    <w:rsid w:val="653D52B2"/>
    <w:rsid w:val="653F54CE"/>
    <w:rsid w:val="654E3963"/>
    <w:rsid w:val="655507AF"/>
    <w:rsid w:val="65670581"/>
    <w:rsid w:val="656B62C3"/>
    <w:rsid w:val="65725CAE"/>
    <w:rsid w:val="65750EF0"/>
    <w:rsid w:val="657809E0"/>
    <w:rsid w:val="658148B7"/>
    <w:rsid w:val="65856C59"/>
    <w:rsid w:val="6587477F"/>
    <w:rsid w:val="659155FE"/>
    <w:rsid w:val="65937CAF"/>
    <w:rsid w:val="65956E9C"/>
    <w:rsid w:val="65962C14"/>
    <w:rsid w:val="659770B8"/>
    <w:rsid w:val="659A0956"/>
    <w:rsid w:val="659F5F6D"/>
    <w:rsid w:val="659F7D1B"/>
    <w:rsid w:val="65A43583"/>
    <w:rsid w:val="65A45331"/>
    <w:rsid w:val="65B25CA0"/>
    <w:rsid w:val="65B32B30"/>
    <w:rsid w:val="65B8702E"/>
    <w:rsid w:val="65C37EAD"/>
    <w:rsid w:val="65C43C25"/>
    <w:rsid w:val="65C50EF1"/>
    <w:rsid w:val="65C9123C"/>
    <w:rsid w:val="65D5198E"/>
    <w:rsid w:val="65D54824"/>
    <w:rsid w:val="65D75707"/>
    <w:rsid w:val="65E6594A"/>
    <w:rsid w:val="65E9543A"/>
    <w:rsid w:val="65EC0A86"/>
    <w:rsid w:val="65EE2A50"/>
    <w:rsid w:val="65F8526B"/>
    <w:rsid w:val="65FD2C93"/>
    <w:rsid w:val="65FE353C"/>
    <w:rsid w:val="66154481"/>
    <w:rsid w:val="6618187B"/>
    <w:rsid w:val="66291CDA"/>
    <w:rsid w:val="662D17CA"/>
    <w:rsid w:val="66303069"/>
    <w:rsid w:val="663366B5"/>
    <w:rsid w:val="66372649"/>
    <w:rsid w:val="663A3EE7"/>
    <w:rsid w:val="664B7EA3"/>
    <w:rsid w:val="66522FDF"/>
    <w:rsid w:val="66540B05"/>
    <w:rsid w:val="665A00E6"/>
    <w:rsid w:val="665E3732"/>
    <w:rsid w:val="66666A8A"/>
    <w:rsid w:val="666F3B91"/>
    <w:rsid w:val="667016B7"/>
    <w:rsid w:val="667B683E"/>
    <w:rsid w:val="66807B4C"/>
    <w:rsid w:val="66886845"/>
    <w:rsid w:val="66897503"/>
    <w:rsid w:val="66A650D9"/>
    <w:rsid w:val="66B858A3"/>
    <w:rsid w:val="66B867E0"/>
    <w:rsid w:val="66BB5028"/>
    <w:rsid w:val="66BB6DD6"/>
    <w:rsid w:val="66BE68C6"/>
    <w:rsid w:val="66C0263F"/>
    <w:rsid w:val="66C0619B"/>
    <w:rsid w:val="66C245C1"/>
    <w:rsid w:val="66C832A1"/>
    <w:rsid w:val="66D76C6B"/>
    <w:rsid w:val="66DB3C53"/>
    <w:rsid w:val="66DB4D83"/>
    <w:rsid w:val="66E55C01"/>
    <w:rsid w:val="66E63877"/>
    <w:rsid w:val="66E92A3D"/>
    <w:rsid w:val="66EF52E6"/>
    <w:rsid w:val="66F422E8"/>
    <w:rsid w:val="66FB3677"/>
    <w:rsid w:val="66FB5425"/>
    <w:rsid w:val="66FD20A4"/>
    <w:rsid w:val="67006EDF"/>
    <w:rsid w:val="670978C6"/>
    <w:rsid w:val="670D5158"/>
    <w:rsid w:val="670E33AA"/>
    <w:rsid w:val="670F2C7E"/>
    <w:rsid w:val="67101EFA"/>
    <w:rsid w:val="67112E9A"/>
    <w:rsid w:val="6716225F"/>
    <w:rsid w:val="672776BF"/>
    <w:rsid w:val="672E75A8"/>
    <w:rsid w:val="6732696D"/>
    <w:rsid w:val="673B1CC5"/>
    <w:rsid w:val="673D3C8F"/>
    <w:rsid w:val="6740552D"/>
    <w:rsid w:val="674212A6"/>
    <w:rsid w:val="67423054"/>
    <w:rsid w:val="674548F2"/>
    <w:rsid w:val="67492634"/>
    <w:rsid w:val="674F47BC"/>
    <w:rsid w:val="6753313D"/>
    <w:rsid w:val="67542D87"/>
    <w:rsid w:val="67564D51"/>
    <w:rsid w:val="675A65EF"/>
    <w:rsid w:val="675B4115"/>
    <w:rsid w:val="67616F84"/>
    <w:rsid w:val="67627252"/>
    <w:rsid w:val="676629B9"/>
    <w:rsid w:val="676A25AA"/>
    <w:rsid w:val="67762CFD"/>
    <w:rsid w:val="6780592A"/>
    <w:rsid w:val="678C0773"/>
    <w:rsid w:val="6796514D"/>
    <w:rsid w:val="67966EFB"/>
    <w:rsid w:val="67A27F96"/>
    <w:rsid w:val="67A4786A"/>
    <w:rsid w:val="67AB5824"/>
    <w:rsid w:val="67AD0415"/>
    <w:rsid w:val="67B11F87"/>
    <w:rsid w:val="67BF6452"/>
    <w:rsid w:val="67C12792"/>
    <w:rsid w:val="67CF52F1"/>
    <w:rsid w:val="67D02EAA"/>
    <w:rsid w:val="67EE0AE5"/>
    <w:rsid w:val="67F26828"/>
    <w:rsid w:val="67FA392E"/>
    <w:rsid w:val="67FB06AE"/>
    <w:rsid w:val="67FB4C6E"/>
    <w:rsid w:val="67FC1454"/>
    <w:rsid w:val="680307B0"/>
    <w:rsid w:val="68093B71"/>
    <w:rsid w:val="680E1188"/>
    <w:rsid w:val="68206422"/>
    <w:rsid w:val="682252EC"/>
    <w:rsid w:val="682A45E0"/>
    <w:rsid w:val="682C50D3"/>
    <w:rsid w:val="683B0772"/>
    <w:rsid w:val="684455AA"/>
    <w:rsid w:val="684B418A"/>
    <w:rsid w:val="684B5F38"/>
    <w:rsid w:val="684E5A28"/>
    <w:rsid w:val="68556DB7"/>
    <w:rsid w:val="685E210F"/>
    <w:rsid w:val="68684D3C"/>
    <w:rsid w:val="686E1C26"/>
    <w:rsid w:val="687731D1"/>
    <w:rsid w:val="68774F7F"/>
    <w:rsid w:val="687A681D"/>
    <w:rsid w:val="688356D2"/>
    <w:rsid w:val="689C2C37"/>
    <w:rsid w:val="689D724E"/>
    <w:rsid w:val="68A11FFC"/>
    <w:rsid w:val="68A13DAA"/>
    <w:rsid w:val="68A35D74"/>
    <w:rsid w:val="68B25FB7"/>
    <w:rsid w:val="68BA3B98"/>
    <w:rsid w:val="68CB7079"/>
    <w:rsid w:val="68D4417F"/>
    <w:rsid w:val="68D95263"/>
    <w:rsid w:val="68E56F2D"/>
    <w:rsid w:val="68E65C61"/>
    <w:rsid w:val="68E819D9"/>
    <w:rsid w:val="68E87824"/>
    <w:rsid w:val="68EA5751"/>
    <w:rsid w:val="68EF0FB9"/>
    <w:rsid w:val="68F95994"/>
    <w:rsid w:val="68FB4E91"/>
    <w:rsid w:val="68FC7232"/>
    <w:rsid w:val="68FE0428"/>
    <w:rsid w:val="69026F3E"/>
    <w:rsid w:val="690305C1"/>
    <w:rsid w:val="69032B47"/>
    <w:rsid w:val="69036813"/>
    <w:rsid w:val="69140A20"/>
    <w:rsid w:val="691427CE"/>
    <w:rsid w:val="69190D6C"/>
    <w:rsid w:val="691B590A"/>
    <w:rsid w:val="691E364C"/>
    <w:rsid w:val="69201173"/>
    <w:rsid w:val="692C5D69"/>
    <w:rsid w:val="692F7608"/>
    <w:rsid w:val="694A2693"/>
    <w:rsid w:val="694C1F68"/>
    <w:rsid w:val="695232F6"/>
    <w:rsid w:val="69562DE6"/>
    <w:rsid w:val="695D4175"/>
    <w:rsid w:val="696E0130"/>
    <w:rsid w:val="696F5C56"/>
    <w:rsid w:val="69754427"/>
    <w:rsid w:val="6976380D"/>
    <w:rsid w:val="697D701E"/>
    <w:rsid w:val="69801C11"/>
    <w:rsid w:val="698177A2"/>
    <w:rsid w:val="698C2CAC"/>
    <w:rsid w:val="698F62F8"/>
    <w:rsid w:val="69935DE8"/>
    <w:rsid w:val="699658D9"/>
    <w:rsid w:val="69966816"/>
    <w:rsid w:val="69967687"/>
    <w:rsid w:val="699D0A15"/>
    <w:rsid w:val="699E02E9"/>
    <w:rsid w:val="69A057DD"/>
    <w:rsid w:val="69A262CD"/>
    <w:rsid w:val="69A47FF6"/>
    <w:rsid w:val="69B83AA1"/>
    <w:rsid w:val="69BB70ED"/>
    <w:rsid w:val="69C248E1"/>
    <w:rsid w:val="69CA10DE"/>
    <w:rsid w:val="69CE6E20"/>
    <w:rsid w:val="69D63F27"/>
    <w:rsid w:val="69DD52B6"/>
    <w:rsid w:val="69DF102E"/>
    <w:rsid w:val="69E2467A"/>
    <w:rsid w:val="69E91EAC"/>
    <w:rsid w:val="69EA352F"/>
    <w:rsid w:val="69EE1271"/>
    <w:rsid w:val="69EE301F"/>
    <w:rsid w:val="69F36887"/>
    <w:rsid w:val="69F50773"/>
    <w:rsid w:val="69F66377"/>
    <w:rsid w:val="69FC1BE0"/>
    <w:rsid w:val="69FC398E"/>
    <w:rsid w:val="69FE3207"/>
    <w:rsid w:val="6A0171F6"/>
    <w:rsid w:val="6A03161B"/>
    <w:rsid w:val="6A050368"/>
    <w:rsid w:val="6A06480C"/>
    <w:rsid w:val="6A0A48DD"/>
    <w:rsid w:val="6A0C7949"/>
    <w:rsid w:val="6A114F5F"/>
    <w:rsid w:val="6A220F1A"/>
    <w:rsid w:val="6A266C5C"/>
    <w:rsid w:val="6A2B7DCF"/>
    <w:rsid w:val="6A2D7FEB"/>
    <w:rsid w:val="6A2F1733"/>
    <w:rsid w:val="6A484E25"/>
    <w:rsid w:val="6A4F6358"/>
    <w:rsid w:val="6A521800"/>
    <w:rsid w:val="6A537326"/>
    <w:rsid w:val="6A5F3F1C"/>
    <w:rsid w:val="6A611A43"/>
    <w:rsid w:val="6A6D0526"/>
    <w:rsid w:val="6A745C1A"/>
    <w:rsid w:val="6A7554EE"/>
    <w:rsid w:val="6A75729C"/>
    <w:rsid w:val="6A7A6FA8"/>
    <w:rsid w:val="6A7E25F5"/>
    <w:rsid w:val="6A890F99"/>
    <w:rsid w:val="6A927E4E"/>
    <w:rsid w:val="6A955B90"/>
    <w:rsid w:val="6A975464"/>
    <w:rsid w:val="6A9F07BD"/>
    <w:rsid w:val="6AA162E3"/>
    <w:rsid w:val="6AA60986"/>
    <w:rsid w:val="6AA61B4B"/>
    <w:rsid w:val="6AA81032"/>
    <w:rsid w:val="6AAD4C88"/>
    <w:rsid w:val="6AB778B5"/>
    <w:rsid w:val="6AB97AD1"/>
    <w:rsid w:val="6ABE6E95"/>
    <w:rsid w:val="6AC21A01"/>
    <w:rsid w:val="6ACB2DF8"/>
    <w:rsid w:val="6ACD0E86"/>
    <w:rsid w:val="6AD95A7D"/>
    <w:rsid w:val="6ADA17F5"/>
    <w:rsid w:val="6AE10D9A"/>
    <w:rsid w:val="6AE12B83"/>
    <w:rsid w:val="6AE23558"/>
    <w:rsid w:val="6AE45F3A"/>
    <w:rsid w:val="6AF208ED"/>
    <w:rsid w:val="6AF64881"/>
    <w:rsid w:val="6AF91C7B"/>
    <w:rsid w:val="6B003ACA"/>
    <w:rsid w:val="6B0C7295"/>
    <w:rsid w:val="6B0D1BCA"/>
    <w:rsid w:val="6B0F149F"/>
    <w:rsid w:val="6B1125AB"/>
    <w:rsid w:val="6B144D07"/>
    <w:rsid w:val="6B15282D"/>
    <w:rsid w:val="6B16601B"/>
    <w:rsid w:val="6B182A49"/>
    <w:rsid w:val="6B234F4A"/>
    <w:rsid w:val="6B256F14"/>
    <w:rsid w:val="6B2A0087"/>
    <w:rsid w:val="6B2C2051"/>
    <w:rsid w:val="6B32518D"/>
    <w:rsid w:val="6B347157"/>
    <w:rsid w:val="6B3C25B5"/>
    <w:rsid w:val="6B3D425E"/>
    <w:rsid w:val="6B3E7FD6"/>
    <w:rsid w:val="6B40098D"/>
    <w:rsid w:val="6B4355EC"/>
    <w:rsid w:val="6B482C03"/>
    <w:rsid w:val="6B4A24D7"/>
    <w:rsid w:val="6B517D09"/>
    <w:rsid w:val="6B5275DD"/>
    <w:rsid w:val="6B5415A7"/>
    <w:rsid w:val="6B544BE8"/>
    <w:rsid w:val="6B560E7C"/>
    <w:rsid w:val="6B564A55"/>
    <w:rsid w:val="6B572E46"/>
    <w:rsid w:val="6B59096C"/>
    <w:rsid w:val="6B5B0B88"/>
    <w:rsid w:val="6B5E2426"/>
    <w:rsid w:val="6B6712DB"/>
    <w:rsid w:val="6B686E01"/>
    <w:rsid w:val="6B777044"/>
    <w:rsid w:val="6B7D28AC"/>
    <w:rsid w:val="6B7E4876"/>
    <w:rsid w:val="6B811C71"/>
    <w:rsid w:val="6B833C3B"/>
    <w:rsid w:val="6B882FFF"/>
    <w:rsid w:val="6B8D21A8"/>
    <w:rsid w:val="6B8E43DF"/>
    <w:rsid w:val="6B8F0831"/>
    <w:rsid w:val="6B923E7E"/>
    <w:rsid w:val="6B945E48"/>
    <w:rsid w:val="6B95350B"/>
    <w:rsid w:val="6B96396E"/>
    <w:rsid w:val="6B9877CF"/>
    <w:rsid w:val="6B9D4CFC"/>
    <w:rsid w:val="6BA240C1"/>
    <w:rsid w:val="6BA442DD"/>
    <w:rsid w:val="6BA918F3"/>
    <w:rsid w:val="6BB31853"/>
    <w:rsid w:val="6BB34520"/>
    <w:rsid w:val="6BB362CE"/>
    <w:rsid w:val="6BB40298"/>
    <w:rsid w:val="6BC009EB"/>
    <w:rsid w:val="6BC229B5"/>
    <w:rsid w:val="6BC524A5"/>
    <w:rsid w:val="6BC71D79"/>
    <w:rsid w:val="6BCA186A"/>
    <w:rsid w:val="6BCB7ABB"/>
    <w:rsid w:val="6BD050D2"/>
    <w:rsid w:val="6BD10E4A"/>
    <w:rsid w:val="6BD64940"/>
    <w:rsid w:val="6BD91AAD"/>
    <w:rsid w:val="6BE04BE9"/>
    <w:rsid w:val="6BE7241B"/>
    <w:rsid w:val="6BE96194"/>
    <w:rsid w:val="6BEC0455"/>
    <w:rsid w:val="6BF6265F"/>
    <w:rsid w:val="6BFF7765"/>
    <w:rsid w:val="6C054650"/>
    <w:rsid w:val="6C111246"/>
    <w:rsid w:val="6C152AE5"/>
    <w:rsid w:val="6C16437D"/>
    <w:rsid w:val="6C1D5E3D"/>
    <w:rsid w:val="6C1F5711"/>
    <w:rsid w:val="6C21592D"/>
    <w:rsid w:val="6C2A44EE"/>
    <w:rsid w:val="6C2B055A"/>
    <w:rsid w:val="6C3118E9"/>
    <w:rsid w:val="6C3668AB"/>
    <w:rsid w:val="6C382C77"/>
    <w:rsid w:val="6C3867D3"/>
    <w:rsid w:val="6C3C4515"/>
    <w:rsid w:val="6C3D203B"/>
    <w:rsid w:val="6C423AF6"/>
    <w:rsid w:val="6C586E75"/>
    <w:rsid w:val="6C5D623A"/>
    <w:rsid w:val="6C613F7C"/>
    <w:rsid w:val="6C6972D4"/>
    <w:rsid w:val="6C702411"/>
    <w:rsid w:val="6C757A27"/>
    <w:rsid w:val="6C7A3290"/>
    <w:rsid w:val="6C830396"/>
    <w:rsid w:val="6C8B2DA7"/>
    <w:rsid w:val="6C904861"/>
    <w:rsid w:val="6C922387"/>
    <w:rsid w:val="6CA125CA"/>
    <w:rsid w:val="6CA54645"/>
    <w:rsid w:val="6CAE6A95"/>
    <w:rsid w:val="6CB57C5C"/>
    <w:rsid w:val="6CB71DEE"/>
    <w:rsid w:val="6CBA7B30"/>
    <w:rsid w:val="6CBD4F2A"/>
    <w:rsid w:val="6CC10EBE"/>
    <w:rsid w:val="6CC4275D"/>
    <w:rsid w:val="6CC462B9"/>
    <w:rsid w:val="6CC86E1B"/>
    <w:rsid w:val="6CCA0D8C"/>
    <w:rsid w:val="6CCE0EE6"/>
    <w:rsid w:val="6CD01102"/>
    <w:rsid w:val="6CD24E7A"/>
    <w:rsid w:val="6CDC482D"/>
    <w:rsid w:val="6CDE381E"/>
    <w:rsid w:val="6CE801F9"/>
    <w:rsid w:val="6CEB5F3B"/>
    <w:rsid w:val="6CF22E26"/>
    <w:rsid w:val="6D0112BB"/>
    <w:rsid w:val="6D011D2A"/>
    <w:rsid w:val="6D06067F"/>
    <w:rsid w:val="6D082649"/>
    <w:rsid w:val="6D087F43"/>
    <w:rsid w:val="6D0937CA"/>
    <w:rsid w:val="6D1C7EA3"/>
    <w:rsid w:val="6D252CF4"/>
    <w:rsid w:val="6D282CEC"/>
    <w:rsid w:val="6D394EF9"/>
    <w:rsid w:val="6D3B2F45"/>
    <w:rsid w:val="6D3C0545"/>
    <w:rsid w:val="6D464F20"/>
    <w:rsid w:val="6D4E063C"/>
    <w:rsid w:val="6D4F0278"/>
    <w:rsid w:val="6D595AC5"/>
    <w:rsid w:val="6D633D24"/>
    <w:rsid w:val="6D6F091A"/>
    <w:rsid w:val="6D7221B9"/>
    <w:rsid w:val="6D780FF7"/>
    <w:rsid w:val="6D7C6B93"/>
    <w:rsid w:val="6D806684"/>
    <w:rsid w:val="6D82064E"/>
    <w:rsid w:val="6D836174"/>
    <w:rsid w:val="6D91187F"/>
    <w:rsid w:val="6D92569C"/>
    <w:rsid w:val="6D9263B7"/>
    <w:rsid w:val="6D943EDD"/>
    <w:rsid w:val="6DA3441B"/>
    <w:rsid w:val="6DB16A37"/>
    <w:rsid w:val="6DB30807"/>
    <w:rsid w:val="6DBD3434"/>
    <w:rsid w:val="6DBE5BA3"/>
    <w:rsid w:val="6DC36570"/>
    <w:rsid w:val="6DC63340"/>
    <w:rsid w:val="6DC70952"/>
    <w:rsid w:val="6DCC3677"/>
    <w:rsid w:val="6DCE2CAA"/>
    <w:rsid w:val="6DCF4F15"/>
    <w:rsid w:val="6DD15131"/>
    <w:rsid w:val="6DD26688"/>
    <w:rsid w:val="6DD54C21"/>
    <w:rsid w:val="6DE50BDD"/>
    <w:rsid w:val="6DF17581"/>
    <w:rsid w:val="6DF606F4"/>
    <w:rsid w:val="6DFE57FA"/>
    <w:rsid w:val="6DFF3A4C"/>
    <w:rsid w:val="6E0077C5"/>
    <w:rsid w:val="6E070B53"/>
    <w:rsid w:val="6E0A38CB"/>
    <w:rsid w:val="6E105C5A"/>
    <w:rsid w:val="6E191F3C"/>
    <w:rsid w:val="6E1D0376"/>
    <w:rsid w:val="6E215FC2"/>
    <w:rsid w:val="6E2434B3"/>
    <w:rsid w:val="6E2B4D4E"/>
    <w:rsid w:val="6E315BD0"/>
    <w:rsid w:val="6E394AF1"/>
    <w:rsid w:val="6E3D2A73"/>
    <w:rsid w:val="6E4E346F"/>
    <w:rsid w:val="6E5042A8"/>
    <w:rsid w:val="6E511DCE"/>
    <w:rsid w:val="6E5A0F19"/>
    <w:rsid w:val="6E5A5127"/>
    <w:rsid w:val="6E5D1879"/>
    <w:rsid w:val="6E600263"/>
    <w:rsid w:val="6E6344C0"/>
    <w:rsid w:val="6E653A07"/>
    <w:rsid w:val="6E66587A"/>
    <w:rsid w:val="6E6E2980"/>
    <w:rsid w:val="6E7C32EF"/>
    <w:rsid w:val="6E7D7067"/>
    <w:rsid w:val="6E851A78"/>
    <w:rsid w:val="6E873A42"/>
    <w:rsid w:val="6E8B1784"/>
    <w:rsid w:val="6E8E4FBF"/>
    <w:rsid w:val="6E9817AB"/>
    <w:rsid w:val="6E9D1B01"/>
    <w:rsid w:val="6EAE7221"/>
    <w:rsid w:val="6EB011EB"/>
    <w:rsid w:val="6EB74327"/>
    <w:rsid w:val="6EBC193D"/>
    <w:rsid w:val="6EC16F54"/>
    <w:rsid w:val="6EC24A7A"/>
    <w:rsid w:val="6EC55FA7"/>
    <w:rsid w:val="6EC66318"/>
    <w:rsid w:val="6EF8049C"/>
    <w:rsid w:val="6EFB284D"/>
    <w:rsid w:val="6EFF7A7C"/>
    <w:rsid w:val="6F12155D"/>
    <w:rsid w:val="6F15104E"/>
    <w:rsid w:val="6F156FA4"/>
    <w:rsid w:val="6F1E7F02"/>
    <w:rsid w:val="6F2B0871"/>
    <w:rsid w:val="6F3C65DA"/>
    <w:rsid w:val="6F40431D"/>
    <w:rsid w:val="6F437969"/>
    <w:rsid w:val="6F4F630E"/>
    <w:rsid w:val="6F593630"/>
    <w:rsid w:val="6F63625D"/>
    <w:rsid w:val="6F6D70DC"/>
    <w:rsid w:val="6F7D157F"/>
    <w:rsid w:val="6F8A1A3C"/>
    <w:rsid w:val="6F997ED1"/>
    <w:rsid w:val="6FAD1286"/>
    <w:rsid w:val="6FB0729E"/>
    <w:rsid w:val="6FBA38B6"/>
    <w:rsid w:val="6FBD596D"/>
    <w:rsid w:val="6FCD14BC"/>
    <w:rsid w:val="6FD44A65"/>
    <w:rsid w:val="6FDE3B35"/>
    <w:rsid w:val="6FE86762"/>
    <w:rsid w:val="6FEF744F"/>
    <w:rsid w:val="6FFB46E7"/>
    <w:rsid w:val="6FFE397B"/>
    <w:rsid w:val="7000585A"/>
    <w:rsid w:val="7007308C"/>
    <w:rsid w:val="700D7F77"/>
    <w:rsid w:val="700E441B"/>
    <w:rsid w:val="70143741"/>
    <w:rsid w:val="701D01BA"/>
    <w:rsid w:val="701E2184"/>
    <w:rsid w:val="7020414E"/>
    <w:rsid w:val="702A251B"/>
    <w:rsid w:val="702A3ECB"/>
    <w:rsid w:val="703379DD"/>
    <w:rsid w:val="703419A7"/>
    <w:rsid w:val="70346247"/>
    <w:rsid w:val="703B0F88"/>
    <w:rsid w:val="7040659E"/>
    <w:rsid w:val="704B68A8"/>
    <w:rsid w:val="704F2FE6"/>
    <w:rsid w:val="7060454A"/>
    <w:rsid w:val="70611A1E"/>
    <w:rsid w:val="706E310B"/>
    <w:rsid w:val="707029DF"/>
    <w:rsid w:val="707B75D6"/>
    <w:rsid w:val="707D334E"/>
    <w:rsid w:val="70823195"/>
    <w:rsid w:val="708244C1"/>
    <w:rsid w:val="70853FB1"/>
    <w:rsid w:val="70862203"/>
    <w:rsid w:val="70903082"/>
    <w:rsid w:val="70910BA8"/>
    <w:rsid w:val="70974410"/>
    <w:rsid w:val="70A1528F"/>
    <w:rsid w:val="70A64653"/>
    <w:rsid w:val="70B54896"/>
    <w:rsid w:val="70BF5715"/>
    <w:rsid w:val="70C40E9D"/>
    <w:rsid w:val="70C44AD9"/>
    <w:rsid w:val="70C525FF"/>
    <w:rsid w:val="70CA3E8B"/>
    <w:rsid w:val="70D90415"/>
    <w:rsid w:val="70DC1E23"/>
    <w:rsid w:val="70E63DE0"/>
    <w:rsid w:val="710604FF"/>
    <w:rsid w:val="71066EA0"/>
    <w:rsid w:val="71125845"/>
    <w:rsid w:val="711315BD"/>
    <w:rsid w:val="71237A52"/>
    <w:rsid w:val="71280E79"/>
    <w:rsid w:val="71333A0D"/>
    <w:rsid w:val="71347EB1"/>
    <w:rsid w:val="713779A1"/>
    <w:rsid w:val="7141612A"/>
    <w:rsid w:val="7143278B"/>
    <w:rsid w:val="71520337"/>
    <w:rsid w:val="71551BD5"/>
    <w:rsid w:val="715C11B6"/>
    <w:rsid w:val="7161057A"/>
    <w:rsid w:val="71656C62"/>
    <w:rsid w:val="716601DB"/>
    <w:rsid w:val="71687B5B"/>
    <w:rsid w:val="71770E5B"/>
    <w:rsid w:val="71836742"/>
    <w:rsid w:val="71881FAB"/>
    <w:rsid w:val="71970440"/>
    <w:rsid w:val="719A42C0"/>
    <w:rsid w:val="719C5A56"/>
    <w:rsid w:val="71AD37BF"/>
    <w:rsid w:val="71B05423"/>
    <w:rsid w:val="71B66B18"/>
    <w:rsid w:val="71B903B6"/>
    <w:rsid w:val="71BC1C54"/>
    <w:rsid w:val="71C42D2E"/>
    <w:rsid w:val="71CD79BE"/>
    <w:rsid w:val="71DB657E"/>
    <w:rsid w:val="71F15DA2"/>
    <w:rsid w:val="71FA5C5D"/>
    <w:rsid w:val="71FC02A3"/>
    <w:rsid w:val="72005FE5"/>
    <w:rsid w:val="72021D5D"/>
    <w:rsid w:val="72035AD5"/>
    <w:rsid w:val="72190E55"/>
    <w:rsid w:val="72273572"/>
    <w:rsid w:val="722F68CA"/>
    <w:rsid w:val="7231619E"/>
    <w:rsid w:val="723839D1"/>
    <w:rsid w:val="724759C2"/>
    <w:rsid w:val="724D0AFE"/>
    <w:rsid w:val="724D2F50"/>
    <w:rsid w:val="725105EF"/>
    <w:rsid w:val="72514479"/>
    <w:rsid w:val="725A329A"/>
    <w:rsid w:val="725F4D24"/>
    <w:rsid w:val="72646574"/>
    <w:rsid w:val="72671BC0"/>
    <w:rsid w:val="726A7902"/>
    <w:rsid w:val="726B5B54"/>
    <w:rsid w:val="726F3D60"/>
    <w:rsid w:val="727A41BA"/>
    <w:rsid w:val="727B1B10"/>
    <w:rsid w:val="72834520"/>
    <w:rsid w:val="728625D7"/>
    <w:rsid w:val="728704B4"/>
    <w:rsid w:val="72874010"/>
    <w:rsid w:val="72895FDA"/>
    <w:rsid w:val="72976792"/>
    <w:rsid w:val="7298621E"/>
    <w:rsid w:val="729A01E8"/>
    <w:rsid w:val="72AA18A6"/>
    <w:rsid w:val="72B55021"/>
    <w:rsid w:val="72B8241C"/>
    <w:rsid w:val="72C214EC"/>
    <w:rsid w:val="72C62D8B"/>
    <w:rsid w:val="72CD7951"/>
    <w:rsid w:val="72D1706D"/>
    <w:rsid w:val="72D3107D"/>
    <w:rsid w:val="72D336FA"/>
    <w:rsid w:val="72D37256"/>
    <w:rsid w:val="72D57472"/>
    <w:rsid w:val="72DF209E"/>
    <w:rsid w:val="72E945B0"/>
    <w:rsid w:val="72EC7CF0"/>
    <w:rsid w:val="72F0605A"/>
    <w:rsid w:val="72F07B01"/>
    <w:rsid w:val="72F5541E"/>
    <w:rsid w:val="72FD0776"/>
    <w:rsid w:val="72FD2525"/>
    <w:rsid w:val="730833A3"/>
    <w:rsid w:val="731C0BFD"/>
    <w:rsid w:val="731F693F"/>
    <w:rsid w:val="7326366C"/>
    <w:rsid w:val="732823CA"/>
    <w:rsid w:val="732D2E0A"/>
    <w:rsid w:val="73306E7F"/>
    <w:rsid w:val="7346211D"/>
    <w:rsid w:val="734B2A20"/>
    <w:rsid w:val="734D7008"/>
    <w:rsid w:val="73571C35"/>
    <w:rsid w:val="7358775B"/>
    <w:rsid w:val="735E7467"/>
    <w:rsid w:val="735F6D3B"/>
    <w:rsid w:val="73685BF0"/>
    <w:rsid w:val="73687C94"/>
    <w:rsid w:val="73702CF6"/>
    <w:rsid w:val="7379604F"/>
    <w:rsid w:val="737F4EE8"/>
    <w:rsid w:val="738642C8"/>
    <w:rsid w:val="738844E4"/>
    <w:rsid w:val="739764D5"/>
    <w:rsid w:val="73980266"/>
    <w:rsid w:val="73A11102"/>
    <w:rsid w:val="73A17354"/>
    <w:rsid w:val="73AA6208"/>
    <w:rsid w:val="73AD5CF9"/>
    <w:rsid w:val="73AD7AA7"/>
    <w:rsid w:val="73BE1CB4"/>
    <w:rsid w:val="73BF77DA"/>
    <w:rsid w:val="73C92407"/>
    <w:rsid w:val="73CD16C1"/>
    <w:rsid w:val="73D239B1"/>
    <w:rsid w:val="73D414D7"/>
    <w:rsid w:val="73DB1ED7"/>
    <w:rsid w:val="73DD4830"/>
    <w:rsid w:val="73E410C3"/>
    <w:rsid w:val="73E73949"/>
    <w:rsid w:val="73E7645A"/>
    <w:rsid w:val="73EF7A4D"/>
    <w:rsid w:val="73F02A23"/>
    <w:rsid w:val="73F25E01"/>
    <w:rsid w:val="74031DBD"/>
    <w:rsid w:val="7406140F"/>
    <w:rsid w:val="74094202"/>
    <w:rsid w:val="74185868"/>
    <w:rsid w:val="74220495"/>
    <w:rsid w:val="74251D33"/>
    <w:rsid w:val="74276840"/>
    <w:rsid w:val="74281823"/>
    <w:rsid w:val="7428537F"/>
    <w:rsid w:val="742F2BB2"/>
    <w:rsid w:val="743326A2"/>
    <w:rsid w:val="7443040B"/>
    <w:rsid w:val="74493C73"/>
    <w:rsid w:val="744D3038"/>
    <w:rsid w:val="74624D35"/>
    <w:rsid w:val="74687E72"/>
    <w:rsid w:val="747D56CB"/>
    <w:rsid w:val="748227F1"/>
    <w:rsid w:val="74934EEE"/>
    <w:rsid w:val="74936C9D"/>
    <w:rsid w:val="749E3893"/>
    <w:rsid w:val="749E7397"/>
    <w:rsid w:val="74A215D5"/>
    <w:rsid w:val="74A40EAA"/>
    <w:rsid w:val="74A4534E"/>
    <w:rsid w:val="74A72748"/>
    <w:rsid w:val="74A76BEC"/>
    <w:rsid w:val="74AF5AA0"/>
    <w:rsid w:val="74AF726F"/>
    <w:rsid w:val="74B15375"/>
    <w:rsid w:val="74B530B7"/>
    <w:rsid w:val="74BB2697"/>
    <w:rsid w:val="74BE7A92"/>
    <w:rsid w:val="74C407DE"/>
    <w:rsid w:val="74C633DD"/>
    <w:rsid w:val="74C7103C"/>
    <w:rsid w:val="74CA4688"/>
    <w:rsid w:val="74CD402D"/>
    <w:rsid w:val="74D13C69"/>
    <w:rsid w:val="74D53759"/>
    <w:rsid w:val="74D735C0"/>
    <w:rsid w:val="74E4399C"/>
    <w:rsid w:val="74EB49E5"/>
    <w:rsid w:val="74F02341"/>
    <w:rsid w:val="74FF1CBD"/>
    <w:rsid w:val="750202C6"/>
    <w:rsid w:val="75047B9A"/>
    <w:rsid w:val="75087C24"/>
    <w:rsid w:val="751122B7"/>
    <w:rsid w:val="7516167C"/>
    <w:rsid w:val="751B3AC4"/>
    <w:rsid w:val="751C1388"/>
    <w:rsid w:val="75287D2D"/>
    <w:rsid w:val="753541F8"/>
    <w:rsid w:val="75371D1E"/>
    <w:rsid w:val="753B2656"/>
    <w:rsid w:val="753F5076"/>
    <w:rsid w:val="75414E2E"/>
    <w:rsid w:val="75430BBD"/>
    <w:rsid w:val="75461F61"/>
    <w:rsid w:val="754C32EF"/>
    <w:rsid w:val="754E0E15"/>
    <w:rsid w:val="755723C0"/>
    <w:rsid w:val="75596138"/>
    <w:rsid w:val="75610B49"/>
    <w:rsid w:val="75623E93"/>
    <w:rsid w:val="756B4568"/>
    <w:rsid w:val="756E770A"/>
    <w:rsid w:val="757A60AE"/>
    <w:rsid w:val="757F1917"/>
    <w:rsid w:val="75882579"/>
    <w:rsid w:val="758D193E"/>
    <w:rsid w:val="758D4034"/>
    <w:rsid w:val="75A373B3"/>
    <w:rsid w:val="75A924F0"/>
    <w:rsid w:val="75B50E95"/>
    <w:rsid w:val="75B91A18"/>
    <w:rsid w:val="75B94E29"/>
    <w:rsid w:val="75BA294F"/>
    <w:rsid w:val="75BE243F"/>
    <w:rsid w:val="75CA2B92"/>
    <w:rsid w:val="75CD2828"/>
    <w:rsid w:val="75CE2CD1"/>
    <w:rsid w:val="75D27D9A"/>
    <w:rsid w:val="75D64F48"/>
    <w:rsid w:val="75DC0B17"/>
    <w:rsid w:val="75DC7DEF"/>
    <w:rsid w:val="75E31EA6"/>
    <w:rsid w:val="75E86F7D"/>
    <w:rsid w:val="75EB2B08"/>
    <w:rsid w:val="75FB0F9D"/>
    <w:rsid w:val="75FC6AC3"/>
    <w:rsid w:val="7601057E"/>
    <w:rsid w:val="76051E1C"/>
    <w:rsid w:val="76165DD7"/>
    <w:rsid w:val="761B49FD"/>
    <w:rsid w:val="761E337E"/>
    <w:rsid w:val="762229CE"/>
    <w:rsid w:val="7625426C"/>
    <w:rsid w:val="76275B71"/>
    <w:rsid w:val="762829BF"/>
    <w:rsid w:val="762A7AD4"/>
    <w:rsid w:val="763D42B8"/>
    <w:rsid w:val="763E4217"/>
    <w:rsid w:val="764010A6"/>
    <w:rsid w:val="76560B46"/>
    <w:rsid w:val="76562678"/>
    <w:rsid w:val="76592141"/>
    <w:rsid w:val="765C7562"/>
    <w:rsid w:val="765E7ABA"/>
    <w:rsid w:val="7662101C"/>
    <w:rsid w:val="766823AB"/>
    <w:rsid w:val="7671125F"/>
    <w:rsid w:val="76760624"/>
    <w:rsid w:val="767C19B2"/>
    <w:rsid w:val="76835EFD"/>
    <w:rsid w:val="76886CE0"/>
    <w:rsid w:val="768A1662"/>
    <w:rsid w:val="768D21E0"/>
    <w:rsid w:val="7692290F"/>
    <w:rsid w:val="76962737"/>
    <w:rsid w:val="769715A4"/>
    <w:rsid w:val="76982C90"/>
    <w:rsid w:val="769A6A08"/>
    <w:rsid w:val="769B008A"/>
    <w:rsid w:val="769F401E"/>
    <w:rsid w:val="76A07D97"/>
    <w:rsid w:val="76A21419"/>
    <w:rsid w:val="76A96C4B"/>
    <w:rsid w:val="76B949B4"/>
    <w:rsid w:val="76BD6253"/>
    <w:rsid w:val="76C45833"/>
    <w:rsid w:val="76CE0460"/>
    <w:rsid w:val="76D161A2"/>
    <w:rsid w:val="76DD06A3"/>
    <w:rsid w:val="76DD68F5"/>
    <w:rsid w:val="76E14CAF"/>
    <w:rsid w:val="76E539FB"/>
    <w:rsid w:val="76EC08E6"/>
    <w:rsid w:val="76F81981"/>
    <w:rsid w:val="77040325"/>
    <w:rsid w:val="770519A8"/>
    <w:rsid w:val="77071BC4"/>
    <w:rsid w:val="77112A42"/>
    <w:rsid w:val="7718792D"/>
    <w:rsid w:val="771F0CBB"/>
    <w:rsid w:val="772C162A"/>
    <w:rsid w:val="773109EF"/>
    <w:rsid w:val="773A0865"/>
    <w:rsid w:val="773C4658"/>
    <w:rsid w:val="773D3837"/>
    <w:rsid w:val="773D7394"/>
    <w:rsid w:val="773F135E"/>
    <w:rsid w:val="77456248"/>
    <w:rsid w:val="7746449A"/>
    <w:rsid w:val="775070C7"/>
    <w:rsid w:val="7755292F"/>
    <w:rsid w:val="775A1CF3"/>
    <w:rsid w:val="775A6197"/>
    <w:rsid w:val="77640DC4"/>
    <w:rsid w:val="77644920"/>
    <w:rsid w:val="776C1A27"/>
    <w:rsid w:val="776D5ECB"/>
    <w:rsid w:val="77731007"/>
    <w:rsid w:val="77764653"/>
    <w:rsid w:val="777A2396"/>
    <w:rsid w:val="777D7350"/>
    <w:rsid w:val="77822FF8"/>
    <w:rsid w:val="778D327B"/>
    <w:rsid w:val="77980A6E"/>
    <w:rsid w:val="7798281C"/>
    <w:rsid w:val="77A14BA4"/>
    <w:rsid w:val="77A173C2"/>
    <w:rsid w:val="77A25449"/>
    <w:rsid w:val="77A32051"/>
    <w:rsid w:val="77A411C1"/>
    <w:rsid w:val="77AD4519"/>
    <w:rsid w:val="77B05DB7"/>
    <w:rsid w:val="77CA78EA"/>
    <w:rsid w:val="77CD0717"/>
    <w:rsid w:val="77CF26E1"/>
    <w:rsid w:val="77D45F4A"/>
    <w:rsid w:val="77D53A70"/>
    <w:rsid w:val="77D67BBF"/>
    <w:rsid w:val="77DA4BE2"/>
    <w:rsid w:val="77E01528"/>
    <w:rsid w:val="77E26E00"/>
    <w:rsid w:val="77F22BC3"/>
    <w:rsid w:val="77FA7033"/>
    <w:rsid w:val="78014865"/>
    <w:rsid w:val="78034139"/>
    <w:rsid w:val="780B56E4"/>
    <w:rsid w:val="780D4FB8"/>
    <w:rsid w:val="780F0D30"/>
    <w:rsid w:val="78106856"/>
    <w:rsid w:val="78197E01"/>
    <w:rsid w:val="781A1483"/>
    <w:rsid w:val="781E0CC6"/>
    <w:rsid w:val="78202F3D"/>
    <w:rsid w:val="78250553"/>
    <w:rsid w:val="78252301"/>
    <w:rsid w:val="7826607A"/>
    <w:rsid w:val="782D565A"/>
    <w:rsid w:val="7831514A"/>
    <w:rsid w:val="78316F8E"/>
    <w:rsid w:val="7832511A"/>
    <w:rsid w:val="78363FA9"/>
    <w:rsid w:val="783B448C"/>
    <w:rsid w:val="783E33C3"/>
    <w:rsid w:val="78485FF0"/>
    <w:rsid w:val="784C3D32"/>
    <w:rsid w:val="784D3606"/>
    <w:rsid w:val="785030F6"/>
    <w:rsid w:val="785250C1"/>
    <w:rsid w:val="78540E39"/>
    <w:rsid w:val="78574485"/>
    <w:rsid w:val="7859644F"/>
    <w:rsid w:val="78743289"/>
    <w:rsid w:val="787D038F"/>
    <w:rsid w:val="787D77EC"/>
    <w:rsid w:val="7882388A"/>
    <w:rsid w:val="78857244"/>
    <w:rsid w:val="78880AE2"/>
    <w:rsid w:val="788F1E71"/>
    <w:rsid w:val="78A0407E"/>
    <w:rsid w:val="78A31478"/>
    <w:rsid w:val="78A43B6E"/>
    <w:rsid w:val="78A551F0"/>
    <w:rsid w:val="78BF3D82"/>
    <w:rsid w:val="78C0202A"/>
    <w:rsid w:val="78CF4963"/>
    <w:rsid w:val="78D64904"/>
    <w:rsid w:val="78D83818"/>
    <w:rsid w:val="78D9001A"/>
    <w:rsid w:val="78E51A91"/>
    <w:rsid w:val="78E75809"/>
    <w:rsid w:val="78EC1071"/>
    <w:rsid w:val="78FE2B52"/>
    <w:rsid w:val="78FE532A"/>
    <w:rsid w:val="791660EE"/>
    <w:rsid w:val="79282772"/>
    <w:rsid w:val="79366790"/>
    <w:rsid w:val="793A6280"/>
    <w:rsid w:val="793B5B55"/>
    <w:rsid w:val="794703FD"/>
    <w:rsid w:val="79497463"/>
    <w:rsid w:val="794C1A18"/>
    <w:rsid w:val="79554E68"/>
    <w:rsid w:val="795A422D"/>
    <w:rsid w:val="79607369"/>
    <w:rsid w:val="79694470"/>
    <w:rsid w:val="796A3FF1"/>
    <w:rsid w:val="796E2824"/>
    <w:rsid w:val="796E4E17"/>
    <w:rsid w:val="79703A50"/>
    <w:rsid w:val="79733540"/>
    <w:rsid w:val="797C0647"/>
    <w:rsid w:val="797F5A41"/>
    <w:rsid w:val="79870D9A"/>
    <w:rsid w:val="798C015E"/>
    <w:rsid w:val="79921C19"/>
    <w:rsid w:val="79927E6B"/>
    <w:rsid w:val="799F4335"/>
    <w:rsid w:val="79A27982"/>
    <w:rsid w:val="79B06543"/>
    <w:rsid w:val="79B1119F"/>
    <w:rsid w:val="79BA2F1D"/>
    <w:rsid w:val="79BF0534"/>
    <w:rsid w:val="79BF6786"/>
    <w:rsid w:val="79C913B2"/>
    <w:rsid w:val="79CD2C51"/>
    <w:rsid w:val="79CE69C9"/>
    <w:rsid w:val="79DD09BA"/>
    <w:rsid w:val="79E13D7A"/>
    <w:rsid w:val="79E816C0"/>
    <w:rsid w:val="79EF706B"/>
    <w:rsid w:val="79F71A7C"/>
    <w:rsid w:val="79FE3DB9"/>
    <w:rsid w:val="7A005F0B"/>
    <w:rsid w:val="7A0D5743"/>
    <w:rsid w:val="7A106FE1"/>
    <w:rsid w:val="7A1F261B"/>
    <w:rsid w:val="7A2F7467"/>
    <w:rsid w:val="7A344A7E"/>
    <w:rsid w:val="7A4647B1"/>
    <w:rsid w:val="7A4B626B"/>
    <w:rsid w:val="7A4D5B40"/>
    <w:rsid w:val="7A4F3CB4"/>
    <w:rsid w:val="7A5073DE"/>
    <w:rsid w:val="7A537099"/>
    <w:rsid w:val="7A5C3FD5"/>
    <w:rsid w:val="7A603AC5"/>
    <w:rsid w:val="7A65732D"/>
    <w:rsid w:val="7A7366DE"/>
    <w:rsid w:val="7A770E0E"/>
    <w:rsid w:val="7A804167"/>
    <w:rsid w:val="7A886B78"/>
    <w:rsid w:val="7A8A7D42"/>
    <w:rsid w:val="7A910122"/>
    <w:rsid w:val="7A9674E6"/>
    <w:rsid w:val="7A9B0394"/>
    <w:rsid w:val="7A9C0875"/>
    <w:rsid w:val="7AA42131"/>
    <w:rsid w:val="7AA8546C"/>
    <w:rsid w:val="7AAA65E8"/>
    <w:rsid w:val="7AB20098"/>
    <w:rsid w:val="7AB43E11"/>
    <w:rsid w:val="7AB510DD"/>
    <w:rsid w:val="7ABE2599"/>
    <w:rsid w:val="7AC027B5"/>
    <w:rsid w:val="7ACA53E2"/>
    <w:rsid w:val="7AD33DF5"/>
    <w:rsid w:val="7AE5221C"/>
    <w:rsid w:val="7AE55D78"/>
    <w:rsid w:val="7AE86066"/>
    <w:rsid w:val="7AF81F4F"/>
    <w:rsid w:val="7AFD57B8"/>
    <w:rsid w:val="7B036A19"/>
    <w:rsid w:val="7B0A0FB5"/>
    <w:rsid w:val="7B0A3A31"/>
    <w:rsid w:val="7B0E0034"/>
    <w:rsid w:val="7B217717"/>
    <w:rsid w:val="7B22521E"/>
    <w:rsid w:val="7B225818"/>
    <w:rsid w:val="7B315B6D"/>
    <w:rsid w:val="7B3B62E0"/>
    <w:rsid w:val="7B3D7962"/>
    <w:rsid w:val="7B4C229B"/>
    <w:rsid w:val="7B4C5DF7"/>
    <w:rsid w:val="7B5573A2"/>
    <w:rsid w:val="7B560A24"/>
    <w:rsid w:val="7B594570"/>
    <w:rsid w:val="7B5B25DA"/>
    <w:rsid w:val="7B65510B"/>
    <w:rsid w:val="7B66335D"/>
    <w:rsid w:val="7B690757"/>
    <w:rsid w:val="7B6C5B4E"/>
    <w:rsid w:val="7B705F89"/>
    <w:rsid w:val="7B707D38"/>
    <w:rsid w:val="7B7535A0"/>
    <w:rsid w:val="7B767318"/>
    <w:rsid w:val="7B810197"/>
    <w:rsid w:val="7B812353"/>
    <w:rsid w:val="7B8537E5"/>
    <w:rsid w:val="7B902188"/>
    <w:rsid w:val="7B937ECA"/>
    <w:rsid w:val="7B9E14FD"/>
    <w:rsid w:val="7B9F686F"/>
    <w:rsid w:val="7BA619AB"/>
    <w:rsid w:val="7BA624F0"/>
    <w:rsid w:val="7BB30D54"/>
    <w:rsid w:val="7BB40833"/>
    <w:rsid w:val="7BB67714"/>
    <w:rsid w:val="7BBD6CF5"/>
    <w:rsid w:val="7BC6204D"/>
    <w:rsid w:val="7BC84880"/>
    <w:rsid w:val="7BD30CB9"/>
    <w:rsid w:val="7BDA3403"/>
    <w:rsid w:val="7BDF338E"/>
    <w:rsid w:val="7BE44282"/>
    <w:rsid w:val="7BE6455E"/>
    <w:rsid w:val="7BE75B20"/>
    <w:rsid w:val="7BE97AEA"/>
    <w:rsid w:val="7BF312DF"/>
    <w:rsid w:val="7C02295A"/>
    <w:rsid w:val="7C031876"/>
    <w:rsid w:val="7C043AFC"/>
    <w:rsid w:val="7C06069C"/>
    <w:rsid w:val="7C0B5CB2"/>
    <w:rsid w:val="7C1A4147"/>
    <w:rsid w:val="7C1E192D"/>
    <w:rsid w:val="7C246D74"/>
    <w:rsid w:val="7C2D3E7B"/>
    <w:rsid w:val="7C3A20F4"/>
    <w:rsid w:val="7C3F595C"/>
    <w:rsid w:val="7C43369E"/>
    <w:rsid w:val="7C4B60AF"/>
    <w:rsid w:val="7C547659"/>
    <w:rsid w:val="7C5F7DAC"/>
    <w:rsid w:val="7C63789C"/>
    <w:rsid w:val="7C6D475B"/>
    <w:rsid w:val="7C7B2E38"/>
    <w:rsid w:val="7C7F2FD3"/>
    <w:rsid w:val="7C8021FC"/>
    <w:rsid w:val="7C857822"/>
    <w:rsid w:val="7C8719B4"/>
    <w:rsid w:val="7C877315"/>
    <w:rsid w:val="7C8D66C7"/>
    <w:rsid w:val="7C9B7036"/>
    <w:rsid w:val="7CA35EEB"/>
    <w:rsid w:val="7CA57EB5"/>
    <w:rsid w:val="7CA73C2D"/>
    <w:rsid w:val="7CB225D2"/>
    <w:rsid w:val="7CB46147"/>
    <w:rsid w:val="7CB97D5E"/>
    <w:rsid w:val="7CC55E61"/>
    <w:rsid w:val="7CCA791B"/>
    <w:rsid w:val="7CCF6CE0"/>
    <w:rsid w:val="7CD12A58"/>
    <w:rsid w:val="7CD442F6"/>
    <w:rsid w:val="7CD9366D"/>
    <w:rsid w:val="7CDE33C7"/>
    <w:rsid w:val="7CE56503"/>
    <w:rsid w:val="7CE704CD"/>
    <w:rsid w:val="7CEC1640"/>
    <w:rsid w:val="7CED360A"/>
    <w:rsid w:val="7CEF40A5"/>
    <w:rsid w:val="7CF14EA8"/>
    <w:rsid w:val="7D071250"/>
    <w:rsid w:val="7D0A41BC"/>
    <w:rsid w:val="7D1110A6"/>
    <w:rsid w:val="7D1A26FE"/>
    <w:rsid w:val="7D1F7C67"/>
    <w:rsid w:val="7D20753B"/>
    <w:rsid w:val="7D2C5EE0"/>
    <w:rsid w:val="7D344D95"/>
    <w:rsid w:val="7D39553A"/>
    <w:rsid w:val="7D3A343A"/>
    <w:rsid w:val="7D3B25C7"/>
    <w:rsid w:val="7D3D633F"/>
    <w:rsid w:val="7D40198C"/>
    <w:rsid w:val="7D40373A"/>
    <w:rsid w:val="7D4C20DE"/>
    <w:rsid w:val="7D584F27"/>
    <w:rsid w:val="7D5A0C9F"/>
    <w:rsid w:val="7D5B1A70"/>
    <w:rsid w:val="7D61389A"/>
    <w:rsid w:val="7D676F18"/>
    <w:rsid w:val="7D6D5999"/>
    <w:rsid w:val="7D6F401F"/>
    <w:rsid w:val="7D7962C4"/>
    <w:rsid w:val="7D8221C5"/>
    <w:rsid w:val="7D851A94"/>
    <w:rsid w:val="7D893333"/>
    <w:rsid w:val="7D913F95"/>
    <w:rsid w:val="7D9D6DDE"/>
    <w:rsid w:val="7DB303AF"/>
    <w:rsid w:val="7DBF384A"/>
    <w:rsid w:val="7DC10D1E"/>
    <w:rsid w:val="7DC61F21"/>
    <w:rsid w:val="7DC75C09"/>
    <w:rsid w:val="7DC91981"/>
    <w:rsid w:val="7DCA74A7"/>
    <w:rsid w:val="7DCB56F9"/>
    <w:rsid w:val="7DCD29FF"/>
    <w:rsid w:val="7DCF4ABD"/>
    <w:rsid w:val="7DE1316F"/>
    <w:rsid w:val="7DE60785"/>
    <w:rsid w:val="7DE87237"/>
    <w:rsid w:val="7DED1B13"/>
    <w:rsid w:val="7DF2712A"/>
    <w:rsid w:val="7DF52776"/>
    <w:rsid w:val="7DFA4230"/>
    <w:rsid w:val="7DFA7D8C"/>
    <w:rsid w:val="7DFD5ACF"/>
    <w:rsid w:val="7E0806FB"/>
    <w:rsid w:val="7E0B1F99"/>
    <w:rsid w:val="7E1626EC"/>
    <w:rsid w:val="7E1C5F55"/>
    <w:rsid w:val="7E1D1CCD"/>
    <w:rsid w:val="7E2117BD"/>
    <w:rsid w:val="7E2272E3"/>
    <w:rsid w:val="7E2D1F10"/>
    <w:rsid w:val="7E2D46AC"/>
    <w:rsid w:val="7E2D63B4"/>
    <w:rsid w:val="7E2E5C88"/>
    <w:rsid w:val="7E3A287F"/>
    <w:rsid w:val="7E4B41E2"/>
    <w:rsid w:val="7E4C6A89"/>
    <w:rsid w:val="7E5020A2"/>
    <w:rsid w:val="7E53749D"/>
    <w:rsid w:val="7E5A4CCF"/>
    <w:rsid w:val="7E5B7CEE"/>
    <w:rsid w:val="7E6967D9"/>
    <w:rsid w:val="7E6C730C"/>
    <w:rsid w:val="7E70004F"/>
    <w:rsid w:val="7E7A2C7B"/>
    <w:rsid w:val="7E7B0D07"/>
    <w:rsid w:val="7E811FC2"/>
    <w:rsid w:val="7E843AFA"/>
    <w:rsid w:val="7E8A55B4"/>
    <w:rsid w:val="7EA877E8"/>
    <w:rsid w:val="7EAB5965"/>
    <w:rsid w:val="7EB4618D"/>
    <w:rsid w:val="7EB75C7D"/>
    <w:rsid w:val="7EB80BC2"/>
    <w:rsid w:val="7EBA751C"/>
    <w:rsid w:val="7EBB576E"/>
    <w:rsid w:val="7EBE525E"/>
    <w:rsid w:val="7EC363D0"/>
    <w:rsid w:val="7ECB34D7"/>
    <w:rsid w:val="7ECD36F3"/>
    <w:rsid w:val="7ECF1219"/>
    <w:rsid w:val="7EDA4FB6"/>
    <w:rsid w:val="7EE57BDF"/>
    <w:rsid w:val="7EF742CC"/>
    <w:rsid w:val="7EFA0975"/>
    <w:rsid w:val="7EFE1AFE"/>
    <w:rsid w:val="7EFF4463"/>
    <w:rsid w:val="7F0013D2"/>
    <w:rsid w:val="7F016EF9"/>
    <w:rsid w:val="7F037115"/>
    <w:rsid w:val="7F074323"/>
    <w:rsid w:val="7F0864D9"/>
    <w:rsid w:val="7F0A2251"/>
    <w:rsid w:val="7F0D1D41"/>
    <w:rsid w:val="7F1E3F4E"/>
    <w:rsid w:val="7F1E5CFC"/>
    <w:rsid w:val="7F1E7AAB"/>
    <w:rsid w:val="7F225747"/>
    <w:rsid w:val="7F2A28F3"/>
    <w:rsid w:val="7F2A3FF2"/>
    <w:rsid w:val="7F313C82"/>
    <w:rsid w:val="7F3F72C8"/>
    <w:rsid w:val="7F493C65"/>
    <w:rsid w:val="7F4D213E"/>
    <w:rsid w:val="7F4F7C7D"/>
    <w:rsid w:val="7F5160D2"/>
    <w:rsid w:val="7F572FBC"/>
    <w:rsid w:val="7F6A0F42"/>
    <w:rsid w:val="7F6F6558"/>
    <w:rsid w:val="7F7A1B59"/>
    <w:rsid w:val="7F7D2A23"/>
    <w:rsid w:val="7F7E04DA"/>
    <w:rsid w:val="7F862588"/>
    <w:rsid w:val="7F8C2C66"/>
    <w:rsid w:val="7F9164CE"/>
    <w:rsid w:val="7F937E38"/>
    <w:rsid w:val="7FA77AA0"/>
    <w:rsid w:val="7FA85DDB"/>
    <w:rsid w:val="7FB34697"/>
    <w:rsid w:val="7FB623D9"/>
    <w:rsid w:val="7FBE2315"/>
    <w:rsid w:val="7FC22B2C"/>
    <w:rsid w:val="7FC836FF"/>
    <w:rsid w:val="7FC949D2"/>
    <w:rsid w:val="7FCB3081"/>
    <w:rsid w:val="7FD34D39"/>
    <w:rsid w:val="7FE53205"/>
    <w:rsid w:val="7FE9455C"/>
    <w:rsid w:val="7FEA5BDF"/>
    <w:rsid w:val="7FEC7BA9"/>
    <w:rsid w:val="7FF32CE5"/>
    <w:rsid w:val="7FF51F11"/>
    <w:rsid w:val="7FFF5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57" w:lineRule="atLeast"/>
      <w:jc w:val="both"/>
      <w:textAlignment w:val="baseline"/>
    </w:pPr>
    <w:rPr>
      <w:rFonts w:ascii="Times New Roman" w:hAnsi="Times New Roman" w:eastAsia="宋体" w:cs="Times New Roman"/>
      <w:color w:val="000000"/>
      <w:sz w:val="28"/>
      <w:u w:val="none" w:color="000000"/>
      <w:lang w:val="en-US" w:eastAsia="zh-CN" w:bidi="ar-SA"/>
    </w:rPr>
  </w:style>
  <w:style w:type="paragraph" w:styleId="3">
    <w:name w:val="heading 1"/>
    <w:basedOn w:val="1"/>
    <w:next w:val="1"/>
    <w:link w:val="43"/>
    <w:qFormat/>
    <w:uiPriority w:val="0"/>
    <w:pPr>
      <w:keepNext/>
      <w:keepLines/>
      <w:spacing w:before="240" w:beforeLines="0" w:beforeAutospacing="0" w:after="240" w:afterLines="0" w:afterAutospacing="0" w:line="240" w:lineRule="auto"/>
      <w:jc w:val="center"/>
      <w:outlineLvl w:val="0"/>
    </w:pPr>
    <w:rPr>
      <w:rFonts w:ascii="Calibri" w:hAnsi="Calibri" w:eastAsia="宋体" w:cs="Times New Roman"/>
      <w:b/>
      <w:kern w:val="44"/>
      <w:sz w:val="36"/>
      <w:szCs w:val="22"/>
    </w:rPr>
  </w:style>
  <w:style w:type="paragraph" w:styleId="4">
    <w:name w:val="heading 2"/>
    <w:basedOn w:val="1"/>
    <w:next w:val="1"/>
    <w:link w:val="44"/>
    <w:qFormat/>
    <w:uiPriority w:val="0"/>
    <w:pPr>
      <w:keepNext/>
      <w:keepLines/>
      <w:widowControl w:val="0"/>
      <w:numPr>
        <w:ilvl w:val="1"/>
        <w:numId w:val="0"/>
      </w:numPr>
      <w:adjustRightInd w:val="0"/>
      <w:spacing w:line="360" w:lineRule="auto"/>
      <w:jc w:val="center"/>
      <w:outlineLvl w:val="1"/>
    </w:pPr>
    <w:rPr>
      <w:rFonts w:ascii="Times New Roman" w:hAnsi="Times New Roman" w:eastAsia="宋体"/>
      <w:b/>
      <w:color w:val="auto"/>
      <w:sz w:val="30"/>
    </w:rPr>
  </w:style>
  <w:style w:type="paragraph" w:styleId="5">
    <w:name w:val="heading 3"/>
    <w:basedOn w:val="1"/>
    <w:next w:val="1"/>
    <w:link w:val="47"/>
    <w:qFormat/>
    <w:uiPriority w:val="0"/>
    <w:pPr>
      <w:keepNext/>
      <w:keepLines/>
      <w:spacing w:before="20" w:after="20" w:line="240" w:lineRule="auto"/>
      <w:jc w:val="center"/>
      <w:outlineLvl w:val="2"/>
    </w:pPr>
    <w:rPr>
      <w:rFonts w:ascii="Times New Roman" w:hAnsi="Times New Roman" w:eastAsia="宋体"/>
      <w:b/>
      <w:bCs/>
      <w:sz w:val="28"/>
      <w:szCs w:val="32"/>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28">
    <w:name w:val="Default Paragraph Font"/>
    <w:semiHidden/>
    <w:qFormat/>
    <w:uiPriority w:val="0"/>
  </w:style>
  <w:style w:type="table" w:default="1" w:styleId="2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7">
    <w:name w:val="table of authorities"/>
    <w:basedOn w:val="1"/>
    <w:next w:val="1"/>
    <w:unhideWhenUsed/>
    <w:qFormat/>
    <w:uiPriority w:val="99"/>
    <w:pPr>
      <w:ind w:left="420" w:leftChars="200"/>
    </w:pPr>
  </w:style>
  <w:style w:type="paragraph" w:styleId="8">
    <w:name w:val="Normal Indent"/>
    <w:basedOn w:val="1"/>
    <w:next w:val="9"/>
    <w:qFormat/>
    <w:uiPriority w:val="0"/>
    <w:pPr>
      <w:widowControl w:val="0"/>
      <w:adjustRightInd w:val="0"/>
      <w:spacing w:line="360" w:lineRule="atLeast"/>
      <w:ind w:firstLine="482"/>
    </w:pPr>
    <w:rPr>
      <w:color w:val="auto"/>
      <w:sz w:val="24"/>
      <w:u w:val="none" w:color="auto"/>
    </w:rPr>
  </w:style>
  <w:style w:type="paragraph" w:styleId="9">
    <w:name w:val="Body Text First Indent 2"/>
    <w:basedOn w:val="10"/>
    <w:next w:val="11"/>
    <w:qFormat/>
    <w:uiPriority w:val="0"/>
    <w:pPr>
      <w:ind w:firstLine="420" w:firstLineChars="200"/>
    </w:pPr>
  </w:style>
  <w:style w:type="paragraph" w:styleId="10">
    <w:name w:val="Body Text Indent"/>
    <w:basedOn w:val="1"/>
    <w:next w:val="1"/>
    <w:qFormat/>
    <w:uiPriority w:val="0"/>
    <w:pPr>
      <w:ind w:left="420" w:leftChars="200"/>
    </w:pPr>
  </w:style>
  <w:style w:type="paragraph" w:styleId="11">
    <w:name w:val="toc 2"/>
    <w:basedOn w:val="1"/>
    <w:next w:val="1"/>
    <w:qFormat/>
    <w:uiPriority w:val="0"/>
    <w:pPr>
      <w:ind w:left="420" w:leftChars="200"/>
    </w:pPr>
  </w:style>
  <w:style w:type="paragraph" w:styleId="12">
    <w:name w:val="annotation text"/>
    <w:basedOn w:val="1"/>
    <w:qFormat/>
    <w:uiPriority w:val="0"/>
    <w:pPr>
      <w:jc w:val="left"/>
    </w:pPr>
  </w:style>
  <w:style w:type="paragraph" w:styleId="13">
    <w:name w:val="Body Text"/>
    <w:basedOn w:val="1"/>
    <w:next w:val="1"/>
    <w:qFormat/>
    <w:uiPriority w:val="0"/>
    <w:pPr>
      <w:widowControl w:val="0"/>
      <w:snapToGrid w:val="0"/>
      <w:spacing w:line="360" w:lineRule="auto"/>
    </w:pPr>
    <w:rPr>
      <w:rFonts w:ascii="Arial" w:hAnsi="Arial" w:eastAsia="FangSong_GB2312"/>
      <w:sz w:val="31"/>
    </w:rPr>
  </w:style>
  <w:style w:type="paragraph" w:styleId="14">
    <w:name w:val="toc 3"/>
    <w:basedOn w:val="1"/>
    <w:next w:val="1"/>
    <w:qFormat/>
    <w:uiPriority w:val="0"/>
    <w:pPr>
      <w:ind w:left="840" w:leftChars="400"/>
    </w:pPr>
  </w:style>
  <w:style w:type="paragraph" w:styleId="15">
    <w:name w:val="Plain Text"/>
    <w:basedOn w:val="1"/>
    <w:qFormat/>
    <w:uiPriority w:val="0"/>
    <w:pPr>
      <w:widowControl w:val="0"/>
      <w:spacing w:line="240" w:lineRule="auto"/>
      <w:textAlignment w:val="auto"/>
    </w:pPr>
    <w:rPr>
      <w:rFonts w:ascii="宋体" w:hAnsi="Courier New"/>
      <w:color w:val="auto"/>
      <w:kern w:val="2"/>
      <w:u w:val="none" w:color="auto"/>
    </w:rPr>
  </w:style>
  <w:style w:type="paragraph" w:styleId="16">
    <w:name w:val="Date"/>
    <w:basedOn w:val="1"/>
    <w:next w:val="1"/>
    <w:qFormat/>
    <w:uiPriority w:val="0"/>
    <w:pPr>
      <w:widowControl w:val="0"/>
      <w:spacing w:line="240" w:lineRule="auto"/>
      <w:textAlignment w:val="auto"/>
    </w:pPr>
    <w:rPr>
      <w:rFonts w:ascii="Arial" w:hAnsi="Arial" w:eastAsia="FangSong_GB2312"/>
      <w:color w:val="auto"/>
      <w:kern w:val="2"/>
      <w:sz w:val="32"/>
      <w:u w:val="none" w:color="auto"/>
    </w:rPr>
  </w:style>
  <w:style w:type="paragraph" w:styleId="17">
    <w:name w:val="Body Text Indent 2"/>
    <w:basedOn w:val="1"/>
    <w:qFormat/>
    <w:uiPriority w:val="0"/>
    <w:pPr>
      <w:spacing w:after="120" w:afterLines="0" w:afterAutospacing="0" w:line="480" w:lineRule="auto"/>
      <w:ind w:left="420" w:leftChars="200"/>
    </w:pPr>
  </w:style>
  <w:style w:type="paragraph" w:styleId="18">
    <w:name w:val="footer"/>
    <w:basedOn w:val="1"/>
    <w:next w:val="13"/>
    <w:qFormat/>
    <w:uiPriority w:val="99"/>
    <w:pPr>
      <w:tabs>
        <w:tab w:val="center" w:pos="4153"/>
        <w:tab w:val="right" w:pos="8306"/>
      </w:tabs>
      <w:snapToGrid w:val="0"/>
      <w:spacing w:line="240" w:lineRule="atLeast"/>
      <w:jc w:val="left"/>
    </w:pPr>
    <w:rPr>
      <w:sz w:val="18"/>
      <w:szCs w:val="18"/>
    </w:rPr>
  </w:style>
  <w:style w:type="paragraph" w:styleId="19">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20">
    <w:name w:val="toc 1"/>
    <w:basedOn w:val="1"/>
    <w:next w:val="1"/>
    <w:qFormat/>
    <w:uiPriority w:val="39"/>
  </w:style>
  <w:style w:type="paragraph" w:styleId="21">
    <w:name w:val="toc 4"/>
    <w:basedOn w:val="1"/>
    <w:next w:val="1"/>
    <w:unhideWhenUsed/>
    <w:qFormat/>
    <w:uiPriority w:val="39"/>
    <w:pPr>
      <w:ind w:left="1260" w:leftChars="600"/>
    </w:pPr>
  </w:style>
  <w:style w:type="paragraph" w:styleId="22">
    <w:name w:val="Body Text 2"/>
    <w:basedOn w:val="1"/>
    <w:qFormat/>
    <w:uiPriority w:val="99"/>
    <w:rPr>
      <w:sz w:val="28"/>
    </w:rPr>
  </w:style>
  <w:style w:type="paragraph" w:styleId="23">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24">
    <w:name w:val="Normal (Web)"/>
    <w:basedOn w:val="1"/>
    <w:qFormat/>
    <w:uiPriority w:val="0"/>
    <w:pPr>
      <w:spacing w:before="100" w:beforeAutospacing="1" w:after="100" w:afterAutospacing="1" w:line="240" w:lineRule="auto"/>
      <w:jc w:val="left"/>
      <w:textAlignment w:val="auto"/>
    </w:pPr>
    <w:rPr>
      <w:rFonts w:ascii="宋体" w:hAnsi="宋体" w:cs="宋体"/>
      <w:color w:val="auto"/>
      <w:sz w:val="24"/>
      <w:szCs w:val="24"/>
      <w:u w:val="none" w:color="auto"/>
    </w:rPr>
  </w:style>
  <w:style w:type="paragraph" w:styleId="25">
    <w:name w:val="Body Text First Indent"/>
    <w:basedOn w:val="13"/>
    <w:qFormat/>
    <w:uiPriority w:val="0"/>
    <w:pPr>
      <w:spacing w:line="240" w:lineRule="auto"/>
      <w:ind w:firstLine="420" w:firstLineChars="100"/>
    </w:pPr>
    <w:rPr>
      <w:rFonts w:ascii="Calibri" w:hAnsi="Calibri"/>
      <w:color w:val="auto"/>
      <w:sz w:val="18"/>
      <w:szCs w:val="18"/>
    </w:rPr>
  </w:style>
  <w:style w:type="table" w:styleId="27">
    <w:name w:val="Table Grid"/>
    <w:basedOn w:val="26"/>
    <w:qFormat/>
    <w:uiPriority w:val="59"/>
    <w:pPr>
      <w:spacing w:line="357" w:lineRule="atLeast"/>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0"/>
    <w:rPr>
      <w:b/>
      <w:bCs/>
    </w:rPr>
  </w:style>
  <w:style w:type="character" w:styleId="30">
    <w:name w:val="page number"/>
    <w:basedOn w:val="28"/>
    <w:qFormat/>
    <w:uiPriority w:val="0"/>
  </w:style>
  <w:style w:type="character" w:styleId="31">
    <w:name w:val="FollowedHyperlink"/>
    <w:basedOn w:val="28"/>
    <w:qFormat/>
    <w:uiPriority w:val="0"/>
    <w:rPr>
      <w:color w:val="333333"/>
      <w:u w:val="none"/>
    </w:rPr>
  </w:style>
  <w:style w:type="character" w:styleId="32">
    <w:name w:val="Emphasis"/>
    <w:basedOn w:val="28"/>
    <w:qFormat/>
    <w:uiPriority w:val="0"/>
  </w:style>
  <w:style w:type="character" w:styleId="33">
    <w:name w:val="HTML Definition"/>
    <w:basedOn w:val="28"/>
    <w:qFormat/>
    <w:uiPriority w:val="0"/>
    <w:rPr>
      <w:i/>
      <w:shd w:val="clear" w:fill="FFFFFF"/>
    </w:rPr>
  </w:style>
  <w:style w:type="character" w:styleId="34">
    <w:name w:val="HTML Typewriter"/>
    <w:basedOn w:val="28"/>
    <w:qFormat/>
    <w:uiPriority w:val="0"/>
    <w:rPr>
      <w:rFonts w:ascii="monospace" w:hAnsi="monospace" w:eastAsia="monospace" w:cs="monospace"/>
      <w:sz w:val="20"/>
    </w:rPr>
  </w:style>
  <w:style w:type="character" w:styleId="35">
    <w:name w:val="HTML Acronym"/>
    <w:basedOn w:val="28"/>
    <w:qFormat/>
    <w:uiPriority w:val="0"/>
  </w:style>
  <w:style w:type="character" w:styleId="36">
    <w:name w:val="HTML Variable"/>
    <w:basedOn w:val="28"/>
    <w:qFormat/>
    <w:uiPriority w:val="0"/>
  </w:style>
  <w:style w:type="character" w:styleId="37">
    <w:name w:val="Hyperlink"/>
    <w:basedOn w:val="28"/>
    <w:qFormat/>
    <w:uiPriority w:val="0"/>
    <w:rPr>
      <w:rFonts w:ascii="等线" w:hAnsi="等线" w:eastAsia="华文宋体"/>
      <w:color w:val="0000FF"/>
      <w:u w:val="single"/>
    </w:rPr>
  </w:style>
  <w:style w:type="character" w:styleId="38">
    <w:name w:val="HTML Code"/>
    <w:basedOn w:val="28"/>
    <w:qFormat/>
    <w:uiPriority w:val="0"/>
    <w:rPr>
      <w:rFonts w:hint="default" w:ascii="Consolas" w:hAnsi="Consolas" w:eastAsia="Consolas" w:cs="Consolas"/>
      <w:color w:val="C7254E"/>
      <w:sz w:val="21"/>
      <w:szCs w:val="21"/>
      <w:shd w:val="clear" w:fill="F9F2F4"/>
    </w:rPr>
  </w:style>
  <w:style w:type="character" w:styleId="39">
    <w:name w:val="annotation reference"/>
    <w:qFormat/>
    <w:uiPriority w:val="99"/>
    <w:rPr>
      <w:sz w:val="21"/>
    </w:rPr>
  </w:style>
  <w:style w:type="character" w:styleId="40">
    <w:name w:val="HTML Cite"/>
    <w:basedOn w:val="28"/>
    <w:qFormat/>
    <w:uiPriority w:val="0"/>
  </w:style>
  <w:style w:type="character" w:styleId="41">
    <w:name w:val="HTML Keyboard"/>
    <w:basedOn w:val="28"/>
    <w:qFormat/>
    <w:uiPriority w:val="0"/>
    <w:rPr>
      <w:rFonts w:hint="default" w:ascii="Consolas" w:hAnsi="Consolas" w:eastAsia="Consolas" w:cs="Consolas"/>
      <w:color w:val="FFFFFF"/>
      <w:sz w:val="21"/>
      <w:szCs w:val="21"/>
      <w:shd w:val="clear" w:fill="333333"/>
    </w:rPr>
  </w:style>
  <w:style w:type="character" w:styleId="42">
    <w:name w:val="HTML Sample"/>
    <w:basedOn w:val="28"/>
    <w:qFormat/>
    <w:uiPriority w:val="0"/>
    <w:rPr>
      <w:rFonts w:ascii="Consolas" w:hAnsi="Consolas" w:eastAsia="Consolas" w:cs="Consolas"/>
      <w:sz w:val="21"/>
      <w:szCs w:val="21"/>
    </w:rPr>
  </w:style>
  <w:style w:type="character" w:customStyle="1" w:styleId="43">
    <w:name w:val="标题 1 Char"/>
    <w:link w:val="3"/>
    <w:qFormat/>
    <w:uiPriority w:val="0"/>
    <w:rPr>
      <w:rFonts w:ascii="Calibri" w:hAnsi="Calibri" w:eastAsia="宋体" w:cs="Times New Roman"/>
      <w:b/>
      <w:kern w:val="44"/>
      <w:sz w:val="36"/>
      <w:szCs w:val="22"/>
    </w:rPr>
  </w:style>
  <w:style w:type="character" w:customStyle="1" w:styleId="44">
    <w:name w:val="标题 2 Char"/>
    <w:link w:val="4"/>
    <w:qFormat/>
    <w:uiPriority w:val="0"/>
    <w:rPr>
      <w:rFonts w:ascii="Times New Roman" w:hAnsi="Times New Roman" w:eastAsia="宋体"/>
      <w:b/>
      <w:color w:val="auto"/>
      <w:sz w:val="30"/>
    </w:rPr>
  </w:style>
  <w:style w:type="paragraph" w:customStyle="1" w:styleId="45">
    <w:name w:val="列出段落1"/>
    <w:basedOn w:val="1"/>
    <w:qFormat/>
    <w:uiPriority w:val="34"/>
    <w:pPr>
      <w:ind w:firstLine="420" w:firstLineChars="200"/>
    </w:pPr>
    <w:rPr>
      <w:szCs w:val="20"/>
    </w:rPr>
  </w:style>
  <w:style w:type="paragraph" w:customStyle="1" w:styleId="46">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7">
    <w:name w:val="标题 3 Char"/>
    <w:link w:val="5"/>
    <w:qFormat/>
    <w:uiPriority w:val="0"/>
    <w:rPr>
      <w:rFonts w:ascii="Times New Roman" w:hAnsi="Times New Roman" w:eastAsia="宋体"/>
      <w:b/>
      <w:bCs/>
      <w:sz w:val="28"/>
      <w:szCs w:val="32"/>
    </w:rPr>
  </w:style>
  <w:style w:type="paragraph" w:customStyle="1" w:styleId="48">
    <w:name w:val="BodyText"/>
    <w:basedOn w:val="1"/>
    <w:next w:val="49"/>
    <w:qFormat/>
    <w:uiPriority w:val="0"/>
    <w:pPr>
      <w:spacing w:line="240" w:lineRule="auto"/>
      <w:jc w:val="left"/>
      <w:textAlignment w:val="baseline"/>
    </w:pPr>
    <w:rPr>
      <w:rFonts w:ascii="Calibri" w:hAnsi="Calibri" w:eastAsia="宋体"/>
      <w:b/>
      <w:kern w:val="2"/>
      <w:sz w:val="21"/>
      <w:szCs w:val="24"/>
      <w:lang w:val="en-US" w:eastAsia="zh-CN" w:bidi="ar-SA"/>
    </w:rPr>
  </w:style>
  <w:style w:type="paragraph" w:customStyle="1" w:styleId="49">
    <w:name w:val="UserStyle_1"/>
    <w:basedOn w:val="1"/>
    <w:next w:val="1"/>
    <w:qFormat/>
    <w:uiPriority w:val="0"/>
    <w:pPr>
      <w:spacing w:line="240" w:lineRule="auto"/>
      <w:ind w:left="0" w:leftChars="0"/>
      <w:jc w:val="left"/>
      <w:textAlignment w:val="baseline"/>
    </w:pPr>
  </w:style>
  <w:style w:type="paragraph" w:customStyle="1" w:styleId="50">
    <w:name w:val="无间隔1"/>
    <w:qFormat/>
    <w:uiPriority w:val="1"/>
    <w:pPr>
      <w:widowControl w:val="0"/>
    </w:pPr>
    <w:rPr>
      <w:rFonts w:ascii="Calibri" w:hAnsi="Calibri" w:eastAsia="宋体" w:cs="Times New Roman"/>
      <w:kern w:val="2"/>
      <w:sz w:val="21"/>
      <w:szCs w:val="22"/>
      <w:lang w:val="en-US" w:eastAsia="zh-CN" w:bidi="ar-SA"/>
    </w:rPr>
  </w:style>
  <w:style w:type="paragraph" w:customStyle="1" w:styleId="51">
    <w:name w:val="_Style 7"/>
    <w:basedOn w:val="3"/>
    <w:next w:val="1"/>
    <w:qFormat/>
    <w:uiPriority w:val="39"/>
    <w:pPr>
      <w:spacing w:before="480" w:after="0" w:line="276" w:lineRule="auto"/>
      <w:jc w:val="left"/>
      <w:textAlignment w:val="auto"/>
      <w:outlineLvl w:val="9"/>
    </w:pPr>
    <w:rPr>
      <w:rFonts w:ascii="Cambria" w:hAnsi="Cambria" w:eastAsia="宋体" w:cs="Times New Roman"/>
      <w:color w:val="365F91"/>
      <w:kern w:val="0"/>
      <w:sz w:val="28"/>
      <w:szCs w:val="28"/>
      <w:u w:val="none" w:color="auto"/>
    </w:rPr>
  </w:style>
  <w:style w:type="paragraph" w:customStyle="1" w:styleId="52">
    <w:name w:val="正文文字2"/>
    <w:basedOn w:val="13"/>
    <w:qFormat/>
    <w:uiPriority w:val="0"/>
    <w:pPr>
      <w:adjustRightInd w:val="0"/>
      <w:spacing w:after="60" w:line="360" w:lineRule="atLeast"/>
      <w:ind w:left="72" w:leftChars="30" w:right="72" w:rightChars="30"/>
      <w:jc w:val="center"/>
    </w:pPr>
    <w:rPr>
      <w:rFonts w:eastAsia="黑体"/>
      <w:sz w:val="21"/>
    </w:rPr>
  </w:style>
  <w:style w:type="paragraph" w:customStyle="1" w:styleId="53">
    <w:name w:val="reader-word-layer reader-word-s36-69 reader-word-s36-96"/>
    <w:basedOn w:val="1"/>
    <w:qFormat/>
    <w:uiPriority w:val="0"/>
    <w:pPr>
      <w:spacing w:before="100" w:beforeAutospacing="1" w:after="100" w:afterAutospacing="1" w:line="240" w:lineRule="auto"/>
      <w:jc w:val="left"/>
    </w:pPr>
    <w:rPr>
      <w:rFonts w:ascii="宋体" w:hAnsi="宋体" w:cs="宋体"/>
      <w:sz w:val="24"/>
      <w:szCs w:val="24"/>
    </w:rPr>
  </w:style>
  <w:style w:type="paragraph" w:customStyle="1" w:styleId="54">
    <w:name w:val="title1"/>
    <w:basedOn w:val="1"/>
    <w:qFormat/>
    <w:uiPriority w:val="0"/>
    <w:pPr>
      <w:spacing w:before="150" w:beforeAutospacing="0" w:after="0" w:afterAutospacing="0"/>
      <w:ind w:left="0" w:right="0" w:firstLine="0"/>
      <w:jc w:val="left"/>
    </w:pPr>
    <w:rPr>
      <w:b/>
      <w:kern w:val="0"/>
      <w:sz w:val="22"/>
      <w:szCs w:val="22"/>
      <w:lang w:val="en-US" w:eastAsia="zh-CN" w:bidi="ar"/>
    </w:rPr>
  </w:style>
  <w:style w:type="paragraph" w:customStyle="1" w:styleId="55">
    <w:name w:val="WPSOffice手动目录 1"/>
    <w:qFormat/>
    <w:uiPriority w:val="0"/>
    <w:pPr>
      <w:ind w:leftChars="0"/>
    </w:pPr>
    <w:rPr>
      <w:rFonts w:ascii="Times New Roman" w:hAnsi="Times New Roman" w:eastAsia="宋体" w:cs="Times New Roman"/>
      <w:sz w:val="20"/>
      <w:szCs w:val="20"/>
    </w:rPr>
  </w:style>
  <w:style w:type="character" w:customStyle="1" w:styleId="56">
    <w:name w:val="hour_pm"/>
    <w:basedOn w:val="28"/>
    <w:qFormat/>
    <w:uiPriority w:val="0"/>
  </w:style>
  <w:style w:type="character" w:customStyle="1" w:styleId="57">
    <w:name w:val="hover3"/>
    <w:basedOn w:val="28"/>
    <w:qFormat/>
    <w:uiPriority w:val="0"/>
    <w:rPr>
      <w:shd w:val="clear" w:fill="EEEEEE"/>
    </w:rPr>
  </w:style>
  <w:style w:type="character" w:customStyle="1" w:styleId="58">
    <w:name w:val="old"/>
    <w:basedOn w:val="28"/>
    <w:qFormat/>
    <w:uiPriority w:val="0"/>
    <w:rPr>
      <w:color w:val="999999"/>
    </w:rPr>
  </w:style>
  <w:style w:type="character" w:customStyle="1" w:styleId="59">
    <w:name w:val="glyphicon4"/>
    <w:basedOn w:val="28"/>
    <w:qFormat/>
    <w:uiPriority w:val="0"/>
  </w:style>
  <w:style w:type="character" w:customStyle="1" w:styleId="60">
    <w:name w:val="hour_am"/>
    <w:basedOn w:val="28"/>
    <w:qFormat/>
    <w:uiPriority w:val="0"/>
  </w:style>
  <w:style w:type="character" w:customStyle="1" w:styleId="61">
    <w:name w:val="indent"/>
    <w:basedOn w:val="28"/>
    <w:qFormat/>
    <w:uiPriority w:val="0"/>
  </w:style>
  <w:style w:type="character" w:customStyle="1" w:styleId="62">
    <w:name w:val="button"/>
    <w:basedOn w:val="28"/>
    <w:qFormat/>
    <w:uiPriority w:val="0"/>
  </w:style>
  <w:style w:type="character" w:customStyle="1" w:styleId="63">
    <w:name w:val="tmpztreemove_arrow"/>
    <w:basedOn w:val="28"/>
    <w:qFormat/>
    <w:uiPriority w:val="0"/>
    <w:rPr>
      <w:shd w:val="clear" w:fill="FFFFFF"/>
    </w:rPr>
  </w:style>
  <w:style w:type="character" w:customStyle="1" w:styleId="64">
    <w:name w:val="glyphicon"/>
    <w:basedOn w:val="28"/>
    <w:qFormat/>
    <w:uiPriority w:val="0"/>
  </w:style>
  <w:style w:type="paragraph" w:customStyle="1" w:styleId="65">
    <w:name w:val="title12"/>
    <w:basedOn w:val="1"/>
    <w:qFormat/>
    <w:uiPriority w:val="0"/>
    <w:pPr>
      <w:spacing w:before="120" w:beforeAutospacing="0" w:after="0" w:afterAutospacing="0"/>
      <w:ind w:left="0" w:right="0" w:firstLine="0"/>
      <w:jc w:val="left"/>
    </w:pPr>
    <w:rPr>
      <w:b/>
      <w:kern w:val="0"/>
      <w:sz w:val="18"/>
      <w:szCs w:val="18"/>
      <w:lang w:val="en-US" w:eastAsia="zh-CN" w:bidi="ar"/>
    </w:rPr>
  </w:style>
  <w:style w:type="paragraph" w:customStyle="1" w:styleId="66">
    <w:name w:val="正文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67">
    <w:name w:val="样式 WG标题3 + 行距: 固定值 18 磅"/>
    <w:basedOn w:val="1"/>
    <w:qFormat/>
    <w:uiPriority w:val="0"/>
    <w:pPr>
      <w:autoSpaceDE w:val="0"/>
      <w:autoSpaceDN w:val="0"/>
      <w:adjustRightInd w:val="0"/>
      <w:spacing w:line="360" w:lineRule="exact"/>
      <w:ind w:firstLine="200" w:firstLineChars="200"/>
      <w:textAlignment w:val="baseline"/>
      <w:outlineLvl w:val="2"/>
    </w:pPr>
    <w:rPr>
      <w:rFonts w:cs="宋体"/>
      <w:b/>
      <w:bCs/>
      <w:color w:val="000000"/>
      <w:kern w:val="20"/>
    </w:rPr>
  </w:style>
  <w:style w:type="paragraph" w:customStyle="1" w:styleId="68">
    <w:name w:val="表格文字中"/>
    <w:basedOn w:val="1"/>
    <w:qFormat/>
    <w:uiPriority w:val="0"/>
    <w:pPr>
      <w:adjustRightInd w:val="0"/>
      <w:snapToGrid w:val="0"/>
      <w:ind w:left="22" w:leftChars="8"/>
      <w:jc w:val="center"/>
    </w:pPr>
    <w:rPr>
      <w:szCs w:val="24"/>
    </w:rPr>
  </w:style>
  <w:style w:type="paragraph" w:customStyle="1" w:styleId="69">
    <w:name w:val="表注1"/>
    <w:basedOn w:val="1"/>
    <w:qFormat/>
    <w:uiPriority w:val="0"/>
    <w:pPr>
      <w:adjustRightInd w:val="0"/>
      <w:snapToGrid w:val="0"/>
      <w:spacing w:beforeLines="50" w:line="300" w:lineRule="auto"/>
      <w:ind w:left="350" w:hanging="350" w:hangingChars="350"/>
    </w:pPr>
    <w:rPr>
      <w:rFonts w:eastAsia="仿宋_GB2312"/>
      <w:bCs/>
      <w:color w:val="000000"/>
      <w:szCs w:val="24"/>
    </w:rPr>
  </w:style>
  <w:style w:type="paragraph" w:customStyle="1" w:styleId="70">
    <w:name w:val="表格标题"/>
    <w:basedOn w:val="1"/>
    <w:qFormat/>
    <w:uiPriority w:val="0"/>
    <w:pPr>
      <w:adjustRightInd w:val="0"/>
      <w:snapToGrid w:val="0"/>
      <w:spacing w:before="50" w:beforeLines="50" w:after="50" w:afterLines="50"/>
      <w:ind w:left="22" w:leftChars="8"/>
      <w:jc w:val="center"/>
    </w:pPr>
    <w:rPr>
      <w:b/>
      <w:bCs/>
      <w:color w:val="000000"/>
      <w:sz w:val="32"/>
      <w:szCs w:val="32"/>
    </w:rPr>
  </w:style>
  <w:style w:type="paragraph" w:customStyle="1" w:styleId="71">
    <w:name w:val="正文 New"/>
    <w:qFormat/>
    <w:uiPriority w:val="0"/>
    <w:pPr>
      <w:widowControl w:val="0"/>
      <w:jc w:val="both"/>
    </w:pPr>
    <w:rPr>
      <w:rFonts w:ascii="Calibri" w:hAnsi="Calibri" w:eastAsia="宋体" w:cs="Times New Roman"/>
      <w:lang w:val="en-US" w:eastAsia="zh-CN" w:bidi="ar-SA"/>
    </w:rPr>
  </w:style>
  <w:style w:type="character" w:customStyle="1" w:styleId="72">
    <w:name w:val="phone"/>
    <w:basedOn w:val="28"/>
    <w:qFormat/>
    <w:uiPriority w:val="0"/>
    <w:rPr>
      <w:color w:val="FF8833"/>
      <w:sz w:val="18"/>
      <w:szCs w:val="18"/>
    </w:rPr>
  </w:style>
  <w:style w:type="paragraph" w:customStyle="1" w:styleId="73">
    <w:name w:val="title11"/>
    <w:basedOn w:val="1"/>
    <w:qFormat/>
    <w:uiPriority w:val="0"/>
    <w:pPr>
      <w:spacing w:before="150" w:beforeAutospacing="0" w:after="0" w:afterAutospacing="0"/>
      <w:ind w:left="0" w:right="0" w:firstLine="0"/>
      <w:jc w:val="left"/>
    </w:pPr>
    <w:rPr>
      <w:b/>
      <w:bCs/>
      <w:kern w:val="0"/>
      <w:sz w:val="22"/>
      <w:szCs w:val="22"/>
      <w:lang w:val="en-US" w:eastAsia="zh-CN" w:bidi="ar"/>
    </w:rPr>
  </w:style>
  <w:style w:type="paragraph" w:customStyle="1" w:styleId="74">
    <w:name w:val="title13"/>
    <w:basedOn w:val="1"/>
    <w:qFormat/>
    <w:uiPriority w:val="0"/>
    <w:pPr>
      <w:spacing w:before="150" w:beforeAutospacing="0" w:after="0" w:afterAutospacing="0"/>
      <w:ind w:left="0" w:right="0" w:firstLine="0"/>
      <w:jc w:val="left"/>
    </w:pPr>
    <w:rPr>
      <w:b/>
      <w:bCs/>
      <w:kern w:val="0"/>
      <w:sz w:val="22"/>
      <w:szCs w:val="22"/>
      <w:lang w:val="en-US" w:eastAsia="zh-CN" w:bidi="ar"/>
    </w:rPr>
  </w:style>
  <w:style w:type="character" w:customStyle="1" w:styleId="75">
    <w:name w:val="number"/>
    <w:basedOn w:val="28"/>
    <w:qFormat/>
    <w:uiPriority w:val="0"/>
    <w:rPr>
      <w:color w:val="FF8833"/>
      <w:sz w:val="18"/>
      <w:szCs w:val="18"/>
    </w:rPr>
  </w:style>
  <w:style w:type="character" w:customStyle="1" w:styleId="76">
    <w:name w:val="proollist"/>
    <w:basedOn w:val="28"/>
    <w:qFormat/>
    <w:uiPriority w:val="0"/>
  </w:style>
  <w:style w:type="character" w:customStyle="1" w:styleId="77">
    <w:name w:val="beforeinfotext"/>
    <w:basedOn w:val="28"/>
    <w:qFormat/>
    <w:uiPriority w:val="0"/>
    <w:rPr>
      <w:color w:val="666666"/>
    </w:rPr>
  </w:style>
  <w:style w:type="character" w:customStyle="1" w:styleId="78">
    <w:name w:val="stclosebtn"/>
    <w:basedOn w:val="28"/>
    <w:qFormat/>
    <w:uiPriority w:val="0"/>
  </w:style>
  <w:style w:type="paragraph" w:styleId="79">
    <w:name w:val="List Paragraph"/>
    <w:basedOn w:val="1"/>
    <w:qFormat/>
    <w:uiPriority w:val="99"/>
    <w:pPr>
      <w:ind w:firstLine="420" w:firstLineChars="200"/>
    </w:pPr>
    <w:rPr>
      <w:szCs w:val="20"/>
    </w:rPr>
  </w:style>
  <w:style w:type="character" w:customStyle="1" w:styleId="80">
    <w:name w:val="HTML Markup"/>
    <w:qFormat/>
    <w:uiPriority w:val="0"/>
    <w:rPr>
      <w:vanish/>
      <w:color w:val="FF0000"/>
    </w:rPr>
  </w:style>
  <w:style w:type="paragraph" w:customStyle="1" w:styleId="81">
    <w:name w:val="Definition Term"/>
    <w:basedOn w:val="1"/>
    <w:next w:val="1"/>
    <w:qFormat/>
    <w:uiPriority w:val="0"/>
  </w:style>
  <w:style w:type="paragraph" w:customStyle="1" w:styleId="82">
    <w:name w:val="Definition List"/>
    <w:basedOn w:val="1"/>
    <w:next w:val="81"/>
    <w:qFormat/>
    <w:uiPriority w:val="0"/>
    <w:pPr>
      <w:ind w:left="360"/>
    </w:pPr>
  </w:style>
  <w:style w:type="paragraph" w:customStyle="1" w:styleId="83">
    <w:name w:val="p15"/>
    <w:qFormat/>
    <w:uiPriority w:val="99"/>
    <w:pPr>
      <w:jc w:val="both"/>
    </w:pPr>
    <w:rPr>
      <w:rFonts w:ascii="Calibri" w:hAnsi="Calibri" w:cs="Times New Roman" w:eastAsiaTheme="minorEastAsia"/>
      <w:kern w:val="1"/>
      <w:sz w:val="21"/>
      <w:szCs w:val="21"/>
      <w:lang w:val="en-US" w:eastAsia="zh-CN" w:bidi="ar-SA"/>
    </w:rPr>
  </w:style>
  <w:style w:type="paragraph" w:customStyle="1" w:styleId="84">
    <w:name w:val="09正文_wh"/>
    <w:qFormat/>
    <w:uiPriority w:val="0"/>
    <w:pPr>
      <w:spacing w:line="300" w:lineRule="auto"/>
      <w:ind w:firstLine="200"/>
      <w:jc w:val="both"/>
    </w:pPr>
    <w:rPr>
      <w:rFonts w:ascii="Times New Roman" w:hAnsi="Times New Roman" w:eastAsia="宋体" w:cs="Times New Roman"/>
      <w:sz w:val="28"/>
      <w:szCs w:val="22"/>
      <w:lang w:val="en-US" w:eastAsia="zh-CN" w:bidi="ar-SA"/>
    </w:rPr>
  </w:style>
  <w:style w:type="paragraph" w:customStyle="1" w:styleId="85">
    <w:name w:val="正文_0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86">
    <w:name w:val="mini-outputtext1"/>
    <w:basedOn w:val="28"/>
    <w:qFormat/>
    <w:uiPriority w:val="0"/>
  </w:style>
  <w:style w:type="character" w:customStyle="1" w:styleId="87">
    <w:name w:val="font11"/>
    <w:basedOn w:val="28"/>
    <w:qFormat/>
    <w:uiPriority w:val="0"/>
    <w:rPr>
      <w:rFonts w:hint="eastAsia" w:ascii="新宋体" w:hAnsi="新宋体" w:eastAsia="新宋体" w:cs="新宋体"/>
      <w:color w:val="000000"/>
      <w:sz w:val="23"/>
      <w:szCs w:val="23"/>
      <w:u w:val="none"/>
    </w:rPr>
  </w:style>
  <w:style w:type="character" w:customStyle="1" w:styleId="88">
    <w:name w:val="font21"/>
    <w:basedOn w:val="28"/>
    <w:qFormat/>
    <w:uiPriority w:val="0"/>
    <w:rPr>
      <w:rFonts w:hint="eastAsia" w:ascii="宋体" w:hAnsi="宋体" w:eastAsia="宋体" w:cs="宋体"/>
      <w:color w:val="000000"/>
      <w:sz w:val="21"/>
      <w:szCs w:val="21"/>
      <w:u w:val="none"/>
    </w:rPr>
  </w:style>
  <w:style w:type="character" w:customStyle="1" w:styleId="89">
    <w:name w:val="font31"/>
    <w:basedOn w:val="28"/>
    <w:qFormat/>
    <w:uiPriority w:val="0"/>
    <w:rPr>
      <w:rFonts w:ascii="Arial" w:hAnsi="Arial" w:cs="Arial"/>
      <w:color w:val="000000"/>
      <w:sz w:val="21"/>
      <w:szCs w:val="21"/>
      <w:u w:val="none"/>
    </w:rPr>
  </w:style>
  <w:style w:type="paragraph" w:customStyle="1" w:styleId="90">
    <w:name w:val="批注文字1"/>
    <w:qFormat/>
    <w:uiPriority w:val="0"/>
    <w:pPr>
      <w:widowControl w:val="0"/>
    </w:pPr>
    <w:rPr>
      <w:rFonts w:ascii="Calibri" w:hAnsi="Calibri" w:cs="Times New Roman" w:eastAsiaTheme="minorEastAsia"/>
      <w:kern w:val="1"/>
      <w:sz w:val="21"/>
      <w:szCs w:val="22"/>
      <w:lang w:val="en-US" w:eastAsia="zh-CN" w:bidi="ar-SA"/>
    </w:rPr>
  </w:style>
  <w:style w:type="paragraph" w:customStyle="1" w:styleId="91">
    <w:name w:val="样式"/>
    <w:qFormat/>
    <w:uiPriority w:val="0"/>
    <w:pPr>
      <w:widowControl w:val="0"/>
      <w:autoSpaceDE w:val="0"/>
      <w:autoSpaceDN w:val="0"/>
      <w:adjustRightInd w:val="0"/>
    </w:pPr>
    <w:rPr>
      <w:rFonts w:ascii="宋体" w:hAnsi="Calibri" w:eastAsia="宋体" w:cs="宋体"/>
      <w:sz w:val="24"/>
      <w:szCs w:val="24"/>
      <w:lang w:val="en-US" w:eastAsia="zh-CN" w:bidi="ar-SA"/>
    </w:rPr>
  </w:style>
  <w:style w:type="paragraph" w:customStyle="1" w:styleId="92">
    <w:name w:val="WPSOffice手动目录 2"/>
    <w:qFormat/>
    <w:uiPriority w:val="0"/>
    <w:pPr>
      <w:ind w:leftChars="200"/>
    </w:pPr>
    <w:rPr>
      <w:rFonts w:ascii="Times New Roman" w:hAnsi="Times New Roman" w:eastAsia="宋体" w:cs="Times New Roman"/>
      <w:sz w:val="20"/>
      <w:szCs w:val="20"/>
    </w:rPr>
  </w:style>
  <w:style w:type="paragraph" w:customStyle="1" w:styleId="93">
    <w:name w:val="WPSOffice手动目录 3"/>
    <w:qFormat/>
    <w:uiPriority w:val="0"/>
    <w:pPr>
      <w:ind w:leftChars="400"/>
    </w:pPr>
    <w:rPr>
      <w:rFonts w:ascii="Times New Roman" w:hAnsi="Times New Roman" w:eastAsia="宋体" w:cs="Times New Roman"/>
      <w:sz w:val="20"/>
      <w:szCs w:val="20"/>
    </w:rPr>
  </w:style>
  <w:style w:type="character" w:customStyle="1" w:styleId="94">
    <w:name w:val="font61"/>
    <w:basedOn w:val="28"/>
    <w:qFormat/>
    <w:uiPriority w:val="0"/>
    <w:rPr>
      <w:rFonts w:hint="default" w:ascii="Calibri" w:hAnsi="Calibri" w:cs="Calibri"/>
      <w:b/>
      <w:bCs/>
      <w:color w:val="000000"/>
      <w:sz w:val="28"/>
      <w:szCs w:val="28"/>
      <w:u w:val="none"/>
    </w:rPr>
  </w:style>
  <w:style w:type="character" w:customStyle="1" w:styleId="95">
    <w:name w:val="font91"/>
    <w:basedOn w:val="28"/>
    <w:qFormat/>
    <w:uiPriority w:val="0"/>
    <w:rPr>
      <w:rFonts w:hint="default" w:ascii="Calibri" w:hAnsi="Calibri" w:cs="Calibri"/>
      <w:b/>
      <w:bCs/>
      <w:color w:val="000000"/>
      <w:sz w:val="28"/>
      <w:szCs w:val="28"/>
      <w:u w:val="none"/>
    </w:rPr>
  </w:style>
  <w:style w:type="character" w:customStyle="1" w:styleId="96">
    <w:name w:val="font51"/>
    <w:basedOn w:val="28"/>
    <w:qFormat/>
    <w:uiPriority w:val="0"/>
    <w:rPr>
      <w:rFonts w:hint="eastAsia" w:ascii="宋体" w:hAnsi="宋体" w:eastAsia="宋体" w:cs="宋体"/>
      <w:b/>
      <w:bCs/>
      <w:color w:val="000000"/>
      <w:sz w:val="28"/>
      <w:szCs w:val="28"/>
      <w:u w:val="none"/>
    </w:rPr>
  </w:style>
  <w:style w:type="paragraph" w:customStyle="1" w:styleId="97">
    <w:name w:val="样式 首行缩进:  2 字符"/>
    <w:basedOn w:val="1"/>
    <w:qFormat/>
    <w:uiPriority w:val="0"/>
    <w:pPr>
      <w:spacing w:line="400" w:lineRule="exact"/>
      <w:ind w:firstLine="200" w:firstLineChars="200"/>
    </w:pPr>
    <w:rPr>
      <w:rFonts w:ascii="Times New Roman" w:hAnsi="Times New Roman" w:eastAsia="宋体" w:cs="宋体"/>
      <w:sz w:val="24"/>
    </w:rPr>
  </w:style>
  <w:style w:type="paragraph" w:customStyle="1" w:styleId="98">
    <w:name w:val="Table Paragraph"/>
    <w:basedOn w:val="1"/>
    <w:qFormat/>
    <w:uiPriority w:val="0"/>
    <w:pPr>
      <w:autoSpaceDE w:val="0"/>
      <w:autoSpaceDN w:val="0"/>
      <w:adjustRightInd w:val="0"/>
      <w:jc w:val="left"/>
    </w:pPr>
    <w:rPr>
      <w:rFonts w:ascii="Times New Roman" w:hAnsi="Times New Roman" w:eastAsia="宋体" w:cs="Times New Roman"/>
      <w:kern w:val="0"/>
      <w:sz w:val="24"/>
      <w:szCs w:val="24"/>
    </w:rPr>
  </w:style>
  <w:style w:type="paragraph" w:customStyle="1" w:styleId="99">
    <w:name w:val="Table Text"/>
    <w:basedOn w:val="1"/>
    <w:semiHidden/>
    <w:qFormat/>
    <w:uiPriority w:val="0"/>
    <w:rPr>
      <w:rFonts w:ascii="宋体" w:hAnsi="宋体" w:eastAsia="宋体" w:cs="宋体"/>
      <w:sz w:val="22"/>
      <w:szCs w:val="22"/>
      <w:lang w:val="en-US" w:eastAsia="en-US" w:bidi="ar-SA"/>
    </w:rPr>
  </w:style>
  <w:style w:type="table" w:customStyle="1" w:styleId="100">
    <w:name w:val="Table Normal"/>
    <w:semiHidden/>
    <w:unhideWhenUsed/>
    <w:qFormat/>
    <w:uiPriority w:val="0"/>
    <w:tblPr>
      <w:tblCellMar>
        <w:top w:w="0" w:type="dxa"/>
        <w:left w:w="0" w:type="dxa"/>
        <w:bottom w:w="0" w:type="dxa"/>
        <w:right w:w="0" w:type="dxa"/>
      </w:tblCellMar>
    </w:tblPr>
  </w:style>
  <w:style w:type="paragraph" w:customStyle="1" w:styleId="101">
    <w:name w:val="正文 A"/>
    <w:qFormat/>
    <w:uiPriority w:val="0"/>
    <w:pPr>
      <w:widowControl w:val="0"/>
      <w:jc w:val="both"/>
    </w:pPr>
    <w:rPr>
      <w:rFonts w:ascii="Arial Unicode MS" w:hAnsi="Arial Unicode MS" w:eastAsia="Arial Unicode MS" w:cs="Arial Unicode MS"/>
      <w:color w:val="000000"/>
      <w:kern w:val="2"/>
      <w:sz w:val="21"/>
      <w:szCs w:val="21"/>
      <w:u w:color="000000"/>
      <w:lang w:val="en-US" w:eastAsia="zh-CN" w:bidi="ar-SA"/>
    </w:rPr>
  </w:style>
  <w:style w:type="paragraph" w:customStyle="1" w:styleId="102">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theme" Target="theme/theme1.xml"/><Relationship Id="rId30" Type="http://schemas.openxmlformats.org/officeDocument/2006/relationships/footer" Target="footer13.xml"/><Relationship Id="rId3" Type="http://schemas.openxmlformats.org/officeDocument/2006/relationships/footnotes" Target="footnotes.xml"/><Relationship Id="rId29" Type="http://schemas.openxmlformats.org/officeDocument/2006/relationships/header" Target="header13.xml"/><Relationship Id="rId28" Type="http://schemas.openxmlformats.org/officeDocument/2006/relationships/footer" Target="footer12.xml"/><Relationship Id="rId27" Type="http://schemas.openxmlformats.org/officeDocument/2006/relationships/header" Target="header12.xml"/><Relationship Id="rId26" Type="http://schemas.openxmlformats.org/officeDocument/2006/relationships/footer" Target="footer11.xml"/><Relationship Id="rId25" Type="http://schemas.openxmlformats.org/officeDocument/2006/relationships/header" Target="header11.xml"/><Relationship Id="rId24" Type="http://schemas.openxmlformats.org/officeDocument/2006/relationships/footer" Target="footer10.xml"/><Relationship Id="rId23" Type="http://schemas.openxmlformats.org/officeDocument/2006/relationships/footer" Target="footer9.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66</Pages>
  <Words>31840</Words>
  <Characters>33909</Characters>
  <Lines>0</Lines>
  <Paragraphs>0</Paragraphs>
  <TotalTime>37</TotalTime>
  <ScaleCrop>false</ScaleCrop>
  <LinksUpToDate>false</LinksUpToDate>
  <CharactersWithSpaces>50637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2019-08-30T06:02:00Z</dcterms:created>
  <dc:creator>Administrator</dc:creator>
  <cp:lastModifiedBy>WPS_1654564009</cp:lastModifiedBy>
  <cp:lastPrinted>2023-07-12T06:43:00Z</cp:lastPrinted>
  <dcterms:modified xsi:type="dcterms:W3CDTF">2024-07-15T08:19:13Z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C3018B677E1C487A970C6EAF0B300457_13</vt:lpwstr>
  </property>
</Properties>
</file>