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EEC6D">
      <w:pPr>
        <w:pStyle w:val="4"/>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b/>
          <w:bCs/>
          <w:highlight w:val="none"/>
          <w:lang w:val="en-US" w:eastAsia="zh-CN"/>
        </w:rPr>
      </w:pPr>
      <w:r>
        <w:rPr>
          <w:rFonts w:hint="eastAsia"/>
          <w:b/>
          <w:bCs/>
          <w:highlight w:val="none"/>
          <w:lang w:val="en-US" w:eastAsia="zh-CN"/>
        </w:rPr>
        <w:t>包1</w:t>
      </w:r>
    </w:p>
    <w:p w14:paraId="35694122">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val="0"/>
          <w:sz w:val="21"/>
          <w:szCs w:val="21"/>
          <w:highlight w:val="none"/>
          <w:lang w:val="en-US" w:eastAsia="zh-CN"/>
        </w:rPr>
      </w:pPr>
      <w:r>
        <w:rPr>
          <w:rFonts w:hint="eastAsia" w:ascii="宋体" w:hAnsi="宋体" w:eastAsia="宋体" w:cs="宋体"/>
          <w:b/>
          <w:bCs w:val="0"/>
          <w:kern w:val="2"/>
          <w:sz w:val="21"/>
          <w:szCs w:val="21"/>
          <w:lang w:val="en-US" w:eastAsia="zh-CN" w:bidi="ar-SA"/>
        </w:rPr>
        <w:t>一、</w:t>
      </w:r>
      <w:r>
        <w:rPr>
          <w:rFonts w:hint="eastAsia" w:ascii="宋体" w:hAnsi="宋体" w:eastAsia="宋体" w:cs="宋体"/>
          <w:b/>
          <w:bCs w:val="0"/>
          <w:sz w:val="21"/>
          <w:szCs w:val="21"/>
          <w:highlight w:val="none"/>
          <w:lang w:val="en-US" w:eastAsia="zh-CN"/>
        </w:rPr>
        <w:t>项目</w:t>
      </w:r>
      <w:r>
        <w:rPr>
          <w:rFonts w:hint="eastAsia" w:ascii="宋体" w:hAnsi="宋体" w:cs="宋体"/>
          <w:b/>
          <w:bCs w:val="0"/>
          <w:sz w:val="21"/>
          <w:szCs w:val="21"/>
          <w:highlight w:val="none"/>
          <w:lang w:val="en-US" w:eastAsia="zh-CN"/>
        </w:rPr>
        <w:t>概况</w:t>
      </w:r>
    </w:p>
    <w:p w14:paraId="3E4A355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岚皋县中心城区数字地形和正射影像测绘项目</w:t>
      </w:r>
    </w:p>
    <w:p w14:paraId="3C756CB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1、测绘内容：对岚皋县中心城区国土空间详细规划编制项目涉及的城关镇、蔺河镇、四季镇开展前期数字地形和正射影像测绘工作，确保中心城区国土空间详细规划编制项目顺利实施。</w:t>
      </w:r>
    </w:p>
    <w:p w14:paraId="6BB140B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2、测绘范围：岚皋县城关镇、蔺河镇、四季镇。</w:t>
      </w:r>
    </w:p>
    <w:p w14:paraId="74F8BFB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3、测绘数量：该项目地形图补测、修测总面积约9920亩，其中城关镇补测面积7561亩、修测面积2112亩，四季镇补测面积247亩。正射影像图航测总面积约22715亩，其中城关镇航测面积为19977亩、蔺河镇航测面积为1167亩、四季镇航测面积为1571亩。地形图和正射影像图测绘数量及质量以满足岚皋县中心城区国土空间详细规划编制项目需求为准。</w:t>
      </w:r>
    </w:p>
    <w:p w14:paraId="0B980664">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val="0"/>
          <w:sz w:val="21"/>
          <w:szCs w:val="21"/>
          <w:highlight w:val="none"/>
        </w:rPr>
      </w:pPr>
      <w:r>
        <w:rPr>
          <w:rFonts w:hint="eastAsia" w:ascii="宋体" w:hAnsi="宋体" w:cs="宋体"/>
          <w:b/>
          <w:bCs w:val="0"/>
          <w:sz w:val="21"/>
          <w:szCs w:val="21"/>
          <w:highlight w:val="none"/>
          <w:lang w:val="en-US" w:eastAsia="zh-CN"/>
        </w:rPr>
        <w:t>二、</w:t>
      </w:r>
      <w:r>
        <w:rPr>
          <w:rFonts w:hint="eastAsia" w:ascii="宋体" w:hAnsi="宋体" w:eastAsia="宋体" w:cs="宋体"/>
          <w:b/>
          <w:bCs w:val="0"/>
          <w:sz w:val="21"/>
          <w:szCs w:val="21"/>
          <w:highlight w:val="none"/>
        </w:rPr>
        <w:t>执行技术标准 </w:t>
      </w:r>
    </w:p>
    <w:p w14:paraId="5E99454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1、《工程测量标准》GB50026-2020;</w:t>
      </w:r>
    </w:p>
    <w:p w14:paraId="6EBC446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2、《外业数字测图技术规程》GBT14912-2017；</w:t>
      </w:r>
    </w:p>
    <w:p w14:paraId="0E6C07A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3、《1：500 1：1000 1：2000 地形图图式》GB/T 20257.1-2017；</w:t>
      </w:r>
    </w:p>
    <w:p w14:paraId="074D40F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4、《1:500、1:1000、1:2000地形图数字化规范》GB/T 17160-2008；</w:t>
      </w:r>
    </w:p>
    <w:p w14:paraId="0915B1C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5、《1:5 000 1:10 000 1:25 000 1:50 000 1:100 000 地形图航空摄影规范》GB/T 15661-2008；</w:t>
      </w:r>
    </w:p>
    <w:p w14:paraId="3A59489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6、《1:500 1:1 000 1:2 000 地形图航空摄影测量数字化测图规范》GB/T 15967-2008；</w:t>
      </w:r>
    </w:p>
    <w:p w14:paraId="27E5796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7、《数字测绘成果质量检查与验收》GB/T 18316-2008；</w:t>
      </w:r>
    </w:p>
    <w:p w14:paraId="702C481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8、《测绘成果质量检验报告编写基本规定》CH/Z 1001-2007；</w:t>
      </w:r>
    </w:p>
    <w:p w14:paraId="2B7B0FF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9、《数字测绘成果质量要求》GB/T 17941-2008。</w:t>
      </w:r>
    </w:p>
    <w:p w14:paraId="4908D440">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val="0"/>
          <w:sz w:val="21"/>
          <w:szCs w:val="21"/>
          <w:highlight w:val="none"/>
        </w:rPr>
      </w:pPr>
      <w:r>
        <w:rPr>
          <w:rFonts w:hint="eastAsia" w:ascii="宋体" w:hAnsi="宋体" w:cs="宋体"/>
          <w:b/>
          <w:bCs w:val="0"/>
          <w:sz w:val="21"/>
          <w:szCs w:val="21"/>
          <w:highlight w:val="none"/>
          <w:lang w:val="en-US" w:eastAsia="zh-CN"/>
        </w:rPr>
        <w:t>三、</w:t>
      </w:r>
      <w:r>
        <w:rPr>
          <w:rFonts w:hint="eastAsia" w:ascii="宋体" w:hAnsi="宋体" w:eastAsia="宋体" w:cs="宋体"/>
          <w:b/>
          <w:bCs w:val="0"/>
          <w:sz w:val="21"/>
          <w:szCs w:val="21"/>
          <w:highlight w:val="none"/>
        </w:rPr>
        <w:t>测绘费用及支付方式</w:t>
      </w:r>
    </w:p>
    <w:p w14:paraId="0D28B554">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费用支付方式 </w:t>
      </w:r>
    </w:p>
    <w:p w14:paraId="55447AEB">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（1）签订合同后15日内，甲方向乙方支付合同总价25%的款项。</w:t>
      </w:r>
    </w:p>
    <w:p w14:paraId="718A6A64">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 xml:space="preserve">（2）乙方向甲方提交初步测绘成果后15日内，甲方向乙方支付合同总价60%的款项。 </w:t>
      </w:r>
    </w:p>
    <w:p w14:paraId="7918BA80">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（3）乙方完成所有测绘工作内容，提交最终测绘成果资料后15日内，甲方向乙方支付剩余15%合同款项。</w:t>
      </w:r>
    </w:p>
    <w:p w14:paraId="7750A456">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 xml:space="preserve">（4）结算时乙方须向甲方出具合法有效的完税发票。 </w:t>
      </w:r>
    </w:p>
    <w:p w14:paraId="3A96E4BC">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（5）结算方式：银行转账</w:t>
      </w:r>
    </w:p>
    <w:p w14:paraId="6ACC60AB">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val="0"/>
          <w:sz w:val="21"/>
          <w:szCs w:val="21"/>
          <w:highlight w:val="none"/>
        </w:rPr>
      </w:pPr>
      <w:r>
        <w:rPr>
          <w:rFonts w:hint="eastAsia" w:ascii="宋体" w:hAnsi="宋体" w:cs="宋体"/>
          <w:b/>
          <w:bCs w:val="0"/>
          <w:sz w:val="21"/>
          <w:szCs w:val="21"/>
          <w:highlight w:val="none"/>
          <w:lang w:val="en-US" w:eastAsia="zh-CN"/>
        </w:rPr>
        <w:t>四、</w:t>
      </w:r>
      <w:r>
        <w:rPr>
          <w:rFonts w:hint="eastAsia" w:ascii="宋体" w:hAnsi="宋体" w:eastAsia="宋体" w:cs="宋体"/>
          <w:b/>
          <w:bCs w:val="0"/>
          <w:sz w:val="21"/>
          <w:szCs w:val="21"/>
          <w:highlight w:val="none"/>
        </w:rPr>
        <w:t>应交付的测绘成果</w:t>
      </w:r>
    </w:p>
    <w:p w14:paraId="3615B150">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 xml:space="preserve">1、数字地形图、图幅结合表； </w:t>
      </w:r>
    </w:p>
    <w:p w14:paraId="12AA6821">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 xml:space="preserve">2、正射影像图； </w:t>
      </w:r>
    </w:p>
    <w:p w14:paraId="3DFC4F5A">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 xml:space="preserve">3、控制点成果表、点之记； </w:t>
      </w:r>
    </w:p>
    <w:p w14:paraId="6F09C1AA">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 xml:space="preserve">4、技术设计书； </w:t>
      </w:r>
    </w:p>
    <w:p w14:paraId="608EA97D">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 xml:space="preserve">5、技术总结； </w:t>
      </w:r>
    </w:p>
    <w:p w14:paraId="68D8A7FD">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 xml:space="preserve">6、质量检查报告； </w:t>
      </w:r>
    </w:p>
    <w:p w14:paraId="31E7BFF6">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7、甲方要求的其他成果资料。</w:t>
      </w:r>
    </w:p>
    <w:p w14:paraId="05B59A63">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val="0"/>
          <w:sz w:val="21"/>
          <w:szCs w:val="21"/>
          <w:highlight w:val="none"/>
        </w:rPr>
      </w:pPr>
      <w:r>
        <w:rPr>
          <w:rFonts w:hint="eastAsia" w:ascii="宋体" w:hAnsi="宋体" w:cs="宋体"/>
          <w:b/>
          <w:bCs w:val="0"/>
          <w:sz w:val="21"/>
          <w:szCs w:val="21"/>
          <w:highlight w:val="none"/>
          <w:lang w:val="en-US" w:eastAsia="zh-CN"/>
        </w:rPr>
        <w:t>五、</w:t>
      </w:r>
      <w:r>
        <w:rPr>
          <w:rFonts w:hint="eastAsia" w:ascii="宋体" w:hAnsi="宋体" w:eastAsia="宋体" w:cs="宋体"/>
          <w:b/>
          <w:bCs w:val="0"/>
          <w:sz w:val="21"/>
          <w:szCs w:val="21"/>
          <w:highlight w:val="none"/>
        </w:rPr>
        <w:t>测绘项目工期及质量标准</w:t>
      </w:r>
    </w:p>
    <w:p w14:paraId="45107808">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1、项目工期：自合同签订之日起 60日历天内完成该项目测绘工作并提交全部测绘成果。</w:t>
      </w:r>
    </w:p>
    <w:p w14:paraId="5F14246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2、质量标准：国标。</w:t>
      </w:r>
    </w:p>
    <w:p w14:paraId="4EA49D3E">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highlight w:val="none"/>
        </w:rPr>
      </w:pPr>
    </w:p>
    <w:p w14:paraId="11DB4BD6">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highlight w:val="none"/>
        </w:rPr>
      </w:pPr>
    </w:p>
    <w:p w14:paraId="5ACF624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highlight w:val="none"/>
        </w:rPr>
      </w:pPr>
    </w:p>
    <w:p w14:paraId="03E76772">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highlight w:val="none"/>
        </w:rPr>
      </w:pPr>
    </w:p>
    <w:p w14:paraId="4F0815B3">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highlight w:val="none"/>
        </w:rPr>
      </w:pPr>
    </w:p>
    <w:p w14:paraId="77A5ED2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highlight w:val="none"/>
        </w:rPr>
      </w:pPr>
    </w:p>
    <w:p w14:paraId="37B276AF">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highlight w:val="none"/>
        </w:rPr>
      </w:pPr>
    </w:p>
    <w:p w14:paraId="1F3A543A">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highlight w:val="none"/>
        </w:rPr>
      </w:pPr>
    </w:p>
    <w:p w14:paraId="6B394FC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highlight w:val="none"/>
        </w:rPr>
      </w:pPr>
    </w:p>
    <w:p w14:paraId="507BAF33">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highlight w:val="none"/>
        </w:rPr>
      </w:pPr>
    </w:p>
    <w:p w14:paraId="75457786">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highlight w:val="none"/>
        </w:rPr>
      </w:pPr>
    </w:p>
    <w:p w14:paraId="75BD24A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highlight w:val="none"/>
        </w:rPr>
      </w:pPr>
    </w:p>
    <w:p w14:paraId="4BFBD9BD">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highlight w:val="none"/>
        </w:rPr>
      </w:pPr>
    </w:p>
    <w:p w14:paraId="3C51F9E2">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highlight w:val="none"/>
        </w:rPr>
      </w:pPr>
    </w:p>
    <w:p w14:paraId="07FF715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highlight w:val="none"/>
        </w:rPr>
      </w:pPr>
    </w:p>
    <w:p w14:paraId="1995D871">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highlight w:val="none"/>
        </w:rPr>
      </w:pPr>
    </w:p>
    <w:p w14:paraId="5BDB38C1">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highlight w:val="none"/>
        </w:rPr>
      </w:pPr>
    </w:p>
    <w:p w14:paraId="7E92140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highlight w:val="none"/>
        </w:rPr>
      </w:pPr>
    </w:p>
    <w:p w14:paraId="19F60E54">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highlight w:val="none"/>
        </w:rPr>
      </w:pPr>
    </w:p>
    <w:p w14:paraId="075B9734">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highlight w:val="none"/>
        </w:rPr>
      </w:pPr>
    </w:p>
    <w:p w14:paraId="757F65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highlight w:val="none"/>
        </w:rPr>
      </w:pPr>
    </w:p>
    <w:p w14:paraId="3C88100E">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highlight w:val="none"/>
        </w:rPr>
      </w:pPr>
    </w:p>
    <w:p w14:paraId="0F3CBBB0">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highlight w:val="none"/>
        </w:rPr>
      </w:pPr>
    </w:p>
    <w:p w14:paraId="6A1231B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highlight w:val="none"/>
        </w:rPr>
      </w:pPr>
    </w:p>
    <w:p w14:paraId="312EED56">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sz w:val="21"/>
          <w:szCs w:val="21"/>
          <w:highlight w:val="none"/>
        </w:rPr>
      </w:pPr>
    </w:p>
    <w:p w14:paraId="224D0B91">
      <w:pPr>
        <w:pStyle w:val="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val="0"/>
          <w:bCs/>
          <w:sz w:val="21"/>
          <w:szCs w:val="21"/>
          <w:highlight w:val="none"/>
        </w:rPr>
      </w:pPr>
      <w:bookmarkStart w:id="0" w:name="_GoBack"/>
      <w:bookmarkEnd w:id="0"/>
    </w:p>
    <w:p w14:paraId="2A2AC300">
      <w:pPr>
        <w:pStyle w:val="4"/>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b/>
          <w:bCs/>
          <w:highlight w:val="none"/>
          <w:lang w:val="en-US" w:eastAsia="zh-CN"/>
        </w:rPr>
      </w:pPr>
      <w:r>
        <w:rPr>
          <w:rFonts w:hint="eastAsia" w:ascii="Times New Roman" w:hAnsi="Times New Roman" w:cs="Times New Roman"/>
          <w:b/>
          <w:bCs/>
          <w:highlight w:val="none"/>
          <w:lang w:val="en-US" w:eastAsia="zh-CN"/>
        </w:rPr>
        <w:t>包2</w:t>
      </w:r>
    </w:p>
    <w:p w14:paraId="7CECBD94">
      <w:pPr>
        <w:pStyle w:val="6"/>
        <w:keepNext w:val="0"/>
        <w:keepLines w:val="0"/>
        <w:pageBreakBefore w:val="0"/>
        <w:widowControl w:val="0"/>
        <w:kinsoku/>
        <w:wordWrap/>
        <w:overflowPunct/>
        <w:topLinePunct w:val="0"/>
        <w:autoSpaceDE/>
        <w:autoSpaceDN/>
        <w:bidi w:val="0"/>
        <w:adjustRightInd/>
        <w:snapToGrid/>
        <w:spacing w:line="400" w:lineRule="exact"/>
        <w:textAlignment w:val="auto"/>
        <w:rPr>
          <w:rFonts w:hAnsi="宋体" w:cs="宋体"/>
          <w:b/>
          <w:sz w:val="21"/>
          <w:szCs w:val="21"/>
        </w:rPr>
      </w:pPr>
      <w:r>
        <w:rPr>
          <w:rFonts w:hint="eastAsia" w:hAnsi="宋体" w:cs="宋体"/>
          <w:b/>
          <w:sz w:val="21"/>
          <w:szCs w:val="21"/>
        </w:rPr>
        <w:t>一、项目概况</w:t>
      </w:r>
    </w:p>
    <w:p w14:paraId="369D48E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highlight w:val="green"/>
        </w:rPr>
        <w:t>岚皋县中心城区国土空间详细规划（2</w:t>
      </w:r>
      <w:r>
        <w:rPr>
          <w:highlight w:val="green"/>
        </w:rPr>
        <w:t>025-2035</w:t>
      </w:r>
      <w:r>
        <w:rPr>
          <w:rFonts w:hint="eastAsia"/>
          <w:highlight w:val="green"/>
        </w:rPr>
        <w:t>年）</w:t>
      </w:r>
    </w:p>
    <w:p w14:paraId="64F33C35">
      <w:pPr>
        <w:pStyle w:val="6"/>
        <w:keepNext w:val="0"/>
        <w:keepLines w:val="0"/>
        <w:pageBreakBefore w:val="0"/>
        <w:widowControl w:val="0"/>
        <w:kinsoku/>
        <w:wordWrap/>
        <w:overflowPunct/>
        <w:topLinePunct w:val="0"/>
        <w:autoSpaceDE/>
        <w:autoSpaceDN/>
        <w:bidi w:val="0"/>
        <w:adjustRightInd/>
        <w:snapToGrid/>
        <w:spacing w:line="400" w:lineRule="exact"/>
        <w:ind w:left="420" w:leftChars="200" w:firstLine="0"/>
        <w:textAlignment w:val="auto"/>
        <w:outlineLvl w:val="1"/>
        <w:rPr>
          <w:rFonts w:ascii="Times New Roman"/>
          <w:sz w:val="21"/>
        </w:rPr>
      </w:pPr>
      <w:r>
        <w:rPr>
          <w:rFonts w:hint="eastAsia" w:ascii="Times New Roman"/>
          <w:sz w:val="21"/>
          <w:highlight w:val="green"/>
        </w:rPr>
        <w:t>1、</w:t>
      </w:r>
      <w:r>
        <w:rPr>
          <w:rFonts w:hint="eastAsia" w:ascii="Times New Roman"/>
          <w:sz w:val="21"/>
        </w:rPr>
        <w:t>规划范围</w:t>
      </w:r>
    </w:p>
    <w:p w14:paraId="77D529FE">
      <w:pPr>
        <w:pStyle w:val="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sz w:val="21"/>
        </w:rPr>
      </w:pPr>
      <w:r>
        <w:rPr>
          <w:rFonts w:hint="eastAsia" w:ascii="Times New Roman"/>
          <w:sz w:val="21"/>
        </w:rPr>
        <w:t>本次规划范围为《岚皋县国土空间总体规划（2021-2035年）》确定的中心城区，主要包括六口片区、城北新区、罗景坪片区、老城片区、柑竹坝片区、蔺河镇、四季镇七个片区，总规划面积为约528.45公顷（7926.75亩），以城镇开发边界优化调整成果及省市控规编制要求，综合确定规划范围。本次规划期限为2025-2035年，其中，近期为2025-2030年，远期为2031-2035年。</w:t>
      </w:r>
    </w:p>
    <w:p w14:paraId="7E8EBEF3">
      <w:pPr>
        <w:pStyle w:val="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rPr>
          <w:rFonts w:ascii="Times New Roman"/>
          <w:sz w:val="21"/>
        </w:rPr>
      </w:pPr>
      <w:r>
        <w:rPr>
          <w:rFonts w:hint="eastAsia" w:ascii="Times New Roman"/>
          <w:sz w:val="21"/>
          <w:highlight w:val="green"/>
        </w:rPr>
        <w:t>2、</w:t>
      </w:r>
      <w:r>
        <w:rPr>
          <w:rFonts w:hint="eastAsia" w:ascii="Times New Roman"/>
          <w:sz w:val="21"/>
        </w:rPr>
        <w:t>工作内容</w:t>
      </w:r>
    </w:p>
    <w:p w14:paraId="315B42F3">
      <w:pPr>
        <w:pStyle w:val="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sz w:val="21"/>
        </w:rPr>
      </w:pPr>
      <w:r>
        <w:rPr>
          <w:rFonts w:hint="eastAsia" w:ascii="Times New Roman"/>
          <w:sz w:val="21"/>
        </w:rPr>
        <w:t>2023年3月在《自然资源部关于加强国土空间详细规划工作的通知》（自然资发〔2023〕43号）中提出为深入贯彻党的二十大精神，深化“多规合一”改革，提高城市规划、建设、治理水平，促进城乡高质量发展，依据《土地管理法》《城乡规划法》和《中共中央国务院关于建立国土空间规划体系并监督实施的若干意见》，就加强国土空间详细规划提出相关工作通知，并要求各地积极完成详细规划编制单元划定工作，并结合“十四五”经济社会发展和城市建设、治理的需要，及时启动实施层面详细规划的编制工作。随着岚皋县开发边界划定工作的完成，国土空间总体规划编制工作陆续进入批准实施阶段，为充分做好与安康市、岚皋县国土空间总体规划的有效衔接，细化落实其重要战略意图，实现岚皋县高质量可持续发展，按照“疏解老城、拓展新城、补齐短板、治理精细、城乡融合”的思路，启动编制岚皋县中心城区（即城镇开发边界内）的详细规划。具体内容包括以下5个部分：</w:t>
      </w:r>
    </w:p>
    <w:p w14:paraId="73EACE5D">
      <w:pPr>
        <w:pStyle w:val="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sz w:val="21"/>
        </w:rPr>
      </w:pPr>
      <w:r>
        <w:rPr>
          <w:rFonts w:hint="eastAsia" w:ascii="Times New Roman"/>
          <w:sz w:val="21"/>
          <w:highlight w:val="green"/>
        </w:rPr>
        <w:t>（1）</w:t>
      </w:r>
      <w:r>
        <w:rPr>
          <w:rFonts w:hint="eastAsia" w:ascii="Times New Roman"/>
          <w:sz w:val="21"/>
        </w:rPr>
        <w:t>《岚皋县中心城区详细规划工作评估》</w:t>
      </w:r>
    </w:p>
    <w:p w14:paraId="502CCC34">
      <w:pPr>
        <w:pStyle w:val="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sz w:val="21"/>
        </w:rPr>
      </w:pPr>
      <w:r>
        <w:rPr>
          <w:rFonts w:hint="eastAsia" w:ascii="Times New Roman"/>
          <w:sz w:val="21"/>
        </w:rPr>
        <w:t>中心城区详细规划工作的评估旨在客观评价规划编制的质量和实施效果，发现存在的问题和不足，为后续的规划调整和优化提供科学依据。具体评估内容包括4个方面：规划编制的科学性（规划依据、数据基础、技术方法），规划内容的合理性（功能定位、用地布局、公共设施）、规划实施的可行性（实施计划、政策保障、公众参与）以及实施效果（实施进展、实施成效）。</w:t>
      </w:r>
    </w:p>
    <w:p w14:paraId="4D274FC5">
      <w:pPr>
        <w:pStyle w:val="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sz w:val="21"/>
        </w:rPr>
      </w:pPr>
      <w:r>
        <w:rPr>
          <w:rFonts w:hint="eastAsia" w:ascii="Times New Roman"/>
          <w:sz w:val="21"/>
          <w:highlight w:val="green"/>
        </w:rPr>
        <w:t>（2）</w:t>
      </w:r>
      <w:r>
        <w:rPr>
          <w:rFonts w:hint="eastAsia" w:ascii="Times New Roman"/>
          <w:sz w:val="21"/>
        </w:rPr>
        <w:t>《岚皋县中心城区国土空间“总&amp;详”传导等专题研究》</w:t>
      </w:r>
    </w:p>
    <w:p w14:paraId="68A94BF3">
      <w:pPr>
        <w:pStyle w:val="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sz w:val="21"/>
        </w:rPr>
      </w:pPr>
      <w:r>
        <w:rPr>
          <w:rFonts w:hint="eastAsia" w:ascii="Times New Roman"/>
          <w:sz w:val="21"/>
        </w:rPr>
        <w:t>主要涉及中心城区在国土空间规划体系中的总体规划与详细规划之间的传导关系及其相关专题内容，主要包括以下3个方面：总体规划与详细规划的传导机制（事权划分和传导路径的纵向传导、部门协同和公众参与的横向联动），详细规划编制的关键技术（纵横向空间维度优化、精细化调研和刚性与弹性结合的技术方法创新），规划实施与评估（实施策略、评估与调整）。</w:t>
      </w:r>
    </w:p>
    <w:p w14:paraId="1B6754AA">
      <w:pPr>
        <w:pStyle w:val="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sz w:val="21"/>
        </w:rPr>
      </w:pPr>
      <w:r>
        <w:rPr>
          <w:rFonts w:hint="eastAsia" w:ascii="Times New Roman"/>
          <w:sz w:val="21"/>
        </w:rPr>
        <w:t>（3）《岚皋县中心城区国土空间详细规划——编制单元划定》</w:t>
      </w:r>
    </w:p>
    <w:p w14:paraId="02CCC234">
      <w:pPr>
        <w:pStyle w:val="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sz w:val="21"/>
        </w:rPr>
      </w:pPr>
      <w:r>
        <w:rPr>
          <w:rFonts w:hint="eastAsia" w:ascii="Times New Roman"/>
          <w:sz w:val="21"/>
        </w:rPr>
        <w:t>编制单元划定旨在加强国土空间总体规划的有效传导，提高国土空间详细规划的编制实施和基层空间治理水平，主要包括以下3个方面：工作底图与基础数据，划定考虑因素（总体规划分区、行政管理边界、自然地理空间要素、历史文化保护、用地权属边界等），划定方法和单元编码（按照国家和省数据库建设要求，采用统一的详细规划编码体系）与成果要求（包括划定报告、划定图件和数据库等）。</w:t>
      </w:r>
    </w:p>
    <w:p w14:paraId="1EF19D27">
      <w:pPr>
        <w:pStyle w:val="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sz w:val="21"/>
        </w:rPr>
      </w:pPr>
      <w:r>
        <w:rPr>
          <w:rFonts w:hint="eastAsia" w:ascii="Times New Roman"/>
          <w:sz w:val="21"/>
          <w:highlight w:val="green"/>
        </w:rPr>
        <w:t>（4）</w:t>
      </w:r>
      <w:r>
        <w:rPr>
          <w:rFonts w:hint="eastAsia" w:ascii="Times New Roman"/>
          <w:sz w:val="21"/>
        </w:rPr>
        <w:t>《岚皋县中心城区国土空间控制性详细规划&amp;城市设计》</w:t>
      </w:r>
    </w:p>
    <w:p w14:paraId="6D2A131D">
      <w:pPr>
        <w:pStyle w:val="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sz w:val="21"/>
        </w:rPr>
      </w:pPr>
      <w:r>
        <w:rPr>
          <w:rFonts w:hint="eastAsia" w:ascii="Times New Roman"/>
          <w:sz w:val="21"/>
          <w:highlight w:val="green"/>
        </w:rPr>
        <w:t>以区划单元为依托，实施层级性详细规划规划管理</w:t>
      </w:r>
      <w:r>
        <w:rPr>
          <w:rFonts w:hint="eastAsia" w:ascii="Times New Roman"/>
          <w:sz w:val="21"/>
        </w:rPr>
        <w:t>，进一步细化、深化各类用地和设施的定性、定量、定位等控制内容，是</w:t>
      </w:r>
      <w:r>
        <w:rPr>
          <w:rFonts w:hint="eastAsia" w:ascii="Times New Roman"/>
          <w:sz w:val="21"/>
          <w:highlight w:val="green"/>
        </w:rPr>
        <w:t>区域规划建设与管理的根本</w:t>
      </w:r>
      <w:r>
        <w:rPr>
          <w:rFonts w:hint="eastAsia" w:ascii="Times New Roman"/>
          <w:sz w:val="21"/>
        </w:rPr>
        <w:t>依据。</w:t>
      </w:r>
      <w:r>
        <w:rPr>
          <w:rFonts w:hint="eastAsia" w:ascii="Times New Roman"/>
          <w:sz w:val="21"/>
          <w:highlight w:val="green"/>
        </w:rPr>
        <w:t>区划单元的管理指标不得超出总体规划所设定的相关总量限制。区域控制要素涵盖区划编号、区域面积、功能属性</w:t>
      </w:r>
      <w:r>
        <w:rPr>
          <w:rFonts w:hint="eastAsia" w:ascii="Times New Roman"/>
          <w:sz w:val="21"/>
        </w:rPr>
        <w:t>、容积率、建筑密度、建筑高度、绿地率、配套设施项目、建筑退界、停车泊位、出入口方位、</w:t>
      </w:r>
      <w:r>
        <w:rPr>
          <w:rFonts w:hint="eastAsia" w:ascii="Times New Roman"/>
          <w:sz w:val="21"/>
          <w:highlight w:val="green"/>
        </w:rPr>
        <w:t>功能兼容性</w:t>
      </w:r>
      <w:r>
        <w:rPr>
          <w:rFonts w:hint="eastAsia" w:ascii="Times New Roman"/>
          <w:sz w:val="21"/>
        </w:rPr>
        <w:t>、地下空间开发利用引导等，并对各</w:t>
      </w:r>
      <w:r>
        <w:rPr>
          <w:rFonts w:hint="eastAsia" w:ascii="Times New Roman"/>
          <w:sz w:val="21"/>
          <w:highlight w:val="green"/>
        </w:rPr>
        <w:t>区域</w:t>
      </w:r>
      <w:r>
        <w:rPr>
          <w:rFonts w:hint="eastAsia" w:ascii="Times New Roman"/>
          <w:sz w:val="21"/>
        </w:rPr>
        <w:t>的建筑体量、体型、色彩等城市设计提出指导原则。</w:t>
      </w:r>
    </w:p>
    <w:p w14:paraId="2CE0B239">
      <w:pPr>
        <w:pStyle w:val="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sz w:val="21"/>
        </w:rPr>
      </w:pPr>
      <w:r>
        <w:rPr>
          <w:rFonts w:hint="eastAsia" w:ascii="Times New Roman"/>
          <w:sz w:val="21"/>
          <w:highlight w:val="green"/>
        </w:rPr>
        <w:t>（5）</w:t>
      </w:r>
      <w:r>
        <w:rPr>
          <w:rFonts w:hint="eastAsia" w:ascii="Times New Roman"/>
          <w:sz w:val="21"/>
        </w:rPr>
        <w:t>《岚皋县城门户区主干道文化风貌提升实施方案》</w:t>
      </w:r>
    </w:p>
    <w:p w14:paraId="05350161">
      <w:pPr>
        <w:pStyle w:val="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sz w:val="21"/>
        </w:rPr>
      </w:pPr>
      <w:r>
        <w:rPr>
          <w:rFonts w:hint="eastAsia" w:ascii="Times New Roman"/>
          <w:sz w:val="21"/>
        </w:rPr>
        <w:t>随着县城的快速发展，门户区作为连接城市内外的重要通道，其文化风貌直接影响着县城的整体形象和城市魅力；通过实施文化风貌提升工程，打造具有鲜明地域特色和文化底蕴的门户区主干道，提升县城的整体形象和文化品位。主要包括在主干道沿线的建筑、景观、公共设施中融入地域文化元素，如岚皋特色图案、历史典故等，增强县城的文化底蕴和特色魅力；对门户区主干道两侧的公共空间进行功能优化和美化，增设休闲座椅、绿化景观、文化雕塑等，提升休闲体验和文化认同感。</w:t>
      </w:r>
    </w:p>
    <w:p w14:paraId="0EE56BA5">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0"/>
        <w:rPr>
          <w:b/>
          <w:bCs/>
        </w:rPr>
      </w:pPr>
      <w:r>
        <w:rPr>
          <w:rFonts w:hint="eastAsia"/>
          <w:b/>
          <w:bCs/>
        </w:rPr>
        <w:t>二、项目完成进度及时限要求</w:t>
      </w:r>
    </w:p>
    <w:p w14:paraId="3690304A">
      <w:pPr>
        <w:pStyle w:val="6"/>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imes New Roman"/>
          <w:sz w:val="21"/>
        </w:rPr>
      </w:pPr>
      <w:r>
        <w:rPr>
          <w:rFonts w:hint="eastAsia" w:ascii="Times New Roman"/>
          <w:sz w:val="21"/>
        </w:rPr>
        <w:t>按底图准备、调查研究、规划编制、论证评审、报批公示5个阶段进行进度控制，分别于签订本合同后30天、60天、90天内完成并提交各项成果，顺序依次为详细规划工作评估（30天）、“总&amp;详”传导专题研究（30天）、编制单元划定（30天）、控制性详细规划&amp;城市设计（90天）、风貌提升实施方案（60天）</w:t>
      </w:r>
      <w:r>
        <w:rPr>
          <w:rFonts w:hint="eastAsia" w:ascii="Times New Roman"/>
          <w:sz w:val="21"/>
          <w:highlight w:val="green"/>
        </w:rPr>
        <w:t>，</w:t>
      </w:r>
      <w:r>
        <w:rPr>
          <w:rFonts w:hint="eastAsia" w:hAnsi="宋体" w:cs="宋体"/>
          <w:highlight w:val="green"/>
        </w:rPr>
        <w:t>可平行进行。</w:t>
      </w:r>
    </w:p>
    <w:p w14:paraId="107252F5">
      <w:pPr>
        <w:pStyle w:val="6"/>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0"/>
        <w:rPr>
          <w:rFonts w:ascii="Times New Roman"/>
          <w:b/>
          <w:bCs/>
          <w:sz w:val="21"/>
        </w:rPr>
      </w:pPr>
      <w:r>
        <w:rPr>
          <w:rFonts w:hint="eastAsia" w:ascii="Times New Roman"/>
          <w:b/>
          <w:bCs/>
          <w:sz w:val="21"/>
        </w:rPr>
        <w:t>三、 编制依据和技术要求</w:t>
      </w:r>
    </w:p>
    <w:p w14:paraId="3C2BDFF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（1）法律法规</w:t>
      </w:r>
    </w:p>
    <w:p w14:paraId="6322C929">
      <w:pPr>
        <w:keepNext w:val="0"/>
        <w:keepLines w:val="0"/>
        <w:pageBreakBefore w:val="0"/>
        <w:widowControl w:val="0"/>
        <w:numPr>
          <w:ilvl w:val="1"/>
          <w:numId w:val="1"/>
        </w:numPr>
        <w:kinsoku/>
        <w:wordWrap/>
        <w:overflowPunct/>
        <w:topLinePunct w:val="0"/>
        <w:autoSpaceDE/>
        <w:autoSpaceDN/>
        <w:bidi w:val="0"/>
        <w:adjustRightInd/>
        <w:snapToGrid/>
        <w:spacing w:line="400" w:lineRule="exact"/>
        <w:textAlignment w:val="auto"/>
      </w:pPr>
      <w:r>
        <w:rPr>
          <w:rFonts w:hint="eastAsia"/>
        </w:rPr>
        <w:t>《中华人民共和国城乡规划法》（2019）</w:t>
      </w:r>
    </w:p>
    <w:p w14:paraId="582AE07F">
      <w:pPr>
        <w:keepNext w:val="0"/>
        <w:keepLines w:val="0"/>
        <w:pageBreakBefore w:val="0"/>
        <w:widowControl w:val="0"/>
        <w:numPr>
          <w:ilvl w:val="1"/>
          <w:numId w:val="1"/>
        </w:numPr>
        <w:kinsoku/>
        <w:wordWrap/>
        <w:overflowPunct/>
        <w:topLinePunct w:val="0"/>
        <w:autoSpaceDE/>
        <w:autoSpaceDN/>
        <w:bidi w:val="0"/>
        <w:adjustRightInd/>
        <w:snapToGrid/>
        <w:spacing w:line="400" w:lineRule="exact"/>
        <w:textAlignment w:val="auto"/>
      </w:pPr>
      <w:r>
        <w:rPr>
          <w:rFonts w:hint="eastAsia"/>
        </w:rPr>
        <w:t>《中华人民共和国土地管理法（修订版）》（2019）</w:t>
      </w:r>
    </w:p>
    <w:p w14:paraId="3BD0AA2C">
      <w:pPr>
        <w:keepNext w:val="0"/>
        <w:keepLines w:val="0"/>
        <w:pageBreakBefore w:val="0"/>
        <w:widowControl w:val="0"/>
        <w:numPr>
          <w:ilvl w:val="1"/>
          <w:numId w:val="1"/>
        </w:numPr>
        <w:kinsoku/>
        <w:wordWrap/>
        <w:overflowPunct/>
        <w:topLinePunct w:val="0"/>
        <w:autoSpaceDE/>
        <w:autoSpaceDN/>
        <w:bidi w:val="0"/>
        <w:adjustRightInd/>
        <w:snapToGrid/>
        <w:spacing w:line="400" w:lineRule="exact"/>
        <w:textAlignment w:val="auto"/>
      </w:pPr>
      <w:r>
        <w:rPr>
          <w:rFonts w:hint="eastAsia"/>
        </w:rPr>
        <w:t>《中华人民共和国环境保护法》（2014）</w:t>
      </w:r>
    </w:p>
    <w:p w14:paraId="4FA6D5A7">
      <w:pPr>
        <w:keepNext w:val="0"/>
        <w:keepLines w:val="0"/>
        <w:pageBreakBefore w:val="0"/>
        <w:widowControl w:val="0"/>
        <w:numPr>
          <w:ilvl w:val="1"/>
          <w:numId w:val="1"/>
        </w:numPr>
        <w:kinsoku/>
        <w:wordWrap/>
        <w:overflowPunct/>
        <w:topLinePunct w:val="0"/>
        <w:autoSpaceDE/>
        <w:autoSpaceDN/>
        <w:bidi w:val="0"/>
        <w:adjustRightInd/>
        <w:snapToGrid/>
        <w:spacing w:line="400" w:lineRule="exact"/>
        <w:textAlignment w:val="auto"/>
      </w:pPr>
      <w:r>
        <w:rPr>
          <w:rFonts w:hint="eastAsia"/>
        </w:rPr>
        <w:t>《城市规划编制办法》（2006）</w:t>
      </w:r>
    </w:p>
    <w:p w14:paraId="7EE369E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（2）技术标准</w:t>
      </w:r>
    </w:p>
    <w:p w14:paraId="05BD320C">
      <w:pPr>
        <w:keepNext w:val="0"/>
        <w:keepLines w:val="0"/>
        <w:pageBreakBefore w:val="0"/>
        <w:widowControl w:val="0"/>
        <w:numPr>
          <w:ilvl w:val="1"/>
          <w:numId w:val="1"/>
        </w:numPr>
        <w:kinsoku/>
        <w:wordWrap/>
        <w:overflowPunct/>
        <w:topLinePunct w:val="0"/>
        <w:autoSpaceDE/>
        <w:autoSpaceDN/>
        <w:bidi w:val="0"/>
        <w:adjustRightInd/>
        <w:snapToGrid/>
        <w:spacing w:line="400" w:lineRule="exact"/>
        <w:textAlignment w:val="auto"/>
      </w:pPr>
      <w:r>
        <w:rPr>
          <w:rFonts w:hint="eastAsia"/>
        </w:rPr>
        <w:t>《陕西省城市规划技术管理规定》（2018）</w:t>
      </w:r>
    </w:p>
    <w:p w14:paraId="3DE1DB08">
      <w:pPr>
        <w:keepNext w:val="0"/>
        <w:keepLines w:val="0"/>
        <w:pageBreakBefore w:val="0"/>
        <w:widowControl w:val="0"/>
        <w:numPr>
          <w:ilvl w:val="1"/>
          <w:numId w:val="1"/>
        </w:numPr>
        <w:kinsoku/>
        <w:wordWrap/>
        <w:overflowPunct/>
        <w:topLinePunct w:val="0"/>
        <w:autoSpaceDE/>
        <w:autoSpaceDN/>
        <w:bidi w:val="0"/>
        <w:adjustRightInd/>
        <w:snapToGrid/>
        <w:spacing w:line="400" w:lineRule="exact"/>
        <w:textAlignment w:val="auto"/>
      </w:pPr>
      <w:r>
        <w:rPr>
          <w:rFonts w:hint="eastAsia"/>
        </w:rPr>
        <w:t>《陕西省控制性详细规划管理办法》（2017）</w:t>
      </w:r>
    </w:p>
    <w:p w14:paraId="5C05D6C8">
      <w:pPr>
        <w:keepNext w:val="0"/>
        <w:keepLines w:val="0"/>
        <w:pageBreakBefore w:val="0"/>
        <w:widowControl w:val="0"/>
        <w:numPr>
          <w:ilvl w:val="1"/>
          <w:numId w:val="1"/>
        </w:numPr>
        <w:kinsoku/>
        <w:wordWrap/>
        <w:overflowPunct/>
        <w:topLinePunct w:val="0"/>
        <w:autoSpaceDE/>
        <w:autoSpaceDN/>
        <w:bidi w:val="0"/>
        <w:adjustRightInd/>
        <w:snapToGrid/>
        <w:spacing w:line="400" w:lineRule="exact"/>
        <w:textAlignment w:val="auto"/>
      </w:pPr>
      <w:r>
        <w:rPr>
          <w:rFonts w:hint="eastAsia"/>
        </w:rPr>
        <w:t>《国土空间调查、规划、用途管制用地用海分类指南》</w:t>
      </w:r>
    </w:p>
    <w:p w14:paraId="1281F324">
      <w:pPr>
        <w:keepNext w:val="0"/>
        <w:keepLines w:val="0"/>
        <w:pageBreakBefore w:val="0"/>
        <w:widowControl w:val="0"/>
        <w:numPr>
          <w:ilvl w:val="1"/>
          <w:numId w:val="1"/>
        </w:numPr>
        <w:kinsoku/>
        <w:wordWrap/>
        <w:overflowPunct/>
        <w:topLinePunct w:val="0"/>
        <w:autoSpaceDE/>
        <w:autoSpaceDN/>
        <w:bidi w:val="0"/>
        <w:adjustRightInd/>
        <w:snapToGrid/>
        <w:spacing w:line="400" w:lineRule="exact"/>
        <w:textAlignment w:val="auto"/>
      </w:pPr>
      <w:r>
        <w:rPr>
          <w:rFonts w:hint="eastAsia"/>
        </w:rPr>
        <w:t>《国土空间与城市设计规划指南》（TD/T 1065-2021）</w:t>
      </w:r>
    </w:p>
    <w:p w14:paraId="3118EC13">
      <w:pPr>
        <w:keepNext w:val="0"/>
        <w:keepLines w:val="0"/>
        <w:pageBreakBefore w:val="0"/>
        <w:widowControl w:val="0"/>
        <w:numPr>
          <w:ilvl w:val="1"/>
          <w:numId w:val="1"/>
        </w:numPr>
        <w:kinsoku/>
        <w:wordWrap/>
        <w:overflowPunct/>
        <w:topLinePunct w:val="0"/>
        <w:autoSpaceDE/>
        <w:autoSpaceDN/>
        <w:bidi w:val="0"/>
        <w:adjustRightInd/>
        <w:snapToGrid/>
        <w:spacing w:line="400" w:lineRule="exact"/>
        <w:textAlignment w:val="auto"/>
      </w:pPr>
      <w:r>
        <w:rPr>
          <w:rFonts w:hint="eastAsia"/>
        </w:rPr>
        <w:t>《国土空间规划“一张图”实施监督信息系统技术规范》（GB/T 39972-2021）</w:t>
      </w:r>
    </w:p>
    <w:p w14:paraId="32B00AA2">
      <w:pPr>
        <w:keepNext w:val="0"/>
        <w:keepLines w:val="0"/>
        <w:pageBreakBefore w:val="0"/>
        <w:widowControl w:val="0"/>
        <w:numPr>
          <w:ilvl w:val="1"/>
          <w:numId w:val="1"/>
        </w:numPr>
        <w:kinsoku/>
        <w:wordWrap/>
        <w:overflowPunct/>
        <w:topLinePunct w:val="0"/>
        <w:autoSpaceDE/>
        <w:autoSpaceDN/>
        <w:bidi w:val="0"/>
        <w:adjustRightInd/>
        <w:snapToGrid/>
        <w:spacing w:line="400" w:lineRule="exact"/>
        <w:textAlignment w:val="auto"/>
      </w:pPr>
      <w:r>
        <w:rPr>
          <w:rFonts w:hint="eastAsia"/>
        </w:rPr>
        <w:t>《第三次全国国土调查技术规程》（TD/T 1055-2019）</w:t>
      </w:r>
    </w:p>
    <w:p w14:paraId="63B0AFF2">
      <w:pPr>
        <w:keepNext w:val="0"/>
        <w:keepLines w:val="0"/>
        <w:pageBreakBefore w:val="0"/>
        <w:widowControl w:val="0"/>
        <w:numPr>
          <w:ilvl w:val="1"/>
          <w:numId w:val="1"/>
        </w:numPr>
        <w:kinsoku/>
        <w:wordWrap/>
        <w:overflowPunct/>
        <w:topLinePunct w:val="0"/>
        <w:autoSpaceDE/>
        <w:autoSpaceDN/>
        <w:bidi w:val="0"/>
        <w:adjustRightInd/>
        <w:snapToGrid/>
        <w:spacing w:line="400" w:lineRule="exact"/>
        <w:textAlignment w:val="auto"/>
      </w:pPr>
      <w:r>
        <w:rPr>
          <w:rFonts w:hint="eastAsia"/>
        </w:rPr>
        <w:t>《国土空间规划城市体检评估规程》（TD/T 1063-2021）</w:t>
      </w:r>
    </w:p>
    <w:p w14:paraId="4FCDFB69">
      <w:pPr>
        <w:keepNext w:val="0"/>
        <w:keepLines w:val="0"/>
        <w:pageBreakBefore w:val="0"/>
        <w:widowControl w:val="0"/>
        <w:numPr>
          <w:ilvl w:val="1"/>
          <w:numId w:val="1"/>
        </w:numPr>
        <w:kinsoku/>
        <w:wordWrap/>
        <w:overflowPunct/>
        <w:topLinePunct w:val="0"/>
        <w:autoSpaceDE/>
        <w:autoSpaceDN/>
        <w:bidi w:val="0"/>
        <w:adjustRightInd/>
        <w:snapToGrid/>
        <w:spacing w:line="400" w:lineRule="exact"/>
        <w:textAlignment w:val="auto"/>
      </w:pPr>
      <w:r>
        <w:rPr>
          <w:rFonts w:hint="eastAsia"/>
        </w:rPr>
        <w:t>《社区生活圈规划技术指南》（TD/T 1062-2021）</w:t>
      </w:r>
    </w:p>
    <w:p w14:paraId="61576CBE">
      <w:pPr>
        <w:keepNext w:val="0"/>
        <w:keepLines w:val="0"/>
        <w:pageBreakBefore w:val="0"/>
        <w:widowControl w:val="0"/>
        <w:numPr>
          <w:ilvl w:val="1"/>
          <w:numId w:val="1"/>
        </w:numPr>
        <w:kinsoku/>
        <w:wordWrap/>
        <w:overflowPunct/>
        <w:topLinePunct w:val="0"/>
        <w:autoSpaceDE/>
        <w:autoSpaceDN/>
        <w:bidi w:val="0"/>
        <w:adjustRightInd/>
        <w:snapToGrid/>
        <w:spacing w:line="400" w:lineRule="exact"/>
        <w:textAlignment w:val="auto"/>
      </w:pPr>
      <w:r>
        <w:rPr>
          <w:rFonts w:hint="eastAsia"/>
        </w:rPr>
        <w:t>《城市规划基础资料搜集规范》（GB/T 50831-2012）</w:t>
      </w:r>
    </w:p>
    <w:p w14:paraId="48752003">
      <w:pPr>
        <w:keepNext w:val="0"/>
        <w:keepLines w:val="0"/>
        <w:pageBreakBefore w:val="0"/>
        <w:widowControl w:val="0"/>
        <w:numPr>
          <w:ilvl w:val="1"/>
          <w:numId w:val="1"/>
        </w:numPr>
        <w:kinsoku/>
        <w:wordWrap/>
        <w:overflowPunct/>
        <w:topLinePunct w:val="0"/>
        <w:autoSpaceDE/>
        <w:autoSpaceDN/>
        <w:bidi w:val="0"/>
        <w:adjustRightInd/>
        <w:snapToGrid/>
        <w:spacing w:line="400" w:lineRule="exact"/>
        <w:textAlignment w:val="auto"/>
      </w:pPr>
      <w:r>
        <w:rPr>
          <w:rFonts w:hint="eastAsia"/>
        </w:rPr>
        <w:t>《城市工程管线综合规划规范》（GB 50289-2016）</w:t>
      </w:r>
    </w:p>
    <w:p w14:paraId="5C1BB626">
      <w:pPr>
        <w:keepNext w:val="0"/>
        <w:keepLines w:val="0"/>
        <w:pageBreakBefore w:val="0"/>
        <w:widowControl w:val="0"/>
        <w:numPr>
          <w:ilvl w:val="1"/>
          <w:numId w:val="1"/>
        </w:numPr>
        <w:kinsoku/>
        <w:wordWrap/>
        <w:overflowPunct/>
        <w:topLinePunct w:val="0"/>
        <w:autoSpaceDE/>
        <w:autoSpaceDN/>
        <w:bidi w:val="0"/>
        <w:adjustRightInd/>
        <w:snapToGrid/>
        <w:spacing w:line="400" w:lineRule="exact"/>
        <w:textAlignment w:val="auto"/>
      </w:pPr>
      <w:r>
        <w:rPr>
          <w:rFonts w:hint="eastAsia"/>
        </w:rPr>
        <w:t>《城市公共设施规划规范》（GB 50442-2008）</w:t>
      </w:r>
    </w:p>
    <w:p w14:paraId="1BBE6B0D">
      <w:pPr>
        <w:keepNext w:val="0"/>
        <w:keepLines w:val="0"/>
        <w:pageBreakBefore w:val="0"/>
        <w:widowControl w:val="0"/>
        <w:numPr>
          <w:ilvl w:val="1"/>
          <w:numId w:val="1"/>
        </w:numPr>
        <w:kinsoku/>
        <w:wordWrap/>
        <w:overflowPunct/>
        <w:topLinePunct w:val="0"/>
        <w:autoSpaceDE/>
        <w:autoSpaceDN/>
        <w:bidi w:val="0"/>
        <w:adjustRightInd/>
        <w:snapToGrid/>
        <w:spacing w:line="400" w:lineRule="exact"/>
        <w:textAlignment w:val="auto"/>
      </w:pPr>
      <w:r>
        <w:rPr>
          <w:rFonts w:hint="eastAsia"/>
        </w:rPr>
        <w:t>《城市综合交通体系规划标准》（GB/T 51328-2018）</w:t>
      </w:r>
    </w:p>
    <w:p w14:paraId="327332BC">
      <w:pPr>
        <w:keepNext w:val="0"/>
        <w:keepLines w:val="0"/>
        <w:pageBreakBefore w:val="0"/>
        <w:widowControl w:val="0"/>
        <w:numPr>
          <w:ilvl w:val="1"/>
          <w:numId w:val="1"/>
        </w:numPr>
        <w:kinsoku/>
        <w:wordWrap/>
        <w:overflowPunct/>
        <w:topLinePunct w:val="0"/>
        <w:autoSpaceDE/>
        <w:autoSpaceDN/>
        <w:bidi w:val="0"/>
        <w:adjustRightInd/>
        <w:snapToGrid/>
        <w:spacing w:line="400" w:lineRule="exact"/>
        <w:textAlignment w:val="auto"/>
      </w:pPr>
      <w:r>
        <w:rPr>
          <w:rFonts w:hint="eastAsia"/>
        </w:rPr>
        <w:t>《城市综合防灾规划标准》（GB/T 51329-2018）</w:t>
      </w:r>
    </w:p>
    <w:p w14:paraId="693E9F99">
      <w:pPr>
        <w:keepNext w:val="0"/>
        <w:keepLines w:val="0"/>
        <w:pageBreakBefore w:val="0"/>
        <w:widowControl w:val="0"/>
        <w:numPr>
          <w:ilvl w:val="1"/>
          <w:numId w:val="1"/>
        </w:numPr>
        <w:kinsoku/>
        <w:wordWrap/>
        <w:overflowPunct/>
        <w:topLinePunct w:val="0"/>
        <w:autoSpaceDE/>
        <w:autoSpaceDN/>
        <w:bidi w:val="0"/>
        <w:adjustRightInd/>
        <w:snapToGrid/>
        <w:spacing w:line="400" w:lineRule="exact"/>
        <w:textAlignment w:val="auto"/>
      </w:pPr>
      <w:r>
        <w:rPr>
          <w:rFonts w:hint="eastAsia"/>
        </w:rPr>
        <w:t>《城市地下空间规划标准（GB/T 51358-2019）</w:t>
      </w:r>
    </w:p>
    <w:p w14:paraId="1AF25EA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（3）相关规划及文件</w:t>
      </w:r>
    </w:p>
    <w:p w14:paraId="283B2D23">
      <w:pPr>
        <w:keepNext w:val="0"/>
        <w:keepLines w:val="0"/>
        <w:pageBreakBefore w:val="0"/>
        <w:widowControl w:val="0"/>
        <w:numPr>
          <w:ilvl w:val="1"/>
          <w:numId w:val="1"/>
        </w:numPr>
        <w:kinsoku/>
        <w:wordWrap/>
        <w:overflowPunct/>
        <w:topLinePunct w:val="0"/>
        <w:autoSpaceDE/>
        <w:autoSpaceDN/>
        <w:bidi w:val="0"/>
        <w:adjustRightInd/>
        <w:snapToGrid/>
        <w:spacing w:line="400" w:lineRule="exact"/>
        <w:textAlignment w:val="auto"/>
      </w:pPr>
      <w:r>
        <w:rPr>
          <w:rFonts w:hint="eastAsia"/>
        </w:rPr>
        <w:t>《岚皋县国土空间总体规划》（2021-2035）</w:t>
      </w:r>
    </w:p>
    <w:p w14:paraId="5840D134">
      <w:pPr>
        <w:keepNext w:val="0"/>
        <w:keepLines w:val="0"/>
        <w:pageBreakBefore w:val="0"/>
        <w:widowControl w:val="0"/>
        <w:numPr>
          <w:ilvl w:val="1"/>
          <w:numId w:val="1"/>
        </w:numPr>
        <w:kinsoku/>
        <w:wordWrap/>
        <w:overflowPunct/>
        <w:topLinePunct w:val="0"/>
        <w:autoSpaceDE/>
        <w:autoSpaceDN/>
        <w:bidi w:val="0"/>
        <w:adjustRightInd/>
        <w:snapToGrid/>
        <w:spacing w:line="400" w:lineRule="exact"/>
        <w:textAlignment w:val="auto"/>
      </w:pPr>
      <w:r>
        <w:rPr>
          <w:rFonts w:hint="eastAsia"/>
        </w:rPr>
        <w:t>《岚皋县工业集中区产业发展规划》（2018-2025）</w:t>
      </w:r>
    </w:p>
    <w:p w14:paraId="4052CCC0">
      <w:pPr>
        <w:keepNext w:val="0"/>
        <w:keepLines w:val="0"/>
        <w:pageBreakBefore w:val="0"/>
        <w:widowControl w:val="0"/>
        <w:numPr>
          <w:ilvl w:val="1"/>
          <w:numId w:val="1"/>
        </w:numPr>
        <w:kinsoku/>
        <w:wordWrap/>
        <w:overflowPunct/>
        <w:topLinePunct w:val="0"/>
        <w:autoSpaceDE/>
        <w:autoSpaceDN/>
        <w:bidi w:val="0"/>
        <w:adjustRightInd/>
        <w:snapToGrid/>
        <w:spacing w:line="400" w:lineRule="exact"/>
        <w:textAlignment w:val="auto"/>
      </w:pPr>
      <w:r>
        <w:rPr>
          <w:rFonts w:hint="eastAsia"/>
        </w:rPr>
        <w:t>《岚皋县罗景坪片区控制性详细规划》（2019-2035）</w:t>
      </w:r>
    </w:p>
    <w:p w14:paraId="2B8ED23F">
      <w:pPr>
        <w:keepNext w:val="0"/>
        <w:keepLines w:val="0"/>
        <w:pageBreakBefore w:val="0"/>
        <w:widowControl w:val="0"/>
        <w:numPr>
          <w:ilvl w:val="1"/>
          <w:numId w:val="1"/>
        </w:numPr>
        <w:kinsoku/>
        <w:wordWrap/>
        <w:overflowPunct/>
        <w:topLinePunct w:val="0"/>
        <w:autoSpaceDE/>
        <w:autoSpaceDN/>
        <w:bidi w:val="0"/>
        <w:adjustRightInd/>
        <w:snapToGrid/>
        <w:spacing w:line="400" w:lineRule="exact"/>
        <w:textAlignment w:val="auto"/>
      </w:pPr>
      <w:r>
        <w:rPr>
          <w:rFonts w:hint="eastAsia"/>
        </w:rPr>
        <w:t>《岚皋县六口工业园区控制性详细规划》（2022）</w:t>
      </w:r>
    </w:p>
    <w:p w14:paraId="4E0BF8E1">
      <w:pPr>
        <w:keepNext w:val="0"/>
        <w:keepLines w:val="0"/>
        <w:pageBreakBefore w:val="0"/>
        <w:widowControl w:val="0"/>
        <w:numPr>
          <w:ilvl w:val="1"/>
          <w:numId w:val="1"/>
        </w:numPr>
        <w:kinsoku/>
        <w:wordWrap/>
        <w:overflowPunct/>
        <w:topLinePunct w:val="0"/>
        <w:autoSpaceDE/>
        <w:autoSpaceDN/>
        <w:bidi w:val="0"/>
        <w:adjustRightInd/>
        <w:snapToGrid/>
        <w:spacing w:line="400" w:lineRule="exact"/>
        <w:textAlignment w:val="auto"/>
      </w:pPr>
      <w:r>
        <w:rPr>
          <w:rFonts w:hint="eastAsia"/>
        </w:rPr>
        <w:t>《岚皋县柑竹坝控制性详细规划》（2015）</w:t>
      </w:r>
    </w:p>
    <w:p w14:paraId="1C3D01B6">
      <w:pPr>
        <w:keepNext w:val="0"/>
        <w:keepLines w:val="0"/>
        <w:pageBreakBefore w:val="0"/>
        <w:widowControl w:val="0"/>
        <w:numPr>
          <w:ilvl w:val="1"/>
          <w:numId w:val="1"/>
        </w:numPr>
        <w:kinsoku/>
        <w:wordWrap/>
        <w:overflowPunct/>
        <w:topLinePunct w:val="0"/>
        <w:autoSpaceDE/>
        <w:autoSpaceDN/>
        <w:bidi w:val="0"/>
        <w:adjustRightInd/>
        <w:snapToGrid/>
        <w:spacing w:line="400" w:lineRule="exact"/>
        <w:textAlignment w:val="auto"/>
      </w:pPr>
      <w:r>
        <w:rPr>
          <w:rFonts w:hint="eastAsia"/>
        </w:rPr>
        <w:t>《岚皋县城北新区控制性详细规划及城市设计》（2021）</w:t>
      </w:r>
    </w:p>
    <w:p w14:paraId="6D8A108D">
      <w:pPr>
        <w:keepNext w:val="0"/>
        <w:keepLines w:val="0"/>
        <w:pageBreakBefore w:val="0"/>
        <w:widowControl w:val="0"/>
        <w:numPr>
          <w:ilvl w:val="1"/>
          <w:numId w:val="1"/>
        </w:numPr>
        <w:kinsoku/>
        <w:wordWrap/>
        <w:overflowPunct/>
        <w:topLinePunct w:val="0"/>
        <w:autoSpaceDE/>
        <w:autoSpaceDN/>
        <w:bidi w:val="0"/>
        <w:adjustRightInd/>
        <w:snapToGrid/>
        <w:spacing w:line="400" w:lineRule="exact"/>
        <w:textAlignment w:val="auto"/>
      </w:pPr>
      <w:r>
        <w:rPr>
          <w:rFonts w:hint="eastAsia"/>
        </w:rPr>
        <w:t>《安康市国土空间总体规划》（2020-2035）</w:t>
      </w:r>
    </w:p>
    <w:p w14:paraId="1FB81801">
      <w:pPr>
        <w:keepNext w:val="0"/>
        <w:keepLines w:val="0"/>
        <w:pageBreakBefore w:val="0"/>
        <w:widowControl w:val="0"/>
        <w:numPr>
          <w:ilvl w:val="1"/>
          <w:numId w:val="1"/>
        </w:numPr>
        <w:kinsoku/>
        <w:wordWrap/>
        <w:overflowPunct/>
        <w:topLinePunct w:val="0"/>
        <w:autoSpaceDE/>
        <w:autoSpaceDN/>
        <w:bidi w:val="0"/>
        <w:adjustRightInd/>
        <w:snapToGrid/>
        <w:spacing w:line="400" w:lineRule="exact"/>
        <w:textAlignment w:val="auto"/>
      </w:pPr>
      <w:r>
        <w:rPr>
          <w:rFonts w:hint="eastAsia"/>
        </w:rPr>
        <w:t>《安康市国民经济和社会发展第十四个五年规划和二0三五年远景目标纲要》</w:t>
      </w:r>
    </w:p>
    <w:p w14:paraId="46DBAEA4">
      <w:pPr>
        <w:keepNext w:val="0"/>
        <w:keepLines w:val="0"/>
        <w:pageBreakBefore w:val="0"/>
        <w:widowControl w:val="0"/>
        <w:numPr>
          <w:ilvl w:val="1"/>
          <w:numId w:val="1"/>
        </w:numPr>
        <w:kinsoku/>
        <w:wordWrap/>
        <w:overflowPunct/>
        <w:topLinePunct w:val="0"/>
        <w:autoSpaceDE/>
        <w:autoSpaceDN/>
        <w:bidi w:val="0"/>
        <w:adjustRightInd/>
        <w:snapToGrid/>
        <w:spacing w:line="400" w:lineRule="exact"/>
        <w:textAlignment w:val="auto"/>
      </w:pPr>
      <w:r>
        <w:rPr>
          <w:rFonts w:hint="eastAsia"/>
        </w:rPr>
        <w:t>《陕西省自然资源厅关于加强国土空间规划实施监督管理工作的通知》</w:t>
      </w:r>
    </w:p>
    <w:p w14:paraId="5219528E">
      <w:pPr>
        <w:keepNext w:val="0"/>
        <w:keepLines w:val="0"/>
        <w:pageBreakBefore w:val="0"/>
        <w:widowControl w:val="0"/>
        <w:numPr>
          <w:ilvl w:val="1"/>
          <w:numId w:val="1"/>
        </w:numPr>
        <w:kinsoku/>
        <w:wordWrap/>
        <w:overflowPunct/>
        <w:topLinePunct w:val="0"/>
        <w:autoSpaceDE/>
        <w:autoSpaceDN/>
        <w:bidi w:val="0"/>
        <w:adjustRightInd/>
        <w:snapToGrid/>
        <w:spacing w:line="400" w:lineRule="exact"/>
        <w:textAlignment w:val="auto"/>
      </w:pPr>
      <w:r>
        <w:rPr>
          <w:rFonts w:hint="eastAsia"/>
        </w:rPr>
        <w:t>《城中村改造国土空间规划政策指引》</w:t>
      </w:r>
    </w:p>
    <w:p w14:paraId="365B2184">
      <w:pPr>
        <w:keepNext w:val="0"/>
        <w:keepLines w:val="0"/>
        <w:pageBreakBefore w:val="0"/>
        <w:widowControl w:val="0"/>
        <w:numPr>
          <w:ilvl w:val="1"/>
          <w:numId w:val="1"/>
        </w:numPr>
        <w:kinsoku/>
        <w:wordWrap/>
        <w:overflowPunct/>
        <w:topLinePunct w:val="0"/>
        <w:autoSpaceDE/>
        <w:autoSpaceDN/>
        <w:bidi w:val="0"/>
        <w:adjustRightInd/>
        <w:snapToGrid/>
        <w:spacing w:line="400" w:lineRule="exact"/>
        <w:textAlignment w:val="auto"/>
      </w:pPr>
      <w:r>
        <w:rPr>
          <w:rFonts w:hint="eastAsia"/>
        </w:rPr>
        <w:t>《自然资源部关于加强国土空间详细规划工作的通知》</w:t>
      </w:r>
    </w:p>
    <w:p w14:paraId="140DAF49">
      <w:pPr>
        <w:keepNext w:val="0"/>
        <w:keepLines w:val="0"/>
        <w:pageBreakBefore w:val="0"/>
        <w:widowControl w:val="0"/>
        <w:numPr>
          <w:ilvl w:val="1"/>
          <w:numId w:val="1"/>
        </w:numPr>
        <w:kinsoku/>
        <w:wordWrap/>
        <w:overflowPunct/>
        <w:topLinePunct w:val="0"/>
        <w:autoSpaceDE/>
        <w:autoSpaceDN/>
        <w:bidi w:val="0"/>
        <w:adjustRightInd/>
        <w:snapToGrid/>
        <w:spacing w:line="400" w:lineRule="exact"/>
        <w:textAlignment w:val="auto"/>
      </w:pPr>
      <w:r>
        <w:rPr>
          <w:rFonts w:hint="eastAsia"/>
        </w:rPr>
        <w:t>《“十四五”工业绿色发展规划》</w:t>
      </w:r>
    </w:p>
    <w:p w14:paraId="233B7140">
      <w:pPr>
        <w:keepNext w:val="0"/>
        <w:keepLines w:val="0"/>
        <w:pageBreakBefore w:val="0"/>
        <w:widowControl w:val="0"/>
        <w:numPr>
          <w:ilvl w:val="1"/>
          <w:numId w:val="1"/>
        </w:numPr>
        <w:kinsoku/>
        <w:wordWrap/>
        <w:overflowPunct/>
        <w:topLinePunct w:val="0"/>
        <w:autoSpaceDE/>
        <w:autoSpaceDN/>
        <w:bidi w:val="0"/>
        <w:adjustRightInd/>
        <w:snapToGrid/>
        <w:spacing w:line="400" w:lineRule="exact"/>
        <w:textAlignment w:val="auto"/>
      </w:pPr>
      <w:r>
        <w:rPr>
          <w:rFonts w:hint="eastAsia"/>
        </w:rPr>
        <w:t>《“十四五”时期“无废城市”建设工作方案》</w:t>
      </w:r>
    </w:p>
    <w:p w14:paraId="49720B9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备注：国家、省、市其它相关法律、法规、规章和标准规范</w:t>
      </w:r>
    </w:p>
    <w:p w14:paraId="2919F3AF">
      <w:pPr>
        <w:pStyle w:val="4"/>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0"/>
        <w:rPr>
          <w:b/>
          <w:bCs/>
        </w:rPr>
      </w:pPr>
      <w:r>
        <w:rPr>
          <w:rFonts w:hint="eastAsia"/>
          <w:b/>
          <w:bCs/>
        </w:rPr>
        <w:t xml:space="preserve"> 四、合同金额及付款方式</w:t>
      </w:r>
    </w:p>
    <w:p w14:paraId="51EDBF55">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pPr>
      <w:r>
        <w:rPr>
          <w:highlight w:val="green"/>
        </w:rPr>
        <w:t>1</w:t>
      </w:r>
      <w:r>
        <w:rPr>
          <w:rFonts w:hint="eastAsia"/>
          <w:highlight w:val="green"/>
        </w:rPr>
        <w:t>、合同总金额为人民币：</w:t>
      </w:r>
      <w:r>
        <w:rPr>
          <w:rFonts w:hint="eastAsia"/>
          <w:highlight w:val="green"/>
          <w:u w:val="single"/>
        </w:rPr>
        <w:t xml:space="preserve">        </w:t>
      </w:r>
      <w:r>
        <w:rPr>
          <w:highlight w:val="green"/>
          <w:u w:val="single"/>
        </w:rPr>
        <w:t xml:space="preserve">      </w:t>
      </w:r>
      <w:r>
        <w:rPr>
          <w:rFonts w:hint="eastAsia"/>
          <w:highlight w:val="green"/>
        </w:rPr>
        <w:t>元整(￥</w:t>
      </w:r>
      <w:r>
        <w:rPr>
          <w:rFonts w:hint="eastAsia"/>
          <w:highlight w:val="green"/>
          <w:u w:val="single"/>
        </w:rPr>
        <w:t xml:space="preserve">        </w:t>
      </w:r>
      <w:r>
        <w:rPr>
          <w:highlight w:val="green"/>
          <w:u w:val="single"/>
        </w:rPr>
        <w:t xml:space="preserve">  </w:t>
      </w:r>
      <w:r>
        <w:rPr>
          <w:rFonts w:hint="eastAsia"/>
          <w:highlight w:val="green"/>
        </w:rPr>
        <w:t>元)；</w:t>
      </w:r>
    </w:p>
    <w:p w14:paraId="6852720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1"/>
      </w:pPr>
      <w:r>
        <w:rPr>
          <w:rFonts w:hint="eastAsia"/>
        </w:rPr>
        <w:t>2、付款方式：分四次支付项目款。</w:t>
      </w:r>
    </w:p>
    <w:p w14:paraId="065D946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（1）合同签订后，甲方向乙方支付合同总价款25%的预付款，项目启动；</w:t>
      </w:r>
    </w:p>
    <w:p w14:paraId="4FF141F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（2）乙方完成规划初稿（包括详细规划工作评估、“总&amp;详”传导专题研究、编制单元划定），经研讨及征询意见，进行修改完善，形成送审成果并提交甲方后7日内，甲方向乙方支付合同总价款的25%；</w:t>
      </w:r>
    </w:p>
    <w:p w14:paraId="37CDEA4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w:t>
      </w:r>
      <w:r>
        <w:t>3</w:t>
      </w:r>
      <w:r>
        <w:rPr>
          <w:rFonts w:hint="eastAsia"/>
        </w:rPr>
        <w:t>）乙方完成规划送审稿（风貌提升实施方案、控制性详细规划&amp;城市设计），经研讨及征询意见，进行修改完善，形成送审成果并提交甲方后7日内，甲方向乙方支付合同总价款的40%；</w:t>
      </w:r>
    </w:p>
    <w:p w14:paraId="38BF92E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w:t>
      </w:r>
      <w:r>
        <w:t>4</w:t>
      </w:r>
      <w:r>
        <w:rPr>
          <w:rFonts w:hint="eastAsia"/>
        </w:rPr>
        <w:t>）乙方完成所有工作内容，经甲方审查、验收合格，提交最终成果后7日内，甲方向乙方支付合同总价款的10%。</w:t>
      </w:r>
      <w:r>
        <w:t xml:space="preserve"> </w:t>
      </w:r>
    </w:p>
    <w:p w14:paraId="640BDEB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乙方应于甲方支付款项前向甲方开具同等金额的增值税发票。</w:t>
      </w:r>
    </w:p>
    <w:p w14:paraId="63F2C721">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0"/>
        <w:rPr>
          <w:b/>
          <w:bCs/>
        </w:rPr>
      </w:pPr>
      <w:r>
        <w:rPr>
          <w:rFonts w:hint="eastAsia"/>
          <w:b/>
          <w:bCs/>
        </w:rPr>
        <w:t>五、项目成果</w:t>
      </w:r>
    </w:p>
    <w:p w14:paraId="1075F2D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r>
        <w:rPr>
          <w:rFonts w:hint="eastAsia"/>
        </w:rPr>
        <w:t>乙方按甲方要求提交符合项目要求并通过审查的规划成果，成果满足国家颁布的技术标准、质量标准以及项目所在地有关部门对项目的要求和技术规定，按照省、市技术规范和市、县审查要求，提交文本、表格、图则、图件、数据库、附件等。</w:t>
      </w:r>
    </w:p>
    <w:p w14:paraId="0B427ED7">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outlineLvl w:val="0"/>
        <w:rPr>
          <w:b/>
          <w:bCs/>
        </w:rPr>
      </w:pPr>
      <w:r>
        <w:rPr>
          <w:rFonts w:hint="eastAsia"/>
          <w:b/>
          <w:bCs/>
        </w:rPr>
        <w:t>六、验收</w:t>
      </w:r>
    </w:p>
    <w:p w14:paraId="2BE9EAA2">
      <w:pPr>
        <w:pStyle w:val="4"/>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pPr>
      <w:r>
        <w:rPr>
          <w:rFonts w:hint="eastAsia"/>
        </w:rPr>
        <w:t xml:space="preserve"> 由甲方组织相关专家对规划成果进行整体验收。其内容包括成果质量是否达到现行国家有关验收规范“合格”标准、是否按照要求按时完成、是否得到相关部门的认可与批准。</w:t>
      </w:r>
    </w:p>
    <w:p w14:paraId="6621B027">
      <w:pPr>
        <w:pStyle w:val="4"/>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pPr>
      <w:r>
        <w:rPr>
          <w:rFonts w:hint="eastAsia"/>
        </w:rPr>
        <w:t>1、所验各项内容最终验收达不到招标文件要求和投标文件承诺的，或在后续使用中发现甲方不能接受的缺陷等，将视为验收不合格，乙方在甲方要求的时间内无条件整改至验收合格；</w:t>
      </w:r>
    </w:p>
    <w:p w14:paraId="26752D96">
      <w:pPr>
        <w:pStyle w:val="4"/>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pPr>
      <w:r>
        <w:rPr>
          <w:rFonts w:hint="eastAsia"/>
        </w:rPr>
        <w:t>2、若发现成交投标人有弄虚作假的，故意或随意夸大技术能力、服务质量的，甲方有权解除合同，并且要求乙方赔偿相关损失；</w:t>
      </w:r>
    </w:p>
    <w:p w14:paraId="3D0117F1">
      <w:pPr>
        <w:pStyle w:val="4"/>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pPr>
      <w:r>
        <w:rPr>
          <w:rFonts w:hint="eastAsia"/>
        </w:rPr>
        <w:t>3、验收标准：按招标文件、投标文件及澄清函等技术指标进行验收。各项指标均应符合验收标准及要求；</w:t>
      </w:r>
    </w:p>
    <w:p w14:paraId="5CD7791A">
      <w:pPr>
        <w:pStyle w:val="4"/>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pPr>
      <w:r>
        <w:rPr>
          <w:rFonts w:hint="eastAsia"/>
        </w:rPr>
        <w:t>4、验收依据：合同文本、招标文件及澄清函、投标文件。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E04F36"/>
    <w:multiLevelType w:val="multilevel"/>
    <w:tmpl w:val="76E04F36"/>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xNGFmYWU2ZDcxYmRjNzZmOTYxZWY3MzJiN2M4MWUifQ=="/>
  </w:docVars>
  <w:rsids>
    <w:rsidRoot w:val="073B1298"/>
    <w:rsid w:val="073B1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szCs w:val="20"/>
    </w:rPr>
  </w:style>
  <w:style w:type="paragraph" w:styleId="3">
    <w:name w:val="toc 4"/>
    <w:basedOn w:val="1"/>
    <w:next w:val="1"/>
    <w:qFormat/>
    <w:uiPriority w:val="0"/>
    <w:pPr>
      <w:ind w:left="600" w:leftChars="600"/>
    </w:pPr>
    <w:rPr>
      <w:rFonts w:ascii="Times New Roman" w:hAnsi="Times New Roman" w:eastAsia="Calibri" w:cs="Times New Roman"/>
    </w:rPr>
  </w:style>
  <w:style w:type="paragraph" w:styleId="4">
    <w:name w:val="Body Text"/>
    <w:basedOn w:val="1"/>
    <w:next w:val="5"/>
    <w:qFormat/>
    <w:uiPriority w:val="0"/>
    <w:pPr>
      <w:ind w:right="-84" w:rightChars="-40"/>
      <w:jc w:val="center"/>
    </w:pPr>
    <w:rPr>
      <w:rFonts w:eastAsia="宋体"/>
      <w:kern w:val="2"/>
      <w:sz w:val="21"/>
      <w:szCs w:val="24"/>
      <w:lang w:val="en-US" w:eastAsia="zh-CN" w:bidi="ar-SA"/>
    </w:rPr>
  </w:style>
  <w:style w:type="paragraph" w:styleId="5">
    <w:name w:val="Body Text First Indent"/>
    <w:basedOn w:val="4"/>
    <w:qFormat/>
    <w:uiPriority w:val="0"/>
    <w:pPr>
      <w:spacing w:after="120"/>
      <w:ind w:right="0" w:rightChars="0" w:firstLine="420" w:firstLineChars="100"/>
      <w:jc w:val="both"/>
    </w:pPr>
    <w:rPr>
      <w:szCs w:val="20"/>
    </w:rPr>
  </w:style>
  <w:style w:type="paragraph" w:styleId="6">
    <w:name w:val="Body Text Indent"/>
    <w:basedOn w:val="1"/>
    <w:qFormat/>
    <w:uiPriority w:val="0"/>
    <w:pPr>
      <w:spacing w:line="360" w:lineRule="auto"/>
      <w:ind w:firstLine="480"/>
    </w:pPr>
    <w:rPr>
      <w:rFonts w:ascii="宋体" w:eastAsia="宋体"/>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2024-10-29T07:26:00Z</dcterms:created>
  <dc:creator>瑞恒</dc:creator>
  <cp:lastModifiedBy>瑞恒</cp:lastModifiedBy>
  <dcterms:modified xsi:type="dcterms:W3CDTF">2024-10-29T07:31:39Z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7B6812C409AD40628309228D51BEED94_11</vt:lpwstr>
  </property>
</Properties>
</file>